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F7" w:rsidRPr="002819C5" w:rsidRDefault="003050B9" w:rsidP="003050B9">
      <w:pPr>
        <w:jc w:val="center"/>
        <w:rPr>
          <w:b/>
          <w:sz w:val="28"/>
        </w:rPr>
      </w:pPr>
      <w:r w:rsidRPr="002819C5">
        <w:rPr>
          <w:b/>
          <w:sz w:val="28"/>
        </w:rPr>
        <w:t xml:space="preserve">Complaint by Ms </w:t>
      </w:r>
      <w:proofErr w:type="spellStart"/>
      <w:r w:rsidR="004B19E8">
        <w:rPr>
          <w:b/>
          <w:sz w:val="28"/>
        </w:rPr>
        <w:t>Dinnison</w:t>
      </w:r>
      <w:proofErr w:type="spellEnd"/>
      <w:r w:rsidR="004B19E8">
        <w:rPr>
          <w:b/>
          <w:sz w:val="28"/>
        </w:rPr>
        <w:t xml:space="preserve"> </w:t>
      </w:r>
      <w:r w:rsidRPr="002819C5">
        <w:rPr>
          <w:b/>
          <w:sz w:val="28"/>
        </w:rPr>
        <w:t xml:space="preserve">against </w:t>
      </w:r>
      <w:r w:rsidR="004B19E8" w:rsidRPr="00971E63">
        <w:rPr>
          <w:b/>
          <w:i/>
          <w:sz w:val="28"/>
        </w:rPr>
        <w:t>The Australian</w:t>
      </w:r>
      <w:r w:rsidR="004B19E8">
        <w:rPr>
          <w:b/>
          <w:sz w:val="28"/>
        </w:rPr>
        <w:t xml:space="preserve"> and Mr Leak</w:t>
      </w:r>
    </w:p>
    <w:p w:rsidR="003050B9" w:rsidRPr="002819C5" w:rsidRDefault="00E716D9" w:rsidP="003050B9">
      <w:pPr>
        <w:jc w:val="center"/>
        <w:rPr>
          <w:b/>
          <w:sz w:val="28"/>
        </w:rPr>
      </w:pPr>
      <w:r>
        <w:rPr>
          <w:b/>
          <w:sz w:val="28"/>
        </w:rPr>
        <w:t>C</w:t>
      </w:r>
      <w:r w:rsidR="003050B9" w:rsidRPr="002819C5">
        <w:rPr>
          <w:b/>
          <w:sz w:val="28"/>
        </w:rPr>
        <w:t>hronology</w:t>
      </w:r>
    </w:p>
    <w:p w:rsidR="004C4781" w:rsidRDefault="00A5415F" w:rsidP="00AC2695">
      <w:pPr>
        <w:pStyle w:val="Heading1"/>
      </w:pPr>
      <w:r>
        <w:t>Key points:</w:t>
      </w:r>
    </w:p>
    <w:p w:rsidR="00A5415F" w:rsidRDefault="00A5415F" w:rsidP="00A5415F">
      <w:pPr>
        <w:pStyle w:val="ListParagraph"/>
        <w:numPr>
          <w:ilvl w:val="0"/>
          <w:numId w:val="31"/>
        </w:numPr>
      </w:pPr>
      <w:r w:rsidRPr="00A5415F">
        <w:t xml:space="preserve">The Commission’s inquiry lasted </w:t>
      </w:r>
      <w:r>
        <w:t xml:space="preserve">for </w:t>
      </w:r>
      <w:r w:rsidR="00965FD7">
        <w:t>39 days</w:t>
      </w:r>
      <w:r w:rsidR="00DC7930">
        <w:t xml:space="preserve">, from the notification to the lawyers for </w:t>
      </w:r>
      <w:r w:rsidR="00DC7930" w:rsidRPr="00E64B29">
        <w:rPr>
          <w:i/>
        </w:rPr>
        <w:t>The Australian</w:t>
      </w:r>
      <w:r w:rsidR="00DC7930">
        <w:t xml:space="preserve"> and Mr Leak until the compliant was withdrawn</w:t>
      </w:r>
    </w:p>
    <w:p w:rsidR="00A5415F" w:rsidRDefault="00A5415F" w:rsidP="00A5415F">
      <w:pPr>
        <w:pStyle w:val="ListParagraph"/>
      </w:pPr>
    </w:p>
    <w:p w:rsidR="00A5415F" w:rsidRDefault="00C16428" w:rsidP="00A5415F">
      <w:pPr>
        <w:pStyle w:val="ListParagraph"/>
        <w:numPr>
          <w:ilvl w:val="0"/>
          <w:numId w:val="31"/>
        </w:numPr>
      </w:pPr>
      <w:r>
        <w:t xml:space="preserve">Of </w:t>
      </w:r>
      <w:r w:rsidR="00965FD7">
        <w:t>the total</w:t>
      </w:r>
      <w:r>
        <w:t xml:space="preserve"> period, 24 days (60% of the time) was spent waiting on responses from the lawyers for </w:t>
      </w:r>
      <w:r w:rsidRPr="00E64B29">
        <w:rPr>
          <w:i/>
        </w:rPr>
        <w:t>The Australian</w:t>
      </w:r>
      <w:r>
        <w:t xml:space="preserve"> and Mr Leak</w:t>
      </w:r>
    </w:p>
    <w:p w:rsidR="00C16428" w:rsidRDefault="00C16428" w:rsidP="00C16428">
      <w:pPr>
        <w:pStyle w:val="ListParagraph"/>
      </w:pPr>
    </w:p>
    <w:p w:rsidR="00C16428" w:rsidRDefault="00C16428" w:rsidP="00A5415F">
      <w:pPr>
        <w:pStyle w:val="ListParagraph"/>
        <w:numPr>
          <w:ilvl w:val="0"/>
          <w:numId w:val="31"/>
        </w:numPr>
      </w:pPr>
      <w:r>
        <w:t xml:space="preserve">Of </w:t>
      </w:r>
      <w:r w:rsidR="00965FD7">
        <w:t xml:space="preserve">the total </w:t>
      </w:r>
      <w:r>
        <w:t>period, 11 days (28% of the time) was spent responding to an allegation of apprehended bias</w:t>
      </w:r>
      <w:r w:rsidR="00971E63">
        <w:t xml:space="preserve"> raised by the lawyers for </w:t>
      </w:r>
      <w:r w:rsidR="00971E63" w:rsidRPr="00E64B29">
        <w:rPr>
          <w:i/>
        </w:rPr>
        <w:t>The Australian</w:t>
      </w:r>
      <w:r w:rsidR="00971E63">
        <w:t xml:space="preserve"> and Mr Leak</w:t>
      </w:r>
    </w:p>
    <w:p w:rsidR="00C16428" w:rsidRDefault="00C16428" w:rsidP="00C16428">
      <w:pPr>
        <w:pStyle w:val="ListParagraph"/>
      </w:pPr>
    </w:p>
    <w:p w:rsidR="00C16428" w:rsidRDefault="0009434A" w:rsidP="00A5415F">
      <w:pPr>
        <w:pStyle w:val="ListParagraph"/>
        <w:numPr>
          <w:ilvl w:val="0"/>
          <w:numId w:val="31"/>
        </w:numPr>
      </w:pPr>
      <w:r>
        <w:t xml:space="preserve">During the course of the inquiry, </w:t>
      </w:r>
      <w:r w:rsidR="00C16428">
        <w:t xml:space="preserve">the Commission received two letters from the lawyers for </w:t>
      </w:r>
      <w:r w:rsidR="00C16428" w:rsidRPr="00E64B29">
        <w:rPr>
          <w:i/>
        </w:rPr>
        <w:t>The Australian</w:t>
      </w:r>
      <w:r w:rsidR="00C16428">
        <w:t xml:space="preserve"> and Mr Leak</w:t>
      </w:r>
    </w:p>
    <w:p w:rsidR="00D85705" w:rsidRDefault="00D85705" w:rsidP="00D85705">
      <w:pPr>
        <w:pStyle w:val="ListParagraph"/>
      </w:pPr>
    </w:p>
    <w:p w:rsidR="00D85705" w:rsidRDefault="00D85705" w:rsidP="00A5415F">
      <w:pPr>
        <w:pStyle w:val="ListParagraph"/>
        <w:numPr>
          <w:ilvl w:val="0"/>
          <w:numId w:val="31"/>
        </w:numPr>
      </w:pPr>
      <w:r>
        <w:t xml:space="preserve">During the course of the inquiry, </w:t>
      </w:r>
      <w:r w:rsidRPr="00E64B29">
        <w:rPr>
          <w:i/>
        </w:rPr>
        <w:t>The Australian</w:t>
      </w:r>
      <w:r>
        <w:t xml:space="preserve"> </w:t>
      </w:r>
      <w:r w:rsidR="0009434A">
        <w:t xml:space="preserve">and the </w:t>
      </w:r>
      <w:r w:rsidR="0009434A" w:rsidRPr="00E64B29">
        <w:rPr>
          <w:i/>
        </w:rPr>
        <w:t>Weekend Australian</w:t>
      </w:r>
      <w:r w:rsidR="0009434A">
        <w:t xml:space="preserve"> </w:t>
      </w:r>
      <w:r>
        <w:t xml:space="preserve">published </w:t>
      </w:r>
      <w:r w:rsidR="008C2D7E">
        <w:t xml:space="preserve">at least </w:t>
      </w:r>
      <w:r w:rsidR="00DB05FE">
        <w:t>55</w:t>
      </w:r>
      <w:r>
        <w:t xml:space="preserve"> articles and editorials dealing with </w:t>
      </w:r>
      <w:r w:rsidR="008C2D7E">
        <w:t xml:space="preserve">or referring to </w:t>
      </w:r>
      <w:r>
        <w:t>the complaint</w:t>
      </w:r>
    </w:p>
    <w:p w:rsidR="00C16428" w:rsidRDefault="00C16428" w:rsidP="00C16428">
      <w:pPr>
        <w:pStyle w:val="ListParagraph"/>
      </w:pPr>
    </w:p>
    <w:p w:rsidR="00C16428" w:rsidRDefault="00C16428" w:rsidP="00A5415F">
      <w:pPr>
        <w:pStyle w:val="ListParagraph"/>
        <w:numPr>
          <w:ilvl w:val="0"/>
          <w:numId w:val="31"/>
        </w:numPr>
      </w:pPr>
      <w:r>
        <w:t xml:space="preserve">Despite requests </w:t>
      </w:r>
      <w:r w:rsidR="00965FD7">
        <w:t xml:space="preserve">from the Commission, </w:t>
      </w:r>
      <w:r>
        <w:t xml:space="preserve">the lawyers for </w:t>
      </w:r>
      <w:r w:rsidRPr="006B0AEB">
        <w:rPr>
          <w:i/>
        </w:rPr>
        <w:t>The Australian</w:t>
      </w:r>
      <w:r>
        <w:t xml:space="preserve"> and Mr Leak </w:t>
      </w:r>
      <w:r w:rsidR="00965FD7">
        <w:t>did not</w:t>
      </w:r>
      <w:r>
        <w:t xml:space="preserve"> provide a submission about why the exemption in section 18D </w:t>
      </w:r>
      <w:r w:rsidR="00965FD7">
        <w:t xml:space="preserve">of the RDA </w:t>
      </w:r>
      <w:r w:rsidR="00BC0DA0">
        <w:t>applied to Mr Leak’s cartoon.</w:t>
      </w:r>
    </w:p>
    <w:p w:rsidR="00BC0DA0" w:rsidRPr="00AC2695" w:rsidRDefault="00AC2695" w:rsidP="00AC2695">
      <w:pPr>
        <w:pStyle w:val="Heading1"/>
      </w:pPr>
      <w:r w:rsidRPr="00AC2695">
        <w:t>Chronology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6732"/>
      </w:tblGrid>
      <w:tr w:rsidR="003050B9" w:rsidRPr="003050B9" w:rsidTr="00A23218">
        <w:trPr>
          <w:tblHeader/>
        </w:trPr>
        <w:tc>
          <w:tcPr>
            <w:tcW w:w="2328" w:type="dxa"/>
            <w:shd w:val="clear" w:color="auto" w:fill="DBE5F1" w:themeFill="accent1" w:themeFillTint="33"/>
          </w:tcPr>
          <w:p w:rsidR="003050B9" w:rsidRPr="003050B9" w:rsidRDefault="003050B9" w:rsidP="003050B9">
            <w:pPr>
              <w:rPr>
                <w:b/>
              </w:rPr>
            </w:pPr>
            <w:r w:rsidRPr="003050B9">
              <w:rPr>
                <w:b/>
              </w:rPr>
              <w:t>Date</w:t>
            </w:r>
          </w:p>
        </w:tc>
        <w:tc>
          <w:tcPr>
            <w:tcW w:w="6732" w:type="dxa"/>
            <w:shd w:val="clear" w:color="auto" w:fill="DBE5F1" w:themeFill="accent1" w:themeFillTint="33"/>
          </w:tcPr>
          <w:p w:rsidR="003050B9" w:rsidRPr="003050B9" w:rsidRDefault="003050B9" w:rsidP="003050B9">
            <w:pPr>
              <w:rPr>
                <w:b/>
              </w:rPr>
            </w:pPr>
            <w:r w:rsidRPr="003050B9">
              <w:rPr>
                <w:b/>
              </w:rPr>
              <w:t>Event</w:t>
            </w:r>
          </w:p>
        </w:tc>
      </w:tr>
      <w:tr w:rsidR="00CD1D9A" w:rsidTr="00A23218">
        <w:tc>
          <w:tcPr>
            <w:tcW w:w="2328" w:type="dxa"/>
          </w:tcPr>
          <w:p w:rsidR="00CD1D9A" w:rsidRDefault="004B19E8" w:rsidP="003050B9">
            <w:r>
              <w:t>4 October 2016</w:t>
            </w:r>
          </w:p>
        </w:tc>
        <w:tc>
          <w:tcPr>
            <w:tcW w:w="6732" w:type="dxa"/>
          </w:tcPr>
          <w:p w:rsidR="00CD1D9A" w:rsidRDefault="004B19E8" w:rsidP="007A1E74">
            <w:r>
              <w:t xml:space="preserve">The Commission writes to Macpherson Kelley, lawyers for Nationwide News Pty Ltd, the publishers of </w:t>
            </w:r>
            <w:r w:rsidRPr="00E64B29">
              <w:rPr>
                <w:i/>
              </w:rPr>
              <w:t>The Australian</w:t>
            </w:r>
            <w:r w:rsidR="00E869A9">
              <w:t>,</w:t>
            </w:r>
            <w:r w:rsidR="00965FD7">
              <w:t xml:space="preserve"> advising them that it had received a complaint from Ms </w:t>
            </w:r>
            <w:proofErr w:type="spellStart"/>
            <w:r w:rsidR="00965FD7">
              <w:t>Dinnison</w:t>
            </w:r>
            <w:proofErr w:type="spellEnd"/>
            <w:r w:rsidR="00965FD7">
              <w:t xml:space="preserve"> about the publication</w:t>
            </w:r>
            <w:r w:rsidR="00A168D8">
              <w:t xml:space="preserve"> of a cartoon by Mr Leak</w:t>
            </w:r>
            <w:r w:rsidR="00965FD7">
              <w:t xml:space="preserve"> in </w:t>
            </w:r>
            <w:r w:rsidR="00965FD7" w:rsidRPr="00B3704A">
              <w:rPr>
                <w:i/>
              </w:rPr>
              <w:t>The Australian</w:t>
            </w:r>
            <w:r>
              <w:t>.</w:t>
            </w:r>
          </w:p>
          <w:p w:rsidR="004B19E8" w:rsidRDefault="00DE730A" w:rsidP="00DB05FE">
            <w:r>
              <w:t xml:space="preserve">As reported in </w:t>
            </w:r>
            <w:r w:rsidRPr="00C33C7E">
              <w:rPr>
                <w:i/>
              </w:rPr>
              <w:t>The Australian</w:t>
            </w:r>
            <w:r>
              <w:t xml:space="preserve"> on 15 October 2016, </w:t>
            </w:r>
            <w:r w:rsidR="004B19E8">
              <w:t xml:space="preserve">the Commission’s letter </w:t>
            </w:r>
            <w:r w:rsidR="00C33C7E">
              <w:t xml:space="preserve">advised that ‘sections 18C, 18D and 18E of the Racial Discrimination Act appear to be relevant to the complaint’ and asked for </w:t>
            </w:r>
            <w:r w:rsidR="00AC2695">
              <w:t xml:space="preserve">a </w:t>
            </w:r>
            <w:r w:rsidR="00DB05FE">
              <w:t>response</w:t>
            </w:r>
            <w:r w:rsidR="00AC2695">
              <w:t xml:space="preserve"> </w:t>
            </w:r>
            <w:r w:rsidR="00C33C7E">
              <w:t xml:space="preserve">by 28 October 2016. </w:t>
            </w:r>
          </w:p>
        </w:tc>
      </w:tr>
      <w:tr w:rsidR="00CD1D9A" w:rsidTr="00A23218">
        <w:tc>
          <w:tcPr>
            <w:tcW w:w="2328" w:type="dxa"/>
          </w:tcPr>
          <w:p w:rsidR="00CD1D9A" w:rsidRDefault="001863AF" w:rsidP="003050B9">
            <w:r>
              <w:t>21 October 2016</w:t>
            </w:r>
          </w:p>
        </w:tc>
        <w:tc>
          <w:tcPr>
            <w:tcW w:w="6732" w:type="dxa"/>
          </w:tcPr>
          <w:p w:rsidR="001863AF" w:rsidRDefault="001863AF" w:rsidP="00CD1D9A">
            <w:r>
              <w:t xml:space="preserve">The Commission receives a letter from </w:t>
            </w:r>
            <w:r w:rsidR="00E64B29">
              <w:t xml:space="preserve">the lawyers for </w:t>
            </w:r>
            <w:r w:rsidR="00E64B29" w:rsidRPr="00E64B29">
              <w:rPr>
                <w:i/>
              </w:rPr>
              <w:t>The Australian</w:t>
            </w:r>
            <w:r w:rsidR="00E64B29">
              <w:t xml:space="preserve"> and Mr Leak </w:t>
            </w:r>
            <w:r>
              <w:t>saying that:</w:t>
            </w:r>
          </w:p>
          <w:p w:rsidR="00CD1D9A" w:rsidRDefault="00E64B29" w:rsidP="00E64B29">
            <w:pPr>
              <w:pStyle w:val="ListParagraph"/>
              <w:numPr>
                <w:ilvl w:val="0"/>
                <w:numId w:val="29"/>
              </w:numPr>
              <w:ind w:left="714" w:hanging="357"/>
              <w:contextualSpacing w:val="0"/>
            </w:pPr>
            <w:r>
              <w:lastRenderedPageBreak/>
              <w:t xml:space="preserve">their </w:t>
            </w:r>
            <w:r w:rsidR="001863AF">
              <w:t xml:space="preserve">clients ‘require that the AHRC take no further part in any inquiry into, or any attempt to conciliate, Miss </w:t>
            </w:r>
            <w:proofErr w:type="spellStart"/>
            <w:r w:rsidR="001863AF">
              <w:t>Dinnison’s</w:t>
            </w:r>
            <w:proofErr w:type="spellEnd"/>
            <w:r w:rsidR="001863AF">
              <w:t xml:space="preserve"> complaint’</w:t>
            </w:r>
          </w:p>
          <w:p w:rsidR="001863AF" w:rsidRDefault="001863AF" w:rsidP="00E64B29">
            <w:pPr>
              <w:pStyle w:val="ListParagraph"/>
              <w:numPr>
                <w:ilvl w:val="0"/>
                <w:numId w:val="29"/>
              </w:numPr>
              <w:ind w:left="714" w:hanging="357"/>
              <w:contextualSpacing w:val="0"/>
            </w:pPr>
            <w:r>
              <w:t xml:space="preserve">the basis for this ‘requirement’ was that a ‘reasonable apprehension of </w:t>
            </w:r>
            <w:proofErr w:type="spellStart"/>
            <w:r>
              <w:t>bias’</w:t>
            </w:r>
            <w:proofErr w:type="spellEnd"/>
            <w:r>
              <w:t xml:space="preserve"> exists</w:t>
            </w:r>
          </w:p>
          <w:p w:rsidR="001863AF" w:rsidRDefault="001863AF" w:rsidP="00E64B29">
            <w:pPr>
              <w:pStyle w:val="ListParagraph"/>
              <w:numPr>
                <w:ilvl w:val="0"/>
                <w:numId w:val="29"/>
              </w:numPr>
              <w:ind w:left="714" w:hanging="357"/>
              <w:contextualSpacing w:val="0"/>
            </w:pPr>
            <w:r>
              <w:t>until this issue is resolved ‘our clients have nothing further to say’.</w:t>
            </w:r>
          </w:p>
          <w:p w:rsidR="001863AF" w:rsidRDefault="00BC0DA0" w:rsidP="00A36E89">
            <w:r>
              <w:t xml:space="preserve">In a schedule to the letter, </w:t>
            </w:r>
            <w:r w:rsidR="00E64B29">
              <w:t xml:space="preserve">the lawyers </w:t>
            </w:r>
            <w:r>
              <w:t xml:space="preserve">said that once the </w:t>
            </w:r>
            <w:r w:rsidR="00A36E89">
              <w:t xml:space="preserve">‘apprehended </w:t>
            </w:r>
            <w:proofErr w:type="spellStart"/>
            <w:r w:rsidR="00A36E89">
              <w:t>bias’</w:t>
            </w:r>
            <w:proofErr w:type="spellEnd"/>
            <w:r w:rsidR="00A36E89">
              <w:t xml:space="preserve"> issue was resolved, it wanted a </w:t>
            </w:r>
            <w:r>
              <w:t>public hearing</w:t>
            </w:r>
            <w:r w:rsidR="00A36E89">
              <w:t xml:space="preserve"> in relation to the complaints by Ms </w:t>
            </w:r>
            <w:proofErr w:type="spellStart"/>
            <w:r w:rsidR="00A36E89">
              <w:t>Dinnison</w:t>
            </w:r>
            <w:proofErr w:type="spellEnd"/>
            <w:r w:rsidR="00A36E89">
              <w:t>.</w:t>
            </w:r>
          </w:p>
          <w:p w:rsidR="00A36E89" w:rsidRDefault="00A36E89" w:rsidP="00A36E89">
            <w:r>
              <w:t xml:space="preserve">A full copy of this letter was published in the online version of </w:t>
            </w:r>
            <w:r w:rsidRPr="00C33C7E">
              <w:rPr>
                <w:i/>
              </w:rPr>
              <w:t>The Australian</w:t>
            </w:r>
            <w:r>
              <w:t xml:space="preserve"> on 21 October 2016. </w:t>
            </w:r>
          </w:p>
        </w:tc>
      </w:tr>
      <w:tr w:rsidR="00CD1D9A" w:rsidTr="00A23218">
        <w:tc>
          <w:tcPr>
            <w:tcW w:w="2328" w:type="dxa"/>
          </w:tcPr>
          <w:p w:rsidR="00CD1D9A" w:rsidRDefault="00751F08" w:rsidP="003050B9">
            <w:r>
              <w:lastRenderedPageBreak/>
              <w:t>1 November 2016</w:t>
            </w:r>
          </w:p>
        </w:tc>
        <w:tc>
          <w:tcPr>
            <w:tcW w:w="6732" w:type="dxa"/>
          </w:tcPr>
          <w:p w:rsidR="00715DD0" w:rsidRDefault="00751F08" w:rsidP="00B3704A">
            <w:r>
              <w:t xml:space="preserve">Professor Triggs writes to </w:t>
            </w:r>
            <w:r w:rsidR="00B3704A">
              <w:t xml:space="preserve">the lawyers for </w:t>
            </w:r>
            <w:r w:rsidR="00B3704A" w:rsidRPr="00B3704A">
              <w:rPr>
                <w:i/>
              </w:rPr>
              <w:t>The Australian</w:t>
            </w:r>
            <w:r w:rsidR="00B3704A">
              <w:t xml:space="preserve"> and Mr Leak </w:t>
            </w:r>
            <w:r>
              <w:t>enclosing a decision rejecting the</w:t>
            </w:r>
            <w:r w:rsidR="00B3704A">
              <w:t xml:space="preserve"> allegation of apprehended bias, as reported in </w:t>
            </w:r>
            <w:r w:rsidR="00B3704A" w:rsidRPr="00C33C7E">
              <w:rPr>
                <w:i/>
              </w:rPr>
              <w:t>The Australian</w:t>
            </w:r>
            <w:r w:rsidR="00B3704A">
              <w:t xml:space="preserve"> on 4 November 2016.</w:t>
            </w:r>
            <w:bookmarkStart w:id="0" w:name="_GoBack"/>
            <w:bookmarkEnd w:id="0"/>
          </w:p>
        </w:tc>
      </w:tr>
      <w:tr w:rsidR="00CD1D9A" w:rsidTr="00A23218">
        <w:tc>
          <w:tcPr>
            <w:tcW w:w="2328" w:type="dxa"/>
          </w:tcPr>
          <w:p w:rsidR="00CD1D9A" w:rsidRDefault="00751F08" w:rsidP="003050B9">
            <w:r>
              <w:t>1 November 2016</w:t>
            </w:r>
          </w:p>
        </w:tc>
        <w:tc>
          <w:tcPr>
            <w:tcW w:w="6732" w:type="dxa"/>
          </w:tcPr>
          <w:p w:rsidR="00CD1D9A" w:rsidRDefault="00751F08" w:rsidP="00CD1D9A">
            <w:r>
              <w:t xml:space="preserve">The Commission writes to </w:t>
            </w:r>
            <w:r w:rsidR="00B3704A">
              <w:t xml:space="preserve">the lawyers for </w:t>
            </w:r>
            <w:r w:rsidR="00B3704A" w:rsidRPr="00B3704A">
              <w:rPr>
                <w:i/>
              </w:rPr>
              <w:t>The Australian</w:t>
            </w:r>
            <w:r w:rsidR="00B3704A">
              <w:t xml:space="preserve"> and Mr Leak </w:t>
            </w:r>
            <w:r w:rsidR="00440B8E">
              <w:t>confirming that it will continue to inquire into the complaint.</w:t>
            </w:r>
          </w:p>
          <w:p w:rsidR="00440B8E" w:rsidRDefault="00B3704A" w:rsidP="00CD1D9A">
            <w:r>
              <w:t xml:space="preserve">As reported in </w:t>
            </w:r>
            <w:r w:rsidRPr="00C33C7E">
              <w:rPr>
                <w:i/>
              </w:rPr>
              <w:t>The Australian</w:t>
            </w:r>
            <w:r>
              <w:t xml:space="preserve"> on 4 November 2016, the Commission again asked for submissions </w:t>
            </w:r>
            <w:r w:rsidR="00440B8E">
              <w:t xml:space="preserve">from Mr Leak covering the following issues which Macpherson Kelley </w:t>
            </w:r>
            <w:r>
              <w:t xml:space="preserve">had previously </w:t>
            </w:r>
            <w:r w:rsidR="00440B8E">
              <w:t>said that their clients ‘anticipate’ that Mr Leak would give</w:t>
            </w:r>
            <w:r w:rsidR="00BC0DA0">
              <w:t xml:space="preserve"> at a ‘hearing’</w:t>
            </w:r>
            <w:r w:rsidR="00440B8E">
              <w:t>:</w:t>
            </w:r>
          </w:p>
          <w:p w:rsidR="00440B8E" w:rsidRDefault="00440B8E" w:rsidP="00440B8E">
            <w:pPr>
              <w:pStyle w:val="ListParagraph"/>
              <w:numPr>
                <w:ilvl w:val="0"/>
                <w:numId w:val="29"/>
              </w:numPr>
            </w:pPr>
            <w:r>
              <w:t>that he was not motivated by race, colour or national or ethnic origin</w:t>
            </w:r>
          </w:p>
          <w:p w:rsidR="00440B8E" w:rsidRDefault="00440B8E" w:rsidP="00440B8E">
            <w:pPr>
              <w:pStyle w:val="ListParagraph"/>
              <w:numPr>
                <w:ilvl w:val="0"/>
                <w:numId w:val="29"/>
              </w:numPr>
            </w:pPr>
            <w:r>
              <w:t>the cartoon was created ‘in good faith’ and ‘for a genuine purpose in the public interest’ in accordance with section 18D(b)</w:t>
            </w:r>
          </w:p>
          <w:p w:rsidR="00440B8E" w:rsidRDefault="00440B8E" w:rsidP="00440B8E">
            <w:pPr>
              <w:pStyle w:val="ListParagraph"/>
              <w:numPr>
                <w:ilvl w:val="0"/>
                <w:numId w:val="29"/>
              </w:numPr>
            </w:pPr>
            <w:r>
              <w:t>the cartoon constituted a ‘fair comment on any event or matter of public interest’ which comprised ‘an expression of genuine belief held by the person making the comment’ within the meaning of section 18D(c)(ii)</w:t>
            </w:r>
          </w:p>
          <w:p w:rsidR="00440B8E" w:rsidRDefault="00440B8E" w:rsidP="00440B8E">
            <w:pPr>
              <w:pStyle w:val="ListParagraph"/>
              <w:numPr>
                <w:ilvl w:val="0"/>
                <w:numId w:val="29"/>
              </w:numPr>
            </w:pPr>
            <w:r>
              <w:t>that his views regarding these issues are both ‘ge</w:t>
            </w:r>
            <w:r w:rsidR="00A23218">
              <w:t>nuine’ and held ‘in good faith’.</w:t>
            </w:r>
          </w:p>
          <w:p w:rsidR="00A23218" w:rsidRDefault="00A23218" w:rsidP="00A23218">
            <w:r>
              <w:t>The Commission asks for a response by 15 November 2016.</w:t>
            </w:r>
          </w:p>
        </w:tc>
      </w:tr>
      <w:tr w:rsidR="008A65DE" w:rsidTr="00A23218">
        <w:tc>
          <w:tcPr>
            <w:tcW w:w="2328" w:type="dxa"/>
          </w:tcPr>
          <w:p w:rsidR="008A65DE" w:rsidRDefault="008A65DE" w:rsidP="003050B9">
            <w:r>
              <w:lastRenderedPageBreak/>
              <w:t>5 November 2016</w:t>
            </w:r>
          </w:p>
        </w:tc>
        <w:tc>
          <w:tcPr>
            <w:tcW w:w="6732" w:type="dxa"/>
          </w:tcPr>
          <w:p w:rsidR="008A65DE" w:rsidRDefault="008A65DE" w:rsidP="008A65DE">
            <w:r w:rsidRPr="00971E63">
              <w:t>The</w:t>
            </w:r>
            <w:r w:rsidRPr="008A65DE">
              <w:rPr>
                <w:i/>
              </w:rPr>
              <w:t xml:space="preserve"> </w:t>
            </w:r>
            <w:r w:rsidR="00971E63">
              <w:rPr>
                <w:i/>
              </w:rPr>
              <w:t xml:space="preserve">Weekend </w:t>
            </w:r>
            <w:r w:rsidRPr="008A65DE">
              <w:rPr>
                <w:i/>
              </w:rPr>
              <w:t>Australian</w:t>
            </w:r>
            <w:r>
              <w:t xml:space="preserve"> publishes an Editorial in which it says:</w:t>
            </w:r>
          </w:p>
          <w:p w:rsidR="008A65DE" w:rsidRPr="00425823" w:rsidRDefault="00971E63" w:rsidP="00971E63">
            <w:pPr>
              <w:ind w:left="720" w:hanging="720"/>
              <w:rPr>
                <w:sz w:val="22"/>
              </w:rPr>
            </w:pPr>
            <w:r>
              <w:tab/>
            </w:r>
            <w:r w:rsidR="008A65DE" w:rsidRPr="00425823">
              <w:rPr>
                <w:sz w:val="22"/>
              </w:rPr>
              <w:t xml:space="preserve">This newspaper is deeply attracted to the position articulated by Canadian/ American commentator Mark Steyn who fell </w:t>
            </w:r>
            <w:proofErr w:type="spellStart"/>
            <w:r w:rsidR="008A65DE" w:rsidRPr="00425823">
              <w:rPr>
                <w:sz w:val="22"/>
              </w:rPr>
              <w:t>foul</w:t>
            </w:r>
            <w:proofErr w:type="spellEnd"/>
            <w:r w:rsidR="008A65DE" w:rsidRPr="00425823">
              <w:rPr>
                <w:sz w:val="22"/>
              </w:rPr>
              <w:t xml:space="preserve"> of similar laws in Canada.</w:t>
            </w:r>
          </w:p>
          <w:p w:rsidR="008A65DE" w:rsidRDefault="00971E63" w:rsidP="00425823">
            <w:pPr>
              <w:ind w:left="720" w:hanging="720"/>
            </w:pPr>
            <w:r w:rsidRPr="00425823">
              <w:rPr>
                <w:sz w:val="22"/>
              </w:rPr>
              <w:tab/>
            </w:r>
            <w:r w:rsidR="008A65DE" w:rsidRPr="00425823">
              <w:rPr>
                <w:sz w:val="22"/>
              </w:rPr>
              <w:t>As Steyn has written in our pages, it can be a mistake to defend the content of any offending piece. … To explain Leak’s cartoon is to cede the AHRC’s right to arbitr</w:t>
            </w:r>
            <w:r w:rsidR="00425823">
              <w:rPr>
                <w:sz w:val="22"/>
              </w:rPr>
              <w:t>ate discourse to censor debate.</w:t>
            </w:r>
          </w:p>
        </w:tc>
      </w:tr>
      <w:tr w:rsidR="007E3C47" w:rsidTr="00A23218">
        <w:tc>
          <w:tcPr>
            <w:tcW w:w="2328" w:type="dxa"/>
          </w:tcPr>
          <w:p w:rsidR="007E3C47" w:rsidRDefault="00751F08" w:rsidP="003050B9">
            <w:r>
              <w:t>8 November 2016</w:t>
            </w:r>
          </w:p>
        </w:tc>
        <w:tc>
          <w:tcPr>
            <w:tcW w:w="6732" w:type="dxa"/>
          </w:tcPr>
          <w:p w:rsidR="00766238" w:rsidRDefault="00751F08" w:rsidP="00766238">
            <w:r>
              <w:t xml:space="preserve">The Commission receives a letter from </w:t>
            </w:r>
            <w:r w:rsidR="00A23218">
              <w:t xml:space="preserve">the lawyers for </w:t>
            </w:r>
            <w:r w:rsidR="00A23218" w:rsidRPr="00B3704A">
              <w:rPr>
                <w:i/>
              </w:rPr>
              <w:t>The Australian</w:t>
            </w:r>
            <w:r w:rsidR="00A23218">
              <w:t xml:space="preserve"> and Mr Leak</w:t>
            </w:r>
            <w:r>
              <w:t>.</w:t>
            </w:r>
          </w:p>
          <w:p w:rsidR="00751F08" w:rsidRDefault="0017753D" w:rsidP="00766238">
            <w:r w:rsidRPr="0017753D">
              <w:t>It does not contain a</w:t>
            </w:r>
            <w:r>
              <w:t>ny</w:t>
            </w:r>
            <w:r w:rsidRPr="0017753D">
              <w:t xml:space="preserve"> submission in relation to section 18D</w:t>
            </w:r>
            <w:r w:rsidR="00A23218">
              <w:t>.</w:t>
            </w:r>
          </w:p>
        </w:tc>
      </w:tr>
      <w:tr w:rsidR="00766238" w:rsidTr="00A23218">
        <w:tc>
          <w:tcPr>
            <w:tcW w:w="2328" w:type="dxa"/>
          </w:tcPr>
          <w:p w:rsidR="00766238" w:rsidRDefault="00A5415F" w:rsidP="003050B9">
            <w:r>
              <w:t>11 November 2016</w:t>
            </w:r>
          </w:p>
        </w:tc>
        <w:tc>
          <w:tcPr>
            <w:tcW w:w="6732" w:type="dxa"/>
          </w:tcPr>
          <w:p w:rsidR="00A168D8" w:rsidRDefault="00A5415F" w:rsidP="00B81656">
            <w:r>
              <w:t xml:space="preserve">Ms </w:t>
            </w:r>
            <w:proofErr w:type="spellStart"/>
            <w:r>
              <w:t>Dinnison</w:t>
            </w:r>
            <w:proofErr w:type="spellEnd"/>
            <w:r>
              <w:t xml:space="preserve"> advises the Commission that she does not wish t</w:t>
            </w:r>
            <w:r w:rsidR="0017753D">
              <w:t xml:space="preserve">o continue with her complaint. </w:t>
            </w:r>
          </w:p>
          <w:p w:rsidR="00766238" w:rsidRDefault="00A5415F" w:rsidP="00B81656">
            <w:r>
              <w:t xml:space="preserve">The Commission advises </w:t>
            </w:r>
            <w:r w:rsidR="00A168D8">
              <w:t xml:space="preserve">the lawyers for </w:t>
            </w:r>
            <w:r w:rsidR="00A168D8" w:rsidRPr="00B3704A">
              <w:rPr>
                <w:i/>
              </w:rPr>
              <w:t>The Australian</w:t>
            </w:r>
            <w:r w:rsidR="00A168D8">
              <w:t xml:space="preserve"> and Mr Leak </w:t>
            </w:r>
            <w:r w:rsidR="00037DF4">
              <w:t xml:space="preserve">and closes its file, as reported in the </w:t>
            </w:r>
            <w:r w:rsidR="00037DF4" w:rsidRPr="00037DF4">
              <w:rPr>
                <w:i/>
              </w:rPr>
              <w:t>Weekend Australian</w:t>
            </w:r>
            <w:r w:rsidR="00037DF4">
              <w:t xml:space="preserve"> on 12 November 2016.</w:t>
            </w:r>
          </w:p>
        </w:tc>
      </w:tr>
    </w:tbl>
    <w:p w:rsidR="00A3110F" w:rsidRPr="00037DF4" w:rsidRDefault="00AC2695" w:rsidP="00AC2695">
      <w:pPr>
        <w:pStyle w:val="Heading1"/>
      </w:pPr>
      <w:r>
        <w:t xml:space="preserve">Articles published by </w:t>
      </w:r>
      <w:r w:rsidRPr="00AC2695">
        <w:rPr>
          <w:i/>
        </w:rPr>
        <w:t>The Australian</w:t>
      </w:r>
      <w:r w:rsidR="00021363">
        <w:t xml:space="preserve"> and the </w:t>
      </w:r>
      <w:r w:rsidR="00021363" w:rsidRPr="00021363">
        <w:rPr>
          <w:i/>
        </w:rPr>
        <w:t>Weekend Australian</w:t>
      </w:r>
    </w:p>
    <w:p w:rsidR="00AC2695" w:rsidRDefault="00AC2695" w:rsidP="004B19E8">
      <w:r>
        <w:t xml:space="preserve">The following articles were published by </w:t>
      </w:r>
      <w:r w:rsidR="00021363" w:rsidRPr="00021363">
        <w:rPr>
          <w:i/>
        </w:rPr>
        <w:t>T</w:t>
      </w:r>
      <w:r w:rsidRPr="00021363">
        <w:rPr>
          <w:i/>
        </w:rPr>
        <w:t>he Australian</w:t>
      </w:r>
      <w:r>
        <w:t xml:space="preserve"> </w:t>
      </w:r>
      <w:r w:rsidR="00021363">
        <w:t xml:space="preserve">and the </w:t>
      </w:r>
      <w:r w:rsidR="00021363" w:rsidRPr="00021363">
        <w:rPr>
          <w:i/>
        </w:rPr>
        <w:t>Weekend Australian</w:t>
      </w:r>
      <w:r w:rsidR="00021363">
        <w:t xml:space="preserve"> </w:t>
      </w:r>
      <w:r>
        <w:t>during the 39 days in which the Commission’s inquiry took place.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2435"/>
        <w:gridCol w:w="1701"/>
        <w:gridCol w:w="4387"/>
      </w:tblGrid>
      <w:tr w:rsidR="00E772C8" w:rsidRPr="00E772C8" w:rsidTr="00553CF7">
        <w:trPr>
          <w:cantSplit/>
          <w:tblHeader/>
        </w:trPr>
        <w:tc>
          <w:tcPr>
            <w:tcW w:w="296" w:type="pct"/>
            <w:shd w:val="clear" w:color="auto" w:fill="DBE5F1" w:themeFill="accent1" w:themeFillTint="33"/>
          </w:tcPr>
          <w:p w:rsidR="00E772C8" w:rsidRPr="00E772C8" w:rsidRDefault="00E772C8" w:rsidP="00E772C8">
            <w:pPr>
              <w:spacing w:before="120" w:after="120"/>
              <w:rPr>
                <w:b/>
              </w:rPr>
            </w:pPr>
            <w:r w:rsidRPr="00E772C8">
              <w:rPr>
                <w:b/>
              </w:rPr>
              <w:t>No</w:t>
            </w:r>
          </w:p>
        </w:tc>
        <w:tc>
          <w:tcPr>
            <w:tcW w:w="1344" w:type="pct"/>
            <w:shd w:val="clear" w:color="auto" w:fill="DBE5F1" w:themeFill="accent1" w:themeFillTint="33"/>
          </w:tcPr>
          <w:p w:rsidR="00E772C8" w:rsidRPr="00E772C8" w:rsidRDefault="00E772C8" w:rsidP="00E772C8">
            <w:pPr>
              <w:spacing w:before="120" w:after="120"/>
              <w:rPr>
                <w:b/>
              </w:rPr>
            </w:pPr>
            <w:r w:rsidRPr="00E772C8">
              <w:rPr>
                <w:b/>
              </w:rPr>
              <w:t>Date</w:t>
            </w:r>
          </w:p>
        </w:tc>
        <w:tc>
          <w:tcPr>
            <w:tcW w:w="939" w:type="pct"/>
            <w:shd w:val="clear" w:color="auto" w:fill="DBE5F1" w:themeFill="accent1" w:themeFillTint="33"/>
          </w:tcPr>
          <w:p w:rsidR="00E772C8" w:rsidRPr="00E772C8" w:rsidRDefault="00E772C8" w:rsidP="00E772C8">
            <w:pPr>
              <w:spacing w:before="120" w:after="120"/>
              <w:rPr>
                <w:b/>
              </w:rPr>
            </w:pPr>
            <w:r w:rsidRPr="00E772C8">
              <w:rPr>
                <w:b/>
              </w:rPr>
              <w:t>Author</w:t>
            </w:r>
          </w:p>
        </w:tc>
        <w:tc>
          <w:tcPr>
            <w:tcW w:w="2421" w:type="pct"/>
            <w:shd w:val="clear" w:color="auto" w:fill="DBE5F1" w:themeFill="accent1" w:themeFillTint="33"/>
          </w:tcPr>
          <w:p w:rsidR="00E772C8" w:rsidRPr="00E772C8" w:rsidRDefault="00E772C8" w:rsidP="00E772C8">
            <w:pPr>
              <w:spacing w:before="120" w:after="120"/>
              <w:rPr>
                <w:b/>
              </w:rPr>
            </w:pPr>
            <w:r w:rsidRPr="00E772C8">
              <w:rPr>
                <w:b/>
              </w:rPr>
              <w:t>Title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15 October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Hedley Thomas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Cartoon reviewed for ‘racial hatred’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17 October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 xml:space="preserve">Hedley Thomas and Mark </w:t>
            </w:r>
            <w:proofErr w:type="spellStart"/>
            <w:r>
              <w:t>Schliebs</w:t>
            </w:r>
            <w:proofErr w:type="spellEnd"/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Use of 18C is out of hand: Abbott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E772C8">
            <w:pPr>
              <w:spacing w:before="0" w:after="0"/>
            </w:pPr>
            <w:r>
              <w:t>17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 xml:space="preserve">Jennifer </w:t>
            </w:r>
            <w:proofErr w:type="spellStart"/>
            <w:r>
              <w:t>Oriel</w:t>
            </w:r>
            <w:proofErr w:type="spellEnd"/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Bill Leak in frontline of battle with champions of bigot rights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18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Editorial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A stultifying descent into uncontested mediocrity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18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Andrew Burrell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MP rallies media in support of Leak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19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proofErr w:type="spellStart"/>
            <w:r>
              <w:t>Sharri</w:t>
            </w:r>
            <w:proofErr w:type="spellEnd"/>
            <w:r>
              <w:t xml:space="preserve"> </w:t>
            </w:r>
            <w:proofErr w:type="spellStart"/>
            <w:r>
              <w:t>Markson</w:t>
            </w:r>
            <w:proofErr w:type="spellEnd"/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Censorship: editor, cartoonists attack Leak investigation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19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Mark Steyn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The war on free speech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19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 xml:space="preserve">Janet </w:t>
            </w:r>
            <w:proofErr w:type="spellStart"/>
            <w:r>
              <w:t>Albrechtsen</w:t>
            </w:r>
            <w:proofErr w:type="spellEnd"/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Beheading threats are fine, but don’t hurt any feelings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20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James Allan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 xml:space="preserve">Does anyone have the courage to stand up and say ‘Je </w:t>
            </w:r>
            <w:proofErr w:type="spellStart"/>
            <w:r w:rsidRPr="00553CF7">
              <w:t>suis</w:t>
            </w:r>
            <w:proofErr w:type="spellEnd"/>
            <w:r w:rsidRPr="00553CF7">
              <w:t xml:space="preserve"> Bill Leak’?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21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Victoria Laurie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Bill Leak 18C cartoon accurate, says WA Police Commissioner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21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Chris Kenny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 xml:space="preserve">Taxpayers should not fund this </w:t>
            </w:r>
            <w:proofErr w:type="spellStart"/>
            <w:r w:rsidRPr="00553CF7">
              <w:t>compassionista</w:t>
            </w:r>
            <w:proofErr w:type="spellEnd"/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22 October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Hedley Thomas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HRC accused of bias in 18C cartoon complaint</w:t>
            </w:r>
          </w:p>
        </w:tc>
      </w:tr>
      <w:tr w:rsidR="00E772C8" w:rsidRPr="00AC6161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22 October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Gerard Henderson</w:t>
            </w:r>
          </w:p>
        </w:tc>
        <w:tc>
          <w:tcPr>
            <w:tcW w:w="2421" w:type="pct"/>
          </w:tcPr>
          <w:p w:rsidR="00E772C8" w:rsidRPr="00AC6161" w:rsidRDefault="00E772C8" w:rsidP="0096279C">
            <w:pPr>
              <w:spacing w:before="0" w:after="0"/>
            </w:pPr>
            <w:r w:rsidRPr="00553CF7">
              <w:t>Free speech attacks will continue if legislation allows it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22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Editorial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Taxpayer-funded activism undermining the nation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22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Chris Merritt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‘You have to keep fighting these cases’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24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Chris Mitchell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Twigging to questionable HRC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24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Darren Davidson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Probe into Leak cartoon the biggest threat to press freedom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24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Opinion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Suppressing free speech the most offensive thing about 18C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24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021363" w:rsidP="0096279C">
            <w:pPr>
              <w:spacing w:before="0" w:after="0"/>
            </w:pPr>
            <w:r>
              <w:t>John S</w:t>
            </w:r>
            <w:r w:rsidR="00E772C8">
              <w:t>pooner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Why should a satirist be forced to explain himself?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25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Jared Owens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Inquiry would wide</w:t>
            </w:r>
            <w:r w:rsidR="00870D6A" w:rsidRPr="00553CF7">
              <w:t>n</w:t>
            </w:r>
            <w:r w:rsidRPr="00553CF7">
              <w:t xml:space="preserve"> 18C debate: senator Dean Smith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25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Ramesh Thakur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This should be the end of the road for Gillian Triggs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 xml:space="preserve">26 October 2016 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Paul Kelly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870D6A">
            <w:pPr>
              <w:spacing w:before="0" w:after="0"/>
            </w:pPr>
            <w:r w:rsidRPr="00553CF7">
              <w:t>PM can combine 18C revision with new race hate law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26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 xml:space="preserve">Mark </w:t>
            </w:r>
            <w:proofErr w:type="spellStart"/>
            <w:r>
              <w:t>Coultan</w:t>
            </w:r>
            <w:proofErr w:type="spellEnd"/>
          </w:p>
        </w:tc>
        <w:tc>
          <w:tcPr>
            <w:tcW w:w="2421" w:type="pct"/>
            <w:shd w:val="clear" w:color="auto" w:fill="auto"/>
          </w:tcPr>
          <w:p w:rsidR="00E772C8" w:rsidRDefault="00E772C8" w:rsidP="00870D6A">
            <w:pPr>
              <w:spacing w:before="0" w:after="0"/>
            </w:pPr>
            <w:r w:rsidRPr="00553CF7">
              <w:t>States could bolster hate laws i</w:t>
            </w:r>
            <w:r w:rsidR="00870D6A" w:rsidRPr="00553CF7">
              <w:t>f</w:t>
            </w:r>
            <w:r w:rsidRPr="00553CF7">
              <w:t xml:space="preserve"> Canberra repeals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26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Editorial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18C and the commission of silence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26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Phillip Hudson and Sarah Martin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Majority opposes 18C case against students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28 October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Dennis Shanahan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18C ‘offensive to indigenous women’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29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Jared Owens and Chris Merritt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Abbott, PM unite on 18C Leak case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29 October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Editorial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Free speech is a human right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30 October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Joe Kelly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 xml:space="preserve">Warren </w:t>
            </w:r>
            <w:proofErr w:type="spellStart"/>
            <w:r w:rsidRPr="00553CF7">
              <w:t>Mundine</w:t>
            </w:r>
            <w:proofErr w:type="spellEnd"/>
            <w:r w:rsidRPr="00553CF7">
              <w:t>: 18C puts freedom of speech at risk</w:t>
            </w:r>
          </w:p>
        </w:tc>
      </w:tr>
      <w:tr w:rsidR="00553CF7" w:rsidRPr="00553CF7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31 October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Joe Kelly</w:t>
            </w:r>
          </w:p>
        </w:tc>
        <w:tc>
          <w:tcPr>
            <w:tcW w:w="2421" w:type="pct"/>
          </w:tcPr>
          <w:p w:rsidR="00E772C8" w:rsidRPr="00553CF7" w:rsidRDefault="00E772C8" w:rsidP="0096279C">
            <w:pPr>
              <w:spacing w:before="0" w:after="0"/>
              <w:rPr>
                <w:u w:val="single"/>
              </w:rPr>
            </w:pPr>
            <w:r w:rsidRPr="00553CF7">
              <w:t xml:space="preserve">Need to act on 18C now, says </w:t>
            </w:r>
            <w:proofErr w:type="spellStart"/>
            <w:r w:rsidRPr="00553CF7">
              <w:t>Mundine</w:t>
            </w:r>
            <w:proofErr w:type="spellEnd"/>
            <w:r w:rsidRPr="00553CF7">
              <w:t xml:space="preserve"> 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2 November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proofErr w:type="spellStart"/>
            <w:r>
              <w:t>Kerryn</w:t>
            </w:r>
            <w:proofErr w:type="spellEnd"/>
            <w:r>
              <w:t xml:space="preserve"> </w:t>
            </w:r>
            <w:proofErr w:type="spellStart"/>
            <w:r>
              <w:t>Pholi</w:t>
            </w:r>
            <w:proofErr w:type="spellEnd"/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I’m offended by Human Rights Commission, not Bill Leak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2 November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 xml:space="preserve">Simone Fox </w:t>
            </w:r>
            <w:proofErr w:type="spellStart"/>
            <w:r>
              <w:t>Koob</w:t>
            </w:r>
            <w:proofErr w:type="spellEnd"/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Grant defends Leak’s right to raise issues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David Crowe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Liberals in ‘free speech’ push on 18C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2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Editorial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There is never a bad time to defend free expression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3 November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Dennis Shanahan and Joe Kelly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Howard slams 18C cartoon inquiry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3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Michael Sexton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Section 18C as it now stands is here to stay despite its obvious faults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4 November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Hedley Thomas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Triggs rejects 18C ‘bias’ claims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5 November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Paige Taylor and Hedley Thomas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‘White lawyers’ behind complaint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</w:tcPr>
          <w:p w:rsidR="00E772C8" w:rsidRDefault="00E772C8" w:rsidP="0096279C">
            <w:pPr>
              <w:spacing w:before="0" w:after="0"/>
            </w:pPr>
            <w:r>
              <w:t>5 November 2016</w:t>
            </w:r>
          </w:p>
        </w:tc>
        <w:tc>
          <w:tcPr>
            <w:tcW w:w="939" w:type="pct"/>
          </w:tcPr>
          <w:p w:rsidR="00E772C8" w:rsidRDefault="00E772C8" w:rsidP="0096279C">
            <w:pPr>
              <w:spacing w:before="0" w:after="0"/>
            </w:pPr>
            <w:r>
              <w:t>Andrew Burrell and Victoria Laurie</w:t>
            </w:r>
          </w:p>
        </w:tc>
        <w:tc>
          <w:tcPr>
            <w:tcW w:w="2421" w:type="pct"/>
          </w:tcPr>
          <w:p w:rsidR="00E772C8" w:rsidRDefault="00E772C8" w:rsidP="0096279C">
            <w:pPr>
              <w:spacing w:before="0" w:after="0"/>
            </w:pPr>
            <w:r w:rsidRPr="00553CF7">
              <w:t>I am terrified to return, says racism complainant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5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Editorial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Leak action smothers free speech and hides the truth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5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John Carroll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Anguish is exquisite for wielders of 18C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7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David Crowe and Rachel Baxendale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Ministers push PM for 18C action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7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Chris Merritt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Division in left-wing ranks over section 18C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7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Angela Shanahan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Bill Leak has offended me, but I’m not complaining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8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Chris Merritt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Reform not just a matter of fiddling with words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9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Tim Wilson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Greens thought 18C bad law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9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 xml:space="preserve">Janet </w:t>
            </w:r>
            <w:proofErr w:type="spellStart"/>
            <w:r>
              <w:t>Albrechtsen</w:t>
            </w:r>
            <w:proofErr w:type="spellEnd"/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PM must be firm on freedom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9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Rosie Lewis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Leak issue must be resolved ‘quickly’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10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Joe Kelly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Most support free-speech overhaul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10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Rosie Lewis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‘</w:t>
            </w:r>
            <w:r w:rsidRPr="00553CF7">
              <w:t>No consequences’: Albanese discounts Leak investigation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11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proofErr w:type="spellStart"/>
            <w:r>
              <w:t>Kylar</w:t>
            </w:r>
            <w:proofErr w:type="spellEnd"/>
            <w:r>
              <w:t xml:space="preserve"> </w:t>
            </w:r>
            <w:proofErr w:type="spellStart"/>
            <w:r>
              <w:t>Loussikian</w:t>
            </w:r>
            <w:proofErr w:type="spellEnd"/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Ethnic communities give race act compromise the thumbs-up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11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Justin Quill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Reform act, ditch AHRC to ensure that debate can be free and frank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11 November 2016</w:t>
            </w:r>
          </w:p>
        </w:tc>
        <w:tc>
          <w:tcPr>
            <w:tcW w:w="939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E32EE8">
              <w:t xml:space="preserve">Simon </w:t>
            </w:r>
            <w:proofErr w:type="spellStart"/>
            <w:r w:rsidRPr="00E32EE8">
              <w:t>Breheny</w:t>
            </w:r>
            <w:proofErr w:type="spellEnd"/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No room for horse-trading on freedom of speech: repeal is the only solution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11 November 2016</w:t>
            </w:r>
          </w:p>
        </w:tc>
        <w:tc>
          <w:tcPr>
            <w:tcW w:w="939" w:type="pct"/>
            <w:shd w:val="clear" w:color="auto" w:fill="auto"/>
          </w:tcPr>
          <w:p w:rsidR="00E772C8" w:rsidRPr="00E32EE8" w:rsidRDefault="00E772C8" w:rsidP="0096279C">
            <w:pPr>
              <w:spacing w:before="0" w:after="0"/>
            </w:pPr>
            <w:r w:rsidRPr="00CC3BE2">
              <w:t xml:space="preserve">Rosie Lewis </w:t>
            </w:r>
            <w:r>
              <w:t xml:space="preserve">and </w:t>
            </w:r>
            <w:r w:rsidRPr="00CC3BE2">
              <w:t>Greg Brown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Dutton ups the pressure on Triggs to fall on sword</w:t>
            </w:r>
          </w:p>
        </w:tc>
      </w:tr>
      <w:tr w:rsidR="00E772C8" w:rsidTr="00553CF7">
        <w:tc>
          <w:tcPr>
            <w:tcW w:w="296" w:type="pct"/>
          </w:tcPr>
          <w:p w:rsidR="00E772C8" w:rsidRDefault="00E772C8" w:rsidP="00E772C8"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0"/>
              <w:contextualSpacing w:val="0"/>
            </w:pPr>
          </w:p>
        </w:tc>
        <w:tc>
          <w:tcPr>
            <w:tcW w:w="1344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>
              <w:t>11 November 2016</w:t>
            </w:r>
          </w:p>
        </w:tc>
        <w:tc>
          <w:tcPr>
            <w:tcW w:w="939" w:type="pct"/>
            <w:shd w:val="clear" w:color="auto" w:fill="auto"/>
          </w:tcPr>
          <w:p w:rsidR="00E772C8" w:rsidRPr="00CC3BE2" w:rsidRDefault="00E772C8" w:rsidP="0096279C">
            <w:pPr>
              <w:spacing w:before="0" w:after="0"/>
            </w:pPr>
            <w:r>
              <w:t>Editorial</w:t>
            </w:r>
          </w:p>
        </w:tc>
        <w:tc>
          <w:tcPr>
            <w:tcW w:w="2421" w:type="pct"/>
            <w:shd w:val="clear" w:color="auto" w:fill="auto"/>
          </w:tcPr>
          <w:p w:rsidR="00E772C8" w:rsidRDefault="00E772C8" w:rsidP="0096279C">
            <w:pPr>
              <w:spacing w:before="0" w:after="0"/>
            </w:pPr>
            <w:r w:rsidRPr="00553CF7">
              <w:t>The 18C culture of complaint</w:t>
            </w:r>
          </w:p>
        </w:tc>
      </w:tr>
    </w:tbl>
    <w:p w:rsidR="00425823" w:rsidRPr="00A02F56" w:rsidRDefault="00425823" w:rsidP="004B19E8"/>
    <w:sectPr w:rsidR="00425823" w:rsidRPr="00A02F56" w:rsidSect="003050B9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B9" w:rsidRDefault="003050B9" w:rsidP="00F14C6D">
      <w:r>
        <w:separator/>
      </w:r>
    </w:p>
  </w:endnote>
  <w:endnote w:type="continuationSeparator" w:id="0">
    <w:p w:rsidR="003050B9" w:rsidRDefault="003050B9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17753D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B9" w:rsidRDefault="003050B9" w:rsidP="00F14C6D">
      <w:r>
        <w:separator/>
      </w:r>
    </w:p>
  </w:footnote>
  <w:footnote w:type="continuationSeparator" w:id="0">
    <w:p w:rsidR="003050B9" w:rsidRDefault="003050B9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F12295"/>
    <w:multiLevelType w:val="hybridMultilevel"/>
    <w:tmpl w:val="4EF6B362"/>
    <w:lvl w:ilvl="0" w:tplc="0C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E8774D"/>
    <w:multiLevelType w:val="hybridMultilevel"/>
    <w:tmpl w:val="11D0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A7FAE"/>
    <w:multiLevelType w:val="hybridMultilevel"/>
    <w:tmpl w:val="519C4752"/>
    <w:lvl w:ilvl="0" w:tplc="0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E203754"/>
    <w:multiLevelType w:val="hybridMultilevel"/>
    <w:tmpl w:val="A1385BC4"/>
    <w:lvl w:ilvl="0" w:tplc="0C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5106D"/>
    <w:multiLevelType w:val="hybridMultilevel"/>
    <w:tmpl w:val="8B24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6"/>
  </w:num>
  <w:num w:numId="12">
    <w:abstractNumId w:val="21"/>
  </w:num>
  <w:num w:numId="13">
    <w:abstractNumId w:val="16"/>
  </w:num>
  <w:num w:numId="14">
    <w:abstractNumId w:val="24"/>
  </w:num>
  <w:num w:numId="15">
    <w:abstractNumId w:val="17"/>
  </w:num>
  <w:num w:numId="16">
    <w:abstractNumId w:val="10"/>
  </w:num>
  <w:num w:numId="17">
    <w:abstractNumId w:val="2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22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18"/>
  </w:num>
  <w:num w:numId="29">
    <w:abstractNumId w:val="12"/>
  </w:num>
  <w:num w:numId="30">
    <w:abstractNumId w:val="15"/>
  </w:num>
  <w:num w:numId="31">
    <w:abstractNumId w:val="25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9"/>
    <w:rsid w:val="0001254B"/>
    <w:rsid w:val="00013272"/>
    <w:rsid w:val="00021134"/>
    <w:rsid w:val="00021363"/>
    <w:rsid w:val="00037DF4"/>
    <w:rsid w:val="000540A0"/>
    <w:rsid w:val="000579B1"/>
    <w:rsid w:val="00061380"/>
    <w:rsid w:val="00074750"/>
    <w:rsid w:val="00074CD6"/>
    <w:rsid w:val="0009434A"/>
    <w:rsid w:val="000B0A5D"/>
    <w:rsid w:val="000B5418"/>
    <w:rsid w:val="000F6C77"/>
    <w:rsid w:val="001011C8"/>
    <w:rsid w:val="00103055"/>
    <w:rsid w:val="00132462"/>
    <w:rsid w:val="00140077"/>
    <w:rsid w:val="001521CB"/>
    <w:rsid w:val="001523D8"/>
    <w:rsid w:val="001566D4"/>
    <w:rsid w:val="00162A8D"/>
    <w:rsid w:val="0017753D"/>
    <w:rsid w:val="00184098"/>
    <w:rsid w:val="001863AF"/>
    <w:rsid w:val="001867A2"/>
    <w:rsid w:val="001A28BE"/>
    <w:rsid w:val="001A5D46"/>
    <w:rsid w:val="001B0353"/>
    <w:rsid w:val="001C139C"/>
    <w:rsid w:val="001C451B"/>
    <w:rsid w:val="001D63CA"/>
    <w:rsid w:val="001E7A26"/>
    <w:rsid w:val="001F2BBB"/>
    <w:rsid w:val="0020759E"/>
    <w:rsid w:val="00231ED1"/>
    <w:rsid w:val="0023303F"/>
    <w:rsid w:val="0024300C"/>
    <w:rsid w:val="0024557E"/>
    <w:rsid w:val="00246E6C"/>
    <w:rsid w:val="002702D9"/>
    <w:rsid w:val="002819C5"/>
    <w:rsid w:val="003040CA"/>
    <w:rsid w:val="003050B9"/>
    <w:rsid w:val="00310ED4"/>
    <w:rsid w:val="0031492A"/>
    <w:rsid w:val="00316504"/>
    <w:rsid w:val="00316C1A"/>
    <w:rsid w:val="00321AF0"/>
    <w:rsid w:val="00364246"/>
    <w:rsid w:val="00377C8F"/>
    <w:rsid w:val="003931C7"/>
    <w:rsid w:val="003955AE"/>
    <w:rsid w:val="00395B25"/>
    <w:rsid w:val="003A533F"/>
    <w:rsid w:val="003B18A7"/>
    <w:rsid w:val="003C0A76"/>
    <w:rsid w:val="003C2B28"/>
    <w:rsid w:val="003D491B"/>
    <w:rsid w:val="003F0CEE"/>
    <w:rsid w:val="00413581"/>
    <w:rsid w:val="004215B3"/>
    <w:rsid w:val="00425823"/>
    <w:rsid w:val="00440B8E"/>
    <w:rsid w:val="00444303"/>
    <w:rsid w:val="004561BE"/>
    <w:rsid w:val="00462D4C"/>
    <w:rsid w:val="00467C39"/>
    <w:rsid w:val="00473DB9"/>
    <w:rsid w:val="00474063"/>
    <w:rsid w:val="00476EEA"/>
    <w:rsid w:val="00494D4B"/>
    <w:rsid w:val="004A0C16"/>
    <w:rsid w:val="004A722D"/>
    <w:rsid w:val="004B19E8"/>
    <w:rsid w:val="004C4781"/>
    <w:rsid w:val="004E2197"/>
    <w:rsid w:val="004F3A80"/>
    <w:rsid w:val="004F53EF"/>
    <w:rsid w:val="00503E04"/>
    <w:rsid w:val="00504B28"/>
    <w:rsid w:val="00513540"/>
    <w:rsid w:val="0052028A"/>
    <w:rsid w:val="00522CED"/>
    <w:rsid w:val="00553CF7"/>
    <w:rsid w:val="00554C04"/>
    <w:rsid w:val="0056677B"/>
    <w:rsid w:val="005B7515"/>
    <w:rsid w:val="005C1654"/>
    <w:rsid w:val="005D04F4"/>
    <w:rsid w:val="005D1F34"/>
    <w:rsid w:val="005F5F45"/>
    <w:rsid w:val="00634F7E"/>
    <w:rsid w:val="00683115"/>
    <w:rsid w:val="00690313"/>
    <w:rsid w:val="00696390"/>
    <w:rsid w:val="006A6BB3"/>
    <w:rsid w:val="006B0AEB"/>
    <w:rsid w:val="006B3680"/>
    <w:rsid w:val="006B5FEA"/>
    <w:rsid w:val="006D5EE5"/>
    <w:rsid w:val="006E06ED"/>
    <w:rsid w:val="006E06F5"/>
    <w:rsid w:val="006F28F2"/>
    <w:rsid w:val="007039FC"/>
    <w:rsid w:val="00706FAB"/>
    <w:rsid w:val="00707793"/>
    <w:rsid w:val="00715DD0"/>
    <w:rsid w:val="007169BB"/>
    <w:rsid w:val="00725D5E"/>
    <w:rsid w:val="00737E0B"/>
    <w:rsid w:val="00742A93"/>
    <w:rsid w:val="00751F08"/>
    <w:rsid w:val="007548CA"/>
    <w:rsid w:val="00765115"/>
    <w:rsid w:val="00766238"/>
    <w:rsid w:val="00770DCB"/>
    <w:rsid w:val="00775485"/>
    <w:rsid w:val="007841E1"/>
    <w:rsid w:val="007A1E74"/>
    <w:rsid w:val="007D40BD"/>
    <w:rsid w:val="007E1866"/>
    <w:rsid w:val="007E3C47"/>
    <w:rsid w:val="007E6434"/>
    <w:rsid w:val="007E6FCB"/>
    <w:rsid w:val="00810ABF"/>
    <w:rsid w:val="008125EE"/>
    <w:rsid w:val="0083209A"/>
    <w:rsid w:val="00870D6A"/>
    <w:rsid w:val="008724DE"/>
    <w:rsid w:val="008A2AF7"/>
    <w:rsid w:val="008A3D57"/>
    <w:rsid w:val="008A65DE"/>
    <w:rsid w:val="008C2D7E"/>
    <w:rsid w:val="008C38E3"/>
    <w:rsid w:val="008E2150"/>
    <w:rsid w:val="008E3D60"/>
    <w:rsid w:val="008F3F5E"/>
    <w:rsid w:val="0090165F"/>
    <w:rsid w:val="00921CB7"/>
    <w:rsid w:val="00923C4F"/>
    <w:rsid w:val="009472C4"/>
    <w:rsid w:val="00950E88"/>
    <w:rsid w:val="00965FD7"/>
    <w:rsid w:val="00966C2F"/>
    <w:rsid w:val="00971E63"/>
    <w:rsid w:val="00980218"/>
    <w:rsid w:val="009802F3"/>
    <w:rsid w:val="009A5753"/>
    <w:rsid w:val="009C5FB8"/>
    <w:rsid w:val="009E7FC4"/>
    <w:rsid w:val="009F51D9"/>
    <w:rsid w:val="009F7AAC"/>
    <w:rsid w:val="00A02F56"/>
    <w:rsid w:val="00A0406E"/>
    <w:rsid w:val="00A168D8"/>
    <w:rsid w:val="00A23218"/>
    <w:rsid w:val="00A3110F"/>
    <w:rsid w:val="00A36E89"/>
    <w:rsid w:val="00A41355"/>
    <w:rsid w:val="00A43B92"/>
    <w:rsid w:val="00A44720"/>
    <w:rsid w:val="00A5415F"/>
    <w:rsid w:val="00A6179E"/>
    <w:rsid w:val="00A66F67"/>
    <w:rsid w:val="00AC2695"/>
    <w:rsid w:val="00AC27AB"/>
    <w:rsid w:val="00AC6A34"/>
    <w:rsid w:val="00AE76EB"/>
    <w:rsid w:val="00B12564"/>
    <w:rsid w:val="00B22697"/>
    <w:rsid w:val="00B277E0"/>
    <w:rsid w:val="00B34AEE"/>
    <w:rsid w:val="00B3704A"/>
    <w:rsid w:val="00B407A2"/>
    <w:rsid w:val="00B52E2D"/>
    <w:rsid w:val="00B76653"/>
    <w:rsid w:val="00B81656"/>
    <w:rsid w:val="00BA262D"/>
    <w:rsid w:val="00BC0DA0"/>
    <w:rsid w:val="00BC79EB"/>
    <w:rsid w:val="00C06350"/>
    <w:rsid w:val="00C076F2"/>
    <w:rsid w:val="00C16428"/>
    <w:rsid w:val="00C247EB"/>
    <w:rsid w:val="00C25BDA"/>
    <w:rsid w:val="00C33C7E"/>
    <w:rsid w:val="00C42B2A"/>
    <w:rsid w:val="00C456FC"/>
    <w:rsid w:val="00C53971"/>
    <w:rsid w:val="00C54FB1"/>
    <w:rsid w:val="00C80F9F"/>
    <w:rsid w:val="00CA0D78"/>
    <w:rsid w:val="00CB27A8"/>
    <w:rsid w:val="00CB6F5C"/>
    <w:rsid w:val="00CD1D9A"/>
    <w:rsid w:val="00CE7182"/>
    <w:rsid w:val="00CF08C7"/>
    <w:rsid w:val="00D36D90"/>
    <w:rsid w:val="00D55268"/>
    <w:rsid w:val="00D65C76"/>
    <w:rsid w:val="00D85705"/>
    <w:rsid w:val="00DA2F73"/>
    <w:rsid w:val="00DA42E8"/>
    <w:rsid w:val="00DB05FE"/>
    <w:rsid w:val="00DC193F"/>
    <w:rsid w:val="00DC3C4F"/>
    <w:rsid w:val="00DC462F"/>
    <w:rsid w:val="00DC7930"/>
    <w:rsid w:val="00DE730A"/>
    <w:rsid w:val="00E24FA3"/>
    <w:rsid w:val="00E328CD"/>
    <w:rsid w:val="00E45954"/>
    <w:rsid w:val="00E64B29"/>
    <w:rsid w:val="00E716D9"/>
    <w:rsid w:val="00E75D90"/>
    <w:rsid w:val="00E772C8"/>
    <w:rsid w:val="00E835AF"/>
    <w:rsid w:val="00E869A9"/>
    <w:rsid w:val="00E97EF8"/>
    <w:rsid w:val="00EE44D7"/>
    <w:rsid w:val="00F06D16"/>
    <w:rsid w:val="00F14C6D"/>
    <w:rsid w:val="00F3100E"/>
    <w:rsid w:val="00F71A6E"/>
    <w:rsid w:val="00F9078E"/>
    <w:rsid w:val="00F95982"/>
    <w:rsid w:val="00FA7D5E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0166AB"/>
  <w15:chartTrackingRefBased/>
  <w15:docId w15:val="{C2831530-423E-4D5B-8D78-DA8445F8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8C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C961-F233-44D1-9F10-D490F301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Graeme Edgerton</dc:creator>
  <cp:keywords/>
  <dc:description/>
  <cp:lastModifiedBy>Graeme Edgerton</cp:lastModifiedBy>
  <cp:revision>5</cp:revision>
  <dcterms:created xsi:type="dcterms:W3CDTF">2016-12-08T00:56:00Z</dcterms:created>
  <dcterms:modified xsi:type="dcterms:W3CDTF">2017-02-14T00:08:00Z</dcterms:modified>
</cp:coreProperties>
</file>