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59" w:rsidRDefault="006D2DFA" w:rsidP="00157DA7">
      <w:pPr>
        <w:pStyle w:val="Heading1"/>
        <w:spacing w:after="120" w:line="240" w:lineRule="auto"/>
        <w:rPr>
          <w:color w:val="595959" w:themeColor="text1" w:themeTint="A6"/>
        </w:rPr>
      </w:pPr>
      <w:r w:rsidRPr="00633CB6">
        <w:rPr>
          <w:color w:val="595959" w:themeColor="text1" w:themeTint="A6"/>
        </w:rPr>
        <w:t>S</w:t>
      </w:r>
      <w:r w:rsidR="00F31DC6" w:rsidRPr="00633CB6">
        <w:rPr>
          <w:color w:val="595959" w:themeColor="text1" w:themeTint="A6"/>
        </w:rPr>
        <w:t>ubmission</w:t>
      </w:r>
      <w:r w:rsidRPr="00633CB6">
        <w:rPr>
          <w:color w:val="595959" w:themeColor="text1" w:themeTint="A6"/>
        </w:rPr>
        <w:t xml:space="preserve"> to </w:t>
      </w:r>
      <w:r w:rsidR="00955E54">
        <w:rPr>
          <w:color w:val="595959" w:themeColor="text1" w:themeTint="A6"/>
        </w:rPr>
        <w:t xml:space="preserve">the </w:t>
      </w:r>
      <w:r w:rsidR="00480FFD">
        <w:rPr>
          <w:color w:val="595959" w:themeColor="text1" w:themeTint="A6"/>
        </w:rPr>
        <w:t>Family Law Amendment (</w:t>
      </w:r>
      <w:r w:rsidR="00E81D21">
        <w:rPr>
          <w:color w:val="595959" w:themeColor="text1" w:themeTint="A6"/>
        </w:rPr>
        <w:t xml:space="preserve">Family Violence and </w:t>
      </w:r>
      <w:r w:rsidR="00812ACE">
        <w:rPr>
          <w:color w:val="595959" w:themeColor="text1" w:themeTint="A6"/>
        </w:rPr>
        <w:t>Cross-examination of Parties</w:t>
      </w:r>
      <w:r w:rsidR="00480FFD">
        <w:rPr>
          <w:color w:val="595959" w:themeColor="text1" w:themeTint="A6"/>
        </w:rPr>
        <w:t xml:space="preserve">) Bill </w:t>
      </w:r>
      <w:r w:rsidR="00E81D21">
        <w:rPr>
          <w:color w:val="595959" w:themeColor="text1" w:themeTint="A6"/>
        </w:rPr>
        <w:t>2017—P</w:t>
      </w:r>
      <w:r w:rsidR="005D5F37">
        <w:rPr>
          <w:color w:val="595959" w:themeColor="text1" w:themeTint="A6"/>
        </w:rPr>
        <w:t xml:space="preserve">ublic </w:t>
      </w:r>
      <w:r w:rsidR="00E81D21">
        <w:rPr>
          <w:color w:val="595959" w:themeColor="text1" w:themeTint="A6"/>
        </w:rPr>
        <w:t>C</w:t>
      </w:r>
      <w:r w:rsidR="00633CB6" w:rsidRPr="00633CB6">
        <w:rPr>
          <w:color w:val="595959" w:themeColor="text1" w:themeTint="A6"/>
        </w:rPr>
        <w:t>onsultation</w:t>
      </w:r>
      <w:r w:rsidR="008B7F55">
        <w:rPr>
          <w:color w:val="595959" w:themeColor="text1" w:themeTint="A6"/>
        </w:rPr>
        <w:t xml:space="preserve"> on Cross-</w:t>
      </w:r>
      <w:r w:rsidR="00086B13">
        <w:rPr>
          <w:color w:val="595959" w:themeColor="text1" w:themeTint="A6"/>
        </w:rPr>
        <w:t>e</w:t>
      </w:r>
      <w:r w:rsidR="008B7F55">
        <w:rPr>
          <w:color w:val="595959" w:themeColor="text1" w:themeTint="A6"/>
        </w:rPr>
        <w:t>xamination Amendment</w:t>
      </w:r>
    </w:p>
    <w:p w:rsidR="00413FE5" w:rsidRPr="00413FE5" w:rsidRDefault="00413FE5" w:rsidP="00413FE5">
      <w:pPr>
        <w:rPr>
          <w:rStyle w:val="Emphasis"/>
        </w:rPr>
      </w:pPr>
      <w:r w:rsidRPr="00413FE5">
        <w:rPr>
          <w:rStyle w:val="Emphasis"/>
        </w:rPr>
        <w:t>(Consultation closes</w:t>
      </w:r>
      <w:r w:rsidR="00801969">
        <w:rPr>
          <w:rStyle w:val="Emphasis"/>
        </w:rPr>
        <w:t xml:space="preserve"> </w:t>
      </w:r>
      <w:r w:rsidR="00E81D21">
        <w:rPr>
          <w:rStyle w:val="Emphasis"/>
          <w:b/>
        </w:rPr>
        <w:t xml:space="preserve">COB </w:t>
      </w:r>
      <w:r w:rsidR="008517F3">
        <w:rPr>
          <w:rStyle w:val="Emphasis"/>
          <w:b/>
        </w:rPr>
        <w:t>2</w:t>
      </w:r>
      <w:r w:rsidR="00577F73">
        <w:rPr>
          <w:rStyle w:val="Emphasis"/>
          <w:b/>
        </w:rPr>
        <w:t>5</w:t>
      </w:r>
      <w:r w:rsidR="00B15279">
        <w:rPr>
          <w:rStyle w:val="Emphasis"/>
          <w:b/>
        </w:rPr>
        <w:t xml:space="preserve"> AUGUST </w:t>
      </w:r>
      <w:r w:rsidR="00E81D21">
        <w:rPr>
          <w:rStyle w:val="Emphasis"/>
          <w:b/>
        </w:rPr>
        <w:t>2017</w:t>
      </w:r>
      <w:r w:rsidR="00801969">
        <w:rPr>
          <w:rStyle w:val="Emphasis"/>
        </w:rPr>
        <w:t>)</w:t>
      </w:r>
      <w:r w:rsidR="005D5F37">
        <w:rPr>
          <w:rStyle w:val="Emphasis"/>
        </w:rPr>
        <w:t>. P</w:t>
      </w:r>
      <w:r w:rsidRPr="00413FE5">
        <w:rPr>
          <w:rStyle w:val="Emphasis"/>
        </w:rPr>
        <w:t>lease</w:t>
      </w:r>
      <w:r w:rsidR="00B85FF0">
        <w:rPr>
          <w:rStyle w:val="Emphasis"/>
        </w:rPr>
        <w:t xml:space="preserve"> send electronic submissions to </w:t>
      </w:r>
      <w:hyperlink r:id="rId11" w:history="1">
        <w:r w:rsidR="00B85FF0" w:rsidRPr="002F1C71">
          <w:rPr>
            <w:rStyle w:val="Hyperlink"/>
          </w:rPr>
          <w:t>familylawunit@ag.gov.au</w:t>
        </w:r>
      </w:hyperlink>
      <w:r w:rsidRPr="00413FE5">
        <w:rPr>
          <w:rStyle w:val="Emphasis"/>
        </w:rPr>
        <w:t>)</w:t>
      </w:r>
    </w:p>
    <w:p w:rsidR="00E81CB5" w:rsidRDefault="00E81CB5" w:rsidP="00E81CB5">
      <w:pPr>
        <w:pStyle w:val="Heading2"/>
        <w:rPr>
          <w:color w:val="0070C0"/>
        </w:rPr>
      </w:pPr>
      <w:r>
        <w:rPr>
          <w:color w:val="0070C0"/>
        </w:rPr>
        <w:t>Publication of submissions</w:t>
      </w:r>
    </w:p>
    <w:p w:rsidR="00E81CB5" w:rsidRDefault="007A7F95" w:rsidP="00E81CB5">
      <w:pPr>
        <w:rPr>
          <w:w w:val="100"/>
        </w:rPr>
      </w:pPr>
      <w:r>
        <w:rPr>
          <w:w w:val="100"/>
        </w:rPr>
        <w:t>S</w:t>
      </w:r>
      <w:r w:rsidR="00E81D21">
        <w:rPr>
          <w:w w:val="100"/>
        </w:rPr>
        <w:t>ubmissions will be published on the Attorney-General’s Department website. Please advise if you wish all or part of your submission to remain confidential.</w:t>
      </w:r>
    </w:p>
    <w:p w:rsidR="0035588E" w:rsidRPr="005D5F37" w:rsidRDefault="0035588E" w:rsidP="0035588E">
      <w:pPr>
        <w:rPr>
          <w:w w:val="100"/>
        </w:rPr>
      </w:pPr>
      <w:r w:rsidRPr="00E81D21">
        <w:rPr>
          <w:w w:val="100"/>
        </w:rPr>
        <w:t>Please prepare your submissions in this template and submit in Microsoft Word format (.doc or.docx)</w:t>
      </w:r>
      <w:r>
        <w:rPr>
          <w:w w:val="100"/>
        </w:rPr>
        <w:t xml:space="preserve"> to </w:t>
      </w:r>
      <w:hyperlink r:id="rId12" w:history="1">
        <w:r w:rsidRPr="002F1C71">
          <w:rPr>
            <w:rStyle w:val="Hyperlink"/>
            <w:w w:val="100"/>
          </w:rPr>
          <w:t>familylawunit@ag.gov.au</w:t>
        </w:r>
      </w:hyperlink>
      <w:r>
        <w:rPr>
          <w:w w:val="100"/>
        </w:rPr>
        <w:t>. Use of the submission template assists in meeting the Australian Government’s commitment to enhancing the access</w:t>
      </w:r>
      <w:r w:rsidR="008D7261">
        <w:rPr>
          <w:w w:val="100"/>
        </w:rPr>
        <w:t>i</w:t>
      </w:r>
      <w:r>
        <w:rPr>
          <w:w w:val="100"/>
        </w:rPr>
        <w:t>bility of published material.</w:t>
      </w:r>
    </w:p>
    <w:p w:rsidR="0035588E" w:rsidRDefault="0035588E" w:rsidP="0035588E">
      <w:pPr>
        <w:rPr>
          <w:w w:val="100"/>
        </w:rPr>
      </w:pPr>
      <w:r w:rsidRPr="00AB796B">
        <w:rPr>
          <w:w w:val="100"/>
        </w:rPr>
        <w:t>The department will consider hardcopy submissions received by mail, but the</w:t>
      </w:r>
      <w:r w:rsidR="00DF1530">
        <w:rPr>
          <w:w w:val="100"/>
        </w:rPr>
        <w:t>s</w:t>
      </w:r>
      <w:r w:rsidRPr="00AB796B">
        <w:rPr>
          <w:w w:val="100"/>
        </w:rPr>
        <w:t>e submissions will not be published on the website.</w:t>
      </w:r>
    </w:p>
    <w:p w:rsidR="00E81D21" w:rsidRPr="00E81D21" w:rsidRDefault="00E81D21" w:rsidP="00E81D21">
      <w:pPr>
        <w:rPr>
          <w:w w:val="100"/>
        </w:rPr>
      </w:pPr>
      <w:r w:rsidRPr="00E81D21">
        <w:rPr>
          <w:w w:val="100"/>
        </w:rPr>
        <w:t xml:space="preserve">Please also note that it is an offence under section 121 of the </w:t>
      </w:r>
      <w:r w:rsidRPr="00AB796B">
        <w:rPr>
          <w:i/>
          <w:w w:val="100"/>
        </w:rPr>
        <w:t>Family Law Act 1975</w:t>
      </w:r>
      <w:r w:rsidRPr="00E81D21">
        <w:rPr>
          <w:w w:val="100"/>
        </w:rPr>
        <w:t xml:space="preserve"> (Cth) to disseminate to the public or to a section of the public by any means any account of any proceedings under the Act that identifies:</w:t>
      </w:r>
    </w:p>
    <w:p w:rsidR="00E81D21" w:rsidRPr="00E81D21" w:rsidRDefault="00E81D21" w:rsidP="00E81D21">
      <w:pPr>
        <w:pStyle w:val="ListParagraph"/>
        <w:numPr>
          <w:ilvl w:val="0"/>
          <w:numId w:val="4"/>
        </w:numPr>
        <w:rPr>
          <w:w w:val="100"/>
        </w:rPr>
      </w:pPr>
      <w:r w:rsidRPr="00E81D21">
        <w:rPr>
          <w:w w:val="100"/>
        </w:rPr>
        <w:t>a party to the proceedings;</w:t>
      </w:r>
    </w:p>
    <w:p w:rsidR="00E81D21" w:rsidRPr="00E81D21" w:rsidRDefault="00E81D21" w:rsidP="00E81D21">
      <w:pPr>
        <w:pStyle w:val="ListParagraph"/>
        <w:numPr>
          <w:ilvl w:val="0"/>
          <w:numId w:val="4"/>
        </w:numPr>
        <w:rPr>
          <w:w w:val="100"/>
        </w:rPr>
      </w:pPr>
      <w:r w:rsidRPr="00E81D21">
        <w:rPr>
          <w:w w:val="100"/>
        </w:rPr>
        <w:t>a person who is related to or associated with a party to the proceedings or is otherwise concerned in the matter to which the proceedings relate; or</w:t>
      </w:r>
    </w:p>
    <w:p w:rsidR="00E81D21" w:rsidRPr="00E81D21" w:rsidRDefault="00E81D21" w:rsidP="00880C31">
      <w:pPr>
        <w:pStyle w:val="ListParagraph"/>
        <w:numPr>
          <w:ilvl w:val="0"/>
          <w:numId w:val="4"/>
        </w:numPr>
        <w:spacing w:after="4560"/>
        <w:ind w:left="714" w:hanging="357"/>
        <w:rPr>
          <w:w w:val="100"/>
        </w:rPr>
      </w:pPr>
      <w:proofErr w:type="gramStart"/>
      <w:r w:rsidRPr="00E81D21">
        <w:rPr>
          <w:w w:val="100"/>
        </w:rPr>
        <w:t>a</w:t>
      </w:r>
      <w:proofErr w:type="gramEnd"/>
      <w:r w:rsidRPr="00E81D21">
        <w:rPr>
          <w:w w:val="100"/>
        </w:rPr>
        <w:t xml:space="preserve"> witness in the proceedings.</w:t>
      </w:r>
    </w:p>
    <w:p w:rsidR="00E81CB5" w:rsidRDefault="00E81CB5" w:rsidP="00E81CB5">
      <w:pPr>
        <w:pStyle w:val="NoSpacing"/>
      </w:pPr>
    </w:p>
    <w:p w:rsidR="0004626A" w:rsidRDefault="0004626A" w:rsidP="0004626A">
      <w:pPr>
        <w:pStyle w:val="NoSpacing"/>
      </w:pPr>
    </w:p>
    <w:p w:rsidR="006F4617" w:rsidRPr="003225B0" w:rsidRDefault="008F571C" w:rsidP="006F4617">
      <w:pPr>
        <w:pStyle w:val="Heading2"/>
        <w:rPr>
          <w:color w:val="0070C0"/>
        </w:rPr>
      </w:pPr>
      <w:r>
        <w:rPr>
          <w:color w:val="0070C0"/>
        </w:rPr>
        <w:t>Your</w:t>
      </w:r>
      <w:r w:rsidR="00E91159" w:rsidRPr="003225B0">
        <w:rPr>
          <w:color w:val="0070C0"/>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6998"/>
      </w:tblGrid>
      <w:tr w:rsidR="008F571C" w:rsidTr="00624036">
        <w:tc>
          <w:tcPr>
            <w:tcW w:w="2943" w:type="dxa"/>
            <w:shd w:val="clear" w:color="auto" w:fill="auto"/>
          </w:tcPr>
          <w:p w:rsidR="007F6307" w:rsidRPr="00624036" w:rsidRDefault="007F6307" w:rsidP="00624036">
            <w:pPr>
              <w:spacing w:line="240" w:lineRule="auto"/>
              <w:rPr>
                <w:b/>
              </w:rPr>
            </w:pPr>
            <w:r w:rsidRPr="00624036">
              <w:rPr>
                <w:b/>
              </w:rPr>
              <w:t>Name/</w:t>
            </w:r>
            <w:r w:rsidR="008F571C" w:rsidRPr="00624036">
              <w:rPr>
                <w:b/>
              </w:rPr>
              <w:t>organisation</w:t>
            </w:r>
          </w:p>
          <w:p w:rsidR="007F6307" w:rsidRPr="00624036" w:rsidRDefault="007F6307" w:rsidP="00624036">
            <w:pPr>
              <w:pStyle w:val="NoSpacing"/>
              <w:rPr>
                <w:i/>
              </w:rPr>
            </w:pPr>
            <w:r w:rsidRPr="00624036">
              <w:rPr>
                <w:i/>
              </w:rPr>
              <w:t>(if you are providing a submission on behalf of an organisation, please provide</w:t>
            </w:r>
            <w:r w:rsidR="00C95159">
              <w:rPr>
                <w:i/>
              </w:rPr>
              <w:t xml:space="preserve"> the name of</w:t>
            </w:r>
            <w:r w:rsidRPr="00624036">
              <w:rPr>
                <w:i/>
              </w:rPr>
              <w:t xml:space="preserve"> a contact person)</w:t>
            </w:r>
          </w:p>
        </w:tc>
        <w:tc>
          <w:tcPr>
            <w:tcW w:w="7195" w:type="dxa"/>
            <w:shd w:val="clear" w:color="auto" w:fill="auto"/>
          </w:tcPr>
          <w:p w:rsidR="008F571C" w:rsidRDefault="00F71FE6" w:rsidP="00624036">
            <w:pPr>
              <w:spacing w:line="240" w:lineRule="auto"/>
            </w:pPr>
            <w:r>
              <w:t xml:space="preserve">Australian Human Rights Commission </w:t>
            </w:r>
          </w:p>
        </w:tc>
      </w:tr>
      <w:tr w:rsidR="008F571C" w:rsidTr="00624036">
        <w:tc>
          <w:tcPr>
            <w:tcW w:w="2943" w:type="dxa"/>
            <w:shd w:val="clear" w:color="auto" w:fill="auto"/>
          </w:tcPr>
          <w:p w:rsidR="007F6307" w:rsidRPr="00624036" w:rsidRDefault="007F6307" w:rsidP="00624036">
            <w:pPr>
              <w:spacing w:line="240" w:lineRule="auto"/>
              <w:rPr>
                <w:b/>
              </w:rPr>
            </w:pPr>
            <w:r w:rsidRPr="00624036">
              <w:rPr>
                <w:b/>
              </w:rPr>
              <w:t xml:space="preserve">Contact details </w:t>
            </w:r>
          </w:p>
          <w:p w:rsidR="008F571C" w:rsidRPr="00624036" w:rsidRDefault="007F6307" w:rsidP="00624036">
            <w:pPr>
              <w:spacing w:line="240" w:lineRule="auto"/>
              <w:rPr>
                <w:i/>
              </w:rPr>
            </w:pPr>
            <w:r w:rsidRPr="00624036">
              <w:rPr>
                <w:i/>
              </w:rPr>
              <w:t>(one or all of the following: postal address, email address or phone number)</w:t>
            </w:r>
          </w:p>
        </w:tc>
        <w:tc>
          <w:tcPr>
            <w:tcW w:w="7195" w:type="dxa"/>
            <w:shd w:val="clear" w:color="auto" w:fill="auto"/>
          </w:tcPr>
          <w:p w:rsidR="008F571C" w:rsidRDefault="00F71FE6" w:rsidP="00F71FE6">
            <w:pPr>
              <w:spacing w:after="0" w:line="240" w:lineRule="auto"/>
            </w:pPr>
            <w:r w:rsidRPr="00F71FE6">
              <w:t>ABN 47 996 232 602</w:t>
            </w:r>
          </w:p>
          <w:p w:rsidR="00F71FE6" w:rsidRDefault="00F71FE6" w:rsidP="00F71FE6">
            <w:pPr>
              <w:pStyle w:val="NoSpacing"/>
            </w:pPr>
            <w:r>
              <w:t>Level 3, 175 Pitt Street, Sydney NSW 2000</w:t>
            </w:r>
          </w:p>
          <w:p w:rsidR="00F71FE6" w:rsidRDefault="00F71FE6" w:rsidP="00F71FE6">
            <w:pPr>
              <w:pStyle w:val="NoSpacing"/>
            </w:pPr>
            <w:r>
              <w:t>GPO Box 5218, Sydney NSW 2001</w:t>
            </w:r>
          </w:p>
          <w:p w:rsidR="00F71FE6" w:rsidRDefault="00F71FE6" w:rsidP="00F71FE6">
            <w:pPr>
              <w:pStyle w:val="NoSpacing"/>
            </w:pPr>
            <w:r>
              <w:t xml:space="preserve">General enquiries </w:t>
            </w:r>
            <w:r w:rsidRPr="00F71FE6">
              <w:t>1300 369 711</w:t>
            </w:r>
          </w:p>
          <w:p w:rsidR="00F71FE6" w:rsidRDefault="00F71FE6" w:rsidP="00F71FE6">
            <w:pPr>
              <w:pStyle w:val="NoSpacing"/>
            </w:pPr>
            <w:r>
              <w:t xml:space="preserve">Complaints </w:t>
            </w:r>
            <w:proofErr w:type="spellStart"/>
            <w:r>
              <w:t>infoline</w:t>
            </w:r>
            <w:proofErr w:type="spellEnd"/>
            <w:r>
              <w:t xml:space="preserve"> </w:t>
            </w:r>
            <w:r w:rsidRPr="00F71FE6">
              <w:t>1300 656 419</w:t>
            </w:r>
          </w:p>
          <w:p w:rsidR="00F71FE6" w:rsidRDefault="00F71FE6" w:rsidP="00F71FE6">
            <w:pPr>
              <w:pStyle w:val="NoSpacing"/>
            </w:pPr>
            <w:r>
              <w:t xml:space="preserve">TTY </w:t>
            </w:r>
            <w:r w:rsidRPr="00F71FE6">
              <w:t>1800 620 241</w:t>
            </w:r>
          </w:p>
          <w:p w:rsidR="00F71FE6" w:rsidRDefault="00F71FE6" w:rsidP="00F71FE6">
            <w:pPr>
              <w:pStyle w:val="NoSpacing"/>
            </w:pPr>
            <w:r>
              <w:t>www.humanrights.gov.au</w:t>
            </w:r>
          </w:p>
          <w:p w:rsidR="00F71FE6" w:rsidRDefault="00F71FE6" w:rsidP="00F71FE6">
            <w:pPr>
              <w:pStyle w:val="NoSpacing"/>
            </w:pPr>
          </w:p>
          <w:p w:rsidR="00F71FE6" w:rsidRPr="00F71FE6" w:rsidRDefault="00F71FE6" w:rsidP="00F71FE6">
            <w:pPr>
              <w:pStyle w:val="NoSpacing"/>
            </w:pPr>
          </w:p>
        </w:tc>
      </w:tr>
    </w:tbl>
    <w:p w:rsidR="003225B0" w:rsidRPr="003225B0" w:rsidRDefault="003225B0" w:rsidP="003225B0">
      <w:pPr>
        <w:pStyle w:val="Heading2"/>
        <w:rPr>
          <w:color w:val="0070C0"/>
        </w:rPr>
      </w:pPr>
      <w:r w:rsidRPr="003225B0">
        <w:rPr>
          <w:color w:val="0070C0"/>
        </w:rPr>
        <w:t>Confidentiality</w:t>
      </w:r>
    </w:p>
    <w:p w:rsidR="00557B56" w:rsidRDefault="00557B56" w:rsidP="00F213DD">
      <w:pPr>
        <w:rPr>
          <w:color w:val="000000"/>
        </w:rPr>
      </w:pPr>
      <w:r w:rsidRPr="00557B56">
        <w:rPr>
          <w:color w:val="000000"/>
        </w:rPr>
        <w:t xml:space="preserve">Submissions received </w:t>
      </w:r>
      <w:r w:rsidR="00C3580F">
        <w:rPr>
          <w:color w:val="000000"/>
        </w:rPr>
        <w:t xml:space="preserve">will </w:t>
      </w:r>
      <w:r w:rsidRPr="00557B56">
        <w:rPr>
          <w:color w:val="000000"/>
        </w:rPr>
        <w:t>be made public on the Attorney-General’s Department website unless otherwise specified. Submitters should indicate whether any part of the content should not be disclosed to the public. Where confidentiality is requested, submitters are encouraged to provide a public version that can be made available.</w:t>
      </w:r>
    </w:p>
    <w:p w:rsidR="008F571C" w:rsidRDefault="00737EA6" w:rsidP="00F213DD">
      <w:r>
        <w:t xml:space="preserve">I would prefer this submission to remain confidential (please tick if yes)  </w:t>
      </w:r>
      <w:r w:rsidR="00880C31">
        <w:fldChar w:fldCharType="begin">
          <w:ffData>
            <w:name w:val="Yes"/>
            <w:enabled/>
            <w:calcOnExit w:val="0"/>
            <w:helpText w:type="text" w:val="Please tick yes if you would prefer for this submission to remain confidential"/>
            <w:statusText w:type="text" w:val="Please tick yes if you would prefer for this submission to remain confidential"/>
            <w:checkBox>
              <w:sizeAuto/>
              <w:default w:val="0"/>
            </w:checkBox>
          </w:ffData>
        </w:fldChar>
      </w:r>
      <w:bookmarkStart w:id="0" w:name="Yes"/>
      <w:r w:rsidR="00880C31">
        <w:instrText xml:space="preserve"> FORMCHECKBOX </w:instrText>
      </w:r>
      <w:r w:rsidR="00EA3502">
        <w:fldChar w:fldCharType="separate"/>
      </w:r>
      <w:r w:rsidR="00880C31">
        <w:fldChar w:fldCharType="end"/>
      </w:r>
      <w:bookmarkEnd w:id="0"/>
    </w:p>
    <w:p w:rsidR="00737EA6" w:rsidRDefault="00737EA6">
      <w:pPr>
        <w:spacing w:after="0" w:line="240" w:lineRule="auto"/>
      </w:pPr>
      <w:r>
        <w:br w:type="page"/>
      </w:r>
    </w:p>
    <w:p w:rsidR="00737EA6" w:rsidRPr="003225B0" w:rsidRDefault="00737EA6" w:rsidP="00737EA6">
      <w:pPr>
        <w:pStyle w:val="Heading2"/>
        <w:rPr>
          <w:color w:val="0070C0"/>
        </w:rPr>
      </w:pPr>
      <w:r>
        <w:rPr>
          <w:color w:val="0070C0"/>
        </w:rPr>
        <w:lastRenderedPageBreak/>
        <w:t>Your submission</w:t>
      </w:r>
    </w:p>
    <w:p w:rsidR="00D23039" w:rsidRPr="000242FB" w:rsidRDefault="007F594E" w:rsidP="00D23039">
      <w:pPr>
        <w:ind w:right="-45"/>
        <w:rPr>
          <w:b/>
          <w:color w:val="000000"/>
        </w:rPr>
      </w:pPr>
      <w:r w:rsidRPr="000242FB">
        <w:rPr>
          <w:b/>
          <w:color w:val="000000"/>
        </w:rPr>
        <w:t xml:space="preserve">Please see attached letter. </w:t>
      </w:r>
    </w:p>
    <w:tbl>
      <w:tblPr>
        <w:tblStyle w:val="TableGrid"/>
        <w:tblW w:w="0" w:type="auto"/>
        <w:tblLook w:val="04A0" w:firstRow="1" w:lastRow="0" w:firstColumn="1" w:lastColumn="0" w:noHBand="0" w:noVBand="1"/>
        <w:tblDescription w:val="Should direct cross-examination be banned in all family law proceedings where family violence is alleged? Please enter response here&#10;"/>
      </w:tblPr>
      <w:tblGrid>
        <w:gridCol w:w="9912"/>
      </w:tblGrid>
      <w:tr w:rsidR="00B504F5" w:rsidRPr="008803AA" w:rsidTr="00DD0DDF">
        <w:trPr>
          <w:tblHeader/>
        </w:trPr>
        <w:tc>
          <w:tcPr>
            <w:tcW w:w="10138" w:type="dxa"/>
          </w:tcPr>
          <w:p w:rsidR="00B504F5" w:rsidRPr="00A554EA" w:rsidRDefault="00B504F5" w:rsidP="00DD0DDF">
            <w:pPr>
              <w:pStyle w:val="ListParagraph"/>
              <w:numPr>
                <w:ilvl w:val="0"/>
                <w:numId w:val="6"/>
              </w:numPr>
              <w:spacing w:before="120" w:after="120" w:line="240" w:lineRule="auto"/>
              <w:contextualSpacing w:val="0"/>
              <w:rPr>
                <w:b/>
                <w:sz w:val="20"/>
                <w:szCs w:val="20"/>
              </w:rPr>
            </w:pPr>
            <w:r w:rsidRPr="008803AA">
              <w:rPr>
                <w:b/>
                <w:sz w:val="20"/>
                <w:szCs w:val="20"/>
              </w:rPr>
              <w:t>Should direct cross-examination only be automatically banned in specific circumstances?</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Should any ban on direct cross-examination apply to both parties to the proceedings asking questions of each other, or only to the alleged perpetrator of the family violence asking questions of the alleged victim?&#10;Please enter response here"/>
      </w:tblPr>
      <w:tblGrid>
        <w:gridCol w:w="9912"/>
      </w:tblGrid>
      <w:tr w:rsidR="00B504F5" w:rsidRPr="008803AA" w:rsidTr="00DD0DDF">
        <w:trPr>
          <w:tblHeader/>
        </w:trPr>
        <w:tc>
          <w:tcPr>
            <w:tcW w:w="10138" w:type="dxa"/>
          </w:tcPr>
          <w:p w:rsidR="00B504F5" w:rsidRPr="00A554EA" w:rsidRDefault="00B504F5" w:rsidP="00A554EA">
            <w:pPr>
              <w:pStyle w:val="ListParagraph"/>
              <w:numPr>
                <w:ilvl w:val="0"/>
                <w:numId w:val="6"/>
              </w:numPr>
              <w:spacing w:before="120" w:after="120" w:line="240" w:lineRule="auto"/>
              <w:contextualSpacing w:val="0"/>
              <w:rPr>
                <w:b/>
                <w:sz w:val="20"/>
                <w:szCs w:val="20"/>
              </w:rPr>
            </w:pPr>
            <w:r w:rsidRPr="008803AA">
              <w:rPr>
                <w:b/>
                <w:sz w:val="20"/>
                <w:szCs w:val="20"/>
              </w:rPr>
              <w:t>Should direct cross</w:t>
            </w:r>
            <w:r w:rsidRPr="008803AA">
              <w:rPr>
                <w:b/>
                <w:sz w:val="20"/>
                <w:szCs w:val="20"/>
              </w:rPr>
              <w:noBreakHyphen/>
              <w:t xml:space="preserve">examination be banned in each of the specific circumstances set out in the new proposed subsection </w:t>
            </w:r>
            <w:proofErr w:type="gramStart"/>
            <w:r w:rsidRPr="008803AA">
              <w:rPr>
                <w:b/>
                <w:sz w:val="20"/>
                <w:szCs w:val="20"/>
              </w:rPr>
              <w:t>102NA(</w:t>
            </w:r>
            <w:proofErr w:type="gramEnd"/>
            <w:r w:rsidRPr="008803AA">
              <w:rPr>
                <w:b/>
                <w:sz w:val="20"/>
                <w:szCs w:val="20"/>
              </w:rPr>
              <w:t>1)?</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3. Should direct cross-examination only be banned in cases where family violence allegations have been substantiated (e.g. where there has been a finding by another court that family violence occurred, where there are medical records that substantiate allegations, where criminal charges have been laid)? &#10;a) What types of findings or other evidence should mean that the ban applies? For example, criminal charges and/or convictions for family violence related offences, where there is a state or territory family violence order in place between the parties, or where there is medical evidence that family violence occurred?&#10;b) If the ban only applied where allegations have been substantiated, should the court also have a discretionary power to prohibit direct cross examination in all family law proceedings where there are unsubstantiated allegations of family violence? Note: the power to prohibit cross examination already exists in child-related proceedings.&#10;i. How should the discretionary power work? For example, should the court be allowed to prohibit direct cross-examination on its own motion, should both parties be able to apply for direct cross-examination to be prohibited, or should only the alleged victim be able to apply for direct cross-examination to be prohibited?&#10;Please enter response here&#10;"/>
      </w:tblPr>
      <w:tblGrid>
        <w:gridCol w:w="9912"/>
      </w:tblGrid>
      <w:tr w:rsidR="00B504F5" w:rsidRPr="008803AA" w:rsidTr="00DD0DDF">
        <w:trPr>
          <w:tblHeader/>
        </w:trPr>
        <w:tc>
          <w:tcPr>
            <w:tcW w:w="10138" w:type="dxa"/>
          </w:tcPr>
          <w:p w:rsidR="00B504F5" w:rsidRPr="00A554EA" w:rsidRDefault="00B504F5" w:rsidP="00A554EA">
            <w:pPr>
              <w:pStyle w:val="ListParagraph"/>
              <w:numPr>
                <w:ilvl w:val="0"/>
                <w:numId w:val="6"/>
              </w:numPr>
              <w:spacing w:before="120" w:after="120" w:line="240" w:lineRule="auto"/>
              <w:contextualSpacing w:val="0"/>
              <w:rPr>
                <w:b/>
                <w:sz w:val="20"/>
                <w:szCs w:val="20"/>
              </w:rPr>
            </w:pPr>
            <w:r w:rsidRPr="008803AA">
              <w:rPr>
                <w:b/>
                <w:sz w:val="20"/>
                <w:szCs w:val="20"/>
              </w:rPr>
              <w:t xml:space="preserve">Should direct cross-examination be banned in any additional circumstances not referred to in the new proposed subsection </w:t>
            </w:r>
            <w:proofErr w:type="gramStart"/>
            <w:r w:rsidRPr="008803AA">
              <w:rPr>
                <w:b/>
                <w:sz w:val="20"/>
                <w:szCs w:val="20"/>
              </w:rPr>
              <w:t>102NA(</w:t>
            </w:r>
            <w:proofErr w:type="gramEnd"/>
            <w:r w:rsidRPr="008803AA">
              <w:rPr>
                <w:b/>
                <w:sz w:val="20"/>
                <w:szCs w:val="20"/>
              </w:rPr>
              <w:t>1)?  For example, in the courts’ Notice of Risk/ Notice of Child Abuse, Family Violence or Risk of Family Violence.</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Which people would be most appropriate to be appointed by the court to ask questions on behalf of a self-represented person? For example, court employees, other professionals, lay people. Please enter your response here."/>
      </w:tblPr>
      <w:tblGrid>
        <w:gridCol w:w="9912"/>
      </w:tblGrid>
      <w:tr w:rsidR="00B504F5" w:rsidRPr="008803AA" w:rsidTr="00DD0DDF">
        <w:trPr>
          <w:tblHeader/>
        </w:trPr>
        <w:tc>
          <w:tcPr>
            <w:tcW w:w="10138" w:type="dxa"/>
          </w:tcPr>
          <w:p w:rsidR="00B504F5" w:rsidRPr="00A554EA" w:rsidRDefault="00B504F5" w:rsidP="00A554EA">
            <w:pPr>
              <w:pStyle w:val="ListParagraph"/>
              <w:numPr>
                <w:ilvl w:val="0"/>
                <w:numId w:val="6"/>
              </w:numPr>
              <w:spacing w:before="120" w:after="120" w:line="240" w:lineRule="auto"/>
              <w:contextualSpacing w:val="0"/>
              <w:rPr>
                <w:b/>
                <w:sz w:val="20"/>
                <w:szCs w:val="20"/>
              </w:rPr>
            </w:pPr>
            <w:r w:rsidRPr="008803AA">
              <w:rPr>
                <w:b/>
                <w:sz w:val="20"/>
                <w:szCs w:val="20"/>
              </w:rPr>
              <w:t>Should any ban on direct cross</w:t>
            </w:r>
            <w:r w:rsidRPr="008803AA">
              <w:rPr>
                <w:b/>
                <w:sz w:val="20"/>
                <w:szCs w:val="20"/>
              </w:rPr>
              <w:noBreakHyphen/>
              <w:t>examination apply to both parties to the proceedings asking questions of each other, or only to the alleged perpetrator of the family violence asking questions of the alleged victim?</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What qualifications, if any, should the court-appointed person have? Please enter your response here."/>
      </w:tblPr>
      <w:tblGrid>
        <w:gridCol w:w="9912"/>
      </w:tblGrid>
      <w:tr w:rsidR="00B504F5" w:rsidRPr="008803AA" w:rsidTr="00DD0DDF">
        <w:trPr>
          <w:tblHeader/>
        </w:trPr>
        <w:tc>
          <w:tcPr>
            <w:tcW w:w="10138" w:type="dxa"/>
          </w:tcPr>
          <w:p w:rsidR="00B504F5" w:rsidRPr="00A554EA" w:rsidRDefault="00B504F5" w:rsidP="00A554EA">
            <w:pPr>
              <w:pStyle w:val="ListParagraph"/>
              <w:numPr>
                <w:ilvl w:val="0"/>
                <w:numId w:val="6"/>
              </w:numPr>
              <w:spacing w:before="120" w:after="120" w:line="240" w:lineRule="auto"/>
              <w:contextualSpacing w:val="0"/>
              <w:rPr>
                <w:b/>
                <w:sz w:val="20"/>
                <w:szCs w:val="20"/>
              </w:rPr>
            </w:pPr>
            <w:r w:rsidRPr="008803AA">
              <w:rPr>
                <w:b/>
                <w:sz w:val="20"/>
                <w:szCs w:val="20"/>
              </w:rPr>
              <w:t>Should the discretionary power only be exercised on application by the alleged victim, or by the courts’ own motion, or should the alleged perpetrator also be able to make an application to prevent direct cross-examination?</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Should any requirements regarding who the court can appoint and their qualifications be included in the Family Law Act? Please enter your response here"/>
      </w:tblPr>
      <w:tblGrid>
        <w:gridCol w:w="9912"/>
      </w:tblGrid>
      <w:tr w:rsidR="00B504F5" w:rsidRPr="008803AA" w:rsidTr="00DD0DDF">
        <w:trPr>
          <w:tblHeader/>
        </w:trPr>
        <w:tc>
          <w:tcPr>
            <w:tcW w:w="10138" w:type="dxa"/>
          </w:tcPr>
          <w:p w:rsidR="00B504F5" w:rsidRPr="00A554EA" w:rsidRDefault="00B504F5" w:rsidP="00A554EA">
            <w:pPr>
              <w:pStyle w:val="ListParagraph"/>
              <w:numPr>
                <w:ilvl w:val="0"/>
                <w:numId w:val="6"/>
              </w:numPr>
              <w:spacing w:before="120" w:after="120" w:line="240" w:lineRule="auto"/>
              <w:contextualSpacing w:val="0"/>
              <w:rPr>
                <w:b/>
                <w:sz w:val="20"/>
                <w:szCs w:val="20"/>
              </w:rPr>
            </w:pPr>
            <w:r w:rsidRPr="008803AA">
              <w:rPr>
                <w:b/>
                <w:sz w:val="20"/>
                <w:szCs w:val="20"/>
              </w:rPr>
              <w:t>Which people would be most appropriate to be appointed by the court to ask questions on behalf of a self-represented person? For example, a court employee not involved in the proceedings, other professionals, lay people</w:t>
            </w:r>
            <w:r w:rsidR="008D7261">
              <w:rPr>
                <w:b/>
                <w:sz w:val="20"/>
                <w:szCs w:val="20"/>
              </w:rPr>
              <w:t>.</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Should any further information about the scope of the role of the court-appointed person be included in the Family Law Act? For example:&#10;• how the court-appointed person obtains questions from a self-represented party&#10;• whether the court-appointed person should be present in court for the whole of the proceedings or just during cross-examination&#10;• what discretion the court-appointed person can exercise (if any) in relation to asking the questions they have been provided by a self-represented party&#10;• whether they are under a duty to cooperate with other parties to proceedings such as an Independent Children’s Lawyer appointed in a case, and&#10;• the intersection between the court-appointed person’s role and that of the judicial officer. Please enter your response here.&#10;"/>
      </w:tblPr>
      <w:tblGrid>
        <w:gridCol w:w="9912"/>
      </w:tblGrid>
      <w:tr w:rsidR="00B504F5" w:rsidRPr="008803AA" w:rsidTr="00DD0DDF">
        <w:trPr>
          <w:tblHeader/>
        </w:trPr>
        <w:tc>
          <w:tcPr>
            <w:tcW w:w="10138" w:type="dxa"/>
          </w:tcPr>
          <w:p w:rsidR="00B504F5" w:rsidRPr="00A554EA" w:rsidRDefault="00B504F5" w:rsidP="00A554EA">
            <w:pPr>
              <w:pStyle w:val="ListParagraph"/>
              <w:numPr>
                <w:ilvl w:val="0"/>
                <w:numId w:val="6"/>
              </w:numPr>
              <w:spacing w:before="120" w:after="120" w:line="240" w:lineRule="auto"/>
              <w:contextualSpacing w:val="0"/>
              <w:rPr>
                <w:b/>
                <w:sz w:val="20"/>
                <w:szCs w:val="20"/>
              </w:rPr>
            </w:pPr>
            <w:r w:rsidRPr="008803AA">
              <w:rPr>
                <w:b/>
                <w:sz w:val="20"/>
                <w:szCs w:val="20"/>
              </w:rPr>
              <w:t>What qualifications, if any, should the court-appointed person have?</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Should a self-represented person be allowed to nominate the person who is appointed by the court to ask questions on their behalf? Please enter your response here."/>
      </w:tblPr>
      <w:tblGrid>
        <w:gridCol w:w="9912"/>
      </w:tblGrid>
      <w:tr w:rsidR="00B504F5" w:rsidRPr="008803AA" w:rsidTr="00DD0DDF">
        <w:trPr>
          <w:tblHeader/>
        </w:trPr>
        <w:tc>
          <w:tcPr>
            <w:tcW w:w="10138" w:type="dxa"/>
          </w:tcPr>
          <w:p w:rsidR="00B504F5" w:rsidRPr="00A554EA" w:rsidRDefault="00B504F5" w:rsidP="00A554EA">
            <w:pPr>
              <w:pStyle w:val="ListParagraph"/>
              <w:numPr>
                <w:ilvl w:val="0"/>
                <w:numId w:val="6"/>
              </w:numPr>
              <w:spacing w:before="120" w:after="120" w:line="240" w:lineRule="auto"/>
              <w:contextualSpacing w:val="0"/>
              <w:rPr>
                <w:b/>
                <w:sz w:val="20"/>
                <w:szCs w:val="20"/>
              </w:rPr>
            </w:pPr>
            <w:r w:rsidRPr="008803AA">
              <w:rPr>
                <w:b/>
                <w:sz w:val="20"/>
                <w:szCs w:val="20"/>
              </w:rPr>
              <w:t>Should any requirements regarding who the court can appoint and their qualifications be included in the Family Law Act?</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Do you have any concerns about the court appointed person model? Please enter your repsonse here."/>
      </w:tblPr>
      <w:tblGrid>
        <w:gridCol w:w="9912"/>
      </w:tblGrid>
      <w:tr w:rsidR="00B504F5" w:rsidRPr="008803AA" w:rsidTr="00DD0DDF">
        <w:trPr>
          <w:tblHeader/>
        </w:trPr>
        <w:tc>
          <w:tcPr>
            <w:tcW w:w="10138" w:type="dxa"/>
          </w:tcPr>
          <w:p w:rsidR="00B504F5" w:rsidRPr="008803AA" w:rsidRDefault="00B504F5" w:rsidP="00DD0DDF">
            <w:pPr>
              <w:pStyle w:val="ListParagraph"/>
              <w:numPr>
                <w:ilvl w:val="0"/>
                <w:numId w:val="6"/>
              </w:numPr>
              <w:spacing w:line="276" w:lineRule="auto"/>
              <w:rPr>
                <w:b/>
                <w:sz w:val="20"/>
                <w:szCs w:val="20"/>
              </w:rPr>
            </w:pPr>
            <w:r w:rsidRPr="008803AA">
              <w:rPr>
                <w:b/>
                <w:sz w:val="20"/>
                <w:szCs w:val="20"/>
              </w:rPr>
              <w:t>Should any further information about the scope of the role of the court</w:t>
            </w:r>
            <w:r w:rsidRPr="008803AA">
              <w:rPr>
                <w:b/>
                <w:sz w:val="20"/>
                <w:szCs w:val="20"/>
              </w:rPr>
              <w:noBreakHyphen/>
              <w:t>appointed person be included in the Family Law Act? For example:</w:t>
            </w:r>
          </w:p>
          <w:p w:rsidR="00B504F5" w:rsidRPr="008803AA" w:rsidRDefault="00B504F5" w:rsidP="00B504F5">
            <w:pPr>
              <w:pStyle w:val="ListParagraph"/>
              <w:numPr>
                <w:ilvl w:val="0"/>
                <w:numId w:val="9"/>
              </w:numPr>
              <w:spacing w:line="276" w:lineRule="auto"/>
              <w:rPr>
                <w:b/>
                <w:sz w:val="20"/>
                <w:szCs w:val="20"/>
              </w:rPr>
            </w:pPr>
            <w:r w:rsidRPr="008803AA">
              <w:rPr>
                <w:b/>
                <w:sz w:val="20"/>
                <w:szCs w:val="20"/>
              </w:rPr>
              <w:t>how the court</w:t>
            </w:r>
            <w:r w:rsidRPr="008803AA">
              <w:rPr>
                <w:b/>
                <w:sz w:val="20"/>
                <w:szCs w:val="20"/>
              </w:rPr>
              <w:noBreakHyphen/>
              <w:t>appointed person obtains questions from a self</w:t>
            </w:r>
            <w:r w:rsidRPr="008803AA">
              <w:rPr>
                <w:b/>
                <w:sz w:val="20"/>
                <w:szCs w:val="20"/>
              </w:rPr>
              <w:noBreakHyphen/>
              <w:t>represented party</w:t>
            </w:r>
          </w:p>
          <w:p w:rsidR="00B504F5" w:rsidRPr="008803AA" w:rsidRDefault="00B504F5" w:rsidP="00B504F5">
            <w:pPr>
              <w:pStyle w:val="ListParagraph"/>
              <w:numPr>
                <w:ilvl w:val="0"/>
                <w:numId w:val="9"/>
              </w:numPr>
              <w:spacing w:line="276" w:lineRule="auto"/>
              <w:rPr>
                <w:b/>
                <w:sz w:val="20"/>
                <w:szCs w:val="20"/>
              </w:rPr>
            </w:pPr>
            <w:r w:rsidRPr="008803AA">
              <w:rPr>
                <w:b/>
                <w:sz w:val="20"/>
                <w:szCs w:val="20"/>
              </w:rPr>
              <w:t xml:space="preserve">the level of engagement the court-appointed person should have  with a self-represented party on whose behalf they are asking the questions </w:t>
            </w:r>
          </w:p>
          <w:p w:rsidR="00B504F5" w:rsidRPr="008803AA" w:rsidRDefault="00B504F5" w:rsidP="00B504F5">
            <w:pPr>
              <w:pStyle w:val="ListParagraph"/>
              <w:numPr>
                <w:ilvl w:val="0"/>
                <w:numId w:val="9"/>
              </w:numPr>
              <w:spacing w:line="276" w:lineRule="auto"/>
              <w:rPr>
                <w:b/>
                <w:sz w:val="20"/>
                <w:szCs w:val="20"/>
              </w:rPr>
            </w:pPr>
            <w:r w:rsidRPr="008803AA">
              <w:rPr>
                <w:b/>
                <w:sz w:val="20"/>
                <w:szCs w:val="20"/>
              </w:rPr>
              <w:t>whether the court</w:t>
            </w:r>
            <w:r w:rsidRPr="008803AA">
              <w:rPr>
                <w:b/>
                <w:sz w:val="20"/>
                <w:szCs w:val="20"/>
              </w:rPr>
              <w:noBreakHyphen/>
              <w:t>appointed person should be present in court for the whole of the proceedings or just during cross</w:t>
            </w:r>
            <w:r w:rsidRPr="008803AA">
              <w:rPr>
                <w:b/>
                <w:sz w:val="20"/>
                <w:szCs w:val="20"/>
              </w:rPr>
              <w:noBreakHyphen/>
              <w:t>examination</w:t>
            </w:r>
          </w:p>
          <w:p w:rsidR="00B504F5" w:rsidRPr="008803AA" w:rsidRDefault="00B504F5" w:rsidP="00B504F5">
            <w:pPr>
              <w:pStyle w:val="ListParagraph"/>
              <w:numPr>
                <w:ilvl w:val="0"/>
                <w:numId w:val="9"/>
              </w:numPr>
              <w:spacing w:line="276" w:lineRule="auto"/>
              <w:rPr>
                <w:b/>
                <w:sz w:val="20"/>
                <w:szCs w:val="20"/>
              </w:rPr>
            </w:pPr>
            <w:r w:rsidRPr="008803AA">
              <w:rPr>
                <w:b/>
                <w:sz w:val="20"/>
                <w:szCs w:val="20"/>
              </w:rPr>
              <w:t>what discretion the court</w:t>
            </w:r>
            <w:r w:rsidRPr="008803AA">
              <w:rPr>
                <w:b/>
                <w:sz w:val="20"/>
                <w:szCs w:val="20"/>
              </w:rPr>
              <w:noBreakHyphen/>
              <w:t>appointed person can exercise (if any) in relation to asking the questions they have been provided by a self</w:t>
            </w:r>
            <w:r w:rsidRPr="008803AA">
              <w:rPr>
                <w:b/>
                <w:sz w:val="20"/>
                <w:szCs w:val="20"/>
              </w:rPr>
              <w:noBreakHyphen/>
              <w:t>represented party</w:t>
            </w:r>
          </w:p>
          <w:p w:rsidR="00B504F5" w:rsidRPr="008803AA" w:rsidRDefault="00B504F5" w:rsidP="00B504F5">
            <w:pPr>
              <w:pStyle w:val="ListParagraph"/>
              <w:numPr>
                <w:ilvl w:val="0"/>
                <w:numId w:val="9"/>
              </w:numPr>
              <w:spacing w:line="276" w:lineRule="auto"/>
              <w:rPr>
                <w:b/>
                <w:sz w:val="20"/>
                <w:szCs w:val="20"/>
              </w:rPr>
            </w:pPr>
            <w:r w:rsidRPr="008803AA">
              <w:rPr>
                <w:b/>
                <w:sz w:val="20"/>
                <w:szCs w:val="20"/>
              </w:rPr>
              <w:t>whether the court-appointed person can ask any questions of their own  (not provided by the self-represented party) during cross-examination</w:t>
            </w:r>
          </w:p>
          <w:p w:rsidR="00B504F5" w:rsidRPr="008803AA" w:rsidRDefault="00B504F5" w:rsidP="00B504F5">
            <w:pPr>
              <w:pStyle w:val="ListParagraph"/>
              <w:numPr>
                <w:ilvl w:val="0"/>
                <w:numId w:val="9"/>
              </w:numPr>
              <w:spacing w:line="276" w:lineRule="auto"/>
              <w:rPr>
                <w:b/>
                <w:sz w:val="20"/>
                <w:szCs w:val="20"/>
              </w:rPr>
            </w:pPr>
            <w:r w:rsidRPr="008803AA">
              <w:rPr>
                <w:b/>
                <w:sz w:val="20"/>
                <w:szCs w:val="20"/>
              </w:rPr>
              <w:t>whether they are under a duty to cooperate with other parties to the proceedings such as an Independent Children’s Lawyer appointed in a case, and</w:t>
            </w:r>
          </w:p>
          <w:p w:rsidR="00B504F5" w:rsidRPr="00A554EA" w:rsidRDefault="00B504F5" w:rsidP="00A554EA">
            <w:pPr>
              <w:pStyle w:val="ListParagraph"/>
              <w:numPr>
                <w:ilvl w:val="0"/>
                <w:numId w:val="9"/>
              </w:numPr>
              <w:spacing w:line="276" w:lineRule="auto"/>
              <w:rPr>
                <w:b/>
                <w:sz w:val="20"/>
                <w:szCs w:val="20"/>
              </w:rPr>
            </w:pPr>
            <w:proofErr w:type="gramStart"/>
            <w:r w:rsidRPr="008803AA">
              <w:rPr>
                <w:b/>
                <w:sz w:val="20"/>
                <w:szCs w:val="20"/>
              </w:rPr>
              <w:t>the</w:t>
            </w:r>
            <w:proofErr w:type="gramEnd"/>
            <w:r w:rsidRPr="008803AA">
              <w:rPr>
                <w:b/>
                <w:sz w:val="20"/>
                <w:szCs w:val="20"/>
              </w:rPr>
              <w:t xml:space="preserve"> intersection between the court</w:t>
            </w:r>
            <w:r w:rsidRPr="008803AA">
              <w:rPr>
                <w:b/>
                <w:sz w:val="20"/>
                <w:szCs w:val="20"/>
              </w:rPr>
              <w:noBreakHyphen/>
              <w:t>appointed person’s role and that of the</w:t>
            </w:r>
            <w:r w:rsidRPr="008803AA">
              <w:rPr>
                <w:sz w:val="20"/>
                <w:szCs w:val="20"/>
              </w:rPr>
              <w:t xml:space="preserve"> </w:t>
            </w:r>
            <w:r w:rsidRPr="008803AA">
              <w:rPr>
                <w:b/>
                <w:sz w:val="20"/>
                <w:szCs w:val="20"/>
              </w:rPr>
              <w:t>judicial officer</w:t>
            </w:r>
            <w:r w:rsidR="008D7261">
              <w:rPr>
                <w:b/>
                <w:sz w:val="20"/>
                <w:szCs w:val="20"/>
              </w:rPr>
              <w:t>.</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Should the court only grant leave for direct cross-examination to occur if both parties to the proceedings consent? i.e. where an alleged victim consents to being directly cross-examined or consents to conducting direct cross-examination, should the alleged perpetrator’s consent also be required? Please enter your response here."/>
      </w:tblPr>
      <w:tblGrid>
        <w:gridCol w:w="9912"/>
      </w:tblGrid>
      <w:tr w:rsidR="00B504F5" w:rsidRPr="008803AA" w:rsidTr="00DD0DDF">
        <w:trPr>
          <w:tblHeader/>
        </w:trPr>
        <w:tc>
          <w:tcPr>
            <w:tcW w:w="10138" w:type="dxa"/>
          </w:tcPr>
          <w:p w:rsidR="00B504F5" w:rsidRPr="009C58AC" w:rsidRDefault="00B504F5" w:rsidP="00A554EA">
            <w:pPr>
              <w:pStyle w:val="ListParagraph"/>
              <w:numPr>
                <w:ilvl w:val="0"/>
                <w:numId w:val="6"/>
              </w:numPr>
              <w:spacing w:before="120" w:after="120" w:line="240" w:lineRule="auto"/>
              <w:contextualSpacing w:val="0"/>
              <w:rPr>
                <w:b/>
                <w:sz w:val="20"/>
                <w:szCs w:val="20"/>
              </w:rPr>
            </w:pPr>
            <w:r w:rsidRPr="008803AA">
              <w:rPr>
                <w:b/>
                <w:sz w:val="20"/>
                <w:szCs w:val="20"/>
              </w:rPr>
              <w:lastRenderedPageBreak/>
              <w:t>Should a self</w:t>
            </w:r>
            <w:r w:rsidRPr="008803AA">
              <w:rPr>
                <w:b/>
                <w:sz w:val="20"/>
                <w:szCs w:val="20"/>
              </w:rPr>
              <w:noBreakHyphen/>
              <w:t>represented person be allowed to nominate the person who is appointed by the court to ask questions on their behalf?</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Should the court only grant leave for direct cross-examination to occur if it has considered whether the cross-examination will have a harmful impact on the party that is the alleged victim of the family violence? Please enter your response here."/>
      </w:tblPr>
      <w:tblGrid>
        <w:gridCol w:w="9912"/>
      </w:tblGrid>
      <w:tr w:rsidR="00B504F5" w:rsidRPr="008803AA" w:rsidTr="00DD0DDF">
        <w:trPr>
          <w:tblHeader/>
        </w:trPr>
        <w:tc>
          <w:tcPr>
            <w:tcW w:w="10138" w:type="dxa"/>
          </w:tcPr>
          <w:p w:rsidR="00B504F5" w:rsidRPr="009C58AC" w:rsidRDefault="00B504F5" w:rsidP="00A554EA">
            <w:pPr>
              <w:pStyle w:val="ListParagraph"/>
              <w:numPr>
                <w:ilvl w:val="0"/>
                <w:numId w:val="6"/>
              </w:numPr>
              <w:spacing w:before="120" w:after="120" w:line="240" w:lineRule="auto"/>
              <w:contextualSpacing w:val="0"/>
              <w:rPr>
                <w:b/>
                <w:sz w:val="20"/>
                <w:szCs w:val="20"/>
              </w:rPr>
            </w:pPr>
            <w:r w:rsidRPr="008803AA">
              <w:rPr>
                <w:b/>
                <w:sz w:val="20"/>
                <w:szCs w:val="20"/>
              </w:rPr>
              <w:t>Do you have any concerns about the court</w:t>
            </w:r>
            <w:r w:rsidRPr="008803AA">
              <w:rPr>
                <w:b/>
                <w:sz w:val="20"/>
                <w:szCs w:val="20"/>
              </w:rPr>
              <w:noBreakHyphen/>
              <w:t>appointed person model?</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Should the court only grant leave for direct cross-examination to occur if it has considered whether the cross-examination will adversely affect the ability of the party being cross-examined to testify under the cross-examination, and the ability of the party conducting the cross-examination to conduct that cross-examination? Please enter your response here."/>
      </w:tblPr>
      <w:tblGrid>
        <w:gridCol w:w="9912"/>
      </w:tblGrid>
      <w:tr w:rsidR="00B504F5" w:rsidRPr="008803AA" w:rsidTr="00DD0DDF">
        <w:trPr>
          <w:tblHeader/>
        </w:trPr>
        <w:tc>
          <w:tcPr>
            <w:tcW w:w="10138" w:type="dxa"/>
          </w:tcPr>
          <w:p w:rsidR="00B504F5" w:rsidRPr="009C58AC" w:rsidRDefault="00B504F5" w:rsidP="00A554EA">
            <w:pPr>
              <w:pStyle w:val="ListParagraph"/>
              <w:numPr>
                <w:ilvl w:val="0"/>
                <w:numId w:val="6"/>
              </w:numPr>
              <w:spacing w:before="120" w:after="120" w:line="240" w:lineRule="auto"/>
              <w:contextualSpacing w:val="0"/>
              <w:rPr>
                <w:b/>
                <w:sz w:val="20"/>
                <w:szCs w:val="20"/>
              </w:rPr>
            </w:pPr>
            <w:r w:rsidRPr="008803AA">
              <w:rPr>
                <w:b/>
                <w:sz w:val="20"/>
                <w:szCs w:val="20"/>
              </w:rPr>
              <w:t>Should the court only grant leave for direct cross</w:t>
            </w:r>
            <w:r w:rsidRPr="008803AA">
              <w:rPr>
                <w:b/>
                <w:sz w:val="20"/>
                <w:szCs w:val="20"/>
              </w:rPr>
              <w:noBreakHyphen/>
              <w:t xml:space="preserve">examination to occur if both parties to the proceedings consent? </w:t>
            </w:r>
            <w:proofErr w:type="gramStart"/>
            <w:r w:rsidRPr="008803AA">
              <w:rPr>
                <w:b/>
                <w:sz w:val="20"/>
                <w:szCs w:val="20"/>
              </w:rPr>
              <w:t>i.e</w:t>
            </w:r>
            <w:proofErr w:type="gramEnd"/>
            <w:r w:rsidRPr="008803AA">
              <w:rPr>
                <w:b/>
                <w:sz w:val="20"/>
                <w:szCs w:val="20"/>
              </w:rPr>
              <w:t>. where an alleged victim consents to being directly cross</w:t>
            </w:r>
            <w:r w:rsidRPr="008803AA">
              <w:rPr>
                <w:b/>
                <w:sz w:val="20"/>
                <w:szCs w:val="20"/>
              </w:rPr>
              <w:noBreakHyphen/>
              <w:t>examined or consents to conducting direct cross</w:t>
            </w:r>
            <w:r w:rsidRPr="008803AA">
              <w:rPr>
                <w:b/>
                <w:sz w:val="20"/>
                <w:szCs w:val="20"/>
              </w:rPr>
              <w:noBreakHyphen/>
              <w:t>examination, should the alleged perpetrator’s consent also be required?</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Are there any other issues the court should be required to consider before granting leave for direct cross-examination to occur? Please enter your response here."/>
      </w:tblPr>
      <w:tblGrid>
        <w:gridCol w:w="9912"/>
      </w:tblGrid>
      <w:tr w:rsidR="00B504F5" w:rsidRPr="008803AA" w:rsidTr="00DD0DDF">
        <w:trPr>
          <w:tblHeader/>
        </w:trPr>
        <w:tc>
          <w:tcPr>
            <w:tcW w:w="10138" w:type="dxa"/>
          </w:tcPr>
          <w:p w:rsidR="00B504F5" w:rsidRPr="009C58AC" w:rsidRDefault="00B504F5" w:rsidP="00A554EA">
            <w:pPr>
              <w:pStyle w:val="ListParagraph"/>
              <w:numPr>
                <w:ilvl w:val="0"/>
                <w:numId w:val="6"/>
              </w:numPr>
              <w:spacing w:before="120" w:after="120" w:line="240" w:lineRule="auto"/>
              <w:contextualSpacing w:val="0"/>
              <w:rPr>
                <w:b/>
                <w:sz w:val="20"/>
                <w:szCs w:val="20"/>
              </w:rPr>
            </w:pPr>
            <w:r w:rsidRPr="008803AA">
              <w:rPr>
                <w:b/>
                <w:sz w:val="20"/>
                <w:szCs w:val="20"/>
              </w:rPr>
              <w:t>Should the court only grant leave for direct cross</w:t>
            </w:r>
            <w:r w:rsidRPr="008803AA">
              <w:rPr>
                <w:b/>
                <w:sz w:val="20"/>
                <w:szCs w:val="20"/>
              </w:rPr>
              <w:noBreakHyphen/>
              <w:t>examination to occur if it has considered whether the cross</w:t>
            </w:r>
            <w:r w:rsidRPr="008803AA">
              <w:rPr>
                <w:b/>
                <w:sz w:val="20"/>
                <w:szCs w:val="20"/>
              </w:rPr>
              <w:noBreakHyphen/>
              <w:t>examination will have a harmful impact on the party that is the alleged victim of the family violence?</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Should a legally-represented party be able to apply for leave to conduct direct cross-examination? If so, should the same grounds for granting leave apply as for a self-represented party? Please enter your response here."/>
      </w:tblPr>
      <w:tblGrid>
        <w:gridCol w:w="9912"/>
      </w:tblGrid>
      <w:tr w:rsidR="00B504F5" w:rsidRPr="008803AA" w:rsidTr="00DD0DDF">
        <w:trPr>
          <w:tblHeader/>
        </w:trPr>
        <w:tc>
          <w:tcPr>
            <w:tcW w:w="10138" w:type="dxa"/>
          </w:tcPr>
          <w:p w:rsidR="00B504F5" w:rsidRPr="009C58AC" w:rsidRDefault="00B504F5" w:rsidP="00A554EA">
            <w:pPr>
              <w:pStyle w:val="ListParagraph"/>
              <w:numPr>
                <w:ilvl w:val="0"/>
                <w:numId w:val="6"/>
              </w:numPr>
              <w:spacing w:before="120" w:after="120" w:line="240" w:lineRule="auto"/>
              <w:contextualSpacing w:val="0"/>
              <w:rPr>
                <w:b/>
                <w:sz w:val="20"/>
                <w:szCs w:val="20"/>
              </w:rPr>
            </w:pPr>
            <w:r w:rsidRPr="008803AA">
              <w:rPr>
                <w:b/>
                <w:sz w:val="20"/>
                <w:szCs w:val="20"/>
              </w:rPr>
              <w:t>Should the court only grant leave for direct cross-examination to occur if it has considered whether the cross</w:t>
            </w:r>
            <w:r w:rsidRPr="008803AA">
              <w:rPr>
                <w:b/>
                <w:sz w:val="20"/>
                <w:szCs w:val="20"/>
              </w:rPr>
              <w:noBreakHyphen/>
              <w:t>examination will adversely affect the ability of the party being cross</w:t>
            </w:r>
            <w:r w:rsidRPr="008803AA">
              <w:rPr>
                <w:b/>
                <w:sz w:val="20"/>
                <w:szCs w:val="20"/>
              </w:rPr>
              <w:noBreakHyphen/>
              <w:t>examined to testify under the cross-examination, and the ability of the party conducting the cross</w:t>
            </w:r>
            <w:r w:rsidRPr="008803AA">
              <w:rPr>
                <w:b/>
                <w:sz w:val="20"/>
                <w:szCs w:val="20"/>
              </w:rPr>
              <w:noBreakHyphen/>
              <w:t>examination to conduct that cross</w:t>
            </w:r>
            <w:r w:rsidRPr="008803AA">
              <w:rPr>
                <w:b/>
                <w:sz w:val="20"/>
                <w:szCs w:val="20"/>
              </w:rPr>
              <w:noBreakHyphen/>
              <w:t>examination?</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Should the amendments apply to proceedings started before the law comes into effect, or should they only apply to proceedings started after the law comes into effect? Please enter your response here."/>
      </w:tblPr>
      <w:tblGrid>
        <w:gridCol w:w="9912"/>
      </w:tblGrid>
      <w:tr w:rsidR="00B504F5" w:rsidRPr="008803AA" w:rsidTr="00DD0DDF">
        <w:trPr>
          <w:tblHeader/>
        </w:trPr>
        <w:tc>
          <w:tcPr>
            <w:tcW w:w="10138" w:type="dxa"/>
          </w:tcPr>
          <w:p w:rsidR="00B504F5" w:rsidRPr="009C58AC" w:rsidRDefault="00B504F5" w:rsidP="00A554EA">
            <w:pPr>
              <w:pStyle w:val="ListParagraph"/>
              <w:numPr>
                <w:ilvl w:val="0"/>
                <w:numId w:val="6"/>
              </w:numPr>
              <w:spacing w:before="120" w:after="120" w:line="240" w:lineRule="auto"/>
              <w:contextualSpacing w:val="0"/>
              <w:rPr>
                <w:b/>
                <w:sz w:val="20"/>
                <w:szCs w:val="20"/>
              </w:rPr>
            </w:pPr>
            <w:r w:rsidRPr="008803AA">
              <w:rPr>
                <w:b/>
                <w:sz w:val="20"/>
                <w:szCs w:val="20"/>
              </w:rPr>
              <w:t>Are there any other issues the court should be required to consider before granting leave for direct cross</w:t>
            </w:r>
            <w:r w:rsidRPr="008803AA">
              <w:rPr>
                <w:b/>
                <w:sz w:val="20"/>
                <w:szCs w:val="20"/>
              </w:rPr>
              <w:noBreakHyphen/>
              <w:t>examination to occur?</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Should any changes be made to the proposed amendments to ensure that all parties receive a fair hearing? Please enter your response here."/>
      </w:tblPr>
      <w:tblGrid>
        <w:gridCol w:w="9912"/>
      </w:tblGrid>
      <w:tr w:rsidR="00B504F5" w:rsidRPr="008803AA" w:rsidTr="00DD0DDF">
        <w:trPr>
          <w:tblHeader/>
        </w:trPr>
        <w:tc>
          <w:tcPr>
            <w:tcW w:w="10138" w:type="dxa"/>
          </w:tcPr>
          <w:p w:rsidR="00B504F5" w:rsidRPr="009C58AC" w:rsidRDefault="00B504F5" w:rsidP="00A554EA">
            <w:pPr>
              <w:pStyle w:val="PlainText"/>
              <w:numPr>
                <w:ilvl w:val="0"/>
                <w:numId w:val="6"/>
              </w:numPr>
              <w:spacing w:before="120" w:after="120"/>
              <w:rPr>
                <w:rFonts w:ascii="Arial" w:eastAsia="Calibri" w:hAnsi="Arial" w:cs="Arial"/>
                <w:b/>
                <w:w w:val="105"/>
                <w:kern w:val="40"/>
                <w:sz w:val="20"/>
                <w:szCs w:val="20"/>
              </w:rPr>
            </w:pPr>
            <w:r w:rsidRPr="008803AA">
              <w:rPr>
                <w:rFonts w:ascii="Arial" w:eastAsia="Calibri" w:hAnsi="Arial" w:cs="Arial"/>
                <w:b/>
                <w:w w:val="105"/>
                <w:kern w:val="40"/>
                <w:sz w:val="20"/>
                <w:szCs w:val="20"/>
              </w:rPr>
              <w:t>Should the amendments apply to proceedings started before the law comes into effect, or should they only apply to proceedings started after the law comes into effect?</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Should any changes be made to the proposed amendments to ensure that the courts are able to make informed decisions? Please enter your response here."/>
      </w:tblPr>
      <w:tblGrid>
        <w:gridCol w:w="9912"/>
      </w:tblGrid>
      <w:tr w:rsidR="00B504F5" w:rsidRPr="008803AA" w:rsidTr="00DD0DDF">
        <w:trPr>
          <w:tblHeader/>
        </w:trPr>
        <w:tc>
          <w:tcPr>
            <w:tcW w:w="10138" w:type="dxa"/>
          </w:tcPr>
          <w:p w:rsidR="00B504F5" w:rsidRPr="009C58AC" w:rsidRDefault="00B504F5" w:rsidP="00A554EA">
            <w:pPr>
              <w:pStyle w:val="PlainText"/>
              <w:numPr>
                <w:ilvl w:val="0"/>
                <w:numId w:val="6"/>
              </w:numPr>
              <w:spacing w:before="120" w:after="120"/>
              <w:rPr>
                <w:rFonts w:ascii="Arial" w:hAnsi="Arial" w:cs="Arial"/>
                <w:b/>
                <w:sz w:val="20"/>
                <w:szCs w:val="20"/>
              </w:rPr>
            </w:pPr>
            <w:r w:rsidRPr="008803AA">
              <w:rPr>
                <w:rFonts w:ascii="Arial" w:hAnsi="Arial" w:cs="Arial"/>
                <w:b/>
                <w:sz w:val="20"/>
                <w:szCs w:val="20"/>
              </w:rPr>
              <w:t>Should any changes be made to the proposed amendments to ensure that all parties receive a fair hearing?</w:t>
            </w:r>
          </w:p>
        </w:tc>
      </w:tr>
    </w:tbl>
    <w:p w:rsidR="00B504F5" w:rsidRPr="008803AA" w:rsidRDefault="00B504F5" w:rsidP="00B504F5">
      <w:pPr>
        <w:pStyle w:val="NoSpacing"/>
        <w:rPr>
          <w:sz w:val="20"/>
          <w:szCs w:val="20"/>
        </w:rPr>
      </w:pPr>
    </w:p>
    <w:tbl>
      <w:tblPr>
        <w:tblStyle w:val="TableGrid"/>
        <w:tblW w:w="0" w:type="auto"/>
        <w:tblLook w:val="04A0" w:firstRow="1" w:lastRow="0" w:firstColumn="1" w:lastColumn="0" w:noHBand="0" w:noVBand="1"/>
        <w:tblDescription w:val="Should any changes be made to the proposed amendments to ensure that they do not have any unintended consequences for victims of family violence? Please enter your response here."/>
      </w:tblPr>
      <w:tblGrid>
        <w:gridCol w:w="9912"/>
      </w:tblGrid>
      <w:tr w:rsidR="00B504F5" w:rsidRPr="008803AA" w:rsidTr="00DD0DDF">
        <w:trPr>
          <w:tblHeader/>
        </w:trPr>
        <w:tc>
          <w:tcPr>
            <w:tcW w:w="10138" w:type="dxa"/>
          </w:tcPr>
          <w:p w:rsidR="00B504F5" w:rsidRPr="009C58AC" w:rsidRDefault="00B504F5" w:rsidP="00A554EA">
            <w:pPr>
              <w:pStyle w:val="ListParagraph"/>
              <w:numPr>
                <w:ilvl w:val="0"/>
                <w:numId w:val="6"/>
              </w:numPr>
              <w:spacing w:before="120" w:after="120" w:line="240" w:lineRule="auto"/>
              <w:contextualSpacing w:val="0"/>
              <w:rPr>
                <w:b/>
                <w:sz w:val="20"/>
                <w:szCs w:val="20"/>
              </w:rPr>
            </w:pPr>
            <w:r w:rsidRPr="008803AA">
              <w:rPr>
                <w:b/>
                <w:sz w:val="20"/>
                <w:szCs w:val="20"/>
              </w:rPr>
              <w:t>Should any changes be made to the proposed amendments to ensure that the courts can be satisfied that any cross-examination of the parties that occurs through a court-appointed person will enable the judicial officer to accord procedural fairness to the parties?</w:t>
            </w:r>
          </w:p>
        </w:tc>
      </w:tr>
    </w:tbl>
    <w:p w:rsidR="00B504F5" w:rsidRPr="008803AA" w:rsidRDefault="00B504F5" w:rsidP="00B504F5">
      <w:pPr>
        <w:pStyle w:val="NoSpacing"/>
        <w:rPr>
          <w:sz w:val="20"/>
          <w:szCs w:val="20"/>
        </w:rPr>
      </w:pPr>
    </w:p>
    <w:tbl>
      <w:tblPr>
        <w:tblStyle w:val="TableGrid"/>
        <w:tblW w:w="9918" w:type="dxa"/>
        <w:tblLook w:val="04A0" w:firstRow="1" w:lastRow="0" w:firstColumn="1" w:lastColumn="0" w:noHBand="0" w:noVBand="1"/>
        <w:tblDescription w:val="Any general comments. Please enter response here.&#10;"/>
      </w:tblPr>
      <w:tblGrid>
        <w:gridCol w:w="9918"/>
      </w:tblGrid>
      <w:tr w:rsidR="00B504F5" w:rsidRPr="008803AA" w:rsidTr="00771494">
        <w:trPr>
          <w:trHeight w:val="1020"/>
          <w:tblHeader/>
        </w:trPr>
        <w:tc>
          <w:tcPr>
            <w:tcW w:w="9918" w:type="dxa"/>
          </w:tcPr>
          <w:p w:rsidR="00B504F5" w:rsidRPr="00A554EA" w:rsidRDefault="00B504F5" w:rsidP="00A554EA">
            <w:pPr>
              <w:pStyle w:val="ListParagraph"/>
              <w:numPr>
                <w:ilvl w:val="0"/>
                <w:numId w:val="6"/>
              </w:numPr>
              <w:spacing w:before="120" w:after="120" w:line="240" w:lineRule="auto"/>
              <w:rPr>
                <w:b/>
                <w:sz w:val="20"/>
                <w:szCs w:val="20"/>
              </w:rPr>
            </w:pPr>
            <w:r w:rsidRPr="008803AA">
              <w:rPr>
                <w:b/>
                <w:sz w:val="20"/>
                <w:szCs w:val="20"/>
              </w:rPr>
              <w:t>Should any changes be made to the proposed amendments to ensure that the courts are able to make informed decisions?</w:t>
            </w:r>
          </w:p>
        </w:tc>
      </w:tr>
    </w:tbl>
    <w:p w:rsidR="00B504F5" w:rsidRPr="008803AA" w:rsidRDefault="00B504F5" w:rsidP="00B504F5">
      <w:pPr>
        <w:pStyle w:val="NoSpacing"/>
        <w:rPr>
          <w:sz w:val="20"/>
          <w:szCs w:val="20"/>
        </w:rPr>
      </w:pPr>
    </w:p>
    <w:tbl>
      <w:tblPr>
        <w:tblStyle w:val="TableGrid"/>
        <w:tblW w:w="9918" w:type="dxa"/>
        <w:tblLook w:val="04A0" w:firstRow="1" w:lastRow="0" w:firstColumn="1" w:lastColumn="0" w:noHBand="0" w:noVBand="1"/>
        <w:tblDescription w:val="Any general comments. Please enter response here.&#10;"/>
      </w:tblPr>
      <w:tblGrid>
        <w:gridCol w:w="9918"/>
      </w:tblGrid>
      <w:tr w:rsidR="00B504F5" w:rsidRPr="008803AA" w:rsidTr="00771494">
        <w:trPr>
          <w:trHeight w:val="1020"/>
          <w:tblHeader/>
        </w:trPr>
        <w:tc>
          <w:tcPr>
            <w:tcW w:w="9918" w:type="dxa"/>
          </w:tcPr>
          <w:p w:rsidR="00B504F5" w:rsidRPr="009C58AC" w:rsidRDefault="00B504F5" w:rsidP="00A554EA">
            <w:pPr>
              <w:pStyle w:val="ListParagraph"/>
              <w:numPr>
                <w:ilvl w:val="0"/>
                <w:numId w:val="6"/>
              </w:numPr>
              <w:spacing w:before="120" w:after="120" w:line="240" w:lineRule="auto"/>
              <w:rPr>
                <w:b/>
                <w:sz w:val="20"/>
                <w:szCs w:val="20"/>
              </w:rPr>
            </w:pPr>
            <w:r w:rsidRPr="008803AA">
              <w:rPr>
                <w:b/>
                <w:sz w:val="20"/>
                <w:szCs w:val="20"/>
              </w:rPr>
              <w:t>Should any changes be made to the proposed amendments to ensure that they do not have any unintended consequences for victims of family violence?</w:t>
            </w:r>
          </w:p>
        </w:tc>
      </w:tr>
    </w:tbl>
    <w:p w:rsidR="00B504F5" w:rsidRPr="008803AA" w:rsidRDefault="00B504F5" w:rsidP="00B504F5">
      <w:pPr>
        <w:pStyle w:val="NoSpacing"/>
        <w:rPr>
          <w:sz w:val="20"/>
          <w:szCs w:val="20"/>
        </w:rPr>
      </w:pPr>
    </w:p>
    <w:tbl>
      <w:tblPr>
        <w:tblStyle w:val="TableGrid"/>
        <w:tblW w:w="9918" w:type="dxa"/>
        <w:tblLook w:val="04A0" w:firstRow="1" w:lastRow="0" w:firstColumn="1" w:lastColumn="0" w:noHBand="0" w:noVBand="1"/>
        <w:tblDescription w:val="Any general comments. Please enter response here.&#10;"/>
      </w:tblPr>
      <w:tblGrid>
        <w:gridCol w:w="9918"/>
      </w:tblGrid>
      <w:tr w:rsidR="00B504F5" w:rsidRPr="008803AA" w:rsidTr="00771494">
        <w:trPr>
          <w:trHeight w:val="1020"/>
          <w:tblHeader/>
        </w:trPr>
        <w:tc>
          <w:tcPr>
            <w:tcW w:w="9918" w:type="dxa"/>
          </w:tcPr>
          <w:p w:rsidR="00B504F5" w:rsidRPr="009C58AC" w:rsidRDefault="00B504F5" w:rsidP="00DD0DDF">
            <w:pPr>
              <w:pStyle w:val="ListParagraph"/>
              <w:numPr>
                <w:ilvl w:val="0"/>
                <w:numId w:val="6"/>
              </w:numPr>
              <w:spacing w:before="120" w:after="120" w:line="240" w:lineRule="auto"/>
              <w:rPr>
                <w:b/>
                <w:sz w:val="20"/>
                <w:szCs w:val="20"/>
              </w:rPr>
            </w:pPr>
            <w:r w:rsidRPr="008803AA">
              <w:rPr>
                <w:b/>
                <w:sz w:val="20"/>
                <w:szCs w:val="20"/>
              </w:rPr>
              <w:t>Any general comments</w:t>
            </w:r>
            <w:r>
              <w:rPr>
                <w:b/>
                <w:sz w:val="20"/>
                <w:szCs w:val="20"/>
              </w:rPr>
              <w:t>.</w:t>
            </w:r>
          </w:p>
        </w:tc>
      </w:tr>
    </w:tbl>
    <w:p w:rsidR="00BF05D3" w:rsidRDefault="00BF05D3" w:rsidP="00D23039">
      <w:pPr>
        <w:pStyle w:val="NoSpacing"/>
      </w:pPr>
    </w:p>
    <w:p w:rsidR="007F594E" w:rsidRDefault="007F594E" w:rsidP="00D23039">
      <w:pPr>
        <w:pStyle w:val="NoSpacing"/>
      </w:pPr>
    </w:p>
    <w:p w:rsidR="007F594E" w:rsidRDefault="007F594E" w:rsidP="007F594E">
      <w:pPr>
        <w:spacing w:after="0" w:line="240" w:lineRule="auto"/>
        <w:sectPr w:rsidR="007F594E" w:rsidSect="00B24240">
          <w:headerReference w:type="first" r:id="rId13"/>
          <w:footerReference w:type="first" r:id="rId14"/>
          <w:pgSz w:w="11906" w:h="16838"/>
          <w:pgMar w:top="851" w:right="991" w:bottom="1440" w:left="993" w:header="708" w:footer="708" w:gutter="0"/>
          <w:cols w:space="708"/>
          <w:docGrid w:linePitch="360"/>
        </w:sectPr>
      </w:pPr>
    </w:p>
    <w:p w:rsidR="005E4473" w:rsidRPr="00EF3797" w:rsidRDefault="005E4473" w:rsidP="00B9235B">
      <w:pPr>
        <w:pStyle w:val="NoSpacing"/>
        <w:rPr>
          <w:sz w:val="24"/>
          <w:szCs w:val="24"/>
        </w:rPr>
      </w:pPr>
      <w:r w:rsidRPr="00EF3797">
        <w:rPr>
          <w:sz w:val="24"/>
          <w:szCs w:val="24"/>
        </w:rPr>
        <w:lastRenderedPageBreak/>
        <w:t>25 August 2017</w:t>
      </w:r>
    </w:p>
    <w:p w:rsidR="005E4473" w:rsidRPr="00EF3797" w:rsidRDefault="005E4473" w:rsidP="00B9235B">
      <w:pPr>
        <w:pStyle w:val="NoSpacing"/>
        <w:rPr>
          <w:sz w:val="24"/>
          <w:szCs w:val="24"/>
        </w:rPr>
      </w:pPr>
    </w:p>
    <w:p w:rsidR="00E10F77" w:rsidRPr="00EF3797" w:rsidRDefault="00E10F77" w:rsidP="00B9235B">
      <w:pPr>
        <w:pStyle w:val="NoSpacing"/>
        <w:rPr>
          <w:sz w:val="24"/>
          <w:szCs w:val="24"/>
        </w:rPr>
      </w:pPr>
    </w:p>
    <w:p w:rsidR="005E4473" w:rsidRPr="00EF3797" w:rsidRDefault="005E4473" w:rsidP="00B9235B">
      <w:pPr>
        <w:pStyle w:val="NoSpacing"/>
        <w:rPr>
          <w:sz w:val="24"/>
          <w:szCs w:val="24"/>
        </w:rPr>
      </w:pPr>
      <w:r w:rsidRPr="00EF3797">
        <w:rPr>
          <w:sz w:val="24"/>
          <w:szCs w:val="24"/>
        </w:rPr>
        <w:t>Public consultation: Family violence cross-examination amendments</w:t>
      </w:r>
    </w:p>
    <w:p w:rsidR="005E4473" w:rsidRPr="00EF3797" w:rsidRDefault="005E4473" w:rsidP="00B9235B">
      <w:pPr>
        <w:pStyle w:val="NoSpacing"/>
        <w:rPr>
          <w:sz w:val="24"/>
          <w:szCs w:val="24"/>
        </w:rPr>
      </w:pPr>
      <w:r w:rsidRPr="00EF3797">
        <w:rPr>
          <w:sz w:val="24"/>
          <w:szCs w:val="24"/>
        </w:rPr>
        <w:t>Family Violence Taskforce</w:t>
      </w:r>
    </w:p>
    <w:p w:rsidR="005E4473" w:rsidRPr="00EF3797" w:rsidRDefault="005E4473" w:rsidP="00B9235B">
      <w:pPr>
        <w:pStyle w:val="NoSpacing"/>
        <w:rPr>
          <w:sz w:val="24"/>
          <w:szCs w:val="24"/>
        </w:rPr>
      </w:pPr>
      <w:r w:rsidRPr="00EF3797">
        <w:rPr>
          <w:sz w:val="24"/>
          <w:szCs w:val="24"/>
        </w:rPr>
        <w:t>Attorney-General's Department</w:t>
      </w:r>
    </w:p>
    <w:p w:rsidR="005E4473" w:rsidRPr="00EF3797" w:rsidRDefault="005E4473" w:rsidP="00A73A2A">
      <w:pPr>
        <w:pStyle w:val="NoSpacing"/>
        <w:tabs>
          <w:tab w:val="left" w:pos="6061"/>
        </w:tabs>
        <w:rPr>
          <w:sz w:val="24"/>
          <w:szCs w:val="24"/>
        </w:rPr>
      </w:pPr>
      <w:r w:rsidRPr="00EF3797">
        <w:rPr>
          <w:sz w:val="24"/>
          <w:szCs w:val="24"/>
        </w:rPr>
        <w:t>3-5 National Circuit</w:t>
      </w:r>
      <w:r w:rsidR="00A73A2A">
        <w:rPr>
          <w:sz w:val="24"/>
          <w:szCs w:val="24"/>
        </w:rPr>
        <w:tab/>
      </w:r>
    </w:p>
    <w:p w:rsidR="005E4473" w:rsidRPr="00EF3797" w:rsidRDefault="005E4473" w:rsidP="00B9235B">
      <w:pPr>
        <w:pStyle w:val="NoSpacing"/>
        <w:rPr>
          <w:sz w:val="24"/>
          <w:szCs w:val="24"/>
        </w:rPr>
      </w:pPr>
      <w:r w:rsidRPr="00EF3797">
        <w:rPr>
          <w:sz w:val="24"/>
          <w:szCs w:val="24"/>
        </w:rPr>
        <w:t>BARTON ACT 2600</w:t>
      </w:r>
    </w:p>
    <w:p w:rsidR="005E4473" w:rsidRPr="00EF3797" w:rsidRDefault="005E4473" w:rsidP="00B9235B">
      <w:pPr>
        <w:pStyle w:val="NoSpacing"/>
        <w:rPr>
          <w:sz w:val="24"/>
          <w:szCs w:val="24"/>
        </w:rPr>
      </w:pPr>
    </w:p>
    <w:p w:rsidR="005E4473" w:rsidRPr="00EF3797" w:rsidRDefault="005E4473" w:rsidP="00B9235B">
      <w:pPr>
        <w:pStyle w:val="NoSpacing"/>
        <w:rPr>
          <w:sz w:val="24"/>
          <w:szCs w:val="24"/>
        </w:rPr>
      </w:pPr>
      <w:r w:rsidRPr="00EF3797">
        <w:rPr>
          <w:sz w:val="24"/>
          <w:szCs w:val="24"/>
        </w:rPr>
        <w:t>By email:</w:t>
      </w:r>
      <w:r w:rsidR="0049661A" w:rsidRPr="00EF3797">
        <w:rPr>
          <w:sz w:val="24"/>
          <w:szCs w:val="24"/>
        </w:rPr>
        <w:t xml:space="preserve"> </w:t>
      </w:r>
      <w:hyperlink r:id="rId15" w:history="1">
        <w:r w:rsidR="0049661A" w:rsidRPr="00EF3797">
          <w:rPr>
            <w:rStyle w:val="Hyperlink"/>
            <w:sz w:val="24"/>
            <w:szCs w:val="24"/>
          </w:rPr>
          <w:t>familylawunit@ag.gov.au</w:t>
        </w:r>
      </w:hyperlink>
    </w:p>
    <w:p w:rsidR="005E4473" w:rsidRPr="00EF3797" w:rsidRDefault="005E4473" w:rsidP="00B9235B">
      <w:pPr>
        <w:pStyle w:val="NoSpacing"/>
        <w:rPr>
          <w:sz w:val="24"/>
          <w:szCs w:val="24"/>
        </w:rPr>
      </w:pPr>
    </w:p>
    <w:p w:rsidR="005E4473" w:rsidRPr="00EF3797" w:rsidRDefault="005E4473" w:rsidP="00B9235B">
      <w:pPr>
        <w:pStyle w:val="NoSpacing"/>
        <w:rPr>
          <w:sz w:val="24"/>
          <w:szCs w:val="24"/>
        </w:rPr>
      </w:pPr>
      <w:r w:rsidRPr="00EF3797">
        <w:rPr>
          <w:sz w:val="24"/>
          <w:szCs w:val="24"/>
        </w:rPr>
        <w:t xml:space="preserve">Dear </w:t>
      </w:r>
      <w:r w:rsidR="00D61462" w:rsidRPr="00EF3797">
        <w:rPr>
          <w:sz w:val="24"/>
          <w:szCs w:val="24"/>
        </w:rPr>
        <w:t>Family Violence Taskforce</w:t>
      </w:r>
    </w:p>
    <w:p w:rsidR="008C685B" w:rsidRPr="00EF3797" w:rsidRDefault="008C685B" w:rsidP="00B9235B">
      <w:pPr>
        <w:pStyle w:val="NoSpacing"/>
        <w:rPr>
          <w:sz w:val="24"/>
          <w:szCs w:val="24"/>
        </w:rPr>
      </w:pPr>
    </w:p>
    <w:p w:rsidR="008C685B" w:rsidRPr="00EF3797" w:rsidRDefault="008C685B" w:rsidP="00B9235B">
      <w:pPr>
        <w:pStyle w:val="NoSpacing"/>
        <w:rPr>
          <w:b/>
          <w:sz w:val="24"/>
          <w:szCs w:val="24"/>
        </w:rPr>
      </w:pPr>
      <w:r w:rsidRPr="00EF3797">
        <w:rPr>
          <w:b/>
          <w:sz w:val="24"/>
          <w:szCs w:val="24"/>
        </w:rPr>
        <w:t>Exposure draft – Family Law Amendment (Family Violence and Cross-examination of Parties) Bill 2017</w:t>
      </w:r>
    </w:p>
    <w:p w:rsidR="008C685B" w:rsidRPr="00EF3797" w:rsidRDefault="008C685B" w:rsidP="00B9235B">
      <w:pPr>
        <w:pStyle w:val="NoSpacing"/>
        <w:rPr>
          <w:sz w:val="24"/>
          <w:szCs w:val="24"/>
        </w:rPr>
      </w:pPr>
    </w:p>
    <w:p w:rsidR="008C685B" w:rsidRPr="00EF3797" w:rsidRDefault="008C685B" w:rsidP="00B9235B">
      <w:pPr>
        <w:pStyle w:val="NoSpacing"/>
        <w:rPr>
          <w:color w:val="000000"/>
          <w:sz w:val="24"/>
          <w:szCs w:val="24"/>
        </w:rPr>
      </w:pPr>
      <w:r w:rsidRPr="00EF3797">
        <w:rPr>
          <w:sz w:val="24"/>
          <w:szCs w:val="24"/>
        </w:rPr>
        <w:t xml:space="preserve">Thank you for the </w:t>
      </w:r>
      <w:r w:rsidR="00732F24" w:rsidRPr="00EF3797">
        <w:rPr>
          <w:sz w:val="24"/>
          <w:szCs w:val="24"/>
        </w:rPr>
        <w:t>opportunity</w:t>
      </w:r>
      <w:r w:rsidRPr="00EF3797">
        <w:rPr>
          <w:sz w:val="24"/>
          <w:szCs w:val="24"/>
        </w:rPr>
        <w:t xml:space="preserve"> to provide a written submission to the </w:t>
      </w:r>
      <w:r w:rsidR="00590B8A" w:rsidRPr="00EF3797">
        <w:rPr>
          <w:color w:val="000000"/>
          <w:sz w:val="24"/>
          <w:szCs w:val="24"/>
        </w:rPr>
        <w:t xml:space="preserve">Public Consultation Paper: </w:t>
      </w:r>
      <w:r w:rsidR="00590B8A" w:rsidRPr="00EF3797">
        <w:rPr>
          <w:i/>
          <w:color w:val="000000"/>
          <w:sz w:val="24"/>
          <w:szCs w:val="24"/>
        </w:rPr>
        <w:t>Proposed amendments to the Family Law Act 1975 (Cth) to address direct cross-examination of parties in family law proceedings involving family violence</w:t>
      </w:r>
      <w:r w:rsidR="00590B8A" w:rsidRPr="00EF3797">
        <w:rPr>
          <w:color w:val="000000"/>
          <w:sz w:val="24"/>
          <w:szCs w:val="24"/>
        </w:rPr>
        <w:t xml:space="preserve">, and the Exposure draft – Family Law Amendment (Family Violence and Cross-examination of Parties) Bill 2017 (the </w:t>
      </w:r>
      <w:r w:rsidR="00224606" w:rsidRPr="00EF3797">
        <w:rPr>
          <w:color w:val="000000"/>
          <w:sz w:val="24"/>
          <w:szCs w:val="24"/>
        </w:rPr>
        <w:t xml:space="preserve">Exposure Draft </w:t>
      </w:r>
      <w:r w:rsidR="00590B8A" w:rsidRPr="00EF3797">
        <w:rPr>
          <w:color w:val="000000"/>
          <w:sz w:val="24"/>
          <w:szCs w:val="24"/>
        </w:rPr>
        <w:t xml:space="preserve">Bill). </w:t>
      </w:r>
    </w:p>
    <w:p w:rsidR="005616E4" w:rsidRPr="00EF3797" w:rsidRDefault="005616E4" w:rsidP="00B9235B">
      <w:pPr>
        <w:pStyle w:val="NoSpacing"/>
        <w:rPr>
          <w:color w:val="000000"/>
          <w:sz w:val="24"/>
          <w:szCs w:val="24"/>
        </w:rPr>
      </w:pPr>
    </w:p>
    <w:p w:rsidR="005616E4" w:rsidRPr="00EF3797" w:rsidRDefault="005616E4" w:rsidP="00B9235B">
      <w:pPr>
        <w:pStyle w:val="NoSpacing"/>
        <w:rPr>
          <w:color w:val="000000"/>
          <w:sz w:val="24"/>
          <w:szCs w:val="24"/>
        </w:rPr>
      </w:pPr>
      <w:r w:rsidRPr="00EF3797">
        <w:rPr>
          <w:color w:val="000000"/>
          <w:sz w:val="24"/>
          <w:szCs w:val="24"/>
        </w:rPr>
        <w:t xml:space="preserve">The Commission does not provide direct </w:t>
      </w:r>
      <w:r w:rsidR="007137BE">
        <w:rPr>
          <w:color w:val="000000"/>
          <w:sz w:val="24"/>
          <w:szCs w:val="24"/>
        </w:rPr>
        <w:t>comments on</w:t>
      </w:r>
      <w:r w:rsidRPr="00EF3797">
        <w:rPr>
          <w:color w:val="000000"/>
          <w:sz w:val="24"/>
          <w:szCs w:val="24"/>
        </w:rPr>
        <w:t xml:space="preserve"> each of the consultation questions in the Public Consultation Paper</w:t>
      </w:r>
      <w:r w:rsidR="003C6BC8">
        <w:rPr>
          <w:color w:val="000000"/>
          <w:sz w:val="24"/>
          <w:szCs w:val="24"/>
        </w:rPr>
        <w:t xml:space="preserve"> or</w:t>
      </w:r>
      <w:r w:rsidR="009114FA" w:rsidRPr="00EF3797">
        <w:rPr>
          <w:color w:val="000000"/>
          <w:sz w:val="24"/>
          <w:szCs w:val="24"/>
        </w:rPr>
        <w:t xml:space="preserve"> the </w:t>
      </w:r>
      <w:r w:rsidR="00604410">
        <w:rPr>
          <w:color w:val="000000"/>
          <w:sz w:val="24"/>
          <w:szCs w:val="24"/>
        </w:rPr>
        <w:t xml:space="preserve">provisions of the </w:t>
      </w:r>
      <w:r w:rsidR="009114FA" w:rsidRPr="00EF3797">
        <w:rPr>
          <w:color w:val="000000"/>
          <w:sz w:val="24"/>
          <w:szCs w:val="24"/>
        </w:rPr>
        <w:t>Exposure Draft Bill</w:t>
      </w:r>
      <w:r w:rsidRPr="00EF3797">
        <w:rPr>
          <w:color w:val="000000"/>
          <w:sz w:val="24"/>
          <w:szCs w:val="24"/>
        </w:rPr>
        <w:t xml:space="preserve">. Rather, the </w:t>
      </w:r>
      <w:r w:rsidR="00E10F77" w:rsidRPr="00EF3797">
        <w:rPr>
          <w:color w:val="000000"/>
          <w:sz w:val="24"/>
          <w:szCs w:val="24"/>
        </w:rPr>
        <w:t>Commission</w:t>
      </w:r>
      <w:r w:rsidRPr="00EF3797">
        <w:rPr>
          <w:color w:val="000000"/>
          <w:sz w:val="24"/>
          <w:szCs w:val="24"/>
        </w:rPr>
        <w:t xml:space="preserve"> provides relevant information in support of the stated aims of the proposed reforms, and also notes potential </w:t>
      </w:r>
      <w:r w:rsidR="0029261C" w:rsidRPr="00EF3797">
        <w:rPr>
          <w:color w:val="000000"/>
          <w:sz w:val="24"/>
          <w:szCs w:val="24"/>
        </w:rPr>
        <w:t xml:space="preserve">issues of </w:t>
      </w:r>
      <w:r w:rsidRPr="00EF3797">
        <w:rPr>
          <w:color w:val="000000"/>
          <w:sz w:val="24"/>
          <w:szCs w:val="24"/>
        </w:rPr>
        <w:t xml:space="preserve">human rights </w:t>
      </w:r>
      <w:r w:rsidR="0029261C" w:rsidRPr="00EF3797">
        <w:rPr>
          <w:color w:val="000000"/>
          <w:sz w:val="24"/>
          <w:szCs w:val="24"/>
        </w:rPr>
        <w:t>compliance</w:t>
      </w:r>
      <w:r w:rsidRPr="00EF3797">
        <w:rPr>
          <w:color w:val="000000"/>
          <w:sz w:val="24"/>
          <w:szCs w:val="24"/>
        </w:rPr>
        <w:t xml:space="preserve"> that should be considere</w:t>
      </w:r>
      <w:r w:rsidR="0029261C" w:rsidRPr="00EF3797">
        <w:rPr>
          <w:color w:val="000000"/>
          <w:sz w:val="24"/>
          <w:szCs w:val="24"/>
        </w:rPr>
        <w:t xml:space="preserve">d as part of any Statement of </w:t>
      </w:r>
      <w:r w:rsidR="0034358F" w:rsidRPr="00EF3797">
        <w:rPr>
          <w:color w:val="000000"/>
          <w:sz w:val="24"/>
          <w:szCs w:val="24"/>
        </w:rPr>
        <w:t>Compatibility</w:t>
      </w:r>
      <w:r w:rsidR="0029261C" w:rsidRPr="00EF3797">
        <w:rPr>
          <w:color w:val="000000"/>
          <w:sz w:val="24"/>
          <w:szCs w:val="24"/>
        </w:rPr>
        <w:t xml:space="preserve"> of the Bill</w:t>
      </w:r>
      <w:r w:rsidRPr="00EF3797">
        <w:rPr>
          <w:color w:val="000000"/>
          <w:sz w:val="24"/>
          <w:szCs w:val="24"/>
        </w:rPr>
        <w:t xml:space="preserve">. </w:t>
      </w:r>
    </w:p>
    <w:p w:rsidR="00AA09CD" w:rsidRPr="00EF3797" w:rsidRDefault="00AA09CD" w:rsidP="00B9235B">
      <w:pPr>
        <w:pStyle w:val="NoSpacing"/>
        <w:rPr>
          <w:color w:val="000000"/>
          <w:sz w:val="24"/>
          <w:szCs w:val="24"/>
        </w:rPr>
      </w:pPr>
    </w:p>
    <w:p w:rsidR="00AA09CD" w:rsidRPr="00EF3797" w:rsidRDefault="00AA09CD" w:rsidP="00B9235B">
      <w:pPr>
        <w:pStyle w:val="NoSpacing"/>
        <w:rPr>
          <w:sz w:val="24"/>
          <w:szCs w:val="24"/>
        </w:rPr>
      </w:pPr>
      <w:r w:rsidRPr="00EF3797">
        <w:rPr>
          <w:sz w:val="24"/>
          <w:szCs w:val="24"/>
        </w:rPr>
        <w:t xml:space="preserve">The Commission is broadly supportive of the </w:t>
      </w:r>
      <w:r w:rsidR="00110D78">
        <w:rPr>
          <w:sz w:val="24"/>
          <w:szCs w:val="24"/>
        </w:rPr>
        <w:t xml:space="preserve">intended effect of the </w:t>
      </w:r>
      <w:r w:rsidRPr="00EF3797">
        <w:rPr>
          <w:sz w:val="24"/>
          <w:szCs w:val="24"/>
        </w:rPr>
        <w:t xml:space="preserve">proposed amendments to the </w:t>
      </w:r>
      <w:r w:rsidRPr="00EF3797">
        <w:rPr>
          <w:i/>
          <w:sz w:val="24"/>
          <w:szCs w:val="24"/>
        </w:rPr>
        <w:t>Family Law Act 1975</w:t>
      </w:r>
      <w:r w:rsidRPr="00EF3797">
        <w:rPr>
          <w:sz w:val="24"/>
          <w:szCs w:val="24"/>
        </w:rPr>
        <w:t xml:space="preserve"> (Cth)</w:t>
      </w:r>
      <w:r w:rsidR="00110D78">
        <w:rPr>
          <w:sz w:val="24"/>
          <w:szCs w:val="24"/>
        </w:rPr>
        <w:t>:</w:t>
      </w:r>
      <w:r w:rsidRPr="00EF3797">
        <w:rPr>
          <w:sz w:val="24"/>
          <w:szCs w:val="24"/>
        </w:rPr>
        <w:t xml:space="preserve"> </w:t>
      </w:r>
      <w:r w:rsidR="00110D78">
        <w:rPr>
          <w:sz w:val="24"/>
          <w:szCs w:val="24"/>
        </w:rPr>
        <w:t xml:space="preserve">to </w:t>
      </w:r>
      <w:r w:rsidRPr="00EF3797">
        <w:rPr>
          <w:sz w:val="24"/>
          <w:szCs w:val="24"/>
        </w:rPr>
        <w:t xml:space="preserve">prevent direct cross-examination by unrepresented parties in family law proceedings, in matters involving family violence. These reforms </w:t>
      </w:r>
      <w:r w:rsidR="00655966" w:rsidRPr="00EF3797">
        <w:rPr>
          <w:sz w:val="24"/>
          <w:szCs w:val="24"/>
        </w:rPr>
        <w:t>aim to ensure</w:t>
      </w:r>
      <w:r w:rsidRPr="00EF3797">
        <w:rPr>
          <w:sz w:val="24"/>
          <w:szCs w:val="24"/>
        </w:rPr>
        <w:t xml:space="preserve"> that victims of family and domestic violence are not re-traumatised in giving their evidence to the court.  </w:t>
      </w:r>
    </w:p>
    <w:p w:rsidR="001549D3" w:rsidRPr="00EF3797" w:rsidRDefault="001549D3" w:rsidP="00B9235B">
      <w:pPr>
        <w:pStyle w:val="NoSpacing"/>
        <w:rPr>
          <w:sz w:val="24"/>
          <w:szCs w:val="24"/>
        </w:rPr>
      </w:pPr>
    </w:p>
    <w:p w:rsidR="00DA62F0" w:rsidRPr="00EF3797" w:rsidRDefault="001549D3" w:rsidP="00B9235B">
      <w:pPr>
        <w:pStyle w:val="NoSpacing"/>
        <w:rPr>
          <w:sz w:val="24"/>
          <w:szCs w:val="24"/>
        </w:rPr>
      </w:pPr>
      <w:r w:rsidRPr="00EF3797">
        <w:rPr>
          <w:sz w:val="24"/>
          <w:szCs w:val="24"/>
        </w:rPr>
        <w:t>The Commission recognises the significant social and economic impact of family and domestic violence on the Australian community, and the disproportionate impact that this has on women and children.</w:t>
      </w:r>
      <w:r w:rsidR="00DA62F0" w:rsidRPr="00EF3797">
        <w:rPr>
          <w:rStyle w:val="FootnoteReference"/>
          <w:sz w:val="24"/>
          <w:szCs w:val="24"/>
        </w:rPr>
        <w:footnoteReference w:id="1"/>
      </w:r>
      <w:r w:rsidR="00DA62F0" w:rsidRPr="00EF3797">
        <w:rPr>
          <w:sz w:val="24"/>
          <w:szCs w:val="24"/>
        </w:rPr>
        <w:t xml:space="preserve"> The Commission notes that direct cross-examination of parties involving family violence risks reinforcing the power dynamic that typifies family and domestic violence, and consequently risks affecting the probity of evidence put before the Court, where power and control is asserted over the victim during proceedings. </w:t>
      </w:r>
    </w:p>
    <w:p w:rsidR="00DA62F0" w:rsidRPr="00EF3797" w:rsidRDefault="00DA62F0" w:rsidP="00B9235B">
      <w:pPr>
        <w:pStyle w:val="NoSpacing"/>
        <w:rPr>
          <w:sz w:val="24"/>
          <w:szCs w:val="24"/>
        </w:rPr>
      </w:pPr>
      <w:r w:rsidRPr="00EF3797">
        <w:rPr>
          <w:sz w:val="24"/>
          <w:szCs w:val="24"/>
        </w:rPr>
        <w:lastRenderedPageBreak/>
        <w:t>The proposed reforms promote greater access to justice by empowering victims of family and domestic violence to participate in the family law process, which is a critical pathway to achieving gender equality.</w:t>
      </w:r>
      <w:r w:rsidRPr="00EF3797">
        <w:rPr>
          <w:rStyle w:val="FootnoteReference"/>
          <w:sz w:val="24"/>
          <w:szCs w:val="24"/>
        </w:rPr>
        <w:footnoteReference w:id="2"/>
      </w:r>
      <w:r w:rsidRPr="00EF3797">
        <w:rPr>
          <w:sz w:val="24"/>
          <w:szCs w:val="24"/>
        </w:rPr>
        <w:t xml:space="preserve"> This is consistent with the United Nations </w:t>
      </w:r>
      <w:r w:rsidRPr="00EF3797">
        <w:rPr>
          <w:i/>
          <w:sz w:val="24"/>
          <w:szCs w:val="24"/>
        </w:rPr>
        <w:t>Convention on the Elimination of All Forms of Discrimination against Women</w:t>
      </w:r>
      <w:r w:rsidRPr="00EF3797">
        <w:rPr>
          <w:sz w:val="24"/>
          <w:szCs w:val="24"/>
        </w:rPr>
        <w:t xml:space="preserve">, which requires state parties to take appropriate measures to eliminate discrimination against women, including gender-based violence. </w:t>
      </w:r>
    </w:p>
    <w:p w:rsidR="00DA62F0" w:rsidRPr="00EF3797" w:rsidRDefault="00DA62F0" w:rsidP="00B9235B">
      <w:pPr>
        <w:pStyle w:val="NoSpacing"/>
        <w:rPr>
          <w:sz w:val="24"/>
          <w:szCs w:val="24"/>
        </w:rPr>
      </w:pPr>
    </w:p>
    <w:p w:rsidR="00DA62F0" w:rsidRDefault="00DA62F0" w:rsidP="00B9235B">
      <w:pPr>
        <w:pStyle w:val="NoSpacing"/>
        <w:rPr>
          <w:sz w:val="24"/>
          <w:szCs w:val="24"/>
        </w:rPr>
      </w:pPr>
      <w:r w:rsidRPr="00EF3797">
        <w:rPr>
          <w:sz w:val="24"/>
          <w:szCs w:val="24"/>
        </w:rPr>
        <w:t xml:space="preserve">The Commission also acknowledges that children are witnesses, bystanders and direct victims of violence in the home. As a party to the </w:t>
      </w:r>
      <w:r w:rsidRPr="00EF3797">
        <w:rPr>
          <w:i/>
          <w:sz w:val="24"/>
          <w:szCs w:val="24"/>
        </w:rPr>
        <w:t>Convention on the Rights of the Child</w:t>
      </w:r>
      <w:r w:rsidRPr="00EF3797">
        <w:rPr>
          <w:sz w:val="24"/>
          <w:szCs w:val="24"/>
        </w:rPr>
        <w:t xml:space="preserve">, Australia must take all appropriate measures to protect children from all forms of physical or mental violence, injury or abuse. It must also take all appropriate measures to promote the physical and psychological recovery of a child victim of abuse, in an environment that fosters the health, self-respect and dignity of the child. </w:t>
      </w:r>
    </w:p>
    <w:p w:rsidR="00DA62F0" w:rsidRDefault="00DA62F0" w:rsidP="00B9235B">
      <w:pPr>
        <w:pStyle w:val="NoSpacing"/>
        <w:rPr>
          <w:sz w:val="24"/>
          <w:szCs w:val="24"/>
        </w:rPr>
      </w:pPr>
    </w:p>
    <w:p w:rsidR="00DA62F0" w:rsidRPr="00EF3797" w:rsidRDefault="00DA62F0" w:rsidP="00B9235B">
      <w:pPr>
        <w:pStyle w:val="NoSpacing"/>
        <w:rPr>
          <w:sz w:val="24"/>
          <w:szCs w:val="24"/>
        </w:rPr>
      </w:pPr>
      <w:r>
        <w:rPr>
          <w:sz w:val="24"/>
          <w:szCs w:val="24"/>
        </w:rPr>
        <w:t>The policy intent of the proposed reforms is also consistent with recommendations made by t</w:t>
      </w:r>
      <w:r w:rsidRPr="00EF3797">
        <w:rPr>
          <w:sz w:val="24"/>
          <w:szCs w:val="24"/>
        </w:rPr>
        <w:t>he United Nations Committee on the Rights of the Child</w:t>
      </w:r>
      <w:r>
        <w:rPr>
          <w:sz w:val="24"/>
          <w:szCs w:val="24"/>
        </w:rPr>
        <w:t>, which</w:t>
      </w:r>
      <w:r w:rsidRPr="00EF3797">
        <w:rPr>
          <w:sz w:val="24"/>
          <w:szCs w:val="24"/>
        </w:rPr>
        <w:t xml:space="preserve"> has called on governments to provide comprehensive and integrated protective measures to address violence against children, including measures for prevention, identification, reporting, referral, investigation, treatment, follow-up, and judicial involvement.</w:t>
      </w:r>
      <w:r w:rsidRPr="00EF3797">
        <w:rPr>
          <w:rStyle w:val="FootnoteReference"/>
          <w:sz w:val="24"/>
          <w:szCs w:val="24"/>
        </w:rPr>
        <w:footnoteReference w:id="3"/>
      </w:r>
    </w:p>
    <w:p w:rsidR="00DA62F0" w:rsidRPr="00EF3797" w:rsidRDefault="00DA62F0" w:rsidP="00B9235B">
      <w:pPr>
        <w:pStyle w:val="NoSpacing"/>
        <w:rPr>
          <w:sz w:val="24"/>
          <w:szCs w:val="24"/>
        </w:rPr>
      </w:pPr>
    </w:p>
    <w:p w:rsidR="00DA62F0" w:rsidRPr="00965F13" w:rsidRDefault="00DA62F0" w:rsidP="00B9235B">
      <w:pPr>
        <w:pStyle w:val="NoSpacing"/>
        <w:rPr>
          <w:sz w:val="24"/>
          <w:szCs w:val="24"/>
        </w:rPr>
      </w:pPr>
      <w:r w:rsidRPr="00965F13">
        <w:rPr>
          <w:sz w:val="24"/>
          <w:szCs w:val="24"/>
        </w:rPr>
        <w:t xml:space="preserve">In 2015 the National Children’s Commissioner included a chapter in the </w:t>
      </w:r>
      <w:hyperlink r:id="rId16" w:history="1">
        <w:r w:rsidRPr="00965F13">
          <w:rPr>
            <w:rStyle w:val="Hyperlink"/>
            <w:i/>
            <w:sz w:val="24"/>
            <w:szCs w:val="24"/>
          </w:rPr>
          <w:t>Children’s Rights Report 2015</w:t>
        </w:r>
      </w:hyperlink>
      <w:r w:rsidR="00E11B0D" w:rsidRPr="00EA3502">
        <w:rPr>
          <w:rStyle w:val="Hyperlink"/>
          <w:sz w:val="24"/>
          <w:szCs w:val="24"/>
          <w:u w:val="none"/>
        </w:rPr>
        <w:t>,</w:t>
      </w:r>
      <w:bookmarkStart w:id="1" w:name="_GoBack"/>
      <w:bookmarkEnd w:id="1"/>
      <w:r w:rsidR="00E11B0D" w:rsidRPr="00EA3502">
        <w:rPr>
          <w:rStyle w:val="Hyperlink"/>
          <w:sz w:val="24"/>
          <w:szCs w:val="24"/>
          <w:u w:val="none"/>
        </w:rPr>
        <w:t xml:space="preserve"> </w:t>
      </w:r>
      <w:r w:rsidR="00E11B0D">
        <w:rPr>
          <w:sz w:val="24"/>
          <w:szCs w:val="24"/>
        </w:rPr>
        <w:t>which contained the findings of a major investigation on</w:t>
      </w:r>
      <w:r w:rsidRPr="00965F13">
        <w:rPr>
          <w:sz w:val="24"/>
          <w:szCs w:val="24"/>
        </w:rPr>
        <w:t xml:space="preserve"> the impact of family an</w:t>
      </w:r>
      <w:r w:rsidR="0033444B">
        <w:rPr>
          <w:sz w:val="24"/>
          <w:szCs w:val="24"/>
        </w:rPr>
        <w:t>d domestic violence on children</w:t>
      </w:r>
      <w:r w:rsidRPr="00965F13">
        <w:rPr>
          <w:sz w:val="24"/>
          <w:szCs w:val="24"/>
        </w:rPr>
        <w:t xml:space="preserve"> (Chapter 4). </w:t>
      </w:r>
      <w:r w:rsidR="00451D61" w:rsidRPr="00965F13">
        <w:rPr>
          <w:sz w:val="24"/>
          <w:szCs w:val="24"/>
        </w:rPr>
        <w:t xml:space="preserve">A copy of the report is provided with this submission. </w:t>
      </w:r>
      <w:r w:rsidR="00AD5D7D" w:rsidRPr="00965F13">
        <w:rPr>
          <w:sz w:val="24"/>
          <w:szCs w:val="24"/>
        </w:rPr>
        <w:t>The Taskforce is</w:t>
      </w:r>
      <w:r w:rsidR="00451D61" w:rsidRPr="00965F13">
        <w:rPr>
          <w:sz w:val="24"/>
          <w:szCs w:val="24"/>
        </w:rPr>
        <w:t xml:space="preserve"> </w:t>
      </w:r>
      <w:r w:rsidRPr="00965F13">
        <w:rPr>
          <w:sz w:val="24"/>
          <w:szCs w:val="24"/>
        </w:rPr>
        <w:t>refe</w:t>
      </w:r>
      <w:r w:rsidR="00AD5D7D" w:rsidRPr="00965F13">
        <w:rPr>
          <w:sz w:val="24"/>
          <w:szCs w:val="24"/>
        </w:rPr>
        <w:t>r</w:t>
      </w:r>
      <w:r w:rsidRPr="00965F13">
        <w:rPr>
          <w:sz w:val="24"/>
          <w:szCs w:val="24"/>
        </w:rPr>
        <w:t>r</w:t>
      </w:r>
      <w:r w:rsidR="00AD5D7D" w:rsidRPr="00965F13">
        <w:rPr>
          <w:sz w:val="24"/>
          <w:szCs w:val="24"/>
        </w:rPr>
        <w:t>ed</w:t>
      </w:r>
      <w:r w:rsidRPr="00965F13">
        <w:rPr>
          <w:sz w:val="24"/>
          <w:szCs w:val="24"/>
        </w:rPr>
        <w:t xml:space="preserve"> in particular to the findings and recommendations set out at pp 144</w:t>
      </w:r>
      <w:r w:rsidR="00451D61" w:rsidRPr="00965F13">
        <w:rPr>
          <w:sz w:val="24"/>
          <w:szCs w:val="24"/>
        </w:rPr>
        <w:t>–</w:t>
      </w:r>
      <w:r w:rsidRPr="00965F13">
        <w:rPr>
          <w:sz w:val="24"/>
          <w:szCs w:val="24"/>
        </w:rPr>
        <w:t xml:space="preserve">150. </w:t>
      </w:r>
    </w:p>
    <w:p w:rsidR="00DA62F0" w:rsidRPr="00EF3797" w:rsidRDefault="00DA62F0" w:rsidP="00B9235B">
      <w:pPr>
        <w:pStyle w:val="SubmissionNormal"/>
        <w:spacing w:before="0" w:after="0"/>
        <w:rPr>
          <w:rFonts w:cs="Arial"/>
        </w:rPr>
      </w:pPr>
    </w:p>
    <w:p w:rsidR="00DA62F0" w:rsidRPr="007A28CD" w:rsidRDefault="00DA62F0" w:rsidP="00B9235B">
      <w:pPr>
        <w:pStyle w:val="SubmissionNormal"/>
        <w:spacing w:before="0" w:after="0"/>
        <w:rPr>
          <w:rFonts w:cs="Arial"/>
          <w:color w:val="000000"/>
        </w:rPr>
      </w:pPr>
      <w:r w:rsidRPr="007A28CD">
        <w:rPr>
          <w:rFonts w:cs="Arial"/>
        </w:rPr>
        <w:t xml:space="preserve">The </w:t>
      </w:r>
      <w:r w:rsidRPr="007A28CD">
        <w:rPr>
          <w:rFonts w:cs="Arial"/>
          <w:color w:val="000000"/>
        </w:rPr>
        <w:t xml:space="preserve">Commission has </w:t>
      </w:r>
      <w:r w:rsidRPr="007A28CD">
        <w:rPr>
          <w:rFonts w:cs="Arial"/>
          <w:color w:val="000000"/>
          <w:lang w:val="en-AU"/>
        </w:rPr>
        <w:t xml:space="preserve">also </w:t>
      </w:r>
      <w:r w:rsidRPr="007A28CD">
        <w:rPr>
          <w:rFonts w:cs="Arial"/>
          <w:color w:val="000000"/>
        </w:rPr>
        <w:t>made a number of submissions that include recommendations relating to violence against women and children in Australia, which may be relevant to the present consultation. The following submissions are attached, for information:</w:t>
      </w:r>
    </w:p>
    <w:p w:rsidR="00DA62F0" w:rsidRPr="00EF3797" w:rsidRDefault="00DA62F0" w:rsidP="00B9235B">
      <w:pPr>
        <w:pStyle w:val="SubmissionNormal"/>
        <w:spacing w:before="0" w:after="0"/>
        <w:rPr>
          <w:rFonts w:cs="Arial"/>
        </w:rPr>
      </w:pPr>
    </w:p>
    <w:p w:rsidR="00DA62F0" w:rsidRPr="00EF3797" w:rsidRDefault="00EA3502" w:rsidP="00B9235B">
      <w:pPr>
        <w:pStyle w:val="SubmissionNormal"/>
        <w:numPr>
          <w:ilvl w:val="0"/>
          <w:numId w:val="10"/>
        </w:numPr>
        <w:spacing w:before="0" w:after="0"/>
        <w:ind w:left="426" w:hanging="425"/>
        <w:rPr>
          <w:rFonts w:cs="Arial"/>
        </w:rPr>
      </w:pPr>
      <w:hyperlink r:id="rId17" w:history="1">
        <w:r w:rsidR="00DA62F0" w:rsidRPr="00EF3797">
          <w:rPr>
            <w:rStyle w:val="Hyperlink"/>
            <w:rFonts w:cs="Arial"/>
          </w:rPr>
          <w:t>Submission to the Special Rapporteur on violence against women</w:t>
        </w:r>
      </w:hyperlink>
      <w:r w:rsidR="00DA62F0" w:rsidRPr="00EF3797">
        <w:rPr>
          <w:rFonts w:cs="Arial"/>
        </w:rPr>
        <w:t xml:space="preserve"> </w:t>
      </w:r>
    </w:p>
    <w:p w:rsidR="00DA62F0" w:rsidRPr="00EF3797" w:rsidRDefault="00EA3502" w:rsidP="00B9235B">
      <w:pPr>
        <w:pStyle w:val="SubmissionNormal"/>
        <w:numPr>
          <w:ilvl w:val="0"/>
          <w:numId w:val="10"/>
        </w:numPr>
        <w:spacing w:before="0" w:after="0"/>
        <w:ind w:left="426" w:hanging="425"/>
        <w:rPr>
          <w:rFonts w:cs="Arial"/>
        </w:rPr>
      </w:pPr>
      <w:hyperlink r:id="rId18" w:history="1">
        <w:r w:rsidR="00DA62F0" w:rsidRPr="00EF3797">
          <w:rPr>
            <w:rStyle w:val="Hyperlink"/>
            <w:rFonts w:cs="Arial"/>
          </w:rPr>
          <w:t>Submission to the Senate Finance and Public Administration References Committee, inquiry into domestic violence and gender inequality</w:t>
        </w:r>
      </w:hyperlink>
      <w:r w:rsidR="00DA62F0" w:rsidRPr="00EF3797">
        <w:rPr>
          <w:rFonts w:cs="Arial"/>
        </w:rPr>
        <w:t xml:space="preserve"> </w:t>
      </w:r>
    </w:p>
    <w:p w:rsidR="00DA62F0" w:rsidRPr="00EF3797" w:rsidRDefault="00EA3502" w:rsidP="00B9235B">
      <w:pPr>
        <w:pStyle w:val="SubmissionNormal"/>
        <w:numPr>
          <w:ilvl w:val="0"/>
          <w:numId w:val="10"/>
        </w:numPr>
        <w:spacing w:before="0" w:after="0"/>
        <w:ind w:left="426" w:hanging="425"/>
        <w:rPr>
          <w:rFonts w:cs="Arial"/>
        </w:rPr>
      </w:pPr>
      <w:hyperlink r:id="rId19" w:history="1">
        <w:r w:rsidR="00DA62F0" w:rsidRPr="00EF3797">
          <w:rPr>
            <w:rStyle w:val="Hyperlink"/>
            <w:rFonts w:cs="Arial"/>
          </w:rPr>
          <w:t>Submission to the Joint Committee on Law Enforcement inquiry into human trafficking</w:t>
        </w:r>
      </w:hyperlink>
    </w:p>
    <w:p w:rsidR="00DA62F0" w:rsidRPr="00EF3797" w:rsidRDefault="00EA3502" w:rsidP="00B9235B">
      <w:pPr>
        <w:pStyle w:val="SubmissionNormal"/>
        <w:numPr>
          <w:ilvl w:val="0"/>
          <w:numId w:val="10"/>
        </w:numPr>
        <w:spacing w:before="0" w:after="0"/>
        <w:ind w:left="426" w:hanging="425"/>
        <w:rPr>
          <w:rFonts w:cs="Arial"/>
        </w:rPr>
      </w:pPr>
      <w:hyperlink r:id="rId20" w:history="1">
        <w:r w:rsidR="00DA62F0" w:rsidRPr="00EF3797">
          <w:rPr>
            <w:rStyle w:val="Hyperlink"/>
            <w:rFonts w:cs="Arial"/>
          </w:rPr>
          <w:t>Submission to the Fair Work Commission four yearly review of AM2015/1 Family and domestic violence clause</w:t>
        </w:r>
      </w:hyperlink>
    </w:p>
    <w:p w:rsidR="00DA62F0" w:rsidRPr="00EF3797" w:rsidRDefault="00DA62F0" w:rsidP="00B9235B">
      <w:pPr>
        <w:pStyle w:val="NoSpacing"/>
        <w:rPr>
          <w:sz w:val="24"/>
          <w:szCs w:val="24"/>
        </w:rPr>
      </w:pPr>
    </w:p>
    <w:p w:rsidR="00DA62F0" w:rsidRPr="00EF3797" w:rsidRDefault="00AD5D7D" w:rsidP="00B9235B">
      <w:pPr>
        <w:pStyle w:val="NoSpacing"/>
        <w:rPr>
          <w:sz w:val="24"/>
          <w:szCs w:val="24"/>
        </w:rPr>
      </w:pPr>
      <w:r>
        <w:rPr>
          <w:sz w:val="24"/>
          <w:szCs w:val="24"/>
        </w:rPr>
        <w:t>The Commission</w:t>
      </w:r>
      <w:r w:rsidRPr="00EF3797">
        <w:rPr>
          <w:sz w:val="24"/>
          <w:szCs w:val="24"/>
        </w:rPr>
        <w:t xml:space="preserve"> </w:t>
      </w:r>
      <w:r w:rsidR="00DA62F0" w:rsidRPr="00EF3797">
        <w:rPr>
          <w:sz w:val="24"/>
          <w:szCs w:val="24"/>
        </w:rPr>
        <w:t>acknowledge</w:t>
      </w:r>
      <w:r>
        <w:rPr>
          <w:sz w:val="24"/>
          <w:szCs w:val="24"/>
        </w:rPr>
        <w:t>s</w:t>
      </w:r>
      <w:r w:rsidR="00DA62F0" w:rsidRPr="00EF3797">
        <w:rPr>
          <w:sz w:val="24"/>
          <w:szCs w:val="24"/>
        </w:rPr>
        <w:t xml:space="preserve"> that, if the Exposure Draft Bill proceeds to a Bill before the Parliament, a Statement of Compatibility will be required, which must contain an assessment of the Bill’s compatibility with the rights and freedoms recognised in the seven core international human rights treaties which Australia has ratified.</w:t>
      </w:r>
    </w:p>
    <w:p w:rsidR="00DA62F0" w:rsidRPr="00EF3797" w:rsidRDefault="00DA62F0" w:rsidP="00B9235B">
      <w:pPr>
        <w:pStyle w:val="NoSpacing"/>
        <w:rPr>
          <w:sz w:val="24"/>
          <w:szCs w:val="24"/>
        </w:rPr>
      </w:pPr>
    </w:p>
    <w:p w:rsidR="005941B3" w:rsidRDefault="005941B3" w:rsidP="00B9235B">
      <w:pPr>
        <w:pStyle w:val="NoSpacing"/>
        <w:rPr>
          <w:sz w:val="24"/>
          <w:szCs w:val="24"/>
        </w:rPr>
      </w:pPr>
    </w:p>
    <w:p w:rsidR="005941B3" w:rsidRDefault="005941B3" w:rsidP="00B9235B">
      <w:pPr>
        <w:pStyle w:val="NoSpacing"/>
        <w:rPr>
          <w:sz w:val="24"/>
          <w:szCs w:val="24"/>
        </w:rPr>
      </w:pPr>
    </w:p>
    <w:p w:rsidR="00DA62F0" w:rsidRDefault="00DA62F0" w:rsidP="00B9235B">
      <w:pPr>
        <w:pStyle w:val="NoSpacing"/>
        <w:rPr>
          <w:sz w:val="24"/>
          <w:szCs w:val="24"/>
        </w:rPr>
      </w:pPr>
      <w:r w:rsidRPr="00EF3797">
        <w:rPr>
          <w:sz w:val="24"/>
          <w:szCs w:val="24"/>
        </w:rPr>
        <w:lastRenderedPageBreak/>
        <w:t xml:space="preserve">The Commission </w:t>
      </w:r>
      <w:r w:rsidR="00AD5D7D">
        <w:rPr>
          <w:sz w:val="24"/>
          <w:szCs w:val="24"/>
        </w:rPr>
        <w:t>suggests</w:t>
      </w:r>
      <w:r w:rsidR="00AD5D7D" w:rsidRPr="00EF3797">
        <w:rPr>
          <w:sz w:val="24"/>
          <w:szCs w:val="24"/>
        </w:rPr>
        <w:t xml:space="preserve"> </w:t>
      </w:r>
      <w:r w:rsidRPr="00EF3797">
        <w:rPr>
          <w:sz w:val="24"/>
          <w:szCs w:val="24"/>
        </w:rPr>
        <w:t>that some of the preliminary human rights issues that should be considered as part of this process are:</w:t>
      </w:r>
    </w:p>
    <w:p w:rsidR="00DA62F0" w:rsidRPr="00EF3797" w:rsidRDefault="00DA62F0" w:rsidP="00B9235B">
      <w:pPr>
        <w:pStyle w:val="NoSpacing"/>
        <w:rPr>
          <w:sz w:val="24"/>
          <w:szCs w:val="24"/>
        </w:rPr>
      </w:pPr>
    </w:p>
    <w:p w:rsidR="00DA62F0" w:rsidRPr="00965F13" w:rsidRDefault="00451D61" w:rsidP="00B9235B">
      <w:pPr>
        <w:pStyle w:val="NoSpacing"/>
        <w:numPr>
          <w:ilvl w:val="0"/>
          <w:numId w:val="12"/>
        </w:numPr>
        <w:ind w:left="426"/>
        <w:rPr>
          <w:sz w:val="24"/>
          <w:szCs w:val="24"/>
        </w:rPr>
      </w:pPr>
      <w:r>
        <w:rPr>
          <w:sz w:val="24"/>
          <w:szCs w:val="24"/>
          <w:lang w:val="en-GB"/>
        </w:rPr>
        <w:t>t</w:t>
      </w:r>
      <w:r w:rsidRPr="00EF3797">
        <w:rPr>
          <w:sz w:val="24"/>
          <w:szCs w:val="24"/>
          <w:lang w:val="en-GB"/>
        </w:rPr>
        <w:t xml:space="preserve">he </w:t>
      </w:r>
      <w:r w:rsidR="00DA62F0" w:rsidRPr="00EF3797">
        <w:rPr>
          <w:sz w:val="24"/>
          <w:szCs w:val="24"/>
          <w:lang w:val="en-GB"/>
        </w:rPr>
        <w:t xml:space="preserve">protection of vulnerable witnesses and their capacity to give effective evidence balanced against the right of </w:t>
      </w:r>
      <w:r w:rsidR="00DA62F0">
        <w:rPr>
          <w:sz w:val="24"/>
          <w:szCs w:val="24"/>
          <w:lang w:val="en-GB"/>
        </w:rPr>
        <w:t>an</w:t>
      </w:r>
      <w:r w:rsidR="00DA62F0" w:rsidRPr="00EF3797">
        <w:rPr>
          <w:sz w:val="24"/>
          <w:szCs w:val="24"/>
          <w:lang w:val="en-GB"/>
        </w:rPr>
        <w:t>other party to</w:t>
      </w:r>
      <w:r w:rsidR="00DA62F0">
        <w:rPr>
          <w:sz w:val="24"/>
          <w:szCs w:val="24"/>
          <w:lang w:val="en-GB"/>
        </w:rPr>
        <w:t xml:space="preserve"> test evidence adduced by all relevant witnesses</w:t>
      </w:r>
      <w:r w:rsidR="00DA62F0" w:rsidRPr="00EF3797">
        <w:rPr>
          <w:sz w:val="24"/>
          <w:szCs w:val="24"/>
          <w:lang w:val="en-GB"/>
        </w:rPr>
        <w:t>;</w:t>
      </w:r>
    </w:p>
    <w:p w:rsidR="00451D61" w:rsidRPr="00EF3797" w:rsidRDefault="00451D61" w:rsidP="00B9235B">
      <w:pPr>
        <w:pStyle w:val="NoSpacing"/>
        <w:numPr>
          <w:ilvl w:val="0"/>
          <w:numId w:val="12"/>
        </w:numPr>
        <w:ind w:left="426"/>
        <w:rPr>
          <w:sz w:val="24"/>
          <w:szCs w:val="24"/>
        </w:rPr>
      </w:pPr>
      <w:r>
        <w:rPr>
          <w:sz w:val="24"/>
          <w:szCs w:val="24"/>
          <w:lang w:val="en-GB"/>
        </w:rPr>
        <w:t>the need to take into account the views of the women and children, and the importance of the role of independent children’s lawyers;</w:t>
      </w:r>
    </w:p>
    <w:p w:rsidR="00DA62F0" w:rsidRPr="00EF3797" w:rsidRDefault="00451D61" w:rsidP="00B9235B">
      <w:pPr>
        <w:pStyle w:val="NoSpacing"/>
        <w:numPr>
          <w:ilvl w:val="0"/>
          <w:numId w:val="12"/>
        </w:numPr>
        <w:ind w:left="426"/>
        <w:rPr>
          <w:sz w:val="24"/>
          <w:szCs w:val="24"/>
        </w:rPr>
      </w:pPr>
      <w:r>
        <w:rPr>
          <w:sz w:val="24"/>
          <w:szCs w:val="24"/>
          <w:lang w:val="en-GB"/>
        </w:rPr>
        <w:t>p</w:t>
      </w:r>
      <w:r w:rsidRPr="00EF3797">
        <w:rPr>
          <w:sz w:val="24"/>
          <w:szCs w:val="24"/>
          <w:lang w:val="en-GB"/>
        </w:rPr>
        <w:t xml:space="preserve">rocedural </w:t>
      </w:r>
      <w:r w:rsidR="00DA62F0" w:rsidRPr="00EF3797">
        <w:rPr>
          <w:sz w:val="24"/>
          <w:szCs w:val="24"/>
          <w:lang w:val="en-GB"/>
        </w:rPr>
        <w:t>fairness and potential limitations on the unrepresented party’s ability to effectively examine the witness; and</w:t>
      </w:r>
    </w:p>
    <w:p w:rsidR="00E27ABA" w:rsidRPr="00EF3797" w:rsidRDefault="00451D61" w:rsidP="00B9235B">
      <w:pPr>
        <w:pStyle w:val="NoSpacing"/>
        <w:numPr>
          <w:ilvl w:val="0"/>
          <w:numId w:val="12"/>
        </w:numPr>
        <w:ind w:left="426"/>
        <w:rPr>
          <w:sz w:val="24"/>
          <w:szCs w:val="24"/>
        </w:rPr>
      </w:pPr>
      <w:proofErr w:type="gramStart"/>
      <w:r>
        <w:rPr>
          <w:sz w:val="24"/>
          <w:szCs w:val="24"/>
          <w:lang w:val="en-GB"/>
        </w:rPr>
        <w:t>t</w:t>
      </w:r>
      <w:r w:rsidRPr="00EF3797">
        <w:rPr>
          <w:sz w:val="24"/>
          <w:szCs w:val="24"/>
          <w:lang w:val="en-GB"/>
        </w:rPr>
        <w:t>he</w:t>
      </w:r>
      <w:proofErr w:type="gramEnd"/>
      <w:r w:rsidRPr="00EF3797">
        <w:rPr>
          <w:sz w:val="24"/>
          <w:szCs w:val="24"/>
          <w:lang w:val="en-GB"/>
        </w:rPr>
        <w:t xml:space="preserve"> </w:t>
      </w:r>
      <w:r w:rsidR="00DA62F0" w:rsidRPr="00EF3797">
        <w:rPr>
          <w:sz w:val="24"/>
          <w:szCs w:val="24"/>
          <w:lang w:val="en-GB"/>
        </w:rPr>
        <w:t xml:space="preserve">particular requirements </w:t>
      </w:r>
      <w:r w:rsidR="00DA62F0">
        <w:rPr>
          <w:sz w:val="24"/>
          <w:szCs w:val="24"/>
          <w:lang w:val="en-GB"/>
        </w:rPr>
        <w:t xml:space="preserve">and role </w:t>
      </w:r>
      <w:r w:rsidR="00DA62F0" w:rsidRPr="00EF3797">
        <w:rPr>
          <w:sz w:val="24"/>
          <w:szCs w:val="24"/>
          <w:lang w:val="en-GB"/>
        </w:rPr>
        <w:t>of the court-appointed person (for example, consideration could be given to requirements similar to those found in Part 8, Local Court Practice Note No. 2 of 2012 (NSW) for Domestic and Personal Violence Proceedings).</w:t>
      </w:r>
      <w:r w:rsidR="00DA62F0" w:rsidRPr="00EF3797">
        <w:rPr>
          <w:rStyle w:val="FootnoteReference"/>
          <w:sz w:val="24"/>
          <w:szCs w:val="24"/>
          <w:lang w:val="en-GB"/>
        </w:rPr>
        <w:footnoteReference w:id="4"/>
      </w:r>
      <w:r w:rsidR="00DA62F0" w:rsidRPr="00EF3797">
        <w:rPr>
          <w:sz w:val="24"/>
          <w:szCs w:val="24"/>
          <w:lang w:val="en-GB"/>
        </w:rPr>
        <w:t xml:space="preserve"> </w:t>
      </w:r>
      <w:r w:rsidR="00C8763A" w:rsidRPr="00EF3797">
        <w:rPr>
          <w:sz w:val="24"/>
          <w:szCs w:val="24"/>
          <w:lang w:val="en-GB"/>
        </w:rPr>
        <w:t xml:space="preserve"> </w:t>
      </w:r>
    </w:p>
    <w:p w:rsidR="00224606" w:rsidRPr="00EF3797" w:rsidRDefault="00224606" w:rsidP="00B9235B">
      <w:pPr>
        <w:pStyle w:val="NoSpacing"/>
        <w:rPr>
          <w:sz w:val="24"/>
          <w:szCs w:val="24"/>
        </w:rPr>
      </w:pPr>
    </w:p>
    <w:p w:rsidR="0031662B" w:rsidRPr="00EF3797" w:rsidRDefault="00AD5D7D" w:rsidP="00B9235B">
      <w:pPr>
        <w:pStyle w:val="NoSpacing"/>
        <w:rPr>
          <w:sz w:val="24"/>
          <w:szCs w:val="24"/>
        </w:rPr>
      </w:pPr>
      <w:r>
        <w:rPr>
          <w:sz w:val="24"/>
          <w:szCs w:val="24"/>
        </w:rPr>
        <w:t>The Commission</w:t>
      </w:r>
      <w:r w:rsidR="0031662B" w:rsidRPr="00EF3797">
        <w:rPr>
          <w:sz w:val="24"/>
          <w:szCs w:val="24"/>
        </w:rPr>
        <w:t xml:space="preserve"> would be pleased to meet with you to discuss any issues regarding the Bill’s compatibility with human rights. Please do not hesitate to c</w:t>
      </w:r>
      <w:r w:rsidR="00426198" w:rsidRPr="00EF3797">
        <w:rPr>
          <w:sz w:val="24"/>
          <w:szCs w:val="24"/>
        </w:rPr>
        <w:t xml:space="preserve">ontact my office on </w:t>
      </w:r>
      <w:r>
        <w:rPr>
          <w:sz w:val="24"/>
          <w:szCs w:val="24"/>
        </w:rPr>
        <w:br/>
        <w:t>(</w:t>
      </w:r>
      <w:r w:rsidR="00426198" w:rsidRPr="00EF3797">
        <w:rPr>
          <w:sz w:val="24"/>
          <w:szCs w:val="24"/>
        </w:rPr>
        <w:t>02</w:t>
      </w:r>
      <w:r>
        <w:rPr>
          <w:sz w:val="24"/>
          <w:szCs w:val="24"/>
        </w:rPr>
        <w:t>)</w:t>
      </w:r>
      <w:r w:rsidR="00426198" w:rsidRPr="00EF3797">
        <w:rPr>
          <w:sz w:val="24"/>
          <w:szCs w:val="24"/>
        </w:rPr>
        <w:t xml:space="preserve"> 9284 9614</w:t>
      </w:r>
      <w:r w:rsidR="0031662B" w:rsidRPr="00EF3797">
        <w:rPr>
          <w:sz w:val="24"/>
          <w:szCs w:val="24"/>
        </w:rPr>
        <w:t xml:space="preserve"> should you have any questions.</w:t>
      </w:r>
    </w:p>
    <w:p w:rsidR="0031662B" w:rsidRPr="00EF3797" w:rsidRDefault="0031662B" w:rsidP="00B9235B">
      <w:pPr>
        <w:pStyle w:val="NoSpacing"/>
        <w:rPr>
          <w:sz w:val="24"/>
          <w:szCs w:val="24"/>
        </w:rPr>
      </w:pPr>
    </w:p>
    <w:p w:rsidR="0031662B" w:rsidRPr="00EF3797" w:rsidRDefault="00AD5D7D" w:rsidP="00B9235B">
      <w:pPr>
        <w:pStyle w:val="NoSpacing"/>
        <w:rPr>
          <w:sz w:val="24"/>
          <w:szCs w:val="24"/>
        </w:rPr>
      </w:pPr>
      <w:r>
        <w:rPr>
          <w:sz w:val="24"/>
          <w:szCs w:val="24"/>
        </w:rPr>
        <w:t>Sincerely</w:t>
      </w:r>
    </w:p>
    <w:p w:rsidR="0031662B" w:rsidRPr="00EF3797" w:rsidRDefault="0031662B" w:rsidP="00B9235B">
      <w:pPr>
        <w:pStyle w:val="NoSpacing"/>
        <w:rPr>
          <w:sz w:val="24"/>
          <w:szCs w:val="24"/>
        </w:rPr>
      </w:pPr>
    </w:p>
    <w:p w:rsidR="0031662B" w:rsidRPr="00EF3797" w:rsidRDefault="0031662B" w:rsidP="00B9235B">
      <w:pPr>
        <w:pStyle w:val="NoSpacing"/>
        <w:rPr>
          <w:sz w:val="24"/>
          <w:szCs w:val="24"/>
        </w:rPr>
      </w:pPr>
    </w:p>
    <w:p w:rsidR="0031662B" w:rsidRPr="00EF3797" w:rsidRDefault="0031662B" w:rsidP="00B9235B">
      <w:pPr>
        <w:pStyle w:val="NoSpacing"/>
        <w:rPr>
          <w:sz w:val="24"/>
          <w:szCs w:val="24"/>
        </w:rPr>
      </w:pPr>
    </w:p>
    <w:p w:rsidR="00426198" w:rsidRPr="00EF3797" w:rsidRDefault="00426198" w:rsidP="00B9235B">
      <w:pPr>
        <w:pStyle w:val="NoSpacing"/>
        <w:rPr>
          <w:sz w:val="24"/>
          <w:szCs w:val="24"/>
        </w:rPr>
      </w:pPr>
    </w:p>
    <w:p w:rsidR="0031662B" w:rsidRPr="00965F13" w:rsidRDefault="00426198" w:rsidP="00B9235B">
      <w:pPr>
        <w:pStyle w:val="NoSpacing"/>
        <w:rPr>
          <w:b/>
          <w:sz w:val="24"/>
          <w:szCs w:val="24"/>
        </w:rPr>
      </w:pPr>
      <w:r w:rsidRPr="00965F13">
        <w:rPr>
          <w:b/>
          <w:sz w:val="24"/>
          <w:szCs w:val="24"/>
        </w:rPr>
        <w:t>Emeritus Professor Rosalind Croucher AM</w:t>
      </w:r>
    </w:p>
    <w:p w:rsidR="000059DB" w:rsidRDefault="0031662B" w:rsidP="00B9235B">
      <w:pPr>
        <w:pStyle w:val="NoSpacing"/>
        <w:rPr>
          <w:b/>
          <w:sz w:val="24"/>
          <w:szCs w:val="24"/>
        </w:rPr>
      </w:pPr>
      <w:r w:rsidRPr="00EF3797">
        <w:rPr>
          <w:b/>
          <w:sz w:val="24"/>
          <w:szCs w:val="24"/>
        </w:rPr>
        <w:t>President</w:t>
      </w:r>
    </w:p>
    <w:p w:rsidR="0031662B" w:rsidRDefault="0031662B" w:rsidP="00B9235B">
      <w:pPr>
        <w:pStyle w:val="NoSpacing"/>
        <w:rPr>
          <w:b/>
          <w:sz w:val="24"/>
          <w:szCs w:val="24"/>
        </w:rPr>
      </w:pPr>
    </w:p>
    <w:p w:rsidR="004E0029" w:rsidRPr="00B802E5" w:rsidRDefault="004E0029" w:rsidP="004E0029">
      <w:pPr>
        <w:pStyle w:val="Contactdetails"/>
        <w:spacing w:before="0" w:after="0"/>
        <w:rPr>
          <w:rFonts w:ascii="Arial" w:hAnsi="Arial" w:cs="Arial"/>
          <w:szCs w:val="20"/>
        </w:rPr>
      </w:pPr>
      <w:r w:rsidRPr="00B802E5">
        <w:rPr>
          <w:rFonts w:ascii="Arial" w:hAnsi="Arial" w:cs="Arial"/>
          <w:szCs w:val="20"/>
        </w:rPr>
        <w:t>T +61 2 9284 9614</w:t>
      </w:r>
    </w:p>
    <w:p w:rsidR="004E0029" w:rsidRPr="00B802E5" w:rsidRDefault="004E0029" w:rsidP="004E0029">
      <w:pPr>
        <w:pStyle w:val="Contactdetails"/>
        <w:spacing w:before="0" w:after="0"/>
        <w:rPr>
          <w:rFonts w:ascii="Arial" w:hAnsi="Arial" w:cs="Arial"/>
          <w:szCs w:val="20"/>
        </w:rPr>
      </w:pPr>
      <w:r w:rsidRPr="00B802E5">
        <w:rPr>
          <w:rFonts w:ascii="Arial" w:hAnsi="Arial" w:cs="Arial"/>
          <w:szCs w:val="20"/>
        </w:rPr>
        <w:t xml:space="preserve">F </w:t>
      </w:r>
      <w:r w:rsidRPr="00B802E5">
        <w:rPr>
          <w:rFonts w:ascii="Arial" w:hAnsi="Arial" w:cs="Arial"/>
          <w:szCs w:val="20"/>
        </w:rPr>
        <w:fldChar w:fldCharType="begin"/>
      </w:r>
      <w:r w:rsidRPr="00B802E5">
        <w:rPr>
          <w:rFonts w:ascii="Arial" w:hAnsi="Arial" w:cs="Arial"/>
          <w:szCs w:val="20"/>
        </w:rPr>
        <w:instrText xml:space="preserve"> MACROBUTTON </w:instrText>
      </w:r>
      <w:r w:rsidRPr="00B802E5">
        <w:rPr>
          <w:rFonts w:ascii="Arial" w:hAnsi="Arial" w:cs="Arial"/>
          <w:szCs w:val="20"/>
        </w:rPr>
        <w:fldChar w:fldCharType="end"/>
      </w:r>
      <w:r w:rsidRPr="00B802E5">
        <w:rPr>
          <w:rFonts w:ascii="Arial" w:hAnsi="Arial" w:cs="Arial"/>
          <w:szCs w:val="20"/>
        </w:rPr>
        <w:t>+61 2 9284 9794</w:t>
      </w:r>
    </w:p>
    <w:p w:rsidR="004E0029" w:rsidRPr="00B802E5" w:rsidRDefault="004E0029" w:rsidP="004E0029">
      <w:pPr>
        <w:pStyle w:val="Contactdetails"/>
        <w:spacing w:before="0" w:after="0"/>
        <w:rPr>
          <w:rFonts w:ascii="Arial" w:hAnsi="Arial" w:cs="Arial"/>
          <w:szCs w:val="20"/>
        </w:rPr>
      </w:pPr>
      <w:r w:rsidRPr="00B802E5">
        <w:rPr>
          <w:rFonts w:ascii="Arial" w:hAnsi="Arial" w:cs="Arial"/>
          <w:szCs w:val="20"/>
        </w:rPr>
        <w:t>E president.ahrc@humanrights.gov.au</w:t>
      </w:r>
    </w:p>
    <w:p w:rsidR="004E0029" w:rsidRPr="00EF3797" w:rsidRDefault="004E0029" w:rsidP="00B9235B">
      <w:pPr>
        <w:pStyle w:val="NoSpacing"/>
        <w:rPr>
          <w:b/>
          <w:sz w:val="24"/>
          <w:szCs w:val="24"/>
        </w:rPr>
      </w:pPr>
    </w:p>
    <w:p w:rsidR="0049661A" w:rsidRDefault="0049661A" w:rsidP="005E4473">
      <w:pPr>
        <w:pStyle w:val="NoSpacing"/>
        <w:ind w:left="142"/>
      </w:pPr>
    </w:p>
    <w:p w:rsidR="0049661A" w:rsidRDefault="0049661A" w:rsidP="005E4473">
      <w:pPr>
        <w:pStyle w:val="NoSpacing"/>
        <w:ind w:left="142"/>
      </w:pPr>
    </w:p>
    <w:p w:rsidR="009F233B" w:rsidRPr="005E4473" w:rsidRDefault="009F233B">
      <w:pPr>
        <w:pStyle w:val="NoSpacing"/>
        <w:ind w:left="142"/>
      </w:pPr>
    </w:p>
    <w:sectPr w:rsidR="009F233B" w:rsidRPr="005E4473" w:rsidSect="00B30BA7">
      <w:endnotePr>
        <w:numFmt w:val="decimal"/>
      </w:endnotePr>
      <w:pgSz w:w="11906" w:h="16838"/>
      <w:pgMar w:top="851" w:right="992" w:bottom="1843" w:left="992"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DBA" w:rsidRDefault="00924DBA" w:rsidP="00553A3A">
      <w:pPr>
        <w:spacing w:after="0" w:line="240" w:lineRule="auto"/>
      </w:pPr>
      <w:r>
        <w:separator/>
      </w:r>
    </w:p>
  </w:endnote>
  <w:endnote w:type="continuationSeparator" w:id="0">
    <w:p w:rsidR="00924DBA" w:rsidRDefault="00924DBA" w:rsidP="0055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left w:val="single" w:sz="2" w:space="0" w:color="808080"/>
        <w:bottom w:val="single" w:sz="2" w:space="0" w:color="808080"/>
        <w:right w:val="single" w:sz="2" w:space="0" w:color="808080"/>
      </w:tblBorders>
      <w:tblLayout w:type="fixed"/>
      <w:tblLook w:val="00A0" w:firstRow="1" w:lastRow="0" w:firstColumn="1" w:lastColumn="0" w:noHBand="0" w:noVBand="0"/>
    </w:tblPr>
    <w:tblGrid>
      <w:gridCol w:w="1793"/>
      <w:gridCol w:w="2143"/>
      <w:gridCol w:w="1701"/>
      <w:gridCol w:w="2551"/>
      <w:gridCol w:w="1667"/>
    </w:tblGrid>
    <w:tr w:rsidR="00B30BA7" w:rsidRPr="008D1634" w:rsidTr="006775C5">
      <w:tc>
        <w:tcPr>
          <w:tcW w:w="1793" w:type="dxa"/>
          <w:tcBorders>
            <w:top w:val="single" w:sz="2" w:space="0" w:color="808080"/>
            <w:left w:val="nil"/>
            <w:bottom w:val="nil"/>
            <w:right w:val="nil"/>
          </w:tcBorders>
        </w:tcPr>
        <w:p w:rsidR="00B30BA7" w:rsidRDefault="00B30BA7" w:rsidP="00B30BA7">
          <w:pPr>
            <w:widowControl w:val="0"/>
            <w:tabs>
              <w:tab w:val="left" w:pos="5830"/>
            </w:tabs>
            <w:autoSpaceDE w:val="0"/>
            <w:autoSpaceDN w:val="0"/>
            <w:adjustRightInd w:val="0"/>
            <w:spacing w:after="0" w:line="80" w:lineRule="exact"/>
            <w:ind w:right="159"/>
            <w:textAlignment w:val="center"/>
            <w:rPr>
              <w:rFonts w:cs="HelveticaNeue-Light"/>
              <w:sz w:val="16"/>
              <w:szCs w:val="16"/>
              <w:lang w:val="en-US" w:bidi="en-US"/>
            </w:rPr>
          </w:pPr>
        </w:p>
        <w:p w:rsidR="00B30BA7" w:rsidRDefault="00B30BA7" w:rsidP="00B30BA7">
          <w:pPr>
            <w:widowControl w:val="0"/>
            <w:tabs>
              <w:tab w:val="left" w:pos="5830"/>
            </w:tabs>
            <w:autoSpaceDE w:val="0"/>
            <w:autoSpaceDN w:val="0"/>
            <w:adjustRightInd w:val="0"/>
            <w:spacing w:after="0" w:line="288" w:lineRule="auto"/>
            <w:ind w:right="159"/>
            <w:textAlignment w:val="center"/>
            <w:rPr>
              <w:rFonts w:cs="HelveticaNeue-Light"/>
              <w:sz w:val="16"/>
              <w:szCs w:val="16"/>
              <w:lang w:val="en-US" w:bidi="en-US"/>
            </w:rPr>
          </w:pPr>
          <w:r>
            <w:rPr>
              <w:rFonts w:cs="HelveticaNeue-Light"/>
              <w:sz w:val="16"/>
              <w:szCs w:val="16"/>
              <w:lang w:val="en-US" w:bidi="en-US"/>
            </w:rPr>
            <w:t>Australian</w:t>
          </w:r>
        </w:p>
        <w:p w:rsidR="00B30BA7" w:rsidRDefault="00B30BA7" w:rsidP="00B30BA7">
          <w:pPr>
            <w:widowControl w:val="0"/>
            <w:tabs>
              <w:tab w:val="left" w:pos="5830"/>
            </w:tabs>
            <w:autoSpaceDE w:val="0"/>
            <w:autoSpaceDN w:val="0"/>
            <w:adjustRightInd w:val="0"/>
            <w:spacing w:after="0" w:line="288" w:lineRule="auto"/>
            <w:ind w:right="159"/>
            <w:textAlignment w:val="center"/>
            <w:rPr>
              <w:rFonts w:cs="HelveticaNeue-Light"/>
              <w:sz w:val="16"/>
              <w:szCs w:val="16"/>
              <w:lang w:val="en-US" w:bidi="en-US"/>
            </w:rPr>
          </w:pPr>
          <w:r>
            <w:rPr>
              <w:rFonts w:cs="HelveticaNeue-Light"/>
              <w:sz w:val="16"/>
              <w:szCs w:val="16"/>
              <w:lang w:val="en-US" w:bidi="en-US"/>
            </w:rPr>
            <w:t>Human Rights</w:t>
          </w:r>
        </w:p>
        <w:p w:rsidR="00B30BA7" w:rsidRDefault="00B30BA7" w:rsidP="00B30BA7">
          <w:pPr>
            <w:widowControl w:val="0"/>
            <w:tabs>
              <w:tab w:val="left" w:pos="5830"/>
            </w:tabs>
            <w:autoSpaceDE w:val="0"/>
            <w:autoSpaceDN w:val="0"/>
            <w:adjustRightInd w:val="0"/>
            <w:spacing w:after="0" w:line="288" w:lineRule="auto"/>
            <w:ind w:right="159"/>
            <w:textAlignment w:val="center"/>
            <w:rPr>
              <w:rFonts w:cs="HelveticaNeue-Light"/>
              <w:sz w:val="16"/>
              <w:szCs w:val="16"/>
              <w:lang w:val="en-US" w:bidi="en-US"/>
            </w:rPr>
          </w:pPr>
          <w:r>
            <w:rPr>
              <w:rFonts w:cs="HelveticaNeue-Light"/>
              <w:sz w:val="16"/>
              <w:szCs w:val="16"/>
              <w:lang w:val="en-US" w:bidi="en-US"/>
            </w:rPr>
            <w:t>Commission</w:t>
          </w:r>
        </w:p>
        <w:p w:rsidR="00B30BA7" w:rsidRPr="008D1634" w:rsidRDefault="00B30BA7" w:rsidP="00B30BA7">
          <w:pPr>
            <w:widowControl w:val="0"/>
            <w:tabs>
              <w:tab w:val="left" w:pos="5830"/>
            </w:tabs>
            <w:autoSpaceDE w:val="0"/>
            <w:autoSpaceDN w:val="0"/>
            <w:adjustRightInd w:val="0"/>
            <w:spacing w:after="0" w:line="288" w:lineRule="auto"/>
            <w:ind w:right="17"/>
            <w:textAlignment w:val="center"/>
            <w:rPr>
              <w:rFonts w:cs="HelveticaNeue-Light"/>
              <w:sz w:val="16"/>
              <w:szCs w:val="16"/>
              <w:lang w:val="en-US" w:bidi="en-US"/>
            </w:rPr>
          </w:pPr>
          <w:r w:rsidRPr="008D1634">
            <w:rPr>
              <w:rFonts w:cs="HelveticaNeue-Light"/>
              <w:sz w:val="16"/>
              <w:szCs w:val="16"/>
              <w:lang w:val="en-US" w:bidi="en-US"/>
            </w:rPr>
            <w:t>ABN 47 996 232 602</w:t>
          </w:r>
        </w:p>
      </w:tc>
      <w:tc>
        <w:tcPr>
          <w:tcW w:w="2143" w:type="dxa"/>
          <w:tcBorders>
            <w:top w:val="single" w:sz="2" w:space="0" w:color="808080"/>
            <w:left w:val="nil"/>
            <w:bottom w:val="nil"/>
            <w:right w:val="nil"/>
          </w:tcBorders>
        </w:tcPr>
        <w:p w:rsidR="00B30BA7" w:rsidRPr="008D1634" w:rsidRDefault="00B30BA7" w:rsidP="00B30BA7">
          <w:pPr>
            <w:widowControl w:val="0"/>
            <w:tabs>
              <w:tab w:val="left" w:pos="5830"/>
            </w:tabs>
            <w:autoSpaceDE w:val="0"/>
            <w:autoSpaceDN w:val="0"/>
            <w:adjustRightInd w:val="0"/>
            <w:spacing w:after="0" w:line="80" w:lineRule="exact"/>
            <w:ind w:right="159"/>
            <w:textAlignment w:val="center"/>
            <w:rPr>
              <w:rFonts w:cs="HelveticaNeue-Light"/>
              <w:sz w:val="16"/>
              <w:szCs w:val="16"/>
              <w:lang w:val="en-US" w:bidi="en-US"/>
            </w:rPr>
          </w:pPr>
        </w:p>
        <w:p w:rsidR="00B30BA7" w:rsidRPr="008D1634" w:rsidRDefault="00B30BA7" w:rsidP="00B30BA7">
          <w:pPr>
            <w:widowControl w:val="0"/>
            <w:tabs>
              <w:tab w:val="left" w:pos="5830"/>
            </w:tabs>
            <w:autoSpaceDE w:val="0"/>
            <w:autoSpaceDN w:val="0"/>
            <w:adjustRightInd w:val="0"/>
            <w:spacing w:after="0" w:line="288" w:lineRule="auto"/>
            <w:ind w:right="176"/>
            <w:jc w:val="both"/>
            <w:textAlignment w:val="center"/>
            <w:rPr>
              <w:rFonts w:cs="HelveticaNeue-Light"/>
              <w:sz w:val="16"/>
              <w:szCs w:val="16"/>
              <w:lang w:val="en-US" w:bidi="en-US"/>
            </w:rPr>
          </w:pPr>
          <w:r>
            <w:rPr>
              <w:rFonts w:cs="HelveticaNeue-Light"/>
              <w:sz w:val="16"/>
              <w:szCs w:val="16"/>
              <w:lang w:val="en-US" w:bidi="en-US"/>
            </w:rPr>
            <w:t xml:space="preserve">Level </w:t>
          </w:r>
          <w:r>
            <w:rPr>
              <w:rFonts w:cs="HelveticaNeue-Light" w:hint="eastAsia"/>
              <w:sz w:val="16"/>
              <w:szCs w:val="16"/>
              <w:lang w:val="en-US" w:eastAsia="zh-CN" w:bidi="en-US"/>
            </w:rPr>
            <w:t>3</w:t>
          </w:r>
          <w:r w:rsidRPr="008D1634">
            <w:rPr>
              <w:rFonts w:cs="HelveticaNeue-Light"/>
              <w:sz w:val="16"/>
              <w:szCs w:val="16"/>
              <w:lang w:val="en-US" w:bidi="en-US"/>
            </w:rPr>
            <w:t xml:space="preserve"> </w:t>
          </w:r>
        </w:p>
        <w:p w:rsidR="00B30BA7" w:rsidRPr="008D1634" w:rsidRDefault="00B30BA7" w:rsidP="00B30BA7">
          <w:pPr>
            <w:widowControl w:val="0"/>
            <w:tabs>
              <w:tab w:val="left" w:pos="5830"/>
            </w:tabs>
            <w:autoSpaceDE w:val="0"/>
            <w:autoSpaceDN w:val="0"/>
            <w:adjustRightInd w:val="0"/>
            <w:spacing w:after="0" w:line="288" w:lineRule="auto"/>
            <w:ind w:right="176"/>
            <w:jc w:val="both"/>
            <w:textAlignment w:val="center"/>
            <w:rPr>
              <w:rFonts w:cs="HelveticaNeue-Light"/>
              <w:sz w:val="16"/>
              <w:szCs w:val="16"/>
              <w:lang w:val="en-US" w:bidi="en-US"/>
            </w:rPr>
          </w:pPr>
          <w:r>
            <w:rPr>
              <w:rFonts w:cs="HelveticaNeue-Light"/>
              <w:sz w:val="16"/>
              <w:szCs w:val="16"/>
              <w:lang w:val="en-US" w:bidi="en-US"/>
            </w:rPr>
            <w:t>1</w:t>
          </w:r>
          <w:r>
            <w:rPr>
              <w:rFonts w:cs="HelveticaNeue-Light" w:hint="eastAsia"/>
              <w:sz w:val="16"/>
              <w:szCs w:val="16"/>
              <w:lang w:val="en-US" w:eastAsia="zh-CN" w:bidi="en-US"/>
            </w:rPr>
            <w:t>75</w:t>
          </w:r>
          <w:r w:rsidRPr="008D1634">
            <w:rPr>
              <w:rFonts w:cs="HelveticaNeue-Light"/>
              <w:sz w:val="16"/>
              <w:szCs w:val="16"/>
              <w:lang w:val="en-US" w:bidi="en-US"/>
            </w:rPr>
            <w:t xml:space="preserve"> </w:t>
          </w:r>
          <w:r>
            <w:rPr>
              <w:rFonts w:cs="HelveticaNeue-Light" w:hint="eastAsia"/>
              <w:sz w:val="16"/>
              <w:szCs w:val="16"/>
              <w:lang w:val="en-US" w:eastAsia="zh-CN" w:bidi="en-US"/>
            </w:rPr>
            <w:t>Pitt</w:t>
          </w:r>
          <w:r w:rsidRPr="008D1634">
            <w:rPr>
              <w:rFonts w:cs="HelveticaNeue-Light"/>
              <w:sz w:val="16"/>
              <w:szCs w:val="16"/>
              <w:lang w:val="en-US" w:bidi="en-US"/>
            </w:rPr>
            <w:t xml:space="preserve"> Street</w:t>
          </w:r>
        </w:p>
        <w:p w:rsidR="00B30BA7" w:rsidRPr="008D1634" w:rsidRDefault="00B30BA7" w:rsidP="00B30BA7">
          <w:pPr>
            <w:widowControl w:val="0"/>
            <w:tabs>
              <w:tab w:val="left" w:pos="5830"/>
            </w:tabs>
            <w:autoSpaceDE w:val="0"/>
            <w:autoSpaceDN w:val="0"/>
            <w:adjustRightInd w:val="0"/>
            <w:spacing w:after="0" w:line="288" w:lineRule="auto"/>
            <w:ind w:right="176"/>
            <w:jc w:val="both"/>
            <w:textAlignment w:val="center"/>
            <w:rPr>
              <w:rFonts w:cs="HelveticaNeue-Light"/>
              <w:sz w:val="16"/>
              <w:szCs w:val="16"/>
              <w:lang w:val="en-US" w:bidi="en-US"/>
            </w:rPr>
          </w:pPr>
          <w:r w:rsidRPr="008D1634">
            <w:rPr>
              <w:rFonts w:cs="HelveticaNeue-Light"/>
              <w:sz w:val="16"/>
              <w:szCs w:val="16"/>
              <w:lang w:val="en-US" w:bidi="en-US"/>
            </w:rPr>
            <w:t>Sydney NSW 200</w:t>
          </w:r>
          <w:r>
            <w:rPr>
              <w:rFonts w:cs="HelveticaNeue-Light" w:hint="eastAsia"/>
              <w:sz w:val="16"/>
              <w:szCs w:val="16"/>
              <w:lang w:val="en-US" w:eastAsia="zh-CN" w:bidi="en-US"/>
            </w:rPr>
            <w:t>0</w:t>
          </w:r>
        </w:p>
      </w:tc>
      <w:tc>
        <w:tcPr>
          <w:tcW w:w="1701" w:type="dxa"/>
          <w:tcBorders>
            <w:top w:val="single" w:sz="2" w:space="0" w:color="808080"/>
            <w:left w:val="nil"/>
            <w:bottom w:val="nil"/>
          </w:tcBorders>
        </w:tcPr>
        <w:p w:rsidR="00B30BA7" w:rsidRPr="008D1634" w:rsidRDefault="00B30BA7" w:rsidP="00B30BA7">
          <w:pPr>
            <w:widowControl w:val="0"/>
            <w:tabs>
              <w:tab w:val="left" w:pos="5830"/>
            </w:tabs>
            <w:autoSpaceDE w:val="0"/>
            <w:autoSpaceDN w:val="0"/>
            <w:adjustRightInd w:val="0"/>
            <w:spacing w:after="0" w:line="80" w:lineRule="exact"/>
            <w:ind w:right="159"/>
            <w:textAlignment w:val="center"/>
            <w:rPr>
              <w:rFonts w:cs="HelveticaNeue-Light"/>
              <w:sz w:val="16"/>
              <w:szCs w:val="16"/>
              <w:lang w:val="en-US" w:bidi="en-US"/>
            </w:rPr>
          </w:pPr>
        </w:p>
        <w:p w:rsidR="00B30BA7" w:rsidRPr="008D1634" w:rsidRDefault="00B30BA7" w:rsidP="00B30BA7">
          <w:pPr>
            <w:widowControl w:val="0"/>
            <w:tabs>
              <w:tab w:val="left" w:pos="5830"/>
            </w:tabs>
            <w:autoSpaceDE w:val="0"/>
            <w:autoSpaceDN w:val="0"/>
            <w:adjustRightInd w:val="0"/>
            <w:spacing w:after="0" w:line="288" w:lineRule="auto"/>
            <w:ind w:right="360"/>
            <w:textAlignment w:val="center"/>
            <w:rPr>
              <w:rFonts w:cs="HelveticaNeue-Light"/>
              <w:sz w:val="16"/>
              <w:szCs w:val="16"/>
              <w:lang w:val="en-US" w:bidi="en-US"/>
            </w:rPr>
          </w:pPr>
          <w:r w:rsidRPr="008D1634">
            <w:rPr>
              <w:rFonts w:cs="HelveticaNeue-Light"/>
              <w:sz w:val="16"/>
              <w:szCs w:val="16"/>
              <w:lang w:val="en-US" w:bidi="en-US"/>
            </w:rPr>
            <w:t xml:space="preserve">GPO </w:t>
          </w:r>
          <w:smartTag w:uri="urn:schemas-microsoft-com:office:smarttags" w:element="address">
            <w:smartTag w:uri="urn:schemas-microsoft-com:office:smarttags" w:element="Street">
              <w:r w:rsidRPr="008D1634">
                <w:rPr>
                  <w:rFonts w:cs="HelveticaNeue-Light"/>
                  <w:sz w:val="16"/>
                  <w:szCs w:val="16"/>
                  <w:lang w:val="en-US" w:bidi="en-US"/>
                </w:rPr>
                <w:t>Box</w:t>
              </w:r>
            </w:smartTag>
            <w:r w:rsidRPr="008D1634">
              <w:rPr>
                <w:rFonts w:cs="HelveticaNeue-Light"/>
                <w:sz w:val="16"/>
                <w:szCs w:val="16"/>
                <w:lang w:val="en-US" w:bidi="en-US"/>
              </w:rPr>
              <w:t xml:space="preserve"> 5218</w:t>
            </w:r>
          </w:smartTag>
        </w:p>
        <w:p w:rsidR="00B30BA7" w:rsidRPr="008D1634" w:rsidRDefault="00B30BA7" w:rsidP="00B30BA7">
          <w:pPr>
            <w:widowControl w:val="0"/>
            <w:tabs>
              <w:tab w:val="left" w:pos="5830"/>
            </w:tabs>
            <w:autoSpaceDE w:val="0"/>
            <w:autoSpaceDN w:val="0"/>
            <w:adjustRightInd w:val="0"/>
            <w:spacing w:after="0" w:line="288" w:lineRule="auto"/>
            <w:ind w:right="34"/>
            <w:textAlignment w:val="center"/>
            <w:rPr>
              <w:rFonts w:cs="HelveticaNeue-Light"/>
              <w:sz w:val="16"/>
              <w:szCs w:val="16"/>
              <w:lang w:val="en-US" w:bidi="en-US"/>
            </w:rPr>
          </w:pPr>
          <w:smartTag w:uri="urn:schemas-microsoft-com:office:smarttags" w:element="place">
            <w:smartTag w:uri="urn:schemas-microsoft-com:office:smarttags" w:element="City">
              <w:r w:rsidRPr="008D1634">
                <w:rPr>
                  <w:rFonts w:cs="HelveticaNeue-Light"/>
                  <w:sz w:val="16"/>
                  <w:szCs w:val="16"/>
                  <w:lang w:val="en-US" w:bidi="en-US"/>
                </w:rPr>
                <w:t>Sydney</w:t>
              </w:r>
            </w:smartTag>
          </w:smartTag>
          <w:r w:rsidRPr="008D1634">
            <w:rPr>
              <w:rFonts w:cs="HelveticaNeue-Light"/>
              <w:sz w:val="16"/>
              <w:szCs w:val="16"/>
              <w:lang w:val="en-US" w:bidi="en-US"/>
            </w:rPr>
            <w:t xml:space="preserve"> NSW 2001</w:t>
          </w:r>
        </w:p>
      </w:tc>
      <w:tc>
        <w:tcPr>
          <w:tcW w:w="2551" w:type="dxa"/>
          <w:tcBorders>
            <w:top w:val="single" w:sz="2" w:space="0" w:color="808080"/>
            <w:bottom w:val="nil"/>
          </w:tcBorders>
        </w:tcPr>
        <w:p w:rsidR="00B30BA7" w:rsidRPr="008D1634" w:rsidRDefault="00B30BA7" w:rsidP="00B30BA7">
          <w:pPr>
            <w:widowControl w:val="0"/>
            <w:tabs>
              <w:tab w:val="left" w:pos="5830"/>
            </w:tabs>
            <w:autoSpaceDE w:val="0"/>
            <w:autoSpaceDN w:val="0"/>
            <w:adjustRightInd w:val="0"/>
            <w:spacing w:after="0" w:line="80" w:lineRule="exact"/>
            <w:ind w:right="159"/>
            <w:textAlignment w:val="center"/>
            <w:rPr>
              <w:rFonts w:cs="HelveticaNeue-Light"/>
              <w:sz w:val="16"/>
              <w:szCs w:val="16"/>
              <w:lang w:val="en-US" w:bidi="en-US"/>
            </w:rPr>
          </w:pPr>
        </w:p>
        <w:p w:rsidR="00B30BA7" w:rsidRPr="008D1634" w:rsidRDefault="00B30BA7" w:rsidP="00B30BA7">
          <w:pPr>
            <w:widowControl w:val="0"/>
            <w:tabs>
              <w:tab w:val="left" w:pos="5830"/>
            </w:tabs>
            <w:autoSpaceDE w:val="0"/>
            <w:autoSpaceDN w:val="0"/>
            <w:adjustRightInd w:val="0"/>
            <w:spacing w:after="0" w:line="288" w:lineRule="auto"/>
            <w:ind w:right="360"/>
            <w:textAlignment w:val="center"/>
            <w:rPr>
              <w:rFonts w:cs="HelveticaNeue-Light"/>
              <w:sz w:val="16"/>
              <w:szCs w:val="16"/>
              <w:lang w:val="en-US" w:bidi="en-US"/>
            </w:rPr>
          </w:pPr>
          <w:r w:rsidRPr="008D1634">
            <w:rPr>
              <w:rFonts w:cs="HelveticaNeue-Light"/>
              <w:sz w:val="16"/>
              <w:szCs w:val="16"/>
              <w:lang w:val="en-US" w:bidi="en-US"/>
            </w:rPr>
            <w:t>General enquiries</w:t>
          </w:r>
        </w:p>
        <w:p w:rsidR="00B30BA7" w:rsidRPr="008D1634" w:rsidRDefault="00B30BA7" w:rsidP="00B30BA7">
          <w:pPr>
            <w:widowControl w:val="0"/>
            <w:tabs>
              <w:tab w:val="left" w:pos="5830"/>
            </w:tabs>
            <w:autoSpaceDE w:val="0"/>
            <w:autoSpaceDN w:val="0"/>
            <w:adjustRightInd w:val="0"/>
            <w:spacing w:after="0" w:line="288" w:lineRule="auto"/>
            <w:ind w:right="360"/>
            <w:textAlignment w:val="center"/>
            <w:rPr>
              <w:rFonts w:cs="HelveticaNeue-Light"/>
              <w:sz w:val="16"/>
              <w:szCs w:val="16"/>
              <w:lang w:val="en-US" w:bidi="en-US"/>
            </w:rPr>
          </w:pPr>
          <w:r w:rsidRPr="008D1634">
            <w:rPr>
              <w:rFonts w:cs="HelveticaNeue-Light"/>
              <w:sz w:val="16"/>
              <w:szCs w:val="16"/>
              <w:lang w:val="en-US" w:bidi="en-US"/>
            </w:rPr>
            <w:t xml:space="preserve">Complaints </w:t>
          </w:r>
          <w:proofErr w:type="spellStart"/>
          <w:r w:rsidRPr="008D1634">
            <w:rPr>
              <w:rFonts w:cs="HelveticaNeue-Light"/>
              <w:sz w:val="16"/>
              <w:szCs w:val="16"/>
              <w:lang w:val="en-US" w:bidi="en-US"/>
            </w:rPr>
            <w:t>infoline</w:t>
          </w:r>
          <w:proofErr w:type="spellEnd"/>
        </w:p>
        <w:p w:rsidR="00B30BA7" w:rsidRPr="008D1634" w:rsidRDefault="00B30BA7" w:rsidP="00B30BA7">
          <w:pPr>
            <w:widowControl w:val="0"/>
            <w:tabs>
              <w:tab w:val="left" w:pos="5830"/>
            </w:tabs>
            <w:autoSpaceDE w:val="0"/>
            <w:autoSpaceDN w:val="0"/>
            <w:adjustRightInd w:val="0"/>
            <w:spacing w:after="0" w:line="288" w:lineRule="auto"/>
            <w:ind w:right="360"/>
            <w:textAlignment w:val="center"/>
            <w:rPr>
              <w:rFonts w:cs="HelveticaNeue-Light"/>
              <w:sz w:val="16"/>
              <w:szCs w:val="16"/>
              <w:lang w:val="en-US" w:bidi="en-US"/>
            </w:rPr>
          </w:pPr>
          <w:r w:rsidRPr="008D1634">
            <w:rPr>
              <w:rFonts w:cs="HelveticaNeue-Light"/>
              <w:sz w:val="16"/>
              <w:szCs w:val="16"/>
              <w:lang w:val="en-US" w:bidi="en-US"/>
            </w:rPr>
            <w:t>TTY</w:t>
          </w:r>
        </w:p>
        <w:p w:rsidR="00B30BA7" w:rsidRPr="008D1634" w:rsidRDefault="00B30BA7" w:rsidP="00B30BA7">
          <w:pPr>
            <w:widowControl w:val="0"/>
            <w:tabs>
              <w:tab w:val="left" w:pos="5830"/>
            </w:tabs>
            <w:autoSpaceDE w:val="0"/>
            <w:autoSpaceDN w:val="0"/>
            <w:adjustRightInd w:val="0"/>
            <w:spacing w:after="0" w:line="288" w:lineRule="auto"/>
            <w:ind w:right="360"/>
            <w:textAlignment w:val="center"/>
            <w:rPr>
              <w:rFonts w:cs="HelveticaNeue-Light"/>
              <w:sz w:val="16"/>
              <w:szCs w:val="16"/>
              <w:lang w:val="en-US" w:bidi="en-US"/>
            </w:rPr>
          </w:pPr>
          <w:r w:rsidRPr="008D1634">
            <w:rPr>
              <w:rFonts w:cs="HelveticaNeue-Light"/>
              <w:sz w:val="16"/>
              <w:szCs w:val="16"/>
              <w:lang w:val="en-US" w:bidi="en-US"/>
            </w:rPr>
            <w:t>www.humanrights.gov.au</w:t>
          </w:r>
        </w:p>
      </w:tc>
      <w:tc>
        <w:tcPr>
          <w:tcW w:w="1667" w:type="dxa"/>
          <w:tcBorders>
            <w:top w:val="single" w:sz="2" w:space="0" w:color="808080"/>
            <w:bottom w:val="nil"/>
            <w:right w:val="nil"/>
          </w:tcBorders>
        </w:tcPr>
        <w:p w:rsidR="00B30BA7" w:rsidRPr="008D1634" w:rsidRDefault="00B30BA7" w:rsidP="00B30BA7">
          <w:pPr>
            <w:widowControl w:val="0"/>
            <w:tabs>
              <w:tab w:val="left" w:pos="5830"/>
            </w:tabs>
            <w:autoSpaceDE w:val="0"/>
            <w:autoSpaceDN w:val="0"/>
            <w:adjustRightInd w:val="0"/>
            <w:spacing w:after="0" w:line="80" w:lineRule="exact"/>
            <w:ind w:right="159"/>
            <w:textAlignment w:val="center"/>
            <w:rPr>
              <w:rFonts w:cs="HelveticaNeue-Light"/>
              <w:sz w:val="16"/>
              <w:szCs w:val="16"/>
              <w:lang w:val="en-US" w:bidi="en-US"/>
            </w:rPr>
          </w:pPr>
        </w:p>
        <w:p w:rsidR="00B30BA7" w:rsidRPr="008D1634" w:rsidRDefault="00B30BA7" w:rsidP="00B30BA7">
          <w:pPr>
            <w:widowControl w:val="0"/>
            <w:tabs>
              <w:tab w:val="left" w:pos="5830"/>
            </w:tabs>
            <w:autoSpaceDE w:val="0"/>
            <w:autoSpaceDN w:val="0"/>
            <w:adjustRightInd w:val="0"/>
            <w:spacing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1300 369 711</w:t>
          </w:r>
        </w:p>
        <w:p w:rsidR="00B30BA7" w:rsidRPr="008D1634" w:rsidRDefault="00B30BA7" w:rsidP="00B30BA7">
          <w:pPr>
            <w:widowControl w:val="0"/>
            <w:tabs>
              <w:tab w:val="left" w:pos="5830"/>
            </w:tabs>
            <w:autoSpaceDE w:val="0"/>
            <w:autoSpaceDN w:val="0"/>
            <w:adjustRightInd w:val="0"/>
            <w:spacing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1300 656 419</w:t>
          </w:r>
        </w:p>
        <w:p w:rsidR="00B30BA7" w:rsidRPr="008D1634" w:rsidRDefault="00B30BA7" w:rsidP="00B30BA7">
          <w:pPr>
            <w:widowControl w:val="0"/>
            <w:tabs>
              <w:tab w:val="left" w:pos="5830"/>
            </w:tabs>
            <w:autoSpaceDE w:val="0"/>
            <w:autoSpaceDN w:val="0"/>
            <w:adjustRightInd w:val="0"/>
            <w:spacing w:after="0" w:line="288" w:lineRule="auto"/>
            <w:ind w:right="360"/>
            <w:textAlignment w:val="center"/>
            <w:rPr>
              <w:rFonts w:cs="HelveticaNeue-Light"/>
              <w:sz w:val="16"/>
              <w:lang w:val="en-US"/>
            </w:rPr>
          </w:pPr>
          <w:r w:rsidRPr="008D1634">
            <w:rPr>
              <w:rFonts w:cs="HelveticaNeue-Light"/>
              <w:sz w:val="16"/>
              <w:szCs w:val="16"/>
              <w:lang w:val="en-US" w:bidi="en-US"/>
            </w:rPr>
            <w:t>1800 620 241</w:t>
          </w:r>
        </w:p>
      </w:tc>
    </w:tr>
  </w:tbl>
  <w:p w:rsidR="00B30BA7" w:rsidRDefault="00B30BA7" w:rsidP="00B30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DBA" w:rsidRDefault="00924DBA" w:rsidP="00553A3A">
      <w:pPr>
        <w:spacing w:after="0" w:line="240" w:lineRule="auto"/>
      </w:pPr>
      <w:r>
        <w:separator/>
      </w:r>
    </w:p>
  </w:footnote>
  <w:footnote w:type="continuationSeparator" w:id="0">
    <w:p w:rsidR="00924DBA" w:rsidRDefault="00924DBA" w:rsidP="00553A3A">
      <w:pPr>
        <w:spacing w:after="0" w:line="240" w:lineRule="auto"/>
      </w:pPr>
      <w:r>
        <w:continuationSeparator/>
      </w:r>
    </w:p>
  </w:footnote>
  <w:footnote w:id="1">
    <w:p w:rsidR="00DA62F0" w:rsidRDefault="00DA62F0" w:rsidP="00965F13">
      <w:pPr>
        <w:pStyle w:val="FootnoteText"/>
        <w:ind w:left="720" w:hanging="720"/>
      </w:pPr>
      <w:r>
        <w:rPr>
          <w:rStyle w:val="FootnoteReference"/>
        </w:rPr>
        <w:footnoteRef/>
      </w:r>
      <w:r>
        <w:t xml:space="preserve"> </w:t>
      </w:r>
      <w:r>
        <w:tab/>
        <w:t xml:space="preserve">See: </w:t>
      </w:r>
      <w:hyperlink r:id="rId1" w:history="1">
        <w:r w:rsidRPr="00AF615B">
          <w:rPr>
            <w:rStyle w:val="Hyperlink"/>
          </w:rPr>
          <w:t>https://anrows.org.au/publications/fast-facts-0/violence-against-women-key-statistics%20</w:t>
        </w:r>
      </w:hyperlink>
      <w:r>
        <w:t xml:space="preserve"> (viewed 9 August 2017). </w:t>
      </w:r>
    </w:p>
  </w:footnote>
  <w:footnote w:id="2">
    <w:p w:rsidR="00DA62F0" w:rsidRDefault="00DA62F0" w:rsidP="00965F13">
      <w:pPr>
        <w:pStyle w:val="FootnoteText"/>
        <w:ind w:left="720" w:hanging="720"/>
      </w:pPr>
      <w:r>
        <w:rPr>
          <w:rStyle w:val="FootnoteReference"/>
        </w:rPr>
        <w:footnoteRef/>
      </w:r>
      <w:r>
        <w:t xml:space="preserve"> </w:t>
      </w:r>
      <w:r w:rsidR="00451D61">
        <w:tab/>
      </w:r>
      <w:r w:rsidRPr="00D920A1">
        <w:rPr>
          <w:color w:val="000000"/>
          <w:shd w:val="clear" w:color="auto" w:fill="FFFFFF"/>
        </w:rPr>
        <w:t>Committee on the Elimination of Discrimination against Women, </w:t>
      </w:r>
      <w:r w:rsidRPr="00D920A1">
        <w:rPr>
          <w:rStyle w:val="Emphasis"/>
          <w:shd w:val="clear" w:color="auto" w:fill="FFFFFF"/>
        </w:rPr>
        <w:t>General Recommendati</w:t>
      </w:r>
      <w:r>
        <w:rPr>
          <w:rStyle w:val="Emphasis"/>
          <w:shd w:val="clear" w:color="auto" w:fill="FFFFFF"/>
        </w:rPr>
        <w:t>on No. 33 – women’s access to justice</w:t>
      </w:r>
      <w:r w:rsidRPr="00965F13">
        <w:rPr>
          <w:rStyle w:val="Emphasis"/>
          <w:i w:val="0"/>
          <w:shd w:val="clear" w:color="auto" w:fill="FFFFFF"/>
        </w:rPr>
        <w:t>, CEDAW/C/GC/33 (2015).</w:t>
      </w:r>
      <w:r>
        <w:rPr>
          <w:rStyle w:val="Emphasis"/>
          <w:shd w:val="clear" w:color="auto" w:fill="FFFFFF"/>
        </w:rPr>
        <w:t xml:space="preserve"> </w:t>
      </w:r>
      <w:r w:rsidRPr="00965F13">
        <w:rPr>
          <w:rStyle w:val="Emphasis"/>
          <w:i w:val="0"/>
          <w:shd w:val="clear" w:color="auto" w:fill="FFFFFF"/>
        </w:rPr>
        <w:t>At:</w:t>
      </w:r>
      <w:r>
        <w:rPr>
          <w:rStyle w:val="Emphasis"/>
          <w:shd w:val="clear" w:color="auto" w:fill="FFFFFF"/>
        </w:rPr>
        <w:t xml:space="preserve"> </w:t>
      </w:r>
      <w:hyperlink r:id="rId2" w:history="1">
        <w:r w:rsidR="00451D61" w:rsidRPr="00AD5D7D">
          <w:rPr>
            <w:rStyle w:val="Hyperlink"/>
            <w:shd w:val="clear" w:color="auto" w:fill="FFFFFF"/>
          </w:rPr>
          <w:t>http://www.ohchr.org/EN/HRBodies/</w:t>
        </w:r>
        <w:r w:rsidR="00451D61" w:rsidRPr="00AD5D7D">
          <w:rPr>
            <w:rStyle w:val="Hyperlink"/>
            <w:shd w:val="clear" w:color="auto" w:fill="FFFFFF"/>
          </w:rPr>
          <w:br/>
          <w:t>CEDAW/Pages/Recommendations.aspx</w:t>
        </w:r>
      </w:hyperlink>
      <w:r>
        <w:rPr>
          <w:rStyle w:val="Emphasis"/>
          <w:shd w:val="clear" w:color="auto" w:fill="FFFFFF"/>
        </w:rPr>
        <w:t xml:space="preserve"> </w:t>
      </w:r>
      <w:r w:rsidRPr="00965F13">
        <w:rPr>
          <w:rStyle w:val="Emphasis"/>
          <w:i w:val="0"/>
          <w:shd w:val="clear" w:color="auto" w:fill="FFFFFF"/>
        </w:rPr>
        <w:t>(viewed 15 August 2017).</w:t>
      </w:r>
    </w:p>
  </w:footnote>
  <w:footnote w:id="3">
    <w:p w:rsidR="00DA62F0" w:rsidRDefault="00DA62F0" w:rsidP="00965F13">
      <w:pPr>
        <w:pStyle w:val="FootnoteText"/>
        <w:ind w:left="720" w:hanging="720"/>
      </w:pPr>
      <w:r>
        <w:rPr>
          <w:rStyle w:val="FootnoteReference"/>
        </w:rPr>
        <w:footnoteRef/>
      </w:r>
      <w:r>
        <w:t xml:space="preserve"> </w:t>
      </w:r>
      <w:r w:rsidR="00451D61">
        <w:tab/>
      </w:r>
      <w:r>
        <w:t xml:space="preserve">Committee on the Rights of the Child, </w:t>
      </w:r>
      <w:r>
        <w:rPr>
          <w:i/>
        </w:rPr>
        <w:t>General Comment No 13: The right of the child to freedom from all forms of violence</w:t>
      </w:r>
      <w:r>
        <w:t>, 56</w:t>
      </w:r>
      <w:r w:rsidRPr="00E652DC">
        <w:rPr>
          <w:vertAlign w:val="superscript"/>
        </w:rPr>
        <w:t>th</w:t>
      </w:r>
      <w:r>
        <w:t xml:space="preserve"> sess, UN Doc CRC/C/GC/13 (18 April 2011) [45–57].</w:t>
      </w:r>
    </w:p>
  </w:footnote>
  <w:footnote w:id="4">
    <w:p w:rsidR="00DA62F0" w:rsidRDefault="00DA62F0">
      <w:pPr>
        <w:pStyle w:val="FootnoteText"/>
      </w:pPr>
      <w:r>
        <w:rPr>
          <w:rStyle w:val="FootnoteReference"/>
        </w:rPr>
        <w:footnoteRef/>
      </w:r>
      <w:r>
        <w:t xml:space="preserve"> </w:t>
      </w:r>
      <w:r w:rsidR="00451D61">
        <w:tab/>
      </w:r>
      <w:r>
        <w:t xml:space="preserve">Accessed at: </w:t>
      </w:r>
      <w:hyperlink r:id="rId3" w:history="1">
        <w:r w:rsidRPr="00452CD7">
          <w:rPr>
            <w:rStyle w:val="Hyperlink"/>
          </w:rPr>
          <w:t>http://www.localcourt.justice.nsw.gov.au/publications/practice-notes</w:t>
        </w:r>
      </w:hyperlink>
      <w:r w:rsidR="00EC4DE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5" w:type="dxa"/>
      <w:tblLayout w:type="fixed"/>
      <w:tblLook w:val="00A0" w:firstRow="1" w:lastRow="0" w:firstColumn="1" w:lastColumn="0" w:noHBand="0" w:noVBand="0"/>
    </w:tblPr>
    <w:tblGrid>
      <w:gridCol w:w="3652"/>
      <w:gridCol w:w="301"/>
      <w:gridCol w:w="5152"/>
    </w:tblGrid>
    <w:tr w:rsidR="00312E86" w:rsidRPr="00F67D3F" w:rsidTr="006775C5">
      <w:trPr>
        <w:trHeight w:val="1603"/>
      </w:trPr>
      <w:tc>
        <w:tcPr>
          <w:tcW w:w="3652" w:type="dxa"/>
        </w:tcPr>
        <w:p w:rsidR="00312E86" w:rsidRPr="008D1634" w:rsidRDefault="00312E86" w:rsidP="00312E86">
          <w:pPr>
            <w:pStyle w:val="Header"/>
            <w:tabs>
              <w:tab w:val="left" w:pos="4686"/>
              <w:tab w:val="left" w:pos="7088"/>
              <w:tab w:val="left" w:pos="7242"/>
            </w:tabs>
            <w:jc w:val="center"/>
            <w:rPr>
              <w:rFonts w:cs="ArialMT"/>
              <w:b/>
              <w:color w:val="000000"/>
              <w:spacing w:val="-20"/>
              <w:sz w:val="32"/>
              <w:lang w:val="en-US" w:bidi="en-US"/>
            </w:rPr>
          </w:pPr>
          <w:r>
            <w:rPr>
              <w:rFonts w:cs="ArialMT"/>
              <w:b/>
              <w:noProof/>
              <w:color w:val="000000"/>
              <w:spacing w:val="-20"/>
              <w:sz w:val="32"/>
            </w:rPr>
            <w:drawing>
              <wp:inline distT="0" distB="0" distL="0" distR="0" wp14:anchorId="6222E881" wp14:editId="703E7FFE">
                <wp:extent cx="2209800" cy="752475"/>
                <wp:effectExtent l="0" t="0" r="0" b="9525"/>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52475"/>
                        </a:xfrm>
                        <a:prstGeom prst="rect">
                          <a:avLst/>
                        </a:prstGeom>
                        <a:noFill/>
                        <a:ln>
                          <a:noFill/>
                        </a:ln>
                      </pic:spPr>
                    </pic:pic>
                  </a:graphicData>
                </a:graphic>
              </wp:inline>
            </w:drawing>
          </w:r>
        </w:p>
      </w:tc>
      <w:tc>
        <w:tcPr>
          <w:tcW w:w="301" w:type="dxa"/>
          <w:vAlign w:val="center"/>
        </w:tcPr>
        <w:p w:rsidR="00312E86" w:rsidRPr="008D1634" w:rsidRDefault="00312E86" w:rsidP="00312E86">
          <w:pPr>
            <w:spacing w:after="0" w:line="210" w:lineRule="exact"/>
            <w:rPr>
              <w:rFonts w:cs="ArialMT"/>
              <w:i/>
              <w:color w:val="808080"/>
              <w:sz w:val="17"/>
              <w:lang w:val="en-US" w:bidi="en-US"/>
            </w:rPr>
          </w:pPr>
        </w:p>
      </w:tc>
      <w:tc>
        <w:tcPr>
          <w:tcW w:w="5152" w:type="dxa"/>
        </w:tcPr>
        <w:p w:rsidR="00312E86" w:rsidRDefault="00312E86" w:rsidP="00312E86">
          <w:pPr>
            <w:pStyle w:val="LogoType"/>
            <w:pBdr>
              <w:bottom w:val="none" w:sz="0" w:space="0" w:color="auto"/>
            </w:pBdr>
            <w:spacing w:before="0" w:after="0" w:line="240" w:lineRule="auto"/>
            <w:jc w:val="right"/>
            <w:rPr>
              <w:color w:val="646464"/>
              <w:spacing w:val="0"/>
              <w:kern w:val="144"/>
              <w:sz w:val="24"/>
              <w:lang w:val="en-US" w:eastAsia="en-US" w:bidi="en-US"/>
            </w:rPr>
          </w:pPr>
        </w:p>
        <w:p w:rsidR="00312E86" w:rsidRDefault="00312E86" w:rsidP="00312E86">
          <w:pPr>
            <w:pStyle w:val="LogoType"/>
            <w:pBdr>
              <w:bottom w:val="none" w:sz="0" w:space="0" w:color="auto"/>
            </w:pBdr>
            <w:spacing w:before="0" w:after="0" w:line="240" w:lineRule="auto"/>
            <w:jc w:val="right"/>
            <w:rPr>
              <w:color w:val="646464"/>
              <w:spacing w:val="0"/>
              <w:kern w:val="144"/>
              <w:sz w:val="24"/>
              <w:lang w:val="en-US" w:eastAsia="en-US" w:bidi="en-US"/>
            </w:rPr>
          </w:pPr>
        </w:p>
        <w:p w:rsidR="00312E86" w:rsidRPr="00F67D3F" w:rsidRDefault="00312E86" w:rsidP="00312E86">
          <w:pPr>
            <w:pStyle w:val="LogoType"/>
            <w:pBdr>
              <w:bottom w:val="none" w:sz="0" w:space="0" w:color="auto"/>
            </w:pBdr>
            <w:spacing w:before="0" w:after="0" w:line="240" w:lineRule="auto"/>
            <w:jc w:val="right"/>
            <w:rPr>
              <w:color w:val="646464"/>
              <w:spacing w:val="0"/>
              <w:kern w:val="144"/>
              <w:sz w:val="24"/>
              <w:lang w:val="en-US" w:eastAsia="en-US" w:bidi="en-US"/>
            </w:rPr>
          </w:pPr>
          <w:r>
            <w:rPr>
              <w:color w:val="646464"/>
              <w:spacing w:val="0"/>
              <w:kern w:val="144"/>
              <w:sz w:val="24"/>
              <w:lang w:val="en-US" w:eastAsia="en-US" w:bidi="en-US"/>
            </w:rPr>
            <w:t>President</w:t>
          </w:r>
        </w:p>
        <w:p w:rsidR="00312E86" w:rsidRPr="00F67D3F" w:rsidRDefault="00312E86" w:rsidP="00312E86">
          <w:pPr>
            <w:pStyle w:val="LogoType"/>
            <w:pBdr>
              <w:bottom w:val="none" w:sz="0" w:space="0" w:color="auto"/>
            </w:pBdr>
            <w:spacing w:before="120" w:after="80" w:line="240" w:lineRule="auto"/>
            <w:jc w:val="right"/>
            <w:rPr>
              <w:spacing w:val="0"/>
              <w:kern w:val="144"/>
              <w:sz w:val="24"/>
              <w:lang w:val="en-US" w:eastAsia="en-US" w:bidi="en-US"/>
            </w:rPr>
          </w:pPr>
          <w:r>
            <w:rPr>
              <w:noProof/>
              <w:color w:val="646464"/>
              <w:spacing w:val="0"/>
              <w:kern w:val="144"/>
              <w:sz w:val="24"/>
            </w:rPr>
            <mc:AlternateContent>
              <mc:Choice Requires="wps">
                <w:drawing>
                  <wp:anchor distT="0" distB="0" distL="114300" distR="114300" simplePos="0" relativeHeight="251659264" behindDoc="0" locked="0" layoutInCell="1" allowOverlap="1" wp14:anchorId="28C11907" wp14:editId="12E9EECC">
                    <wp:simplePos x="0" y="0"/>
                    <wp:positionH relativeFrom="column">
                      <wp:posOffset>48895</wp:posOffset>
                    </wp:positionH>
                    <wp:positionV relativeFrom="paragraph">
                      <wp:posOffset>41275</wp:posOffset>
                    </wp:positionV>
                    <wp:extent cx="3150235" cy="7620"/>
                    <wp:effectExtent l="0" t="0" r="31115"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0235" cy="762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39E1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25pt" to="251.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" strokecolor="#5f5f5f"/>
                </w:pict>
              </mc:Fallback>
            </mc:AlternateContent>
          </w:r>
          <w:r>
            <w:rPr>
              <w:color w:val="646464"/>
              <w:spacing w:val="0"/>
              <w:kern w:val="144"/>
              <w:sz w:val="24"/>
              <w:lang w:val="en-US" w:eastAsia="en-US" w:bidi="en-US"/>
            </w:rPr>
            <w:t>Emeritus Professor Rosalind Croucher AM</w:t>
          </w:r>
        </w:p>
      </w:tc>
    </w:tr>
  </w:tbl>
  <w:p w:rsidR="007F594E" w:rsidRDefault="007F594E" w:rsidP="00312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AB3"/>
    <w:multiLevelType w:val="hybridMultilevel"/>
    <w:tmpl w:val="35B23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EC32D3"/>
    <w:multiLevelType w:val="hybridMultilevel"/>
    <w:tmpl w:val="DE46C890"/>
    <w:lvl w:ilvl="0" w:tplc="ED149BB6">
      <w:start w:val="1"/>
      <w:numFmt w:val="decimal"/>
      <w:lvlText w:val="%1."/>
      <w:lvlJc w:val="left"/>
      <w:pPr>
        <w:ind w:left="720" w:hanging="360"/>
      </w:pPr>
      <w:rPr>
        <w:rFonts w:hint="default"/>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4100F9"/>
    <w:multiLevelType w:val="hybridMultilevel"/>
    <w:tmpl w:val="20D27E60"/>
    <w:lvl w:ilvl="0" w:tplc="066A68C0">
      <w:start w:val="1"/>
      <w:numFmt w:val="decimal"/>
      <w:lvlText w:val="%1."/>
      <w:lvlJc w:val="left"/>
      <w:pPr>
        <w:ind w:left="720" w:hanging="360"/>
      </w:pPr>
      <w:rPr>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ED21CE"/>
    <w:multiLevelType w:val="hybridMultilevel"/>
    <w:tmpl w:val="FF52A1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4BE24F4C"/>
    <w:multiLevelType w:val="hybridMultilevel"/>
    <w:tmpl w:val="9362A3B8"/>
    <w:lvl w:ilvl="0" w:tplc="0C09000F">
      <w:start w:val="1"/>
      <w:numFmt w:val="decimal"/>
      <w:lvlText w:val="%1."/>
      <w:lvlJc w:val="left"/>
      <w:pPr>
        <w:ind w:left="720" w:hanging="360"/>
      </w:p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AB540C"/>
    <w:multiLevelType w:val="hybridMultilevel"/>
    <w:tmpl w:val="52C00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1F7EBB"/>
    <w:multiLevelType w:val="multilevel"/>
    <w:tmpl w:val="2BA4AB78"/>
    <w:lvl w:ilvl="0">
      <w:start w:val="1"/>
      <w:numFmt w:val="bullet"/>
      <w:lvlText w:val=""/>
      <w:lvlJc w:val="left"/>
      <w:pPr>
        <w:tabs>
          <w:tab w:val="num" w:pos="2835"/>
        </w:tabs>
        <w:ind w:left="2835" w:hanging="851"/>
      </w:pPr>
      <w:rPr>
        <w:rFonts w:ascii="Symbol" w:hAnsi="Symbol" w:hint="default"/>
      </w:rPr>
    </w:lvl>
    <w:lvl w:ilvl="1">
      <w:start w:val="1"/>
      <w:numFmt w:val="decimal"/>
      <w:lvlText w:val="%1.%2"/>
      <w:lvlJc w:val="left"/>
      <w:pPr>
        <w:tabs>
          <w:tab w:val="num" w:pos="2835"/>
        </w:tabs>
        <w:ind w:left="2835" w:hanging="851"/>
      </w:pPr>
      <w:rPr>
        <w:rFonts w:hint="default"/>
      </w:rPr>
    </w:lvl>
    <w:lvl w:ilvl="2">
      <w:start w:val="1"/>
      <w:numFmt w:val="lowerLetter"/>
      <w:lvlText w:val="(%3)"/>
      <w:lvlJc w:val="left"/>
      <w:pPr>
        <w:tabs>
          <w:tab w:val="num" w:pos="2835"/>
        </w:tabs>
        <w:ind w:left="2835" w:hanging="851"/>
      </w:pPr>
      <w:rPr>
        <w:rFonts w:hint="default"/>
      </w:rPr>
    </w:lvl>
    <w:lvl w:ilvl="3">
      <w:start w:val="1"/>
      <w:numFmt w:val="lowerRoman"/>
      <w:lvlText w:val="(%4)"/>
      <w:lvlJc w:val="left"/>
      <w:pPr>
        <w:tabs>
          <w:tab w:val="num" w:pos="2835"/>
        </w:tabs>
        <w:ind w:left="2835" w:hanging="851"/>
      </w:pPr>
      <w:rPr>
        <w:rFonts w:hint="default"/>
      </w:rPr>
    </w:lvl>
    <w:lvl w:ilvl="4">
      <w:start w:val="1"/>
      <w:numFmt w:val="decimal"/>
      <w:lvlText w:val="%1.%2.%3.%4.%5"/>
      <w:lvlJc w:val="left"/>
      <w:pPr>
        <w:tabs>
          <w:tab w:val="num" w:pos="1984"/>
        </w:tabs>
        <w:ind w:left="2992" w:hanging="1008"/>
      </w:pPr>
      <w:rPr>
        <w:rFonts w:hint="default"/>
      </w:rPr>
    </w:lvl>
    <w:lvl w:ilvl="5">
      <w:start w:val="1"/>
      <w:numFmt w:val="decimal"/>
      <w:lvlText w:val="%1.%2.%3.%4.%5.%6"/>
      <w:lvlJc w:val="left"/>
      <w:pPr>
        <w:tabs>
          <w:tab w:val="num" w:pos="1984"/>
        </w:tabs>
        <w:ind w:left="3136" w:hanging="1152"/>
      </w:pPr>
      <w:rPr>
        <w:rFonts w:hint="default"/>
      </w:rPr>
    </w:lvl>
    <w:lvl w:ilvl="6">
      <w:start w:val="1"/>
      <w:numFmt w:val="decimal"/>
      <w:lvlText w:val="%1.%2.%3.%4.%5.%6.%7"/>
      <w:lvlJc w:val="left"/>
      <w:pPr>
        <w:tabs>
          <w:tab w:val="num" w:pos="1984"/>
        </w:tabs>
        <w:ind w:left="3280" w:hanging="1296"/>
      </w:pPr>
      <w:rPr>
        <w:rFonts w:hint="default"/>
      </w:rPr>
    </w:lvl>
    <w:lvl w:ilvl="7">
      <w:start w:val="1"/>
      <w:numFmt w:val="decimal"/>
      <w:lvlText w:val="%1.%2.%3.%4.%5.%6.%7.%8"/>
      <w:lvlJc w:val="left"/>
      <w:pPr>
        <w:tabs>
          <w:tab w:val="num" w:pos="1984"/>
        </w:tabs>
        <w:ind w:left="3424" w:hanging="1440"/>
      </w:pPr>
      <w:rPr>
        <w:rFonts w:hint="default"/>
      </w:rPr>
    </w:lvl>
    <w:lvl w:ilvl="8">
      <w:start w:val="1"/>
      <w:numFmt w:val="decimal"/>
      <w:lvlText w:val="%1.%2.%3.%4.%5.%6.%7.%8.%9"/>
      <w:lvlJc w:val="left"/>
      <w:pPr>
        <w:tabs>
          <w:tab w:val="num" w:pos="1984"/>
        </w:tabs>
        <w:ind w:left="3568" w:hanging="1584"/>
      </w:pPr>
      <w:rPr>
        <w:rFonts w:hint="default"/>
      </w:rPr>
    </w:lvl>
  </w:abstractNum>
  <w:abstractNum w:abstractNumId="7" w15:restartNumberingAfterBreak="0">
    <w:nsid w:val="56402B13"/>
    <w:multiLevelType w:val="hybridMultilevel"/>
    <w:tmpl w:val="75E4075E"/>
    <w:lvl w:ilvl="0" w:tplc="D228DE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A108F3"/>
    <w:multiLevelType w:val="hybridMultilevel"/>
    <w:tmpl w:val="0CF45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B35279"/>
    <w:multiLevelType w:val="hybridMultilevel"/>
    <w:tmpl w:val="4B08C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A15FB9"/>
    <w:multiLevelType w:val="hybridMultilevel"/>
    <w:tmpl w:val="10D6338A"/>
    <w:lvl w:ilvl="0" w:tplc="A020532E">
      <w:start w:val="1"/>
      <w:numFmt w:val="bullet"/>
      <w:pStyle w:val="Bullet1"/>
      <w:lvlText w:val=""/>
      <w:lvlJc w:val="left"/>
      <w:pPr>
        <w:ind w:left="720" w:hanging="360"/>
      </w:pPr>
      <w:rPr>
        <w:rFonts w:ascii="Symbol" w:hAnsi="Symbol" w:hint="default"/>
        <w:color w:val="5C5C5C"/>
      </w:rPr>
    </w:lvl>
    <w:lvl w:ilvl="1" w:tplc="F1ACFA4C">
      <w:start w:val="1"/>
      <w:numFmt w:val="bullet"/>
      <w:pStyle w:val="ListBullet"/>
      <w:lvlText w:val=""/>
      <w:lvlJc w:val="left"/>
      <w:pPr>
        <w:ind w:left="1440" w:hanging="360"/>
      </w:pPr>
      <w:rPr>
        <w:rFonts w:ascii="Symbol" w:hAnsi="Symbol" w:hint="default"/>
        <w:color w:val="897005"/>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D63EAE"/>
    <w:multiLevelType w:val="hybridMultilevel"/>
    <w:tmpl w:val="996078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8"/>
  </w:num>
  <w:num w:numId="4">
    <w:abstractNumId w:val="9"/>
  </w:num>
  <w:num w:numId="5">
    <w:abstractNumId w:val="0"/>
  </w:num>
  <w:num w:numId="6">
    <w:abstractNumId w:val="2"/>
  </w:num>
  <w:num w:numId="7">
    <w:abstractNumId w:val="4"/>
  </w:num>
  <w:num w:numId="8">
    <w:abstractNumId w:val="3"/>
  </w:num>
  <w:num w:numId="9">
    <w:abstractNumId w:val="11"/>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21"/>
    <w:rsid w:val="000059DB"/>
    <w:rsid w:val="000242FB"/>
    <w:rsid w:val="000253DA"/>
    <w:rsid w:val="00035286"/>
    <w:rsid w:val="0004626A"/>
    <w:rsid w:val="0006527D"/>
    <w:rsid w:val="00065A17"/>
    <w:rsid w:val="00086B13"/>
    <w:rsid w:val="000B02F1"/>
    <w:rsid w:val="00110D78"/>
    <w:rsid w:val="00127198"/>
    <w:rsid w:val="00134345"/>
    <w:rsid w:val="0014627F"/>
    <w:rsid w:val="00151B20"/>
    <w:rsid w:val="001549D3"/>
    <w:rsid w:val="00157DA7"/>
    <w:rsid w:val="00163A21"/>
    <w:rsid w:val="00166E3F"/>
    <w:rsid w:val="00167ED1"/>
    <w:rsid w:val="00171C4A"/>
    <w:rsid w:val="00175559"/>
    <w:rsid w:val="00185BA5"/>
    <w:rsid w:val="001C06EE"/>
    <w:rsid w:val="001D00CC"/>
    <w:rsid w:val="001D76F6"/>
    <w:rsid w:val="00221FE8"/>
    <w:rsid w:val="00224606"/>
    <w:rsid w:val="00237833"/>
    <w:rsid w:val="00246852"/>
    <w:rsid w:val="00264C07"/>
    <w:rsid w:val="0029261C"/>
    <w:rsid w:val="002A29AD"/>
    <w:rsid w:val="002B5421"/>
    <w:rsid w:val="002C49B5"/>
    <w:rsid w:val="002C61E7"/>
    <w:rsid w:val="002D75FB"/>
    <w:rsid w:val="002E4225"/>
    <w:rsid w:val="00312E86"/>
    <w:rsid w:val="0031662B"/>
    <w:rsid w:val="0031699E"/>
    <w:rsid w:val="003225B0"/>
    <w:rsid w:val="0033444B"/>
    <w:rsid w:val="0034358F"/>
    <w:rsid w:val="00346D4E"/>
    <w:rsid w:val="0035588E"/>
    <w:rsid w:val="003628BA"/>
    <w:rsid w:val="00392D9A"/>
    <w:rsid w:val="003B3B80"/>
    <w:rsid w:val="003C6BC8"/>
    <w:rsid w:val="00413FE5"/>
    <w:rsid w:val="00426198"/>
    <w:rsid w:val="00451D61"/>
    <w:rsid w:val="004628BA"/>
    <w:rsid w:val="00480FFD"/>
    <w:rsid w:val="00485064"/>
    <w:rsid w:val="0049661A"/>
    <w:rsid w:val="004B2FC3"/>
    <w:rsid w:val="004D0144"/>
    <w:rsid w:val="004D5E5F"/>
    <w:rsid w:val="004E0029"/>
    <w:rsid w:val="004F5C00"/>
    <w:rsid w:val="00510EAA"/>
    <w:rsid w:val="00512D01"/>
    <w:rsid w:val="00516F60"/>
    <w:rsid w:val="00540E4F"/>
    <w:rsid w:val="00553A3A"/>
    <w:rsid w:val="00557B56"/>
    <w:rsid w:val="005616E4"/>
    <w:rsid w:val="00577F73"/>
    <w:rsid w:val="00590B8A"/>
    <w:rsid w:val="005941B3"/>
    <w:rsid w:val="005D0184"/>
    <w:rsid w:val="005D13E6"/>
    <w:rsid w:val="005D5F37"/>
    <w:rsid w:val="005E0C19"/>
    <w:rsid w:val="005E1A19"/>
    <w:rsid w:val="005E4473"/>
    <w:rsid w:val="00604410"/>
    <w:rsid w:val="00604E10"/>
    <w:rsid w:val="00616650"/>
    <w:rsid w:val="00624036"/>
    <w:rsid w:val="00633CB6"/>
    <w:rsid w:val="00655966"/>
    <w:rsid w:val="006D0BEB"/>
    <w:rsid w:val="006D2DFA"/>
    <w:rsid w:val="006E4511"/>
    <w:rsid w:val="006E6973"/>
    <w:rsid w:val="006F4617"/>
    <w:rsid w:val="00711B06"/>
    <w:rsid w:val="007137BE"/>
    <w:rsid w:val="00732F24"/>
    <w:rsid w:val="00737EA6"/>
    <w:rsid w:val="00746C73"/>
    <w:rsid w:val="00757256"/>
    <w:rsid w:val="00770B4F"/>
    <w:rsid w:val="00771494"/>
    <w:rsid w:val="007A28CD"/>
    <w:rsid w:val="007A7F95"/>
    <w:rsid w:val="007B2BB4"/>
    <w:rsid w:val="007C2958"/>
    <w:rsid w:val="007C677B"/>
    <w:rsid w:val="007D3586"/>
    <w:rsid w:val="007E49F9"/>
    <w:rsid w:val="007F594E"/>
    <w:rsid w:val="007F6307"/>
    <w:rsid w:val="00801969"/>
    <w:rsid w:val="00811820"/>
    <w:rsid w:val="00812ACE"/>
    <w:rsid w:val="00812BF4"/>
    <w:rsid w:val="00826048"/>
    <w:rsid w:val="0083150A"/>
    <w:rsid w:val="008517F3"/>
    <w:rsid w:val="008668ED"/>
    <w:rsid w:val="00880C31"/>
    <w:rsid w:val="008845AF"/>
    <w:rsid w:val="008B7F55"/>
    <w:rsid w:val="008C685B"/>
    <w:rsid w:val="008D7261"/>
    <w:rsid w:val="008F297F"/>
    <w:rsid w:val="008F571C"/>
    <w:rsid w:val="009114FA"/>
    <w:rsid w:val="00923D22"/>
    <w:rsid w:val="00924DBA"/>
    <w:rsid w:val="0095016E"/>
    <w:rsid w:val="0095380D"/>
    <w:rsid w:val="00955E54"/>
    <w:rsid w:val="00965F13"/>
    <w:rsid w:val="0097079A"/>
    <w:rsid w:val="00982208"/>
    <w:rsid w:val="009A6A98"/>
    <w:rsid w:val="009C58AC"/>
    <w:rsid w:val="009D1749"/>
    <w:rsid w:val="009F233B"/>
    <w:rsid w:val="009F2875"/>
    <w:rsid w:val="009F2C0E"/>
    <w:rsid w:val="00A13ADB"/>
    <w:rsid w:val="00A169E4"/>
    <w:rsid w:val="00A17A22"/>
    <w:rsid w:val="00A2480B"/>
    <w:rsid w:val="00A37FFD"/>
    <w:rsid w:val="00A4416D"/>
    <w:rsid w:val="00A554EA"/>
    <w:rsid w:val="00A56B5B"/>
    <w:rsid w:val="00A73A2A"/>
    <w:rsid w:val="00A85A55"/>
    <w:rsid w:val="00A945FA"/>
    <w:rsid w:val="00AA09CD"/>
    <w:rsid w:val="00AB796B"/>
    <w:rsid w:val="00AC58CA"/>
    <w:rsid w:val="00AC6BE7"/>
    <w:rsid w:val="00AD5D7D"/>
    <w:rsid w:val="00AF4E20"/>
    <w:rsid w:val="00AF590E"/>
    <w:rsid w:val="00AF6D4B"/>
    <w:rsid w:val="00B10D0C"/>
    <w:rsid w:val="00B11145"/>
    <w:rsid w:val="00B12A5B"/>
    <w:rsid w:val="00B15279"/>
    <w:rsid w:val="00B1574E"/>
    <w:rsid w:val="00B24240"/>
    <w:rsid w:val="00B26872"/>
    <w:rsid w:val="00B30BA7"/>
    <w:rsid w:val="00B42F40"/>
    <w:rsid w:val="00B504F5"/>
    <w:rsid w:val="00B50D63"/>
    <w:rsid w:val="00B80E6E"/>
    <w:rsid w:val="00B85FF0"/>
    <w:rsid w:val="00B9235B"/>
    <w:rsid w:val="00B942F8"/>
    <w:rsid w:val="00BB7ED7"/>
    <w:rsid w:val="00BE2180"/>
    <w:rsid w:val="00BF05D3"/>
    <w:rsid w:val="00C06DAB"/>
    <w:rsid w:val="00C12016"/>
    <w:rsid w:val="00C13DF2"/>
    <w:rsid w:val="00C3580F"/>
    <w:rsid w:val="00C51BF7"/>
    <w:rsid w:val="00C64492"/>
    <w:rsid w:val="00C8763A"/>
    <w:rsid w:val="00C95159"/>
    <w:rsid w:val="00CA36B8"/>
    <w:rsid w:val="00CA60D7"/>
    <w:rsid w:val="00CA6C34"/>
    <w:rsid w:val="00CF5440"/>
    <w:rsid w:val="00D23039"/>
    <w:rsid w:val="00D36FCA"/>
    <w:rsid w:val="00D3712F"/>
    <w:rsid w:val="00D61462"/>
    <w:rsid w:val="00D63256"/>
    <w:rsid w:val="00D94123"/>
    <w:rsid w:val="00DA62F0"/>
    <w:rsid w:val="00DB6977"/>
    <w:rsid w:val="00DF1530"/>
    <w:rsid w:val="00E015D6"/>
    <w:rsid w:val="00E10F77"/>
    <w:rsid w:val="00E11B0D"/>
    <w:rsid w:val="00E27ABA"/>
    <w:rsid w:val="00E51E7F"/>
    <w:rsid w:val="00E81CB5"/>
    <w:rsid w:val="00E81D21"/>
    <w:rsid w:val="00E91159"/>
    <w:rsid w:val="00EA3502"/>
    <w:rsid w:val="00EC2FFF"/>
    <w:rsid w:val="00EC4DE1"/>
    <w:rsid w:val="00EC70FE"/>
    <w:rsid w:val="00ED327B"/>
    <w:rsid w:val="00EF3797"/>
    <w:rsid w:val="00F14204"/>
    <w:rsid w:val="00F171A9"/>
    <w:rsid w:val="00F213DD"/>
    <w:rsid w:val="00F31DC6"/>
    <w:rsid w:val="00F33187"/>
    <w:rsid w:val="00F602ED"/>
    <w:rsid w:val="00F63447"/>
    <w:rsid w:val="00F70402"/>
    <w:rsid w:val="00F71FE6"/>
    <w:rsid w:val="00F94E95"/>
    <w:rsid w:val="00FA69BD"/>
    <w:rsid w:val="00FB1435"/>
    <w:rsid w:val="00FC2F69"/>
    <w:rsid w:val="00FE5AA4"/>
    <w:rsid w:val="00FE6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1161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E91159"/>
    <w:pPr>
      <w:spacing w:after="200" w:line="360" w:lineRule="auto"/>
    </w:pPr>
    <w:rPr>
      <w:rFonts w:ascii="Arial" w:hAnsi="Arial" w:cs="Arial"/>
      <w:w w:val="105"/>
      <w:kern w:val="40"/>
      <w:sz w:val="22"/>
      <w:szCs w:val="22"/>
      <w:lang w:eastAsia="en-US"/>
    </w:rPr>
  </w:style>
  <w:style w:type="paragraph" w:styleId="Heading1">
    <w:name w:val="heading 1"/>
    <w:basedOn w:val="Normal"/>
    <w:next w:val="Normal"/>
    <w:link w:val="Heading1Char"/>
    <w:uiPriority w:val="9"/>
    <w:qFormat/>
    <w:rsid w:val="00E91159"/>
    <w:pPr>
      <w:keepNext/>
      <w:spacing w:before="240" w:after="60"/>
      <w:outlineLvl w:val="0"/>
    </w:pPr>
    <w:rPr>
      <w:rFonts w:ascii="Calibri" w:eastAsia="SimSun" w:hAnsi="Calibri" w:cs="Angsana New"/>
      <w:b/>
      <w:bCs/>
      <w:color w:val="404040"/>
      <w:kern w:val="32"/>
      <w:sz w:val="40"/>
      <w:szCs w:val="32"/>
    </w:rPr>
  </w:style>
  <w:style w:type="paragraph" w:styleId="Heading2">
    <w:name w:val="heading 2"/>
    <w:basedOn w:val="Normal"/>
    <w:next w:val="Normal"/>
    <w:link w:val="Heading2Char"/>
    <w:uiPriority w:val="9"/>
    <w:unhideWhenUsed/>
    <w:qFormat/>
    <w:rsid w:val="00E91159"/>
    <w:pPr>
      <w:keepNext/>
      <w:spacing w:before="240" w:after="60"/>
      <w:outlineLvl w:val="1"/>
    </w:pPr>
    <w:rPr>
      <w:rFonts w:ascii="Calibri" w:eastAsia="SimSun" w:hAnsi="Calibri" w:cs="Angsana New"/>
      <w:b/>
      <w:bCs/>
      <w:iCs/>
      <w:color w:val="897005"/>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27198"/>
    <w:rPr>
      <w:color w:val="0000FF"/>
      <w:u w:val="single"/>
    </w:rPr>
  </w:style>
  <w:style w:type="character" w:customStyle="1" w:styleId="Heading1Char">
    <w:name w:val="Heading 1 Char"/>
    <w:link w:val="Heading1"/>
    <w:uiPriority w:val="9"/>
    <w:rsid w:val="00E91159"/>
    <w:rPr>
      <w:rFonts w:ascii="Calibri" w:eastAsia="SimSun" w:hAnsi="Calibri" w:cs="Angsana New"/>
      <w:b/>
      <w:bCs/>
      <w:color w:val="404040"/>
      <w:w w:val="105"/>
      <w:kern w:val="32"/>
      <w:sz w:val="40"/>
      <w:szCs w:val="32"/>
    </w:rPr>
  </w:style>
  <w:style w:type="character" w:customStyle="1" w:styleId="Heading2Char">
    <w:name w:val="Heading 2 Char"/>
    <w:link w:val="Heading2"/>
    <w:uiPriority w:val="9"/>
    <w:rsid w:val="00E91159"/>
    <w:rPr>
      <w:rFonts w:ascii="Calibri" w:eastAsia="SimSun" w:hAnsi="Calibri" w:cs="Angsana New"/>
      <w:b/>
      <w:bCs/>
      <w:iCs/>
      <w:color w:val="897005"/>
      <w:w w:val="105"/>
      <w:kern w:val="40"/>
      <w:sz w:val="36"/>
      <w:szCs w:val="28"/>
    </w:rPr>
  </w:style>
  <w:style w:type="paragraph" w:styleId="NoSpacing">
    <w:name w:val="No Spacing"/>
    <w:uiPriority w:val="1"/>
    <w:qFormat/>
    <w:rsid w:val="00E91159"/>
    <w:rPr>
      <w:rFonts w:ascii="Arial" w:hAnsi="Arial" w:cs="Arial"/>
      <w:w w:val="105"/>
      <w:kern w:val="40"/>
      <w:sz w:val="22"/>
      <w:szCs w:val="22"/>
      <w:lang w:eastAsia="en-US"/>
    </w:rPr>
  </w:style>
  <w:style w:type="paragraph" w:styleId="BalloonText">
    <w:name w:val="Balloon Text"/>
    <w:basedOn w:val="Normal"/>
    <w:link w:val="BalloonTextChar"/>
    <w:uiPriority w:val="99"/>
    <w:semiHidden/>
    <w:unhideWhenUsed/>
    <w:rsid w:val="00B242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4240"/>
    <w:rPr>
      <w:rFonts w:ascii="Tahoma" w:eastAsia="Calibri" w:hAnsi="Tahoma" w:cs="Tahoma"/>
      <w:w w:val="105"/>
      <w:kern w:val="40"/>
      <w:sz w:val="16"/>
      <w:szCs w:val="16"/>
    </w:rPr>
  </w:style>
  <w:style w:type="character" w:styleId="CommentReference">
    <w:name w:val="annotation reference"/>
    <w:uiPriority w:val="99"/>
    <w:semiHidden/>
    <w:unhideWhenUsed/>
    <w:rsid w:val="00770B4F"/>
    <w:rPr>
      <w:sz w:val="16"/>
      <w:szCs w:val="16"/>
    </w:rPr>
  </w:style>
  <w:style w:type="paragraph" w:styleId="CommentText">
    <w:name w:val="annotation text"/>
    <w:basedOn w:val="Normal"/>
    <w:link w:val="CommentTextChar"/>
    <w:uiPriority w:val="99"/>
    <w:semiHidden/>
    <w:unhideWhenUsed/>
    <w:rsid w:val="00770B4F"/>
    <w:pPr>
      <w:spacing w:line="240" w:lineRule="auto"/>
    </w:pPr>
    <w:rPr>
      <w:sz w:val="20"/>
      <w:szCs w:val="20"/>
    </w:rPr>
  </w:style>
  <w:style w:type="character" w:customStyle="1" w:styleId="CommentTextChar">
    <w:name w:val="Comment Text Char"/>
    <w:link w:val="CommentText"/>
    <w:uiPriority w:val="99"/>
    <w:semiHidden/>
    <w:rsid w:val="00770B4F"/>
    <w:rPr>
      <w:rFonts w:ascii="Arial" w:eastAsia="Calibri" w:hAnsi="Arial" w:cs="Arial"/>
      <w:w w:val="105"/>
      <w:kern w:val="40"/>
      <w:sz w:val="20"/>
      <w:szCs w:val="20"/>
    </w:rPr>
  </w:style>
  <w:style w:type="paragraph" w:styleId="CommentSubject">
    <w:name w:val="annotation subject"/>
    <w:basedOn w:val="CommentText"/>
    <w:next w:val="CommentText"/>
    <w:link w:val="CommentSubjectChar"/>
    <w:uiPriority w:val="99"/>
    <w:semiHidden/>
    <w:unhideWhenUsed/>
    <w:rsid w:val="00770B4F"/>
    <w:rPr>
      <w:b/>
      <w:bCs/>
    </w:rPr>
  </w:style>
  <w:style w:type="character" w:customStyle="1" w:styleId="CommentSubjectChar">
    <w:name w:val="Comment Subject Char"/>
    <w:link w:val="CommentSubject"/>
    <w:uiPriority w:val="99"/>
    <w:semiHidden/>
    <w:rsid w:val="00770B4F"/>
    <w:rPr>
      <w:rFonts w:ascii="Arial" w:eastAsia="Calibri" w:hAnsi="Arial" w:cs="Arial"/>
      <w:b/>
      <w:bCs/>
      <w:w w:val="105"/>
      <w:kern w:val="40"/>
      <w:sz w:val="20"/>
      <w:szCs w:val="20"/>
    </w:rPr>
  </w:style>
  <w:style w:type="paragraph" w:styleId="Revision">
    <w:name w:val="Revision"/>
    <w:hidden/>
    <w:uiPriority w:val="99"/>
    <w:semiHidden/>
    <w:rsid w:val="00770B4F"/>
    <w:rPr>
      <w:rFonts w:ascii="Arial" w:hAnsi="Arial" w:cs="Arial"/>
      <w:w w:val="105"/>
      <w:kern w:val="40"/>
      <w:sz w:val="22"/>
      <w:szCs w:val="22"/>
      <w:lang w:eastAsia="en-US"/>
    </w:rPr>
  </w:style>
  <w:style w:type="paragraph" w:styleId="Header">
    <w:name w:val="header"/>
    <w:basedOn w:val="Normal"/>
    <w:link w:val="HeaderChar"/>
    <w:unhideWhenUsed/>
    <w:rsid w:val="00553A3A"/>
    <w:pPr>
      <w:tabs>
        <w:tab w:val="center" w:pos="4513"/>
        <w:tab w:val="right" w:pos="9026"/>
      </w:tabs>
    </w:pPr>
  </w:style>
  <w:style w:type="character" w:customStyle="1" w:styleId="HeaderChar">
    <w:name w:val="Header Char"/>
    <w:link w:val="Header"/>
    <w:rsid w:val="00553A3A"/>
    <w:rPr>
      <w:rFonts w:ascii="Arial" w:hAnsi="Arial" w:cs="Arial"/>
      <w:w w:val="105"/>
      <w:kern w:val="40"/>
      <w:sz w:val="22"/>
      <w:szCs w:val="22"/>
      <w:lang w:eastAsia="en-US"/>
    </w:rPr>
  </w:style>
  <w:style w:type="paragraph" w:styleId="Footer">
    <w:name w:val="footer"/>
    <w:basedOn w:val="Normal"/>
    <w:link w:val="FooterChar"/>
    <w:uiPriority w:val="99"/>
    <w:unhideWhenUsed/>
    <w:rsid w:val="00553A3A"/>
    <w:pPr>
      <w:tabs>
        <w:tab w:val="center" w:pos="4513"/>
        <w:tab w:val="right" w:pos="9026"/>
      </w:tabs>
    </w:pPr>
  </w:style>
  <w:style w:type="character" w:customStyle="1" w:styleId="FooterChar">
    <w:name w:val="Footer Char"/>
    <w:link w:val="Footer"/>
    <w:uiPriority w:val="99"/>
    <w:rsid w:val="00553A3A"/>
    <w:rPr>
      <w:rFonts w:ascii="Arial" w:hAnsi="Arial" w:cs="Arial"/>
      <w:w w:val="105"/>
      <w:kern w:val="40"/>
      <w:sz w:val="22"/>
      <w:szCs w:val="22"/>
      <w:lang w:eastAsia="en-US"/>
    </w:rPr>
  </w:style>
  <w:style w:type="paragraph" w:customStyle="1" w:styleId="Bullet1">
    <w:name w:val="Bullet 1"/>
    <w:basedOn w:val="ListBullet"/>
    <w:autoRedefine/>
    <w:qFormat/>
    <w:rsid w:val="00A169E4"/>
    <w:pPr>
      <w:numPr>
        <w:ilvl w:val="0"/>
      </w:numPr>
      <w:ind w:left="567" w:hanging="567"/>
    </w:pPr>
  </w:style>
  <w:style w:type="paragraph" w:styleId="ListBullet">
    <w:name w:val="List Bullet"/>
    <w:aliases w:val="List Bullet 1"/>
    <w:basedOn w:val="Normal"/>
    <w:uiPriority w:val="99"/>
    <w:unhideWhenUsed/>
    <w:rsid w:val="00A169E4"/>
    <w:pPr>
      <w:numPr>
        <w:ilvl w:val="1"/>
        <w:numId w:val="2"/>
      </w:numPr>
      <w:spacing w:line="240" w:lineRule="auto"/>
      <w:contextualSpacing/>
    </w:pPr>
    <w:rPr>
      <w:rFonts w:ascii="Calibri" w:hAnsi="Calibri" w:cs="Calibri"/>
    </w:rPr>
  </w:style>
  <w:style w:type="character" w:styleId="Emphasis">
    <w:name w:val="Emphasis"/>
    <w:basedOn w:val="DefaultParagraphFont"/>
    <w:uiPriority w:val="20"/>
    <w:qFormat/>
    <w:rsid w:val="00413FE5"/>
    <w:rPr>
      <w:i/>
      <w:iCs/>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E81D21"/>
    <w:pPr>
      <w:ind w:left="720"/>
      <w:contextualSpacing/>
    </w:p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BF05D3"/>
    <w:rPr>
      <w:rFonts w:ascii="Arial" w:hAnsi="Arial" w:cs="Arial"/>
      <w:w w:val="105"/>
      <w:kern w:val="40"/>
      <w:sz w:val="22"/>
      <w:szCs w:val="22"/>
      <w:lang w:eastAsia="en-US"/>
    </w:rPr>
  </w:style>
  <w:style w:type="paragraph" w:styleId="PlainText">
    <w:name w:val="Plain Text"/>
    <w:basedOn w:val="Normal"/>
    <w:link w:val="PlainTextChar"/>
    <w:uiPriority w:val="99"/>
    <w:unhideWhenUsed/>
    <w:rsid w:val="00BF05D3"/>
    <w:pPr>
      <w:spacing w:after="0" w:line="240" w:lineRule="auto"/>
    </w:pPr>
    <w:rPr>
      <w:rFonts w:ascii="Calibri" w:eastAsiaTheme="minorHAnsi" w:hAnsi="Calibri" w:cs="Consolas"/>
      <w:w w:val="100"/>
      <w:kern w:val="0"/>
      <w:szCs w:val="21"/>
    </w:rPr>
  </w:style>
  <w:style w:type="character" w:customStyle="1" w:styleId="PlainTextChar">
    <w:name w:val="Plain Text Char"/>
    <w:basedOn w:val="DefaultParagraphFont"/>
    <w:link w:val="PlainText"/>
    <w:uiPriority w:val="99"/>
    <w:rsid w:val="00BF05D3"/>
    <w:rPr>
      <w:rFonts w:eastAsiaTheme="minorHAnsi" w:cs="Consolas"/>
      <w:sz w:val="22"/>
      <w:szCs w:val="21"/>
      <w:lang w:eastAsia="en-US"/>
    </w:rPr>
  </w:style>
  <w:style w:type="character" w:styleId="Strong">
    <w:name w:val="Strong"/>
    <w:qFormat/>
    <w:rsid w:val="006E4511"/>
    <w:rPr>
      <w:b/>
      <w:bCs/>
    </w:rPr>
  </w:style>
  <w:style w:type="paragraph" w:styleId="EndnoteText">
    <w:name w:val="endnote text"/>
    <w:basedOn w:val="Normal"/>
    <w:link w:val="EndnoteTextChar1"/>
    <w:qFormat/>
    <w:rsid w:val="004D0144"/>
    <w:pPr>
      <w:spacing w:after="0" w:line="240" w:lineRule="auto"/>
    </w:pPr>
    <w:rPr>
      <w:rFonts w:eastAsia="MS Mincho" w:cs="Times New Roman"/>
      <w:w w:val="100"/>
      <w:kern w:val="0"/>
      <w:sz w:val="20"/>
      <w:szCs w:val="20"/>
      <w:lang w:eastAsia="en-AU"/>
    </w:rPr>
  </w:style>
  <w:style w:type="character" w:customStyle="1" w:styleId="EndnoteTextChar">
    <w:name w:val="Endnote Text Char"/>
    <w:basedOn w:val="DefaultParagraphFont"/>
    <w:uiPriority w:val="99"/>
    <w:semiHidden/>
    <w:rsid w:val="004D0144"/>
    <w:rPr>
      <w:rFonts w:ascii="Arial" w:hAnsi="Arial" w:cs="Arial"/>
      <w:w w:val="105"/>
      <w:kern w:val="40"/>
      <w:lang w:eastAsia="en-US"/>
    </w:rPr>
  </w:style>
  <w:style w:type="character" w:customStyle="1" w:styleId="EndnoteTextChar1">
    <w:name w:val="Endnote Text Char1"/>
    <w:link w:val="EndnoteText"/>
    <w:rsid w:val="004D0144"/>
    <w:rPr>
      <w:rFonts w:ascii="Arial" w:eastAsia="MS Mincho" w:hAnsi="Arial"/>
    </w:rPr>
  </w:style>
  <w:style w:type="character" w:styleId="EndnoteReference">
    <w:name w:val="endnote reference"/>
    <w:rsid w:val="004D0144"/>
    <w:rPr>
      <w:rFonts w:ascii="Arial" w:hAnsi="Arial"/>
      <w:sz w:val="20"/>
      <w:vertAlign w:val="superscript"/>
    </w:rPr>
  </w:style>
  <w:style w:type="paragraph" w:customStyle="1" w:styleId="SubmissionNormal">
    <w:name w:val="Submission Normal"/>
    <w:basedOn w:val="Normal"/>
    <w:link w:val="SubmissionNormalChar"/>
    <w:rsid w:val="004D0144"/>
    <w:pPr>
      <w:spacing w:before="240" w:after="240" w:line="240" w:lineRule="auto"/>
    </w:pPr>
    <w:rPr>
      <w:rFonts w:eastAsia="Times New Roman" w:cs="Times New Roman"/>
      <w:w w:val="100"/>
      <w:kern w:val="0"/>
      <w:sz w:val="24"/>
      <w:szCs w:val="24"/>
      <w:lang w:val="x-none" w:eastAsia="x-none"/>
    </w:rPr>
  </w:style>
  <w:style w:type="character" w:customStyle="1" w:styleId="SubmissionNormalChar">
    <w:name w:val="Submission Normal Char"/>
    <w:link w:val="SubmissionNormal"/>
    <w:rsid w:val="004D0144"/>
    <w:rPr>
      <w:rFonts w:ascii="Arial" w:eastAsia="Times New Roman" w:hAnsi="Arial"/>
      <w:sz w:val="24"/>
      <w:szCs w:val="24"/>
      <w:lang w:val="x-none" w:eastAsia="x-none"/>
    </w:rPr>
  </w:style>
  <w:style w:type="paragraph" w:styleId="FootnoteText">
    <w:name w:val="footnote text"/>
    <w:basedOn w:val="Normal"/>
    <w:link w:val="FootnoteTextChar"/>
    <w:uiPriority w:val="99"/>
    <w:semiHidden/>
    <w:unhideWhenUsed/>
    <w:rsid w:val="00DA62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2F0"/>
    <w:rPr>
      <w:rFonts w:ascii="Arial" w:hAnsi="Arial" w:cs="Arial"/>
      <w:w w:val="105"/>
      <w:kern w:val="40"/>
      <w:lang w:eastAsia="en-US"/>
    </w:rPr>
  </w:style>
  <w:style w:type="character" w:styleId="FootnoteReference">
    <w:name w:val="footnote reference"/>
    <w:basedOn w:val="DefaultParagraphFont"/>
    <w:uiPriority w:val="99"/>
    <w:semiHidden/>
    <w:unhideWhenUsed/>
    <w:rsid w:val="00DA62F0"/>
    <w:rPr>
      <w:vertAlign w:val="superscript"/>
    </w:rPr>
  </w:style>
  <w:style w:type="paragraph" w:customStyle="1" w:styleId="LogoType">
    <w:name w:val="Logo Type"/>
    <w:basedOn w:val="Header"/>
    <w:semiHidden/>
    <w:rsid w:val="00312E86"/>
    <w:pPr>
      <w:pBdr>
        <w:bottom w:val="single" w:sz="4" w:space="4" w:color="auto"/>
      </w:pBdr>
      <w:tabs>
        <w:tab w:val="clear" w:pos="4513"/>
        <w:tab w:val="clear" w:pos="9026"/>
        <w:tab w:val="left" w:pos="4686"/>
        <w:tab w:val="left" w:pos="7088"/>
        <w:tab w:val="left" w:pos="7242"/>
      </w:tabs>
      <w:spacing w:before="240" w:after="240" w:line="320" w:lineRule="exact"/>
    </w:pPr>
    <w:rPr>
      <w:rFonts w:eastAsia="Times New Roman" w:cs="ArialMT"/>
      <w:b/>
      <w:color w:val="808080"/>
      <w:spacing w:val="-20"/>
      <w:w w:val="100"/>
      <w:kern w:val="0"/>
      <w:sz w:val="32"/>
      <w:szCs w:val="24"/>
      <w:lang w:eastAsia="en-AU"/>
    </w:rPr>
  </w:style>
  <w:style w:type="paragraph" w:customStyle="1" w:styleId="Contactdetails">
    <w:name w:val="Contact details"/>
    <w:basedOn w:val="Normal"/>
    <w:semiHidden/>
    <w:rsid w:val="004E002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10" w:lineRule="exact"/>
    </w:pPr>
    <w:rPr>
      <w:rFonts w:ascii="ArialMT" w:eastAsia="Times New Roman" w:hAnsi="ArialMT" w:cs="ArialMT"/>
      <w:w w:val="100"/>
      <w:kern w:val="0"/>
      <w:sz w:val="20"/>
      <w:szCs w:val="24"/>
      <w:lang w:val="en-US" w:eastAsia="en-A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234">
      <w:bodyDiv w:val="1"/>
      <w:marLeft w:val="0"/>
      <w:marRight w:val="0"/>
      <w:marTop w:val="0"/>
      <w:marBottom w:val="0"/>
      <w:divBdr>
        <w:top w:val="none" w:sz="0" w:space="0" w:color="auto"/>
        <w:left w:val="none" w:sz="0" w:space="0" w:color="auto"/>
        <w:bottom w:val="none" w:sz="0" w:space="0" w:color="auto"/>
        <w:right w:val="none" w:sz="0" w:space="0" w:color="auto"/>
      </w:divBdr>
    </w:div>
    <w:div w:id="19778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aph.gov.au/DocumentStore.ashx?id=616c80fd-9f8d-4f90-8e71-202e8bea67f8&amp;subId=41168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amilylawunit@ag.gov.au" TargetMode="External"/><Relationship Id="rId17" Type="http://schemas.openxmlformats.org/officeDocument/2006/relationships/hyperlink" Target="https://www.humanrights.gov.au/submissions/violence-against-women-australia-2017" TargetMode="External"/><Relationship Id="rId2" Type="http://schemas.openxmlformats.org/officeDocument/2006/relationships/customXml" Target="../customXml/item2.xml"/><Relationship Id="rId16" Type="http://schemas.openxmlformats.org/officeDocument/2006/relationships/hyperlink" Target="https://www.humanrights.gov.au/our-work/childrens-rights/publications/childrens-rights-report-2015" TargetMode="External"/><Relationship Id="rId20" Type="http://schemas.openxmlformats.org/officeDocument/2006/relationships/hyperlink" Target="https://www.fwc.gov.au/sites/awardsmodernfouryr/common/am2051-sub-ahrc-1205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milylawunit@ag.gov.au" TargetMode="External"/><Relationship Id="rId5" Type="http://schemas.openxmlformats.org/officeDocument/2006/relationships/numbering" Target="numbering.xml"/><Relationship Id="rId15" Type="http://schemas.openxmlformats.org/officeDocument/2006/relationships/hyperlink" Target="mailto:familylawunit@ag.gov.au" TargetMode="External"/><Relationship Id="rId10" Type="http://schemas.openxmlformats.org/officeDocument/2006/relationships/endnotes" Target="endnotes.xml"/><Relationship Id="rId19" Type="http://schemas.openxmlformats.org/officeDocument/2006/relationships/hyperlink" Target="http://www.aph.gov.au/DocumentStore.ashx?id=98e7d00c-885a-46da-a50c-aaf0d19bf6ea&amp;subId=41005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ocalcourt.justice.nsw.gov.au/publications/practice-notes" TargetMode="External"/><Relationship Id="rId2" Type="http://schemas.openxmlformats.org/officeDocument/2006/relationships/hyperlink" Target="http://www.ohchr.org/EN/HRBodies/CEDAW/Pages/Recommendations.aspx" TargetMode="External"/><Relationship Id="rId1" Type="http://schemas.openxmlformats.org/officeDocument/2006/relationships/hyperlink" Target="https://anrows.org.au/publications/fast-facts-0/violence-against-women-key-statistics%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714AAB92087A479D18E34414527064" ma:contentTypeVersion="1" ma:contentTypeDescription="Create a new document." ma:contentTypeScope="" ma:versionID="0292e4baf4f0b8599fd5cd7e36eef05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B1BD-314A-487E-9450-E27EF11A5D08}">
  <ds:schemaRefs>
    <ds:schemaRef ds:uri="http://www.w3.org/XML/1998/namespace"/>
    <ds:schemaRef ds:uri="http://schemas.microsoft.com/sharepoint/v3"/>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82FE253-B81B-45E9-8800-529390A1A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1151D-3B07-4C7A-80C3-7EFF72C9573E}">
  <ds:schemaRefs>
    <ds:schemaRef ds:uri="http://schemas.microsoft.com/sharepoint/v3/contenttype/forms"/>
  </ds:schemaRefs>
</ds:datastoreItem>
</file>

<file path=customXml/itemProps4.xml><?xml version="1.0" encoding="utf-8"?>
<ds:datastoreItem xmlns:ds="http://schemas.openxmlformats.org/officeDocument/2006/customXml" ds:itemID="{94B872BC-3FB2-4FA4-BD0C-938FAE83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Submissions template family violence cross examination</vt:lpstr>
    </vt:vector>
  </TitlesOfParts>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template family violence cross examination</dc:title>
  <dc:creator/>
  <cp:lastModifiedBy/>
  <cp:revision>1</cp:revision>
  <dcterms:created xsi:type="dcterms:W3CDTF">2017-08-25T03:10:00Z</dcterms:created>
  <dcterms:modified xsi:type="dcterms:W3CDTF">2017-08-25T05:05:00Z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0x010100FC714AAB92087A479D18E34414527064</vt:lpwstr>
  </property>
  <property fmtid="{D5CDD505-2E9C-101B-9397-08002B2CF9AE}" pid="3" name="Order">
    <vt:r8>414900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