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330AC" w14:textId="2F8C1600" w:rsidR="00591951" w:rsidRPr="00654793" w:rsidRDefault="0069029F" w:rsidP="00591951">
      <w:pPr>
        <w:tabs>
          <w:tab w:val="left" w:pos="3014"/>
        </w:tabs>
        <w:spacing w:after="3000"/>
        <w:rPr>
          <w:rStyle w:val="FootnoteReference"/>
        </w:rPr>
      </w:pPr>
      <w:r>
        <w:rPr>
          <w:noProof/>
        </w:rPr>
        <mc:AlternateContent>
          <mc:Choice Requires="wps">
            <w:drawing>
              <wp:anchor distT="0" distB="0" distL="114300" distR="114300" simplePos="0" relativeHeight="251656704" behindDoc="0" locked="0" layoutInCell="1" allowOverlap="1" wp14:anchorId="27B67DBD" wp14:editId="38E316F2">
                <wp:simplePos x="0" y="0"/>
                <wp:positionH relativeFrom="column">
                  <wp:posOffset>471805</wp:posOffset>
                </wp:positionH>
                <wp:positionV relativeFrom="paragraph">
                  <wp:posOffset>-73660</wp:posOffset>
                </wp:positionV>
                <wp:extent cx="5304790"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04790" cy="1485900"/>
                        </a:xfrm>
                        <a:prstGeom prst="rect">
                          <a:avLst/>
                        </a:prstGeom>
                        <a:noFill/>
                        <a:ln w="6350">
                          <a:noFill/>
                        </a:ln>
                        <a:effectLst/>
                      </wps:spPr>
                      <wps:txbx>
                        <w:txbxContent>
                          <w:p w14:paraId="2B4FFEC1" w14:textId="77777777" w:rsidR="00EA007C" w:rsidRDefault="00EA007C" w:rsidP="00A252E5">
                            <w:pPr>
                              <w:pStyle w:val="MainTitle"/>
                            </w:pPr>
                            <w:r>
                              <w:rPr>
                                <w:rStyle w:val="PageNumber"/>
                                <w:rFonts w:eastAsia="MS Mincho"/>
                                <w:sz w:val="52"/>
                                <w:szCs w:val="52"/>
                              </w:rPr>
                              <w:t>Inquiry into harm being done to Australian children through access to pornography on the Internet</w:t>
                            </w:r>
                          </w:p>
                          <w:p w14:paraId="36ED0715" w14:textId="77777777" w:rsidR="00EA007C" w:rsidRDefault="00EA007C" w:rsidP="00FD01B5">
                            <w:pPr>
                              <w:pStyle w:val="Main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B67DBD" id="_x0000_t202" coordsize="21600,21600" o:spt="202" path="m,l,21600r21600,l21600,xe">
                <v:stroke joinstyle="miter"/>
                <v:path gradientshapeok="t" o:connecttype="rect"/>
              </v:shapetype>
              <v:shape id="Text Box 1" o:spid="_x0000_s1026" type="#_x0000_t202" style="position:absolute;margin-left:37.15pt;margin-top:-5.8pt;width:417.7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" filled="f" stroked="f" strokeweight=".5pt">
                <v:path arrowok="t"/>
                <v:textbox>
                  <w:txbxContent>
                    <w:p w14:paraId="2B4FFEC1" w14:textId="77777777" w:rsidR="00EA007C" w:rsidRDefault="00EA007C" w:rsidP="00A252E5">
                      <w:pPr>
                        <w:pStyle w:val="MainTitle"/>
                      </w:pPr>
                      <w:r>
                        <w:rPr>
                          <w:rStyle w:val="PageNumber"/>
                          <w:rFonts w:eastAsia="MS Mincho"/>
                          <w:sz w:val="52"/>
                          <w:szCs w:val="52"/>
                        </w:rPr>
                        <w:t>Inquiry into harm being done to Australian children through access to pornography on the Internet</w:t>
                      </w:r>
                    </w:p>
                    <w:p w14:paraId="36ED0715" w14:textId="77777777" w:rsidR="00EA007C" w:rsidRDefault="00EA007C" w:rsidP="00FD01B5">
                      <w:pPr>
                        <w:pStyle w:val="MainTitle"/>
                      </w:pPr>
                    </w:p>
                  </w:txbxContent>
                </v:textbox>
              </v:shape>
            </w:pict>
          </mc:Fallback>
        </mc:AlternateContent>
      </w:r>
      <w:r w:rsidR="00A252E5">
        <w:rPr>
          <w:noProof/>
        </w:rPr>
        <mc:AlternateContent>
          <mc:Choice Requires="wps">
            <w:drawing>
              <wp:anchor distT="0" distB="0" distL="114300" distR="114300" simplePos="0" relativeHeight="251657728" behindDoc="0" locked="0" layoutInCell="1" allowOverlap="1" wp14:anchorId="72937478" wp14:editId="5DFB3126">
                <wp:simplePos x="0" y="0"/>
                <wp:positionH relativeFrom="column">
                  <wp:posOffset>318770</wp:posOffset>
                </wp:positionH>
                <wp:positionV relativeFrom="paragraph">
                  <wp:posOffset>1472565</wp:posOffset>
                </wp:positionV>
                <wp:extent cx="5673090" cy="666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3090" cy="666750"/>
                        </a:xfrm>
                        <a:prstGeom prst="rect">
                          <a:avLst/>
                        </a:prstGeom>
                        <a:noFill/>
                        <a:ln w="6350">
                          <a:noFill/>
                        </a:ln>
                        <a:effectLst/>
                      </wps:spPr>
                      <wps:txbx>
                        <w:txbxContent>
                          <w:p w14:paraId="3A3C52F9" w14:textId="34074B33" w:rsidR="00EA007C" w:rsidRDefault="00EA007C" w:rsidP="00A252E5">
                            <w:pPr>
                              <w:pStyle w:val="Subtitle"/>
                            </w:pPr>
                            <w:bookmarkStart w:id="0" w:name="_Toc445721304"/>
                            <w:bookmarkStart w:id="1" w:name="_Toc445724441"/>
                            <w:bookmarkStart w:id="2" w:name="_Toc447101686"/>
                            <w:r>
                              <w:t>Submission to the Senate Standing Environment and Communications References Committee</w:t>
                            </w:r>
                            <w:bookmarkEnd w:id="0"/>
                            <w:bookmarkEnd w:id="1"/>
                            <w:bookmarkEnd w:id="2"/>
                          </w:p>
                          <w:p w14:paraId="3747E7B5" w14:textId="77777777" w:rsidR="00EA007C" w:rsidRPr="00B74219" w:rsidRDefault="00EA007C" w:rsidP="00A11307">
                            <w:pPr>
                              <w:pStyle w:val="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37478" id="Text Box 3" o:spid="_x0000_s1027" type="#_x0000_t202" style="position:absolute;margin-left:25.1pt;margin-top:115.95pt;width:446.7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" filled="f" stroked="f" strokeweight=".5pt">
                <v:path arrowok="t"/>
                <v:textbox>
                  <w:txbxContent>
                    <w:p w14:paraId="3A3C52F9" w14:textId="34074B33" w:rsidR="00EA007C" w:rsidRDefault="00EA007C" w:rsidP="00A252E5">
                      <w:pPr>
                        <w:pStyle w:val="Subtitle"/>
                      </w:pPr>
                      <w:bookmarkStart w:id="3" w:name="_Toc445721304"/>
                      <w:bookmarkStart w:id="4" w:name="_Toc445724441"/>
                      <w:bookmarkStart w:id="5" w:name="_Toc447101686"/>
                      <w:r>
                        <w:t>Submission to the Senate Standing Environment and Communications References Committee</w:t>
                      </w:r>
                      <w:bookmarkEnd w:id="3"/>
                      <w:bookmarkEnd w:id="4"/>
                      <w:bookmarkEnd w:id="5"/>
                    </w:p>
                    <w:p w14:paraId="3747E7B5" w14:textId="77777777" w:rsidR="00EA007C" w:rsidRPr="00B74219" w:rsidRDefault="00EA007C" w:rsidP="00A11307">
                      <w:pPr>
                        <w:pStyle w:val="Subtitle"/>
                      </w:pPr>
                    </w:p>
                  </w:txbxContent>
                </v:textbox>
              </v:shape>
            </w:pict>
          </mc:Fallback>
        </mc:AlternateContent>
      </w:r>
      <w:r w:rsidR="00A252E5">
        <w:rPr>
          <w:noProof/>
        </w:rPr>
        <mc:AlternateContent>
          <mc:Choice Requires="wps">
            <w:drawing>
              <wp:anchor distT="0" distB="0" distL="114300" distR="114300" simplePos="0" relativeHeight="251658752" behindDoc="0" locked="0" layoutInCell="1" allowOverlap="1" wp14:anchorId="68D737CB" wp14:editId="2C34B91F">
                <wp:simplePos x="0" y="0"/>
                <wp:positionH relativeFrom="column">
                  <wp:posOffset>2007235</wp:posOffset>
                </wp:positionH>
                <wp:positionV relativeFrom="paragraph">
                  <wp:posOffset>2004060</wp:posOffset>
                </wp:positionV>
                <wp:extent cx="3775075" cy="3613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14:paraId="3F2DFAEA" w14:textId="5D31C1FC" w:rsidR="00EA007C" w:rsidRPr="00B74219" w:rsidRDefault="0009458F" w:rsidP="002863D7">
                            <w:pPr>
                              <w:pStyle w:val="Date"/>
                            </w:pPr>
                            <w:r>
                              <w:t>April</w:t>
                            </w:r>
                            <w:r w:rsidR="00EA007C">
                              <w:t xml:space="preserv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737CB" id="Text Box 4" o:spid="_x0000_s1028" type="#_x0000_t202" style="position:absolute;margin-left:158.05pt;margin-top:157.8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f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" filled="f" stroked="f" strokeweight=".5pt">
                <v:path arrowok="t"/>
                <v:textbox>
                  <w:txbxContent>
                    <w:p w14:paraId="3F2DFAEA" w14:textId="5D31C1FC" w:rsidR="00EA007C" w:rsidRPr="00B74219" w:rsidRDefault="0009458F" w:rsidP="002863D7">
                      <w:pPr>
                        <w:pStyle w:val="Date"/>
                      </w:pPr>
                      <w:r>
                        <w:t>April</w:t>
                      </w:r>
                      <w:r w:rsidR="00EA007C">
                        <w:t xml:space="preserve"> 2016</w:t>
                      </w:r>
                    </w:p>
                  </w:txbxContent>
                </v:textbox>
              </v:shape>
            </w:pict>
          </mc:Fallback>
        </mc:AlternateContent>
      </w:r>
    </w:p>
    <w:p w14:paraId="682F180A" w14:textId="77777777" w:rsidR="00591951" w:rsidRPr="00827DE2" w:rsidRDefault="00591951" w:rsidP="00591951">
      <w:pPr>
        <w:pStyle w:val="MainTitle"/>
        <w:rPr>
          <w:sz w:val="44"/>
          <w:szCs w:val="44"/>
        </w:rPr>
      </w:pPr>
    </w:p>
    <w:p w14:paraId="71BA24A7" w14:textId="77777777" w:rsidR="00B924E6" w:rsidRDefault="00B924E6" w:rsidP="00E26B28">
      <w:pPr>
        <w:sectPr w:rsidR="00B924E6"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3" w:name="_Toc209316062"/>
      <w:bookmarkEnd w:id="3"/>
    </w:p>
    <w:p w14:paraId="0D1CFF86" w14:textId="77777777" w:rsidR="00B63D24" w:rsidRPr="00907336" w:rsidRDefault="00B63D24" w:rsidP="00B63D24">
      <w:pPr>
        <w:rPr>
          <w:b/>
          <w:sz w:val="28"/>
          <w:szCs w:val="28"/>
        </w:rPr>
      </w:pPr>
      <w:bookmarkStart w:id="4" w:name="_Toc207761829"/>
      <w:r w:rsidRPr="00907336">
        <w:rPr>
          <w:b/>
          <w:sz w:val="28"/>
          <w:szCs w:val="28"/>
        </w:rPr>
        <w:lastRenderedPageBreak/>
        <w:t>Table of Contents</w:t>
      </w:r>
      <w:bookmarkEnd w:id="4"/>
    </w:p>
    <w:p w14:paraId="304749E0" w14:textId="2083ED39" w:rsidR="00DD5914" w:rsidRDefault="00B63D24">
      <w:pPr>
        <w:pStyle w:val="TOC2"/>
        <w:rPr>
          <w:rFonts w:asciiTheme="minorHAnsi" w:eastAsiaTheme="minorEastAsia" w:hAnsiTheme="minorHAnsi" w:cstheme="minorBidi"/>
          <w:b w:val="0"/>
          <w:i w:val="0"/>
          <w:sz w:val="22"/>
          <w:szCs w:val="22"/>
        </w:rPr>
      </w:pPr>
      <w:r>
        <w:rPr>
          <w:sz w:val="22"/>
        </w:rPr>
        <w:fldChar w:fldCharType="begin"/>
      </w:r>
      <w:r>
        <w:instrText xml:space="preserve"> TOC \o "1-4" \h \z \u </w:instrText>
      </w:r>
      <w:r>
        <w:rPr>
          <w:sz w:val="22"/>
        </w:rPr>
        <w:fldChar w:fldCharType="separate"/>
      </w:r>
    </w:p>
    <w:p w14:paraId="39E9EE91" w14:textId="77777777" w:rsidR="00DD5914" w:rsidRPr="00DD5914" w:rsidRDefault="00E638B1" w:rsidP="00DD5914">
      <w:pPr>
        <w:pStyle w:val="TOC3"/>
        <w:spacing w:after="120"/>
        <w:rPr>
          <w:rFonts w:asciiTheme="minorHAnsi" w:eastAsiaTheme="minorEastAsia" w:hAnsiTheme="minorHAnsi" w:cstheme="minorBidi"/>
          <w:sz w:val="22"/>
          <w:szCs w:val="22"/>
        </w:rPr>
      </w:pPr>
      <w:hyperlink w:anchor="_Toc447101687" w:history="1">
        <w:r w:rsidR="00DD5914" w:rsidRPr="00DD5914">
          <w:rPr>
            <w:rStyle w:val="Hyperlink"/>
          </w:rPr>
          <w:t>1.</w:t>
        </w:r>
        <w:r w:rsidR="00DD5914" w:rsidRPr="00DD5914">
          <w:rPr>
            <w:rFonts w:asciiTheme="minorHAnsi" w:eastAsiaTheme="minorEastAsia" w:hAnsiTheme="minorHAnsi" w:cstheme="minorBidi"/>
            <w:sz w:val="22"/>
            <w:szCs w:val="22"/>
          </w:rPr>
          <w:tab/>
        </w:r>
        <w:r w:rsidR="00DD5914" w:rsidRPr="00DD5914">
          <w:rPr>
            <w:rStyle w:val="Hyperlink"/>
            <w:lang w:val="fr-FR"/>
          </w:rPr>
          <w:t>Introduction</w:t>
        </w:r>
        <w:r w:rsidR="00DD5914" w:rsidRPr="00DD5914">
          <w:rPr>
            <w:webHidden/>
          </w:rPr>
          <w:tab/>
        </w:r>
        <w:r w:rsidR="00DD5914" w:rsidRPr="00DD5914">
          <w:rPr>
            <w:webHidden/>
          </w:rPr>
          <w:fldChar w:fldCharType="begin"/>
        </w:r>
        <w:r w:rsidR="00DD5914" w:rsidRPr="00DD5914">
          <w:rPr>
            <w:webHidden/>
          </w:rPr>
          <w:instrText xml:space="preserve"> PAGEREF _Toc447101687 \h </w:instrText>
        </w:r>
        <w:r w:rsidR="00DD5914" w:rsidRPr="00DD5914">
          <w:rPr>
            <w:webHidden/>
          </w:rPr>
        </w:r>
        <w:r w:rsidR="00DD5914" w:rsidRPr="00DD5914">
          <w:rPr>
            <w:webHidden/>
          </w:rPr>
          <w:fldChar w:fldCharType="separate"/>
        </w:r>
        <w:r w:rsidR="00981035">
          <w:rPr>
            <w:webHidden/>
          </w:rPr>
          <w:t>3</w:t>
        </w:r>
        <w:r w:rsidR="00DD5914" w:rsidRPr="00DD5914">
          <w:rPr>
            <w:webHidden/>
          </w:rPr>
          <w:fldChar w:fldCharType="end"/>
        </w:r>
      </w:hyperlink>
    </w:p>
    <w:p w14:paraId="5E72027F" w14:textId="77777777" w:rsidR="00DD5914" w:rsidRPr="00DD5914" w:rsidRDefault="00E638B1" w:rsidP="00DD5914">
      <w:pPr>
        <w:pStyle w:val="TOC3"/>
        <w:spacing w:after="120"/>
        <w:rPr>
          <w:rFonts w:asciiTheme="minorHAnsi" w:eastAsiaTheme="minorEastAsia" w:hAnsiTheme="minorHAnsi" w:cstheme="minorBidi"/>
          <w:sz w:val="22"/>
          <w:szCs w:val="22"/>
        </w:rPr>
      </w:pPr>
      <w:hyperlink w:anchor="_Toc447101688" w:history="1">
        <w:r w:rsidR="00DD5914" w:rsidRPr="00DD5914">
          <w:rPr>
            <w:rStyle w:val="Hyperlink"/>
          </w:rPr>
          <w:t>2.</w:t>
        </w:r>
        <w:r w:rsidR="00DD5914" w:rsidRPr="00DD5914">
          <w:rPr>
            <w:rFonts w:asciiTheme="minorHAnsi" w:eastAsiaTheme="minorEastAsia" w:hAnsiTheme="minorHAnsi" w:cstheme="minorBidi"/>
            <w:sz w:val="22"/>
            <w:szCs w:val="22"/>
          </w:rPr>
          <w:tab/>
        </w:r>
        <w:r w:rsidR="00DD5914" w:rsidRPr="00DD5914">
          <w:rPr>
            <w:rStyle w:val="Hyperlink"/>
            <w:lang w:val="sv-SE"/>
          </w:rPr>
          <w:t>Summary</w:t>
        </w:r>
        <w:r w:rsidR="00DD5914" w:rsidRPr="00DD5914">
          <w:rPr>
            <w:webHidden/>
          </w:rPr>
          <w:tab/>
        </w:r>
        <w:r w:rsidR="00DD5914" w:rsidRPr="00DD5914">
          <w:rPr>
            <w:webHidden/>
          </w:rPr>
          <w:fldChar w:fldCharType="begin"/>
        </w:r>
        <w:r w:rsidR="00DD5914" w:rsidRPr="00DD5914">
          <w:rPr>
            <w:webHidden/>
          </w:rPr>
          <w:instrText xml:space="preserve"> PAGEREF _Toc447101688 \h </w:instrText>
        </w:r>
        <w:r w:rsidR="00DD5914" w:rsidRPr="00DD5914">
          <w:rPr>
            <w:webHidden/>
          </w:rPr>
        </w:r>
        <w:r w:rsidR="00DD5914" w:rsidRPr="00DD5914">
          <w:rPr>
            <w:webHidden/>
          </w:rPr>
          <w:fldChar w:fldCharType="separate"/>
        </w:r>
        <w:r w:rsidR="00981035">
          <w:rPr>
            <w:webHidden/>
          </w:rPr>
          <w:t>3</w:t>
        </w:r>
        <w:r w:rsidR="00DD5914" w:rsidRPr="00DD5914">
          <w:rPr>
            <w:webHidden/>
          </w:rPr>
          <w:fldChar w:fldCharType="end"/>
        </w:r>
      </w:hyperlink>
    </w:p>
    <w:p w14:paraId="56D6A976" w14:textId="77777777" w:rsidR="00DD5914" w:rsidRPr="00DD5914" w:rsidRDefault="00E638B1" w:rsidP="00DD5914">
      <w:pPr>
        <w:pStyle w:val="TOC3"/>
        <w:spacing w:after="120"/>
        <w:rPr>
          <w:rFonts w:asciiTheme="minorHAnsi" w:eastAsiaTheme="minorEastAsia" w:hAnsiTheme="minorHAnsi" w:cstheme="minorBidi"/>
          <w:sz w:val="22"/>
          <w:szCs w:val="22"/>
        </w:rPr>
      </w:pPr>
      <w:hyperlink w:anchor="_Toc447101689" w:history="1">
        <w:r w:rsidR="00DD5914" w:rsidRPr="00DD5914">
          <w:rPr>
            <w:rStyle w:val="Hyperlink"/>
          </w:rPr>
          <w:t>3.</w:t>
        </w:r>
        <w:r w:rsidR="00DD5914" w:rsidRPr="00DD5914">
          <w:rPr>
            <w:rFonts w:asciiTheme="minorHAnsi" w:eastAsiaTheme="minorEastAsia" w:hAnsiTheme="minorHAnsi" w:cstheme="minorBidi"/>
            <w:sz w:val="22"/>
            <w:szCs w:val="22"/>
          </w:rPr>
          <w:tab/>
        </w:r>
        <w:r w:rsidR="00DD5914" w:rsidRPr="00DD5914">
          <w:rPr>
            <w:rStyle w:val="Hyperlink"/>
            <w:lang w:val="en-US"/>
          </w:rPr>
          <w:t>Recommendations</w:t>
        </w:r>
        <w:r w:rsidR="00DD5914" w:rsidRPr="00DD5914">
          <w:rPr>
            <w:webHidden/>
          </w:rPr>
          <w:tab/>
        </w:r>
        <w:r w:rsidR="00DD5914" w:rsidRPr="00DD5914">
          <w:rPr>
            <w:webHidden/>
          </w:rPr>
          <w:fldChar w:fldCharType="begin"/>
        </w:r>
        <w:r w:rsidR="00DD5914" w:rsidRPr="00DD5914">
          <w:rPr>
            <w:webHidden/>
          </w:rPr>
          <w:instrText xml:space="preserve"> PAGEREF _Toc447101689 \h </w:instrText>
        </w:r>
        <w:r w:rsidR="00DD5914" w:rsidRPr="00DD5914">
          <w:rPr>
            <w:webHidden/>
          </w:rPr>
        </w:r>
        <w:r w:rsidR="00DD5914" w:rsidRPr="00DD5914">
          <w:rPr>
            <w:webHidden/>
          </w:rPr>
          <w:fldChar w:fldCharType="separate"/>
        </w:r>
        <w:r w:rsidR="00981035">
          <w:rPr>
            <w:webHidden/>
          </w:rPr>
          <w:t>3</w:t>
        </w:r>
        <w:r w:rsidR="00DD5914" w:rsidRPr="00DD5914">
          <w:rPr>
            <w:webHidden/>
          </w:rPr>
          <w:fldChar w:fldCharType="end"/>
        </w:r>
      </w:hyperlink>
    </w:p>
    <w:p w14:paraId="04300038" w14:textId="77777777" w:rsidR="00DD5914" w:rsidRPr="00DD5914" w:rsidRDefault="00E638B1" w:rsidP="00DD5914">
      <w:pPr>
        <w:pStyle w:val="TOC3"/>
        <w:spacing w:after="120"/>
        <w:rPr>
          <w:rFonts w:asciiTheme="minorHAnsi" w:eastAsiaTheme="minorEastAsia" w:hAnsiTheme="minorHAnsi" w:cstheme="minorBidi"/>
          <w:sz w:val="22"/>
          <w:szCs w:val="22"/>
        </w:rPr>
      </w:pPr>
      <w:hyperlink w:anchor="_Toc447101690" w:history="1">
        <w:r w:rsidR="00DD5914" w:rsidRPr="00DD5914">
          <w:rPr>
            <w:rStyle w:val="Hyperlink"/>
          </w:rPr>
          <w:t>4.</w:t>
        </w:r>
        <w:r w:rsidR="00DD5914" w:rsidRPr="00DD5914">
          <w:rPr>
            <w:rFonts w:asciiTheme="minorHAnsi" w:eastAsiaTheme="minorEastAsia" w:hAnsiTheme="minorHAnsi" w:cstheme="minorBidi"/>
            <w:sz w:val="22"/>
            <w:szCs w:val="22"/>
          </w:rPr>
          <w:tab/>
        </w:r>
        <w:r w:rsidR="00DD5914" w:rsidRPr="00DD5914">
          <w:rPr>
            <w:rStyle w:val="Hyperlink"/>
            <w:lang w:val="en-US"/>
          </w:rPr>
          <w:t>Rights of children and young people and access to pornography</w:t>
        </w:r>
        <w:r w:rsidR="00DD5914" w:rsidRPr="00DD5914">
          <w:rPr>
            <w:webHidden/>
          </w:rPr>
          <w:tab/>
        </w:r>
        <w:r w:rsidR="00DD5914" w:rsidRPr="00DD5914">
          <w:rPr>
            <w:webHidden/>
          </w:rPr>
          <w:fldChar w:fldCharType="begin"/>
        </w:r>
        <w:r w:rsidR="00DD5914" w:rsidRPr="00DD5914">
          <w:rPr>
            <w:webHidden/>
          </w:rPr>
          <w:instrText xml:space="preserve"> PAGEREF _Toc447101690 \h </w:instrText>
        </w:r>
        <w:r w:rsidR="00DD5914" w:rsidRPr="00DD5914">
          <w:rPr>
            <w:webHidden/>
          </w:rPr>
        </w:r>
        <w:r w:rsidR="00DD5914" w:rsidRPr="00DD5914">
          <w:rPr>
            <w:webHidden/>
          </w:rPr>
          <w:fldChar w:fldCharType="separate"/>
        </w:r>
        <w:r w:rsidR="00981035">
          <w:rPr>
            <w:webHidden/>
          </w:rPr>
          <w:t>4</w:t>
        </w:r>
        <w:r w:rsidR="00DD5914" w:rsidRPr="00DD5914">
          <w:rPr>
            <w:webHidden/>
          </w:rPr>
          <w:fldChar w:fldCharType="end"/>
        </w:r>
      </w:hyperlink>
    </w:p>
    <w:p w14:paraId="40850A7C" w14:textId="77777777" w:rsidR="00DD5914" w:rsidRPr="00DD5914" w:rsidRDefault="00E638B1" w:rsidP="00DD5914">
      <w:pPr>
        <w:pStyle w:val="TOC3"/>
        <w:spacing w:after="120"/>
        <w:rPr>
          <w:rFonts w:asciiTheme="minorHAnsi" w:eastAsiaTheme="minorEastAsia" w:hAnsiTheme="minorHAnsi" w:cstheme="minorBidi"/>
          <w:sz w:val="22"/>
          <w:szCs w:val="22"/>
        </w:rPr>
      </w:pPr>
      <w:hyperlink w:anchor="_Toc447101691" w:history="1">
        <w:r w:rsidR="00DD5914" w:rsidRPr="00DD5914">
          <w:rPr>
            <w:rStyle w:val="Hyperlink"/>
          </w:rPr>
          <w:t>5.</w:t>
        </w:r>
        <w:r w:rsidR="00DD5914" w:rsidRPr="00DD5914">
          <w:rPr>
            <w:rFonts w:asciiTheme="minorHAnsi" w:eastAsiaTheme="minorEastAsia" w:hAnsiTheme="minorHAnsi" w:cstheme="minorBidi"/>
            <w:sz w:val="22"/>
            <w:szCs w:val="22"/>
          </w:rPr>
          <w:tab/>
        </w:r>
        <w:r w:rsidR="00DD5914" w:rsidRPr="00DD5914">
          <w:rPr>
            <w:rStyle w:val="Hyperlink"/>
            <w:lang w:val="en-US"/>
          </w:rPr>
          <w:t>A selection of available research</w:t>
        </w:r>
        <w:r w:rsidR="00DD5914" w:rsidRPr="00DD5914">
          <w:rPr>
            <w:webHidden/>
          </w:rPr>
          <w:tab/>
        </w:r>
        <w:r w:rsidR="00DD5914" w:rsidRPr="00DD5914">
          <w:rPr>
            <w:webHidden/>
          </w:rPr>
          <w:fldChar w:fldCharType="begin"/>
        </w:r>
        <w:r w:rsidR="00DD5914" w:rsidRPr="00DD5914">
          <w:rPr>
            <w:webHidden/>
          </w:rPr>
          <w:instrText xml:space="preserve"> PAGEREF _Toc447101691 \h </w:instrText>
        </w:r>
        <w:r w:rsidR="00DD5914" w:rsidRPr="00DD5914">
          <w:rPr>
            <w:webHidden/>
          </w:rPr>
        </w:r>
        <w:r w:rsidR="00DD5914" w:rsidRPr="00DD5914">
          <w:rPr>
            <w:webHidden/>
          </w:rPr>
          <w:fldChar w:fldCharType="separate"/>
        </w:r>
        <w:r w:rsidR="00981035">
          <w:rPr>
            <w:webHidden/>
          </w:rPr>
          <w:t>6</w:t>
        </w:r>
        <w:r w:rsidR="00DD5914" w:rsidRPr="00DD5914">
          <w:rPr>
            <w:webHidden/>
          </w:rPr>
          <w:fldChar w:fldCharType="end"/>
        </w:r>
      </w:hyperlink>
    </w:p>
    <w:p w14:paraId="4AEFFBFB" w14:textId="77777777" w:rsidR="00DD5914" w:rsidRPr="00DD5914" w:rsidRDefault="00E638B1" w:rsidP="00DD5914">
      <w:pPr>
        <w:pStyle w:val="TOC2"/>
        <w:spacing w:after="120"/>
        <w:ind w:left="1418" w:hanging="567"/>
        <w:rPr>
          <w:rFonts w:asciiTheme="minorHAnsi" w:eastAsiaTheme="minorEastAsia" w:hAnsiTheme="minorHAnsi" w:cstheme="minorBidi"/>
          <w:b w:val="0"/>
          <w:i w:val="0"/>
          <w:sz w:val="22"/>
          <w:szCs w:val="22"/>
        </w:rPr>
      </w:pPr>
      <w:hyperlink w:anchor="_Toc447101697" w:history="1">
        <w:r w:rsidR="00DD5914" w:rsidRPr="00DD5914">
          <w:rPr>
            <w:rStyle w:val="Hyperlink"/>
            <w:b w:val="0"/>
          </w:rPr>
          <w:t>5.1</w:t>
        </w:r>
        <w:r w:rsidR="00DD5914" w:rsidRPr="00DD5914">
          <w:rPr>
            <w:rFonts w:asciiTheme="minorHAnsi" w:eastAsiaTheme="minorEastAsia" w:hAnsiTheme="minorHAnsi" w:cstheme="minorBidi"/>
            <w:b w:val="0"/>
            <w:i w:val="0"/>
            <w:sz w:val="22"/>
            <w:szCs w:val="22"/>
          </w:rPr>
          <w:tab/>
        </w:r>
        <w:r w:rsidR="00DD5914" w:rsidRPr="00DD5914">
          <w:rPr>
            <w:rStyle w:val="Hyperlink"/>
            <w:b w:val="0"/>
            <w:lang w:val="en-US"/>
          </w:rPr>
          <w:t>Access to pornography online</w:t>
        </w:r>
        <w:r w:rsidR="00DD5914" w:rsidRPr="00DD5914">
          <w:rPr>
            <w:b w:val="0"/>
            <w:webHidden/>
          </w:rPr>
          <w:tab/>
        </w:r>
        <w:r w:rsidR="00DD5914" w:rsidRPr="00DD5914">
          <w:rPr>
            <w:b w:val="0"/>
            <w:webHidden/>
          </w:rPr>
          <w:fldChar w:fldCharType="begin"/>
        </w:r>
        <w:r w:rsidR="00DD5914" w:rsidRPr="00DD5914">
          <w:rPr>
            <w:b w:val="0"/>
            <w:webHidden/>
          </w:rPr>
          <w:instrText xml:space="preserve"> PAGEREF _Toc447101697 \h </w:instrText>
        </w:r>
        <w:r w:rsidR="00DD5914" w:rsidRPr="00DD5914">
          <w:rPr>
            <w:b w:val="0"/>
            <w:webHidden/>
          </w:rPr>
        </w:r>
        <w:r w:rsidR="00DD5914" w:rsidRPr="00DD5914">
          <w:rPr>
            <w:b w:val="0"/>
            <w:webHidden/>
          </w:rPr>
          <w:fldChar w:fldCharType="separate"/>
        </w:r>
        <w:r w:rsidR="00981035">
          <w:rPr>
            <w:b w:val="0"/>
            <w:webHidden/>
          </w:rPr>
          <w:t>6</w:t>
        </w:r>
        <w:r w:rsidR="00DD5914" w:rsidRPr="00DD5914">
          <w:rPr>
            <w:b w:val="0"/>
            <w:webHidden/>
          </w:rPr>
          <w:fldChar w:fldCharType="end"/>
        </w:r>
      </w:hyperlink>
    </w:p>
    <w:p w14:paraId="73A2AA37" w14:textId="77777777" w:rsidR="00DD5914" w:rsidRPr="00DD5914" w:rsidRDefault="00E638B1" w:rsidP="00DD5914">
      <w:pPr>
        <w:pStyle w:val="TOC2"/>
        <w:spacing w:after="120"/>
        <w:ind w:left="1418" w:hanging="567"/>
        <w:rPr>
          <w:rFonts w:asciiTheme="minorHAnsi" w:eastAsiaTheme="minorEastAsia" w:hAnsiTheme="minorHAnsi" w:cstheme="minorBidi"/>
          <w:b w:val="0"/>
          <w:i w:val="0"/>
          <w:sz w:val="22"/>
          <w:szCs w:val="22"/>
        </w:rPr>
      </w:pPr>
      <w:hyperlink w:anchor="_Toc447101698" w:history="1">
        <w:r w:rsidR="00DD5914" w:rsidRPr="00DD5914">
          <w:rPr>
            <w:rStyle w:val="Hyperlink"/>
            <w:b w:val="0"/>
            <w:lang w:val="en-US"/>
          </w:rPr>
          <w:t>5.2</w:t>
        </w:r>
        <w:r w:rsidR="00DD5914" w:rsidRPr="00DD5914">
          <w:rPr>
            <w:rFonts w:asciiTheme="minorHAnsi" w:eastAsiaTheme="minorEastAsia" w:hAnsiTheme="minorHAnsi" w:cstheme="minorBidi"/>
            <w:b w:val="0"/>
            <w:i w:val="0"/>
            <w:sz w:val="22"/>
            <w:szCs w:val="22"/>
          </w:rPr>
          <w:tab/>
        </w:r>
        <w:r w:rsidR="00DD5914" w:rsidRPr="00DD5914">
          <w:rPr>
            <w:rStyle w:val="Hyperlink"/>
            <w:b w:val="0"/>
            <w:lang w:val="en-US"/>
          </w:rPr>
          <w:t>Children’s and young people’s perceptions of online risks</w:t>
        </w:r>
        <w:r w:rsidR="00DD5914" w:rsidRPr="00DD5914">
          <w:rPr>
            <w:b w:val="0"/>
            <w:webHidden/>
          </w:rPr>
          <w:tab/>
        </w:r>
        <w:r w:rsidR="00DD5914" w:rsidRPr="00DD5914">
          <w:rPr>
            <w:b w:val="0"/>
            <w:webHidden/>
          </w:rPr>
          <w:fldChar w:fldCharType="begin"/>
        </w:r>
        <w:r w:rsidR="00DD5914" w:rsidRPr="00DD5914">
          <w:rPr>
            <w:b w:val="0"/>
            <w:webHidden/>
          </w:rPr>
          <w:instrText xml:space="preserve"> PAGEREF _Toc447101698 \h </w:instrText>
        </w:r>
        <w:r w:rsidR="00DD5914" w:rsidRPr="00DD5914">
          <w:rPr>
            <w:b w:val="0"/>
            <w:webHidden/>
          </w:rPr>
        </w:r>
        <w:r w:rsidR="00DD5914" w:rsidRPr="00DD5914">
          <w:rPr>
            <w:b w:val="0"/>
            <w:webHidden/>
          </w:rPr>
          <w:fldChar w:fldCharType="separate"/>
        </w:r>
        <w:r w:rsidR="00981035">
          <w:rPr>
            <w:b w:val="0"/>
            <w:webHidden/>
          </w:rPr>
          <w:t>7</w:t>
        </w:r>
        <w:r w:rsidR="00DD5914" w:rsidRPr="00DD5914">
          <w:rPr>
            <w:b w:val="0"/>
            <w:webHidden/>
          </w:rPr>
          <w:fldChar w:fldCharType="end"/>
        </w:r>
      </w:hyperlink>
    </w:p>
    <w:p w14:paraId="4268FE9C" w14:textId="77777777" w:rsidR="00DD5914" w:rsidRPr="00DD5914" w:rsidRDefault="00E638B1" w:rsidP="00DD5914">
      <w:pPr>
        <w:pStyle w:val="TOC2"/>
        <w:spacing w:after="120"/>
        <w:ind w:left="1418" w:hanging="567"/>
        <w:rPr>
          <w:rFonts w:asciiTheme="minorHAnsi" w:eastAsiaTheme="minorEastAsia" w:hAnsiTheme="minorHAnsi" w:cstheme="minorBidi"/>
          <w:b w:val="0"/>
          <w:i w:val="0"/>
          <w:sz w:val="22"/>
          <w:szCs w:val="22"/>
        </w:rPr>
      </w:pPr>
      <w:hyperlink w:anchor="_Toc447101699" w:history="1">
        <w:r w:rsidR="00DD5914" w:rsidRPr="00DD5914">
          <w:rPr>
            <w:rStyle w:val="Hyperlink"/>
            <w:b w:val="0"/>
            <w:lang w:val="en-US"/>
          </w:rPr>
          <w:t>5.3</w:t>
        </w:r>
        <w:r w:rsidR="00DD5914" w:rsidRPr="00DD5914">
          <w:rPr>
            <w:rFonts w:asciiTheme="minorHAnsi" w:eastAsiaTheme="minorEastAsia" w:hAnsiTheme="minorHAnsi" w:cstheme="minorBidi"/>
            <w:b w:val="0"/>
            <w:i w:val="0"/>
            <w:sz w:val="22"/>
            <w:szCs w:val="22"/>
          </w:rPr>
          <w:tab/>
        </w:r>
        <w:r w:rsidR="00DD5914" w:rsidRPr="00DD5914">
          <w:rPr>
            <w:rStyle w:val="Hyperlink"/>
            <w:b w:val="0"/>
            <w:lang w:val="en-US"/>
          </w:rPr>
          <w:t>Impact on attitudes and behaviours</w:t>
        </w:r>
        <w:r w:rsidR="00DD5914" w:rsidRPr="00DD5914">
          <w:rPr>
            <w:b w:val="0"/>
            <w:webHidden/>
          </w:rPr>
          <w:tab/>
        </w:r>
        <w:r w:rsidR="00DD5914" w:rsidRPr="00DD5914">
          <w:rPr>
            <w:b w:val="0"/>
            <w:webHidden/>
          </w:rPr>
          <w:fldChar w:fldCharType="begin"/>
        </w:r>
        <w:r w:rsidR="00DD5914" w:rsidRPr="00DD5914">
          <w:rPr>
            <w:b w:val="0"/>
            <w:webHidden/>
          </w:rPr>
          <w:instrText xml:space="preserve"> PAGEREF _Toc447101699 \h </w:instrText>
        </w:r>
        <w:r w:rsidR="00DD5914" w:rsidRPr="00DD5914">
          <w:rPr>
            <w:b w:val="0"/>
            <w:webHidden/>
          </w:rPr>
        </w:r>
        <w:r w:rsidR="00DD5914" w:rsidRPr="00DD5914">
          <w:rPr>
            <w:b w:val="0"/>
            <w:webHidden/>
          </w:rPr>
          <w:fldChar w:fldCharType="separate"/>
        </w:r>
        <w:r w:rsidR="00981035">
          <w:rPr>
            <w:b w:val="0"/>
            <w:webHidden/>
          </w:rPr>
          <w:t>8</w:t>
        </w:r>
        <w:r w:rsidR="00DD5914" w:rsidRPr="00DD5914">
          <w:rPr>
            <w:b w:val="0"/>
            <w:webHidden/>
          </w:rPr>
          <w:fldChar w:fldCharType="end"/>
        </w:r>
      </w:hyperlink>
    </w:p>
    <w:p w14:paraId="50FC7F9C" w14:textId="77777777" w:rsidR="00DD5914" w:rsidRPr="00DD5914" w:rsidRDefault="00E638B1" w:rsidP="00DD5914">
      <w:pPr>
        <w:pStyle w:val="TOC3"/>
        <w:spacing w:after="120"/>
        <w:rPr>
          <w:rFonts w:asciiTheme="minorHAnsi" w:eastAsiaTheme="minorEastAsia" w:hAnsiTheme="minorHAnsi" w:cstheme="minorBidi"/>
          <w:sz w:val="22"/>
          <w:szCs w:val="22"/>
        </w:rPr>
      </w:pPr>
      <w:hyperlink w:anchor="_Toc447101700" w:history="1">
        <w:r w:rsidR="00DD5914" w:rsidRPr="00DD5914">
          <w:rPr>
            <w:rStyle w:val="Hyperlink"/>
          </w:rPr>
          <w:t>6.</w:t>
        </w:r>
        <w:r w:rsidR="00DD5914" w:rsidRPr="00DD5914">
          <w:rPr>
            <w:rFonts w:asciiTheme="minorHAnsi" w:eastAsiaTheme="minorEastAsia" w:hAnsiTheme="minorHAnsi" w:cstheme="minorBidi"/>
            <w:sz w:val="22"/>
            <w:szCs w:val="22"/>
          </w:rPr>
          <w:tab/>
        </w:r>
        <w:r w:rsidR="00DD5914" w:rsidRPr="00DD5914">
          <w:rPr>
            <w:rStyle w:val="Hyperlink"/>
            <w:lang w:val="en-US"/>
          </w:rPr>
          <w:t>Approaches to harm minimisation</w:t>
        </w:r>
        <w:r w:rsidR="00DD5914" w:rsidRPr="00DD5914">
          <w:rPr>
            <w:webHidden/>
          </w:rPr>
          <w:tab/>
        </w:r>
        <w:r w:rsidR="00DD5914" w:rsidRPr="00DD5914">
          <w:rPr>
            <w:webHidden/>
          </w:rPr>
          <w:fldChar w:fldCharType="begin"/>
        </w:r>
        <w:r w:rsidR="00DD5914" w:rsidRPr="00DD5914">
          <w:rPr>
            <w:webHidden/>
          </w:rPr>
          <w:instrText xml:space="preserve"> PAGEREF _Toc447101700 \h </w:instrText>
        </w:r>
        <w:r w:rsidR="00DD5914" w:rsidRPr="00DD5914">
          <w:rPr>
            <w:webHidden/>
          </w:rPr>
        </w:r>
        <w:r w:rsidR="00DD5914" w:rsidRPr="00DD5914">
          <w:rPr>
            <w:webHidden/>
          </w:rPr>
          <w:fldChar w:fldCharType="separate"/>
        </w:r>
        <w:r w:rsidR="00981035">
          <w:rPr>
            <w:webHidden/>
          </w:rPr>
          <w:t>8</w:t>
        </w:r>
        <w:r w:rsidR="00DD5914" w:rsidRPr="00DD5914">
          <w:rPr>
            <w:webHidden/>
          </w:rPr>
          <w:fldChar w:fldCharType="end"/>
        </w:r>
      </w:hyperlink>
    </w:p>
    <w:p w14:paraId="01B874D1" w14:textId="77777777" w:rsidR="00DD5914" w:rsidRPr="00DD5914" w:rsidRDefault="00E638B1" w:rsidP="00DD5914">
      <w:pPr>
        <w:pStyle w:val="TOC2"/>
        <w:spacing w:after="120"/>
        <w:ind w:left="1418" w:hanging="567"/>
        <w:rPr>
          <w:rFonts w:asciiTheme="minorHAnsi" w:eastAsiaTheme="minorEastAsia" w:hAnsiTheme="minorHAnsi" w:cstheme="minorBidi"/>
          <w:b w:val="0"/>
          <w:i w:val="0"/>
          <w:sz w:val="22"/>
          <w:szCs w:val="22"/>
        </w:rPr>
      </w:pPr>
      <w:hyperlink w:anchor="_Toc447101707" w:history="1">
        <w:r w:rsidR="00DD5914" w:rsidRPr="00DD5914">
          <w:rPr>
            <w:rStyle w:val="Hyperlink"/>
            <w:b w:val="0"/>
          </w:rPr>
          <w:t>6.1</w:t>
        </w:r>
        <w:r w:rsidR="00DD5914" w:rsidRPr="00DD5914">
          <w:rPr>
            <w:rFonts w:asciiTheme="minorHAnsi" w:eastAsiaTheme="minorEastAsia" w:hAnsiTheme="minorHAnsi" w:cstheme="minorBidi"/>
            <w:b w:val="0"/>
            <w:i w:val="0"/>
            <w:sz w:val="22"/>
            <w:szCs w:val="22"/>
          </w:rPr>
          <w:tab/>
        </w:r>
        <w:r w:rsidR="00DD5914" w:rsidRPr="00DD5914">
          <w:rPr>
            <w:rStyle w:val="Hyperlink"/>
            <w:b w:val="0"/>
            <w:lang w:val="en-US"/>
          </w:rPr>
          <w:t>Current safeguards in the Australian context</w:t>
        </w:r>
        <w:r w:rsidR="00DD5914" w:rsidRPr="00DD5914">
          <w:rPr>
            <w:b w:val="0"/>
            <w:webHidden/>
          </w:rPr>
          <w:tab/>
        </w:r>
        <w:r w:rsidR="00DD5914" w:rsidRPr="00DD5914">
          <w:rPr>
            <w:b w:val="0"/>
            <w:webHidden/>
          </w:rPr>
          <w:fldChar w:fldCharType="begin"/>
        </w:r>
        <w:r w:rsidR="00DD5914" w:rsidRPr="00DD5914">
          <w:rPr>
            <w:b w:val="0"/>
            <w:webHidden/>
          </w:rPr>
          <w:instrText xml:space="preserve"> PAGEREF _Toc447101707 \h </w:instrText>
        </w:r>
        <w:r w:rsidR="00DD5914" w:rsidRPr="00DD5914">
          <w:rPr>
            <w:b w:val="0"/>
            <w:webHidden/>
          </w:rPr>
        </w:r>
        <w:r w:rsidR="00DD5914" w:rsidRPr="00DD5914">
          <w:rPr>
            <w:b w:val="0"/>
            <w:webHidden/>
          </w:rPr>
          <w:fldChar w:fldCharType="separate"/>
        </w:r>
        <w:r w:rsidR="00981035">
          <w:rPr>
            <w:b w:val="0"/>
            <w:webHidden/>
          </w:rPr>
          <w:t>8</w:t>
        </w:r>
        <w:r w:rsidR="00DD5914" w:rsidRPr="00DD5914">
          <w:rPr>
            <w:b w:val="0"/>
            <w:webHidden/>
          </w:rPr>
          <w:fldChar w:fldCharType="end"/>
        </w:r>
      </w:hyperlink>
    </w:p>
    <w:p w14:paraId="1C66340B" w14:textId="77777777" w:rsidR="00DD5914" w:rsidRPr="00DD5914" w:rsidRDefault="00E638B1" w:rsidP="00DD5914">
      <w:pPr>
        <w:pStyle w:val="TOC2"/>
        <w:spacing w:after="120"/>
        <w:ind w:left="1418" w:hanging="567"/>
        <w:rPr>
          <w:rFonts w:asciiTheme="minorHAnsi" w:eastAsiaTheme="minorEastAsia" w:hAnsiTheme="minorHAnsi" w:cstheme="minorBidi"/>
          <w:b w:val="0"/>
          <w:i w:val="0"/>
          <w:sz w:val="22"/>
          <w:szCs w:val="22"/>
        </w:rPr>
      </w:pPr>
      <w:hyperlink w:anchor="_Toc447101708" w:history="1">
        <w:r w:rsidR="00DD5914" w:rsidRPr="00DD5914">
          <w:rPr>
            <w:rStyle w:val="Hyperlink"/>
            <w:b w:val="0"/>
          </w:rPr>
          <w:t>6.2</w:t>
        </w:r>
        <w:r w:rsidR="00DD5914" w:rsidRPr="00DD5914">
          <w:rPr>
            <w:rFonts w:asciiTheme="minorHAnsi" w:eastAsiaTheme="minorEastAsia" w:hAnsiTheme="minorHAnsi" w:cstheme="minorBidi"/>
            <w:b w:val="0"/>
            <w:i w:val="0"/>
            <w:sz w:val="22"/>
            <w:szCs w:val="22"/>
          </w:rPr>
          <w:tab/>
        </w:r>
        <w:r w:rsidR="00DD5914" w:rsidRPr="00DD5914">
          <w:rPr>
            <w:rStyle w:val="Hyperlink"/>
            <w:rFonts w:eastAsia="Arial Unicode MS" w:cs="Arial Unicode MS"/>
            <w:b w:val="0"/>
            <w:lang w:val="en-US"/>
          </w:rPr>
          <w:t xml:space="preserve">The experience of </w:t>
        </w:r>
        <w:r w:rsidR="00DD5914" w:rsidRPr="00DD5914">
          <w:rPr>
            <w:rStyle w:val="Hyperlink"/>
            <w:b w:val="0"/>
            <w:lang w:val="en-US"/>
          </w:rPr>
          <w:t>Internet</w:t>
        </w:r>
        <w:r w:rsidR="00DD5914" w:rsidRPr="00DD5914">
          <w:rPr>
            <w:rStyle w:val="Hyperlink"/>
            <w:rFonts w:eastAsia="Arial Unicode MS" w:cs="Arial Unicode MS"/>
            <w:b w:val="0"/>
            <w:lang w:val="en-US"/>
          </w:rPr>
          <w:t xml:space="preserve"> filters in Europe</w:t>
        </w:r>
        <w:r w:rsidR="00DD5914" w:rsidRPr="00DD5914">
          <w:rPr>
            <w:b w:val="0"/>
            <w:webHidden/>
          </w:rPr>
          <w:tab/>
        </w:r>
        <w:r w:rsidR="00DD5914" w:rsidRPr="00DD5914">
          <w:rPr>
            <w:b w:val="0"/>
            <w:webHidden/>
          </w:rPr>
          <w:fldChar w:fldCharType="begin"/>
        </w:r>
        <w:r w:rsidR="00DD5914" w:rsidRPr="00DD5914">
          <w:rPr>
            <w:b w:val="0"/>
            <w:webHidden/>
          </w:rPr>
          <w:instrText xml:space="preserve"> PAGEREF _Toc447101708 \h </w:instrText>
        </w:r>
        <w:r w:rsidR="00DD5914" w:rsidRPr="00DD5914">
          <w:rPr>
            <w:b w:val="0"/>
            <w:webHidden/>
          </w:rPr>
        </w:r>
        <w:r w:rsidR="00DD5914" w:rsidRPr="00DD5914">
          <w:rPr>
            <w:b w:val="0"/>
            <w:webHidden/>
          </w:rPr>
          <w:fldChar w:fldCharType="separate"/>
        </w:r>
        <w:r w:rsidR="00981035">
          <w:rPr>
            <w:b w:val="0"/>
            <w:webHidden/>
          </w:rPr>
          <w:t>10</w:t>
        </w:r>
        <w:r w:rsidR="00DD5914" w:rsidRPr="00DD5914">
          <w:rPr>
            <w:b w:val="0"/>
            <w:webHidden/>
          </w:rPr>
          <w:fldChar w:fldCharType="end"/>
        </w:r>
      </w:hyperlink>
    </w:p>
    <w:p w14:paraId="17E753BB" w14:textId="77777777" w:rsidR="00DD5914" w:rsidRPr="00DD5914" w:rsidRDefault="00E638B1" w:rsidP="00DD5914">
      <w:pPr>
        <w:pStyle w:val="TOC2"/>
        <w:spacing w:after="120"/>
        <w:ind w:left="1418" w:hanging="567"/>
        <w:rPr>
          <w:rFonts w:asciiTheme="minorHAnsi" w:eastAsiaTheme="minorEastAsia" w:hAnsiTheme="minorHAnsi" w:cstheme="minorBidi"/>
          <w:b w:val="0"/>
          <w:i w:val="0"/>
          <w:sz w:val="22"/>
          <w:szCs w:val="22"/>
        </w:rPr>
      </w:pPr>
      <w:hyperlink w:anchor="_Toc447101709" w:history="1">
        <w:r w:rsidR="00DD5914" w:rsidRPr="00DD5914">
          <w:rPr>
            <w:rStyle w:val="Hyperlink"/>
            <w:rFonts w:eastAsia="Arial Unicode MS" w:cs="Arial Unicode MS"/>
            <w:b w:val="0"/>
            <w:lang w:val="en-US"/>
          </w:rPr>
          <w:t>6.3</w:t>
        </w:r>
        <w:r w:rsidR="00DD5914" w:rsidRPr="00DD5914">
          <w:rPr>
            <w:rFonts w:asciiTheme="minorHAnsi" w:eastAsiaTheme="minorEastAsia" w:hAnsiTheme="minorHAnsi" w:cstheme="minorBidi"/>
            <w:b w:val="0"/>
            <w:i w:val="0"/>
            <w:sz w:val="22"/>
            <w:szCs w:val="22"/>
          </w:rPr>
          <w:tab/>
        </w:r>
        <w:r w:rsidR="00DD5914" w:rsidRPr="00DD5914">
          <w:rPr>
            <w:rStyle w:val="Hyperlink"/>
            <w:rFonts w:eastAsia="Arial Unicode MS" w:cs="Arial Unicode MS"/>
            <w:b w:val="0"/>
            <w:lang w:val="en-US"/>
          </w:rPr>
          <w:t>Education and public awareness</w:t>
        </w:r>
        <w:r w:rsidR="00DD5914" w:rsidRPr="00DD5914">
          <w:rPr>
            <w:b w:val="0"/>
            <w:webHidden/>
          </w:rPr>
          <w:tab/>
        </w:r>
        <w:r w:rsidR="00DD5914" w:rsidRPr="00DD5914">
          <w:rPr>
            <w:b w:val="0"/>
            <w:webHidden/>
          </w:rPr>
          <w:fldChar w:fldCharType="begin"/>
        </w:r>
        <w:r w:rsidR="00DD5914" w:rsidRPr="00DD5914">
          <w:rPr>
            <w:b w:val="0"/>
            <w:webHidden/>
          </w:rPr>
          <w:instrText xml:space="preserve"> PAGEREF _Toc447101709 \h </w:instrText>
        </w:r>
        <w:r w:rsidR="00DD5914" w:rsidRPr="00DD5914">
          <w:rPr>
            <w:b w:val="0"/>
            <w:webHidden/>
          </w:rPr>
        </w:r>
        <w:r w:rsidR="00DD5914" w:rsidRPr="00DD5914">
          <w:rPr>
            <w:b w:val="0"/>
            <w:webHidden/>
          </w:rPr>
          <w:fldChar w:fldCharType="separate"/>
        </w:r>
        <w:r w:rsidR="00981035">
          <w:rPr>
            <w:b w:val="0"/>
            <w:webHidden/>
          </w:rPr>
          <w:t>11</w:t>
        </w:r>
        <w:r w:rsidR="00DD5914" w:rsidRPr="00DD5914">
          <w:rPr>
            <w:b w:val="0"/>
            <w:webHidden/>
          </w:rPr>
          <w:fldChar w:fldCharType="end"/>
        </w:r>
      </w:hyperlink>
    </w:p>
    <w:p w14:paraId="685FA1C4" w14:textId="77777777" w:rsidR="00B34946" w:rsidRDefault="00B63D24" w:rsidP="00B63D24">
      <w:r>
        <w:fldChar w:fldCharType="end"/>
      </w:r>
    </w:p>
    <w:p w14:paraId="37CDDB35" w14:textId="77777777" w:rsidR="00B34946" w:rsidRDefault="00B34946">
      <w:pPr>
        <w:spacing w:before="0" w:after="0"/>
      </w:pPr>
      <w:r>
        <w:br w:type="page"/>
      </w:r>
    </w:p>
    <w:p w14:paraId="6F5F5585" w14:textId="77777777" w:rsidR="00EF1FA8" w:rsidRDefault="00EF1FA8" w:rsidP="00EF1FA8">
      <w:pPr>
        <w:pStyle w:val="Heading"/>
        <w:numPr>
          <w:ilvl w:val="0"/>
          <w:numId w:val="29"/>
        </w:numPr>
      </w:pPr>
      <w:bookmarkStart w:id="5" w:name="_Toc445720181"/>
      <w:bookmarkStart w:id="6" w:name="_Toc447101687"/>
      <w:r>
        <w:rPr>
          <w:lang w:val="fr-FR"/>
        </w:rPr>
        <w:lastRenderedPageBreak/>
        <w:t>Introduction</w:t>
      </w:r>
      <w:bookmarkEnd w:id="5"/>
      <w:bookmarkEnd w:id="6"/>
      <w:r>
        <w:rPr>
          <w:lang w:val="fr-FR"/>
        </w:rPr>
        <w:t xml:space="preserve"> </w:t>
      </w:r>
    </w:p>
    <w:p w14:paraId="3760C448" w14:textId="23056315" w:rsidR="00EF1FA8" w:rsidRPr="00E06002" w:rsidRDefault="00EF1FA8" w:rsidP="00EF1FA8">
      <w:pPr>
        <w:pStyle w:val="SubmissionNormal"/>
        <w:numPr>
          <w:ilvl w:val="0"/>
          <w:numId w:val="30"/>
        </w:numPr>
        <w:pBdr>
          <w:top w:val="nil"/>
          <w:left w:val="nil"/>
          <w:bottom w:val="nil"/>
          <w:right w:val="nil"/>
          <w:between w:val="nil"/>
          <w:bar w:val="nil"/>
        </w:pBdr>
      </w:pPr>
      <w:r>
        <w:t>The Australian Human Rights Commission makes this submission to the Senate Standing Environment and Communication</w:t>
      </w:r>
      <w:r w:rsidR="00B62FC8">
        <w:t>s</w:t>
      </w:r>
      <w:r>
        <w:t xml:space="preserve"> References Committee in its Inquiry into harm being done to </w:t>
      </w:r>
      <w:r w:rsidR="00A80014">
        <w:t xml:space="preserve">Australian </w:t>
      </w:r>
      <w:bookmarkStart w:id="7" w:name="_GoBack"/>
      <w:bookmarkEnd w:id="7"/>
      <w:r>
        <w:t>children through access to pornography on the Internet. Please note that this submission does not aim to address all the Terms of Reference for the Inquiry. The Commission primarily seeks to focus the Committee’s attention on the human rights of children</w:t>
      </w:r>
      <w:r w:rsidR="00F724AC">
        <w:t xml:space="preserve"> </w:t>
      </w:r>
      <w:r w:rsidR="00F724AC" w:rsidRPr="00E06002">
        <w:t>and young people</w:t>
      </w:r>
      <w:r w:rsidRPr="00E06002">
        <w:t>,</w:t>
      </w:r>
      <w:r>
        <w:t xml:space="preserve"> </w:t>
      </w:r>
      <w:r w:rsidR="00964EC4">
        <w:t>some</w:t>
      </w:r>
      <w:r>
        <w:t xml:space="preserve"> key findings from the </w:t>
      </w:r>
      <w:r w:rsidR="00E30911">
        <w:t xml:space="preserve">relevant </w:t>
      </w:r>
      <w:r>
        <w:t xml:space="preserve">available research material, and a </w:t>
      </w:r>
      <w:r w:rsidR="008E4BDC">
        <w:t xml:space="preserve">human </w:t>
      </w:r>
      <w:r w:rsidRPr="00E06002">
        <w:t xml:space="preserve">rights-based approach to harm minimisation. </w:t>
      </w:r>
    </w:p>
    <w:p w14:paraId="06A244E6" w14:textId="10BA2223" w:rsidR="003868E8" w:rsidRPr="00E06002" w:rsidRDefault="00AE0DBF" w:rsidP="003868E8">
      <w:pPr>
        <w:pStyle w:val="SubmissionNormal"/>
        <w:numPr>
          <w:ilvl w:val="0"/>
          <w:numId w:val="30"/>
        </w:numPr>
        <w:pBdr>
          <w:top w:val="nil"/>
          <w:left w:val="nil"/>
          <w:bottom w:val="nil"/>
          <w:right w:val="nil"/>
          <w:between w:val="nil"/>
          <w:bar w:val="nil"/>
        </w:pBdr>
      </w:pPr>
      <w:r w:rsidRPr="00E06002">
        <w:t xml:space="preserve">The Commission notes that </w:t>
      </w:r>
      <w:r w:rsidR="00BF5F8E" w:rsidRPr="00E06002">
        <w:t xml:space="preserve">the </w:t>
      </w:r>
      <w:r w:rsidR="003868E8" w:rsidRPr="00E06002">
        <w:t xml:space="preserve">literature and </w:t>
      </w:r>
      <w:r w:rsidR="00BF5F8E" w:rsidRPr="00E06002">
        <w:t xml:space="preserve">research </w:t>
      </w:r>
      <w:r w:rsidR="001007E3" w:rsidRPr="00E06002">
        <w:t>about accessing pornography online referenced in this submission do not use consistent age ranges when referring to ‘children’</w:t>
      </w:r>
      <w:r w:rsidR="006B1561" w:rsidRPr="00E06002">
        <w:t xml:space="preserve"> and ‘young people’</w:t>
      </w:r>
      <w:r w:rsidR="003868E8" w:rsidRPr="00E06002">
        <w:t xml:space="preserve">. For the purposes of this submission, the Commission uses the collective term ‘children and young people’ to refer to those under </w:t>
      </w:r>
      <w:r w:rsidR="00C11D76" w:rsidRPr="00E06002">
        <w:t>18 years of age</w:t>
      </w:r>
      <w:r w:rsidR="003868E8" w:rsidRPr="00E06002">
        <w:t xml:space="preserve">.  </w:t>
      </w:r>
    </w:p>
    <w:p w14:paraId="1656C677" w14:textId="77777777" w:rsidR="00EF1FA8" w:rsidRDefault="00EF1FA8" w:rsidP="00EF1FA8">
      <w:pPr>
        <w:pStyle w:val="Heading"/>
        <w:numPr>
          <w:ilvl w:val="0"/>
          <w:numId w:val="31"/>
        </w:numPr>
      </w:pPr>
      <w:bookmarkStart w:id="8" w:name="_Toc445720182"/>
      <w:bookmarkStart w:id="9" w:name="_Toc447101688"/>
      <w:r>
        <w:rPr>
          <w:lang w:val="sv-SE"/>
        </w:rPr>
        <w:t>Summary</w:t>
      </w:r>
      <w:bookmarkEnd w:id="8"/>
      <w:bookmarkEnd w:id="9"/>
    </w:p>
    <w:p w14:paraId="1A088193" w14:textId="769E47AF" w:rsidR="00556C59" w:rsidRPr="0045318E" w:rsidRDefault="00DA65EF" w:rsidP="0045318E">
      <w:pPr>
        <w:pStyle w:val="SubmissionNormal"/>
        <w:numPr>
          <w:ilvl w:val="0"/>
          <w:numId w:val="30"/>
        </w:numPr>
        <w:pBdr>
          <w:top w:val="nil"/>
          <w:left w:val="nil"/>
          <w:bottom w:val="nil"/>
          <w:right w:val="nil"/>
          <w:between w:val="nil"/>
          <w:bar w:val="nil"/>
        </w:pBdr>
      </w:pPr>
      <w:r w:rsidRPr="00964EC4">
        <w:t>It is clear</w:t>
      </w:r>
      <w:r w:rsidR="00F234FD">
        <w:t xml:space="preserve"> that the proliferation of new Information and Communication T</w:t>
      </w:r>
      <w:r w:rsidRPr="00964EC4">
        <w:t>echnologies</w:t>
      </w:r>
      <w:r w:rsidR="009E274D">
        <w:t xml:space="preserve"> (ICTs)</w:t>
      </w:r>
      <w:r w:rsidR="00D76466">
        <w:t>, and use of these technologies by</w:t>
      </w:r>
      <w:r w:rsidR="0045318E">
        <w:t xml:space="preserve"> children and young people</w:t>
      </w:r>
      <w:r w:rsidR="00D76466">
        <w:t>,</w:t>
      </w:r>
      <w:r w:rsidR="00AE0DBF">
        <w:t xml:space="preserve"> </w:t>
      </w:r>
      <w:r w:rsidR="00964EC4" w:rsidRPr="00964EC4">
        <w:t>has increased the risk that children</w:t>
      </w:r>
      <w:r w:rsidR="0045318E">
        <w:t xml:space="preserve"> and young people</w:t>
      </w:r>
      <w:r w:rsidR="00964EC4" w:rsidRPr="00964EC4">
        <w:t xml:space="preserve"> may be exposed to harmful content online</w:t>
      </w:r>
      <w:r w:rsidR="00556C59">
        <w:t>, including pornography</w:t>
      </w:r>
      <w:r w:rsidR="00964EC4" w:rsidRPr="00964EC4">
        <w:t xml:space="preserve">. </w:t>
      </w:r>
      <w:r w:rsidR="00556C59">
        <w:t>Children</w:t>
      </w:r>
      <w:r w:rsidR="0045318E">
        <w:t xml:space="preserve"> and young people</w:t>
      </w:r>
      <w:r w:rsidR="00556C59">
        <w:t xml:space="preserve"> may</w:t>
      </w:r>
      <w:r w:rsidR="0045318E">
        <w:t xml:space="preserve"> come across this content inadvertently, or deliberately seek it out.</w:t>
      </w:r>
      <w:r w:rsidR="00556C59">
        <w:t xml:space="preserve"> Research indicates that children’s </w:t>
      </w:r>
      <w:r w:rsidR="00424160">
        <w:t xml:space="preserve">and young people’s </w:t>
      </w:r>
      <w:r w:rsidR="00556C59">
        <w:t>attitudes and behaviour may be in</w:t>
      </w:r>
      <w:r w:rsidR="005A75EF">
        <w:t>flu</w:t>
      </w:r>
      <w:r w:rsidR="006C2726">
        <w:t>enced by</w:t>
      </w:r>
      <w:r w:rsidR="005A75EF">
        <w:t xml:space="preserve"> viewing pornography.</w:t>
      </w:r>
      <w:r w:rsidR="00687125">
        <w:rPr>
          <w:rStyle w:val="EndnoteReference"/>
        </w:rPr>
        <w:endnoteReference w:id="1"/>
      </w:r>
      <w:r w:rsidR="005A75EF">
        <w:t xml:space="preserve"> H</w:t>
      </w:r>
      <w:r w:rsidR="00556C59">
        <w:t xml:space="preserve">owever, there appears to </w:t>
      </w:r>
      <w:r w:rsidR="00A83438">
        <w:t xml:space="preserve">be </w:t>
      </w:r>
      <w:r w:rsidR="00E30911">
        <w:t xml:space="preserve">only limited </w:t>
      </w:r>
      <w:r w:rsidR="00556C59">
        <w:t>empirical evidence that viewing pornography</w:t>
      </w:r>
      <w:r w:rsidR="00461D0A">
        <w:t xml:space="preserve"> </w:t>
      </w:r>
      <w:r w:rsidR="0045318E">
        <w:t xml:space="preserve">causes </w:t>
      </w:r>
      <w:r w:rsidR="00135134">
        <w:t xml:space="preserve">children and </w:t>
      </w:r>
      <w:r w:rsidR="00E30911">
        <w:t>young people</w:t>
      </w:r>
      <w:r w:rsidR="00424160">
        <w:t xml:space="preserve"> </w:t>
      </w:r>
      <w:r w:rsidR="0045318E">
        <w:t xml:space="preserve">to engage </w:t>
      </w:r>
      <w:r w:rsidR="00556C59">
        <w:t xml:space="preserve">in coercive, aggressive or violent </w:t>
      </w:r>
      <w:r w:rsidR="007477F1">
        <w:t xml:space="preserve">sexual </w:t>
      </w:r>
      <w:r w:rsidR="00556C59">
        <w:t>behaviour.</w:t>
      </w:r>
    </w:p>
    <w:p w14:paraId="535F9CAC" w14:textId="06FAFA11" w:rsidR="00DA65EF" w:rsidRDefault="005A75EF" w:rsidP="00461D0A">
      <w:pPr>
        <w:pStyle w:val="SubmissionNormal"/>
        <w:numPr>
          <w:ilvl w:val="0"/>
          <w:numId w:val="30"/>
        </w:numPr>
        <w:pBdr>
          <w:top w:val="nil"/>
          <w:left w:val="nil"/>
          <w:bottom w:val="nil"/>
          <w:right w:val="nil"/>
          <w:between w:val="nil"/>
          <w:bar w:val="nil"/>
        </w:pBdr>
      </w:pPr>
      <w:r>
        <w:t>A human righ</w:t>
      </w:r>
      <w:r w:rsidR="00290A01">
        <w:t xml:space="preserve">ts-based approach to protection </w:t>
      </w:r>
      <w:r>
        <w:t xml:space="preserve">from harm online requires </w:t>
      </w:r>
      <w:r w:rsidR="006314ED">
        <w:t xml:space="preserve">balancing of rights, with the children </w:t>
      </w:r>
      <w:r w:rsidR="00E30911">
        <w:t xml:space="preserve">and young people </w:t>
      </w:r>
      <w:r w:rsidR="006314ED">
        <w:t xml:space="preserve">themselves being </w:t>
      </w:r>
      <w:r w:rsidR="00EC2729">
        <w:t xml:space="preserve">included </w:t>
      </w:r>
      <w:r w:rsidR="006314ED">
        <w:t xml:space="preserve">in discussions about appropriate protective measures. </w:t>
      </w:r>
      <w:r w:rsidR="0070456C">
        <w:t>Current r</w:t>
      </w:r>
      <w:r w:rsidR="00991688">
        <w:t xml:space="preserve">egulatory responses, such as the removal of prohibited content under the Online Content Scheme, and the requirement that Internet Service Providers </w:t>
      </w:r>
      <w:r w:rsidR="00C515B7">
        <w:t xml:space="preserve">(ISPs) </w:t>
      </w:r>
      <w:r w:rsidR="00991688">
        <w:t xml:space="preserve">offer information and make available (at cost) filters that parents can install, can help prevent </w:t>
      </w:r>
      <w:r w:rsidR="00AA51F8">
        <w:t xml:space="preserve">some </w:t>
      </w:r>
      <w:r w:rsidR="00991688">
        <w:t xml:space="preserve">exposure.  </w:t>
      </w:r>
      <w:r w:rsidR="006314ED">
        <w:t xml:space="preserve"> </w:t>
      </w:r>
      <w:r>
        <w:t xml:space="preserve"> </w:t>
      </w:r>
    </w:p>
    <w:p w14:paraId="160A5C23" w14:textId="2A2F6FEB" w:rsidR="00EF1FA8" w:rsidRPr="00DA38C9" w:rsidRDefault="00991688" w:rsidP="0045318E">
      <w:pPr>
        <w:pStyle w:val="SubmissionNormal"/>
        <w:numPr>
          <w:ilvl w:val="0"/>
          <w:numId w:val="30"/>
        </w:numPr>
        <w:pBdr>
          <w:top w:val="nil"/>
          <w:left w:val="nil"/>
          <w:bottom w:val="nil"/>
          <w:right w:val="nil"/>
          <w:between w:val="nil"/>
          <w:bar w:val="nil"/>
        </w:pBdr>
      </w:pPr>
      <w:r w:rsidRPr="00DA38C9">
        <w:t>However, t</w:t>
      </w:r>
      <w:r w:rsidR="006A4791" w:rsidRPr="00DA38C9">
        <w:t xml:space="preserve">he Commission’s view is that </w:t>
      </w:r>
      <w:r w:rsidR="00581E0D">
        <w:t xml:space="preserve">the key to </w:t>
      </w:r>
      <w:r w:rsidR="006A4791" w:rsidRPr="00DA38C9">
        <w:t xml:space="preserve">effective </w:t>
      </w:r>
      <w:r w:rsidR="00EF1FA8" w:rsidRPr="00DA38C9">
        <w:t>protect</w:t>
      </w:r>
      <w:r w:rsidR="00581E0D">
        <w:t>ion of</w:t>
      </w:r>
      <w:r w:rsidR="00EF1FA8" w:rsidRPr="00DA38C9">
        <w:t xml:space="preserve"> children </w:t>
      </w:r>
      <w:r w:rsidR="00461D0A" w:rsidRPr="00DA38C9">
        <w:t xml:space="preserve">and young people </w:t>
      </w:r>
      <w:r w:rsidR="00EF1FA8" w:rsidRPr="00DA38C9">
        <w:t xml:space="preserve">from </w:t>
      </w:r>
      <w:r w:rsidR="006A4791" w:rsidRPr="00DA38C9">
        <w:t xml:space="preserve">the </w:t>
      </w:r>
      <w:r w:rsidR="00EF1FA8" w:rsidRPr="00DA38C9">
        <w:t xml:space="preserve">adverse impacts of </w:t>
      </w:r>
      <w:r w:rsidR="00EF1FA8" w:rsidRPr="0045318E">
        <w:t>viewing</w:t>
      </w:r>
      <w:r w:rsidR="00B92C41">
        <w:t xml:space="preserve"> pornographic </w:t>
      </w:r>
      <w:r w:rsidR="00290A01">
        <w:t>content</w:t>
      </w:r>
      <w:r w:rsidR="00EF1FA8" w:rsidRPr="00DA38C9">
        <w:t xml:space="preserve"> </w:t>
      </w:r>
      <w:r w:rsidR="00581E0D">
        <w:t xml:space="preserve">is </w:t>
      </w:r>
      <w:r w:rsidR="006C2726" w:rsidRPr="00DA38C9">
        <w:t xml:space="preserve">education. </w:t>
      </w:r>
      <w:r w:rsidR="00581E0D">
        <w:t>This includes information and e</w:t>
      </w:r>
      <w:r w:rsidR="006C2726" w:rsidRPr="00DA38C9">
        <w:t xml:space="preserve">ducation about safety online, </w:t>
      </w:r>
      <w:r w:rsidR="006C2726" w:rsidRPr="00E06002">
        <w:t>critical discussion of pornography</w:t>
      </w:r>
      <w:r w:rsidR="009C5E27" w:rsidRPr="00E06002">
        <w:t xml:space="preserve"> as part of age-appropriate education about sex and </w:t>
      </w:r>
      <w:r w:rsidR="006E16A0">
        <w:t xml:space="preserve">healthy and respectful </w:t>
      </w:r>
      <w:r w:rsidR="009C5E27" w:rsidRPr="00E06002">
        <w:t>relationships</w:t>
      </w:r>
      <w:r w:rsidR="00DA38C9" w:rsidRPr="00E06002">
        <w:t>, and human right</w:t>
      </w:r>
      <w:r w:rsidR="00EA007C" w:rsidRPr="00E06002">
        <w:t>s</w:t>
      </w:r>
      <w:r w:rsidR="00B1179C" w:rsidRPr="00E06002">
        <w:t xml:space="preserve"> education</w:t>
      </w:r>
      <w:r w:rsidR="00EA007C" w:rsidRPr="00E06002">
        <w:t xml:space="preserve">. </w:t>
      </w:r>
      <w:r w:rsidR="00D76466" w:rsidRPr="00E06002">
        <w:t>A</w:t>
      </w:r>
      <w:r w:rsidR="00EA007C" w:rsidRPr="00E06002">
        <w:t xml:space="preserve"> package of educative measures</w:t>
      </w:r>
      <w:r w:rsidR="00D76466" w:rsidRPr="00E06002">
        <w:t xml:space="preserve"> covering</w:t>
      </w:r>
      <w:r w:rsidR="00D76466">
        <w:t xml:space="preserve"> these areas </w:t>
      </w:r>
      <w:r w:rsidR="00EA007C">
        <w:t xml:space="preserve">has </w:t>
      </w:r>
      <w:r w:rsidR="00290A01">
        <w:t xml:space="preserve">the </w:t>
      </w:r>
      <w:r w:rsidR="00EA007C">
        <w:t xml:space="preserve">potential to </w:t>
      </w:r>
      <w:r w:rsidR="00E64E93">
        <w:t xml:space="preserve">significantly </w:t>
      </w:r>
      <w:r w:rsidR="00EA007C">
        <w:t>empower</w:t>
      </w:r>
      <w:r w:rsidR="00DA38C9">
        <w:t xml:space="preserve"> children and young people</w:t>
      </w:r>
      <w:r w:rsidR="009A6DE5">
        <w:t xml:space="preserve"> </w:t>
      </w:r>
      <w:r w:rsidR="00581E0D">
        <w:t>and their families</w:t>
      </w:r>
      <w:r w:rsidR="004170EB">
        <w:t>,</w:t>
      </w:r>
      <w:r w:rsidR="00581E0D">
        <w:t xml:space="preserve"> </w:t>
      </w:r>
      <w:r w:rsidR="00EA007C">
        <w:t xml:space="preserve">and provide them with </w:t>
      </w:r>
      <w:r w:rsidR="009A6DE5">
        <w:t>the tools</w:t>
      </w:r>
      <w:r w:rsidR="00DA38C9">
        <w:t xml:space="preserve"> to minimise</w:t>
      </w:r>
      <w:r w:rsidR="00581E0D">
        <w:t xml:space="preserve"> both </w:t>
      </w:r>
      <w:r w:rsidR="004170EB">
        <w:t xml:space="preserve">the exposure </w:t>
      </w:r>
      <w:r w:rsidR="00581E0D">
        <w:t>to and</w:t>
      </w:r>
      <w:r w:rsidR="00EA007C">
        <w:t xml:space="preserve"> the</w:t>
      </w:r>
      <w:r w:rsidR="004170EB">
        <w:t xml:space="preserve"> </w:t>
      </w:r>
      <w:r w:rsidR="00DA38C9">
        <w:t>impact of</w:t>
      </w:r>
      <w:r w:rsidR="00581E0D">
        <w:t xml:space="preserve"> </w:t>
      </w:r>
      <w:r w:rsidR="00DA38C9">
        <w:t>pornogr</w:t>
      </w:r>
      <w:r w:rsidR="009A6DE5">
        <w:t>ap</w:t>
      </w:r>
      <w:r w:rsidR="00DA38C9">
        <w:t xml:space="preserve">hic </w:t>
      </w:r>
      <w:r w:rsidR="004170EB">
        <w:t>on</w:t>
      </w:r>
      <w:r w:rsidR="00581E0D">
        <w:t xml:space="preserve">line </w:t>
      </w:r>
      <w:r w:rsidR="00DA38C9">
        <w:t xml:space="preserve">content. </w:t>
      </w:r>
    </w:p>
    <w:p w14:paraId="267D628A" w14:textId="77777777" w:rsidR="00EF1FA8" w:rsidRDefault="00EF1FA8" w:rsidP="00EF1FA8">
      <w:pPr>
        <w:pStyle w:val="Heading"/>
        <w:numPr>
          <w:ilvl w:val="0"/>
          <w:numId w:val="32"/>
        </w:numPr>
      </w:pPr>
      <w:bookmarkStart w:id="10" w:name="_Toc445720183"/>
      <w:bookmarkStart w:id="11" w:name="_Toc447101689"/>
      <w:r>
        <w:rPr>
          <w:lang w:val="en-US"/>
        </w:rPr>
        <w:t>Recommendations</w:t>
      </w:r>
      <w:bookmarkEnd w:id="10"/>
      <w:bookmarkEnd w:id="11"/>
    </w:p>
    <w:p w14:paraId="333A07F9" w14:textId="77777777" w:rsidR="00EF1FA8" w:rsidRPr="00FE44E9" w:rsidRDefault="00EF1FA8" w:rsidP="00EF1FA8">
      <w:pPr>
        <w:pStyle w:val="SubmissionNormal"/>
        <w:numPr>
          <w:ilvl w:val="0"/>
          <w:numId w:val="22"/>
        </w:numPr>
        <w:pBdr>
          <w:top w:val="nil"/>
          <w:left w:val="nil"/>
          <w:bottom w:val="nil"/>
          <w:right w:val="nil"/>
          <w:between w:val="nil"/>
          <w:bar w:val="nil"/>
        </w:pBdr>
      </w:pPr>
      <w:r w:rsidRPr="00FE44E9">
        <w:t>The Australian Human Rig</w:t>
      </w:r>
      <w:r w:rsidR="00770F72">
        <w:t>hts Commission recommends that:</w:t>
      </w:r>
    </w:p>
    <w:p w14:paraId="5450AC01" w14:textId="1322AC9E" w:rsidR="00F15C74" w:rsidRPr="00E06002" w:rsidRDefault="00C515B7" w:rsidP="00F15C74">
      <w:pPr>
        <w:pStyle w:val="SubmissionNormal"/>
        <w:numPr>
          <w:ilvl w:val="0"/>
          <w:numId w:val="0"/>
        </w:numPr>
        <w:spacing w:before="0" w:after="120"/>
        <w:ind w:left="720"/>
      </w:pPr>
      <w:r w:rsidRPr="00E06002">
        <w:lastRenderedPageBreak/>
        <w:t xml:space="preserve">Recommendation 1: </w:t>
      </w:r>
      <w:r w:rsidR="00C476DD" w:rsidRPr="00E06002">
        <w:t>The Au</w:t>
      </w:r>
      <w:r w:rsidR="00E06002">
        <w:t>stralian Government commission</w:t>
      </w:r>
      <w:r w:rsidR="00C476DD" w:rsidRPr="00E06002">
        <w:t xml:space="preserve"> r</w:t>
      </w:r>
      <w:r w:rsidR="00BC1B01">
        <w:t>esearch about the experience of</w:t>
      </w:r>
      <w:r w:rsidR="00F15C74" w:rsidRPr="00E06002">
        <w:t xml:space="preserve"> children</w:t>
      </w:r>
      <w:r w:rsidR="005A1BC4" w:rsidRPr="00E06002">
        <w:t xml:space="preserve"> and young people </w:t>
      </w:r>
      <w:r w:rsidR="00F15C74" w:rsidRPr="00E06002">
        <w:t>being exposed to or accessing pornography online</w:t>
      </w:r>
      <w:r w:rsidR="006F5F15" w:rsidRPr="00E06002">
        <w:t>. This r</w:t>
      </w:r>
      <w:r w:rsidR="005A1BC4" w:rsidRPr="00E06002">
        <w:t>esearch should include:</w:t>
      </w:r>
      <w:r w:rsidR="00C476DD" w:rsidRPr="00E06002">
        <w:t xml:space="preserve"> </w:t>
      </w:r>
      <w:r w:rsidR="00D76466" w:rsidRPr="00E06002">
        <w:t>the impacts of such content</w:t>
      </w:r>
      <w:r w:rsidR="004072DF">
        <w:t>,</w:t>
      </w:r>
      <w:r w:rsidR="00C476DD" w:rsidRPr="00E06002">
        <w:t xml:space="preserve"> </w:t>
      </w:r>
      <w:r w:rsidR="008A7121" w:rsidRPr="00E06002">
        <w:t>options</w:t>
      </w:r>
      <w:r w:rsidR="00D76466" w:rsidRPr="00E06002">
        <w:t xml:space="preserve"> to limit exposure to such content by children and young people</w:t>
      </w:r>
      <w:r w:rsidR="004072DF">
        <w:t>,</w:t>
      </w:r>
      <w:r w:rsidR="00F15C74" w:rsidRPr="00E06002">
        <w:t xml:space="preserve"> and </w:t>
      </w:r>
      <w:r w:rsidR="005A1BC4" w:rsidRPr="00E06002">
        <w:t xml:space="preserve">the most effective ways to support children and young people </w:t>
      </w:r>
      <w:r w:rsidR="00C476DD" w:rsidRPr="00E06002">
        <w:t xml:space="preserve">to </w:t>
      </w:r>
      <w:r w:rsidR="005A1BC4" w:rsidRPr="00E06002">
        <w:t xml:space="preserve">manage the risks associated with exposure to pornographic </w:t>
      </w:r>
      <w:r w:rsidR="00F15C74" w:rsidRPr="00E06002">
        <w:t xml:space="preserve">content. </w:t>
      </w:r>
      <w:r w:rsidR="008049D9" w:rsidRPr="00E06002">
        <w:t xml:space="preserve"> </w:t>
      </w:r>
    </w:p>
    <w:p w14:paraId="35E38652" w14:textId="41E0703A" w:rsidR="00F15C74" w:rsidRPr="00E06002" w:rsidRDefault="00F15C74" w:rsidP="00FE44E9">
      <w:pPr>
        <w:pStyle w:val="Body"/>
        <w:ind w:left="709"/>
      </w:pPr>
      <w:r w:rsidRPr="00E06002">
        <w:t xml:space="preserve">Recommendation 2: </w:t>
      </w:r>
      <w:r w:rsidR="005D126B" w:rsidRPr="00E06002">
        <w:t>T</w:t>
      </w:r>
      <w:r w:rsidRPr="00E06002">
        <w:t xml:space="preserve">he </w:t>
      </w:r>
      <w:r w:rsidR="00DF09F0" w:rsidRPr="00E06002">
        <w:t>Australian</w:t>
      </w:r>
      <w:r w:rsidR="00EA007C" w:rsidRPr="00E06002">
        <w:t xml:space="preserve"> </w:t>
      </w:r>
      <w:r w:rsidR="00DF09F0" w:rsidRPr="00E06002">
        <w:t>G</w:t>
      </w:r>
      <w:r w:rsidR="00EA007C" w:rsidRPr="00E06002">
        <w:t xml:space="preserve">overnment </w:t>
      </w:r>
      <w:r w:rsidR="0001567A" w:rsidRPr="00E06002">
        <w:t xml:space="preserve">promote </w:t>
      </w:r>
      <w:r w:rsidRPr="00E06002">
        <w:t>educational resources for children, parents</w:t>
      </w:r>
      <w:r w:rsidR="00D76466" w:rsidRPr="00E06002">
        <w:t>,</w:t>
      </w:r>
      <w:r w:rsidRPr="00E06002">
        <w:t xml:space="preserve"> teachers</w:t>
      </w:r>
      <w:r w:rsidR="00D7640F" w:rsidRPr="00E06002">
        <w:t xml:space="preserve"> </w:t>
      </w:r>
      <w:r w:rsidR="00D76466" w:rsidRPr="00E06002">
        <w:t xml:space="preserve">and </w:t>
      </w:r>
      <w:r w:rsidRPr="00E06002">
        <w:t>schools about online safety</w:t>
      </w:r>
      <w:r w:rsidR="008049D9" w:rsidRPr="00E06002">
        <w:t>, and</w:t>
      </w:r>
      <w:r w:rsidR="0001567A" w:rsidRPr="00E06002">
        <w:t xml:space="preserve"> fund the development of </w:t>
      </w:r>
      <w:r w:rsidR="00CD51D5" w:rsidRPr="00E06002">
        <w:t xml:space="preserve">specific </w:t>
      </w:r>
      <w:r w:rsidR="0088331C" w:rsidRPr="00E06002">
        <w:t xml:space="preserve">age-appropriate </w:t>
      </w:r>
      <w:r w:rsidR="0001567A" w:rsidRPr="00E06002">
        <w:t xml:space="preserve">resources for children </w:t>
      </w:r>
      <w:r w:rsidR="00D7640F" w:rsidRPr="00E06002">
        <w:t xml:space="preserve">and young people </w:t>
      </w:r>
      <w:r w:rsidR="0001567A" w:rsidRPr="00E06002">
        <w:t xml:space="preserve">about </w:t>
      </w:r>
      <w:r w:rsidR="00597019" w:rsidRPr="00127B65">
        <w:t xml:space="preserve">dealing with </w:t>
      </w:r>
      <w:r w:rsidR="0001567A" w:rsidRPr="00127B65">
        <w:t>exposure</w:t>
      </w:r>
      <w:r w:rsidR="0001567A" w:rsidRPr="00E06002">
        <w:t xml:space="preserve"> to</w:t>
      </w:r>
      <w:r w:rsidR="008049D9" w:rsidRPr="00E06002">
        <w:t xml:space="preserve"> pornographic content</w:t>
      </w:r>
      <w:r w:rsidR="00CD51D5" w:rsidRPr="00E06002">
        <w:t xml:space="preserve"> online</w:t>
      </w:r>
      <w:r w:rsidR="0001567A" w:rsidRPr="00E06002">
        <w:t xml:space="preserve">, </w:t>
      </w:r>
      <w:r w:rsidRPr="00E06002">
        <w:t>informed by the findings of the research m</w:t>
      </w:r>
      <w:r w:rsidR="0001567A" w:rsidRPr="00E06002">
        <w:t xml:space="preserve">entioned in recommendation 1. </w:t>
      </w:r>
    </w:p>
    <w:p w14:paraId="74A4B71A" w14:textId="68138297" w:rsidR="00F15C74" w:rsidRPr="00E06002" w:rsidRDefault="00F15C74" w:rsidP="00FE44E9">
      <w:pPr>
        <w:pStyle w:val="Body"/>
        <w:ind w:left="709"/>
        <w:rPr>
          <w:rStyle w:val="PageNumber"/>
          <w:bCs/>
        </w:rPr>
      </w:pPr>
      <w:r w:rsidRPr="00E06002">
        <w:rPr>
          <w:rStyle w:val="PageNumber"/>
        </w:rPr>
        <w:t xml:space="preserve">Recommendation 3: </w:t>
      </w:r>
      <w:r w:rsidR="005D126B" w:rsidRPr="00E06002">
        <w:rPr>
          <w:rStyle w:val="PageNumber"/>
          <w:bCs/>
        </w:rPr>
        <w:t>T</w:t>
      </w:r>
      <w:r w:rsidRPr="00E06002">
        <w:rPr>
          <w:rStyle w:val="PageNumber"/>
          <w:bCs/>
        </w:rPr>
        <w:t xml:space="preserve">he </w:t>
      </w:r>
      <w:r w:rsidR="005A1584" w:rsidRPr="00E06002">
        <w:rPr>
          <w:rStyle w:val="PageNumber"/>
          <w:bCs/>
        </w:rPr>
        <w:t xml:space="preserve">Australian Government </w:t>
      </w:r>
      <w:r w:rsidRPr="00E06002">
        <w:rPr>
          <w:rStyle w:val="PageNumber"/>
          <w:bCs/>
        </w:rPr>
        <w:t>work with state and terr</w:t>
      </w:r>
      <w:r w:rsidR="004E0A58" w:rsidRPr="00E06002">
        <w:rPr>
          <w:rStyle w:val="PageNumber"/>
          <w:bCs/>
        </w:rPr>
        <w:t xml:space="preserve">itory governments to ensure </w:t>
      </w:r>
      <w:r w:rsidR="00971CE7" w:rsidRPr="00E06002">
        <w:rPr>
          <w:rFonts w:cs="Arial"/>
          <w:lang w:val="en-AU"/>
        </w:rPr>
        <w:t xml:space="preserve">critical discussion of pornography forms part of </w:t>
      </w:r>
      <w:r w:rsidR="00C002D7" w:rsidRPr="00C002D7">
        <w:rPr>
          <w:rFonts w:cs="Arial"/>
          <w:lang w:val="en-AU"/>
        </w:rPr>
        <w:t xml:space="preserve">effective, </w:t>
      </w:r>
      <w:r w:rsidR="002361EF" w:rsidRPr="00C002D7">
        <w:rPr>
          <w:rFonts w:cs="Arial"/>
          <w:lang w:val="en-AU"/>
        </w:rPr>
        <w:t xml:space="preserve">age-appropriate </w:t>
      </w:r>
      <w:r w:rsidR="009802C7" w:rsidRPr="00127B65">
        <w:rPr>
          <w:rFonts w:cs="Arial"/>
          <w:lang w:val="en-AU"/>
        </w:rPr>
        <w:t xml:space="preserve">education about </w:t>
      </w:r>
      <w:r w:rsidR="00E31F49" w:rsidRPr="00127B65">
        <w:rPr>
          <w:rFonts w:cs="Arial"/>
          <w:lang w:val="en-AU"/>
        </w:rPr>
        <w:t>health</w:t>
      </w:r>
      <w:r w:rsidR="00770286" w:rsidRPr="00127B65">
        <w:rPr>
          <w:rFonts w:cs="Arial"/>
          <w:lang w:val="en-AU"/>
        </w:rPr>
        <w:t>y</w:t>
      </w:r>
      <w:r w:rsidR="00E31F49" w:rsidRPr="00127B65">
        <w:rPr>
          <w:rFonts w:cs="Arial"/>
          <w:lang w:val="en-AU"/>
        </w:rPr>
        <w:t xml:space="preserve"> and respectful </w:t>
      </w:r>
      <w:r w:rsidRPr="00127B65">
        <w:rPr>
          <w:rFonts w:cs="Arial"/>
          <w:lang w:val="en-AU"/>
        </w:rPr>
        <w:t>relationship</w:t>
      </w:r>
      <w:r w:rsidR="009802C7" w:rsidRPr="00127B65">
        <w:rPr>
          <w:rFonts w:cs="Arial"/>
          <w:lang w:val="en-AU"/>
        </w:rPr>
        <w:t>s</w:t>
      </w:r>
      <w:r w:rsidR="009802C7" w:rsidRPr="00E06002">
        <w:rPr>
          <w:rFonts w:cs="Arial"/>
          <w:lang w:val="en-AU"/>
        </w:rPr>
        <w:t xml:space="preserve"> and sex</w:t>
      </w:r>
      <w:r w:rsidR="00AE2879">
        <w:rPr>
          <w:rFonts w:cs="Arial"/>
          <w:lang w:val="en-AU"/>
        </w:rPr>
        <w:t>,</w:t>
      </w:r>
      <w:r w:rsidR="009802C7" w:rsidRPr="00E06002">
        <w:rPr>
          <w:rFonts w:cs="Arial"/>
          <w:lang w:val="en-AU"/>
        </w:rPr>
        <w:t xml:space="preserve"> </w:t>
      </w:r>
      <w:r w:rsidR="005720AC" w:rsidRPr="00E06002">
        <w:rPr>
          <w:rFonts w:cs="Arial"/>
          <w:lang w:val="en-AU"/>
        </w:rPr>
        <w:t>delivered in schools</w:t>
      </w:r>
      <w:r w:rsidRPr="00E06002">
        <w:rPr>
          <w:rFonts w:cs="Arial"/>
          <w:lang w:val="en-AU"/>
        </w:rPr>
        <w:t xml:space="preserve">, with parental support and reinforcement. </w:t>
      </w:r>
    </w:p>
    <w:p w14:paraId="6E114CF0" w14:textId="3F9A5DB8" w:rsidR="008049D9" w:rsidRPr="00F322D1" w:rsidRDefault="00F15C74" w:rsidP="009B4E02">
      <w:pPr>
        <w:pStyle w:val="Body"/>
        <w:ind w:left="709"/>
        <w:rPr>
          <w:bCs/>
        </w:rPr>
      </w:pPr>
      <w:r w:rsidRPr="00E06002">
        <w:rPr>
          <w:rStyle w:val="PageNumber"/>
        </w:rPr>
        <w:t xml:space="preserve">Recommendation 4: </w:t>
      </w:r>
      <w:r w:rsidR="008049D9" w:rsidRPr="00E06002">
        <w:rPr>
          <w:rStyle w:val="PageNumber"/>
        </w:rPr>
        <w:t xml:space="preserve">The </w:t>
      </w:r>
      <w:r w:rsidR="00566412" w:rsidRPr="00E06002">
        <w:rPr>
          <w:rStyle w:val="PageNumber"/>
        </w:rPr>
        <w:t xml:space="preserve">Australian </w:t>
      </w:r>
      <w:r w:rsidR="008049D9" w:rsidRPr="00E06002">
        <w:rPr>
          <w:rStyle w:val="PageNumber"/>
        </w:rPr>
        <w:t xml:space="preserve">Government commission the development of </w:t>
      </w:r>
      <w:r w:rsidR="00566412" w:rsidRPr="00E06002">
        <w:rPr>
          <w:rStyle w:val="PageNumber"/>
          <w:bCs/>
        </w:rPr>
        <w:t>h</w:t>
      </w:r>
      <w:r w:rsidRPr="00E06002">
        <w:rPr>
          <w:rStyle w:val="PageNumber"/>
          <w:bCs/>
        </w:rPr>
        <w:t xml:space="preserve">uman rights resources for children </w:t>
      </w:r>
      <w:r w:rsidR="008049D9" w:rsidRPr="00E06002">
        <w:rPr>
          <w:rStyle w:val="PageNumber"/>
          <w:bCs/>
        </w:rPr>
        <w:t xml:space="preserve">and young people </w:t>
      </w:r>
      <w:r w:rsidR="00D16AA9" w:rsidRPr="00E06002">
        <w:rPr>
          <w:rStyle w:val="PageNumber"/>
          <w:bCs/>
        </w:rPr>
        <w:t>which encourage them to think about</w:t>
      </w:r>
      <w:r w:rsidR="002361EF" w:rsidRPr="00E06002">
        <w:rPr>
          <w:rStyle w:val="PageNumber"/>
          <w:bCs/>
        </w:rPr>
        <w:t xml:space="preserve"> human rights in the online environment</w:t>
      </w:r>
      <w:r w:rsidR="00C850D7" w:rsidRPr="00E06002">
        <w:rPr>
          <w:rStyle w:val="PageNumber"/>
          <w:bCs/>
        </w:rPr>
        <w:t>,</w:t>
      </w:r>
      <w:r w:rsidRPr="00E06002">
        <w:rPr>
          <w:rStyle w:val="PageNumber"/>
          <w:bCs/>
        </w:rPr>
        <w:t xml:space="preserve"> </w:t>
      </w:r>
      <w:r w:rsidR="002D6BF5" w:rsidRPr="00E06002">
        <w:rPr>
          <w:rStyle w:val="PageNumber"/>
          <w:bCs/>
        </w:rPr>
        <w:t>and be aware of</w:t>
      </w:r>
      <w:r w:rsidR="000F316B" w:rsidRPr="00E06002">
        <w:rPr>
          <w:rStyle w:val="PageNumber"/>
          <w:bCs/>
        </w:rPr>
        <w:t xml:space="preserve"> both</w:t>
      </w:r>
      <w:r w:rsidR="002D6BF5" w:rsidRPr="00E06002">
        <w:rPr>
          <w:rStyle w:val="PageNumber"/>
          <w:bCs/>
        </w:rPr>
        <w:t xml:space="preserve"> their </w:t>
      </w:r>
      <w:r w:rsidR="000F316B" w:rsidRPr="00E06002">
        <w:rPr>
          <w:rStyle w:val="PageNumber"/>
          <w:bCs/>
        </w:rPr>
        <w:t xml:space="preserve">own </w:t>
      </w:r>
      <w:r w:rsidR="002D6BF5" w:rsidRPr="00E06002">
        <w:rPr>
          <w:rStyle w:val="PageNumber"/>
          <w:bCs/>
        </w:rPr>
        <w:t xml:space="preserve">rights </w:t>
      </w:r>
      <w:r w:rsidR="000B1C10">
        <w:rPr>
          <w:rStyle w:val="PageNumber"/>
          <w:bCs/>
        </w:rPr>
        <w:t xml:space="preserve">and </w:t>
      </w:r>
      <w:r w:rsidR="002D6BF5" w:rsidRPr="00E06002">
        <w:rPr>
          <w:rStyle w:val="PageNumber"/>
          <w:bCs/>
        </w:rPr>
        <w:t>their</w:t>
      </w:r>
      <w:r w:rsidR="008049D9" w:rsidRPr="00E06002">
        <w:rPr>
          <w:rStyle w:val="PageNumber"/>
          <w:bCs/>
        </w:rPr>
        <w:t xml:space="preserve"> responsibilities</w:t>
      </w:r>
      <w:r w:rsidR="002D6BF5" w:rsidRPr="00E06002">
        <w:rPr>
          <w:rStyle w:val="PageNumber"/>
          <w:bCs/>
        </w:rPr>
        <w:t xml:space="preserve"> </w:t>
      </w:r>
      <w:r w:rsidR="002F7B51" w:rsidRPr="00E06002">
        <w:rPr>
          <w:rStyle w:val="PageNumber"/>
          <w:bCs/>
        </w:rPr>
        <w:t xml:space="preserve">to respect the rights of </w:t>
      </w:r>
      <w:r w:rsidR="002D6BF5" w:rsidRPr="00E06002">
        <w:rPr>
          <w:rStyle w:val="PageNumber"/>
          <w:bCs/>
        </w:rPr>
        <w:t>others</w:t>
      </w:r>
      <w:r w:rsidR="008049D9" w:rsidRPr="00E06002">
        <w:rPr>
          <w:rStyle w:val="PageNumber"/>
          <w:bCs/>
        </w:rPr>
        <w:t>.</w:t>
      </w:r>
      <w:r w:rsidR="008049D9">
        <w:rPr>
          <w:rStyle w:val="PageNumber"/>
          <w:bCs/>
        </w:rPr>
        <w:t xml:space="preserve"> </w:t>
      </w:r>
      <w:bookmarkStart w:id="12" w:name="_Toc445720184"/>
    </w:p>
    <w:p w14:paraId="28C193FE" w14:textId="2C8D67D8" w:rsidR="00EF1FA8" w:rsidRDefault="00891234" w:rsidP="00EF1FA8">
      <w:pPr>
        <w:pStyle w:val="Heading"/>
        <w:numPr>
          <w:ilvl w:val="0"/>
          <w:numId w:val="33"/>
        </w:numPr>
      </w:pPr>
      <w:bookmarkStart w:id="13" w:name="_Toc447101690"/>
      <w:r w:rsidRPr="00622F8B">
        <w:rPr>
          <w:lang w:val="en-US"/>
        </w:rPr>
        <w:t>R</w:t>
      </w:r>
      <w:r w:rsidR="00EF1FA8" w:rsidRPr="00622F8B">
        <w:rPr>
          <w:lang w:val="en-US"/>
        </w:rPr>
        <w:t xml:space="preserve">ights </w:t>
      </w:r>
      <w:r w:rsidRPr="00622F8B">
        <w:rPr>
          <w:lang w:val="en-US"/>
        </w:rPr>
        <w:t>of children and young people</w:t>
      </w:r>
      <w:r>
        <w:rPr>
          <w:lang w:val="en-US"/>
        </w:rPr>
        <w:t xml:space="preserve"> </w:t>
      </w:r>
      <w:r w:rsidR="00EF1FA8">
        <w:rPr>
          <w:lang w:val="en-US"/>
        </w:rPr>
        <w:t>and access to pornography</w:t>
      </w:r>
      <w:bookmarkEnd w:id="12"/>
      <w:bookmarkEnd w:id="13"/>
    </w:p>
    <w:p w14:paraId="2557340B" w14:textId="77777777" w:rsidR="00EF1FA8" w:rsidRDefault="00EF1FA8" w:rsidP="006A37CD">
      <w:pPr>
        <w:pStyle w:val="SubmissionNormal"/>
        <w:numPr>
          <w:ilvl w:val="0"/>
          <w:numId w:val="22"/>
        </w:numPr>
        <w:pBdr>
          <w:top w:val="nil"/>
          <w:left w:val="nil"/>
          <w:bottom w:val="nil"/>
          <w:right w:val="nil"/>
          <w:between w:val="nil"/>
          <w:bar w:val="nil"/>
        </w:pBdr>
        <w:spacing w:before="0" w:after="120"/>
      </w:pPr>
      <w:r>
        <w:t xml:space="preserve">Australia is a party to seven key human rights treaties. Those most relevant to the considerations of the Committee include: </w:t>
      </w:r>
    </w:p>
    <w:p w14:paraId="1D744963" w14:textId="77777777" w:rsidR="00EF1FA8" w:rsidRDefault="00EF1FA8" w:rsidP="00BC769A">
      <w:pPr>
        <w:pStyle w:val="SubmissionNormal"/>
        <w:numPr>
          <w:ilvl w:val="0"/>
          <w:numId w:val="18"/>
        </w:numPr>
        <w:pBdr>
          <w:top w:val="nil"/>
          <w:left w:val="nil"/>
          <w:bottom w:val="nil"/>
          <w:right w:val="nil"/>
          <w:between w:val="nil"/>
          <w:bar w:val="nil"/>
        </w:pBdr>
        <w:spacing w:before="0" w:after="120"/>
        <w:ind w:left="993" w:hanging="284"/>
      </w:pPr>
      <w:r>
        <w:t xml:space="preserve">the </w:t>
      </w:r>
      <w:r w:rsidRPr="00EF1FA8">
        <w:rPr>
          <w:i/>
        </w:rPr>
        <w:t>Convention on the Rights of the Child</w:t>
      </w:r>
      <w:r w:rsidR="00C206C2">
        <w:rPr>
          <w:rStyle w:val="EndnoteReference"/>
          <w:i/>
        </w:rPr>
        <w:endnoteReference w:id="2"/>
      </w:r>
      <w:r>
        <w:t xml:space="preserve"> (CRC)</w:t>
      </w:r>
    </w:p>
    <w:p w14:paraId="11302812" w14:textId="77777777" w:rsidR="00EF1FA8" w:rsidRDefault="00EF1FA8" w:rsidP="00BC769A">
      <w:pPr>
        <w:pStyle w:val="SubmissionNormal"/>
        <w:numPr>
          <w:ilvl w:val="0"/>
          <w:numId w:val="18"/>
        </w:numPr>
        <w:pBdr>
          <w:top w:val="nil"/>
          <w:left w:val="nil"/>
          <w:bottom w:val="nil"/>
          <w:right w:val="nil"/>
          <w:between w:val="nil"/>
          <w:bar w:val="nil"/>
        </w:pBdr>
        <w:spacing w:before="0" w:after="120"/>
        <w:ind w:left="993" w:hanging="284"/>
      </w:pPr>
      <w:r>
        <w:t xml:space="preserve">the </w:t>
      </w:r>
      <w:r w:rsidRPr="00EF1FA8">
        <w:rPr>
          <w:i/>
        </w:rPr>
        <w:t>International Covenant on Civil and Political Rights</w:t>
      </w:r>
      <w:r w:rsidRPr="002D07DF">
        <w:rPr>
          <w:rStyle w:val="EndnoteReference"/>
          <w:rFonts w:eastAsia="MS Mincho"/>
        </w:rPr>
        <w:endnoteReference w:id="3"/>
      </w:r>
    </w:p>
    <w:p w14:paraId="7F7DEA7D" w14:textId="77777777" w:rsidR="00EF1FA8" w:rsidRPr="00B63467" w:rsidRDefault="00EF1FA8" w:rsidP="00BC769A">
      <w:pPr>
        <w:pStyle w:val="SubmissionNormal"/>
        <w:numPr>
          <w:ilvl w:val="0"/>
          <w:numId w:val="18"/>
        </w:numPr>
        <w:pBdr>
          <w:top w:val="nil"/>
          <w:left w:val="nil"/>
          <w:bottom w:val="nil"/>
          <w:right w:val="nil"/>
          <w:between w:val="nil"/>
          <w:bar w:val="nil"/>
        </w:pBdr>
        <w:spacing w:before="0" w:after="120"/>
        <w:ind w:left="993" w:hanging="284"/>
      </w:pPr>
      <w:r>
        <w:t xml:space="preserve">the </w:t>
      </w:r>
      <w:r w:rsidRPr="00B63467">
        <w:rPr>
          <w:i/>
        </w:rPr>
        <w:t>International Covenant on Economic</w:t>
      </w:r>
      <w:r>
        <w:rPr>
          <w:i/>
        </w:rPr>
        <w:t>, Social and Cultural Rights</w:t>
      </w:r>
      <w:r w:rsidRPr="002D07DF">
        <w:rPr>
          <w:rStyle w:val="EndnoteReference"/>
          <w:rFonts w:eastAsia="MS Mincho"/>
        </w:rPr>
        <w:endnoteReference w:id="4"/>
      </w:r>
    </w:p>
    <w:p w14:paraId="1C99C735" w14:textId="77777777" w:rsidR="00EF1FA8" w:rsidRDefault="00EF1FA8" w:rsidP="00BC769A">
      <w:pPr>
        <w:pStyle w:val="SubmissionNormal"/>
        <w:numPr>
          <w:ilvl w:val="0"/>
          <w:numId w:val="18"/>
        </w:numPr>
        <w:pBdr>
          <w:top w:val="nil"/>
          <w:left w:val="nil"/>
          <w:bottom w:val="nil"/>
          <w:right w:val="nil"/>
          <w:between w:val="nil"/>
          <w:bar w:val="nil"/>
        </w:pBdr>
        <w:spacing w:before="0" w:after="120"/>
        <w:ind w:left="993" w:hanging="284"/>
      </w:pPr>
      <w:r>
        <w:t xml:space="preserve">the </w:t>
      </w:r>
      <w:r w:rsidRPr="002D07DF">
        <w:rPr>
          <w:i/>
        </w:rPr>
        <w:t>Convention on the Elimination of All Forms of Discrimination against Women</w:t>
      </w:r>
      <w:r>
        <w:t xml:space="preserve"> (CEDAW).</w:t>
      </w:r>
      <w:r>
        <w:rPr>
          <w:rStyle w:val="EndnoteReference"/>
          <w:rFonts w:eastAsia="MS Mincho"/>
        </w:rPr>
        <w:endnoteReference w:id="5"/>
      </w:r>
    </w:p>
    <w:p w14:paraId="527BF13A" w14:textId="31587393" w:rsidR="00EF1FA8" w:rsidRPr="00555644" w:rsidRDefault="00EF1FA8" w:rsidP="00EF1FA8">
      <w:pPr>
        <w:pStyle w:val="SubmissionNormal"/>
        <w:numPr>
          <w:ilvl w:val="0"/>
          <w:numId w:val="22"/>
        </w:numPr>
        <w:pBdr>
          <w:top w:val="nil"/>
          <w:left w:val="nil"/>
          <w:bottom w:val="nil"/>
          <w:right w:val="nil"/>
          <w:between w:val="nil"/>
          <w:bar w:val="nil"/>
        </w:pBdr>
        <w:rPr>
          <w:highlight w:val="yellow"/>
        </w:rPr>
      </w:pPr>
      <w:r>
        <w:t xml:space="preserve">Children </w:t>
      </w:r>
      <w:r w:rsidR="009E4E96">
        <w:t>and young people</w:t>
      </w:r>
      <w:r w:rsidR="008105CD">
        <w:t xml:space="preserve"> </w:t>
      </w:r>
      <w:r>
        <w:t>have particular vulnerabilities and rights which are recognised in the CRC</w:t>
      </w:r>
      <w:r w:rsidR="00AE3D09">
        <w:t xml:space="preserve"> </w:t>
      </w:r>
      <w:r w:rsidR="00AE3D09" w:rsidRPr="002D7572">
        <w:t xml:space="preserve">(note that the CRC uses the term ‘children’ to </w:t>
      </w:r>
      <w:r w:rsidR="00D832DB" w:rsidRPr="002D7572">
        <w:t xml:space="preserve">include </w:t>
      </w:r>
      <w:r w:rsidR="00AE3D09" w:rsidRPr="002D7572">
        <w:t>all those under 18 years of age)</w:t>
      </w:r>
      <w:r w:rsidRPr="002D7572">
        <w:t>.</w:t>
      </w:r>
      <w:r w:rsidR="00AE3D09" w:rsidRPr="002D7572">
        <w:rPr>
          <w:rStyle w:val="EndnoteReference"/>
        </w:rPr>
        <w:endnoteReference w:id="6"/>
      </w:r>
      <w:r w:rsidRPr="002D7572">
        <w:t xml:space="preserve"> As a nation th</w:t>
      </w:r>
      <w:r w:rsidR="00C515B7" w:rsidRPr="002D7572">
        <w:t>at is a party to the CRC</w:t>
      </w:r>
      <w:r w:rsidRPr="002D7572">
        <w:t>, we have a responsibility to protect the rights of the developing child as they grow into adulthood. Taking a human rights</w:t>
      </w:r>
      <w:r w:rsidR="009F54AD" w:rsidRPr="002D7572">
        <w:t>-based</w:t>
      </w:r>
      <w:r w:rsidRPr="002D7572">
        <w:t xml:space="preserve"> approach to access to pornography allows us to identify</w:t>
      </w:r>
      <w:r w:rsidR="00555644" w:rsidRPr="002D7572">
        <w:t xml:space="preserve"> and address potential harms in ways which respect and pro</w:t>
      </w:r>
      <w:r w:rsidR="00AE3D09" w:rsidRPr="002D7572">
        <w:t>tect children and young people as rights-bearers</w:t>
      </w:r>
      <w:r w:rsidRPr="002D7572">
        <w:t>.</w:t>
      </w:r>
    </w:p>
    <w:p w14:paraId="77E22804" w14:textId="6B8DABEC" w:rsidR="00EF1FA8" w:rsidRDefault="00EF1FA8" w:rsidP="00F95671">
      <w:pPr>
        <w:pStyle w:val="SubmissionNormal"/>
        <w:numPr>
          <w:ilvl w:val="0"/>
          <w:numId w:val="22"/>
        </w:numPr>
        <w:pBdr>
          <w:top w:val="nil"/>
          <w:left w:val="nil"/>
          <w:bottom w:val="nil"/>
          <w:right w:val="nil"/>
          <w:between w:val="nil"/>
          <w:bar w:val="nil"/>
        </w:pBdr>
      </w:pPr>
      <w:r>
        <w:t>Under the CRC, State</w:t>
      </w:r>
      <w:r w:rsidR="00FF665B">
        <w:t>s</w:t>
      </w:r>
      <w:r>
        <w:t xml:space="preserve"> Parties must:</w:t>
      </w:r>
    </w:p>
    <w:p w14:paraId="3A261B83" w14:textId="77777777" w:rsidR="00EF1FA8" w:rsidRDefault="00EF1FA8" w:rsidP="00BC769A">
      <w:pPr>
        <w:pStyle w:val="SubmissionNormal"/>
        <w:numPr>
          <w:ilvl w:val="0"/>
          <w:numId w:val="18"/>
        </w:numPr>
        <w:pBdr>
          <w:top w:val="nil"/>
          <w:left w:val="nil"/>
          <w:bottom w:val="nil"/>
          <w:right w:val="nil"/>
          <w:between w:val="nil"/>
          <w:bar w:val="nil"/>
        </w:pBdr>
        <w:spacing w:before="0" w:after="120"/>
        <w:ind w:left="993" w:hanging="284"/>
      </w:pPr>
      <w:r>
        <w:t>ensure that in all actions concerning children, the best interests of the child is a primary consideration</w:t>
      </w:r>
      <w:r>
        <w:rPr>
          <w:rStyle w:val="EndnoteReference"/>
          <w:rFonts w:eastAsia="MS Mincho"/>
        </w:rPr>
        <w:endnoteReference w:id="7"/>
      </w:r>
      <w:r>
        <w:t xml:space="preserve"> </w:t>
      </w:r>
    </w:p>
    <w:p w14:paraId="62FA4662" w14:textId="77777777" w:rsidR="00EF1FA8" w:rsidRDefault="00EF1FA8" w:rsidP="00BC769A">
      <w:pPr>
        <w:pStyle w:val="SubmissionNormal"/>
        <w:numPr>
          <w:ilvl w:val="0"/>
          <w:numId w:val="18"/>
        </w:numPr>
        <w:pBdr>
          <w:top w:val="nil"/>
          <w:left w:val="nil"/>
          <w:bottom w:val="nil"/>
          <w:right w:val="nil"/>
          <w:between w:val="nil"/>
          <w:bar w:val="nil"/>
        </w:pBdr>
        <w:spacing w:before="0" w:after="120"/>
        <w:ind w:left="993" w:hanging="284"/>
      </w:pPr>
      <w:r>
        <w:t>support families in the rearing of children</w:t>
      </w:r>
      <w:r>
        <w:rPr>
          <w:rStyle w:val="EndnoteReference"/>
          <w:rFonts w:eastAsia="MS Mincho"/>
        </w:rPr>
        <w:endnoteReference w:id="8"/>
      </w:r>
      <w:r>
        <w:t xml:space="preserve"> </w:t>
      </w:r>
    </w:p>
    <w:p w14:paraId="366AF69E" w14:textId="77777777" w:rsidR="00EF1FA8" w:rsidRDefault="00EF1FA8" w:rsidP="00BC769A">
      <w:pPr>
        <w:pStyle w:val="SubmissionNormal"/>
        <w:numPr>
          <w:ilvl w:val="0"/>
          <w:numId w:val="18"/>
        </w:numPr>
        <w:pBdr>
          <w:top w:val="nil"/>
          <w:left w:val="nil"/>
          <w:bottom w:val="nil"/>
          <w:right w:val="nil"/>
          <w:between w:val="nil"/>
          <w:bar w:val="nil"/>
        </w:pBdr>
        <w:spacing w:before="0" w:after="120"/>
        <w:ind w:left="993" w:hanging="284"/>
      </w:pPr>
      <w:r>
        <w:t>ensure children have every opportunity for healthy development</w:t>
      </w:r>
      <w:r>
        <w:rPr>
          <w:rStyle w:val="EndnoteReference"/>
          <w:rFonts w:eastAsia="MS Mincho"/>
        </w:rPr>
        <w:endnoteReference w:id="9"/>
      </w:r>
      <w:r>
        <w:t xml:space="preserve"> </w:t>
      </w:r>
    </w:p>
    <w:p w14:paraId="4083DD25" w14:textId="77777777" w:rsidR="00EF1FA8" w:rsidRDefault="00EF1FA8" w:rsidP="00BC769A">
      <w:pPr>
        <w:pStyle w:val="SubmissionNormal"/>
        <w:numPr>
          <w:ilvl w:val="0"/>
          <w:numId w:val="18"/>
        </w:numPr>
        <w:pBdr>
          <w:top w:val="nil"/>
          <w:left w:val="nil"/>
          <w:bottom w:val="nil"/>
          <w:right w:val="nil"/>
          <w:between w:val="nil"/>
          <w:bar w:val="nil"/>
        </w:pBdr>
        <w:spacing w:before="0" w:after="120"/>
        <w:ind w:left="993" w:hanging="284"/>
      </w:pPr>
      <w:r>
        <w:lastRenderedPageBreak/>
        <w:t>ensure children are protected from all forms of violence and abuse (including psychological harm)</w:t>
      </w:r>
      <w:r>
        <w:rPr>
          <w:rStyle w:val="EndnoteReference"/>
          <w:rFonts w:eastAsia="MS Mincho"/>
        </w:rPr>
        <w:endnoteReference w:id="10"/>
      </w:r>
      <w:r>
        <w:t xml:space="preserve"> </w:t>
      </w:r>
    </w:p>
    <w:p w14:paraId="1DC7B4CD" w14:textId="3A04AB40" w:rsidR="00EF1FA8" w:rsidRDefault="001C1F44" w:rsidP="00BC769A">
      <w:pPr>
        <w:pStyle w:val="SubmissionNormal"/>
        <w:numPr>
          <w:ilvl w:val="0"/>
          <w:numId w:val="18"/>
        </w:numPr>
        <w:pBdr>
          <w:top w:val="nil"/>
          <w:left w:val="nil"/>
          <w:bottom w:val="nil"/>
          <w:right w:val="nil"/>
          <w:between w:val="nil"/>
          <w:bar w:val="nil"/>
        </w:pBdr>
        <w:spacing w:before="0" w:after="120"/>
        <w:ind w:left="993" w:hanging="284"/>
      </w:pPr>
      <w:r>
        <w:t>uphold a child’s right</w:t>
      </w:r>
      <w:r w:rsidR="00EF1FA8">
        <w:t xml:space="preserve"> to quality education, including education directed to the development of respect for human rights and ‘the preparation of the child for responsible life in a free society’.</w:t>
      </w:r>
      <w:r w:rsidR="00EF1FA8">
        <w:rPr>
          <w:rStyle w:val="EndnoteReference"/>
          <w:rFonts w:eastAsia="MS Mincho"/>
        </w:rPr>
        <w:endnoteReference w:id="11"/>
      </w:r>
      <w:r w:rsidR="00EF1FA8">
        <w:t xml:space="preserve"> </w:t>
      </w:r>
    </w:p>
    <w:p w14:paraId="4B171FC6" w14:textId="77777777" w:rsidR="0019732B" w:rsidRDefault="0019732B" w:rsidP="0019732B">
      <w:pPr>
        <w:pStyle w:val="SubmissionNormal"/>
        <w:numPr>
          <w:ilvl w:val="0"/>
          <w:numId w:val="22"/>
        </w:numPr>
        <w:pBdr>
          <w:top w:val="nil"/>
          <w:left w:val="nil"/>
          <w:bottom w:val="nil"/>
          <w:right w:val="nil"/>
          <w:between w:val="nil"/>
          <w:bar w:val="nil"/>
        </w:pBdr>
      </w:pPr>
      <w:r>
        <w:t xml:space="preserve">As the </w:t>
      </w:r>
      <w:r w:rsidRPr="008412BD">
        <w:t>UN Special Representative of the Secretary-General on Violence against Children has emphasi</w:t>
      </w:r>
      <w:r>
        <w:t>s</w:t>
      </w:r>
      <w:r w:rsidRPr="008412BD">
        <w:t xml:space="preserve">ed, ‘rapid development and expansion of </w:t>
      </w:r>
      <w:r>
        <w:t>ICTs</w:t>
      </w:r>
      <w:r w:rsidRPr="008412BD">
        <w:t xml:space="preserve"> have generated new opportunities for the realization of children’s rights as well as significant challenges for the protection of children</w:t>
      </w:r>
      <w:r>
        <w:t>’.</w:t>
      </w:r>
      <w:r>
        <w:rPr>
          <w:rStyle w:val="EndnoteReference"/>
          <w:rFonts w:eastAsia="MS Mincho"/>
        </w:rPr>
        <w:endnoteReference w:id="12"/>
      </w:r>
    </w:p>
    <w:p w14:paraId="3CBE1A8A" w14:textId="64FA2019" w:rsidR="00EC78B3" w:rsidRPr="00336C58" w:rsidRDefault="00B74136" w:rsidP="00EC78B3">
      <w:pPr>
        <w:pStyle w:val="SubmissionNormal"/>
        <w:numPr>
          <w:ilvl w:val="0"/>
          <w:numId w:val="22"/>
        </w:numPr>
        <w:pBdr>
          <w:top w:val="nil"/>
          <w:left w:val="nil"/>
          <w:bottom w:val="nil"/>
          <w:right w:val="nil"/>
          <w:between w:val="nil"/>
          <w:bar w:val="nil"/>
        </w:pBdr>
      </w:pPr>
      <w:r w:rsidRPr="00336C58">
        <w:t>Under the CRC</w:t>
      </w:r>
      <w:r w:rsidR="0019732B" w:rsidRPr="00336C58">
        <w:t>,</w:t>
      </w:r>
      <w:r w:rsidRPr="00336C58">
        <w:t xml:space="preserve"> children and young people have a right to </w:t>
      </w:r>
      <w:r w:rsidR="0019732B" w:rsidRPr="00336C58">
        <w:t>freedom of expression, which includes the freedom to seek and receive information.</w:t>
      </w:r>
      <w:r w:rsidR="0019732B" w:rsidRPr="00336C58">
        <w:rPr>
          <w:rStyle w:val="EndnoteReference"/>
          <w:rFonts w:eastAsia="MS Mincho"/>
        </w:rPr>
        <w:endnoteReference w:id="13"/>
      </w:r>
      <w:r w:rsidR="0019732B" w:rsidRPr="00336C58">
        <w:t xml:space="preserve"> </w:t>
      </w:r>
      <w:r w:rsidR="004B7551" w:rsidRPr="00336C58">
        <w:t xml:space="preserve"> T</w:t>
      </w:r>
      <w:r w:rsidR="0019732B" w:rsidRPr="00336C58">
        <w:t>he CRC requires governments to encourage mass media – radio, television, newspapers and Internet content sources – to provide information that children</w:t>
      </w:r>
      <w:r w:rsidR="004B7551" w:rsidRPr="00336C58">
        <w:t xml:space="preserve"> and young people</w:t>
      </w:r>
      <w:r w:rsidR="0019732B" w:rsidRPr="00336C58">
        <w:t xml:space="preserve"> can understand and utilis</w:t>
      </w:r>
      <w:r w:rsidR="004B7551" w:rsidRPr="00336C58">
        <w:t>e for their benefit.</w:t>
      </w:r>
      <w:r w:rsidR="004B7551" w:rsidRPr="00336C58">
        <w:rPr>
          <w:rStyle w:val="EndnoteReference"/>
        </w:rPr>
        <w:endnoteReference w:id="14"/>
      </w:r>
      <w:r w:rsidR="0019732B" w:rsidRPr="00336C58">
        <w:t xml:space="preserve"> </w:t>
      </w:r>
      <w:r w:rsidR="004B7551" w:rsidRPr="00336C58">
        <w:t xml:space="preserve">However, crucially, governments </w:t>
      </w:r>
      <w:r w:rsidR="002463B3" w:rsidRPr="00336C58">
        <w:t xml:space="preserve">are also required </w:t>
      </w:r>
      <w:r w:rsidR="004B7551" w:rsidRPr="00336C58">
        <w:t>to encourage mass media to develop guidelines to protect children from information and material that is ‘injurious to his or her well-being’</w:t>
      </w:r>
      <w:r w:rsidR="0019732B" w:rsidRPr="00336C58">
        <w:t>.</w:t>
      </w:r>
      <w:r w:rsidR="00B40601" w:rsidRPr="00336C58">
        <w:rPr>
          <w:rStyle w:val="EndnoteReference"/>
        </w:rPr>
        <w:endnoteReference w:id="15"/>
      </w:r>
      <w:r w:rsidR="004B7551" w:rsidRPr="00336C58">
        <w:t xml:space="preserve"> </w:t>
      </w:r>
    </w:p>
    <w:p w14:paraId="116FE694" w14:textId="0A626F16" w:rsidR="00EF1FA8" w:rsidRPr="000B202F" w:rsidRDefault="00BB76BB" w:rsidP="000B202F">
      <w:pPr>
        <w:pStyle w:val="SubmissionNormal"/>
        <w:numPr>
          <w:ilvl w:val="0"/>
          <w:numId w:val="22"/>
        </w:numPr>
        <w:pBdr>
          <w:top w:val="nil"/>
          <w:left w:val="nil"/>
          <w:bottom w:val="nil"/>
          <w:right w:val="nil"/>
          <w:between w:val="nil"/>
          <w:bar w:val="nil"/>
        </w:pBdr>
        <w:rPr>
          <w:highlight w:val="yellow"/>
        </w:rPr>
      </w:pPr>
      <w:r w:rsidRPr="00336C58">
        <w:t>C</w:t>
      </w:r>
      <w:r w:rsidR="004B7551" w:rsidRPr="00336C58">
        <w:t>hildren</w:t>
      </w:r>
      <w:r w:rsidR="007E57E9" w:rsidRPr="00336C58">
        <w:t>’s</w:t>
      </w:r>
      <w:r w:rsidR="004B7551" w:rsidRPr="00336C58">
        <w:t xml:space="preserve"> and young people’s right to </w:t>
      </w:r>
      <w:r w:rsidR="000C4BAC" w:rsidRPr="00336C58">
        <w:t xml:space="preserve">seek </w:t>
      </w:r>
      <w:r w:rsidR="0083252A" w:rsidRPr="00336C58">
        <w:t xml:space="preserve">information </w:t>
      </w:r>
      <w:r w:rsidRPr="00336C58">
        <w:t xml:space="preserve">is not absolute, and </w:t>
      </w:r>
      <w:r w:rsidR="00B74136" w:rsidRPr="00336C58">
        <w:t>need</w:t>
      </w:r>
      <w:r w:rsidR="002463B3" w:rsidRPr="00336C58">
        <w:t>s</w:t>
      </w:r>
      <w:r w:rsidR="00B74136" w:rsidRPr="00336C58">
        <w:t xml:space="preserve"> to be balanced against </w:t>
      </w:r>
      <w:r w:rsidR="0083252A" w:rsidRPr="00336C58">
        <w:t xml:space="preserve">their </w:t>
      </w:r>
      <w:r w:rsidR="00B74136" w:rsidRPr="00336C58">
        <w:t xml:space="preserve">rights to </w:t>
      </w:r>
      <w:r w:rsidR="0083252A" w:rsidRPr="00336C58">
        <w:t xml:space="preserve">be protected from the negative </w:t>
      </w:r>
      <w:r w:rsidR="00B74136" w:rsidRPr="00336C58">
        <w:t>impact</w:t>
      </w:r>
      <w:r w:rsidR="0083252A" w:rsidRPr="00336C58">
        <w:t>s</w:t>
      </w:r>
      <w:r w:rsidR="00B74136" w:rsidRPr="00336C58">
        <w:t xml:space="preserve"> of accessing harmful content</w:t>
      </w:r>
      <w:r w:rsidR="0083252A" w:rsidRPr="00336C58">
        <w:t>,</w:t>
      </w:r>
      <w:r w:rsidR="00B74136" w:rsidRPr="00336C58">
        <w:t xml:space="preserve"> and breaches of </w:t>
      </w:r>
      <w:r w:rsidR="0083252A" w:rsidRPr="00336C58">
        <w:t xml:space="preserve">their </w:t>
      </w:r>
      <w:r w:rsidR="00B74136" w:rsidRPr="00336C58">
        <w:t>privacy</w:t>
      </w:r>
      <w:r w:rsidR="0083252A" w:rsidRPr="00336C58">
        <w:t>.</w:t>
      </w:r>
      <w:r w:rsidR="002421E2" w:rsidRPr="00336C58">
        <w:t xml:space="preserve"> </w:t>
      </w:r>
      <w:r w:rsidR="008105CD" w:rsidRPr="00336C58">
        <w:t>In the</w:t>
      </w:r>
      <w:r w:rsidR="008105CD">
        <w:t xml:space="preserve"> o</w:t>
      </w:r>
      <w:r w:rsidR="00EF1FA8">
        <w:t>nline</w:t>
      </w:r>
      <w:r w:rsidR="008105CD">
        <w:t xml:space="preserve"> domain,</w:t>
      </w:r>
      <w:r w:rsidR="00EF1FA8">
        <w:t xml:space="preserve"> children </w:t>
      </w:r>
      <w:r w:rsidR="007E57E9">
        <w:t xml:space="preserve">and young people </w:t>
      </w:r>
      <w:r w:rsidR="00EF1FA8">
        <w:t xml:space="preserve">risk coming into contact with harmful content which is increasingly available, such as pornography, but also racist and violent material, and content inciting substance abuse, suicide and other forms of self-harm. </w:t>
      </w:r>
    </w:p>
    <w:p w14:paraId="0CED87E5" w14:textId="19E43C96" w:rsidR="00EF1FA8" w:rsidRDefault="00EF1FA8" w:rsidP="00BC769A">
      <w:pPr>
        <w:pStyle w:val="SubmissionNormal"/>
        <w:numPr>
          <w:ilvl w:val="0"/>
          <w:numId w:val="22"/>
        </w:numPr>
        <w:pBdr>
          <w:top w:val="nil"/>
          <w:left w:val="nil"/>
          <w:bottom w:val="nil"/>
          <w:right w:val="nil"/>
          <w:between w:val="nil"/>
          <w:bar w:val="nil"/>
        </w:pBdr>
        <w:spacing w:before="0" w:after="120"/>
      </w:pPr>
      <w:r>
        <w:t>Children’s</w:t>
      </w:r>
      <w:r w:rsidR="00DD373F">
        <w:t xml:space="preserve"> and young people’s</w:t>
      </w:r>
      <w:r>
        <w:t xml:space="preserve"> increasing access to pornography online has potential </w:t>
      </w:r>
      <w:r w:rsidR="002463B3">
        <w:t xml:space="preserve">negative </w:t>
      </w:r>
      <w:r>
        <w:t>consequences for the enjoyment of the</w:t>
      </w:r>
      <w:r w:rsidR="008105CD">
        <w:t>ir rights to</w:t>
      </w:r>
      <w:r>
        <w:t>:</w:t>
      </w:r>
    </w:p>
    <w:p w14:paraId="0F8324A6" w14:textId="32AE6B7E" w:rsidR="00EF1FA8" w:rsidRDefault="00EF1FA8" w:rsidP="00BC769A">
      <w:pPr>
        <w:pStyle w:val="SubmissionNormal"/>
        <w:numPr>
          <w:ilvl w:val="0"/>
          <w:numId w:val="18"/>
        </w:numPr>
        <w:pBdr>
          <w:top w:val="nil"/>
          <w:left w:val="nil"/>
          <w:bottom w:val="nil"/>
          <w:right w:val="nil"/>
          <w:between w:val="nil"/>
          <w:bar w:val="nil"/>
        </w:pBdr>
        <w:spacing w:before="0" w:after="120"/>
        <w:ind w:left="993" w:hanging="284"/>
      </w:pPr>
      <w:r>
        <w:t>health and development</w:t>
      </w:r>
      <w:r>
        <w:rPr>
          <w:rStyle w:val="EndnoteReference"/>
          <w:rFonts w:eastAsia="MS Mincho"/>
        </w:rPr>
        <w:endnoteReference w:id="16"/>
      </w:r>
      <w:r>
        <w:t xml:space="preserve"> - access to violent and explicit pornography at inappropriate ages may impact negatively on </w:t>
      </w:r>
      <w:r w:rsidR="007B364D">
        <w:t xml:space="preserve">a </w:t>
      </w:r>
      <w:r w:rsidR="00DD373F">
        <w:t>child’s or young person’s</w:t>
      </w:r>
      <w:r w:rsidR="009A3EAA">
        <w:t xml:space="preserve"> health </w:t>
      </w:r>
      <w:r w:rsidR="005A65A4">
        <w:t>and/</w:t>
      </w:r>
      <w:r w:rsidR="009A3EAA">
        <w:t>or</w:t>
      </w:r>
      <w:r>
        <w:t xml:space="preserve"> development.</w:t>
      </w:r>
    </w:p>
    <w:p w14:paraId="3521C095" w14:textId="2C44C352" w:rsidR="00EF1FA8" w:rsidRDefault="00EF1FA8" w:rsidP="00BC769A">
      <w:pPr>
        <w:pStyle w:val="SubmissionNormal"/>
        <w:numPr>
          <w:ilvl w:val="0"/>
          <w:numId w:val="18"/>
        </w:numPr>
        <w:pBdr>
          <w:top w:val="nil"/>
          <w:left w:val="nil"/>
          <w:bottom w:val="nil"/>
          <w:right w:val="nil"/>
          <w:between w:val="nil"/>
          <w:bar w:val="nil"/>
        </w:pBdr>
        <w:spacing w:before="0" w:after="120"/>
        <w:ind w:left="993" w:hanging="284"/>
      </w:pPr>
      <w:r>
        <w:t>protection from all forms of physical or mental violence, injury, abuse or maltreatment</w:t>
      </w:r>
      <w:r>
        <w:rPr>
          <w:rStyle w:val="EndnoteReference"/>
          <w:rFonts w:eastAsia="MS Mincho"/>
        </w:rPr>
        <w:endnoteReference w:id="17"/>
      </w:r>
      <w:r w:rsidR="00F80E7E">
        <w:t xml:space="preserve"> -</w:t>
      </w:r>
      <w:r>
        <w:t xml:space="preserve"> predators can contact and groom children</w:t>
      </w:r>
      <w:r w:rsidR="00DD373F">
        <w:t xml:space="preserve"> and young people</w:t>
      </w:r>
      <w:r>
        <w:t xml:space="preserve"> online, including through pornographic sites. Also children </w:t>
      </w:r>
      <w:r w:rsidR="00DD373F">
        <w:t xml:space="preserve">and young people </w:t>
      </w:r>
      <w:r>
        <w:t xml:space="preserve">may be negatively affected by their exposure to pornography, in ways that may affect their </w:t>
      </w:r>
      <w:r w:rsidR="00DD373F">
        <w:t>behaviour towards others</w:t>
      </w:r>
      <w:r>
        <w:t xml:space="preserve">. </w:t>
      </w:r>
    </w:p>
    <w:p w14:paraId="6AE5EA85" w14:textId="7F1BCBF0" w:rsidR="00EF1FA8" w:rsidRDefault="00EF1FA8" w:rsidP="00BC769A">
      <w:pPr>
        <w:pStyle w:val="SubmissionNormal"/>
        <w:numPr>
          <w:ilvl w:val="0"/>
          <w:numId w:val="18"/>
        </w:numPr>
        <w:pBdr>
          <w:top w:val="nil"/>
          <w:left w:val="nil"/>
          <w:bottom w:val="nil"/>
          <w:right w:val="nil"/>
          <w:between w:val="nil"/>
          <w:bar w:val="nil"/>
        </w:pBdr>
        <w:spacing w:before="0" w:after="120"/>
        <w:ind w:left="993" w:hanging="284"/>
      </w:pPr>
      <w:r>
        <w:t>privacy</w:t>
      </w:r>
      <w:r>
        <w:rPr>
          <w:rStyle w:val="EndnoteReference"/>
          <w:rFonts w:eastAsia="MS Mincho"/>
        </w:rPr>
        <w:endnoteReference w:id="18"/>
      </w:r>
      <w:r>
        <w:t xml:space="preserve"> - children </w:t>
      </w:r>
      <w:r w:rsidR="0034267B">
        <w:t xml:space="preserve">and young people </w:t>
      </w:r>
      <w:r>
        <w:t>who provide information online (including on pornography sites) are at risk of people with malicious intent using that information and sending it to others without their knowledge.</w:t>
      </w:r>
      <w:r>
        <w:rPr>
          <w:rStyle w:val="EndnoteReference"/>
          <w:rFonts w:eastAsia="MS Mincho"/>
        </w:rPr>
        <w:endnoteReference w:id="19"/>
      </w:r>
    </w:p>
    <w:p w14:paraId="32E3AB32" w14:textId="77777777" w:rsidR="00EF1FA8" w:rsidRDefault="00EF1FA8" w:rsidP="00BC769A">
      <w:pPr>
        <w:pStyle w:val="SubmissionNormal"/>
        <w:numPr>
          <w:ilvl w:val="0"/>
          <w:numId w:val="22"/>
        </w:numPr>
        <w:pBdr>
          <w:top w:val="nil"/>
          <w:left w:val="nil"/>
          <w:bottom w:val="nil"/>
          <w:right w:val="nil"/>
          <w:between w:val="nil"/>
          <w:bar w:val="nil"/>
        </w:pBdr>
        <w:spacing w:before="0" w:after="120"/>
      </w:pPr>
      <w:r>
        <w:t>Previous Commission work on human rights online has identified that addressing potentially problematic behaviour online requires consideration of:</w:t>
      </w:r>
    </w:p>
    <w:p w14:paraId="632B5DE6" w14:textId="77777777" w:rsidR="00EF1FA8" w:rsidRDefault="00EF1FA8" w:rsidP="00BC769A">
      <w:pPr>
        <w:pStyle w:val="SubmissionNormal"/>
        <w:numPr>
          <w:ilvl w:val="0"/>
          <w:numId w:val="19"/>
        </w:numPr>
        <w:pBdr>
          <w:top w:val="nil"/>
          <w:left w:val="nil"/>
          <w:bottom w:val="nil"/>
          <w:right w:val="nil"/>
          <w:between w:val="nil"/>
          <w:bar w:val="nil"/>
        </w:pBdr>
        <w:spacing w:before="0" w:after="120"/>
        <w:ind w:left="1134" w:hanging="425"/>
      </w:pPr>
      <w:r>
        <w:t>balancing regulatory frameworks with freedom of expression and opinion - any limitation on free expression and access to information should be assessed against the criteria specified for permissible limitations (i</w:t>
      </w:r>
      <w:r w:rsidR="00436725">
        <w:t>.</w:t>
      </w:r>
      <w:r>
        <w:t>e</w:t>
      </w:r>
      <w:r w:rsidR="00436725">
        <w:t>.</w:t>
      </w:r>
      <w:r>
        <w:t xml:space="preserve"> it must be reasonable and proportionate)</w:t>
      </w:r>
      <w:r>
        <w:rPr>
          <w:rStyle w:val="EndnoteReference"/>
          <w:rFonts w:eastAsia="MS Mincho"/>
        </w:rPr>
        <w:endnoteReference w:id="20"/>
      </w:r>
    </w:p>
    <w:p w14:paraId="11BE3E5D" w14:textId="202D322D" w:rsidR="00EF1FA8" w:rsidRDefault="00EF1FA8" w:rsidP="00BC769A">
      <w:pPr>
        <w:pStyle w:val="SubmissionNormal"/>
        <w:numPr>
          <w:ilvl w:val="0"/>
          <w:numId w:val="19"/>
        </w:numPr>
        <w:pBdr>
          <w:top w:val="nil"/>
          <w:left w:val="nil"/>
          <w:bottom w:val="nil"/>
          <w:right w:val="nil"/>
          <w:between w:val="nil"/>
          <w:bar w:val="nil"/>
        </w:pBdr>
        <w:spacing w:before="0" w:after="120"/>
        <w:ind w:left="1134" w:hanging="425"/>
      </w:pPr>
      <w:r>
        <w:lastRenderedPageBreak/>
        <w:t>achieving the right balance between regulatory, educative and research responses - research by the Commission in 2012 emphasised that the key driver</w:t>
      </w:r>
      <w:r w:rsidR="00D20738">
        <w:t>s</w:t>
      </w:r>
      <w:r>
        <w:t xml:space="preserve"> of behavioural change am</w:t>
      </w:r>
      <w:r w:rsidR="00D20738">
        <w:t>ong children and young people are</w:t>
      </w:r>
      <w:r>
        <w:t xml:space="preserve"> peer support and educative approaches, rather than simply legislative prescription</w:t>
      </w:r>
      <w:r>
        <w:rPr>
          <w:rStyle w:val="EndnoteReference"/>
          <w:rFonts w:eastAsia="MS Mincho"/>
        </w:rPr>
        <w:endnoteReference w:id="21"/>
      </w:r>
    </w:p>
    <w:p w14:paraId="4A6B2849" w14:textId="372668DD" w:rsidR="00EF1FA8" w:rsidRPr="004906D5" w:rsidRDefault="00D2180D" w:rsidP="00BC769A">
      <w:pPr>
        <w:pStyle w:val="SubmissionNormal"/>
        <w:numPr>
          <w:ilvl w:val="0"/>
          <w:numId w:val="19"/>
        </w:numPr>
        <w:pBdr>
          <w:top w:val="nil"/>
          <w:left w:val="nil"/>
          <w:bottom w:val="nil"/>
          <w:right w:val="nil"/>
          <w:between w:val="nil"/>
          <w:bar w:val="nil"/>
        </w:pBdr>
        <w:spacing w:before="0" w:after="120"/>
        <w:ind w:left="1134" w:hanging="425"/>
      </w:pPr>
      <w:r w:rsidRPr="004906D5">
        <w:t>the appropriateness of imposing</w:t>
      </w:r>
      <w:r w:rsidR="00EF1FA8" w:rsidRPr="004906D5">
        <w:t xml:space="preserve"> criminal sanctions versus civil remedies</w:t>
      </w:r>
      <w:r w:rsidR="000B202F" w:rsidRPr="004906D5">
        <w:t xml:space="preserve"> for online behaviour </w:t>
      </w:r>
      <w:r w:rsidR="00EF1FA8" w:rsidRPr="004906D5">
        <w:t xml:space="preserve">where </w:t>
      </w:r>
      <w:r w:rsidRPr="004906D5">
        <w:t xml:space="preserve">creating </w:t>
      </w:r>
      <w:r w:rsidR="00EF1FA8" w:rsidRPr="004906D5">
        <w:t>such offences may criminalise the behaviour of children</w:t>
      </w:r>
      <w:r w:rsidR="002162D0" w:rsidRPr="004906D5">
        <w:t xml:space="preserve"> and young people</w:t>
      </w:r>
      <w:r w:rsidR="000B202F" w:rsidRPr="004906D5">
        <w:t xml:space="preserve"> (for example sexting or cyber-bullying)</w:t>
      </w:r>
      <w:r w:rsidR="00EF1FA8" w:rsidRPr="004906D5">
        <w:t>.</w:t>
      </w:r>
      <w:r w:rsidR="00EF1FA8" w:rsidRPr="004906D5">
        <w:rPr>
          <w:rStyle w:val="EndnoteReference"/>
          <w:rFonts w:eastAsia="MS Mincho"/>
        </w:rPr>
        <w:endnoteReference w:id="22"/>
      </w:r>
    </w:p>
    <w:p w14:paraId="0BF562B2" w14:textId="77777777" w:rsidR="00EF1FA8" w:rsidRDefault="00EF1FA8" w:rsidP="00EF1FA8">
      <w:pPr>
        <w:pStyle w:val="Heading"/>
        <w:numPr>
          <w:ilvl w:val="0"/>
          <w:numId w:val="34"/>
        </w:numPr>
      </w:pPr>
      <w:bookmarkStart w:id="14" w:name="_Toc445720185"/>
      <w:bookmarkStart w:id="15" w:name="_Toc447101691"/>
      <w:r>
        <w:rPr>
          <w:lang w:val="en-US"/>
        </w:rPr>
        <w:t>A selection of available research</w:t>
      </w:r>
      <w:bookmarkEnd w:id="14"/>
      <w:bookmarkEnd w:id="15"/>
    </w:p>
    <w:p w14:paraId="5FD808E6" w14:textId="77777777" w:rsidR="00EF1FA8" w:rsidRPr="00EF1FA8" w:rsidRDefault="00EF1FA8" w:rsidP="00EF1FA8">
      <w:pPr>
        <w:pStyle w:val="ListParagraph"/>
        <w:keepNext/>
        <w:keepLines/>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360" w:after="240"/>
        <w:contextualSpacing w:val="0"/>
        <w:outlineLvl w:val="0"/>
        <w:rPr>
          <w:rFonts w:ascii="Arial" w:eastAsia="MS Mincho" w:hAnsi="Arial"/>
          <w:b/>
          <w:bCs/>
          <w:vanish/>
          <w:sz w:val="28"/>
          <w:szCs w:val="28"/>
          <w:bdr w:val="none" w:sz="0" w:space="0" w:color="auto"/>
          <w:lang w:eastAsia="en-AU"/>
        </w:rPr>
      </w:pPr>
      <w:bookmarkStart w:id="16" w:name="_Toc445721310"/>
      <w:bookmarkStart w:id="17" w:name="_Toc445724447"/>
      <w:bookmarkStart w:id="18" w:name="_Toc447101692"/>
      <w:bookmarkStart w:id="19" w:name="_Toc445720186"/>
      <w:bookmarkEnd w:id="16"/>
      <w:bookmarkEnd w:id="17"/>
      <w:bookmarkEnd w:id="18"/>
    </w:p>
    <w:p w14:paraId="7DDA4F45" w14:textId="77777777" w:rsidR="00EF1FA8" w:rsidRPr="00EF1FA8" w:rsidRDefault="00EF1FA8" w:rsidP="00EF1FA8">
      <w:pPr>
        <w:pStyle w:val="ListParagraph"/>
        <w:keepNext/>
        <w:keepLines/>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360" w:after="240"/>
        <w:contextualSpacing w:val="0"/>
        <w:outlineLvl w:val="0"/>
        <w:rPr>
          <w:rFonts w:ascii="Arial" w:eastAsia="MS Mincho" w:hAnsi="Arial"/>
          <w:b/>
          <w:bCs/>
          <w:vanish/>
          <w:sz w:val="28"/>
          <w:szCs w:val="28"/>
          <w:bdr w:val="none" w:sz="0" w:space="0" w:color="auto"/>
          <w:lang w:eastAsia="en-AU"/>
        </w:rPr>
      </w:pPr>
      <w:bookmarkStart w:id="20" w:name="_Toc445721311"/>
      <w:bookmarkStart w:id="21" w:name="_Toc445724448"/>
      <w:bookmarkStart w:id="22" w:name="_Toc447101693"/>
      <w:bookmarkEnd w:id="20"/>
      <w:bookmarkEnd w:id="21"/>
      <w:bookmarkEnd w:id="22"/>
    </w:p>
    <w:p w14:paraId="3B20039A" w14:textId="77777777" w:rsidR="00EF1FA8" w:rsidRPr="00EF1FA8" w:rsidRDefault="00EF1FA8" w:rsidP="00EF1FA8">
      <w:pPr>
        <w:pStyle w:val="ListParagraph"/>
        <w:keepNext/>
        <w:keepLines/>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360" w:after="240"/>
        <w:contextualSpacing w:val="0"/>
        <w:outlineLvl w:val="0"/>
        <w:rPr>
          <w:rFonts w:ascii="Arial" w:eastAsia="MS Mincho" w:hAnsi="Arial"/>
          <w:b/>
          <w:bCs/>
          <w:vanish/>
          <w:sz w:val="28"/>
          <w:szCs w:val="28"/>
          <w:bdr w:val="none" w:sz="0" w:space="0" w:color="auto"/>
          <w:lang w:eastAsia="en-AU"/>
        </w:rPr>
      </w:pPr>
      <w:bookmarkStart w:id="23" w:name="_Toc445721312"/>
      <w:bookmarkStart w:id="24" w:name="_Toc445724449"/>
      <w:bookmarkStart w:id="25" w:name="_Toc447101694"/>
      <w:bookmarkEnd w:id="23"/>
      <w:bookmarkEnd w:id="24"/>
      <w:bookmarkEnd w:id="25"/>
    </w:p>
    <w:p w14:paraId="5636F666" w14:textId="77777777" w:rsidR="00EF1FA8" w:rsidRPr="00EF1FA8" w:rsidRDefault="00EF1FA8" w:rsidP="00EF1FA8">
      <w:pPr>
        <w:pStyle w:val="ListParagraph"/>
        <w:keepNext/>
        <w:keepLines/>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360" w:after="240"/>
        <w:contextualSpacing w:val="0"/>
        <w:outlineLvl w:val="0"/>
        <w:rPr>
          <w:rFonts w:ascii="Arial" w:eastAsia="MS Mincho" w:hAnsi="Arial"/>
          <w:b/>
          <w:bCs/>
          <w:vanish/>
          <w:sz w:val="28"/>
          <w:szCs w:val="28"/>
          <w:bdr w:val="none" w:sz="0" w:space="0" w:color="auto"/>
          <w:lang w:eastAsia="en-AU"/>
        </w:rPr>
      </w:pPr>
      <w:bookmarkStart w:id="26" w:name="_Toc445721313"/>
      <w:bookmarkStart w:id="27" w:name="_Toc445724450"/>
      <w:bookmarkStart w:id="28" w:name="_Toc447101695"/>
      <w:bookmarkEnd w:id="26"/>
      <w:bookmarkEnd w:id="27"/>
      <w:bookmarkEnd w:id="28"/>
    </w:p>
    <w:p w14:paraId="15977D86" w14:textId="77777777" w:rsidR="00EF1FA8" w:rsidRPr="00EF1FA8" w:rsidRDefault="00EF1FA8" w:rsidP="00EF1FA8">
      <w:pPr>
        <w:pStyle w:val="ListParagraph"/>
        <w:keepNext/>
        <w:keepLines/>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360" w:after="240"/>
        <w:contextualSpacing w:val="0"/>
        <w:outlineLvl w:val="0"/>
        <w:rPr>
          <w:rFonts w:ascii="Arial" w:eastAsia="MS Mincho" w:hAnsi="Arial"/>
          <w:b/>
          <w:bCs/>
          <w:vanish/>
          <w:sz w:val="28"/>
          <w:szCs w:val="28"/>
          <w:bdr w:val="none" w:sz="0" w:space="0" w:color="auto"/>
          <w:lang w:eastAsia="en-AU"/>
        </w:rPr>
      </w:pPr>
      <w:bookmarkStart w:id="29" w:name="_Toc445721314"/>
      <w:bookmarkStart w:id="30" w:name="_Toc445724451"/>
      <w:bookmarkStart w:id="31" w:name="_Toc447101696"/>
      <w:bookmarkEnd w:id="29"/>
      <w:bookmarkEnd w:id="30"/>
      <w:bookmarkEnd w:id="31"/>
    </w:p>
    <w:p w14:paraId="6FB748AE" w14:textId="77777777" w:rsidR="00EF1FA8" w:rsidRDefault="00EF1FA8" w:rsidP="00EF1FA8">
      <w:pPr>
        <w:pStyle w:val="Heading2"/>
      </w:pPr>
      <w:bookmarkStart w:id="32" w:name="_Toc447101697"/>
      <w:r>
        <w:rPr>
          <w:lang w:val="en-US"/>
        </w:rPr>
        <w:t>Access to pornography online</w:t>
      </w:r>
      <w:bookmarkEnd w:id="19"/>
      <w:bookmarkEnd w:id="32"/>
    </w:p>
    <w:p w14:paraId="656C3498" w14:textId="77777777" w:rsidR="00EF1FA8" w:rsidRDefault="00EF1FA8" w:rsidP="00EF1FA8">
      <w:pPr>
        <w:pStyle w:val="SubmissionNormal"/>
        <w:numPr>
          <w:ilvl w:val="0"/>
          <w:numId w:val="22"/>
        </w:numPr>
        <w:pBdr>
          <w:top w:val="nil"/>
          <w:left w:val="nil"/>
          <w:bottom w:val="nil"/>
          <w:right w:val="nil"/>
          <w:between w:val="nil"/>
          <w:bar w:val="nil"/>
        </w:pBdr>
      </w:pPr>
      <w:r w:rsidRPr="00A37799">
        <w:t xml:space="preserve">It is clear that the </w:t>
      </w:r>
      <w:r w:rsidRPr="00FF3B1F">
        <w:t xml:space="preserve">Internet has made sexually explicit media more accessible to </w:t>
      </w:r>
      <w:r w:rsidR="00D52ED4">
        <w:t xml:space="preserve">children and </w:t>
      </w:r>
      <w:r w:rsidRPr="00FF3B1F">
        <w:t>young people. Online pornography is diverse, can be very graphic, and a large amount is available for free.</w:t>
      </w:r>
      <w:r w:rsidRPr="00FF3B1F">
        <w:rPr>
          <w:rStyle w:val="EndnoteReference"/>
          <w:rFonts w:eastAsia="MS Mincho"/>
        </w:rPr>
        <w:endnoteReference w:id="23"/>
      </w:r>
    </w:p>
    <w:p w14:paraId="032A8EF4" w14:textId="4713438B" w:rsidR="00EF1FA8" w:rsidRDefault="00EF1FA8" w:rsidP="00EF1FA8">
      <w:pPr>
        <w:pStyle w:val="SubmissionNormal"/>
        <w:numPr>
          <w:ilvl w:val="0"/>
          <w:numId w:val="22"/>
        </w:numPr>
        <w:pBdr>
          <w:top w:val="nil"/>
          <w:left w:val="nil"/>
          <w:bottom w:val="nil"/>
          <w:right w:val="nil"/>
          <w:between w:val="nil"/>
          <w:bar w:val="nil"/>
        </w:pBdr>
      </w:pPr>
      <w:r>
        <w:t xml:space="preserve">Consultations with children </w:t>
      </w:r>
      <w:r w:rsidR="00D52ED4">
        <w:t xml:space="preserve">and young people </w:t>
      </w:r>
      <w:r>
        <w:t>by the National Children’s Commissioner in 2013 revealed that most do not see a clear distinction between the online and physical worlds. They also reported, at quite young ages, frequent inadvertent access to pornographic material in their everyday computer and mobile device use, and expressed some anxiety about this. Further, they reported that they were often reluctant to report their experiences to parents due to both embarrassment and for fear of being negatively judged.</w:t>
      </w:r>
    </w:p>
    <w:p w14:paraId="12BAD10E" w14:textId="4F52A2E5" w:rsidR="00EF1FA8" w:rsidRDefault="00EF1FA8" w:rsidP="00EF1FA8">
      <w:pPr>
        <w:pStyle w:val="SubmissionNormal"/>
        <w:numPr>
          <w:ilvl w:val="0"/>
          <w:numId w:val="22"/>
        </w:numPr>
        <w:pBdr>
          <w:top w:val="nil"/>
          <w:left w:val="nil"/>
          <w:bottom w:val="nil"/>
          <w:right w:val="nil"/>
          <w:between w:val="nil"/>
          <w:bar w:val="nil"/>
        </w:pBdr>
      </w:pPr>
      <w:r>
        <w:t xml:space="preserve">Representative or large-scale studies conducted across the world indicate that large numbers of children </w:t>
      </w:r>
      <w:r w:rsidR="0076650F">
        <w:t xml:space="preserve">and young people </w:t>
      </w:r>
      <w:r>
        <w:t>are exposed to pornography, primarily online.</w:t>
      </w:r>
      <w:r>
        <w:rPr>
          <w:rStyle w:val="EndnoteReference"/>
          <w:rFonts w:eastAsia="MS Mincho"/>
        </w:rPr>
        <w:endnoteReference w:id="24"/>
      </w:r>
      <w:r>
        <w:t xml:space="preserve"> However, the literature differs in respect of the regularity of exposure and access. These differences highlight the importance of considering frequency as well as prevalence of children’s</w:t>
      </w:r>
      <w:r w:rsidR="0011507F">
        <w:t xml:space="preserve"> and young people’s</w:t>
      </w:r>
      <w:r>
        <w:t xml:space="preserve"> access to pornography in order to obtain a more comprehensive picture.</w:t>
      </w:r>
      <w:r>
        <w:rPr>
          <w:rStyle w:val="EndnoteReference"/>
          <w:rFonts w:eastAsia="MS Mincho"/>
        </w:rPr>
        <w:endnoteReference w:id="25"/>
      </w:r>
    </w:p>
    <w:p w14:paraId="23F2B239" w14:textId="0FE410BF" w:rsidR="00EF1FA8" w:rsidRDefault="00EF1FA8" w:rsidP="00EF1FA8">
      <w:pPr>
        <w:pStyle w:val="Body"/>
        <w:numPr>
          <w:ilvl w:val="0"/>
          <w:numId w:val="22"/>
        </w:numPr>
      </w:pPr>
      <w:r>
        <w:t>In Australia</w:t>
      </w:r>
      <w:r w:rsidR="00D52ED4">
        <w:t>,</w:t>
      </w:r>
      <w:r>
        <w:t xml:space="preserve"> a 20</w:t>
      </w:r>
      <w:r w:rsidR="0076650F">
        <w:t xml:space="preserve">07 survey of 16 and 17 year olds </w:t>
      </w:r>
      <w:r>
        <w:t xml:space="preserve">in Sydney and Melbourne found that more than 80 per cent of </w:t>
      </w:r>
      <w:r w:rsidR="0011507F">
        <w:t xml:space="preserve">the </w:t>
      </w:r>
      <w:r>
        <w:t xml:space="preserve">boys, and 60 per cent of </w:t>
      </w:r>
      <w:r w:rsidR="0011507F">
        <w:t xml:space="preserve">the </w:t>
      </w:r>
      <w:r>
        <w:t>girls, had been exposed accidentally to pornography on the Internet.</w:t>
      </w:r>
      <w:r>
        <w:rPr>
          <w:rStyle w:val="EndnoteReference"/>
        </w:rPr>
        <w:endnoteReference w:id="26"/>
      </w:r>
      <w:r>
        <w:t xml:space="preserve"> The same study found t</w:t>
      </w:r>
      <w:r w:rsidR="002763A8">
        <w:t xml:space="preserve">hat 38 per cent of boys and </w:t>
      </w:r>
      <w:r>
        <w:t>only two per cent of girls had deliberately sought out pornography online.</w:t>
      </w:r>
      <w:r>
        <w:rPr>
          <w:rStyle w:val="EndnoteReference"/>
        </w:rPr>
        <w:endnoteReference w:id="27"/>
      </w:r>
    </w:p>
    <w:p w14:paraId="30ABFEAA" w14:textId="654FEFB0" w:rsidR="00EF1FA8" w:rsidRDefault="00EF1FA8" w:rsidP="00BC769A">
      <w:pPr>
        <w:pStyle w:val="SubmissionNormal"/>
        <w:numPr>
          <w:ilvl w:val="0"/>
          <w:numId w:val="22"/>
        </w:numPr>
        <w:pBdr>
          <w:top w:val="nil"/>
          <w:left w:val="nil"/>
          <w:bottom w:val="nil"/>
          <w:right w:val="nil"/>
          <w:between w:val="nil"/>
          <w:bar w:val="nil"/>
        </w:pBdr>
        <w:spacing w:before="0" w:after="120"/>
      </w:pPr>
      <w:r>
        <w:t xml:space="preserve">Surveys conducted in other countries also reveal that a significant proportion of children </w:t>
      </w:r>
      <w:r w:rsidR="0076650F">
        <w:t xml:space="preserve">and young people </w:t>
      </w:r>
      <w:r>
        <w:t>are being exposed to pornography online.</w:t>
      </w:r>
      <w:r>
        <w:rPr>
          <w:rStyle w:val="EndnoteReference"/>
          <w:rFonts w:eastAsia="MS Mincho"/>
        </w:rPr>
        <w:endnoteReference w:id="28"/>
      </w:r>
      <w:r>
        <w:t xml:space="preserve"> A global literature review commissioned by England’s Children’s</w:t>
      </w:r>
      <w:r w:rsidR="00BC769A">
        <w:t xml:space="preserve"> Commissioner in 2013 found</w:t>
      </w:r>
      <w:r>
        <w:t>:</w:t>
      </w:r>
    </w:p>
    <w:p w14:paraId="51557DF3" w14:textId="77777777" w:rsidR="00EF1FA8" w:rsidRDefault="00EF1FA8" w:rsidP="00BC769A">
      <w:pPr>
        <w:pStyle w:val="SubmissionNormal"/>
        <w:numPr>
          <w:ilvl w:val="0"/>
          <w:numId w:val="19"/>
        </w:numPr>
        <w:pBdr>
          <w:top w:val="nil"/>
          <w:left w:val="nil"/>
          <w:bottom w:val="nil"/>
          <w:right w:val="nil"/>
          <w:between w:val="nil"/>
          <w:bar w:val="nil"/>
        </w:pBdr>
        <w:spacing w:before="0" w:after="120"/>
        <w:ind w:left="1134" w:hanging="425"/>
      </w:pPr>
      <w:r>
        <w:t>exposure and access to pornography appears to increase with age, however, the authors also found conflicting evidence in relation to age of first exposure, varying from 10 to 17 years old</w:t>
      </w:r>
      <w:r w:rsidRPr="0090146D">
        <w:rPr>
          <w:rStyle w:val="EndnoteReference"/>
          <w:rFonts w:eastAsia="MS Mincho"/>
        </w:rPr>
        <w:endnoteReference w:id="29"/>
      </w:r>
    </w:p>
    <w:p w14:paraId="57CDA3F9" w14:textId="77777777" w:rsidR="00EF1FA8" w:rsidRDefault="00EF1FA8" w:rsidP="00BC769A">
      <w:pPr>
        <w:pStyle w:val="SubmissionNormal"/>
        <w:numPr>
          <w:ilvl w:val="0"/>
          <w:numId w:val="19"/>
        </w:numPr>
        <w:pBdr>
          <w:top w:val="nil"/>
          <w:left w:val="nil"/>
          <w:bottom w:val="nil"/>
          <w:right w:val="nil"/>
          <w:between w:val="nil"/>
          <w:bar w:val="nil"/>
        </w:pBdr>
        <w:spacing w:before="0" w:after="120"/>
        <w:ind w:left="1134" w:hanging="425"/>
      </w:pPr>
      <w:r>
        <w:t>exposure is more prevalent than deliberate access</w:t>
      </w:r>
      <w:r w:rsidRPr="0090146D">
        <w:rPr>
          <w:rStyle w:val="EndnoteReference"/>
          <w:rFonts w:eastAsia="MS Mincho"/>
        </w:rPr>
        <w:endnoteReference w:id="30"/>
      </w:r>
    </w:p>
    <w:p w14:paraId="0718795A" w14:textId="77777777" w:rsidR="00EF1FA8" w:rsidRDefault="00EF1FA8" w:rsidP="00BC769A">
      <w:pPr>
        <w:pStyle w:val="SubmissionNormal"/>
        <w:numPr>
          <w:ilvl w:val="0"/>
          <w:numId w:val="19"/>
        </w:numPr>
        <w:pBdr>
          <w:top w:val="nil"/>
          <w:left w:val="nil"/>
          <w:bottom w:val="nil"/>
          <w:right w:val="nil"/>
          <w:between w:val="nil"/>
          <w:bar w:val="nil"/>
        </w:pBdr>
        <w:spacing w:before="0" w:after="120"/>
        <w:ind w:left="1134" w:hanging="425"/>
      </w:pPr>
      <w:r>
        <w:t xml:space="preserve">there are gender differences in exposure and access, with boys </w:t>
      </w:r>
      <w:r w:rsidR="0017691C">
        <w:t xml:space="preserve">more likely to be exposed to, </w:t>
      </w:r>
      <w:r>
        <w:t>access</w:t>
      </w:r>
      <w:r w:rsidR="0017691C">
        <w:t>,</w:t>
      </w:r>
      <w:r>
        <w:t xml:space="preserve"> </w:t>
      </w:r>
      <w:r w:rsidR="0017691C">
        <w:t>seek or</w:t>
      </w:r>
      <w:r>
        <w:t xml:space="preserve"> use pornography than girls.</w:t>
      </w:r>
      <w:r w:rsidRPr="0090146D">
        <w:rPr>
          <w:rStyle w:val="EndnoteReference"/>
          <w:rFonts w:eastAsia="MS Mincho"/>
        </w:rPr>
        <w:endnoteReference w:id="31"/>
      </w:r>
    </w:p>
    <w:p w14:paraId="50F428C4" w14:textId="21090F63" w:rsidR="00EF1FA8" w:rsidRPr="00EF1FA8" w:rsidRDefault="00EF1FA8" w:rsidP="00EF1FA8">
      <w:pPr>
        <w:pStyle w:val="Heading2"/>
        <w:rPr>
          <w:lang w:val="en-US"/>
        </w:rPr>
      </w:pPr>
      <w:r w:rsidRPr="00EF1FA8">
        <w:rPr>
          <w:lang w:val="en-US"/>
        </w:rPr>
        <w:lastRenderedPageBreak/>
        <w:t xml:space="preserve"> </w:t>
      </w:r>
      <w:bookmarkStart w:id="33" w:name="_Toc445720187"/>
      <w:bookmarkStart w:id="34" w:name="_Toc447101698"/>
      <w:r w:rsidRPr="00EF1FA8">
        <w:rPr>
          <w:lang w:val="en-US"/>
        </w:rPr>
        <w:t>Children’s</w:t>
      </w:r>
      <w:r w:rsidR="00B43678">
        <w:rPr>
          <w:lang w:val="en-US"/>
        </w:rPr>
        <w:t xml:space="preserve"> and young people’s</w:t>
      </w:r>
      <w:r w:rsidRPr="00EF1FA8">
        <w:rPr>
          <w:lang w:val="en-US"/>
        </w:rPr>
        <w:t xml:space="preserve"> perceptions of online risks</w:t>
      </w:r>
      <w:bookmarkEnd w:id="33"/>
      <w:bookmarkEnd w:id="34"/>
    </w:p>
    <w:p w14:paraId="41CCD473" w14:textId="7A67E039" w:rsidR="00EF1FA8" w:rsidRDefault="00EF1FA8" w:rsidP="00EF1FA8">
      <w:pPr>
        <w:pStyle w:val="SubmissionNormal"/>
        <w:numPr>
          <w:ilvl w:val="0"/>
          <w:numId w:val="22"/>
        </w:numPr>
        <w:pBdr>
          <w:top w:val="nil"/>
          <w:left w:val="nil"/>
          <w:bottom w:val="nil"/>
          <w:right w:val="nil"/>
          <w:between w:val="nil"/>
          <w:bar w:val="nil"/>
        </w:pBdr>
        <w:spacing w:before="0" w:after="120"/>
      </w:pPr>
      <w:r>
        <w:t>In 2014</w:t>
      </w:r>
      <w:r w:rsidR="00B11BC3">
        <w:t>,</w:t>
      </w:r>
      <w:r>
        <w:t xml:space="preserve"> as part of an open-ended survey of European children </w:t>
      </w:r>
      <w:r w:rsidR="0076650F">
        <w:t xml:space="preserve">and young people </w:t>
      </w:r>
      <w:r>
        <w:t>aged 9 to 16, around 10,000 children reported a range of risks that concerned them on the Internet.</w:t>
      </w:r>
      <w:r>
        <w:rPr>
          <w:rStyle w:val="EndnoteReference"/>
          <w:rFonts w:eastAsia="MS Mincho"/>
        </w:rPr>
        <w:endnoteReference w:id="32"/>
      </w:r>
      <w:r>
        <w:t xml:space="preserve"> Pornography was the top concern mentioned (22 per cent), followed by cyber-bullying (19 per cent) and violent content (18 per cent).</w:t>
      </w:r>
      <w:r>
        <w:rPr>
          <w:rStyle w:val="EndnoteReference"/>
          <w:rFonts w:eastAsia="MS Mincho"/>
        </w:rPr>
        <w:endnoteReference w:id="33"/>
      </w:r>
    </w:p>
    <w:p w14:paraId="69FF132C" w14:textId="2436382E" w:rsidR="00EF1FA8" w:rsidRDefault="00EF1FA8" w:rsidP="00EF1FA8">
      <w:pPr>
        <w:pStyle w:val="SubmissionNormal"/>
        <w:numPr>
          <w:ilvl w:val="0"/>
          <w:numId w:val="22"/>
        </w:numPr>
        <w:pBdr>
          <w:top w:val="nil"/>
          <w:left w:val="nil"/>
          <w:bottom w:val="nil"/>
          <w:right w:val="nil"/>
          <w:between w:val="nil"/>
          <w:bar w:val="nil"/>
        </w:pBdr>
        <w:spacing w:before="0" w:after="120"/>
      </w:pPr>
      <w:r>
        <w:t xml:space="preserve">Video-sharing websites such as YouTube were most frequently mentioned by children </w:t>
      </w:r>
      <w:r w:rsidR="000E0B31">
        <w:t xml:space="preserve">and young people </w:t>
      </w:r>
      <w:r>
        <w:t>as the source of violent and pornographic content online.</w:t>
      </w:r>
      <w:r>
        <w:rPr>
          <w:rStyle w:val="EndnoteReference"/>
          <w:rFonts w:eastAsia="MS Mincho"/>
        </w:rPr>
        <w:endnoteReference w:id="34"/>
      </w:r>
    </w:p>
    <w:p w14:paraId="798F5F30" w14:textId="7DE89F48" w:rsidR="00EF1FA8" w:rsidRDefault="007D1D09" w:rsidP="00EF1FA8">
      <w:pPr>
        <w:pStyle w:val="Body"/>
        <w:numPr>
          <w:ilvl w:val="0"/>
          <w:numId w:val="22"/>
        </w:numPr>
      </w:pPr>
      <w:r>
        <w:t>Q</w:t>
      </w:r>
      <w:r w:rsidR="00EF1FA8">
        <w:t xml:space="preserve">uotes from the children </w:t>
      </w:r>
      <w:r w:rsidR="0076650F">
        <w:t xml:space="preserve">and young people </w:t>
      </w:r>
      <w:r w:rsidR="00EF1FA8">
        <w:t xml:space="preserve">themselves </w:t>
      </w:r>
      <w:r>
        <w:t xml:space="preserve">revealed the diversity of </w:t>
      </w:r>
      <w:r w:rsidR="0076650F">
        <w:t>their</w:t>
      </w:r>
      <w:r>
        <w:t xml:space="preserve"> views</w:t>
      </w:r>
      <w:r w:rsidR="00EF1FA8">
        <w:t xml:space="preserve"> about the need to regulate online ac</w:t>
      </w:r>
      <w:r>
        <w:t>cess and reduce potential risks</w:t>
      </w:r>
      <w:r w:rsidR="00EF1FA8">
        <w:t xml:space="preserve">: </w:t>
      </w:r>
    </w:p>
    <w:p w14:paraId="0C43BD56" w14:textId="77777777" w:rsidR="00EF1FA8" w:rsidRDefault="00EF1FA8" w:rsidP="00EF1FA8">
      <w:pPr>
        <w:pStyle w:val="SubmissionNormal"/>
        <w:numPr>
          <w:ilvl w:val="0"/>
          <w:numId w:val="19"/>
        </w:numPr>
        <w:pBdr>
          <w:top w:val="nil"/>
          <w:left w:val="nil"/>
          <w:bottom w:val="nil"/>
          <w:right w:val="nil"/>
          <w:between w:val="nil"/>
          <w:bar w:val="nil"/>
        </w:pBdr>
        <w:spacing w:before="0" w:after="120"/>
        <w:ind w:left="1134" w:hanging="425"/>
      </w:pPr>
      <w:r>
        <w:t>‘</w:t>
      </w:r>
      <w:r w:rsidRPr="00EF5B34">
        <w:t>Ugly pictures, ugly videos that suggest sex really bother me.</w:t>
      </w:r>
      <w:r>
        <w:t>’</w:t>
      </w:r>
      <w:r w:rsidRPr="00EF5B34">
        <w:t xml:space="preserve"> (Boy, 11, Slovenia)</w:t>
      </w:r>
    </w:p>
    <w:p w14:paraId="1DC33A53" w14:textId="77777777" w:rsidR="00EF1FA8" w:rsidRDefault="00EF1FA8" w:rsidP="00EF1FA8">
      <w:pPr>
        <w:pStyle w:val="SubmissionNormal"/>
        <w:numPr>
          <w:ilvl w:val="0"/>
          <w:numId w:val="19"/>
        </w:numPr>
        <w:pBdr>
          <w:top w:val="nil"/>
          <w:left w:val="nil"/>
          <w:bottom w:val="nil"/>
          <w:right w:val="nil"/>
          <w:between w:val="nil"/>
          <w:bar w:val="nil"/>
        </w:pBdr>
        <w:spacing w:before="0" w:after="120"/>
        <w:ind w:left="1134" w:hanging="425"/>
      </w:pPr>
      <w:r>
        <w:t>‘I think that the fewer things a kid knows about the internet, the greater the risks.’ (Girl, 12, Greece)</w:t>
      </w:r>
    </w:p>
    <w:p w14:paraId="65A150D3" w14:textId="77777777" w:rsidR="00EF1FA8" w:rsidRDefault="00EF1FA8" w:rsidP="00EF1FA8">
      <w:pPr>
        <w:pStyle w:val="SubmissionNormal"/>
        <w:numPr>
          <w:ilvl w:val="0"/>
          <w:numId w:val="19"/>
        </w:numPr>
        <w:pBdr>
          <w:top w:val="nil"/>
          <w:left w:val="nil"/>
          <w:bottom w:val="nil"/>
          <w:right w:val="nil"/>
          <w:between w:val="nil"/>
          <w:bar w:val="nil"/>
        </w:pBdr>
        <w:spacing w:before="0" w:after="120"/>
        <w:ind w:left="1134" w:hanging="425"/>
      </w:pPr>
      <w:r>
        <w:t>‘In my opinion all sites are welcome; if you don’t like a certai</w:t>
      </w:r>
      <w:r w:rsidR="00A95186">
        <w:t>n site, you simply avoid it</w:t>
      </w:r>
      <w:r>
        <w:t>…’(Boy, 14, Romania)</w:t>
      </w:r>
    </w:p>
    <w:p w14:paraId="78A6A436" w14:textId="77777777" w:rsidR="00EF1FA8" w:rsidRDefault="00EF1FA8" w:rsidP="00EF1FA8">
      <w:pPr>
        <w:pStyle w:val="SubmissionNormal"/>
        <w:numPr>
          <w:ilvl w:val="0"/>
          <w:numId w:val="19"/>
        </w:numPr>
        <w:pBdr>
          <w:top w:val="nil"/>
          <w:left w:val="nil"/>
          <w:bottom w:val="nil"/>
          <w:right w:val="nil"/>
          <w:between w:val="nil"/>
          <w:bar w:val="nil"/>
        </w:pBdr>
        <w:spacing w:before="0" w:after="120"/>
        <w:ind w:left="1134" w:hanging="425"/>
      </w:pPr>
      <w:r>
        <w:t>‘It depends what age you are. If you are around 10 years then it might be gross to suddenly end up on a porn site. When you are a little older and end up in a porn site, you do not care so much and just cross it out instead.’ (Girl, 15, Norway)</w:t>
      </w:r>
    </w:p>
    <w:p w14:paraId="2BF6AB99" w14:textId="77777777" w:rsidR="00EF1FA8" w:rsidRDefault="00224590" w:rsidP="00EF1FA8">
      <w:pPr>
        <w:pStyle w:val="SubmissionNormal"/>
        <w:numPr>
          <w:ilvl w:val="0"/>
          <w:numId w:val="19"/>
        </w:numPr>
        <w:pBdr>
          <w:top w:val="nil"/>
          <w:left w:val="nil"/>
          <w:bottom w:val="nil"/>
          <w:right w:val="nil"/>
          <w:between w:val="nil"/>
          <w:bar w:val="nil"/>
        </w:pBdr>
        <w:spacing w:before="0" w:after="120"/>
        <w:ind w:left="1134" w:hanging="425"/>
      </w:pPr>
      <w:r>
        <w:t>'</w:t>
      </w:r>
      <w:r w:rsidR="00EF1FA8">
        <w:t>I think the European Union should use its power at computer level to block websites.’ (Boy, 15, Portugal)</w:t>
      </w:r>
    </w:p>
    <w:p w14:paraId="3121C95A" w14:textId="577D3418" w:rsidR="00EF1FA8" w:rsidRDefault="00EF1FA8" w:rsidP="00B74D02">
      <w:pPr>
        <w:pStyle w:val="SubmissionNormal"/>
        <w:numPr>
          <w:ilvl w:val="0"/>
          <w:numId w:val="22"/>
        </w:numPr>
        <w:pBdr>
          <w:top w:val="nil"/>
          <w:left w:val="nil"/>
          <w:bottom w:val="nil"/>
          <w:right w:val="nil"/>
          <w:between w:val="nil"/>
          <w:bar w:val="nil"/>
        </w:pBdr>
        <w:spacing w:before="0" w:after="120"/>
      </w:pPr>
      <w:r>
        <w:t>The findings of the European study point to the considerable range of online risks and to the importance of attending to children’s</w:t>
      </w:r>
      <w:r w:rsidR="00B74D02">
        <w:t xml:space="preserve"> and young people’s</w:t>
      </w:r>
      <w:r>
        <w:t xml:space="preserve"> </w:t>
      </w:r>
      <w:r w:rsidR="003E3BE9">
        <w:t>views and concerns</w:t>
      </w:r>
      <w:r>
        <w:t>.</w:t>
      </w:r>
      <w:r>
        <w:rPr>
          <w:rStyle w:val="EndnoteReference"/>
          <w:rFonts w:eastAsia="MS Mincho"/>
        </w:rPr>
        <w:endnoteReference w:id="35"/>
      </w:r>
      <w:r w:rsidR="00917CDF">
        <w:t xml:space="preserve"> </w:t>
      </w:r>
      <w:r w:rsidR="00967900">
        <w:t>The authors of the</w:t>
      </w:r>
      <w:r>
        <w:t xml:space="preserve"> study </w:t>
      </w:r>
      <w:r w:rsidR="00E67C9A">
        <w:t>concluded</w:t>
      </w:r>
      <w:r>
        <w:t xml:space="preserve"> that:</w:t>
      </w:r>
    </w:p>
    <w:p w14:paraId="78364115" w14:textId="6DFF902E" w:rsidR="00EF1FA8" w:rsidRPr="005E4D17" w:rsidRDefault="00693778" w:rsidP="00EF1FA8">
      <w:pPr>
        <w:pStyle w:val="SubmissionNormal"/>
        <w:numPr>
          <w:ilvl w:val="0"/>
          <w:numId w:val="0"/>
        </w:numPr>
        <w:ind w:left="1418"/>
        <w:rPr>
          <w:sz w:val="22"/>
          <w:szCs w:val="22"/>
        </w:rPr>
      </w:pPr>
      <w:r>
        <w:rPr>
          <w:sz w:val="22"/>
          <w:szCs w:val="22"/>
        </w:rPr>
        <w:t>…</w:t>
      </w:r>
      <w:r w:rsidR="00EF1FA8" w:rsidRPr="005E4D17">
        <w:rPr>
          <w:sz w:val="22"/>
          <w:szCs w:val="22"/>
        </w:rPr>
        <w:t xml:space="preserve">one reason children explore online is precisely to explore experiences often denied to them offline. This takes them into often ambiguous situations characterised </w:t>
      </w:r>
      <w:r w:rsidR="00025D40">
        <w:rPr>
          <w:sz w:val="22"/>
          <w:szCs w:val="22"/>
        </w:rPr>
        <w:t>by…</w:t>
      </w:r>
      <w:r w:rsidR="00EF1FA8" w:rsidRPr="005E4D17">
        <w:rPr>
          <w:sz w:val="22"/>
          <w:szCs w:val="22"/>
        </w:rPr>
        <w:t>‘collapsed contexts’, in which risky content is interwoven into a youthful peer culture of sharing and daring as links are passed from child to child, discussed ritualistically the following day, and used in social judgements about group belonging or exclusion.</w:t>
      </w:r>
      <w:r w:rsidR="00EF1FA8">
        <w:rPr>
          <w:rStyle w:val="EndnoteReference"/>
          <w:rFonts w:eastAsia="MS Mincho"/>
          <w:sz w:val="22"/>
          <w:szCs w:val="22"/>
        </w:rPr>
        <w:endnoteReference w:id="36"/>
      </w:r>
    </w:p>
    <w:p w14:paraId="546BB618" w14:textId="004B3897" w:rsidR="00EF1FA8" w:rsidRDefault="00EF1FA8" w:rsidP="00EF1FA8">
      <w:pPr>
        <w:pStyle w:val="SubmissionNormal"/>
        <w:numPr>
          <w:ilvl w:val="0"/>
          <w:numId w:val="22"/>
        </w:numPr>
        <w:pBdr>
          <w:top w:val="nil"/>
          <w:left w:val="nil"/>
          <w:bottom w:val="nil"/>
          <w:right w:val="nil"/>
          <w:between w:val="nil"/>
          <w:bar w:val="nil"/>
        </w:pBdr>
        <w:spacing w:before="0" w:after="120"/>
      </w:pPr>
      <w:r>
        <w:t>The authors recommended that ‘future research attends carefully to the voices of children and young people in relation to online risk’, as</w:t>
      </w:r>
      <w:r w:rsidR="00693778">
        <w:t>:</w:t>
      </w:r>
      <w:r>
        <w:t xml:space="preserve"> </w:t>
      </w:r>
    </w:p>
    <w:p w14:paraId="43358D1C" w14:textId="77777777" w:rsidR="00EF1FA8" w:rsidRPr="00743469" w:rsidRDefault="00EF1FA8" w:rsidP="00EF1FA8">
      <w:pPr>
        <w:pStyle w:val="SubmissionNormal"/>
        <w:numPr>
          <w:ilvl w:val="0"/>
          <w:numId w:val="0"/>
        </w:numPr>
        <w:ind w:left="1418"/>
        <w:rPr>
          <w:sz w:val="22"/>
          <w:szCs w:val="22"/>
        </w:rPr>
      </w:pPr>
      <w:r w:rsidRPr="00743469">
        <w:rPr>
          <w:sz w:val="22"/>
          <w:szCs w:val="22"/>
        </w:rPr>
        <w:t>The combination of unfamiliar technological affordances, uncertain online norms and offline peer pressure makes it hazardous to judge children’s intentions or responsibility in simple terms, and protective interventions from adults require care…children should be consulted regarding possible solutions…for their views in this regard also cannot be taken for granted.</w:t>
      </w:r>
      <w:r>
        <w:rPr>
          <w:rStyle w:val="EndnoteReference"/>
          <w:rFonts w:eastAsia="MS Mincho"/>
          <w:sz w:val="22"/>
          <w:szCs w:val="22"/>
        </w:rPr>
        <w:endnoteReference w:id="37"/>
      </w:r>
    </w:p>
    <w:p w14:paraId="78735591" w14:textId="77777777" w:rsidR="00EF1FA8" w:rsidRPr="00EF1FA8" w:rsidRDefault="00EF1FA8" w:rsidP="00EF1FA8">
      <w:pPr>
        <w:pStyle w:val="Heading2"/>
        <w:rPr>
          <w:lang w:val="en-US"/>
        </w:rPr>
      </w:pPr>
      <w:bookmarkStart w:id="35" w:name="_Toc445720188"/>
      <w:bookmarkStart w:id="36" w:name="_Toc447101699"/>
      <w:r w:rsidRPr="00EF1FA8">
        <w:rPr>
          <w:lang w:val="en-US"/>
        </w:rPr>
        <w:lastRenderedPageBreak/>
        <w:t>Impact on attitudes and behaviours</w:t>
      </w:r>
      <w:bookmarkEnd w:id="35"/>
      <w:bookmarkEnd w:id="36"/>
    </w:p>
    <w:p w14:paraId="7BA6992D" w14:textId="06E9645E" w:rsidR="00EF1FA8" w:rsidRDefault="00EF1FA8" w:rsidP="00EF1FA8">
      <w:pPr>
        <w:pStyle w:val="SubmissionNormal"/>
        <w:numPr>
          <w:ilvl w:val="0"/>
          <w:numId w:val="22"/>
        </w:numPr>
        <w:pBdr>
          <w:top w:val="nil"/>
          <w:left w:val="nil"/>
          <w:bottom w:val="nil"/>
          <w:right w:val="nil"/>
          <w:between w:val="nil"/>
          <w:bar w:val="nil"/>
        </w:pBdr>
        <w:spacing w:before="0" w:after="120"/>
      </w:pPr>
      <w:r>
        <w:t xml:space="preserve">While pornography studies that investigate the impact on children </w:t>
      </w:r>
      <w:r w:rsidR="00F36EAB">
        <w:t xml:space="preserve">and young people </w:t>
      </w:r>
      <w:r>
        <w:t>are a relatively new phenomenon, research is emerging that children’s</w:t>
      </w:r>
      <w:r w:rsidR="00961708">
        <w:t xml:space="preserve"> and young people’s</w:t>
      </w:r>
      <w:r>
        <w:t xml:space="preserve"> attitudes and behaviour may be influenced be viewing pornography.</w:t>
      </w:r>
    </w:p>
    <w:p w14:paraId="414F5D24" w14:textId="2F82BA96" w:rsidR="00EF1FA8" w:rsidRDefault="00EF1FA8" w:rsidP="00EF1FA8">
      <w:pPr>
        <w:pStyle w:val="SubmissionNormal"/>
        <w:numPr>
          <w:ilvl w:val="0"/>
          <w:numId w:val="22"/>
        </w:numPr>
        <w:pBdr>
          <w:top w:val="nil"/>
          <w:left w:val="nil"/>
          <w:bottom w:val="nil"/>
          <w:right w:val="nil"/>
          <w:between w:val="nil"/>
          <w:bar w:val="nil"/>
        </w:pBdr>
        <w:spacing w:before="0" w:after="120"/>
      </w:pPr>
      <w:r>
        <w:t>The global lit</w:t>
      </w:r>
      <w:r w:rsidR="000C78DC">
        <w:t xml:space="preserve">erature review conducted by </w:t>
      </w:r>
      <w:r>
        <w:t>England</w:t>
      </w:r>
      <w:r w:rsidR="000C78DC">
        <w:t>’s</w:t>
      </w:r>
      <w:r>
        <w:t xml:space="preserve"> Children’s Commissioner concluded that access and exposure to pornography affects children</w:t>
      </w:r>
      <w:r w:rsidR="000310E9">
        <w:t>’s</w:t>
      </w:r>
      <w:r>
        <w:t xml:space="preserve"> and young people’s sexual beliefs. For example, exposure to pornography has been linked to </w:t>
      </w:r>
      <w:r w:rsidR="00F37617">
        <w:t>unrealistic attitudes about sex,</w:t>
      </w:r>
      <w:r>
        <w:t xml:space="preserve"> maladaptive attitudes about relationships and more sexually permissive attitudes.</w:t>
      </w:r>
      <w:r>
        <w:rPr>
          <w:rStyle w:val="EndnoteReference"/>
          <w:rFonts w:eastAsia="MS Mincho"/>
        </w:rPr>
        <w:endnoteReference w:id="38"/>
      </w:r>
      <w:r>
        <w:t xml:space="preserve"> The review found there was a general consensus in the literature that children and young people learn from and may change their behaviour due to exposure and access to pornography.</w:t>
      </w:r>
      <w:r>
        <w:rPr>
          <w:rStyle w:val="EndnoteReference"/>
          <w:rFonts w:eastAsia="MS Mincho"/>
        </w:rPr>
        <w:endnoteReference w:id="39"/>
      </w:r>
    </w:p>
    <w:p w14:paraId="1CB5096B" w14:textId="453CE68E" w:rsidR="00EF1FA8" w:rsidRDefault="00EF1FA8" w:rsidP="00EF1FA8">
      <w:pPr>
        <w:pStyle w:val="SubmissionNormal"/>
        <w:numPr>
          <w:ilvl w:val="0"/>
          <w:numId w:val="22"/>
        </w:numPr>
        <w:pBdr>
          <w:top w:val="nil"/>
          <w:left w:val="nil"/>
          <w:bottom w:val="nil"/>
          <w:right w:val="nil"/>
          <w:between w:val="nil"/>
          <w:bar w:val="nil"/>
        </w:pBdr>
        <w:spacing w:before="0" w:after="120"/>
      </w:pPr>
      <w:r>
        <w:t xml:space="preserve">The review also concluded that there was evidence that viewing pornography impacted on attitudes about gender roles, and has been linked to beliefs that women are sex objects, </w:t>
      </w:r>
      <w:r w:rsidR="00F37617">
        <w:t xml:space="preserve">and </w:t>
      </w:r>
      <w:r>
        <w:t>that men should be dominant and women submissive.</w:t>
      </w:r>
      <w:r>
        <w:rPr>
          <w:rStyle w:val="EndnoteReference"/>
          <w:rFonts w:eastAsia="MS Mincho"/>
        </w:rPr>
        <w:endnoteReference w:id="40"/>
      </w:r>
    </w:p>
    <w:p w14:paraId="68371174" w14:textId="4276036F" w:rsidR="00EF1FA8" w:rsidRDefault="00265BC9" w:rsidP="00EF1FA8">
      <w:pPr>
        <w:pStyle w:val="SubmissionNormal"/>
        <w:numPr>
          <w:ilvl w:val="0"/>
          <w:numId w:val="22"/>
        </w:numPr>
        <w:pBdr>
          <w:top w:val="nil"/>
          <w:left w:val="nil"/>
          <w:bottom w:val="nil"/>
          <w:right w:val="nil"/>
          <w:between w:val="nil"/>
          <w:bar w:val="nil"/>
        </w:pBdr>
        <w:spacing w:before="0" w:after="120"/>
      </w:pPr>
      <w:r>
        <w:t>The English</w:t>
      </w:r>
      <w:r w:rsidR="00EF1FA8">
        <w:t xml:space="preserve"> review also found that the</w:t>
      </w:r>
      <w:r w:rsidR="00EB5BE4">
        <w:t xml:space="preserve">re are links between children’s and young people’s </w:t>
      </w:r>
      <w:r w:rsidR="00EF1FA8">
        <w:t xml:space="preserve">access and exposure to pornography and their </w:t>
      </w:r>
      <w:r w:rsidR="00EF1FA8" w:rsidRPr="004324AB">
        <w:rPr>
          <w:lang w:val="fr-FR"/>
        </w:rPr>
        <w:t xml:space="preserve">engagement in </w:t>
      </w:r>
      <w:r w:rsidR="00EB5BE4">
        <w:t>‘risky behaviours’</w:t>
      </w:r>
      <w:r w:rsidR="00EF1FA8">
        <w:t xml:space="preserve"> (defined as including engagement in sexual practices from a younger age, sexual behaviours such as unprotected anal or oral sex, and the involvement of drugs and alcohol in sex).</w:t>
      </w:r>
      <w:r w:rsidR="00EF1FA8">
        <w:rPr>
          <w:rStyle w:val="EndnoteReference"/>
          <w:rFonts w:eastAsia="MS Mincho"/>
        </w:rPr>
        <w:endnoteReference w:id="41"/>
      </w:r>
      <w:r w:rsidR="00EF1FA8">
        <w:t xml:space="preserve"> </w:t>
      </w:r>
    </w:p>
    <w:p w14:paraId="23A58933" w14:textId="77777777" w:rsidR="00EF1FA8" w:rsidRDefault="00EF1FA8" w:rsidP="00EF1FA8">
      <w:pPr>
        <w:pStyle w:val="SubmissionNormal"/>
        <w:numPr>
          <w:ilvl w:val="0"/>
          <w:numId w:val="22"/>
        </w:numPr>
        <w:pBdr>
          <w:top w:val="nil"/>
          <w:left w:val="nil"/>
          <w:bottom w:val="nil"/>
          <w:right w:val="nil"/>
          <w:between w:val="nil"/>
          <w:bar w:val="nil"/>
        </w:pBdr>
        <w:spacing w:before="0" w:after="120"/>
      </w:pPr>
      <w:r>
        <w:t>However, the authors of the review</w:t>
      </w:r>
      <w:r w:rsidR="00B8400A">
        <w:t xml:space="preserve"> also</w:t>
      </w:r>
      <w:r>
        <w:t xml:space="preserve"> found that the majority of the research did not establish direct </w:t>
      </w:r>
      <w:r w:rsidRPr="00D1241B">
        <w:t>causal</w:t>
      </w:r>
      <w:r>
        <w:t xml:space="preserve"> links between viewing pornography and engaging in ‘risky’ sexual behaviour</w:t>
      </w:r>
      <w:r w:rsidRPr="008D29A1">
        <w:t>, but rather correlation</w:t>
      </w:r>
      <w:r w:rsidR="00B8400A">
        <w:t xml:space="preserve"> only</w:t>
      </w:r>
      <w:r w:rsidRPr="008D29A1">
        <w:t>.</w:t>
      </w:r>
      <w:r w:rsidRPr="008D29A1">
        <w:rPr>
          <w:rStyle w:val="EndnoteReference"/>
          <w:rFonts w:eastAsia="MS Mincho"/>
        </w:rPr>
        <w:endnoteReference w:id="42"/>
      </w:r>
      <w:r w:rsidRPr="008D29A1">
        <w:t xml:space="preserve"> The Deputy Children’s Commissioner for England</w:t>
      </w:r>
      <w:r w:rsidR="00B8400A">
        <w:t xml:space="preserve"> </w:t>
      </w:r>
      <w:r>
        <w:t>concluded</w:t>
      </w:r>
      <w:r w:rsidRPr="008D29A1">
        <w:t xml:space="preserve"> that ‘</w:t>
      </w:r>
      <w:r w:rsidRPr="008D29A1">
        <w:rPr>
          <w:rFonts w:ascii="HelveticaNeue-Light" w:hAnsi="HelveticaNeue-Light" w:cs="HelveticaNeue-Light"/>
        </w:rPr>
        <w:t>much more work needs to be done before definitive statements can be made about causal links between the use</w:t>
      </w:r>
      <w:r w:rsidRPr="008D29A1">
        <w:t xml:space="preserve"> </w:t>
      </w:r>
      <w:r w:rsidRPr="008D29A1">
        <w:rPr>
          <w:rFonts w:ascii="HelveticaNeue-Light" w:hAnsi="HelveticaNeue-Light" w:cs="HelveticaNeue-Light"/>
        </w:rPr>
        <w:t>of pornography and perpetrators going on to commit sexual abuse or exploitation.’</w:t>
      </w:r>
      <w:r w:rsidRPr="008D29A1">
        <w:rPr>
          <w:rStyle w:val="EndnoteReference"/>
          <w:rFonts w:ascii="HelveticaNeue-Light" w:eastAsia="MS Mincho" w:hAnsi="HelveticaNeue-Light" w:cs="HelveticaNeue-Light"/>
        </w:rPr>
        <w:endnoteReference w:id="43"/>
      </w:r>
    </w:p>
    <w:p w14:paraId="208D3F3F" w14:textId="45290D5D" w:rsidR="00EF1FA8" w:rsidRDefault="00EF1FA8" w:rsidP="00EF1FA8">
      <w:pPr>
        <w:pStyle w:val="SubmissionNormal"/>
        <w:numPr>
          <w:ilvl w:val="0"/>
          <w:numId w:val="22"/>
        </w:numPr>
        <w:pBdr>
          <w:top w:val="nil"/>
          <w:left w:val="nil"/>
          <w:bottom w:val="nil"/>
          <w:right w:val="nil"/>
          <w:between w:val="nil"/>
          <w:bar w:val="nil"/>
        </w:pBdr>
        <w:spacing w:before="0" w:after="120"/>
      </w:pPr>
      <w:r>
        <w:t xml:space="preserve">Other studies have noted the </w:t>
      </w:r>
      <w:r w:rsidR="00961676">
        <w:t>limited</w:t>
      </w:r>
      <w:r>
        <w:t xml:space="preserve"> empirical evidence that viewing pornography causes children</w:t>
      </w:r>
      <w:r w:rsidR="00236CFC">
        <w:t xml:space="preserve"> and young people</w:t>
      </w:r>
      <w:r>
        <w:t xml:space="preserve"> to engage in coercive, aggressive or violent</w:t>
      </w:r>
      <w:r w:rsidR="007477F1">
        <w:t xml:space="preserve"> sexual</w:t>
      </w:r>
      <w:r>
        <w:t xml:space="preserve"> behaviour.</w:t>
      </w:r>
      <w:r>
        <w:rPr>
          <w:rStyle w:val="EndnoteReference"/>
          <w:rFonts w:eastAsia="MS Mincho"/>
        </w:rPr>
        <w:endnoteReference w:id="44"/>
      </w:r>
      <w:r>
        <w:t xml:space="preserve"> </w:t>
      </w:r>
    </w:p>
    <w:p w14:paraId="0D226EDC" w14:textId="1EBD89EE" w:rsidR="004C71BF" w:rsidRPr="004C71BF" w:rsidRDefault="004C71BF" w:rsidP="004C71BF">
      <w:pPr>
        <w:pStyle w:val="SubmissionNormal"/>
        <w:numPr>
          <w:ilvl w:val="0"/>
          <w:numId w:val="0"/>
        </w:numPr>
        <w:spacing w:before="0" w:after="120"/>
        <w:rPr>
          <w:b/>
        </w:rPr>
      </w:pPr>
      <w:bookmarkStart w:id="37" w:name="_Toc445720189"/>
      <w:r w:rsidRPr="00601A63">
        <w:rPr>
          <w:b/>
        </w:rPr>
        <w:t xml:space="preserve">Recommendation 1: </w:t>
      </w:r>
      <w:r w:rsidR="00BC1B01" w:rsidRPr="00BC1B01">
        <w:rPr>
          <w:b/>
        </w:rPr>
        <w:t>The Australian Government commission research about the experience of children and young people being exposed to or accessing pornography online.</w:t>
      </w:r>
      <w:r w:rsidR="00BC1B01">
        <w:rPr>
          <w:b/>
        </w:rPr>
        <w:t xml:space="preserve"> </w:t>
      </w:r>
      <w:r w:rsidRPr="00601A63">
        <w:rPr>
          <w:b/>
        </w:rPr>
        <w:t>This research should include: the impa</w:t>
      </w:r>
      <w:r w:rsidR="001B2407">
        <w:rPr>
          <w:b/>
        </w:rPr>
        <w:t>cts of such content,</w:t>
      </w:r>
      <w:r w:rsidR="00601A63">
        <w:rPr>
          <w:b/>
        </w:rPr>
        <w:t xml:space="preserve"> </w:t>
      </w:r>
      <w:r w:rsidRPr="00601A63">
        <w:rPr>
          <w:b/>
        </w:rPr>
        <w:t>options to limit exposure to such conten</w:t>
      </w:r>
      <w:r w:rsidR="001B2407">
        <w:rPr>
          <w:b/>
        </w:rPr>
        <w:t xml:space="preserve">t by children and young people, </w:t>
      </w:r>
      <w:r w:rsidRPr="00601A63">
        <w:rPr>
          <w:b/>
        </w:rPr>
        <w:t>and the most effective ways to support children and young people to manage the risks associated with exposure to pornographic content.</w:t>
      </w:r>
      <w:r w:rsidRPr="004C71BF">
        <w:rPr>
          <w:b/>
        </w:rPr>
        <w:t xml:space="preserve">  </w:t>
      </w:r>
    </w:p>
    <w:p w14:paraId="177C17B2" w14:textId="77777777" w:rsidR="00EF1FA8" w:rsidRPr="00591F45" w:rsidRDefault="00961676" w:rsidP="00EF1FA8">
      <w:pPr>
        <w:pStyle w:val="Heading"/>
        <w:numPr>
          <w:ilvl w:val="0"/>
          <w:numId w:val="35"/>
        </w:numPr>
      </w:pPr>
      <w:bookmarkStart w:id="38" w:name="_Toc447101700"/>
      <w:r w:rsidRPr="00591F45">
        <w:rPr>
          <w:lang w:val="en-US"/>
        </w:rPr>
        <w:t>Approaches to h</w:t>
      </w:r>
      <w:r w:rsidR="00EF1FA8" w:rsidRPr="00591F45">
        <w:rPr>
          <w:lang w:val="en-US"/>
        </w:rPr>
        <w:t>arm minimisation</w:t>
      </w:r>
      <w:bookmarkEnd w:id="37"/>
      <w:bookmarkEnd w:id="38"/>
    </w:p>
    <w:p w14:paraId="0EA5C14A" w14:textId="77777777" w:rsidR="00EF1FA8" w:rsidRPr="0086420C" w:rsidRDefault="00EF1FA8" w:rsidP="00EF1FA8">
      <w:pPr>
        <w:pStyle w:val="ListParagraph"/>
        <w:keepNext/>
        <w:keepLines/>
        <w:numPr>
          <w:ilvl w:val="0"/>
          <w:numId w:val="21"/>
        </w:numPr>
        <w:tabs>
          <w:tab w:val="left" w:pos="851"/>
        </w:tabs>
        <w:spacing w:before="360" w:after="240"/>
        <w:contextualSpacing w:val="0"/>
        <w:outlineLvl w:val="1"/>
        <w:rPr>
          <w:rFonts w:ascii="Arial" w:hAnsi="Arial" w:cs="Arial Unicode MS"/>
          <w:b/>
          <w:bCs/>
          <w:i/>
          <w:iCs/>
          <w:vanish/>
          <w:color w:val="000000"/>
          <w:sz w:val="28"/>
          <w:szCs w:val="28"/>
          <w:u w:color="000000"/>
          <w:lang w:eastAsia="en-AU"/>
        </w:rPr>
      </w:pPr>
      <w:bookmarkStart w:id="39" w:name="_Toc445721319"/>
      <w:bookmarkStart w:id="40" w:name="_Toc445724456"/>
      <w:bookmarkStart w:id="41" w:name="_Toc447101701"/>
      <w:bookmarkEnd w:id="39"/>
      <w:bookmarkEnd w:id="40"/>
      <w:bookmarkEnd w:id="41"/>
    </w:p>
    <w:p w14:paraId="07F4DB26" w14:textId="77777777" w:rsidR="00EF1FA8" w:rsidRPr="0086420C" w:rsidRDefault="00EF1FA8" w:rsidP="00EF1FA8">
      <w:pPr>
        <w:pStyle w:val="ListParagraph"/>
        <w:keepNext/>
        <w:keepLines/>
        <w:numPr>
          <w:ilvl w:val="0"/>
          <w:numId w:val="21"/>
        </w:numPr>
        <w:tabs>
          <w:tab w:val="left" w:pos="851"/>
        </w:tabs>
        <w:spacing w:before="360" w:after="240"/>
        <w:contextualSpacing w:val="0"/>
        <w:outlineLvl w:val="1"/>
        <w:rPr>
          <w:rFonts w:ascii="Arial" w:hAnsi="Arial" w:cs="Arial Unicode MS"/>
          <w:b/>
          <w:bCs/>
          <w:i/>
          <w:iCs/>
          <w:vanish/>
          <w:color w:val="000000"/>
          <w:sz w:val="28"/>
          <w:szCs w:val="28"/>
          <w:u w:color="000000"/>
          <w:lang w:eastAsia="en-AU"/>
        </w:rPr>
      </w:pPr>
      <w:bookmarkStart w:id="42" w:name="_Toc445721320"/>
      <w:bookmarkStart w:id="43" w:name="_Toc445724457"/>
      <w:bookmarkStart w:id="44" w:name="_Toc447101702"/>
      <w:bookmarkEnd w:id="42"/>
      <w:bookmarkEnd w:id="43"/>
      <w:bookmarkEnd w:id="44"/>
    </w:p>
    <w:p w14:paraId="5787FB2C" w14:textId="77777777" w:rsidR="00EF1FA8" w:rsidRPr="0086420C" w:rsidRDefault="00EF1FA8" w:rsidP="00EF1FA8">
      <w:pPr>
        <w:pStyle w:val="ListParagraph"/>
        <w:keepNext/>
        <w:keepLines/>
        <w:numPr>
          <w:ilvl w:val="0"/>
          <w:numId w:val="21"/>
        </w:numPr>
        <w:tabs>
          <w:tab w:val="left" w:pos="851"/>
        </w:tabs>
        <w:spacing w:before="360" w:after="240"/>
        <w:contextualSpacing w:val="0"/>
        <w:outlineLvl w:val="1"/>
        <w:rPr>
          <w:rFonts w:ascii="Arial" w:hAnsi="Arial" w:cs="Arial Unicode MS"/>
          <w:b/>
          <w:bCs/>
          <w:i/>
          <w:iCs/>
          <w:vanish/>
          <w:color w:val="000000"/>
          <w:sz w:val="28"/>
          <w:szCs w:val="28"/>
          <w:u w:color="000000"/>
          <w:lang w:eastAsia="en-AU"/>
        </w:rPr>
      </w:pPr>
      <w:bookmarkStart w:id="45" w:name="_Toc445721321"/>
      <w:bookmarkStart w:id="46" w:name="_Toc445724458"/>
      <w:bookmarkStart w:id="47" w:name="_Toc447101703"/>
      <w:bookmarkEnd w:id="45"/>
      <w:bookmarkEnd w:id="46"/>
      <w:bookmarkEnd w:id="47"/>
    </w:p>
    <w:p w14:paraId="16BBB3EF" w14:textId="77777777" w:rsidR="00EF1FA8" w:rsidRPr="0086420C" w:rsidRDefault="00EF1FA8" w:rsidP="00EF1FA8">
      <w:pPr>
        <w:pStyle w:val="ListParagraph"/>
        <w:keepNext/>
        <w:keepLines/>
        <w:numPr>
          <w:ilvl w:val="0"/>
          <w:numId w:val="21"/>
        </w:numPr>
        <w:tabs>
          <w:tab w:val="left" w:pos="851"/>
        </w:tabs>
        <w:spacing w:before="360" w:after="240"/>
        <w:contextualSpacing w:val="0"/>
        <w:outlineLvl w:val="1"/>
        <w:rPr>
          <w:rFonts w:ascii="Arial" w:hAnsi="Arial" w:cs="Arial Unicode MS"/>
          <w:b/>
          <w:bCs/>
          <w:i/>
          <w:iCs/>
          <w:vanish/>
          <w:color w:val="000000"/>
          <w:sz w:val="28"/>
          <w:szCs w:val="28"/>
          <w:u w:color="000000"/>
          <w:lang w:eastAsia="en-AU"/>
        </w:rPr>
      </w:pPr>
      <w:bookmarkStart w:id="48" w:name="_Toc445721322"/>
      <w:bookmarkStart w:id="49" w:name="_Toc445724459"/>
      <w:bookmarkStart w:id="50" w:name="_Toc447101704"/>
      <w:bookmarkEnd w:id="48"/>
      <w:bookmarkEnd w:id="49"/>
      <w:bookmarkEnd w:id="50"/>
    </w:p>
    <w:p w14:paraId="39F28F59" w14:textId="77777777" w:rsidR="00EF1FA8" w:rsidRPr="0086420C" w:rsidRDefault="00EF1FA8" w:rsidP="00EF1FA8">
      <w:pPr>
        <w:pStyle w:val="ListParagraph"/>
        <w:keepNext/>
        <w:keepLines/>
        <w:numPr>
          <w:ilvl w:val="0"/>
          <w:numId w:val="21"/>
        </w:numPr>
        <w:tabs>
          <w:tab w:val="left" w:pos="851"/>
        </w:tabs>
        <w:spacing w:before="360" w:after="240"/>
        <w:contextualSpacing w:val="0"/>
        <w:outlineLvl w:val="1"/>
        <w:rPr>
          <w:rFonts w:ascii="Arial" w:hAnsi="Arial" w:cs="Arial Unicode MS"/>
          <w:b/>
          <w:bCs/>
          <w:i/>
          <w:iCs/>
          <w:vanish/>
          <w:color w:val="000000"/>
          <w:sz w:val="28"/>
          <w:szCs w:val="28"/>
          <w:u w:color="000000"/>
          <w:lang w:eastAsia="en-AU"/>
        </w:rPr>
      </w:pPr>
      <w:bookmarkStart w:id="51" w:name="_Toc445721323"/>
      <w:bookmarkStart w:id="52" w:name="_Toc445724460"/>
      <w:bookmarkStart w:id="53" w:name="_Toc447101705"/>
      <w:bookmarkEnd w:id="51"/>
      <w:bookmarkEnd w:id="52"/>
      <w:bookmarkEnd w:id="53"/>
    </w:p>
    <w:p w14:paraId="297213AA" w14:textId="77777777" w:rsidR="00EF1FA8" w:rsidRPr="00EF1FA8" w:rsidRDefault="00EF1FA8" w:rsidP="00EF1FA8">
      <w:pPr>
        <w:pStyle w:val="ListParagraph"/>
        <w:keepNext/>
        <w:keepLines/>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360" w:after="240"/>
        <w:contextualSpacing w:val="0"/>
        <w:outlineLvl w:val="0"/>
        <w:rPr>
          <w:rFonts w:ascii="Arial" w:eastAsia="MS Mincho" w:hAnsi="Arial"/>
          <w:b/>
          <w:bCs/>
          <w:vanish/>
          <w:sz w:val="28"/>
          <w:szCs w:val="28"/>
          <w:bdr w:val="none" w:sz="0" w:space="0" w:color="auto"/>
          <w:lang w:eastAsia="en-AU"/>
        </w:rPr>
      </w:pPr>
      <w:bookmarkStart w:id="54" w:name="_Toc445721324"/>
      <w:bookmarkStart w:id="55" w:name="_Toc445724461"/>
      <w:bookmarkStart w:id="56" w:name="_Toc447101706"/>
      <w:bookmarkStart w:id="57" w:name="_Toc445720190"/>
      <w:bookmarkEnd w:id="54"/>
      <w:bookmarkEnd w:id="55"/>
      <w:bookmarkEnd w:id="56"/>
    </w:p>
    <w:p w14:paraId="18691B6E" w14:textId="77777777" w:rsidR="00EF1FA8" w:rsidRDefault="00EF1FA8" w:rsidP="00EF1FA8">
      <w:pPr>
        <w:pStyle w:val="Heading2"/>
      </w:pPr>
      <w:r>
        <w:rPr>
          <w:lang w:val="en-US"/>
        </w:rPr>
        <w:t xml:space="preserve"> </w:t>
      </w:r>
      <w:bookmarkStart w:id="58" w:name="_Toc447101707"/>
      <w:r w:rsidR="00961676">
        <w:rPr>
          <w:lang w:val="en-US"/>
        </w:rPr>
        <w:t>C</w:t>
      </w:r>
      <w:r>
        <w:rPr>
          <w:lang w:val="en-US"/>
        </w:rPr>
        <w:t>urrent safeguards in the Australian context</w:t>
      </w:r>
      <w:bookmarkEnd w:id="57"/>
      <w:bookmarkEnd w:id="58"/>
    </w:p>
    <w:p w14:paraId="134E070E" w14:textId="77777777" w:rsidR="00EF1FA8" w:rsidRDefault="00EF1FA8" w:rsidP="00EF1FA8">
      <w:pPr>
        <w:pStyle w:val="SubmissionNormal"/>
        <w:numPr>
          <w:ilvl w:val="0"/>
          <w:numId w:val="22"/>
        </w:numPr>
        <w:pBdr>
          <w:top w:val="nil"/>
          <w:left w:val="nil"/>
          <w:bottom w:val="nil"/>
          <w:right w:val="nil"/>
          <w:between w:val="nil"/>
          <w:bar w:val="nil"/>
        </w:pBdr>
        <w:spacing w:before="0" w:after="120"/>
      </w:pPr>
      <w:r>
        <w:t xml:space="preserve">Australia has a range of existing arrangements for removal of illegal or offensive online content and the provision of ‘opt in’ Internet filters. </w:t>
      </w:r>
    </w:p>
    <w:p w14:paraId="3371717D" w14:textId="6A4D2912" w:rsidR="00EF1FA8" w:rsidRPr="00033DE9" w:rsidRDefault="00171770" w:rsidP="00EF1FA8">
      <w:pPr>
        <w:pStyle w:val="SubmissionNormal"/>
        <w:numPr>
          <w:ilvl w:val="0"/>
          <w:numId w:val="22"/>
        </w:numPr>
        <w:pBdr>
          <w:top w:val="nil"/>
          <w:left w:val="nil"/>
          <w:bottom w:val="nil"/>
          <w:right w:val="nil"/>
          <w:between w:val="nil"/>
          <w:bar w:val="nil"/>
        </w:pBdr>
        <w:spacing w:before="0" w:after="120"/>
      </w:pPr>
      <w:r>
        <w:lastRenderedPageBreak/>
        <w:t>In March 2015 the O</w:t>
      </w:r>
      <w:r w:rsidR="00EF1FA8">
        <w:t>ffice of the Children’s eSafety Commissioner was established.</w:t>
      </w:r>
      <w:r w:rsidR="00EF1FA8">
        <w:rPr>
          <w:rStyle w:val="EndnoteReference"/>
          <w:rFonts w:eastAsia="MS Mincho"/>
        </w:rPr>
        <w:endnoteReference w:id="45"/>
      </w:r>
      <w:r w:rsidR="00EF1FA8">
        <w:t xml:space="preserve"> The Children’s eSafety Commissioner manages the removal of </w:t>
      </w:r>
      <w:r w:rsidR="00FD2D32">
        <w:t>offensive or</w:t>
      </w:r>
      <w:r w:rsidR="00EF1FA8">
        <w:t xml:space="preserve"> illegal content under the Online Content Scheme set up </w:t>
      </w:r>
      <w:r w:rsidR="00136AEA">
        <w:t xml:space="preserve">under </w:t>
      </w:r>
      <w:r w:rsidR="00EF1FA8">
        <w:t xml:space="preserve">the </w:t>
      </w:r>
      <w:r w:rsidR="00EF1FA8" w:rsidRPr="00033DE9">
        <w:rPr>
          <w:rFonts w:cs="Arial"/>
          <w:i/>
          <w:iCs/>
        </w:rPr>
        <w:t xml:space="preserve">Broadcasting Services Act 1992 </w:t>
      </w:r>
      <w:r w:rsidR="00EF1FA8" w:rsidRPr="00033DE9">
        <w:rPr>
          <w:rFonts w:cs="Arial"/>
        </w:rPr>
        <w:t>(Cth)</w:t>
      </w:r>
      <w:r w:rsidR="00EF1FA8">
        <w:rPr>
          <w:rFonts w:cs="Arial"/>
        </w:rPr>
        <w:t xml:space="preserve"> (see schedules 5 and 7).</w:t>
      </w:r>
    </w:p>
    <w:p w14:paraId="221B943D" w14:textId="381E9FA0" w:rsidR="00171770" w:rsidRPr="00171770" w:rsidRDefault="00EF1FA8" w:rsidP="00EF1FA8">
      <w:pPr>
        <w:pStyle w:val="SubmissionNormal"/>
        <w:numPr>
          <w:ilvl w:val="0"/>
          <w:numId w:val="22"/>
        </w:numPr>
        <w:pBdr>
          <w:top w:val="nil"/>
          <w:left w:val="nil"/>
          <w:bottom w:val="nil"/>
          <w:right w:val="nil"/>
          <w:between w:val="nil"/>
          <w:bar w:val="nil"/>
        </w:pBdr>
        <w:spacing w:before="0" w:after="120"/>
      </w:pPr>
      <w:r>
        <w:rPr>
          <w:rFonts w:cs="Arial"/>
        </w:rPr>
        <w:t xml:space="preserve">The Online Content Scheme </w:t>
      </w:r>
      <w:r w:rsidRPr="00033DE9">
        <w:rPr>
          <w:rFonts w:cs="Arial"/>
        </w:rPr>
        <w:t>aims to restrict access to or prohibit certain</w:t>
      </w:r>
      <w:r>
        <w:t xml:space="preserve"> </w:t>
      </w:r>
      <w:r w:rsidRPr="00033DE9">
        <w:rPr>
          <w:rFonts w:cs="Arial"/>
        </w:rPr>
        <w:t>types of offensive Internet content, and provides a complaints mechanism.</w:t>
      </w:r>
      <w:r w:rsidR="00DB0619">
        <w:rPr>
          <w:rFonts w:cs="Arial"/>
        </w:rPr>
        <w:t xml:space="preserve"> P</w:t>
      </w:r>
      <w:r>
        <w:rPr>
          <w:rFonts w:cs="Arial"/>
        </w:rPr>
        <w:t xml:space="preserve">rohibited content is determined according to the criteria </w:t>
      </w:r>
      <w:r>
        <w:t xml:space="preserve">in </w:t>
      </w:r>
      <w:r w:rsidRPr="00C0196F">
        <w:rPr>
          <w:rFonts w:cs="Arial"/>
        </w:rPr>
        <w:t xml:space="preserve">the National </w:t>
      </w:r>
      <w:r w:rsidR="00981B64">
        <w:rPr>
          <w:rFonts w:cs="Arial"/>
          <w:color w:val="000000" w:themeColor="text1"/>
        </w:rPr>
        <w:t>Classification Scheme</w:t>
      </w:r>
      <w:r w:rsidRPr="006222D0">
        <w:rPr>
          <w:rFonts w:cs="Arial"/>
          <w:color w:val="000000" w:themeColor="text1"/>
        </w:rPr>
        <w:t>.</w:t>
      </w:r>
      <w:r w:rsidR="00981B64">
        <w:rPr>
          <w:rStyle w:val="EndnoteReference"/>
          <w:rFonts w:cs="Arial"/>
          <w:color w:val="000000" w:themeColor="text1"/>
        </w:rPr>
        <w:endnoteReference w:id="46"/>
      </w:r>
      <w:r w:rsidR="00677C0E">
        <w:rPr>
          <w:rFonts w:cs="Arial"/>
          <w:color w:val="000000" w:themeColor="text1"/>
        </w:rPr>
        <w:t xml:space="preserve"> </w:t>
      </w:r>
      <w:r w:rsidR="00891A69">
        <w:rPr>
          <w:rFonts w:cs="Arial"/>
          <w:color w:val="000000" w:themeColor="text1"/>
        </w:rPr>
        <w:t>Potentially p</w:t>
      </w:r>
      <w:r w:rsidR="00677C0E">
        <w:rPr>
          <w:rFonts w:cs="Arial"/>
          <w:color w:val="000000" w:themeColor="text1"/>
        </w:rPr>
        <w:t xml:space="preserve">rohibited content </w:t>
      </w:r>
      <w:r w:rsidRPr="00B31F64">
        <w:rPr>
          <w:rFonts w:cs="Arial"/>
          <w:color w:val="000000" w:themeColor="text1"/>
        </w:rPr>
        <w:t>includes ‘RC’ (including material containing gratuitous, exploitative and offensive depictions of violence or sexual violence), ‘X18</w:t>
      </w:r>
      <w:r w:rsidRPr="006222D0">
        <w:rPr>
          <w:rFonts w:cs="Arial"/>
          <w:color w:val="000000" w:themeColor="text1"/>
        </w:rPr>
        <w:t>+</w:t>
      </w:r>
      <w:r>
        <w:rPr>
          <w:rFonts w:cs="Arial"/>
          <w:color w:val="000000" w:themeColor="text1"/>
        </w:rPr>
        <w:t>’</w:t>
      </w:r>
      <w:r w:rsidRPr="006222D0">
        <w:rPr>
          <w:rFonts w:cs="Arial"/>
          <w:color w:val="000000" w:themeColor="text1"/>
        </w:rPr>
        <w:t xml:space="preserve"> (content dealing with explicit sexu</w:t>
      </w:r>
      <w:r w:rsidR="00891A69">
        <w:rPr>
          <w:rFonts w:cs="Arial"/>
          <w:color w:val="000000" w:themeColor="text1"/>
        </w:rPr>
        <w:t>al activity between adults).</w:t>
      </w:r>
      <w:r w:rsidR="00891A69" w:rsidRPr="00891A69">
        <w:rPr>
          <w:rStyle w:val="EndnoteReference"/>
          <w:rFonts w:eastAsia="MS Mincho" w:cs="Arial"/>
          <w:color w:val="000000" w:themeColor="text1"/>
        </w:rPr>
        <w:t xml:space="preserve"> </w:t>
      </w:r>
      <w:r w:rsidR="00891A69" w:rsidRPr="006222D0">
        <w:rPr>
          <w:rStyle w:val="EndnoteReference"/>
          <w:rFonts w:eastAsia="MS Mincho" w:cs="Arial"/>
          <w:color w:val="000000" w:themeColor="text1"/>
        </w:rPr>
        <w:endnoteReference w:id="47"/>
      </w:r>
      <w:r w:rsidR="00891A69">
        <w:rPr>
          <w:rFonts w:cs="Arial"/>
          <w:color w:val="000000" w:themeColor="text1"/>
        </w:rPr>
        <w:t xml:space="preserve"> </w:t>
      </w:r>
      <w:r w:rsidRPr="006222D0">
        <w:rPr>
          <w:rFonts w:cs="Arial"/>
          <w:color w:val="000000" w:themeColor="text1"/>
        </w:rPr>
        <w:t>‘R18+’ content (i</w:t>
      </w:r>
      <w:r w:rsidR="00891A69">
        <w:rPr>
          <w:rFonts w:cs="Arial"/>
          <w:color w:val="000000" w:themeColor="text1"/>
        </w:rPr>
        <w:t>.</w:t>
      </w:r>
      <w:r w:rsidRPr="006222D0">
        <w:rPr>
          <w:rFonts w:cs="Arial"/>
          <w:color w:val="000000" w:themeColor="text1"/>
        </w:rPr>
        <w:t>e</w:t>
      </w:r>
      <w:r w:rsidR="00891A69">
        <w:rPr>
          <w:rFonts w:cs="Arial"/>
          <w:color w:val="000000" w:themeColor="text1"/>
        </w:rPr>
        <w:t>.</w:t>
      </w:r>
      <w:r w:rsidRPr="006222D0">
        <w:rPr>
          <w:rFonts w:cs="Arial"/>
          <w:color w:val="000000" w:themeColor="text1"/>
        </w:rPr>
        <w:t xml:space="preserve"> content that is high in impact, including realistically simulated sex, violence, drug use and nudity) </w:t>
      </w:r>
      <w:r w:rsidR="00891A69">
        <w:rPr>
          <w:rFonts w:cs="Arial"/>
          <w:color w:val="000000" w:themeColor="text1"/>
        </w:rPr>
        <w:t>and ‘MA15+’</w:t>
      </w:r>
      <w:r w:rsidR="007467E9">
        <w:rPr>
          <w:rFonts w:cs="Arial"/>
          <w:color w:val="000000" w:themeColor="text1"/>
        </w:rPr>
        <w:t xml:space="preserve"> content</w:t>
      </w:r>
      <w:r w:rsidR="00891A69">
        <w:rPr>
          <w:rFonts w:cs="Arial"/>
          <w:color w:val="000000" w:themeColor="text1"/>
        </w:rPr>
        <w:t xml:space="preserve"> may be prohibited if it</w:t>
      </w:r>
      <w:r w:rsidRPr="006222D0">
        <w:rPr>
          <w:rFonts w:cs="Arial"/>
          <w:color w:val="000000" w:themeColor="text1"/>
        </w:rPr>
        <w:t xml:space="preserve"> is not subject to an age-restricted access system.</w:t>
      </w:r>
      <w:r w:rsidRPr="006222D0">
        <w:rPr>
          <w:rStyle w:val="EndnoteReference"/>
          <w:rFonts w:eastAsia="MS Mincho" w:cs="Arial"/>
          <w:color w:val="000000" w:themeColor="text1"/>
        </w:rPr>
        <w:endnoteReference w:id="48"/>
      </w:r>
      <w:r w:rsidR="00677C0E">
        <w:rPr>
          <w:rFonts w:cs="Arial"/>
          <w:color w:val="000000" w:themeColor="text1"/>
        </w:rPr>
        <w:t xml:space="preserve"> </w:t>
      </w:r>
    </w:p>
    <w:p w14:paraId="1712BB1C" w14:textId="7F6ACEF1" w:rsidR="00677C0E" w:rsidRPr="006222D0" w:rsidRDefault="00171770" w:rsidP="002760AF">
      <w:pPr>
        <w:pStyle w:val="SubmissionNormal"/>
        <w:numPr>
          <w:ilvl w:val="0"/>
          <w:numId w:val="22"/>
        </w:numPr>
        <w:pBdr>
          <w:top w:val="nil"/>
          <w:left w:val="nil"/>
          <w:bottom w:val="nil"/>
          <w:right w:val="nil"/>
          <w:between w:val="nil"/>
          <w:bar w:val="nil"/>
        </w:pBdr>
        <w:spacing w:before="0" w:after="120"/>
      </w:pPr>
      <w:r>
        <w:rPr>
          <w:rFonts w:cs="Arial"/>
          <w:color w:val="000000" w:themeColor="text1"/>
        </w:rPr>
        <w:t>If a person views cont</w:t>
      </w:r>
      <w:r w:rsidR="009B265D">
        <w:rPr>
          <w:rFonts w:cs="Arial"/>
          <w:color w:val="000000" w:themeColor="text1"/>
        </w:rPr>
        <w:t>ent online which they believe may be</w:t>
      </w:r>
      <w:r>
        <w:rPr>
          <w:rFonts w:cs="Arial"/>
          <w:color w:val="000000" w:themeColor="text1"/>
        </w:rPr>
        <w:t xml:space="preserve"> prohibited, th</w:t>
      </w:r>
      <w:r w:rsidR="00D85D6B">
        <w:rPr>
          <w:rFonts w:cs="Arial"/>
          <w:color w:val="000000" w:themeColor="text1"/>
        </w:rPr>
        <w:t>ey can lodge a complaint through</w:t>
      </w:r>
      <w:r>
        <w:rPr>
          <w:rFonts w:cs="Arial"/>
          <w:color w:val="000000" w:themeColor="text1"/>
        </w:rPr>
        <w:t xml:space="preserve"> the eSafety Hotline administered by the Office of the Children’s eSafety Commissioner. </w:t>
      </w:r>
      <w:r w:rsidR="00C60400">
        <w:rPr>
          <w:rFonts w:cs="Arial"/>
          <w:color w:val="000000" w:themeColor="text1"/>
        </w:rPr>
        <w:t>T</w:t>
      </w:r>
      <w:r>
        <w:rPr>
          <w:rFonts w:cs="Arial"/>
          <w:color w:val="000000" w:themeColor="text1"/>
        </w:rPr>
        <w:t>he eSafety Hotline</w:t>
      </w:r>
      <w:r w:rsidR="00C60400">
        <w:rPr>
          <w:rFonts w:cs="Arial"/>
          <w:color w:val="000000" w:themeColor="text1"/>
        </w:rPr>
        <w:t xml:space="preserve"> will investigate the complaint, and if it c</w:t>
      </w:r>
      <w:r w:rsidR="003F4965">
        <w:rPr>
          <w:rFonts w:cs="Arial"/>
          <w:color w:val="000000" w:themeColor="text1"/>
        </w:rPr>
        <w:t>onc</w:t>
      </w:r>
      <w:r w:rsidR="00C60400">
        <w:rPr>
          <w:rFonts w:cs="Arial"/>
          <w:color w:val="000000" w:themeColor="text1"/>
        </w:rPr>
        <w:t>ludes the content is prohibited, will either direct that the relevant hostin</w:t>
      </w:r>
      <w:r w:rsidR="002760AF">
        <w:rPr>
          <w:rFonts w:cs="Arial"/>
          <w:color w:val="000000" w:themeColor="text1"/>
        </w:rPr>
        <w:t>g service remove the content</w:t>
      </w:r>
      <w:r w:rsidR="00591F45">
        <w:rPr>
          <w:rFonts w:cs="Arial"/>
          <w:color w:val="000000" w:themeColor="text1"/>
        </w:rPr>
        <w:t>,</w:t>
      </w:r>
      <w:r w:rsidR="002760AF">
        <w:rPr>
          <w:rFonts w:cs="Arial"/>
          <w:color w:val="000000" w:themeColor="text1"/>
        </w:rPr>
        <w:t xml:space="preserve"> if</w:t>
      </w:r>
      <w:r w:rsidR="00C60400">
        <w:rPr>
          <w:rFonts w:cs="Arial"/>
          <w:color w:val="000000" w:themeColor="text1"/>
        </w:rPr>
        <w:t xml:space="preserve"> hosted in Australia</w:t>
      </w:r>
      <w:r w:rsidR="00591F45">
        <w:rPr>
          <w:rFonts w:cs="Arial"/>
          <w:color w:val="000000" w:themeColor="text1"/>
        </w:rPr>
        <w:t>,</w:t>
      </w:r>
      <w:r w:rsidR="00C60400">
        <w:rPr>
          <w:rFonts w:cs="Arial"/>
          <w:color w:val="000000" w:themeColor="text1"/>
        </w:rPr>
        <w:t xml:space="preserve"> or refer the site to the accredited providers of ‘family friendly’ filters</w:t>
      </w:r>
      <w:r w:rsidR="00591F45">
        <w:rPr>
          <w:rFonts w:cs="Arial"/>
          <w:color w:val="000000" w:themeColor="text1"/>
        </w:rPr>
        <w:t>,</w:t>
      </w:r>
      <w:r>
        <w:rPr>
          <w:rFonts w:cs="Arial"/>
          <w:color w:val="000000" w:themeColor="text1"/>
        </w:rPr>
        <w:t xml:space="preserve"> </w:t>
      </w:r>
      <w:r w:rsidR="002760AF">
        <w:rPr>
          <w:rFonts w:cs="Arial"/>
          <w:color w:val="000000" w:themeColor="text1"/>
        </w:rPr>
        <w:t>if hosted overseas.</w:t>
      </w:r>
      <w:r w:rsidR="002760AF">
        <w:rPr>
          <w:rStyle w:val="EndnoteReference"/>
          <w:rFonts w:cs="Arial"/>
          <w:color w:val="000000" w:themeColor="text1"/>
        </w:rPr>
        <w:endnoteReference w:id="49"/>
      </w:r>
    </w:p>
    <w:p w14:paraId="44A0D792" w14:textId="66D82FA2" w:rsidR="00EF1FA8" w:rsidRDefault="00EF1FA8" w:rsidP="00EF1FA8">
      <w:pPr>
        <w:pStyle w:val="SubmissionNormal"/>
        <w:numPr>
          <w:ilvl w:val="0"/>
          <w:numId w:val="22"/>
        </w:numPr>
        <w:pBdr>
          <w:top w:val="nil"/>
          <w:left w:val="nil"/>
          <w:bottom w:val="nil"/>
          <w:right w:val="nil"/>
          <w:between w:val="nil"/>
          <w:bar w:val="nil"/>
        </w:pBdr>
        <w:spacing w:before="0" w:after="120"/>
      </w:pPr>
      <w:r>
        <w:rPr>
          <w:rFonts w:cs="Arial"/>
          <w:color w:val="000000" w:themeColor="text1"/>
        </w:rPr>
        <w:t>The Children</w:t>
      </w:r>
      <w:r>
        <w:t>’s eSafety Commissioner also has the function of promoting online safety for children</w:t>
      </w:r>
      <w:r w:rsidR="008B3FC9">
        <w:t xml:space="preserve"> up to 18 years of age</w:t>
      </w:r>
      <w:r>
        <w:t>, including overseeing educational, promotional and community awareness programs relevant to online safety.</w:t>
      </w:r>
      <w:r>
        <w:rPr>
          <w:rStyle w:val="EndnoteReference"/>
          <w:rFonts w:eastAsia="MS Mincho"/>
        </w:rPr>
        <w:endnoteReference w:id="50"/>
      </w:r>
    </w:p>
    <w:p w14:paraId="697AD0EE" w14:textId="77777777" w:rsidR="00EF1FA8" w:rsidRDefault="00EF1FA8" w:rsidP="00EF1FA8">
      <w:pPr>
        <w:pStyle w:val="SubmissionNormal"/>
        <w:numPr>
          <w:ilvl w:val="0"/>
          <w:numId w:val="22"/>
        </w:numPr>
        <w:pBdr>
          <w:top w:val="nil"/>
          <w:left w:val="nil"/>
          <w:bottom w:val="nil"/>
          <w:right w:val="nil"/>
          <w:between w:val="nil"/>
          <w:bar w:val="nil"/>
        </w:pBdr>
        <w:spacing w:before="0" w:after="120"/>
        <w:rPr>
          <w:color w:val="000000" w:themeColor="text1"/>
        </w:rPr>
      </w:pPr>
      <w:r w:rsidRPr="00256CCC">
        <w:rPr>
          <w:color w:val="000000" w:themeColor="text1"/>
        </w:rPr>
        <w:t>Under the Internet Industry Codes of Practice, ISPs are required to provide the option of accredited ‘family friendly’ filters to their subscribers at or below cost price.</w:t>
      </w:r>
      <w:r>
        <w:rPr>
          <w:rStyle w:val="EndnoteReference"/>
          <w:rFonts w:eastAsia="MS Mincho"/>
          <w:color w:val="000000" w:themeColor="text1"/>
        </w:rPr>
        <w:endnoteReference w:id="51"/>
      </w:r>
      <w:r w:rsidRPr="00256CCC">
        <w:rPr>
          <w:color w:val="000000" w:themeColor="text1"/>
        </w:rPr>
        <w:t xml:space="preserve"> The filters are voluntary</w:t>
      </w:r>
      <w:r>
        <w:rPr>
          <w:color w:val="000000" w:themeColor="text1"/>
        </w:rPr>
        <w:t>, as the</w:t>
      </w:r>
      <w:r w:rsidRPr="00256CCC">
        <w:rPr>
          <w:color w:val="000000" w:themeColor="text1"/>
        </w:rPr>
        <w:t xml:space="preserve"> user</w:t>
      </w:r>
      <w:r>
        <w:rPr>
          <w:color w:val="000000" w:themeColor="text1"/>
        </w:rPr>
        <w:t>s</w:t>
      </w:r>
      <w:r w:rsidRPr="00256CCC">
        <w:rPr>
          <w:color w:val="000000" w:themeColor="text1"/>
        </w:rPr>
        <w:t xml:space="preserve"> themselves choose whether or not to install and/or activate them.</w:t>
      </w:r>
    </w:p>
    <w:p w14:paraId="27AE32F3" w14:textId="6687F2B2" w:rsidR="00EF1FA8" w:rsidRPr="00256CCC" w:rsidRDefault="00EF1FA8" w:rsidP="00EF1FA8">
      <w:pPr>
        <w:pStyle w:val="SubmissionNormal"/>
        <w:numPr>
          <w:ilvl w:val="0"/>
          <w:numId w:val="22"/>
        </w:numPr>
        <w:pBdr>
          <w:top w:val="nil"/>
          <w:left w:val="nil"/>
          <w:bottom w:val="nil"/>
          <w:right w:val="nil"/>
          <w:between w:val="nil"/>
          <w:bar w:val="nil"/>
        </w:pBdr>
        <w:spacing w:before="0" w:after="120"/>
        <w:rPr>
          <w:color w:val="000000" w:themeColor="text1"/>
        </w:rPr>
      </w:pPr>
      <w:r>
        <w:rPr>
          <w:color w:val="000000" w:themeColor="text1"/>
        </w:rPr>
        <w:t>Under the Codes</w:t>
      </w:r>
      <w:r w:rsidR="00B431CB">
        <w:rPr>
          <w:color w:val="000000" w:themeColor="text1"/>
        </w:rPr>
        <w:t>,</w:t>
      </w:r>
      <w:r>
        <w:rPr>
          <w:color w:val="000000" w:themeColor="text1"/>
        </w:rPr>
        <w:t xml:space="preserve"> ‘Content Hosts’ and ISPs must also</w:t>
      </w:r>
      <w:r w:rsidR="001112D9">
        <w:rPr>
          <w:color w:val="000000" w:themeColor="text1"/>
        </w:rPr>
        <w:t>:</w:t>
      </w:r>
      <w:r>
        <w:rPr>
          <w:color w:val="000000" w:themeColor="text1"/>
        </w:rPr>
        <w:t xml:space="preserve"> </w:t>
      </w:r>
    </w:p>
    <w:p w14:paraId="60E54AC0" w14:textId="77777777" w:rsidR="00EF1FA8" w:rsidRPr="00E201EE" w:rsidRDefault="00EF1FA8" w:rsidP="00EF1FA8">
      <w:pPr>
        <w:pStyle w:val="SubmissionNormal"/>
        <w:numPr>
          <w:ilvl w:val="0"/>
          <w:numId w:val="19"/>
        </w:numPr>
        <w:pBdr>
          <w:top w:val="nil"/>
          <w:left w:val="nil"/>
          <w:bottom w:val="nil"/>
          <w:right w:val="nil"/>
          <w:between w:val="nil"/>
          <w:bar w:val="nil"/>
        </w:pBdr>
        <w:spacing w:before="0" w:after="120"/>
        <w:ind w:left="1134" w:hanging="425"/>
      </w:pPr>
      <w:r w:rsidRPr="006C7879">
        <w:t>take reasonable steps to ensure that Internet access accounts are not provided to children under 18 without parental consent or the</w:t>
      </w:r>
      <w:r>
        <w:t xml:space="preserve"> consent of a responsible adult</w:t>
      </w:r>
    </w:p>
    <w:p w14:paraId="5771839C" w14:textId="0A7D50DB" w:rsidR="00EF1FA8" w:rsidRPr="006C7879" w:rsidRDefault="00EF1FA8" w:rsidP="00EF1FA8">
      <w:pPr>
        <w:pStyle w:val="SubmissionNormal"/>
        <w:numPr>
          <w:ilvl w:val="0"/>
          <w:numId w:val="19"/>
        </w:numPr>
        <w:pBdr>
          <w:top w:val="nil"/>
          <w:left w:val="nil"/>
          <w:bottom w:val="nil"/>
          <w:right w:val="nil"/>
          <w:between w:val="nil"/>
          <w:bar w:val="nil"/>
        </w:pBdr>
        <w:spacing w:before="0" w:after="120"/>
        <w:ind w:left="1134" w:hanging="425"/>
      </w:pPr>
      <w:r>
        <w:t>t</w:t>
      </w:r>
      <w:r w:rsidRPr="00E201EE">
        <w:t xml:space="preserve">ake reasonable steps to ensure that </w:t>
      </w:r>
      <w:r w:rsidR="00CE2FDB">
        <w:t>‘</w:t>
      </w:r>
      <w:r w:rsidRPr="00E201EE">
        <w:t>Restricted Content</w:t>
      </w:r>
      <w:r w:rsidR="00CE2FDB">
        <w:t>’</w:t>
      </w:r>
      <w:r>
        <w:t xml:space="preserve"> is not provided to children under 18 </w:t>
      </w:r>
    </w:p>
    <w:p w14:paraId="38D2EC09" w14:textId="77777777" w:rsidR="00EF1FA8" w:rsidRPr="006C7879" w:rsidRDefault="00EF1FA8" w:rsidP="00EF1FA8">
      <w:pPr>
        <w:pStyle w:val="SubmissionNormal"/>
        <w:numPr>
          <w:ilvl w:val="0"/>
          <w:numId w:val="19"/>
        </w:numPr>
        <w:pBdr>
          <w:top w:val="nil"/>
          <w:left w:val="nil"/>
          <w:bottom w:val="nil"/>
          <w:right w:val="nil"/>
          <w:between w:val="nil"/>
          <w:bar w:val="nil"/>
        </w:pBdr>
        <w:spacing w:before="0" w:after="120"/>
        <w:ind w:left="1134" w:hanging="425"/>
      </w:pPr>
      <w:r w:rsidRPr="006C7879">
        <w:t>provide end users with information about their righ</w:t>
      </w:r>
      <w:r>
        <w:t>ts and responsibilities online, including:</w:t>
      </w:r>
    </w:p>
    <w:p w14:paraId="0EB5F27C" w14:textId="77777777" w:rsidR="00EF1FA8" w:rsidRPr="006C7879" w:rsidRDefault="00EF1FA8" w:rsidP="00EF1FA8">
      <w:pPr>
        <w:pStyle w:val="SubmissionNormal"/>
        <w:numPr>
          <w:ilvl w:val="1"/>
          <w:numId w:val="36"/>
        </w:numPr>
        <w:pBdr>
          <w:top w:val="nil"/>
          <w:left w:val="nil"/>
          <w:bottom w:val="nil"/>
          <w:right w:val="nil"/>
          <w:between w:val="nil"/>
          <w:bar w:val="nil"/>
        </w:pBdr>
        <w:spacing w:before="0" w:after="120"/>
        <w:ind w:left="1418" w:hanging="284"/>
      </w:pPr>
      <w:r>
        <w:t>methods</w:t>
      </w:r>
      <w:r w:rsidRPr="006C7879">
        <w:t xml:space="preserve"> of supervising and </w:t>
      </w:r>
      <w:r>
        <w:t xml:space="preserve">managing </w:t>
      </w:r>
      <w:r w:rsidRPr="006C7879">
        <w:t>children's access to Internet content</w:t>
      </w:r>
      <w:r>
        <w:t>, including the availability of family friendly filters, how they can be downloaded and instructions for use</w:t>
      </w:r>
    </w:p>
    <w:p w14:paraId="75243105" w14:textId="77777777" w:rsidR="00EF1FA8" w:rsidRDefault="00EF1FA8" w:rsidP="00EF1FA8">
      <w:pPr>
        <w:pStyle w:val="SubmissionNormal"/>
        <w:numPr>
          <w:ilvl w:val="1"/>
          <w:numId w:val="36"/>
        </w:numPr>
        <w:pBdr>
          <w:top w:val="nil"/>
          <w:left w:val="nil"/>
          <w:bottom w:val="nil"/>
          <w:right w:val="nil"/>
          <w:between w:val="nil"/>
          <w:bar w:val="nil"/>
        </w:pBdr>
        <w:spacing w:before="0" w:after="120"/>
        <w:ind w:left="1418" w:hanging="284"/>
      </w:pPr>
      <w:r>
        <w:t>their right to make complaints about prohibited content, and how to make such complaints.</w:t>
      </w:r>
      <w:r>
        <w:rPr>
          <w:rStyle w:val="EndnoteReference"/>
          <w:rFonts w:eastAsia="MS Mincho"/>
        </w:rPr>
        <w:endnoteReference w:id="52"/>
      </w:r>
    </w:p>
    <w:p w14:paraId="087992F1" w14:textId="77777777" w:rsidR="00E37C7E" w:rsidRPr="00E37C7E" w:rsidRDefault="00E37C7E" w:rsidP="00E37C7E">
      <w:pPr>
        <w:pStyle w:val="SubmissionNormal"/>
        <w:numPr>
          <w:ilvl w:val="0"/>
          <w:numId w:val="22"/>
        </w:numPr>
        <w:pBdr>
          <w:top w:val="nil"/>
          <w:left w:val="nil"/>
          <w:bottom w:val="nil"/>
          <w:right w:val="nil"/>
          <w:between w:val="nil"/>
          <w:bar w:val="nil"/>
        </w:pBdr>
        <w:spacing w:before="0" w:after="120"/>
        <w:rPr>
          <w:color w:val="000000" w:themeColor="text1"/>
        </w:rPr>
      </w:pPr>
      <w:r>
        <w:rPr>
          <w:color w:val="000000" w:themeColor="text1"/>
        </w:rPr>
        <w:t xml:space="preserve">Failure to comply with the obligations in the </w:t>
      </w:r>
      <w:r w:rsidRPr="00256CCC">
        <w:rPr>
          <w:color w:val="000000" w:themeColor="text1"/>
        </w:rPr>
        <w:t>Internet Industry Codes of Practice</w:t>
      </w:r>
      <w:r>
        <w:rPr>
          <w:color w:val="000000" w:themeColor="text1"/>
        </w:rPr>
        <w:t xml:space="preserve"> can result in</w:t>
      </w:r>
      <w:r w:rsidR="004B2EA1">
        <w:rPr>
          <w:color w:val="000000" w:themeColor="text1"/>
        </w:rPr>
        <w:t xml:space="preserve"> the application of penalties.</w:t>
      </w:r>
      <w:r w:rsidR="004B2EA1">
        <w:rPr>
          <w:rStyle w:val="EndnoteReference"/>
          <w:color w:val="000000" w:themeColor="text1"/>
        </w:rPr>
        <w:endnoteReference w:id="53"/>
      </w:r>
      <w:r>
        <w:rPr>
          <w:color w:val="000000" w:themeColor="text1"/>
        </w:rPr>
        <w:t xml:space="preserve"> </w:t>
      </w:r>
    </w:p>
    <w:p w14:paraId="3B06E06C" w14:textId="77777777" w:rsidR="00EF1FA8" w:rsidRDefault="00961676" w:rsidP="00EF1FA8">
      <w:pPr>
        <w:pStyle w:val="Heading2"/>
      </w:pPr>
      <w:bookmarkStart w:id="59" w:name="_Toc445720191"/>
      <w:bookmarkStart w:id="60" w:name="_Toc447101708"/>
      <w:r>
        <w:rPr>
          <w:rFonts w:eastAsia="Arial Unicode MS" w:cs="Arial Unicode MS"/>
          <w:lang w:val="en-US"/>
        </w:rPr>
        <w:lastRenderedPageBreak/>
        <w:t>T</w:t>
      </w:r>
      <w:r w:rsidR="00EF1FA8">
        <w:rPr>
          <w:rFonts w:eastAsia="Arial Unicode MS" w:cs="Arial Unicode MS"/>
          <w:lang w:val="en-US"/>
        </w:rPr>
        <w:t xml:space="preserve">he experience of </w:t>
      </w:r>
      <w:r w:rsidR="00EF1FA8" w:rsidRPr="00EF1FA8">
        <w:rPr>
          <w:lang w:val="en-US"/>
        </w:rPr>
        <w:t>Internet</w:t>
      </w:r>
      <w:r w:rsidR="00EF1FA8">
        <w:rPr>
          <w:rFonts w:eastAsia="Arial Unicode MS" w:cs="Arial Unicode MS"/>
          <w:lang w:val="en-US"/>
        </w:rPr>
        <w:t xml:space="preserve"> filters in Europe</w:t>
      </w:r>
      <w:bookmarkEnd w:id="59"/>
      <w:bookmarkEnd w:id="60"/>
    </w:p>
    <w:p w14:paraId="11DC63E8" w14:textId="590D5D3D" w:rsidR="00EF1FA8" w:rsidRDefault="00EF1FA8" w:rsidP="00EF1FA8">
      <w:pPr>
        <w:pStyle w:val="SubmissionNormal"/>
        <w:numPr>
          <w:ilvl w:val="0"/>
          <w:numId w:val="22"/>
        </w:numPr>
        <w:pBdr>
          <w:top w:val="nil"/>
          <w:left w:val="nil"/>
          <w:bottom w:val="nil"/>
          <w:right w:val="nil"/>
          <w:between w:val="nil"/>
          <w:bar w:val="nil"/>
        </w:pBdr>
        <w:spacing w:before="0" w:after="120"/>
      </w:pPr>
      <w:r>
        <w:t>In 2013</w:t>
      </w:r>
      <w:r w:rsidR="00BE4ADE">
        <w:t>,</w:t>
      </w:r>
      <w:r>
        <w:t xml:space="preserve"> the UK government introduced a scheme to deliver automatic pornography filters through an agreement with four major ISPs</w:t>
      </w:r>
      <w:r w:rsidR="00961676">
        <w:t xml:space="preserve"> </w:t>
      </w:r>
      <w:r w:rsidR="00332725">
        <w:t xml:space="preserve">– BT, Sky, TalkTalk and </w:t>
      </w:r>
      <w:r w:rsidR="00961676">
        <w:t>Virgin</w:t>
      </w:r>
      <w:r w:rsidR="00332725">
        <w:t xml:space="preserve"> Media</w:t>
      </w:r>
      <w:r>
        <w:t xml:space="preserve">. The intent </w:t>
      </w:r>
      <w:r w:rsidR="00B431CB">
        <w:t>of</w:t>
      </w:r>
      <w:r w:rsidR="006F2BCC">
        <w:t xml:space="preserve"> </w:t>
      </w:r>
      <w:r>
        <w:t>their introduction was to protect children from adult content. The filters were in place as the default setting, so households needed to make an active choice to ‘opt out’ of the filters.</w:t>
      </w:r>
    </w:p>
    <w:p w14:paraId="4EF1787F" w14:textId="647FFEAB" w:rsidR="00EF1FA8" w:rsidRDefault="00C11A7C" w:rsidP="00EF1FA8">
      <w:pPr>
        <w:pStyle w:val="SubmissionNormal"/>
        <w:numPr>
          <w:ilvl w:val="0"/>
          <w:numId w:val="22"/>
        </w:numPr>
        <w:pBdr>
          <w:top w:val="nil"/>
          <w:left w:val="nil"/>
          <w:bottom w:val="nil"/>
          <w:right w:val="nil"/>
          <w:between w:val="nil"/>
          <w:bar w:val="nil"/>
        </w:pBdr>
        <w:spacing w:before="0" w:after="120"/>
      </w:pPr>
      <w:r>
        <w:t>The decision as to</w:t>
      </w:r>
      <w:r w:rsidR="00EF1FA8">
        <w:t xml:space="preserve"> what content to block was made by the ISPs themselves</w:t>
      </w:r>
      <w:r w:rsidR="00B431CB">
        <w:t>,</w:t>
      </w:r>
      <w:r>
        <w:t xml:space="preserve"> with consumers selecting </w:t>
      </w:r>
      <w:r w:rsidR="00327DDA">
        <w:t>broad</w:t>
      </w:r>
      <w:r>
        <w:t xml:space="preserve"> categories</w:t>
      </w:r>
      <w:r w:rsidR="00EF1FA8">
        <w:t xml:space="preserve">, and there were inconsistencies between ISPs as to what content should or should not be blocked. </w:t>
      </w:r>
    </w:p>
    <w:p w14:paraId="20A88957" w14:textId="178D8D63" w:rsidR="00EF1FA8" w:rsidRDefault="00EF1FA8" w:rsidP="00EF1FA8">
      <w:pPr>
        <w:pStyle w:val="SubmissionNormal"/>
        <w:numPr>
          <w:ilvl w:val="0"/>
          <w:numId w:val="22"/>
        </w:numPr>
        <w:pBdr>
          <w:top w:val="nil"/>
          <w:left w:val="nil"/>
          <w:bottom w:val="nil"/>
          <w:right w:val="nil"/>
          <w:between w:val="nil"/>
          <w:bar w:val="nil"/>
        </w:pBdr>
        <w:spacing w:before="0" w:after="120"/>
      </w:pPr>
      <w:r>
        <w:t>The fil</w:t>
      </w:r>
      <w:r w:rsidR="005B0AB7">
        <w:t xml:space="preserve">ters were </w:t>
      </w:r>
      <w:r w:rsidR="00B431CB">
        <w:t xml:space="preserve">criticised </w:t>
      </w:r>
      <w:r w:rsidR="005B0AB7">
        <w:t xml:space="preserve">because </w:t>
      </w:r>
      <w:r>
        <w:t>the</w:t>
      </w:r>
      <w:r w:rsidR="005B0AB7">
        <w:t>y</w:t>
      </w:r>
      <w:r>
        <w:t xml:space="preserve"> </w:t>
      </w:r>
      <w:r w:rsidR="005B0AB7">
        <w:t xml:space="preserve">blocked a </w:t>
      </w:r>
      <w:r>
        <w:t>broad ra</w:t>
      </w:r>
      <w:r w:rsidR="005B0AB7">
        <w:t>nge of content</w:t>
      </w:r>
      <w:r>
        <w:t xml:space="preserve">. The Open Rights Group, a non-profit organisation based in the UK, tested 100,000 sites </w:t>
      </w:r>
      <w:r w:rsidR="00B431CB">
        <w:t xml:space="preserve">in 2014 </w:t>
      </w:r>
      <w:r>
        <w:t>and reportedly found that almost one in five of the websites were blocked by at least one of the ISPs.</w:t>
      </w:r>
      <w:r>
        <w:rPr>
          <w:rStyle w:val="EndnoteReference"/>
          <w:rFonts w:eastAsia="MS Mincho"/>
        </w:rPr>
        <w:endnoteReference w:id="54"/>
      </w:r>
    </w:p>
    <w:p w14:paraId="7CA982FA" w14:textId="77777777" w:rsidR="00EF1FA8" w:rsidRDefault="00EF1FA8" w:rsidP="00EF1FA8">
      <w:pPr>
        <w:pStyle w:val="SubmissionNormal"/>
        <w:numPr>
          <w:ilvl w:val="0"/>
          <w:numId w:val="22"/>
        </w:numPr>
        <w:pBdr>
          <w:top w:val="nil"/>
          <w:left w:val="nil"/>
          <w:bottom w:val="nil"/>
          <w:right w:val="nil"/>
          <w:between w:val="nil"/>
          <w:bar w:val="nil"/>
        </w:pBdr>
        <w:spacing w:before="0" w:after="120"/>
      </w:pPr>
      <w:r>
        <w:t xml:space="preserve">Of </w:t>
      </w:r>
      <w:r w:rsidR="00961676">
        <w:t xml:space="preserve">particular </w:t>
      </w:r>
      <w:r>
        <w:t>concern was the fact that the filters reportedly blocked content that was not harmful, and was in fact of</w:t>
      </w:r>
      <w:r w:rsidR="00E610EA">
        <w:t xml:space="preserve"> public benefit. A BBC</w:t>
      </w:r>
      <w:r>
        <w:t xml:space="preserve"> investigation revealed that some of the filters were blocking as ‘pornographic’ respected sex education sites, sexual and reproductive health sites, and sites to help victims of domestic abuse.</w:t>
      </w:r>
      <w:r>
        <w:rPr>
          <w:rStyle w:val="EndnoteReference"/>
          <w:rFonts w:eastAsia="MS Mincho"/>
        </w:rPr>
        <w:endnoteReference w:id="55"/>
      </w:r>
      <w:r>
        <w:t xml:space="preserve"> </w:t>
      </w:r>
    </w:p>
    <w:p w14:paraId="0E12AFC1" w14:textId="77777777" w:rsidR="00EF1FA8" w:rsidRDefault="00EF1FA8" w:rsidP="00EF1FA8">
      <w:pPr>
        <w:pStyle w:val="SubmissionNormal"/>
        <w:numPr>
          <w:ilvl w:val="0"/>
          <w:numId w:val="22"/>
        </w:numPr>
        <w:pBdr>
          <w:top w:val="nil"/>
          <w:left w:val="nil"/>
          <w:bottom w:val="nil"/>
          <w:right w:val="nil"/>
          <w:between w:val="nil"/>
          <w:bar w:val="nil"/>
        </w:pBdr>
        <w:spacing w:before="0" w:after="120"/>
      </w:pPr>
      <w:r>
        <w:t xml:space="preserve">The investigation also revealed that the filters were in fact failing to block </w:t>
      </w:r>
      <w:r w:rsidR="00E610EA">
        <w:t xml:space="preserve">some </w:t>
      </w:r>
      <w:r>
        <w:t>hardcore pornography sites.</w:t>
      </w:r>
      <w:r>
        <w:rPr>
          <w:rStyle w:val="EndnoteReference"/>
          <w:rFonts w:eastAsia="MS Mincho"/>
        </w:rPr>
        <w:endnoteReference w:id="56"/>
      </w:r>
    </w:p>
    <w:p w14:paraId="7DED2732" w14:textId="16082610" w:rsidR="002A2661" w:rsidRDefault="002A2661" w:rsidP="00CC7D60">
      <w:pPr>
        <w:pStyle w:val="SubmissionNormal"/>
        <w:numPr>
          <w:ilvl w:val="0"/>
          <w:numId w:val="22"/>
        </w:numPr>
        <w:pBdr>
          <w:top w:val="nil"/>
          <w:left w:val="nil"/>
          <w:bottom w:val="nil"/>
          <w:right w:val="nil"/>
          <w:between w:val="nil"/>
          <w:bar w:val="nil"/>
        </w:pBdr>
        <w:spacing w:before="0" w:after="120"/>
      </w:pPr>
      <w:r>
        <w:t>A 2014 report revealed that there had been limited take-up of the filters, despite customers having to make the ‘unavoidable choice’ as to whether to opt out of the filters when they signed up to a new ISP. In July 2014 it was reported that of the new customers who were offered the filtering, four per cent of Vir</w:t>
      </w:r>
      <w:r w:rsidR="00B6505B">
        <w:t>gin Media subscribers signed up,</w:t>
      </w:r>
      <w:r>
        <w:t xml:space="preserve"> five per cent of BT custo</w:t>
      </w:r>
      <w:r w:rsidR="00B6505B">
        <w:t>mers,</w:t>
      </w:r>
      <w:r>
        <w:t xml:space="preserve"> eight per cent for Sky and 36 per cent of TalkTalk users.</w:t>
      </w:r>
      <w:r>
        <w:rPr>
          <w:rStyle w:val="EndnoteReference"/>
        </w:rPr>
        <w:endnoteReference w:id="57"/>
      </w:r>
    </w:p>
    <w:p w14:paraId="0E05B030" w14:textId="21EB697F" w:rsidR="00EF1FA8" w:rsidRDefault="00EF1FA8" w:rsidP="00EF1FA8">
      <w:pPr>
        <w:pStyle w:val="SubmissionNormal"/>
        <w:numPr>
          <w:ilvl w:val="0"/>
          <w:numId w:val="22"/>
        </w:numPr>
        <w:pBdr>
          <w:top w:val="nil"/>
          <w:left w:val="nil"/>
          <w:bottom w:val="nil"/>
          <w:right w:val="nil"/>
          <w:between w:val="nil"/>
          <w:bar w:val="nil"/>
        </w:pBdr>
        <w:spacing w:before="0" w:after="120"/>
      </w:pPr>
      <w:r>
        <w:t xml:space="preserve">The Council of Europe’s Commissioner for Human Rights, commenting </w:t>
      </w:r>
      <w:r w:rsidR="00B431CB">
        <w:t xml:space="preserve">on </w:t>
      </w:r>
      <w:r>
        <w:t>the challenge of appropriately protecting children</w:t>
      </w:r>
      <w:r w:rsidR="00E52813">
        <w:t xml:space="preserve"> and young people</w:t>
      </w:r>
      <w:r>
        <w:t xml:space="preserve"> from harmful and illegal material online, stated that:</w:t>
      </w:r>
    </w:p>
    <w:p w14:paraId="0B44E134" w14:textId="77777777" w:rsidR="00EF1FA8" w:rsidRPr="00E765DB" w:rsidRDefault="00EF1FA8" w:rsidP="00EF1FA8">
      <w:pPr>
        <w:pStyle w:val="SubmissionNormal"/>
        <w:numPr>
          <w:ilvl w:val="0"/>
          <w:numId w:val="0"/>
        </w:numPr>
        <w:ind w:left="1418"/>
        <w:rPr>
          <w:sz w:val="22"/>
          <w:szCs w:val="22"/>
        </w:rPr>
      </w:pPr>
      <w:r w:rsidRPr="00E765DB">
        <w:rPr>
          <w:sz w:val="22"/>
          <w:szCs w:val="22"/>
        </w:rPr>
        <w:t>…The use of [blocking list and filtering] tools is…controversial as it can lead to disproportionate restrictions to freedom of expression, in the absence of a clear legal basis, sufficient transparency and effective safeguards against misuse, including judicial oversight. Indeed, blocking imposed through ISPs has sometimes been extended to sites…dealing with sexual and reproductive health. Some member states, under the pretext of protecting children, are blocking content related to LGBT issues, even though the European Court of Human Rights found that there is no scientific evidence that such materials have a deleterious impact on the well-being of children.</w:t>
      </w:r>
      <w:r>
        <w:rPr>
          <w:rStyle w:val="EndnoteReference"/>
          <w:rFonts w:eastAsia="MS Mincho"/>
          <w:sz w:val="22"/>
          <w:szCs w:val="22"/>
        </w:rPr>
        <w:endnoteReference w:id="58"/>
      </w:r>
    </w:p>
    <w:p w14:paraId="6C805178" w14:textId="77777777" w:rsidR="00EF1FA8" w:rsidRPr="00912BBB" w:rsidRDefault="00EF1FA8" w:rsidP="00EF1FA8">
      <w:pPr>
        <w:pStyle w:val="SubmissionNormal"/>
        <w:numPr>
          <w:ilvl w:val="0"/>
          <w:numId w:val="22"/>
        </w:numPr>
        <w:pBdr>
          <w:top w:val="nil"/>
          <w:left w:val="nil"/>
          <w:bottom w:val="nil"/>
          <w:right w:val="nil"/>
          <w:between w:val="nil"/>
          <w:bar w:val="nil"/>
        </w:pBdr>
        <w:spacing w:before="0" w:after="120"/>
      </w:pPr>
      <w:r w:rsidRPr="00912BBB">
        <w:t>The Commissioner concluded that:</w:t>
      </w:r>
    </w:p>
    <w:p w14:paraId="11C250AC" w14:textId="77777777" w:rsidR="00EF1FA8" w:rsidRPr="00DA0E50" w:rsidRDefault="00EF1FA8" w:rsidP="00EF1FA8">
      <w:pPr>
        <w:pStyle w:val="SubmissionNormal"/>
        <w:numPr>
          <w:ilvl w:val="0"/>
          <w:numId w:val="0"/>
        </w:numPr>
        <w:ind w:left="1418"/>
        <w:rPr>
          <w:sz w:val="22"/>
          <w:szCs w:val="22"/>
        </w:rPr>
      </w:pPr>
      <w:r w:rsidRPr="00912BBB">
        <w:rPr>
          <w:sz w:val="22"/>
          <w:szCs w:val="22"/>
        </w:rPr>
        <w:t>It seems more appropriate to use blocking and filtering tools at the level of private and school computers, using parental control, safe spaces for children on Internet and trustmarks and labels allowing for distinction between harmful and non-harmful contents.</w:t>
      </w:r>
      <w:r w:rsidRPr="009750A8">
        <w:rPr>
          <w:rStyle w:val="EndnoteReference"/>
          <w:rFonts w:eastAsia="MS Mincho"/>
          <w:sz w:val="22"/>
          <w:szCs w:val="22"/>
        </w:rPr>
        <w:t xml:space="preserve"> </w:t>
      </w:r>
      <w:r>
        <w:rPr>
          <w:rStyle w:val="EndnoteReference"/>
          <w:rFonts w:eastAsia="MS Mincho"/>
          <w:sz w:val="22"/>
          <w:szCs w:val="22"/>
        </w:rPr>
        <w:endnoteReference w:id="59"/>
      </w:r>
    </w:p>
    <w:p w14:paraId="669D957F" w14:textId="5B55AA2B" w:rsidR="00EF1FA8" w:rsidRPr="00DA0E50" w:rsidRDefault="00EF1FA8" w:rsidP="00EF1FA8">
      <w:pPr>
        <w:pStyle w:val="SubmissionNormal"/>
        <w:numPr>
          <w:ilvl w:val="0"/>
          <w:numId w:val="22"/>
        </w:numPr>
        <w:pBdr>
          <w:top w:val="nil"/>
          <w:left w:val="nil"/>
          <w:bottom w:val="nil"/>
          <w:right w:val="nil"/>
          <w:between w:val="nil"/>
          <w:bar w:val="nil"/>
        </w:pBdr>
        <w:spacing w:before="0" w:after="120"/>
      </w:pPr>
      <w:r w:rsidRPr="00DA0E50">
        <w:t xml:space="preserve">The UN Special Rapporteur on </w:t>
      </w:r>
      <w:r>
        <w:t xml:space="preserve">the promotion and protection of the right to freedom of opinion and expression has also raised concerns about States’ use </w:t>
      </w:r>
      <w:r>
        <w:lastRenderedPageBreak/>
        <w:t>of blocking and filtering technologies. The Special Rapporteur has explained that fi</w:t>
      </w:r>
      <w:r w:rsidR="00B6505B">
        <w:t>lters can fail to meet the test</w:t>
      </w:r>
      <w:r>
        <w:t xml:space="preserve"> for justified limitations of the right to freedom of expression, as ‘</w:t>
      </w:r>
      <w:r w:rsidRPr="00224EB7">
        <w:t>they are often not sufficiently targeted and render a wide range of content inaccessible beyond that which has been deemed illegal’</w:t>
      </w:r>
      <w:r w:rsidR="00CC73F3">
        <w:t>,</w:t>
      </w:r>
      <w:r w:rsidRPr="00224EB7">
        <w:t xml:space="preserve"> and ‘content is frequently blocked without the intervention of or possibility for review by a judicial or independent body’.</w:t>
      </w:r>
      <w:r w:rsidRPr="00224EB7">
        <w:rPr>
          <w:rStyle w:val="EndnoteReference"/>
          <w:rFonts w:eastAsia="MS Mincho"/>
        </w:rPr>
        <w:endnoteReference w:id="60"/>
      </w:r>
    </w:p>
    <w:p w14:paraId="467D201F" w14:textId="77777777" w:rsidR="00EF1FA8" w:rsidRPr="006B458A" w:rsidRDefault="00EF1FA8" w:rsidP="00EF1FA8">
      <w:pPr>
        <w:pStyle w:val="Heading2"/>
        <w:rPr>
          <w:rFonts w:eastAsia="Arial Unicode MS" w:cs="Arial Unicode MS"/>
          <w:lang w:val="en-US"/>
        </w:rPr>
      </w:pPr>
      <w:bookmarkStart w:id="61" w:name="_Toc445720192"/>
      <w:bookmarkStart w:id="62" w:name="_Toc447101709"/>
      <w:r w:rsidRPr="006B458A">
        <w:rPr>
          <w:rFonts w:eastAsia="Arial Unicode MS" w:cs="Arial Unicode MS"/>
          <w:lang w:val="en-US"/>
        </w:rPr>
        <w:t>Education and public awareness</w:t>
      </w:r>
      <w:bookmarkEnd w:id="61"/>
      <w:bookmarkEnd w:id="62"/>
    </w:p>
    <w:p w14:paraId="4946302F" w14:textId="57295D2D" w:rsidR="00EF1FA8" w:rsidRDefault="00EF1FA8" w:rsidP="00EF1FA8">
      <w:pPr>
        <w:pStyle w:val="SubmissionNormal"/>
        <w:numPr>
          <w:ilvl w:val="0"/>
          <w:numId w:val="22"/>
        </w:numPr>
        <w:pBdr>
          <w:top w:val="nil"/>
          <w:left w:val="nil"/>
          <w:bottom w:val="nil"/>
          <w:right w:val="nil"/>
          <w:between w:val="nil"/>
          <w:bar w:val="nil"/>
        </w:pBdr>
      </w:pPr>
      <w:r>
        <w:t xml:space="preserve">Parents and </w:t>
      </w:r>
      <w:r w:rsidR="00F5387C">
        <w:t xml:space="preserve">schools choosing to install </w:t>
      </w:r>
      <w:r>
        <w:t xml:space="preserve">filters may help to reduce the likelihood that children </w:t>
      </w:r>
      <w:r w:rsidR="002A1B10">
        <w:t xml:space="preserve">and young people </w:t>
      </w:r>
      <w:r>
        <w:t xml:space="preserve">will inadvertently be exposed to pornographic </w:t>
      </w:r>
      <w:r w:rsidR="003D7941">
        <w:t xml:space="preserve">online </w:t>
      </w:r>
      <w:r w:rsidR="00AF4E2C">
        <w:t>content</w:t>
      </w:r>
      <w:r>
        <w:t xml:space="preserve">. However, given the proliferation of new </w:t>
      </w:r>
      <w:r w:rsidR="00DA65EF">
        <w:t xml:space="preserve">ICTs </w:t>
      </w:r>
      <w:r>
        <w:t>and the dramatic increase in children</w:t>
      </w:r>
      <w:r w:rsidR="002A1B10">
        <w:t xml:space="preserve"> and young people</w:t>
      </w:r>
      <w:r>
        <w:t xml:space="preserve"> using</w:t>
      </w:r>
      <w:r w:rsidR="00B431CB">
        <w:t>,</w:t>
      </w:r>
      <w:r>
        <w:t xml:space="preserve"> and becoming adept at using</w:t>
      </w:r>
      <w:r w:rsidR="00B431CB">
        <w:t>,</w:t>
      </w:r>
      <w:r>
        <w:t xml:space="preserve"> these technologies, it seems that ‘exposure is more likely than not’.</w:t>
      </w:r>
      <w:r>
        <w:rPr>
          <w:rStyle w:val="EndnoteReference"/>
          <w:rFonts w:eastAsia="MS Mincho"/>
        </w:rPr>
        <w:endnoteReference w:id="61"/>
      </w:r>
      <w:r>
        <w:t xml:space="preserve">  </w:t>
      </w:r>
    </w:p>
    <w:p w14:paraId="24B35CA2" w14:textId="35CE25D6" w:rsidR="00EF1FA8" w:rsidRDefault="00EF1FA8" w:rsidP="00EF1FA8">
      <w:pPr>
        <w:pStyle w:val="SubmissionNormal"/>
        <w:numPr>
          <w:ilvl w:val="0"/>
          <w:numId w:val="22"/>
        </w:numPr>
        <w:pBdr>
          <w:top w:val="nil"/>
          <w:left w:val="nil"/>
          <w:bottom w:val="nil"/>
          <w:right w:val="nil"/>
          <w:between w:val="nil"/>
          <w:bar w:val="nil"/>
        </w:pBdr>
      </w:pPr>
      <w:r>
        <w:t>Effectively protecting children</w:t>
      </w:r>
      <w:r w:rsidR="002A1B10">
        <w:t xml:space="preserve"> and young people</w:t>
      </w:r>
      <w:r>
        <w:t xml:space="preserve"> from the negative impact of harmful content online is not therefore simply a matter of remov</w:t>
      </w:r>
      <w:r w:rsidR="003D7941">
        <w:t>ing</w:t>
      </w:r>
      <w:r>
        <w:t xml:space="preserve"> or block</w:t>
      </w:r>
      <w:r w:rsidR="003D7941">
        <w:t>ing</w:t>
      </w:r>
      <w:r>
        <w:t xml:space="preserve"> such material. It requires a range of measures to inform and empower children</w:t>
      </w:r>
      <w:r w:rsidR="002A1B10">
        <w:t xml:space="preserve"> and young people</w:t>
      </w:r>
      <w:r>
        <w:t xml:space="preserve"> to be able to identify, process and critique harmful content if they are confronted with it, and to feel comfortable in seeking support from adults.  </w:t>
      </w:r>
    </w:p>
    <w:p w14:paraId="0FF5795D" w14:textId="77777777" w:rsidR="00EF1FA8" w:rsidRDefault="00EF1FA8" w:rsidP="00EF1FA8">
      <w:pPr>
        <w:pStyle w:val="Body"/>
        <w:numPr>
          <w:ilvl w:val="0"/>
          <w:numId w:val="22"/>
        </w:numPr>
      </w:pPr>
      <w:r>
        <w:t xml:space="preserve">The UN Committee on the Rights of the Child has explained that: </w:t>
      </w:r>
    </w:p>
    <w:p w14:paraId="573D9556" w14:textId="77777777" w:rsidR="00EF1FA8" w:rsidRPr="00F45837" w:rsidRDefault="00EF1FA8" w:rsidP="00563B11">
      <w:pPr>
        <w:pStyle w:val="SubmissionNormal"/>
        <w:numPr>
          <w:ilvl w:val="0"/>
          <w:numId w:val="0"/>
        </w:numPr>
        <w:ind w:left="1418"/>
        <w:rPr>
          <w:sz w:val="22"/>
          <w:szCs w:val="22"/>
        </w:rPr>
      </w:pPr>
      <w:r w:rsidRPr="00F45837">
        <w:rPr>
          <w:sz w:val="22"/>
          <w:szCs w:val="22"/>
        </w:rPr>
        <w:t>A child rights-based approach to child caregiving and protection requires a paradigm shift towards respecting and promoting the human dignity and the physical and psychological integrity of children as rights-bearing individuals rather than perceiving them primaril</w:t>
      </w:r>
      <w:r>
        <w:rPr>
          <w:sz w:val="22"/>
          <w:szCs w:val="22"/>
        </w:rPr>
        <w:t>y as ‘victims’</w:t>
      </w:r>
      <w:r w:rsidRPr="00F45837">
        <w:rPr>
          <w:sz w:val="22"/>
          <w:szCs w:val="22"/>
        </w:rPr>
        <w:t>.</w:t>
      </w:r>
      <w:r>
        <w:rPr>
          <w:rStyle w:val="EndnoteReference"/>
          <w:rFonts w:eastAsia="MS Mincho"/>
          <w:sz w:val="22"/>
          <w:szCs w:val="22"/>
        </w:rPr>
        <w:endnoteReference w:id="62"/>
      </w:r>
    </w:p>
    <w:p w14:paraId="7096F90E" w14:textId="77777777" w:rsidR="00EF1FA8" w:rsidRDefault="00EF1FA8" w:rsidP="00CB040F">
      <w:pPr>
        <w:pStyle w:val="SubmissionNormal"/>
        <w:numPr>
          <w:ilvl w:val="0"/>
          <w:numId w:val="0"/>
        </w:numPr>
        <w:ind w:left="720"/>
      </w:pPr>
      <w:r w:rsidRPr="006C4292">
        <w:t>The Committee stated that children’s ‘empowerment and participation should be central to child caregiving and protection strategies and programmes’.</w:t>
      </w:r>
      <w:r w:rsidRPr="006C4292">
        <w:rPr>
          <w:rStyle w:val="EndnoteReference"/>
          <w:rFonts w:eastAsia="MS Mincho"/>
          <w:sz w:val="22"/>
          <w:szCs w:val="22"/>
        </w:rPr>
        <w:endnoteReference w:id="63"/>
      </w:r>
      <w:r w:rsidRPr="006C4292">
        <w:rPr>
          <w:rStyle w:val="EndnoteReference"/>
          <w:rFonts w:eastAsia="MS Mincho"/>
          <w:sz w:val="22"/>
          <w:szCs w:val="22"/>
        </w:rPr>
        <w:t xml:space="preserve"> </w:t>
      </w:r>
      <w:r w:rsidRPr="006C4292">
        <w:t xml:space="preserve"> </w:t>
      </w:r>
      <w:r>
        <w:t xml:space="preserve"> </w:t>
      </w:r>
    </w:p>
    <w:p w14:paraId="6ADD6EBE" w14:textId="77777777" w:rsidR="00EF1FA8" w:rsidRDefault="00EF1FA8" w:rsidP="00EF1FA8">
      <w:pPr>
        <w:pStyle w:val="Body"/>
        <w:numPr>
          <w:ilvl w:val="0"/>
          <w:numId w:val="22"/>
        </w:numPr>
      </w:pPr>
      <w:r>
        <w:t>The Council of Europe’s Commissioner for Human Rights has stated that ‘[g]iving children the tools to protect themselves against threats on the Internet and become more aware of their responsibilities is probably the most effective way of safeguarding children’s rights on the Internet’.</w:t>
      </w:r>
      <w:r>
        <w:rPr>
          <w:rStyle w:val="EndnoteReference"/>
        </w:rPr>
        <w:endnoteReference w:id="64"/>
      </w:r>
      <w:r>
        <w:t xml:space="preserve"> </w:t>
      </w:r>
    </w:p>
    <w:p w14:paraId="4BEE5526" w14:textId="61C7ABB3" w:rsidR="00EF1FA8" w:rsidRDefault="00EF1FA8" w:rsidP="00EF1FA8">
      <w:pPr>
        <w:pStyle w:val="SubmissionNormal"/>
        <w:numPr>
          <w:ilvl w:val="0"/>
          <w:numId w:val="22"/>
        </w:numPr>
        <w:pBdr>
          <w:top w:val="nil"/>
          <w:left w:val="nil"/>
          <w:bottom w:val="nil"/>
          <w:right w:val="nil"/>
          <w:between w:val="nil"/>
          <w:bar w:val="nil"/>
        </w:pBdr>
      </w:pPr>
      <w:r>
        <w:t xml:space="preserve">The UN Special Representative </w:t>
      </w:r>
      <w:r w:rsidRPr="008412BD">
        <w:t>of the Secretary-General on Violence against Children</w:t>
      </w:r>
      <w:r>
        <w:t xml:space="preserve"> has </w:t>
      </w:r>
      <w:r w:rsidR="00A025D0">
        <w:t xml:space="preserve">similarly </w:t>
      </w:r>
      <w:r>
        <w:t>highlighted that:</w:t>
      </w:r>
    </w:p>
    <w:p w14:paraId="114582D3" w14:textId="77777777" w:rsidR="00EF1FA8" w:rsidRPr="000E2099" w:rsidRDefault="00EF1FA8" w:rsidP="00563B11">
      <w:pPr>
        <w:pStyle w:val="SubmissionNormal"/>
        <w:numPr>
          <w:ilvl w:val="0"/>
          <w:numId w:val="0"/>
        </w:numPr>
        <w:ind w:left="1418"/>
      </w:pPr>
      <w:r w:rsidRPr="000E2099">
        <w:rPr>
          <w:sz w:val="22"/>
          <w:szCs w:val="22"/>
        </w:rPr>
        <w:t>When children are appropriately supported and given the opportunity to learn life skills that increase their confidence and resilience in the safe use of ICTs, they become the most effective agents in preventing and coping with risks, and in protecting other children.</w:t>
      </w:r>
      <w:r>
        <w:rPr>
          <w:rStyle w:val="EndnoteReference"/>
          <w:rFonts w:eastAsia="MS Mincho"/>
          <w:sz w:val="22"/>
          <w:szCs w:val="22"/>
        </w:rPr>
        <w:endnoteReference w:id="65"/>
      </w:r>
    </w:p>
    <w:p w14:paraId="32B8A155" w14:textId="7F155AC6" w:rsidR="00EF1FA8" w:rsidRPr="000E2099" w:rsidRDefault="00EF1FA8" w:rsidP="00EF1FA8">
      <w:pPr>
        <w:pStyle w:val="SubmissionNormal"/>
        <w:numPr>
          <w:ilvl w:val="0"/>
          <w:numId w:val="22"/>
        </w:numPr>
        <w:pBdr>
          <w:top w:val="nil"/>
          <w:left w:val="nil"/>
          <w:bottom w:val="nil"/>
          <w:right w:val="nil"/>
          <w:between w:val="nil"/>
          <w:bar w:val="nil"/>
        </w:pBdr>
      </w:pPr>
      <w:r>
        <w:t>She has explain</w:t>
      </w:r>
      <w:r w:rsidR="001D4FF9">
        <w:t>e</w:t>
      </w:r>
      <w:r w:rsidR="00E4218B">
        <w:t>d that in order to achieve this</w:t>
      </w:r>
      <w:r w:rsidR="00AF1464">
        <w:t>:</w:t>
      </w:r>
      <w:r w:rsidR="001D4FF9">
        <w:t xml:space="preserve"> </w:t>
      </w:r>
    </w:p>
    <w:p w14:paraId="70121B0F" w14:textId="00E80634" w:rsidR="00EF1FA8" w:rsidRDefault="00A06143" w:rsidP="00563B11">
      <w:pPr>
        <w:pStyle w:val="SubmissionNormal"/>
        <w:numPr>
          <w:ilvl w:val="0"/>
          <w:numId w:val="0"/>
        </w:numPr>
        <w:ind w:left="1418"/>
        <w:rPr>
          <w:sz w:val="22"/>
          <w:szCs w:val="22"/>
        </w:rPr>
      </w:pPr>
      <w:r>
        <w:rPr>
          <w:sz w:val="22"/>
          <w:szCs w:val="22"/>
        </w:rPr>
        <w:t>…</w:t>
      </w:r>
      <w:r w:rsidR="00EF1FA8" w:rsidRPr="00F43CF4">
        <w:rPr>
          <w:sz w:val="22"/>
          <w:szCs w:val="22"/>
        </w:rPr>
        <w:t xml:space="preserve">it is crucial to provide information and advice to parents, and other adults dealing with children, about existing technologies and practices online, as well as on how children perceive, interact with and navigate the online world. An open dialogue between parents and children, including parents taking time to surf the Internet with their children, guiding and reassuring them and </w:t>
      </w:r>
      <w:r w:rsidR="00EF1FA8" w:rsidRPr="00F43CF4">
        <w:rPr>
          <w:sz w:val="22"/>
          <w:szCs w:val="22"/>
        </w:rPr>
        <w:lastRenderedPageBreak/>
        <w:t>discussing online practices which may present risks, is critical. This dialogue should address the diverse aspects of online behaviour, including sites visited, protection of privacy, and the safe exchange of information and images.</w:t>
      </w:r>
      <w:r w:rsidR="00EF1FA8" w:rsidRPr="00F43CF4">
        <w:rPr>
          <w:rStyle w:val="EndnoteReference"/>
          <w:rFonts w:eastAsia="MS Mincho"/>
          <w:sz w:val="22"/>
          <w:szCs w:val="22"/>
        </w:rPr>
        <w:endnoteReference w:id="66"/>
      </w:r>
      <w:r w:rsidR="00EF1FA8" w:rsidRPr="00F43CF4">
        <w:rPr>
          <w:sz w:val="22"/>
          <w:szCs w:val="22"/>
        </w:rPr>
        <w:t xml:space="preserve"> </w:t>
      </w:r>
    </w:p>
    <w:p w14:paraId="01A4FED9" w14:textId="650B247A" w:rsidR="00EF1FA8" w:rsidRDefault="00EF1FA8" w:rsidP="00EF1FA8">
      <w:pPr>
        <w:pStyle w:val="SubmissionNormal"/>
        <w:numPr>
          <w:ilvl w:val="0"/>
          <w:numId w:val="22"/>
        </w:numPr>
        <w:pBdr>
          <w:top w:val="nil"/>
          <w:left w:val="nil"/>
          <w:bottom w:val="nil"/>
          <w:right w:val="nil"/>
          <w:between w:val="nil"/>
          <w:bar w:val="nil"/>
        </w:pBdr>
      </w:pPr>
      <w:r>
        <w:t xml:space="preserve">The need for parents to be informed and equipped to engage with their children </w:t>
      </w:r>
      <w:r w:rsidR="00C648AC">
        <w:t>about online safety is reinforced</w:t>
      </w:r>
      <w:r>
        <w:t xml:space="preserve"> by research conducted by the Australian Communications and Media Authority (ACMA). ACMA surveyed parents and children aged 8 to 17, and found that the majority of children (78 per cent) reported they were most likely to turn to their parents if they needed to enquire about a potential cyber-safety issue</w:t>
      </w:r>
      <w:r w:rsidR="00E466C7">
        <w:t>.</w:t>
      </w:r>
      <w:r w:rsidR="00D40890">
        <w:rPr>
          <w:rStyle w:val="EndnoteReference"/>
        </w:rPr>
        <w:endnoteReference w:id="67"/>
      </w:r>
      <w:r>
        <w:t xml:space="preserve"> </w:t>
      </w:r>
      <w:r w:rsidR="00E466C7">
        <w:t>T</w:t>
      </w:r>
      <w:r>
        <w:t>he second main source of information was teachers.</w:t>
      </w:r>
      <w:r>
        <w:rPr>
          <w:rStyle w:val="EndnoteReference"/>
          <w:rFonts w:eastAsia="MS Mincho"/>
        </w:rPr>
        <w:endnoteReference w:id="68"/>
      </w:r>
    </w:p>
    <w:p w14:paraId="31D169A1" w14:textId="08948C74" w:rsidR="00EF1FA8" w:rsidRDefault="00F930AF" w:rsidP="00EF1FA8">
      <w:pPr>
        <w:pStyle w:val="SubmissionNormal"/>
        <w:numPr>
          <w:ilvl w:val="0"/>
          <w:numId w:val="22"/>
        </w:numPr>
        <w:pBdr>
          <w:top w:val="nil"/>
          <w:left w:val="nil"/>
          <w:bottom w:val="nil"/>
          <w:right w:val="nil"/>
          <w:between w:val="nil"/>
          <w:bar w:val="nil"/>
        </w:pBdr>
      </w:pPr>
      <w:r>
        <w:t>A</w:t>
      </w:r>
      <w:r w:rsidR="003D7941">
        <w:t xml:space="preserve"> range of ‘cybersmart’ </w:t>
      </w:r>
      <w:r w:rsidR="00EF1FA8">
        <w:t xml:space="preserve">resources </w:t>
      </w:r>
      <w:r>
        <w:t xml:space="preserve">are available on the website of the Office of the Children’s eSafety Commissioner </w:t>
      </w:r>
      <w:r w:rsidR="00EF1FA8">
        <w:t>to educate children an</w:t>
      </w:r>
      <w:r w:rsidR="00D9793A">
        <w:t xml:space="preserve">d parents about online safety, </w:t>
      </w:r>
      <w:r w:rsidR="00EF1FA8">
        <w:t xml:space="preserve">including </w:t>
      </w:r>
      <w:r w:rsidR="005C1E0A">
        <w:t>advice</w:t>
      </w:r>
      <w:r w:rsidR="001E7B5A">
        <w:t xml:space="preserve"> </w:t>
      </w:r>
      <w:r w:rsidR="00EF1FA8">
        <w:t>for parents</w:t>
      </w:r>
      <w:r w:rsidR="005C1E0A">
        <w:t xml:space="preserve"> on</w:t>
      </w:r>
      <w:r w:rsidR="00EF1FA8">
        <w:t xml:space="preserve"> how to talk to their chi</w:t>
      </w:r>
      <w:r w:rsidR="001E7B5A">
        <w:t>ldren about harmful content</w:t>
      </w:r>
      <w:r w:rsidR="00E466C7">
        <w:t>,</w:t>
      </w:r>
      <w:r w:rsidR="00D9793A">
        <w:t xml:space="preserve"> such as pornography</w:t>
      </w:r>
      <w:r w:rsidR="00E466C7">
        <w:t>,</w:t>
      </w:r>
      <w:r w:rsidR="00D9793A">
        <w:t xml:space="preserve"> that they may see online</w:t>
      </w:r>
      <w:r w:rsidR="00EF1FA8">
        <w:t>.</w:t>
      </w:r>
      <w:r w:rsidR="00EF1FA8">
        <w:rPr>
          <w:rStyle w:val="EndnoteReference"/>
        </w:rPr>
        <w:endnoteReference w:id="69"/>
      </w:r>
      <w:r w:rsidR="00EF1FA8">
        <w:t xml:space="preserve"> </w:t>
      </w:r>
      <w:r w:rsidR="003D7941">
        <w:t>R</w:t>
      </w:r>
      <w:r w:rsidR="00EF1FA8">
        <w:t>esources about digital citizenship for teachers to use for students at various age levels</w:t>
      </w:r>
      <w:r w:rsidR="003D7941">
        <w:t xml:space="preserve"> are also available</w:t>
      </w:r>
      <w:r w:rsidR="00EF1FA8">
        <w:t>.</w:t>
      </w:r>
      <w:r w:rsidR="00EF1FA8">
        <w:rPr>
          <w:rStyle w:val="EndnoteReference"/>
          <w:rFonts w:eastAsia="MS Mincho"/>
        </w:rPr>
        <w:endnoteReference w:id="70"/>
      </w:r>
      <w:r w:rsidR="00EF1FA8">
        <w:t xml:space="preserve">  </w:t>
      </w:r>
    </w:p>
    <w:p w14:paraId="49CE1211" w14:textId="06DB8C56" w:rsidR="00EF1FA8" w:rsidRPr="00800F71" w:rsidRDefault="00141EBA" w:rsidP="00EF1FA8">
      <w:pPr>
        <w:pStyle w:val="Body"/>
        <w:rPr>
          <w:b/>
        </w:rPr>
      </w:pPr>
      <w:r>
        <w:rPr>
          <w:b/>
        </w:rPr>
        <w:t xml:space="preserve">Recommendation 2: </w:t>
      </w:r>
      <w:r w:rsidRPr="00141EBA">
        <w:rPr>
          <w:b/>
        </w:rPr>
        <w:t xml:space="preserve">The Australian Government promote educational resources for children, parents and teachers/schools about online safety, and fund the development of specific </w:t>
      </w:r>
      <w:r w:rsidR="00AD5D0E">
        <w:rPr>
          <w:b/>
        </w:rPr>
        <w:t xml:space="preserve">age-appropriate </w:t>
      </w:r>
      <w:r w:rsidRPr="00141EBA">
        <w:rPr>
          <w:b/>
        </w:rPr>
        <w:t xml:space="preserve">resources for children about </w:t>
      </w:r>
      <w:r w:rsidR="00770286" w:rsidRPr="00F80506">
        <w:rPr>
          <w:b/>
        </w:rPr>
        <w:t>dealing with</w:t>
      </w:r>
      <w:r w:rsidR="00770286">
        <w:rPr>
          <w:b/>
        </w:rPr>
        <w:t xml:space="preserve"> </w:t>
      </w:r>
      <w:r w:rsidRPr="00141EBA">
        <w:rPr>
          <w:b/>
        </w:rPr>
        <w:t>exposure to pornographic content online, informed by the findings of the research mentioned in recommendation 1.</w:t>
      </w:r>
    </w:p>
    <w:p w14:paraId="0197ED95" w14:textId="421948B7" w:rsidR="00EF1FA8" w:rsidRDefault="00EF1FA8" w:rsidP="00EF1FA8">
      <w:pPr>
        <w:pStyle w:val="SubmissionNormal"/>
        <w:numPr>
          <w:ilvl w:val="0"/>
          <w:numId w:val="22"/>
        </w:numPr>
        <w:pBdr>
          <w:top w:val="nil"/>
          <w:left w:val="nil"/>
          <w:bottom w:val="nil"/>
          <w:right w:val="nil"/>
          <w:between w:val="nil"/>
          <w:bar w:val="nil"/>
        </w:pBdr>
      </w:pPr>
      <w:r>
        <w:t>The UN Committee on the Rights of the Child has stated that under article 19 of the CRC States Parties are required to adopt educational measures targeting children</w:t>
      </w:r>
      <w:r w:rsidR="007B2DCD">
        <w:t xml:space="preserve"> and young people</w:t>
      </w:r>
      <w:r>
        <w:t>, their families and communities in order to protect children</w:t>
      </w:r>
      <w:r w:rsidR="007B2DCD">
        <w:t xml:space="preserve"> and young people</w:t>
      </w:r>
      <w:r>
        <w:t xml:space="preserve"> from all forms of physical and mental violence, abuse and maltreatment.</w:t>
      </w:r>
      <w:r w:rsidR="005D049E">
        <w:rPr>
          <w:rStyle w:val="EndnoteReference"/>
        </w:rPr>
        <w:endnoteReference w:id="71"/>
      </w:r>
      <w:r>
        <w:t xml:space="preserve"> For children</w:t>
      </w:r>
      <w:r w:rsidR="007B2DCD">
        <w:t xml:space="preserve"> and young people</w:t>
      </w:r>
      <w:r>
        <w:t xml:space="preserve"> these measures should include:  </w:t>
      </w:r>
    </w:p>
    <w:p w14:paraId="3C822F5E" w14:textId="77777777" w:rsidR="00EF1FA8" w:rsidRPr="009F6625" w:rsidRDefault="00EF1FA8" w:rsidP="00563B11">
      <w:pPr>
        <w:pStyle w:val="SubmissionNormal"/>
        <w:numPr>
          <w:ilvl w:val="0"/>
          <w:numId w:val="0"/>
        </w:numPr>
        <w:ind w:left="1418"/>
        <w:rPr>
          <w:sz w:val="22"/>
          <w:szCs w:val="22"/>
        </w:rPr>
      </w:pPr>
      <w:r w:rsidRPr="00AF592D">
        <w:rPr>
          <w:sz w:val="22"/>
          <w:szCs w:val="22"/>
          <w:shd w:val="clear" w:color="auto" w:fill="FFFFFF"/>
        </w:rPr>
        <w:t xml:space="preserve">provision of accurate, accessible and age-appropriate information and empowerment on life skills, self-protection and specific risks, including those relating to ICTs and how to </w:t>
      </w:r>
      <w:r w:rsidRPr="00AF592D">
        <w:rPr>
          <w:sz w:val="22"/>
          <w:szCs w:val="22"/>
        </w:rPr>
        <w:t>develop</w:t>
      </w:r>
      <w:r w:rsidRPr="00AF592D">
        <w:rPr>
          <w:sz w:val="22"/>
          <w:szCs w:val="22"/>
          <w:shd w:val="clear" w:color="auto" w:fill="FFFFFF"/>
        </w:rPr>
        <w:t xml:space="preserve"> positive peer relationships and combat bullying; empowerment regarding child rights in general </w:t>
      </w:r>
      <w:r w:rsidRPr="00AF592D">
        <w:rPr>
          <w:sz w:val="22"/>
          <w:szCs w:val="22"/>
          <w:shd w:val="clear" w:color="auto" w:fill="FFFFFF"/>
        </w:rPr>
        <w:noBreakHyphen/>
        <w:t xml:space="preserve"> and in particular on the right to be heard and to have their views taken seriously</w:t>
      </w:r>
      <w:r w:rsidRPr="00AF592D">
        <w:rPr>
          <w:rFonts w:ascii="Verdana" w:hAnsi="Verdana"/>
          <w:sz w:val="22"/>
          <w:szCs w:val="22"/>
        </w:rPr>
        <w:t xml:space="preserve"> </w:t>
      </w:r>
      <w:r w:rsidRPr="00AF592D">
        <w:rPr>
          <w:sz w:val="22"/>
          <w:szCs w:val="22"/>
        </w:rPr>
        <w:noBreakHyphen/>
        <w:t xml:space="preserve"> through the school curriculum and in other ways</w:t>
      </w:r>
      <w:r w:rsidRPr="00AF592D">
        <w:rPr>
          <w:sz w:val="22"/>
          <w:szCs w:val="22"/>
          <w:shd w:val="clear" w:color="auto" w:fill="FFFFFF"/>
        </w:rPr>
        <w:t>.</w:t>
      </w:r>
      <w:r w:rsidRPr="00AF592D">
        <w:rPr>
          <w:rStyle w:val="EndnoteReference"/>
          <w:rFonts w:eastAsia="MS Mincho"/>
          <w:sz w:val="22"/>
          <w:szCs w:val="22"/>
          <w:shd w:val="clear" w:color="auto" w:fill="FFFFFF"/>
        </w:rPr>
        <w:endnoteReference w:id="72"/>
      </w:r>
    </w:p>
    <w:p w14:paraId="695FF281" w14:textId="79635C44" w:rsidR="00EF1FA8" w:rsidRDefault="00EF1FA8" w:rsidP="00EF1FA8">
      <w:pPr>
        <w:pStyle w:val="SubmissionNormal"/>
        <w:numPr>
          <w:ilvl w:val="0"/>
          <w:numId w:val="22"/>
        </w:numPr>
        <w:pBdr>
          <w:top w:val="nil"/>
          <w:left w:val="nil"/>
          <w:bottom w:val="nil"/>
          <w:right w:val="nil"/>
          <w:between w:val="nil"/>
          <w:bar w:val="nil"/>
        </w:pBdr>
      </w:pPr>
      <w:r>
        <w:t>In a recent survey commissioned by Plan International Australia and Our Watch, 600 Australian girls and women aged 15-19 were asked what could improve their safety from risks associated with being online</w:t>
      </w:r>
      <w:r w:rsidR="002A0EF1">
        <w:t>.</w:t>
      </w:r>
      <w:r>
        <w:t xml:space="preserve"> </w:t>
      </w:r>
      <w:r w:rsidR="002A0EF1">
        <w:t>Over</w:t>
      </w:r>
      <w:r>
        <w:t xml:space="preserve"> a third called for more comprehensive education on sexuality and respectful relationships</w:t>
      </w:r>
      <w:r w:rsidR="002A0EF1">
        <w:t>,</w:t>
      </w:r>
      <w:r>
        <w:rPr>
          <w:rStyle w:val="EndnoteReference"/>
          <w:rFonts w:eastAsia="MS Mincho"/>
        </w:rPr>
        <w:endnoteReference w:id="73"/>
      </w:r>
      <w:r>
        <w:t xml:space="preserve">  </w:t>
      </w:r>
      <w:r w:rsidR="002A0EF1">
        <w:t>with s</w:t>
      </w:r>
      <w:r>
        <w:t xml:space="preserve">everal </w:t>
      </w:r>
      <w:r w:rsidR="002A0EF1">
        <w:t xml:space="preserve">respondents </w:t>
      </w:r>
      <w:r>
        <w:t>suggest</w:t>
      </w:r>
      <w:r w:rsidR="002A0EF1">
        <w:t>ing</w:t>
      </w:r>
      <w:r>
        <w:t xml:space="preserve"> that this education should include critique and discussion of pornography and its negative impacts.</w:t>
      </w:r>
      <w:r>
        <w:rPr>
          <w:rStyle w:val="EndnoteReference"/>
          <w:rFonts w:eastAsia="MS Mincho"/>
        </w:rPr>
        <w:endnoteReference w:id="74"/>
      </w:r>
    </w:p>
    <w:p w14:paraId="20E71D80" w14:textId="6E1F2D35" w:rsidR="00883FC9" w:rsidRPr="00883FC9" w:rsidRDefault="00EF1FA8" w:rsidP="00EF1FA8">
      <w:pPr>
        <w:pStyle w:val="SubmissionNormal"/>
        <w:numPr>
          <w:ilvl w:val="0"/>
          <w:numId w:val="22"/>
        </w:numPr>
        <w:pBdr>
          <w:top w:val="nil"/>
          <w:left w:val="nil"/>
          <w:bottom w:val="nil"/>
          <w:right w:val="nil"/>
          <w:between w:val="nil"/>
          <w:bar w:val="nil"/>
        </w:pBdr>
      </w:pPr>
      <w:r>
        <w:t>The review by England’s Children’s Commissioner noted that ‘there is growing evidence that indicates that young people are unhappy with the sex education they are receiving and that they increasingly use pornography, expecting it to educate and give information regarding sexual practices and norms.’</w:t>
      </w:r>
      <w:r>
        <w:rPr>
          <w:rStyle w:val="EndnoteReference"/>
          <w:rFonts w:eastAsia="MS Mincho"/>
        </w:rPr>
        <w:endnoteReference w:id="75"/>
      </w:r>
      <w:r>
        <w:t xml:space="preserve"> The authors of the review reported that in the workshop conducted with young </w:t>
      </w:r>
      <w:r w:rsidR="00883FC9">
        <w:rPr>
          <w:rFonts w:cs="Arial"/>
        </w:rPr>
        <w:t xml:space="preserve">people: </w:t>
      </w:r>
    </w:p>
    <w:p w14:paraId="5D637AC9" w14:textId="77777777" w:rsidR="00EF1FA8" w:rsidRPr="00883FC9" w:rsidRDefault="00883FC9" w:rsidP="00883FC9">
      <w:pPr>
        <w:pStyle w:val="SubmissionNormal"/>
        <w:numPr>
          <w:ilvl w:val="0"/>
          <w:numId w:val="0"/>
        </w:numPr>
        <w:ind w:left="1418"/>
        <w:rPr>
          <w:sz w:val="22"/>
          <w:szCs w:val="22"/>
        </w:rPr>
      </w:pPr>
      <w:r w:rsidRPr="00883FC9">
        <w:rPr>
          <w:sz w:val="22"/>
          <w:szCs w:val="22"/>
        </w:rPr>
        <w:lastRenderedPageBreak/>
        <w:t>T</w:t>
      </w:r>
      <w:r w:rsidR="00EF1FA8" w:rsidRPr="00883FC9">
        <w:rPr>
          <w:sz w:val="22"/>
          <w:szCs w:val="22"/>
        </w:rPr>
        <w:t>he need for more education about relationships and sex was highlighted by the young people repeatedly, as was the crucial role teachers and parents can play in helping them to make sense of, and develop strategie</w:t>
      </w:r>
      <w:r>
        <w:rPr>
          <w:sz w:val="22"/>
          <w:szCs w:val="22"/>
        </w:rPr>
        <w:t>s for coping with, pornography.</w:t>
      </w:r>
      <w:r w:rsidR="00EF1FA8" w:rsidRPr="00883FC9">
        <w:rPr>
          <w:rStyle w:val="EndnoteReference"/>
          <w:rFonts w:eastAsia="MS Mincho"/>
        </w:rPr>
        <w:endnoteReference w:id="76"/>
      </w:r>
    </w:p>
    <w:p w14:paraId="4C6A4F34" w14:textId="28ADE7F6" w:rsidR="00EF1FA8" w:rsidRDefault="00EF1FA8" w:rsidP="00EF1FA8">
      <w:pPr>
        <w:pStyle w:val="SubmissionNormal"/>
        <w:numPr>
          <w:ilvl w:val="0"/>
          <w:numId w:val="22"/>
        </w:numPr>
        <w:pBdr>
          <w:top w:val="nil"/>
          <w:left w:val="nil"/>
          <w:bottom w:val="nil"/>
          <w:right w:val="nil"/>
          <w:between w:val="nil"/>
          <w:bar w:val="nil"/>
        </w:pBdr>
        <w:rPr>
          <w:rFonts w:cs="Arial"/>
        </w:rPr>
      </w:pPr>
      <w:r w:rsidRPr="00351BD7">
        <w:rPr>
          <w:rFonts w:cs="Arial"/>
        </w:rPr>
        <w:t>The primary r</w:t>
      </w:r>
      <w:r w:rsidR="00E16EB4">
        <w:rPr>
          <w:rFonts w:cs="Arial"/>
        </w:rPr>
        <w:t>ecommendations of the English</w:t>
      </w:r>
      <w:r w:rsidRPr="00351BD7">
        <w:rPr>
          <w:rFonts w:cs="Arial"/>
        </w:rPr>
        <w:t xml:space="preserve"> review </w:t>
      </w:r>
      <w:r w:rsidR="00E16EB4">
        <w:rPr>
          <w:rFonts w:cs="Arial"/>
        </w:rPr>
        <w:t>of</w:t>
      </w:r>
      <w:r w:rsidR="00722C9A">
        <w:rPr>
          <w:rFonts w:cs="Arial"/>
        </w:rPr>
        <w:t xml:space="preserve"> the impact</w:t>
      </w:r>
      <w:r>
        <w:rPr>
          <w:rFonts w:cs="Arial"/>
        </w:rPr>
        <w:t xml:space="preserve"> of pornography was that all schools ‘should understand the importance of, and deliver, effective relationship and sex education which must include safe use of the internet’.</w:t>
      </w:r>
      <w:r>
        <w:rPr>
          <w:rStyle w:val="EndnoteReference"/>
          <w:rFonts w:eastAsia="MS Mincho" w:cs="Arial"/>
        </w:rPr>
        <w:endnoteReference w:id="77"/>
      </w:r>
      <w:r>
        <w:rPr>
          <w:rFonts w:cs="Arial"/>
        </w:rPr>
        <w:t xml:space="preserve"> The review recommended that ‘curriculum content on relationships and sex education cove[r] access and exposure to pornography and sexual practices that are relevant to young people’s lives and experiences, as a means of building young people’s resilience.’</w:t>
      </w:r>
      <w:r>
        <w:rPr>
          <w:rStyle w:val="EndnoteReference"/>
          <w:rFonts w:eastAsia="MS Mincho" w:cs="Arial"/>
        </w:rPr>
        <w:endnoteReference w:id="78"/>
      </w:r>
    </w:p>
    <w:p w14:paraId="256D6418" w14:textId="0C2DB22E" w:rsidR="00EF1FA8" w:rsidRPr="00800F71" w:rsidRDefault="00EF1FA8" w:rsidP="00EF1FA8">
      <w:pPr>
        <w:pStyle w:val="SubmissionNormal"/>
        <w:numPr>
          <w:ilvl w:val="0"/>
          <w:numId w:val="22"/>
        </w:numPr>
        <w:pBdr>
          <w:top w:val="nil"/>
          <w:left w:val="nil"/>
          <w:bottom w:val="nil"/>
          <w:right w:val="nil"/>
          <w:between w:val="nil"/>
          <w:bar w:val="nil"/>
        </w:pBdr>
        <w:rPr>
          <w:rStyle w:val="PageNumber"/>
          <w:rFonts w:eastAsia="MS Mincho" w:cs="Arial"/>
        </w:rPr>
      </w:pPr>
      <w:r>
        <w:rPr>
          <w:rFonts w:cs="Arial"/>
        </w:rPr>
        <w:t>In 2013 VicHealth, with the support of the Commonwealth Department of Social Services, undertook the third National Community Attitudes towards Viol</w:t>
      </w:r>
      <w:r w:rsidR="00A71F5D">
        <w:rPr>
          <w:rFonts w:cs="Arial"/>
        </w:rPr>
        <w:t>ence Against Women Survey</w:t>
      </w:r>
      <w:r>
        <w:rPr>
          <w:rFonts w:cs="Arial"/>
        </w:rPr>
        <w:t xml:space="preserve">. Based on the responses given by </w:t>
      </w:r>
      <w:r w:rsidRPr="00C2061A">
        <w:rPr>
          <w:rFonts w:cs="Arial"/>
          <w:color w:val="000000"/>
        </w:rPr>
        <w:t>1</w:t>
      </w:r>
      <w:r w:rsidR="00A71F5D">
        <w:rPr>
          <w:rFonts w:cs="Arial"/>
          <w:color w:val="000000"/>
        </w:rPr>
        <w:t>,</w:t>
      </w:r>
      <w:r w:rsidRPr="00C2061A">
        <w:rPr>
          <w:rFonts w:cs="Arial"/>
          <w:color w:val="000000"/>
        </w:rPr>
        <w:t>923 young people aged 16–24 years</w:t>
      </w:r>
      <w:r>
        <w:rPr>
          <w:rFonts w:cs="Arial"/>
        </w:rPr>
        <w:t>, VicHealth recommended potential strategies to influence young people’s attitudes and behaviour to prevent violence against women. One strategy involved strengthening young people’s ‘critical literacy’ skills, to enable them to critically engage with popular culture which may promote harmful behaviour or attitudes towards women.</w:t>
      </w:r>
      <w:r>
        <w:rPr>
          <w:rStyle w:val="EndnoteReference"/>
          <w:rFonts w:cs="Arial"/>
        </w:rPr>
        <w:endnoteReference w:id="79"/>
      </w:r>
      <w:r>
        <w:rPr>
          <w:rFonts w:cs="Arial"/>
        </w:rPr>
        <w:t xml:space="preserve"> </w:t>
      </w:r>
      <w:r w:rsidRPr="003346AC">
        <w:rPr>
          <w:rFonts w:cs="Arial"/>
        </w:rPr>
        <w:t xml:space="preserve">VicHealth highlighted as a good example the ‘Reality and Risk’ project based at Brophy Family and Youth Services, which has developed resources designed for teachers and parents to help them support young people to think </w:t>
      </w:r>
      <w:r w:rsidRPr="00800F71">
        <w:rPr>
          <w:rFonts w:cs="Arial"/>
        </w:rPr>
        <w:t>critically about pornography.</w:t>
      </w:r>
      <w:r w:rsidRPr="00800F71">
        <w:rPr>
          <w:rStyle w:val="EndnoteReference"/>
          <w:rFonts w:cs="Arial"/>
        </w:rPr>
        <w:endnoteReference w:id="80"/>
      </w:r>
    </w:p>
    <w:p w14:paraId="1EF367DB" w14:textId="44FC8044" w:rsidR="00482B84" w:rsidRPr="00482B84" w:rsidRDefault="00482B84" w:rsidP="00482B84">
      <w:pPr>
        <w:pStyle w:val="Body"/>
        <w:rPr>
          <w:rStyle w:val="PageNumber"/>
          <w:b/>
          <w:bCs/>
        </w:rPr>
      </w:pPr>
      <w:r w:rsidRPr="004657C5">
        <w:rPr>
          <w:rStyle w:val="PageNumber"/>
          <w:b/>
        </w:rPr>
        <w:t xml:space="preserve">Recommendation 3: </w:t>
      </w:r>
      <w:r w:rsidRPr="004657C5">
        <w:rPr>
          <w:rStyle w:val="PageNumber"/>
          <w:b/>
          <w:bCs/>
        </w:rPr>
        <w:t xml:space="preserve">The Australian Government work with state and territory governments to ensure </w:t>
      </w:r>
      <w:r w:rsidRPr="004657C5">
        <w:rPr>
          <w:rFonts w:cs="Arial"/>
          <w:b/>
          <w:lang w:val="en-AU"/>
        </w:rPr>
        <w:t>critical discussion of porno</w:t>
      </w:r>
      <w:r w:rsidR="00A929FA">
        <w:rPr>
          <w:rFonts w:cs="Arial"/>
          <w:b/>
          <w:lang w:val="en-AU"/>
        </w:rPr>
        <w:t xml:space="preserve">graphy forms part of </w:t>
      </w:r>
      <w:r w:rsidR="00C002D7">
        <w:rPr>
          <w:rFonts w:cs="Arial"/>
          <w:b/>
          <w:lang w:val="en-AU"/>
        </w:rPr>
        <w:t xml:space="preserve">effective, </w:t>
      </w:r>
      <w:r w:rsidRPr="00C002D7">
        <w:rPr>
          <w:rFonts w:cs="Arial"/>
          <w:b/>
          <w:lang w:val="en-AU"/>
        </w:rPr>
        <w:t xml:space="preserve">age-appropriate education about </w:t>
      </w:r>
      <w:r w:rsidR="00A929FA" w:rsidRPr="00E878B0">
        <w:rPr>
          <w:rFonts w:cs="Arial"/>
          <w:b/>
          <w:lang w:val="en-AU"/>
        </w:rPr>
        <w:t>healthy and respectful</w:t>
      </w:r>
      <w:r w:rsidR="00A929FA">
        <w:rPr>
          <w:rFonts w:cs="Arial"/>
          <w:b/>
          <w:lang w:val="en-AU"/>
        </w:rPr>
        <w:t xml:space="preserve"> </w:t>
      </w:r>
      <w:r w:rsidRPr="004657C5">
        <w:rPr>
          <w:rFonts w:cs="Arial"/>
          <w:b/>
          <w:lang w:val="en-AU"/>
        </w:rPr>
        <w:t>relationships and sex</w:t>
      </w:r>
      <w:r w:rsidR="00E878B0">
        <w:rPr>
          <w:rFonts w:cs="Arial"/>
          <w:b/>
          <w:lang w:val="en-AU"/>
        </w:rPr>
        <w:t>,</w:t>
      </w:r>
      <w:r w:rsidRPr="004657C5">
        <w:rPr>
          <w:rFonts w:cs="Arial"/>
          <w:b/>
          <w:lang w:val="en-AU"/>
        </w:rPr>
        <w:t xml:space="preserve"> delivered in schools, with parental support and reinforcement.</w:t>
      </w:r>
      <w:r w:rsidRPr="00482B84">
        <w:rPr>
          <w:rFonts w:cs="Arial"/>
          <w:b/>
          <w:lang w:val="en-AU"/>
        </w:rPr>
        <w:t xml:space="preserve"> </w:t>
      </w:r>
    </w:p>
    <w:p w14:paraId="215ABDA9" w14:textId="6A57DD53" w:rsidR="00EF1FA8" w:rsidRPr="00583002" w:rsidRDefault="00EF1FA8" w:rsidP="00EF1FA8">
      <w:pPr>
        <w:pStyle w:val="SubmissionNormal"/>
        <w:numPr>
          <w:ilvl w:val="0"/>
          <w:numId w:val="22"/>
        </w:numPr>
        <w:pBdr>
          <w:top w:val="nil"/>
          <w:left w:val="nil"/>
          <w:bottom w:val="nil"/>
          <w:right w:val="nil"/>
          <w:between w:val="nil"/>
          <w:bar w:val="nil"/>
        </w:pBdr>
      </w:pPr>
      <w:r>
        <w:rPr>
          <w:rFonts w:eastAsia="Arial Unicode MS" w:cs="Arial Unicode MS"/>
          <w:lang w:val="en-US"/>
        </w:rPr>
        <w:t xml:space="preserve">In addition to education regarding safety online and healthy relationships, the Commission recommends that </w:t>
      </w:r>
      <w:r>
        <w:t xml:space="preserve">educational resources be developed for children </w:t>
      </w:r>
      <w:r w:rsidR="00214951">
        <w:t xml:space="preserve">and young people </w:t>
      </w:r>
      <w:r>
        <w:t xml:space="preserve">to educate them about human rights, including what they mean for </w:t>
      </w:r>
      <w:r w:rsidR="006F5F15">
        <w:t xml:space="preserve">safety and </w:t>
      </w:r>
      <w:r>
        <w:t>behaviour in the online environment. The Council of Europe’s Commissioner for Human Rights recommended that to protect the rights of children in light of risks online, children ‘</w:t>
      </w:r>
      <w:r w:rsidRPr="003D2FB6">
        <w:t>should become more knowledgeable about human rights, including the right to freedom of expression and the right to privacy, but also the rights of others which they need to respect and be careful not to harm’.</w:t>
      </w:r>
      <w:r w:rsidRPr="003D2FB6">
        <w:rPr>
          <w:rStyle w:val="FootnoteReference"/>
          <w:sz w:val="22"/>
          <w:szCs w:val="22"/>
        </w:rPr>
        <w:t xml:space="preserve"> </w:t>
      </w:r>
      <w:r w:rsidRPr="003D2FB6">
        <w:rPr>
          <w:rStyle w:val="EndnoteReference"/>
          <w:rFonts w:eastAsia="MS Mincho"/>
          <w:sz w:val="22"/>
          <w:szCs w:val="22"/>
        </w:rPr>
        <w:endnoteReference w:id="81"/>
      </w:r>
    </w:p>
    <w:p w14:paraId="47D2B0E3" w14:textId="36C97EC9" w:rsidR="00583002" w:rsidRPr="00876F52" w:rsidRDefault="00583002" w:rsidP="00EF1FA8">
      <w:pPr>
        <w:pStyle w:val="SubmissionNormal"/>
        <w:numPr>
          <w:ilvl w:val="0"/>
          <w:numId w:val="22"/>
        </w:numPr>
        <w:pBdr>
          <w:top w:val="nil"/>
          <w:left w:val="nil"/>
          <w:bottom w:val="nil"/>
          <w:right w:val="nil"/>
          <w:between w:val="nil"/>
          <w:bar w:val="nil"/>
        </w:pBdr>
      </w:pPr>
      <w:r w:rsidRPr="00876F52">
        <w:rPr>
          <w:rFonts w:eastAsia="Arial Unicode MS" w:cs="Arial Unicode MS"/>
          <w:lang w:val="en-US"/>
        </w:rPr>
        <w:t>Resources are need</w:t>
      </w:r>
      <w:r w:rsidR="00484B5A" w:rsidRPr="00876F52">
        <w:rPr>
          <w:rFonts w:eastAsia="Arial Unicode MS" w:cs="Arial Unicode MS"/>
          <w:lang w:val="en-US"/>
        </w:rPr>
        <w:t>ed</w:t>
      </w:r>
      <w:r w:rsidRPr="00876F52">
        <w:rPr>
          <w:rFonts w:eastAsia="Arial Unicode MS" w:cs="Arial Unicode MS"/>
          <w:lang w:val="en-US"/>
        </w:rPr>
        <w:t xml:space="preserve"> to encourage </w:t>
      </w:r>
      <w:r w:rsidR="00484B5A" w:rsidRPr="00876F52">
        <w:rPr>
          <w:rFonts w:eastAsia="Arial Unicode MS" w:cs="Arial Unicode MS"/>
          <w:lang w:val="en-US"/>
        </w:rPr>
        <w:t>children and young people</w:t>
      </w:r>
      <w:r w:rsidRPr="00876F52">
        <w:rPr>
          <w:rFonts w:eastAsia="Arial Unicode MS" w:cs="Arial Unicode MS"/>
          <w:lang w:val="en-US"/>
        </w:rPr>
        <w:t xml:space="preserve"> to think of themselves as rights-bearers, but also to understand their responsibilities in relation to respecting the rights of others. It is important that children</w:t>
      </w:r>
      <w:r w:rsidR="00484B5A" w:rsidRPr="00876F52">
        <w:rPr>
          <w:rFonts w:eastAsia="Arial Unicode MS" w:cs="Arial Unicode MS"/>
          <w:lang w:val="en-US"/>
        </w:rPr>
        <w:t xml:space="preserve"> and young people</w:t>
      </w:r>
      <w:r w:rsidRPr="00876F52">
        <w:rPr>
          <w:rFonts w:eastAsia="Arial Unicode MS" w:cs="Arial Unicode MS"/>
          <w:lang w:val="en-US"/>
        </w:rPr>
        <w:t xml:space="preserve"> are aware of how their rights to freedom of information and </w:t>
      </w:r>
      <w:r w:rsidR="00484B5A" w:rsidRPr="00876F52">
        <w:rPr>
          <w:rFonts w:eastAsia="Arial Unicode MS" w:cs="Arial Unicode MS"/>
          <w:lang w:val="en-US"/>
        </w:rPr>
        <w:t>right to be protected from harm need to be balanced in the context of their access to information online.</w:t>
      </w:r>
    </w:p>
    <w:p w14:paraId="312ABBDC" w14:textId="62C606F2" w:rsidR="00EF1FA8" w:rsidRDefault="00EB7250" w:rsidP="00EF1FA8">
      <w:pPr>
        <w:pStyle w:val="SubmissionNormal"/>
        <w:numPr>
          <w:ilvl w:val="0"/>
          <w:numId w:val="22"/>
        </w:numPr>
        <w:pBdr>
          <w:top w:val="nil"/>
          <w:left w:val="nil"/>
          <w:bottom w:val="nil"/>
          <w:right w:val="nil"/>
          <w:between w:val="nil"/>
          <w:bar w:val="nil"/>
        </w:pBdr>
      </w:pPr>
      <w:r>
        <w:t>The Australian Human Rights Commission</w:t>
      </w:r>
      <w:r w:rsidR="00EF1FA8" w:rsidRPr="005B2A66">
        <w:t xml:space="preserve"> has </w:t>
      </w:r>
      <w:r w:rsidR="007B6EEC">
        <w:t xml:space="preserve">a strong record in </w:t>
      </w:r>
      <w:r w:rsidR="00EF1FA8" w:rsidRPr="005B2A66">
        <w:t>develo</w:t>
      </w:r>
      <w:r w:rsidR="007B6EEC">
        <w:t xml:space="preserve">ping </w:t>
      </w:r>
      <w:r w:rsidR="00EF1FA8" w:rsidRPr="005B2A66">
        <w:t xml:space="preserve">human </w:t>
      </w:r>
      <w:r w:rsidR="00EF1FA8">
        <w:t>rights resour</w:t>
      </w:r>
      <w:r w:rsidR="00EF1FA8" w:rsidRPr="005B2A66">
        <w:t>c</w:t>
      </w:r>
      <w:r w:rsidR="00EF1FA8">
        <w:t>e</w:t>
      </w:r>
      <w:r w:rsidR="00EF1FA8" w:rsidRPr="005B2A66">
        <w:t>s for children</w:t>
      </w:r>
      <w:r w:rsidR="007B6EEC">
        <w:t>.</w:t>
      </w:r>
      <w:r w:rsidR="004F4A7A">
        <w:t xml:space="preserve"> Such resources equip children with an understanding of both their own rights and those of others, and serve as a safeguarding tool. In this context, a</w:t>
      </w:r>
      <w:r w:rsidR="007B6EEC">
        <w:t xml:space="preserve">dditional </w:t>
      </w:r>
      <w:r w:rsidR="00EF1FA8" w:rsidRPr="005B2A66">
        <w:t xml:space="preserve">resources </w:t>
      </w:r>
      <w:r w:rsidR="007B6EEC">
        <w:t xml:space="preserve">designed to empower </w:t>
      </w:r>
      <w:r w:rsidR="007B6EEC">
        <w:lastRenderedPageBreak/>
        <w:t>and educate children about their rights and responsibilities in the online context, including in relation to issues such as safety</w:t>
      </w:r>
      <w:r w:rsidR="004F4A7A">
        <w:t xml:space="preserve">, </w:t>
      </w:r>
      <w:r w:rsidR="007B6EEC">
        <w:t>respectful behaviour, pr</w:t>
      </w:r>
      <w:r w:rsidR="004F4A7A">
        <w:t>ivacy, and access to harmful content</w:t>
      </w:r>
      <w:r w:rsidR="007B6EEC">
        <w:t>, are needed</w:t>
      </w:r>
      <w:r w:rsidR="00EF1FA8">
        <w:t>.</w:t>
      </w:r>
    </w:p>
    <w:p w14:paraId="7FD22E4A" w14:textId="4EBEB734" w:rsidR="00583002" w:rsidRPr="002F7B51" w:rsidRDefault="00583002" w:rsidP="00583002">
      <w:pPr>
        <w:pStyle w:val="Body"/>
        <w:rPr>
          <w:b/>
          <w:bCs/>
        </w:rPr>
      </w:pPr>
      <w:r w:rsidRPr="000B1C10">
        <w:rPr>
          <w:rStyle w:val="PageNumber"/>
          <w:b/>
        </w:rPr>
        <w:t xml:space="preserve">Recommendation 4: The Australian Government commission the development of </w:t>
      </w:r>
      <w:r w:rsidRPr="000B1C10">
        <w:rPr>
          <w:rStyle w:val="PageNumber"/>
          <w:b/>
          <w:bCs/>
        </w:rPr>
        <w:t xml:space="preserve">human rights resources for children and young people which encourage them to think about human rights in the online environment, and be </w:t>
      </w:r>
      <w:r w:rsidR="000B1C10" w:rsidRPr="000B1C10">
        <w:rPr>
          <w:rStyle w:val="PageNumber"/>
          <w:b/>
          <w:bCs/>
        </w:rPr>
        <w:t>aware of both their own rights and</w:t>
      </w:r>
      <w:r w:rsidRPr="000B1C10">
        <w:rPr>
          <w:rStyle w:val="PageNumber"/>
          <w:b/>
          <w:bCs/>
        </w:rPr>
        <w:t xml:space="preserve"> their responsibilities to respect the rights of others.</w:t>
      </w:r>
      <w:r w:rsidRPr="002F7B51">
        <w:rPr>
          <w:rStyle w:val="PageNumber"/>
          <w:b/>
          <w:bCs/>
        </w:rPr>
        <w:t xml:space="preserve"> </w:t>
      </w:r>
    </w:p>
    <w:p w14:paraId="4F75BAFE" w14:textId="736B8B76" w:rsidR="00EB6A76" w:rsidRPr="00EF1FA8" w:rsidRDefault="00EB6A76" w:rsidP="00583002">
      <w:pPr>
        <w:pStyle w:val="Body"/>
        <w:rPr>
          <w:b/>
          <w:bCs/>
        </w:rPr>
      </w:pPr>
    </w:p>
    <w:sectPr w:rsidR="00EB6A76" w:rsidRPr="00EF1FA8" w:rsidSect="00B63D24">
      <w:headerReference w:type="even" r:id="rId13"/>
      <w:headerReference w:type="default" r:id="rId14"/>
      <w:footerReference w:type="default" r:id="rId15"/>
      <w:headerReference w:type="first" r:id="rId16"/>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89142" w14:textId="77777777" w:rsidR="00843F4A" w:rsidRDefault="00843F4A" w:rsidP="00F14C6D">
      <w:r>
        <w:separator/>
      </w:r>
    </w:p>
  </w:endnote>
  <w:endnote w:type="continuationSeparator" w:id="0">
    <w:p w14:paraId="51FC0938" w14:textId="77777777" w:rsidR="00843F4A" w:rsidRDefault="00843F4A" w:rsidP="00F14C6D">
      <w:r>
        <w:continuationSeparator/>
      </w:r>
    </w:p>
  </w:endnote>
  <w:endnote w:id="1">
    <w:p w14:paraId="78E36B95" w14:textId="2754D1B2" w:rsidR="00EA007C" w:rsidRDefault="00EA007C">
      <w:pPr>
        <w:pStyle w:val="EndnoteText"/>
      </w:pPr>
      <w:r>
        <w:rPr>
          <w:rStyle w:val="EndnoteReference"/>
        </w:rPr>
        <w:endnoteRef/>
      </w:r>
      <w:r>
        <w:t xml:space="preserve"> See, for example, Miranda A.H. Horvath et al, </w:t>
      </w:r>
      <w:r w:rsidRPr="00736BE2">
        <w:rPr>
          <w:i/>
        </w:rPr>
        <w:t>‘Basically…porn is everywhere’: A Rapid Evidence Assessment on the Effects that Access and Exposure to Pornography has on Children and Young People</w:t>
      </w:r>
      <w:r>
        <w:t xml:space="preserve"> (Office of the Children’s Commission</w:t>
      </w:r>
      <w:r w:rsidR="002C6FA7">
        <w:t>er</w:t>
      </w:r>
      <w:r>
        <w:t xml:space="preserve"> (UK), 2014).</w:t>
      </w:r>
    </w:p>
  </w:endnote>
  <w:endnote w:id="2">
    <w:p w14:paraId="47A31908" w14:textId="77777777" w:rsidR="00EA007C" w:rsidRDefault="00EA007C">
      <w:pPr>
        <w:pStyle w:val="EndnoteText"/>
      </w:pPr>
      <w:r>
        <w:rPr>
          <w:rStyle w:val="EndnoteReference"/>
        </w:rPr>
        <w:endnoteRef/>
      </w:r>
      <w:r>
        <w:t xml:space="preserve"> </w:t>
      </w:r>
      <w:r>
        <w:rPr>
          <w:color w:val="000000" w:themeColor="text1"/>
        </w:rPr>
        <w:t>O</w:t>
      </w:r>
      <w:r w:rsidRPr="00C16028">
        <w:rPr>
          <w:color w:val="000000" w:themeColor="text1"/>
        </w:rPr>
        <w:t>pened for signature</w:t>
      </w:r>
      <w:r>
        <w:rPr>
          <w:color w:val="000000" w:themeColor="text1"/>
        </w:rPr>
        <w:t xml:space="preserve"> 20 November 1989, 1577 UNTS 3 (</w:t>
      </w:r>
      <w:r w:rsidRPr="00C16028">
        <w:rPr>
          <w:color w:val="000000" w:themeColor="text1"/>
        </w:rPr>
        <w:t>entered into force 2 September 1990)</w:t>
      </w:r>
      <w:r>
        <w:rPr>
          <w:color w:val="000000" w:themeColor="text1"/>
        </w:rPr>
        <w:t>.</w:t>
      </w:r>
    </w:p>
  </w:endnote>
  <w:endnote w:id="3">
    <w:p w14:paraId="570422F1" w14:textId="77777777" w:rsidR="00EA007C" w:rsidRPr="007C3D93" w:rsidRDefault="00EA007C" w:rsidP="00EF1FA8">
      <w:pPr>
        <w:pStyle w:val="EndnoteText"/>
      </w:pPr>
      <w:r>
        <w:rPr>
          <w:rStyle w:val="EndnoteReference"/>
        </w:rPr>
        <w:endnoteRef/>
      </w:r>
      <w:r>
        <w:t xml:space="preserve"> </w:t>
      </w:r>
      <w:r>
        <w:rPr>
          <w:color w:val="000000" w:themeColor="text1"/>
        </w:rPr>
        <w:t>O</w:t>
      </w:r>
      <w:r w:rsidRPr="006B2415">
        <w:rPr>
          <w:color w:val="000000" w:themeColor="text1"/>
        </w:rPr>
        <w:t>pened for signature 16 December 1966, 999 UNTS 171 (entered into force 23 March 1976)</w:t>
      </w:r>
      <w:r>
        <w:rPr>
          <w:color w:val="000000" w:themeColor="text1"/>
        </w:rPr>
        <w:t>.</w:t>
      </w:r>
    </w:p>
  </w:endnote>
  <w:endnote w:id="4">
    <w:p w14:paraId="54BD6BFD" w14:textId="77777777" w:rsidR="00EA007C" w:rsidRPr="00005A3C" w:rsidRDefault="00EA007C" w:rsidP="00EF1FA8">
      <w:pPr>
        <w:pStyle w:val="EndnoteText"/>
      </w:pPr>
      <w:r>
        <w:rPr>
          <w:rStyle w:val="EndnoteReference"/>
        </w:rPr>
        <w:endnoteRef/>
      </w:r>
      <w:r>
        <w:t xml:space="preserve"> Opened for signature 16 December 1966, 993 UNTS 3 (entered into force 3 January 1976).</w:t>
      </w:r>
    </w:p>
  </w:endnote>
  <w:endnote w:id="5">
    <w:p w14:paraId="01E4AD18" w14:textId="77777777" w:rsidR="00EA007C" w:rsidRPr="002D07DF" w:rsidRDefault="00EA007C" w:rsidP="00EF1FA8">
      <w:pPr>
        <w:pStyle w:val="EndnoteText"/>
      </w:pPr>
      <w:r>
        <w:rPr>
          <w:rStyle w:val="EndnoteReference"/>
        </w:rPr>
        <w:endnoteRef/>
      </w:r>
      <w:r>
        <w:t xml:space="preserve"> Opened for signature 18 December 1979, 1249 UNTS 13 (entered into force 3 September 1981).</w:t>
      </w:r>
    </w:p>
  </w:endnote>
  <w:endnote w:id="6">
    <w:p w14:paraId="651FEF53" w14:textId="04FEA8B5" w:rsidR="00AE3D09" w:rsidRDefault="00AE3D09">
      <w:pPr>
        <w:pStyle w:val="EndnoteText"/>
      </w:pPr>
      <w:r>
        <w:rPr>
          <w:rStyle w:val="EndnoteReference"/>
        </w:rPr>
        <w:endnoteRef/>
      </w:r>
      <w:r>
        <w:t xml:space="preserve"> </w:t>
      </w:r>
      <w:r w:rsidRPr="006B657E">
        <w:rPr>
          <w:i/>
        </w:rPr>
        <w:t>Convention on the Rights of the Child</w:t>
      </w:r>
      <w:r>
        <w:t xml:space="preserve">, </w:t>
      </w:r>
      <w:r>
        <w:rPr>
          <w:color w:val="000000" w:themeColor="text1"/>
        </w:rPr>
        <w:t>o</w:t>
      </w:r>
      <w:r w:rsidRPr="00C16028">
        <w:rPr>
          <w:color w:val="000000" w:themeColor="text1"/>
        </w:rPr>
        <w:t>pened for signature</w:t>
      </w:r>
      <w:r>
        <w:rPr>
          <w:color w:val="000000" w:themeColor="text1"/>
        </w:rPr>
        <w:t xml:space="preserve"> 20 November 1989, 1577 UNTS 3 (</w:t>
      </w:r>
      <w:r w:rsidRPr="00C16028">
        <w:rPr>
          <w:color w:val="000000" w:themeColor="text1"/>
        </w:rPr>
        <w:t>entered into force 2 September 1990)</w:t>
      </w:r>
      <w:r>
        <w:rPr>
          <w:color w:val="000000" w:themeColor="text1"/>
        </w:rPr>
        <w:t>, art 1.</w:t>
      </w:r>
    </w:p>
  </w:endnote>
  <w:endnote w:id="7">
    <w:p w14:paraId="3CD11F93" w14:textId="77777777" w:rsidR="00EA007C" w:rsidRPr="006B657E" w:rsidRDefault="00EA007C" w:rsidP="00EF1FA8">
      <w:pPr>
        <w:pStyle w:val="EndnoteText"/>
      </w:pPr>
      <w:r>
        <w:rPr>
          <w:rStyle w:val="EndnoteReference"/>
        </w:rPr>
        <w:endnoteRef/>
      </w:r>
      <w:r>
        <w:t xml:space="preserve"> </w:t>
      </w:r>
      <w:r w:rsidRPr="006B657E">
        <w:rPr>
          <w:i/>
        </w:rPr>
        <w:t>Convention on the Rights of the Child</w:t>
      </w:r>
      <w:r>
        <w:t xml:space="preserve">, </w:t>
      </w:r>
      <w:r>
        <w:rPr>
          <w:color w:val="000000" w:themeColor="text1"/>
        </w:rPr>
        <w:t>o</w:t>
      </w:r>
      <w:r w:rsidRPr="00C16028">
        <w:rPr>
          <w:color w:val="000000" w:themeColor="text1"/>
        </w:rPr>
        <w:t>pened for signature</w:t>
      </w:r>
      <w:r>
        <w:rPr>
          <w:color w:val="000000" w:themeColor="text1"/>
        </w:rPr>
        <w:t xml:space="preserve"> 20 November 1989, 1577 UNTS 3 (</w:t>
      </w:r>
      <w:r w:rsidRPr="00C16028">
        <w:rPr>
          <w:color w:val="000000" w:themeColor="text1"/>
        </w:rPr>
        <w:t>entered into force 2 September 1990)</w:t>
      </w:r>
      <w:r>
        <w:rPr>
          <w:color w:val="000000" w:themeColor="text1"/>
        </w:rPr>
        <w:t xml:space="preserve">, art 3(1). </w:t>
      </w:r>
    </w:p>
  </w:endnote>
  <w:endnote w:id="8">
    <w:p w14:paraId="3DB52A8A" w14:textId="77777777" w:rsidR="00EA007C" w:rsidRPr="006B657E" w:rsidRDefault="00EA007C" w:rsidP="00EF1FA8">
      <w:pPr>
        <w:pStyle w:val="EndnoteText"/>
      </w:pPr>
      <w:r>
        <w:rPr>
          <w:rStyle w:val="EndnoteReference"/>
        </w:rPr>
        <w:endnoteRef/>
      </w:r>
      <w:r>
        <w:t xml:space="preserve"> </w:t>
      </w:r>
      <w:r w:rsidRPr="006B657E">
        <w:rPr>
          <w:i/>
        </w:rPr>
        <w:t>Convention on the Rights of the Child</w:t>
      </w:r>
      <w:r>
        <w:t xml:space="preserve">, </w:t>
      </w:r>
      <w:r>
        <w:rPr>
          <w:color w:val="000000" w:themeColor="text1"/>
        </w:rPr>
        <w:t>o</w:t>
      </w:r>
      <w:r w:rsidRPr="00C16028">
        <w:rPr>
          <w:color w:val="000000" w:themeColor="text1"/>
        </w:rPr>
        <w:t>pened for signature</w:t>
      </w:r>
      <w:r>
        <w:rPr>
          <w:color w:val="000000" w:themeColor="text1"/>
        </w:rPr>
        <w:t xml:space="preserve"> 20 November 1989, 1577 UNTS 3 (</w:t>
      </w:r>
      <w:r w:rsidRPr="00C16028">
        <w:rPr>
          <w:color w:val="000000" w:themeColor="text1"/>
        </w:rPr>
        <w:t>entered into force 2 September 1990)</w:t>
      </w:r>
      <w:r>
        <w:rPr>
          <w:color w:val="000000" w:themeColor="text1"/>
        </w:rPr>
        <w:t xml:space="preserve">, art 18(2). </w:t>
      </w:r>
    </w:p>
  </w:endnote>
  <w:endnote w:id="9">
    <w:p w14:paraId="6A2DBC55" w14:textId="77777777" w:rsidR="00EA007C" w:rsidRPr="006B657E" w:rsidRDefault="00EA007C" w:rsidP="00EF1FA8">
      <w:pPr>
        <w:pStyle w:val="EndnoteText"/>
      </w:pPr>
      <w:r>
        <w:rPr>
          <w:rStyle w:val="EndnoteReference"/>
        </w:rPr>
        <w:endnoteRef/>
      </w:r>
      <w:r>
        <w:t xml:space="preserve"> </w:t>
      </w:r>
      <w:r w:rsidRPr="006B657E">
        <w:rPr>
          <w:i/>
        </w:rPr>
        <w:t>Convention on the Rights of the Child</w:t>
      </w:r>
      <w:r>
        <w:t xml:space="preserve">, </w:t>
      </w:r>
      <w:r>
        <w:rPr>
          <w:color w:val="000000" w:themeColor="text1"/>
        </w:rPr>
        <w:t>o</w:t>
      </w:r>
      <w:r w:rsidRPr="00C16028">
        <w:rPr>
          <w:color w:val="000000" w:themeColor="text1"/>
        </w:rPr>
        <w:t>pened for signature</w:t>
      </w:r>
      <w:r>
        <w:rPr>
          <w:color w:val="000000" w:themeColor="text1"/>
        </w:rPr>
        <w:t xml:space="preserve"> 20 November 1989, 1577 UNTS 3 (</w:t>
      </w:r>
      <w:r w:rsidRPr="00C16028">
        <w:rPr>
          <w:color w:val="000000" w:themeColor="text1"/>
        </w:rPr>
        <w:t>entered into force 2 September 1990)</w:t>
      </w:r>
      <w:r>
        <w:rPr>
          <w:color w:val="000000" w:themeColor="text1"/>
        </w:rPr>
        <w:t>, arts 6(2) and 24(1).</w:t>
      </w:r>
    </w:p>
  </w:endnote>
  <w:endnote w:id="10">
    <w:p w14:paraId="779EFEAA" w14:textId="77777777" w:rsidR="00EA007C" w:rsidRPr="008C00D8" w:rsidRDefault="00EA007C" w:rsidP="00EF1FA8">
      <w:pPr>
        <w:pStyle w:val="EndnoteText"/>
      </w:pPr>
      <w:r>
        <w:rPr>
          <w:rStyle w:val="EndnoteReference"/>
        </w:rPr>
        <w:endnoteRef/>
      </w:r>
      <w:r>
        <w:t xml:space="preserve"> </w:t>
      </w:r>
      <w:r w:rsidRPr="008C00D8">
        <w:rPr>
          <w:i/>
        </w:rPr>
        <w:t>Convention on the Rights of the Child</w:t>
      </w:r>
      <w:r w:rsidRPr="008C00D8">
        <w:t>, opened for signature 20 November 1989, 1577 UNTS 3 (entered into force 2 September 1990), art</w:t>
      </w:r>
      <w:r>
        <w:t xml:space="preserve"> 19(1), and see  </w:t>
      </w:r>
      <w:r>
        <w:rPr>
          <w:shd w:val="clear" w:color="auto" w:fill="FFFFFF"/>
        </w:rPr>
        <w:t xml:space="preserve">UN Committee on the Rights of the Child, </w:t>
      </w:r>
      <w:r w:rsidRPr="00E94C8A">
        <w:rPr>
          <w:i/>
          <w:shd w:val="clear" w:color="auto" w:fill="FFFFFF"/>
        </w:rPr>
        <w:t>General Comment No. 13 (2011): The right of the child to freedom from all forms of violence</w:t>
      </w:r>
      <w:r>
        <w:rPr>
          <w:shd w:val="clear" w:color="auto" w:fill="FFFFFF"/>
        </w:rPr>
        <w:t>, UN Doc CRC/C/GC/13 (18 April 2011) [4].</w:t>
      </w:r>
    </w:p>
  </w:endnote>
  <w:endnote w:id="11">
    <w:p w14:paraId="299CAE47" w14:textId="77777777" w:rsidR="00EA007C" w:rsidRPr="00001A4D" w:rsidRDefault="00EA007C" w:rsidP="00EF1FA8">
      <w:pPr>
        <w:pStyle w:val="EndnoteText"/>
      </w:pPr>
      <w:r>
        <w:rPr>
          <w:rStyle w:val="EndnoteReference"/>
        </w:rPr>
        <w:endnoteRef/>
      </w:r>
      <w:r>
        <w:t xml:space="preserve"> </w:t>
      </w:r>
      <w:r w:rsidRPr="008C00D8">
        <w:rPr>
          <w:i/>
        </w:rPr>
        <w:t>Convention on the Rights of the Child</w:t>
      </w:r>
      <w:r w:rsidRPr="008C00D8">
        <w:t>, opened for signature 20 November 1989, 1577 UNTS 3 (entered into force 2 September 1990),</w:t>
      </w:r>
      <w:r>
        <w:t xml:space="preserve"> arts 28(1) and 29(1).</w:t>
      </w:r>
    </w:p>
  </w:endnote>
  <w:endnote w:id="12">
    <w:p w14:paraId="512AC492" w14:textId="77777777" w:rsidR="0019732B" w:rsidRPr="008412BD" w:rsidRDefault="0019732B" w:rsidP="0019732B">
      <w:pPr>
        <w:pStyle w:val="EndnoteText"/>
      </w:pPr>
      <w:r>
        <w:rPr>
          <w:rStyle w:val="EndnoteReference"/>
        </w:rPr>
        <w:endnoteRef/>
      </w:r>
      <w:r>
        <w:t xml:space="preserve"> Marta Santos Pais, </w:t>
      </w:r>
      <w:r w:rsidRPr="002F30A9">
        <w:rPr>
          <w:i/>
        </w:rPr>
        <w:t>Annual Report of the Special Representative of the Secretary-General on Violence against Children</w:t>
      </w:r>
      <w:r>
        <w:t>, UN Human Rights Council, 35</w:t>
      </w:r>
      <w:r w:rsidRPr="002F30A9">
        <w:rPr>
          <w:vertAlign w:val="superscript"/>
        </w:rPr>
        <w:t>th</w:t>
      </w:r>
      <w:r>
        <w:t xml:space="preserve"> sess, Agenda Item 3, UN Doc A/HRC/31/20 (5 January 2016) [99].</w:t>
      </w:r>
    </w:p>
  </w:endnote>
  <w:endnote w:id="13">
    <w:p w14:paraId="1CB4D13B" w14:textId="77777777" w:rsidR="0019732B" w:rsidRPr="00A81D57" w:rsidRDefault="0019732B" w:rsidP="0019732B">
      <w:pPr>
        <w:pStyle w:val="EndnoteText"/>
      </w:pPr>
      <w:r>
        <w:rPr>
          <w:rStyle w:val="EndnoteReference"/>
        </w:rPr>
        <w:endnoteRef/>
      </w:r>
      <w:r>
        <w:t xml:space="preserve"> </w:t>
      </w:r>
      <w:r w:rsidRPr="006B657E">
        <w:rPr>
          <w:i/>
        </w:rPr>
        <w:t>Convention on the Rights of the Child</w:t>
      </w:r>
      <w:r>
        <w:t xml:space="preserve">, </w:t>
      </w:r>
      <w:r>
        <w:rPr>
          <w:color w:val="000000" w:themeColor="text1"/>
        </w:rPr>
        <w:t>o</w:t>
      </w:r>
      <w:r w:rsidRPr="00C16028">
        <w:rPr>
          <w:color w:val="000000" w:themeColor="text1"/>
        </w:rPr>
        <w:t>pened for signature</w:t>
      </w:r>
      <w:r>
        <w:rPr>
          <w:color w:val="000000" w:themeColor="text1"/>
        </w:rPr>
        <w:t xml:space="preserve"> 20 November 1989, 1577 UNTS 3 (</w:t>
      </w:r>
      <w:r w:rsidRPr="00C16028">
        <w:rPr>
          <w:color w:val="000000" w:themeColor="text1"/>
        </w:rPr>
        <w:t>entered into force 2 September 1990)</w:t>
      </w:r>
      <w:r>
        <w:rPr>
          <w:color w:val="000000" w:themeColor="text1"/>
        </w:rPr>
        <w:t>, art 13.</w:t>
      </w:r>
    </w:p>
  </w:endnote>
  <w:endnote w:id="14">
    <w:p w14:paraId="1B6ADF62" w14:textId="3747FDEB" w:rsidR="004B7551" w:rsidRDefault="004B7551">
      <w:pPr>
        <w:pStyle w:val="EndnoteText"/>
      </w:pPr>
      <w:r>
        <w:rPr>
          <w:rStyle w:val="EndnoteReference"/>
        </w:rPr>
        <w:endnoteRef/>
      </w:r>
      <w:r>
        <w:t xml:space="preserve"> </w:t>
      </w:r>
      <w:r w:rsidRPr="006B657E">
        <w:rPr>
          <w:i/>
        </w:rPr>
        <w:t>Convention on the Rights of the Child</w:t>
      </w:r>
      <w:r>
        <w:t xml:space="preserve">, </w:t>
      </w:r>
      <w:r>
        <w:rPr>
          <w:color w:val="000000" w:themeColor="text1"/>
        </w:rPr>
        <w:t>o</w:t>
      </w:r>
      <w:r w:rsidRPr="00C16028">
        <w:rPr>
          <w:color w:val="000000" w:themeColor="text1"/>
        </w:rPr>
        <w:t>pened for signature</w:t>
      </w:r>
      <w:r>
        <w:rPr>
          <w:color w:val="000000" w:themeColor="text1"/>
        </w:rPr>
        <w:t xml:space="preserve"> 20 November 1989, 1577 UNTS 3 (</w:t>
      </w:r>
      <w:r w:rsidRPr="00C16028">
        <w:rPr>
          <w:color w:val="000000" w:themeColor="text1"/>
        </w:rPr>
        <w:t>entered into force 2 September 1990)</w:t>
      </w:r>
      <w:r>
        <w:rPr>
          <w:color w:val="000000" w:themeColor="text1"/>
        </w:rPr>
        <w:t>, art 17.</w:t>
      </w:r>
    </w:p>
  </w:endnote>
  <w:endnote w:id="15">
    <w:p w14:paraId="0A3ABC8A" w14:textId="6592B498" w:rsidR="00B40601" w:rsidRDefault="00B40601">
      <w:pPr>
        <w:pStyle w:val="EndnoteText"/>
      </w:pPr>
      <w:r>
        <w:rPr>
          <w:rStyle w:val="EndnoteReference"/>
        </w:rPr>
        <w:endnoteRef/>
      </w:r>
      <w:r>
        <w:t xml:space="preserve"> </w:t>
      </w:r>
      <w:r w:rsidRPr="006B657E">
        <w:rPr>
          <w:i/>
        </w:rPr>
        <w:t>Convention on the Rights of the Child</w:t>
      </w:r>
      <w:r>
        <w:t xml:space="preserve">, </w:t>
      </w:r>
      <w:r>
        <w:rPr>
          <w:color w:val="000000" w:themeColor="text1"/>
        </w:rPr>
        <w:t>o</w:t>
      </w:r>
      <w:r w:rsidRPr="00C16028">
        <w:rPr>
          <w:color w:val="000000" w:themeColor="text1"/>
        </w:rPr>
        <w:t>pened for signature</w:t>
      </w:r>
      <w:r>
        <w:rPr>
          <w:color w:val="000000" w:themeColor="text1"/>
        </w:rPr>
        <w:t xml:space="preserve"> 20 November 1989, 1577 UNTS 3 (</w:t>
      </w:r>
      <w:r w:rsidRPr="00C16028">
        <w:rPr>
          <w:color w:val="000000" w:themeColor="text1"/>
        </w:rPr>
        <w:t>entered into force 2 September 1990)</w:t>
      </w:r>
      <w:r>
        <w:rPr>
          <w:color w:val="000000" w:themeColor="text1"/>
        </w:rPr>
        <w:t>, art 17(e).</w:t>
      </w:r>
    </w:p>
  </w:endnote>
  <w:endnote w:id="16">
    <w:p w14:paraId="7AD6B0A2" w14:textId="77777777" w:rsidR="00EA007C" w:rsidRPr="00FD1913" w:rsidRDefault="00EA007C" w:rsidP="00EF1FA8">
      <w:pPr>
        <w:pStyle w:val="EndnoteText"/>
      </w:pPr>
      <w:r>
        <w:rPr>
          <w:rStyle w:val="EndnoteReference"/>
        </w:rPr>
        <w:endnoteRef/>
      </w:r>
      <w:r>
        <w:t xml:space="preserve"> </w:t>
      </w:r>
      <w:r w:rsidRPr="006B657E">
        <w:rPr>
          <w:i/>
        </w:rPr>
        <w:t>Convention on the Rights of the Child</w:t>
      </w:r>
      <w:r>
        <w:t xml:space="preserve">, </w:t>
      </w:r>
      <w:r>
        <w:rPr>
          <w:color w:val="000000" w:themeColor="text1"/>
        </w:rPr>
        <w:t>o</w:t>
      </w:r>
      <w:r w:rsidRPr="00C16028">
        <w:rPr>
          <w:color w:val="000000" w:themeColor="text1"/>
        </w:rPr>
        <w:t>pened for signature</w:t>
      </w:r>
      <w:r>
        <w:rPr>
          <w:color w:val="000000" w:themeColor="text1"/>
        </w:rPr>
        <w:t xml:space="preserve"> 20 November 1989, 1577 UNTS 3 (</w:t>
      </w:r>
      <w:r w:rsidRPr="00C16028">
        <w:rPr>
          <w:color w:val="000000" w:themeColor="text1"/>
        </w:rPr>
        <w:t>entered into force 2 September 1990)</w:t>
      </w:r>
      <w:r>
        <w:rPr>
          <w:color w:val="000000" w:themeColor="text1"/>
        </w:rPr>
        <w:t>, arts 6(2) and 24(1).</w:t>
      </w:r>
    </w:p>
  </w:endnote>
  <w:endnote w:id="17">
    <w:p w14:paraId="194324B3" w14:textId="77777777" w:rsidR="00EA007C" w:rsidRPr="00FD1913" w:rsidRDefault="00EA007C" w:rsidP="00EF1FA8">
      <w:pPr>
        <w:pStyle w:val="EndnoteText"/>
      </w:pPr>
      <w:r>
        <w:rPr>
          <w:rStyle w:val="EndnoteReference"/>
        </w:rPr>
        <w:endnoteRef/>
      </w:r>
      <w:r>
        <w:t xml:space="preserve"> </w:t>
      </w:r>
      <w:r w:rsidRPr="008C00D8">
        <w:rPr>
          <w:i/>
        </w:rPr>
        <w:t>Convention on the Rights of the Child</w:t>
      </w:r>
      <w:r w:rsidRPr="008C00D8">
        <w:t>, opened for signature 20 November 1989, 1577 UNTS 3 (entered into force 2 September 1990), art</w:t>
      </w:r>
      <w:r>
        <w:t xml:space="preserve"> 19(1).</w:t>
      </w:r>
    </w:p>
  </w:endnote>
  <w:endnote w:id="18">
    <w:p w14:paraId="3FE3A598" w14:textId="77777777" w:rsidR="00EA007C" w:rsidRPr="00716F10" w:rsidRDefault="00EA007C" w:rsidP="00EF1FA8">
      <w:pPr>
        <w:pStyle w:val="EndnoteText"/>
      </w:pPr>
      <w:r>
        <w:rPr>
          <w:rStyle w:val="EndnoteReference"/>
        </w:rPr>
        <w:endnoteRef/>
      </w:r>
      <w:r>
        <w:t xml:space="preserve"> </w:t>
      </w:r>
      <w:r w:rsidRPr="006B657E">
        <w:rPr>
          <w:i/>
        </w:rPr>
        <w:t>Convention on the Rights of the Child</w:t>
      </w:r>
      <w:r>
        <w:t xml:space="preserve">, </w:t>
      </w:r>
      <w:r>
        <w:rPr>
          <w:color w:val="000000" w:themeColor="text1"/>
        </w:rPr>
        <w:t>o</w:t>
      </w:r>
      <w:r w:rsidRPr="00C16028">
        <w:rPr>
          <w:color w:val="000000" w:themeColor="text1"/>
        </w:rPr>
        <w:t>pened for signature</w:t>
      </w:r>
      <w:r>
        <w:rPr>
          <w:color w:val="000000" w:themeColor="text1"/>
        </w:rPr>
        <w:t xml:space="preserve"> 20 November 1989, 1577 UNTS 3 (</w:t>
      </w:r>
      <w:r w:rsidRPr="00C16028">
        <w:rPr>
          <w:color w:val="000000" w:themeColor="text1"/>
        </w:rPr>
        <w:t>entered into force 2 September 1990)</w:t>
      </w:r>
      <w:r>
        <w:rPr>
          <w:color w:val="000000" w:themeColor="text1"/>
        </w:rPr>
        <w:t>, art 16.</w:t>
      </w:r>
    </w:p>
  </w:endnote>
  <w:endnote w:id="19">
    <w:p w14:paraId="1B548566" w14:textId="7DE7F4F1" w:rsidR="00EA007C" w:rsidRPr="000E76C9" w:rsidRDefault="00EA007C" w:rsidP="00EF1FA8">
      <w:pPr>
        <w:pStyle w:val="EndnoteText"/>
      </w:pPr>
      <w:r>
        <w:rPr>
          <w:rStyle w:val="EndnoteReference"/>
        </w:rPr>
        <w:endnoteRef/>
      </w:r>
      <w:r>
        <w:t xml:space="preserve"> </w:t>
      </w:r>
      <w:r w:rsidR="006221EF">
        <w:t xml:space="preserve">See, for example, </w:t>
      </w:r>
      <w:r w:rsidRPr="00710830">
        <w:rPr>
          <w:i/>
        </w:rPr>
        <w:t>KU v Finland</w:t>
      </w:r>
      <w:r>
        <w:t xml:space="preserve"> (European Court of Human Rights, Chamber, Application No 2872/02, 2 December 2008).</w:t>
      </w:r>
    </w:p>
  </w:endnote>
  <w:endnote w:id="20">
    <w:p w14:paraId="59EBDBA0" w14:textId="77777777" w:rsidR="00EA007C" w:rsidRPr="00363DDE" w:rsidRDefault="00EA007C" w:rsidP="00EF1FA8">
      <w:pPr>
        <w:pStyle w:val="EndnoteText"/>
      </w:pPr>
      <w:r>
        <w:rPr>
          <w:rStyle w:val="EndnoteReference"/>
        </w:rPr>
        <w:endnoteRef/>
      </w:r>
      <w:r>
        <w:t xml:space="preserve"> See </w:t>
      </w:r>
      <w:r w:rsidRPr="006B657E">
        <w:rPr>
          <w:i/>
        </w:rPr>
        <w:t>Convention on the Rights of the Child</w:t>
      </w:r>
      <w:r>
        <w:t xml:space="preserve">, </w:t>
      </w:r>
      <w:r>
        <w:rPr>
          <w:color w:val="000000" w:themeColor="text1"/>
        </w:rPr>
        <w:t>o</w:t>
      </w:r>
      <w:r w:rsidRPr="00C16028">
        <w:rPr>
          <w:color w:val="000000" w:themeColor="text1"/>
        </w:rPr>
        <w:t>pened for signature</w:t>
      </w:r>
      <w:r>
        <w:rPr>
          <w:color w:val="000000" w:themeColor="text1"/>
        </w:rPr>
        <w:t xml:space="preserve"> 20 November 1989, 1577 UNTS 3 (</w:t>
      </w:r>
      <w:r w:rsidRPr="00C16028">
        <w:rPr>
          <w:color w:val="000000" w:themeColor="text1"/>
        </w:rPr>
        <w:t>entered into force 2 September 1990)</w:t>
      </w:r>
      <w:r>
        <w:rPr>
          <w:color w:val="000000" w:themeColor="text1"/>
        </w:rPr>
        <w:t xml:space="preserve">, art 13(2). On this point see further Australian Human Rights Commission, </w:t>
      </w:r>
      <w:r w:rsidRPr="00BA7BD2">
        <w:rPr>
          <w:i/>
          <w:color w:val="000000" w:themeColor="text1"/>
        </w:rPr>
        <w:t>Background Paper: Human rights in cyberspace</w:t>
      </w:r>
      <w:r>
        <w:rPr>
          <w:color w:val="000000" w:themeColor="text1"/>
        </w:rPr>
        <w:t xml:space="preserve"> (2013). At </w:t>
      </w:r>
      <w:r w:rsidRPr="00BA7BD2">
        <w:rPr>
          <w:color w:val="000000" w:themeColor="text1"/>
        </w:rPr>
        <w:t>http://www.humanrights.gov.au/our-work/rights-and-freedoms/publications/background-paper-human-rights-cyberspace</w:t>
      </w:r>
      <w:r>
        <w:rPr>
          <w:color w:val="000000" w:themeColor="text1"/>
        </w:rPr>
        <w:t xml:space="preserve"> (viewed 8 March 2016).</w:t>
      </w:r>
    </w:p>
  </w:endnote>
  <w:endnote w:id="21">
    <w:p w14:paraId="48556895" w14:textId="77777777" w:rsidR="00EA007C" w:rsidRPr="008D0A31" w:rsidRDefault="00EA007C" w:rsidP="00EF1FA8">
      <w:pPr>
        <w:pStyle w:val="EndnoteText"/>
      </w:pPr>
      <w:r>
        <w:rPr>
          <w:rStyle w:val="EndnoteReference"/>
        </w:rPr>
        <w:endnoteRef/>
      </w:r>
      <w:r>
        <w:t xml:space="preserve"> Child Health Promotion Research Centre, Edith Cowan University, </w:t>
      </w:r>
      <w:r w:rsidRPr="008D0A31">
        <w:rPr>
          <w:i/>
        </w:rPr>
        <w:t xml:space="preserve">Cyberbullying and the Bystander: Research Findings and Insights Report </w:t>
      </w:r>
      <w:r>
        <w:t xml:space="preserve">(Australian Human Rights Commission, 2012). At </w:t>
      </w:r>
      <w:r w:rsidRPr="008D0A31">
        <w:t>https://www.humanrights.gov.au/our-work/childrens-rights/publications/cyberbullying-and-bystander</w:t>
      </w:r>
      <w:r>
        <w:t xml:space="preserve"> (viewed 8 March 2016). </w:t>
      </w:r>
    </w:p>
  </w:endnote>
  <w:endnote w:id="22">
    <w:p w14:paraId="0F9A05B5" w14:textId="77777777" w:rsidR="00EA007C" w:rsidRPr="009C2D4A" w:rsidRDefault="00EA007C" w:rsidP="00EF1FA8">
      <w:pPr>
        <w:pStyle w:val="EndnoteText"/>
      </w:pPr>
      <w:r>
        <w:rPr>
          <w:rStyle w:val="EndnoteReference"/>
        </w:rPr>
        <w:endnoteRef/>
      </w:r>
      <w:r>
        <w:t xml:space="preserve"> </w:t>
      </w:r>
      <w:r>
        <w:rPr>
          <w:color w:val="000000" w:themeColor="text1"/>
        </w:rPr>
        <w:t xml:space="preserve">See further Australian Human Rights Commission, </w:t>
      </w:r>
      <w:r w:rsidRPr="00BA7BD2">
        <w:rPr>
          <w:i/>
          <w:color w:val="000000" w:themeColor="text1"/>
        </w:rPr>
        <w:t>Background Paper: Human rights in cyberspace</w:t>
      </w:r>
      <w:r>
        <w:rPr>
          <w:color w:val="000000" w:themeColor="text1"/>
        </w:rPr>
        <w:t xml:space="preserve"> (2013). At </w:t>
      </w:r>
      <w:r w:rsidRPr="00BA7BD2">
        <w:rPr>
          <w:color w:val="000000" w:themeColor="text1"/>
        </w:rPr>
        <w:t>http://www.humanrights.gov.au/our-work/rights-and-freedoms/publications/background-paper-human-rights-cyberspace</w:t>
      </w:r>
      <w:r>
        <w:rPr>
          <w:color w:val="000000" w:themeColor="text1"/>
        </w:rPr>
        <w:t xml:space="preserve"> (viewed 8 March 2016).</w:t>
      </w:r>
    </w:p>
  </w:endnote>
  <w:endnote w:id="23">
    <w:p w14:paraId="22D9A19C" w14:textId="77777777" w:rsidR="00EA007C" w:rsidRPr="00D61498" w:rsidRDefault="00EA007C" w:rsidP="00EF1FA8">
      <w:pPr>
        <w:pStyle w:val="EndnoteText"/>
      </w:pPr>
      <w:r>
        <w:rPr>
          <w:rStyle w:val="EndnoteReference"/>
        </w:rPr>
        <w:endnoteRef/>
      </w:r>
      <w:r>
        <w:t xml:space="preserve"> Karen Baker ‘Online pornography – Should schools be teaching your people about the risks? An exploration of the views of young people and teaching professionals’ (2015) </w:t>
      </w:r>
      <w:r w:rsidRPr="00D61498">
        <w:rPr>
          <w:i/>
        </w:rPr>
        <w:t>Sex Education</w:t>
      </w:r>
      <w:r>
        <w:t xml:space="preserve"> 1, 1.</w:t>
      </w:r>
    </w:p>
  </w:endnote>
  <w:endnote w:id="24">
    <w:p w14:paraId="1219A1A3" w14:textId="7BFD7440" w:rsidR="00EA007C" w:rsidRPr="00736BE2" w:rsidRDefault="00EA007C" w:rsidP="00EF1FA8">
      <w:pPr>
        <w:pStyle w:val="EndnoteText"/>
      </w:pPr>
      <w:r>
        <w:rPr>
          <w:rStyle w:val="EndnoteReference"/>
        </w:rPr>
        <w:endnoteRef/>
      </w:r>
      <w:r>
        <w:t xml:space="preserve"> Miranda A.H. Horvath et al, </w:t>
      </w:r>
      <w:r w:rsidRPr="00736BE2">
        <w:rPr>
          <w:i/>
        </w:rPr>
        <w:t>‘Basically…porn is everywhere’: A Rapid Evidence Assessment on the Effects that Access and Exposure to Pornography has on Children and Young People</w:t>
      </w:r>
      <w:r>
        <w:t xml:space="preserve"> (Office of the Children’s Commission</w:t>
      </w:r>
      <w:r w:rsidR="002C6FA7">
        <w:t>er</w:t>
      </w:r>
      <w:r>
        <w:t xml:space="preserve"> (UK), 2014) 21-22.</w:t>
      </w:r>
    </w:p>
  </w:endnote>
  <w:endnote w:id="25">
    <w:p w14:paraId="7C5A9405" w14:textId="4561AC3E" w:rsidR="00EA007C" w:rsidRPr="0063234A" w:rsidRDefault="00EA007C" w:rsidP="00EF1FA8">
      <w:pPr>
        <w:pStyle w:val="EndnoteText"/>
      </w:pPr>
      <w:r>
        <w:rPr>
          <w:rStyle w:val="EndnoteReference"/>
        </w:rPr>
        <w:endnoteRef/>
      </w:r>
      <w:r>
        <w:t xml:space="preserve"> Miranda A.H. Horvath et al, </w:t>
      </w:r>
      <w:r w:rsidRPr="00736BE2">
        <w:rPr>
          <w:i/>
        </w:rPr>
        <w:t>‘Basically…porn is everywhere’: A Rapid Evidence Assessment on the Effects that Access and Exposure to Pornography has on Children and Young People</w:t>
      </w:r>
      <w:r>
        <w:t xml:space="preserve"> (Office of the Children’s Commission</w:t>
      </w:r>
      <w:r w:rsidR="002C6FA7">
        <w:t>er</w:t>
      </w:r>
      <w:r>
        <w:t xml:space="preserve"> (UK), 2014) 21-22.</w:t>
      </w:r>
    </w:p>
  </w:endnote>
  <w:endnote w:id="26">
    <w:p w14:paraId="39ED91A8" w14:textId="77777777" w:rsidR="00EA007C" w:rsidRPr="008F5324" w:rsidRDefault="00EA007C" w:rsidP="00EF1FA8">
      <w:pPr>
        <w:pStyle w:val="EndnoteText"/>
      </w:pPr>
      <w:r>
        <w:rPr>
          <w:rStyle w:val="EndnoteReference"/>
        </w:rPr>
        <w:endnoteRef/>
      </w:r>
      <w:r>
        <w:t xml:space="preserve"> Michael Flood, ‘Exposure to pornography among youth in Australia’ (2007) 43(1) </w:t>
      </w:r>
      <w:r w:rsidRPr="008F5324">
        <w:rPr>
          <w:i/>
        </w:rPr>
        <w:t>Journal of Sociology</w:t>
      </w:r>
      <w:r>
        <w:t xml:space="preserve"> 45. </w:t>
      </w:r>
    </w:p>
  </w:endnote>
  <w:endnote w:id="27">
    <w:p w14:paraId="69F9AE06" w14:textId="77777777" w:rsidR="00EA007C" w:rsidRPr="00A63683" w:rsidRDefault="00EA007C" w:rsidP="00EF1FA8">
      <w:pPr>
        <w:pStyle w:val="EndnoteText"/>
      </w:pPr>
      <w:r>
        <w:rPr>
          <w:rStyle w:val="EndnoteReference"/>
        </w:rPr>
        <w:endnoteRef/>
      </w:r>
      <w:r>
        <w:t xml:space="preserve"> Michael Flood, ‘Exposure to pornography among youth in Australia’ (2007) 43(1) </w:t>
      </w:r>
      <w:r w:rsidRPr="008F5324">
        <w:rPr>
          <w:i/>
        </w:rPr>
        <w:t>Journal of Sociology</w:t>
      </w:r>
      <w:r>
        <w:t xml:space="preserve"> 45.</w:t>
      </w:r>
    </w:p>
  </w:endnote>
  <w:endnote w:id="28">
    <w:p w14:paraId="2A960DC6" w14:textId="77777777" w:rsidR="00EA007C" w:rsidRPr="00A67BA0" w:rsidRDefault="00EA007C" w:rsidP="00EF1FA8">
      <w:pPr>
        <w:pStyle w:val="EndnoteText"/>
      </w:pPr>
      <w:r>
        <w:rPr>
          <w:rStyle w:val="EndnoteReference"/>
        </w:rPr>
        <w:endnoteRef/>
      </w:r>
      <w:r>
        <w:t xml:space="preserve"> See, for example, Karen Soeters and Katinka van Schaik, ‘Children’s experiences on the Internet’ (2006) 107(1/2) </w:t>
      </w:r>
      <w:r w:rsidRPr="001A6777">
        <w:rPr>
          <w:i/>
        </w:rPr>
        <w:t>New Library World</w:t>
      </w:r>
      <w:r>
        <w:t xml:space="preserve"> 31; Janis Wolak, Kimberly Mitchell, David Finkelhor ‘Unwanted and Wanted Exposure to Online Pornography in a National Sample of Internet Users’ (2007) 119(2) </w:t>
      </w:r>
      <w:r w:rsidRPr="00045E73">
        <w:rPr>
          <w:i/>
        </w:rPr>
        <w:t>Pediatrics</w:t>
      </w:r>
      <w:r>
        <w:t xml:space="preserve"> 247.</w:t>
      </w:r>
    </w:p>
  </w:endnote>
  <w:endnote w:id="29">
    <w:p w14:paraId="599B267E" w14:textId="4F199D11" w:rsidR="00EA007C" w:rsidRPr="005B2700" w:rsidRDefault="00EA007C" w:rsidP="00EF1FA8">
      <w:pPr>
        <w:pStyle w:val="EndnoteText"/>
      </w:pPr>
      <w:r>
        <w:rPr>
          <w:rStyle w:val="EndnoteReference"/>
        </w:rPr>
        <w:endnoteRef/>
      </w:r>
      <w:r>
        <w:t xml:space="preserve"> Miranda A.H. Horvath et al, </w:t>
      </w:r>
      <w:r w:rsidRPr="00736BE2">
        <w:rPr>
          <w:i/>
        </w:rPr>
        <w:t>‘Basically…porn is everywhere’: A Rapid Evidence Assessment on the Effects that Access and Exposure to Pornography has on Children and Young People</w:t>
      </w:r>
      <w:r>
        <w:t xml:space="preserve"> (Office of the Children’s Commission</w:t>
      </w:r>
      <w:r w:rsidR="002C6FA7">
        <w:t>er</w:t>
      </w:r>
      <w:r>
        <w:t xml:space="preserve"> (UK), 2014) 7.</w:t>
      </w:r>
    </w:p>
  </w:endnote>
  <w:endnote w:id="30">
    <w:p w14:paraId="30208724" w14:textId="24AB6726" w:rsidR="00EA007C" w:rsidRPr="000B447A" w:rsidRDefault="00EA007C" w:rsidP="00EF1FA8">
      <w:pPr>
        <w:pStyle w:val="EndnoteText"/>
      </w:pPr>
      <w:r>
        <w:rPr>
          <w:rStyle w:val="EndnoteReference"/>
        </w:rPr>
        <w:endnoteRef/>
      </w:r>
      <w:r>
        <w:t xml:space="preserve"> Miranda A.H. Horvath et al, </w:t>
      </w:r>
      <w:r w:rsidRPr="00736BE2">
        <w:rPr>
          <w:i/>
        </w:rPr>
        <w:t>‘Basically…porn is everywhere’: A Rapid Evidence Assessment on the Effects that Access and Exposure to Pornography has on Children and Young People</w:t>
      </w:r>
      <w:r>
        <w:t xml:space="preserve"> (Office of the Children’s Commission</w:t>
      </w:r>
      <w:r w:rsidR="002C6FA7">
        <w:t>er</w:t>
      </w:r>
      <w:r>
        <w:t xml:space="preserve"> (UK), 2014) 22-23.</w:t>
      </w:r>
    </w:p>
  </w:endnote>
  <w:endnote w:id="31">
    <w:p w14:paraId="6AED41F9" w14:textId="5EA0EBB4" w:rsidR="00EA007C" w:rsidRPr="000B447A" w:rsidRDefault="00EA007C" w:rsidP="00EF1FA8">
      <w:pPr>
        <w:pStyle w:val="EndnoteText"/>
      </w:pPr>
      <w:r>
        <w:rPr>
          <w:rStyle w:val="EndnoteReference"/>
        </w:rPr>
        <w:endnoteRef/>
      </w:r>
      <w:r>
        <w:t xml:space="preserve"> Miranda A.H. Horvath et al, </w:t>
      </w:r>
      <w:r w:rsidRPr="00736BE2">
        <w:rPr>
          <w:i/>
        </w:rPr>
        <w:t>‘Basically…porn is everywhere’: A Rapid Evidence Assessment on the Effects that Access and Exposure to Pornography has on Children and Young People</w:t>
      </w:r>
      <w:r>
        <w:t xml:space="preserve"> (Office of the Children’s Commission</w:t>
      </w:r>
      <w:r w:rsidR="002C6FA7">
        <w:t>er</w:t>
      </w:r>
      <w:r>
        <w:t xml:space="preserve"> (UK), 2014) 23.</w:t>
      </w:r>
    </w:p>
  </w:endnote>
  <w:endnote w:id="32">
    <w:p w14:paraId="2B08DBC1" w14:textId="1D93C355" w:rsidR="00EA007C" w:rsidRPr="004E3FF6" w:rsidRDefault="00EA007C" w:rsidP="00EF1FA8">
      <w:pPr>
        <w:pStyle w:val="EndnoteText"/>
      </w:pPr>
      <w:r>
        <w:rPr>
          <w:rStyle w:val="EndnoteReference"/>
        </w:rPr>
        <w:endnoteRef/>
      </w:r>
      <w:r>
        <w:t xml:space="preserve"> Sonia Livingstone et al</w:t>
      </w:r>
      <w:r w:rsidR="004B1C1C">
        <w:t>,</w:t>
      </w:r>
      <w:r>
        <w:t xml:space="preserve"> ‘In their own words: What bothers children online?’ (2014) 29(3) </w:t>
      </w:r>
      <w:r w:rsidRPr="000A32E9">
        <w:rPr>
          <w:i/>
        </w:rPr>
        <w:t>European Journal of Communication</w:t>
      </w:r>
      <w:r>
        <w:t xml:space="preserve"> 271, 274.</w:t>
      </w:r>
    </w:p>
  </w:endnote>
  <w:endnote w:id="33">
    <w:p w14:paraId="0DE33CFB" w14:textId="48B94EFF" w:rsidR="00EA007C" w:rsidRPr="004E3FF6" w:rsidRDefault="00EA007C" w:rsidP="00EF1FA8">
      <w:pPr>
        <w:pStyle w:val="EndnoteText"/>
      </w:pPr>
      <w:r>
        <w:rPr>
          <w:rStyle w:val="EndnoteReference"/>
        </w:rPr>
        <w:endnoteRef/>
      </w:r>
      <w:r>
        <w:t xml:space="preserve"> Sonia Livingstone et al</w:t>
      </w:r>
      <w:r w:rsidR="004B1C1C">
        <w:t>,</w:t>
      </w:r>
      <w:r>
        <w:t xml:space="preserve"> ‘In their own words: What bothers children online?’ (2014) 29(3) </w:t>
      </w:r>
      <w:r w:rsidRPr="000A32E9">
        <w:rPr>
          <w:i/>
        </w:rPr>
        <w:t>European Journal of Communication</w:t>
      </w:r>
      <w:r>
        <w:t xml:space="preserve"> 271, 278-279.</w:t>
      </w:r>
    </w:p>
  </w:endnote>
  <w:endnote w:id="34">
    <w:p w14:paraId="61A70FB2" w14:textId="0818728B" w:rsidR="00EA007C" w:rsidRPr="00591616" w:rsidRDefault="00EA007C" w:rsidP="00EF1FA8">
      <w:pPr>
        <w:pStyle w:val="EndnoteText"/>
      </w:pPr>
      <w:r>
        <w:rPr>
          <w:rStyle w:val="EndnoteReference"/>
        </w:rPr>
        <w:endnoteRef/>
      </w:r>
      <w:r>
        <w:t xml:space="preserve"> Sonia Livingstone et al</w:t>
      </w:r>
      <w:r w:rsidR="004B1C1C">
        <w:t>,</w:t>
      </w:r>
      <w:r>
        <w:t xml:space="preserve"> ‘In their own words: What bothers children online?’ (2014) 29(3) </w:t>
      </w:r>
      <w:r w:rsidRPr="000A32E9">
        <w:rPr>
          <w:i/>
        </w:rPr>
        <w:t>European Journal of Communication</w:t>
      </w:r>
      <w:r>
        <w:t xml:space="preserve"> 271, 283.</w:t>
      </w:r>
    </w:p>
  </w:endnote>
  <w:endnote w:id="35">
    <w:p w14:paraId="61120770" w14:textId="2CEEF32C" w:rsidR="00EA007C" w:rsidRPr="007D1FAB" w:rsidRDefault="00EA007C" w:rsidP="00EF1FA8">
      <w:pPr>
        <w:pStyle w:val="EndnoteText"/>
      </w:pPr>
      <w:r>
        <w:rPr>
          <w:rStyle w:val="EndnoteReference"/>
        </w:rPr>
        <w:endnoteRef/>
      </w:r>
      <w:r>
        <w:t xml:space="preserve"> Sonia Livingstone et al</w:t>
      </w:r>
      <w:r w:rsidR="004B1C1C">
        <w:t>,</w:t>
      </w:r>
      <w:r>
        <w:t xml:space="preserve"> ‘In their own words: What bothers children online?’ (2014) 29(3) </w:t>
      </w:r>
      <w:r w:rsidRPr="000A32E9">
        <w:rPr>
          <w:i/>
        </w:rPr>
        <w:t>European Journal of Communication</w:t>
      </w:r>
      <w:r>
        <w:t xml:space="preserve"> 271, 284.</w:t>
      </w:r>
    </w:p>
  </w:endnote>
  <w:endnote w:id="36">
    <w:p w14:paraId="0BB4437C" w14:textId="65F3AD0F" w:rsidR="00EA007C" w:rsidRPr="005E4D17" w:rsidRDefault="00EA007C" w:rsidP="00EF1FA8">
      <w:pPr>
        <w:pStyle w:val="EndnoteText"/>
      </w:pPr>
      <w:r>
        <w:rPr>
          <w:rStyle w:val="EndnoteReference"/>
        </w:rPr>
        <w:endnoteRef/>
      </w:r>
      <w:r>
        <w:t xml:space="preserve"> Sonia Livingstone et al</w:t>
      </w:r>
      <w:r w:rsidR="004B1C1C">
        <w:t>,</w:t>
      </w:r>
      <w:r>
        <w:t xml:space="preserve"> ‘In their own words: What bothers children online?’ (2014) 29(3) </w:t>
      </w:r>
      <w:r w:rsidRPr="000A32E9">
        <w:rPr>
          <w:i/>
        </w:rPr>
        <w:t>European Journal of Communication</w:t>
      </w:r>
      <w:r>
        <w:t xml:space="preserve"> 271, 284-285 (citation omitted).</w:t>
      </w:r>
    </w:p>
  </w:endnote>
  <w:endnote w:id="37">
    <w:p w14:paraId="1D8D9FD3" w14:textId="5042FCA1" w:rsidR="00EA007C" w:rsidRPr="00743469" w:rsidRDefault="00EA007C" w:rsidP="00EF1FA8">
      <w:pPr>
        <w:pStyle w:val="EndnoteText"/>
      </w:pPr>
      <w:r>
        <w:rPr>
          <w:rStyle w:val="EndnoteReference"/>
        </w:rPr>
        <w:endnoteRef/>
      </w:r>
      <w:r>
        <w:t xml:space="preserve"> Sonia Livingstone et al</w:t>
      </w:r>
      <w:r w:rsidR="004B1C1C">
        <w:t>,</w:t>
      </w:r>
      <w:r>
        <w:t xml:space="preserve"> ‘In their own words: What bothers children online?’ (2014) 29(3) </w:t>
      </w:r>
      <w:r w:rsidRPr="000A32E9">
        <w:rPr>
          <w:i/>
        </w:rPr>
        <w:t>European Journal of Communication</w:t>
      </w:r>
      <w:r>
        <w:t xml:space="preserve"> 271, 285.</w:t>
      </w:r>
    </w:p>
  </w:endnote>
  <w:endnote w:id="38">
    <w:p w14:paraId="5D3928D5" w14:textId="5E7F3C7E" w:rsidR="00EA007C" w:rsidRPr="00CD5D93" w:rsidRDefault="00EA007C" w:rsidP="00EF1FA8">
      <w:pPr>
        <w:pStyle w:val="EndnoteText"/>
      </w:pPr>
      <w:r>
        <w:rPr>
          <w:rStyle w:val="EndnoteReference"/>
        </w:rPr>
        <w:endnoteRef/>
      </w:r>
      <w:r>
        <w:t xml:space="preserve"> Miranda A.H. Horvath et al, </w:t>
      </w:r>
      <w:r w:rsidRPr="00736BE2">
        <w:rPr>
          <w:i/>
        </w:rPr>
        <w:t>‘Basically…porn is everywhere’: A Rapid Evidence Assessment on the Effects that Access and Exposure to Pornography has on Children and Young People</w:t>
      </w:r>
      <w:r>
        <w:t xml:space="preserve"> (Office of the Children’s Commission</w:t>
      </w:r>
      <w:r w:rsidR="002C6FA7">
        <w:t>er</w:t>
      </w:r>
      <w:r>
        <w:t xml:space="preserve"> (UK), 2014) 7.</w:t>
      </w:r>
    </w:p>
  </w:endnote>
  <w:endnote w:id="39">
    <w:p w14:paraId="74E062A5" w14:textId="5240A163" w:rsidR="00EA007C" w:rsidRPr="003A2D82" w:rsidRDefault="00EA007C" w:rsidP="00EF1FA8">
      <w:pPr>
        <w:pStyle w:val="EndnoteText"/>
      </w:pPr>
      <w:r>
        <w:rPr>
          <w:rStyle w:val="EndnoteReference"/>
        </w:rPr>
        <w:endnoteRef/>
      </w:r>
      <w:r>
        <w:t xml:space="preserve"> Miranda A.H. Horvath et al, </w:t>
      </w:r>
      <w:r w:rsidRPr="00736BE2">
        <w:rPr>
          <w:i/>
        </w:rPr>
        <w:t>‘Basically…porn is everywhere’: A Rapid Evidence Assessment on the Effects that Access and Exposure to Pornography has on Children and Young People</w:t>
      </w:r>
      <w:r>
        <w:t xml:space="preserve"> (Office of the Children’s Commission</w:t>
      </w:r>
      <w:r w:rsidR="002C6FA7">
        <w:t>er</w:t>
      </w:r>
      <w:r>
        <w:t xml:space="preserve"> (UK), 2014) 36.</w:t>
      </w:r>
    </w:p>
  </w:endnote>
  <w:endnote w:id="40">
    <w:p w14:paraId="5F354A07" w14:textId="147C3739" w:rsidR="00EA007C" w:rsidRPr="00582FA5" w:rsidRDefault="00EA007C" w:rsidP="00EF1FA8">
      <w:pPr>
        <w:pStyle w:val="EndnoteText"/>
      </w:pPr>
      <w:r>
        <w:rPr>
          <w:rStyle w:val="EndnoteReference"/>
        </w:rPr>
        <w:endnoteRef/>
      </w:r>
      <w:r>
        <w:t xml:space="preserve"> Miranda A.H. Horvath et al, </w:t>
      </w:r>
      <w:r w:rsidRPr="00736BE2">
        <w:rPr>
          <w:i/>
        </w:rPr>
        <w:t>‘Basically…porn is everywhere’: A Rapid Evidence Assessment on the Effects that Access and Exposure to Pornography has on Children and Young People</w:t>
      </w:r>
      <w:r>
        <w:t xml:space="preserve"> (Office of the Children’s Commission</w:t>
      </w:r>
      <w:r w:rsidR="002C6FA7">
        <w:t>er</w:t>
      </w:r>
      <w:r>
        <w:t xml:space="preserve"> (UK), 2014) 35.</w:t>
      </w:r>
    </w:p>
  </w:endnote>
  <w:endnote w:id="41">
    <w:p w14:paraId="1A65D293" w14:textId="7C5F3A87" w:rsidR="00EA007C" w:rsidRPr="00DD6DEF" w:rsidRDefault="00EA007C" w:rsidP="00EF1FA8">
      <w:pPr>
        <w:pStyle w:val="EndnoteText"/>
      </w:pPr>
      <w:r>
        <w:rPr>
          <w:rStyle w:val="EndnoteReference"/>
        </w:rPr>
        <w:endnoteRef/>
      </w:r>
      <w:r>
        <w:t xml:space="preserve"> Miranda A.H. Horvath et al, </w:t>
      </w:r>
      <w:r w:rsidRPr="00736BE2">
        <w:rPr>
          <w:i/>
        </w:rPr>
        <w:t>‘Basically…porn is everywhere’: A Rapid Evidence Assessment on the Effects that Access and Exposure to Pornography has on Children and Young People</w:t>
      </w:r>
      <w:r>
        <w:t xml:space="preserve"> (Office of the Children’s Commission</w:t>
      </w:r>
      <w:r w:rsidR="002C6FA7">
        <w:t>er</w:t>
      </w:r>
      <w:r>
        <w:t xml:space="preserve"> (UK), 2014) 36-37.</w:t>
      </w:r>
    </w:p>
  </w:endnote>
  <w:endnote w:id="42">
    <w:p w14:paraId="4F4C17AF" w14:textId="6C554F6A" w:rsidR="00EA007C" w:rsidRPr="00DD6DEF" w:rsidRDefault="00EA007C" w:rsidP="00EF1FA8">
      <w:pPr>
        <w:pStyle w:val="EndnoteText"/>
      </w:pPr>
      <w:r>
        <w:rPr>
          <w:rStyle w:val="EndnoteReference"/>
        </w:rPr>
        <w:endnoteRef/>
      </w:r>
      <w:r>
        <w:t xml:space="preserve"> Miranda A.H. Horvath et al, </w:t>
      </w:r>
      <w:r w:rsidRPr="00736BE2">
        <w:rPr>
          <w:i/>
        </w:rPr>
        <w:t>‘Basically…porn is everywhere’: A Rapid Evidence Assessment on the Effects that Access and Exposure to Pornography has on Children and Young People</w:t>
      </w:r>
      <w:r>
        <w:t xml:space="preserve"> (Office of the Children’s Commission</w:t>
      </w:r>
      <w:r w:rsidR="002C6FA7">
        <w:t>er</w:t>
      </w:r>
      <w:r>
        <w:t xml:space="preserve"> (UK), 2014) 36.</w:t>
      </w:r>
    </w:p>
  </w:endnote>
  <w:endnote w:id="43">
    <w:p w14:paraId="35357CF3" w14:textId="1FD497CF" w:rsidR="00EA007C" w:rsidRPr="008D29A1" w:rsidRDefault="00EA007C" w:rsidP="00EF1FA8">
      <w:pPr>
        <w:pStyle w:val="EndnoteText"/>
      </w:pPr>
      <w:r>
        <w:rPr>
          <w:rStyle w:val="EndnoteReference"/>
        </w:rPr>
        <w:endnoteRef/>
      </w:r>
      <w:r>
        <w:t xml:space="preserve"> Miranda A.H. Horvath et al, </w:t>
      </w:r>
      <w:r w:rsidRPr="00736BE2">
        <w:rPr>
          <w:i/>
        </w:rPr>
        <w:t>‘Basically…porn is everywhere’: A Rapid Evidence Assessment on the Effects that Access and Exposure to Pornography has on Children and Young People</w:t>
      </w:r>
      <w:r>
        <w:t xml:space="preserve"> (Office of the Children’s Commission</w:t>
      </w:r>
      <w:r w:rsidR="002C6FA7">
        <w:t>er</w:t>
      </w:r>
      <w:r>
        <w:t xml:space="preserve"> (UK), 2014) 4.</w:t>
      </w:r>
    </w:p>
  </w:endnote>
  <w:endnote w:id="44">
    <w:p w14:paraId="60075117" w14:textId="77777777" w:rsidR="00EA007C" w:rsidRPr="003F42DA" w:rsidRDefault="00EA007C" w:rsidP="00EF1FA8">
      <w:pPr>
        <w:pStyle w:val="EndnoteText"/>
      </w:pPr>
      <w:r>
        <w:rPr>
          <w:rStyle w:val="EndnoteReference"/>
        </w:rPr>
        <w:endnoteRef/>
      </w:r>
      <w:r>
        <w:t xml:space="preserve"> Wendy O’Brien, </w:t>
      </w:r>
      <w:r w:rsidRPr="00BE7C8E">
        <w:rPr>
          <w:i/>
        </w:rPr>
        <w:t>Problem Sexual Behaviour in Children: A Review of the Literature</w:t>
      </w:r>
      <w:r>
        <w:t xml:space="preserve"> (Australian Crime Commission, 2008) 36-37 (‘despite the tempting tidiness of this causative logic, there are still very few empirical studies that can prove that watching pornography, even violent pornography, incites viewers to enacting sexual violence’); Karen Baker, ‘Online pornography – Should schools be teaching your people about the risks? An exploration of the views of young people and teaching professionals’ (2015) </w:t>
      </w:r>
      <w:r w:rsidRPr="00D61498">
        <w:rPr>
          <w:i/>
        </w:rPr>
        <w:t>Sex Education</w:t>
      </w:r>
      <w:r>
        <w:t xml:space="preserve"> 1, 2-3.</w:t>
      </w:r>
    </w:p>
  </w:endnote>
  <w:endnote w:id="45">
    <w:p w14:paraId="13BEBEE4" w14:textId="77777777" w:rsidR="00EA007C" w:rsidRPr="000C4EDE" w:rsidRDefault="00EA007C" w:rsidP="00EF1FA8">
      <w:pPr>
        <w:pStyle w:val="EndnoteText"/>
      </w:pPr>
      <w:r>
        <w:rPr>
          <w:rStyle w:val="EndnoteReference"/>
        </w:rPr>
        <w:endnoteRef/>
      </w:r>
      <w:r>
        <w:t xml:space="preserve"> See </w:t>
      </w:r>
      <w:r w:rsidRPr="000C4EDE">
        <w:rPr>
          <w:i/>
        </w:rPr>
        <w:t>Enhancing Online Safety for Children Act 2015</w:t>
      </w:r>
      <w:r>
        <w:t xml:space="preserve"> (Cth), Pt 2.</w:t>
      </w:r>
    </w:p>
  </w:endnote>
  <w:endnote w:id="46">
    <w:p w14:paraId="17ADFB03" w14:textId="77777777" w:rsidR="00EA007C" w:rsidRDefault="00EA007C">
      <w:pPr>
        <w:pStyle w:val="EndnoteText"/>
      </w:pPr>
      <w:r>
        <w:rPr>
          <w:rStyle w:val="EndnoteReference"/>
        </w:rPr>
        <w:endnoteRef/>
      </w:r>
      <w:r>
        <w:t xml:space="preserve"> </w:t>
      </w:r>
      <w:r w:rsidRPr="005862F9">
        <w:rPr>
          <w:i/>
        </w:rPr>
        <w:t>Types of offensive or illegal content</w:t>
      </w:r>
      <w:r>
        <w:t xml:space="preserve">, Office of the Children’s eSafety Commissioner, Australian Government. At </w:t>
      </w:r>
      <w:r w:rsidRPr="005862F9">
        <w:t>https://www.esafety.gov.au/complaints-and-reporting/offensive-and-illegal-content-complaints/types-of-offensive-or-illegal-content</w:t>
      </w:r>
      <w:r>
        <w:t xml:space="preserve"> (viewed 10 March 2016).</w:t>
      </w:r>
    </w:p>
  </w:endnote>
  <w:endnote w:id="47">
    <w:p w14:paraId="75FA3F3D" w14:textId="77777777" w:rsidR="00891A69" w:rsidRPr="00C97EAB" w:rsidRDefault="00891A69" w:rsidP="00891A69">
      <w:pPr>
        <w:pStyle w:val="EndnoteText"/>
      </w:pPr>
      <w:r>
        <w:rPr>
          <w:rStyle w:val="EndnoteReference"/>
        </w:rPr>
        <w:endnoteRef/>
      </w:r>
      <w:r>
        <w:t xml:space="preserve"> </w:t>
      </w:r>
      <w:r w:rsidRPr="005862F9">
        <w:rPr>
          <w:i/>
        </w:rPr>
        <w:t>Types of offensive or illegal content</w:t>
      </w:r>
      <w:r>
        <w:t xml:space="preserve">, Office of the Children’s eSafety Commissioner, Australian Government. At </w:t>
      </w:r>
      <w:r w:rsidRPr="005862F9">
        <w:t>https://www.esafety.gov.au/complaints-and-reporting/offensive-and-illegal-content-complaints/types-of-offensive-or-illegal-content</w:t>
      </w:r>
      <w:r>
        <w:t xml:space="preserve"> (viewed 10 March 2016).</w:t>
      </w:r>
    </w:p>
  </w:endnote>
  <w:endnote w:id="48">
    <w:p w14:paraId="08834ED3" w14:textId="77777777" w:rsidR="00EA007C" w:rsidRPr="00C97EAB" w:rsidRDefault="00EA007C" w:rsidP="00EF1FA8">
      <w:pPr>
        <w:pStyle w:val="EndnoteText"/>
      </w:pPr>
      <w:r>
        <w:rPr>
          <w:rStyle w:val="EndnoteReference"/>
        </w:rPr>
        <w:endnoteRef/>
      </w:r>
      <w:r>
        <w:t xml:space="preserve"> </w:t>
      </w:r>
      <w:r w:rsidRPr="005862F9">
        <w:rPr>
          <w:i/>
        </w:rPr>
        <w:t>Types of offensive or illegal content</w:t>
      </w:r>
      <w:r>
        <w:t xml:space="preserve">, Office of the Children’s eSafety Commissioner, Australian Government. At </w:t>
      </w:r>
      <w:r w:rsidRPr="005862F9">
        <w:t>https://www.esafety.gov.au/complaints-and-reporting/offensive-and-illegal-content-complaints/types-of-offensive-or-illegal-content</w:t>
      </w:r>
      <w:r>
        <w:t xml:space="preserve"> (viewed 10 March 2016).</w:t>
      </w:r>
    </w:p>
  </w:endnote>
  <w:endnote w:id="49">
    <w:p w14:paraId="3073B8FD" w14:textId="77777777" w:rsidR="00EA007C" w:rsidRDefault="00EA007C">
      <w:pPr>
        <w:pStyle w:val="EndnoteText"/>
      </w:pPr>
      <w:r>
        <w:rPr>
          <w:rStyle w:val="EndnoteReference"/>
        </w:rPr>
        <w:endnoteRef/>
      </w:r>
      <w:r>
        <w:t xml:space="preserve"> </w:t>
      </w:r>
      <w:r w:rsidRPr="002760AF">
        <w:rPr>
          <w:i/>
        </w:rPr>
        <w:t>eSafety Hotline FAQs</w:t>
      </w:r>
      <w:r>
        <w:t xml:space="preserve">, Office of the Children’s eSafety Commissioner, Australian Government. At </w:t>
      </w:r>
      <w:r w:rsidRPr="002760AF">
        <w:t>https://www.esafety.gov.au/complaints-and-reporting/offensive-and-illegal-content-complaints/esafety-hotline-faqs</w:t>
      </w:r>
      <w:r>
        <w:t xml:space="preserve"> (viewed 21 March 2016).</w:t>
      </w:r>
    </w:p>
  </w:endnote>
  <w:endnote w:id="50">
    <w:p w14:paraId="628C8E8F" w14:textId="77777777" w:rsidR="00EA007C" w:rsidRPr="006222D0" w:rsidRDefault="00EA007C" w:rsidP="00EF1FA8">
      <w:pPr>
        <w:pStyle w:val="EndnoteText"/>
      </w:pPr>
      <w:r>
        <w:rPr>
          <w:rStyle w:val="EndnoteReference"/>
        </w:rPr>
        <w:endnoteRef/>
      </w:r>
      <w:r>
        <w:t xml:space="preserve"> </w:t>
      </w:r>
      <w:r w:rsidRPr="000C4EDE">
        <w:rPr>
          <w:i/>
        </w:rPr>
        <w:t>Enhancing Online Safety for Children Act 2015</w:t>
      </w:r>
      <w:r>
        <w:t xml:space="preserve"> (Cth), s 15(1).</w:t>
      </w:r>
    </w:p>
  </w:endnote>
  <w:endnote w:id="51">
    <w:p w14:paraId="4545FD2F" w14:textId="77777777" w:rsidR="00EA007C" w:rsidRPr="00737841" w:rsidRDefault="00EA007C" w:rsidP="00EF1FA8">
      <w:pPr>
        <w:pStyle w:val="EndnoteText"/>
      </w:pPr>
      <w:r>
        <w:rPr>
          <w:rStyle w:val="EndnoteReference"/>
        </w:rPr>
        <w:endnoteRef/>
      </w:r>
      <w:r>
        <w:rPr>
          <w:i/>
        </w:rPr>
        <w:t>Internet Industry Codes of Practice: Codes for Industry Co-Regulation in Areas of Internet and Mobile Content (Pursuant to the Requirements of the Broadcasting Services Act 1992</w:t>
      </w:r>
      <w:r w:rsidRPr="00B75839">
        <w:t>) (Version 10.4, May 2005) 19.3-19.4. At http://www.commsalliance.com.au/Documents/all/codes/internet_and_mobile_codes (viewed 10 March 2016).</w:t>
      </w:r>
      <w:r>
        <w:rPr>
          <w:i/>
        </w:rPr>
        <w:t xml:space="preserve"> </w:t>
      </w:r>
      <w:r w:rsidRPr="00B75839">
        <w:t>See also</w:t>
      </w:r>
      <w:r>
        <w:rPr>
          <w:i/>
        </w:rPr>
        <w:t xml:space="preserve"> Safety Hotline FAQs: More information about offensive of illegal content</w:t>
      </w:r>
      <w:r>
        <w:t xml:space="preserve">, Office of the Children’s eSafety Commissioner, Australian Government. At </w:t>
      </w:r>
      <w:r w:rsidRPr="004B5399">
        <w:t>https://www.esafety.gov.au/complaints-and-reporting/offensive-and-illegal-content-complaints/esafety-hotline-faqs</w:t>
      </w:r>
      <w:r>
        <w:t xml:space="preserve"> (viewed 10 March 2016). </w:t>
      </w:r>
    </w:p>
  </w:endnote>
  <w:endnote w:id="52">
    <w:p w14:paraId="290EC9DE" w14:textId="77777777" w:rsidR="00EA007C" w:rsidRPr="004A44DA" w:rsidRDefault="00EA007C" w:rsidP="00EF1FA8">
      <w:pPr>
        <w:pStyle w:val="EndnoteText"/>
      </w:pPr>
      <w:r>
        <w:rPr>
          <w:rStyle w:val="EndnoteReference"/>
        </w:rPr>
        <w:endnoteRef/>
      </w:r>
      <w:r>
        <w:t xml:space="preserve"> </w:t>
      </w:r>
      <w:r>
        <w:rPr>
          <w:i/>
        </w:rPr>
        <w:t>Internet Industry Codes of Practice: Codes for Industry Co-Regulation in Areas of Internet and Mobile Content (Pursuant to the Requirements of the Broadcasting Services Act 1992</w:t>
      </w:r>
      <w:r w:rsidRPr="00B75839">
        <w:t>) (Version 10.4, May 2005)</w:t>
      </w:r>
      <w:r>
        <w:t xml:space="preserve"> 6.2 and 10.1, 12 and 17. At </w:t>
      </w:r>
      <w:r w:rsidRPr="00B75839">
        <w:t>http://www.commsalliance.com.au/Documents/all/codes/internet_and_mobile_codes (viewed 10 March 2016).</w:t>
      </w:r>
    </w:p>
  </w:endnote>
  <w:endnote w:id="53">
    <w:p w14:paraId="376322AA" w14:textId="309FED7B" w:rsidR="004B2EA1" w:rsidRDefault="004B2EA1">
      <w:pPr>
        <w:pStyle w:val="EndnoteText"/>
      </w:pPr>
      <w:r>
        <w:rPr>
          <w:rStyle w:val="EndnoteReference"/>
        </w:rPr>
        <w:endnoteRef/>
      </w:r>
      <w:r>
        <w:t xml:space="preserve"> </w:t>
      </w:r>
      <w:r w:rsidRPr="004B2EA1">
        <w:rPr>
          <w:i/>
        </w:rPr>
        <w:t>Broadcasting Services Act 1992</w:t>
      </w:r>
      <w:r>
        <w:t xml:space="preserve"> (Cth) ss </w:t>
      </w:r>
      <w:r>
        <w:rPr>
          <w:color w:val="000000" w:themeColor="text1"/>
        </w:rPr>
        <w:t>66, 79(g)</w:t>
      </w:r>
      <w:r w:rsidR="0043766E">
        <w:rPr>
          <w:color w:val="000000" w:themeColor="text1"/>
        </w:rPr>
        <w:t>,</w:t>
      </w:r>
      <w:r>
        <w:rPr>
          <w:color w:val="000000" w:themeColor="text1"/>
        </w:rPr>
        <w:t xml:space="preserve"> 82, and 85.</w:t>
      </w:r>
    </w:p>
  </w:endnote>
  <w:endnote w:id="54">
    <w:p w14:paraId="7135A580" w14:textId="77777777" w:rsidR="00EA007C" w:rsidRPr="00DE4190" w:rsidRDefault="00EA007C" w:rsidP="00EF1FA8">
      <w:pPr>
        <w:pStyle w:val="EndnoteText"/>
      </w:pPr>
      <w:r>
        <w:rPr>
          <w:rStyle w:val="EndnoteReference"/>
        </w:rPr>
        <w:endnoteRef/>
      </w:r>
      <w:r>
        <w:t xml:space="preserve"> Dave Neal, ‘Open Rights Group finds that one in five websites is blocked by an ISP filter’, </w:t>
      </w:r>
      <w:r w:rsidRPr="009572C0">
        <w:rPr>
          <w:i/>
        </w:rPr>
        <w:t>The Inquirer</w:t>
      </w:r>
      <w:r>
        <w:t xml:space="preserve"> (online), 2 July 2014. At </w:t>
      </w:r>
      <w:r w:rsidRPr="009572C0">
        <w:t>http://www.theinquirer.net/inquirer/news/2353174/open-rights-group-finds-that-one-in-five-websites-is-blocked-by-an-isp-s-filter</w:t>
      </w:r>
      <w:r>
        <w:t xml:space="preserve"> (viewed 10 March 2016).</w:t>
      </w:r>
    </w:p>
  </w:endnote>
  <w:endnote w:id="55">
    <w:p w14:paraId="321B2639" w14:textId="77777777" w:rsidR="00EA007C" w:rsidRPr="002F5248" w:rsidRDefault="00EA007C" w:rsidP="00EF1FA8">
      <w:pPr>
        <w:pStyle w:val="EndnoteText"/>
      </w:pPr>
      <w:r>
        <w:rPr>
          <w:rStyle w:val="EndnoteReference"/>
        </w:rPr>
        <w:endnoteRef/>
      </w:r>
      <w:r>
        <w:t xml:space="preserve"> Mike Smith, ‘Porn filters block sex education websites’, </w:t>
      </w:r>
      <w:r w:rsidRPr="002F5248">
        <w:rPr>
          <w:i/>
        </w:rPr>
        <w:t>BBC News</w:t>
      </w:r>
      <w:r>
        <w:t xml:space="preserve"> (online), 18 December 2013. At </w:t>
      </w:r>
      <w:r w:rsidRPr="00797CE6">
        <w:t>http://www.bbc.com/news/uk-25430582</w:t>
      </w:r>
      <w:r>
        <w:t xml:space="preserve"> (viewed 10 March 2013).</w:t>
      </w:r>
    </w:p>
  </w:endnote>
  <w:endnote w:id="56">
    <w:p w14:paraId="569622F6" w14:textId="77777777" w:rsidR="00EA007C" w:rsidRPr="00BB09CF" w:rsidRDefault="00EA007C" w:rsidP="00EF1FA8">
      <w:pPr>
        <w:pStyle w:val="EndnoteText"/>
      </w:pPr>
      <w:r>
        <w:rPr>
          <w:rStyle w:val="EndnoteReference"/>
        </w:rPr>
        <w:endnoteRef/>
      </w:r>
      <w:r>
        <w:t xml:space="preserve"> Mike Smith, ‘Porn filters block sex education websites’, </w:t>
      </w:r>
      <w:r w:rsidRPr="002F5248">
        <w:rPr>
          <w:i/>
        </w:rPr>
        <w:t>BBC News</w:t>
      </w:r>
      <w:r>
        <w:t xml:space="preserve"> (online), 18 December 2013. At </w:t>
      </w:r>
      <w:r w:rsidRPr="00797CE6">
        <w:t>http://www.bbc.com/news/uk-25430582</w:t>
      </w:r>
      <w:r>
        <w:t xml:space="preserve"> (viewed 10 March 2013).</w:t>
      </w:r>
    </w:p>
  </w:endnote>
  <w:endnote w:id="57">
    <w:p w14:paraId="58C8116E" w14:textId="77777777" w:rsidR="002A2661" w:rsidRDefault="002A2661">
      <w:pPr>
        <w:pStyle w:val="EndnoteText"/>
      </w:pPr>
      <w:r>
        <w:rPr>
          <w:rStyle w:val="EndnoteReference"/>
        </w:rPr>
        <w:endnoteRef/>
      </w:r>
      <w:r>
        <w:t xml:space="preserve">  Ofcom, </w:t>
      </w:r>
      <w:r w:rsidRPr="002A2661">
        <w:rPr>
          <w:i/>
        </w:rPr>
        <w:t>Ofcom Report on Internet Safety Measures: Internet Service Providers: Network level filtering measures</w:t>
      </w:r>
      <w:r>
        <w:t xml:space="preserve"> (2014) 20.</w:t>
      </w:r>
    </w:p>
  </w:endnote>
  <w:endnote w:id="58">
    <w:p w14:paraId="0E518F8B" w14:textId="77777777" w:rsidR="00EA007C" w:rsidRPr="00E765DB" w:rsidRDefault="00EA007C" w:rsidP="00EF1FA8">
      <w:pPr>
        <w:pStyle w:val="EndnoteText"/>
      </w:pPr>
      <w:r>
        <w:rPr>
          <w:rStyle w:val="EndnoteReference"/>
        </w:rPr>
        <w:endnoteRef/>
      </w:r>
      <w:r>
        <w:t xml:space="preserve"> Commissioner for Human Rights, </w:t>
      </w:r>
      <w:r>
        <w:rPr>
          <w:i/>
        </w:rPr>
        <w:t>Human Rights Comment -</w:t>
      </w:r>
      <w:r w:rsidRPr="00994986">
        <w:rPr>
          <w:i/>
        </w:rPr>
        <w:t xml:space="preserve"> Protecting children’s rights in the digital world: an ever-growing challenge</w:t>
      </w:r>
      <w:r>
        <w:t xml:space="preserve"> (29 April 2014) Council of Europe. At </w:t>
      </w:r>
      <w:r w:rsidRPr="00994986">
        <w:t>http://www.coe.int/en/web/commissioner/-/protecting-children-s-rights-in-the-digital-world-an-ever-growing-challen-1?inheritRedirect=true</w:t>
      </w:r>
      <w:r>
        <w:t xml:space="preserve"> (viewed 10 March 2016). </w:t>
      </w:r>
    </w:p>
  </w:endnote>
  <w:endnote w:id="59">
    <w:p w14:paraId="69FC6E28" w14:textId="77777777" w:rsidR="00EA007C" w:rsidRPr="00E765DB" w:rsidRDefault="00EA007C" w:rsidP="00EF1FA8">
      <w:pPr>
        <w:pStyle w:val="EndnoteText"/>
      </w:pPr>
      <w:r>
        <w:rPr>
          <w:rStyle w:val="EndnoteReference"/>
        </w:rPr>
        <w:endnoteRef/>
      </w:r>
      <w:r>
        <w:t xml:space="preserve"> Commissioner for Human Rights, </w:t>
      </w:r>
      <w:r>
        <w:rPr>
          <w:i/>
        </w:rPr>
        <w:t>Human Rights Comment -</w:t>
      </w:r>
      <w:r w:rsidRPr="00994986">
        <w:rPr>
          <w:i/>
        </w:rPr>
        <w:t xml:space="preserve"> Protecting children’s rights in the digital world: an ever-growing challenge</w:t>
      </w:r>
      <w:r>
        <w:t xml:space="preserve"> (29 April 2014) Council of Europe. At </w:t>
      </w:r>
      <w:r w:rsidRPr="00994986">
        <w:t>http://www.coe.int/en/web/commissioner/-/protecting-children-s-rights-in-the-digital-world-an-ever-growing-challen-1?inheritRedirect=true</w:t>
      </w:r>
      <w:r>
        <w:t xml:space="preserve"> (viewed 10 March 2016). </w:t>
      </w:r>
    </w:p>
  </w:endnote>
  <w:endnote w:id="60">
    <w:p w14:paraId="141AEA3F" w14:textId="3D53A381" w:rsidR="00EA007C" w:rsidRPr="00AC3236" w:rsidRDefault="00EA007C" w:rsidP="00EF1FA8">
      <w:pPr>
        <w:pStyle w:val="EndnoteText"/>
      </w:pPr>
      <w:r>
        <w:rPr>
          <w:rStyle w:val="EndnoteReference"/>
        </w:rPr>
        <w:endnoteRef/>
      </w:r>
      <w:r>
        <w:t xml:space="preserve"> Frank La Rue, </w:t>
      </w:r>
      <w:r w:rsidRPr="00224EB7">
        <w:rPr>
          <w:i/>
        </w:rPr>
        <w:t>Report of the Special Rapporteur on the promotion and protection of the right to freedom of opinion and expression</w:t>
      </w:r>
      <w:r>
        <w:t xml:space="preserve">, Human Rights Council, 17th session, </w:t>
      </w:r>
      <w:r w:rsidR="009B0D6B">
        <w:t>UN Doc A/HRC/17/27 (2011), [31]</w:t>
      </w:r>
      <w:r>
        <w:t>.</w:t>
      </w:r>
    </w:p>
  </w:endnote>
  <w:endnote w:id="61">
    <w:p w14:paraId="67993412" w14:textId="77777777" w:rsidR="00EA007C" w:rsidRPr="00990074" w:rsidRDefault="00EA007C" w:rsidP="00EF1FA8">
      <w:pPr>
        <w:pStyle w:val="EndnoteText"/>
      </w:pPr>
      <w:r>
        <w:rPr>
          <w:rStyle w:val="EndnoteReference"/>
        </w:rPr>
        <w:endnoteRef/>
      </w:r>
      <w:r>
        <w:t xml:space="preserve"> Paul Wright, ‘</w:t>
      </w:r>
      <w:r w:rsidRPr="00990074">
        <w:t>Pornography and the Sexual Socialization of Children: Current Knowledge and a Theoretical Future</w:t>
      </w:r>
      <w:r>
        <w:t>’</w:t>
      </w:r>
      <w:r w:rsidRPr="00990074">
        <w:t xml:space="preserve"> (2014) 8(3) </w:t>
      </w:r>
      <w:r w:rsidRPr="00990074">
        <w:rPr>
          <w:i/>
        </w:rPr>
        <w:t>Journal of Children and Media</w:t>
      </w:r>
      <w:r>
        <w:t xml:space="preserve"> 305, 308.</w:t>
      </w:r>
    </w:p>
  </w:endnote>
  <w:endnote w:id="62">
    <w:p w14:paraId="7B6F97C9" w14:textId="77777777" w:rsidR="00EA007C" w:rsidRPr="00F45837" w:rsidRDefault="00EA007C" w:rsidP="00EF1FA8">
      <w:pPr>
        <w:pStyle w:val="EndnoteText"/>
      </w:pPr>
      <w:r>
        <w:rPr>
          <w:rStyle w:val="EndnoteReference"/>
        </w:rPr>
        <w:endnoteRef/>
      </w:r>
      <w:r>
        <w:t xml:space="preserve"> </w:t>
      </w:r>
      <w:r>
        <w:rPr>
          <w:shd w:val="clear" w:color="auto" w:fill="FFFFFF"/>
        </w:rPr>
        <w:t xml:space="preserve">UN Committee on the Rights of the Child, </w:t>
      </w:r>
      <w:r w:rsidRPr="00E94C8A">
        <w:rPr>
          <w:i/>
          <w:shd w:val="clear" w:color="auto" w:fill="FFFFFF"/>
        </w:rPr>
        <w:t>General Comment No. 13 (2011): The right of the child to freedom from all forms of violence</w:t>
      </w:r>
      <w:r>
        <w:rPr>
          <w:shd w:val="clear" w:color="auto" w:fill="FFFFFF"/>
        </w:rPr>
        <w:t>, UN Doc CRC/C/GC/13 (18 April 2011) [3].</w:t>
      </w:r>
    </w:p>
  </w:endnote>
  <w:endnote w:id="63">
    <w:p w14:paraId="031F06E4" w14:textId="77777777" w:rsidR="00EA007C" w:rsidRPr="006C4292" w:rsidRDefault="00EA007C" w:rsidP="00EF1FA8">
      <w:pPr>
        <w:pStyle w:val="EndnoteText"/>
      </w:pPr>
      <w:r>
        <w:rPr>
          <w:rStyle w:val="EndnoteReference"/>
        </w:rPr>
        <w:endnoteRef/>
      </w:r>
      <w:r>
        <w:t xml:space="preserve"> </w:t>
      </w:r>
      <w:r>
        <w:rPr>
          <w:shd w:val="clear" w:color="auto" w:fill="FFFFFF"/>
        </w:rPr>
        <w:t xml:space="preserve">UN Committee on the Rights of the Child, </w:t>
      </w:r>
      <w:r w:rsidRPr="00E94C8A">
        <w:rPr>
          <w:i/>
          <w:shd w:val="clear" w:color="auto" w:fill="FFFFFF"/>
        </w:rPr>
        <w:t>General Comment No. 13 (2011): The right of the child to freedom from all forms of violence</w:t>
      </w:r>
      <w:r>
        <w:rPr>
          <w:shd w:val="clear" w:color="auto" w:fill="FFFFFF"/>
        </w:rPr>
        <w:t>, UN Doc CRC/C/GC/13 (18 April 2011) [3].</w:t>
      </w:r>
    </w:p>
  </w:endnote>
  <w:endnote w:id="64">
    <w:p w14:paraId="5857F886" w14:textId="77777777" w:rsidR="00EA007C" w:rsidRPr="003B15EF" w:rsidRDefault="00EA007C" w:rsidP="00EF1FA8">
      <w:pPr>
        <w:pStyle w:val="EndnoteText"/>
      </w:pPr>
      <w:r>
        <w:rPr>
          <w:rStyle w:val="EndnoteReference"/>
        </w:rPr>
        <w:endnoteRef/>
      </w:r>
      <w:r>
        <w:t xml:space="preserve"> Commissioner for Human Rights, </w:t>
      </w:r>
      <w:r>
        <w:rPr>
          <w:i/>
        </w:rPr>
        <w:t>Human Rights Comment -</w:t>
      </w:r>
      <w:r w:rsidRPr="00994986">
        <w:rPr>
          <w:i/>
        </w:rPr>
        <w:t xml:space="preserve"> Protecting children’s rights in the digital world: an ever-growing challenge</w:t>
      </w:r>
      <w:r>
        <w:t xml:space="preserve"> (29 April 2014) Council of Europe. At </w:t>
      </w:r>
      <w:r w:rsidRPr="00994986">
        <w:t>http://www.coe.int/en/web/commissioner/-/protecting-children-s-rights-in-the-digital-world-an-ever-growing-challen-1?inheritRedirect=true</w:t>
      </w:r>
      <w:r>
        <w:t xml:space="preserve"> (viewed 10 March 2016). </w:t>
      </w:r>
    </w:p>
  </w:endnote>
  <w:endnote w:id="65">
    <w:p w14:paraId="41E60027" w14:textId="77777777" w:rsidR="00EA007C" w:rsidRPr="003663EA" w:rsidRDefault="00EA007C" w:rsidP="00EF1FA8">
      <w:pPr>
        <w:pStyle w:val="EndnoteText"/>
      </w:pPr>
      <w:r>
        <w:rPr>
          <w:rStyle w:val="EndnoteReference"/>
        </w:rPr>
        <w:endnoteRef/>
      </w:r>
      <w:r>
        <w:t xml:space="preserve"> Marta Santos Pais, </w:t>
      </w:r>
      <w:r w:rsidRPr="002F30A9">
        <w:rPr>
          <w:i/>
        </w:rPr>
        <w:t>Annual Report of the Special Representative of the Secretary-General on Violence against Children</w:t>
      </w:r>
      <w:r>
        <w:t>, UN Human Rights Council, 35</w:t>
      </w:r>
      <w:r w:rsidRPr="002F30A9">
        <w:rPr>
          <w:vertAlign w:val="superscript"/>
        </w:rPr>
        <w:t>th</w:t>
      </w:r>
      <w:r>
        <w:t xml:space="preserve"> sess, Agenda Item 3, UN Doc A/HRC/31/20 (5 January 2016) [100].</w:t>
      </w:r>
    </w:p>
  </w:endnote>
  <w:endnote w:id="66">
    <w:p w14:paraId="2FA0AFFC" w14:textId="77777777" w:rsidR="00EA007C" w:rsidRPr="004E1EB1" w:rsidRDefault="00EA007C" w:rsidP="00EF1FA8">
      <w:pPr>
        <w:pStyle w:val="EndnoteText"/>
      </w:pPr>
      <w:r>
        <w:rPr>
          <w:rStyle w:val="EndnoteReference"/>
        </w:rPr>
        <w:endnoteRef/>
      </w:r>
      <w:r>
        <w:t xml:space="preserve"> Marta Santos Pais, </w:t>
      </w:r>
      <w:r w:rsidRPr="002F30A9">
        <w:rPr>
          <w:i/>
        </w:rPr>
        <w:t>Annual Report of the Special Representative of the Secretary-General on Violence against Children</w:t>
      </w:r>
      <w:r>
        <w:t>, UN Human Rights Council, 35</w:t>
      </w:r>
      <w:r w:rsidRPr="002F30A9">
        <w:rPr>
          <w:vertAlign w:val="superscript"/>
        </w:rPr>
        <w:t>th</w:t>
      </w:r>
      <w:r>
        <w:t xml:space="preserve"> sess, Agenda Item 3, UN Doc A/HRC/31/20 (5 January 2016) [101].</w:t>
      </w:r>
    </w:p>
  </w:endnote>
  <w:endnote w:id="67">
    <w:p w14:paraId="5AC59253" w14:textId="595D6D30" w:rsidR="00D40890" w:rsidRDefault="00D40890">
      <w:pPr>
        <w:pStyle w:val="EndnoteText"/>
      </w:pPr>
      <w:r>
        <w:rPr>
          <w:rStyle w:val="EndnoteReference"/>
        </w:rPr>
        <w:endnoteRef/>
      </w:r>
      <w:r>
        <w:t xml:space="preserve"> Australian Communications and Media Authority, </w:t>
      </w:r>
      <w:r w:rsidRPr="001D2F32">
        <w:rPr>
          <w:i/>
        </w:rPr>
        <w:t>Connected parents in the cybersafety age: June 2013 snapshot</w:t>
      </w:r>
      <w:r>
        <w:t xml:space="preserve"> (2014) 23-24.</w:t>
      </w:r>
    </w:p>
  </w:endnote>
  <w:endnote w:id="68">
    <w:p w14:paraId="428C2BE4" w14:textId="77777777" w:rsidR="00EA007C" w:rsidRPr="001D2F32" w:rsidRDefault="00EA007C" w:rsidP="00EF1FA8">
      <w:pPr>
        <w:pStyle w:val="EndnoteText"/>
      </w:pPr>
      <w:r>
        <w:rPr>
          <w:rStyle w:val="EndnoteReference"/>
        </w:rPr>
        <w:endnoteRef/>
      </w:r>
      <w:r>
        <w:t xml:space="preserve"> Australian Communications and Media Authority, </w:t>
      </w:r>
      <w:r w:rsidRPr="001D2F32">
        <w:rPr>
          <w:i/>
        </w:rPr>
        <w:t>Connected parents in the cybersafety age: June 2013 snapshot</w:t>
      </w:r>
      <w:r>
        <w:t xml:space="preserve"> (2014) 23-24.</w:t>
      </w:r>
    </w:p>
  </w:endnote>
  <w:endnote w:id="69">
    <w:p w14:paraId="167C9F66" w14:textId="77777777" w:rsidR="00EA007C" w:rsidRPr="00F51669" w:rsidRDefault="00EA007C" w:rsidP="00EF1FA8">
      <w:pPr>
        <w:pStyle w:val="EndnoteText"/>
      </w:pPr>
      <w:r>
        <w:rPr>
          <w:rStyle w:val="EndnoteReference"/>
        </w:rPr>
        <w:endnoteRef/>
      </w:r>
      <w:r>
        <w:t xml:space="preserve"> </w:t>
      </w:r>
      <w:r w:rsidRPr="00D51DE0">
        <w:rPr>
          <w:i/>
        </w:rPr>
        <w:t>eSafety for parents – Inappropriate content</w:t>
      </w:r>
      <w:r>
        <w:t xml:space="preserve">, Office of the Children’s eSafety Commissioner, Australian Government. At </w:t>
      </w:r>
      <w:r w:rsidRPr="00D51DE0">
        <w:t>https://www.esafety.gov.au/education-resources/parent-resources/esafety-for-parents-inappropriate-content</w:t>
      </w:r>
      <w:r>
        <w:t xml:space="preserve"> (viewed 14 March 2016). </w:t>
      </w:r>
    </w:p>
  </w:endnote>
  <w:endnote w:id="70">
    <w:p w14:paraId="45FBD02A" w14:textId="77777777" w:rsidR="00EA007C" w:rsidRPr="003B0ADB" w:rsidRDefault="00EA007C" w:rsidP="00EF1FA8">
      <w:pPr>
        <w:pStyle w:val="EndnoteText"/>
      </w:pPr>
      <w:r>
        <w:rPr>
          <w:rStyle w:val="EndnoteReference"/>
        </w:rPr>
        <w:endnoteRef/>
      </w:r>
      <w:r>
        <w:t xml:space="preserve"> </w:t>
      </w:r>
      <w:r w:rsidRPr="003B0ADB">
        <w:rPr>
          <w:i/>
        </w:rPr>
        <w:t>Classroom resources</w:t>
      </w:r>
      <w:r>
        <w:t xml:space="preserve">, Office of the Children’s eSafety Commissioner, Australian Government. At </w:t>
      </w:r>
      <w:r w:rsidRPr="003B0ADB">
        <w:t>https://www.esafety.gov.au/education-resources/classroom-resources</w:t>
      </w:r>
      <w:r>
        <w:t xml:space="preserve"> (viewed 14 March 2016).</w:t>
      </w:r>
    </w:p>
  </w:endnote>
  <w:endnote w:id="71">
    <w:p w14:paraId="5F07610E" w14:textId="7D54FF4F" w:rsidR="005D049E" w:rsidRDefault="005D049E">
      <w:pPr>
        <w:pStyle w:val="EndnoteText"/>
      </w:pPr>
      <w:r>
        <w:rPr>
          <w:rStyle w:val="EndnoteReference"/>
        </w:rPr>
        <w:endnoteRef/>
      </w:r>
      <w:r>
        <w:t xml:space="preserve"> </w:t>
      </w:r>
      <w:r>
        <w:rPr>
          <w:shd w:val="clear" w:color="auto" w:fill="FFFFFF"/>
        </w:rPr>
        <w:t xml:space="preserve">UN Committee on the Rights of the Child, </w:t>
      </w:r>
      <w:r w:rsidRPr="00E94C8A">
        <w:rPr>
          <w:i/>
          <w:shd w:val="clear" w:color="auto" w:fill="FFFFFF"/>
        </w:rPr>
        <w:t>General Comment No. 13 (2011): The right of the child to freedom from all forms of violence</w:t>
      </w:r>
      <w:r>
        <w:rPr>
          <w:shd w:val="clear" w:color="auto" w:fill="FFFFFF"/>
        </w:rPr>
        <w:t>, UN Doc CRC/C/GC/13 (18 April 2011) [44].</w:t>
      </w:r>
    </w:p>
  </w:endnote>
  <w:endnote w:id="72">
    <w:p w14:paraId="686DB95E" w14:textId="77777777" w:rsidR="00EA007C" w:rsidRPr="00AF592D" w:rsidRDefault="00EA007C" w:rsidP="00EF1FA8">
      <w:pPr>
        <w:pStyle w:val="EndnoteText"/>
      </w:pPr>
      <w:r>
        <w:rPr>
          <w:rStyle w:val="EndnoteReference"/>
        </w:rPr>
        <w:endnoteRef/>
      </w:r>
      <w:r>
        <w:t xml:space="preserve"> </w:t>
      </w:r>
      <w:r>
        <w:rPr>
          <w:shd w:val="clear" w:color="auto" w:fill="FFFFFF"/>
        </w:rPr>
        <w:t xml:space="preserve">UN Committee on the Rights of the Child, </w:t>
      </w:r>
      <w:r w:rsidRPr="00E94C8A">
        <w:rPr>
          <w:i/>
          <w:shd w:val="clear" w:color="auto" w:fill="FFFFFF"/>
        </w:rPr>
        <w:t>General Comment No. 13 (2011): The right of the child to freedom from all forms of violence</w:t>
      </w:r>
      <w:r>
        <w:rPr>
          <w:shd w:val="clear" w:color="auto" w:fill="FFFFFF"/>
        </w:rPr>
        <w:t>, UN Doc CRC/C/GC/13 (18 April 2011) [44].</w:t>
      </w:r>
    </w:p>
  </w:endnote>
  <w:endnote w:id="73">
    <w:p w14:paraId="546D2A62" w14:textId="77777777" w:rsidR="00EA007C" w:rsidRPr="00525CB9" w:rsidRDefault="00EA007C" w:rsidP="00EF1FA8">
      <w:pPr>
        <w:pStyle w:val="EndnoteText"/>
      </w:pPr>
      <w:r>
        <w:rPr>
          <w:rStyle w:val="EndnoteReference"/>
        </w:rPr>
        <w:endnoteRef/>
      </w:r>
      <w:r>
        <w:t xml:space="preserve"> Plan International Australia and Our Watch, </w:t>
      </w:r>
      <w:r w:rsidRPr="00525CB9">
        <w:rPr>
          <w:i/>
        </w:rPr>
        <w:t>‘Don’t send me that pic’: Australian young women and girls report online abuse and harassment are endemic</w:t>
      </w:r>
      <w:r>
        <w:t xml:space="preserve"> (2016) 3. </w:t>
      </w:r>
    </w:p>
  </w:endnote>
  <w:endnote w:id="74">
    <w:p w14:paraId="7AFFC644" w14:textId="77777777" w:rsidR="00EA007C" w:rsidRPr="00525CB9" w:rsidRDefault="00EA007C" w:rsidP="00EF1FA8">
      <w:pPr>
        <w:pStyle w:val="EndnoteText"/>
      </w:pPr>
      <w:r>
        <w:rPr>
          <w:rStyle w:val="EndnoteReference"/>
        </w:rPr>
        <w:endnoteRef/>
      </w:r>
      <w:r>
        <w:t xml:space="preserve"> Plan International Australia and Our Watch, </w:t>
      </w:r>
      <w:r w:rsidRPr="00525CB9">
        <w:rPr>
          <w:i/>
        </w:rPr>
        <w:t>‘Don’t send me that pic’: Australian young women and girls report online abuse and harassment are endemic</w:t>
      </w:r>
      <w:r>
        <w:t xml:space="preserve"> (2016) 3.</w:t>
      </w:r>
    </w:p>
  </w:endnote>
  <w:endnote w:id="75">
    <w:p w14:paraId="416628A5" w14:textId="39D0B53E" w:rsidR="00EA007C" w:rsidRPr="00276B88" w:rsidRDefault="00EA007C" w:rsidP="00EF1FA8">
      <w:pPr>
        <w:pStyle w:val="EndnoteText"/>
      </w:pPr>
      <w:r>
        <w:rPr>
          <w:rStyle w:val="EndnoteReference"/>
        </w:rPr>
        <w:endnoteRef/>
      </w:r>
      <w:r>
        <w:t xml:space="preserve"> Miranda A.H. Horvath et al, </w:t>
      </w:r>
      <w:r w:rsidRPr="00736BE2">
        <w:rPr>
          <w:i/>
        </w:rPr>
        <w:t>‘Basically…porn is everywhere’: A Rapid Evidence Assessment on the Effects that Access and Exposure to Pornography has on Children and Young People</w:t>
      </w:r>
      <w:r>
        <w:t xml:space="preserve"> (Office of the Children’s Commission</w:t>
      </w:r>
      <w:r w:rsidR="002C6FA7">
        <w:t>er</w:t>
      </w:r>
      <w:r>
        <w:t xml:space="preserve"> (UK), 2014) 39.</w:t>
      </w:r>
    </w:p>
  </w:endnote>
  <w:endnote w:id="76">
    <w:p w14:paraId="07322B38" w14:textId="16C5EB96" w:rsidR="00EA007C" w:rsidRPr="00674966" w:rsidRDefault="00EA007C" w:rsidP="00EF1FA8">
      <w:pPr>
        <w:pStyle w:val="EndnoteText"/>
      </w:pPr>
      <w:r>
        <w:rPr>
          <w:rStyle w:val="EndnoteReference"/>
        </w:rPr>
        <w:endnoteRef/>
      </w:r>
      <w:r>
        <w:t xml:space="preserve"> Miranda A.H. Horvath et al, </w:t>
      </w:r>
      <w:r w:rsidRPr="00736BE2">
        <w:rPr>
          <w:i/>
        </w:rPr>
        <w:t>‘Basically…porn is everywhere’: A Rapid Evidence Assessment on the Effects that Access and Exposure to Pornography has on Children and Young People</w:t>
      </w:r>
      <w:r>
        <w:t xml:space="preserve"> (Office of the Children’s Commission</w:t>
      </w:r>
      <w:r w:rsidR="002C6FA7">
        <w:t>er</w:t>
      </w:r>
      <w:r>
        <w:t xml:space="preserve"> (UK), 2014) 19.</w:t>
      </w:r>
    </w:p>
  </w:endnote>
  <w:endnote w:id="77">
    <w:p w14:paraId="2AB0BEB0" w14:textId="41EB87B9" w:rsidR="00EA007C" w:rsidRPr="009D422D" w:rsidRDefault="00EA007C" w:rsidP="00EF1FA8">
      <w:pPr>
        <w:pStyle w:val="EndnoteText"/>
      </w:pPr>
      <w:r>
        <w:rPr>
          <w:rStyle w:val="EndnoteReference"/>
        </w:rPr>
        <w:endnoteRef/>
      </w:r>
      <w:r>
        <w:t xml:space="preserve"> Miranda A.H. Horvath et al, </w:t>
      </w:r>
      <w:r w:rsidRPr="00736BE2">
        <w:rPr>
          <w:i/>
        </w:rPr>
        <w:t>‘Basically…porn is everywhere’: A Rapid Evidence Assessment on the Effects that Access and Exposure to Pornography has on Children and Young People</w:t>
      </w:r>
      <w:r>
        <w:t xml:space="preserve"> (Office of the Children’s Commission</w:t>
      </w:r>
      <w:r w:rsidR="002C6FA7">
        <w:t>er</w:t>
      </w:r>
      <w:r>
        <w:t xml:space="preserve"> (UK), 2014) 66.</w:t>
      </w:r>
    </w:p>
  </w:endnote>
  <w:endnote w:id="78">
    <w:p w14:paraId="59903A61" w14:textId="03C2A0D3" w:rsidR="00EA007C" w:rsidRPr="00A7017D" w:rsidRDefault="00EA007C" w:rsidP="00EF1FA8">
      <w:pPr>
        <w:pStyle w:val="EndnoteText"/>
        <w:rPr>
          <w:rFonts w:cs="Arial"/>
        </w:rPr>
      </w:pPr>
      <w:r>
        <w:rPr>
          <w:rStyle w:val="EndnoteReference"/>
        </w:rPr>
        <w:endnoteRef/>
      </w:r>
      <w:r>
        <w:t xml:space="preserve"> Miranda A.H. Horvath et al, </w:t>
      </w:r>
      <w:r w:rsidRPr="00736BE2">
        <w:rPr>
          <w:i/>
        </w:rPr>
        <w:t xml:space="preserve">‘Basically…porn is everywhere’: A Rapid Evidence Assessment on the </w:t>
      </w:r>
      <w:r w:rsidRPr="00A7017D">
        <w:rPr>
          <w:rFonts w:cs="Arial"/>
          <w:i/>
        </w:rPr>
        <w:t>Effects that Access and Exposure to Pornography has on Children and Young People</w:t>
      </w:r>
      <w:r w:rsidRPr="00A7017D">
        <w:rPr>
          <w:rFonts w:cs="Arial"/>
        </w:rPr>
        <w:t xml:space="preserve"> (Office of the Children’s Commission</w:t>
      </w:r>
      <w:r w:rsidR="002C6FA7" w:rsidRPr="00A7017D">
        <w:rPr>
          <w:rFonts w:cs="Arial"/>
        </w:rPr>
        <w:t>er</w:t>
      </w:r>
      <w:r w:rsidRPr="00A7017D">
        <w:rPr>
          <w:rFonts w:cs="Arial"/>
        </w:rPr>
        <w:t xml:space="preserve"> (UK), 2014) 66.</w:t>
      </w:r>
    </w:p>
  </w:endnote>
  <w:endnote w:id="79">
    <w:p w14:paraId="0D1C9048" w14:textId="77777777" w:rsidR="00EA007C" w:rsidRPr="00A7017D" w:rsidRDefault="00EA007C" w:rsidP="00EF1FA8">
      <w:pPr>
        <w:pStyle w:val="EndnoteText"/>
        <w:rPr>
          <w:rFonts w:cs="Arial"/>
        </w:rPr>
      </w:pPr>
      <w:r w:rsidRPr="00A7017D">
        <w:rPr>
          <w:rStyle w:val="EndnoteReference"/>
          <w:rFonts w:cs="Arial"/>
        </w:rPr>
        <w:endnoteRef/>
      </w:r>
      <w:r w:rsidRPr="00A7017D">
        <w:rPr>
          <w:rFonts w:cs="Arial"/>
        </w:rPr>
        <w:t xml:space="preserve"> VicHealth, </w:t>
      </w:r>
      <w:r w:rsidRPr="00A7017D">
        <w:rPr>
          <w:rFonts w:cs="Arial"/>
          <w:i/>
        </w:rPr>
        <w:t>Young Australian’s attitudes to violence against women: Summary findings from the 2013 National Community Attitudes towards Violence Against Women Survey for respondents aged 16–24 years</w:t>
      </w:r>
      <w:r w:rsidRPr="00A7017D">
        <w:rPr>
          <w:rFonts w:cs="Arial"/>
        </w:rPr>
        <w:t xml:space="preserve"> (2015) 9. </w:t>
      </w:r>
    </w:p>
  </w:endnote>
  <w:endnote w:id="80">
    <w:p w14:paraId="1BD7C2FF" w14:textId="48F287AD" w:rsidR="00EA007C" w:rsidRPr="00A7017D" w:rsidRDefault="00EA007C" w:rsidP="00EF1FA8">
      <w:pPr>
        <w:pStyle w:val="EndnoteText"/>
        <w:rPr>
          <w:rFonts w:cs="Arial"/>
        </w:rPr>
      </w:pPr>
      <w:r w:rsidRPr="00A7017D">
        <w:rPr>
          <w:rStyle w:val="EndnoteReference"/>
          <w:rFonts w:cs="Arial"/>
        </w:rPr>
        <w:endnoteRef/>
      </w:r>
      <w:r w:rsidRPr="00A7017D">
        <w:rPr>
          <w:rFonts w:cs="Arial"/>
        </w:rPr>
        <w:t xml:space="preserve"> </w:t>
      </w:r>
      <w:r w:rsidRPr="00A7017D">
        <w:rPr>
          <w:rFonts w:cs="Arial"/>
          <w:i/>
          <w:iCs/>
        </w:rPr>
        <w:t xml:space="preserve">Reality and Risk: Pornography, Young People and Sexuality, </w:t>
      </w:r>
      <w:r w:rsidRPr="00A7017D">
        <w:rPr>
          <w:rFonts w:cs="Arial"/>
          <w:iCs/>
        </w:rPr>
        <w:t>Brophy Family and Youth Services</w:t>
      </w:r>
      <w:r w:rsidRPr="00A7017D">
        <w:rPr>
          <w:rFonts w:cs="Arial"/>
          <w:i/>
          <w:iCs/>
        </w:rPr>
        <w:t xml:space="preserve">. </w:t>
      </w:r>
      <w:r w:rsidRPr="00A7017D">
        <w:rPr>
          <w:rFonts w:cs="Arial"/>
          <w:iCs/>
        </w:rPr>
        <w:t xml:space="preserve">At http://www.brophyweb.org.au/node/295 (viewed 14 March 2016). For further detail on these resources see </w:t>
      </w:r>
      <w:r w:rsidRPr="00A7017D">
        <w:rPr>
          <w:rFonts w:cs="Arial"/>
          <w:i/>
          <w:iCs/>
        </w:rPr>
        <w:t>In The Picture</w:t>
      </w:r>
      <w:r w:rsidR="00AA3485" w:rsidRPr="00A7017D">
        <w:rPr>
          <w:rFonts w:cs="Arial"/>
          <w:iCs/>
        </w:rPr>
        <w:t xml:space="preserve"> (2014) </w:t>
      </w:r>
      <w:r w:rsidRPr="00A7017D">
        <w:rPr>
          <w:rFonts w:cs="Arial"/>
          <w:iCs/>
        </w:rPr>
        <w:t>It’s time we talked. At http://www.itstimewetalked.com.au/resources/in-the-picture/ (viewed 14 March 2016).</w:t>
      </w:r>
      <w:r w:rsidRPr="00A7017D">
        <w:rPr>
          <w:rFonts w:cs="Arial"/>
          <w:iCs/>
          <w:sz w:val="17"/>
          <w:szCs w:val="17"/>
        </w:rPr>
        <w:t xml:space="preserve">  </w:t>
      </w:r>
    </w:p>
  </w:endnote>
  <w:endnote w:id="81">
    <w:p w14:paraId="3F6063E3" w14:textId="77777777" w:rsidR="00EA007C" w:rsidRPr="00E765DB" w:rsidRDefault="00EA007C" w:rsidP="00EF1FA8">
      <w:pPr>
        <w:pStyle w:val="EndnoteText"/>
      </w:pPr>
      <w:r w:rsidRPr="00A7017D">
        <w:rPr>
          <w:rStyle w:val="EndnoteReference"/>
          <w:rFonts w:cs="Arial"/>
        </w:rPr>
        <w:endnoteRef/>
      </w:r>
      <w:r w:rsidRPr="00A7017D">
        <w:rPr>
          <w:rFonts w:cs="Arial"/>
        </w:rPr>
        <w:t xml:space="preserve"> Commissioner for Human Rights, </w:t>
      </w:r>
      <w:r w:rsidRPr="00A7017D">
        <w:rPr>
          <w:rFonts w:cs="Arial"/>
          <w:i/>
        </w:rPr>
        <w:t>Human Rights Comment - Protecting children’s rights in the digital world: an ever-growing challenge</w:t>
      </w:r>
      <w:r w:rsidRPr="00A7017D">
        <w:rPr>
          <w:rFonts w:cs="Arial"/>
        </w:rPr>
        <w:t xml:space="preserve"> (29 April 2014) Council of Europe. At http://www.coe.int/en/web/commissioner/-/protecting-children-s-rights-in-the-digital-world-an-ever-growing-challen-1?inheritRedirect=true (viewed 10 March 2016).</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EBC12" w14:textId="77777777" w:rsidR="00EA007C" w:rsidRPr="0090165F" w:rsidRDefault="00EA007C"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0FED3" w14:textId="77777777" w:rsidR="00EA007C" w:rsidRPr="004A187B" w:rsidRDefault="00EA007C" w:rsidP="008B23BC">
    <w:pPr>
      <w:pStyle w:val="Footer"/>
    </w:pPr>
    <w:r>
      <w:rPr>
        <w:noProof/>
      </w:rPr>
      <mc:AlternateContent>
        <mc:Choice Requires="wps">
          <w:drawing>
            <wp:anchor distT="0" distB="0" distL="114300" distR="114300" simplePos="0" relativeHeight="251660288" behindDoc="0" locked="0" layoutInCell="1" allowOverlap="1" wp14:anchorId="48D65F66" wp14:editId="6316A48B">
              <wp:simplePos x="0" y="0"/>
              <wp:positionH relativeFrom="column">
                <wp:posOffset>-548005</wp:posOffset>
              </wp:positionH>
              <wp:positionV relativeFrom="paragraph">
                <wp:posOffset>-1305560</wp:posOffset>
              </wp:positionV>
              <wp:extent cx="6071235" cy="854075"/>
              <wp:effectExtent l="0" t="0" r="571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14:paraId="0DE0BA30" w14:textId="77777777" w:rsidR="00EA007C" w:rsidRPr="0003606D" w:rsidRDefault="00EA007C" w:rsidP="0003606D">
                          <w:pPr>
                            <w:pStyle w:val="coveraddresses"/>
                          </w:pPr>
                          <w:r w:rsidRPr="0003606D">
                            <w:t>ABN 47 996 232 602</w:t>
                          </w:r>
                        </w:p>
                        <w:p w14:paraId="01538DEC" w14:textId="77777777" w:rsidR="00EA007C" w:rsidRPr="0003606D" w:rsidRDefault="00EA007C" w:rsidP="0003606D">
                          <w:pPr>
                            <w:pStyle w:val="coveraddresses"/>
                          </w:pPr>
                          <w:r w:rsidRPr="0003606D">
                            <w:t>Level 3, 175 Pitt Street, Sydney NSW 2000</w:t>
                          </w:r>
                        </w:p>
                        <w:p w14:paraId="7D7838F9" w14:textId="77777777" w:rsidR="00EA007C" w:rsidRPr="0003606D" w:rsidRDefault="00EA007C" w:rsidP="0003606D">
                          <w:pPr>
                            <w:pStyle w:val="coveraddresses"/>
                          </w:pPr>
                          <w:r w:rsidRPr="0003606D">
                            <w:t>GPO Box 5218, Sydney NSW 2001</w:t>
                          </w:r>
                        </w:p>
                        <w:p w14:paraId="082EA90A" w14:textId="77777777" w:rsidR="00EA007C" w:rsidRPr="0003606D" w:rsidRDefault="00EA007C" w:rsidP="0003606D">
                          <w:pPr>
                            <w:pStyle w:val="coveraddresses"/>
                          </w:pPr>
                          <w:r w:rsidRPr="0003606D">
                            <w:t>General enquiries 1300 369 711</w:t>
                          </w:r>
                        </w:p>
                        <w:p w14:paraId="011797F6" w14:textId="77777777" w:rsidR="00EA007C" w:rsidRPr="0003606D" w:rsidRDefault="00EA007C" w:rsidP="0003606D">
                          <w:pPr>
                            <w:pStyle w:val="coveraddresses"/>
                          </w:pPr>
                          <w:r w:rsidRPr="0003606D">
                            <w:t>Complaints info line 1300 656 419</w:t>
                          </w:r>
                        </w:p>
                        <w:p w14:paraId="012D7C1B" w14:textId="77777777" w:rsidR="00EA007C" w:rsidRPr="0003606D" w:rsidRDefault="00EA007C" w:rsidP="0003606D">
                          <w:pPr>
                            <w:pStyle w:val="coveraddresses"/>
                          </w:pPr>
                          <w:r w:rsidRPr="0003606D">
                            <w:t>TTY 1800 620 241</w:t>
                          </w:r>
                        </w:p>
                        <w:p w14:paraId="48FED314" w14:textId="77777777" w:rsidR="00EA007C" w:rsidRPr="00B63D24" w:rsidRDefault="00EA007C"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65F66"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14:paraId="0DE0BA30" w14:textId="77777777" w:rsidR="00EA007C" w:rsidRPr="0003606D" w:rsidRDefault="00EA007C" w:rsidP="0003606D">
                    <w:pPr>
                      <w:pStyle w:val="coveraddresses"/>
                    </w:pPr>
                    <w:r w:rsidRPr="0003606D">
                      <w:t>ABN 47 996 232 602</w:t>
                    </w:r>
                  </w:p>
                  <w:p w14:paraId="01538DEC" w14:textId="77777777" w:rsidR="00EA007C" w:rsidRPr="0003606D" w:rsidRDefault="00EA007C" w:rsidP="0003606D">
                    <w:pPr>
                      <w:pStyle w:val="coveraddresses"/>
                    </w:pPr>
                    <w:r w:rsidRPr="0003606D">
                      <w:t>Level 3, 175 Pitt Street, Sydney NSW 2000</w:t>
                    </w:r>
                  </w:p>
                  <w:p w14:paraId="7D7838F9" w14:textId="77777777" w:rsidR="00EA007C" w:rsidRPr="0003606D" w:rsidRDefault="00EA007C" w:rsidP="0003606D">
                    <w:pPr>
                      <w:pStyle w:val="coveraddresses"/>
                    </w:pPr>
                    <w:r w:rsidRPr="0003606D">
                      <w:t>GPO Box 5218, Sydney NSW 2001</w:t>
                    </w:r>
                  </w:p>
                  <w:p w14:paraId="082EA90A" w14:textId="77777777" w:rsidR="00EA007C" w:rsidRPr="0003606D" w:rsidRDefault="00EA007C" w:rsidP="0003606D">
                    <w:pPr>
                      <w:pStyle w:val="coveraddresses"/>
                    </w:pPr>
                    <w:r w:rsidRPr="0003606D">
                      <w:t>General enquiries 1300 369 711</w:t>
                    </w:r>
                  </w:p>
                  <w:p w14:paraId="011797F6" w14:textId="77777777" w:rsidR="00EA007C" w:rsidRPr="0003606D" w:rsidRDefault="00EA007C" w:rsidP="0003606D">
                    <w:pPr>
                      <w:pStyle w:val="coveraddresses"/>
                    </w:pPr>
                    <w:r w:rsidRPr="0003606D">
                      <w:t>Complaints info line 1300 656 419</w:t>
                    </w:r>
                  </w:p>
                  <w:p w14:paraId="012D7C1B" w14:textId="77777777" w:rsidR="00EA007C" w:rsidRPr="0003606D" w:rsidRDefault="00EA007C" w:rsidP="0003606D">
                    <w:pPr>
                      <w:pStyle w:val="coveraddresses"/>
                    </w:pPr>
                    <w:r w:rsidRPr="0003606D">
                      <w:t>TTY 1800 620 241</w:t>
                    </w:r>
                  </w:p>
                  <w:p w14:paraId="48FED314" w14:textId="77777777" w:rsidR="00EA007C" w:rsidRPr="00B63D24" w:rsidRDefault="00EA007C"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5DFF3" w14:textId="77777777" w:rsidR="00EA007C" w:rsidRPr="0090165F" w:rsidRDefault="00EA007C"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E638B1">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8AC96" w14:textId="77777777" w:rsidR="00843F4A" w:rsidRDefault="00843F4A" w:rsidP="00F14C6D">
      <w:r>
        <w:separator/>
      </w:r>
    </w:p>
  </w:footnote>
  <w:footnote w:type="continuationSeparator" w:id="0">
    <w:p w14:paraId="155CB3EF" w14:textId="77777777" w:rsidR="00843F4A" w:rsidRDefault="00843F4A"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DF02E" w14:textId="77777777" w:rsidR="00EA007C" w:rsidRDefault="00E638B1">
    <w:pPr>
      <w:pStyle w:val="Header"/>
    </w:pPr>
    <w:r>
      <w:rPr>
        <w:noProof/>
      </w:rPr>
      <w:pict w14:anchorId="57C7B0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5AB47" w14:textId="77777777" w:rsidR="00EA007C" w:rsidRPr="00D27262" w:rsidRDefault="00E638B1" w:rsidP="002B1B65">
    <w:pPr>
      <w:spacing w:before="0" w:after="0"/>
      <w:jc w:val="right"/>
      <w:rPr>
        <w:sz w:val="22"/>
        <w:szCs w:val="22"/>
      </w:rPr>
    </w:pPr>
    <w:r>
      <w:rPr>
        <w:noProof/>
        <w:sz w:val="22"/>
        <w:szCs w:val="22"/>
      </w:rPr>
      <w:pict w14:anchorId="22D2BD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EA007C" w:rsidRPr="00D27262">
      <w:rPr>
        <w:sz w:val="22"/>
        <w:szCs w:val="22"/>
      </w:rPr>
      <w:t>Au</w:t>
    </w:r>
    <w:r w:rsidR="00EA007C">
      <w:rPr>
        <w:sz w:val="22"/>
        <w:szCs w:val="22"/>
      </w:rPr>
      <w:t>stralian Human Rights Commission</w:t>
    </w:r>
  </w:p>
  <w:p w14:paraId="47C8AB9E" w14:textId="77777777" w:rsidR="00EA007C" w:rsidRDefault="00EA007C"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EA007C" w:rsidRPr="00B85DD4" w14:paraId="792D67DF" w14:textId="77777777" w:rsidTr="00165E3C">
      <w:trPr>
        <w:trHeight w:val="1276"/>
      </w:trPr>
      <w:tc>
        <w:tcPr>
          <w:tcW w:w="1508" w:type="dxa"/>
        </w:tcPr>
        <w:p w14:paraId="385BAEC6" w14:textId="77777777" w:rsidR="00EA007C" w:rsidRPr="00B85DD4" w:rsidRDefault="00EA007C" w:rsidP="00B520BC">
          <w:pPr>
            <w:pStyle w:val="Header"/>
            <w:tabs>
              <w:tab w:val="left" w:pos="4686"/>
              <w:tab w:val="left" w:pos="7088"/>
              <w:tab w:val="left" w:pos="7242"/>
            </w:tabs>
            <w:ind w:left="-108"/>
            <w:rPr>
              <w:rFonts w:cs="ArialMT"/>
              <w:b/>
              <w:spacing w:val="-20"/>
            </w:rPr>
          </w:pPr>
        </w:p>
      </w:tc>
      <w:tc>
        <w:tcPr>
          <w:tcW w:w="2688" w:type="dxa"/>
          <w:vAlign w:val="center"/>
        </w:tcPr>
        <w:p w14:paraId="304CBF4B" w14:textId="77777777" w:rsidR="00EA007C" w:rsidRPr="00B85DD4" w:rsidRDefault="00EA007C" w:rsidP="002B1B65">
          <w:pPr>
            <w:spacing w:before="0" w:after="0"/>
            <w:rPr>
              <w:rFonts w:cs="ArialMT"/>
              <w:i/>
              <w:color w:val="808080"/>
              <w:sz w:val="17"/>
            </w:rPr>
          </w:pPr>
        </w:p>
      </w:tc>
      <w:tc>
        <w:tcPr>
          <w:tcW w:w="2302" w:type="dxa"/>
        </w:tcPr>
        <w:p w14:paraId="0B53602A" w14:textId="77777777" w:rsidR="00EA007C" w:rsidRPr="00B85DD4" w:rsidRDefault="00EA007C" w:rsidP="00B520BC">
          <w:pPr>
            <w:pStyle w:val="HeaderFooter"/>
            <w:rPr>
              <w:b/>
              <w:spacing w:val="-20"/>
              <w:sz w:val="40"/>
            </w:rPr>
          </w:pPr>
        </w:p>
      </w:tc>
      <w:tc>
        <w:tcPr>
          <w:tcW w:w="2130" w:type="dxa"/>
        </w:tcPr>
        <w:p w14:paraId="189CDC6A" w14:textId="77777777" w:rsidR="00EA007C" w:rsidRPr="00B85DD4" w:rsidRDefault="00EA007C" w:rsidP="00B520BC">
          <w:pPr>
            <w:pStyle w:val="HeaderFooter"/>
            <w:rPr>
              <w:b/>
              <w:spacing w:val="-20"/>
              <w:sz w:val="40"/>
            </w:rPr>
          </w:pPr>
        </w:p>
      </w:tc>
      <w:tc>
        <w:tcPr>
          <w:tcW w:w="1721" w:type="dxa"/>
        </w:tcPr>
        <w:p w14:paraId="54C087FA" w14:textId="77777777" w:rsidR="00EA007C" w:rsidRPr="00B85DD4" w:rsidRDefault="00EA007C" w:rsidP="00B520BC">
          <w:pPr>
            <w:pStyle w:val="HeaderFooter"/>
            <w:spacing w:before="227" w:after="340"/>
            <w:rPr>
              <w:b/>
              <w:spacing w:val="-20"/>
              <w:sz w:val="40"/>
            </w:rPr>
          </w:pPr>
        </w:p>
      </w:tc>
    </w:tr>
  </w:tbl>
  <w:p w14:paraId="5DF6BEFC" w14:textId="77777777" w:rsidR="00EA007C" w:rsidRDefault="00E638B1">
    <w:pPr>
      <w:pStyle w:val="Header"/>
    </w:pPr>
    <w:r>
      <w:rPr>
        <w:rFonts w:cs="ArialMT"/>
        <w:b/>
        <w:noProof/>
        <w:spacing w:val="-20"/>
      </w:rPr>
      <w:pict w14:anchorId="09C0E9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6" type="#_x0000_t75" style="position:absolute;margin-left:-71.05pt;margin-top:-116pt;width:595.65pt;height:870.15pt;z-index:-251661312;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0D66A" w14:textId="77777777" w:rsidR="00EA007C" w:rsidRDefault="00E638B1">
    <w:pPr>
      <w:pStyle w:val="Header"/>
    </w:pPr>
    <w:r>
      <w:rPr>
        <w:noProof/>
      </w:rPr>
      <w:pict w14:anchorId="76B35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336A4" w14:textId="77777777" w:rsidR="00EA007C" w:rsidRPr="00D27262" w:rsidRDefault="00EA007C" w:rsidP="00B34946">
    <w:pPr>
      <w:spacing w:before="0" w:after="60"/>
      <w:jc w:val="right"/>
      <w:rPr>
        <w:sz w:val="22"/>
        <w:szCs w:val="22"/>
      </w:rPr>
    </w:pPr>
    <w:r w:rsidRPr="00D27262">
      <w:rPr>
        <w:sz w:val="22"/>
        <w:szCs w:val="22"/>
      </w:rPr>
      <w:t>Au</w:t>
    </w:r>
    <w:r>
      <w:rPr>
        <w:sz w:val="22"/>
        <w:szCs w:val="22"/>
      </w:rPr>
      <w:t>stralian Human Rights Commission</w:t>
    </w:r>
  </w:p>
  <w:p w14:paraId="3BE412E9" w14:textId="54D3657C" w:rsidR="00EA007C" w:rsidRPr="00D729AD" w:rsidRDefault="00DC5CCA" w:rsidP="002F4CE1">
    <w:pPr>
      <w:pStyle w:val="Footer"/>
      <w:spacing w:after="240"/>
      <w:jc w:val="right"/>
      <w:rPr>
        <w:i/>
        <w:szCs w:val="18"/>
      </w:rPr>
    </w:pPr>
    <w:r>
      <w:rPr>
        <w:b/>
        <w:i/>
        <w:szCs w:val="18"/>
      </w:rPr>
      <w:t>Children accessing pornography</w:t>
    </w:r>
    <w:r>
      <w:rPr>
        <w:i/>
        <w:szCs w:val="18"/>
      </w:rPr>
      <w:t>, Senate Inquiry</w:t>
    </w:r>
    <w:r w:rsidR="00EA007C" w:rsidRPr="00D729AD">
      <w:rPr>
        <w:i/>
        <w:szCs w:val="18"/>
      </w:rPr>
      <w:t xml:space="preserve"> –</w:t>
    </w:r>
    <w:r>
      <w:rPr>
        <w:i/>
        <w:szCs w:val="18"/>
      </w:rPr>
      <w:t xml:space="preserve"> April 2016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EA007C" w:rsidRPr="00B85DD4" w14:paraId="4F011B4A" w14:textId="77777777" w:rsidTr="002B1B65">
      <w:trPr>
        <w:trHeight w:val="1603"/>
      </w:trPr>
      <w:tc>
        <w:tcPr>
          <w:tcW w:w="1508" w:type="dxa"/>
        </w:tcPr>
        <w:p w14:paraId="07CDCEF5" w14:textId="77777777" w:rsidR="00EA007C" w:rsidRPr="00B85DD4" w:rsidRDefault="00EA007C" w:rsidP="00B520BC">
          <w:pPr>
            <w:pStyle w:val="Header"/>
            <w:tabs>
              <w:tab w:val="left" w:pos="4686"/>
              <w:tab w:val="left" w:pos="7088"/>
              <w:tab w:val="left" w:pos="7242"/>
            </w:tabs>
            <w:ind w:left="-108"/>
            <w:rPr>
              <w:rFonts w:cs="ArialMT"/>
              <w:b/>
              <w:spacing w:val="-20"/>
            </w:rPr>
          </w:pPr>
          <w:r w:rsidRPr="004D6E55">
            <w:rPr>
              <w:rFonts w:cs="ArialMT"/>
              <w:b/>
              <w:noProof/>
              <w:spacing w:val="-20"/>
            </w:rPr>
            <w:drawing>
              <wp:inline distT="0" distB="0" distL="0" distR="0" wp14:anchorId="58FE6CA4" wp14:editId="339ABD80">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7D893DB4" w14:textId="77777777" w:rsidR="00EA007C" w:rsidRPr="00D36BB2" w:rsidRDefault="00EA007C" w:rsidP="002B1B65">
          <w:pPr>
            <w:pStyle w:val="LogoType"/>
            <w:pBdr>
              <w:bottom w:val="single" w:sz="4" w:space="1" w:color="808080"/>
            </w:pBdr>
            <w:spacing w:line="240" w:lineRule="auto"/>
          </w:pPr>
          <w:r w:rsidRPr="00D36BB2">
            <w:t>Australian</w:t>
          </w:r>
        </w:p>
        <w:p w14:paraId="15112525" w14:textId="77777777" w:rsidR="00EA007C" w:rsidRPr="00D36BB2" w:rsidRDefault="00EA007C" w:rsidP="002B1B65">
          <w:pPr>
            <w:pStyle w:val="LogoType"/>
            <w:pBdr>
              <w:bottom w:val="single" w:sz="4" w:space="1" w:color="808080"/>
            </w:pBdr>
            <w:spacing w:line="240" w:lineRule="auto"/>
          </w:pPr>
          <w:r w:rsidRPr="00D36BB2">
            <w:t>Human Rights</w:t>
          </w:r>
        </w:p>
        <w:p w14:paraId="4DCAAE91" w14:textId="77777777" w:rsidR="00EA007C" w:rsidRPr="00D36BB2" w:rsidRDefault="00EA007C" w:rsidP="002B1B65">
          <w:pPr>
            <w:pStyle w:val="LogoType"/>
            <w:pBdr>
              <w:bottom w:val="single" w:sz="4" w:space="1" w:color="808080"/>
            </w:pBdr>
            <w:spacing w:line="240" w:lineRule="auto"/>
          </w:pPr>
          <w:r w:rsidRPr="00D36BB2">
            <w:t>Commission</w:t>
          </w:r>
        </w:p>
        <w:p w14:paraId="7397DE5E" w14:textId="77777777" w:rsidR="00EA007C" w:rsidRPr="00B85DD4" w:rsidRDefault="00EA007C"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243AB95B" w14:textId="77777777" w:rsidR="00EA007C" w:rsidRPr="00B85DD4" w:rsidRDefault="00EA007C" w:rsidP="00B520BC">
          <w:pPr>
            <w:pStyle w:val="HeaderFooter"/>
            <w:rPr>
              <w:b/>
              <w:spacing w:val="-20"/>
              <w:sz w:val="40"/>
            </w:rPr>
          </w:pPr>
        </w:p>
      </w:tc>
      <w:tc>
        <w:tcPr>
          <w:tcW w:w="2130" w:type="dxa"/>
        </w:tcPr>
        <w:p w14:paraId="7BE59F9D" w14:textId="77777777" w:rsidR="00EA007C" w:rsidRPr="00B85DD4" w:rsidRDefault="00EA007C" w:rsidP="00B520BC">
          <w:pPr>
            <w:pStyle w:val="HeaderFooter"/>
            <w:rPr>
              <w:b/>
              <w:spacing w:val="-20"/>
              <w:sz w:val="40"/>
            </w:rPr>
          </w:pPr>
        </w:p>
      </w:tc>
      <w:tc>
        <w:tcPr>
          <w:tcW w:w="1721" w:type="dxa"/>
        </w:tcPr>
        <w:p w14:paraId="332935C8" w14:textId="77777777" w:rsidR="00EA007C" w:rsidRPr="00B85DD4" w:rsidRDefault="00EA007C" w:rsidP="00B520BC">
          <w:pPr>
            <w:pStyle w:val="HeaderFooter"/>
            <w:spacing w:before="227" w:after="340"/>
            <w:rPr>
              <w:b/>
              <w:spacing w:val="-20"/>
              <w:sz w:val="40"/>
            </w:rPr>
          </w:pPr>
        </w:p>
      </w:tc>
    </w:tr>
  </w:tbl>
  <w:p w14:paraId="7880B35B" w14:textId="77777777" w:rsidR="00EA007C" w:rsidRDefault="00E638B1">
    <w:pPr>
      <w:pStyle w:val="Header"/>
    </w:pPr>
    <w:r>
      <w:rPr>
        <w:rFonts w:cs="ArialMT"/>
        <w:b/>
        <w:noProof/>
        <w:spacing w:val="-20"/>
      </w:rPr>
      <w:pict w14:anchorId="52649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5" type="#_x0000_t75" style="position:absolute;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4036"/>
    <w:multiLevelType w:val="hybridMultilevel"/>
    <w:tmpl w:val="36FE0664"/>
    <w:lvl w:ilvl="0" w:tplc="0C090001">
      <w:start w:val="1"/>
      <w:numFmt w:val="bullet"/>
      <w:lvlText w:val=""/>
      <w:lvlJc w:val="left"/>
      <w:pPr>
        <w:ind w:left="720" w:hanging="567"/>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587C72">
      <w:start w:val="1"/>
      <w:numFmt w:val="lowerLetter"/>
      <w:lvlText w:val="%2."/>
      <w:lvlJc w:val="left"/>
      <w:pPr>
        <w:ind w:left="1440"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C24702">
      <w:start w:val="1"/>
      <w:numFmt w:val="lowerRoman"/>
      <w:lvlText w:val="%3."/>
      <w:lvlJc w:val="left"/>
      <w:pPr>
        <w:ind w:left="2160" w:hanging="5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529382">
      <w:start w:val="1"/>
      <w:numFmt w:val="decimal"/>
      <w:lvlText w:val="%4."/>
      <w:lvlJc w:val="left"/>
      <w:pPr>
        <w:ind w:left="2880"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C86A58">
      <w:start w:val="1"/>
      <w:numFmt w:val="lowerLetter"/>
      <w:lvlText w:val="%5."/>
      <w:lvlJc w:val="left"/>
      <w:pPr>
        <w:ind w:left="3600"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5AB958">
      <w:start w:val="1"/>
      <w:numFmt w:val="lowerRoman"/>
      <w:lvlText w:val="%6."/>
      <w:lvlJc w:val="left"/>
      <w:pPr>
        <w:ind w:left="4320" w:hanging="5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C6EC08">
      <w:start w:val="1"/>
      <w:numFmt w:val="decimal"/>
      <w:lvlText w:val="%7."/>
      <w:lvlJc w:val="left"/>
      <w:pPr>
        <w:ind w:left="5040"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40108A">
      <w:start w:val="1"/>
      <w:numFmt w:val="lowerLetter"/>
      <w:lvlText w:val="%8."/>
      <w:lvlJc w:val="left"/>
      <w:pPr>
        <w:ind w:left="5760"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82D90E">
      <w:start w:val="1"/>
      <w:numFmt w:val="lowerRoman"/>
      <w:lvlText w:val="%9."/>
      <w:lvlJc w:val="left"/>
      <w:pPr>
        <w:ind w:left="6480" w:hanging="5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2785881"/>
    <w:multiLevelType w:val="multilevel"/>
    <w:tmpl w:val="2478898E"/>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15:restartNumberingAfterBreak="0">
    <w:nsid w:val="0647040B"/>
    <w:multiLevelType w:val="multilevel"/>
    <w:tmpl w:val="9050F064"/>
    <w:styleLink w:val="ImportedStyle1"/>
    <w:lvl w:ilvl="0">
      <w:start w:val="1"/>
      <w:numFmt w:val="decimal"/>
      <w:lvlText w:val="%1."/>
      <w:lvlJc w:val="left"/>
      <w:pPr>
        <w:ind w:left="993" w:hanging="993"/>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51" w:hanging="851"/>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851" w:hanging="851"/>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851" w:hanging="851"/>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4)%5."/>
      <w:lvlJc w:val="left"/>
      <w:pPr>
        <w:ind w:left="851" w:hanging="851"/>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4)%5.%6."/>
      <w:lvlJc w:val="left"/>
      <w:pPr>
        <w:ind w:left="851" w:hanging="851"/>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4)%5.%6.%7."/>
      <w:lvlJc w:val="left"/>
      <w:pPr>
        <w:ind w:left="851" w:hanging="851"/>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4)%5.%6.%7.%8."/>
      <w:lvlJc w:val="left"/>
      <w:pPr>
        <w:ind w:left="851" w:hanging="851"/>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4)%5.%6.%7.%8.%9."/>
      <w:lvlJc w:val="left"/>
      <w:pPr>
        <w:ind w:left="851" w:hanging="851"/>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3C07957"/>
    <w:multiLevelType w:val="hybridMultilevel"/>
    <w:tmpl w:val="994ED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2E3CF8"/>
    <w:multiLevelType w:val="hybridMultilevel"/>
    <w:tmpl w:val="6082BE84"/>
    <w:numStyleLink w:val="ImportedStyle3"/>
  </w:abstractNum>
  <w:abstractNum w:abstractNumId="1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F392D78"/>
    <w:multiLevelType w:val="multilevel"/>
    <w:tmpl w:val="70481082"/>
    <w:numStyleLink w:val="ImportedStyle2"/>
  </w:abstractNum>
  <w:abstractNum w:abstractNumId="19" w15:restartNumberingAfterBreak="0">
    <w:nsid w:val="450D5008"/>
    <w:multiLevelType w:val="multilevel"/>
    <w:tmpl w:val="9050F064"/>
    <w:numStyleLink w:val="ImportedStyle1"/>
  </w:abstractNum>
  <w:abstractNum w:abstractNumId="20"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56331D29"/>
    <w:multiLevelType w:val="hybridMultilevel"/>
    <w:tmpl w:val="DFD44608"/>
    <w:lvl w:ilvl="0" w:tplc="0C090001">
      <w:start w:val="1"/>
      <w:numFmt w:val="bullet"/>
      <w:lvlText w:val=""/>
      <w:lvlJc w:val="left"/>
      <w:pPr>
        <w:ind w:left="720" w:hanging="567"/>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567"/>
      </w:pPr>
      <w:rPr>
        <w:rFonts w:ascii="Courier New" w:hAnsi="Courier New" w:cs="Courier New"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C24702">
      <w:start w:val="1"/>
      <w:numFmt w:val="lowerRoman"/>
      <w:lvlText w:val="%3."/>
      <w:lvlJc w:val="left"/>
      <w:pPr>
        <w:ind w:left="2160" w:hanging="5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529382">
      <w:start w:val="1"/>
      <w:numFmt w:val="decimal"/>
      <w:lvlText w:val="%4."/>
      <w:lvlJc w:val="left"/>
      <w:pPr>
        <w:ind w:left="2880"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C86A58">
      <w:start w:val="1"/>
      <w:numFmt w:val="lowerLetter"/>
      <w:lvlText w:val="%5."/>
      <w:lvlJc w:val="left"/>
      <w:pPr>
        <w:ind w:left="3600"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5AB958">
      <w:start w:val="1"/>
      <w:numFmt w:val="lowerRoman"/>
      <w:lvlText w:val="%6."/>
      <w:lvlJc w:val="left"/>
      <w:pPr>
        <w:ind w:left="4320" w:hanging="5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C6EC08">
      <w:start w:val="1"/>
      <w:numFmt w:val="decimal"/>
      <w:lvlText w:val="%7."/>
      <w:lvlJc w:val="left"/>
      <w:pPr>
        <w:ind w:left="5040"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40108A">
      <w:start w:val="1"/>
      <w:numFmt w:val="lowerLetter"/>
      <w:lvlText w:val="%8."/>
      <w:lvlJc w:val="left"/>
      <w:pPr>
        <w:ind w:left="5760"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82D90E">
      <w:start w:val="1"/>
      <w:numFmt w:val="lowerRoman"/>
      <w:lvlText w:val="%9."/>
      <w:lvlJc w:val="left"/>
      <w:pPr>
        <w:ind w:left="6480" w:hanging="5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16C3D4D"/>
    <w:multiLevelType w:val="multilevel"/>
    <w:tmpl w:val="70481082"/>
    <w:styleLink w:val="ImportedStyle2"/>
    <w:lvl w:ilvl="0">
      <w:start w:val="1"/>
      <w:numFmt w:val="decimal"/>
      <w:lvlText w:val="%1."/>
      <w:lvlJc w:val="left"/>
      <w:pPr>
        <w:ind w:left="851" w:hanging="85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51" w:hanging="85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851" w:hanging="85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851" w:hanging="85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4)%5."/>
      <w:lvlJc w:val="left"/>
      <w:pPr>
        <w:ind w:left="851" w:hanging="85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4)%5.%6."/>
      <w:lvlJc w:val="left"/>
      <w:pPr>
        <w:ind w:left="851" w:hanging="85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4)%5.%6.%7."/>
      <w:lvlJc w:val="left"/>
      <w:pPr>
        <w:ind w:left="851" w:hanging="85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4)%5.%6.%7.%8."/>
      <w:lvlJc w:val="left"/>
      <w:pPr>
        <w:ind w:left="851" w:hanging="85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4)%5.%6.%7.%8.%9."/>
      <w:lvlJc w:val="left"/>
      <w:pPr>
        <w:ind w:left="851" w:hanging="85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0DC0642"/>
    <w:multiLevelType w:val="hybridMultilevel"/>
    <w:tmpl w:val="6082BE84"/>
    <w:styleLink w:val="ImportedStyle3"/>
    <w:lvl w:ilvl="0" w:tplc="847C0766">
      <w:start w:val="1"/>
      <w:numFmt w:val="decimal"/>
      <w:lvlText w:val="%1."/>
      <w:lvlJc w:val="left"/>
      <w:pPr>
        <w:ind w:left="720"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661F3C">
      <w:start w:val="1"/>
      <w:numFmt w:val="lowerLetter"/>
      <w:lvlText w:val="%2."/>
      <w:lvlJc w:val="left"/>
      <w:pPr>
        <w:ind w:left="1440"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44062">
      <w:start w:val="1"/>
      <w:numFmt w:val="lowerRoman"/>
      <w:lvlText w:val="%3."/>
      <w:lvlJc w:val="left"/>
      <w:pPr>
        <w:ind w:left="2160" w:hanging="5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486ACC">
      <w:start w:val="1"/>
      <w:numFmt w:val="decimal"/>
      <w:lvlText w:val="%4."/>
      <w:lvlJc w:val="left"/>
      <w:pPr>
        <w:ind w:left="2880"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4878A8">
      <w:start w:val="1"/>
      <w:numFmt w:val="lowerLetter"/>
      <w:lvlText w:val="%5."/>
      <w:lvlJc w:val="left"/>
      <w:pPr>
        <w:ind w:left="3600"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1ABD50">
      <w:start w:val="1"/>
      <w:numFmt w:val="lowerRoman"/>
      <w:lvlText w:val="%6."/>
      <w:lvlJc w:val="left"/>
      <w:pPr>
        <w:ind w:left="4320" w:hanging="5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AEADE2">
      <w:start w:val="1"/>
      <w:numFmt w:val="decimal"/>
      <w:lvlText w:val="%7."/>
      <w:lvlJc w:val="left"/>
      <w:pPr>
        <w:ind w:left="5040"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A314E">
      <w:start w:val="1"/>
      <w:numFmt w:val="lowerLetter"/>
      <w:lvlText w:val="%8."/>
      <w:lvlJc w:val="left"/>
      <w:pPr>
        <w:ind w:left="5760"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1CAD50">
      <w:start w:val="1"/>
      <w:numFmt w:val="lowerRoman"/>
      <w:lvlText w:val="%9."/>
      <w:lvlJc w:val="left"/>
      <w:pPr>
        <w:ind w:left="6480" w:hanging="5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1"/>
  </w:num>
  <w:num w:numId="13">
    <w:abstractNumId w:val="17"/>
  </w:num>
  <w:num w:numId="14">
    <w:abstractNumId w:val="14"/>
  </w:num>
  <w:num w:numId="15">
    <w:abstractNumId w:val="13"/>
  </w:num>
  <w:num w:numId="16">
    <w:abstractNumId w:val="11"/>
  </w:num>
  <w:num w:numId="17">
    <w:abstractNumId w:val="24"/>
  </w:num>
  <w:num w:numId="18">
    <w:abstractNumId w:val="15"/>
  </w:num>
  <w:num w:numId="19">
    <w:abstractNumId w:val="10"/>
  </w:num>
  <w:num w:numId="20">
    <w:abstractNumId w:val="12"/>
  </w:num>
  <w:num w:numId="21">
    <w:abstractNumId w:val="19"/>
  </w:num>
  <w:num w:numId="22">
    <w:abstractNumId w:val="16"/>
    <w:lvlOverride w:ilvl="0">
      <w:lvl w:ilvl="0" w:tplc="89783922">
        <w:start w:val="1"/>
        <w:numFmt w:val="decimal"/>
        <w:lvlText w:val="%1."/>
        <w:lvlJc w:val="left"/>
        <w:pPr>
          <w:ind w:left="720"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4380032C">
        <w:start w:val="1"/>
        <w:numFmt w:val="lowerLetter"/>
        <w:lvlText w:val="%2."/>
        <w:lvlJc w:val="left"/>
        <w:pPr>
          <w:ind w:left="1440"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E8661942">
        <w:start w:val="1"/>
        <w:numFmt w:val="lowerRoman"/>
        <w:lvlText w:val="%3."/>
        <w:lvlJc w:val="left"/>
        <w:pPr>
          <w:ind w:left="2160" w:hanging="5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5122E444">
        <w:start w:val="1"/>
        <w:numFmt w:val="decimal"/>
        <w:lvlText w:val="%4."/>
        <w:lvlJc w:val="left"/>
        <w:pPr>
          <w:ind w:left="2880"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8DBE2364">
        <w:start w:val="1"/>
        <w:numFmt w:val="lowerLetter"/>
        <w:lvlText w:val="%5."/>
        <w:lvlJc w:val="left"/>
        <w:pPr>
          <w:ind w:left="3600"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2BAE32E2">
        <w:start w:val="1"/>
        <w:numFmt w:val="lowerRoman"/>
        <w:lvlText w:val="%6."/>
        <w:lvlJc w:val="left"/>
        <w:pPr>
          <w:ind w:left="4320" w:hanging="5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5A96CA14">
        <w:start w:val="1"/>
        <w:numFmt w:val="decimal"/>
        <w:lvlText w:val="%7."/>
        <w:lvlJc w:val="left"/>
        <w:pPr>
          <w:ind w:left="5040"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0062097E">
        <w:start w:val="1"/>
        <w:numFmt w:val="lowerLetter"/>
        <w:lvlText w:val="%8."/>
        <w:lvlJc w:val="left"/>
        <w:pPr>
          <w:ind w:left="5760"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780251E6">
        <w:start w:val="1"/>
        <w:numFmt w:val="lowerRoman"/>
        <w:lvlText w:val="%9."/>
        <w:lvlJc w:val="left"/>
        <w:pPr>
          <w:ind w:left="6480" w:hanging="5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3">
    <w:abstractNumId w:val="13"/>
  </w:num>
  <w:num w:numId="24">
    <w:abstractNumId w:val="13"/>
  </w:num>
  <w:num w:numId="25">
    <w:abstractNumId w:val="13"/>
  </w:num>
  <w:num w:numId="26">
    <w:abstractNumId w:val="13"/>
  </w:num>
  <w:num w:numId="27">
    <w:abstractNumId w:val="13"/>
  </w:num>
  <w:num w:numId="28">
    <w:abstractNumId w:val="23"/>
  </w:num>
  <w:num w:numId="29">
    <w:abstractNumId w:val="18"/>
  </w:num>
  <w:num w:numId="30">
    <w:abstractNumId w:val="16"/>
  </w:num>
  <w:num w:numId="31">
    <w:abstractNumId w:val="18"/>
    <w:lvlOverride w:ilvl="0">
      <w:startOverride w:val="2"/>
    </w:lvlOverride>
  </w:num>
  <w:num w:numId="32">
    <w:abstractNumId w:val="18"/>
    <w:lvlOverride w:ilvl="0">
      <w:startOverride w:val="3"/>
    </w:lvlOverride>
  </w:num>
  <w:num w:numId="33">
    <w:abstractNumId w:val="18"/>
    <w:lvlOverride w:ilvl="0">
      <w:startOverride w:val="4"/>
    </w:lvlOverride>
  </w:num>
  <w:num w:numId="34">
    <w:abstractNumId w:val="18"/>
    <w:lvlOverride w:ilvl="0">
      <w:startOverride w:val="5"/>
    </w:lvlOverride>
  </w:num>
  <w:num w:numId="35">
    <w:abstractNumId w:val="18"/>
    <w:lvlOverride w:ilvl="0">
      <w:startOverride w:val="6"/>
    </w:lvlOverride>
  </w:num>
  <w:num w:numId="36">
    <w:abstractNumId w:val="22"/>
  </w:num>
  <w:num w:numId="37">
    <w:abstractNumId w:val="20"/>
  </w:num>
  <w:num w:numId="38">
    <w:abstractNumId w:val="20"/>
  </w:num>
  <w:num w:numId="39">
    <w:abstractNumId w:val="20"/>
  </w:num>
  <w:num w:numId="40">
    <w:abstractNumId w:val="20"/>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2E5"/>
    <w:rsid w:val="000000B6"/>
    <w:rsid w:val="00000C97"/>
    <w:rsid w:val="0000389A"/>
    <w:rsid w:val="00007908"/>
    <w:rsid w:val="00007F6E"/>
    <w:rsid w:val="00014F3D"/>
    <w:rsid w:val="0001567A"/>
    <w:rsid w:val="00015931"/>
    <w:rsid w:val="000222E1"/>
    <w:rsid w:val="00022903"/>
    <w:rsid w:val="00025D40"/>
    <w:rsid w:val="0002736B"/>
    <w:rsid w:val="0003023E"/>
    <w:rsid w:val="000310E9"/>
    <w:rsid w:val="0003606D"/>
    <w:rsid w:val="00043477"/>
    <w:rsid w:val="000579B1"/>
    <w:rsid w:val="00064E6D"/>
    <w:rsid w:val="000713BF"/>
    <w:rsid w:val="00072D2F"/>
    <w:rsid w:val="00074319"/>
    <w:rsid w:val="000802BC"/>
    <w:rsid w:val="00082662"/>
    <w:rsid w:val="000859C5"/>
    <w:rsid w:val="00087DF1"/>
    <w:rsid w:val="000933B6"/>
    <w:rsid w:val="0009458F"/>
    <w:rsid w:val="000A0A21"/>
    <w:rsid w:val="000A1116"/>
    <w:rsid w:val="000A1DB8"/>
    <w:rsid w:val="000A3E27"/>
    <w:rsid w:val="000A48AC"/>
    <w:rsid w:val="000A565A"/>
    <w:rsid w:val="000B0A5D"/>
    <w:rsid w:val="000B1C10"/>
    <w:rsid w:val="000B202F"/>
    <w:rsid w:val="000B37CF"/>
    <w:rsid w:val="000B5ACB"/>
    <w:rsid w:val="000B636B"/>
    <w:rsid w:val="000B7106"/>
    <w:rsid w:val="000B7157"/>
    <w:rsid w:val="000C1161"/>
    <w:rsid w:val="000C4BAC"/>
    <w:rsid w:val="000C78DC"/>
    <w:rsid w:val="000D014A"/>
    <w:rsid w:val="000D2D9C"/>
    <w:rsid w:val="000D60D6"/>
    <w:rsid w:val="000E0B31"/>
    <w:rsid w:val="000E130A"/>
    <w:rsid w:val="000E6F1D"/>
    <w:rsid w:val="000F316B"/>
    <w:rsid w:val="000F4DA0"/>
    <w:rsid w:val="001007E3"/>
    <w:rsid w:val="00107530"/>
    <w:rsid w:val="001112D9"/>
    <w:rsid w:val="0011507F"/>
    <w:rsid w:val="00115795"/>
    <w:rsid w:val="001162DB"/>
    <w:rsid w:val="001264B0"/>
    <w:rsid w:val="0012752D"/>
    <w:rsid w:val="00127B65"/>
    <w:rsid w:val="00134774"/>
    <w:rsid w:val="00135134"/>
    <w:rsid w:val="00136A2B"/>
    <w:rsid w:val="00136AEA"/>
    <w:rsid w:val="00140274"/>
    <w:rsid w:val="00141415"/>
    <w:rsid w:val="00141A5D"/>
    <w:rsid w:val="00141EBA"/>
    <w:rsid w:val="001441C6"/>
    <w:rsid w:val="00151263"/>
    <w:rsid w:val="00162A8D"/>
    <w:rsid w:val="00165E3C"/>
    <w:rsid w:val="00171770"/>
    <w:rsid w:val="00173FB5"/>
    <w:rsid w:val="0017691C"/>
    <w:rsid w:val="00177357"/>
    <w:rsid w:val="0018790F"/>
    <w:rsid w:val="0019596A"/>
    <w:rsid w:val="001962BF"/>
    <w:rsid w:val="0019732B"/>
    <w:rsid w:val="001A0E16"/>
    <w:rsid w:val="001A47F6"/>
    <w:rsid w:val="001A5E62"/>
    <w:rsid w:val="001B0353"/>
    <w:rsid w:val="001B2407"/>
    <w:rsid w:val="001B40BA"/>
    <w:rsid w:val="001B4519"/>
    <w:rsid w:val="001B6048"/>
    <w:rsid w:val="001B6AD3"/>
    <w:rsid w:val="001C1F44"/>
    <w:rsid w:val="001C1F8B"/>
    <w:rsid w:val="001D1FAA"/>
    <w:rsid w:val="001D4FF9"/>
    <w:rsid w:val="001E0907"/>
    <w:rsid w:val="001E2886"/>
    <w:rsid w:val="001E457E"/>
    <w:rsid w:val="001E7B5A"/>
    <w:rsid w:val="001F2BBB"/>
    <w:rsid w:val="001F6736"/>
    <w:rsid w:val="00200677"/>
    <w:rsid w:val="00212C9A"/>
    <w:rsid w:val="00214951"/>
    <w:rsid w:val="002162D0"/>
    <w:rsid w:val="00220863"/>
    <w:rsid w:val="00224590"/>
    <w:rsid w:val="00224AA3"/>
    <w:rsid w:val="00231ED1"/>
    <w:rsid w:val="002361EF"/>
    <w:rsid w:val="00236CFC"/>
    <w:rsid w:val="002421E2"/>
    <w:rsid w:val="00242624"/>
    <w:rsid w:val="00244E5B"/>
    <w:rsid w:val="0024557E"/>
    <w:rsid w:val="002463B3"/>
    <w:rsid w:val="00251B3A"/>
    <w:rsid w:val="002628FA"/>
    <w:rsid w:val="00264326"/>
    <w:rsid w:val="00265BC9"/>
    <w:rsid w:val="002760AF"/>
    <w:rsid w:val="002763A8"/>
    <w:rsid w:val="00281919"/>
    <w:rsid w:val="00283DBF"/>
    <w:rsid w:val="00284F50"/>
    <w:rsid w:val="002863D7"/>
    <w:rsid w:val="00290A01"/>
    <w:rsid w:val="002A0EF1"/>
    <w:rsid w:val="002A1B10"/>
    <w:rsid w:val="002A2661"/>
    <w:rsid w:val="002B0204"/>
    <w:rsid w:val="002B0797"/>
    <w:rsid w:val="002B1B65"/>
    <w:rsid w:val="002B23A9"/>
    <w:rsid w:val="002C02D0"/>
    <w:rsid w:val="002C1866"/>
    <w:rsid w:val="002C6FA7"/>
    <w:rsid w:val="002D22C4"/>
    <w:rsid w:val="002D65E8"/>
    <w:rsid w:val="002D6AC1"/>
    <w:rsid w:val="002D6BF5"/>
    <w:rsid w:val="002D7572"/>
    <w:rsid w:val="002E355D"/>
    <w:rsid w:val="002E3941"/>
    <w:rsid w:val="002F40A3"/>
    <w:rsid w:val="002F4CE1"/>
    <w:rsid w:val="002F6C44"/>
    <w:rsid w:val="002F7B51"/>
    <w:rsid w:val="003002AB"/>
    <w:rsid w:val="00300F22"/>
    <w:rsid w:val="00304A37"/>
    <w:rsid w:val="00310ED4"/>
    <w:rsid w:val="00312301"/>
    <w:rsid w:val="0031492A"/>
    <w:rsid w:val="00316812"/>
    <w:rsid w:val="00316C1A"/>
    <w:rsid w:val="00323C73"/>
    <w:rsid w:val="00327DDA"/>
    <w:rsid w:val="00331141"/>
    <w:rsid w:val="00332725"/>
    <w:rsid w:val="00334117"/>
    <w:rsid w:val="00336C58"/>
    <w:rsid w:val="0034016D"/>
    <w:rsid w:val="0034267B"/>
    <w:rsid w:val="00344758"/>
    <w:rsid w:val="00347142"/>
    <w:rsid w:val="003501E0"/>
    <w:rsid w:val="003515B7"/>
    <w:rsid w:val="00352018"/>
    <w:rsid w:val="003565A8"/>
    <w:rsid w:val="003566EA"/>
    <w:rsid w:val="00362CFA"/>
    <w:rsid w:val="003646BC"/>
    <w:rsid w:val="00372C79"/>
    <w:rsid w:val="003868E8"/>
    <w:rsid w:val="0038734A"/>
    <w:rsid w:val="00393E78"/>
    <w:rsid w:val="00393F95"/>
    <w:rsid w:val="003977C8"/>
    <w:rsid w:val="003D722B"/>
    <w:rsid w:val="003D7941"/>
    <w:rsid w:val="003E3BE9"/>
    <w:rsid w:val="003E7AC7"/>
    <w:rsid w:val="003F453B"/>
    <w:rsid w:val="003F4965"/>
    <w:rsid w:val="003F5126"/>
    <w:rsid w:val="0040126A"/>
    <w:rsid w:val="0040369D"/>
    <w:rsid w:val="00404E03"/>
    <w:rsid w:val="004072DF"/>
    <w:rsid w:val="004115A8"/>
    <w:rsid w:val="00415A38"/>
    <w:rsid w:val="004170EB"/>
    <w:rsid w:val="00422417"/>
    <w:rsid w:val="00424160"/>
    <w:rsid w:val="00424233"/>
    <w:rsid w:val="004256D1"/>
    <w:rsid w:val="0043042B"/>
    <w:rsid w:val="00431C34"/>
    <w:rsid w:val="00433A32"/>
    <w:rsid w:val="00436725"/>
    <w:rsid w:val="0043766E"/>
    <w:rsid w:val="00440907"/>
    <w:rsid w:val="0045318E"/>
    <w:rsid w:val="00455772"/>
    <w:rsid w:val="00461D0A"/>
    <w:rsid w:val="004657C5"/>
    <w:rsid w:val="00472EFF"/>
    <w:rsid w:val="0047325B"/>
    <w:rsid w:val="00474063"/>
    <w:rsid w:val="00476793"/>
    <w:rsid w:val="00480184"/>
    <w:rsid w:val="00482B84"/>
    <w:rsid w:val="00482D1F"/>
    <w:rsid w:val="00484B5A"/>
    <w:rsid w:val="004906D5"/>
    <w:rsid w:val="00497989"/>
    <w:rsid w:val="004A187B"/>
    <w:rsid w:val="004A2D3C"/>
    <w:rsid w:val="004B1C1C"/>
    <w:rsid w:val="004B2EA1"/>
    <w:rsid w:val="004B7551"/>
    <w:rsid w:val="004B7A18"/>
    <w:rsid w:val="004B7FC4"/>
    <w:rsid w:val="004C363A"/>
    <w:rsid w:val="004C71BF"/>
    <w:rsid w:val="004C7412"/>
    <w:rsid w:val="004D04BF"/>
    <w:rsid w:val="004D2A6F"/>
    <w:rsid w:val="004D6066"/>
    <w:rsid w:val="004D6B4C"/>
    <w:rsid w:val="004D6E55"/>
    <w:rsid w:val="004E0A58"/>
    <w:rsid w:val="004E0DFF"/>
    <w:rsid w:val="004E3DA3"/>
    <w:rsid w:val="004E5110"/>
    <w:rsid w:val="004F1C7C"/>
    <w:rsid w:val="004F4A7A"/>
    <w:rsid w:val="004F6CBF"/>
    <w:rsid w:val="00505D2F"/>
    <w:rsid w:val="00506E2D"/>
    <w:rsid w:val="00507FE3"/>
    <w:rsid w:val="005123F0"/>
    <w:rsid w:val="00513540"/>
    <w:rsid w:val="00513941"/>
    <w:rsid w:val="005207F4"/>
    <w:rsid w:val="00520F16"/>
    <w:rsid w:val="00526BFB"/>
    <w:rsid w:val="0053051D"/>
    <w:rsid w:val="005375CD"/>
    <w:rsid w:val="005410A2"/>
    <w:rsid w:val="00541755"/>
    <w:rsid w:val="00544628"/>
    <w:rsid w:val="0054508D"/>
    <w:rsid w:val="00555644"/>
    <w:rsid w:val="00556C59"/>
    <w:rsid w:val="005606C0"/>
    <w:rsid w:val="00560FC9"/>
    <w:rsid w:val="005633B2"/>
    <w:rsid w:val="00563B11"/>
    <w:rsid w:val="00564208"/>
    <w:rsid w:val="00564F6C"/>
    <w:rsid w:val="005662B9"/>
    <w:rsid w:val="00566412"/>
    <w:rsid w:val="00566A76"/>
    <w:rsid w:val="00571CEB"/>
    <w:rsid w:val="005720AC"/>
    <w:rsid w:val="00581E0D"/>
    <w:rsid w:val="00583002"/>
    <w:rsid w:val="00591477"/>
    <w:rsid w:val="005914B4"/>
    <w:rsid w:val="00591951"/>
    <w:rsid w:val="00591F45"/>
    <w:rsid w:val="00592932"/>
    <w:rsid w:val="00593694"/>
    <w:rsid w:val="00596906"/>
    <w:rsid w:val="00597019"/>
    <w:rsid w:val="005A1584"/>
    <w:rsid w:val="005A1BC4"/>
    <w:rsid w:val="005A3D20"/>
    <w:rsid w:val="005A65A4"/>
    <w:rsid w:val="005A693A"/>
    <w:rsid w:val="005A75EF"/>
    <w:rsid w:val="005A7C69"/>
    <w:rsid w:val="005B0AB7"/>
    <w:rsid w:val="005C0FE3"/>
    <w:rsid w:val="005C1E0A"/>
    <w:rsid w:val="005C5D41"/>
    <w:rsid w:val="005D049E"/>
    <w:rsid w:val="005D126B"/>
    <w:rsid w:val="005D1F34"/>
    <w:rsid w:val="005D383D"/>
    <w:rsid w:val="005D6590"/>
    <w:rsid w:val="005E253B"/>
    <w:rsid w:val="005E3F87"/>
    <w:rsid w:val="00601A63"/>
    <w:rsid w:val="00601AD2"/>
    <w:rsid w:val="00605E1E"/>
    <w:rsid w:val="00613CF8"/>
    <w:rsid w:val="00614725"/>
    <w:rsid w:val="00615325"/>
    <w:rsid w:val="00615E7A"/>
    <w:rsid w:val="00621096"/>
    <w:rsid w:val="00621666"/>
    <w:rsid w:val="006221EF"/>
    <w:rsid w:val="00622F8B"/>
    <w:rsid w:val="006314ED"/>
    <w:rsid w:val="006443B8"/>
    <w:rsid w:val="0064606E"/>
    <w:rsid w:val="00646DBA"/>
    <w:rsid w:val="006470F0"/>
    <w:rsid w:val="006528DF"/>
    <w:rsid w:val="00654793"/>
    <w:rsid w:val="00665883"/>
    <w:rsid w:val="006674A1"/>
    <w:rsid w:val="00667610"/>
    <w:rsid w:val="00672DC4"/>
    <w:rsid w:val="00676199"/>
    <w:rsid w:val="00677C0E"/>
    <w:rsid w:val="00687125"/>
    <w:rsid w:val="0069029F"/>
    <w:rsid w:val="00693778"/>
    <w:rsid w:val="006A2120"/>
    <w:rsid w:val="006A37CD"/>
    <w:rsid w:val="006A4791"/>
    <w:rsid w:val="006A6BB3"/>
    <w:rsid w:val="006B0756"/>
    <w:rsid w:val="006B1561"/>
    <w:rsid w:val="006C11DA"/>
    <w:rsid w:val="006C2144"/>
    <w:rsid w:val="006C2726"/>
    <w:rsid w:val="006C51C6"/>
    <w:rsid w:val="006D28CD"/>
    <w:rsid w:val="006D5356"/>
    <w:rsid w:val="006D5A63"/>
    <w:rsid w:val="006D5EE5"/>
    <w:rsid w:val="006D6FC9"/>
    <w:rsid w:val="006E0C7D"/>
    <w:rsid w:val="006E16A0"/>
    <w:rsid w:val="006F2BCC"/>
    <w:rsid w:val="006F3CD0"/>
    <w:rsid w:val="006F5A03"/>
    <w:rsid w:val="006F5F15"/>
    <w:rsid w:val="006F70F3"/>
    <w:rsid w:val="00703050"/>
    <w:rsid w:val="0070456C"/>
    <w:rsid w:val="007051A2"/>
    <w:rsid w:val="00706514"/>
    <w:rsid w:val="007111A9"/>
    <w:rsid w:val="00715C68"/>
    <w:rsid w:val="00722C9A"/>
    <w:rsid w:val="00743727"/>
    <w:rsid w:val="00743DA3"/>
    <w:rsid w:val="007467E9"/>
    <w:rsid w:val="007477F1"/>
    <w:rsid w:val="007520A1"/>
    <w:rsid w:val="007540BF"/>
    <w:rsid w:val="007561B4"/>
    <w:rsid w:val="0076650F"/>
    <w:rsid w:val="00770286"/>
    <w:rsid w:val="00770DCB"/>
    <w:rsid w:val="00770F72"/>
    <w:rsid w:val="00775485"/>
    <w:rsid w:val="00782929"/>
    <w:rsid w:val="00790357"/>
    <w:rsid w:val="00791796"/>
    <w:rsid w:val="00795962"/>
    <w:rsid w:val="007A337E"/>
    <w:rsid w:val="007B1F02"/>
    <w:rsid w:val="007B2DCD"/>
    <w:rsid w:val="007B364D"/>
    <w:rsid w:val="007B6EEC"/>
    <w:rsid w:val="007C4ED3"/>
    <w:rsid w:val="007C6305"/>
    <w:rsid w:val="007D1D09"/>
    <w:rsid w:val="007D2E62"/>
    <w:rsid w:val="007D3489"/>
    <w:rsid w:val="007D491A"/>
    <w:rsid w:val="007D7074"/>
    <w:rsid w:val="007E40B2"/>
    <w:rsid w:val="007E57E9"/>
    <w:rsid w:val="007E5B88"/>
    <w:rsid w:val="007E61BA"/>
    <w:rsid w:val="007F052D"/>
    <w:rsid w:val="007F0D0B"/>
    <w:rsid w:val="007F427B"/>
    <w:rsid w:val="008007A8"/>
    <w:rsid w:val="00800F71"/>
    <w:rsid w:val="008042D9"/>
    <w:rsid w:val="008049D9"/>
    <w:rsid w:val="008105CD"/>
    <w:rsid w:val="00814FC0"/>
    <w:rsid w:val="00815B89"/>
    <w:rsid w:val="00826C2B"/>
    <w:rsid w:val="00830255"/>
    <w:rsid w:val="00831336"/>
    <w:rsid w:val="0083252A"/>
    <w:rsid w:val="00843F4A"/>
    <w:rsid w:val="00847D74"/>
    <w:rsid w:val="00851532"/>
    <w:rsid w:val="00854ED0"/>
    <w:rsid w:val="008724DE"/>
    <w:rsid w:val="00876F52"/>
    <w:rsid w:val="00882384"/>
    <w:rsid w:val="0088331C"/>
    <w:rsid w:val="00883FC9"/>
    <w:rsid w:val="008844A8"/>
    <w:rsid w:val="0088606D"/>
    <w:rsid w:val="008862F8"/>
    <w:rsid w:val="00891234"/>
    <w:rsid w:val="00891753"/>
    <w:rsid w:val="00891A69"/>
    <w:rsid w:val="00892474"/>
    <w:rsid w:val="00892C9B"/>
    <w:rsid w:val="008A1342"/>
    <w:rsid w:val="008A1869"/>
    <w:rsid w:val="008A2B49"/>
    <w:rsid w:val="008A3D57"/>
    <w:rsid w:val="008A7121"/>
    <w:rsid w:val="008B094D"/>
    <w:rsid w:val="008B0EBB"/>
    <w:rsid w:val="008B23BC"/>
    <w:rsid w:val="008B3FC9"/>
    <w:rsid w:val="008B517E"/>
    <w:rsid w:val="008D2D4F"/>
    <w:rsid w:val="008D5A85"/>
    <w:rsid w:val="008E3D60"/>
    <w:rsid w:val="008E3F4C"/>
    <w:rsid w:val="008E4BDC"/>
    <w:rsid w:val="008F6ADC"/>
    <w:rsid w:val="008F6B7B"/>
    <w:rsid w:val="00900B4B"/>
    <w:rsid w:val="0090165F"/>
    <w:rsid w:val="00901B82"/>
    <w:rsid w:val="00912B09"/>
    <w:rsid w:val="00917CDF"/>
    <w:rsid w:val="009270AB"/>
    <w:rsid w:val="0093000D"/>
    <w:rsid w:val="009366F7"/>
    <w:rsid w:val="009368F6"/>
    <w:rsid w:val="00953A4E"/>
    <w:rsid w:val="00961676"/>
    <w:rsid w:val="00961708"/>
    <w:rsid w:val="00963272"/>
    <w:rsid w:val="00964EC4"/>
    <w:rsid w:val="00966723"/>
    <w:rsid w:val="00966C2F"/>
    <w:rsid w:val="00967900"/>
    <w:rsid w:val="00971CE7"/>
    <w:rsid w:val="00974B43"/>
    <w:rsid w:val="0097512B"/>
    <w:rsid w:val="00975788"/>
    <w:rsid w:val="009802C7"/>
    <w:rsid w:val="0098093B"/>
    <w:rsid w:val="00980E23"/>
    <w:rsid w:val="00981035"/>
    <w:rsid w:val="00981B64"/>
    <w:rsid w:val="00982D05"/>
    <w:rsid w:val="00984460"/>
    <w:rsid w:val="00991688"/>
    <w:rsid w:val="0099191A"/>
    <w:rsid w:val="00993F51"/>
    <w:rsid w:val="009A3EAA"/>
    <w:rsid w:val="009A6DE5"/>
    <w:rsid w:val="009A7060"/>
    <w:rsid w:val="009A79FF"/>
    <w:rsid w:val="009B0D6B"/>
    <w:rsid w:val="009B16A4"/>
    <w:rsid w:val="009B265D"/>
    <w:rsid w:val="009B475E"/>
    <w:rsid w:val="009B4E02"/>
    <w:rsid w:val="009B6828"/>
    <w:rsid w:val="009C327D"/>
    <w:rsid w:val="009C5E27"/>
    <w:rsid w:val="009D46DB"/>
    <w:rsid w:val="009D58C5"/>
    <w:rsid w:val="009D67F6"/>
    <w:rsid w:val="009E0FE1"/>
    <w:rsid w:val="009E274D"/>
    <w:rsid w:val="009E4E96"/>
    <w:rsid w:val="009F33A6"/>
    <w:rsid w:val="009F54AD"/>
    <w:rsid w:val="009F680C"/>
    <w:rsid w:val="00A025D0"/>
    <w:rsid w:val="00A035F6"/>
    <w:rsid w:val="00A03700"/>
    <w:rsid w:val="00A0406E"/>
    <w:rsid w:val="00A06143"/>
    <w:rsid w:val="00A06CEF"/>
    <w:rsid w:val="00A06D53"/>
    <w:rsid w:val="00A06F56"/>
    <w:rsid w:val="00A11307"/>
    <w:rsid w:val="00A13AF3"/>
    <w:rsid w:val="00A146F8"/>
    <w:rsid w:val="00A21388"/>
    <w:rsid w:val="00A22F90"/>
    <w:rsid w:val="00A23B40"/>
    <w:rsid w:val="00A241BD"/>
    <w:rsid w:val="00A252E5"/>
    <w:rsid w:val="00A27791"/>
    <w:rsid w:val="00A34774"/>
    <w:rsid w:val="00A35936"/>
    <w:rsid w:val="00A378F0"/>
    <w:rsid w:val="00A37E34"/>
    <w:rsid w:val="00A37EDB"/>
    <w:rsid w:val="00A41355"/>
    <w:rsid w:val="00A43B92"/>
    <w:rsid w:val="00A47F76"/>
    <w:rsid w:val="00A54251"/>
    <w:rsid w:val="00A55ECA"/>
    <w:rsid w:val="00A60B03"/>
    <w:rsid w:val="00A6179E"/>
    <w:rsid w:val="00A6330F"/>
    <w:rsid w:val="00A64316"/>
    <w:rsid w:val="00A7017D"/>
    <w:rsid w:val="00A71F5D"/>
    <w:rsid w:val="00A775DC"/>
    <w:rsid w:val="00A80014"/>
    <w:rsid w:val="00A804D9"/>
    <w:rsid w:val="00A83438"/>
    <w:rsid w:val="00A8518C"/>
    <w:rsid w:val="00A91DBA"/>
    <w:rsid w:val="00A92952"/>
    <w:rsid w:val="00A929FA"/>
    <w:rsid w:val="00A92F92"/>
    <w:rsid w:val="00A95186"/>
    <w:rsid w:val="00A96892"/>
    <w:rsid w:val="00A970C0"/>
    <w:rsid w:val="00AA2051"/>
    <w:rsid w:val="00AA3485"/>
    <w:rsid w:val="00AA51F8"/>
    <w:rsid w:val="00AA6B5B"/>
    <w:rsid w:val="00AA6F5C"/>
    <w:rsid w:val="00AA7C81"/>
    <w:rsid w:val="00AB0F74"/>
    <w:rsid w:val="00AB74D9"/>
    <w:rsid w:val="00AC1401"/>
    <w:rsid w:val="00AC1BF0"/>
    <w:rsid w:val="00AD5D0E"/>
    <w:rsid w:val="00AE0DBF"/>
    <w:rsid w:val="00AE2879"/>
    <w:rsid w:val="00AE3D09"/>
    <w:rsid w:val="00AF1464"/>
    <w:rsid w:val="00AF4E2C"/>
    <w:rsid w:val="00B0027B"/>
    <w:rsid w:val="00B0060E"/>
    <w:rsid w:val="00B06A9E"/>
    <w:rsid w:val="00B07F26"/>
    <w:rsid w:val="00B1179C"/>
    <w:rsid w:val="00B11BC3"/>
    <w:rsid w:val="00B125AC"/>
    <w:rsid w:val="00B24B1D"/>
    <w:rsid w:val="00B24ED3"/>
    <w:rsid w:val="00B2558C"/>
    <w:rsid w:val="00B277E0"/>
    <w:rsid w:val="00B27A8C"/>
    <w:rsid w:val="00B32972"/>
    <w:rsid w:val="00B34946"/>
    <w:rsid w:val="00B40601"/>
    <w:rsid w:val="00B431CB"/>
    <w:rsid w:val="00B43678"/>
    <w:rsid w:val="00B459E4"/>
    <w:rsid w:val="00B45D9D"/>
    <w:rsid w:val="00B4699C"/>
    <w:rsid w:val="00B519FD"/>
    <w:rsid w:val="00B520BC"/>
    <w:rsid w:val="00B537D5"/>
    <w:rsid w:val="00B56BBB"/>
    <w:rsid w:val="00B62FC8"/>
    <w:rsid w:val="00B63D24"/>
    <w:rsid w:val="00B6505B"/>
    <w:rsid w:val="00B6505F"/>
    <w:rsid w:val="00B70EFB"/>
    <w:rsid w:val="00B74136"/>
    <w:rsid w:val="00B74D02"/>
    <w:rsid w:val="00B82126"/>
    <w:rsid w:val="00B83D28"/>
    <w:rsid w:val="00B8400A"/>
    <w:rsid w:val="00B9222C"/>
    <w:rsid w:val="00B924E6"/>
    <w:rsid w:val="00B92C41"/>
    <w:rsid w:val="00BA262D"/>
    <w:rsid w:val="00BA5698"/>
    <w:rsid w:val="00BA634A"/>
    <w:rsid w:val="00BB2D17"/>
    <w:rsid w:val="00BB76BB"/>
    <w:rsid w:val="00BC1B01"/>
    <w:rsid w:val="00BC376D"/>
    <w:rsid w:val="00BC5750"/>
    <w:rsid w:val="00BC769A"/>
    <w:rsid w:val="00BC79EB"/>
    <w:rsid w:val="00BD69B8"/>
    <w:rsid w:val="00BD7FCF"/>
    <w:rsid w:val="00BE497D"/>
    <w:rsid w:val="00BE4ADE"/>
    <w:rsid w:val="00BF5F8E"/>
    <w:rsid w:val="00C002D7"/>
    <w:rsid w:val="00C11A7C"/>
    <w:rsid w:val="00C11D76"/>
    <w:rsid w:val="00C15568"/>
    <w:rsid w:val="00C206C2"/>
    <w:rsid w:val="00C21877"/>
    <w:rsid w:val="00C24F1E"/>
    <w:rsid w:val="00C25BDA"/>
    <w:rsid w:val="00C27723"/>
    <w:rsid w:val="00C312B5"/>
    <w:rsid w:val="00C33104"/>
    <w:rsid w:val="00C35DBC"/>
    <w:rsid w:val="00C40D71"/>
    <w:rsid w:val="00C42C44"/>
    <w:rsid w:val="00C476DD"/>
    <w:rsid w:val="00C5003E"/>
    <w:rsid w:val="00C515B7"/>
    <w:rsid w:val="00C60400"/>
    <w:rsid w:val="00C648AC"/>
    <w:rsid w:val="00C84439"/>
    <w:rsid w:val="00C850D7"/>
    <w:rsid w:val="00C854D4"/>
    <w:rsid w:val="00C90556"/>
    <w:rsid w:val="00C91075"/>
    <w:rsid w:val="00CA0C44"/>
    <w:rsid w:val="00CA0D78"/>
    <w:rsid w:val="00CA4855"/>
    <w:rsid w:val="00CB040F"/>
    <w:rsid w:val="00CB0B55"/>
    <w:rsid w:val="00CB24FE"/>
    <w:rsid w:val="00CB4483"/>
    <w:rsid w:val="00CB76CE"/>
    <w:rsid w:val="00CB7959"/>
    <w:rsid w:val="00CC584A"/>
    <w:rsid w:val="00CC72FF"/>
    <w:rsid w:val="00CC73F3"/>
    <w:rsid w:val="00CC7CC1"/>
    <w:rsid w:val="00CC7D60"/>
    <w:rsid w:val="00CD51D5"/>
    <w:rsid w:val="00CD58FD"/>
    <w:rsid w:val="00CE2FDB"/>
    <w:rsid w:val="00CE37CA"/>
    <w:rsid w:val="00CF1F82"/>
    <w:rsid w:val="00CF6246"/>
    <w:rsid w:val="00D10A58"/>
    <w:rsid w:val="00D121C1"/>
    <w:rsid w:val="00D16AA9"/>
    <w:rsid w:val="00D20738"/>
    <w:rsid w:val="00D2180D"/>
    <w:rsid w:val="00D23C22"/>
    <w:rsid w:val="00D26FD2"/>
    <w:rsid w:val="00D27B63"/>
    <w:rsid w:val="00D30A61"/>
    <w:rsid w:val="00D33258"/>
    <w:rsid w:val="00D343FA"/>
    <w:rsid w:val="00D34A70"/>
    <w:rsid w:val="00D34FEB"/>
    <w:rsid w:val="00D40890"/>
    <w:rsid w:val="00D418FF"/>
    <w:rsid w:val="00D51C22"/>
    <w:rsid w:val="00D52ED4"/>
    <w:rsid w:val="00D616F3"/>
    <w:rsid w:val="00D65C76"/>
    <w:rsid w:val="00D66625"/>
    <w:rsid w:val="00D729AD"/>
    <w:rsid w:val="00D734C7"/>
    <w:rsid w:val="00D7640F"/>
    <w:rsid w:val="00D76466"/>
    <w:rsid w:val="00D81D5F"/>
    <w:rsid w:val="00D832DB"/>
    <w:rsid w:val="00D83BDC"/>
    <w:rsid w:val="00D85D6B"/>
    <w:rsid w:val="00D9793A"/>
    <w:rsid w:val="00DA23BA"/>
    <w:rsid w:val="00DA2F73"/>
    <w:rsid w:val="00DA38C9"/>
    <w:rsid w:val="00DA3D67"/>
    <w:rsid w:val="00DA41AB"/>
    <w:rsid w:val="00DA65EF"/>
    <w:rsid w:val="00DB0619"/>
    <w:rsid w:val="00DB2B7B"/>
    <w:rsid w:val="00DC14E8"/>
    <w:rsid w:val="00DC462F"/>
    <w:rsid w:val="00DC5CCA"/>
    <w:rsid w:val="00DC7BB9"/>
    <w:rsid w:val="00DD373F"/>
    <w:rsid w:val="00DD5914"/>
    <w:rsid w:val="00DD6A21"/>
    <w:rsid w:val="00DD6F61"/>
    <w:rsid w:val="00DD7AC8"/>
    <w:rsid w:val="00DE123B"/>
    <w:rsid w:val="00DE1F9B"/>
    <w:rsid w:val="00DE60CA"/>
    <w:rsid w:val="00DE7A3D"/>
    <w:rsid w:val="00DF09F0"/>
    <w:rsid w:val="00E0526A"/>
    <w:rsid w:val="00E06002"/>
    <w:rsid w:val="00E14A73"/>
    <w:rsid w:val="00E15399"/>
    <w:rsid w:val="00E16EB4"/>
    <w:rsid w:val="00E2319D"/>
    <w:rsid w:val="00E24FA3"/>
    <w:rsid w:val="00E26B28"/>
    <w:rsid w:val="00E30911"/>
    <w:rsid w:val="00E31465"/>
    <w:rsid w:val="00E31F49"/>
    <w:rsid w:val="00E328CD"/>
    <w:rsid w:val="00E334DC"/>
    <w:rsid w:val="00E36B95"/>
    <w:rsid w:val="00E37C7E"/>
    <w:rsid w:val="00E37CB0"/>
    <w:rsid w:val="00E4003F"/>
    <w:rsid w:val="00E4218B"/>
    <w:rsid w:val="00E42628"/>
    <w:rsid w:val="00E44226"/>
    <w:rsid w:val="00E4490B"/>
    <w:rsid w:val="00E44954"/>
    <w:rsid w:val="00E458F6"/>
    <w:rsid w:val="00E45954"/>
    <w:rsid w:val="00E466C7"/>
    <w:rsid w:val="00E4687F"/>
    <w:rsid w:val="00E4778F"/>
    <w:rsid w:val="00E51671"/>
    <w:rsid w:val="00E51EF9"/>
    <w:rsid w:val="00E52813"/>
    <w:rsid w:val="00E607D5"/>
    <w:rsid w:val="00E610EA"/>
    <w:rsid w:val="00E638B1"/>
    <w:rsid w:val="00E64E93"/>
    <w:rsid w:val="00E67C9A"/>
    <w:rsid w:val="00E7072C"/>
    <w:rsid w:val="00E72044"/>
    <w:rsid w:val="00E8612B"/>
    <w:rsid w:val="00E870A1"/>
    <w:rsid w:val="00E878B0"/>
    <w:rsid w:val="00E87E00"/>
    <w:rsid w:val="00E90938"/>
    <w:rsid w:val="00EA007C"/>
    <w:rsid w:val="00EA44D9"/>
    <w:rsid w:val="00EB4C9F"/>
    <w:rsid w:val="00EB5BE4"/>
    <w:rsid w:val="00EB6A76"/>
    <w:rsid w:val="00EB6BE0"/>
    <w:rsid w:val="00EB6EAC"/>
    <w:rsid w:val="00EB7250"/>
    <w:rsid w:val="00EB730C"/>
    <w:rsid w:val="00EC21B6"/>
    <w:rsid w:val="00EC21F9"/>
    <w:rsid w:val="00EC2729"/>
    <w:rsid w:val="00EC4832"/>
    <w:rsid w:val="00EC490A"/>
    <w:rsid w:val="00EC6E1B"/>
    <w:rsid w:val="00EC78B3"/>
    <w:rsid w:val="00EE35E0"/>
    <w:rsid w:val="00EE5236"/>
    <w:rsid w:val="00EF1FA8"/>
    <w:rsid w:val="00F07935"/>
    <w:rsid w:val="00F14C6D"/>
    <w:rsid w:val="00F15C74"/>
    <w:rsid w:val="00F17022"/>
    <w:rsid w:val="00F17EDA"/>
    <w:rsid w:val="00F17FE2"/>
    <w:rsid w:val="00F234FD"/>
    <w:rsid w:val="00F322D1"/>
    <w:rsid w:val="00F36EAB"/>
    <w:rsid w:val="00F37617"/>
    <w:rsid w:val="00F44365"/>
    <w:rsid w:val="00F4479C"/>
    <w:rsid w:val="00F47D63"/>
    <w:rsid w:val="00F5387C"/>
    <w:rsid w:val="00F57ACD"/>
    <w:rsid w:val="00F61097"/>
    <w:rsid w:val="00F724AC"/>
    <w:rsid w:val="00F74F5B"/>
    <w:rsid w:val="00F80506"/>
    <w:rsid w:val="00F806C4"/>
    <w:rsid w:val="00F80E7E"/>
    <w:rsid w:val="00F810B7"/>
    <w:rsid w:val="00F830AC"/>
    <w:rsid w:val="00F8583D"/>
    <w:rsid w:val="00F85935"/>
    <w:rsid w:val="00F9166C"/>
    <w:rsid w:val="00F930AF"/>
    <w:rsid w:val="00F95671"/>
    <w:rsid w:val="00FA2C90"/>
    <w:rsid w:val="00FA3C5D"/>
    <w:rsid w:val="00FA4916"/>
    <w:rsid w:val="00FB035F"/>
    <w:rsid w:val="00FB3524"/>
    <w:rsid w:val="00FB729D"/>
    <w:rsid w:val="00FC5440"/>
    <w:rsid w:val="00FD01B5"/>
    <w:rsid w:val="00FD2D32"/>
    <w:rsid w:val="00FE2ADE"/>
    <w:rsid w:val="00FE2B0B"/>
    <w:rsid w:val="00FE44E9"/>
    <w:rsid w:val="00FE53F6"/>
    <w:rsid w:val="00FF0281"/>
    <w:rsid w:val="00FF665B"/>
    <w:rsid w:val="00FF7C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0614320D"/>
  <w15:docId w15:val="{37BA6640-250E-496B-B509-8CBA989B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iPriority="99"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DD5914"/>
    <w:pPr>
      <w:tabs>
        <w:tab w:val="left" w:pos="1202"/>
        <w:tab w:val="right" w:leader="dot" w:pos="9060"/>
      </w:tabs>
      <w:spacing w:before="0" w:after="0"/>
      <w:ind w:left="1202" w:hanging="720"/>
    </w:pPr>
    <w:rPr>
      <w:rFonts w:hAnsi="Arial Unicode MS" w:cs="Arial"/>
      <w:b/>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semiHidden/>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uiPriority w:val="99"/>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uiPriority w:val="99"/>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uiPriority w:val="99"/>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numbering" w:customStyle="1" w:styleId="ImportedStyle3">
    <w:name w:val="Imported Style 3"/>
    <w:rsid w:val="00A252E5"/>
    <w:pPr>
      <w:numPr>
        <w:numId w:val="17"/>
      </w:numPr>
    </w:pPr>
  </w:style>
  <w:style w:type="paragraph" w:customStyle="1" w:styleId="Body">
    <w:name w:val="Body"/>
    <w:rsid w:val="00A252E5"/>
    <w:pPr>
      <w:pBdr>
        <w:top w:val="nil"/>
        <w:left w:val="nil"/>
        <w:bottom w:val="nil"/>
        <w:right w:val="nil"/>
        <w:between w:val="nil"/>
        <w:bar w:val="nil"/>
      </w:pBdr>
      <w:spacing w:before="240" w:after="240"/>
    </w:pPr>
    <w:rPr>
      <w:rFonts w:ascii="Arial" w:eastAsia="Arial Unicode MS" w:hAnsi="Arial" w:cs="Arial Unicode MS"/>
      <w:color w:val="000000"/>
      <w:sz w:val="24"/>
      <w:szCs w:val="24"/>
      <w:u w:color="000000"/>
      <w:bdr w:val="nil"/>
      <w:lang w:val="en-US"/>
    </w:rPr>
  </w:style>
  <w:style w:type="numbering" w:customStyle="1" w:styleId="ImportedStyle1">
    <w:name w:val="Imported Style 1"/>
    <w:rsid w:val="0093000D"/>
    <w:pPr>
      <w:numPr>
        <w:numId w:val="20"/>
      </w:numPr>
    </w:pPr>
  </w:style>
  <w:style w:type="paragraph" w:customStyle="1" w:styleId="Heading">
    <w:name w:val="Heading"/>
    <w:next w:val="Body"/>
    <w:rsid w:val="00EF1FA8"/>
    <w:pPr>
      <w:keepNext/>
      <w:keepLines/>
      <w:pBdr>
        <w:top w:val="nil"/>
        <w:left w:val="nil"/>
        <w:bottom w:val="nil"/>
        <w:right w:val="nil"/>
        <w:between w:val="nil"/>
        <w:bar w:val="nil"/>
      </w:pBdr>
      <w:tabs>
        <w:tab w:val="left" w:pos="851"/>
      </w:tabs>
      <w:spacing w:before="360" w:after="240"/>
      <w:outlineLvl w:val="2"/>
    </w:pPr>
    <w:rPr>
      <w:rFonts w:ascii="Arial" w:eastAsia="Arial" w:hAnsi="Arial" w:cs="Arial"/>
      <w:b/>
      <w:bCs/>
      <w:color w:val="000000"/>
      <w:sz w:val="28"/>
      <w:szCs w:val="28"/>
      <w:u w:color="000000"/>
      <w:bdr w:val="nil"/>
    </w:rPr>
  </w:style>
  <w:style w:type="numbering" w:customStyle="1" w:styleId="ImportedStyle2">
    <w:name w:val="Imported Style 2"/>
    <w:rsid w:val="00EF1FA8"/>
    <w:pPr>
      <w:numPr>
        <w:numId w:val="28"/>
      </w:numPr>
    </w:pPr>
  </w:style>
  <w:style w:type="paragraph" w:styleId="ListParagraph">
    <w:name w:val="List Paragraph"/>
    <w:basedOn w:val="Normal"/>
    <w:uiPriority w:val="34"/>
    <w:qFormat/>
    <w:rsid w:val="00EF1FA8"/>
    <w:pPr>
      <w:pBdr>
        <w:top w:val="nil"/>
        <w:left w:val="nil"/>
        <w:bottom w:val="nil"/>
        <w:right w:val="nil"/>
        <w:between w:val="nil"/>
        <w:bar w:val="nil"/>
      </w:pBdr>
      <w:spacing w:before="0" w:after="0"/>
      <w:ind w:left="720"/>
      <w:contextualSpacing/>
    </w:pPr>
    <w:rPr>
      <w:rFonts w:ascii="Times New Roman" w:eastAsia="Arial Unicode MS" w:hAnsi="Times New Roman"/>
      <w:bdr w:val="nil"/>
      <w:lang w:val="en-US" w:eastAsia="en-US"/>
    </w:rPr>
  </w:style>
  <w:style w:type="character" w:styleId="CommentReference">
    <w:name w:val="annotation reference"/>
    <w:basedOn w:val="DefaultParagraphFont"/>
    <w:semiHidden/>
    <w:unhideWhenUsed/>
    <w:locked/>
    <w:rsid w:val="00D76466"/>
    <w:rPr>
      <w:sz w:val="16"/>
      <w:szCs w:val="16"/>
    </w:rPr>
  </w:style>
  <w:style w:type="paragraph" w:styleId="CommentText">
    <w:name w:val="annotation text"/>
    <w:basedOn w:val="Normal"/>
    <w:link w:val="CommentTextChar"/>
    <w:semiHidden/>
    <w:unhideWhenUsed/>
    <w:locked/>
    <w:rsid w:val="00D76466"/>
    <w:rPr>
      <w:sz w:val="20"/>
      <w:szCs w:val="20"/>
    </w:rPr>
  </w:style>
  <w:style w:type="character" w:customStyle="1" w:styleId="CommentTextChar">
    <w:name w:val="Comment Text Char"/>
    <w:basedOn w:val="DefaultParagraphFont"/>
    <w:link w:val="CommentText"/>
    <w:semiHidden/>
    <w:rsid w:val="00D76466"/>
    <w:rPr>
      <w:rFonts w:ascii="Arial" w:eastAsia="MS Mincho" w:hAnsi="Arial"/>
    </w:rPr>
  </w:style>
  <w:style w:type="paragraph" w:styleId="CommentSubject">
    <w:name w:val="annotation subject"/>
    <w:basedOn w:val="CommentText"/>
    <w:next w:val="CommentText"/>
    <w:link w:val="CommentSubjectChar"/>
    <w:semiHidden/>
    <w:unhideWhenUsed/>
    <w:locked/>
    <w:rsid w:val="00D76466"/>
    <w:rPr>
      <w:b/>
      <w:bCs/>
    </w:rPr>
  </w:style>
  <w:style w:type="character" w:customStyle="1" w:styleId="CommentSubjectChar">
    <w:name w:val="Comment Subject Char"/>
    <w:basedOn w:val="CommentTextChar"/>
    <w:link w:val="CommentSubject"/>
    <w:semiHidden/>
    <w:rsid w:val="00D76466"/>
    <w:rPr>
      <w:rFonts w:ascii="Arial" w:eastAsia="MS Mincho"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D39D4-AD02-4A8B-A65F-3583354EE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17</Pages>
  <Words>4967</Words>
  <Characters>28185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33086</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Sarah Dillon</dc:creator>
  <cp:lastModifiedBy>Sarah Dillon</cp:lastModifiedBy>
  <cp:revision>86</cp:revision>
  <cp:lastPrinted>2016-04-08T05:40:00Z</cp:lastPrinted>
  <dcterms:created xsi:type="dcterms:W3CDTF">2016-04-08T00:09:00Z</dcterms:created>
  <dcterms:modified xsi:type="dcterms:W3CDTF">2016-04-08T05:52:00Z</dcterms:modified>
</cp:coreProperties>
</file>