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4F" w:rsidRPr="000054AF" w:rsidRDefault="000B4E4F" w:rsidP="000B4E4F">
      <w:pPr>
        <w:rPr>
          <w:rFonts w:cs="Arial"/>
          <w:sz w:val="22"/>
          <w:szCs w:val="22"/>
          <w:u w:val="single"/>
        </w:rPr>
      </w:pPr>
      <w:r w:rsidRPr="000054AF">
        <w:rPr>
          <w:rFonts w:cs="Arial"/>
          <w:b/>
          <w:sz w:val="22"/>
          <w:szCs w:val="22"/>
          <w:u w:val="single"/>
        </w:rPr>
        <w:t xml:space="preserve">Safe Work Australia’s Submission to the </w:t>
      </w:r>
      <w:proofErr w:type="gramStart"/>
      <w:r w:rsidRPr="000054AF">
        <w:rPr>
          <w:rFonts w:cs="Arial"/>
          <w:b/>
          <w:sz w:val="22"/>
          <w:szCs w:val="22"/>
          <w:u w:val="single"/>
        </w:rPr>
        <w:t>Willing</w:t>
      </w:r>
      <w:proofErr w:type="gramEnd"/>
      <w:r w:rsidRPr="000054AF">
        <w:rPr>
          <w:rFonts w:cs="Arial"/>
          <w:b/>
          <w:sz w:val="22"/>
          <w:szCs w:val="22"/>
          <w:u w:val="single"/>
        </w:rPr>
        <w:t xml:space="preserve"> to Work Inquiry</w:t>
      </w:r>
    </w:p>
    <w:p w:rsidR="003732CB" w:rsidRDefault="000B4E4F" w:rsidP="00A4305D">
      <w:pPr>
        <w:rPr>
          <w:rFonts w:cs="Arial"/>
          <w:sz w:val="22"/>
          <w:szCs w:val="22"/>
        </w:rPr>
      </w:pPr>
      <w:r w:rsidRPr="000054AF">
        <w:rPr>
          <w:rFonts w:cs="Arial"/>
          <w:sz w:val="22"/>
          <w:szCs w:val="22"/>
        </w:rPr>
        <w:t xml:space="preserve">Safe Work Australia leads the development of national policy to improve work health and safety </w:t>
      </w:r>
      <w:r w:rsidR="004E15DC" w:rsidRPr="000054AF">
        <w:rPr>
          <w:rFonts w:cs="Arial"/>
          <w:sz w:val="22"/>
          <w:szCs w:val="22"/>
        </w:rPr>
        <w:t xml:space="preserve">(WHS) </w:t>
      </w:r>
      <w:r w:rsidRPr="000054AF">
        <w:rPr>
          <w:rFonts w:cs="Arial"/>
          <w:sz w:val="22"/>
          <w:szCs w:val="22"/>
        </w:rPr>
        <w:t>and workers’ compensation arrangements across Austr</w:t>
      </w:r>
      <w:r w:rsidR="004E15DC" w:rsidRPr="000054AF">
        <w:rPr>
          <w:rFonts w:cs="Arial"/>
          <w:sz w:val="22"/>
          <w:szCs w:val="22"/>
        </w:rPr>
        <w:t xml:space="preserve">alia. This submission focuses </w:t>
      </w:r>
      <w:r w:rsidRPr="000054AF">
        <w:rPr>
          <w:rFonts w:cs="Arial"/>
          <w:sz w:val="22"/>
          <w:szCs w:val="22"/>
        </w:rPr>
        <w:t xml:space="preserve">on </w:t>
      </w:r>
      <w:r w:rsidR="004E15DC" w:rsidRPr="000054AF">
        <w:rPr>
          <w:rFonts w:cs="Arial"/>
          <w:sz w:val="22"/>
          <w:szCs w:val="22"/>
        </w:rPr>
        <w:t>WHS</w:t>
      </w:r>
      <w:r w:rsidRPr="000054AF">
        <w:rPr>
          <w:rFonts w:cs="Arial"/>
          <w:sz w:val="22"/>
          <w:szCs w:val="22"/>
        </w:rPr>
        <w:t xml:space="preserve"> and workers’ compensation implications </w:t>
      </w:r>
      <w:r w:rsidR="00AB2CEA">
        <w:rPr>
          <w:rFonts w:cs="Arial"/>
          <w:sz w:val="22"/>
          <w:szCs w:val="22"/>
        </w:rPr>
        <w:t xml:space="preserve">for </w:t>
      </w:r>
      <w:r w:rsidRPr="000054AF">
        <w:rPr>
          <w:rFonts w:cs="Arial"/>
          <w:sz w:val="22"/>
          <w:szCs w:val="22"/>
        </w:rPr>
        <w:t xml:space="preserve">older workers. </w:t>
      </w:r>
    </w:p>
    <w:p w:rsidR="00A4305D" w:rsidRPr="000054AF" w:rsidRDefault="00C6088A" w:rsidP="00A4305D">
      <w:pPr>
        <w:rPr>
          <w:rFonts w:cs="Arial"/>
          <w:sz w:val="22"/>
          <w:szCs w:val="22"/>
        </w:rPr>
      </w:pPr>
      <w:r>
        <w:rPr>
          <w:rFonts w:cs="Arial"/>
          <w:sz w:val="22"/>
          <w:szCs w:val="22"/>
        </w:rPr>
        <w:t>In particular this submission</w:t>
      </w:r>
      <w:r w:rsidR="000B4E4F" w:rsidRPr="000054AF">
        <w:rPr>
          <w:rFonts w:cs="Arial"/>
          <w:sz w:val="22"/>
          <w:szCs w:val="22"/>
        </w:rPr>
        <w:t xml:space="preserve"> examines the following:</w:t>
      </w:r>
    </w:p>
    <w:p w:rsidR="00637825" w:rsidRPr="000054AF" w:rsidRDefault="009827DB" w:rsidP="00A4305D">
      <w:pPr>
        <w:pStyle w:val="ListParagraph"/>
        <w:numPr>
          <w:ilvl w:val="0"/>
          <w:numId w:val="35"/>
        </w:numPr>
        <w:rPr>
          <w:rFonts w:cs="Arial"/>
          <w:sz w:val="22"/>
          <w:szCs w:val="22"/>
        </w:rPr>
      </w:pPr>
      <w:r>
        <w:rPr>
          <w:rFonts w:cs="Arial"/>
          <w:sz w:val="22"/>
          <w:szCs w:val="22"/>
        </w:rPr>
        <w:t>o</w:t>
      </w:r>
      <w:r w:rsidR="00F93B25" w:rsidRPr="000054AF">
        <w:rPr>
          <w:rFonts w:cs="Arial"/>
          <w:sz w:val="22"/>
          <w:szCs w:val="22"/>
        </w:rPr>
        <w:t xml:space="preserve">lder </w:t>
      </w:r>
      <w:r w:rsidR="00637825" w:rsidRPr="000054AF">
        <w:rPr>
          <w:rFonts w:cs="Arial"/>
          <w:sz w:val="22"/>
          <w:szCs w:val="22"/>
        </w:rPr>
        <w:t>workers and workforce participation</w:t>
      </w:r>
    </w:p>
    <w:p w:rsidR="00283169" w:rsidRDefault="009827DB" w:rsidP="00A4305D">
      <w:pPr>
        <w:pStyle w:val="ListParagraph"/>
        <w:numPr>
          <w:ilvl w:val="0"/>
          <w:numId w:val="35"/>
        </w:numPr>
        <w:rPr>
          <w:rFonts w:cs="Arial"/>
          <w:sz w:val="22"/>
          <w:szCs w:val="22"/>
        </w:rPr>
      </w:pPr>
      <w:r>
        <w:rPr>
          <w:rFonts w:cs="Arial"/>
          <w:sz w:val="22"/>
          <w:szCs w:val="22"/>
        </w:rPr>
        <w:t>w</w:t>
      </w:r>
      <w:r w:rsidR="00A62810" w:rsidRPr="007907A9">
        <w:rPr>
          <w:rFonts w:cs="Arial"/>
          <w:sz w:val="22"/>
          <w:szCs w:val="22"/>
        </w:rPr>
        <w:t>ork health and safety and older workers</w:t>
      </w:r>
    </w:p>
    <w:p w:rsidR="00A62810" w:rsidRPr="007907A9" w:rsidRDefault="009827DB" w:rsidP="00A4305D">
      <w:pPr>
        <w:pStyle w:val="ListParagraph"/>
        <w:numPr>
          <w:ilvl w:val="0"/>
          <w:numId w:val="35"/>
        </w:numPr>
        <w:rPr>
          <w:rFonts w:cs="Arial"/>
          <w:sz w:val="22"/>
          <w:szCs w:val="22"/>
        </w:rPr>
      </w:pPr>
      <w:r>
        <w:rPr>
          <w:rFonts w:cs="Arial"/>
          <w:sz w:val="22"/>
          <w:szCs w:val="22"/>
        </w:rPr>
        <w:t>t</w:t>
      </w:r>
      <w:r w:rsidR="00283169" w:rsidRPr="007907A9">
        <w:rPr>
          <w:rFonts w:cs="Arial"/>
          <w:sz w:val="22"/>
          <w:szCs w:val="22"/>
        </w:rPr>
        <w:t xml:space="preserve">he </w:t>
      </w:r>
      <w:r w:rsidR="00283169">
        <w:rPr>
          <w:rFonts w:cs="Arial"/>
          <w:sz w:val="22"/>
          <w:szCs w:val="22"/>
        </w:rPr>
        <w:t>injury experience</w:t>
      </w:r>
      <w:r w:rsidR="00283169" w:rsidRPr="007907A9">
        <w:rPr>
          <w:rFonts w:cs="Arial"/>
          <w:sz w:val="22"/>
          <w:szCs w:val="22"/>
        </w:rPr>
        <w:t xml:space="preserve"> of older workers</w:t>
      </w:r>
      <w:r w:rsidR="00A62810" w:rsidRPr="007907A9">
        <w:rPr>
          <w:rFonts w:cs="Arial"/>
          <w:sz w:val="22"/>
          <w:szCs w:val="22"/>
        </w:rPr>
        <w:t xml:space="preserve"> </w:t>
      </w:r>
    </w:p>
    <w:p w:rsidR="00A4305D" w:rsidRPr="007907A9" w:rsidRDefault="009827DB" w:rsidP="00A4305D">
      <w:pPr>
        <w:pStyle w:val="ListParagraph"/>
        <w:numPr>
          <w:ilvl w:val="0"/>
          <w:numId w:val="35"/>
        </w:numPr>
        <w:rPr>
          <w:rFonts w:cs="Arial"/>
          <w:sz w:val="22"/>
          <w:szCs w:val="22"/>
        </w:rPr>
      </w:pPr>
      <w:r>
        <w:rPr>
          <w:rFonts w:cs="Arial"/>
          <w:sz w:val="22"/>
          <w:szCs w:val="22"/>
        </w:rPr>
        <w:t>w</w:t>
      </w:r>
      <w:r w:rsidR="000B4E4F" w:rsidRPr="007907A9">
        <w:rPr>
          <w:rFonts w:cs="Arial"/>
          <w:sz w:val="22"/>
          <w:szCs w:val="22"/>
        </w:rPr>
        <w:t xml:space="preserve">orkers’ compensation </w:t>
      </w:r>
      <w:r w:rsidR="00283169">
        <w:rPr>
          <w:rFonts w:cs="Arial"/>
          <w:sz w:val="22"/>
          <w:szCs w:val="22"/>
        </w:rPr>
        <w:t>schemes</w:t>
      </w:r>
    </w:p>
    <w:p w:rsidR="00A4305D" w:rsidRPr="007907A9" w:rsidRDefault="009827DB" w:rsidP="00A4305D">
      <w:pPr>
        <w:pStyle w:val="ListParagraph"/>
        <w:numPr>
          <w:ilvl w:val="0"/>
          <w:numId w:val="35"/>
        </w:numPr>
        <w:rPr>
          <w:rFonts w:cs="Arial"/>
          <w:sz w:val="22"/>
          <w:szCs w:val="22"/>
        </w:rPr>
      </w:pPr>
      <w:r>
        <w:rPr>
          <w:rFonts w:cs="Arial"/>
          <w:sz w:val="22"/>
          <w:szCs w:val="22"/>
        </w:rPr>
        <w:t>c</w:t>
      </w:r>
      <w:r w:rsidR="00345160" w:rsidRPr="007907A9">
        <w:rPr>
          <w:rFonts w:cs="Arial"/>
          <w:sz w:val="22"/>
          <w:szCs w:val="22"/>
        </w:rPr>
        <w:t xml:space="preserve">hanging </w:t>
      </w:r>
      <w:r w:rsidR="00A4305D" w:rsidRPr="007907A9">
        <w:rPr>
          <w:rFonts w:cs="Arial"/>
          <w:sz w:val="22"/>
          <w:szCs w:val="22"/>
        </w:rPr>
        <w:t>the definition of retirement age</w:t>
      </w:r>
      <w:r>
        <w:rPr>
          <w:rFonts w:cs="Arial"/>
          <w:sz w:val="22"/>
          <w:szCs w:val="22"/>
        </w:rPr>
        <w:t>, and</w:t>
      </w:r>
    </w:p>
    <w:p w:rsidR="00A4305D" w:rsidRDefault="009827DB" w:rsidP="00A4305D">
      <w:pPr>
        <w:pStyle w:val="ListParagraph"/>
        <w:numPr>
          <w:ilvl w:val="0"/>
          <w:numId w:val="35"/>
        </w:numPr>
        <w:rPr>
          <w:rFonts w:cs="Arial"/>
          <w:sz w:val="22"/>
          <w:szCs w:val="22"/>
        </w:rPr>
      </w:pPr>
      <w:proofErr w:type="gramStart"/>
      <w:r>
        <w:rPr>
          <w:rFonts w:cs="Arial"/>
          <w:sz w:val="22"/>
          <w:szCs w:val="22"/>
        </w:rPr>
        <w:t>r</w:t>
      </w:r>
      <w:r w:rsidR="006F429C" w:rsidRPr="007907A9">
        <w:rPr>
          <w:rFonts w:cs="Arial"/>
          <w:sz w:val="22"/>
          <w:szCs w:val="22"/>
        </w:rPr>
        <w:t>eturn</w:t>
      </w:r>
      <w:proofErr w:type="gramEnd"/>
      <w:r w:rsidR="006F429C" w:rsidRPr="007907A9">
        <w:rPr>
          <w:rFonts w:cs="Arial"/>
          <w:sz w:val="22"/>
          <w:szCs w:val="22"/>
        </w:rPr>
        <w:t xml:space="preserve"> </w:t>
      </w:r>
      <w:r w:rsidR="00283169">
        <w:rPr>
          <w:rFonts w:cs="Arial"/>
          <w:sz w:val="22"/>
          <w:szCs w:val="22"/>
        </w:rPr>
        <w:t>to w</w:t>
      </w:r>
      <w:r w:rsidR="000B4E4F" w:rsidRPr="007907A9">
        <w:rPr>
          <w:rFonts w:cs="Arial"/>
          <w:sz w:val="22"/>
          <w:szCs w:val="22"/>
        </w:rPr>
        <w:t xml:space="preserve">ork </w:t>
      </w:r>
      <w:r w:rsidR="00283169">
        <w:rPr>
          <w:rFonts w:cs="Arial"/>
          <w:sz w:val="22"/>
          <w:szCs w:val="22"/>
        </w:rPr>
        <w:t>following injury</w:t>
      </w:r>
      <w:r>
        <w:rPr>
          <w:rFonts w:cs="Arial"/>
          <w:sz w:val="22"/>
          <w:szCs w:val="22"/>
        </w:rPr>
        <w:t>.</w:t>
      </w:r>
      <w:r w:rsidR="000B4E4F" w:rsidRPr="007907A9">
        <w:rPr>
          <w:rFonts w:cs="Arial"/>
          <w:sz w:val="22"/>
          <w:szCs w:val="22"/>
        </w:rPr>
        <w:t xml:space="preserve"> </w:t>
      </w:r>
    </w:p>
    <w:p w:rsidR="00C6088A" w:rsidRDefault="00C6088A" w:rsidP="00C6088A">
      <w:pPr>
        <w:rPr>
          <w:rFonts w:cs="Arial"/>
          <w:sz w:val="22"/>
          <w:szCs w:val="22"/>
        </w:rPr>
      </w:pPr>
      <w:r>
        <w:rPr>
          <w:rFonts w:cs="Arial"/>
          <w:sz w:val="22"/>
          <w:szCs w:val="22"/>
        </w:rPr>
        <w:t xml:space="preserve">Safe Work Australia’s predecessor the Australian </w:t>
      </w:r>
      <w:r w:rsidR="00D831FE">
        <w:rPr>
          <w:rFonts w:cs="Arial"/>
          <w:sz w:val="22"/>
          <w:szCs w:val="22"/>
        </w:rPr>
        <w:t xml:space="preserve">Safety and </w:t>
      </w:r>
      <w:r>
        <w:rPr>
          <w:rFonts w:cs="Arial"/>
          <w:sz w:val="22"/>
          <w:szCs w:val="22"/>
        </w:rPr>
        <w:t xml:space="preserve">Compensation Council published a report in 2007 which may be of use to the Inquiry - </w:t>
      </w:r>
      <w:hyperlink r:id="rId7" w:history="1">
        <w:r w:rsidRPr="003732CB">
          <w:rPr>
            <w:rStyle w:val="Hyperlink"/>
            <w:rFonts w:cs="Arial"/>
            <w:i/>
            <w:sz w:val="22"/>
            <w:szCs w:val="22"/>
          </w:rPr>
          <w:t>Are People with a</w:t>
        </w:r>
        <w:r>
          <w:rPr>
            <w:rStyle w:val="Hyperlink"/>
            <w:rFonts w:cs="Arial"/>
            <w:i/>
            <w:sz w:val="22"/>
            <w:szCs w:val="22"/>
          </w:rPr>
          <w:t xml:space="preserve"> Disability at Risk at Work? A R</w:t>
        </w:r>
        <w:r w:rsidRPr="003732CB">
          <w:rPr>
            <w:rStyle w:val="Hyperlink"/>
            <w:rFonts w:cs="Arial"/>
            <w:i/>
            <w:sz w:val="22"/>
            <w:szCs w:val="22"/>
          </w:rPr>
          <w:t>eview of the Evidence</w:t>
        </w:r>
      </w:hyperlink>
      <w:r>
        <w:rPr>
          <w:rFonts w:cs="Arial"/>
          <w:sz w:val="22"/>
          <w:szCs w:val="22"/>
        </w:rPr>
        <w:t>.  The report concluded that:</w:t>
      </w:r>
    </w:p>
    <w:p w:rsidR="00C6088A" w:rsidRDefault="00C6088A" w:rsidP="00C6088A">
      <w:pPr>
        <w:pStyle w:val="ListParagraph"/>
        <w:numPr>
          <w:ilvl w:val="0"/>
          <w:numId w:val="55"/>
        </w:numPr>
        <w:rPr>
          <w:rFonts w:cs="Arial"/>
          <w:sz w:val="22"/>
          <w:szCs w:val="22"/>
        </w:rPr>
      </w:pPr>
      <w:r>
        <w:rPr>
          <w:rFonts w:cs="Arial"/>
          <w:sz w:val="22"/>
          <w:szCs w:val="22"/>
        </w:rPr>
        <w:t xml:space="preserve">“Although the perception that employees with disability have a higher OHS risk is common, the evidence for Australian workers shows that people with disability do not have a higher risk of occupational injury, rather incidence of occupational injury is </w:t>
      </w:r>
      <w:r w:rsidR="00D1254C">
        <w:rPr>
          <w:rFonts w:cs="Arial"/>
          <w:sz w:val="22"/>
          <w:szCs w:val="22"/>
        </w:rPr>
        <w:t>lower in people with disability, and</w:t>
      </w:r>
    </w:p>
    <w:p w:rsidR="00C6088A" w:rsidRPr="003732CB" w:rsidRDefault="00C6088A" w:rsidP="00C6088A">
      <w:pPr>
        <w:pStyle w:val="ListParagraph"/>
        <w:numPr>
          <w:ilvl w:val="0"/>
          <w:numId w:val="55"/>
        </w:numPr>
        <w:rPr>
          <w:rFonts w:cs="Arial"/>
          <w:sz w:val="22"/>
          <w:szCs w:val="22"/>
        </w:rPr>
      </w:pPr>
      <w:r>
        <w:rPr>
          <w:rFonts w:cs="Arial"/>
          <w:sz w:val="22"/>
          <w:szCs w:val="22"/>
        </w:rPr>
        <w:t>Moreover, it was shown that the potential workforce of people with disability (those that are unemployed and those out of the labour force) have appropriate skills which could enable them to re-enter the workforce into occupations which are a low risk for traumatic injury.”</w:t>
      </w:r>
    </w:p>
    <w:p w:rsidR="00637825" w:rsidRPr="007907A9" w:rsidRDefault="00637825" w:rsidP="00637825">
      <w:pPr>
        <w:rPr>
          <w:rFonts w:cs="Arial"/>
          <w:sz w:val="22"/>
          <w:szCs w:val="22"/>
        </w:rPr>
      </w:pPr>
      <w:r w:rsidRPr="007907A9">
        <w:rPr>
          <w:rFonts w:cs="Arial"/>
          <w:b/>
          <w:sz w:val="22"/>
          <w:szCs w:val="22"/>
          <w:u w:val="single"/>
        </w:rPr>
        <w:t xml:space="preserve">Older workers and </w:t>
      </w:r>
      <w:r w:rsidR="00F93B25" w:rsidRPr="007907A9">
        <w:rPr>
          <w:rFonts w:cs="Arial"/>
          <w:b/>
          <w:sz w:val="22"/>
          <w:szCs w:val="22"/>
          <w:u w:val="single"/>
        </w:rPr>
        <w:t xml:space="preserve">workforce </w:t>
      </w:r>
      <w:r w:rsidRPr="007907A9">
        <w:rPr>
          <w:rFonts w:cs="Arial"/>
          <w:b/>
          <w:sz w:val="22"/>
          <w:szCs w:val="22"/>
          <w:u w:val="single"/>
        </w:rPr>
        <w:t>participation</w:t>
      </w:r>
    </w:p>
    <w:p w:rsidR="00637825" w:rsidRDefault="0068731C" w:rsidP="00AC220E">
      <w:pPr>
        <w:spacing w:before="0"/>
        <w:rPr>
          <w:rFonts w:cs="Arial"/>
          <w:sz w:val="22"/>
          <w:szCs w:val="22"/>
        </w:rPr>
      </w:pPr>
      <w:r w:rsidRPr="007907A9">
        <w:rPr>
          <w:rFonts w:cs="Arial"/>
          <w:sz w:val="22"/>
          <w:szCs w:val="22"/>
        </w:rPr>
        <w:t>The</w:t>
      </w:r>
      <w:r w:rsidR="0089752F" w:rsidRPr="007907A9">
        <w:rPr>
          <w:rFonts w:cs="Arial"/>
          <w:sz w:val="22"/>
          <w:szCs w:val="22"/>
        </w:rPr>
        <w:t xml:space="preserve"> </w:t>
      </w:r>
      <w:r w:rsidR="00F93B25" w:rsidRPr="007907A9">
        <w:rPr>
          <w:rFonts w:cs="Arial"/>
          <w:sz w:val="22"/>
          <w:szCs w:val="22"/>
        </w:rPr>
        <w:t>Australian Bureau of Statistics (</w:t>
      </w:r>
      <w:r w:rsidR="0089752F" w:rsidRPr="007907A9">
        <w:rPr>
          <w:rFonts w:cs="Arial"/>
          <w:sz w:val="22"/>
          <w:szCs w:val="22"/>
        </w:rPr>
        <w:t>ABS</w:t>
      </w:r>
      <w:r w:rsidR="00F93B25" w:rsidRPr="007907A9">
        <w:rPr>
          <w:rFonts w:cs="Arial"/>
          <w:sz w:val="22"/>
          <w:szCs w:val="22"/>
        </w:rPr>
        <w:t>)</w:t>
      </w:r>
      <w:r w:rsidR="0089752F" w:rsidRPr="007907A9">
        <w:rPr>
          <w:rFonts w:cs="Arial"/>
          <w:sz w:val="22"/>
          <w:szCs w:val="22"/>
        </w:rPr>
        <w:t xml:space="preserve"> Labour Force </w:t>
      </w:r>
      <w:r w:rsidR="00BD2ACE" w:rsidRPr="007907A9">
        <w:rPr>
          <w:rFonts w:cs="Arial"/>
          <w:sz w:val="22"/>
          <w:szCs w:val="22"/>
        </w:rPr>
        <w:t xml:space="preserve">Survey </w:t>
      </w:r>
      <w:r w:rsidR="0089752F" w:rsidRPr="007907A9">
        <w:rPr>
          <w:rFonts w:cs="Arial"/>
          <w:sz w:val="22"/>
          <w:szCs w:val="22"/>
        </w:rPr>
        <w:t xml:space="preserve">Data in October 2015 showed that between </w:t>
      </w:r>
      <w:r w:rsidR="00BD2ACE" w:rsidRPr="007907A9">
        <w:rPr>
          <w:rFonts w:cs="Arial"/>
          <w:sz w:val="22"/>
          <w:szCs w:val="22"/>
        </w:rPr>
        <w:t>2005 and 2014</w:t>
      </w:r>
      <w:r w:rsidR="0089752F" w:rsidRPr="007907A9">
        <w:rPr>
          <w:rFonts w:cs="Arial"/>
          <w:sz w:val="22"/>
          <w:szCs w:val="22"/>
        </w:rPr>
        <w:t xml:space="preserve"> the number of older workers (aged 55 and above) grew by 55 per cent. </w:t>
      </w:r>
      <w:r w:rsidR="006E0119" w:rsidRPr="007907A9">
        <w:rPr>
          <w:rFonts w:cs="Arial"/>
          <w:sz w:val="22"/>
          <w:szCs w:val="22"/>
        </w:rPr>
        <w:t>This is significantly higher than the overall increase of 25 per cent in employee numbers during the same period.</w:t>
      </w:r>
    </w:p>
    <w:p w:rsidR="003A5325" w:rsidRPr="007907A9" w:rsidRDefault="003A5325" w:rsidP="00AC220E">
      <w:pPr>
        <w:spacing w:before="0"/>
        <w:rPr>
          <w:rFonts w:cs="Arial"/>
          <w:sz w:val="22"/>
          <w:szCs w:val="22"/>
        </w:rPr>
      </w:pPr>
      <w:r w:rsidRPr="007907A9">
        <w:rPr>
          <w:rFonts w:cs="Arial"/>
          <w:sz w:val="22"/>
          <w:szCs w:val="22"/>
        </w:rPr>
        <w:t>The decision by the Australian Government in 2009 to progressively increase the qualifying age to receive the age pension from 65 to 67 between 2017 and 2023 is likely to further increase the number of older workers remaining in the workforce for longer.</w:t>
      </w:r>
    </w:p>
    <w:p w:rsidR="008E3081" w:rsidRDefault="0068731C" w:rsidP="008E3081">
      <w:pPr>
        <w:rPr>
          <w:rFonts w:cs="Arial"/>
          <w:sz w:val="22"/>
          <w:szCs w:val="22"/>
        </w:rPr>
      </w:pPr>
      <w:r w:rsidRPr="007907A9">
        <w:rPr>
          <w:rFonts w:cs="Arial"/>
          <w:sz w:val="22"/>
          <w:szCs w:val="22"/>
        </w:rPr>
        <w:t xml:space="preserve">Safe Work Australia data reveal that the number of older employees (that is, those covered by workers’ compensation) increased substantially in the 10 years to 2010-11. The number of employees aged 55–59 increased by 76 per cent (from 460 500 to 808 955), the number aged 60–64 increased </w:t>
      </w:r>
      <w:r w:rsidR="00D1254C">
        <w:rPr>
          <w:rFonts w:cs="Arial"/>
          <w:sz w:val="22"/>
          <w:szCs w:val="22"/>
        </w:rPr>
        <w:t xml:space="preserve">by </w:t>
      </w:r>
      <w:r w:rsidRPr="007907A9">
        <w:rPr>
          <w:rFonts w:cs="Arial"/>
          <w:sz w:val="22"/>
          <w:szCs w:val="22"/>
        </w:rPr>
        <w:t>177 per cent (from 185 883 to 514 794) and the number aged over 65 increased by 200 per cent (from 71 307 to 214 157) between 2000–01 and 2010–11.</w:t>
      </w:r>
      <w:r w:rsidRPr="009827DB">
        <w:rPr>
          <w:rFonts w:cs="Arial"/>
          <w:sz w:val="22"/>
          <w:szCs w:val="22"/>
          <w:vertAlign w:val="superscript"/>
        </w:rPr>
        <w:footnoteReference w:id="1"/>
      </w:r>
      <w:r w:rsidR="008E3081" w:rsidRPr="009827DB">
        <w:rPr>
          <w:rFonts w:cs="Arial"/>
          <w:sz w:val="22"/>
          <w:szCs w:val="22"/>
          <w:vertAlign w:val="superscript"/>
        </w:rPr>
        <w:t xml:space="preserve"> </w:t>
      </w:r>
    </w:p>
    <w:p w:rsidR="00C6088A" w:rsidRDefault="00E01A23" w:rsidP="008E3081">
      <w:pPr>
        <w:rPr>
          <w:rFonts w:cs="Arial"/>
          <w:sz w:val="22"/>
          <w:szCs w:val="22"/>
        </w:rPr>
      </w:pPr>
      <w:r>
        <w:rPr>
          <w:rFonts w:cs="Arial"/>
          <w:sz w:val="22"/>
          <w:szCs w:val="22"/>
        </w:rPr>
        <w:t xml:space="preserve">The health benefits of good work </w:t>
      </w:r>
      <w:r w:rsidR="009827DB">
        <w:rPr>
          <w:rFonts w:cs="Arial"/>
          <w:sz w:val="22"/>
          <w:szCs w:val="22"/>
        </w:rPr>
        <w:t>are</w:t>
      </w:r>
      <w:r>
        <w:rPr>
          <w:rFonts w:cs="Arial"/>
          <w:sz w:val="22"/>
          <w:szCs w:val="22"/>
        </w:rPr>
        <w:t xml:space="preserve"> increasingly recognised in Australia and overseas.</w:t>
      </w:r>
      <w:r w:rsidR="00AB2CEA">
        <w:rPr>
          <w:rFonts w:cs="Arial"/>
          <w:sz w:val="22"/>
          <w:szCs w:val="22"/>
        </w:rPr>
        <w:t xml:space="preserve"> Safe Work Australia is a signatory to the con</w:t>
      </w:r>
      <w:r w:rsidR="00C6088A">
        <w:rPr>
          <w:rFonts w:cs="Arial"/>
          <w:sz w:val="22"/>
          <w:szCs w:val="22"/>
        </w:rPr>
        <w:t>sensus statement on the Health B</w:t>
      </w:r>
      <w:r w:rsidR="00AB2CEA">
        <w:rPr>
          <w:rFonts w:cs="Arial"/>
          <w:sz w:val="22"/>
          <w:szCs w:val="22"/>
        </w:rPr>
        <w:t>enefits of Good Work developed by the Australasian Faculty of Occupational Medicine. Its document</w:t>
      </w:r>
      <w:r w:rsidR="003732CB">
        <w:rPr>
          <w:rFonts w:cs="Arial"/>
          <w:sz w:val="22"/>
          <w:szCs w:val="22"/>
        </w:rPr>
        <w:t xml:space="preserve"> </w:t>
      </w:r>
      <w:hyperlink r:id="rId8" w:history="1">
        <w:r w:rsidR="003732CB" w:rsidRPr="003732CB">
          <w:rPr>
            <w:rStyle w:val="Hyperlink"/>
            <w:rFonts w:cs="Arial"/>
            <w:i/>
            <w:sz w:val="22"/>
            <w:szCs w:val="22"/>
          </w:rPr>
          <w:t>Realising the Health B</w:t>
        </w:r>
        <w:r w:rsidR="00AB2CEA" w:rsidRPr="003732CB">
          <w:rPr>
            <w:rStyle w:val="Hyperlink"/>
            <w:rFonts w:cs="Arial"/>
            <w:i/>
            <w:sz w:val="22"/>
            <w:szCs w:val="22"/>
          </w:rPr>
          <w:t>en</w:t>
        </w:r>
        <w:r w:rsidR="003732CB" w:rsidRPr="003732CB">
          <w:rPr>
            <w:rStyle w:val="Hyperlink"/>
            <w:rFonts w:cs="Arial"/>
            <w:i/>
            <w:sz w:val="22"/>
            <w:szCs w:val="22"/>
          </w:rPr>
          <w:t>efits of W</w:t>
        </w:r>
        <w:r w:rsidR="00AB2CEA" w:rsidRPr="003732CB">
          <w:rPr>
            <w:rStyle w:val="Hyperlink"/>
            <w:rFonts w:cs="Arial"/>
            <w:i/>
            <w:sz w:val="22"/>
            <w:szCs w:val="22"/>
          </w:rPr>
          <w:t>ork</w:t>
        </w:r>
      </w:hyperlink>
      <w:r w:rsidR="003732CB">
        <w:rPr>
          <w:rFonts w:cs="Arial"/>
          <w:i/>
          <w:sz w:val="22"/>
          <w:szCs w:val="22"/>
        </w:rPr>
        <w:t xml:space="preserve"> </w:t>
      </w:r>
      <w:r w:rsidR="003732CB" w:rsidRPr="003732CB">
        <w:rPr>
          <w:rFonts w:cs="Arial"/>
          <w:sz w:val="22"/>
          <w:szCs w:val="22"/>
        </w:rPr>
        <w:t>presents international and Australasian evidence that work is generally good for health and wellbeing, and that long term work absence, work disability and unemployment generally have a negative impact on health and wellbeing.</w:t>
      </w:r>
    </w:p>
    <w:p w:rsidR="00C6088A" w:rsidRDefault="00C6088A">
      <w:pPr>
        <w:spacing w:before="0" w:after="200" w:line="276" w:lineRule="auto"/>
        <w:rPr>
          <w:rFonts w:cs="Arial"/>
          <w:sz w:val="22"/>
          <w:szCs w:val="22"/>
        </w:rPr>
      </w:pPr>
      <w:r>
        <w:rPr>
          <w:rFonts w:cs="Arial"/>
          <w:sz w:val="22"/>
          <w:szCs w:val="22"/>
        </w:rPr>
        <w:br w:type="page"/>
      </w:r>
    </w:p>
    <w:p w:rsidR="00C6088A" w:rsidRDefault="00C6088A" w:rsidP="00AC220E">
      <w:pPr>
        <w:spacing w:before="0"/>
        <w:rPr>
          <w:rFonts w:cs="Arial"/>
          <w:b/>
          <w:sz w:val="22"/>
          <w:szCs w:val="22"/>
          <w:u w:val="single"/>
        </w:rPr>
      </w:pPr>
    </w:p>
    <w:p w:rsidR="00E7743D" w:rsidRPr="007907A9" w:rsidRDefault="00A62810" w:rsidP="00AC220E">
      <w:pPr>
        <w:spacing w:before="0"/>
        <w:rPr>
          <w:rFonts w:cs="Arial"/>
          <w:b/>
          <w:sz w:val="22"/>
          <w:szCs w:val="22"/>
          <w:u w:val="single"/>
        </w:rPr>
      </w:pPr>
      <w:r w:rsidRPr="007907A9">
        <w:rPr>
          <w:rFonts w:cs="Arial"/>
          <w:b/>
          <w:sz w:val="22"/>
          <w:szCs w:val="22"/>
          <w:u w:val="single"/>
        </w:rPr>
        <w:t xml:space="preserve">Work health and safety and older workers </w:t>
      </w:r>
    </w:p>
    <w:p w:rsidR="00DE4228" w:rsidRPr="00D96E8F" w:rsidRDefault="00DE4228" w:rsidP="00DE4228">
      <w:pPr>
        <w:rPr>
          <w:rFonts w:cs="Arial"/>
          <w:sz w:val="22"/>
          <w:szCs w:val="22"/>
        </w:rPr>
      </w:pPr>
      <w:r w:rsidRPr="00E44C95">
        <w:rPr>
          <w:rFonts w:cs="Arial"/>
          <w:sz w:val="22"/>
          <w:szCs w:val="22"/>
        </w:rPr>
        <w:t>S</w:t>
      </w:r>
      <w:r>
        <w:rPr>
          <w:rFonts w:cs="Arial"/>
          <w:sz w:val="22"/>
          <w:szCs w:val="22"/>
        </w:rPr>
        <w:t xml:space="preserve">afe </w:t>
      </w:r>
      <w:r w:rsidRPr="00E44C95">
        <w:rPr>
          <w:rFonts w:cs="Arial"/>
          <w:sz w:val="22"/>
          <w:szCs w:val="22"/>
        </w:rPr>
        <w:t>W</w:t>
      </w:r>
      <w:r>
        <w:rPr>
          <w:rFonts w:cs="Arial"/>
          <w:sz w:val="22"/>
          <w:szCs w:val="22"/>
        </w:rPr>
        <w:t xml:space="preserve">ork </w:t>
      </w:r>
      <w:r w:rsidRPr="00E44C95">
        <w:rPr>
          <w:rFonts w:cs="Arial"/>
          <w:sz w:val="22"/>
          <w:szCs w:val="22"/>
        </w:rPr>
        <w:t>A</w:t>
      </w:r>
      <w:r>
        <w:rPr>
          <w:rFonts w:cs="Arial"/>
          <w:sz w:val="22"/>
          <w:szCs w:val="22"/>
        </w:rPr>
        <w:t>ustralia</w:t>
      </w:r>
      <w:r w:rsidRPr="00E44C95">
        <w:rPr>
          <w:rFonts w:cs="Arial"/>
          <w:sz w:val="22"/>
          <w:szCs w:val="22"/>
        </w:rPr>
        <w:t xml:space="preserve"> has developed</w:t>
      </w:r>
      <w:r w:rsidRPr="00E44C95">
        <w:rPr>
          <w:rFonts w:cs="Arial"/>
          <w:color w:val="464646"/>
          <w:sz w:val="22"/>
          <w:szCs w:val="22"/>
        </w:rPr>
        <w:t xml:space="preserve"> </w:t>
      </w:r>
      <w:hyperlink r:id="rId9" w:history="1">
        <w:r w:rsidRPr="00E44C95">
          <w:rPr>
            <w:rStyle w:val="Hyperlink"/>
            <w:rFonts w:cs="Arial"/>
            <w:i/>
            <w:sz w:val="22"/>
            <w:szCs w:val="22"/>
          </w:rPr>
          <w:t>model work health and safety (WHS) laws</w:t>
        </w:r>
      </w:hyperlink>
      <w:r w:rsidRPr="00E44C95">
        <w:rPr>
          <w:rFonts w:cs="Arial"/>
          <w:color w:val="464646"/>
          <w:sz w:val="22"/>
          <w:szCs w:val="22"/>
        </w:rPr>
        <w:t xml:space="preserve"> </w:t>
      </w:r>
      <w:r w:rsidRPr="00E44C95">
        <w:rPr>
          <w:rFonts w:cs="Arial"/>
          <w:sz w:val="22"/>
          <w:szCs w:val="22"/>
        </w:rPr>
        <w:t xml:space="preserve">in </w:t>
      </w:r>
      <w:r w:rsidRPr="00D96E8F">
        <w:rPr>
          <w:rFonts w:cs="Arial"/>
          <w:sz w:val="22"/>
          <w:szCs w:val="22"/>
        </w:rPr>
        <w:t xml:space="preserve">partnership with state and territory governments, employers and workers, who are represented as </w:t>
      </w:r>
      <w:r w:rsidRPr="00E44C95">
        <w:rPr>
          <w:rFonts w:cs="Arial"/>
          <w:sz w:val="22"/>
          <w:szCs w:val="22"/>
        </w:rPr>
        <w:t>S</w:t>
      </w:r>
      <w:r w:rsidR="00D1254C">
        <w:rPr>
          <w:rFonts w:cs="Arial"/>
          <w:sz w:val="22"/>
          <w:szCs w:val="22"/>
        </w:rPr>
        <w:t xml:space="preserve">afe Work Australia </w:t>
      </w:r>
      <w:r w:rsidRPr="00D96E8F">
        <w:rPr>
          <w:rFonts w:cs="Arial"/>
          <w:sz w:val="22"/>
          <w:szCs w:val="22"/>
        </w:rPr>
        <w:t>Members.</w:t>
      </w:r>
      <w:r w:rsidRPr="00E44C95">
        <w:rPr>
          <w:rFonts w:cs="Arial"/>
          <w:sz w:val="22"/>
          <w:szCs w:val="22"/>
        </w:rPr>
        <w:t xml:space="preserve"> </w:t>
      </w:r>
      <w:r>
        <w:rPr>
          <w:rFonts w:cs="Arial"/>
          <w:sz w:val="22"/>
          <w:szCs w:val="22"/>
        </w:rPr>
        <w:t>All</w:t>
      </w:r>
      <w:r w:rsidRPr="00D96E8F">
        <w:rPr>
          <w:rFonts w:cs="Arial"/>
          <w:sz w:val="22"/>
          <w:szCs w:val="22"/>
        </w:rPr>
        <w:t xml:space="preserve"> jurisdiction</w:t>
      </w:r>
      <w:r w:rsidRPr="00E44C95">
        <w:rPr>
          <w:rFonts w:cs="Arial"/>
          <w:sz w:val="22"/>
          <w:szCs w:val="22"/>
        </w:rPr>
        <w:t>s</w:t>
      </w:r>
      <w:r>
        <w:rPr>
          <w:rFonts w:cs="Arial"/>
          <w:sz w:val="22"/>
          <w:szCs w:val="22"/>
        </w:rPr>
        <w:t xml:space="preserve"> except for Victoria and </w:t>
      </w:r>
      <w:r w:rsidR="009827DB">
        <w:rPr>
          <w:rFonts w:cs="Arial"/>
          <w:sz w:val="22"/>
          <w:szCs w:val="22"/>
        </w:rPr>
        <w:t>W</w:t>
      </w:r>
      <w:r>
        <w:rPr>
          <w:rFonts w:cs="Arial"/>
          <w:sz w:val="22"/>
          <w:szCs w:val="22"/>
        </w:rPr>
        <w:t xml:space="preserve">estern Australia, </w:t>
      </w:r>
      <w:r w:rsidRPr="00E44C95">
        <w:rPr>
          <w:rFonts w:cs="Arial"/>
          <w:sz w:val="22"/>
          <w:szCs w:val="22"/>
        </w:rPr>
        <w:t xml:space="preserve">have </w:t>
      </w:r>
      <w:r w:rsidRPr="00D96E8F">
        <w:rPr>
          <w:rFonts w:cs="Arial"/>
          <w:sz w:val="22"/>
          <w:szCs w:val="22"/>
        </w:rPr>
        <w:t>enact</w:t>
      </w:r>
      <w:r w:rsidRPr="00E44C95">
        <w:rPr>
          <w:rFonts w:cs="Arial"/>
          <w:sz w:val="22"/>
          <w:szCs w:val="22"/>
        </w:rPr>
        <w:t>ed their</w:t>
      </w:r>
      <w:r w:rsidRPr="00D96E8F">
        <w:rPr>
          <w:rFonts w:cs="Arial"/>
          <w:sz w:val="22"/>
          <w:szCs w:val="22"/>
        </w:rPr>
        <w:t xml:space="preserve"> own</w:t>
      </w:r>
      <w:r w:rsidRPr="00E44C95">
        <w:rPr>
          <w:rFonts w:cs="Arial"/>
          <w:sz w:val="22"/>
          <w:szCs w:val="22"/>
        </w:rPr>
        <w:t xml:space="preserve"> WHS</w:t>
      </w:r>
      <w:r w:rsidRPr="00D96E8F">
        <w:rPr>
          <w:rFonts w:cs="Arial"/>
          <w:sz w:val="22"/>
          <w:szCs w:val="22"/>
        </w:rPr>
        <w:t xml:space="preserve"> legislation </w:t>
      </w:r>
      <w:r w:rsidRPr="00E44C95">
        <w:rPr>
          <w:rFonts w:cs="Arial"/>
          <w:sz w:val="22"/>
          <w:szCs w:val="22"/>
        </w:rPr>
        <w:t>to</w:t>
      </w:r>
      <w:r w:rsidRPr="00D96E8F">
        <w:rPr>
          <w:rFonts w:cs="Arial"/>
          <w:sz w:val="22"/>
          <w:szCs w:val="22"/>
        </w:rPr>
        <w:t xml:space="preserve"> mirror the model laws. </w:t>
      </w:r>
    </w:p>
    <w:p w:rsidR="00DE4228" w:rsidRPr="00E44C95" w:rsidRDefault="00C6088A" w:rsidP="00DE4228">
      <w:pPr>
        <w:rPr>
          <w:rFonts w:cs="Arial"/>
          <w:sz w:val="22"/>
          <w:szCs w:val="22"/>
        </w:rPr>
      </w:pPr>
      <w:r>
        <w:rPr>
          <w:rFonts w:cs="Arial"/>
          <w:sz w:val="22"/>
          <w:szCs w:val="22"/>
        </w:rPr>
        <w:t xml:space="preserve">Under </w:t>
      </w:r>
      <w:r w:rsidR="00D1254C">
        <w:rPr>
          <w:rFonts w:cs="Arial"/>
          <w:sz w:val="22"/>
          <w:szCs w:val="22"/>
        </w:rPr>
        <w:t xml:space="preserve">section 19 of </w:t>
      </w:r>
      <w:r>
        <w:rPr>
          <w:rFonts w:cs="Arial"/>
          <w:sz w:val="22"/>
          <w:szCs w:val="22"/>
        </w:rPr>
        <w:t>the model</w:t>
      </w:r>
      <w:r w:rsidR="00DE4228" w:rsidRPr="00E44C95">
        <w:rPr>
          <w:rFonts w:cs="Arial"/>
          <w:sz w:val="22"/>
          <w:szCs w:val="22"/>
        </w:rPr>
        <w:t xml:space="preserve"> WHS </w:t>
      </w:r>
      <w:r w:rsidR="00D1254C">
        <w:rPr>
          <w:rFonts w:cs="Arial"/>
          <w:sz w:val="22"/>
          <w:szCs w:val="22"/>
        </w:rPr>
        <w:t>Act</w:t>
      </w:r>
      <w:proofErr w:type="gramStart"/>
      <w:r>
        <w:rPr>
          <w:rFonts w:cs="Arial"/>
          <w:sz w:val="22"/>
          <w:szCs w:val="22"/>
        </w:rPr>
        <w:t xml:space="preserve">, </w:t>
      </w:r>
      <w:r w:rsidR="00D1254C">
        <w:rPr>
          <w:rFonts w:cs="Arial"/>
          <w:sz w:val="22"/>
          <w:szCs w:val="22"/>
        </w:rPr>
        <w:t xml:space="preserve"> a</w:t>
      </w:r>
      <w:proofErr w:type="gramEnd"/>
      <w:r w:rsidR="00D1254C">
        <w:rPr>
          <w:rFonts w:cs="Arial"/>
          <w:sz w:val="22"/>
          <w:szCs w:val="22"/>
        </w:rPr>
        <w:t xml:space="preserve"> ‘p</w:t>
      </w:r>
      <w:r w:rsidR="00DE4228" w:rsidRPr="00E44C95">
        <w:rPr>
          <w:rFonts w:cs="Arial"/>
          <w:sz w:val="22"/>
          <w:szCs w:val="22"/>
        </w:rPr>
        <w:t>erson</w:t>
      </w:r>
      <w:r w:rsidR="00D1254C">
        <w:rPr>
          <w:rFonts w:cs="Arial"/>
          <w:sz w:val="22"/>
          <w:szCs w:val="22"/>
        </w:rPr>
        <w:t xml:space="preserve"> conducting a business or undertaking’ (PCBU</w:t>
      </w:r>
      <w:r w:rsidR="00DE4228">
        <w:rPr>
          <w:rStyle w:val="FootnoteReference"/>
          <w:rFonts w:cs="Arial"/>
          <w:sz w:val="22"/>
          <w:szCs w:val="22"/>
        </w:rPr>
        <w:footnoteReference w:id="2"/>
      </w:r>
      <w:r w:rsidR="00DE4228" w:rsidRPr="00E44C95">
        <w:rPr>
          <w:rFonts w:cs="Arial"/>
          <w:sz w:val="22"/>
          <w:szCs w:val="22"/>
        </w:rPr>
        <w:t xml:space="preserve">) </w:t>
      </w:r>
      <w:r w:rsidR="00D1254C">
        <w:rPr>
          <w:rFonts w:cs="Arial"/>
          <w:sz w:val="22"/>
          <w:szCs w:val="22"/>
        </w:rPr>
        <w:t>has a</w:t>
      </w:r>
      <w:r w:rsidR="00DE4228">
        <w:rPr>
          <w:rFonts w:cs="Arial"/>
          <w:sz w:val="22"/>
          <w:szCs w:val="22"/>
        </w:rPr>
        <w:t xml:space="preserve"> primary</w:t>
      </w:r>
      <w:r w:rsidR="00DE4228" w:rsidRPr="00E44C95">
        <w:rPr>
          <w:rFonts w:cs="Arial"/>
          <w:sz w:val="22"/>
          <w:szCs w:val="22"/>
        </w:rPr>
        <w:t xml:space="preserve"> duty of care</w:t>
      </w:r>
      <w:r w:rsidR="00D1254C">
        <w:rPr>
          <w:rFonts w:cs="Arial"/>
          <w:sz w:val="22"/>
          <w:szCs w:val="22"/>
        </w:rPr>
        <w:t>, as follows</w:t>
      </w:r>
      <w:r>
        <w:rPr>
          <w:rFonts w:cs="Arial"/>
          <w:sz w:val="22"/>
          <w:szCs w:val="22"/>
        </w:rPr>
        <w:t>:</w:t>
      </w:r>
    </w:p>
    <w:p w:rsidR="00DE4228" w:rsidRPr="00E44C95" w:rsidRDefault="00DE4228" w:rsidP="00DE4228">
      <w:pPr>
        <w:pStyle w:val="ListParagraph"/>
        <w:numPr>
          <w:ilvl w:val="0"/>
          <w:numId w:val="35"/>
        </w:numPr>
        <w:rPr>
          <w:rFonts w:cs="Arial"/>
          <w:sz w:val="22"/>
          <w:szCs w:val="22"/>
        </w:rPr>
      </w:pPr>
      <w:r w:rsidRPr="00E44C95">
        <w:rPr>
          <w:rFonts w:cs="Arial"/>
          <w:sz w:val="22"/>
          <w:szCs w:val="22"/>
        </w:rPr>
        <w:t xml:space="preserve">All PCBUs must ensure, so far as is reasonably practicable, the health and safety of: </w:t>
      </w:r>
    </w:p>
    <w:p w:rsidR="00DE4228" w:rsidRPr="00E44C95" w:rsidRDefault="00DE4228" w:rsidP="00DE4228">
      <w:pPr>
        <w:pStyle w:val="ListParagraph"/>
        <w:numPr>
          <w:ilvl w:val="1"/>
          <w:numId w:val="35"/>
        </w:numPr>
        <w:rPr>
          <w:rFonts w:cs="Arial"/>
          <w:sz w:val="22"/>
          <w:szCs w:val="22"/>
        </w:rPr>
      </w:pPr>
      <w:r w:rsidRPr="00E44C95">
        <w:rPr>
          <w:rFonts w:cs="Arial"/>
          <w:sz w:val="22"/>
          <w:szCs w:val="22"/>
        </w:rPr>
        <w:t xml:space="preserve">workers engaged, or caused to be engaged by the person, and </w:t>
      </w:r>
    </w:p>
    <w:p w:rsidR="00DE4228" w:rsidRPr="00E44C95" w:rsidRDefault="00DE4228" w:rsidP="00DE4228">
      <w:pPr>
        <w:pStyle w:val="ListParagraph"/>
        <w:numPr>
          <w:ilvl w:val="1"/>
          <w:numId w:val="35"/>
        </w:numPr>
        <w:rPr>
          <w:rFonts w:cs="Arial"/>
          <w:sz w:val="22"/>
          <w:szCs w:val="22"/>
        </w:rPr>
      </w:pPr>
      <w:proofErr w:type="gramStart"/>
      <w:r w:rsidRPr="00E44C95">
        <w:rPr>
          <w:rFonts w:cs="Arial"/>
          <w:sz w:val="22"/>
          <w:szCs w:val="22"/>
        </w:rPr>
        <w:t>workers</w:t>
      </w:r>
      <w:proofErr w:type="gramEnd"/>
      <w:r w:rsidRPr="00E44C95">
        <w:rPr>
          <w:rFonts w:cs="Arial"/>
          <w:sz w:val="22"/>
          <w:szCs w:val="22"/>
        </w:rPr>
        <w:t xml:space="preserve"> whose activities in carrying out the work are influenced or directed by the person, while workers are at work in the business or undertaking. </w:t>
      </w:r>
    </w:p>
    <w:p w:rsidR="00DE4228" w:rsidRPr="00E44C95" w:rsidRDefault="00DE4228" w:rsidP="00DE4228">
      <w:pPr>
        <w:pStyle w:val="ListParagraph"/>
        <w:numPr>
          <w:ilvl w:val="0"/>
          <w:numId w:val="35"/>
        </w:numPr>
        <w:rPr>
          <w:rFonts w:cs="Arial"/>
          <w:sz w:val="22"/>
          <w:szCs w:val="22"/>
        </w:rPr>
      </w:pPr>
      <w:r w:rsidRPr="00E44C95">
        <w:rPr>
          <w:rFonts w:cs="Arial"/>
          <w:sz w:val="22"/>
          <w:szCs w:val="22"/>
        </w:rPr>
        <w:t>This primary duty of care requires duty holders to ensure health and safety, so far as is reasonably practicable, by eliminating risks to health and safety. If this is not reasonably</w:t>
      </w:r>
      <w:r w:rsidRPr="00575395">
        <w:rPr>
          <w:rFonts w:cs="Arial"/>
          <w:sz w:val="22"/>
          <w:szCs w:val="22"/>
        </w:rPr>
        <w:t xml:space="preserve"> </w:t>
      </w:r>
      <w:r w:rsidRPr="00E44C95">
        <w:rPr>
          <w:rFonts w:cs="Arial"/>
          <w:sz w:val="22"/>
          <w:szCs w:val="22"/>
        </w:rPr>
        <w:t xml:space="preserve">practicable, risks must be minimised so far as is reasonably practicable. </w:t>
      </w:r>
    </w:p>
    <w:p w:rsidR="00CD72C2" w:rsidRPr="00CD72C2" w:rsidRDefault="00CD72C2" w:rsidP="00CD72C2">
      <w:pPr>
        <w:spacing w:before="0" w:after="0"/>
        <w:ind w:left="360"/>
        <w:rPr>
          <w:rFonts w:cs="Arial"/>
          <w:sz w:val="22"/>
          <w:szCs w:val="22"/>
        </w:rPr>
      </w:pPr>
    </w:p>
    <w:p w:rsidR="00CD72C2" w:rsidRPr="00CD72C2" w:rsidRDefault="00D1254C" w:rsidP="00CD72C2">
      <w:pPr>
        <w:spacing w:before="0" w:after="0"/>
        <w:rPr>
          <w:rFonts w:cs="Arial"/>
          <w:sz w:val="22"/>
          <w:szCs w:val="22"/>
        </w:rPr>
      </w:pPr>
      <w:r>
        <w:rPr>
          <w:rFonts w:cs="Arial"/>
          <w:sz w:val="22"/>
          <w:szCs w:val="22"/>
        </w:rPr>
        <w:t xml:space="preserve">There is also an obligation on a PCBU to consult with workers as set out </w:t>
      </w:r>
      <w:r w:rsidR="00CD72C2" w:rsidRPr="00CD72C2">
        <w:rPr>
          <w:rFonts w:cs="Arial"/>
          <w:sz w:val="22"/>
          <w:szCs w:val="22"/>
        </w:rPr>
        <w:t>in sections 47-49</w:t>
      </w:r>
      <w:r>
        <w:rPr>
          <w:rFonts w:cs="Arial"/>
          <w:sz w:val="22"/>
          <w:szCs w:val="22"/>
        </w:rPr>
        <w:t xml:space="preserve"> of the model WHS Act.</w:t>
      </w:r>
    </w:p>
    <w:p w:rsidR="00CD72C2" w:rsidRPr="00CD72C2" w:rsidRDefault="00CD72C2" w:rsidP="00CD72C2">
      <w:pPr>
        <w:spacing w:before="0" w:after="0"/>
        <w:ind w:left="360"/>
        <w:rPr>
          <w:rFonts w:cs="Arial"/>
          <w:sz w:val="22"/>
          <w:szCs w:val="22"/>
        </w:rPr>
      </w:pPr>
    </w:p>
    <w:p w:rsidR="00D1254C" w:rsidRDefault="00CD72C2" w:rsidP="00CD72C2">
      <w:pPr>
        <w:spacing w:before="0" w:after="0"/>
        <w:rPr>
          <w:rFonts w:cs="Arial"/>
          <w:sz w:val="22"/>
          <w:szCs w:val="22"/>
        </w:rPr>
      </w:pPr>
      <w:r w:rsidRPr="00CD72C2">
        <w:rPr>
          <w:rFonts w:cs="Arial"/>
          <w:sz w:val="22"/>
          <w:szCs w:val="22"/>
        </w:rPr>
        <w:t>PCBUs must</w:t>
      </w:r>
      <w:r w:rsidR="00D1254C">
        <w:rPr>
          <w:rFonts w:cs="Arial"/>
          <w:sz w:val="22"/>
          <w:szCs w:val="22"/>
        </w:rPr>
        <w:t>,</w:t>
      </w:r>
      <w:r w:rsidRPr="00CD72C2">
        <w:rPr>
          <w:rFonts w:cs="Arial"/>
          <w:sz w:val="22"/>
          <w:szCs w:val="22"/>
        </w:rPr>
        <w:t xml:space="preserve"> so far as reasonably practicable</w:t>
      </w:r>
      <w:r w:rsidR="00D1254C">
        <w:rPr>
          <w:rFonts w:cs="Arial"/>
          <w:sz w:val="22"/>
          <w:szCs w:val="22"/>
        </w:rPr>
        <w:t>,</w:t>
      </w:r>
      <w:r w:rsidRPr="00CD72C2">
        <w:rPr>
          <w:rFonts w:cs="Arial"/>
          <w:sz w:val="22"/>
          <w:szCs w:val="22"/>
        </w:rPr>
        <w:t xml:space="preserve"> consult with workers who carry out work for the business or undertaking who are, or are likely to be, directly affected by a matte</w:t>
      </w:r>
      <w:r w:rsidR="00D1254C">
        <w:rPr>
          <w:rFonts w:cs="Arial"/>
          <w:sz w:val="22"/>
          <w:szCs w:val="22"/>
        </w:rPr>
        <w:t xml:space="preserve">r relating to health and safety: section 47. Consultation requires, among other things, that relevant information about </w:t>
      </w:r>
      <w:proofErr w:type="gramStart"/>
      <w:r w:rsidR="00D1254C">
        <w:rPr>
          <w:rFonts w:cs="Arial"/>
          <w:sz w:val="22"/>
          <w:szCs w:val="22"/>
        </w:rPr>
        <w:t>the</w:t>
      </w:r>
      <w:proofErr w:type="gramEnd"/>
      <w:r w:rsidR="00D1254C">
        <w:rPr>
          <w:rFonts w:cs="Arial"/>
          <w:sz w:val="22"/>
          <w:szCs w:val="22"/>
        </w:rPr>
        <w:t xml:space="preserve"> matter is shared with workers and that workers are given a reasonable opportunity to express their views or raise issues about work health and safety in relation to a matter: section 48.</w:t>
      </w:r>
    </w:p>
    <w:p w:rsidR="00D1254C" w:rsidRDefault="00D1254C" w:rsidP="00CD72C2">
      <w:pPr>
        <w:spacing w:before="0" w:after="0"/>
        <w:rPr>
          <w:rFonts w:cs="Arial"/>
          <w:sz w:val="22"/>
          <w:szCs w:val="22"/>
        </w:rPr>
      </w:pPr>
    </w:p>
    <w:p w:rsidR="00CD72C2" w:rsidRPr="000C40E8" w:rsidRDefault="00D1254C" w:rsidP="00CD72C2">
      <w:pPr>
        <w:spacing w:before="0" w:after="0"/>
        <w:rPr>
          <w:rFonts w:cs="Arial"/>
          <w:sz w:val="22"/>
          <w:szCs w:val="22"/>
        </w:rPr>
      </w:pPr>
      <w:r>
        <w:rPr>
          <w:rFonts w:cs="Arial"/>
          <w:sz w:val="22"/>
          <w:szCs w:val="22"/>
        </w:rPr>
        <w:t xml:space="preserve">In practice, measures a PCBU may take to discharge their primary </w:t>
      </w:r>
      <w:r w:rsidR="00980F29">
        <w:rPr>
          <w:rFonts w:cs="Arial"/>
          <w:sz w:val="22"/>
          <w:szCs w:val="22"/>
        </w:rPr>
        <w:t xml:space="preserve">duty of care to older workers may include: </w:t>
      </w:r>
    </w:p>
    <w:p w:rsidR="00CD72C2" w:rsidRPr="000C40E8" w:rsidRDefault="00980F29" w:rsidP="00CD72C2">
      <w:pPr>
        <w:pStyle w:val="ListParagraph"/>
        <w:numPr>
          <w:ilvl w:val="0"/>
          <w:numId w:val="35"/>
        </w:numPr>
        <w:rPr>
          <w:rFonts w:cs="Arial"/>
          <w:sz w:val="22"/>
          <w:szCs w:val="22"/>
        </w:rPr>
      </w:pPr>
      <w:r>
        <w:rPr>
          <w:rFonts w:cs="Arial"/>
          <w:sz w:val="22"/>
          <w:szCs w:val="22"/>
        </w:rPr>
        <w:t>d</w:t>
      </w:r>
      <w:r w:rsidR="00CD72C2" w:rsidRPr="000C40E8">
        <w:rPr>
          <w:rFonts w:cs="Arial"/>
          <w:sz w:val="22"/>
          <w:szCs w:val="22"/>
        </w:rPr>
        <w:t xml:space="preserve">esigning tasks for the working population that take account of the range of human dimensions and capabilities such as height, reach </w:t>
      </w:r>
      <w:r w:rsidR="00C6088A">
        <w:rPr>
          <w:rFonts w:cs="Arial"/>
          <w:sz w:val="22"/>
          <w:szCs w:val="22"/>
        </w:rPr>
        <w:t xml:space="preserve">and weight and adapt </w:t>
      </w:r>
      <w:r w:rsidR="00CD72C2" w:rsidRPr="000C40E8">
        <w:rPr>
          <w:rFonts w:cs="Arial"/>
          <w:sz w:val="22"/>
          <w:szCs w:val="22"/>
        </w:rPr>
        <w:t>work systems to accommodate the he</w:t>
      </w:r>
      <w:r>
        <w:rPr>
          <w:rFonts w:cs="Arial"/>
          <w:sz w:val="22"/>
          <w:szCs w:val="22"/>
        </w:rPr>
        <w:t>alth/fitness status of a worker</w:t>
      </w:r>
      <w:r w:rsidR="00EF36A6">
        <w:rPr>
          <w:rFonts w:cs="Arial"/>
          <w:sz w:val="22"/>
          <w:szCs w:val="22"/>
        </w:rPr>
        <w:t>, or</w:t>
      </w:r>
      <w:r w:rsidR="00CD72C2" w:rsidRPr="000C40E8">
        <w:rPr>
          <w:rFonts w:cs="Arial"/>
          <w:sz w:val="22"/>
          <w:szCs w:val="22"/>
        </w:rPr>
        <w:t xml:space="preserve"> </w:t>
      </w:r>
    </w:p>
    <w:p w:rsidR="00DE4228" w:rsidRPr="00CD72C2" w:rsidRDefault="00EF36A6" w:rsidP="00CD72C2">
      <w:pPr>
        <w:pStyle w:val="ListParagraph"/>
        <w:numPr>
          <w:ilvl w:val="0"/>
          <w:numId w:val="35"/>
        </w:numPr>
        <w:rPr>
          <w:rFonts w:cs="Arial"/>
          <w:sz w:val="22"/>
          <w:szCs w:val="22"/>
        </w:rPr>
      </w:pPr>
      <w:r>
        <w:rPr>
          <w:rFonts w:cs="Arial"/>
          <w:sz w:val="22"/>
          <w:szCs w:val="22"/>
        </w:rPr>
        <w:t>i</w:t>
      </w:r>
      <w:r w:rsidR="00CD72C2" w:rsidRPr="00CD72C2">
        <w:rPr>
          <w:rFonts w:cs="Arial"/>
          <w:sz w:val="22"/>
          <w:szCs w:val="22"/>
        </w:rPr>
        <w:t>n designing work systems</w:t>
      </w:r>
      <w:r>
        <w:rPr>
          <w:rFonts w:cs="Arial"/>
          <w:sz w:val="22"/>
          <w:szCs w:val="22"/>
        </w:rPr>
        <w:t>, taking into account</w:t>
      </w:r>
      <w:r w:rsidR="00CD72C2" w:rsidRPr="00CD72C2">
        <w:rPr>
          <w:rFonts w:cs="Arial"/>
          <w:sz w:val="22"/>
          <w:szCs w:val="22"/>
        </w:rPr>
        <w:t xml:space="preserve"> the possibility that older workers may have a decreased physical capacity for physically demanding or fast</w:t>
      </w:r>
      <w:r>
        <w:rPr>
          <w:rFonts w:cs="Arial"/>
          <w:sz w:val="22"/>
          <w:szCs w:val="22"/>
        </w:rPr>
        <w:t>-paced</w:t>
      </w:r>
      <w:r w:rsidR="00CD72C2" w:rsidRPr="00CD72C2">
        <w:rPr>
          <w:rFonts w:cs="Arial"/>
          <w:sz w:val="22"/>
          <w:szCs w:val="22"/>
        </w:rPr>
        <w:t xml:space="preserve"> work (</w:t>
      </w:r>
      <w:hyperlink r:id="rId10" w:history="1">
        <w:r w:rsidR="00CD72C2" w:rsidRPr="00CD72C2">
          <w:rPr>
            <w:rStyle w:val="Hyperlink"/>
            <w:rFonts w:cs="Arial"/>
            <w:i/>
            <w:sz w:val="22"/>
            <w:szCs w:val="22"/>
          </w:rPr>
          <w:t>National Code Of Practice For The Prevention Of Musculoskeletal Disorders From Performing Manual Tasks At Work 2007</w:t>
        </w:r>
      </w:hyperlink>
      <w:r w:rsidR="00CD72C2" w:rsidRPr="00CD72C2">
        <w:rPr>
          <w:rFonts w:cs="Arial"/>
          <w:sz w:val="22"/>
          <w:szCs w:val="22"/>
        </w:rPr>
        <w:t>)</w:t>
      </w:r>
    </w:p>
    <w:p w:rsidR="00CD72C2" w:rsidRPr="00C6088A" w:rsidRDefault="001B327F" w:rsidP="00CD72C2">
      <w:pPr>
        <w:rPr>
          <w:rFonts w:cs="Arial"/>
          <w:i/>
          <w:sz w:val="22"/>
          <w:szCs w:val="22"/>
        </w:rPr>
      </w:pPr>
      <w:r w:rsidRPr="00C6088A">
        <w:rPr>
          <w:rFonts w:cs="Arial"/>
          <w:i/>
          <w:sz w:val="22"/>
          <w:szCs w:val="22"/>
        </w:rPr>
        <w:t>Case</w:t>
      </w:r>
      <w:r w:rsidR="00CD72C2" w:rsidRPr="00C6088A">
        <w:rPr>
          <w:rFonts w:cs="Arial"/>
          <w:i/>
          <w:sz w:val="22"/>
          <w:szCs w:val="22"/>
        </w:rPr>
        <w:t xml:space="preserve"> </w:t>
      </w:r>
      <w:proofErr w:type="gramStart"/>
      <w:r w:rsidR="004F22E4">
        <w:rPr>
          <w:rFonts w:cs="Arial"/>
          <w:i/>
          <w:sz w:val="22"/>
          <w:szCs w:val="22"/>
        </w:rPr>
        <w:t>S</w:t>
      </w:r>
      <w:r w:rsidR="00CD72C2" w:rsidRPr="00C6088A">
        <w:rPr>
          <w:rFonts w:cs="Arial"/>
          <w:i/>
          <w:sz w:val="22"/>
          <w:szCs w:val="22"/>
        </w:rPr>
        <w:t>tudy :</w:t>
      </w:r>
      <w:proofErr w:type="gramEnd"/>
      <w:r w:rsidR="00CD72C2" w:rsidRPr="00C6088A">
        <w:rPr>
          <w:rFonts w:cs="Arial"/>
          <w:i/>
          <w:sz w:val="22"/>
          <w:szCs w:val="22"/>
        </w:rPr>
        <w:t xml:space="preserve"> BMW in Germany</w:t>
      </w:r>
    </w:p>
    <w:p w:rsidR="00EF36A6" w:rsidRDefault="00EF36A6" w:rsidP="00CD72C2">
      <w:pPr>
        <w:rPr>
          <w:rFonts w:cs="Arial"/>
          <w:i/>
          <w:sz w:val="22"/>
          <w:szCs w:val="22"/>
        </w:rPr>
      </w:pPr>
      <w:r>
        <w:rPr>
          <w:rFonts w:cs="Arial"/>
          <w:i/>
          <w:sz w:val="22"/>
          <w:szCs w:val="22"/>
        </w:rPr>
        <w:t>The following case study provides an example of how a factory redesigned a production line to take account of the changing needs of an ageing workforce.</w:t>
      </w:r>
    </w:p>
    <w:p w:rsidR="00CD72C2" w:rsidRDefault="00CD72C2" w:rsidP="00CD72C2">
      <w:pPr>
        <w:rPr>
          <w:rFonts w:cs="Arial"/>
          <w:sz w:val="22"/>
          <w:szCs w:val="22"/>
        </w:rPr>
      </w:pPr>
      <w:r w:rsidRPr="00C6088A">
        <w:rPr>
          <w:rFonts w:cs="Arial"/>
          <w:i/>
          <w:sz w:val="22"/>
          <w:szCs w:val="22"/>
        </w:rPr>
        <w:t xml:space="preserve">Recognising the ageing profile of the workforce in its factories, BMW developed an innovative bottom-up approach for improving productivity. </w:t>
      </w:r>
      <w:r w:rsidR="001B327F" w:rsidRPr="00C6088A">
        <w:rPr>
          <w:rFonts w:cs="Arial"/>
          <w:i/>
          <w:sz w:val="22"/>
          <w:szCs w:val="22"/>
        </w:rPr>
        <w:t xml:space="preserve"> The project involved a pilot using a production line and staffing it with people with an average age of 47. Led by two production managers the project involved working with people on the line, supported by senior executives and technical experts, to develop productivity-improving changes, such as managing health care, enhancing workers’ skills and the workplace environment, and instituting part-time policies and change management processes. Direct investment in the project was approximately $50,000 and </w:t>
      </w:r>
      <w:r w:rsidR="00C6088A">
        <w:rPr>
          <w:rFonts w:cs="Arial"/>
          <w:i/>
          <w:sz w:val="22"/>
          <w:szCs w:val="22"/>
        </w:rPr>
        <w:lastRenderedPageBreak/>
        <w:t xml:space="preserve">resulted in </w:t>
      </w:r>
      <w:r w:rsidR="001B327F" w:rsidRPr="00C6088A">
        <w:rPr>
          <w:rFonts w:cs="Arial"/>
          <w:i/>
          <w:sz w:val="22"/>
          <w:szCs w:val="22"/>
        </w:rPr>
        <w:t xml:space="preserve">increased productivity by 7% in one year. See: </w:t>
      </w:r>
      <w:hyperlink r:id="rId11" w:history="1">
        <w:r w:rsidR="001B327F" w:rsidRPr="00C6088A">
          <w:rPr>
            <w:rStyle w:val="Hyperlink"/>
            <w:rFonts w:cs="Arial"/>
            <w:i/>
            <w:sz w:val="22"/>
            <w:szCs w:val="22"/>
          </w:rPr>
          <w:t>The Globe: how BMW is defusing the demographic time bomb.</w:t>
        </w:r>
      </w:hyperlink>
      <w:r w:rsidR="001B327F" w:rsidRPr="00C6088A">
        <w:rPr>
          <w:rFonts w:cs="Arial"/>
          <w:i/>
          <w:sz w:val="22"/>
          <w:szCs w:val="22"/>
        </w:rPr>
        <w:t xml:space="preserve"> </w:t>
      </w:r>
    </w:p>
    <w:p w:rsidR="00E7743D" w:rsidRPr="007907A9" w:rsidRDefault="00E7743D" w:rsidP="00E7743D">
      <w:pPr>
        <w:rPr>
          <w:rFonts w:cs="Arial"/>
          <w:sz w:val="22"/>
          <w:szCs w:val="22"/>
        </w:rPr>
      </w:pPr>
      <w:r w:rsidRPr="007907A9">
        <w:rPr>
          <w:rFonts w:cs="Arial"/>
          <w:sz w:val="22"/>
          <w:szCs w:val="22"/>
        </w:rPr>
        <w:t xml:space="preserve">When considering the WHS implications of our ageing workforce, it is </w:t>
      </w:r>
      <w:r w:rsidR="00EF36A6">
        <w:rPr>
          <w:rFonts w:cs="Arial"/>
          <w:sz w:val="22"/>
          <w:szCs w:val="22"/>
        </w:rPr>
        <w:t>necessary to consider the changes</w:t>
      </w:r>
      <w:r w:rsidRPr="007907A9">
        <w:rPr>
          <w:rFonts w:cs="Arial"/>
          <w:sz w:val="22"/>
          <w:szCs w:val="22"/>
        </w:rPr>
        <w:t xml:space="preserve"> that ageing </w:t>
      </w:r>
      <w:r w:rsidR="00EF36A6">
        <w:rPr>
          <w:rFonts w:cs="Arial"/>
          <w:sz w:val="22"/>
          <w:szCs w:val="22"/>
        </w:rPr>
        <w:t>may bring</w:t>
      </w:r>
      <w:r w:rsidRPr="007907A9">
        <w:rPr>
          <w:rFonts w:cs="Arial"/>
          <w:sz w:val="22"/>
          <w:szCs w:val="22"/>
        </w:rPr>
        <w:t xml:space="preserve"> </w:t>
      </w:r>
      <w:r w:rsidR="00EF36A6">
        <w:rPr>
          <w:rFonts w:cs="Arial"/>
          <w:sz w:val="22"/>
          <w:szCs w:val="22"/>
        </w:rPr>
        <w:t>to</w:t>
      </w:r>
      <w:r w:rsidRPr="007907A9">
        <w:rPr>
          <w:rFonts w:cs="Arial"/>
          <w:sz w:val="22"/>
          <w:szCs w:val="22"/>
        </w:rPr>
        <w:t xml:space="preserve"> physiological and cognitive abilities, depending on </w:t>
      </w:r>
      <w:r w:rsidR="00C6088A">
        <w:rPr>
          <w:rFonts w:cs="Arial"/>
          <w:sz w:val="22"/>
          <w:szCs w:val="22"/>
        </w:rPr>
        <w:t xml:space="preserve">health, </w:t>
      </w:r>
      <w:r w:rsidRPr="007907A9">
        <w:rPr>
          <w:rFonts w:cs="Arial"/>
          <w:sz w:val="22"/>
          <w:szCs w:val="22"/>
        </w:rPr>
        <w:t xml:space="preserve">fitness and genetics.  For example a person’s vision deteriorates around the age of 40 when the crystalline lens in the eye loses its flexibility and transparency, making it difficult to focus at close distances (presbyopia). </w:t>
      </w:r>
      <w:r w:rsidR="001B327F">
        <w:rPr>
          <w:rFonts w:cs="Arial"/>
          <w:sz w:val="22"/>
          <w:szCs w:val="22"/>
        </w:rPr>
        <w:t xml:space="preserve">On the other hand, </w:t>
      </w:r>
      <w:r w:rsidRPr="007907A9">
        <w:rPr>
          <w:rFonts w:cs="Arial"/>
          <w:sz w:val="22"/>
          <w:szCs w:val="22"/>
        </w:rPr>
        <w:t xml:space="preserve">some cognitive </w:t>
      </w:r>
      <w:r w:rsidR="00166328" w:rsidRPr="007907A9">
        <w:rPr>
          <w:rFonts w:cs="Arial"/>
          <w:sz w:val="22"/>
          <w:szCs w:val="22"/>
        </w:rPr>
        <w:t>functions such as control of language or the ability to process complex problems improve</w:t>
      </w:r>
      <w:r w:rsidRPr="007907A9">
        <w:rPr>
          <w:rFonts w:cs="Arial"/>
          <w:sz w:val="22"/>
          <w:szCs w:val="22"/>
        </w:rPr>
        <w:t xml:space="preserve"> with age. </w:t>
      </w:r>
    </w:p>
    <w:p w:rsidR="00E60009" w:rsidRDefault="00E7743D" w:rsidP="007024EB">
      <w:pPr>
        <w:rPr>
          <w:rFonts w:cs="Arial"/>
          <w:sz w:val="22"/>
          <w:szCs w:val="22"/>
        </w:rPr>
      </w:pPr>
      <w:r w:rsidRPr="007907A9">
        <w:rPr>
          <w:rFonts w:cs="Arial"/>
          <w:sz w:val="22"/>
          <w:szCs w:val="22"/>
        </w:rPr>
        <w:t xml:space="preserve">Safe Work Australia recommends that </w:t>
      </w:r>
      <w:r w:rsidR="00EE6DE0">
        <w:rPr>
          <w:rFonts w:cs="Arial"/>
          <w:sz w:val="22"/>
          <w:szCs w:val="22"/>
        </w:rPr>
        <w:t>workplaces consider both</w:t>
      </w:r>
      <w:r w:rsidRPr="007907A9">
        <w:rPr>
          <w:rFonts w:cs="Arial"/>
          <w:sz w:val="22"/>
          <w:szCs w:val="22"/>
        </w:rPr>
        <w:t xml:space="preserve"> job demands and </w:t>
      </w:r>
      <w:r w:rsidR="00EE6DE0">
        <w:rPr>
          <w:rFonts w:cs="Arial"/>
          <w:sz w:val="22"/>
          <w:szCs w:val="22"/>
        </w:rPr>
        <w:t xml:space="preserve">job </w:t>
      </w:r>
      <w:r w:rsidRPr="007907A9">
        <w:rPr>
          <w:rFonts w:cs="Arial"/>
          <w:sz w:val="22"/>
          <w:szCs w:val="22"/>
        </w:rPr>
        <w:t xml:space="preserve">control </w:t>
      </w:r>
      <w:r w:rsidR="00EE6DE0">
        <w:rPr>
          <w:rFonts w:cs="Arial"/>
          <w:sz w:val="22"/>
          <w:szCs w:val="22"/>
        </w:rPr>
        <w:t>in designing work systems to</w:t>
      </w:r>
      <w:r w:rsidRPr="007907A9">
        <w:rPr>
          <w:rFonts w:cs="Arial"/>
          <w:sz w:val="22"/>
          <w:szCs w:val="22"/>
        </w:rPr>
        <w:t xml:space="preserve"> </w:t>
      </w:r>
      <w:r w:rsidR="00E60009">
        <w:rPr>
          <w:rFonts w:cs="Arial"/>
          <w:sz w:val="22"/>
          <w:szCs w:val="22"/>
        </w:rPr>
        <w:t xml:space="preserve">improve </w:t>
      </w:r>
      <w:r w:rsidRPr="007907A9">
        <w:rPr>
          <w:rFonts w:cs="Arial"/>
          <w:sz w:val="22"/>
          <w:szCs w:val="22"/>
        </w:rPr>
        <w:t xml:space="preserve">older </w:t>
      </w:r>
      <w:r w:rsidR="00E60009">
        <w:rPr>
          <w:rFonts w:cs="Arial"/>
          <w:sz w:val="22"/>
          <w:szCs w:val="22"/>
        </w:rPr>
        <w:t>workers</w:t>
      </w:r>
      <w:r w:rsidRPr="007907A9">
        <w:rPr>
          <w:rFonts w:cs="Arial"/>
          <w:sz w:val="22"/>
          <w:szCs w:val="22"/>
        </w:rPr>
        <w:t xml:space="preserve">’ work ability. </w:t>
      </w:r>
      <w:r w:rsidR="006C5A74" w:rsidRPr="006C5A74">
        <w:rPr>
          <w:rFonts w:cs="Arial"/>
          <w:sz w:val="22"/>
          <w:szCs w:val="22"/>
        </w:rPr>
        <w:t>The concept of work ability, or workers’ capacity to meet the demands of their jobs</w:t>
      </w:r>
      <w:r w:rsidR="00166328">
        <w:rPr>
          <w:rFonts w:cs="Arial"/>
          <w:sz w:val="22"/>
          <w:szCs w:val="22"/>
        </w:rPr>
        <w:t xml:space="preserve"> </w:t>
      </w:r>
      <w:r w:rsidR="006C5A74" w:rsidRPr="006C5A74">
        <w:rPr>
          <w:rFonts w:cs="Arial"/>
          <w:sz w:val="22"/>
          <w:szCs w:val="22"/>
        </w:rPr>
        <w:t xml:space="preserve">was developed </w:t>
      </w:r>
      <w:r w:rsidR="001E65D0">
        <w:rPr>
          <w:rFonts w:cs="Arial"/>
          <w:sz w:val="22"/>
          <w:szCs w:val="22"/>
        </w:rPr>
        <w:t>in Finland and is used in many countries across the world</w:t>
      </w:r>
      <w:r w:rsidR="006C5A74" w:rsidRPr="006C5A74">
        <w:rPr>
          <w:rFonts w:cs="Arial"/>
          <w:sz w:val="22"/>
          <w:szCs w:val="22"/>
        </w:rPr>
        <w:t>.</w:t>
      </w:r>
      <w:r w:rsidR="006C5A74">
        <w:rPr>
          <w:rFonts w:cs="Arial"/>
          <w:sz w:val="22"/>
          <w:szCs w:val="22"/>
        </w:rPr>
        <w:t xml:space="preserve"> </w:t>
      </w:r>
      <w:r w:rsidR="00EE6DE0">
        <w:rPr>
          <w:rFonts w:cs="Arial"/>
          <w:sz w:val="22"/>
          <w:szCs w:val="22"/>
        </w:rPr>
        <w:t xml:space="preserve">As well as capturing factors related to the individual’s abilities, knowledge, health, functional capacity and motivation relating to work, the work ability model also recognises work, social and environmental (including government policy) factors that impact on a worker’s ability to work. </w:t>
      </w:r>
    </w:p>
    <w:p w:rsidR="00E60009" w:rsidRDefault="006C5A74" w:rsidP="007024EB">
      <w:pPr>
        <w:rPr>
          <w:rFonts w:cs="Arial"/>
          <w:sz w:val="22"/>
          <w:szCs w:val="22"/>
        </w:rPr>
      </w:pPr>
      <w:r>
        <w:rPr>
          <w:rFonts w:cs="Arial"/>
          <w:sz w:val="22"/>
          <w:szCs w:val="22"/>
        </w:rPr>
        <w:t xml:space="preserve">Safe Work Australia published a </w:t>
      </w:r>
      <w:hyperlink r:id="rId12" w:history="1">
        <w:r w:rsidRPr="00CC02B2">
          <w:rPr>
            <w:rStyle w:val="Hyperlink"/>
            <w:rFonts w:cs="Arial"/>
            <w:i/>
            <w:sz w:val="22"/>
            <w:szCs w:val="22"/>
          </w:rPr>
          <w:t>pilot study on Work Ability in July 2014</w:t>
        </w:r>
      </w:hyperlink>
      <w:r>
        <w:rPr>
          <w:rFonts w:cs="Arial"/>
          <w:sz w:val="22"/>
          <w:szCs w:val="22"/>
        </w:rPr>
        <w:t xml:space="preserve">. </w:t>
      </w:r>
      <w:r w:rsidR="007024EB">
        <w:rPr>
          <w:rFonts w:cs="Arial"/>
          <w:sz w:val="22"/>
          <w:szCs w:val="22"/>
        </w:rPr>
        <w:t xml:space="preserve">Findings that are relevant to this submission </w:t>
      </w:r>
      <w:r>
        <w:rPr>
          <w:rFonts w:cs="Arial"/>
          <w:sz w:val="22"/>
          <w:szCs w:val="22"/>
        </w:rPr>
        <w:t>include</w:t>
      </w:r>
      <w:r w:rsidR="007024EB">
        <w:rPr>
          <w:rFonts w:cs="Arial"/>
          <w:sz w:val="22"/>
          <w:szCs w:val="22"/>
        </w:rPr>
        <w:t xml:space="preserve"> that</w:t>
      </w:r>
      <w:r w:rsidR="00E60009">
        <w:rPr>
          <w:rFonts w:cs="Arial"/>
          <w:sz w:val="22"/>
          <w:szCs w:val="22"/>
        </w:rPr>
        <w:t>:</w:t>
      </w:r>
    </w:p>
    <w:p w:rsidR="00E60009" w:rsidRDefault="007024EB" w:rsidP="00E60009">
      <w:pPr>
        <w:pStyle w:val="ListParagraph"/>
        <w:numPr>
          <w:ilvl w:val="0"/>
          <w:numId w:val="56"/>
        </w:numPr>
        <w:rPr>
          <w:rFonts w:cs="Arial"/>
          <w:sz w:val="22"/>
          <w:szCs w:val="22"/>
        </w:rPr>
      </w:pPr>
      <w:r w:rsidRPr="00E60009">
        <w:rPr>
          <w:rFonts w:cs="Arial"/>
          <w:sz w:val="22"/>
          <w:szCs w:val="22"/>
        </w:rPr>
        <w:t>w</w:t>
      </w:r>
      <w:r w:rsidR="006C5A74" w:rsidRPr="00E60009">
        <w:rPr>
          <w:rFonts w:cs="Arial"/>
          <w:sz w:val="22"/>
          <w:szCs w:val="22"/>
        </w:rPr>
        <w:t>orkers with work related health issues</w:t>
      </w:r>
      <w:r w:rsidR="00166328" w:rsidRPr="00E60009">
        <w:rPr>
          <w:rFonts w:cs="Arial"/>
          <w:sz w:val="22"/>
          <w:szCs w:val="22"/>
        </w:rPr>
        <w:t>,</w:t>
      </w:r>
      <w:r w:rsidR="006C5A74" w:rsidRPr="00E60009">
        <w:rPr>
          <w:rFonts w:cs="Arial"/>
          <w:sz w:val="22"/>
          <w:szCs w:val="22"/>
        </w:rPr>
        <w:t xml:space="preserve"> particularly </w:t>
      </w:r>
      <w:r w:rsidR="00E60009">
        <w:rPr>
          <w:rFonts w:cs="Arial"/>
          <w:sz w:val="22"/>
          <w:szCs w:val="22"/>
        </w:rPr>
        <w:t xml:space="preserve">work-related </w:t>
      </w:r>
      <w:r w:rsidR="006C5A74" w:rsidRPr="00E60009">
        <w:rPr>
          <w:rFonts w:cs="Arial"/>
          <w:sz w:val="22"/>
          <w:szCs w:val="22"/>
        </w:rPr>
        <w:t>mental stress tended to report low work ability</w:t>
      </w:r>
      <w:r w:rsidRPr="00E60009">
        <w:rPr>
          <w:rFonts w:cs="Arial"/>
          <w:sz w:val="22"/>
          <w:szCs w:val="22"/>
        </w:rPr>
        <w:t xml:space="preserve">, and </w:t>
      </w:r>
    </w:p>
    <w:p w:rsidR="006C5A74" w:rsidRPr="00E60009" w:rsidRDefault="007024EB" w:rsidP="00E60009">
      <w:pPr>
        <w:pStyle w:val="ListParagraph"/>
        <w:numPr>
          <w:ilvl w:val="0"/>
          <w:numId w:val="56"/>
        </w:numPr>
        <w:rPr>
          <w:rFonts w:cs="Arial"/>
          <w:sz w:val="22"/>
          <w:szCs w:val="22"/>
        </w:rPr>
      </w:pPr>
      <w:proofErr w:type="gramStart"/>
      <w:r w:rsidRPr="00E60009">
        <w:rPr>
          <w:rFonts w:cs="Arial"/>
          <w:sz w:val="22"/>
          <w:szCs w:val="22"/>
        </w:rPr>
        <w:t>s</w:t>
      </w:r>
      <w:r w:rsidR="006C5A74" w:rsidRPr="00E60009">
        <w:rPr>
          <w:rFonts w:cs="Arial"/>
          <w:sz w:val="22"/>
          <w:szCs w:val="22"/>
        </w:rPr>
        <w:t>atisfied</w:t>
      </w:r>
      <w:proofErr w:type="gramEnd"/>
      <w:r w:rsidR="006C5A74" w:rsidRPr="00E60009">
        <w:rPr>
          <w:rFonts w:cs="Arial"/>
          <w:sz w:val="22"/>
          <w:szCs w:val="22"/>
        </w:rPr>
        <w:t xml:space="preserve"> workers and those who intended to remain in their current role reported higher work ability than workers who were not satisfied with their jobs. </w:t>
      </w:r>
    </w:p>
    <w:p w:rsidR="00C6088A" w:rsidRDefault="00E7743D" w:rsidP="00E7743D">
      <w:pPr>
        <w:rPr>
          <w:rFonts w:cs="Arial"/>
          <w:sz w:val="22"/>
          <w:szCs w:val="22"/>
        </w:rPr>
      </w:pPr>
      <w:r w:rsidRPr="007907A9">
        <w:rPr>
          <w:rFonts w:cs="Arial"/>
          <w:sz w:val="22"/>
          <w:szCs w:val="22"/>
        </w:rPr>
        <w:t>If work is designed and managed to eliminate or minimise hazards and risks</w:t>
      </w:r>
      <w:r w:rsidR="00E60009">
        <w:rPr>
          <w:rFonts w:cs="Arial"/>
          <w:sz w:val="22"/>
          <w:szCs w:val="22"/>
        </w:rPr>
        <w:t xml:space="preserve"> to reduce the incidence of acute and chronic work-related injuries/conditions, </w:t>
      </w:r>
      <w:r w:rsidRPr="007907A9">
        <w:rPr>
          <w:rFonts w:cs="Arial"/>
          <w:sz w:val="22"/>
          <w:szCs w:val="22"/>
        </w:rPr>
        <w:t>work ability for all workers regardless of age will be improved. Improving work ability can extend working lives.</w:t>
      </w:r>
      <w:r w:rsidR="004C439E" w:rsidRPr="007907A9">
        <w:rPr>
          <w:rFonts w:cs="Arial"/>
          <w:sz w:val="22"/>
          <w:szCs w:val="22"/>
        </w:rPr>
        <w:t xml:space="preserve"> </w:t>
      </w:r>
      <w:r w:rsidR="007024EB">
        <w:rPr>
          <w:rFonts w:cs="Arial"/>
          <w:sz w:val="22"/>
          <w:szCs w:val="22"/>
        </w:rPr>
        <w:t xml:space="preserve">As </w:t>
      </w:r>
      <w:r w:rsidR="00166328">
        <w:rPr>
          <w:rFonts w:cs="Arial"/>
          <w:sz w:val="22"/>
          <w:szCs w:val="22"/>
        </w:rPr>
        <w:t>all</w:t>
      </w:r>
      <w:r w:rsidR="00166328" w:rsidRPr="007907A9">
        <w:rPr>
          <w:rFonts w:cs="Arial"/>
          <w:sz w:val="22"/>
          <w:szCs w:val="22"/>
        </w:rPr>
        <w:t xml:space="preserve"> </w:t>
      </w:r>
      <w:r w:rsidR="007024EB" w:rsidRPr="007907A9">
        <w:rPr>
          <w:rFonts w:cs="Arial"/>
          <w:sz w:val="22"/>
          <w:szCs w:val="22"/>
        </w:rPr>
        <w:t>individual</w:t>
      </w:r>
      <w:r w:rsidR="00166328">
        <w:rPr>
          <w:rFonts w:cs="Arial"/>
          <w:sz w:val="22"/>
          <w:szCs w:val="22"/>
        </w:rPr>
        <w:t>s</w:t>
      </w:r>
      <w:r w:rsidR="007024EB" w:rsidRPr="007907A9">
        <w:rPr>
          <w:rFonts w:cs="Arial"/>
          <w:sz w:val="22"/>
          <w:szCs w:val="22"/>
        </w:rPr>
        <w:t xml:space="preserve"> </w:t>
      </w:r>
      <w:r w:rsidR="00166328" w:rsidRPr="007907A9">
        <w:rPr>
          <w:rFonts w:cs="Arial"/>
          <w:sz w:val="22"/>
          <w:szCs w:val="22"/>
        </w:rPr>
        <w:t>age</w:t>
      </w:r>
      <w:r w:rsidR="007024EB" w:rsidRPr="007907A9">
        <w:rPr>
          <w:rFonts w:cs="Arial"/>
          <w:sz w:val="22"/>
          <w:szCs w:val="22"/>
        </w:rPr>
        <w:t xml:space="preserve"> in a different manner</w:t>
      </w:r>
      <w:r w:rsidR="007024EB">
        <w:rPr>
          <w:rFonts w:cs="Arial"/>
          <w:sz w:val="22"/>
          <w:szCs w:val="22"/>
        </w:rPr>
        <w:t>,</w:t>
      </w:r>
      <w:r w:rsidR="007024EB" w:rsidRPr="007907A9">
        <w:rPr>
          <w:rFonts w:cs="Arial"/>
          <w:sz w:val="22"/>
          <w:szCs w:val="22"/>
        </w:rPr>
        <w:t xml:space="preserve"> chronological age </w:t>
      </w:r>
      <w:r w:rsidR="00786194">
        <w:rPr>
          <w:rFonts w:cs="Arial"/>
          <w:sz w:val="22"/>
          <w:szCs w:val="22"/>
        </w:rPr>
        <w:t>does</w:t>
      </w:r>
      <w:r w:rsidR="007024EB" w:rsidRPr="007907A9">
        <w:rPr>
          <w:rFonts w:cs="Arial"/>
          <w:sz w:val="22"/>
          <w:szCs w:val="22"/>
        </w:rPr>
        <w:t xml:space="preserve"> not necessarily </w:t>
      </w:r>
      <w:r w:rsidR="00786194">
        <w:rPr>
          <w:rFonts w:cs="Arial"/>
          <w:sz w:val="22"/>
          <w:szCs w:val="22"/>
        </w:rPr>
        <w:t xml:space="preserve">mirror </w:t>
      </w:r>
      <w:r w:rsidR="007024EB" w:rsidRPr="007907A9">
        <w:rPr>
          <w:rFonts w:cs="Arial"/>
          <w:sz w:val="22"/>
          <w:szCs w:val="22"/>
        </w:rPr>
        <w:t>functional age</w:t>
      </w:r>
      <w:r w:rsidR="00CC02B2">
        <w:rPr>
          <w:rFonts w:cs="Arial"/>
          <w:sz w:val="22"/>
          <w:szCs w:val="22"/>
        </w:rPr>
        <w:t>, so</w:t>
      </w:r>
      <w:r w:rsidR="007024EB">
        <w:rPr>
          <w:rFonts w:cs="Arial"/>
          <w:sz w:val="22"/>
          <w:szCs w:val="22"/>
        </w:rPr>
        <w:t xml:space="preserve"> it </w:t>
      </w:r>
      <w:r w:rsidR="00770675">
        <w:rPr>
          <w:rFonts w:cs="Arial"/>
          <w:sz w:val="22"/>
          <w:szCs w:val="22"/>
        </w:rPr>
        <w:t xml:space="preserve">is important that age </w:t>
      </w:r>
      <w:r w:rsidR="007024EB">
        <w:rPr>
          <w:rFonts w:cs="Arial"/>
          <w:sz w:val="22"/>
          <w:szCs w:val="22"/>
        </w:rPr>
        <w:t xml:space="preserve">is </w:t>
      </w:r>
      <w:r w:rsidR="00770675">
        <w:rPr>
          <w:rFonts w:cs="Arial"/>
          <w:sz w:val="22"/>
          <w:szCs w:val="22"/>
        </w:rPr>
        <w:t>not</w:t>
      </w:r>
      <w:r w:rsidR="004C439E" w:rsidRPr="007907A9">
        <w:rPr>
          <w:rFonts w:cs="Arial"/>
          <w:sz w:val="22"/>
          <w:szCs w:val="22"/>
        </w:rPr>
        <w:t xml:space="preserve"> </w:t>
      </w:r>
      <w:r w:rsidR="00770675">
        <w:rPr>
          <w:rFonts w:cs="Arial"/>
          <w:sz w:val="22"/>
          <w:szCs w:val="22"/>
        </w:rPr>
        <w:t xml:space="preserve">used to define </w:t>
      </w:r>
      <w:r w:rsidR="00E60009">
        <w:rPr>
          <w:rFonts w:cs="Arial"/>
          <w:sz w:val="22"/>
          <w:szCs w:val="22"/>
        </w:rPr>
        <w:t>workers’ work ability</w:t>
      </w:r>
      <w:r w:rsidR="007024EB">
        <w:rPr>
          <w:rFonts w:cs="Arial"/>
          <w:sz w:val="22"/>
          <w:szCs w:val="22"/>
        </w:rPr>
        <w:t xml:space="preserve">. </w:t>
      </w:r>
    </w:p>
    <w:p w:rsidR="009A1768" w:rsidRPr="00770675" w:rsidRDefault="009A1768" w:rsidP="00E7743D">
      <w:pPr>
        <w:rPr>
          <w:rFonts w:cs="Arial"/>
          <w:i/>
          <w:sz w:val="22"/>
          <w:szCs w:val="22"/>
        </w:rPr>
      </w:pPr>
      <w:r w:rsidRPr="007907A9">
        <w:rPr>
          <w:rFonts w:cs="Arial"/>
          <w:i/>
          <w:sz w:val="22"/>
          <w:szCs w:val="22"/>
        </w:rPr>
        <w:t xml:space="preserve">Key principles of good work design </w:t>
      </w:r>
    </w:p>
    <w:p w:rsidR="00471C7B" w:rsidRPr="007907A9" w:rsidRDefault="00E60009" w:rsidP="00CC02B2">
      <w:pPr>
        <w:spacing w:before="0"/>
        <w:rPr>
          <w:rFonts w:cs="Arial"/>
          <w:sz w:val="22"/>
          <w:szCs w:val="22"/>
        </w:rPr>
      </w:pPr>
      <w:r>
        <w:rPr>
          <w:rFonts w:cs="Arial"/>
          <w:sz w:val="22"/>
          <w:szCs w:val="22"/>
        </w:rPr>
        <w:t>As part of</w:t>
      </w:r>
      <w:r w:rsidR="00CC02B2">
        <w:rPr>
          <w:rFonts w:cs="Arial"/>
          <w:sz w:val="22"/>
          <w:szCs w:val="22"/>
        </w:rPr>
        <w:t xml:space="preserve"> the </w:t>
      </w:r>
      <w:hyperlink r:id="rId13" w:history="1">
        <w:r w:rsidR="00CC02B2" w:rsidRPr="00CC02B2">
          <w:rPr>
            <w:rStyle w:val="Hyperlink"/>
            <w:rFonts w:cs="Arial"/>
            <w:i/>
            <w:sz w:val="22"/>
            <w:szCs w:val="22"/>
          </w:rPr>
          <w:t>Australian WHS Strategy 2012-2022</w:t>
        </w:r>
      </w:hyperlink>
      <w:r w:rsidR="000C46EC" w:rsidRPr="007907A9">
        <w:rPr>
          <w:rFonts w:cs="Arial"/>
          <w:sz w:val="22"/>
          <w:szCs w:val="22"/>
        </w:rPr>
        <w:t xml:space="preserve">, Safe Work Australia has </w:t>
      </w:r>
      <w:r w:rsidR="00CC02B2">
        <w:rPr>
          <w:rFonts w:cs="Arial"/>
          <w:sz w:val="22"/>
          <w:szCs w:val="22"/>
        </w:rPr>
        <w:t xml:space="preserve">developed a </w:t>
      </w:r>
      <w:hyperlink r:id="rId14" w:history="1">
        <w:r w:rsidR="00CC02B2" w:rsidRPr="00CC02B2">
          <w:rPr>
            <w:rStyle w:val="Hyperlink"/>
            <w:rFonts w:cs="Arial"/>
            <w:i/>
            <w:sz w:val="22"/>
            <w:szCs w:val="22"/>
          </w:rPr>
          <w:t>Handbook on the Principles of Good Work Design</w:t>
        </w:r>
      </w:hyperlink>
      <w:r w:rsidR="00CC02B2" w:rsidRPr="00CC02B2">
        <w:rPr>
          <w:rFonts w:cs="Arial"/>
          <w:i/>
          <w:sz w:val="22"/>
          <w:szCs w:val="22"/>
        </w:rPr>
        <w:t>.</w:t>
      </w:r>
      <w:r w:rsidR="00CC02B2">
        <w:rPr>
          <w:rFonts w:cs="Arial"/>
          <w:sz w:val="22"/>
          <w:szCs w:val="22"/>
        </w:rPr>
        <w:t xml:space="preserve"> The principles </w:t>
      </w:r>
      <w:r w:rsidR="00CC02B2" w:rsidRPr="00CC02B2">
        <w:rPr>
          <w:rFonts w:cs="Arial"/>
          <w:sz w:val="22"/>
          <w:szCs w:val="22"/>
        </w:rPr>
        <w:t>can be applied to any workplace, business or industry</w:t>
      </w:r>
      <w:r>
        <w:rPr>
          <w:rFonts w:cs="Arial"/>
          <w:sz w:val="22"/>
          <w:szCs w:val="22"/>
        </w:rPr>
        <w:t>. G</w:t>
      </w:r>
      <w:r w:rsidR="00A62810" w:rsidRPr="007907A9">
        <w:rPr>
          <w:rFonts w:cs="Arial"/>
          <w:sz w:val="22"/>
          <w:szCs w:val="22"/>
        </w:rPr>
        <w:t xml:space="preserve">ood </w:t>
      </w:r>
      <w:r w:rsidR="00C836FB" w:rsidRPr="007907A9">
        <w:rPr>
          <w:rFonts w:cs="Arial"/>
          <w:sz w:val="22"/>
          <w:szCs w:val="22"/>
        </w:rPr>
        <w:t xml:space="preserve">work </w:t>
      </w:r>
      <w:r w:rsidR="00A62810" w:rsidRPr="007907A9">
        <w:rPr>
          <w:rFonts w:cs="Arial"/>
          <w:sz w:val="22"/>
          <w:szCs w:val="22"/>
        </w:rPr>
        <w:t xml:space="preserve">design can eliminate </w:t>
      </w:r>
      <w:r w:rsidR="00021273">
        <w:rPr>
          <w:rFonts w:cs="Arial"/>
          <w:sz w:val="22"/>
          <w:szCs w:val="22"/>
        </w:rPr>
        <w:t xml:space="preserve">or minimise </w:t>
      </w:r>
      <w:r w:rsidR="0075766E" w:rsidRPr="007907A9">
        <w:rPr>
          <w:rFonts w:cs="Arial"/>
          <w:sz w:val="22"/>
          <w:szCs w:val="22"/>
        </w:rPr>
        <w:t>hazards and risks</w:t>
      </w:r>
      <w:r w:rsidR="00021273">
        <w:rPr>
          <w:rFonts w:cs="Arial"/>
          <w:sz w:val="22"/>
          <w:szCs w:val="22"/>
        </w:rPr>
        <w:t xml:space="preserve"> for all workers, regardless of age</w:t>
      </w:r>
      <w:r w:rsidR="00A62810" w:rsidRPr="007907A9">
        <w:rPr>
          <w:rFonts w:cs="Arial"/>
          <w:sz w:val="22"/>
          <w:szCs w:val="22"/>
        </w:rPr>
        <w:t>.</w:t>
      </w:r>
      <w:r w:rsidR="0075766E">
        <w:rPr>
          <w:rFonts w:cs="Arial"/>
          <w:sz w:val="22"/>
          <w:szCs w:val="22"/>
        </w:rPr>
        <w:t xml:space="preserve"> </w:t>
      </w:r>
    </w:p>
    <w:p w:rsidR="00F608CF" w:rsidRDefault="007D4EA4" w:rsidP="007907A9">
      <w:pPr>
        <w:spacing w:before="0"/>
        <w:rPr>
          <w:rFonts w:cs="Arial"/>
          <w:sz w:val="22"/>
          <w:szCs w:val="22"/>
        </w:rPr>
      </w:pPr>
      <w:r w:rsidRPr="007907A9">
        <w:rPr>
          <w:rFonts w:cs="Arial"/>
          <w:sz w:val="22"/>
          <w:szCs w:val="22"/>
        </w:rPr>
        <w:t xml:space="preserve">The principles of good design encourage </w:t>
      </w:r>
      <w:r w:rsidR="00E60009">
        <w:rPr>
          <w:rFonts w:cs="Arial"/>
          <w:sz w:val="22"/>
          <w:szCs w:val="22"/>
        </w:rPr>
        <w:t>PCBUs</w:t>
      </w:r>
      <w:r w:rsidRPr="007907A9">
        <w:rPr>
          <w:rFonts w:cs="Arial"/>
          <w:sz w:val="22"/>
          <w:szCs w:val="22"/>
        </w:rPr>
        <w:t xml:space="preserve"> to ensu</w:t>
      </w:r>
      <w:r w:rsidR="001C6C59" w:rsidRPr="007907A9">
        <w:rPr>
          <w:rFonts w:cs="Arial"/>
          <w:sz w:val="22"/>
          <w:szCs w:val="22"/>
        </w:rPr>
        <w:t>re that their physical workplace</w:t>
      </w:r>
      <w:r w:rsidR="00786194">
        <w:rPr>
          <w:rFonts w:cs="Arial"/>
          <w:sz w:val="22"/>
          <w:szCs w:val="22"/>
        </w:rPr>
        <w:t>, work systems</w:t>
      </w:r>
      <w:r w:rsidR="001C6C59" w:rsidRPr="007907A9">
        <w:rPr>
          <w:rFonts w:cs="Arial"/>
          <w:sz w:val="22"/>
          <w:szCs w:val="22"/>
        </w:rPr>
        <w:t xml:space="preserve"> and </w:t>
      </w:r>
      <w:r w:rsidR="00786194">
        <w:rPr>
          <w:rFonts w:cs="Arial"/>
          <w:sz w:val="22"/>
          <w:szCs w:val="22"/>
        </w:rPr>
        <w:t>the work itself</w:t>
      </w:r>
      <w:r w:rsidR="001E65D0">
        <w:rPr>
          <w:rFonts w:cs="Arial"/>
          <w:sz w:val="22"/>
          <w:szCs w:val="22"/>
        </w:rPr>
        <w:t xml:space="preserve"> are</w:t>
      </w:r>
      <w:r w:rsidR="001C6C59" w:rsidRPr="007907A9">
        <w:rPr>
          <w:rFonts w:cs="Arial"/>
          <w:sz w:val="22"/>
          <w:szCs w:val="22"/>
        </w:rPr>
        <w:t xml:space="preserve"> designed to accommodate the capacities of all workers</w:t>
      </w:r>
      <w:r w:rsidR="005463B1">
        <w:rPr>
          <w:rFonts w:cs="Arial"/>
          <w:sz w:val="22"/>
          <w:szCs w:val="22"/>
        </w:rPr>
        <w:t>. G</w:t>
      </w:r>
      <w:r w:rsidR="001C6C59" w:rsidRPr="007907A9">
        <w:rPr>
          <w:rFonts w:cs="Arial"/>
          <w:sz w:val="22"/>
          <w:szCs w:val="22"/>
        </w:rPr>
        <w:t xml:space="preserve">ood work design does not simply increase the workability of older </w:t>
      </w:r>
      <w:r w:rsidR="00954D37" w:rsidRPr="007907A9">
        <w:rPr>
          <w:rFonts w:cs="Arial"/>
          <w:sz w:val="22"/>
          <w:szCs w:val="22"/>
        </w:rPr>
        <w:t>workers;</w:t>
      </w:r>
      <w:r w:rsidR="001C6C59" w:rsidRPr="007907A9">
        <w:rPr>
          <w:rFonts w:cs="Arial"/>
          <w:sz w:val="22"/>
          <w:szCs w:val="22"/>
        </w:rPr>
        <w:t xml:space="preserve"> it makes </w:t>
      </w:r>
      <w:r w:rsidR="00105A8E">
        <w:rPr>
          <w:rFonts w:cs="Arial"/>
          <w:sz w:val="22"/>
          <w:szCs w:val="22"/>
        </w:rPr>
        <w:t>workplaces</w:t>
      </w:r>
      <w:r w:rsidR="001C6C59" w:rsidRPr="007907A9">
        <w:rPr>
          <w:rFonts w:cs="Arial"/>
          <w:sz w:val="22"/>
          <w:szCs w:val="22"/>
        </w:rPr>
        <w:t xml:space="preserve"> safer and healthier for all workers. </w:t>
      </w:r>
    </w:p>
    <w:p w:rsidR="001E65D0" w:rsidRPr="00105A8E" w:rsidRDefault="001E65D0" w:rsidP="007907A9">
      <w:pPr>
        <w:spacing w:before="0"/>
        <w:rPr>
          <w:rFonts w:cs="Arial"/>
          <w:i/>
          <w:sz w:val="22"/>
          <w:szCs w:val="22"/>
        </w:rPr>
      </w:pPr>
      <w:r w:rsidRPr="00105A8E">
        <w:rPr>
          <w:rFonts w:cs="Arial"/>
          <w:i/>
          <w:sz w:val="22"/>
          <w:szCs w:val="22"/>
        </w:rPr>
        <w:t xml:space="preserve">Case study:  </w:t>
      </w:r>
      <w:hyperlink r:id="rId15" w:history="1">
        <w:r w:rsidRPr="00105A8E">
          <w:rPr>
            <w:rStyle w:val="Hyperlink"/>
            <w:rFonts w:cs="Arial"/>
            <w:i/>
            <w:sz w:val="22"/>
            <w:szCs w:val="22"/>
          </w:rPr>
          <w:t>Catholic Homes, Melbourne</w:t>
        </w:r>
      </w:hyperlink>
      <w:r w:rsidRPr="00105A8E">
        <w:rPr>
          <w:rFonts w:cs="Arial"/>
          <w:i/>
          <w:sz w:val="22"/>
          <w:szCs w:val="22"/>
        </w:rPr>
        <w:t>.</w:t>
      </w:r>
    </w:p>
    <w:p w:rsidR="001E65D0" w:rsidRPr="00105A8E" w:rsidRDefault="001E65D0" w:rsidP="007907A9">
      <w:pPr>
        <w:spacing w:before="0"/>
        <w:rPr>
          <w:rFonts w:cs="Arial"/>
          <w:i/>
          <w:sz w:val="22"/>
          <w:szCs w:val="22"/>
        </w:rPr>
      </w:pPr>
      <w:r w:rsidRPr="00105A8E">
        <w:rPr>
          <w:rFonts w:cs="Arial"/>
          <w:i/>
          <w:sz w:val="22"/>
          <w:szCs w:val="22"/>
        </w:rPr>
        <w:t xml:space="preserve">Catholic Homes is one of a series of case studies published on Safe Work Australia’s web site in early 2015 </w:t>
      </w:r>
      <w:r w:rsidR="00DF1BBE">
        <w:rPr>
          <w:rFonts w:cs="Arial"/>
          <w:i/>
          <w:sz w:val="22"/>
          <w:szCs w:val="22"/>
        </w:rPr>
        <w:t>which</w:t>
      </w:r>
      <w:r w:rsidRPr="00105A8E">
        <w:rPr>
          <w:rFonts w:cs="Arial"/>
          <w:i/>
          <w:sz w:val="22"/>
          <w:szCs w:val="22"/>
        </w:rPr>
        <w:t xml:space="preserve"> illustrate exemplary organisational systems and practices for early intervention and return to work. A key theme apparent across all case studies is that good work health and safety and good return to work practices are intrinsically linked. The organisations interviewed </w:t>
      </w:r>
      <w:r w:rsidR="00DF1BBE">
        <w:rPr>
          <w:rFonts w:cs="Arial"/>
          <w:i/>
          <w:sz w:val="22"/>
          <w:szCs w:val="22"/>
        </w:rPr>
        <w:t>were of the view</w:t>
      </w:r>
      <w:r w:rsidRPr="00105A8E">
        <w:rPr>
          <w:rFonts w:cs="Arial"/>
          <w:i/>
          <w:sz w:val="22"/>
          <w:szCs w:val="22"/>
        </w:rPr>
        <w:t xml:space="preserve"> that well run businesses treat prevention, early intervention and return to work as a continuum.  An important aspect of the Catholic Homes case stu</w:t>
      </w:r>
      <w:r w:rsidR="004F22E4">
        <w:rPr>
          <w:rFonts w:cs="Arial"/>
          <w:i/>
          <w:sz w:val="22"/>
          <w:szCs w:val="22"/>
        </w:rPr>
        <w:t>dy is the focus on retaining an</w:t>
      </w:r>
      <w:r w:rsidRPr="00105A8E">
        <w:rPr>
          <w:rFonts w:cs="Arial"/>
          <w:i/>
          <w:sz w:val="22"/>
          <w:szCs w:val="22"/>
        </w:rPr>
        <w:t xml:space="preserve"> ageing workforce.</w:t>
      </w:r>
    </w:p>
    <w:p w:rsidR="001E65D0" w:rsidRPr="001E65D0" w:rsidRDefault="001E65D0" w:rsidP="001E65D0">
      <w:pPr>
        <w:spacing w:before="100" w:beforeAutospacing="1" w:after="360"/>
        <w:rPr>
          <w:rFonts w:cs="Arial"/>
          <w:i/>
          <w:sz w:val="22"/>
          <w:szCs w:val="22"/>
        </w:rPr>
      </w:pPr>
      <w:r w:rsidRPr="00105A8E">
        <w:rPr>
          <w:rFonts w:cs="Arial"/>
          <w:i/>
          <w:sz w:val="22"/>
          <w:szCs w:val="22"/>
        </w:rPr>
        <w:t>“</w:t>
      </w:r>
      <w:r w:rsidRPr="001E65D0">
        <w:rPr>
          <w:rFonts w:cs="Arial"/>
          <w:i/>
          <w:sz w:val="22"/>
          <w:szCs w:val="22"/>
        </w:rPr>
        <w:t xml:space="preserve">The Workability Project within Catholic Homes is an initiative to retain older workers in a working environment that can pose risks due to the unpredictable nature of working with patients. The </w:t>
      </w:r>
      <w:r w:rsidRPr="001E65D0">
        <w:rPr>
          <w:rFonts w:cs="Arial"/>
          <w:i/>
          <w:sz w:val="22"/>
          <w:szCs w:val="22"/>
        </w:rPr>
        <w:lastRenderedPageBreak/>
        <w:t>average age of the workforce in Catholic Homes is between 40 and 50 years and staff retention is high. One of the areas of focus has been ‘flexibility’ in shift work. The rationale is that flexibility in the length of shifts as well as the amount of physical work undertaken during the shift, or a combination of both, may reduce the possibility of injury for older worker</w:t>
      </w:r>
      <w:r w:rsidR="00DF1BBE">
        <w:rPr>
          <w:rFonts w:cs="Arial"/>
          <w:i/>
          <w:sz w:val="22"/>
          <w:szCs w:val="22"/>
        </w:rPr>
        <w:t xml:space="preserve">s. Catholic Homes reports that </w:t>
      </w:r>
      <w:r w:rsidRPr="001E65D0">
        <w:rPr>
          <w:rFonts w:cs="Arial"/>
          <w:i/>
          <w:sz w:val="22"/>
          <w:szCs w:val="22"/>
        </w:rPr>
        <w:t>being flexible around shifts and tasks are key components of successful return to work outcomes</w:t>
      </w:r>
      <w:r w:rsidR="00DF1BBE">
        <w:rPr>
          <w:rFonts w:cs="Arial"/>
          <w:i/>
          <w:sz w:val="22"/>
          <w:szCs w:val="22"/>
        </w:rPr>
        <w:t>.</w:t>
      </w:r>
    </w:p>
    <w:p w:rsidR="001E65D0" w:rsidRPr="001E65D0" w:rsidRDefault="00105A8E" w:rsidP="001E65D0">
      <w:pPr>
        <w:spacing w:before="100" w:beforeAutospacing="1" w:after="360"/>
        <w:rPr>
          <w:rFonts w:cs="Arial"/>
          <w:i/>
          <w:sz w:val="22"/>
          <w:szCs w:val="22"/>
        </w:rPr>
      </w:pPr>
      <w:r>
        <w:rPr>
          <w:rFonts w:cs="Arial"/>
          <w:i/>
          <w:sz w:val="22"/>
          <w:szCs w:val="22"/>
        </w:rPr>
        <w:t>‘</w:t>
      </w:r>
      <w:r w:rsidR="001E65D0" w:rsidRPr="001E65D0">
        <w:rPr>
          <w:rFonts w:cs="Arial"/>
          <w:i/>
          <w:sz w:val="22"/>
          <w:szCs w:val="22"/>
        </w:rPr>
        <w:t xml:space="preserve">We </w:t>
      </w:r>
      <w:r>
        <w:rPr>
          <w:rFonts w:cs="Arial"/>
          <w:i/>
          <w:sz w:val="22"/>
          <w:szCs w:val="22"/>
        </w:rPr>
        <w:t>need to change the way we think’</w:t>
      </w:r>
    </w:p>
    <w:p w:rsidR="001E65D0" w:rsidRPr="001E65D0" w:rsidRDefault="001E65D0" w:rsidP="001E65D0">
      <w:pPr>
        <w:spacing w:before="100" w:beforeAutospacing="1" w:after="360"/>
        <w:rPr>
          <w:rFonts w:cs="Arial"/>
          <w:color w:val="464646"/>
          <w:sz w:val="19"/>
          <w:szCs w:val="19"/>
        </w:rPr>
      </w:pPr>
      <w:r w:rsidRPr="001E65D0">
        <w:rPr>
          <w:rFonts w:cs="Arial"/>
          <w:i/>
          <w:sz w:val="22"/>
          <w:szCs w:val="22"/>
        </w:rPr>
        <w:t xml:space="preserve">In another initiative, Catholic Homes looked at combining a variety of suitable roles in sites across the business including retirement care, lifestyle management and community care. The various branches of the business contain a variety of roles that allow for a combination of administrative work and manual handling tasks to vary the working day. It also looked at varying shift times. Shifts in a hospital environment normally require the worker to be on the floor for a 7.6 hour shift. The Workforce Project explored the viability of a 4 or 6 hour shifts. Increasing the flexibility of how work tasks and hours are organised has resulted in a reduction </w:t>
      </w:r>
      <w:r w:rsidR="00DF1BBE">
        <w:rPr>
          <w:rFonts w:cs="Arial"/>
          <w:i/>
          <w:sz w:val="22"/>
          <w:szCs w:val="22"/>
        </w:rPr>
        <w:t>in</w:t>
      </w:r>
      <w:r w:rsidRPr="001E65D0">
        <w:rPr>
          <w:rFonts w:cs="Arial"/>
          <w:i/>
          <w:sz w:val="22"/>
          <w:szCs w:val="22"/>
        </w:rPr>
        <w:t xml:space="preserve"> incident reporting, as workers are not exposed to excessive manual handling. This has also allowed older staff to remain engaged in the workforce for much longer.</w:t>
      </w:r>
      <w:r w:rsidRPr="00105A8E">
        <w:rPr>
          <w:rFonts w:cs="Arial"/>
          <w:i/>
          <w:sz w:val="22"/>
          <w:szCs w:val="22"/>
        </w:rPr>
        <w:t>”</w:t>
      </w:r>
    </w:p>
    <w:p w:rsidR="00283169" w:rsidRPr="007907A9" w:rsidRDefault="00283169" w:rsidP="00283169">
      <w:pPr>
        <w:spacing w:before="120" w:after="120"/>
        <w:rPr>
          <w:rFonts w:cs="Arial"/>
          <w:b/>
          <w:sz w:val="22"/>
          <w:szCs w:val="22"/>
          <w:u w:val="single"/>
        </w:rPr>
      </w:pPr>
      <w:r w:rsidRPr="007907A9">
        <w:rPr>
          <w:rFonts w:cs="Arial"/>
          <w:b/>
          <w:sz w:val="22"/>
          <w:szCs w:val="22"/>
          <w:u w:val="single"/>
        </w:rPr>
        <w:t>Injury experience of older workers</w:t>
      </w:r>
    </w:p>
    <w:p w:rsidR="00283169" w:rsidRDefault="00283169" w:rsidP="00283169">
      <w:pPr>
        <w:spacing w:before="120" w:after="120"/>
        <w:rPr>
          <w:rFonts w:cs="Arial"/>
          <w:sz w:val="22"/>
          <w:szCs w:val="22"/>
        </w:rPr>
      </w:pPr>
      <w:r w:rsidRPr="00790A80">
        <w:rPr>
          <w:rFonts w:cs="Arial"/>
          <w:sz w:val="22"/>
          <w:szCs w:val="22"/>
        </w:rPr>
        <w:t>The following draws information from three data sources</w:t>
      </w:r>
      <w:r>
        <w:rPr>
          <w:rFonts w:cs="Arial"/>
          <w:sz w:val="22"/>
          <w:szCs w:val="22"/>
        </w:rPr>
        <w:t>:</w:t>
      </w:r>
    </w:p>
    <w:p w:rsidR="00283169" w:rsidRPr="00790A80" w:rsidRDefault="00DF1BBE" w:rsidP="00283169">
      <w:pPr>
        <w:pStyle w:val="ListParagraph"/>
        <w:numPr>
          <w:ilvl w:val="0"/>
          <w:numId w:val="53"/>
        </w:numPr>
        <w:spacing w:before="120" w:after="120"/>
        <w:rPr>
          <w:rFonts w:cs="Arial"/>
          <w:sz w:val="22"/>
          <w:szCs w:val="22"/>
        </w:rPr>
      </w:pPr>
      <w:r>
        <w:rPr>
          <w:rFonts w:cs="Arial"/>
          <w:sz w:val="22"/>
          <w:szCs w:val="22"/>
        </w:rPr>
        <w:t>ABS</w:t>
      </w:r>
      <w:r w:rsidR="00283169">
        <w:rPr>
          <w:rFonts w:cs="Arial"/>
          <w:sz w:val="22"/>
          <w:szCs w:val="22"/>
        </w:rPr>
        <w:t xml:space="preserve"> survey of </w:t>
      </w:r>
      <w:r w:rsidR="00283169">
        <w:rPr>
          <w:rFonts w:cs="Arial"/>
          <w:i/>
          <w:sz w:val="22"/>
          <w:szCs w:val="22"/>
        </w:rPr>
        <w:t>Work-related injuries survey, 6324.0</w:t>
      </w:r>
    </w:p>
    <w:p w:rsidR="00283169" w:rsidRDefault="00283169" w:rsidP="00283169">
      <w:pPr>
        <w:pStyle w:val="ListParagraph"/>
        <w:numPr>
          <w:ilvl w:val="0"/>
          <w:numId w:val="53"/>
        </w:numPr>
        <w:spacing w:before="120" w:after="120"/>
        <w:rPr>
          <w:rFonts w:cs="Arial"/>
          <w:sz w:val="22"/>
          <w:szCs w:val="22"/>
        </w:rPr>
      </w:pPr>
      <w:r w:rsidRPr="00790A80">
        <w:rPr>
          <w:rFonts w:cs="Arial"/>
          <w:sz w:val="22"/>
          <w:szCs w:val="22"/>
        </w:rPr>
        <w:t>The National Data Set for Compensation Based Statistics</w:t>
      </w:r>
      <w:r>
        <w:rPr>
          <w:rFonts w:cs="Arial"/>
          <w:sz w:val="22"/>
          <w:szCs w:val="22"/>
        </w:rPr>
        <w:t xml:space="preserve"> (NDS), and</w:t>
      </w:r>
    </w:p>
    <w:p w:rsidR="00283169" w:rsidRDefault="00283169" w:rsidP="00283169">
      <w:pPr>
        <w:pStyle w:val="ListParagraph"/>
        <w:numPr>
          <w:ilvl w:val="0"/>
          <w:numId w:val="53"/>
        </w:numPr>
        <w:spacing w:before="120" w:after="120"/>
        <w:rPr>
          <w:rFonts w:cs="Arial"/>
          <w:sz w:val="22"/>
          <w:szCs w:val="22"/>
        </w:rPr>
      </w:pPr>
      <w:r>
        <w:rPr>
          <w:rFonts w:cs="Arial"/>
          <w:sz w:val="22"/>
          <w:szCs w:val="22"/>
        </w:rPr>
        <w:t>The Traumatic Injury Fatalities (TIF).</w:t>
      </w:r>
    </w:p>
    <w:p w:rsidR="00283169" w:rsidRPr="00E972A6" w:rsidRDefault="00283169" w:rsidP="00283169">
      <w:pPr>
        <w:spacing w:before="120" w:after="120"/>
        <w:rPr>
          <w:rFonts w:cs="Arial"/>
          <w:i/>
          <w:sz w:val="22"/>
          <w:szCs w:val="22"/>
        </w:rPr>
      </w:pPr>
      <w:r w:rsidRPr="00E972A6">
        <w:rPr>
          <w:rFonts w:cs="Arial"/>
          <w:i/>
          <w:sz w:val="22"/>
          <w:szCs w:val="22"/>
        </w:rPr>
        <w:t>ABS Work-related injuries survey</w:t>
      </w:r>
    </w:p>
    <w:p w:rsidR="00283169" w:rsidRDefault="00283169" w:rsidP="00283169">
      <w:pPr>
        <w:spacing w:before="120" w:after="120"/>
        <w:rPr>
          <w:rFonts w:cs="Arial"/>
          <w:sz w:val="22"/>
          <w:szCs w:val="22"/>
        </w:rPr>
      </w:pPr>
      <w:r>
        <w:rPr>
          <w:rFonts w:cs="Arial"/>
          <w:sz w:val="22"/>
          <w:szCs w:val="22"/>
        </w:rPr>
        <w:t xml:space="preserve">The ABS Work-related injury survey is conducted every four years. It provides information about persons aged 15 years and over who worked at some time in the last 12 months and reported experiencing a work-related injury and illness in that period.  The survey was </w:t>
      </w:r>
      <w:r w:rsidR="00DF1BBE">
        <w:rPr>
          <w:rFonts w:cs="Arial"/>
          <w:sz w:val="22"/>
          <w:szCs w:val="22"/>
        </w:rPr>
        <w:t>conducted</w:t>
      </w:r>
      <w:r>
        <w:rPr>
          <w:rFonts w:cs="Arial"/>
          <w:sz w:val="22"/>
          <w:szCs w:val="22"/>
        </w:rPr>
        <w:t xml:space="preserve"> in 2005-06, 2009-10 and 2013-14.  The most recent survey, </w:t>
      </w:r>
      <w:hyperlink r:id="rId16" w:history="1">
        <w:r w:rsidRPr="00592BE6">
          <w:rPr>
            <w:rStyle w:val="Hyperlink"/>
            <w:rFonts w:cs="Arial"/>
            <w:i/>
            <w:sz w:val="22"/>
            <w:szCs w:val="22"/>
          </w:rPr>
          <w:t>Work-related injuries in Australia</w:t>
        </w:r>
      </w:hyperlink>
      <w:r>
        <w:rPr>
          <w:rFonts w:cs="Arial"/>
          <w:i/>
          <w:sz w:val="22"/>
          <w:szCs w:val="22"/>
        </w:rPr>
        <w:t xml:space="preserve">, </w:t>
      </w:r>
      <w:r>
        <w:rPr>
          <w:rFonts w:cs="Arial"/>
          <w:sz w:val="22"/>
          <w:szCs w:val="22"/>
        </w:rPr>
        <w:t>November 2014 found that the oldest age group (65 and over) reported the lowest incidence rate of work-related injuries or illness (24.8 per 1000 workers) of all age groups. Those in the 60-64 age group had the second lowest rate of injuries (36.4). Those in the 55-59 age group had the fourth highest incidence rate (46.2) exceeded by those aged 40-44 (47.5), 15-19 (50.4) and 50-54 (51.9). All age groups except the youngest experienced a decreased rate of work-related injury or illness compared with 2009-10.</w:t>
      </w:r>
    </w:p>
    <w:p w:rsidR="00283169" w:rsidRPr="00E972A6" w:rsidRDefault="00283169" w:rsidP="00283169">
      <w:pPr>
        <w:spacing w:before="120" w:after="120"/>
        <w:rPr>
          <w:rFonts w:cs="Arial"/>
          <w:i/>
          <w:sz w:val="22"/>
          <w:szCs w:val="22"/>
        </w:rPr>
      </w:pPr>
      <w:r w:rsidRPr="00E972A6">
        <w:rPr>
          <w:rFonts w:cs="Arial"/>
          <w:i/>
          <w:sz w:val="22"/>
          <w:szCs w:val="22"/>
        </w:rPr>
        <w:t>Accepted compensation claims</w:t>
      </w:r>
    </w:p>
    <w:p w:rsidR="00283169" w:rsidRDefault="00283169" w:rsidP="00283169">
      <w:pPr>
        <w:spacing w:before="120" w:after="120"/>
        <w:rPr>
          <w:rFonts w:cs="Arial"/>
          <w:sz w:val="22"/>
          <w:szCs w:val="22"/>
        </w:rPr>
      </w:pPr>
      <w:r>
        <w:rPr>
          <w:rFonts w:cs="Arial"/>
          <w:sz w:val="22"/>
          <w:szCs w:val="22"/>
        </w:rPr>
        <w:t xml:space="preserve">The NDS is maintained by Safe Work Australia and collects information on all workers’ compensation claims </w:t>
      </w:r>
      <w:r w:rsidR="00DF1BBE">
        <w:rPr>
          <w:rFonts w:cs="Arial"/>
          <w:sz w:val="22"/>
          <w:szCs w:val="22"/>
        </w:rPr>
        <w:t xml:space="preserve">under </w:t>
      </w:r>
      <w:r>
        <w:rPr>
          <w:rFonts w:cs="Arial"/>
          <w:sz w:val="22"/>
          <w:szCs w:val="22"/>
        </w:rPr>
        <w:t xml:space="preserve">the Commonwealth and all state and territory workers’ compensation schemes. </w:t>
      </w:r>
      <w:r w:rsidR="00DF1BBE">
        <w:rPr>
          <w:rFonts w:cs="Arial"/>
          <w:sz w:val="22"/>
          <w:szCs w:val="22"/>
        </w:rPr>
        <w:t>To</w:t>
      </w:r>
      <w:r>
        <w:rPr>
          <w:rFonts w:cs="Arial"/>
          <w:sz w:val="22"/>
          <w:szCs w:val="22"/>
        </w:rPr>
        <w:t xml:space="preserve"> standardise claims data from different schemes Safe Work Australia reports on accepted ‘serious claims’ involving one working week or more off work.</w:t>
      </w:r>
    </w:p>
    <w:p w:rsidR="00283169" w:rsidRDefault="00283169" w:rsidP="00283169">
      <w:pPr>
        <w:spacing w:before="120" w:after="120"/>
        <w:rPr>
          <w:rFonts w:cs="Arial"/>
          <w:sz w:val="22"/>
          <w:szCs w:val="22"/>
        </w:rPr>
      </w:pPr>
      <w:r>
        <w:rPr>
          <w:rFonts w:cs="Arial"/>
          <w:sz w:val="22"/>
          <w:szCs w:val="22"/>
        </w:rPr>
        <w:t>Frequency rates (claims per 1 million hours worked) are used as a better measure</w:t>
      </w:r>
      <w:r w:rsidR="00DF1BBE">
        <w:rPr>
          <w:rFonts w:cs="Arial"/>
          <w:sz w:val="22"/>
          <w:szCs w:val="22"/>
        </w:rPr>
        <w:t xml:space="preserve"> than incidence rates (claims per 1000 employees) </w:t>
      </w:r>
      <w:r>
        <w:rPr>
          <w:rFonts w:cs="Arial"/>
          <w:sz w:val="22"/>
          <w:szCs w:val="22"/>
        </w:rPr>
        <w:t xml:space="preserve">of the likelihood of injury as they take into account the different pattern of work including part-time work. </w:t>
      </w:r>
    </w:p>
    <w:p w:rsidR="00283169" w:rsidRDefault="00283169" w:rsidP="00283169">
      <w:pPr>
        <w:spacing w:before="120" w:after="120"/>
        <w:rPr>
          <w:rFonts w:cs="Arial"/>
          <w:sz w:val="22"/>
          <w:szCs w:val="22"/>
        </w:rPr>
      </w:pPr>
      <w:r>
        <w:rPr>
          <w:rFonts w:cs="Arial"/>
          <w:sz w:val="22"/>
          <w:szCs w:val="22"/>
        </w:rPr>
        <w:t xml:space="preserve">Table 1 shows a breakdown of the frequency rate of claims by age. The table is further broken down by injuries (that is, acute injuries) and diseases and conditions which tend to be longer latency conditions. The frequency rate generally increases with age from a low of 4.9 (serious claims per million hours worked) for those in the 25-29 year age group to 8.7 in the 60-64 year age group. Those aged 65 and over have the third lowest rate (6.1). This may be due to a healthy worker effect whereby only </w:t>
      </w:r>
      <w:r w:rsidR="001E65D0">
        <w:rPr>
          <w:rFonts w:cs="Arial"/>
          <w:sz w:val="22"/>
          <w:szCs w:val="22"/>
        </w:rPr>
        <w:t>fitter</w:t>
      </w:r>
      <w:r>
        <w:rPr>
          <w:rFonts w:cs="Arial"/>
          <w:sz w:val="22"/>
          <w:szCs w:val="22"/>
        </w:rPr>
        <w:t xml:space="preserve"> and healthi</w:t>
      </w:r>
      <w:r w:rsidR="001E65D0">
        <w:rPr>
          <w:rFonts w:cs="Arial"/>
          <w:sz w:val="22"/>
          <w:szCs w:val="22"/>
        </w:rPr>
        <w:t>er</w:t>
      </w:r>
      <w:r>
        <w:rPr>
          <w:rFonts w:cs="Arial"/>
          <w:sz w:val="22"/>
          <w:szCs w:val="22"/>
        </w:rPr>
        <w:t xml:space="preserve"> workers choose to work after the age of 65.</w:t>
      </w:r>
    </w:p>
    <w:p w:rsidR="00786194" w:rsidRDefault="00786194" w:rsidP="00283169">
      <w:pPr>
        <w:spacing w:before="120" w:after="120"/>
        <w:rPr>
          <w:rFonts w:cs="Arial"/>
          <w:sz w:val="22"/>
          <w:szCs w:val="22"/>
        </w:rPr>
      </w:pPr>
      <w:r>
        <w:rPr>
          <w:rFonts w:cs="Arial"/>
          <w:sz w:val="22"/>
          <w:szCs w:val="22"/>
        </w:rPr>
        <w:lastRenderedPageBreak/>
        <w:t xml:space="preserve">Not surprisingly, older workers have a higher frequency rate of claims related to long-latency diseases and disorders. When acute injuries are examined, the </w:t>
      </w:r>
      <w:r w:rsidR="00E01A23">
        <w:rPr>
          <w:rFonts w:cs="Arial"/>
          <w:sz w:val="22"/>
          <w:szCs w:val="22"/>
        </w:rPr>
        <w:t>difference in rates between ages is</w:t>
      </w:r>
      <w:r>
        <w:rPr>
          <w:rFonts w:cs="Arial"/>
          <w:sz w:val="22"/>
          <w:szCs w:val="22"/>
        </w:rPr>
        <w:t xml:space="preserve"> less </w:t>
      </w:r>
      <w:r w:rsidR="00E01A23">
        <w:rPr>
          <w:rFonts w:cs="Arial"/>
          <w:sz w:val="22"/>
          <w:szCs w:val="22"/>
        </w:rPr>
        <w:t>pronounced</w:t>
      </w:r>
      <w:r>
        <w:rPr>
          <w:rFonts w:cs="Arial"/>
          <w:sz w:val="22"/>
          <w:szCs w:val="22"/>
        </w:rPr>
        <w:t>.</w:t>
      </w:r>
      <w:r w:rsidR="00E01A23">
        <w:rPr>
          <w:rFonts w:cs="Arial"/>
          <w:sz w:val="22"/>
          <w:szCs w:val="22"/>
        </w:rPr>
        <w:t xml:space="preserve"> The highest frequency rates of injuries were recorded by those aged 60-64 and those aged less than 20. </w:t>
      </w:r>
    </w:p>
    <w:p w:rsidR="00E01A23" w:rsidRDefault="00E01A23" w:rsidP="00283169">
      <w:pPr>
        <w:spacing w:before="120" w:after="120"/>
        <w:rPr>
          <w:rFonts w:cs="Arial"/>
          <w:sz w:val="22"/>
          <w:szCs w:val="22"/>
        </w:rPr>
      </w:pPr>
      <w:r>
        <w:rPr>
          <w:rFonts w:cs="Arial"/>
          <w:sz w:val="22"/>
          <w:szCs w:val="22"/>
        </w:rPr>
        <w:t>Safe Work Australia maintains that well designed work that takes account of the differing skills and abilities of workers can reduce the incidence and frequency of injuries and disease for all workers regardless of age.</w:t>
      </w:r>
    </w:p>
    <w:p w:rsidR="00283169" w:rsidRDefault="00283169" w:rsidP="00283169">
      <w:pPr>
        <w:spacing w:before="120" w:after="120"/>
        <w:rPr>
          <w:rFonts w:cs="Arial"/>
          <w:sz w:val="22"/>
          <w:szCs w:val="22"/>
        </w:rPr>
      </w:pPr>
    </w:p>
    <w:p w:rsidR="00283169" w:rsidRDefault="00283169" w:rsidP="00283169">
      <w:pPr>
        <w:rPr>
          <w:rFonts w:cs="Arial"/>
          <w:b/>
          <w:bCs/>
          <w:color w:val="000000"/>
          <w:sz w:val="20"/>
          <w:szCs w:val="20"/>
        </w:rPr>
      </w:pPr>
      <w:r>
        <w:rPr>
          <w:rFonts w:cs="Arial"/>
          <w:b/>
          <w:bCs/>
          <w:color w:val="000000"/>
          <w:sz w:val="20"/>
          <w:szCs w:val="20"/>
        </w:rPr>
        <w:t>Table 1: Frequency rates (serious claims per million hours worked), 2011–12 to 2013–14 combined</w:t>
      </w:r>
    </w:p>
    <w:tbl>
      <w:tblPr>
        <w:tblW w:w="0" w:type="auto"/>
        <w:tblCellMar>
          <w:left w:w="0" w:type="dxa"/>
          <w:right w:w="0" w:type="dxa"/>
        </w:tblCellMar>
        <w:tblLook w:val="04A0" w:firstRow="1" w:lastRow="0" w:firstColumn="1" w:lastColumn="0" w:noHBand="0" w:noVBand="1"/>
      </w:tblPr>
      <w:tblGrid>
        <w:gridCol w:w="1296"/>
        <w:gridCol w:w="2524"/>
        <w:gridCol w:w="2573"/>
        <w:gridCol w:w="1537"/>
      </w:tblGrid>
      <w:tr w:rsidR="00283169" w:rsidTr="00E112FE">
        <w:trPr>
          <w:trHeight w:val="255"/>
        </w:trPr>
        <w:tc>
          <w:tcPr>
            <w:tcW w:w="12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b/>
                <w:bCs/>
                <w:color w:val="000000"/>
                <w:sz w:val="20"/>
                <w:szCs w:val="20"/>
                <w:lang w:eastAsia="en-US"/>
              </w:rPr>
            </w:pPr>
            <w:r>
              <w:rPr>
                <w:rFonts w:cs="Arial"/>
                <w:b/>
                <w:bCs/>
                <w:color w:val="000000"/>
                <w:sz w:val="20"/>
                <w:szCs w:val="20"/>
              </w:rPr>
              <w:t>Age group</w:t>
            </w:r>
          </w:p>
        </w:tc>
        <w:tc>
          <w:tcPr>
            <w:tcW w:w="25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b/>
                <w:bCs/>
                <w:color w:val="000000"/>
                <w:sz w:val="20"/>
                <w:szCs w:val="20"/>
                <w:lang w:eastAsia="en-US"/>
              </w:rPr>
            </w:pPr>
            <w:r>
              <w:rPr>
                <w:rFonts w:cs="Arial"/>
                <w:b/>
                <w:bCs/>
                <w:color w:val="000000"/>
                <w:sz w:val="20"/>
                <w:szCs w:val="20"/>
              </w:rPr>
              <w:t>Injuries</w:t>
            </w:r>
          </w:p>
        </w:tc>
        <w:tc>
          <w:tcPr>
            <w:tcW w:w="25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b/>
                <w:bCs/>
                <w:color w:val="000000"/>
                <w:sz w:val="20"/>
                <w:szCs w:val="20"/>
                <w:lang w:eastAsia="en-US"/>
              </w:rPr>
            </w:pPr>
            <w:r>
              <w:rPr>
                <w:rFonts w:cs="Arial"/>
                <w:b/>
                <w:bCs/>
                <w:color w:val="000000"/>
                <w:sz w:val="20"/>
                <w:szCs w:val="20"/>
              </w:rPr>
              <w:t>Diseases and conditions</w:t>
            </w:r>
          </w:p>
        </w:tc>
        <w:tc>
          <w:tcPr>
            <w:tcW w:w="15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b/>
                <w:bCs/>
                <w:color w:val="000000"/>
                <w:sz w:val="20"/>
                <w:szCs w:val="20"/>
                <w:lang w:eastAsia="en-US"/>
              </w:rPr>
            </w:pPr>
            <w:r>
              <w:rPr>
                <w:rFonts w:cs="Arial"/>
                <w:b/>
                <w:bCs/>
                <w:color w:val="000000"/>
                <w:sz w:val="20"/>
                <w:szCs w:val="20"/>
              </w:rPr>
              <w:t>Total</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&lt;20</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6.0</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0.6</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6.6</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20-24</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4.8</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0.9</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5.7</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25-29</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3.8</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1.1</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4.9</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30-34</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3.9</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1.3</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5.2</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35-39</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4.3</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1.7</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6.0</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40-44</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4.8</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2.0</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6.8</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45-49</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5.2</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2.2</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7.4</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50-54</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5.6</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2.4</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8.0</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55-59</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5.6</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2.4</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8.0</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60-64</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6.3</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2.4</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8.7</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color w:val="000000"/>
                <w:sz w:val="20"/>
                <w:szCs w:val="20"/>
                <w:lang w:eastAsia="en-US"/>
              </w:rPr>
            </w:pPr>
            <w:r>
              <w:rPr>
                <w:rFonts w:cs="Arial"/>
                <w:color w:val="000000"/>
                <w:sz w:val="20"/>
                <w:szCs w:val="20"/>
              </w:rPr>
              <w:t>65+</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4.8</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1.3</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color w:val="000000"/>
                <w:sz w:val="20"/>
                <w:szCs w:val="20"/>
                <w:lang w:eastAsia="en-US"/>
              </w:rPr>
            </w:pPr>
            <w:r>
              <w:rPr>
                <w:rFonts w:cs="Arial"/>
                <w:color w:val="000000"/>
                <w:sz w:val="20"/>
                <w:szCs w:val="20"/>
              </w:rPr>
              <w:t>6.1</w:t>
            </w:r>
          </w:p>
        </w:tc>
      </w:tr>
      <w:tr w:rsidR="00283169" w:rsidTr="00E112FE">
        <w:trPr>
          <w:trHeight w:val="255"/>
        </w:trPr>
        <w:tc>
          <w:tcPr>
            <w:tcW w:w="12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rPr>
                <w:rFonts w:eastAsiaTheme="minorHAnsi" w:cs="Arial"/>
                <w:b/>
                <w:bCs/>
                <w:color w:val="000000"/>
                <w:sz w:val="20"/>
                <w:szCs w:val="20"/>
                <w:lang w:eastAsia="en-US"/>
              </w:rPr>
            </w:pPr>
            <w:r>
              <w:rPr>
                <w:rFonts w:cs="Arial"/>
                <w:b/>
                <w:bCs/>
                <w:color w:val="000000"/>
                <w:sz w:val="20"/>
                <w:szCs w:val="20"/>
              </w:rPr>
              <w:t>Total</w:t>
            </w:r>
          </w:p>
        </w:tc>
        <w:tc>
          <w:tcPr>
            <w:tcW w:w="25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b/>
                <w:bCs/>
                <w:color w:val="000000"/>
                <w:sz w:val="20"/>
                <w:szCs w:val="20"/>
                <w:lang w:eastAsia="en-US"/>
              </w:rPr>
            </w:pPr>
            <w:r>
              <w:rPr>
                <w:rFonts w:cs="Arial"/>
                <w:b/>
                <w:bCs/>
                <w:color w:val="000000"/>
                <w:sz w:val="20"/>
                <w:szCs w:val="20"/>
              </w:rPr>
              <w:t>4.8</w:t>
            </w:r>
          </w:p>
        </w:tc>
        <w:tc>
          <w:tcPr>
            <w:tcW w:w="25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b/>
                <w:bCs/>
                <w:color w:val="000000"/>
                <w:sz w:val="20"/>
                <w:szCs w:val="20"/>
                <w:lang w:eastAsia="en-US"/>
              </w:rPr>
            </w:pPr>
            <w:r>
              <w:rPr>
                <w:rFonts w:cs="Arial"/>
                <w:b/>
                <w:bCs/>
                <w:color w:val="000000"/>
                <w:sz w:val="20"/>
                <w:szCs w:val="20"/>
              </w:rPr>
              <w:t>1.7</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3169" w:rsidRDefault="00283169" w:rsidP="00E112FE">
            <w:pPr>
              <w:jc w:val="center"/>
              <w:rPr>
                <w:rFonts w:eastAsiaTheme="minorHAnsi" w:cs="Arial"/>
                <w:b/>
                <w:bCs/>
                <w:color w:val="000000"/>
                <w:sz w:val="20"/>
                <w:szCs w:val="20"/>
                <w:lang w:eastAsia="en-US"/>
              </w:rPr>
            </w:pPr>
            <w:r>
              <w:rPr>
                <w:rFonts w:cs="Arial"/>
                <w:b/>
                <w:bCs/>
                <w:color w:val="000000"/>
                <w:sz w:val="20"/>
                <w:szCs w:val="20"/>
              </w:rPr>
              <w:t>6.5</w:t>
            </w:r>
          </w:p>
        </w:tc>
      </w:tr>
    </w:tbl>
    <w:p w:rsidR="00283169" w:rsidRPr="00592BE6" w:rsidRDefault="00283169" w:rsidP="00283169">
      <w:pPr>
        <w:spacing w:before="120" w:after="120"/>
        <w:rPr>
          <w:rFonts w:cs="Arial"/>
          <w:sz w:val="22"/>
          <w:szCs w:val="22"/>
        </w:rPr>
      </w:pPr>
    </w:p>
    <w:p w:rsidR="00283169" w:rsidRDefault="00283169" w:rsidP="00283169">
      <w:pPr>
        <w:spacing w:before="0" w:after="0"/>
        <w:rPr>
          <w:rFonts w:cs="Arial"/>
          <w:sz w:val="22"/>
          <w:szCs w:val="22"/>
        </w:rPr>
      </w:pPr>
      <w:r w:rsidRPr="007907A9">
        <w:rPr>
          <w:rFonts w:cs="Arial"/>
          <w:sz w:val="22"/>
          <w:szCs w:val="22"/>
        </w:rPr>
        <w:t>While the frequency rate of serious claims increases with age, it has decreased over time for all age groups including older workers. In the 12 years to 2012-13, the frequency rate of serious claims for workers aged 55 and older decreased from 10.3 (serious claims per million hours worked) in 2000-01 to 8.1 in 2012-13. This represents a decrease of 21 per cent.</w:t>
      </w:r>
    </w:p>
    <w:p w:rsidR="00283169" w:rsidRDefault="00283169" w:rsidP="00283169">
      <w:pPr>
        <w:spacing w:before="0" w:after="0"/>
        <w:rPr>
          <w:rFonts w:cs="Arial"/>
          <w:sz w:val="22"/>
          <w:szCs w:val="22"/>
        </w:rPr>
      </w:pPr>
    </w:p>
    <w:p w:rsidR="00283169" w:rsidRPr="007907A9" w:rsidRDefault="00283169" w:rsidP="00283169">
      <w:pPr>
        <w:spacing w:before="0" w:after="0"/>
        <w:rPr>
          <w:rFonts w:cs="Arial"/>
          <w:sz w:val="22"/>
          <w:szCs w:val="22"/>
        </w:rPr>
      </w:pPr>
      <w:r>
        <w:rPr>
          <w:rFonts w:cs="Arial"/>
          <w:sz w:val="22"/>
          <w:szCs w:val="22"/>
        </w:rPr>
        <w:t xml:space="preserve">An analysis of workers compensation claims by broad age groups can be found in </w:t>
      </w:r>
      <w:hyperlink r:id="rId17" w:history="1">
        <w:r>
          <w:rPr>
            <w:rStyle w:val="Hyperlink"/>
            <w:rFonts w:cs="Arial"/>
            <w:i/>
            <w:sz w:val="22"/>
            <w:szCs w:val="22"/>
          </w:rPr>
          <w:t>Australian </w:t>
        </w:r>
        <w:r w:rsidRPr="003942AE">
          <w:rPr>
            <w:rStyle w:val="Hyperlink"/>
            <w:rFonts w:cs="Arial"/>
            <w:i/>
            <w:sz w:val="22"/>
            <w:szCs w:val="22"/>
          </w:rPr>
          <w:t>Workers’ compensation Statistics 2012-13</w:t>
        </w:r>
      </w:hyperlink>
      <w:r w:rsidRPr="003942AE">
        <w:rPr>
          <w:rFonts w:cs="Arial"/>
          <w:i/>
          <w:sz w:val="22"/>
          <w:szCs w:val="22"/>
        </w:rPr>
        <w:t>.</w:t>
      </w:r>
    </w:p>
    <w:p w:rsidR="00283169" w:rsidRPr="007907A9" w:rsidRDefault="00283169" w:rsidP="00283169">
      <w:pPr>
        <w:spacing w:before="0" w:after="0"/>
        <w:rPr>
          <w:rFonts w:cs="Arial"/>
          <w:sz w:val="22"/>
          <w:szCs w:val="22"/>
        </w:rPr>
      </w:pPr>
    </w:p>
    <w:p w:rsidR="00283169" w:rsidRPr="007907A9" w:rsidRDefault="00283169" w:rsidP="00283169">
      <w:pPr>
        <w:spacing w:before="0" w:after="0"/>
        <w:rPr>
          <w:rFonts w:cs="Arial"/>
          <w:i/>
          <w:sz w:val="22"/>
          <w:szCs w:val="22"/>
        </w:rPr>
      </w:pPr>
      <w:r w:rsidRPr="007907A9">
        <w:rPr>
          <w:rFonts w:cs="Arial"/>
          <w:i/>
          <w:sz w:val="22"/>
          <w:szCs w:val="22"/>
        </w:rPr>
        <w:t>Fatalities</w:t>
      </w:r>
    </w:p>
    <w:p w:rsidR="00283169" w:rsidRPr="007907A9" w:rsidRDefault="00283169" w:rsidP="00283169">
      <w:pPr>
        <w:spacing w:before="0" w:after="0"/>
        <w:rPr>
          <w:rFonts w:cs="Arial"/>
          <w:i/>
          <w:sz w:val="22"/>
          <w:szCs w:val="22"/>
        </w:rPr>
      </w:pPr>
    </w:p>
    <w:p w:rsidR="00283169" w:rsidRPr="007907A9" w:rsidRDefault="00283169" w:rsidP="00283169">
      <w:pPr>
        <w:spacing w:before="0" w:after="0"/>
        <w:rPr>
          <w:rFonts w:cs="Arial"/>
          <w:sz w:val="22"/>
          <w:szCs w:val="22"/>
        </w:rPr>
      </w:pPr>
      <w:r w:rsidRPr="007907A9">
        <w:rPr>
          <w:rFonts w:cs="Arial"/>
          <w:sz w:val="22"/>
          <w:szCs w:val="22"/>
        </w:rPr>
        <w:t xml:space="preserve">The rate of </w:t>
      </w:r>
      <w:r>
        <w:rPr>
          <w:rFonts w:cs="Arial"/>
          <w:sz w:val="22"/>
          <w:szCs w:val="22"/>
        </w:rPr>
        <w:t xml:space="preserve">injury </w:t>
      </w:r>
      <w:r w:rsidRPr="007907A9">
        <w:rPr>
          <w:rFonts w:cs="Arial"/>
          <w:sz w:val="22"/>
          <w:szCs w:val="22"/>
        </w:rPr>
        <w:t>fatalities also increases with age to age 64 and then increases markedly after the age of 65. In 2014 the worker fatality rate (deaths per 100 00 workers) was:</w:t>
      </w:r>
    </w:p>
    <w:p w:rsidR="00283169" w:rsidRPr="007907A9" w:rsidRDefault="00283169" w:rsidP="00283169">
      <w:pPr>
        <w:spacing w:before="120" w:after="120"/>
        <w:rPr>
          <w:rFonts w:cs="Arial"/>
          <w:sz w:val="22"/>
          <w:szCs w:val="22"/>
        </w:rPr>
      </w:pPr>
      <w:r w:rsidRPr="007907A9">
        <w:rPr>
          <w:rFonts w:cs="Arial"/>
          <w:sz w:val="22"/>
          <w:szCs w:val="22"/>
        </w:rPr>
        <w:t>Less than 25</w:t>
      </w:r>
      <w:r w:rsidRPr="007907A9">
        <w:rPr>
          <w:rFonts w:cs="Arial"/>
          <w:sz w:val="22"/>
          <w:szCs w:val="22"/>
        </w:rPr>
        <w:tab/>
      </w:r>
      <w:r w:rsidRPr="007907A9">
        <w:rPr>
          <w:rFonts w:cs="Arial"/>
          <w:sz w:val="22"/>
          <w:szCs w:val="22"/>
        </w:rPr>
        <w:tab/>
        <w:t>1.18</w:t>
      </w:r>
    </w:p>
    <w:p w:rsidR="00283169" w:rsidRPr="007907A9" w:rsidRDefault="00283169" w:rsidP="00283169">
      <w:pPr>
        <w:spacing w:before="120" w:after="120"/>
        <w:rPr>
          <w:rFonts w:cs="Arial"/>
          <w:sz w:val="22"/>
          <w:szCs w:val="22"/>
        </w:rPr>
      </w:pPr>
      <w:r w:rsidRPr="007907A9">
        <w:rPr>
          <w:rFonts w:cs="Arial"/>
          <w:sz w:val="22"/>
          <w:szCs w:val="22"/>
        </w:rPr>
        <w:t>25-34</w:t>
      </w:r>
      <w:r w:rsidRPr="007907A9">
        <w:rPr>
          <w:rFonts w:cs="Arial"/>
          <w:sz w:val="22"/>
          <w:szCs w:val="22"/>
        </w:rPr>
        <w:tab/>
      </w:r>
      <w:r w:rsidRPr="007907A9">
        <w:rPr>
          <w:rFonts w:cs="Arial"/>
          <w:sz w:val="22"/>
          <w:szCs w:val="22"/>
        </w:rPr>
        <w:tab/>
      </w:r>
      <w:r w:rsidRPr="007907A9">
        <w:rPr>
          <w:rFonts w:cs="Arial"/>
          <w:sz w:val="22"/>
          <w:szCs w:val="22"/>
        </w:rPr>
        <w:tab/>
        <w:t>1.08</w:t>
      </w:r>
    </w:p>
    <w:p w:rsidR="00283169" w:rsidRPr="007907A9" w:rsidRDefault="00283169" w:rsidP="00283169">
      <w:pPr>
        <w:spacing w:before="120" w:after="120"/>
        <w:rPr>
          <w:rFonts w:cs="Arial"/>
          <w:sz w:val="22"/>
          <w:szCs w:val="22"/>
        </w:rPr>
      </w:pPr>
      <w:r w:rsidRPr="007907A9">
        <w:rPr>
          <w:rFonts w:cs="Arial"/>
          <w:sz w:val="22"/>
          <w:szCs w:val="22"/>
        </w:rPr>
        <w:t>35-44</w:t>
      </w:r>
      <w:r w:rsidRPr="007907A9">
        <w:rPr>
          <w:rFonts w:cs="Arial"/>
          <w:sz w:val="22"/>
          <w:szCs w:val="22"/>
        </w:rPr>
        <w:tab/>
      </w:r>
      <w:r w:rsidRPr="007907A9">
        <w:rPr>
          <w:rFonts w:cs="Arial"/>
          <w:sz w:val="22"/>
          <w:szCs w:val="22"/>
        </w:rPr>
        <w:tab/>
      </w:r>
      <w:r w:rsidRPr="007907A9">
        <w:rPr>
          <w:rFonts w:cs="Arial"/>
          <w:sz w:val="22"/>
          <w:szCs w:val="22"/>
        </w:rPr>
        <w:tab/>
        <w:t>1.10</w:t>
      </w:r>
    </w:p>
    <w:p w:rsidR="00283169" w:rsidRPr="007907A9" w:rsidRDefault="00283169" w:rsidP="00283169">
      <w:pPr>
        <w:spacing w:before="120" w:after="120"/>
        <w:rPr>
          <w:rFonts w:cs="Arial"/>
          <w:sz w:val="22"/>
          <w:szCs w:val="22"/>
        </w:rPr>
      </w:pPr>
      <w:r w:rsidRPr="007907A9">
        <w:rPr>
          <w:rFonts w:cs="Arial"/>
          <w:sz w:val="22"/>
          <w:szCs w:val="22"/>
        </w:rPr>
        <w:t>45-54</w:t>
      </w:r>
      <w:r w:rsidRPr="007907A9">
        <w:rPr>
          <w:rFonts w:cs="Arial"/>
          <w:sz w:val="22"/>
          <w:szCs w:val="22"/>
        </w:rPr>
        <w:tab/>
      </w:r>
      <w:r w:rsidRPr="007907A9">
        <w:rPr>
          <w:rFonts w:cs="Arial"/>
          <w:sz w:val="22"/>
          <w:szCs w:val="22"/>
        </w:rPr>
        <w:tab/>
      </w:r>
      <w:r w:rsidRPr="007907A9">
        <w:rPr>
          <w:rFonts w:cs="Arial"/>
          <w:sz w:val="22"/>
          <w:szCs w:val="22"/>
        </w:rPr>
        <w:tab/>
        <w:t>1.71</w:t>
      </w:r>
    </w:p>
    <w:p w:rsidR="00283169" w:rsidRPr="007907A9" w:rsidRDefault="00283169" w:rsidP="00283169">
      <w:pPr>
        <w:spacing w:before="120" w:after="120"/>
        <w:rPr>
          <w:rFonts w:cs="Arial"/>
          <w:sz w:val="22"/>
          <w:szCs w:val="22"/>
        </w:rPr>
      </w:pPr>
      <w:r w:rsidRPr="007907A9">
        <w:rPr>
          <w:rFonts w:cs="Arial"/>
          <w:sz w:val="22"/>
          <w:szCs w:val="22"/>
        </w:rPr>
        <w:t>55-64</w:t>
      </w:r>
      <w:r w:rsidRPr="007907A9">
        <w:rPr>
          <w:rFonts w:cs="Arial"/>
          <w:sz w:val="22"/>
          <w:szCs w:val="22"/>
        </w:rPr>
        <w:tab/>
      </w:r>
      <w:r w:rsidRPr="007907A9">
        <w:rPr>
          <w:rFonts w:cs="Arial"/>
          <w:sz w:val="22"/>
          <w:szCs w:val="22"/>
        </w:rPr>
        <w:tab/>
      </w:r>
      <w:r w:rsidRPr="007907A9">
        <w:rPr>
          <w:rFonts w:cs="Arial"/>
          <w:sz w:val="22"/>
          <w:szCs w:val="22"/>
        </w:rPr>
        <w:tab/>
        <w:t>2.17</w:t>
      </w:r>
    </w:p>
    <w:p w:rsidR="00283169" w:rsidRPr="007907A9" w:rsidRDefault="00283169" w:rsidP="00283169">
      <w:pPr>
        <w:spacing w:before="0" w:after="0"/>
        <w:rPr>
          <w:rFonts w:cs="Arial"/>
          <w:sz w:val="22"/>
          <w:szCs w:val="22"/>
        </w:rPr>
      </w:pPr>
      <w:r w:rsidRPr="007907A9">
        <w:rPr>
          <w:rFonts w:cs="Arial"/>
          <w:sz w:val="22"/>
          <w:szCs w:val="22"/>
        </w:rPr>
        <w:t>65 &amp; over</w:t>
      </w:r>
      <w:r w:rsidRPr="007907A9">
        <w:rPr>
          <w:rFonts w:cs="Arial"/>
          <w:sz w:val="22"/>
          <w:szCs w:val="22"/>
        </w:rPr>
        <w:tab/>
      </w:r>
      <w:r w:rsidRPr="007907A9">
        <w:rPr>
          <w:rFonts w:cs="Arial"/>
          <w:sz w:val="22"/>
          <w:szCs w:val="22"/>
        </w:rPr>
        <w:tab/>
        <w:t>7.10</w:t>
      </w:r>
    </w:p>
    <w:p w:rsidR="00283169" w:rsidRPr="007907A9" w:rsidRDefault="00283169" w:rsidP="00283169">
      <w:pPr>
        <w:spacing w:before="0" w:after="0"/>
        <w:rPr>
          <w:rFonts w:cs="Arial"/>
          <w:sz w:val="22"/>
          <w:szCs w:val="22"/>
        </w:rPr>
      </w:pPr>
    </w:p>
    <w:p w:rsidR="00283169" w:rsidRPr="007907A9" w:rsidRDefault="00283169" w:rsidP="00283169">
      <w:pPr>
        <w:spacing w:before="0" w:after="0"/>
        <w:rPr>
          <w:rFonts w:cs="Arial"/>
          <w:sz w:val="22"/>
          <w:szCs w:val="22"/>
        </w:rPr>
      </w:pPr>
      <w:r w:rsidRPr="007907A9">
        <w:rPr>
          <w:rFonts w:cs="Arial"/>
          <w:sz w:val="22"/>
          <w:szCs w:val="22"/>
        </w:rPr>
        <w:t>These data include all workers, not just those covered by workers’ compensation</w:t>
      </w:r>
      <w:r w:rsidR="00DF1BBE">
        <w:rPr>
          <w:rFonts w:cs="Arial"/>
          <w:sz w:val="22"/>
          <w:szCs w:val="22"/>
        </w:rPr>
        <w:t xml:space="preserve"> schemes</w:t>
      </w:r>
      <w:r w:rsidRPr="007907A9">
        <w:rPr>
          <w:rFonts w:cs="Arial"/>
          <w:sz w:val="22"/>
          <w:szCs w:val="22"/>
        </w:rPr>
        <w:t>. The high fatality rate for those aged 65 and over is partly explained by the very high number of injury fatalities of self-employed farmers aged over 65.</w:t>
      </w:r>
      <w:r w:rsidR="00E54CA9">
        <w:rPr>
          <w:rFonts w:cs="Arial"/>
          <w:sz w:val="22"/>
          <w:szCs w:val="22"/>
        </w:rPr>
        <w:t xml:space="preserve"> </w:t>
      </w:r>
      <w:r w:rsidR="00E54CA9" w:rsidRPr="007907A9">
        <w:rPr>
          <w:rFonts w:cs="Arial"/>
          <w:sz w:val="22"/>
          <w:szCs w:val="22"/>
        </w:rPr>
        <w:t>Of the 30 deaths that occurred in the Agriculture industry in 2014, 10 were of workers aged over 65.</w:t>
      </w:r>
      <w:r w:rsidR="00E54CA9">
        <w:rPr>
          <w:rFonts w:cs="Arial"/>
          <w:sz w:val="22"/>
          <w:szCs w:val="22"/>
        </w:rPr>
        <w:t xml:space="preserve"> </w:t>
      </w:r>
    </w:p>
    <w:p w:rsidR="00283169" w:rsidRPr="007907A9" w:rsidRDefault="00283169" w:rsidP="00283169">
      <w:pPr>
        <w:spacing w:before="120" w:after="120"/>
        <w:rPr>
          <w:rFonts w:cs="Arial"/>
          <w:sz w:val="22"/>
          <w:szCs w:val="22"/>
        </w:rPr>
      </w:pPr>
      <w:r w:rsidRPr="007907A9">
        <w:rPr>
          <w:rFonts w:cs="Arial"/>
          <w:sz w:val="22"/>
          <w:szCs w:val="22"/>
        </w:rPr>
        <w:t xml:space="preserve">Due to the relatively small number of workers aged over 65, the fatality rates are volatile from year to year. Nevertheless the overall trend is down for all age groups including older workers. </w:t>
      </w:r>
    </w:p>
    <w:p w:rsidR="00283169" w:rsidRPr="007907A9" w:rsidRDefault="00283169" w:rsidP="00283169">
      <w:pPr>
        <w:spacing w:before="0" w:after="0"/>
        <w:rPr>
          <w:rFonts w:cs="Arial"/>
          <w:i/>
          <w:sz w:val="22"/>
          <w:szCs w:val="22"/>
        </w:rPr>
      </w:pPr>
      <w:r w:rsidRPr="007907A9">
        <w:rPr>
          <w:rFonts w:cs="Arial"/>
          <w:sz w:val="22"/>
          <w:szCs w:val="22"/>
        </w:rPr>
        <w:t xml:space="preserve">An analysis of fatalities can be found in Safe Work Australia’s </w:t>
      </w:r>
      <w:hyperlink r:id="rId18" w:history="1">
        <w:r w:rsidRPr="007907A9">
          <w:rPr>
            <w:rStyle w:val="Hyperlink"/>
            <w:rFonts w:cs="Arial"/>
            <w:i/>
            <w:sz w:val="22"/>
            <w:szCs w:val="22"/>
          </w:rPr>
          <w:t>Work-related traumatic injury fatalities report, 2014</w:t>
        </w:r>
      </w:hyperlink>
      <w:r w:rsidRPr="007907A9">
        <w:rPr>
          <w:rFonts w:cs="Arial"/>
          <w:i/>
          <w:sz w:val="22"/>
          <w:szCs w:val="22"/>
        </w:rPr>
        <w:t xml:space="preserve">. </w:t>
      </w:r>
    </w:p>
    <w:p w:rsidR="000B4E4F" w:rsidRPr="007907A9" w:rsidRDefault="00DF1BBE" w:rsidP="00FE6602">
      <w:pPr>
        <w:spacing w:after="0"/>
        <w:rPr>
          <w:rFonts w:cs="Arial"/>
          <w:sz w:val="22"/>
          <w:szCs w:val="22"/>
          <w:u w:val="single"/>
        </w:rPr>
      </w:pPr>
      <w:r>
        <w:rPr>
          <w:rFonts w:cs="Arial"/>
          <w:b/>
          <w:sz w:val="22"/>
          <w:szCs w:val="22"/>
          <w:u w:val="single"/>
        </w:rPr>
        <w:t>Workers’ compensation s</w:t>
      </w:r>
      <w:r w:rsidR="008E4672" w:rsidRPr="007907A9">
        <w:rPr>
          <w:rFonts w:cs="Arial"/>
          <w:b/>
          <w:sz w:val="22"/>
          <w:szCs w:val="22"/>
          <w:u w:val="single"/>
        </w:rPr>
        <w:t>cheme</w:t>
      </w:r>
      <w:r w:rsidR="004A37FC" w:rsidRPr="007907A9">
        <w:rPr>
          <w:rFonts w:cs="Arial"/>
          <w:b/>
          <w:sz w:val="22"/>
          <w:szCs w:val="22"/>
          <w:u w:val="single"/>
        </w:rPr>
        <w:t>s</w:t>
      </w:r>
      <w:r w:rsidR="00105A8E">
        <w:rPr>
          <w:rFonts w:cs="Arial"/>
          <w:b/>
          <w:sz w:val="22"/>
          <w:szCs w:val="22"/>
          <w:u w:val="single"/>
        </w:rPr>
        <w:t xml:space="preserve"> and older workers</w:t>
      </w:r>
    </w:p>
    <w:p w:rsidR="00EF209B" w:rsidRPr="007907A9" w:rsidRDefault="0068731C" w:rsidP="000B4E4F">
      <w:pPr>
        <w:rPr>
          <w:rFonts w:cs="Arial"/>
          <w:sz w:val="22"/>
          <w:szCs w:val="22"/>
        </w:rPr>
      </w:pPr>
      <w:r w:rsidRPr="007907A9">
        <w:rPr>
          <w:rFonts w:cs="Arial"/>
          <w:sz w:val="22"/>
          <w:szCs w:val="22"/>
        </w:rPr>
        <w:t xml:space="preserve">There is a common misconception </w:t>
      </w:r>
      <w:r w:rsidR="00AF3329" w:rsidRPr="007907A9">
        <w:rPr>
          <w:rFonts w:cs="Arial"/>
          <w:sz w:val="22"/>
          <w:szCs w:val="22"/>
        </w:rPr>
        <w:t>that statutory workers’ compensation is not available to people after ‘retirement age’. This is not true. Eligible workers are covered by workers’ compensation no matter at what age they are injured but there are retirement age provisions in some schemes and these are detailed below.</w:t>
      </w:r>
    </w:p>
    <w:p w:rsidR="00AF3329" w:rsidRPr="007907A9" w:rsidRDefault="00AF3329" w:rsidP="000B4E4F">
      <w:pPr>
        <w:rPr>
          <w:rFonts w:cs="Arial"/>
          <w:i/>
          <w:sz w:val="22"/>
          <w:szCs w:val="22"/>
        </w:rPr>
      </w:pPr>
      <w:r w:rsidRPr="007907A9">
        <w:rPr>
          <w:rFonts w:cs="Arial"/>
          <w:i/>
          <w:sz w:val="22"/>
          <w:szCs w:val="22"/>
        </w:rPr>
        <w:t>Medical payments</w:t>
      </w:r>
    </w:p>
    <w:p w:rsidR="00AF3329" w:rsidRPr="007907A9" w:rsidRDefault="00AF3329" w:rsidP="000B4E4F">
      <w:pPr>
        <w:rPr>
          <w:rFonts w:cs="Arial"/>
          <w:sz w:val="22"/>
          <w:szCs w:val="22"/>
        </w:rPr>
      </w:pPr>
      <w:r w:rsidRPr="007907A9">
        <w:rPr>
          <w:rFonts w:cs="Arial"/>
          <w:sz w:val="22"/>
          <w:szCs w:val="22"/>
        </w:rPr>
        <w:t>Generally</w:t>
      </w:r>
      <w:r w:rsidR="00DF1BBE">
        <w:rPr>
          <w:rFonts w:cs="Arial"/>
          <w:sz w:val="22"/>
          <w:szCs w:val="22"/>
        </w:rPr>
        <w:t xml:space="preserve">, under all workers’ compensation schemes, a worker may be eligible for </w:t>
      </w:r>
      <w:r w:rsidRPr="007907A9">
        <w:rPr>
          <w:rFonts w:cs="Arial"/>
          <w:sz w:val="22"/>
          <w:szCs w:val="22"/>
        </w:rPr>
        <w:t xml:space="preserve">medical and rehabilitation costs and lump sum payments for permanent impairment </w:t>
      </w:r>
      <w:r w:rsidR="00BB5BBF">
        <w:rPr>
          <w:rFonts w:cs="Arial"/>
          <w:sz w:val="22"/>
          <w:szCs w:val="22"/>
        </w:rPr>
        <w:t>regardless of their age.</w:t>
      </w:r>
    </w:p>
    <w:p w:rsidR="00861F39" w:rsidRPr="007907A9" w:rsidRDefault="00861F39" w:rsidP="000B4E4F">
      <w:pPr>
        <w:rPr>
          <w:rFonts w:cs="Arial"/>
          <w:i/>
          <w:sz w:val="22"/>
          <w:szCs w:val="22"/>
        </w:rPr>
      </w:pPr>
      <w:r w:rsidRPr="007907A9">
        <w:rPr>
          <w:rFonts w:cs="Arial"/>
          <w:i/>
          <w:sz w:val="22"/>
          <w:szCs w:val="22"/>
        </w:rPr>
        <w:t>Weekly incapacity payments</w:t>
      </w:r>
    </w:p>
    <w:p w:rsidR="00861F39" w:rsidRPr="007907A9" w:rsidRDefault="00861F39" w:rsidP="00861F39">
      <w:pPr>
        <w:spacing w:before="120" w:after="120"/>
        <w:rPr>
          <w:rFonts w:cs="Arial"/>
          <w:sz w:val="22"/>
          <w:szCs w:val="22"/>
        </w:rPr>
      </w:pPr>
      <w:r w:rsidRPr="007907A9">
        <w:rPr>
          <w:rFonts w:cs="Arial"/>
          <w:sz w:val="22"/>
          <w:szCs w:val="22"/>
        </w:rPr>
        <w:t>Workers’ compensation schemes are either ‘long tail’ or ‘short tail’. Long tail schemes continue to pay weekly incapacity payments for the duration of the worker’s incapacity. ‘Short tail’ schemes impose a benefit period or amount restriction on all claimants</w:t>
      </w:r>
      <w:r w:rsidR="00BB5BBF">
        <w:rPr>
          <w:rFonts w:cs="Arial"/>
          <w:sz w:val="22"/>
          <w:szCs w:val="22"/>
        </w:rPr>
        <w:t xml:space="preserve">. The period or restriction is applied to a worker regardless of their age. </w:t>
      </w:r>
    </w:p>
    <w:p w:rsidR="00861F39" w:rsidRPr="007907A9" w:rsidRDefault="00861F39" w:rsidP="00861F39">
      <w:pPr>
        <w:spacing w:before="120" w:after="120"/>
        <w:rPr>
          <w:rFonts w:cs="Arial"/>
          <w:sz w:val="22"/>
          <w:szCs w:val="22"/>
        </w:rPr>
      </w:pPr>
      <w:r w:rsidRPr="007907A9">
        <w:rPr>
          <w:rFonts w:cs="Arial"/>
          <w:sz w:val="22"/>
          <w:szCs w:val="22"/>
        </w:rPr>
        <w:t xml:space="preserve">The Commonwealth, Victoria, South Australia, Tasmania, </w:t>
      </w:r>
      <w:r w:rsidR="00BB5BBF">
        <w:rPr>
          <w:rFonts w:cs="Arial"/>
          <w:sz w:val="22"/>
          <w:szCs w:val="22"/>
        </w:rPr>
        <w:t xml:space="preserve">the </w:t>
      </w:r>
      <w:r w:rsidRPr="007907A9">
        <w:rPr>
          <w:rFonts w:cs="Arial"/>
          <w:sz w:val="22"/>
          <w:szCs w:val="22"/>
        </w:rPr>
        <w:t xml:space="preserve">Australian Capital Territory and </w:t>
      </w:r>
      <w:r w:rsidR="00BB5BBF">
        <w:rPr>
          <w:rFonts w:cs="Arial"/>
          <w:sz w:val="22"/>
          <w:szCs w:val="22"/>
        </w:rPr>
        <w:t xml:space="preserve">the </w:t>
      </w:r>
      <w:r w:rsidRPr="007907A9">
        <w:rPr>
          <w:rFonts w:cs="Arial"/>
          <w:sz w:val="22"/>
          <w:szCs w:val="22"/>
        </w:rPr>
        <w:t xml:space="preserve">Northern Territory schemes are all ‘long tail’ schemes. Under these schemes continued weekly payments are generally subject to regular reviews of work capacity. Entitlement to weekly incapacity </w:t>
      </w:r>
      <w:r w:rsidR="00383CEF">
        <w:rPr>
          <w:rFonts w:cs="Arial"/>
          <w:sz w:val="22"/>
          <w:szCs w:val="22"/>
        </w:rPr>
        <w:t>payments</w:t>
      </w:r>
      <w:r w:rsidRPr="007907A9">
        <w:rPr>
          <w:rFonts w:cs="Arial"/>
          <w:sz w:val="22"/>
          <w:szCs w:val="22"/>
        </w:rPr>
        <w:t xml:space="preserve"> for injured workers ceases once they reach retirement age (</w:t>
      </w:r>
      <w:r w:rsidRPr="007907A9">
        <w:rPr>
          <w:rFonts w:cs="Arial"/>
          <w:b/>
          <w:bCs/>
          <w:sz w:val="22"/>
          <w:szCs w:val="22"/>
        </w:rPr>
        <w:t>in most schemes, previously defined as age 65</w:t>
      </w:r>
      <w:r w:rsidR="00015BC4" w:rsidRPr="007907A9">
        <w:rPr>
          <w:rFonts w:cs="Arial"/>
          <w:sz w:val="22"/>
          <w:szCs w:val="22"/>
        </w:rPr>
        <w:t>) .</w:t>
      </w:r>
      <w:r w:rsidRPr="007907A9">
        <w:rPr>
          <w:rFonts w:cs="Arial"/>
          <w:sz w:val="22"/>
          <w:szCs w:val="22"/>
        </w:rPr>
        <w:t xml:space="preserve">For workers who are injured close to or </w:t>
      </w:r>
      <w:r w:rsidRPr="007907A9">
        <w:rPr>
          <w:rFonts w:cs="Arial"/>
          <w:b/>
          <w:bCs/>
          <w:sz w:val="22"/>
          <w:szCs w:val="22"/>
        </w:rPr>
        <w:t>after retirement age</w:t>
      </w:r>
      <w:r w:rsidRPr="007907A9">
        <w:rPr>
          <w:rFonts w:cs="Arial"/>
          <w:sz w:val="22"/>
          <w:szCs w:val="22"/>
        </w:rPr>
        <w:t xml:space="preserve">, schemes provide for the payment of weekly incapacity benefits for a period of between </w:t>
      </w:r>
      <w:r w:rsidR="00B73268" w:rsidRPr="007907A9">
        <w:rPr>
          <w:rFonts w:cs="Arial"/>
          <w:sz w:val="22"/>
          <w:szCs w:val="22"/>
        </w:rPr>
        <w:t>one year</w:t>
      </w:r>
      <w:r w:rsidRPr="007907A9">
        <w:rPr>
          <w:rFonts w:cs="Arial"/>
          <w:sz w:val="22"/>
          <w:szCs w:val="22"/>
        </w:rPr>
        <w:t xml:space="preserve"> and two and a half years, depending on the scheme. </w:t>
      </w:r>
      <w:r w:rsidR="00837E20" w:rsidRPr="007907A9">
        <w:rPr>
          <w:rFonts w:cs="Arial"/>
          <w:sz w:val="22"/>
          <w:szCs w:val="22"/>
        </w:rPr>
        <w:t xml:space="preserve"> This allows time for the worker to </w:t>
      </w:r>
      <w:proofErr w:type="gramStart"/>
      <w:r w:rsidR="00837E20" w:rsidRPr="007907A9">
        <w:rPr>
          <w:rFonts w:cs="Arial"/>
          <w:sz w:val="22"/>
          <w:szCs w:val="22"/>
        </w:rPr>
        <w:t>either recover and</w:t>
      </w:r>
      <w:proofErr w:type="gramEnd"/>
      <w:r w:rsidR="00837E20" w:rsidRPr="007907A9">
        <w:rPr>
          <w:rFonts w:cs="Arial"/>
          <w:sz w:val="22"/>
          <w:szCs w:val="22"/>
        </w:rPr>
        <w:t xml:space="preserve"> return to work</w:t>
      </w:r>
      <w:r w:rsidR="00383CEF">
        <w:rPr>
          <w:rFonts w:cs="Arial"/>
          <w:sz w:val="22"/>
          <w:szCs w:val="22"/>
        </w:rPr>
        <w:t>,</w:t>
      </w:r>
      <w:r w:rsidR="00837E20" w:rsidRPr="007907A9">
        <w:rPr>
          <w:rFonts w:cs="Arial"/>
          <w:sz w:val="22"/>
          <w:szCs w:val="22"/>
        </w:rPr>
        <w:t xml:space="preserve"> or make the transition into retirement.</w:t>
      </w:r>
    </w:p>
    <w:p w:rsidR="00861F39" w:rsidRPr="007907A9" w:rsidRDefault="00861F39" w:rsidP="00861F39">
      <w:pPr>
        <w:spacing w:before="120" w:after="120"/>
        <w:rPr>
          <w:rFonts w:cs="Arial"/>
          <w:sz w:val="22"/>
          <w:szCs w:val="22"/>
        </w:rPr>
      </w:pPr>
      <w:r w:rsidRPr="007907A9">
        <w:rPr>
          <w:rFonts w:cs="Arial"/>
          <w:sz w:val="22"/>
          <w:szCs w:val="22"/>
        </w:rPr>
        <w:lastRenderedPageBreak/>
        <w:t>The reason</w:t>
      </w:r>
      <w:r w:rsidR="00BB5BBF">
        <w:rPr>
          <w:rFonts w:cs="Arial"/>
          <w:sz w:val="22"/>
          <w:szCs w:val="22"/>
        </w:rPr>
        <w:t>s</w:t>
      </w:r>
      <w:r w:rsidRPr="007907A9">
        <w:rPr>
          <w:rFonts w:cs="Arial"/>
          <w:sz w:val="22"/>
          <w:szCs w:val="22"/>
        </w:rPr>
        <w:t xml:space="preserve"> for cutting off benefits at retirement age and providing time limited benefits to workers injured close to or after age retirement age </w:t>
      </w:r>
      <w:r w:rsidR="00BB5BBF">
        <w:rPr>
          <w:rFonts w:cs="Arial"/>
          <w:sz w:val="22"/>
          <w:szCs w:val="22"/>
        </w:rPr>
        <w:t>are</w:t>
      </w:r>
      <w:r w:rsidRPr="007907A9">
        <w:rPr>
          <w:rFonts w:cs="Arial"/>
          <w:sz w:val="22"/>
          <w:szCs w:val="22"/>
        </w:rPr>
        <w:t>:</w:t>
      </w:r>
    </w:p>
    <w:p w:rsidR="00861F39" w:rsidRPr="007907A9" w:rsidRDefault="00BB5BBF" w:rsidP="00861F39">
      <w:pPr>
        <w:pStyle w:val="ListParagraph"/>
        <w:numPr>
          <w:ilvl w:val="0"/>
          <w:numId w:val="36"/>
        </w:numPr>
        <w:spacing w:before="120" w:after="120" w:line="276" w:lineRule="auto"/>
        <w:rPr>
          <w:rFonts w:cs="Arial"/>
          <w:sz w:val="22"/>
          <w:szCs w:val="22"/>
        </w:rPr>
      </w:pPr>
      <w:r>
        <w:rPr>
          <w:rFonts w:cs="Arial"/>
          <w:sz w:val="22"/>
          <w:szCs w:val="22"/>
        </w:rPr>
        <w:t xml:space="preserve">to </w:t>
      </w:r>
      <w:r w:rsidR="00861F39" w:rsidRPr="007907A9">
        <w:rPr>
          <w:rFonts w:cs="Arial"/>
          <w:sz w:val="22"/>
          <w:szCs w:val="22"/>
        </w:rPr>
        <w:t>contain scheme costs and employer premiums, and</w:t>
      </w:r>
    </w:p>
    <w:p w:rsidR="00861F39" w:rsidRDefault="00BB5BBF" w:rsidP="00861F39">
      <w:pPr>
        <w:pStyle w:val="ListParagraph"/>
        <w:numPr>
          <w:ilvl w:val="0"/>
          <w:numId w:val="36"/>
        </w:numPr>
        <w:spacing w:before="120" w:after="120" w:line="276" w:lineRule="auto"/>
        <w:rPr>
          <w:rFonts w:cs="Arial"/>
          <w:sz w:val="22"/>
          <w:szCs w:val="22"/>
        </w:rPr>
      </w:pPr>
      <w:proofErr w:type="gramStart"/>
      <w:r>
        <w:rPr>
          <w:rFonts w:cs="Arial"/>
          <w:sz w:val="22"/>
          <w:szCs w:val="22"/>
        </w:rPr>
        <w:t>to</w:t>
      </w:r>
      <w:proofErr w:type="gramEnd"/>
      <w:r>
        <w:rPr>
          <w:rFonts w:cs="Arial"/>
          <w:sz w:val="22"/>
          <w:szCs w:val="22"/>
        </w:rPr>
        <w:t xml:space="preserve"> </w:t>
      </w:r>
      <w:r w:rsidR="00861F39" w:rsidRPr="007907A9">
        <w:rPr>
          <w:rFonts w:cs="Arial"/>
          <w:sz w:val="22"/>
          <w:szCs w:val="22"/>
        </w:rPr>
        <w:t>avoid the situation of injured workers remaining on weekly incapacity payments well past the age at which they would have retired had they not incurred an injury.</w:t>
      </w:r>
    </w:p>
    <w:p w:rsidR="00861F39" w:rsidRPr="007907A9" w:rsidRDefault="00105A8E" w:rsidP="00861F39">
      <w:pPr>
        <w:spacing w:before="120" w:after="120"/>
        <w:rPr>
          <w:rFonts w:cs="Arial"/>
          <w:sz w:val="22"/>
          <w:szCs w:val="22"/>
        </w:rPr>
      </w:pPr>
      <w:r>
        <w:rPr>
          <w:rFonts w:cs="Arial"/>
          <w:sz w:val="22"/>
          <w:szCs w:val="22"/>
        </w:rPr>
        <w:t>The short-tail</w:t>
      </w:r>
      <w:r w:rsidR="00861F39" w:rsidRPr="007907A9">
        <w:rPr>
          <w:rFonts w:cs="Arial"/>
          <w:sz w:val="22"/>
          <w:szCs w:val="22"/>
        </w:rPr>
        <w:t xml:space="preserve"> schemes (Queensland and Western Australia) do not have an age cut-off in their workers’ compensation schemes. Instead their schemes limit weekly incapacity payments for all injured workers, regardless of age, by other means.</w:t>
      </w:r>
    </w:p>
    <w:p w:rsidR="00861F39" w:rsidRPr="007907A9" w:rsidRDefault="00861F39" w:rsidP="00861F39">
      <w:pPr>
        <w:rPr>
          <w:rFonts w:cs="Arial"/>
          <w:sz w:val="22"/>
          <w:szCs w:val="22"/>
        </w:rPr>
      </w:pPr>
      <w:r w:rsidRPr="007907A9">
        <w:rPr>
          <w:rFonts w:cs="Arial"/>
          <w:sz w:val="22"/>
          <w:szCs w:val="22"/>
        </w:rPr>
        <w:t>In June 2012, New South Wales amended its workers compensation arrangements to introduce a five year cap on the receipt of weekly incapacity benefits (with an exception for injured workers with more than 20% whole person impairment). New</w:t>
      </w:r>
      <w:r w:rsidR="003569A2" w:rsidRPr="007907A9">
        <w:rPr>
          <w:rFonts w:cs="Arial"/>
          <w:sz w:val="22"/>
          <w:szCs w:val="22"/>
        </w:rPr>
        <w:t xml:space="preserve"> </w:t>
      </w:r>
      <w:r w:rsidRPr="007907A9">
        <w:rPr>
          <w:rFonts w:cs="Arial"/>
          <w:sz w:val="22"/>
          <w:szCs w:val="22"/>
        </w:rPr>
        <w:t>South Wales has retained a cap on weekly incapacity benefits of 12 months if the worker is injured after retirement age</w:t>
      </w:r>
      <w:r w:rsidR="00837E20" w:rsidRPr="007907A9">
        <w:rPr>
          <w:rFonts w:cs="Arial"/>
          <w:sz w:val="22"/>
          <w:szCs w:val="22"/>
        </w:rPr>
        <w:t xml:space="preserve">. </w:t>
      </w:r>
      <w:r w:rsidR="00BB5BBF">
        <w:rPr>
          <w:rFonts w:cs="Arial"/>
          <w:sz w:val="22"/>
          <w:szCs w:val="22"/>
        </w:rPr>
        <w:t>If a</w:t>
      </w:r>
      <w:r w:rsidRPr="007907A9">
        <w:rPr>
          <w:rFonts w:cs="Arial"/>
          <w:sz w:val="22"/>
          <w:szCs w:val="22"/>
        </w:rPr>
        <w:t xml:space="preserve"> worker is injured before retirement age, weekly incapacity payments cease </w:t>
      </w:r>
      <w:r w:rsidR="00837E20" w:rsidRPr="007907A9">
        <w:rPr>
          <w:rFonts w:cs="Arial"/>
          <w:sz w:val="22"/>
          <w:szCs w:val="22"/>
        </w:rPr>
        <w:t>12 months after the worker reaches</w:t>
      </w:r>
      <w:r w:rsidRPr="007907A9">
        <w:rPr>
          <w:rFonts w:cs="Arial"/>
          <w:sz w:val="22"/>
          <w:szCs w:val="22"/>
        </w:rPr>
        <w:t xml:space="preserve"> retiring age regardless of when the incapacity payments commenced</w:t>
      </w:r>
      <w:r w:rsidR="00383CEF">
        <w:rPr>
          <w:rFonts w:cs="Arial"/>
          <w:sz w:val="22"/>
          <w:szCs w:val="22"/>
        </w:rPr>
        <w:t>.</w:t>
      </w:r>
    </w:p>
    <w:p w:rsidR="000B4E4F" w:rsidRPr="007907A9" w:rsidRDefault="004818D8" w:rsidP="00AC220E">
      <w:pPr>
        <w:spacing w:before="0" w:after="0"/>
        <w:rPr>
          <w:rFonts w:cs="Arial"/>
          <w:sz w:val="22"/>
          <w:szCs w:val="22"/>
        </w:rPr>
      </w:pPr>
      <w:r w:rsidRPr="007907A9">
        <w:rPr>
          <w:rFonts w:cs="Arial"/>
          <w:sz w:val="22"/>
          <w:szCs w:val="22"/>
        </w:rPr>
        <w:t xml:space="preserve">It is critical that the misconception, shared by some lobby groups for older Australians, that employees are not covered by workers’ compensation </w:t>
      </w:r>
      <w:r w:rsidR="00383CEF">
        <w:rPr>
          <w:rFonts w:cs="Arial"/>
          <w:sz w:val="22"/>
          <w:szCs w:val="22"/>
        </w:rPr>
        <w:t>after the age of 65 is</w:t>
      </w:r>
      <w:r w:rsidRPr="007907A9">
        <w:rPr>
          <w:rFonts w:cs="Arial"/>
          <w:sz w:val="22"/>
          <w:szCs w:val="22"/>
        </w:rPr>
        <w:t xml:space="preserve"> corrected as it may deter older wor</w:t>
      </w:r>
      <w:r w:rsidR="00383CEF">
        <w:rPr>
          <w:rFonts w:cs="Arial"/>
          <w:sz w:val="22"/>
          <w:szCs w:val="22"/>
        </w:rPr>
        <w:t>kers from continuing at work or</w:t>
      </w:r>
      <w:r w:rsidRPr="007907A9">
        <w:rPr>
          <w:rFonts w:cs="Arial"/>
          <w:sz w:val="22"/>
          <w:szCs w:val="22"/>
        </w:rPr>
        <w:t xml:space="preserve"> deter employers from employing older workers</w:t>
      </w:r>
      <w:r w:rsidR="003569A2" w:rsidRPr="007907A9">
        <w:rPr>
          <w:rFonts w:cs="Arial"/>
          <w:sz w:val="22"/>
          <w:szCs w:val="22"/>
        </w:rPr>
        <w:t xml:space="preserve">. </w:t>
      </w:r>
      <w:r w:rsidR="000B4E4F" w:rsidRPr="007907A9">
        <w:rPr>
          <w:rFonts w:cs="Arial"/>
          <w:sz w:val="22"/>
          <w:szCs w:val="22"/>
        </w:rPr>
        <w:t>The statutory limitations</w:t>
      </w:r>
      <w:r w:rsidR="00477A8D" w:rsidRPr="007907A9">
        <w:rPr>
          <w:rFonts w:cs="Arial"/>
          <w:sz w:val="22"/>
          <w:szCs w:val="22"/>
        </w:rPr>
        <w:t xml:space="preserve"> </w:t>
      </w:r>
      <w:r w:rsidR="00BB5BBF">
        <w:rPr>
          <w:rFonts w:cs="Arial"/>
          <w:sz w:val="22"/>
          <w:szCs w:val="22"/>
        </w:rPr>
        <w:t xml:space="preserve">(in long tail schemes) </w:t>
      </w:r>
      <w:r w:rsidR="0012297F" w:rsidRPr="007907A9">
        <w:rPr>
          <w:rFonts w:cs="Arial"/>
          <w:sz w:val="22"/>
          <w:szCs w:val="22"/>
        </w:rPr>
        <w:t>of weekly incapacity payments across jurisdictions for workers who are injured at</w:t>
      </w:r>
      <w:r w:rsidR="00B31BCC" w:rsidRPr="007907A9">
        <w:rPr>
          <w:rFonts w:cs="Arial"/>
          <w:sz w:val="22"/>
          <w:szCs w:val="22"/>
        </w:rPr>
        <w:t xml:space="preserve">, </w:t>
      </w:r>
      <w:r w:rsidR="0012297F" w:rsidRPr="007907A9">
        <w:rPr>
          <w:rFonts w:cs="Arial"/>
          <w:sz w:val="22"/>
          <w:szCs w:val="22"/>
        </w:rPr>
        <w:t>close to</w:t>
      </w:r>
      <w:r w:rsidR="00B31BCC" w:rsidRPr="007907A9">
        <w:rPr>
          <w:rFonts w:cs="Arial"/>
          <w:sz w:val="22"/>
          <w:szCs w:val="22"/>
        </w:rPr>
        <w:t>,</w:t>
      </w:r>
      <w:r w:rsidR="0012297F" w:rsidRPr="007907A9">
        <w:rPr>
          <w:rFonts w:cs="Arial"/>
          <w:sz w:val="22"/>
          <w:szCs w:val="22"/>
        </w:rPr>
        <w:t xml:space="preserve"> or beyond retirement age</w:t>
      </w:r>
      <w:r w:rsidR="00034EEF" w:rsidRPr="007907A9">
        <w:rPr>
          <w:rFonts w:cs="Arial"/>
          <w:sz w:val="22"/>
          <w:szCs w:val="22"/>
        </w:rPr>
        <w:t xml:space="preserve"> </w:t>
      </w:r>
      <w:r w:rsidR="0012297F" w:rsidRPr="007907A9">
        <w:rPr>
          <w:rFonts w:cs="Arial"/>
          <w:sz w:val="22"/>
          <w:szCs w:val="22"/>
        </w:rPr>
        <w:t>are</w:t>
      </w:r>
      <w:r w:rsidR="000B4E4F" w:rsidRPr="007907A9">
        <w:rPr>
          <w:rFonts w:cs="Arial"/>
          <w:sz w:val="22"/>
          <w:szCs w:val="22"/>
        </w:rPr>
        <w:t xml:space="preserve"> </w:t>
      </w:r>
      <w:r w:rsidR="00BB5BBF">
        <w:rPr>
          <w:rFonts w:cs="Arial"/>
          <w:sz w:val="22"/>
          <w:szCs w:val="22"/>
        </w:rPr>
        <w:t xml:space="preserve">at Appendix A. </w:t>
      </w:r>
    </w:p>
    <w:p w:rsidR="000B4E4F" w:rsidRPr="007907A9" w:rsidRDefault="000B4E4F" w:rsidP="000B4E4F">
      <w:pPr>
        <w:rPr>
          <w:rFonts w:cs="Arial"/>
          <w:sz w:val="22"/>
          <w:szCs w:val="22"/>
          <w:u w:val="single"/>
        </w:rPr>
      </w:pPr>
      <w:r w:rsidRPr="007907A9">
        <w:rPr>
          <w:rFonts w:cs="Arial"/>
          <w:b/>
          <w:sz w:val="22"/>
          <w:szCs w:val="22"/>
          <w:u w:val="single"/>
        </w:rPr>
        <w:t>Changing the Definition of Retirement Age</w:t>
      </w:r>
    </w:p>
    <w:p w:rsidR="00F14D6E" w:rsidRPr="007907A9" w:rsidRDefault="00B73268" w:rsidP="000B4E4F">
      <w:pPr>
        <w:rPr>
          <w:rFonts w:cs="Arial"/>
          <w:sz w:val="22"/>
          <w:szCs w:val="22"/>
        </w:rPr>
      </w:pPr>
      <w:r w:rsidRPr="007907A9">
        <w:rPr>
          <w:rFonts w:cs="Arial"/>
          <w:sz w:val="22"/>
          <w:szCs w:val="22"/>
        </w:rPr>
        <w:t xml:space="preserve">Safe Work Australia completed work on the ‘definition of retirement age’ and recommended that those jurisdictions that defined ‘retirement age’ as ‘age 65’ in their workers’ compensation legislation, should change the definition to be ‘the age </w:t>
      </w:r>
      <w:r w:rsidR="000B4E4F" w:rsidRPr="007907A9">
        <w:rPr>
          <w:rFonts w:cs="Arial"/>
          <w:sz w:val="22"/>
          <w:szCs w:val="22"/>
        </w:rPr>
        <w:t xml:space="preserve">at which a person is eligible for the age pension under the </w:t>
      </w:r>
      <w:r w:rsidR="000B4E4F" w:rsidRPr="007907A9">
        <w:rPr>
          <w:rFonts w:cs="Arial"/>
          <w:i/>
          <w:sz w:val="22"/>
          <w:szCs w:val="22"/>
        </w:rPr>
        <w:t xml:space="preserve">Social Security Act 1991 </w:t>
      </w:r>
      <w:r w:rsidR="000B4E4F" w:rsidRPr="007907A9">
        <w:rPr>
          <w:rFonts w:cs="Arial"/>
          <w:sz w:val="22"/>
          <w:szCs w:val="22"/>
        </w:rPr>
        <w:t>(Cth).</w:t>
      </w:r>
      <w:r w:rsidRPr="007907A9">
        <w:rPr>
          <w:rFonts w:cs="Arial"/>
          <w:sz w:val="22"/>
          <w:szCs w:val="22"/>
        </w:rPr>
        <w:t>’</w:t>
      </w:r>
      <w:r w:rsidR="000B4E4F" w:rsidRPr="007907A9">
        <w:rPr>
          <w:rFonts w:cs="Arial"/>
          <w:sz w:val="22"/>
          <w:szCs w:val="22"/>
        </w:rPr>
        <w:t xml:space="preserve"> </w:t>
      </w:r>
      <w:r w:rsidR="00383CEF">
        <w:rPr>
          <w:rFonts w:cs="Arial"/>
          <w:sz w:val="22"/>
          <w:szCs w:val="22"/>
        </w:rPr>
        <w:t xml:space="preserve">This recommendation was to ensure that there is no gap between cessation of weekly incapacity payments and the qualifying age for the age pension as it increases between 2017 and 2023. </w:t>
      </w:r>
      <w:r w:rsidRPr="007907A9">
        <w:rPr>
          <w:rFonts w:cs="Arial"/>
          <w:sz w:val="22"/>
          <w:szCs w:val="22"/>
        </w:rPr>
        <w:t>The</w:t>
      </w:r>
      <w:r w:rsidR="004D058A">
        <w:rPr>
          <w:rFonts w:cs="Arial"/>
          <w:sz w:val="22"/>
          <w:szCs w:val="22"/>
        </w:rPr>
        <w:t xml:space="preserve"> recommendation was</w:t>
      </w:r>
      <w:r w:rsidRPr="007907A9">
        <w:rPr>
          <w:rFonts w:cs="Arial"/>
          <w:sz w:val="22"/>
          <w:szCs w:val="22"/>
        </w:rPr>
        <w:t xml:space="preserve"> s</w:t>
      </w:r>
      <w:r w:rsidR="004D058A">
        <w:rPr>
          <w:rFonts w:cs="Arial"/>
          <w:sz w:val="22"/>
          <w:szCs w:val="22"/>
        </w:rPr>
        <w:t>ent to relevant M</w:t>
      </w:r>
      <w:r w:rsidR="00105A8E">
        <w:rPr>
          <w:rFonts w:cs="Arial"/>
          <w:sz w:val="22"/>
          <w:szCs w:val="22"/>
        </w:rPr>
        <w:t xml:space="preserve">inisters in </w:t>
      </w:r>
      <w:r w:rsidRPr="007907A9">
        <w:rPr>
          <w:rFonts w:cs="Arial"/>
          <w:sz w:val="22"/>
          <w:szCs w:val="22"/>
        </w:rPr>
        <w:t>late 2013.</w:t>
      </w:r>
      <w:r w:rsidR="00F14D6E" w:rsidRPr="007907A9">
        <w:rPr>
          <w:rFonts w:cs="Arial"/>
          <w:sz w:val="22"/>
          <w:szCs w:val="22"/>
        </w:rPr>
        <w:t xml:space="preserve"> </w:t>
      </w:r>
    </w:p>
    <w:p w:rsidR="002548C0" w:rsidRDefault="00F14D6E" w:rsidP="000B4E4F">
      <w:pPr>
        <w:rPr>
          <w:rFonts w:cs="Arial"/>
          <w:sz w:val="22"/>
          <w:szCs w:val="22"/>
        </w:rPr>
      </w:pPr>
      <w:r w:rsidRPr="007907A9">
        <w:rPr>
          <w:rFonts w:cs="Arial"/>
          <w:sz w:val="22"/>
          <w:szCs w:val="22"/>
        </w:rPr>
        <w:t>South Australia has since enacted new legislation</w:t>
      </w:r>
      <w:r w:rsidR="002E3530">
        <w:rPr>
          <w:rFonts w:cs="Arial"/>
          <w:sz w:val="22"/>
          <w:szCs w:val="22"/>
        </w:rPr>
        <w:t xml:space="preserve"> </w:t>
      </w:r>
      <w:r w:rsidR="00383CEF">
        <w:rPr>
          <w:rFonts w:cs="Arial"/>
          <w:sz w:val="22"/>
          <w:szCs w:val="22"/>
        </w:rPr>
        <w:t>(</w:t>
      </w:r>
      <w:r w:rsidR="00383CEF" w:rsidRPr="00383CEF">
        <w:rPr>
          <w:rFonts w:cs="Arial"/>
          <w:i/>
          <w:sz w:val="22"/>
          <w:szCs w:val="22"/>
        </w:rPr>
        <w:t>Return to Work Act 2014 (SA)</w:t>
      </w:r>
      <w:r w:rsidR="00383CEF">
        <w:rPr>
          <w:rFonts w:cs="Arial"/>
          <w:sz w:val="22"/>
          <w:szCs w:val="22"/>
        </w:rPr>
        <w:t>)</w:t>
      </w:r>
      <w:r w:rsidRPr="007907A9">
        <w:rPr>
          <w:rFonts w:cs="Arial"/>
          <w:sz w:val="22"/>
          <w:szCs w:val="22"/>
        </w:rPr>
        <w:t xml:space="preserve"> which defines retirement age as the qualifying age for the age pension</w:t>
      </w:r>
      <w:r w:rsidR="004D058A">
        <w:rPr>
          <w:rFonts w:cs="Arial"/>
          <w:sz w:val="22"/>
          <w:szCs w:val="22"/>
        </w:rPr>
        <w:t>. The</w:t>
      </w:r>
      <w:r w:rsidRPr="007907A9">
        <w:rPr>
          <w:rFonts w:cs="Arial"/>
          <w:sz w:val="22"/>
          <w:szCs w:val="22"/>
        </w:rPr>
        <w:t xml:space="preserve"> Commonwealth has </w:t>
      </w:r>
      <w:r w:rsidR="004D058A">
        <w:rPr>
          <w:rFonts w:cs="Arial"/>
          <w:sz w:val="22"/>
          <w:szCs w:val="22"/>
        </w:rPr>
        <w:t xml:space="preserve">the </w:t>
      </w:r>
      <w:r w:rsidR="004D058A" w:rsidRPr="004D058A">
        <w:rPr>
          <w:rFonts w:cs="Arial"/>
          <w:i/>
          <w:sz w:val="22"/>
          <w:szCs w:val="22"/>
        </w:rPr>
        <w:t xml:space="preserve">Improving the </w:t>
      </w:r>
      <w:proofErr w:type="spellStart"/>
      <w:r w:rsidR="004D058A" w:rsidRPr="004D058A">
        <w:rPr>
          <w:rFonts w:cs="Arial"/>
          <w:i/>
          <w:sz w:val="22"/>
          <w:szCs w:val="22"/>
        </w:rPr>
        <w:t>Comcare</w:t>
      </w:r>
      <w:proofErr w:type="spellEnd"/>
      <w:r w:rsidR="004D058A" w:rsidRPr="004D058A">
        <w:rPr>
          <w:rFonts w:cs="Arial"/>
          <w:i/>
          <w:sz w:val="22"/>
          <w:szCs w:val="22"/>
        </w:rPr>
        <w:t xml:space="preserve"> Scheme Bill 2015</w:t>
      </w:r>
      <w:r w:rsidRPr="007907A9">
        <w:rPr>
          <w:rFonts w:cs="Arial"/>
          <w:sz w:val="22"/>
          <w:szCs w:val="22"/>
        </w:rPr>
        <w:t xml:space="preserve"> before the Senate to change </w:t>
      </w:r>
      <w:r w:rsidR="004D058A">
        <w:rPr>
          <w:rFonts w:cs="Arial"/>
          <w:sz w:val="22"/>
          <w:szCs w:val="22"/>
        </w:rPr>
        <w:t>the</w:t>
      </w:r>
      <w:r w:rsidRPr="007907A9">
        <w:rPr>
          <w:rFonts w:cs="Arial"/>
          <w:sz w:val="22"/>
          <w:szCs w:val="22"/>
        </w:rPr>
        <w:t xml:space="preserve"> definition</w:t>
      </w:r>
      <w:r w:rsidR="002548C0">
        <w:rPr>
          <w:rFonts w:cs="Arial"/>
          <w:sz w:val="22"/>
          <w:szCs w:val="22"/>
        </w:rPr>
        <w:t xml:space="preserve"> </w:t>
      </w:r>
      <w:r w:rsidR="004D058A">
        <w:rPr>
          <w:rFonts w:cs="Arial"/>
          <w:sz w:val="22"/>
          <w:szCs w:val="22"/>
        </w:rPr>
        <w:t xml:space="preserve">for the purpose of the </w:t>
      </w:r>
      <w:r w:rsidR="004D058A" w:rsidRPr="004D058A">
        <w:rPr>
          <w:rFonts w:cs="Arial"/>
          <w:i/>
          <w:sz w:val="22"/>
          <w:szCs w:val="22"/>
        </w:rPr>
        <w:t>Safety, Rehabilitation and Compensation Act</w:t>
      </w:r>
      <w:r w:rsidR="004D058A">
        <w:rPr>
          <w:rFonts w:cs="Arial"/>
          <w:sz w:val="22"/>
          <w:szCs w:val="22"/>
        </w:rPr>
        <w:t xml:space="preserve"> 1988 (Cth).</w:t>
      </w:r>
      <w:r w:rsidRPr="007907A9">
        <w:rPr>
          <w:rFonts w:cs="Arial"/>
          <w:sz w:val="22"/>
          <w:szCs w:val="22"/>
        </w:rPr>
        <w:t xml:space="preserve"> </w:t>
      </w:r>
    </w:p>
    <w:p w:rsidR="00B73268" w:rsidRPr="007907A9" w:rsidRDefault="00F14D6E" w:rsidP="000B4E4F">
      <w:pPr>
        <w:rPr>
          <w:rFonts w:cs="Arial"/>
          <w:sz w:val="22"/>
          <w:szCs w:val="22"/>
        </w:rPr>
      </w:pPr>
      <w:r w:rsidRPr="007907A9">
        <w:rPr>
          <w:rFonts w:cs="Arial"/>
          <w:sz w:val="22"/>
          <w:szCs w:val="22"/>
        </w:rPr>
        <w:t>The A</w:t>
      </w:r>
      <w:r w:rsidR="002548C0">
        <w:rPr>
          <w:rFonts w:cs="Arial"/>
          <w:sz w:val="22"/>
          <w:szCs w:val="22"/>
        </w:rPr>
        <w:t xml:space="preserve">ustralian Capital Territory </w:t>
      </w:r>
      <w:r w:rsidRPr="007907A9">
        <w:rPr>
          <w:rFonts w:cs="Arial"/>
          <w:sz w:val="22"/>
          <w:szCs w:val="22"/>
        </w:rPr>
        <w:t>has indicated it will amend its legislation</w:t>
      </w:r>
      <w:r w:rsidR="00584942" w:rsidRPr="007907A9">
        <w:rPr>
          <w:rFonts w:cs="Arial"/>
          <w:sz w:val="22"/>
          <w:szCs w:val="22"/>
        </w:rPr>
        <w:t xml:space="preserve"> in 2016</w:t>
      </w:r>
      <w:r w:rsidRPr="007907A9">
        <w:rPr>
          <w:rFonts w:cs="Arial"/>
          <w:sz w:val="22"/>
          <w:szCs w:val="22"/>
        </w:rPr>
        <w:t xml:space="preserve"> </w:t>
      </w:r>
      <w:r w:rsidR="003569A2" w:rsidRPr="007907A9">
        <w:rPr>
          <w:rFonts w:cs="Arial"/>
          <w:sz w:val="22"/>
          <w:szCs w:val="22"/>
        </w:rPr>
        <w:t xml:space="preserve">to </w:t>
      </w:r>
      <w:r w:rsidRPr="007907A9">
        <w:rPr>
          <w:rFonts w:cs="Arial"/>
          <w:sz w:val="22"/>
          <w:szCs w:val="22"/>
        </w:rPr>
        <w:t>change the definition of retirement age to the qualifying age for the age pension.</w:t>
      </w:r>
      <w:r w:rsidR="00383CEF">
        <w:rPr>
          <w:rFonts w:cs="Arial"/>
          <w:sz w:val="22"/>
          <w:szCs w:val="22"/>
        </w:rPr>
        <w:t xml:space="preserve"> Tasmania has also indicated that it is currently considering changing its definition of retirement age to the qualifying age for the age pension.</w:t>
      </w:r>
      <w:r w:rsidRPr="007907A9">
        <w:rPr>
          <w:rFonts w:cs="Arial"/>
          <w:sz w:val="22"/>
          <w:szCs w:val="22"/>
        </w:rPr>
        <w:t xml:space="preserve"> Victoria </w:t>
      </w:r>
      <w:r w:rsidR="00383CEF">
        <w:rPr>
          <w:rFonts w:cs="Arial"/>
          <w:sz w:val="22"/>
          <w:szCs w:val="22"/>
        </w:rPr>
        <w:t>has</w:t>
      </w:r>
      <w:r w:rsidR="00584942" w:rsidRPr="007907A9">
        <w:rPr>
          <w:rFonts w:cs="Arial"/>
          <w:sz w:val="22"/>
          <w:szCs w:val="22"/>
        </w:rPr>
        <w:t xml:space="preserve"> so far not indicated when </w:t>
      </w:r>
      <w:r w:rsidR="004D058A">
        <w:rPr>
          <w:rFonts w:cs="Arial"/>
          <w:sz w:val="22"/>
          <w:szCs w:val="22"/>
        </w:rPr>
        <w:t>it will change its</w:t>
      </w:r>
      <w:r w:rsidR="00584942" w:rsidRPr="007907A9">
        <w:rPr>
          <w:rFonts w:cs="Arial"/>
          <w:sz w:val="22"/>
          <w:szCs w:val="22"/>
        </w:rPr>
        <w:t xml:space="preserve"> definition of retirement age.</w:t>
      </w:r>
    </w:p>
    <w:p w:rsidR="000B4E4F" w:rsidRPr="007907A9" w:rsidRDefault="000B4E4F" w:rsidP="000B4E4F">
      <w:pPr>
        <w:rPr>
          <w:rFonts w:cs="Arial"/>
          <w:sz w:val="22"/>
          <w:szCs w:val="22"/>
          <w:u w:val="single"/>
        </w:rPr>
      </w:pPr>
      <w:r w:rsidRPr="007907A9">
        <w:rPr>
          <w:rFonts w:cs="Arial"/>
          <w:b/>
          <w:sz w:val="22"/>
          <w:szCs w:val="22"/>
          <w:u w:val="single"/>
        </w:rPr>
        <w:t xml:space="preserve">Return to Work </w:t>
      </w:r>
      <w:r w:rsidR="00786194">
        <w:rPr>
          <w:rFonts w:cs="Arial"/>
          <w:b/>
          <w:sz w:val="22"/>
          <w:szCs w:val="22"/>
          <w:u w:val="single"/>
        </w:rPr>
        <w:t>following a compensated injury</w:t>
      </w:r>
    </w:p>
    <w:p w:rsidR="004E7BB3" w:rsidRPr="007907A9" w:rsidRDefault="0022496A" w:rsidP="000B4E4F">
      <w:pPr>
        <w:rPr>
          <w:rFonts w:cs="Arial"/>
          <w:sz w:val="22"/>
          <w:szCs w:val="22"/>
        </w:rPr>
      </w:pPr>
      <w:r w:rsidRPr="007907A9">
        <w:rPr>
          <w:rFonts w:cs="Arial"/>
          <w:sz w:val="22"/>
          <w:szCs w:val="22"/>
        </w:rPr>
        <w:t xml:space="preserve">Safe Work Australia commissioned the Social Research Centre to </w:t>
      </w:r>
      <w:r w:rsidR="00584942" w:rsidRPr="007907A9">
        <w:rPr>
          <w:rFonts w:cs="Arial"/>
          <w:sz w:val="22"/>
          <w:szCs w:val="22"/>
        </w:rPr>
        <w:t xml:space="preserve">analyse </w:t>
      </w:r>
      <w:r w:rsidR="003942AE">
        <w:rPr>
          <w:rFonts w:cs="Arial"/>
          <w:sz w:val="22"/>
          <w:szCs w:val="22"/>
        </w:rPr>
        <w:t xml:space="preserve">combined data from the 2013 and 2014 </w:t>
      </w:r>
      <w:r w:rsidR="000B4E4F" w:rsidRPr="007907A9">
        <w:rPr>
          <w:rFonts w:cs="Arial"/>
          <w:sz w:val="22"/>
          <w:szCs w:val="22"/>
        </w:rPr>
        <w:t>National Return to Work (RTW) Survey</w:t>
      </w:r>
      <w:r w:rsidR="003942AE">
        <w:rPr>
          <w:rFonts w:cs="Arial"/>
          <w:sz w:val="22"/>
          <w:szCs w:val="22"/>
        </w:rPr>
        <w:t>s</w:t>
      </w:r>
      <w:r w:rsidR="00812C91" w:rsidRPr="007907A9">
        <w:rPr>
          <w:rFonts w:cs="Arial"/>
          <w:sz w:val="22"/>
          <w:szCs w:val="22"/>
        </w:rPr>
        <w:t xml:space="preserve"> </w:t>
      </w:r>
      <w:r w:rsidR="002548C0">
        <w:rPr>
          <w:rFonts w:cs="Arial"/>
          <w:sz w:val="22"/>
          <w:szCs w:val="22"/>
        </w:rPr>
        <w:t xml:space="preserve">by age. </w:t>
      </w:r>
      <w:r w:rsidRPr="007907A9">
        <w:rPr>
          <w:rFonts w:cs="Arial"/>
          <w:sz w:val="22"/>
          <w:szCs w:val="22"/>
        </w:rPr>
        <w:t xml:space="preserve">The </w:t>
      </w:r>
      <w:r w:rsidR="00637825" w:rsidRPr="007907A9">
        <w:rPr>
          <w:rFonts w:cs="Arial"/>
          <w:sz w:val="22"/>
          <w:szCs w:val="22"/>
        </w:rPr>
        <w:t>aim</w:t>
      </w:r>
      <w:r w:rsidRPr="007907A9">
        <w:rPr>
          <w:rFonts w:cs="Arial"/>
          <w:sz w:val="22"/>
          <w:szCs w:val="22"/>
        </w:rPr>
        <w:t xml:space="preserve"> </w:t>
      </w:r>
      <w:r w:rsidR="00637825" w:rsidRPr="007907A9">
        <w:rPr>
          <w:rFonts w:cs="Arial"/>
          <w:sz w:val="22"/>
          <w:szCs w:val="22"/>
        </w:rPr>
        <w:t>was to</w:t>
      </w:r>
      <w:r w:rsidRPr="007907A9">
        <w:rPr>
          <w:rFonts w:cs="Arial"/>
          <w:sz w:val="22"/>
          <w:szCs w:val="22"/>
        </w:rPr>
        <w:t xml:space="preserve"> understand how differences in age can impact </w:t>
      </w:r>
      <w:r w:rsidR="00637825" w:rsidRPr="007907A9">
        <w:rPr>
          <w:rFonts w:cs="Arial"/>
          <w:sz w:val="22"/>
          <w:szCs w:val="22"/>
        </w:rPr>
        <w:t xml:space="preserve">on </w:t>
      </w:r>
      <w:r w:rsidRPr="007907A9">
        <w:rPr>
          <w:rFonts w:cs="Arial"/>
          <w:sz w:val="22"/>
          <w:szCs w:val="22"/>
        </w:rPr>
        <w:t xml:space="preserve">the experiences of injured workers in the workers’ compensation claim process, their health and recovery and </w:t>
      </w:r>
      <w:r w:rsidR="004D058A">
        <w:rPr>
          <w:rFonts w:cs="Arial"/>
          <w:sz w:val="22"/>
          <w:szCs w:val="22"/>
        </w:rPr>
        <w:t>their return</w:t>
      </w:r>
      <w:r w:rsidRPr="007907A9">
        <w:rPr>
          <w:rFonts w:cs="Arial"/>
          <w:sz w:val="22"/>
          <w:szCs w:val="22"/>
        </w:rPr>
        <w:t xml:space="preserve"> to work</w:t>
      </w:r>
      <w:r w:rsidR="004D058A">
        <w:rPr>
          <w:rFonts w:cs="Arial"/>
          <w:sz w:val="22"/>
          <w:szCs w:val="22"/>
        </w:rPr>
        <w:t xml:space="preserve"> following an injury</w:t>
      </w:r>
      <w:r w:rsidRPr="007907A9">
        <w:rPr>
          <w:rFonts w:cs="Arial"/>
          <w:sz w:val="22"/>
          <w:szCs w:val="22"/>
        </w:rPr>
        <w:t xml:space="preserve">. The following six age groups were used: 15-25, 26-35, 36-45, 46-55, 56-60 and 61+ years. </w:t>
      </w:r>
    </w:p>
    <w:p w:rsidR="005E1D34" w:rsidRDefault="00672CFD" w:rsidP="00672CFD">
      <w:pPr>
        <w:rPr>
          <w:rFonts w:cs="Arial"/>
          <w:sz w:val="22"/>
          <w:szCs w:val="22"/>
        </w:rPr>
      </w:pPr>
      <w:r w:rsidRPr="007907A9">
        <w:rPr>
          <w:rFonts w:cs="Arial"/>
          <w:sz w:val="22"/>
          <w:szCs w:val="22"/>
        </w:rPr>
        <w:t>Ke</w:t>
      </w:r>
      <w:r w:rsidR="004D058A">
        <w:rPr>
          <w:rFonts w:cs="Arial"/>
          <w:sz w:val="22"/>
          <w:szCs w:val="22"/>
        </w:rPr>
        <w:t>y findings of the analysis show</w:t>
      </w:r>
      <w:r w:rsidRPr="007907A9">
        <w:rPr>
          <w:rFonts w:cs="Arial"/>
          <w:sz w:val="22"/>
          <w:szCs w:val="22"/>
        </w:rPr>
        <w:t xml:space="preserve"> there was very little difference between older workers and other age groups in regards to the perception of their treatment</w:t>
      </w:r>
      <w:r w:rsidR="005E1D34">
        <w:rPr>
          <w:rFonts w:cs="Arial"/>
          <w:sz w:val="22"/>
          <w:szCs w:val="22"/>
        </w:rPr>
        <w:t xml:space="preserve"> by employers and others following injury</w:t>
      </w:r>
      <w:r w:rsidRPr="007907A9">
        <w:rPr>
          <w:rFonts w:cs="Arial"/>
          <w:sz w:val="22"/>
          <w:szCs w:val="22"/>
        </w:rPr>
        <w:t xml:space="preserve">. </w:t>
      </w:r>
    </w:p>
    <w:p w:rsidR="005E1D34" w:rsidRDefault="005E1D34" w:rsidP="00672CFD">
      <w:pPr>
        <w:rPr>
          <w:rFonts w:cs="Arial"/>
          <w:sz w:val="22"/>
          <w:szCs w:val="22"/>
        </w:rPr>
      </w:pPr>
      <w:r>
        <w:rPr>
          <w:rFonts w:cs="Arial"/>
          <w:sz w:val="22"/>
          <w:szCs w:val="22"/>
        </w:rPr>
        <w:lastRenderedPageBreak/>
        <w:t>Return to work outcomes were examined for workers whose claim was lodged 7-9 months prior to the survey using three measures:</w:t>
      </w:r>
    </w:p>
    <w:p w:rsidR="005E1D34" w:rsidRDefault="005E1D34" w:rsidP="005E1D34">
      <w:pPr>
        <w:pStyle w:val="ListParagraph"/>
        <w:numPr>
          <w:ilvl w:val="0"/>
          <w:numId w:val="54"/>
        </w:numPr>
        <w:rPr>
          <w:rFonts w:cs="Arial"/>
          <w:sz w:val="22"/>
          <w:szCs w:val="22"/>
        </w:rPr>
      </w:pPr>
      <w:r>
        <w:rPr>
          <w:rFonts w:cs="Arial"/>
          <w:sz w:val="22"/>
          <w:szCs w:val="22"/>
        </w:rPr>
        <w:t>Returned to work – the proportion of people who had returned at any time since their claim was lodged</w:t>
      </w:r>
    </w:p>
    <w:p w:rsidR="005E1D34" w:rsidRDefault="005E1D34" w:rsidP="005E1D34">
      <w:pPr>
        <w:pStyle w:val="ListParagraph"/>
        <w:numPr>
          <w:ilvl w:val="0"/>
          <w:numId w:val="54"/>
        </w:numPr>
        <w:rPr>
          <w:rFonts w:cs="Arial"/>
          <w:sz w:val="22"/>
          <w:szCs w:val="22"/>
        </w:rPr>
      </w:pPr>
      <w:r>
        <w:rPr>
          <w:rFonts w:cs="Arial"/>
          <w:sz w:val="22"/>
          <w:szCs w:val="22"/>
        </w:rPr>
        <w:t>Current return to work – those who were at work at the time of the survey, and</w:t>
      </w:r>
    </w:p>
    <w:p w:rsidR="005E1D34" w:rsidRPr="005E1D34" w:rsidRDefault="005E1D34" w:rsidP="005E1D34">
      <w:pPr>
        <w:pStyle w:val="ListParagraph"/>
        <w:numPr>
          <w:ilvl w:val="0"/>
          <w:numId w:val="54"/>
        </w:numPr>
        <w:rPr>
          <w:rFonts w:cs="Arial"/>
          <w:sz w:val="22"/>
          <w:szCs w:val="22"/>
        </w:rPr>
      </w:pPr>
      <w:r>
        <w:rPr>
          <w:rFonts w:cs="Arial"/>
          <w:sz w:val="22"/>
          <w:szCs w:val="22"/>
        </w:rPr>
        <w:t>3-month stable return to work – those who were back at work at the time of interview and had been working continuously for three months or more.</w:t>
      </w:r>
    </w:p>
    <w:p w:rsidR="00F7144E" w:rsidRDefault="00F115E0" w:rsidP="00672CFD">
      <w:pPr>
        <w:rPr>
          <w:rFonts w:cs="Arial"/>
          <w:sz w:val="22"/>
          <w:szCs w:val="22"/>
        </w:rPr>
      </w:pPr>
      <w:r w:rsidRPr="007907A9">
        <w:rPr>
          <w:rFonts w:cs="Arial"/>
          <w:sz w:val="22"/>
          <w:szCs w:val="22"/>
        </w:rPr>
        <w:t xml:space="preserve">Older </w:t>
      </w:r>
      <w:r w:rsidR="00672CFD" w:rsidRPr="007907A9">
        <w:rPr>
          <w:rFonts w:cs="Arial"/>
          <w:sz w:val="22"/>
          <w:szCs w:val="22"/>
        </w:rPr>
        <w:t xml:space="preserve">workers </w:t>
      </w:r>
      <w:r w:rsidR="0059717E" w:rsidRPr="007907A9">
        <w:rPr>
          <w:rFonts w:cs="Arial"/>
          <w:sz w:val="22"/>
          <w:szCs w:val="22"/>
        </w:rPr>
        <w:t xml:space="preserve">aged 61+ </w:t>
      </w:r>
      <w:r w:rsidR="00672CFD" w:rsidRPr="007907A9">
        <w:rPr>
          <w:rFonts w:cs="Arial"/>
          <w:sz w:val="22"/>
          <w:szCs w:val="22"/>
        </w:rPr>
        <w:t xml:space="preserve">had </w:t>
      </w:r>
      <w:r w:rsidRPr="007907A9">
        <w:rPr>
          <w:rFonts w:cs="Arial"/>
          <w:sz w:val="22"/>
          <w:szCs w:val="22"/>
        </w:rPr>
        <w:t xml:space="preserve">slightly </w:t>
      </w:r>
      <w:r w:rsidR="00672CFD" w:rsidRPr="007907A9">
        <w:rPr>
          <w:rFonts w:cs="Arial"/>
          <w:sz w:val="22"/>
          <w:szCs w:val="22"/>
        </w:rPr>
        <w:t>lower RTW rates</w:t>
      </w:r>
      <w:r w:rsidRPr="007907A9">
        <w:rPr>
          <w:rFonts w:cs="Arial"/>
          <w:sz w:val="22"/>
          <w:szCs w:val="22"/>
        </w:rPr>
        <w:t xml:space="preserve"> than the average</w:t>
      </w:r>
      <w:r w:rsidR="00672CFD" w:rsidRPr="007907A9">
        <w:rPr>
          <w:rFonts w:cs="Arial"/>
          <w:sz w:val="22"/>
          <w:szCs w:val="22"/>
        </w:rPr>
        <w:t xml:space="preserve">. Overall </w:t>
      </w:r>
      <w:r w:rsidRPr="007907A9">
        <w:rPr>
          <w:rFonts w:cs="Arial"/>
          <w:sz w:val="22"/>
          <w:szCs w:val="22"/>
        </w:rPr>
        <w:t>76</w:t>
      </w:r>
      <w:r w:rsidR="00672CFD" w:rsidRPr="007907A9">
        <w:rPr>
          <w:rFonts w:cs="Arial"/>
          <w:sz w:val="22"/>
          <w:szCs w:val="22"/>
        </w:rPr>
        <w:t>% of injured workers reported that they were currently working in a paid job at the time of the interview</w:t>
      </w:r>
      <w:r w:rsidRPr="007907A9">
        <w:rPr>
          <w:rFonts w:cs="Arial"/>
          <w:sz w:val="22"/>
          <w:szCs w:val="22"/>
        </w:rPr>
        <w:t xml:space="preserve"> compared to</w:t>
      </w:r>
      <w:r w:rsidR="005E1D34">
        <w:rPr>
          <w:rFonts w:cs="Arial"/>
          <w:sz w:val="22"/>
          <w:szCs w:val="22"/>
        </w:rPr>
        <w:t xml:space="preserve"> 72 per cent of workers aged 6</w:t>
      </w:r>
      <w:r w:rsidR="00190BF2">
        <w:rPr>
          <w:rFonts w:cs="Arial"/>
          <w:sz w:val="22"/>
          <w:szCs w:val="22"/>
        </w:rPr>
        <w:t>1 o</w:t>
      </w:r>
      <w:r w:rsidR="005E1D34">
        <w:rPr>
          <w:rFonts w:cs="Arial"/>
          <w:sz w:val="22"/>
          <w:szCs w:val="22"/>
        </w:rPr>
        <w:t xml:space="preserve">r over. </w:t>
      </w:r>
      <w:r w:rsidR="00672CFD" w:rsidRPr="007907A9">
        <w:rPr>
          <w:rFonts w:cs="Arial"/>
          <w:sz w:val="22"/>
          <w:szCs w:val="22"/>
        </w:rPr>
        <w:t xml:space="preserve">The analysis showed that the second oldest age group (56-60) had similar RTW rates as the three age groups between 26 and 55. </w:t>
      </w:r>
    </w:p>
    <w:p w:rsidR="002548C0" w:rsidRPr="007907A9" w:rsidRDefault="002548C0" w:rsidP="00672CFD">
      <w:pPr>
        <w:rPr>
          <w:rFonts w:cs="Arial"/>
          <w:sz w:val="22"/>
          <w:szCs w:val="22"/>
        </w:rPr>
      </w:pPr>
      <w:r>
        <w:rPr>
          <w:rFonts w:cs="Arial"/>
          <w:sz w:val="22"/>
          <w:szCs w:val="22"/>
        </w:rPr>
        <w:t xml:space="preserve">The report at </w:t>
      </w:r>
      <w:r w:rsidRPr="002548C0">
        <w:rPr>
          <w:rFonts w:cs="Arial"/>
          <w:sz w:val="22"/>
          <w:szCs w:val="22"/>
          <w:u w:val="single"/>
        </w:rPr>
        <w:t>Attachment A</w:t>
      </w:r>
      <w:r>
        <w:rPr>
          <w:rFonts w:cs="Arial"/>
          <w:sz w:val="22"/>
          <w:szCs w:val="22"/>
        </w:rPr>
        <w:t xml:space="preserve"> provides details of the analysis. The report will be published early in 2016.</w:t>
      </w:r>
    </w:p>
    <w:p w:rsidR="00723058" w:rsidRPr="00786194" w:rsidRDefault="00723058" w:rsidP="00723058">
      <w:pPr>
        <w:rPr>
          <w:rFonts w:cs="Arial"/>
          <w:b/>
          <w:sz w:val="22"/>
          <w:szCs w:val="22"/>
          <w:u w:val="single"/>
        </w:rPr>
      </w:pPr>
      <w:r w:rsidRPr="00786194">
        <w:rPr>
          <w:rFonts w:cs="Arial"/>
          <w:b/>
          <w:sz w:val="22"/>
          <w:szCs w:val="22"/>
          <w:u w:val="single"/>
        </w:rPr>
        <w:t xml:space="preserve">Future work </w:t>
      </w:r>
    </w:p>
    <w:p w:rsidR="00723058" w:rsidRDefault="00723058" w:rsidP="00723058">
      <w:pPr>
        <w:spacing w:before="0"/>
        <w:rPr>
          <w:rFonts w:cs="Arial"/>
          <w:sz w:val="22"/>
          <w:szCs w:val="22"/>
        </w:rPr>
      </w:pPr>
      <w:r>
        <w:rPr>
          <w:rFonts w:cs="Arial"/>
          <w:sz w:val="22"/>
          <w:szCs w:val="22"/>
        </w:rPr>
        <w:t>Safe Work Australia</w:t>
      </w:r>
      <w:r w:rsidRPr="007907A9">
        <w:rPr>
          <w:rFonts w:cs="Arial"/>
          <w:sz w:val="22"/>
          <w:szCs w:val="22"/>
        </w:rPr>
        <w:t xml:space="preserve"> will continu</w:t>
      </w:r>
      <w:r>
        <w:rPr>
          <w:rFonts w:cs="Arial"/>
          <w:sz w:val="22"/>
          <w:szCs w:val="22"/>
        </w:rPr>
        <w:t>e</w:t>
      </w:r>
      <w:r w:rsidRPr="007907A9">
        <w:rPr>
          <w:rFonts w:cs="Arial"/>
          <w:sz w:val="22"/>
          <w:szCs w:val="22"/>
        </w:rPr>
        <w:t xml:space="preserve"> to progress policies and potential program</w:t>
      </w:r>
      <w:r w:rsidR="00190BF2">
        <w:rPr>
          <w:rFonts w:cs="Arial"/>
          <w:sz w:val="22"/>
          <w:szCs w:val="22"/>
        </w:rPr>
        <w:t>me</w:t>
      </w:r>
      <w:r w:rsidRPr="007907A9">
        <w:rPr>
          <w:rFonts w:cs="Arial"/>
          <w:sz w:val="22"/>
          <w:szCs w:val="22"/>
        </w:rPr>
        <w:t xml:space="preserve">s to further good work design and increase the workability of older workers. </w:t>
      </w:r>
      <w:r>
        <w:rPr>
          <w:rFonts w:cs="Arial"/>
          <w:sz w:val="22"/>
          <w:szCs w:val="22"/>
        </w:rPr>
        <w:t xml:space="preserve">In particular, Safe Work Australia is currently examining the work health and safety of older workers in physically demanding </w:t>
      </w:r>
      <w:r w:rsidR="00105A8E">
        <w:rPr>
          <w:rFonts w:cs="Arial"/>
          <w:sz w:val="22"/>
          <w:szCs w:val="22"/>
        </w:rPr>
        <w:t>jobs under its Emerging Issues P</w:t>
      </w:r>
      <w:r>
        <w:rPr>
          <w:rFonts w:cs="Arial"/>
          <w:sz w:val="22"/>
          <w:szCs w:val="22"/>
        </w:rPr>
        <w:t>rogram. The aim of the project is to identify issues including common causes of injury and potential interventions to reduce injury and improve the workability of these workers.</w:t>
      </w:r>
    </w:p>
    <w:p w:rsidR="00723058" w:rsidRDefault="00723058" w:rsidP="00723058">
      <w:pPr>
        <w:spacing w:before="0"/>
        <w:rPr>
          <w:rFonts w:cs="Arial"/>
          <w:sz w:val="22"/>
          <w:szCs w:val="22"/>
        </w:rPr>
      </w:pPr>
      <w:r>
        <w:rPr>
          <w:rFonts w:cs="Arial"/>
          <w:sz w:val="22"/>
          <w:szCs w:val="22"/>
        </w:rPr>
        <w:t xml:space="preserve">Safe Work Australia also has a number of projects aimed at improving return to work outcomes </w:t>
      </w:r>
      <w:r w:rsidR="00786194">
        <w:rPr>
          <w:rFonts w:cs="Arial"/>
          <w:sz w:val="22"/>
          <w:szCs w:val="22"/>
        </w:rPr>
        <w:t>following</w:t>
      </w:r>
      <w:r w:rsidR="00105A8E">
        <w:rPr>
          <w:rFonts w:cs="Arial"/>
          <w:sz w:val="22"/>
          <w:szCs w:val="22"/>
        </w:rPr>
        <w:t xml:space="preserve"> injury </w:t>
      </w:r>
      <w:r>
        <w:rPr>
          <w:rFonts w:cs="Arial"/>
          <w:sz w:val="22"/>
          <w:szCs w:val="22"/>
        </w:rPr>
        <w:t xml:space="preserve">for all workers including older workers. </w:t>
      </w:r>
    </w:p>
    <w:p w:rsidR="00723058" w:rsidRDefault="00723058" w:rsidP="00723058">
      <w:pPr>
        <w:spacing w:before="0" w:after="0"/>
        <w:rPr>
          <w:rFonts w:cs="Arial"/>
          <w:sz w:val="22"/>
          <w:szCs w:val="22"/>
        </w:rPr>
      </w:pPr>
      <w:r>
        <w:rPr>
          <w:rFonts w:cs="Arial"/>
          <w:sz w:val="22"/>
          <w:szCs w:val="22"/>
        </w:rPr>
        <w:t>Australia</w:t>
      </w:r>
      <w:r w:rsidR="00190BF2">
        <w:rPr>
          <w:rFonts w:cs="Arial"/>
          <w:sz w:val="22"/>
          <w:szCs w:val="22"/>
        </w:rPr>
        <w:t>n jurisdictions</w:t>
      </w:r>
      <w:r>
        <w:rPr>
          <w:rFonts w:cs="Arial"/>
          <w:sz w:val="22"/>
          <w:szCs w:val="22"/>
        </w:rPr>
        <w:t xml:space="preserve"> are also currently progressing policies, program</w:t>
      </w:r>
      <w:r w:rsidR="00190BF2">
        <w:rPr>
          <w:rFonts w:cs="Arial"/>
          <w:sz w:val="22"/>
          <w:szCs w:val="22"/>
        </w:rPr>
        <w:t>me</w:t>
      </w:r>
      <w:r>
        <w:rPr>
          <w:rFonts w:cs="Arial"/>
          <w:sz w:val="22"/>
          <w:szCs w:val="22"/>
        </w:rPr>
        <w:t xml:space="preserve">s and guidance material on </w:t>
      </w:r>
      <w:r w:rsidR="00190BF2">
        <w:rPr>
          <w:rFonts w:cs="Arial"/>
          <w:sz w:val="22"/>
          <w:szCs w:val="22"/>
        </w:rPr>
        <w:t xml:space="preserve">and for </w:t>
      </w:r>
      <w:r>
        <w:rPr>
          <w:rFonts w:cs="Arial"/>
          <w:sz w:val="22"/>
          <w:szCs w:val="22"/>
        </w:rPr>
        <w:t xml:space="preserve">older workers. For example, </w:t>
      </w:r>
      <w:proofErr w:type="spellStart"/>
      <w:r>
        <w:rPr>
          <w:rFonts w:cs="Arial"/>
          <w:sz w:val="22"/>
          <w:szCs w:val="22"/>
        </w:rPr>
        <w:t>WorkSafe</w:t>
      </w:r>
      <w:proofErr w:type="spellEnd"/>
      <w:r>
        <w:rPr>
          <w:rFonts w:cs="Arial"/>
          <w:sz w:val="22"/>
          <w:szCs w:val="22"/>
        </w:rPr>
        <w:t xml:space="preserve"> Tasmania has recently published </w:t>
      </w:r>
      <w:hyperlink r:id="rId19" w:history="1">
        <w:r w:rsidRPr="00786194">
          <w:rPr>
            <w:rStyle w:val="Hyperlink"/>
            <w:rFonts w:cs="Arial"/>
            <w:i/>
            <w:sz w:val="22"/>
            <w:szCs w:val="22"/>
          </w:rPr>
          <w:t xml:space="preserve">Safe and Healthy: A Guide to Managing an </w:t>
        </w:r>
        <w:r w:rsidR="00786194" w:rsidRPr="00786194">
          <w:rPr>
            <w:rStyle w:val="Hyperlink"/>
            <w:rFonts w:cs="Arial"/>
            <w:i/>
            <w:sz w:val="22"/>
            <w:szCs w:val="22"/>
          </w:rPr>
          <w:t>Ageing</w:t>
        </w:r>
        <w:r w:rsidRPr="00786194">
          <w:rPr>
            <w:rStyle w:val="Hyperlink"/>
            <w:rFonts w:cs="Arial"/>
            <w:i/>
            <w:sz w:val="22"/>
            <w:szCs w:val="22"/>
          </w:rPr>
          <w:t xml:space="preserve"> Workforce</w:t>
        </w:r>
        <w:r w:rsidRPr="00786194">
          <w:rPr>
            <w:rStyle w:val="Hyperlink"/>
            <w:rFonts w:cs="Arial"/>
            <w:sz w:val="22"/>
            <w:szCs w:val="22"/>
          </w:rPr>
          <w:t>.</w:t>
        </w:r>
      </w:hyperlink>
      <w:r>
        <w:rPr>
          <w:rFonts w:cs="Arial"/>
          <w:sz w:val="22"/>
          <w:szCs w:val="22"/>
        </w:rPr>
        <w:t xml:space="preserve"> The guide addresses common misconceptions about the capabilities of older workers, and promotes good work design changes that may assist in keeping older workers employed and productive. It also reiterates that by improving and maintaining a safe and healthy work environment, an employer can improve productivity through the benefits it provides to both younger and older workers.  </w:t>
      </w:r>
    </w:p>
    <w:p w:rsidR="00723058" w:rsidRDefault="00723058" w:rsidP="00723058">
      <w:pPr>
        <w:spacing w:before="0" w:after="0"/>
        <w:rPr>
          <w:rFonts w:cs="Arial"/>
          <w:sz w:val="22"/>
          <w:szCs w:val="22"/>
        </w:rPr>
      </w:pPr>
    </w:p>
    <w:p w:rsidR="00BB5BBF" w:rsidRDefault="00BB5BBF">
      <w:pPr>
        <w:spacing w:before="0" w:after="200" w:line="276" w:lineRule="auto"/>
        <w:rPr>
          <w:rFonts w:cs="Arial"/>
          <w:sz w:val="22"/>
          <w:szCs w:val="22"/>
        </w:rPr>
      </w:pPr>
      <w:r>
        <w:rPr>
          <w:rFonts w:cs="Arial"/>
          <w:sz w:val="22"/>
          <w:szCs w:val="22"/>
        </w:rPr>
        <w:br w:type="page"/>
      </w:r>
    </w:p>
    <w:p w:rsidR="00736B16" w:rsidRDefault="00BB5BBF" w:rsidP="00BB5BBF">
      <w:pPr>
        <w:jc w:val="right"/>
        <w:rPr>
          <w:rFonts w:cs="Arial"/>
          <w:sz w:val="22"/>
          <w:szCs w:val="22"/>
          <w:u w:val="single"/>
        </w:rPr>
      </w:pPr>
      <w:r w:rsidRPr="00BB5BBF">
        <w:rPr>
          <w:rFonts w:cs="Arial"/>
          <w:sz w:val="22"/>
          <w:szCs w:val="22"/>
          <w:u w:val="single"/>
        </w:rPr>
        <w:lastRenderedPageBreak/>
        <w:t>Appendix A</w:t>
      </w:r>
    </w:p>
    <w:p w:rsidR="00BB5BBF" w:rsidRPr="002E3530" w:rsidRDefault="004D058A" w:rsidP="00BB5BBF">
      <w:pPr>
        <w:rPr>
          <w:rFonts w:cs="Arial"/>
          <w:sz w:val="22"/>
          <w:szCs w:val="22"/>
          <w:u w:val="single"/>
        </w:rPr>
      </w:pPr>
      <w:r w:rsidRPr="002E3530">
        <w:rPr>
          <w:rFonts w:cs="Arial"/>
          <w:sz w:val="22"/>
          <w:szCs w:val="22"/>
          <w:u w:val="single"/>
        </w:rPr>
        <w:t>Retirement age p</w:t>
      </w:r>
      <w:r w:rsidR="00BB5BBF" w:rsidRPr="002E3530">
        <w:rPr>
          <w:rFonts w:cs="Arial"/>
          <w:sz w:val="22"/>
          <w:szCs w:val="22"/>
          <w:u w:val="single"/>
        </w:rPr>
        <w:t xml:space="preserve">rovisions </w:t>
      </w:r>
      <w:r w:rsidRPr="002E3530">
        <w:rPr>
          <w:rFonts w:cs="Arial"/>
          <w:sz w:val="22"/>
          <w:szCs w:val="22"/>
          <w:u w:val="single"/>
        </w:rPr>
        <w:t>in workers’ compensation schemes.</w:t>
      </w:r>
    </w:p>
    <w:p w:rsidR="00BB5BBF" w:rsidRDefault="00BB5BBF" w:rsidP="00BB5BBF">
      <w:pPr>
        <w:rPr>
          <w:rFonts w:cs="Arial"/>
          <w:sz w:val="22"/>
          <w:szCs w:val="22"/>
          <w:u w:val="single"/>
        </w:rPr>
      </w:pPr>
    </w:p>
    <w:p w:rsidR="00BB5BBF" w:rsidRPr="007907A9" w:rsidRDefault="00BB5BBF" w:rsidP="00BB5BBF">
      <w:pPr>
        <w:numPr>
          <w:ilvl w:val="0"/>
          <w:numId w:val="23"/>
        </w:numPr>
        <w:spacing w:before="0" w:after="0" w:line="276" w:lineRule="auto"/>
        <w:ind w:hanging="360"/>
        <w:contextualSpacing/>
        <w:rPr>
          <w:rFonts w:cs="Arial"/>
          <w:sz w:val="22"/>
          <w:szCs w:val="22"/>
        </w:rPr>
      </w:pPr>
      <w:r w:rsidRPr="007907A9">
        <w:rPr>
          <w:rFonts w:cs="Arial"/>
          <w:b/>
          <w:sz w:val="22"/>
          <w:szCs w:val="22"/>
        </w:rPr>
        <w:t>Commonwealth (</w:t>
      </w:r>
      <w:proofErr w:type="spellStart"/>
      <w:r w:rsidRPr="007907A9">
        <w:rPr>
          <w:rFonts w:cs="Arial"/>
          <w:b/>
          <w:sz w:val="22"/>
          <w:szCs w:val="22"/>
        </w:rPr>
        <w:t>Comcare</w:t>
      </w:r>
      <w:proofErr w:type="spellEnd"/>
      <w:r w:rsidRPr="007907A9">
        <w:rPr>
          <w:rFonts w:cs="Arial"/>
          <w:b/>
          <w:sz w:val="22"/>
          <w:szCs w:val="22"/>
        </w:rPr>
        <w:t>)</w:t>
      </w:r>
    </w:p>
    <w:p w:rsidR="00BB5BBF" w:rsidRPr="007907A9" w:rsidRDefault="00BB5BBF" w:rsidP="00BB5BBF">
      <w:pPr>
        <w:ind w:left="720"/>
        <w:rPr>
          <w:rFonts w:cs="Arial"/>
          <w:sz w:val="22"/>
          <w:szCs w:val="22"/>
        </w:rPr>
      </w:pPr>
      <w:proofErr w:type="gramStart"/>
      <w:r w:rsidRPr="007907A9">
        <w:rPr>
          <w:rFonts w:cs="Arial"/>
          <w:sz w:val="22"/>
          <w:szCs w:val="22"/>
        </w:rPr>
        <w:t>an</w:t>
      </w:r>
      <w:proofErr w:type="gramEnd"/>
      <w:r w:rsidRPr="007907A9">
        <w:rPr>
          <w:rFonts w:cs="Arial"/>
          <w:sz w:val="22"/>
          <w:szCs w:val="22"/>
        </w:rPr>
        <w:t xml:space="preserve"> employee who is aged 63 and over when injured is entitled to a maximum of 104 week</w:t>
      </w:r>
      <w:r>
        <w:rPr>
          <w:rFonts w:cs="Arial"/>
          <w:sz w:val="22"/>
          <w:szCs w:val="22"/>
        </w:rPr>
        <w:t xml:space="preserve">s of weekly incapacity payments – section 23(1A) </w:t>
      </w:r>
      <w:r w:rsidRPr="007907A9">
        <w:rPr>
          <w:rFonts w:cs="Arial"/>
          <w:sz w:val="22"/>
          <w:szCs w:val="22"/>
        </w:rPr>
        <w:t xml:space="preserve">of the </w:t>
      </w:r>
      <w:r w:rsidRPr="007907A9">
        <w:rPr>
          <w:rFonts w:cs="Arial"/>
          <w:i/>
          <w:sz w:val="22"/>
          <w:szCs w:val="22"/>
        </w:rPr>
        <w:t xml:space="preserve">Safety, Rehabilitation and Compensation Act 1988 </w:t>
      </w:r>
      <w:r w:rsidRPr="007907A9">
        <w:rPr>
          <w:rFonts w:cs="Arial"/>
          <w:sz w:val="22"/>
          <w:szCs w:val="22"/>
        </w:rPr>
        <w:t>(Cth</w:t>
      </w:r>
    </w:p>
    <w:p w:rsidR="00BB5BBF" w:rsidRPr="007907A9" w:rsidRDefault="00BB5BBF" w:rsidP="00BB5BBF">
      <w:pPr>
        <w:numPr>
          <w:ilvl w:val="0"/>
          <w:numId w:val="17"/>
        </w:numPr>
        <w:spacing w:before="0" w:after="0" w:line="276" w:lineRule="auto"/>
        <w:ind w:hanging="360"/>
        <w:contextualSpacing/>
        <w:rPr>
          <w:rFonts w:cs="Arial"/>
          <w:b/>
          <w:sz w:val="22"/>
          <w:szCs w:val="22"/>
        </w:rPr>
      </w:pPr>
      <w:r w:rsidRPr="007907A9">
        <w:rPr>
          <w:rFonts w:cs="Arial"/>
          <w:b/>
          <w:sz w:val="22"/>
          <w:szCs w:val="22"/>
        </w:rPr>
        <w:t>Commonwealth (Department of Veterans’ Affairs)</w:t>
      </w:r>
    </w:p>
    <w:p w:rsidR="00BB5BBF" w:rsidRPr="007907A9" w:rsidRDefault="00BB5BBF" w:rsidP="00BB5BBF">
      <w:pPr>
        <w:ind w:left="720"/>
        <w:rPr>
          <w:rFonts w:cs="Arial"/>
          <w:sz w:val="22"/>
          <w:szCs w:val="22"/>
        </w:rPr>
      </w:pPr>
      <w:proofErr w:type="gramStart"/>
      <w:r w:rsidRPr="007907A9">
        <w:rPr>
          <w:rFonts w:cs="Arial"/>
          <w:sz w:val="22"/>
          <w:szCs w:val="22"/>
        </w:rPr>
        <w:t>a</w:t>
      </w:r>
      <w:proofErr w:type="gramEnd"/>
      <w:r w:rsidRPr="007907A9">
        <w:rPr>
          <w:rFonts w:cs="Arial"/>
          <w:sz w:val="22"/>
          <w:szCs w:val="22"/>
        </w:rPr>
        <w:t xml:space="preserve"> person who is aged 63 and over when injured is entitled to 104 weeks of compensation</w:t>
      </w:r>
      <w:r>
        <w:rPr>
          <w:rFonts w:cs="Arial"/>
          <w:sz w:val="22"/>
          <w:szCs w:val="22"/>
        </w:rPr>
        <w:t xml:space="preserve"> – section </w:t>
      </w:r>
      <w:r w:rsidRPr="007907A9">
        <w:rPr>
          <w:rFonts w:cs="Arial"/>
          <w:sz w:val="22"/>
          <w:szCs w:val="22"/>
        </w:rPr>
        <w:t xml:space="preserve">121 of the </w:t>
      </w:r>
      <w:r w:rsidRPr="007907A9">
        <w:rPr>
          <w:rFonts w:cs="Arial"/>
          <w:i/>
          <w:sz w:val="22"/>
          <w:szCs w:val="22"/>
        </w:rPr>
        <w:t xml:space="preserve">Military Rehabilitation and Compensation Act 2004 </w:t>
      </w:r>
      <w:r w:rsidRPr="007907A9">
        <w:rPr>
          <w:rFonts w:cs="Arial"/>
          <w:sz w:val="22"/>
          <w:szCs w:val="22"/>
        </w:rPr>
        <w:t xml:space="preserve">(Cth). </w:t>
      </w:r>
    </w:p>
    <w:p w:rsidR="00BB5BBF" w:rsidRPr="007907A9" w:rsidRDefault="00BB5BBF" w:rsidP="00BB5BBF">
      <w:pPr>
        <w:numPr>
          <w:ilvl w:val="0"/>
          <w:numId w:val="22"/>
        </w:numPr>
        <w:spacing w:before="0" w:after="0" w:line="276" w:lineRule="auto"/>
        <w:ind w:hanging="360"/>
        <w:contextualSpacing/>
        <w:rPr>
          <w:rFonts w:cs="Arial"/>
          <w:sz w:val="22"/>
          <w:szCs w:val="22"/>
        </w:rPr>
      </w:pPr>
      <w:r w:rsidRPr="007907A9">
        <w:rPr>
          <w:rFonts w:cs="Arial"/>
          <w:b/>
          <w:sz w:val="22"/>
          <w:szCs w:val="22"/>
        </w:rPr>
        <w:t>New South Wale</w:t>
      </w:r>
      <w:r w:rsidRPr="007907A9">
        <w:rPr>
          <w:rFonts w:cs="Arial"/>
          <w:sz w:val="22"/>
          <w:szCs w:val="22"/>
        </w:rPr>
        <w:t>s</w:t>
      </w:r>
    </w:p>
    <w:p w:rsidR="00BB5BBF" w:rsidRPr="007907A9" w:rsidRDefault="00BB5BBF" w:rsidP="00BB5BBF">
      <w:pPr>
        <w:ind w:left="1060" w:hanging="340"/>
        <w:rPr>
          <w:rFonts w:cs="Arial"/>
          <w:sz w:val="22"/>
          <w:szCs w:val="22"/>
        </w:rPr>
      </w:pPr>
      <w:r>
        <w:rPr>
          <w:rFonts w:cs="Arial"/>
          <w:sz w:val="22"/>
          <w:szCs w:val="22"/>
        </w:rPr>
        <w:t>Section</w:t>
      </w:r>
      <w:r w:rsidRPr="007907A9">
        <w:rPr>
          <w:rFonts w:cs="Arial"/>
          <w:sz w:val="22"/>
          <w:szCs w:val="22"/>
        </w:rPr>
        <w:t xml:space="preserve"> 52 of the </w:t>
      </w:r>
      <w:r w:rsidRPr="007907A9">
        <w:rPr>
          <w:rFonts w:cs="Arial"/>
          <w:i/>
          <w:sz w:val="22"/>
          <w:szCs w:val="22"/>
        </w:rPr>
        <w:t xml:space="preserve">Workers Compensation Act 1987 No 70 </w:t>
      </w:r>
      <w:r w:rsidRPr="007907A9">
        <w:rPr>
          <w:rFonts w:cs="Arial"/>
          <w:sz w:val="22"/>
          <w:szCs w:val="22"/>
        </w:rPr>
        <w:t xml:space="preserve">(NSW) </w:t>
      </w:r>
      <w:r w:rsidR="00851874">
        <w:rPr>
          <w:rFonts w:cs="Arial"/>
          <w:sz w:val="22"/>
          <w:szCs w:val="22"/>
        </w:rPr>
        <w:t>provides:</w:t>
      </w:r>
    </w:p>
    <w:p w:rsidR="00BB5BBF" w:rsidRPr="007907A9" w:rsidRDefault="00BB5BBF" w:rsidP="00BB5BBF">
      <w:pPr>
        <w:ind w:left="1060" w:hanging="340"/>
        <w:rPr>
          <w:rFonts w:cs="Arial"/>
          <w:sz w:val="22"/>
          <w:szCs w:val="22"/>
        </w:rPr>
      </w:pPr>
      <w:r w:rsidRPr="007907A9">
        <w:rPr>
          <w:rFonts w:cs="Arial"/>
          <w:sz w:val="22"/>
          <w:szCs w:val="22"/>
        </w:rPr>
        <w:t>(1)  In this section:</w:t>
      </w:r>
    </w:p>
    <w:p w:rsidR="00BB5BBF" w:rsidRPr="007907A9" w:rsidRDefault="00BB5BBF" w:rsidP="00BB5BBF">
      <w:pPr>
        <w:ind w:left="1060" w:hanging="340"/>
        <w:rPr>
          <w:rFonts w:cs="Arial"/>
          <w:sz w:val="22"/>
          <w:szCs w:val="22"/>
        </w:rPr>
      </w:pPr>
      <w:r w:rsidRPr="007907A9">
        <w:rPr>
          <w:rFonts w:cs="Arial"/>
          <w:b/>
          <w:bCs/>
          <w:i/>
          <w:iCs/>
          <w:sz w:val="22"/>
          <w:szCs w:val="22"/>
        </w:rPr>
        <w:t xml:space="preserve">      </w:t>
      </w:r>
      <w:proofErr w:type="gramStart"/>
      <w:r w:rsidRPr="007907A9">
        <w:rPr>
          <w:rFonts w:cs="Arial"/>
          <w:b/>
          <w:bCs/>
          <w:i/>
          <w:iCs/>
          <w:sz w:val="22"/>
          <w:szCs w:val="22"/>
        </w:rPr>
        <w:t>retiring</w:t>
      </w:r>
      <w:proofErr w:type="gramEnd"/>
      <w:r w:rsidRPr="007907A9">
        <w:rPr>
          <w:rFonts w:cs="Arial"/>
          <w:b/>
          <w:bCs/>
          <w:i/>
          <w:iCs/>
          <w:sz w:val="22"/>
          <w:szCs w:val="22"/>
        </w:rPr>
        <w:t xml:space="preserve"> age</w:t>
      </w:r>
      <w:r w:rsidRPr="007907A9">
        <w:rPr>
          <w:rFonts w:cs="Arial"/>
          <w:sz w:val="22"/>
          <w:szCs w:val="22"/>
        </w:rPr>
        <w:t xml:space="preserve">, in relation to a person, means the age at which the person would, subject to satisfying any other qualifying requirements, be eligible to receive an age pension under the </w:t>
      </w:r>
      <w:hyperlink r:id="rId20" w:tgtFrame="_top" w:history="1">
        <w:r w:rsidRPr="007907A9">
          <w:rPr>
            <w:rStyle w:val="Hyperlink"/>
            <w:rFonts w:cs="Arial"/>
            <w:i/>
            <w:iCs/>
            <w:sz w:val="22"/>
            <w:szCs w:val="22"/>
          </w:rPr>
          <w:t>Social Security Act 1991</w:t>
        </w:r>
      </w:hyperlink>
      <w:r w:rsidRPr="007907A9">
        <w:rPr>
          <w:rFonts w:cs="Arial"/>
          <w:sz w:val="22"/>
          <w:szCs w:val="22"/>
        </w:rPr>
        <w:t xml:space="preserve"> of the Commonwealth.</w:t>
      </w:r>
    </w:p>
    <w:p w:rsidR="00BB5BBF" w:rsidRPr="007907A9" w:rsidRDefault="00BB5BBF" w:rsidP="00BB5BBF">
      <w:pPr>
        <w:ind w:left="1060" w:hanging="340"/>
        <w:rPr>
          <w:rFonts w:cs="Arial"/>
          <w:sz w:val="22"/>
          <w:szCs w:val="22"/>
        </w:rPr>
      </w:pPr>
      <w:r w:rsidRPr="007907A9">
        <w:rPr>
          <w:rFonts w:cs="Arial"/>
          <w:sz w:val="22"/>
          <w:szCs w:val="22"/>
        </w:rPr>
        <w:t>(2)  If a person:</w:t>
      </w:r>
    </w:p>
    <w:p w:rsidR="00BB5BBF" w:rsidRPr="007907A9" w:rsidRDefault="00BB5BBF" w:rsidP="00BB5BBF">
      <w:pPr>
        <w:ind w:left="1060" w:hanging="340"/>
        <w:rPr>
          <w:rFonts w:cs="Arial"/>
          <w:sz w:val="22"/>
          <w:szCs w:val="22"/>
        </w:rPr>
      </w:pPr>
      <w:r w:rsidRPr="007907A9">
        <w:rPr>
          <w:rFonts w:cs="Arial"/>
          <w:sz w:val="22"/>
          <w:szCs w:val="22"/>
        </w:rPr>
        <w:t>(a)  receives an injury before reaching the retiring age—a weekly payment of compensation is not to be made in respect of any resulting period of incapacity for work occurring after the first anniversary of the date on which that person reaches the retiring age, or</w:t>
      </w:r>
    </w:p>
    <w:p w:rsidR="00BB5BBF" w:rsidRPr="007907A9" w:rsidRDefault="00BB5BBF" w:rsidP="00BB5BBF">
      <w:pPr>
        <w:spacing w:before="0" w:after="0"/>
        <w:ind w:left="1060" w:hanging="340"/>
        <w:rPr>
          <w:rFonts w:cs="Arial"/>
          <w:sz w:val="22"/>
          <w:szCs w:val="22"/>
        </w:rPr>
      </w:pPr>
      <w:r w:rsidRPr="007907A9">
        <w:rPr>
          <w:rFonts w:cs="Arial"/>
          <w:sz w:val="22"/>
          <w:szCs w:val="22"/>
        </w:rPr>
        <w:t>(b)  </w:t>
      </w:r>
      <w:proofErr w:type="gramStart"/>
      <w:r w:rsidRPr="007907A9">
        <w:rPr>
          <w:rFonts w:cs="Arial"/>
          <w:sz w:val="22"/>
          <w:szCs w:val="22"/>
        </w:rPr>
        <w:t>receives</w:t>
      </w:r>
      <w:proofErr w:type="gramEnd"/>
      <w:r w:rsidRPr="007907A9">
        <w:rPr>
          <w:rFonts w:cs="Arial"/>
          <w:sz w:val="22"/>
          <w:szCs w:val="22"/>
        </w:rPr>
        <w:t xml:space="preserve"> an injury on or after reaching the retiring age—a weekly payment of compensation shall not be made in respect of any resulting period of incapacity for work occurring more than 12 months after the first occasion of incapacity for work resulting from the injury.</w:t>
      </w:r>
    </w:p>
    <w:p w:rsidR="00BB5BBF" w:rsidRPr="007907A9" w:rsidRDefault="00BB5BBF" w:rsidP="00BB5BBF">
      <w:pPr>
        <w:spacing w:before="0" w:after="0"/>
        <w:ind w:left="1060" w:hanging="340"/>
        <w:rPr>
          <w:rFonts w:cs="Arial"/>
          <w:sz w:val="22"/>
          <w:szCs w:val="22"/>
        </w:rPr>
      </w:pPr>
    </w:p>
    <w:p w:rsidR="00BB5BBF" w:rsidRPr="007907A9" w:rsidRDefault="00BB5BBF" w:rsidP="00BB5BBF">
      <w:pPr>
        <w:numPr>
          <w:ilvl w:val="0"/>
          <w:numId w:val="21"/>
        </w:numPr>
        <w:spacing w:before="0" w:after="0" w:line="276" w:lineRule="auto"/>
        <w:ind w:hanging="360"/>
        <w:contextualSpacing/>
        <w:rPr>
          <w:rFonts w:cs="Arial"/>
          <w:sz w:val="22"/>
          <w:szCs w:val="22"/>
        </w:rPr>
      </w:pPr>
      <w:r w:rsidRPr="007907A9">
        <w:rPr>
          <w:rFonts w:cs="Arial"/>
          <w:b/>
          <w:sz w:val="22"/>
          <w:szCs w:val="22"/>
        </w:rPr>
        <w:t>Victoria</w:t>
      </w:r>
    </w:p>
    <w:p w:rsidR="00BB5BBF" w:rsidRPr="007907A9" w:rsidRDefault="00BB5BBF" w:rsidP="00BB5BBF">
      <w:pPr>
        <w:pStyle w:val="ListParagraph"/>
        <w:spacing w:before="0" w:after="0"/>
        <w:rPr>
          <w:rFonts w:cs="Arial"/>
          <w:sz w:val="22"/>
          <w:szCs w:val="22"/>
        </w:rPr>
      </w:pPr>
    </w:p>
    <w:p w:rsidR="00BB5BBF" w:rsidRPr="007907A9" w:rsidRDefault="00851874" w:rsidP="00BB5BBF">
      <w:pPr>
        <w:spacing w:before="0" w:after="0"/>
        <w:ind w:left="720"/>
        <w:rPr>
          <w:rFonts w:cs="Arial"/>
          <w:sz w:val="22"/>
          <w:szCs w:val="22"/>
        </w:rPr>
      </w:pPr>
      <w:r>
        <w:rPr>
          <w:rFonts w:cs="Arial"/>
          <w:sz w:val="22"/>
          <w:szCs w:val="22"/>
        </w:rPr>
        <w:t xml:space="preserve">If </w:t>
      </w:r>
      <w:r w:rsidR="00BB5BBF" w:rsidRPr="007907A9">
        <w:rPr>
          <w:rFonts w:cs="Arial"/>
          <w:sz w:val="22"/>
          <w:szCs w:val="22"/>
        </w:rPr>
        <w:t>a worker in injured within 130 weeks of reaching retirement age</w:t>
      </w:r>
      <w:r w:rsidR="00BB5BBF" w:rsidRPr="007907A9">
        <w:rPr>
          <w:rFonts w:cs="Arial"/>
          <w:i/>
          <w:sz w:val="22"/>
          <w:szCs w:val="22"/>
        </w:rPr>
        <w:t xml:space="preserve"> (defined as age 65)</w:t>
      </w:r>
      <w:r w:rsidR="00BB5BBF" w:rsidRPr="007907A9">
        <w:rPr>
          <w:rFonts w:cs="Arial"/>
          <w:sz w:val="22"/>
          <w:szCs w:val="22"/>
        </w:rPr>
        <w:t>, or after retirement age, they are eligible for weekly payments for up to a maximum of 130 weeks</w:t>
      </w:r>
      <w:r>
        <w:rPr>
          <w:rFonts w:cs="Arial"/>
          <w:sz w:val="22"/>
          <w:szCs w:val="22"/>
        </w:rPr>
        <w:t xml:space="preserve"> – section 169</w:t>
      </w:r>
      <w:r w:rsidRPr="007907A9">
        <w:rPr>
          <w:rFonts w:cs="Arial"/>
          <w:sz w:val="22"/>
          <w:szCs w:val="22"/>
        </w:rPr>
        <w:t xml:space="preserve"> of the </w:t>
      </w:r>
      <w:r w:rsidRPr="007907A9">
        <w:rPr>
          <w:rFonts w:cs="Arial"/>
          <w:i/>
          <w:sz w:val="22"/>
          <w:szCs w:val="22"/>
        </w:rPr>
        <w:t xml:space="preserve">Workplace Injury Rehabilitation and Compensation Act 2013 </w:t>
      </w:r>
      <w:r>
        <w:rPr>
          <w:rFonts w:cs="Arial"/>
          <w:sz w:val="22"/>
          <w:szCs w:val="22"/>
        </w:rPr>
        <w:t>(Vic) .</w:t>
      </w:r>
    </w:p>
    <w:p w:rsidR="00BB5BBF" w:rsidRPr="007907A9" w:rsidRDefault="00BB5BBF" w:rsidP="00BB5BBF">
      <w:pPr>
        <w:spacing w:before="0" w:after="0"/>
        <w:rPr>
          <w:rFonts w:cs="Arial"/>
          <w:sz w:val="22"/>
          <w:szCs w:val="22"/>
        </w:rPr>
      </w:pPr>
    </w:p>
    <w:p w:rsidR="00BB5BBF" w:rsidRPr="007907A9" w:rsidRDefault="00BB5BBF" w:rsidP="00BB5BBF">
      <w:pPr>
        <w:numPr>
          <w:ilvl w:val="0"/>
          <w:numId w:val="21"/>
        </w:numPr>
        <w:spacing w:before="0" w:after="0" w:line="276" w:lineRule="auto"/>
        <w:ind w:hanging="360"/>
        <w:contextualSpacing/>
        <w:rPr>
          <w:rFonts w:cs="Arial"/>
          <w:b/>
          <w:sz w:val="22"/>
          <w:szCs w:val="22"/>
        </w:rPr>
      </w:pPr>
      <w:r w:rsidRPr="007907A9">
        <w:rPr>
          <w:rFonts w:cs="Arial"/>
          <w:b/>
          <w:sz w:val="22"/>
          <w:szCs w:val="22"/>
        </w:rPr>
        <w:t>South Australia</w:t>
      </w:r>
    </w:p>
    <w:p w:rsidR="00BB5BBF" w:rsidRPr="007907A9" w:rsidRDefault="00BB5BBF" w:rsidP="00BB5BBF">
      <w:pPr>
        <w:spacing w:before="0" w:after="0" w:line="276" w:lineRule="auto"/>
        <w:ind w:left="720"/>
        <w:contextualSpacing/>
        <w:rPr>
          <w:rFonts w:cs="Arial"/>
          <w:b/>
          <w:sz w:val="22"/>
          <w:szCs w:val="22"/>
        </w:rPr>
      </w:pPr>
    </w:p>
    <w:p w:rsidR="00BB5BBF" w:rsidRPr="007907A9" w:rsidRDefault="00851874" w:rsidP="00BB5BBF">
      <w:pPr>
        <w:spacing w:before="0" w:after="0"/>
        <w:ind w:left="720"/>
        <w:rPr>
          <w:rFonts w:cs="Arial"/>
          <w:sz w:val="22"/>
          <w:szCs w:val="22"/>
        </w:rPr>
      </w:pPr>
      <w:r>
        <w:rPr>
          <w:rFonts w:cs="Arial"/>
          <w:sz w:val="22"/>
          <w:szCs w:val="22"/>
        </w:rPr>
        <w:t>W</w:t>
      </w:r>
      <w:r w:rsidR="00BB5BBF" w:rsidRPr="007907A9">
        <w:rPr>
          <w:rFonts w:cs="Arial"/>
          <w:sz w:val="22"/>
          <w:szCs w:val="22"/>
        </w:rPr>
        <w:t xml:space="preserve">eekly payments </w:t>
      </w:r>
      <w:r>
        <w:rPr>
          <w:rFonts w:cs="Arial"/>
          <w:sz w:val="22"/>
          <w:szCs w:val="22"/>
        </w:rPr>
        <w:t>cease</w:t>
      </w:r>
      <w:r w:rsidR="00BB5BBF" w:rsidRPr="007907A9">
        <w:rPr>
          <w:rFonts w:cs="Arial"/>
          <w:sz w:val="22"/>
          <w:szCs w:val="22"/>
        </w:rPr>
        <w:t xml:space="preserve"> </w:t>
      </w:r>
      <w:r>
        <w:rPr>
          <w:rFonts w:cs="Arial"/>
          <w:sz w:val="22"/>
          <w:szCs w:val="22"/>
        </w:rPr>
        <w:t>if</w:t>
      </w:r>
      <w:r w:rsidR="00BB5BBF" w:rsidRPr="007907A9">
        <w:rPr>
          <w:rFonts w:cs="Arial"/>
          <w:sz w:val="22"/>
          <w:szCs w:val="22"/>
        </w:rPr>
        <w:t xml:space="preserve"> the worker qualifies for the age pension under the </w:t>
      </w:r>
      <w:r w:rsidR="00BB5BBF" w:rsidRPr="007907A9">
        <w:rPr>
          <w:rFonts w:cs="Arial"/>
          <w:i/>
          <w:sz w:val="22"/>
          <w:szCs w:val="22"/>
        </w:rPr>
        <w:t xml:space="preserve">Social Security Act 1991 </w:t>
      </w:r>
      <w:r w:rsidR="00BB5BBF" w:rsidRPr="007907A9">
        <w:rPr>
          <w:rFonts w:cs="Arial"/>
          <w:sz w:val="22"/>
          <w:szCs w:val="22"/>
        </w:rPr>
        <w:t>(Cth) or if there is a normal retiring age for workers in employment of the kind from which the worker’s injury arose. However if a worker is injured within 2 years of their retirement age, or after their retirement age, they are eligible for weekly payments for up to 104 weeks from the da</w:t>
      </w:r>
      <w:r>
        <w:rPr>
          <w:rFonts w:cs="Arial"/>
          <w:sz w:val="22"/>
          <w:szCs w:val="22"/>
        </w:rPr>
        <w:t>te of the injury - section</w:t>
      </w:r>
      <w:r w:rsidRPr="007907A9">
        <w:rPr>
          <w:rFonts w:cs="Arial"/>
          <w:sz w:val="22"/>
          <w:szCs w:val="22"/>
        </w:rPr>
        <w:t xml:space="preserve"> 44(1) of the </w:t>
      </w:r>
      <w:r w:rsidRPr="007907A9">
        <w:rPr>
          <w:rFonts w:cs="Arial"/>
          <w:i/>
          <w:sz w:val="22"/>
          <w:szCs w:val="22"/>
        </w:rPr>
        <w:t xml:space="preserve">Return to Work Act 2014 </w:t>
      </w:r>
      <w:r>
        <w:rPr>
          <w:rFonts w:cs="Arial"/>
          <w:sz w:val="22"/>
          <w:szCs w:val="22"/>
        </w:rPr>
        <w:t>(SA).</w:t>
      </w:r>
      <w:bookmarkStart w:id="0" w:name="_GoBack"/>
      <w:bookmarkEnd w:id="0"/>
    </w:p>
    <w:p w:rsidR="00BB5BBF" w:rsidRPr="007907A9" w:rsidRDefault="00BB5BBF" w:rsidP="00BB5BBF">
      <w:pPr>
        <w:spacing w:before="0" w:after="0"/>
        <w:ind w:left="720"/>
        <w:rPr>
          <w:rFonts w:cs="Arial"/>
          <w:sz w:val="22"/>
          <w:szCs w:val="22"/>
        </w:rPr>
      </w:pPr>
    </w:p>
    <w:p w:rsidR="00BB5BBF" w:rsidRPr="007907A9" w:rsidRDefault="00BB5BBF" w:rsidP="00BB5BBF">
      <w:pPr>
        <w:numPr>
          <w:ilvl w:val="0"/>
          <w:numId w:val="25"/>
        </w:numPr>
        <w:spacing w:before="0" w:after="0" w:line="276" w:lineRule="auto"/>
        <w:ind w:hanging="360"/>
        <w:contextualSpacing/>
        <w:rPr>
          <w:rFonts w:cs="Arial"/>
          <w:b/>
          <w:sz w:val="22"/>
          <w:szCs w:val="22"/>
        </w:rPr>
      </w:pPr>
      <w:r w:rsidRPr="007907A9">
        <w:rPr>
          <w:rFonts w:cs="Arial"/>
          <w:b/>
          <w:sz w:val="22"/>
          <w:szCs w:val="22"/>
        </w:rPr>
        <w:lastRenderedPageBreak/>
        <w:t xml:space="preserve">Tasmania </w:t>
      </w:r>
    </w:p>
    <w:p w:rsidR="00BB5BBF" w:rsidRPr="007907A9" w:rsidRDefault="00851874" w:rsidP="00BB5BBF">
      <w:pPr>
        <w:ind w:left="720"/>
        <w:rPr>
          <w:rFonts w:cs="Arial"/>
          <w:sz w:val="22"/>
          <w:szCs w:val="22"/>
        </w:rPr>
      </w:pPr>
      <w:r>
        <w:rPr>
          <w:rFonts w:cs="Arial"/>
          <w:sz w:val="22"/>
          <w:szCs w:val="22"/>
        </w:rPr>
        <w:t>W</w:t>
      </w:r>
      <w:r w:rsidR="00BB5BBF" w:rsidRPr="007907A9">
        <w:rPr>
          <w:rFonts w:cs="Arial"/>
          <w:sz w:val="22"/>
          <w:szCs w:val="22"/>
        </w:rPr>
        <w:t>eekly incapacity payments cease if a person has accessed 9 years of weekly incapacity payments</w:t>
      </w:r>
      <w:r>
        <w:rPr>
          <w:rFonts w:cs="Arial"/>
          <w:sz w:val="22"/>
          <w:szCs w:val="22"/>
        </w:rPr>
        <w:t xml:space="preserve"> – section 69B(2) </w:t>
      </w:r>
      <w:r w:rsidRPr="007907A9">
        <w:rPr>
          <w:rFonts w:cs="Arial"/>
          <w:sz w:val="22"/>
          <w:szCs w:val="22"/>
        </w:rPr>
        <w:t xml:space="preserve">of the </w:t>
      </w:r>
      <w:r w:rsidRPr="007907A9">
        <w:rPr>
          <w:rFonts w:cs="Arial"/>
          <w:i/>
          <w:sz w:val="22"/>
          <w:szCs w:val="22"/>
        </w:rPr>
        <w:t xml:space="preserve">Workers Rehabilitation and Compensation Act 1988 </w:t>
      </w:r>
      <w:r w:rsidRPr="007907A9">
        <w:rPr>
          <w:rFonts w:cs="Arial"/>
          <w:sz w:val="22"/>
          <w:szCs w:val="22"/>
        </w:rPr>
        <w:t>(TAS)</w:t>
      </w:r>
      <w:r w:rsidR="00BB5BBF" w:rsidRPr="007907A9">
        <w:rPr>
          <w:rFonts w:cs="Arial"/>
          <w:sz w:val="22"/>
          <w:szCs w:val="22"/>
        </w:rPr>
        <w:t>. Further, if the compensable injury occurred before or on the date upon which the worker reached the age of 64 years, the weekly payments cease at 65 years of age (s</w:t>
      </w:r>
      <w:r>
        <w:rPr>
          <w:rFonts w:cs="Arial"/>
          <w:sz w:val="22"/>
          <w:szCs w:val="22"/>
        </w:rPr>
        <w:t xml:space="preserve">ection </w:t>
      </w:r>
      <w:r w:rsidR="00BB5BBF" w:rsidRPr="007907A9">
        <w:rPr>
          <w:rFonts w:cs="Arial"/>
          <w:sz w:val="22"/>
          <w:szCs w:val="22"/>
        </w:rPr>
        <w:t xml:space="preserve">87(1)(a)). If the injury occurs after the worker turns 64, </w:t>
      </w:r>
      <w:r>
        <w:rPr>
          <w:rFonts w:cs="Arial"/>
          <w:sz w:val="22"/>
          <w:szCs w:val="22"/>
        </w:rPr>
        <w:t>weekly incapacity payments cease one year after the worker</w:t>
      </w:r>
      <w:r w:rsidR="00BB5BBF" w:rsidRPr="007907A9">
        <w:rPr>
          <w:rFonts w:cs="Arial"/>
          <w:sz w:val="22"/>
          <w:szCs w:val="22"/>
        </w:rPr>
        <w:t xml:space="preserve"> was injured (s 82(1</w:t>
      </w:r>
      <w:proofErr w:type="gramStart"/>
      <w:r w:rsidR="00BB5BBF" w:rsidRPr="007907A9">
        <w:rPr>
          <w:rFonts w:cs="Arial"/>
          <w:sz w:val="22"/>
          <w:szCs w:val="22"/>
        </w:rPr>
        <w:t>)(</w:t>
      </w:r>
      <w:proofErr w:type="gramEnd"/>
      <w:r w:rsidR="00BB5BBF" w:rsidRPr="007907A9">
        <w:rPr>
          <w:rFonts w:cs="Arial"/>
          <w:sz w:val="22"/>
          <w:szCs w:val="22"/>
        </w:rPr>
        <w:t>b)). If the terms or conditions may allow a worker to work beyond 65 years of age, they may apply under s</w:t>
      </w:r>
      <w:r>
        <w:rPr>
          <w:rFonts w:cs="Arial"/>
          <w:sz w:val="22"/>
          <w:szCs w:val="22"/>
        </w:rPr>
        <w:t>ection</w:t>
      </w:r>
      <w:r w:rsidR="00BB5BBF" w:rsidRPr="007907A9">
        <w:rPr>
          <w:rFonts w:cs="Arial"/>
          <w:sz w:val="22"/>
          <w:szCs w:val="22"/>
        </w:rPr>
        <w:t xml:space="preserve"> 87 to the Tribunal to extend the period of weekly incapacity payments.</w:t>
      </w:r>
      <w:r w:rsidRPr="007907A9">
        <w:rPr>
          <w:rFonts w:cs="Arial"/>
          <w:sz w:val="22"/>
          <w:szCs w:val="22"/>
        </w:rPr>
        <w:t xml:space="preserve"> </w:t>
      </w:r>
      <w:r>
        <w:rPr>
          <w:rFonts w:cs="Arial"/>
          <w:sz w:val="22"/>
          <w:szCs w:val="22"/>
        </w:rPr>
        <w:t xml:space="preserve"> </w:t>
      </w:r>
    </w:p>
    <w:p w:rsidR="00BB5BBF" w:rsidRPr="007907A9" w:rsidRDefault="00BB5BBF" w:rsidP="00BB5BBF">
      <w:pPr>
        <w:numPr>
          <w:ilvl w:val="0"/>
          <w:numId w:val="16"/>
        </w:numPr>
        <w:spacing w:before="0" w:after="0" w:line="276" w:lineRule="auto"/>
        <w:ind w:hanging="360"/>
        <w:contextualSpacing/>
        <w:rPr>
          <w:rFonts w:cs="Arial"/>
          <w:b/>
          <w:sz w:val="22"/>
          <w:szCs w:val="22"/>
        </w:rPr>
      </w:pPr>
      <w:r w:rsidRPr="007907A9">
        <w:rPr>
          <w:rFonts w:cs="Arial"/>
          <w:b/>
          <w:sz w:val="22"/>
          <w:szCs w:val="22"/>
        </w:rPr>
        <w:t>Australian Capital Territory</w:t>
      </w:r>
    </w:p>
    <w:p w:rsidR="00BB5BBF" w:rsidRPr="007907A9" w:rsidRDefault="00851874" w:rsidP="00BB5BBF">
      <w:pPr>
        <w:ind w:left="720"/>
        <w:rPr>
          <w:rFonts w:cs="Arial"/>
          <w:sz w:val="22"/>
          <w:szCs w:val="22"/>
        </w:rPr>
      </w:pPr>
      <w:r>
        <w:rPr>
          <w:rFonts w:cs="Arial"/>
          <w:sz w:val="22"/>
          <w:szCs w:val="22"/>
        </w:rPr>
        <w:t>I</w:t>
      </w:r>
      <w:r w:rsidR="00BB5BBF" w:rsidRPr="007907A9">
        <w:rPr>
          <w:rFonts w:cs="Arial"/>
          <w:sz w:val="22"/>
          <w:szCs w:val="22"/>
        </w:rPr>
        <w:t xml:space="preserve">f </w:t>
      </w:r>
      <w:r>
        <w:rPr>
          <w:rFonts w:cs="Arial"/>
          <w:sz w:val="22"/>
          <w:szCs w:val="22"/>
        </w:rPr>
        <w:t xml:space="preserve">a </w:t>
      </w:r>
      <w:r w:rsidR="00BB5BBF" w:rsidRPr="007907A9">
        <w:rPr>
          <w:rFonts w:cs="Arial"/>
          <w:sz w:val="22"/>
          <w:szCs w:val="22"/>
        </w:rPr>
        <w:t>worker is injured at age 62 or younger, they are entitled to incapacit</w:t>
      </w:r>
      <w:r w:rsidR="004D058A">
        <w:rPr>
          <w:rFonts w:cs="Arial"/>
          <w:sz w:val="22"/>
          <w:szCs w:val="22"/>
        </w:rPr>
        <w:t>y payments until they reach 65 - section 39(3</w:t>
      </w:r>
      <w:proofErr w:type="gramStart"/>
      <w:r w:rsidR="004D058A">
        <w:rPr>
          <w:rFonts w:cs="Arial"/>
          <w:sz w:val="22"/>
          <w:szCs w:val="22"/>
        </w:rPr>
        <w:t>)(</w:t>
      </w:r>
      <w:proofErr w:type="gramEnd"/>
      <w:r w:rsidR="004D058A">
        <w:rPr>
          <w:rFonts w:cs="Arial"/>
          <w:sz w:val="22"/>
          <w:szCs w:val="22"/>
        </w:rPr>
        <w:t>b</w:t>
      </w:r>
      <w:r w:rsidR="00BB5BBF" w:rsidRPr="007907A9">
        <w:rPr>
          <w:rFonts w:cs="Arial"/>
          <w:sz w:val="22"/>
          <w:szCs w:val="22"/>
        </w:rPr>
        <w:t xml:space="preserve">) of the </w:t>
      </w:r>
      <w:r w:rsidR="004D058A" w:rsidRPr="007907A9">
        <w:rPr>
          <w:rFonts w:cs="Arial"/>
          <w:i/>
          <w:sz w:val="22"/>
          <w:szCs w:val="22"/>
        </w:rPr>
        <w:t xml:space="preserve">Workers Compensation Act 1951 </w:t>
      </w:r>
      <w:r w:rsidR="004D058A" w:rsidRPr="007907A9">
        <w:rPr>
          <w:rFonts w:cs="Arial"/>
          <w:sz w:val="22"/>
          <w:szCs w:val="22"/>
        </w:rPr>
        <w:t>(ACT)</w:t>
      </w:r>
      <w:r w:rsidR="004D058A">
        <w:rPr>
          <w:rFonts w:cs="Arial"/>
          <w:sz w:val="22"/>
          <w:szCs w:val="22"/>
        </w:rPr>
        <w:t>. If a person is</w:t>
      </w:r>
      <w:r w:rsidR="00BB5BBF" w:rsidRPr="007907A9">
        <w:rPr>
          <w:rFonts w:cs="Arial"/>
          <w:sz w:val="22"/>
          <w:szCs w:val="22"/>
        </w:rPr>
        <w:t xml:space="preserve"> 63 years of age or older</w:t>
      </w:r>
      <w:r w:rsidR="004D058A">
        <w:rPr>
          <w:rFonts w:cs="Arial"/>
          <w:sz w:val="22"/>
          <w:szCs w:val="22"/>
        </w:rPr>
        <w:t xml:space="preserve"> at the time of injury</w:t>
      </w:r>
      <w:r w:rsidR="00BB5BBF" w:rsidRPr="007907A9">
        <w:rPr>
          <w:rFonts w:cs="Arial"/>
          <w:sz w:val="22"/>
          <w:szCs w:val="22"/>
        </w:rPr>
        <w:t>, they are entitled to up to 2 years of weekly incapacity payments</w:t>
      </w:r>
      <w:r w:rsidR="004D058A">
        <w:rPr>
          <w:rFonts w:cs="Arial"/>
          <w:sz w:val="22"/>
          <w:szCs w:val="22"/>
        </w:rPr>
        <w:t xml:space="preserve"> - section 39(3)(c</w:t>
      </w:r>
      <w:r w:rsidRPr="007907A9">
        <w:rPr>
          <w:rFonts w:cs="Arial"/>
          <w:sz w:val="22"/>
          <w:szCs w:val="22"/>
        </w:rPr>
        <w:t>)</w:t>
      </w:r>
      <w:r w:rsidR="004D058A">
        <w:rPr>
          <w:rFonts w:cs="Arial"/>
          <w:sz w:val="22"/>
          <w:szCs w:val="22"/>
        </w:rPr>
        <w:t xml:space="preserve">. </w:t>
      </w:r>
      <w:r w:rsidRPr="007907A9">
        <w:rPr>
          <w:rFonts w:cs="Arial"/>
          <w:sz w:val="22"/>
          <w:szCs w:val="22"/>
        </w:rPr>
        <w:t xml:space="preserve"> </w:t>
      </w:r>
    </w:p>
    <w:p w:rsidR="00BB5BBF" w:rsidRPr="007907A9" w:rsidRDefault="00BB5BBF" w:rsidP="00BB5BBF">
      <w:pPr>
        <w:numPr>
          <w:ilvl w:val="0"/>
          <w:numId w:val="15"/>
        </w:numPr>
        <w:spacing w:before="0" w:after="0" w:line="276" w:lineRule="auto"/>
        <w:ind w:hanging="360"/>
        <w:contextualSpacing/>
        <w:rPr>
          <w:rFonts w:cs="Arial"/>
          <w:b/>
          <w:sz w:val="22"/>
          <w:szCs w:val="22"/>
        </w:rPr>
      </w:pPr>
      <w:r w:rsidRPr="007907A9">
        <w:rPr>
          <w:rFonts w:cs="Arial"/>
          <w:b/>
          <w:sz w:val="22"/>
          <w:szCs w:val="22"/>
        </w:rPr>
        <w:t xml:space="preserve">Northern Territory </w:t>
      </w:r>
    </w:p>
    <w:p w:rsidR="00BB5BBF" w:rsidRPr="004D058A" w:rsidRDefault="004D058A" w:rsidP="00BB5BBF">
      <w:pPr>
        <w:ind w:left="720"/>
        <w:rPr>
          <w:rFonts w:cs="Arial"/>
          <w:sz w:val="22"/>
          <w:szCs w:val="22"/>
        </w:rPr>
      </w:pPr>
      <w:r>
        <w:rPr>
          <w:rFonts w:cs="Arial"/>
          <w:sz w:val="22"/>
          <w:szCs w:val="22"/>
        </w:rPr>
        <w:t>A</w:t>
      </w:r>
      <w:r w:rsidR="00BB5BBF" w:rsidRPr="007907A9">
        <w:rPr>
          <w:rFonts w:cs="Arial"/>
          <w:sz w:val="22"/>
          <w:szCs w:val="22"/>
        </w:rPr>
        <w:t xml:space="preserve"> person injured at 65 or older (rising to age 67 as the qualifying age for the age pension increases) is entitled to 104 weeks of incapacity payments</w:t>
      </w:r>
      <w:r>
        <w:rPr>
          <w:rFonts w:cs="Arial"/>
          <w:sz w:val="22"/>
          <w:szCs w:val="22"/>
        </w:rPr>
        <w:t xml:space="preserve"> - section</w:t>
      </w:r>
      <w:r w:rsidRPr="007907A9">
        <w:rPr>
          <w:rFonts w:cs="Arial"/>
          <w:sz w:val="22"/>
          <w:szCs w:val="22"/>
        </w:rPr>
        <w:t xml:space="preserve"> 64 of the </w:t>
      </w:r>
      <w:r>
        <w:rPr>
          <w:rFonts w:cs="Arial"/>
          <w:i/>
          <w:sz w:val="22"/>
          <w:szCs w:val="22"/>
        </w:rPr>
        <w:t xml:space="preserve">Return to Work Act </w:t>
      </w:r>
      <w:r>
        <w:rPr>
          <w:rFonts w:cs="Arial"/>
          <w:sz w:val="22"/>
          <w:szCs w:val="22"/>
        </w:rPr>
        <w:t>(NT).</w:t>
      </w:r>
    </w:p>
    <w:p w:rsidR="00BB5BBF" w:rsidRPr="00BB5BBF" w:rsidRDefault="00BB5BBF" w:rsidP="00BB5BBF">
      <w:pPr>
        <w:rPr>
          <w:rFonts w:cs="Arial"/>
          <w:sz w:val="22"/>
          <w:szCs w:val="22"/>
          <w:u w:val="single"/>
        </w:rPr>
      </w:pPr>
    </w:p>
    <w:sectPr w:rsidR="00BB5BBF" w:rsidRPr="00BB5BBF" w:rsidSect="00591AFB">
      <w:headerReference w:type="default" r:id="rId21"/>
      <w:footerReference w:type="default" r:id="rId22"/>
      <w:headerReference w:type="first" r:id="rId23"/>
      <w:endnotePr>
        <w:numFmt w:val="decimal"/>
      </w:endnotePr>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7D" w:rsidRDefault="00364C7D" w:rsidP="00364C7D">
      <w:pPr>
        <w:spacing w:before="0" w:after="0"/>
      </w:pPr>
      <w:r>
        <w:separator/>
      </w:r>
    </w:p>
  </w:endnote>
  <w:endnote w:type="continuationSeparator" w:id="0">
    <w:p w:rsidR="00364C7D" w:rsidRDefault="00364C7D" w:rsidP="00364C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9E457D" w:rsidP="00CE7182">
    <w:pPr>
      <w:pStyle w:val="Footer"/>
      <w:spacing w:before="0"/>
    </w:pPr>
    <w:r w:rsidRPr="0090165F">
      <w:fldChar w:fldCharType="begin"/>
    </w:r>
    <w:r w:rsidRPr="0090165F">
      <w:instrText xml:space="preserve"> PAGE   \* MERGEFORMAT </w:instrText>
    </w:r>
    <w:r w:rsidRPr="0090165F">
      <w:fldChar w:fldCharType="separate"/>
    </w:r>
    <w:r w:rsidR="00971DA4">
      <w:rPr>
        <w:noProof/>
      </w:rPr>
      <w:t>10</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7D" w:rsidRDefault="00364C7D" w:rsidP="00364C7D">
      <w:pPr>
        <w:spacing w:before="0" w:after="0"/>
      </w:pPr>
      <w:r>
        <w:separator/>
      </w:r>
    </w:p>
  </w:footnote>
  <w:footnote w:type="continuationSeparator" w:id="0">
    <w:p w:rsidR="00364C7D" w:rsidRDefault="00364C7D" w:rsidP="00364C7D">
      <w:pPr>
        <w:spacing w:before="0" w:after="0"/>
      </w:pPr>
      <w:r>
        <w:continuationSeparator/>
      </w:r>
    </w:p>
  </w:footnote>
  <w:footnote w:id="1">
    <w:p w:rsidR="0068731C" w:rsidRPr="007D4599" w:rsidRDefault="0068731C" w:rsidP="0068731C">
      <w:pPr>
        <w:pStyle w:val="FootnoteText"/>
        <w:rPr>
          <w:sz w:val="18"/>
          <w:szCs w:val="18"/>
        </w:rPr>
      </w:pPr>
      <w:r w:rsidRPr="007D4599">
        <w:rPr>
          <w:rStyle w:val="FootnoteReference"/>
          <w:sz w:val="18"/>
          <w:szCs w:val="18"/>
        </w:rPr>
        <w:footnoteRef/>
      </w:r>
      <w:r w:rsidRPr="007D4599">
        <w:rPr>
          <w:sz w:val="18"/>
          <w:szCs w:val="18"/>
        </w:rPr>
        <w:t xml:space="preserve"> ABS. Employee number denominator data used for the calculation of incidence rates by Safe Work Australia.</w:t>
      </w:r>
    </w:p>
  </w:footnote>
  <w:footnote w:id="2">
    <w:p w:rsidR="00DE4228" w:rsidRDefault="00DE4228" w:rsidP="00DE4228">
      <w:pPr>
        <w:pStyle w:val="FootnoteText"/>
      </w:pPr>
      <w:r>
        <w:rPr>
          <w:rStyle w:val="FootnoteReference"/>
        </w:rPr>
        <w:footnoteRef/>
      </w:r>
      <w:r>
        <w:t xml:space="preserve"> </w:t>
      </w:r>
      <w:r w:rsidRPr="00175241">
        <w:rPr>
          <w:sz w:val="18"/>
          <w:szCs w:val="18"/>
        </w:rPr>
        <w:t>The meaning of a PCBU is set out in section 5 of the WHS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6B7939" w:rsidP="001816CE">
    <w:pPr>
      <w:pStyle w:val="Header"/>
      <w:jc w:val="left"/>
    </w:pPr>
    <w:r>
      <w:rPr>
        <w:noProof/>
      </w:rPr>
      <w:drawing>
        <wp:inline distT="0" distB="0" distL="0" distR="0" wp14:anchorId="782880F9" wp14:editId="44E8BCF4">
          <wp:extent cx="2519045" cy="522605"/>
          <wp:effectExtent l="19050" t="0" r="0" b="0"/>
          <wp:docPr id="3" name="Picture 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srcRect/>
                  <a:stretch>
                    <a:fillRect/>
                  </a:stretch>
                </pic:blipFill>
                <pic:spPr bwMode="auto">
                  <a:xfrm>
                    <a:off x="0" y="0"/>
                    <a:ext cx="2519045" cy="5226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364C7D" w:rsidP="001816CE">
    <w:pPr>
      <w:pStyle w:val="Header"/>
      <w:jc w:val="left"/>
    </w:pPr>
    <w:r>
      <w:rPr>
        <w:noProof/>
      </w:rPr>
      <w:drawing>
        <wp:inline distT="0" distB="0" distL="0" distR="0" wp14:anchorId="2FA5B715" wp14:editId="036D5D53">
          <wp:extent cx="2519045" cy="522605"/>
          <wp:effectExtent l="19050" t="0" r="0" b="0"/>
          <wp:docPr id="6" name="Picture 6"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1"/>
                  <a:srcRect/>
                  <a:stretch>
                    <a:fillRect/>
                  </a:stretch>
                </pic:blipFill>
                <pic:spPr bwMode="auto">
                  <a:xfrm>
                    <a:off x="0" y="0"/>
                    <a:ext cx="2519045" cy="522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349"/>
    <w:multiLevelType w:val="hybridMultilevel"/>
    <w:tmpl w:val="0EB80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D0DAF"/>
    <w:multiLevelType w:val="multilevel"/>
    <w:tmpl w:val="6494D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0E76B2"/>
    <w:multiLevelType w:val="hybridMultilevel"/>
    <w:tmpl w:val="CCD2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06124"/>
    <w:multiLevelType w:val="hybridMultilevel"/>
    <w:tmpl w:val="F5A093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FA0BF5"/>
    <w:multiLevelType w:val="hybridMultilevel"/>
    <w:tmpl w:val="C658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73A06"/>
    <w:multiLevelType w:val="multilevel"/>
    <w:tmpl w:val="7DB64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FF022D2"/>
    <w:multiLevelType w:val="hybridMultilevel"/>
    <w:tmpl w:val="8D209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728D5"/>
    <w:multiLevelType w:val="hybridMultilevel"/>
    <w:tmpl w:val="24D2D5F2"/>
    <w:lvl w:ilvl="0" w:tplc="25FEFB4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C1436A"/>
    <w:multiLevelType w:val="hybridMultilevel"/>
    <w:tmpl w:val="1924E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978D4"/>
    <w:multiLevelType w:val="hybridMultilevel"/>
    <w:tmpl w:val="5B56549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193F4DA9"/>
    <w:multiLevelType w:val="multilevel"/>
    <w:tmpl w:val="223A9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A90335E"/>
    <w:multiLevelType w:val="multilevel"/>
    <w:tmpl w:val="CDF0F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6414442"/>
    <w:multiLevelType w:val="hybridMultilevel"/>
    <w:tmpl w:val="7CDC642E"/>
    <w:lvl w:ilvl="0" w:tplc="B79C8EC6">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482159"/>
    <w:multiLevelType w:val="hybridMultilevel"/>
    <w:tmpl w:val="01CC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936608"/>
    <w:multiLevelType w:val="multilevel"/>
    <w:tmpl w:val="1DB294DC"/>
    <w:lvl w:ilvl="0">
      <w:start w:val="8"/>
      <w:numFmt w:val="upperLetter"/>
      <w:lvlText w:val="%1."/>
      <w:lvlJc w:val="left"/>
      <w:pPr>
        <w:tabs>
          <w:tab w:val="num" w:pos="567"/>
        </w:tabs>
        <w:ind w:left="567" w:hanging="567"/>
      </w:pPr>
      <w:rPr>
        <w:rFonts w:cs="Times New Roman" w:hint="default"/>
        <w:b/>
        <w:bCs/>
        <w:i w:val="0"/>
        <w:iCs w:val="0"/>
        <w:sz w:val="28"/>
        <w:szCs w:val="28"/>
      </w:rPr>
    </w:lvl>
    <w:lvl w:ilvl="1">
      <w:start w:val="1"/>
      <w:numFmt w:val="decimal"/>
      <w:lvlText w:val="%1.%2"/>
      <w:lvlJc w:val="left"/>
      <w:pPr>
        <w:tabs>
          <w:tab w:val="num" w:pos="567"/>
        </w:tabs>
        <w:ind w:left="1134" w:hanging="1134"/>
      </w:pPr>
      <w:rPr>
        <w:rFonts w:ascii="Arial" w:hAnsi="Arial" w:cs="Arial" w:hint="default"/>
        <w:b w:val="0"/>
        <w:bCs w:val="0"/>
        <w:i w:val="0"/>
        <w:iCs w:val="0"/>
        <w:color w:val="auto"/>
        <w:sz w:val="22"/>
        <w:szCs w:val="22"/>
      </w:rPr>
    </w:lvl>
    <w:lvl w:ilvl="2">
      <w:start w:val="1"/>
      <w:numFmt w:val="decimal"/>
      <w:lvlText w:val="%1.%2.%3"/>
      <w:lvlJc w:val="left"/>
      <w:pPr>
        <w:tabs>
          <w:tab w:val="num" w:pos="1854"/>
        </w:tabs>
        <w:ind w:left="1854" w:hanging="851"/>
      </w:pPr>
      <w:rPr>
        <w:rFonts w:cs="Times New Roman" w:hint="default"/>
        <w:b w:val="0"/>
        <w:bCs w:val="0"/>
        <w:i w:val="0"/>
        <w:iCs w:val="0"/>
      </w:rPr>
    </w:lvl>
    <w:lvl w:ilvl="3">
      <w:start w:val="1"/>
      <w:numFmt w:val="decimal"/>
      <w:lvlText w:val="%1.%2.%3.%4"/>
      <w:lvlJc w:val="left"/>
      <w:pPr>
        <w:tabs>
          <w:tab w:val="num" w:pos="1867"/>
        </w:tabs>
        <w:ind w:left="1867" w:hanging="864"/>
      </w:pPr>
      <w:rPr>
        <w:rFonts w:cs="Times New Roman" w:hint="default"/>
      </w:rPr>
    </w:lvl>
    <w:lvl w:ilvl="4">
      <w:start w:val="1"/>
      <w:numFmt w:val="decimal"/>
      <w:lvlText w:val="%1.%2.%3.%4.%5"/>
      <w:lvlJc w:val="left"/>
      <w:pPr>
        <w:tabs>
          <w:tab w:val="num" w:pos="2011"/>
        </w:tabs>
        <w:ind w:left="2011" w:hanging="1008"/>
      </w:pPr>
      <w:rPr>
        <w:rFonts w:cs="Times New Roman" w:hint="default"/>
      </w:rPr>
    </w:lvl>
    <w:lvl w:ilvl="5">
      <w:start w:val="1"/>
      <w:numFmt w:val="decimal"/>
      <w:lvlText w:val="%1.%2.%3.%4.%5.%6"/>
      <w:lvlJc w:val="left"/>
      <w:pPr>
        <w:tabs>
          <w:tab w:val="num" w:pos="2155"/>
        </w:tabs>
        <w:ind w:left="2155" w:hanging="1152"/>
      </w:pPr>
      <w:rPr>
        <w:rFonts w:cs="Times New Roman" w:hint="default"/>
      </w:rPr>
    </w:lvl>
    <w:lvl w:ilvl="6">
      <w:start w:val="1"/>
      <w:numFmt w:val="decimal"/>
      <w:lvlText w:val="%1.%2.%3.%4.%5.%6.%7"/>
      <w:lvlJc w:val="left"/>
      <w:pPr>
        <w:tabs>
          <w:tab w:val="num" w:pos="2299"/>
        </w:tabs>
        <w:ind w:left="2299" w:hanging="1296"/>
      </w:pPr>
      <w:rPr>
        <w:rFonts w:cs="Times New Roman" w:hint="default"/>
      </w:rPr>
    </w:lvl>
    <w:lvl w:ilvl="7">
      <w:start w:val="1"/>
      <w:numFmt w:val="decimal"/>
      <w:lvlText w:val="%1.%2.%3.%4.%5.%6.%7.%8"/>
      <w:lvlJc w:val="left"/>
      <w:pPr>
        <w:tabs>
          <w:tab w:val="num" w:pos="2443"/>
        </w:tabs>
        <w:ind w:left="2443" w:hanging="1440"/>
      </w:pPr>
      <w:rPr>
        <w:rFonts w:cs="Times New Roman" w:hint="default"/>
      </w:rPr>
    </w:lvl>
    <w:lvl w:ilvl="8">
      <w:start w:val="1"/>
      <w:numFmt w:val="decimal"/>
      <w:lvlText w:val="%1.%2.%3.%4.%5.%6.%7.%8.%9"/>
      <w:lvlJc w:val="left"/>
      <w:pPr>
        <w:tabs>
          <w:tab w:val="num" w:pos="2587"/>
        </w:tabs>
        <w:ind w:left="2587" w:hanging="1584"/>
      </w:pPr>
      <w:rPr>
        <w:rFonts w:cs="Times New Roman" w:hint="default"/>
      </w:rPr>
    </w:lvl>
  </w:abstractNum>
  <w:abstractNum w:abstractNumId="16"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9CF1222"/>
    <w:multiLevelType w:val="multilevel"/>
    <w:tmpl w:val="90E4E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BDA059A"/>
    <w:multiLevelType w:val="hybridMultilevel"/>
    <w:tmpl w:val="2D2C4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227877"/>
    <w:multiLevelType w:val="multilevel"/>
    <w:tmpl w:val="8E7CC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F6279A3"/>
    <w:multiLevelType w:val="hybridMultilevel"/>
    <w:tmpl w:val="25466FB8"/>
    <w:lvl w:ilvl="0" w:tplc="84448DC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50A7D36"/>
    <w:multiLevelType w:val="multilevel"/>
    <w:tmpl w:val="93B64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8D873E1"/>
    <w:multiLevelType w:val="hybridMultilevel"/>
    <w:tmpl w:val="9F4C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2412A4"/>
    <w:multiLevelType w:val="multilevel"/>
    <w:tmpl w:val="B01A7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DB16D37"/>
    <w:multiLevelType w:val="hybridMultilevel"/>
    <w:tmpl w:val="302ECB2C"/>
    <w:lvl w:ilvl="0" w:tplc="8D94F1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456A19"/>
    <w:multiLevelType w:val="hybridMultilevel"/>
    <w:tmpl w:val="26FE5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0F46B5"/>
    <w:multiLevelType w:val="multilevel"/>
    <w:tmpl w:val="7CCAF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4E264CB"/>
    <w:multiLevelType w:val="hybridMultilevel"/>
    <w:tmpl w:val="C532B1EA"/>
    <w:lvl w:ilvl="0" w:tplc="E01640FA">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2621B"/>
    <w:multiLevelType w:val="hybridMultilevel"/>
    <w:tmpl w:val="68284340"/>
    <w:lvl w:ilvl="0" w:tplc="A606C0C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C43CC8"/>
    <w:multiLevelType w:val="hybridMultilevel"/>
    <w:tmpl w:val="D902A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CE5CD1"/>
    <w:multiLevelType w:val="hybridMultilevel"/>
    <w:tmpl w:val="EBBE7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6C714D"/>
    <w:multiLevelType w:val="multilevel"/>
    <w:tmpl w:val="B650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AE02F9"/>
    <w:multiLevelType w:val="hybridMultilevel"/>
    <w:tmpl w:val="57945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FF7160"/>
    <w:multiLevelType w:val="hybridMultilevel"/>
    <w:tmpl w:val="B9B298A2"/>
    <w:lvl w:ilvl="0" w:tplc="7736F6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4954A1"/>
    <w:multiLevelType w:val="hybridMultilevel"/>
    <w:tmpl w:val="0F72E660"/>
    <w:lvl w:ilvl="0" w:tplc="5E3A4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7F07F2"/>
    <w:multiLevelType w:val="hybridMultilevel"/>
    <w:tmpl w:val="EAAC4E72"/>
    <w:lvl w:ilvl="0" w:tplc="8B8269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3B341F8"/>
    <w:multiLevelType w:val="multilevel"/>
    <w:tmpl w:val="3028C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55607EC"/>
    <w:multiLevelType w:val="hybridMultilevel"/>
    <w:tmpl w:val="4A88A6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15:restartNumberingAfterBreak="0">
    <w:nsid w:val="561B100D"/>
    <w:multiLevelType w:val="hybridMultilevel"/>
    <w:tmpl w:val="C7E6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0627F0"/>
    <w:multiLevelType w:val="multilevel"/>
    <w:tmpl w:val="C0749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58DA5DB1"/>
    <w:multiLevelType w:val="hybridMultilevel"/>
    <w:tmpl w:val="1806EE1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1" w15:restartNumberingAfterBreak="0">
    <w:nsid w:val="5B2F51BC"/>
    <w:multiLevelType w:val="multilevel"/>
    <w:tmpl w:val="D98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591EB4"/>
    <w:multiLevelType w:val="hybridMultilevel"/>
    <w:tmpl w:val="31700B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3" w15:restartNumberingAfterBreak="0">
    <w:nsid w:val="5F7C60B6"/>
    <w:multiLevelType w:val="hybridMultilevel"/>
    <w:tmpl w:val="B2C00C20"/>
    <w:lvl w:ilvl="0" w:tplc="9A0663EC">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63905F82"/>
    <w:multiLevelType w:val="hybridMultilevel"/>
    <w:tmpl w:val="86FAC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9F6187"/>
    <w:multiLevelType w:val="multilevel"/>
    <w:tmpl w:val="6B2CE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657050E5"/>
    <w:multiLevelType w:val="hybridMultilevel"/>
    <w:tmpl w:val="30A0F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C0797C"/>
    <w:multiLevelType w:val="hybridMultilevel"/>
    <w:tmpl w:val="D8BC3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8E572C5"/>
    <w:multiLevelType w:val="hybridMultilevel"/>
    <w:tmpl w:val="F4702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D8429D7"/>
    <w:multiLevelType w:val="multilevel"/>
    <w:tmpl w:val="BD56130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50" w15:restartNumberingAfterBreak="0">
    <w:nsid w:val="7A207353"/>
    <w:multiLevelType w:val="hybridMultilevel"/>
    <w:tmpl w:val="1DE64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0D61A9"/>
    <w:multiLevelType w:val="hybridMultilevel"/>
    <w:tmpl w:val="BD061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413475"/>
    <w:multiLevelType w:val="hybridMultilevel"/>
    <w:tmpl w:val="5AE0D2A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3" w15:restartNumberingAfterBreak="0">
    <w:nsid w:val="7F7B6408"/>
    <w:multiLevelType w:val="hybridMultilevel"/>
    <w:tmpl w:val="C230617C"/>
    <w:lvl w:ilvl="0" w:tplc="AC4EC8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7"/>
  </w:num>
  <w:num w:numId="6">
    <w:abstractNumId w:val="33"/>
  </w:num>
  <w:num w:numId="7">
    <w:abstractNumId w:val="53"/>
  </w:num>
  <w:num w:numId="8">
    <w:abstractNumId w:val="43"/>
  </w:num>
  <w:num w:numId="9">
    <w:abstractNumId w:val="35"/>
  </w:num>
  <w:num w:numId="10">
    <w:abstractNumId w:val="20"/>
  </w:num>
  <w:num w:numId="11">
    <w:abstractNumId w:val="24"/>
  </w:num>
  <w:num w:numId="12">
    <w:abstractNumId w:val="48"/>
  </w:num>
  <w:num w:numId="13">
    <w:abstractNumId w:val="34"/>
  </w:num>
  <w:num w:numId="14">
    <w:abstractNumId w:val="26"/>
  </w:num>
  <w:num w:numId="15">
    <w:abstractNumId w:val="39"/>
  </w:num>
  <w:num w:numId="16">
    <w:abstractNumId w:val="19"/>
  </w:num>
  <w:num w:numId="17">
    <w:abstractNumId w:val="23"/>
  </w:num>
  <w:num w:numId="18">
    <w:abstractNumId w:val="11"/>
  </w:num>
  <w:num w:numId="19">
    <w:abstractNumId w:val="5"/>
  </w:num>
  <w:num w:numId="20">
    <w:abstractNumId w:val="36"/>
  </w:num>
  <w:num w:numId="21">
    <w:abstractNumId w:val="21"/>
  </w:num>
  <w:num w:numId="22">
    <w:abstractNumId w:val="10"/>
  </w:num>
  <w:num w:numId="23">
    <w:abstractNumId w:val="1"/>
  </w:num>
  <w:num w:numId="24">
    <w:abstractNumId w:val="49"/>
  </w:num>
  <w:num w:numId="25">
    <w:abstractNumId w:val="17"/>
  </w:num>
  <w:num w:numId="26">
    <w:abstractNumId w:val="45"/>
  </w:num>
  <w:num w:numId="27">
    <w:abstractNumId w:val="29"/>
  </w:num>
  <w:num w:numId="28">
    <w:abstractNumId w:val="47"/>
  </w:num>
  <w:num w:numId="29">
    <w:abstractNumId w:val="37"/>
  </w:num>
  <w:num w:numId="30">
    <w:abstractNumId w:val="0"/>
  </w:num>
  <w:num w:numId="31">
    <w:abstractNumId w:val="6"/>
  </w:num>
  <w:num w:numId="32">
    <w:abstractNumId w:val="51"/>
  </w:num>
  <w:num w:numId="33">
    <w:abstractNumId w:val="18"/>
  </w:num>
  <w:num w:numId="34">
    <w:abstractNumId w:val="38"/>
  </w:num>
  <w:num w:numId="35">
    <w:abstractNumId w:val="44"/>
  </w:num>
  <w:num w:numId="36">
    <w:abstractNumId w:val="37"/>
  </w:num>
  <w:num w:numId="37">
    <w:abstractNumId w:val="3"/>
  </w:num>
  <w:num w:numId="38">
    <w:abstractNumId w:val="27"/>
  </w:num>
  <w:num w:numId="39">
    <w:abstractNumId w:val="4"/>
  </w:num>
  <w:num w:numId="40">
    <w:abstractNumId w:val="30"/>
  </w:num>
  <w:num w:numId="41">
    <w:abstractNumId w:val="15"/>
  </w:num>
  <w:num w:numId="42">
    <w:abstractNumId w:val="52"/>
  </w:num>
  <w:num w:numId="43">
    <w:abstractNumId w:val="9"/>
  </w:num>
  <w:num w:numId="44">
    <w:abstractNumId w:val="42"/>
  </w:num>
  <w:num w:numId="45">
    <w:abstractNumId w:val="25"/>
  </w:num>
  <w:num w:numId="46">
    <w:abstractNumId w:val="28"/>
  </w:num>
  <w:num w:numId="47">
    <w:abstractNumId w:val="22"/>
  </w:num>
  <w:num w:numId="48">
    <w:abstractNumId w:val="41"/>
  </w:num>
  <w:num w:numId="49">
    <w:abstractNumId w:val="14"/>
  </w:num>
  <w:num w:numId="50">
    <w:abstractNumId w:val="31"/>
  </w:num>
  <w:num w:numId="51">
    <w:abstractNumId w:val="50"/>
  </w:num>
  <w:num w:numId="52">
    <w:abstractNumId w:val="32"/>
  </w:num>
  <w:num w:numId="53">
    <w:abstractNumId w:val="46"/>
  </w:num>
  <w:num w:numId="54">
    <w:abstractNumId w:val="2"/>
  </w:num>
  <w:num w:numId="55">
    <w:abstractNumId w:val="8"/>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98"/>
    <w:rsid w:val="000054AF"/>
    <w:rsid w:val="00005FCF"/>
    <w:rsid w:val="00015BC4"/>
    <w:rsid w:val="00021273"/>
    <w:rsid w:val="0002690F"/>
    <w:rsid w:val="00034EEF"/>
    <w:rsid w:val="00035847"/>
    <w:rsid w:val="00061052"/>
    <w:rsid w:val="0008377B"/>
    <w:rsid w:val="00084EA5"/>
    <w:rsid w:val="000B3925"/>
    <w:rsid w:val="000B4E4F"/>
    <w:rsid w:val="000C46EC"/>
    <w:rsid w:val="000D346C"/>
    <w:rsid w:val="000E1E72"/>
    <w:rsid w:val="000E2AF2"/>
    <w:rsid w:val="000F0F77"/>
    <w:rsid w:val="000F361E"/>
    <w:rsid w:val="00105A8E"/>
    <w:rsid w:val="0012297F"/>
    <w:rsid w:val="0013194E"/>
    <w:rsid w:val="00144C44"/>
    <w:rsid w:val="0016213B"/>
    <w:rsid w:val="00166328"/>
    <w:rsid w:val="00167CF4"/>
    <w:rsid w:val="00177E59"/>
    <w:rsid w:val="00190BF2"/>
    <w:rsid w:val="00196724"/>
    <w:rsid w:val="001A00AA"/>
    <w:rsid w:val="001A5A6C"/>
    <w:rsid w:val="001A6BB9"/>
    <w:rsid w:val="001B327F"/>
    <w:rsid w:val="001C1FA6"/>
    <w:rsid w:val="001C6C59"/>
    <w:rsid w:val="001D7CAB"/>
    <w:rsid w:val="001E65D0"/>
    <w:rsid w:val="00211678"/>
    <w:rsid w:val="0022496A"/>
    <w:rsid w:val="002377CF"/>
    <w:rsid w:val="0025347F"/>
    <w:rsid w:val="002548C0"/>
    <w:rsid w:val="00260414"/>
    <w:rsid w:val="002606DB"/>
    <w:rsid w:val="00273AB6"/>
    <w:rsid w:val="00282090"/>
    <w:rsid w:val="00283169"/>
    <w:rsid w:val="0028780C"/>
    <w:rsid w:val="002C7498"/>
    <w:rsid w:val="002D3D07"/>
    <w:rsid w:val="002E3530"/>
    <w:rsid w:val="002F126A"/>
    <w:rsid w:val="00345160"/>
    <w:rsid w:val="003569A2"/>
    <w:rsid w:val="00356BA5"/>
    <w:rsid w:val="00364C7D"/>
    <w:rsid w:val="00370DCD"/>
    <w:rsid w:val="003732CB"/>
    <w:rsid w:val="003748AC"/>
    <w:rsid w:val="00374F07"/>
    <w:rsid w:val="00383CEF"/>
    <w:rsid w:val="003931A1"/>
    <w:rsid w:val="003942AE"/>
    <w:rsid w:val="003A2BD7"/>
    <w:rsid w:val="003A5325"/>
    <w:rsid w:val="003C12C6"/>
    <w:rsid w:val="003C2A82"/>
    <w:rsid w:val="003D45BB"/>
    <w:rsid w:val="003D73AF"/>
    <w:rsid w:val="00407636"/>
    <w:rsid w:val="00434779"/>
    <w:rsid w:val="00443200"/>
    <w:rsid w:val="00471C7B"/>
    <w:rsid w:val="00477A8D"/>
    <w:rsid w:val="004818D8"/>
    <w:rsid w:val="0048702D"/>
    <w:rsid w:val="004A37FC"/>
    <w:rsid w:val="004A7E30"/>
    <w:rsid w:val="004C439E"/>
    <w:rsid w:val="004D058A"/>
    <w:rsid w:val="004E15DC"/>
    <w:rsid w:val="004E6EA9"/>
    <w:rsid w:val="004E7BB3"/>
    <w:rsid w:val="004F22E4"/>
    <w:rsid w:val="00530566"/>
    <w:rsid w:val="005463B1"/>
    <w:rsid w:val="005620A5"/>
    <w:rsid w:val="00583ED8"/>
    <w:rsid w:val="00584942"/>
    <w:rsid w:val="00591AFB"/>
    <w:rsid w:val="00592762"/>
    <w:rsid w:val="00592BE6"/>
    <w:rsid w:val="0059717E"/>
    <w:rsid w:val="005B2D2E"/>
    <w:rsid w:val="005B7AE6"/>
    <w:rsid w:val="005E1D34"/>
    <w:rsid w:val="00601D7E"/>
    <w:rsid w:val="00615CDA"/>
    <w:rsid w:val="006318CD"/>
    <w:rsid w:val="00637825"/>
    <w:rsid w:val="00642AA3"/>
    <w:rsid w:val="006432FA"/>
    <w:rsid w:val="0064422F"/>
    <w:rsid w:val="006454FC"/>
    <w:rsid w:val="00651D16"/>
    <w:rsid w:val="00670CD0"/>
    <w:rsid w:val="00672CFD"/>
    <w:rsid w:val="00674C88"/>
    <w:rsid w:val="0068731C"/>
    <w:rsid w:val="006B529C"/>
    <w:rsid w:val="006B7939"/>
    <w:rsid w:val="006C5985"/>
    <w:rsid w:val="006C5A74"/>
    <w:rsid w:val="006D1730"/>
    <w:rsid w:val="006D6187"/>
    <w:rsid w:val="006E0119"/>
    <w:rsid w:val="006E7BE4"/>
    <w:rsid w:val="006F429C"/>
    <w:rsid w:val="007024EB"/>
    <w:rsid w:val="007059B5"/>
    <w:rsid w:val="0071542D"/>
    <w:rsid w:val="00723058"/>
    <w:rsid w:val="00735BC7"/>
    <w:rsid w:val="00736B16"/>
    <w:rsid w:val="00740846"/>
    <w:rsid w:val="00750C0B"/>
    <w:rsid w:val="0075766E"/>
    <w:rsid w:val="007601CA"/>
    <w:rsid w:val="00770675"/>
    <w:rsid w:val="007736C5"/>
    <w:rsid w:val="00786194"/>
    <w:rsid w:val="007907A9"/>
    <w:rsid w:val="00790A80"/>
    <w:rsid w:val="007916DE"/>
    <w:rsid w:val="00796E5D"/>
    <w:rsid w:val="007D4EA4"/>
    <w:rsid w:val="007D6EDF"/>
    <w:rsid w:val="007E0277"/>
    <w:rsid w:val="007F3ACE"/>
    <w:rsid w:val="00806B1F"/>
    <w:rsid w:val="00812C91"/>
    <w:rsid w:val="00834D9B"/>
    <w:rsid w:val="00837E20"/>
    <w:rsid w:val="00851874"/>
    <w:rsid w:val="00853194"/>
    <w:rsid w:val="00854F57"/>
    <w:rsid w:val="00861F39"/>
    <w:rsid w:val="00862874"/>
    <w:rsid w:val="008803C1"/>
    <w:rsid w:val="00895358"/>
    <w:rsid w:val="00896BC7"/>
    <w:rsid w:val="0089752F"/>
    <w:rsid w:val="008B3695"/>
    <w:rsid w:val="008B7E5C"/>
    <w:rsid w:val="008C10E8"/>
    <w:rsid w:val="008D17E5"/>
    <w:rsid w:val="008E3081"/>
    <w:rsid w:val="008E4672"/>
    <w:rsid w:val="00902F9B"/>
    <w:rsid w:val="00932FAA"/>
    <w:rsid w:val="00954D37"/>
    <w:rsid w:val="00964E2B"/>
    <w:rsid w:val="00971DA4"/>
    <w:rsid w:val="00977A38"/>
    <w:rsid w:val="00980F29"/>
    <w:rsid w:val="009827DB"/>
    <w:rsid w:val="009900D0"/>
    <w:rsid w:val="009A1768"/>
    <w:rsid w:val="009B526E"/>
    <w:rsid w:val="009C48AD"/>
    <w:rsid w:val="009C661C"/>
    <w:rsid w:val="009E457D"/>
    <w:rsid w:val="00A10151"/>
    <w:rsid w:val="00A10D5C"/>
    <w:rsid w:val="00A3329B"/>
    <w:rsid w:val="00A34472"/>
    <w:rsid w:val="00A4305D"/>
    <w:rsid w:val="00A62810"/>
    <w:rsid w:val="00A65C51"/>
    <w:rsid w:val="00A837A1"/>
    <w:rsid w:val="00A85F86"/>
    <w:rsid w:val="00AB2CEA"/>
    <w:rsid w:val="00AC220E"/>
    <w:rsid w:val="00AD7B5A"/>
    <w:rsid w:val="00AE4A63"/>
    <w:rsid w:val="00AF090F"/>
    <w:rsid w:val="00AF3329"/>
    <w:rsid w:val="00B31BCC"/>
    <w:rsid w:val="00B42989"/>
    <w:rsid w:val="00B60910"/>
    <w:rsid w:val="00B73268"/>
    <w:rsid w:val="00B74098"/>
    <w:rsid w:val="00B80C04"/>
    <w:rsid w:val="00B940A4"/>
    <w:rsid w:val="00B95091"/>
    <w:rsid w:val="00BA709C"/>
    <w:rsid w:val="00BB5BBF"/>
    <w:rsid w:val="00BC5416"/>
    <w:rsid w:val="00BD2ACE"/>
    <w:rsid w:val="00BF11CA"/>
    <w:rsid w:val="00BF4D4F"/>
    <w:rsid w:val="00C0022A"/>
    <w:rsid w:val="00C16070"/>
    <w:rsid w:val="00C2738B"/>
    <w:rsid w:val="00C31D6C"/>
    <w:rsid w:val="00C50433"/>
    <w:rsid w:val="00C544BB"/>
    <w:rsid w:val="00C6088A"/>
    <w:rsid w:val="00C836FB"/>
    <w:rsid w:val="00CB22E8"/>
    <w:rsid w:val="00CB300B"/>
    <w:rsid w:val="00CB702E"/>
    <w:rsid w:val="00CC02B2"/>
    <w:rsid w:val="00CC0811"/>
    <w:rsid w:val="00CC24DE"/>
    <w:rsid w:val="00CC7F03"/>
    <w:rsid w:val="00CD72C2"/>
    <w:rsid w:val="00CE095F"/>
    <w:rsid w:val="00CE3B89"/>
    <w:rsid w:val="00CE79A5"/>
    <w:rsid w:val="00CF287F"/>
    <w:rsid w:val="00D1254C"/>
    <w:rsid w:val="00D831FE"/>
    <w:rsid w:val="00DA18D9"/>
    <w:rsid w:val="00DE4228"/>
    <w:rsid w:val="00DF0920"/>
    <w:rsid w:val="00DF1BBE"/>
    <w:rsid w:val="00DF1D4F"/>
    <w:rsid w:val="00E01A23"/>
    <w:rsid w:val="00E233A6"/>
    <w:rsid w:val="00E54CA9"/>
    <w:rsid w:val="00E60009"/>
    <w:rsid w:val="00E76C30"/>
    <w:rsid w:val="00E7743D"/>
    <w:rsid w:val="00E80043"/>
    <w:rsid w:val="00E8128B"/>
    <w:rsid w:val="00E972A6"/>
    <w:rsid w:val="00EB6598"/>
    <w:rsid w:val="00EC5B1E"/>
    <w:rsid w:val="00EE6DE0"/>
    <w:rsid w:val="00EF095F"/>
    <w:rsid w:val="00EF209B"/>
    <w:rsid w:val="00EF3193"/>
    <w:rsid w:val="00EF36A6"/>
    <w:rsid w:val="00F02ED0"/>
    <w:rsid w:val="00F115E0"/>
    <w:rsid w:val="00F14D6E"/>
    <w:rsid w:val="00F15F92"/>
    <w:rsid w:val="00F2218B"/>
    <w:rsid w:val="00F40D98"/>
    <w:rsid w:val="00F450F8"/>
    <w:rsid w:val="00F608CF"/>
    <w:rsid w:val="00F67628"/>
    <w:rsid w:val="00F7144E"/>
    <w:rsid w:val="00F77B7D"/>
    <w:rsid w:val="00F84538"/>
    <w:rsid w:val="00F87DBA"/>
    <w:rsid w:val="00F93B25"/>
    <w:rsid w:val="00F94542"/>
    <w:rsid w:val="00FB5586"/>
    <w:rsid w:val="00FB6C32"/>
    <w:rsid w:val="00FE33DB"/>
    <w:rsid w:val="00FE4D18"/>
    <w:rsid w:val="00FE6602"/>
    <w:rsid w:val="00FF07BA"/>
    <w:rsid w:val="00FF0F4E"/>
    <w:rsid w:val="00FF5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718F83F6-DE28-450D-A55D-4E96C46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98"/>
    <w:pPr>
      <w:spacing w:before="240" w:after="24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qFormat/>
    <w:rsid w:val="002C749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2C7498"/>
    <w:pPr>
      <w:numPr>
        <w:ilvl w:val="1"/>
      </w:numPr>
      <w:outlineLvl w:val="1"/>
    </w:pPr>
    <w:rPr>
      <w:bCs w:val="0"/>
      <w:i/>
      <w:color w:val="000000"/>
      <w:szCs w:val="26"/>
    </w:rPr>
  </w:style>
  <w:style w:type="paragraph" w:styleId="Heading3">
    <w:name w:val="heading 3"/>
    <w:basedOn w:val="Heading2"/>
    <w:next w:val="Normal"/>
    <w:link w:val="Heading3Char"/>
    <w:qFormat/>
    <w:rsid w:val="002C7498"/>
    <w:pPr>
      <w:numPr>
        <w:ilvl w:val="2"/>
      </w:numPr>
      <w:outlineLvl w:val="2"/>
    </w:pPr>
    <w:rPr>
      <w:b w:val="0"/>
      <w:bCs/>
      <w:color w:val="auto"/>
      <w:sz w:val="24"/>
    </w:rPr>
  </w:style>
  <w:style w:type="paragraph" w:styleId="Heading4">
    <w:name w:val="heading 4"/>
    <w:basedOn w:val="Heading3"/>
    <w:next w:val="Normal"/>
    <w:link w:val="Heading4Char"/>
    <w:qFormat/>
    <w:rsid w:val="002C7498"/>
    <w:pPr>
      <w:numPr>
        <w:ilvl w:val="3"/>
      </w:numPr>
      <w:outlineLvl w:val="3"/>
    </w:pPr>
    <w:rPr>
      <w:bCs w:val="0"/>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498"/>
    <w:rPr>
      <w:rFonts w:ascii="Arial" w:eastAsia="Times New Roman" w:hAnsi="Arial" w:cs="Times New Roman"/>
      <w:b/>
      <w:bCs/>
      <w:sz w:val="28"/>
      <w:szCs w:val="28"/>
      <w:lang w:eastAsia="en-AU"/>
    </w:rPr>
  </w:style>
  <w:style w:type="character" w:customStyle="1" w:styleId="Heading2Char">
    <w:name w:val="Heading 2 Char"/>
    <w:basedOn w:val="DefaultParagraphFont"/>
    <w:link w:val="Heading2"/>
    <w:rsid w:val="002C7498"/>
    <w:rPr>
      <w:rFonts w:ascii="Arial" w:eastAsia="Times New Roman" w:hAnsi="Arial" w:cs="Times New Roman"/>
      <w:b/>
      <w:i/>
      <w:color w:val="000000"/>
      <w:sz w:val="28"/>
      <w:szCs w:val="26"/>
      <w:lang w:eastAsia="en-AU"/>
    </w:rPr>
  </w:style>
  <w:style w:type="character" w:customStyle="1" w:styleId="Heading3Char">
    <w:name w:val="Heading 3 Char"/>
    <w:basedOn w:val="DefaultParagraphFont"/>
    <w:link w:val="Heading3"/>
    <w:rsid w:val="002C7498"/>
    <w:rPr>
      <w:rFonts w:ascii="Arial" w:eastAsia="Times New Roman" w:hAnsi="Arial" w:cs="Times New Roman"/>
      <w:bCs/>
      <w:i/>
      <w:sz w:val="24"/>
      <w:szCs w:val="26"/>
      <w:lang w:eastAsia="en-AU"/>
    </w:rPr>
  </w:style>
  <w:style w:type="character" w:customStyle="1" w:styleId="Heading4Char">
    <w:name w:val="Heading 4 Char"/>
    <w:basedOn w:val="DefaultParagraphFont"/>
    <w:link w:val="Heading4"/>
    <w:rsid w:val="002C7498"/>
    <w:rPr>
      <w:rFonts w:ascii="Arial" w:eastAsia="Times New Roman" w:hAnsi="Arial" w:cs="Times New Roman"/>
      <w:iCs/>
      <w:sz w:val="24"/>
      <w:szCs w:val="26"/>
      <w:lang w:eastAsia="en-AU"/>
    </w:rPr>
  </w:style>
  <w:style w:type="paragraph" w:styleId="Header">
    <w:name w:val="header"/>
    <w:basedOn w:val="Normal"/>
    <w:link w:val="HeaderChar"/>
    <w:semiHidden/>
    <w:rsid w:val="002C7498"/>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2C7498"/>
    <w:rPr>
      <w:rFonts w:ascii="Arial" w:eastAsia="Times New Roman" w:hAnsi="Arial" w:cs="Times New Roman"/>
      <w:szCs w:val="24"/>
      <w:lang w:eastAsia="en-AU"/>
    </w:rPr>
  </w:style>
  <w:style w:type="paragraph" w:styleId="Footer">
    <w:name w:val="footer"/>
    <w:basedOn w:val="Normal"/>
    <w:link w:val="FooterChar"/>
    <w:uiPriority w:val="99"/>
    <w:semiHidden/>
    <w:rsid w:val="002C7498"/>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2C7498"/>
    <w:rPr>
      <w:rFonts w:ascii="Arial" w:eastAsia="Times New Roman" w:hAnsi="Arial" w:cs="Times New Roman"/>
      <w:szCs w:val="24"/>
      <w:lang w:eastAsia="en-AU"/>
    </w:rPr>
  </w:style>
  <w:style w:type="character" w:styleId="CommentReference">
    <w:name w:val="annotation reference"/>
    <w:basedOn w:val="DefaultParagraphFont"/>
    <w:unhideWhenUsed/>
    <w:rsid w:val="002C7498"/>
    <w:rPr>
      <w:sz w:val="16"/>
      <w:szCs w:val="16"/>
    </w:rPr>
  </w:style>
  <w:style w:type="paragraph" w:styleId="CommentText">
    <w:name w:val="annotation text"/>
    <w:basedOn w:val="Normal"/>
    <w:link w:val="CommentTextChar"/>
    <w:unhideWhenUsed/>
    <w:rsid w:val="002C7498"/>
    <w:rPr>
      <w:sz w:val="20"/>
      <w:szCs w:val="20"/>
    </w:rPr>
  </w:style>
  <w:style w:type="character" w:customStyle="1" w:styleId="CommentTextChar">
    <w:name w:val="Comment Text Char"/>
    <w:basedOn w:val="DefaultParagraphFont"/>
    <w:link w:val="CommentText"/>
    <w:rsid w:val="002C7498"/>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2C749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98"/>
    <w:rPr>
      <w:rFonts w:ascii="Tahoma" w:eastAsia="Times New Roman" w:hAnsi="Tahoma" w:cs="Tahoma"/>
      <w:sz w:val="16"/>
      <w:szCs w:val="16"/>
      <w:lang w:eastAsia="en-AU"/>
    </w:rPr>
  </w:style>
  <w:style w:type="character" w:styleId="Hyperlink">
    <w:name w:val="Hyperlink"/>
    <w:basedOn w:val="DefaultParagraphFont"/>
    <w:uiPriority w:val="99"/>
    <w:unhideWhenUsed/>
    <w:rsid w:val="00364C7D"/>
    <w:rPr>
      <w:color w:val="0000FF"/>
      <w:u w:val="single"/>
    </w:rPr>
  </w:style>
  <w:style w:type="paragraph" w:styleId="ListParagraph">
    <w:name w:val="List Paragraph"/>
    <w:basedOn w:val="Normal"/>
    <w:uiPriority w:val="34"/>
    <w:qFormat/>
    <w:rsid w:val="00364C7D"/>
    <w:pPr>
      <w:ind w:left="720"/>
      <w:contextualSpacing/>
    </w:pPr>
  </w:style>
  <w:style w:type="paragraph" w:styleId="CommentSubject">
    <w:name w:val="annotation subject"/>
    <w:basedOn w:val="CommentText"/>
    <w:next w:val="CommentText"/>
    <w:link w:val="CommentSubjectChar"/>
    <w:uiPriority w:val="99"/>
    <w:semiHidden/>
    <w:unhideWhenUsed/>
    <w:rsid w:val="004E6EA9"/>
    <w:rPr>
      <w:b/>
      <w:bCs/>
    </w:rPr>
  </w:style>
  <w:style w:type="character" w:customStyle="1" w:styleId="CommentSubjectChar">
    <w:name w:val="Comment Subject Char"/>
    <w:basedOn w:val="CommentTextChar"/>
    <w:link w:val="CommentSubject"/>
    <w:uiPriority w:val="99"/>
    <w:semiHidden/>
    <w:rsid w:val="004E6EA9"/>
    <w:rPr>
      <w:rFonts w:ascii="Arial" w:eastAsia="Times New Roman" w:hAnsi="Arial" w:cs="Times New Roman"/>
      <w:b/>
      <w:bCs/>
      <w:sz w:val="20"/>
      <w:szCs w:val="20"/>
      <w:lang w:eastAsia="en-AU"/>
    </w:rPr>
  </w:style>
  <w:style w:type="table" w:styleId="TableGrid">
    <w:name w:val="Table Grid"/>
    <w:basedOn w:val="TableNormal"/>
    <w:rsid w:val="008D17E5"/>
    <w:pPr>
      <w:spacing w:after="0" w:line="240" w:lineRule="auto"/>
    </w:pPr>
    <w:rPr>
      <w:rFonts w:ascii="Arial" w:hAnsi="Arial" w:cs="Arial"/>
      <w:kern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E0277"/>
    <w:pPr>
      <w:spacing w:before="0" w:after="0"/>
      <w:jc w:val="both"/>
    </w:pPr>
    <w:rPr>
      <w:rFonts w:eastAsiaTheme="minorHAnsi" w:cstheme="minorBidi"/>
      <w:sz w:val="20"/>
      <w:szCs w:val="20"/>
      <w:lang w:eastAsia="en-US"/>
    </w:rPr>
  </w:style>
  <w:style w:type="character" w:customStyle="1" w:styleId="FootnoteTextChar">
    <w:name w:val="Footnote Text Char"/>
    <w:basedOn w:val="DefaultParagraphFont"/>
    <w:link w:val="FootnoteText"/>
    <w:rsid w:val="007E0277"/>
    <w:rPr>
      <w:rFonts w:ascii="Arial" w:hAnsi="Arial"/>
      <w:sz w:val="20"/>
      <w:szCs w:val="20"/>
    </w:rPr>
  </w:style>
  <w:style w:type="character" w:styleId="FootnoteReference">
    <w:name w:val="footnote reference"/>
    <w:basedOn w:val="DefaultParagraphFont"/>
    <w:unhideWhenUsed/>
    <w:rsid w:val="007E0277"/>
    <w:rPr>
      <w:vertAlign w:val="superscript"/>
    </w:rPr>
  </w:style>
  <w:style w:type="paragraph" w:customStyle="1" w:styleId="SecBody">
    <w:name w:val="Sec Body"/>
    <w:basedOn w:val="Normal"/>
    <w:link w:val="SecBodyChar"/>
    <w:uiPriority w:val="99"/>
    <w:qFormat/>
    <w:rsid w:val="00005FCF"/>
    <w:pPr>
      <w:spacing w:before="120" w:after="120"/>
      <w:ind w:left="567"/>
    </w:pPr>
    <w:rPr>
      <w:rFonts w:eastAsiaTheme="minorHAnsi" w:cs="Arial"/>
      <w:sz w:val="22"/>
      <w:szCs w:val="22"/>
      <w:lang w:eastAsia="en-US"/>
    </w:rPr>
  </w:style>
  <w:style w:type="character" w:customStyle="1" w:styleId="SecBodyChar">
    <w:name w:val="Sec Body Char"/>
    <w:basedOn w:val="DefaultParagraphFont"/>
    <w:link w:val="SecBody"/>
    <w:uiPriority w:val="99"/>
    <w:rsid w:val="00005FCF"/>
    <w:rPr>
      <w:rFonts w:ascii="Arial" w:hAnsi="Arial" w:cs="Arial"/>
    </w:rPr>
  </w:style>
  <w:style w:type="paragraph" w:customStyle="1" w:styleId="SecBullets">
    <w:name w:val="Sec Bullets"/>
    <w:basedOn w:val="SecBody"/>
    <w:next w:val="SecBody"/>
    <w:qFormat/>
    <w:rsid w:val="00CE095F"/>
    <w:pPr>
      <w:numPr>
        <w:numId w:val="8"/>
      </w:numPr>
      <w:spacing w:before="60" w:after="60"/>
    </w:pPr>
  </w:style>
  <w:style w:type="paragraph" w:customStyle="1" w:styleId="acthead5">
    <w:name w:val="acthead5"/>
    <w:basedOn w:val="Normal"/>
    <w:rsid w:val="00F40D98"/>
    <w:pPr>
      <w:spacing w:before="100" w:beforeAutospacing="1" w:after="100" w:afterAutospacing="1"/>
    </w:pPr>
    <w:rPr>
      <w:rFonts w:ascii="Times New Roman" w:hAnsi="Times New Roman"/>
    </w:rPr>
  </w:style>
  <w:style w:type="character" w:customStyle="1" w:styleId="charsectno">
    <w:name w:val="charsectno"/>
    <w:basedOn w:val="DefaultParagraphFont"/>
    <w:rsid w:val="00F40D98"/>
  </w:style>
  <w:style w:type="paragraph" w:customStyle="1" w:styleId="subsection">
    <w:name w:val="subsection"/>
    <w:basedOn w:val="Normal"/>
    <w:rsid w:val="00F40D98"/>
    <w:pPr>
      <w:spacing w:before="100" w:beforeAutospacing="1" w:after="100" w:afterAutospacing="1"/>
    </w:pPr>
    <w:rPr>
      <w:rFonts w:ascii="Times New Roman" w:hAnsi="Times New Roman"/>
    </w:rPr>
  </w:style>
  <w:style w:type="paragraph" w:customStyle="1" w:styleId="paragraph">
    <w:name w:val="paragraph"/>
    <w:basedOn w:val="Normal"/>
    <w:rsid w:val="0013194E"/>
    <w:pPr>
      <w:spacing w:before="100" w:beforeAutospacing="1" w:after="100" w:afterAutospacing="1"/>
    </w:pPr>
    <w:rPr>
      <w:rFonts w:ascii="Times New Roman" w:hAnsi="Times New Roman"/>
    </w:rPr>
  </w:style>
  <w:style w:type="paragraph" w:customStyle="1" w:styleId="paragraphsub">
    <w:name w:val="paragraphsub"/>
    <w:basedOn w:val="Normal"/>
    <w:rsid w:val="0013194E"/>
    <w:pPr>
      <w:spacing w:before="100" w:beforeAutospacing="1" w:after="100" w:afterAutospacing="1"/>
    </w:pPr>
    <w:rPr>
      <w:rFonts w:ascii="Times New Roman" w:hAnsi="Times New Roman"/>
    </w:rPr>
  </w:style>
  <w:style w:type="paragraph" w:customStyle="1" w:styleId="Default">
    <w:name w:val="Default"/>
    <w:rsid w:val="00F15F9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16213B"/>
    <w:rPr>
      <w:color w:val="800080" w:themeColor="followedHyperlink"/>
      <w:u w:val="single"/>
    </w:rPr>
  </w:style>
  <w:style w:type="paragraph" w:styleId="BodyText">
    <w:name w:val="Body Text"/>
    <w:basedOn w:val="Normal"/>
    <w:link w:val="BodyTextChar"/>
    <w:uiPriority w:val="99"/>
    <w:rsid w:val="00C836FB"/>
    <w:pPr>
      <w:suppressAutoHyphens/>
      <w:autoSpaceDE w:val="0"/>
      <w:autoSpaceDN w:val="0"/>
      <w:adjustRightInd w:val="0"/>
      <w:spacing w:before="57" w:after="57" w:line="288" w:lineRule="auto"/>
      <w:ind w:left="113"/>
      <w:textAlignment w:val="center"/>
    </w:pPr>
    <w:rPr>
      <w:rFonts w:ascii="Gotham Light" w:hAnsi="Gotham Light" w:cs="Gotham Light"/>
      <w:color w:val="000000"/>
      <w:sz w:val="20"/>
      <w:szCs w:val="20"/>
      <w:lang w:val="en-GB" w:eastAsia="en-US"/>
    </w:rPr>
  </w:style>
  <w:style w:type="character" w:customStyle="1" w:styleId="BodyTextChar">
    <w:name w:val="Body Text Char"/>
    <w:basedOn w:val="DefaultParagraphFont"/>
    <w:link w:val="BodyText"/>
    <w:uiPriority w:val="99"/>
    <w:rsid w:val="00C836FB"/>
    <w:rPr>
      <w:rFonts w:ascii="Gotham Light" w:eastAsia="Times New Roman" w:hAnsi="Gotham Light" w:cs="Gotham Light"/>
      <w:color w:val="000000"/>
      <w:sz w:val="20"/>
      <w:szCs w:val="20"/>
      <w:lang w:val="en-GB"/>
    </w:rPr>
  </w:style>
  <w:style w:type="paragraph" w:styleId="List">
    <w:name w:val="List"/>
    <w:basedOn w:val="BodyText"/>
    <w:uiPriority w:val="99"/>
    <w:rsid w:val="00C836FB"/>
    <w:pPr>
      <w:ind w:left="473" w:hanging="360"/>
    </w:pPr>
  </w:style>
  <w:style w:type="paragraph" w:styleId="NormalWeb">
    <w:name w:val="Normal (Web)"/>
    <w:basedOn w:val="Normal"/>
    <w:uiPriority w:val="99"/>
    <w:semiHidden/>
    <w:unhideWhenUsed/>
    <w:rsid w:val="002606DB"/>
    <w:pPr>
      <w:spacing w:before="100" w:beforeAutospacing="1" w:after="100" w:afterAutospacing="1"/>
    </w:pPr>
    <w:rPr>
      <w:rFonts w:ascii="Times New Roman" w:hAnsi="Times New Roman"/>
    </w:rPr>
  </w:style>
  <w:style w:type="paragraph" w:styleId="Revision">
    <w:name w:val="Revision"/>
    <w:hidden/>
    <w:uiPriority w:val="99"/>
    <w:semiHidden/>
    <w:rsid w:val="007907A9"/>
    <w:pPr>
      <w:spacing w:after="0" w:line="240" w:lineRule="auto"/>
    </w:pPr>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849">
      <w:bodyDiv w:val="1"/>
      <w:marLeft w:val="0"/>
      <w:marRight w:val="0"/>
      <w:marTop w:val="0"/>
      <w:marBottom w:val="0"/>
      <w:divBdr>
        <w:top w:val="none" w:sz="0" w:space="0" w:color="auto"/>
        <w:left w:val="none" w:sz="0" w:space="0" w:color="auto"/>
        <w:bottom w:val="none" w:sz="0" w:space="0" w:color="auto"/>
        <w:right w:val="none" w:sz="0" w:space="0" w:color="auto"/>
      </w:divBdr>
      <w:divsChild>
        <w:div w:id="1392272711">
          <w:marLeft w:val="0"/>
          <w:marRight w:val="0"/>
          <w:marTop w:val="192"/>
          <w:marBottom w:val="0"/>
          <w:divBdr>
            <w:top w:val="none" w:sz="0" w:space="0" w:color="auto"/>
            <w:left w:val="none" w:sz="0" w:space="0" w:color="auto"/>
            <w:bottom w:val="none" w:sz="0" w:space="0" w:color="auto"/>
            <w:right w:val="none" w:sz="0" w:space="0" w:color="auto"/>
          </w:divBdr>
          <w:divsChild>
            <w:div w:id="1716932772">
              <w:marLeft w:val="0"/>
              <w:marRight w:val="0"/>
              <w:marTop w:val="0"/>
              <w:marBottom w:val="0"/>
              <w:divBdr>
                <w:top w:val="none" w:sz="0" w:space="0" w:color="auto"/>
                <w:left w:val="none" w:sz="0" w:space="0" w:color="auto"/>
                <w:bottom w:val="none" w:sz="0" w:space="0" w:color="auto"/>
                <w:right w:val="none" w:sz="0" w:space="0" w:color="auto"/>
              </w:divBdr>
              <w:divsChild>
                <w:div w:id="401873257">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sChild>
    </w:div>
    <w:div w:id="51737779">
      <w:bodyDiv w:val="1"/>
      <w:marLeft w:val="0"/>
      <w:marRight w:val="0"/>
      <w:marTop w:val="0"/>
      <w:marBottom w:val="0"/>
      <w:divBdr>
        <w:top w:val="none" w:sz="0" w:space="0" w:color="auto"/>
        <w:left w:val="none" w:sz="0" w:space="0" w:color="auto"/>
        <w:bottom w:val="none" w:sz="0" w:space="0" w:color="auto"/>
        <w:right w:val="none" w:sz="0" w:space="0" w:color="auto"/>
      </w:divBdr>
    </w:div>
    <w:div w:id="96759334">
      <w:bodyDiv w:val="1"/>
      <w:marLeft w:val="0"/>
      <w:marRight w:val="0"/>
      <w:marTop w:val="0"/>
      <w:marBottom w:val="0"/>
      <w:divBdr>
        <w:top w:val="none" w:sz="0" w:space="0" w:color="auto"/>
        <w:left w:val="none" w:sz="0" w:space="0" w:color="auto"/>
        <w:bottom w:val="none" w:sz="0" w:space="0" w:color="auto"/>
        <w:right w:val="none" w:sz="0" w:space="0" w:color="auto"/>
      </w:divBdr>
      <w:divsChild>
        <w:div w:id="148182618">
          <w:marLeft w:val="0"/>
          <w:marRight w:val="0"/>
          <w:marTop w:val="0"/>
          <w:marBottom w:val="0"/>
          <w:divBdr>
            <w:top w:val="none" w:sz="0" w:space="0" w:color="auto"/>
            <w:left w:val="none" w:sz="0" w:space="0" w:color="auto"/>
            <w:bottom w:val="none" w:sz="0" w:space="0" w:color="auto"/>
            <w:right w:val="none" w:sz="0" w:space="0" w:color="auto"/>
          </w:divBdr>
          <w:divsChild>
            <w:div w:id="1119956515">
              <w:marLeft w:val="0"/>
              <w:marRight w:val="0"/>
              <w:marTop w:val="0"/>
              <w:marBottom w:val="0"/>
              <w:divBdr>
                <w:top w:val="none" w:sz="0" w:space="0" w:color="auto"/>
                <w:left w:val="none" w:sz="0" w:space="0" w:color="auto"/>
                <w:bottom w:val="none" w:sz="0" w:space="0" w:color="auto"/>
                <w:right w:val="none" w:sz="0" w:space="0" w:color="auto"/>
              </w:divBdr>
              <w:divsChild>
                <w:div w:id="636304497">
                  <w:marLeft w:val="0"/>
                  <w:marRight w:val="0"/>
                  <w:marTop w:val="0"/>
                  <w:marBottom w:val="0"/>
                  <w:divBdr>
                    <w:top w:val="none" w:sz="0" w:space="0" w:color="auto"/>
                    <w:left w:val="none" w:sz="0" w:space="0" w:color="auto"/>
                    <w:bottom w:val="none" w:sz="0" w:space="0" w:color="auto"/>
                    <w:right w:val="none" w:sz="0" w:space="0" w:color="auto"/>
                  </w:divBdr>
                  <w:divsChild>
                    <w:div w:id="1348171435">
                      <w:marLeft w:val="0"/>
                      <w:marRight w:val="0"/>
                      <w:marTop w:val="0"/>
                      <w:marBottom w:val="0"/>
                      <w:divBdr>
                        <w:top w:val="none" w:sz="0" w:space="0" w:color="auto"/>
                        <w:left w:val="none" w:sz="0" w:space="0" w:color="auto"/>
                        <w:bottom w:val="none" w:sz="0" w:space="0" w:color="auto"/>
                        <w:right w:val="none" w:sz="0" w:space="0" w:color="auto"/>
                      </w:divBdr>
                      <w:divsChild>
                        <w:div w:id="1280455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75385">
      <w:bodyDiv w:val="1"/>
      <w:marLeft w:val="0"/>
      <w:marRight w:val="0"/>
      <w:marTop w:val="0"/>
      <w:marBottom w:val="0"/>
      <w:divBdr>
        <w:top w:val="none" w:sz="0" w:space="0" w:color="auto"/>
        <w:left w:val="none" w:sz="0" w:space="0" w:color="auto"/>
        <w:bottom w:val="none" w:sz="0" w:space="0" w:color="auto"/>
        <w:right w:val="none" w:sz="0" w:space="0" w:color="auto"/>
      </w:divBdr>
      <w:divsChild>
        <w:div w:id="1926917715">
          <w:marLeft w:val="0"/>
          <w:marRight w:val="0"/>
          <w:marTop w:val="0"/>
          <w:marBottom w:val="0"/>
          <w:divBdr>
            <w:top w:val="none" w:sz="0" w:space="0" w:color="auto"/>
            <w:left w:val="none" w:sz="0" w:space="0" w:color="auto"/>
            <w:bottom w:val="none" w:sz="0" w:space="0" w:color="auto"/>
            <w:right w:val="none" w:sz="0" w:space="0" w:color="auto"/>
          </w:divBdr>
          <w:divsChild>
            <w:div w:id="414283764">
              <w:marLeft w:val="0"/>
              <w:marRight w:val="0"/>
              <w:marTop w:val="0"/>
              <w:marBottom w:val="0"/>
              <w:divBdr>
                <w:top w:val="none" w:sz="0" w:space="0" w:color="auto"/>
                <w:left w:val="none" w:sz="0" w:space="0" w:color="auto"/>
                <w:bottom w:val="none" w:sz="0" w:space="0" w:color="auto"/>
                <w:right w:val="none" w:sz="0" w:space="0" w:color="auto"/>
              </w:divBdr>
              <w:divsChild>
                <w:div w:id="1032002446">
                  <w:marLeft w:val="0"/>
                  <w:marRight w:val="0"/>
                  <w:marTop w:val="0"/>
                  <w:marBottom w:val="0"/>
                  <w:divBdr>
                    <w:top w:val="none" w:sz="0" w:space="0" w:color="auto"/>
                    <w:left w:val="none" w:sz="0" w:space="0" w:color="auto"/>
                    <w:bottom w:val="none" w:sz="0" w:space="0" w:color="auto"/>
                    <w:right w:val="none" w:sz="0" w:space="0" w:color="auto"/>
                  </w:divBdr>
                  <w:divsChild>
                    <w:div w:id="684406336">
                      <w:marLeft w:val="0"/>
                      <w:marRight w:val="0"/>
                      <w:marTop w:val="0"/>
                      <w:marBottom w:val="0"/>
                      <w:divBdr>
                        <w:top w:val="none" w:sz="0" w:space="0" w:color="auto"/>
                        <w:left w:val="none" w:sz="0" w:space="0" w:color="auto"/>
                        <w:bottom w:val="none" w:sz="0" w:space="0" w:color="auto"/>
                        <w:right w:val="none" w:sz="0" w:space="0" w:color="auto"/>
                      </w:divBdr>
                      <w:divsChild>
                        <w:div w:id="1211847053">
                          <w:marLeft w:val="0"/>
                          <w:marRight w:val="0"/>
                          <w:marTop w:val="0"/>
                          <w:marBottom w:val="0"/>
                          <w:divBdr>
                            <w:top w:val="none" w:sz="0" w:space="0" w:color="auto"/>
                            <w:left w:val="none" w:sz="0" w:space="0" w:color="auto"/>
                            <w:bottom w:val="none" w:sz="0" w:space="0" w:color="auto"/>
                            <w:right w:val="none" w:sz="0" w:space="0" w:color="auto"/>
                          </w:divBdr>
                          <w:divsChild>
                            <w:div w:id="1023241359">
                              <w:marLeft w:val="0"/>
                              <w:marRight w:val="0"/>
                              <w:marTop w:val="0"/>
                              <w:marBottom w:val="0"/>
                              <w:divBdr>
                                <w:top w:val="single" w:sz="6" w:space="0" w:color="828282"/>
                                <w:left w:val="single" w:sz="6" w:space="0" w:color="828282"/>
                                <w:bottom w:val="single" w:sz="6" w:space="0" w:color="828282"/>
                                <w:right w:val="single" w:sz="6" w:space="0" w:color="828282"/>
                              </w:divBdr>
                              <w:divsChild>
                                <w:div w:id="223420116">
                                  <w:marLeft w:val="0"/>
                                  <w:marRight w:val="0"/>
                                  <w:marTop w:val="0"/>
                                  <w:marBottom w:val="0"/>
                                  <w:divBdr>
                                    <w:top w:val="none" w:sz="0" w:space="0" w:color="auto"/>
                                    <w:left w:val="none" w:sz="0" w:space="0" w:color="auto"/>
                                    <w:bottom w:val="none" w:sz="0" w:space="0" w:color="auto"/>
                                    <w:right w:val="none" w:sz="0" w:space="0" w:color="auto"/>
                                  </w:divBdr>
                                  <w:divsChild>
                                    <w:div w:id="1261644526">
                                      <w:marLeft w:val="0"/>
                                      <w:marRight w:val="0"/>
                                      <w:marTop w:val="0"/>
                                      <w:marBottom w:val="0"/>
                                      <w:divBdr>
                                        <w:top w:val="none" w:sz="0" w:space="0" w:color="auto"/>
                                        <w:left w:val="none" w:sz="0" w:space="0" w:color="auto"/>
                                        <w:bottom w:val="none" w:sz="0" w:space="0" w:color="auto"/>
                                        <w:right w:val="none" w:sz="0" w:space="0" w:color="auto"/>
                                      </w:divBdr>
                                      <w:divsChild>
                                        <w:div w:id="1736270353">
                                          <w:marLeft w:val="0"/>
                                          <w:marRight w:val="0"/>
                                          <w:marTop w:val="0"/>
                                          <w:marBottom w:val="0"/>
                                          <w:divBdr>
                                            <w:top w:val="none" w:sz="0" w:space="0" w:color="auto"/>
                                            <w:left w:val="none" w:sz="0" w:space="0" w:color="auto"/>
                                            <w:bottom w:val="none" w:sz="0" w:space="0" w:color="auto"/>
                                            <w:right w:val="none" w:sz="0" w:space="0" w:color="auto"/>
                                          </w:divBdr>
                                          <w:divsChild>
                                            <w:div w:id="81268621">
                                              <w:marLeft w:val="0"/>
                                              <w:marRight w:val="0"/>
                                              <w:marTop w:val="0"/>
                                              <w:marBottom w:val="0"/>
                                              <w:divBdr>
                                                <w:top w:val="none" w:sz="0" w:space="0" w:color="auto"/>
                                                <w:left w:val="none" w:sz="0" w:space="0" w:color="auto"/>
                                                <w:bottom w:val="none" w:sz="0" w:space="0" w:color="auto"/>
                                                <w:right w:val="none" w:sz="0" w:space="0" w:color="auto"/>
                                              </w:divBdr>
                                              <w:divsChild>
                                                <w:div w:id="1693451671">
                                                  <w:marLeft w:val="0"/>
                                                  <w:marRight w:val="0"/>
                                                  <w:marTop w:val="0"/>
                                                  <w:marBottom w:val="0"/>
                                                  <w:divBdr>
                                                    <w:top w:val="none" w:sz="0" w:space="0" w:color="auto"/>
                                                    <w:left w:val="none" w:sz="0" w:space="0" w:color="auto"/>
                                                    <w:bottom w:val="none" w:sz="0" w:space="0" w:color="auto"/>
                                                    <w:right w:val="none" w:sz="0" w:space="0" w:color="auto"/>
                                                  </w:divBdr>
                                                  <w:divsChild>
                                                    <w:div w:id="1895463597">
                                                      <w:marLeft w:val="0"/>
                                                      <w:marRight w:val="0"/>
                                                      <w:marTop w:val="0"/>
                                                      <w:marBottom w:val="0"/>
                                                      <w:divBdr>
                                                        <w:top w:val="none" w:sz="0" w:space="0" w:color="auto"/>
                                                        <w:left w:val="none" w:sz="0" w:space="0" w:color="auto"/>
                                                        <w:bottom w:val="none" w:sz="0" w:space="0" w:color="auto"/>
                                                        <w:right w:val="none" w:sz="0" w:space="0" w:color="auto"/>
                                                      </w:divBdr>
                                                      <w:divsChild>
                                                        <w:div w:id="1050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477496">
      <w:bodyDiv w:val="1"/>
      <w:marLeft w:val="0"/>
      <w:marRight w:val="0"/>
      <w:marTop w:val="0"/>
      <w:marBottom w:val="0"/>
      <w:divBdr>
        <w:top w:val="none" w:sz="0" w:space="0" w:color="auto"/>
        <w:left w:val="none" w:sz="0" w:space="0" w:color="auto"/>
        <w:bottom w:val="none" w:sz="0" w:space="0" w:color="auto"/>
        <w:right w:val="none" w:sz="0" w:space="0" w:color="auto"/>
      </w:divBdr>
      <w:divsChild>
        <w:div w:id="1782799774">
          <w:marLeft w:val="0"/>
          <w:marRight w:val="0"/>
          <w:marTop w:val="0"/>
          <w:marBottom w:val="0"/>
          <w:divBdr>
            <w:top w:val="none" w:sz="0" w:space="0" w:color="auto"/>
            <w:left w:val="none" w:sz="0" w:space="0" w:color="auto"/>
            <w:bottom w:val="none" w:sz="0" w:space="0" w:color="auto"/>
            <w:right w:val="none" w:sz="0" w:space="0" w:color="auto"/>
          </w:divBdr>
          <w:divsChild>
            <w:div w:id="1292975238">
              <w:marLeft w:val="0"/>
              <w:marRight w:val="0"/>
              <w:marTop w:val="0"/>
              <w:marBottom w:val="0"/>
              <w:divBdr>
                <w:top w:val="none" w:sz="0" w:space="0" w:color="auto"/>
                <w:left w:val="none" w:sz="0" w:space="0" w:color="auto"/>
                <w:bottom w:val="none" w:sz="0" w:space="0" w:color="auto"/>
                <w:right w:val="none" w:sz="0" w:space="0" w:color="auto"/>
              </w:divBdr>
              <w:divsChild>
                <w:div w:id="1277442891">
                  <w:marLeft w:val="0"/>
                  <w:marRight w:val="0"/>
                  <w:marTop w:val="0"/>
                  <w:marBottom w:val="0"/>
                  <w:divBdr>
                    <w:top w:val="none" w:sz="0" w:space="0" w:color="auto"/>
                    <w:left w:val="none" w:sz="0" w:space="0" w:color="auto"/>
                    <w:bottom w:val="none" w:sz="0" w:space="0" w:color="auto"/>
                    <w:right w:val="none" w:sz="0" w:space="0" w:color="auto"/>
                  </w:divBdr>
                  <w:divsChild>
                    <w:div w:id="1230312805">
                      <w:marLeft w:val="0"/>
                      <w:marRight w:val="0"/>
                      <w:marTop w:val="0"/>
                      <w:marBottom w:val="0"/>
                      <w:divBdr>
                        <w:top w:val="none" w:sz="0" w:space="0" w:color="auto"/>
                        <w:left w:val="none" w:sz="0" w:space="0" w:color="auto"/>
                        <w:bottom w:val="none" w:sz="0" w:space="0" w:color="auto"/>
                        <w:right w:val="none" w:sz="0" w:space="0" w:color="auto"/>
                      </w:divBdr>
                      <w:divsChild>
                        <w:div w:id="999045346">
                          <w:marLeft w:val="0"/>
                          <w:marRight w:val="0"/>
                          <w:marTop w:val="0"/>
                          <w:marBottom w:val="0"/>
                          <w:divBdr>
                            <w:top w:val="none" w:sz="0" w:space="0" w:color="auto"/>
                            <w:left w:val="none" w:sz="0" w:space="0" w:color="auto"/>
                            <w:bottom w:val="none" w:sz="0" w:space="0" w:color="auto"/>
                            <w:right w:val="none" w:sz="0" w:space="0" w:color="auto"/>
                          </w:divBdr>
                          <w:divsChild>
                            <w:div w:id="855775425">
                              <w:marLeft w:val="0"/>
                              <w:marRight w:val="0"/>
                              <w:marTop w:val="0"/>
                              <w:marBottom w:val="0"/>
                              <w:divBdr>
                                <w:top w:val="single" w:sz="6" w:space="0" w:color="828282"/>
                                <w:left w:val="single" w:sz="6" w:space="0" w:color="828282"/>
                                <w:bottom w:val="single" w:sz="6" w:space="0" w:color="828282"/>
                                <w:right w:val="single" w:sz="6" w:space="0" w:color="828282"/>
                              </w:divBdr>
                              <w:divsChild>
                                <w:div w:id="570384485">
                                  <w:marLeft w:val="0"/>
                                  <w:marRight w:val="0"/>
                                  <w:marTop w:val="0"/>
                                  <w:marBottom w:val="0"/>
                                  <w:divBdr>
                                    <w:top w:val="none" w:sz="0" w:space="0" w:color="auto"/>
                                    <w:left w:val="none" w:sz="0" w:space="0" w:color="auto"/>
                                    <w:bottom w:val="none" w:sz="0" w:space="0" w:color="auto"/>
                                    <w:right w:val="none" w:sz="0" w:space="0" w:color="auto"/>
                                  </w:divBdr>
                                  <w:divsChild>
                                    <w:div w:id="330916999">
                                      <w:marLeft w:val="0"/>
                                      <w:marRight w:val="0"/>
                                      <w:marTop w:val="0"/>
                                      <w:marBottom w:val="0"/>
                                      <w:divBdr>
                                        <w:top w:val="none" w:sz="0" w:space="0" w:color="auto"/>
                                        <w:left w:val="none" w:sz="0" w:space="0" w:color="auto"/>
                                        <w:bottom w:val="none" w:sz="0" w:space="0" w:color="auto"/>
                                        <w:right w:val="none" w:sz="0" w:space="0" w:color="auto"/>
                                      </w:divBdr>
                                      <w:divsChild>
                                        <w:div w:id="766265923">
                                          <w:marLeft w:val="0"/>
                                          <w:marRight w:val="0"/>
                                          <w:marTop w:val="0"/>
                                          <w:marBottom w:val="0"/>
                                          <w:divBdr>
                                            <w:top w:val="none" w:sz="0" w:space="0" w:color="auto"/>
                                            <w:left w:val="none" w:sz="0" w:space="0" w:color="auto"/>
                                            <w:bottom w:val="none" w:sz="0" w:space="0" w:color="auto"/>
                                            <w:right w:val="none" w:sz="0" w:space="0" w:color="auto"/>
                                          </w:divBdr>
                                          <w:divsChild>
                                            <w:div w:id="1453206398">
                                              <w:marLeft w:val="0"/>
                                              <w:marRight w:val="0"/>
                                              <w:marTop w:val="0"/>
                                              <w:marBottom w:val="0"/>
                                              <w:divBdr>
                                                <w:top w:val="none" w:sz="0" w:space="0" w:color="auto"/>
                                                <w:left w:val="none" w:sz="0" w:space="0" w:color="auto"/>
                                                <w:bottom w:val="none" w:sz="0" w:space="0" w:color="auto"/>
                                                <w:right w:val="none" w:sz="0" w:space="0" w:color="auto"/>
                                              </w:divBdr>
                                              <w:divsChild>
                                                <w:div w:id="239798308">
                                                  <w:marLeft w:val="0"/>
                                                  <w:marRight w:val="0"/>
                                                  <w:marTop w:val="0"/>
                                                  <w:marBottom w:val="0"/>
                                                  <w:divBdr>
                                                    <w:top w:val="none" w:sz="0" w:space="0" w:color="auto"/>
                                                    <w:left w:val="none" w:sz="0" w:space="0" w:color="auto"/>
                                                    <w:bottom w:val="none" w:sz="0" w:space="0" w:color="auto"/>
                                                    <w:right w:val="none" w:sz="0" w:space="0" w:color="auto"/>
                                                  </w:divBdr>
                                                  <w:divsChild>
                                                    <w:div w:id="237788881">
                                                      <w:marLeft w:val="0"/>
                                                      <w:marRight w:val="0"/>
                                                      <w:marTop w:val="0"/>
                                                      <w:marBottom w:val="0"/>
                                                      <w:divBdr>
                                                        <w:top w:val="none" w:sz="0" w:space="0" w:color="auto"/>
                                                        <w:left w:val="none" w:sz="0" w:space="0" w:color="auto"/>
                                                        <w:bottom w:val="none" w:sz="0" w:space="0" w:color="auto"/>
                                                        <w:right w:val="none" w:sz="0" w:space="0" w:color="auto"/>
                                                      </w:divBdr>
                                                      <w:divsChild>
                                                        <w:div w:id="536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818759">
      <w:bodyDiv w:val="1"/>
      <w:marLeft w:val="0"/>
      <w:marRight w:val="0"/>
      <w:marTop w:val="0"/>
      <w:marBottom w:val="0"/>
      <w:divBdr>
        <w:top w:val="none" w:sz="0" w:space="0" w:color="auto"/>
        <w:left w:val="none" w:sz="0" w:space="0" w:color="auto"/>
        <w:bottom w:val="none" w:sz="0" w:space="0" w:color="auto"/>
        <w:right w:val="none" w:sz="0" w:space="0" w:color="auto"/>
      </w:divBdr>
    </w:div>
    <w:div w:id="541481581">
      <w:bodyDiv w:val="1"/>
      <w:marLeft w:val="0"/>
      <w:marRight w:val="0"/>
      <w:marTop w:val="0"/>
      <w:marBottom w:val="0"/>
      <w:divBdr>
        <w:top w:val="none" w:sz="0" w:space="0" w:color="auto"/>
        <w:left w:val="none" w:sz="0" w:space="0" w:color="auto"/>
        <w:bottom w:val="none" w:sz="0" w:space="0" w:color="auto"/>
        <w:right w:val="none" w:sz="0" w:space="0" w:color="auto"/>
      </w:divBdr>
      <w:divsChild>
        <w:div w:id="1482230068">
          <w:marLeft w:val="0"/>
          <w:marRight w:val="0"/>
          <w:marTop w:val="0"/>
          <w:marBottom w:val="0"/>
          <w:divBdr>
            <w:top w:val="none" w:sz="0" w:space="0" w:color="auto"/>
            <w:left w:val="none" w:sz="0" w:space="0" w:color="auto"/>
            <w:bottom w:val="none" w:sz="0" w:space="0" w:color="auto"/>
            <w:right w:val="none" w:sz="0" w:space="0" w:color="auto"/>
          </w:divBdr>
          <w:divsChild>
            <w:div w:id="1415205472">
              <w:marLeft w:val="0"/>
              <w:marRight w:val="0"/>
              <w:marTop w:val="0"/>
              <w:marBottom w:val="0"/>
              <w:divBdr>
                <w:top w:val="none" w:sz="0" w:space="0" w:color="auto"/>
                <w:left w:val="none" w:sz="0" w:space="0" w:color="auto"/>
                <w:bottom w:val="none" w:sz="0" w:space="0" w:color="auto"/>
                <w:right w:val="none" w:sz="0" w:space="0" w:color="auto"/>
              </w:divBdr>
              <w:divsChild>
                <w:div w:id="1251547377">
                  <w:marLeft w:val="0"/>
                  <w:marRight w:val="0"/>
                  <w:marTop w:val="0"/>
                  <w:marBottom w:val="0"/>
                  <w:divBdr>
                    <w:top w:val="none" w:sz="0" w:space="0" w:color="auto"/>
                    <w:left w:val="none" w:sz="0" w:space="0" w:color="auto"/>
                    <w:bottom w:val="none" w:sz="0" w:space="0" w:color="auto"/>
                    <w:right w:val="none" w:sz="0" w:space="0" w:color="auto"/>
                  </w:divBdr>
                  <w:divsChild>
                    <w:div w:id="15283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1395">
      <w:bodyDiv w:val="1"/>
      <w:marLeft w:val="0"/>
      <w:marRight w:val="0"/>
      <w:marTop w:val="0"/>
      <w:marBottom w:val="0"/>
      <w:divBdr>
        <w:top w:val="none" w:sz="0" w:space="0" w:color="auto"/>
        <w:left w:val="none" w:sz="0" w:space="0" w:color="auto"/>
        <w:bottom w:val="none" w:sz="0" w:space="0" w:color="auto"/>
        <w:right w:val="none" w:sz="0" w:space="0" w:color="auto"/>
      </w:divBdr>
    </w:div>
    <w:div w:id="838347069">
      <w:bodyDiv w:val="1"/>
      <w:marLeft w:val="0"/>
      <w:marRight w:val="0"/>
      <w:marTop w:val="0"/>
      <w:marBottom w:val="0"/>
      <w:divBdr>
        <w:top w:val="none" w:sz="0" w:space="0" w:color="auto"/>
        <w:left w:val="none" w:sz="0" w:space="0" w:color="auto"/>
        <w:bottom w:val="none" w:sz="0" w:space="0" w:color="auto"/>
        <w:right w:val="none" w:sz="0" w:space="0" w:color="auto"/>
      </w:divBdr>
    </w:div>
    <w:div w:id="1037699436">
      <w:bodyDiv w:val="1"/>
      <w:marLeft w:val="0"/>
      <w:marRight w:val="0"/>
      <w:marTop w:val="0"/>
      <w:marBottom w:val="0"/>
      <w:divBdr>
        <w:top w:val="none" w:sz="0" w:space="0" w:color="auto"/>
        <w:left w:val="none" w:sz="0" w:space="0" w:color="auto"/>
        <w:bottom w:val="none" w:sz="0" w:space="0" w:color="auto"/>
        <w:right w:val="none" w:sz="0" w:space="0" w:color="auto"/>
      </w:divBdr>
    </w:div>
    <w:div w:id="1055549913">
      <w:bodyDiv w:val="1"/>
      <w:marLeft w:val="0"/>
      <w:marRight w:val="0"/>
      <w:marTop w:val="0"/>
      <w:marBottom w:val="0"/>
      <w:divBdr>
        <w:top w:val="none" w:sz="0" w:space="0" w:color="auto"/>
        <w:left w:val="none" w:sz="0" w:space="0" w:color="auto"/>
        <w:bottom w:val="none" w:sz="0" w:space="0" w:color="auto"/>
        <w:right w:val="none" w:sz="0" w:space="0" w:color="auto"/>
      </w:divBdr>
    </w:div>
    <w:div w:id="1104687216">
      <w:bodyDiv w:val="1"/>
      <w:marLeft w:val="0"/>
      <w:marRight w:val="0"/>
      <w:marTop w:val="0"/>
      <w:marBottom w:val="0"/>
      <w:divBdr>
        <w:top w:val="none" w:sz="0" w:space="0" w:color="auto"/>
        <w:left w:val="none" w:sz="0" w:space="0" w:color="auto"/>
        <w:bottom w:val="none" w:sz="0" w:space="0" w:color="auto"/>
        <w:right w:val="none" w:sz="0" w:space="0" w:color="auto"/>
      </w:divBdr>
    </w:div>
    <w:div w:id="1142233570">
      <w:bodyDiv w:val="1"/>
      <w:marLeft w:val="0"/>
      <w:marRight w:val="0"/>
      <w:marTop w:val="0"/>
      <w:marBottom w:val="0"/>
      <w:divBdr>
        <w:top w:val="none" w:sz="0" w:space="0" w:color="auto"/>
        <w:left w:val="none" w:sz="0" w:space="0" w:color="auto"/>
        <w:bottom w:val="none" w:sz="0" w:space="0" w:color="auto"/>
        <w:right w:val="none" w:sz="0" w:space="0" w:color="auto"/>
      </w:divBdr>
    </w:div>
    <w:div w:id="1556118063">
      <w:bodyDiv w:val="1"/>
      <w:marLeft w:val="0"/>
      <w:marRight w:val="0"/>
      <w:marTop w:val="0"/>
      <w:marBottom w:val="0"/>
      <w:divBdr>
        <w:top w:val="none" w:sz="0" w:space="0" w:color="auto"/>
        <w:left w:val="none" w:sz="0" w:space="0" w:color="auto"/>
        <w:bottom w:val="none" w:sz="0" w:space="0" w:color="auto"/>
        <w:right w:val="none" w:sz="0" w:space="0" w:color="auto"/>
      </w:divBdr>
    </w:div>
    <w:div w:id="1621447299">
      <w:bodyDiv w:val="1"/>
      <w:marLeft w:val="0"/>
      <w:marRight w:val="0"/>
      <w:marTop w:val="0"/>
      <w:marBottom w:val="0"/>
      <w:divBdr>
        <w:top w:val="none" w:sz="0" w:space="0" w:color="auto"/>
        <w:left w:val="none" w:sz="0" w:space="0" w:color="auto"/>
        <w:bottom w:val="none" w:sz="0" w:space="0" w:color="auto"/>
        <w:right w:val="none" w:sz="0" w:space="0" w:color="auto"/>
      </w:divBdr>
    </w:div>
    <w:div w:id="1699352329">
      <w:bodyDiv w:val="1"/>
      <w:marLeft w:val="0"/>
      <w:marRight w:val="0"/>
      <w:marTop w:val="0"/>
      <w:marBottom w:val="0"/>
      <w:divBdr>
        <w:top w:val="none" w:sz="0" w:space="0" w:color="auto"/>
        <w:left w:val="none" w:sz="0" w:space="0" w:color="auto"/>
        <w:bottom w:val="none" w:sz="0" w:space="0" w:color="auto"/>
        <w:right w:val="none" w:sz="0" w:space="0" w:color="auto"/>
      </w:divBdr>
    </w:div>
    <w:div w:id="1771655258">
      <w:bodyDiv w:val="1"/>
      <w:marLeft w:val="0"/>
      <w:marRight w:val="0"/>
      <w:marTop w:val="0"/>
      <w:marBottom w:val="0"/>
      <w:divBdr>
        <w:top w:val="none" w:sz="0" w:space="0" w:color="auto"/>
        <w:left w:val="none" w:sz="0" w:space="0" w:color="auto"/>
        <w:bottom w:val="none" w:sz="0" w:space="0" w:color="auto"/>
        <w:right w:val="none" w:sz="0" w:space="0" w:color="auto"/>
      </w:divBdr>
      <w:divsChild>
        <w:div w:id="2136412714">
          <w:marLeft w:val="0"/>
          <w:marRight w:val="0"/>
          <w:marTop w:val="0"/>
          <w:marBottom w:val="0"/>
          <w:divBdr>
            <w:top w:val="none" w:sz="0" w:space="0" w:color="auto"/>
            <w:left w:val="none" w:sz="0" w:space="0" w:color="auto"/>
            <w:bottom w:val="none" w:sz="0" w:space="0" w:color="auto"/>
            <w:right w:val="none" w:sz="0" w:space="0" w:color="auto"/>
          </w:divBdr>
          <w:divsChild>
            <w:div w:id="1249845247">
              <w:marLeft w:val="0"/>
              <w:marRight w:val="0"/>
              <w:marTop w:val="0"/>
              <w:marBottom w:val="0"/>
              <w:divBdr>
                <w:top w:val="none" w:sz="0" w:space="0" w:color="auto"/>
                <w:left w:val="none" w:sz="0" w:space="0" w:color="auto"/>
                <w:bottom w:val="none" w:sz="0" w:space="0" w:color="auto"/>
                <w:right w:val="none" w:sz="0" w:space="0" w:color="auto"/>
              </w:divBdr>
              <w:divsChild>
                <w:div w:id="61804557">
                  <w:marLeft w:val="0"/>
                  <w:marRight w:val="0"/>
                  <w:marTop w:val="0"/>
                  <w:marBottom w:val="0"/>
                  <w:divBdr>
                    <w:top w:val="none" w:sz="0" w:space="0" w:color="auto"/>
                    <w:left w:val="none" w:sz="0" w:space="0" w:color="auto"/>
                    <w:bottom w:val="none" w:sz="0" w:space="0" w:color="auto"/>
                    <w:right w:val="none" w:sz="0" w:space="0" w:color="auto"/>
                  </w:divBdr>
                  <w:divsChild>
                    <w:div w:id="643120366">
                      <w:marLeft w:val="0"/>
                      <w:marRight w:val="0"/>
                      <w:marTop w:val="0"/>
                      <w:marBottom w:val="0"/>
                      <w:divBdr>
                        <w:top w:val="none" w:sz="0" w:space="0" w:color="auto"/>
                        <w:left w:val="none" w:sz="0" w:space="0" w:color="auto"/>
                        <w:bottom w:val="none" w:sz="0" w:space="0" w:color="auto"/>
                        <w:right w:val="none" w:sz="0" w:space="0" w:color="auto"/>
                      </w:divBdr>
                      <w:divsChild>
                        <w:div w:id="19904775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51610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67">
          <w:marLeft w:val="0"/>
          <w:marRight w:val="0"/>
          <w:marTop w:val="0"/>
          <w:marBottom w:val="0"/>
          <w:divBdr>
            <w:top w:val="none" w:sz="0" w:space="0" w:color="auto"/>
            <w:left w:val="none" w:sz="0" w:space="0" w:color="auto"/>
            <w:bottom w:val="none" w:sz="0" w:space="0" w:color="auto"/>
            <w:right w:val="none" w:sz="0" w:space="0" w:color="auto"/>
          </w:divBdr>
          <w:divsChild>
            <w:div w:id="2070180010">
              <w:marLeft w:val="0"/>
              <w:marRight w:val="0"/>
              <w:marTop w:val="0"/>
              <w:marBottom w:val="0"/>
              <w:divBdr>
                <w:top w:val="none" w:sz="0" w:space="0" w:color="auto"/>
                <w:left w:val="none" w:sz="0" w:space="0" w:color="auto"/>
                <w:bottom w:val="none" w:sz="0" w:space="0" w:color="auto"/>
                <w:right w:val="none" w:sz="0" w:space="0" w:color="auto"/>
              </w:divBdr>
              <w:divsChild>
                <w:div w:id="1889369056">
                  <w:marLeft w:val="0"/>
                  <w:marRight w:val="0"/>
                  <w:marTop w:val="0"/>
                  <w:marBottom w:val="0"/>
                  <w:divBdr>
                    <w:top w:val="none" w:sz="0" w:space="0" w:color="auto"/>
                    <w:left w:val="none" w:sz="0" w:space="0" w:color="auto"/>
                    <w:bottom w:val="none" w:sz="0" w:space="0" w:color="auto"/>
                    <w:right w:val="none" w:sz="0" w:space="0" w:color="auto"/>
                  </w:divBdr>
                  <w:divsChild>
                    <w:div w:id="9042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p.edu.au/advocacy/health-benefits-of-work" TargetMode="External"/><Relationship Id="rId13" Type="http://schemas.openxmlformats.org/officeDocument/2006/relationships/hyperlink" Target="http://www.safeworkaustralia.gov.au/sites/swa/australian-strategy/pages/australian-strategy" TargetMode="External"/><Relationship Id="rId18" Type="http://schemas.openxmlformats.org/officeDocument/2006/relationships/hyperlink" Target="http://www.safeworkaustralia.gov.au/sites/swa/about/publications/pages/work-related-traumatic-injury-fatalities-australia-201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afeworkaustralia.gov.au/sites/swa/about/publications/pages/rr2007arepeoplewithdisabilityatrisk" TargetMode="External"/><Relationship Id="rId12" Type="http://schemas.openxmlformats.org/officeDocument/2006/relationships/hyperlink" Target="http://www.safeworkaustralia.gov.au/sites/swa/about/publications/pages/work-ability-in-australia-pilot-study" TargetMode="External"/><Relationship Id="rId17" Type="http://schemas.openxmlformats.org/officeDocument/2006/relationships/hyperlink" Target="http://www.safeworkaustralia.gov.au/sites/swa/about/publications/pages/australian-workers-compensation-statistics-2012-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s.gov.au/AUSSTATS/abs@.nsf/mf/6324.0/" TargetMode="External"/><Relationship Id="rId20" Type="http://schemas.openxmlformats.org/officeDocument/2006/relationships/hyperlink" Target="http://www.comlaw.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0/03/the-globe-how-bmw-is-defusing-the-demographic-time-bomb/ar/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feworkaustralia.gov.au/sites/swa/workers-compensation/rtw-case-studies/pages/catholic-homes" TargetMode="External"/><Relationship Id="rId23" Type="http://schemas.openxmlformats.org/officeDocument/2006/relationships/header" Target="header2.xml"/><Relationship Id="rId10" Type="http://schemas.openxmlformats.org/officeDocument/2006/relationships/hyperlink" Target="http://www.safeworkaustralia.gov.au/sites/SWA/about/Publications/Documents/274/NationalCodeOfPractice_PreventionOfMusculoskeletalDisordersFromPerformingManualTasksAtWork_2007_PDF.pdf" TargetMode="External"/><Relationship Id="rId19" Type="http://schemas.openxmlformats.org/officeDocument/2006/relationships/hyperlink" Target="http://worksafe.tas.gov.au/__data/assets/pdf_file/0003/283782/BetterWork_Ageing_WorkforceT.pdf" TargetMode="External"/><Relationship Id="rId4" Type="http://schemas.openxmlformats.org/officeDocument/2006/relationships/webSettings" Target="webSettings.xml"/><Relationship Id="rId9" Type="http://schemas.openxmlformats.org/officeDocument/2006/relationships/hyperlink" Target="http://www.safeworkaustralia.gov.au/sites/swa/model-whs-laws/model-whs-act/pages/model-whs-act" TargetMode="External"/><Relationship Id="rId14" Type="http://schemas.openxmlformats.org/officeDocument/2006/relationships/hyperlink" Target="http://www.safeworkaustralia.gov.au/sites/swa/about/publications/pages/good-work-desig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Prickett</dc:creator>
  <cp:lastModifiedBy>Tony Davidson</cp:lastModifiedBy>
  <cp:revision>2</cp:revision>
  <cp:lastPrinted>2015-11-20T02:28:00Z</cp:lastPrinted>
  <dcterms:created xsi:type="dcterms:W3CDTF">2016-01-11T04:02:00Z</dcterms:created>
  <dcterms:modified xsi:type="dcterms:W3CDTF">2016-01-11T04:02:00Z</dcterms:modified>
</cp:coreProperties>
</file>