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5D33" w14:textId="77777777" w:rsidR="00DA780F" w:rsidRDefault="00DA780F"/>
    <w:tbl>
      <w:tblPr>
        <w:tblStyle w:val="Grigliatabella"/>
        <w:tblW w:w="0" w:type="auto"/>
        <w:tblCellMar>
          <w:left w:w="0" w:type="dxa"/>
          <w:right w:w="0" w:type="dxa"/>
        </w:tblCellMar>
        <w:tblLook w:val="04A0" w:firstRow="1" w:lastRow="0" w:firstColumn="1" w:lastColumn="0" w:noHBand="0" w:noVBand="1"/>
      </w:tblPr>
      <w:tblGrid>
        <w:gridCol w:w="2552"/>
        <w:gridCol w:w="3969"/>
        <w:gridCol w:w="3101"/>
      </w:tblGrid>
      <w:tr w:rsidR="009B2A6C" w:rsidRPr="000A7ED6" w14:paraId="1E531A14" w14:textId="77777777" w:rsidTr="008C3EBC">
        <w:tc>
          <w:tcPr>
            <w:tcW w:w="2552" w:type="dxa"/>
            <w:tcBorders>
              <w:top w:val="nil"/>
              <w:left w:val="nil"/>
              <w:bottom w:val="nil"/>
              <w:right w:val="nil"/>
            </w:tcBorders>
          </w:tcPr>
          <w:p w14:paraId="3BFEC3C9" w14:textId="77777777" w:rsidR="009B2A6C" w:rsidRPr="000A7ED6" w:rsidRDefault="009B2A6C" w:rsidP="00414577">
            <w:pPr>
              <w:rPr>
                <w:rFonts w:cs="Open Sans"/>
                <w:color w:val="000000" w:themeColor="text1"/>
              </w:rPr>
            </w:pPr>
            <w:r w:rsidRPr="000A7ED6">
              <w:rPr>
                <w:rFonts w:cs="Open Sans"/>
                <w:noProof/>
                <w:color w:val="000000" w:themeColor="text1"/>
                <w:lang w:eastAsia="en-AU"/>
              </w:rPr>
              <w:drawing>
                <wp:inline distT="0" distB="0" distL="0" distR="0" wp14:anchorId="1B560AD6" wp14:editId="1706879E">
                  <wp:extent cx="1460500" cy="1397000"/>
                  <wp:effectExtent l="0" t="0" r="6350" b="0"/>
                  <wp:docPr id="3" name="Immagine 3" descr="Photo: Emeritus Professor Rosalind Croucher AM, Commission President speaking on a 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file_Pic_01_Ros.jp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475343" cy="1411198"/>
                          </a:xfrm>
                          <a:prstGeom prst="rect">
                            <a:avLst/>
                          </a:prstGeom>
                        </pic:spPr>
                      </pic:pic>
                    </a:graphicData>
                  </a:graphic>
                </wp:inline>
              </w:drawing>
            </w:r>
          </w:p>
        </w:tc>
        <w:tc>
          <w:tcPr>
            <w:tcW w:w="3969" w:type="dxa"/>
            <w:tcBorders>
              <w:top w:val="nil"/>
              <w:left w:val="nil"/>
              <w:bottom w:val="nil"/>
              <w:right w:val="nil"/>
            </w:tcBorders>
          </w:tcPr>
          <w:p w14:paraId="37A9C8D1" w14:textId="77777777" w:rsidR="009B2A6C" w:rsidRPr="000A7ED6" w:rsidRDefault="009B2A6C" w:rsidP="00414577">
            <w:pPr>
              <w:pStyle w:val="Titolo1"/>
              <w:rPr>
                <w:rFonts w:ascii="Open Sans" w:hAnsi="Open Sans" w:cs="Open Sans"/>
                <w:color w:val="000000" w:themeColor="text1"/>
              </w:rPr>
            </w:pPr>
            <w:r w:rsidRPr="000A7ED6">
              <w:rPr>
                <w:rFonts w:ascii="Open Sans" w:hAnsi="Open Sans" w:cs="Open Sans"/>
                <w:color w:val="000000" w:themeColor="text1"/>
              </w:rPr>
              <w:t>Emeritus Professor</w:t>
            </w:r>
            <w:r w:rsidRPr="000A7ED6">
              <w:rPr>
                <w:rFonts w:ascii="Open Sans" w:hAnsi="Open Sans" w:cs="Open Sans"/>
                <w:color w:val="000000" w:themeColor="text1"/>
              </w:rPr>
              <w:br/>
              <w:t>Rosalind Croucher AM</w:t>
            </w:r>
          </w:p>
          <w:p w14:paraId="0789D438" w14:textId="77777777" w:rsidR="009B2A6C" w:rsidRPr="000A7ED6" w:rsidRDefault="009B2A6C" w:rsidP="00414577">
            <w:pPr>
              <w:pStyle w:val="Titolo1"/>
              <w:rPr>
                <w:rFonts w:ascii="Open Sans" w:hAnsi="Open Sans" w:cs="Open Sans"/>
                <w:b w:val="0"/>
                <w:color w:val="000000" w:themeColor="text1"/>
              </w:rPr>
            </w:pPr>
            <w:r w:rsidRPr="000A7ED6">
              <w:rPr>
                <w:rFonts w:ascii="Open Sans" w:hAnsi="Open Sans" w:cs="Open Sans"/>
                <w:b w:val="0"/>
                <w:color w:val="000000" w:themeColor="text1"/>
              </w:rPr>
              <w:t>President</w:t>
            </w:r>
          </w:p>
          <w:p w14:paraId="4D9F1719" w14:textId="77777777" w:rsidR="009B2A6C" w:rsidRPr="000A7ED6" w:rsidRDefault="009B2A6C" w:rsidP="00414577">
            <w:pPr>
              <w:pStyle w:val="Titolo3"/>
              <w:rPr>
                <w:rFonts w:cs="Open Sans"/>
                <w:color w:val="000000" w:themeColor="text1"/>
              </w:rPr>
            </w:pPr>
          </w:p>
          <w:p w14:paraId="6B46011B" w14:textId="62D57456" w:rsidR="009B2A6C" w:rsidRPr="000A7ED6" w:rsidRDefault="009B2A6C" w:rsidP="00414577">
            <w:pPr>
              <w:pStyle w:val="Titolo3"/>
              <w:rPr>
                <w:rFonts w:cs="Open Sans"/>
                <w:color w:val="000000" w:themeColor="text1"/>
              </w:rPr>
            </w:pPr>
            <w:r w:rsidRPr="000A7ED6">
              <w:rPr>
                <w:rFonts w:cs="Open Sans"/>
                <w:color w:val="000000" w:themeColor="text1"/>
              </w:rPr>
              <w:t>THIRD YEAR OF TERM</w:t>
            </w:r>
          </w:p>
        </w:tc>
        <w:tc>
          <w:tcPr>
            <w:tcW w:w="3101" w:type="dxa"/>
            <w:tcBorders>
              <w:top w:val="nil"/>
              <w:left w:val="nil"/>
              <w:bottom w:val="nil"/>
              <w:right w:val="nil"/>
            </w:tcBorders>
          </w:tcPr>
          <w:p w14:paraId="77A55FA4" w14:textId="42B28308" w:rsidR="009B2A6C" w:rsidRPr="000A7ED6" w:rsidRDefault="009B2A6C" w:rsidP="00414577">
            <w:pPr>
              <w:spacing w:line="288" w:lineRule="auto"/>
              <w:rPr>
                <w:rFonts w:cs="Open Sans"/>
                <w:i/>
                <w:color w:val="000000" w:themeColor="text1"/>
                <w:sz w:val="18"/>
                <w:szCs w:val="18"/>
              </w:rPr>
            </w:pPr>
            <w:r w:rsidRPr="000A7ED6">
              <w:rPr>
                <w:rFonts w:cs="Open Sans"/>
                <w:i/>
                <w:color w:val="000000" w:themeColor="text1"/>
                <w:sz w:val="18"/>
                <w:szCs w:val="18"/>
              </w:rPr>
              <w:t xml:space="preserve">‘Good relationships and open doors are absolutely crucial for us to be able to play the role of trusted adviser to its fullest–to be the devil’s advocate and at times to be the </w:t>
            </w:r>
            <w:r w:rsidR="00E912F3">
              <w:rPr>
                <w:rFonts w:cs="Open Sans"/>
                <w:i/>
                <w:color w:val="000000" w:themeColor="text1"/>
                <w:sz w:val="18"/>
                <w:szCs w:val="18"/>
              </w:rPr>
              <w:t>“</w:t>
            </w:r>
            <w:r w:rsidRPr="000A7ED6">
              <w:rPr>
                <w:rFonts w:cs="Open Sans"/>
                <w:i/>
                <w:color w:val="000000" w:themeColor="text1"/>
                <w:sz w:val="18"/>
                <w:szCs w:val="18"/>
              </w:rPr>
              <w:t>devil’s blowtorch</w:t>
            </w:r>
            <w:r w:rsidR="00E912F3">
              <w:rPr>
                <w:rFonts w:cs="Open Sans"/>
                <w:i/>
                <w:color w:val="000000" w:themeColor="text1"/>
                <w:sz w:val="18"/>
                <w:szCs w:val="18"/>
              </w:rPr>
              <w:t>”</w:t>
            </w:r>
            <w:r w:rsidRPr="000A7ED6">
              <w:rPr>
                <w:rFonts w:cs="Open Sans"/>
                <w:i/>
                <w:color w:val="000000" w:themeColor="text1"/>
                <w:sz w:val="18"/>
                <w:szCs w:val="18"/>
              </w:rPr>
              <w:t>, you need to have a respected seat at the table.’</w:t>
            </w:r>
          </w:p>
        </w:tc>
      </w:tr>
    </w:tbl>
    <w:p w14:paraId="751C42B6" w14:textId="77777777" w:rsidR="009B2A6C" w:rsidRPr="000A7ED6" w:rsidRDefault="009B2A6C" w:rsidP="009B2A6C">
      <w:pPr>
        <w:rPr>
          <w:rFonts w:cs="Open Sans"/>
          <w:color w:val="000000" w:themeColor="text1"/>
        </w:rPr>
      </w:pPr>
    </w:p>
    <w:p w14:paraId="58382AF7" w14:textId="77777777" w:rsidR="009B2A6C" w:rsidRPr="00226215" w:rsidRDefault="009B2A6C" w:rsidP="009B2A6C">
      <w:pPr>
        <w:pStyle w:val="Titolo2"/>
        <w:spacing w:after="200"/>
        <w:rPr>
          <w:rFonts w:cs="Open Sans"/>
          <w:color w:val="0C374D"/>
        </w:rPr>
      </w:pPr>
      <w:r w:rsidRPr="00226215">
        <w:rPr>
          <w:rFonts w:cs="Open Sans"/>
          <w:color w:val="0C374D"/>
        </w:rPr>
        <w:t>TERM GOALS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07896"/>
        <w:tblCellMar>
          <w:top w:w="113" w:type="dxa"/>
          <w:bottom w:w="113" w:type="dxa"/>
        </w:tblCellMar>
        <w:tblLook w:val="04A0" w:firstRow="1" w:lastRow="0" w:firstColumn="1" w:lastColumn="0" w:noHBand="0" w:noVBand="1"/>
      </w:tblPr>
      <w:tblGrid>
        <w:gridCol w:w="1924"/>
        <w:gridCol w:w="1924"/>
        <w:gridCol w:w="1924"/>
        <w:gridCol w:w="1925"/>
        <w:gridCol w:w="1925"/>
      </w:tblGrid>
      <w:tr w:rsidR="00E9323B" w:rsidRPr="00E9323B" w14:paraId="3FBF9458" w14:textId="77777777" w:rsidTr="00E9323B">
        <w:trPr>
          <w:trHeight w:val="1496"/>
        </w:trPr>
        <w:tc>
          <w:tcPr>
            <w:tcW w:w="1924" w:type="dxa"/>
            <w:tcBorders>
              <w:right w:val="single" w:sz="8" w:space="0" w:color="FFFFFF" w:themeColor="background1"/>
            </w:tcBorders>
            <w:shd w:val="clear" w:color="auto" w:fill="107896"/>
          </w:tcPr>
          <w:p w14:paraId="7DD52077" w14:textId="6DE311A7" w:rsidR="00CB06A0" w:rsidRPr="00E9323B" w:rsidRDefault="00CB06A0" w:rsidP="00414577">
            <w:pPr>
              <w:rPr>
                <w:rFonts w:cs="Open Sans"/>
                <w:color w:val="FFFFFF" w:themeColor="background1"/>
                <w:szCs w:val="16"/>
              </w:rPr>
            </w:pPr>
            <w:r w:rsidRPr="00E9323B">
              <w:rPr>
                <w:rFonts w:cs="Open Sans"/>
                <w:b/>
                <w:color w:val="FFFFFF" w:themeColor="background1"/>
                <w:szCs w:val="16"/>
              </w:rPr>
              <w:t>Progressed</w:t>
            </w:r>
            <w:r w:rsidRPr="00E9323B">
              <w:rPr>
                <w:rFonts w:cs="Open Sans"/>
                <w:color w:val="FFFFFF" w:themeColor="background1"/>
                <w:szCs w:val="16"/>
              </w:rPr>
              <w:t xml:space="preserve"> the role and leadership of the Commission as an independent statutory agency and as Australia’s National Human Rights Institution</w:t>
            </w:r>
          </w:p>
        </w:tc>
        <w:tc>
          <w:tcPr>
            <w:tcW w:w="1924" w:type="dxa"/>
            <w:tcBorders>
              <w:left w:val="single" w:sz="8" w:space="0" w:color="FFFFFF" w:themeColor="background1"/>
              <w:right w:val="single" w:sz="8" w:space="0" w:color="FFFFFF" w:themeColor="background1"/>
            </w:tcBorders>
            <w:shd w:val="clear" w:color="auto" w:fill="107896"/>
          </w:tcPr>
          <w:p w14:paraId="744B7428" w14:textId="77777777" w:rsidR="009B2A6C" w:rsidRPr="00E9323B" w:rsidRDefault="009B2A6C" w:rsidP="00414577">
            <w:pPr>
              <w:rPr>
                <w:rFonts w:cs="Open Sans"/>
                <w:color w:val="FFFFFF" w:themeColor="background1"/>
                <w:szCs w:val="16"/>
              </w:rPr>
            </w:pPr>
            <w:r w:rsidRPr="00E9323B">
              <w:rPr>
                <w:rFonts w:cs="Open Sans"/>
                <w:b/>
                <w:color w:val="FFFFFF" w:themeColor="background1"/>
                <w:szCs w:val="16"/>
              </w:rPr>
              <w:t>Advanced</w:t>
            </w:r>
            <w:r w:rsidRPr="00E9323B">
              <w:rPr>
                <w:rFonts w:cs="Open Sans"/>
                <w:color w:val="FFFFFF" w:themeColor="background1"/>
                <w:szCs w:val="16"/>
              </w:rPr>
              <w:t xml:space="preserve"> the Commission’s relationship with key stakeholders including Commonwealth Government and Parliament</w:t>
            </w:r>
          </w:p>
        </w:tc>
        <w:tc>
          <w:tcPr>
            <w:tcW w:w="1924" w:type="dxa"/>
            <w:tcBorders>
              <w:left w:val="single" w:sz="8" w:space="0" w:color="FFFFFF" w:themeColor="background1"/>
              <w:right w:val="single" w:sz="8" w:space="0" w:color="FFFFFF" w:themeColor="background1"/>
            </w:tcBorders>
            <w:shd w:val="clear" w:color="auto" w:fill="107896"/>
          </w:tcPr>
          <w:p w14:paraId="0DB41759" w14:textId="190E8E28" w:rsidR="009B2A6C" w:rsidRPr="00E9323B" w:rsidRDefault="00CB06A0" w:rsidP="00414577">
            <w:pPr>
              <w:rPr>
                <w:rFonts w:cs="Open Sans"/>
                <w:color w:val="FFFFFF" w:themeColor="background1"/>
                <w:szCs w:val="16"/>
              </w:rPr>
            </w:pPr>
            <w:r w:rsidRPr="00E9323B">
              <w:rPr>
                <w:rFonts w:cs="Open Sans"/>
                <w:b/>
                <w:color w:val="FFFFFF" w:themeColor="background1"/>
                <w:szCs w:val="16"/>
              </w:rPr>
              <w:t xml:space="preserve">Enhanced </w:t>
            </w:r>
            <w:r w:rsidRPr="00E9323B">
              <w:rPr>
                <w:rFonts w:cs="Open Sans"/>
                <w:color w:val="FFFFFF" w:themeColor="background1"/>
                <w:szCs w:val="16"/>
              </w:rPr>
              <w:t>community understanding of human rights and an Australian culture of rights-mindedness</w:t>
            </w:r>
          </w:p>
        </w:tc>
        <w:tc>
          <w:tcPr>
            <w:tcW w:w="1925" w:type="dxa"/>
            <w:tcBorders>
              <w:left w:val="single" w:sz="8" w:space="0" w:color="FFFFFF" w:themeColor="background1"/>
              <w:right w:val="single" w:sz="8" w:space="0" w:color="FFFFFF" w:themeColor="background1"/>
            </w:tcBorders>
            <w:shd w:val="clear" w:color="auto" w:fill="107896"/>
          </w:tcPr>
          <w:p w14:paraId="50F06BB3" w14:textId="69EF3F23" w:rsidR="009B2A6C" w:rsidRPr="00E9323B" w:rsidRDefault="00CB06A0" w:rsidP="00414577">
            <w:pPr>
              <w:rPr>
                <w:rFonts w:cs="Open Sans"/>
                <w:color w:val="FFFFFF" w:themeColor="background1"/>
                <w:szCs w:val="16"/>
              </w:rPr>
            </w:pPr>
            <w:r w:rsidRPr="00E9323B">
              <w:rPr>
                <w:rFonts w:cs="Open Sans"/>
                <w:b/>
                <w:bCs/>
                <w:color w:val="FFFFFF" w:themeColor="background1"/>
                <w:szCs w:val="16"/>
              </w:rPr>
              <w:t>Led</w:t>
            </w:r>
            <w:r w:rsidRPr="00E9323B">
              <w:rPr>
                <w:rFonts w:cs="Open Sans"/>
                <w:color w:val="FFFFFF" w:themeColor="background1"/>
                <w:szCs w:val="16"/>
              </w:rPr>
              <w:t xml:space="preserve"> and managed the internal and external governance of the Commission effectively</w:t>
            </w:r>
          </w:p>
        </w:tc>
        <w:tc>
          <w:tcPr>
            <w:tcW w:w="1925" w:type="dxa"/>
            <w:tcBorders>
              <w:left w:val="single" w:sz="8" w:space="0" w:color="FFFFFF" w:themeColor="background1"/>
            </w:tcBorders>
            <w:shd w:val="clear" w:color="auto" w:fill="107896"/>
          </w:tcPr>
          <w:p w14:paraId="32609EF9" w14:textId="3F992114" w:rsidR="009B2A6C" w:rsidRPr="00E9323B" w:rsidRDefault="00CB06A0" w:rsidP="00414577">
            <w:pPr>
              <w:rPr>
                <w:rFonts w:cs="Open Sans"/>
                <w:color w:val="FFFFFF" w:themeColor="background1"/>
                <w:szCs w:val="16"/>
              </w:rPr>
            </w:pPr>
            <w:r w:rsidRPr="00E9323B">
              <w:rPr>
                <w:rFonts w:cs="Open Sans"/>
                <w:b/>
                <w:color w:val="FFFFFF" w:themeColor="background1"/>
                <w:szCs w:val="16"/>
              </w:rPr>
              <w:t>Fostered</w:t>
            </w:r>
            <w:r w:rsidRPr="00E9323B">
              <w:rPr>
                <w:rFonts w:cs="Open Sans"/>
                <w:color w:val="FFFFFF" w:themeColor="background1"/>
                <w:szCs w:val="16"/>
              </w:rPr>
              <w:t xml:space="preserve"> and led a positive and collegiate Commission and organisational culture</w:t>
            </w:r>
          </w:p>
        </w:tc>
      </w:tr>
    </w:tbl>
    <w:p w14:paraId="33AABE4C" w14:textId="61FBE5F4" w:rsidR="009B2A6C" w:rsidRDefault="009B2A6C" w:rsidP="009B2A6C">
      <w:pPr>
        <w:rPr>
          <w:rFonts w:cs="Open Sans"/>
          <w:color w:val="000000" w:themeColor="text1"/>
        </w:rPr>
      </w:pPr>
    </w:p>
    <w:p w14:paraId="17B1A1C7" w14:textId="77777777" w:rsidR="00914637" w:rsidRDefault="00914637" w:rsidP="009B2A6C">
      <w:pPr>
        <w:rPr>
          <w:rFonts w:cs="Open Sans"/>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4702"/>
        <w:gridCol w:w="4930"/>
      </w:tblGrid>
      <w:tr w:rsidR="00914637" w14:paraId="5CD0AE1C" w14:textId="77777777" w:rsidTr="005E556A">
        <w:tc>
          <w:tcPr>
            <w:tcW w:w="4736" w:type="dxa"/>
          </w:tcPr>
          <w:p w14:paraId="4169CE48" w14:textId="77777777" w:rsidR="00914637" w:rsidRPr="00226215" w:rsidRDefault="00914637" w:rsidP="00914637">
            <w:pPr>
              <w:pStyle w:val="Titolo2"/>
              <w:spacing w:after="200"/>
              <w:rPr>
                <w:rFonts w:cs="Open Sans"/>
                <w:color w:val="0C374D"/>
              </w:rPr>
            </w:pPr>
            <w:r w:rsidRPr="00226215">
              <w:rPr>
                <w:rFonts w:cs="Open Sans"/>
                <w:color w:val="0C374D"/>
              </w:rPr>
              <w:t>STRATEGIES</w:t>
            </w:r>
          </w:p>
          <w:p w14:paraId="131B76ED" w14:textId="77777777" w:rsidR="00914637" w:rsidRPr="00F6719D" w:rsidRDefault="00914637" w:rsidP="00B87E29">
            <w:pPr>
              <w:pStyle w:val="Paragrafoelenco"/>
              <w:numPr>
                <w:ilvl w:val="0"/>
                <w:numId w:val="24"/>
              </w:numPr>
              <w:ind w:left="357" w:hanging="357"/>
              <w:contextualSpacing w:val="0"/>
              <w:rPr>
                <w:rFonts w:cs="Open Sans"/>
                <w:color w:val="000000" w:themeColor="text1"/>
                <w:szCs w:val="16"/>
              </w:rPr>
            </w:pPr>
            <w:r w:rsidRPr="00F6719D">
              <w:rPr>
                <w:rFonts w:cs="Open Sans"/>
                <w:color w:val="000000" w:themeColor="text1"/>
                <w:szCs w:val="16"/>
              </w:rPr>
              <w:t>Working inclusively to lift the consideration of human rights across law, policy and practice above and ahead of politics.</w:t>
            </w:r>
          </w:p>
          <w:p w14:paraId="1FAE229D" w14:textId="77777777" w:rsidR="00914637" w:rsidRPr="00F6719D" w:rsidRDefault="00914637" w:rsidP="00B87E29">
            <w:pPr>
              <w:pStyle w:val="Paragrafoelenco"/>
              <w:numPr>
                <w:ilvl w:val="0"/>
                <w:numId w:val="24"/>
              </w:numPr>
              <w:ind w:left="357" w:hanging="357"/>
              <w:contextualSpacing w:val="0"/>
              <w:rPr>
                <w:rFonts w:cs="Open Sans"/>
                <w:color w:val="000000" w:themeColor="text1"/>
                <w:szCs w:val="16"/>
              </w:rPr>
            </w:pPr>
            <w:r w:rsidRPr="00F6719D">
              <w:rPr>
                <w:rFonts w:cs="Open Sans"/>
                <w:color w:val="000000" w:themeColor="text1"/>
                <w:szCs w:val="16"/>
              </w:rPr>
              <w:t>Opening the conversation and generating forward momentum in discussing human rights challenges and solutions.</w:t>
            </w:r>
          </w:p>
          <w:p w14:paraId="7672A392" w14:textId="77777777" w:rsidR="00914637" w:rsidRPr="00F6719D" w:rsidRDefault="00914637" w:rsidP="00B87E29">
            <w:pPr>
              <w:pStyle w:val="Paragrafoelenco"/>
              <w:numPr>
                <w:ilvl w:val="0"/>
                <w:numId w:val="24"/>
              </w:numPr>
              <w:ind w:left="357" w:hanging="357"/>
              <w:contextualSpacing w:val="0"/>
              <w:rPr>
                <w:rFonts w:cs="Open Sans"/>
                <w:color w:val="000000" w:themeColor="text1"/>
                <w:szCs w:val="16"/>
              </w:rPr>
            </w:pPr>
            <w:r w:rsidRPr="002A4936">
              <w:rPr>
                <w:rFonts w:cs="Open Sans"/>
                <w:color w:val="000000"/>
                <w:szCs w:val="16"/>
                <w:lang w:val="en-US"/>
              </w:rPr>
              <w:t xml:space="preserve">Leading the united development of </w:t>
            </w:r>
            <w:r w:rsidRPr="002A4936">
              <w:rPr>
                <w:rFonts w:cs="Open Sans"/>
                <w:color w:val="000000" w:themeColor="text1"/>
                <w:szCs w:val="16"/>
              </w:rPr>
              <w:t>a national reform</w:t>
            </w:r>
            <w:r w:rsidRPr="00F6719D">
              <w:rPr>
                <w:rFonts w:cs="Open Sans"/>
                <w:color w:val="000000" w:themeColor="text1"/>
                <w:szCs w:val="16"/>
              </w:rPr>
              <w:t xml:space="preserve"> agenda for human rights.</w:t>
            </w:r>
          </w:p>
          <w:p w14:paraId="26F9FD45" w14:textId="77777777" w:rsidR="00914637" w:rsidRPr="00F6719D" w:rsidRDefault="00914637" w:rsidP="00B87E29">
            <w:pPr>
              <w:pStyle w:val="Paragrafoelenco"/>
              <w:numPr>
                <w:ilvl w:val="0"/>
                <w:numId w:val="24"/>
              </w:numPr>
              <w:ind w:left="357" w:hanging="357"/>
              <w:contextualSpacing w:val="0"/>
              <w:rPr>
                <w:rFonts w:cs="Open Sans"/>
                <w:color w:val="000000" w:themeColor="text1"/>
                <w:szCs w:val="16"/>
              </w:rPr>
            </w:pPr>
            <w:r w:rsidRPr="00F6719D">
              <w:rPr>
                <w:rFonts w:cs="Open Sans"/>
                <w:color w:val="000000" w:themeColor="text1"/>
                <w:szCs w:val="16"/>
              </w:rPr>
              <w:t>Ensuring and promoting the Commission’s reputation for human rights expertise, evidence and independence.</w:t>
            </w:r>
          </w:p>
          <w:p w14:paraId="5F7602D3" w14:textId="77777777" w:rsidR="00914637" w:rsidRPr="00F6719D" w:rsidRDefault="00914637" w:rsidP="00B87E29">
            <w:pPr>
              <w:pStyle w:val="Paragrafoelenco"/>
              <w:numPr>
                <w:ilvl w:val="0"/>
                <w:numId w:val="24"/>
              </w:numPr>
              <w:ind w:left="357" w:hanging="357"/>
              <w:contextualSpacing w:val="0"/>
              <w:rPr>
                <w:rFonts w:cs="Open Sans"/>
                <w:color w:val="000000" w:themeColor="text1"/>
                <w:szCs w:val="16"/>
              </w:rPr>
            </w:pPr>
            <w:r w:rsidRPr="00F6719D">
              <w:rPr>
                <w:rFonts w:cs="Open Sans"/>
                <w:color w:val="000000" w:themeColor="text1"/>
                <w:szCs w:val="16"/>
              </w:rPr>
              <w:t>Building understanding through thematically</w:t>
            </w:r>
            <w:r>
              <w:rPr>
                <w:rFonts w:cs="Open Sans"/>
                <w:color w:val="000000" w:themeColor="text1"/>
                <w:szCs w:val="16"/>
              </w:rPr>
              <w:t>-</w:t>
            </w:r>
            <w:r w:rsidRPr="00F6719D">
              <w:rPr>
                <w:rFonts w:cs="Open Sans"/>
                <w:color w:val="000000" w:themeColor="text1"/>
                <w:szCs w:val="16"/>
              </w:rPr>
              <w:t>linked speeches and articles.</w:t>
            </w:r>
          </w:p>
          <w:p w14:paraId="022E6B90" w14:textId="4F5744EC" w:rsidR="00914637" w:rsidRPr="00914637" w:rsidRDefault="00914637" w:rsidP="00B87E29">
            <w:pPr>
              <w:pStyle w:val="Paragrafoelenco"/>
              <w:numPr>
                <w:ilvl w:val="0"/>
                <w:numId w:val="24"/>
              </w:numPr>
              <w:ind w:left="357" w:hanging="357"/>
              <w:contextualSpacing w:val="0"/>
              <w:rPr>
                <w:rFonts w:cs="Open Sans"/>
                <w:color w:val="000000" w:themeColor="text1"/>
                <w:szCs w:val="16"/>
              </w:rPr>
            </w:pPr>
            <w:r w:rsidRPr="00F6719D">
              <w:rPr>
                <w:rFonts w:cs="Open Sans"/>
                <w:color w:val="000000" w:themeColor="text1"/>
                <w:szCs w:val="16"/>
              </w:rPr>
              <w:t>Celebrating human rights achievements across the community.</w:t>
            </w:r>
          </w:p>
        </w:tc>
        <w:tc>
          <w:tcPr>
            <w:tcW w:w="4896" w:type="dxa"/>
          </w:tcPr>
          <w:p w14:paraId="54DDDE34" w14:textId="77777777" w:rsidR="00914637" w:rsidRDefault="00914637" w:rsidP="009B2A6C">
            <w:pPr>
              <w:rPr>
                <w:rFonts w:cs="Open Sans"/>
                <w:color w:val="000000" w:themeColor="text1"/>
              </w:rPr>
            </w:pPr>
            <w:r w:rsidRPr="000A7ED6">
              <w:rPr>
                <w:rFonts w:cs="Open Sans"/>
                <w:noProof/>
                <w:color w:val="000000" w:themeColor="text1"/>
                <w:lang w:eastAsia="en-AU"/>
              </w:rPr>
              <w:drawing>
                <wp:inline distT="0" distB="0" distL="0" distR="0" wp14:anchorId="33F8E055" wp14:editId="6DC2D91E">
                  <wp:extent cx="2971800" cy="1672099"/>
                  <wp:effectExtent l="0" t="0" r="0" b="4445"/>
                  <wp:docPr id="7" name="Picture 1" descr="Photo: National Conversation Perth 17.05.2019. Conference room with 14 people sitting around the table including Emeritus Professor Rosalind Croucher AM, Commission President in the fore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ission Photos\2019\National Conversation - main folder\20190517 Perth - National Consultation\20190513_113927.jpg"/>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3085489" cy="1736067"/>
                          </a:xfrm>
                          <a:prstGeom prst="rect">
                            <a:avLst/>
                          </a:prstGeom>
                          <a:noFill/>
                          <a:ln>
                            <a:noFill/>
                          </a:ln>
                        </pic:spPr>
                      </pic:pic>
                    </a:graphicData>
                  </a:graphic>
                </wp:inline>
              </w:drawing>
            </w:r>
          </w:p>
          <w:p w14:paraId="49E1218B" w14:textId="2F4AE86A" w:rsidR="00914637" w:rsidRDefault="00914637" w:rsidP="009B2A6C">
            <w:pPr>
              <w:rPr>
                <w:rFonts w:cs="Open Sans"/>
                <w:color w:val="000000" w:themeColor="text1"/>
              </w:rPr>
            </w:pPr>
            <w:r w:rsidRPr="00CB06A0">
              <w:rPr>
                <w:rFonts w:cs="Open Sans"/>
                <w:i/>
                <w:iCs/>
                <w:color w:val="000000" w:themeColor="text1"/>
              </w:rPr>
              <w:t xml:space="preserve">National </w:t>
            </w:r>
            <w:r w:rsidR="00BA4021">
              <w:rPr>
                <w:rFonts w:cs="Open Sans"/>
                <w:i/>
                <w:iCs/>
                <w:color w:val="000000" w:themeColor="text1"/>
              </w:rPr>
              <w:t>c</w:t>
            </w:r>
            <w:r w:rsidRPr="00CB06A0">
              <w:rPr>
                <w:rFonts w:cs="Open Sans"/>
                <w:i/>
                <w:iCs/>
                <w:color w:val="000000" w:themeColor="text1"/>
              </w:rPr>
              <w:t>onversation consultation meeting with Perth stakeholders, May 2019.</w:t>
            </w:r>
          </w:p>
        </w:tc>
      </w:tr>
    </w:tbl>
    <w:p w14:paraId="6AA3238B" w14:textId="77777777" w:rsidR="00914637" w:rsidRPr="000A7ED6" w:rsidRDefault="00914637" w:rsidP="009B2A6C">
      <w:pPr>
        <w:rPr>
          <w:rFonts w:cs="Open Sans"/>
          <w:color w:val="000000" w:themeColor="text1"/>
        </w:rPr>
      </w:pPr>
    </w:p>
    <w:p w14:paraId="19CB74D6" w14:textId="77777777" w:rsidR="00226215" w:rsidRDefault="00226215">
      <w:pPr>
        <w:spacing w:after="0"/>
        <w:rPr>
          <w:rFonts w:eastAsiaTheme="majorEastAsia" w:cs="Open Sans"/>
          <w:color w:val="0C374D"/>
          <w:sz w:val="28"/>
          <w:szCs w:val="26"/>
        </w:rPr>
      </w:pPr>
      <w:r>
        <w:rPr>
          <w:rFonts w:cs="Open Sans"/>
          <w:color w:val="0C374D"/>
        </w:rPr>
        <w:br w:type="page"/>
      </w:r>
    </w:p>
    <w:p w14:paraId="6BEB3C9A" w14:textId="771D9528" w:rsidR="009B2A6C" w:rsidRPr="00226215" w:rsidRDefault="00226215" w:rsidP="006E51A5">
      <w:pPr>
        <w:pStyle w:val="Titolo2"/>
        <w:rPr>
          <w:rFonts w:cs="Open Sans"/>
          <w:color w:val="0C374D"/>
        </w:rPr>
      </w:pPr>
      <w:r w:rsidRPr="00226215">
        <w:rPr>
          <w:rFonts w:cs="Open Sans"/>
          <w:color w:val="0C374D"/>
        </w:rPr>
        <w:lastRenderedPageBreak/>
        <w:t>2019–20 PROGRAMS/</w:t>
      </w:r>
      <w:r w:rsidR="00E912F3">
        <w:rPr>
          <w:rFonts w:cs="Open Sans"/>
          <w:color w:val="0C374D"/>
        </w:rPr>
        <w:t>PROJECTS</w:t>
      </w:r>
    </w:p>
    <w:p w14:paraId="3A80CB9E" w14:textId="02E8989E" w:rsidR="009B2A6C" w:rsidRPr="0015066C" w:rsidRDefault="009B2A6C" w:rsidP="005E556A">
      <w:pPr>
        <w:spacing w:after="240"/>
        <w:rPr>
          <w:rFonts w:cs="Open Sans"/>
          <w:color w:val="1287A8"/>
          <w:highlight w:val="yellow"/>
        </w:rPr>
      </w:pPr>
      <w:r w:rsidRPr="000A7ED6">
        <w:rPr>
          <w:rFonts w:cs="Open Sans"/>
          <w:color w:val="000000" w:themeColor="text1"/>
        </w:rPr>
        <w:t xml:space="preserve">In addition to the governance, statutory and leadership functions of the Commission, President Croucher leads these programs and </w:t>
      </w:r>
      <w:r w:rsidR="005E556A">
        <w:rPr>
          <w:rFonts w:cs="Open Sans"/>
          <w:color w:val="000000" w:themeColor="text1"/>
        </w:rPr>
        <w:t>projects</w:t>
      </w:r>
      <w:r w:rsidRPr="000A7ED6">
        <w:rPr>
          <w:rFonts w:cs="Open Sans"/>
          <w:color w:val="000000" w:themeColor="text1"/>
        </w:rPr>
        <w:t>.</w:t>
      </w:r>
    </w:p>
    <w:tbl>
      <w:tblPr>
        <w:tblW w:w="9639" w:type="dxa"/>
        <w:tblInd w:w="-5" w:type="dxa"/>
        <w:tblLayout w:type="fixed"/>
        <w:tblCellMar>
          <w:top w:w="170" w:type="dxa"/>
          <w:left w:w="227" w:type="dxa"/>
          <w:bottom w:w="170" w:type="dxa"/>
          <w:right w:w="227" w:type="dxa"/>
        </w:tblCellMar>
        <w:tblLook w:val="0000" w:firstRow="0" w:lastRow="0" w:firstColumn="0" w:lastColumn="0" w:noHBand="0" w:noVBand="0"/>
      </w:tblPr>
      <w:tblGrid>
        <w:gridCol w:w="1894"/>
        <w:gridCol w:w="7745"/>
      </w:tblGrid>
      <w:tr w:rsidR="009B2A6C" w:rsidRPr="000A7ED6" w14:paraId="34489B31" w14:textId="77777777" w:rsidTr="00DA780F">
        <w:trPr>
          <w:trHeight w:val="1281"/>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7A1046FC" w14:textId="4E86860A" w:rsidR="009B2A6C" w:rsidRPr="0015066C" w:rsidRDefault="009B2A6C" w:rsidP="00DA780F">
            <w:pPr>
              <w:spacing w:after="0"/>
              <w:rPr>
                <w:rStyle w:val="CondensedBold"/>
                <w:rFonts w:ascii="Open Sans" w:hAnsi="Open Sans" w:cs="Open Sans"/>
                <w:color w:val="FFFFFF" w:themeColor="background1"/>
                <w:szCs w:val="16"/>
              </w:rPr>
            </w:pPr>
            <w:r w:rsidRPr="0015066C">
              <w:rPr>
                <w:rStyle w:val="CondensedBold"/>
                <w:rFonts w:ascii="Open Sans" w:hAnsi="Open Sans" w:cs="Open Sans"/>
                <w:color w:val="FFFFFF" w:themeColor="background1"/>
                <w:szCs w:val="16"/>
              </w:rPr>
              <w:t xml:space="preserve">Free and equal in dignity and rights: </w:t>
            </w:r>
            <w:r w:rsidR="00D70FF1">
              <w:rPr>
                <w:rStyle w:val="CondensedBold"/>
                <w:rFonts w:ascii="Open Sans" w:hAnsi="Open Sans" w:cs="Open Sans"/>
                <w:color w:val="FFFFFF" w:themeColor="background1"/>
                <w:szCs w:val="16"/>
              </w:rPr>
              <w:t>An</w:t>
            </w:r>
            <w:r w:rsidRPr="0015066C">
              <w:rPr>
                <w:rStyle w:val="CondensedBold"/>
                <w:rFonts w:ascii="Open Sans" w:hAnsi="Open Sans" w:cs="Open Sans"/>
                <w:color w:val="FFFFFF" w:themeColor="background1"/>
                <w:szCs w:val="16"/>
              </w:rPr>
              <w:t xml:space="preserve"> </w:t>
            </w:r>
            <w:r w:rsidR="00D70FF1">
              <w:rPr>
                <w:rStyle w:val="CondensedBold"/>
                <w:rFonts w:ascii="Open Sans" w:hAnsi="Open Sans" w:cs="Open Sans"/>
                <w:color w:val="FFFFFF" w:themeColor="background1"/>
                <w:szCs w:val="16"/>
              </w:rPr>
              <w:t>Australian</w:t>
            </w:r>
            <w:r w:rsidRPr="0015066C">
              <w:rPr>
                <w:rStyle w:val="CondensedBold"/>
                <w:rFonts w:ascii="Open Sans" w:hAnsi="Open Sans" w:cs="Open Sans"/>
                <w:color w:val="FFFFFF" w:themeColor="background1"/>
                <w:szCs w:val="16"/>
              </w:rPr>
              <w:t xml:space="preserve"> conversation on human rights</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5D80228A" w14:textId="157C8B7B" w:rsidR="009B2A6C" w:rsidRPr="00453ED0" w:rsidRDefault="009B2A6C" w:rsidP="009B2A6C">
            <w:pPr>
              <w:pStyle w:val="Paragrafoelenco"/>
              <w:numPr>
                <w:ilvl w:val="0"/>
                <w:numId w:val="25"/>
              </w:numPr>
              <w:rPr>
                <w:rFonts w:cs="Open Sans"/>
                <w:color w:val="000000" w:themeColor="text1"/>
                <w:szCs w:val="16"/>
              </w:rPr>
            </w:pPr>
            <w:r w:rsidRPr="00453ED0">
              <w:rPr>
                <w:rFonts w:cs="Open Sans"/>
                <w:color w:val="000000" w:themeColor="text1"/>
                <w:szCs w:val="16"/>
              </w:rPr>
              <w:t xml:space="preserve">This strategic multiyear initiative aims </w:t>
            </w:r>
            <w:r w:rsidRPr="00BA4021">
              <w:rPr>
                <w:rFonts w:cs="Open Sans"/>
                <w:color w:val="000000" w:themeColor="text1"/>
                <w:szCs w:val="16"/>
              </w:rPr>
              <w:t xml:space="preserve">to </w:t>
            </w:r>
            <w:r w:rsidR="00BA4021" w:rsidRPr="00BA4021">
              <w:rPr>
                <w:rFonts w:cs="Open Sans"/>
                <w:color w:val="000000"/>
                <w:szCs w:val="16"/>
                <w:lang w:val="en-US"/>
              </w:rPr>
              <w:t>spearhead</w:t>
            </w:r>
            <w:r w:rsidRPr="00BA4021">
              <w:rPr>
                <w:rFonts w:cs="Open Sans"/>
                <w:color w:val="000000" w:themeColor="text1"/>
                <w:szCs w:val="16"/>
              </w:rPr>
              <w:t xml:space="preserve"> a system of</w:t>
            </w:r>
            <w:r w:rsidRPr="00453ED0">
              <w:rPr>
                <w:rFonts w:cs="Open Sans"/>
                <w:color w:val="000000" w:themeColor="text1"/>
                <w:szCs w:val="16"/>
              </w:rPr>
              <w:t xml:space="preserve"> human rights protection for 21st century Australia where the promotion of human rights is a shared endeavour—by government, business, the NGO sector, educators, service providers and the community at large. The initiative draws on the expertise </w:t>
            </w:r>
            <w:bookmarkStart w:id="0" w:name="_GoBack"/>
            <w:bookmarkEnd w:id="0"/>
            <w:r w:rsidRPr="00453ED0">
              <w:rPr>
                <w:rFonts w:cs="Open Sans"/>
                <w:color w:val="000000" w:themeColor="text1"/>
                <w:szCs w:val="16"/>
              </w:rPr>
              <w:t>and unites the work of all the Commission.</w:t>
            </w:r>
          </w:p>
          <w:p w14:paraId="50A064D2" w14:textId="77D8E1A5" w:rsidR="009B2A6C" w:rsidRPr="00CB3568" w:rsidRDefault="00CB3568" w:rsidP="00226215">
            <w:pPr>
              <w:pStyle w:val="Paragrafoelenco"/>
              <w:numPr>
                <w:ilvl w:val="0"/>
                <w:numId w:val="25"/>
              </w:numPr>
              <w:spacing w:after="0"/>
              <w:ind w:left="357" w:hanging="357"/>
              <w:rPr>
                <w:rFonts w:cs="Open Sans"/>
                <w:color w:val="000000" w:themeColor="text1"/>
                <w:szCs w:val="16"/>
              </w:rPr>
            </w:pPr>
            <w:r w:rsidRPr="00CB3568">
              <w:rPr>
                <w:rFonts w:cs="Open Sans"/>
                <w:color w:val="000000"/>
                <w:szCs w:val="16"/>
                <w:lang w:val="en-US"/>
              </w:rPr>
              <w:t>This year's project includes a national engagement process with consultations, submissions, stakeholder workshops and national human rights conference—culminating in a reform agenda report for government.</w:t>
            </w:r>
          </w:p>
        </w:tc>
      </w:tr>
      <w:tr w:rsidR="009B2A6C" w:rsidRPr="000A7ED6" w14:paraId="350F84A4" w14:textId="77777777" w:rsidTr="00DA780F">
        <w:trPr>
          <w:trHeight w:val="573"/>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6076648A" w14:textId="77777777" w:rsidR="009B2A6C" w:rsidRPr="0015066C" w:rsidRDefault="009B2A6C" w:rsidP="00DA780F">
            <w:pPr>
              <w:spacing w:after="0"/>
              <w:rPr>
                <w:rFonts w:cs="Open Sans"/>
                <w:color w:val="FFFFFF" w:themeColor="background1"/>
                <w:szCs w:val="16"/>
              </w:rPr>
            </w:pPr>
            <w:r w:rsidRPr="0015066C">
              <w:rPr>
                <w:rStyle w:val="CondensedBold"/>
                <w:rFonts w:ascii="Open Sans" w:hAnsi="Open Sans" w:cs="Open Sans"/>
                <w:color w:val="FFFFFF" w:themeColor="background1"/>
                <w:szCs w:val="16"/>
              </w:rPr>
              <w:t>Investigation and Conciliation and National Information Services</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38FBF5BF" w14:textId="569B25C0" w:rsidR="009B2A6C" w:rsidRPr="000A7ED6" w:rsidRDefault="009B2A6C" w:rsidP="00226215">
            <w:pPr>
              <w:pStyle w:val="Paragrafoelenco"/>
              <w:numPr>
                <w:ilvl w:val="0"/>
                <w:numId w:val="26"/>
              </w:numPr>
              <w:spacing w:after="0"/>
              <w:ind w:left="357" w:hanging="357"/>
              <w:rPr>
                <w:rFonts w:cs="Open Sans"/>
                <w:color w:val="000000" w:themeColor="text1"/>
              </w:rPr>
            </w:pPr>
            <w:r w:rsidRPr="000A7ED6">
              <w:rPr>
                <w:rFonts w:cs="Open Sans"/>
                <w:color w:val="000000" w:themeColor="text1"/>
              </w:rPr>
              <w:t>These services ensure all Australians can access free and accessible information, and investigation and conciliation services. They provide best practice alternative dispute resolution for complainants and respondents and focus on systemic outcomes that have far</w:t>
            </w:r>
            <w:r w:rsidR="00162833">
              <w:rPr>
                <w:rFonts w:cs="Open Sans"/>
                <w:color w:val="000000" w:themeColor="text1"/>
              </w:rPr>
              <w:t>-</w:t>
            </w:r>
            <w:r w:rsidRPr="000A7ED6">
              <w:rPr>
                <w:rFonts w:cs="Open Sans"/>
                <w:color w:val="000000" w:themeColor="text1"/>
              </w:rPr>
              <w:t>reaching positive benefits for the Australian Community.</w:t>
            </w:r>
          </w:p>
        </w:tc>
      </w:tr>
      <w:tr w:rsidR="009B2A6C" w:rsidRPr="000A7ED6" w14:paraId="37357AEB" w14:textId="77777777" w:rsidTr="00DA780F">
        <w:trPr>
          <w:trHeight w:val="1499"/>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2F6062C4" w14:textId="77777777" w:rsidR="009B2A6C" w:rsidRPr="0015066C" w:rsidRDefault="009B2A6C" w:rsidP="00414577">
            <w:pPr>
              <w:rPr>
                <w:rFonts w:cs="Open Sans"/>
                <w:color w:val="FFFFFF" w:themeColor="background1"/>
                <w:szCs w:val="16"/>
              </w:rPr>
            </w:pPr>
            <w:r w:rsidRPr="0015066C">
              <w:rPr>
                <w:rStyle w:val="CondensedBold"/>
                <w:rFonts w:ascii="Open Sans" w:hAnsi="Open Sans" w:cs="Open Sans"/>
                <w:color w:val="FFFFFF" w:themeColor="background1"/>
                <w:szCs w:val="16"/>
              </w:rPr>
              <w:t>Human rights education and training</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1FB9D538" w14:textId="19040BCC" w:rsidR="009B2A6C" w:rsidRPr="000A7ED6" w:rsidRDefault="009B2A6C" w:rsidP="00226215">
            <w:pPr>
              <w:pStyle w:val="Paragrafoelenco"/>
              <w:numPr>
                <w:ilvl w:val="0"/>
                <w:numId w:val="26"/>
              </w:numPr>
              <w:spacing w:after="0"/>
              <w:ind w:left="357" w:hanging="357"/>
              <w:rPr>
                <w:rFonts w:cs="Open Sans"/>
                <w:color w:val="000000" w:themeColor="text1"/>
              </w:rPr>
            </w:pPr>
            <w:r w:rsidRPr="000A7ED6">
              <w:rPr>
                <w:rFonts w:cs="Open Sans"/>
                <w:color w:val="000000" w:themeColor="text1"/>
              </w:rPr>
              <w:t xml:space="preserve">This </w:t>
            </w:r>
            <w:r w:rsidRPr="00D13F5E">
              <w:rPr>
                <w:rFonts w:cs="Open Sans"/>
                <w:color w:val="000000" w:themeColor="text1"/>
                <w:szCs w:val="16"/>
              </w:rPr>
              <w:t>program</w:t>
            </w:r>
            <w:r w:rsidR="00D13F5E" w:rsidRPr="00D13F5E">
              <w:rPr>
                <w:rFonts w:cs="Open Sans"/>
                <w:color w:val="000000" w:themeColor="text1"/>
                <w:szCs w:val="16"/>
              </w:rPr>
              <w:t xml:space="preserve"> </w:t>
            </w:r>
            <w:r w:rsidR="00D13F5E" w:rsidRPr="00D13F5E">
              <w:rPr>
                <w:rFonts w:cs="Open Sans"/>
                <w:color w:val="000000"/>
                <w:szCs w:val="16"/>
                <w:lang w:val="en-US"/>
              </w:rPr>
              <w:t>strategically</w:t>
            </w:r>
            <w:r w:rsidRPr="00D13F5E">
              <w:rPr>
                <w:rFonts w:cs="Open Sans"/>
                <w:color w:val="000000" w:themeColor="text1"/>
                <w:szCs w:val="16"/>
              </w:rPr>
              <w:t xml:space="preserve"> targets</w:t>
            </w:r>
            <w:r w:rsidRPr="000A7ED6">
              <w:rPr>
                <w:rFonts w:cs="Open Sans"/>
                <w:color w:val="000000" w:themeColor="text1"/>
              </w:rPr>
              <w:t xml:space="preserve"> audiences and sectors in its aim</w:t>
            </w:r>
            <w:r>
              <w:rPr>
                <w:rFonts w:cs="Open Sans"/>
                <w:color w:val="000000" w:themeColor="text1"/>
              </w:rPr>
              <w:t xml:space="preserve"> to</w:t>
            </w:r>
            <w:r w:rsidRPr="000A7ED6">
              <w:rPr>
                <w:rFonts w:cs="Open Sans"/>
                <w:color w:val="000000" w:themeColor="text1"/>
              </w:rPr>
              <w:t xml:space="preserve"> ‘build a universal culture of human rights’. This year’s program includes: teaching resources mapped to The Early Years Learning Framework and the Australian Curriculum; resources for the vocational education sector; adult training programs for public servants and private sector employers on age and disability rights in the workplace</w:t>
            </w:r>
            <w:r w:rsidR="00162833">
              <w:rPr>
                <w:rFonts w:cs="Open Sans"/>
                <w:color w:val="000000" w:themeColor="text1"/>
              </w:rPr>
              <w:t>,</w:t>
            </w:r>
            <w:r w:rsidRPr="000A7ED6">
              <w:rPr>
                <w:rFonts w:cs="Open Sans"/>
                <w:color w:val="000000" w:themeColor="text1"/>
              </w:rPr>
              <w:t xml:space="preserve"> and the development of guidelines and policies to support organisations to comply with their legal anti-discrimination obligations and to promote a best practice human rights</w:t>
            </w:r>
            <w:r w:rsidR="00162833">
              <w:rPr>
                <w:rFonts w:cs="Open Sans"/>
                <w:color w:val="000000" w:themeColor="text1"/>
              </w:rPr>
              <w:t>-</w:t>
            </w:r>
            <w:r w:rsidRPr="000A7ED6">
              <w:rPr>
                <w:rFonts w:cs="Open Sans"/>
                <w:color w:val="000000" w:themeColor="text1"/>
              </w:rPr>
              <w:t>based approach.</w:t>
            </w:r>
          </w:p>
        </w:tc>
      </w:tr>
      <w:tr w:rsidR="009B2A6C" w:rsidRPr="000A7ED6" w14:paraId="7A0B6D60" w14:textId="77777777" w:rsidTr="00DA780F">
        <w:trPr>
          <w:trHeight w:val="1163"/>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19B95E58" w14:textId="77777777" w:rsidR="009B2A6C" w:rsidRPr="0015066C" w:rsidRDefault="009B2A6C" w:rsidP="00414577">
            <w:pPr>
              <w:rPr>
                <w:rFonts w:cs="Open Sans"/>
                <w:color w:val="FFFFFF" w:themeColor="background1"/>
                <w:szCs w:val="16"/>
              </w:rPr>
            </w:pPr>
            <w:r w:rsidRPr="0015066C">
              <w:rPr>
                <w:rStyle w:val="CondensedBold"/>
                <w:rFonts w:ascii="Open Sans" w:hAnsi="Open Sans" w:cs="Open Sans"/>
                <w:color w:val="FFFFFF" w:themeColor="background1"/>
                <w:szCs w:val="16"/>
              </w:rPr>
              <w:t>Human rights technical co</w:t>
            </w:r>
            <w:r w:rsidRPr="0015066C">
              <w:rPr>
                <w:rStyle w:val="CondensedBold"/>
                <w:rFonts w:ascii="Cambria Math" w:hAnsi="Cambria Math" w:cs="Cambria Math"/>
                <w:color w:val="FFFFFF" w:themeColor="background1"/>
                <w:szCs w:val="16"/>
              </w:rPr>
              <w:t>‑</w:t>
            </w:r>
            <w:r w:rsidRPr="0015066C">
              <w:rPr>
                <w:rStyle w:val="CondensedBold"/>
                <w:rFonts w:ascii="Open Sans" w:hAnsi="Open Sans" w:cs="Open Sans"/>
                <w:color w:val="FFFFFF" w:themeColor="background1"/>
                <w:szCs w:val="16"/>
              </w:rPr>
              <w:t>operation</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776508B1" w14:textId="7FBD0230" w:rsidR="009B2A6C" w:rsidRPr="000A7ED6" w:rsidRDefault="009B2A6C" w:rsidP="00226215">
            <w:pPr>
              <w:pStyle w:val="Paragrafoelenco"/>
              <w:numPr>
                <w:ilvl w:val="0"/>
                <w:numId w:val="26"/>
              </w:numPr>
              <w:spacing w:after="0"/>
              <w:ind w:left="357" w:hanging="357"/>
              <w:rPr>
                <w:rFonts w:cs="Open Sans"/>
                <w:color w:val="000000" w:themeColor="text1"/>
              </w:rPr>
            </w:pPr>
            <w:r w:rsidRPr="000A7ED6">
              <w:rPr>
                <w:rFonts w:cs="Open Sans"/>
                <w:color w:val="000000" w:themeColor="text1"/>
              </w:rPr>
              <w:t>Through funding from Australia’s Aid Program</w:t>
            </w:r>
            <w:r w:rsidR="00CF1623">
              <w:rPr>
                <w:rFonts w:cs="Open Sans"/>
                <w:color w:val="000000" w:themeColor="text1"/>
              </w:rPr>
              <w:t>,</w:t>
            </w:r>
            <w:r w:rsidRPr="000A7ED6">
              <w:rPr>
                <w:rFonts w:cs="Open Sans"/>
                <w:color w:val="000000" w:themeColor="text1"/>
              </w:rPr>
              <w:t xml:space="preserve"> this year’s programs with other countries include: collaborating with partners to advance human rights reform in China; advancing human rights education throughout schools and universities in Vietnam; strengthening the capacity of the Government of Lao People's Democratic Republic to engage with UN treaty bodies and the Universal Periodic Review process; supporting the Association of Southeast Asian Nations Intergovernmental Commission on Human Rights.</w:t>
            </w:r>
          </w:p>
        </w:tc>
      </w:tr>
      <w:tr w:rsidR="009B2A6C" w:rsidRPr="000A7ED6" w14:paraId="10993860" w14:textId="77777777" w:rsidTr="00DA780F">
        <w:trPr>
          <w:trHeight w:val="188"/>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236FFE7A" w14:textId="77777777" w:rsidR="009B2A6C" w:rsidRPr="0015066C" w:rsidRDefault="009B2A6C" w:rsidP="00414577">
            <w:pPr>
              <w:rPr>
                <w:rFonts w:cs="Open Sans"/>
                <w:color w:val="FFFFFF" w:themeColor="background1"/>
                <w:szCs w:val="16"/>
              </w:rPr>
            </w:pPr>
            <w:r w:rsidRPr="0015066C">
              <w:rPr>
                <w:rStyle w:val="CondensedBold"/>
                <w:rFonts w:ascii="Open Sans" w:hAnsi="Open Sans" w:cs="Open Sans"/>
                <w:color w:val="FFFFFF" w:themeColor="background1"/>
                <w:szCs w:val="16"/>
              </w:rPr>
              <w:t>International engagement</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1A8258E0" w14:textId="071207B9" w:rsidR="009B2A6C" w:rsidRPr="000A7ED6" w:rsidRDefault="009B2A6C" w:rsidP="009B2A6C">
            <w:pPr>
              <w:pStyle w:val="Paragrafoelenco"/>
              <w:numPr>
                <w:ilvl w:val="0"/>
                <w:numId w:val="26"/>
              </w:numPr>
              <w:rPr>
                <w:rFonts w:cs="Open Sans"/>
                <w:color w:val="000000" w:themeColor="text1"/>
              </w:rPr>
            </w:pPr>
            <w:r w:rsidRPr="000A7ED6">
              <w:rPr>
                <w:rFonts w:cs="Open Sans"/>
                <w:color w:val="000000" w:themeColor="text1"/>
              </w:rPr>
              <w:t>As an ‘A</w:t>
            </w:r>
            <w:r w:rsidR="00D04C0A">
              <w:rPr>
                <w:rFonts w:cs="Open Sans"/>
                <w:color w:val="000000" w:themeColor="text1"/>
              </w:rPr>
              <w:t xml:space="preserve"> </w:t>
            </w:r>
            <w:r w:rsidRPr="000A7ED6">
              <w:rPr>
                <w:rFonts w:cs="Open Sans"/>
                <w:color w:val="000000" w:themeColor="text1"/>
              </w:rPr>
              <w:t>status</w:t>
            </w:r>
            <w:r w:rsidR="005E556A">
              <w:rPr>
                <w:rFonts w:cs="Open Sans"/>
                <w:color w:val="000000" w:themeColor="text1"/>
              </w:rPr>
              <w:t>’</w:t>
            </w:r>
            <w:r w:rsidRPr="000A7ED6">
              <w:rPr>
                <w:rFonts w:cs="Open Sans"/>
                <w:color w:val="000000" w:themeColor="text1"/>
              </w:rPr>
              <w:t xml:space="preserve"> National Human Rights Institution (NHRI) we have a formal role in the United Nations system. This year </w:t>
            </w:r>
            <w:r w:rsidR="00763ED2">
              <w:rPr>
                <w:rFonts w:cs="Open Sans"/>
                <w:color w:val="000000" w:themeColor="text1"/>
              </w:rPr>
              <w:t>involves</w:t>
            </w:r>
            <w:r w:rsidRPr="000A7ED6">
              <w:rPr>
                <w:rFonts w:cs="Open Sans"/>
                <w:color w:val="000000" w:themeColor="text1"/>
              </w:rPr>
              <w:t xml:space="preserve"> preparation for Australia’s third United Nations Universal Periodic Review (UPR) appearance and participating in scheduled Human</w:t>
            </w:r>
            <w:r w:rsidRPr="000A7ED6">
              <w:rPr>
                <w:rFonts w:eastAsia="Times New Roman" w:cs="Open Sans"/>
                <w:color w:val="000000" w:themeColor="text1"/>
                <w:szCs w:val="16"/>
              </w:rPr>
              <w:t xml:space="preserve"> Rights Treaty body reporting.</w:t>
            </w:r>
          </w:p>
          <w:p w14:paraId="159858F4" w14:textId="77777777" w:rsidR="009B2A6C" w:rsidRPr="000A7ED6" w:rsidRDefault="009B2A6C" w:rsidP="00226215">
            <w:pPr>
              <w:pStyle w:val="Paragrafoelenco"/>
              <w:numPr>
                <w:ilvl w:val="0"/>
                <w:numId w:val="26"/>
              </w:numPr>
              <w:spacing w:after="0"/>
              <w:ind w:left="357" w:hanging="357"/>
              <w:rPr>
                <w:rFonts w:cs="Open Sans"/>
                <w:color w:val="000000" w:themeColor="text1"/>
              </w:rPr>
            </w:pPr>
            <w:r w:rsidRPr="000A7ED6">
              <w:rPr>
                <w:rFonts w:eastAsia="Times New Roman" w:cs="Open Sans"/>
                <w:color w:val="000000" w:themeColor="text1"/>
                <w:szCs w:val="16"/>
              </w:rPr>
              <w:t xml:space="preserve">In </w:t>
            </w:r>
            <w:r w:rsidRPr="000A7ED6">
              <w:rPr>
                <w:rFonts w:cs="Open Sans"/>
                <w:color w:val="000000" w:themeColor="text1"/>
              </w:rPr>
              <w:t>partnership with other NHRIs we work to advance human rights in our region and globally. This year the President has a pivotal role as a bureau (board) member of the Global Alliance for National Human Rights Institutions and as Chairperson of the Asia Pacific Forum of National Human Rights Institutions.</w:t>
            </w:r>
          </w:p>
        </w:tc>
      </w:tr>
      <w:tr w:rsidR="009B2A6C" w:rsidRPr="000A7ED6" w14:paraId="6BF464BD" w14:textId="77777777" w:rsidTr="00DA780F">
        <w:trPr>
          <w:trHeight w:val="941"/>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61146309" w14:textId="77777777" w:rsidR="009B2A6C" w:rsidRPr="0015066C" w:rsidRDefault="009B2A6C" w:rsidP="00414577">
            <w:pPr>
              <w:rPr>
                <w:rFonts w:cs="Open Sans"/>
                <w:color w:val="FFFFFF" w:themeColor="background1"/>
                <w:szCs w:val="16"/>
              </w:rPr>
            </w:pPr>
            <w:r w:rsidRPr="0015066C">
              <w:rPr>
                <w:rStyle w:val="CondensedBold"/>
                <w:rFonts w:ascii="Open Sans" w:hAnsi="Open Sans" w:cs="Open Sans"/>
                <w:color w:val="FFFFFF" w:themeColor="background1"/>
                <w:szCs w:val="16"/>
              </w:rPr>
              <w:t>Business and human rights strategy</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662837E5" w14:textId="5F7871C8" w:rsidR="009B2A6C" w:rsidRPr="000A7ED6" w:rsidRDefault="009B2A6C" w:rsidP="009B2A6C">
            <w:pPr>
              <w:pStyle w:val="Paragrafoelenco"/>
              <w:numPr>
                <w:ilvl w:val="0"/>
                <w:numId w:val="27"/>
              </w:numPr>
              <w:rPr>
                <w:rFonts w:cs="Open Sans"/>
                <w:color w:val="000000" w:themeColor="text1"/>
              </w:rPr>
            </w:pPr>
            <w:r w:rsidRPr="000A7ED6">
              <w:rPr>
                <w:rFonts w:cs="Open Sans"/>
                <w:color w:val="000000" w:themeColor="text1"/>
              </w:rPr>
              <w:t>This program builds upon the momentum created by recent legislative action in Australia and internationally to begin operationalising the United Nations Guiding Principles on Business and Human Rights and other frameworks.</w:t>
            </w:r>
          </w:p>
          <w:p w14:paraId="2FF52E0D" w14:textId="2AB1FF91" w:rsidR="009B2A6C" w:rsidRPr="000A7ED6" w:rsidRDefault="009B2A6C" w:rsidP="00226215">
            <w:pPr>
              <w:pStyle w:val="Paragrafoelenco"/>
              <w:numPr>
                <w:ilvl w:val="0"/>
                <w:numId w:val="27"/>
              </w:numPr>
              <w:spacing w:after="0"/>
              <w:ind w:left="357" w:hanging="357"/>
              <w:rPr>
                <w:rFonts w:cs="Open Sans"/>
                <w:color w:val="000000" w:themeColor="text1"/>
              </w:rPr>
            </w:pPr>
            <w:r w:rsidRPr="000A7ED6">
              <w:rPr>
                <w:rFonts w:cs="Open Sans"/>
                <w:color w:val="000000" w:themeColor="text1"/>
              </w:rPr>
              <w:t xml:space="preserve">A strategic focus is to work with government, business and civil society in the implementation of the </w:t>
            </w:r>
            <w:r w:rsidRPr="000A7ED6">
              <w:rPr>
                <w:rFonts w:cs="Open Sans"/>
                <w:i/>
                <w:color w:val="000000" w:themeColor="text1"/>
              </w:rPr>
              <w:t>Australia Modern Slavery Act 2018</w:t>
            </w:r>
            <w:r w:rsidRPr="000A7ED6">
              <w:rPr>
                <w:rFonts w:cs="Open Sans"/>
                <w:color w:val="000000" w:themeColor="text1"/>
              </w:rPr>
              <w:t xml:space="preserve"> (</w:t>
            </w:r>
            <w:proofErr w:type="spellStart"/>
            <w:r w:rsidRPr="000A7ED6">
              <w:rPr>
                <w:rFonts w:cs="Open Sans"/>
                <w:color w:val="000000" w:themeColor="text1"/>
              </w:rPr>
              <w:t>Cth</w:t>
            </w:r>
            <w:proofErr w:type="spellEnd"/>
            <w:r w:rsidRPr="000A7ED6">
              <w:rPr>
                <w:rFonts w:cs="Open Sans"/>
                <w:color w:val="000000" w:themeColor="text1"/>
              </w:rPr>
              <w:t xml:space="preserve">) and </w:t>
            </w:r>
            <w:r w:rsidRPr="000A7ED6">
              <w:rPr>
                <w:rFonts w:cs="Open Sans"/>
                <w:i/>
                <w:color w:val="000000" w:themeColor="text1"/>
              </w:rPr>
              <w:t xml:space="preserve">Modern Slavery Act 2018 </w:t>
            </w:r>
            <w:r w:rsidRPr="000A7ED6">
              <w:rPr>
                <w:rFonts w:cs="Open Sans"/>
                <w:color w:val="000000" w:themeColor="text1"/>
              </w:rPr>
              <w:t>(NSW). This includes a project to develop sector-based guidance on using a human rights approach to identify and respond to modern slavery risks.</w:t>
            </w:r>
          </w:p>
        </w:tc>
      </w:tr>
      <w:tr w:rsidR="009B2A6C" w:rsidRPr="000A7ED6" w14:paraId="33FF97B6" w14:textId="77777777" w:rsidTr="00DA780F">
        <w:trPr>
          <w:trHeight w:val="60"/>
        </w:trPr>
        <w:tc>
          <w:tcPr>
            <w:tcW w:w="1894" w:type="dxa"/>
            <w:tcBorders>
              <w:top w:val="single" w:sz="4" w:space="0" w:color="FFFFFF"/>
              <w:left w:val="single" w:sz="4" w:space="0" w:color="FFFFFF"/>
              <w:bottom w:val="single" w:sz="4" w:space="0" w:color="FFFFFF"/>
              <w:right w:val="single" w:sz="4" w:space="0" w:color="FFFFFF"/>
            </w:tcBorders>
            <w:shd w:val="clear" w:color="auto" w:fill="107896"/>
            <w:tcMar>
              <w:top w:w="227" w:type="dxa"/>
              <w:left w:w="227" w:type="dxa"/>
              <w:bottom w:w="227" w:type="dxa"/>
              <w:right w:w="227" w:type="dxa"/>
            </w:tcMar>
          </w:tcPr>
          <w:p w14:paraId="19C99375" w14:textId="07BF0874" w:rsidR="00EC6511" w:rsidRPr="00226215" w:rsidRDefault="009B2A6C" w:rsidP="00EC6511">
            <w:pPr>
              <w:rPr>
                <w:rFonts w:cs="Open Sans"/>
                <w:b/>
                <w:bCs/>
                <w:color w:val="FFFFFF" w:themeColor="background1"/>
                <w:szCs w:val="16"/>
              </w:rPr>
            </w:pPr>
            <w:r w:rsidRPr="0015066C">
              <w:rPr>
                <w:rStyle w:val="CondensedBold"/>
                <w:rFonts w:ascii="Open Sans" w:hAnsi="Open Sans" w:cs="Open Sans"/>
                <w:color w:val="FFFFFF" w:themeColor="background1"/>
                <w:szCs w:val="16"/>
              </w:rPr>
              <w:t>Human rights scrutiny</w:t>
            </w:r>
          </w:p>
        </w:tc>
        <w:tc>
          <w:tcPr>
            <w:tcW w:w="7745" w:type="dxa"/>
            <w:tcBorders>
              <w:top w:val="single" w:sz="4" w:space="0" w:color="FFFFFF"/>
              <w:left w:val="single" w:sz="4" w:space="0" w:color="FFFFFF"/>
              <w:bottom w:val="single" w:sz="4" w:space="0" w:color="FFFFFF"/>
              <w:right w:val="single" w:sz="4" w:space="0" w:color="FFFFFF"/>
            </w:tcBorders>
            <w:shd w:val="clear" w:color="auto" w:fill="D4EEF4"/>
            <w:tcMar>
              <w:top w:w="227" w:type="dxa"/>
              <w:left w:w="227" w:type="dxa"/>
              <w:bottom w:w="227" w:type="dxa"/>
              <w:right w:w="227" w:type="dxa"/>
            </w:tcMar>
          </w:tcPr>
          <w:p w14:paraId="652ABF73" w14:textId="77777777" w:rsidR="009B2A6C" w:rsidRPr="000A7ED6" w:rsidRDefault="009B2A6C" w:rsidP="00226215">
            <w:pPr>
              <w:pStyle w:val="Paragrafoelenco"/>
              <w:numPr>
                <w:ilvl w:val="0"/>
                <w:numId w:val="28"/>
              </w:numPr>
              <w:spacing w:after="0"/>
              <w:ind w:left="357" w:hanging="357"/>
              <w:rPr>
                <w:rFonts w:eastAsia="Times New Roman" w:cs="Open Sans"/>
                <w:color w:val="000000" w:themeColor="text1"/>
                <w:szCs w:val="16"/>
              </w:rPr>
            </w:pPr>
            <w:r w:rsidRPr="000A7ED6">
              <w:rPr>
                <w:rFonts w:eastAsia="Times New Roman" w:cs="Open Sans"/>
                <w:color w:val="000000" w:themeColor="text1"/>
                <w:szCs w:val="16"/>
              </w:rPr>
              <w:t>This program aims to improve human rights protections in current and proposed legislation and includes an ongoing relationship with the Parliamentary Joint Committee on Human Rights. The work involves the monitoring of federal legislative and inquiry processes, identifying strategic opportunities for engagement by the Commission, including evidenced based submissions to inquiries.</w:t>
            </w:r>
          </w:p>
        </w:tc>
      </w:tr>
    </w:tbl>
    <w:p w14:paraId="5264BDC2" w14:textId="77777777" w:rsidR="00B74297" w:rsidRPr="00616BE0" w:rsidRDefault="00B74297" w:rsidP="003C4640">
      <w:pPr>
        <w:spacing w:after="0"/>
        <w:rPr>
          <w:rFonts w:cs="Open Sans"/>
          <w:iCs/>
          <w:color w:val="000000" w:themeColor="text1"/>
        </w:rPr>
      </w:pPr>
    </w:p>
    <w:sectPr w:rsidR="00B74297" w:rsidRPr="00616BE0" w:rsidSect="008F7B64">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45EBD" w14:textId="77777777" w:rsidR="00B844AF" w:rsidRDefault="00B844AF" w:rsidP="00FF348A">
      <w:pPr>
        <w:spacing w:after="0"/>
      </w:pPr>
      <w:r>
        <w:separator/>
      </w:r>
    </w:p>
  </w:endnote>
  <w:endnote w:type="continuationSeparator" w:id="0">
    <w:p w14:paraId="6DD00D7A" w14:textId="77777777" w:rsidR="00B844AF" w:rsidRDefault="00B844AF" w:rsidP="00FF3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47 LtCn">
    <w:altName w:val="Arial"/>
    <w:panose1 w:val="020B04060202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0261" w14:textId="1B269D3F" w:rsidR="00FF348A" w:rsidRPr="00194B09" w:rsidRDefault="00FF348A" w:rsidP="00FF348A">
    <w:pPr>
      <w:keepLines/>
      <w:suppressAutoHyphens/>
      <w:autoSpaceDE w:val="0"/>
      <w:autoSpaceDN w:val="0"/>
      <w:adjustRightInd w:val="0"/>
      <w:spacing w:after="0" w:line="288" w:lineRule="auto"/>
      <w:jc w:val="center"/>
      <w:textAlignment w:val="center"/>
      <w:rPr>
        <w:rFonts w:cs="Open Sans"/>
        <w:color w:val="6D6E70"/>
        <w:spacing w:val="12"/>
        <w:szCs w:val="16"/>
        <w:lang w:val="en-US"/>
      </w:rPr>
    </w:pPr>
    <w:r w:rsidRPr="00194B09">
      <w:rPr>
        <w:rFonts w:cs="Open Sans"/>
        <w:color w:val="6D6E70"/>
        <w:spacing w:val="12"/>
        <w:szCs w:val="16"/>
        <w:lang w:val="en-US"/>
      </w:rPr>
      <w:t>THIS PROFILE SHOULD BE VIEWED IN THE CONTEXT OF THE COMMISSION’S 201</w:t>
    </w:r>
    <w:r w:rsidR="00194B09" w:rsidRPr="00194B09">
      <w:rPr>
        <w:rFonts w:cs="Open Sans"/>
        <w:color w:val="6D6E70"/>
        <w:spacing w:val="18"/>
        <w:szCs w:val="16"/>
        <w:lang w:val="en-US"/>
      </w:rPr>
      <w:t>9</w:t>
    </w:r>
    <w:r w:rsidRPr="00194B09">
      <w:rPr>
        <w:rFonts w:cs="Open Sans"/>
        <w:color w:val="6D6E70"/>
        <w:spacing w:val="12"/>
        <w:szCs w:val="16"/>
        <w:lang w:val="en-US"/>
      </w:rPr>
      <w:t>–</w:t>
    </w:r>
    <w:r w:rsidR="00194B09" w:rsidRPr="00194B09">
      <w:rPr>
        <w:rFonts w:cs="Open Sans"/>
        <w:color w:val="6D6E70"/>
        <w:spacing w:val="12"/>
        <w:szCs w:val="16"/>
        <w:lang w:val="en-US"/>
      </w:rPr>
      <w:t>20</w:t>
    </w:r>
    <w:r w:rsidRPr="00194B09">
      <w:rPr>
        <w:rFonts w:cs="Open Sans"/>
        <w:color w:val="6D6E70"/>
        <w:spacing w:val="12"/>
        <w:szCs w:val="16"/>
        <w:lang w:val="en-US"/>
      </w:rPr>
      <w:t xml:space="preserve">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A9F6" w14:textId="77777777" w:rsidR="00B844AF" w:rsidRDefault="00B844AF" w:rsidP="00FF348A">
      <w:pPr>
        <w:spacing w:after="0"/>
      </w:pPr>
      <w:r>
        <w:separator/>
      </w:r>
    </w:p>
  </w:footnote>
  <w:footnote w:type="continuationSeparator" w:id="0">
    <w:p w14:paraId="2510B8F5" w14:textId="77777777" w:rsidR="00B844AF" w:rsidRDefault="00B844AF" w:rsidP="00FF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1F7B"/>
    <w:multiLevelType w:val="hybridMultilevel"/>
    <w:tmpl w:val="BA004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B5B77"/>
    <w:multiLevelType w:val="hybridMultilevel"/>
    <w:tmpl w:val="5040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79B0377"/>
    <w:multiLevelType w:val="hybridMultilevel"/>
    <w:tmpl w:val="36222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5517A8B"/>
    <w:multiLevelType w:val="hybridMultilevel"/>
    <w:tmpl w:val="126E5F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343608"/>
    <w:multiLevelType w:val="hybridMultilevel"/>
    <w:tmpl w:val="6D0CF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3D188B"/>
    <w:multiLevelType w:val="hybridMultilevel"/>
    <w:tmpl w:val="B8AC3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860B75"/>
    <w:multiLevelType w:val="hybridMultilevel"/>
    <w:tmpl w:val="6DE8C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33B14BA"/>
    <w:multiLevelType w:val="hybridMultilevel"/>
    <w:tmpl w:val="58960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3A63D1"/>
    <w:multiLevelType w:val="hybridMultilevel"/>
    <w:tmpl w:val="24FE9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E132006"/>
    <w:multiLevelType w:val="hybridMultilevel"/>
    <w:tmpl w:val="8628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4AE17DC"/>
    <w:multiLevelType w:val="hybridMultilevel"/>
    <w:tmpl w:val="33547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2E71D8"/>
    <w:multiLevelType w:val="hybridMultilevel"/>
    <w:tmpl w:val="5CC20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B024CFA"/>
    <w:multiLevelType w:val="hybridMultilevel"/>
    <w:tmpl w:val="B97C7C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D7C4A1C"/>
    <w:multiLevelType w:val="hybridMultilevel"/>
    <w:tmpl w:val="EF16A4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1D4221"/>
    <w:multiLevelType w:val="hybridMultilevel"/>
    <w:tmpl w:val="1E4CD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817A96"/>
    <w:multiLevelType w:val="hybridMultilevel"/>
    <w:tmpl w:val="056C5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0D50F6"/>
    <w:multiLevelType w:val="hybridMultilevel"/>
    <w:tmpl w:val="5802C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2232236"/>
    <w:multiLevelType w:val="hybridMultilevel"/>
    <w:tmpl w:val="3AC87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7527538"/>
    <w:multiLevelType w:val="hybridMultilevel"/>
    <w:tmpl w:val="5F92EB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FDE70AA"/>
    <w:multiLevelType w:val="hybridMultilevel"/>
    <w:tmpl w:val="D4729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084215"/>
    <w:multiLevelType w:val="hybridMultilevel"/>
    <w:tmpl w:val="2AA8D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3C822FB"/>
    <w:multiLevelType w:val="hybridMultilevel"/>
    <w:tmpl w:val="7E283C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3A23F5"/>
    <w:multiLevelType w:val="hybridMultilevel"/>
    <w:tmpl w:val="52644F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C97741E"/>
    <w:multiLevelType w:val="hybridMultilevel"/>
    <w:tmpl w:val="FCD8A2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21"/>
  </w:num>
  <w:num w:numId="4">
    <w:abstractNumId w:val="17"/>
  </w:num>
  <w:num w:numId="5">
    <w:abstractNumId w:val="11"/>
  </w:num>
  <w:num w:numId="6">
    <w:abstractNumId w:val="6"/>
  </w:num>
  <w:num w:numId="7">
    <w:abstractNumId w:val="1"/>
  </w:num>
  <w:num w:numId="8">
    <w:abstractNumId w:val="22"/>
  </w:num>
  <w:num w:numId="9">
    <w:abstractNumId w:val="9"/>
  </w:num>
  <w:num w:numId="10">
    <w:abstractNumId w:val="18"/>
  </w:num>
  <w:num w:numId="11">
    <w:abstractNumId w:val="12"/>
  </w:num>
  <w:num w:numId="12">
    <w:abstractNumId w:val="2"/>
  </w:num>
  <w:num w:numId="13">
    <w:abstractNumId w:val="8"/>
  </w:num>
  <w:num w:numId="14">
    <w:abstractNumId w:val="0"/>
  </w:num>
  <w:num w:numId="15">
    <w:abstractNumId w:val="7"/>
  </w:num>
  <w:num w:numId="16">
    <w:abstractNumId w:val="4"/>
  </w:num>
  <w:num w:numId="17">
    <w:abstractNumId w:val="20"/>
  </w:num>
  <w:num w:numId="18">
    <w:abstractNumId w:val="13"/>
  </w:num>
  <w:num w:numId="19">
    <w:abstractNumId w:val="15"/>
  </w:num>
  <w:num w:numId="20">
    <w:abstractNumId w:val="15"/>
  </w:num>
  <w:num w:numId="21">
    <w:abstractNumId w:val="13"/>
  </w:num>
  <w:num w:numId="22">
    <w:abstractNumId w:val="4"/>
  </w:num>
  <w:num w:numId="23">
    <w:abstractNumId w:val="15"/>
  </w:num>
  <w:num w:numId="24">
    <w:abstractNumId w:val="14"/>
  </w:num>
  <w:num w:numId="25">
    <w:abstractNumId w:val="19"/>
  </w:num>
  <w:num w:numId="26">
    <w:abstractNumId w:val="5"/>
  </w:num>
  <w:num w:numId="27">
    <w:abstractNumId w:val="2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3"/>
    <w:rsid w:val="000129D7"/>
    <w:rsid w:val="00015FDA"/>
    <w:rsid w:val="00030F13"/>
    <w:rsid w:val="000321AD"/>
    <w:rsid w:val="000370A0"/>
    <w:rsid w:val="00041A78"/>
    <w:rsid w:val="0004514E"/>
    <w:rsid w:val="000516B1"/>
    <w:rsid w:val="00064FB1"/>
    <w:rsid w:val="00066081"/>
    <w:rsid w:val="000765D2"/>
    <w:rsid w:val="00076630"/>
    <w:rsid w:val="00086580"/>
    <w:rsid w:val="00086E72"/>
    <w:rsid w:val="00091CA3"/>
    <w:rsid w:val="000B2F20"/>
    <w:rsid w:val="000E0B8B"/>
    <w:rsid w:val="000F02F8"/>
    <w:rsid w:val="000F7602"/>
    <w:rsid w:val="0010691F"/>
    <w:rsid w:val="00112BEF"/>
    <w:rsid w:val="00115F34"/>
    <w:rsid w:val="00124F99"/>
    <w:rsid w:val="0012589F"/>
    <w:rsid w:val="00130DB5"/>
    <w:rsid w:val="001328E6"/>
    <w:rsid w:val="00132F3A"/>
    <w:rsid w:val="00143DA1"/>
    <w:rsid w:val="0015066C"/>
    <w:rsid w:val="00162833"/>
    <w:rsid w:val="001743C9"/>
    <w:rsid w:val="001745D5"/>
    <w:rsid w:val="00194B09"/>
    <w:rsid w:val="001A0870"/>
    <w:rsid w:val="001C30E3"/>
    <w:rsid w:val="001C57A8"/>
    <w:rsid w:val="001C57D3"/>
    <w:rsid w:val="001D72A2"/>
    <w:rsid w:val="0020676E"/>
    <w:rsid w:val="00211435"/>
    <w:rsid w:val="00224F7E"/>
    <w:rsid w:val="00226215"/>
    <w:rsid w:val="002339CF"/>
    <w:rsid w:val="00235F40"/>
    <w:rsid w:val="00237468"/>
    <w:rsid w:val="00252645"/>
    <w:rsid w:val="00274553"/>
    <w:rsid w:val="002A4936"/>
    <w:rsid w:val="002D4632"/>
    <w:rsid w:val="003222D5"/>
    <w:rsid w:val="00330930"/>
    <w:rsid w:val="00334B89"/>
    <w:rsid w:val="0036631A"/>
    <w:rsid w:val="003918BE"/>
    <w:rsid w:val="00395382"/>
    <w:rsid w:val="003C33D8"/>
    <w:rsid w:val="003C4640"/>
    <w:rsid w:val="003C7905"/>
    <w:rsid w:val="003E6B28"/>
    <w:rsid w:val="003F6EB9"/>
    <w:rsid w:val="00413294"/>
    <w:rsid w:val="00417FCB"/>
    <w:rsid w:val="00421150"/>
    <w:rsid w:val="0042167B"/>
    <w:rsid w:val="004328F2"/>
    <w:rsid w:val="004402CA"/>
    <w:rsid w:val="00453DA8"/>
    <w:rsid w:val="00453ED0"/>
    <w:rsid w:val="004546BF"/>
    <w:rsid w:val="00472078"/>
    <w:rsid w:val="00484F23"/>
    <w:rsid w:val="00496CEB"/>
    <w:rsid w:val="004C1EEF"/>
    <w:rsid w:val="004C5260"/>
    <w:rsid w:val="004E1B72"/>
    <w:rsid w:val="004E4FDD"/>
    <w:rsid w:val="004F4AE9"/>
    <w:rsid w:val="00534180"/>
    <w:rsid w:val="005602FA"/>
    <w:rsid w:val="005626A5"/>
    <w:rsid w:val="00577608"/>
    <w:rsid w:val="005971CD"/>
    <w:rsid w:val="005B1883"/>
    <w:rsid w:val="005B52D6"/>
    <w:rsid w:val="005B6B7E"/>
    <w:rsid w:val="005E556A"/>
    <w:rsid w:val="005F3BE8"/>
    <w:rsid w:val="005F5D86"/>
    <w:rsid w:val="005F6052"/>
    <w:rsid w:val="005F715A"/>
    <w:rsid w:val="006105C3"/>
    <w:rsid w:val="00616BE0"/>
    <w:rsid w:val="00617391"/>
    <w:rsid w:val="00644A80"/>
    <w:rsid w:val="00653D0E"/>
    <w:rsid w:val="0066244A"/>
    <w:rsid w:val="006635CA"/>
    <w:rsid w:val="00675A11"/>
    <w:rsid w:val="00687AEA"/>
    <w:rsid w:val="00692874"/>
    <w:rsid w:val="006A0B05"/>
    <w:rsid w:val="006A6135"/>
    <w:rsid w:val="006B5A60"/>
    <w:rsid w:val="006B78BA"/>
    <w:rsid w:val="006D398E"/>
    <w:rsid w:val="006E51A5"/>
    <w:rsid w:val="006E52A4"/>
    <w:rsid w:val="00707BF5"/>
    <w:rsid w:val="00721100"/>
    <w:rsid w:val="00744580"/>
    <w:rsid w:val="007552C2"/>
    <w:rsid w:val="00763ED2"/>
    <w:rsid w:val="007640CE"/>
    <w:rsid w:val="0076567C"/>
    <w:rsid w:val="00785865"/>
    <w:rsid w:val="007971B8"/>
    <w:rsid w:val="007B25BD"/>
    <w:rsid w:val="007D1D83"/>
    <w:rsid w:val="007D7CD1"/>
    <w:rsid w:val="007F18AC"/>
    <w:rsid w:val="00804DF4"/>
    <w:rsid w:val="00810869"/>
    <w:rsid w:val="0081334C"/>
    <w:rsid w:val="00826A6D"/>
    <w:rsid w:val="008326D4"/>
    <w:rsid w:val="0087416B"/>
    <w:rsid w:val="00884230"/>
    <w:rsid w:val="0088740E"/>
    <w:rsid w:val="008C3EBC"/>
    <w:rsid w:val="008F7B64"/>
    <w:rsid w:val="00914637"/>
    <w:rsid w:val="00923828"/>
    <w:rsid w:val="009327F4"/>
    <w:rsid w:val="00967EC0"/>
    <w:rsid w:val="00975B87"/>
    <w:rsid w:val="009B2A6C"/>
    <w:rsid w:val="009C392F"/>
    <w:rsid w:val="009E327D"/>
    <w:rsid w:val="00A14A81"/>
    <w:rsid w:val="00A4039A"/>
    <w:rsid w:val="00A50706"/>
    <w:rsid w:val="00A53A79"/>
    <w:rsid w:val="00A81CD4"/>
    <w:rsid w:val="00A81D65"/>
    <w:rsid w:val="00A90F92"/>
    <w:rsid w:val="00A95BDC"/>
    <w:rsid w:val="00AB0C35"/>
    <w:rsid w:val="00AB1F9B"/>
    <w:rsid w:val="00AD5A31"/>
    <w:rsid w:val="00AE0476"/>
    <w:rsid w:val="00AE6CB6"/>
    <w:rsid w:val="00B07DB2"/>
    <w:rsid w:val="00B202DB"/>
    <w:rsid w:val="00B22386"/>
    <w:rsid w:val="00B25DAE"/>
    <w:rsid w:val="00B47E42"/>
    <w:rsid w:val="00B70A3E"/>
    <w:rsid w:val="00B74297"/>
    <w:rsid w:val="00B80A8B"/>
    <w:rsid w:val="00B844AF"/>
    <w:rsid w:val="00B87E29"/>
    <w:rsid w:val="00BA4021"/>
    <w:rsid w:val="00BE1BB3"/>
    <w:rsid w:val="00BE58A2"/>
    <w:rsid w:val="00BE5FBD"/>
    <w:rsid w:val="00BE7852"/>
    <w:rsid w:val="00BF6B35"/>
    <w:rsid w:val="00C00D47"/>
    <w:rsid w:val="00C175FF"/>
    <w:rsid w:val="00C4751F"/>
    <w:rsid w:val="00C66315"/>
    <w:rsid w:val="00C77BF5"/>
    <w:rsid w:val="00C82C61"/>
    <w:rsid w:val="00C85D34"/>
    <w:rsid w:val="00C869F8"/>
    <w:rsid w:val="00CA0F16"/>
    <w:rsid w:val="00CA3881"/>
    <w:rsid w:val="00CB06A0"/>
    <w:rsid w:val="00CB3568"/>
    <w:rsid w:val="00CC405B"/>
    <w:rsid w:val="00CC433E"/>
    <w:rsid w:val="00CD4BB6"/>
    <w:rsid w:val="00CE2D96"/>
    <w:rsid w:val="00CF0C4F"/>
    <w:rsid w:val="00CF1623"/>
    <w:rsid w:val="00D045E2"/>
    <w:rsid w:val="00D04C0A"/>
    <w:rsid w:val="00D129E7"/>
    <w:rsid w:val="00D12C23"/>
    <w:rsid w:val="00D13F5E"/>
    <w:rsid w:val="00D34681"/>
    <w:rsid w:val="00D37A39"/>
    <w:rsid w:val="00D46C35"/>
    <w:rsid w:val="00D70FF1"/>
    <w:rsid w:val="00D802F8"/>
    <w:rsid w:val="00D9655E"/>
    <w:rsid w:val="00DA3D59"/>
    <w:rsid w:val="00DA780F"/>
    <w:rsid w:val="00E056B7"/>
    <w:rsid w:val="00E36C73"/>
    <w:rsid w:val="00E5596C"/>
    <w:rsid w:val="00E64D0E"/>
    <w:rsid w:val="00E912F3"/>
    <w:rsid w:val="00E9323B"/>
    <w:rsid w:val="00E953EC"/>
    <w:rsid w:val="00EB22D1"/>
    <w:rsid w:val="00EC1F2F"/>
    <w:rsid w:val="00EC6511"/>
    <w:rsid w:val="00F02C64"/>
    <w:rsid w:val="00F30D06"/>
    <w:rsid w:val="00F53FC2"/>
    <w:rsid w:val="00F6211F"/>
    <w:rsid w:val="00F6719D"/>
    <w:rsid w:val="00F768D4"/>
    <w:rsid w:val="00F773A3"/>
    <w:rsid w:val="00FA31A6"/>
    <w:rsid w:val="00FC4A67"/>
    <w:rsid w:val="00FD1771"/>
    <w:rsid w:val="00FF07CE"/>
    <w:rsid w:val="00FF26A9"/>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B4DFD"/>
  <w14:defaultImageDpi w14:val="32767"/>
  <w15:docId w15:val="{F4CEB394-882A-4AF9-A89F-5BD8756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780F"/>
    <w:pPr>
      <w:spacing w:after="120"/>
    </w:pPr>
    <w:rPr>
      <w:rFonts w:ascii="Open Sans" w:hAnsi="Open Sans"/>
      <w:sz w:val="16"/>
      <w:lang w:val="en-AU"/>
    </w:rPr>
  </w:style>
  <w:style w:type="paragraph" w:styleId="Titolo1">
    <w:name w:val="heading 1"/>
    <w:basedOn w:val="Normale"/>
    <w:next w:val="Normale"/>
    <w:link w:val="Titolo1Carattere"/>
    <w:uiPriority w:val="9"/>
    <w:qFormat/>
    <w:rsid w:val="0088740E"/>
    <w:pPr>
      <w:keepNext/>
      <w:keepLines/>
      <w:outlineLvl w:val="0"/>
    </w:pPr>
    <w:rPr>
      <w:rFonts w:ascii="Arial Narrow" w:eastAsiaTheme="majorEastAsia" w:hAnsi="Arial Narrow" w:cstheme="majorBidi"/>
      <w:b/>
      <w:sz w:val="32"/>
      <w:szCs w:val="32"/>
    </w:rPr>
  </w:style>
  <w:style w:type="paragraph" w:styleId="Titolo2">
    <w:name w:val="heading 2"/>
    <w:basedOn w:val="Normale"/>
    <w:next w:val="Normale"/>
    <w:link w:val="Titolo2Carattere"/>
    <w:uiPriority w:val="9"/>
    <w:unhideWhenUsed/>
    <w:qFormat/>
    <w:rsid w:val="0020676E"/>
    <w:pPr>
      <w:keepNext/>
      <w:keepLines/>
      <w:spacing w:after="240"/>
      <w:outlineLvl w:val="1"/>
    </w:pPr>
    <w:rPr>
      <w:rFonts w:eastAsiaTheme="majorEastAsia" w:cstheme="majorBidi"/>
      <w:color w:val="ED7D31" w:themeColor="accent2"/>
      <w:sz w:val="28"/>
      <w:szCs w:val="26"/>
    </w:rPr>
  </w:style>
  <w:style w:type="paragraph" w:styleId="Titolo3">
    <w:name w:val="heading 3"/>
    <w:basedOn w:val="Normale"/>
    <w:next w:val="Normale"/>
    <w:link w:val="Titolo3Carattere"/>
    <w:uiPriority w:val="9"/>
    <w:unhideWhenUsed/>
    <w:qFormat/>
    <w:rsid w:val="0088740E"/>
    <w:pPr>
      <w:keepNext/>
      <w:keepLines/>
      <w:spacing w:before="40" w:after="0"/>
      <w:outlineLvl w:val="2"/>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ndensed8pt">
    <w:name w:val="Caption Condensed 8pt"/>
    <w:basedOn w:val="Didascalia"/>
    <w:uiPriority w:val="99"/>
    <w:rsid w:val="0088740E"/>
    <w:pPr>
      <w:tabs>
        <w:tab w:val="left" w:pos="567"/>
      </w:tabs>
      <w:suppressAutoHyphens/>
      <w:autoSpaceDE w:val="0"/>
      <w:autoSpaceDN w:val="0"/>
      <w:adjustRightInd w:val="0"/>
      <w:spacing w:after="0" w:line="180" w:lineRule="atLeast"/>
      <w:textAlignment w:val="center"/>
    </w:pPr>
    <w:rPr>
      <w:rFonts w:ascii="Arial Narrow" w:hAnsi="Arial Narrow" w:cs="HelveticaNeueLT Pro 57 Cn"/>
      <w:i w:val="0"/>
      <w:iCs w:val="0"/>
      <w:color w:val="000000"/>
      <w:sz w:val="16"/>
      <w:szCs w:val="16"/>
    </w:rPr>
  </w:style>
  <w:style w:type="character" w:customStyle="1" w:styleId="CondensedBold">
    <w:name w:val="Condensed Bold"/>
    <w:uiPriority w:val="99"/>
    <w:rsid w:val="007D1D83"/>
    <w:rPr>
      <w:rFonts w:ascii="HelveticaNeueLT Pro 57 Cn" w:hAnsi="HelveticaNeueLT Pro 57 Cn" w:cs="HelveticaNeueLT Pro 57 Cn"/>
      <w:b/>
      <w:bCs/>
      <w:u w:val="none"/>
    </w:rPr>
  </w:style>
  <w:style w:type="paragraph" w:styleId="Didascalia">
    <w:name w:val="caption"/>
    <w:basedOn w:val="Normale"/>
    <w:next w:val="Normale"/>
    <w:uiPriority w:val="35"/>
    <w:semiHidden/>
    <w:unhideWhenUsed/>
    <w:qFormat/>
    <w:rsid w:val="007D1D83"/>
    <w:pPr>
      <w:spacing w:after="200"/>
    </w:pPr>
    <w:rPr>
      <w:i/>
      <w:iCs/>
      <w:color w:val="44546A" w:themeColor="text2"/>
      <w:sz w:val="18"/>
      <w:szCs w:val="18"/>
    </w:rPr>
  </w:style>
  <w:style w:type="paragraph" w:customStyle="1" w:styleId="WorkplanParagrafo">
    <w:name w:val="Workplan Paragrafo"/>
    <w:basedOn w:val="Normale"/>
    <w:uiPriority w:val="99"/>
    <w:rsid w:val="007D1D83"/>
    <w:pPr>
      <w:keepLines/>
      <w:suppressAutoHyphens/>
      <w:autoSpaceDE w:val="0"/>
      <w:autoSpaceDN w:val="0"/>
      <w:adjustRightInd w:val="0"/>
      <w:spacing w:after="0" w:line="288" w:lineRule="auto"/>
      <w:textAlignment w:val="center"/>
    </w:pPr>
    <w:rPr>
      <w:rFonts w:ascii="HelveticaNeueLT Pro 57 Cn" w:hAnsi="HelveticaNeueLT Pro 57 Cn" w:cs="HelveticaNeueLT Pro 57 Cn"/>
      <w:color w:val="000000"/>
      <w:sz w:val="18"/>
      <w:szCs w:val="18"/>
      <w:lang w:val="en-US"/>
    </w:rPr>
  </w:style>
  <w:style w:type="paragraph" w:customStyle="1" w:styleId="WorkplanHeader">
    <w:name w:val="Workplan Header"/>
    <w:basedOn w:val="Normale"/>
    <w:uiPriority w:val="99"/>
    <w:rsid w:val="007D1D83"/>
    <w:pPr>
      <w:keepLines/>
      <w:suppressAutoHyphens/>
      <w:autoSpaceDE w:val="0"/>
      <w:autoSpaceDN w:val="0"/>
      <w:adjustRightInd w:val="0"/>
      <w:spacing w:after="227" w:line="288" w:lineRule="auto"/>
      <w:textAlignment w:val="center"/>
    </w:pPr>
    <w:rPr>
      <w:rFonts w:ascii="HelveticaNeueLT Pro 47 LtCn" w:hAnsi="HelveticaNeueLT Pro 47 LtCn" w:cs="HelveticaNeueLT Pro 47 LtCn"/>
      <w:color w:val="D55E00"/>
      <w:spacing w:val="70"/>
      <w:sz w:val="28"/>
      <w:szCs w:val="28"/>
      <w:lang w:val="en-US"/>
    </w:rPr>
  </w:style>
  <w:style w:type="paragraph" w:styleId="Titolo">
    <w:name w:val="Title"/>
    <w:basedOn w:val="Normale"/>
    <w:next w:val="Normale"/>
    <w:link w:val="TitoloCarattere"/>
    <w:uiPriority w:val="10"/>
    <w:qFormat/>
    <w:rsid w:val="007D1D8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D83"/>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0676E"/>
    <w:rPr>
      <w:rFonts w:ascii="Arial" w:eastAsiaTheme="majorEastAsia" w:hAnsi="Arial" w:cstheme="majorBidi"/>
      <w:color w:val="ED7D31" w:themeColor="accent2"/>
      <w:sz w:val="28"/>
      <w:szCs w:val="26"/>
    </w:rPr>
  </w:style>
  <w:style w:type="character" w:customStyle="1" w:styleId="Titolo1Carattere">
    <w:name w:val="Titolo 1 Carattere"/>
    <w:basedOn w:val="Carpredefinitoparagrafo"/>
    <w:link w:val="Titolo1"/>
    <w:uiPriority w:val="9"/>
    <w:rsid w:val="0088740E"/>
    <w:rPr>
      <w:rFonts w:ascii="Arial Narrow" w:eastAsiaTheme="majorEastAsia" w:hAnsi="Arial Narrow" w:cstheme="majorBidi"/>
      <w:b/>
      <w:sz w:val="32"/>
      <w:szCs w:val="32"/>
    </w:rPr>
  </w:style>
  <w:style w:type="character" w:customStyle="1" w:styleId="Titolo3Carattere">
    <w:name w:val="Titolo 3 Carattere"/>
    <w:basedOn w:val="Carpredefinitoparagrafo"/>
    <w:link w:val="Titolo3"/>
    <w:uiPriority w:val="9"/>
    <w:rsid w:val="0088740E"/>
    <w:rPr>
      <w:rFonts w:ascii="Arial" w:eastAsiaTheme="majorEastAsia" w:hAnsi="Arial" w:cstheme="majorBidi"/>
      <w:sz w:val="16"/>
    </w:rPr>
  </w:style>
  <w:style w:type="character" w:customStyle="1" w:styleId="CondensedItalic">
    <w:name w:val="Condensed Italic"/>
    <w:basedOn w:val="CondensedBold"/>
    <w:uiPriority w:val="99"/>
    <w:rsid w:val="0088740E"/>
    <w:rPr>
      <w:rFonts w:ascii="Arial Narrow" w:hAnsi="Arial Narrow" w:cs="HelveticaNeueLT Pro 57 Cn"/>
      <w:b w:val="0"/>
      <w:bCs w:val="0"/>
      <w:i/>
      <w:iCs/>
      <w:u w:val="none"/>
    </w:rPr>
  </w:style>
  <w:style w:type="paragraph" w:customStyle="1" w:styleId="WorkplanBullets">
    <w:name w:val="Workplan Bullets"/>
    <w:basedOn w:val="WorkplanParagrafo"/>
    <w:uiPriority w:val="99"/>
    <w:rsid w:val="0088740E"/>
    <w:pPr>
      <w:tabs>
        <w:tab w:val="left" w:pos="170"/>
      </w:tabs>
      <w:ind w:left="170" w:hanging="170"/>
    </w:pPr>
  </w:style>
  <w:style w:type="paragraph" w:styleId="Paragrafoelenco">
    <w:name w:val="List Paragraph"/>
    <w:basedOn w:val="Normale"/>
    <w:uiPriority w:val="34"/>
    <w:qFormat/>
    <w:rsid w:val="00810869"/>
    <w:pPr>
      <w:ind w:left="720"/>
      <w:contextualSpacing/>
    </w:pPr>
  </w:style>
  <w:style w:type="paragraph" w:styleId="Intestazione">
    <w:name w:val="header"/>
    <w:basedOn w:val="Normale"/>
    <w:link w:val="IntestazioneCarattere"/>
    <w:uiPriority w:val="99"/>
    <w:unhideWhenUsed/>
    <w:rsid w:val="00FF348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F348A"/>
    <w:rPr>
      <w:rFonts w:ascii="Arial" w:hAnsi="Arial"/>
      <w:sz w:val="16"/>
    </w:rPr>
  </w:style>
  <w:style w:type="paragraph" w:styleId="Pidipagina">
    <w:name w:val="footer"/>
    <w:basedOn w:val="Normale"/>
    <w:link w:val="PidipaginaCarattere"/>
    <w:uiPriority w:val="99"/>
    <w:unhideWhenUsed/>
    <w:rsid w:val="00FF34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F348A"/>
    <w:rPr>
      <w:rFonts w:ascii="Arial" w:hAnsi="Arial"/>
      <w:sz w:val="16"/>
    </w:rPr>
  </w:style>
  <w:style w:type="paragraph" w:customStyle="1" w:styleId="WorkplanBulletsWhite">
    <w:name w:val="Workplan Bullets White"/>
    <w:basedOn w:val="WorkplanBullets"/>
    <w:uiPriority w:val="99"/>
    <w:rsid w:val="00115F34"/>
    <w:rPr>
      <w:color w:val="FFFFFF"/>
    </w:rPr>
  </w:style>
  <w:style w:type="paragraph" w:styleId="Testofumetto">
    <w:name w:val="Balloon Text"/>
    <w:basedOn w:val="Normale"/>
    <w:link w:val="TestofumettoCarattere"/>
    <w:uiPriority w:val="99"/>
    <w:semiHidden/>
    <w:unhideWhenUsed/>
    <w:rsid w:val="00E64D0E"/>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4D0E"/>
    <w:rPr>
      <w:rFonts w:ascii="Segoe UI" w:hAnsi="Segoe UI" w:cs="Segoe UI"/>
      <w:sz w:val="18"/>
      <w:szCs w:val="18"/>
    </w:rPr>
  </w:style>
  <w:style w:type="character" w:styleId="Rimandocommento">
    <w:name w:val="annotation reference"/>
    <w:basedOn w:val="Carpredefinitoparagrafo"/>
    <w:uiPriority w:val="99"/>
    <w:semiHidden/>
    <w:unhideWhenUsed/>
    <w:rsid w:val="00112BEF"/>
    <w:rPr>
      <w:sz w:val="16"/>
      <w:szCs w:val="16"/>
    </w:rPr>
  </w:style>
  <w:style w:type="paragraph" w:styleId="Testocommento">
    <w:name w:val="annotation text"/>
    <w:basedOn w:val="Normale"/>
    <w:link w:val="TestocommentoCarattere"/>
    <w:uiPriority w:val="99"/>
    <w:semiHidden/>
    <w:unhideWhenUsed/>
    <w:rsid w:val="00112BEF"/>
    <w:rPr>
      <w:sz w:val="20"/>
      <w:szCs w:val="20"/>
    </w:rPr>
  </w:style>
  <w:style w:type="character" w:customStyle="1" w:styleId="TestocommentoCarattere">
    <w:name w:val="Testo commento Carattere"/>
    <w:basedOn w:val="Carpredefinitoparagrafo"/>
    <w:link w:val="Testocommento"/>
    <w:uiPriority w:val="99"/>
    <w:semiHidden/>
    <w:rsid w:val="00112BEF"/>
    <w:rPr>
      <w:rFonts w:ascii="Arial" w:hAnsi="Arial"/>
      <w:sz w:val="20"/>
      <w:szCs w:val="20"/>
    </w:rPr>
  </w:style>
  <w:style w:type="paragraph" w:styleId="Titolosommario">
    <w:name w:val="TOC Heading"/>
    <w:basedOn w:val="Titolo1"/>
    <w:next w:val="Normale"/>
    <w:uiPriority w:val="39"/>
    <w:unhideWhenUsed/>
    <w:qFormat/>
    <w:rsid w:val="00A50706"/>
    <w:pPr>
      <w:spacing w:before="240" w:after="0" w:line="259" w:lineRule="auto"/>
      <w:outlineLvl w:val="9"/>
    </w:pPr>
    <w:rPr>
      <w:rFonts w:asciiTheme="majorHAnsi" w:hAnsiTheme="majorHAnsi"/>
      <w:b w:val="0"/>
      <w:color w:val="2F5496" w:themeColor="accent1" w:themeShade="BF"/>
      <w:lang w:val="en-US"/>
    </w:rPr>
  </w:style>
  <w:style w:type="paragraph" w:styleId="Sommario1">
    <w:name w:val="toc 1"/>
    <w:basedOn w:val="Normale"/>
    <w:next w:val="Normale"/>
    <w:autoRedefine/>
    <w:uiPriority w:val="39"/>
    <w:unhideWhenUsed/>
    <w:rsid w:val="00A50706"/>
    <w:pPr>
      <w:spacing w:after="100"/>
    </w:pPr>
  </w:style>
  <w:style w:type="paragraph" w:styleId="Sommario3">
    <w:name w:val="toc 3"/>
    <w:basedOn w:val="Normale"/>
    <w:next w:val="Normale"/>
    <w:autoRedefine/>
    <w:uiPriority w:val="39"/>
    <w:unhideWhenUsed/>
    <w:rsid w:val="00A50706"/>
    <w:pPr>
      <w:spacing w:after="100"/>
      <w:ind w:left="320"/>
    </w:pPr>
  </w:style>
  <w:style w:type="paragraph" w:styleId="Sommario2">
    <w:name w:val="toc 2"/>
    <w:basedOn w:val="Normale"/>
    <w:next w:val="Normale"/>
    <w:autoRedefine/>
    <w:uiPriority w:val="39"/>
    <w:unhideWhenUsed/>
    <w:rsid w:val="00A50706"/>
    <w:pPr>
      <w:spacing w:after="100"/>
      <w:ind w:left="160"/>
    </w:pPr>
  </w:style>
  <w:style w:type="character" w:styleId="Collegamentoipertestuale">
    <w:name w:val="Hyperlink"/>
    <w:basedOn w:val="Carpredefinitoparagrafo"/>
    <w:uiPriority w:val="99"/>
    <w:unhideWhenUsed/>
    <w:rsid w:val="00A50706"/>
    <w:rPr>
      <w:color w:val="0563C1" w:themeColor="hyperlink"/>
      <w:u w:val="single"/>
    </w:rPr>
  </w:style>
  <w:style w:type="paragraph" w:styleId="NormaleWeb">
    <w:name w:val="Normal (Web)"/>
    <w:basedOn w:val="Normale"/>
    <w:uiPriority w:val="99"/>
    <w:unhideWhenUsed/>
    <w:rsid w:val="006E52A4"/>
    <w:pPr>
      <w:spacing w:before="100" w:beforeAutospacing="1" w:after="100" w:afterAutospacing="1"/>
    </w:pPr>
    <w:rPr>
      <w:rFonts w:ascii="Times New Roman" w:eastAsia="Times New Roman" w:hAnsi="Times New Roman" w:cs="Times New Roman"/>
      <w:sz w:val="24"/>
      <w:lang w:eastAsia="en-AU"/>
    </w:rPr>
  </w:style>
  <w:style w:type="table" w:customStyle="1" w:styleId="TableGrid1">
    <w:name w:val="Table Grid1"/>
    <w:basedOn w:val="Tabellanormale"/>
    <w:next w:val="Grigliatabella"/>
    <w:uiPriority w:val="39"/>
    <w:rsid w:val="00BE5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E912F3"/>
    <w:rPr>
      <w:b/>
      <w:bCs/>
    </w:rPr>
  </w:style>
  <w:style w:type="character" w:customStyle="1" w:styleId="SoggettocommentoCarattere">
    <w:name w:val="Soggetto commento Carattere"/>
    <w:basedOn w:val="TestocommentoCarattere"/>
    <w:link w:val="Soggettocommento"/>
    <w:uiPriority w:val="99"/>
    <w:semiHidden/>
    <w:rsid w:val="00E912F3"/>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248">
      <w:bodyDiv w:val="1"/>
      <w:marLeft w:val="0"/>
      <w:marRight w:val="0"/>
      <w:marTop w:val="0"/>
      <w:marBottom w:val="0"/>
      <w:divBdr>
        <w:top w:val="none" w:sz="0" w:space="0" w:color="auto"/>
        <w:left w:val="none" w:sz="0" w:space="0" w:color="auto"/>
        <w:bottom w:val="none" w:sz="0" w:space="0" w:color="auto"/>
        <w:right w:val="none" w:sz="0" w:space="0" w:color="auto"/>
      </w:divBdr>
    </w:div>
    <w:div w:id="116607176">
      <w:bodyDiv w:val="1"/>
      <w:marLeft w:val="0"/>
      <w:marRight w:val="0"/>
      <w:marTop w:val="0"/>
      <w:marBottom w:val="0"/>
      <w:divBdr>
        <w:top w:val="none" w:sz="0" w:space="0" w:color="auto"/>
        <w:left w:val="none" w:sz="0" w:space="0" w:color="auto"/>
        <w:bottom w:val="none" w:sz="0" w:space="0" w:color="auto"/>
        <w:right w:val="none" w:sz="0" w:space="0" w:color="auto"/>
      </w:divBdr>
    </w:div>
    <w:div w:id="330987953">
      <w:bodyDiv w:val="1"/>
      <w:marLeft w:val="0"/>
      <w:marRight w:val="0"/>
      <w:marTop w:val="0"/>
      <w:marBottom w:val="0"/>
      <w:divBdr>
        <w:top w:val="none" w:sz="0" w:space="0" w:color="auto"/>
        <w:left w:val="none" w:sz="0" w:space="0" w:color="auto"/>
        <w:bottom w:val="none" w:sz="0" w:space="0" w:color="auto"/>
        <w:right w:val="none" w:sz="0" w:space="0" w:color="auto"/>
      </w:divBdr>
    </w:div>
    <w:div w:id="364986820">
      <w:bodyDiv w:val="1"/>
      <w:marLeft w:val="0"/>
      <w:marRight w:val="0"/>
      <w:marTop w:val="0"/>
      <w:marBottom w:val="0"/>
      <w:divBdr>
        <w:top w:val="none" w:sz="0" w:space="0" w:color="auto"/>
        <w:left w:val="none" w:sz="0" w:space="0" w:color="auto"/>
        <w:bottom w:val="none" w:sz="0" w:space="0" w:color="auto"/>
        <w:right w:val="none" w:sz="0" w:space="0" w:color="auto"/>
      </w:divBdr>
    </w:div>
    <w:div w:id="372846958">
      <w:bodyDiv w:val="1"/>
      <w:marLeft w:val="0"/>
      <w:marRight w:val="0"/>
      <w:marTop w:val="0"/>
      <w:marBottom w:val="0"/>
      <w:divBdr>
        <w:top w:val="none" w:sz="0" w:space="0" w:color="auto"/>
        <w:left w:val="none" w:sz="0" w:space="0" w:color="auto"/>
        <w:bottom w:val="none" w:sz="0" w:space="0" w:color="auto"/>
        <w:right w:val="none" w:sz="0" w:space="0" w:color="auto"/>
      </w:divBdr>
    </w:div>
    <w:div w:id="393630177">
      <w:bodyDiv w:val="1"/>
      <w:marLeft w:val="0"/>
      <w:marRight w:val="0"/>
      <w:marTop w:val="0"/>
      <w:marBottom w:val="0"/>
      <w:divBdr>
        <w:top w:val="none" w:sz="0" w:space="0" w:color="auto"/>
        <w:left w:val="none" w:sz="0" w:space="0" w:color="auto"/>
        <w:bottom w:val="none" w:sz="0" w:space="0" w:color="auto"/>
        <w:right w:val="none" w:sz="0" w:space="0" w:color="auto"/>
      </w:divBdr>
    </w:div>
    <w:div w:id="424766771">
      <w:bodyDiv w:val="1"/>
      <w:marLeft w:val="0"/>
      <w:marRight w:val="0"/>
      <w:marTop w:val="0"/>
      <w:marBottom w:val="0"/>
      <w:divBdr>
        <w:top w:val="none" w:sz="0" w:space="0" w:color="auto"/>
        <w:left w:val="none" w:sz="0" w:space="0" w:color="auto"/>
        <w:bottom w:val="none" w:sz="0" w:space="0" w:color="auto"/>
        <w:right w:val="none" w:sz="0" w:space="0" w:color="auto"/>
      </w:divBdr>
    </w:div>
    <w:div w:id="466703643">
      <w:bodyDiv w:val="1"/>
      <w:marLeft w:val="0"/>
      <w:marRight w:val="0"/>
      <w:marTop w:val="0"/>
      <w:marBottom w:val="0"/>
      <w:divBdr>
        <w:top w:val="none" w:sz="0" w:space="0" w:color="auto"/>
        <w:left w:val="none" w:sz="0" w:space="0" w:color="auto"/>
        <w:bottom w:val="none" w:sz="0" w:space="0" w:color="auto"/>
        <w:right w:val="none" w:sz="0" w:space="0" w:color="auto"/>
      </w:divBdr>
    </w:div>
    <w:div w:id="733436128">
      <w:bodyDiv w:val="1"/>
      <w:marLeft w:val="0"/>
      <w:marRight w:val="0"/>
      <w:marTop w:val="0"/>
      <w:marBottom w:val="0"/>
      <w:divBdr>
        <w:top w:val="none" w:sz="0" w:space="0" w:color="auto"/>
        <w:left w:val="none" w:sz="0" w:space="0" w:color="auto"/>
        <w:bottom w:val="none" w:sz="0" w:space="0" w:color="auto"/>
        <w:right w:val="none" w:sz="0" w:space="0" w:color="auto"/>
      </w:divBdr>
    </w:div>
    <w:div w:id="894773671">
      <w:bodyDiv w:val="1"/>
      <w:marLeft w:val="0"/>
      <w:marRight w:val="0"/>
      <w:marTop w:val="0"/>
      <w:marBottom w:val="0"/>
      <w:divBdr>
        <w:top w:val="none" w:sz="0" w:space="0" w:color="auto"/>
        <w:left w:val="none" w:sz="0" w:space="0" w:color="auto"/>
        <w:bottom w:val="none" w:sz="0" w:space="0" w:color="auto"/>
        <w:right w:val="none" w:sz="0" w:space="0" w:color="auto"/>
      </w:divBdr>
    </w:div>
    <w:div w:id="1045787037">
      <w:bodyDiv w:val="1"/>
      <w:marLeft w:val="0"/>
      <w:marRight w:val="0"/>
      <w:marTop w:val="0"/>
      <w:marBottom w:val="0"/>
      <w:divBdr>
        <w:top w:val="none" w:sz="0" w:space="0" w:color="auto"/>
        <w:left w:val="none" w:sz="0" w:space="0" w:color="auto"/>
        <w:bottom w:val="none" w:sz="0" w:space="0" w:color="auto"/>
        <w:right w:val="none" w:sz="0" w:space="0" w:color="auto"/>
      </w:divBdr>
    </w:div>
    <w:div w:id="1301225116">
      <w:bodyDiv w:val="1"/>
      <w:marLeft w:val="0"/>
      <w:marRight w:val="0"/>
      <w:marTop w:val="0"/>
      <w:marBottom w:val="0"/>
      <w:divBdr>
        <w:top w:val="none" w:sz="0" w:space="0" w:color="auto"/>
        <w:left w:val="none" w:sz="0" w:space="0" w:color="auto"/>
        <w:bottom w:val="none" w:sz="0" w:space="0" w:color="auto"/>
        <w:right w:val="none" w:sz="0" w:space="0" w:color="auto"/>
      </w:divBdr>
    </w:div>
    <w:div w:id="1429078876">
      <w:bodyDiv w:val="1"/>
      <w:marLeft w:val="0"/>
      <w:marRight w:val="0"/>
      <w:marTop w:val="0"/>
      <w:marBottom w:val="0"/>
      <w:divBdr>
        <w:top w:val="none" w:sz="0" w:space="0" w:color="auto"/>
        <w:left w:val="none" w:sz="0" w:space="0" w:color="auto"/>
        <w:bottom w:val="none" w:sz="0" w:space="0" w:color="auto"/>
        <w:right w:val="none" w:sz="0" w:space="0" w:color="auto"/>
      </w:divBdr>
    </w:div>
    <w:div w:id="1458061140">
      <w:bodyDiv w:val="1"/>
      <w:marLeft w:val="0"/>
      <w:marRight w:val="0"/>
      <w:marTop w:val="0"/>
      <w:marBottom w:val="0"/>
      <w:divBdr>
        <w:top w:val="none" w:sz="0" w:space="0" w:color="auto"/>
        <w:left w:val="none" w:sz="0" w:space="0" w:color="auto"/>
        <w:bottom w:val="none" w:sz="0" w:space="0" w:color="auto"/>
        <w:right w:val="none" w:sz="0" w:space="0" w:color="auto"/>
      </w:divBdr>
    </w:div>
    <w:div w:id="1524593325">
      <w:bodyDiv w:val="1"/>
      <w:marLeft w:val="0"/>
      <w:marRight w:val="0"/>
      <w:marTop w:val="0"/>
      <w:marBottom w:val="0"/>
      <w:divBdr>
        <w:top w:val="none" w:sz="0" w:space="0" w:color="auto"/>
        <w:left w:val="none" w:sz="0" w:space="0" w:color="auto"/>
        <w:bottom w:val="none" w:sz="0" w:space="0" w:color="auto"/>
        <w:right w:val="none" w:sz="0" w:space="0" w:color="auto"/>
      </w:divBdr>
    </w:div>
    <w:div w:id="1526946592">
      <w:bodyDiv w:val="1"/>
      <w:marLeft w:val="0"/>
      <w:marRight w:val="0"/>
      <w:marTop w:val="0"/>
      <w:marBottom w:val="0"/>
      <w:divBdr>
        <w:top w:val="none" w:sz="0" w:space="0" w:color="auto"/>
        <w:left w:val="none" w:sz="0" w:space="0" w:color="auto"/>
        <w:bottom w:val="none" w:sz="0" w:space="0" w:color="auto"/>
        <w:right w:val="none" w:sz="0" w:space="0" w:color="auto"/>
      </w:divBdr>
    </w:div>
    <w:div w:id="1589997563">
      <w:bodyDiv w:val="1"/>
      <w:marLeft w:val="0"/>
      <w:marRight w:val="0"/>
      <w:marTop w:val="0"/>
      <w:marBottom w:val="0"/>
      <w:divBdr>
        <w:top w:val="none" w:sz="0" w:space="0" w:color="auto"/>
        <w:left w:val="none" w:sz="0" w:space="0" w:color="auto"/>
        <w:bottom w:val="none" w:sz="0" w:space="0" w:color="auto"/>
        <w:right w:val="none" w:sz="0" w:space="0" w:color="auto"/>
      </w:divBdr>
    </w:div>
    <w:div w:id="1605991468">
      <w:bodyDiv w:val="1"/>
      <w:marLeft w:val="0"/>
      <w:marRight w:val="0"/>
      <w:marTop w:val="0"/>
      <w:marBottom w:val="0"/>
      <w:divBdr>
        <w:top w:val="none" w:sz="0" w:space="0" w:color="auto"/>
        <w:left w:val="none" w:sz="0" w:space="0" w:color="auto"/>
        <w:bottom w:val="none" w:sz="0" w:space="0" w:color="auto"/>
        <w:right w:val="none" w:sz="0" w:space="0" w:color="auto"/>
      </w:divBdr>
    </w:div>
    <w:div w:id="1634090744">
      <w:bodyDiv w:val="1"/>
      <w:marLeft w:val="0"/>
      <w:marRight w:val="0"/>
      <w:marTop w:val="0"/>
      <w:marBottom w:val="0"/>
      <w:divBdr>
        <w:top w:val="none" w:sz="0" w:space="0" w:color="auto"/>
        <w:left w:val="none" w:sz="0" w:space="0" w:color="auto"/>
        <w:bottom w:val="none" w:sz="0" w:space="0" w:color="auto"/>
        <w:right w:val="none" w:sz="0" w:space="0" w:color="auto"/>
      </w:divBdr>
    </w:div>
    <w:div w:id="1832603550">
      <w:bodyDiv w:val="1"/>
      <w:marLeft w:val="0"/>
      <w:marRight w:val="0"/>
      <w:marTop w:val="0"/>
      <w:marBottom w:val="0"/>
      <w:divBdr>
        <w:top w:val="none" w:sz="0" w:space="0" w:color="auto"/>
        <w:left w:val="none" w:sz="0" w:space="0" w:color="auto"/>
        <w:bottom w:val="none" w:sz="0" w:space="0" w:color="auto"/>
        <w:right w:val="none" w:sz="0" w:space="0" w:color="auto"/>
      </w:divBdr>
    </w:div>
    <w:div w:id="1986933761">
      <w:bodyDiv w:val="1"/>
      <w:marLeft w:val="0"/>
      <w:marRight w:val="0"/>
      <w:marTop w:val="0"/>
      <w:marBottom w:val="0"/>
      <w:divBdr>
        <w:top w:val="none" w:sz="0" w:space="0" w:color="auto"/>
        <w:left w:val="none" w:sz="0" w:space="0" w:color="auto"/>
        <w:bottom w:val="none" w:sz="0" w:space="0" w:color="auto"/>
        <w:right w:val="none" w:sz="0" w:space="0" w:color="auto"/>
      </w:divBdr>
    </w:div>
    <w:div w:id="1995641032">
      <w:bodyDiv w:val="1"/>
      <w:marLeft w:val="0"/>
      <w:marRight w:val="0"/>
      <w:marTop w:val="0"/>
      <w:marBottom w:val="0"/>
      <w:divBdr>
        <w:top w:val="none" w:sz="0" w:space="0" w:color="auto"/>
        <w:left w:val="none" w:sz="0" w:space="0" w:color="auto"/>
        <w:bottom w:val="none" w:sz="0" w:space="0" w:color="auto"/>
        <w:right w:val="none" w:sz="0" w:space="0" w:color="auto"/>
      </w:divBdr>
    </w:div>
    <w:div w:id="214604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B3FC-6ECB-CE43-B964-ADB1F106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815</Words>
  <Characters>4650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 Stocovaz</cp:lastModifiedBy>
  <cp:revision>5</cp:revision>
  <cp:lastPrinted>2019-06-26T05:49:00Z</cp:lastPrinted>
  <dcterms:created xsi:type="dcterms:W3CDTF">2019-08-06T08:48:00Z</dcterms:created>
  <dcterms:modified xsi:type="dcterms:W3CDTF">2019-08-06T09:14:00Z</dcterms:modified>
</cp:coreProperties>
</file>