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13" w:type="dxa"/>
          <w:bottom w:w="113" w:type="dxa"/>
        </w:tblCellMar>
        <w:tblLook w:val="04A0" w:firstRow="1" w:lastRow="0" w:firstColumn="1" w:lastColumn="0" w:noHBand="0" w:noVBand="1"/>
      </w:tblPr>
      <w:tblGrid>
        <w:gridCol w:w="2522"/>
        <w:gridCol w:w="3089"/>
        <w:gridCol w:w="3409"/>
      </w:tblGrid>
      <w:tr w:rsidR="009021E2" w:rsidRPr="009A4583" w14:paraId="24BB7C1D" w14:textId="77777777" w:rsidTr="00EA317B">
        <w:trPr>
          <w:trHeight w:val="2073"/>
        </w:trPr>
        <w:tc>
          <w:tcPr>
            <w:tcW w:w="2552" w:type="dxa"/>
            <w:tcBorders>
              <w:top w:val="nil"/>
              <w:left w:val="nil"/>
              <w:bottom w:val="nil"/>
              <w:right w:val="nil"/>
            </w:tcBorders>
            <w:vAlign w:val="center"/>
          </w:tcPr>
          <w:p w14:paraId="79012383" w14:textId="77777777" w:rsidR="009021E2" w:rsidRPr="009A4583" w:rsidRDefault="009021E2" w:rsidP="00EA317B">
            <w:pPr>
              <w:rPr>
                <w:rFonts w:cs="Open Sans"/>
              </w:rPr>
            </w:pPr>
            <w:r>
              <w:rPr>
                <w:noProof/>
              </w:rPr>
              <w:drawing>
                <wp:inline distT="0" distB="0" distL="0" distR="0" wp14:anchorId="5EF181F6" wp14:editId="72139494">
                  <wp:extent cx="1352550" cy="1295400"/>
                  <wp:effectExtent l="0" t="0" r="0" b="0"/>
                  <wp:docPr id="204290494" name="Picture 78152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528560"/>
                          <pic:cNvPicPr/>
                        </pic:nvPicPr>
                        <pic:blipFill>
                          <a:blip r:embed="rId5">
                            <a:extLst>
                              <a:ext uri="{28A0092B-C50C-407E-A947-70E740481C1C}">
                                <a14:useLocalDpi xmlns:a14="http://schemas.microsoft.com/office/drawing/2010/main" val="0"/>
                              </a:ext>
                            </a:extLst>
                          </a:blip>
                          <a:stretch>
                            <a:fillRect/>
                          </a:stretch>
                        </pic:blipFill>
                        <pic:spPr>
                          <a:xfrm>
                            <a:off x="0" y="0"/>
                            <a:ext cx="1352550" cy="1295400"/>
                          </a:xfrm>
                          <a:prstGeom prst="rect">
                            <a:avLst/>
                          </a:prstGeom>
                        </pic:spPr>
                      </pic:pic>
                    </a:graphicData>
                  </a:graphic>
                </wp:inline>
              </w:drawing>
            </w:r>
          </w:p>
        </w:tc>
        <w:tc>
          <w:tcPr>
            <w:tcW w:w="3260" w:type="dxa"/>
            <w:tcBorders>
              <w:top w:val="nil"/>
              <w:left w:val="nil"/>
              <w:bottom w:val="nil"/>
              <w:right w:val="nil"/>
            </w:tcBorders>
            <w:vAlign w:val="center"/>
          </w:tcPr>
          <w:p w14:paraId="3BBC52CC" w14:textId="77777777" w:rsidR="009021E2" w:rsidRPr="009A4583" w:rsidRDefault="009021E2" w:rsidP="00EA317B">
            <w:pPr>
              <w:pStyle w:val="Heading1"/>
              <w:spacing w:line="259" w:lineRule="auto"/>
              <w:outlineLvl w:val="0"/>
              <w:rPr>
                <w:rStyle w:val="CondensedBold"/>
                <w:rFonts w:cs="Open Sans"/>
                <w:b/>
                <w:color w:val="000000" w:themeColor="text1"/>
              </w:rPr>
            </w:pPr>
            <w:bookmarkStart w:id="0" w:name="_Toc39840668"/>
            <w:bookmarkStart w:id="1" w:name="_Toc40696570"/>
            <w:r w:rsidRPr="009A4583">
              <w:rPr>
                <w:rStyle w:val="CondensedBold"/>
                <w:rFonts w:cs="Open Sans"/>
                <w:color w:val="000000" w:themeColor="text1"/>
              </w:rPr>
              <w:t xml:space="preserve">Dr Ben </w:t>
            </w:r>
            <w:proofErr w:type="spellStart"/>
            <w:r w:rsidRPr="009A4583">
              <w:rPr>
                <w:rStyle w:val="CondensedBold"/>
                <w:rFonts w:cs="Open Sans"/>
                <w:color w:val="000000" w:themeColor="text1"/>
              </w:rPr>
              <w:t>Gauntlett</w:t>
            </w:r>
            <w:bookmarkEnd w:id="0"/>
            <w:bookmarkEnd w:id="1"/>
            <w:proofErr w:type="spellEnd"/>
          </w:p>
          <w:p w14:paraId="42C13FD7" w14:textId="77777777" w:rsidR="009021E2" w:rsidRPr="009A4583" w:rsidRDefault="009021E2" w:rsidP="00EA317B">
            <w:pPr>
              <w:pStyle w:val="Heading1"/>
              <w:spacing w:after="360"/>
              <w:outlineLvl w:val="0"/>
              <w:rPr>
                <w:rFonts w:ascii="Open Sans" w:hAnsi="Open Sans" w:cs="Open Sans"/>
                <w:b w:val="0"/>
                <w:color w:val="000000" w:themeColor="text1"/>
              </w:rPr>
            </w:pPr>
            <w:bookmarkStart w:id="2" w:name="_Toc39840669"/>
            <w:bookmarkStart w:id="3" w:name="_Toc40696571"/>
            <w:r w:rsidRPr="009A4583">
              <w:rPr>
                <w:rFonts w:ascii="Open Sans" w:hAnsi="Open Sans" w:cs="Open Sans"/>
                <w:b w:val="0"/>
                <w:color w:val="000000" w:themeColor="text1"/>
              </w:rPr>
              <w:t>Disability Discrimination Commissioner</w:t>
            </w:r>
            <w:bookmarkEnd w:id="2"/>
            <w:bookmarkEnd w:id="3"/>
          </w:p>
          <w:p w14:paraId="0ABAEBE2" w14:textId="77777777" w:rsidR="009021E2" w:rsidRPr="009A4583" w:rsidRDefault="009021E2" w:rsidP="00EA317B">
            <w:pPr>
              <w:pStyle w:val="Heading3"/>
              <w:outlineLvl w:val="2"/>
              <w:rPr>
                <w:rFonts w:cs="Open Sans"/>
                <w:color w:val="000000" w:themeColor="text1"/>
              </w:rPr>
            </w:pPr>
            <w:bookmarkStart w:id="4" w:name="_Toc39840670"/>
            <w:r w:rsidRPr="009A4583">
              <w:rPr>
                <w:rFonts w:cs="Open Sans"/>
                <w:color w:val="000000" w:themeColor="text1"/>
              </w:rPr>
              <w:t>SECOND YEAR OF TERM</w:t>
            </w:r>
            <w:bookmarkEnd w:id="4"/>
          </w:p>
        </w:tc>
        <w:tc>
          <w:tcPr>
            <w:tcW w:w="3810" w:type="dxa"/>
            <w:tcBorders>
              <w:top w:val="nil"/>
              <w:left w:val="nil"/>
              <w:bottom w:val="nil"/>
              <w:right w:val="nil"/>
            </w:tcBorders>
            <w:vAlign w:val="center"/>
          </w:tcPr>
          <w:p w14:paraId="3FF7E93C" w14:textId="77777777" w:rsidR="009021E2" w:rsidRPr="009A4583" w:rsidRDefault="009021E2" w:rsidP="00EA317B">
            <w:pPr>
              <w:spacing w:line="276" w:lineRule="auto"/>
              <w:rPr>
                <w:rFonts w:cs="Open Sans"/>
                <w:i/>
                <w:color w:val="000000" w:themeColor="text1"/>
                <w:sz w:val="18"/>
                <w:szCs w:val="18"/>
              </w:rPr>
            </w:pPr>
            <w:r w:rsidRPr="009A4583">
              <w:rPr>
                <w:rFonts w:cs="Open Sans"/>
                <w:i/>
                <w:color w:val="000000" w:themeColor="text1"/>
                <w:sz w:val="18"/>
                <w:szCs w:val="18"/>
              </w:rPr>
              <w:t>‘Good disability policy benefits all Australians: not just the 4.5 million people with a disability in Australia. Ensuring that the voices of people with disability are central to policy decisions is the key to achieving positive outcomes and changing the trajectory of people’s lives for the better.’</w:t>
            </w:r>
          </w:p>
        </w:tc>
      </w:tr>
    </w:tbl>
    <w:p w14:paraId="47952BCB" w14:textId="77777777" w:rsidR="009021E2" w:rsidRPr="00DA25F4" w:rsidRDefault="009021E2" w:rsidP="009021E2">
      <w:pPr>
        <w:pStyle w:val="Heading2"/>
        <w:spacing w:before="240"/>
        <w:rPr>
          <w:rFonts w:cs="Open Sans"/>
          <w:color w:val="643996"/>
        </w:rPr>
      </w:pPr>
      <w:bookmarkStart w:id="5" w:name="_Toc39840671"/>
      <w:r w:rsidRPr="00DA25F4">
        <w:rPr>
          <w:rFonts w:cs="Open Sans"/>
          <w:color w:val="643996"/>
        </w:rPr>
        <w:t>TERM GOALS</w:t>
      </w:r>
      <w:bookmarkEnd w:id="5"/>
    </w:p>
    <w:tbl>
      <w:tblPr>
        <w:tblStyle w:val="TableGrid"/>
        <w:tblW w:w="949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9E21"/>
        <w:tblLook w:val="04A0" w:firstRow="1" w:lastRow="0" w:firstColumn="1" w:lastColumn="0" w:noHBand="0" w:noVBand="1"/>
      </w:tblPr>
      <w:tblGrid>
        <w:gridCol w:w="2640"/>
        <w:gridCol w:w="2355"/>
        <w:gridCol w:w="2265"/>
        <w:gridCol w:w="2233"/>
      </w:tblGrid>
      <w:tr w:rsidR="009021E2" w:rsidRPr="009A4583" w14:paraId="3FE3308B" w14:textId="77777777" w:rsidTr="00EA317B">
        <w:trPr>
          <w:trHeight w:val="1547"/>
        </w:trPr>
        <w:tc>
          <w:tcPr>
            <w:tcW w:w="2640" w:type="dxa"/>
            <w:tcBorders>
              <w:left w:val="single" w:sz="8" w:space="0" w:color="FFFFFF" w:themeColor="background1"/>
              <w:right w:val="single" w:sz="8" w:space="0" w:color="FFFFFF" w:themeColor="background1"/>
            </w:tcBorders>
            <w:shd w:val="clear" w:color="auto" w:fill="F59E21"/>
          </w:tcPr>
          <w:p w14:paraId="40BDDA9F" w14:textId="77777777" w:rsidR="009021E2" w:rsidRPr="009A4583" w:rsidRDefault="009021E2" w:rsidP="00EA317B">
            <w:pPr>
              <w:spacing w:line="259" w:lineRule="auto"/>
              <w:rPr>
                <w:rFonts w:cs="Open Sans"/>
                <w:b/>
                <w:bCs/>
                <w:color w:val="FFFFFF" w:themeColor="background1"/>
              </w:rPr>
            </w:pPr>
          </w:p>
          <w:p w14:paraId="4E78D15D" w14:textId="77777777" w:rsidR="009021E2" w:rsidRPr="009A4583" w:rsidRDefault="009021E2" w:rsidP="00EA317B">
            <w:pPr>
              <w:spacing w:line="259" w:lineRule="auto"/>
              <w:rPr>
                <w:rFonts w:cs="Open Sans"/>
                <w:color w:val="FFFFFF" w:themeColor="background1"/>
                <w:lang w:val="en-US"/>
              </w:rPr>
            </w:pPr>
            <w:r w:rsidRPr="009A4583">
              <w:rPr>
                <w:rFonts w:cs="Open Sans"/>
                <w:b/>
                <w:bCs/>
                <w:color w:val="FFFFFF" w:themeColor="background1"/>
              </w:rPr>
              <w:t xml:space="preserve">Increased </w:t>
            </w:r>
            <w:r w:rsidRPr="009A4583">
              <w:rPr>
                <w:rFonts w:cs="Open Sans"/>
                <w:color w:val="FFFFFF" w:themeColor="background1"/>
              </w:rPr>
              <w:t>access to meaningful employment opportunities for people with disability</w:t>
            </w:r>
          </w:p>
          <w:p w14:paraId="0C04C131" w14:textId="77777777" w:rsidR="009021E2" w:rsidRPr="009A4583" w:rsidRDefault="009021E2" w:rsidP="00EA317B">
            <w:pPr>
              <w:spacing w:line="259" w:lineRule="auto"/>
              <w:rPr>
                <w:rFonts w:cs="Open Sans"/>
                <w:color w:val="FFFFFF" w:themeColor="background1"/>
              </w:rPr>
            </w:pPr>
          </w:p>
        </w:tc>
        <w:tc>
          <w:tcPr>
            <w:tcW w:w="2355" w:type="dxa"/>
            <w:tcBorders>
              <w:left w:val="single" w:sz="8" w:space="0" w:color="FFFFFF" w:themeColor="background1"/>
              <w:right w:val="single" w:sz="8" w:space="0" w:color="FFFFFF" w:themeColor="background1"/>
            </w:tcBorders>
            <w:shd w:val="clear" w:color="auto" w:fill="F59E21"/>
          </w:tcPr>
          <w:p w14:paraId="2D743790" w14:textId="77777777" w:rsidR="009021E2" w:rsidRPr="009A4583" w:rsidRDefault="009021E2" w:rsidP="00EA317B">
            <w:pPr>
              <w:spacing w:line="259" w:lineRule="auto"/>
              <w:rPr>
                <w:rFonts w:cs="Open Sans"/>
                <w:b/>
                <w:bCs/>
                <w:color w:val="FFFFFF" w:themeColor="background1"/>
              </w:rPr>
            </w:pPr>
          </w:p>
          <w:p w14:paraId="5E846315" w14:textId="77777777" w:rsidR="009021E2" w:rsidRPr="009A4583" w:rsidRDefault="009021E2" w:rsidP="00EA317B">
            <w:pPr>
              <w:spacing w:line="259" w:lineRule="auto"/>
              <w:rPr>
                <w:rFonts w:cs="Open Sans"/>
                <w:color w:val="FFFFFF" w:themeColor="background1"/>
              </w:rPr>
            </w:pPr>
            <w:r w:rsidRPr="009A4583">
              <w:rPr>
                <w:rFonts w:cs="Open Sans"/>
                <w:b/>
                <w:bCs/>
                <w:color w:val="FFFFFF" w:themeColor="background1"/>
              </w:rPr>
              <w:t>Increased</w:t>
            </w:r>
            <w:r w:rsidRPr="009A4583">
              <w:rPr>
                <w:rFonts w:cs="Open Sans"/>
                <w:color w:val="FFFFFF" w:themeColor="background1"/>
              </w:rPr>
              <w:t xml:space="preserve"> access to accessible housing for people with disability</w:t>
            </w:r>
          </w:p>
        </w:tc>
        <w:tc>
          <w:tcPr>
            <w:tcW w:w="2265" w:type="dxa"/>
            <w:tcBorders>
              <w:left w:val="single" w:sz="8" w:space="0" w:color="FFFFFF" w:themeColor="background1"/>
              <w:right w:val="single" w:sz="8" w:space="0" w:color="FFFFFF" w:themeColor="background1"/>
            </w:tcBorders>
            <w:shd w:val="clear" w:color="auto" w:fill="F59E21"/>
          </w:tcPr>
          <w:p w14:paraId="17D9F951" w14:textId="77777777" w:rsidR="009021E2" w:rsidRPr="009A4583" w:rsidRDefault="009021E2" w:rsidP="00EA317B">
            <w:pPr>
              <w:spacing w:line="259" w:lineRule="auto"/>
              <w:rPr>
                <w:rFonts w:cs="Open Sans"/>
                <w:b/>
                <w:bCs/>
                <w:color w:val="FFFFFF" w:themeColor="background1"/>
              </w:rPr>
            </w:pPr>
          </w:p>
          <w:p w14:paraId="203E665A" w14:textId="77777777" w:rsidR="009021E2" w:rsidRPr="009A4583" w:rsidRDefault="009021E2" w:rsidP="00EA317B">
            <w:pPr>
              <w:spacing w:line="259" w:lineRule="auto"/>
              <w:rPr>
                <w:rFonts w:cs="Open Sans"/>
                <w:color w:val="FFFFFF" w:themeColor="background1"/>
                <w:lang w:val="en-US"/>
              </w:rPr>
            </w:pPr>
            <w:r w:rsidRPr="009A4583">
              <w:rPr>
                <w:rFonts w:cs="Open Sans"/>
                <w:b/>
                <w:bCs/>
                <w:color w:val="FFFFFF" w:themeColor="background1"/>
              </w:rPr>
              <w:t>Greater</w:t>
            </w:r>
            <w:r w:rsidRPr="009A4583">
              <w:rPr>
                <w:rFonts w:cs="Open Sans"/>
                <w:color w:val="FFFFFF" w:themeColor="background1"/>
              </w:rPr>
              <w:t xml:space="preserve"> community awareness of disability rights and disability discrimination</w:t>
            </w:r>
          </w:p>
        </w:tc>
        <w:tc>
          <w:tcPr>
            <w:tcW w:w="2233" w:type="dxa"/>
            <w:tcBorders>
              <w:left w:val="single" w:sz="8" w:space="0" w:color="FFFFFF" w:themeColor="background1"/>
            </w:tcBorders>
            <w:shd w:val="clear" w:color="auto" w:fill="F59E21"/>
          </w:tcPr>
          <w:p w14:paraId="14E960F1" w14:textId="77777777" w:rsidR="009021E2" w:rsidRPr="009A4583" w:rsidRDefault="009021E2" w:rsidP="00EA317B">
            <w:pPr>
              <w:spacing w:line="259" w:lineRule="auto"/>
              <w:rPr>
                <w:rFonts w:cs="Open Sans"/>
                <w:b/>
                <w:bCs/>
                <w:color w:val="FFFFFF" w:themeColor="background1"/>
              </w:rPr>
            </w:pPr>
          </w:p>
          <w:p w14:paraId="5838B3A6" w14:textId="77777777" w:rsidR="009021E2" w:rsidRPr="009A4583" w:rsidRDefault="009021E2" w:rsidP="00EA317B">
            <w:pPr>
              <w:spacing w:line="259" w:lineRule="auto"/>
              <w:rPr>
                <w:rFonts w:cs="Open Sans"/>
                <w:color w:val="FFFFFF" w:themeColor="background1"/>
              </w:rPr>
            </w:pPr>
            <w:r w:rsidRPr="009A4583">
              <w:rPr>
                <w:rFonts w:cs="Open Sans"/>
                <w:b/>
                <w:bCs/>
                <w:color w:val="FFFFFF" w:themeColor="background1"/>
              </w:rPr>
              <w:t>Strengthened</w:t>
            </w:r>
            <w:r w:rsidRPr="009A4583">
              <w:rPr>
                <w:rFonts w:cs="Open Sans"/>
                <w:color w:val="FFFFFF" w:themeColor="background1"/>
              </w:rPr>
              <w:t xml:space="preserve"> legal and policy frameworks to protect disability rights</w:t>
            </w:r>
          </w:p>
          <w:p w14:paraId="1250C6B1" w14:textId="77777777" w:rsidR="009021E2" w:rsidRPr="009A4583" w:rsidRDefault="009021E2" w:rsidP="00EA317B">
            <w:pPr>
              <w:spacing w:line="259" w:lineRule="auto"/>
              <w:rPr>
                <w:rFonts w:cs="Open Sans"/>
                <w:color w:val="FFFFFF" w:themeColor="background1"/>
              </w:rPr>
            </w:pPr>
          </w:p>
        </w:tc>
      </w:tr>
    </w:tbl>
    <w:p w14:paraId="09CA1FD6" w14:textId="77777777" w:rsidR="009021E2" w:rsidRPr="009A4583" w:rsidRDefault="009021E2" w:rsidP="009021E2">
      <w:pPr>
        <w:rPr>
          <w:rFonts w:cs="Open San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5396"/>
      </w:tblGrid>
      <w:tr w:rsidR="009021E2" w:rsidRPr="009A4583" w14:paraId="322947A4" w14:textId="77777777" w:rsidTr="00EA317B">
        <w:tc>
          <w:tcPr>
            <w:tcW w:w="5220" w:type="dxa"/>
          </w:tcPr>
          <w:p w14:paraId="2A341854" w14:textId="77777777" w:rsidR="009021E2" w:rsidRPr="00DA25F4" w:rsidRDefault="009021E2" w:rsidP="00EA317B">
            <w:pPr>
              <w:pStyle w:val="Heading2"/>
              <w:spacing w:after="200"/>
              <w:outlineLvl w:val="1"/>
              <w:rPr>
                <w:rFonts w:cs="Open Sans"/>
                <w:color w:val="643996"/>
              </w:rPr>
            </w:pPr>
            <w:bookmarkStart w:id="6" w:name="_Toc39840672"/>
            <w:r w:rsidRPr="00DA25F4">
              <w:rPr>
                <w:rFonts w:cs="Open Sans"/>
                <w:color w:val="643996"/>
              </w:rPr>
              <w:t>STRATEGIES</w:t>
            </w:r>
            <w:bookmarkEnd w:id="6"/>
          </w:p>
          <w:p w14:paraId="2B962236" w14:textId="77777777" w:rsidR="009021E2" w:rsidRPr="00DA25F4" w:rsidRDefault="009021E2" w:rsidP="009021E2">
            <w:pPr>
              <w:pStyle w:val="ListParagraph"/>
              <w:numPr>
                <w:ilvl w:val="0"/>
                <w:numId w:val="3"/>
              </w:numPr>
              <w:ind w:left="357" w:hanging="357"/>
              <w:contextualSpacing w:val="0"/>
              <w:rPr>
                <w:rFonts w:cs="Open Sans"/>
                <w:color w:val="000000" w:themeColor="text1"/>
              </w:rPr>
            </w:pPr>
            <w:r w:rsidRPr="009A4583">
              <w:rPr>
                <w:rFonts w:cs="Open Sans"/>
                <w:color w:val="000000" w:themeColor="text1"/>
              </w:rPr>
              <w:t>Ensuring meaningful consultation, engagement and collaboration with people with disability, including children and young people with disability, and their representative organisations to amplify their voices and promote self-advocacy.</w:t>
            </w:r>
          </w:p>
          <w:p w14:paraId="39AB4756" w14:textId="77777777" w:rsidR="009021E2" w:rsidRPr="00DA25F4" w:rsidRDefault="009021E2" w:rsidP="009021E2">
            <w:pPr>
              <w:pStyle w:val="ListParagraph"/>
              <w:numPr>
                <w:ilvl w:val="0"/>
                <w:numId w:val="3"/>
              </w:numPr>
              <w:ind w:left="357" w:hanging="357"/>
              <w:contextualSpacing w:val="0"/>
              <w:rPr>
                <w:rFonts w:cs="Open Sans"/>
                <w:color w:val="000000" w:themeColor="text1"/>
              </w:rPr>
            </w:pPr>
            <w:r w:rsidRPr="009A4583">
              <w:rPr>
                <w:rFonts w:cs="Open Sans"/>
                <w:color w:val="000000" w:themeColor="text1"/>
              </w:rPr>
              <w:t>Promoting understanding and application of the social model of disability in education, policy development, law reform and structural change.</w:t>
            </w:r>
          </w:p>
          <w:p w14:paraId="7ADC8049" w14:textId="77777777" w:rsidR="009021E2" w:rsidRPr="00DA25F4" w:rsidRDefault="009021E2" w:rsidP="009021E2">
            <w:pPr>
              <w:pStyle w:val="ListParagraph"/>
              <w:numPr>
                <w:ilvl w:val="0"/>
                <w:numId w:val="3"/>
              </w:numPr>
              <w:ind w:left="357" w:hanging="357"/>
              <w:contextualSpacing w:val="0"/>
              <w:rPr>
                <w:rFonts w:cs="Open Sans"/>
                <w:color w:val="000000" w:themeColor="text1"/>
              </w:rPr>
            </w:pPr>
            <w:r w:rsidRPr="009A4583">
              <w:rPr>
                <w:rFonts w:cs="Open Sans"/>
                <w:color w:val="000000" w:themeColor="text1"/>
              </w:rPr>
              <w:t>Fostering stakeholder networks and partnerships to promote the participation of people with disability in the workforce and the broader community.</w:t>
            </w:r>
          </w:p>
          <w:p w14:paraId="78326CBF" w14:textId="77777777" w:rsidR="009021E2" w:rsidRPr="00DA25F4" w:rsidRDefault="009021E2" w:rsidP="009021E2">
            <w:pPr>
              <w:pStyle w:val="ListParagraph"/>
              <w:numPr>
                <w:ilvl w:val="0"/>
                <w:numId w:val="3"/>
              </w:numPr>
              <w:ind w:left="357" w:hanging="357"/>
              <w:contextualSpacing w:val="0"/>
              <w:rPr>
                <w:rFonts w:cs="Open Sans"/>
                <w:color w:val="000000" w:themeColor="text1"/>
              </w:rPr>
            </w:pPr>
            <w:r w:rsidRPr="009A4583">
              <w:rPr>
                <w:rFonts w:cs="Open Sans"/>
                <w:color w:val="000000" w:themeColor="text1"/>
              </w:rPr>
              <w:t>Highlighting and addressing structural discrimination and intersectional disadvantage, with a focus on women with disability and Aboriginal and Torres Strait Islander people with disability.</w:t>
            </w:r>
          </w:p>
          <w:p w14:paraId="4182E1E2" w14:textId="77777777" w:rsidR="009021E2" w:rsidRPr="009A4583" w:rsidRDefault="009021E2" w:rsidP="009021E2">
            <w:pPr>
              <w:pStyle w:val="ListParagraph"/>
              <w:numPr>
                <w:ilvl w:val="0"/>
                <w:numId w:val="3"/>
              </w:numPr>
              <w:spacing w:after="100"/>
              <w:ind w:left="357" w:hanging="357"/>
              <w:rPr>
                <w:rFonts w:cs="Open Sans"/>
                <w:color w:val="000000" w:themeColor="text1"/>
              </w:rPr>
            </w:pPr>
            <w:r w:rsidRPr="009A4583">
              <w:rPr>
                <w:rFonts w:cs="Open Sans"/>
                <w:color w:val="000000" w:themeColor="text1"/>
              </w:rPr>
              <w:t>Improving the collection and publication of disaggregated data relating to disability to facilitate evidence-based analysis, advocacy and decision-making.</w:t>
            </w:r>
          </w:p>
        </w:tc>
        <w:tc>
          <w:tcPr>
            <w:tcW w:w="4412" w:type="dxa"/>
          </w:tcPr>
          <w:p w14:paraId="552076BD" w14:textId="77777777" w:rsidR="009021E2" w:rsidRPr="009A4583" w:rsidRDefault="009021E2" w:rsidP="00EA317B">
            <w:pPr>
              <w:spacing w:after="0"/>
              <w:rPr>
                <w:rFonts w:eastAsia="Calibri" w:cs="Open Sans"/>
                <w:i/>
                <w:iCs/>
              </w:rPr>
            </w:pPr>
          </w:p>
          <w:p w14:paraId="5978101E" w14:textId="77777777" w:rsidR="009021E2" w:rsidRPr="009A4583" w:rsidRDefault="009021E2" w:rsidP="00EA317B">
            <w:pPr>
              <w:spacing w:after="0"/>
              <w:rPr>
                <w:rFonts w:eastAsia="Calibri" w:cs="Open Sans"/>
                <w:i/>
                <w:iCs/>
              </w:rPr>
            </w:pPr>
          </w:p>
          <w:p w14:paraId="6E0F3878" w14:textId="77777777" w:rsidR="009021E2" w:rsidRPr="009A4583" w:rsidRDefault="009021E2" w:rsidP="00EA317B">
            <w:pPr>
              <w:spacing w:after="0"/>
              <w:rPr>
                <w:rFonts w:cs="Open Sans"/>
                <w:noProof/>
              </w:rPr>
            </w:pPr>
          </w:p>
          <w:p w14:paraId="58F6512C" w14:textId="77777777" w:rsidR="009021E2" w:rsidRPr="009A4583" w:rsidRDefault="009021E2" w:rsidP="00EA317B">
            <w:pPr>
              <w:spacing w:after="0"/>
              <w:rPr>
                <w:rFonts w:eastAsia="Calibri" w:cs="Open Sans"/>
                <w:i/>
                <w:iCs/>
              </w:rPr>
            </w:pPr>
            <w:r w:rsidRPr="00AB181E">
              <w:rPr>
                <w:rFonts w:eastAsia="Calibri" w:cs="Open Sans"/>
                <w:i/>
                <w:iCs/>
                <w:noProof/>
              </w:rPr>
              <w:drawing>
                <wp:inline distT="0" distB="0" distL="0" distR="0" wp14:anchorId="7437E647" wp14:editId="1F8A1D05">
                  <wp:extent cx="3289300" cy="1790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89300" cy="1790700"/>
                          </a:xfrm>
                          <a:prstGeom prst="rect">
                            <a:avLst/>
                          </a:prstGeom>
                        </pic:spPr>
                      </pic:pic>
                    </a:graphicData>
                  </a:graphic>
                </wp:inline>
              </w:drawing>
            </w:r>
          </w:p>
          <w:p w14:paraId="7C94EF4E" w14:textId="77777777" w:rsidR="009021E2" w:rsidRPr="007F2F8C" w:rsidRDefault="009021E2" w:rsidP="00EA317B">
            <w:pPr>
              <w:pStyle w:val="Caption6"/>
              <w:rPr>
                <w:i/>
                <w:iCs/>
                <w:sz w:val="16"/>
                <w:szCs w:val="16"/>
              </w:rPr>
            </w:pPr>
            <w:r w:rsidRPr="007F2F8C">
              <w:rPr>
                <w:i/>
                <w:iCs/>
                <w:sz w:val="16"/>
                <w:szCs w:val="16"/>
              </w:rPr>
              <w:t xml:space="preserve">Commissioner </w:t>
            </w:r>
            <w:proofErr w:type="spellStart"/>
            <w:r w:rsidRPr="007F2F8C">
              <w:rPr>
                <w:i/>
                <w:iCs/>
                <w:sz w:val="16"/>
                <w:szCs w:val="16"/>
              </w:rPr>
              <w:t>Gauntlett</w:t>
            </w:r>
            <w:proofErr w:type="spellEnd"/>
            <w:r w:rsidRPr="007F2F8C">
              <w:rPr>
                <w:i/>
                <w:iCs/>
                <w:sz w:val="16"/>
                <w:szCs w:val="16"/>
              </w:rPr>
              <w:t xml:space="preserve"> in discussion with UN representatives, Brussels, December 2019</w:t>
            </w:r>
            <w:r>
              <w:rPr>
                <w:i/>
                <w:iCs/>
                <w:sz w:val="16"/>
                <w:szCs w:val="16"/>
              </w:rPr>
              <w:t>.</w:t>
            </w:r>
          </w:p>
          <w:p w14:paraId="78AD79DF" w14:textId="77777777" w:rsidR="009021E2" w:rsidRPr="001C6308" w:rsidRDefault="009021E2" w:rsidP="00EA317B">
            <w:pPr>
              <w:jc w:val="right"/>
              <w:rPr>
                <w:rFonts w:eastAsia="Calibri" w:cs="Open Sans"/>
              </w:rPr>
            </w:pPr>
          </w:p>
        </w:tc>
      </w:tr>
    </w:tbl>
    <w:p w14:paraId="74AE1A25" w14:textId="77777777" w:rsidR="009021E2" w:rsidRPr="00B3572D" w:rsidRDefault="009021E2" w:rsidP="009021E2"/>
    <w:p w14:paraId="562DE6CA" w14:textId="77777777" w:rsidR="009021E2" w:rsidRPr="00B3572D" w:rsidRDefault="009021E2" w:rsidP="009021E2">
      <w:r w:rsidRPr="00B3572D">
        <w:br w:type="page"/>
      </w:r>
    </w:p>
    <w:p w14:paraId="39FBBC35" w14:textId="77777777" w:rsidR="009021E2" w:rsidRPr="00DA25F4" w:rsidRDefault="009021E2" w:rsidP="009021E2">
      <w:pPr>
        <w:pStyle w:val="Heading2"/>
        <w:spacing w:before="240"/>
        <w:rPr>
          <w:rFonts w:cs="Open Sans"/>
          <w:color w:val="643996"/>
        </w:rPr>
      </w:pPr>
      <w:r w:rsidRPr="00DA25F4">
        <w:rPr>
          <w:rFonts w:cs="Open Sans"/>
          <w:color w:val="643996"/>
        </w:rPr>
        <w:lastRenderedPageBreak/>
        <w:t>KEY ACTVITITES / 2020–21 WORKPLAN</w:t>
      </w:r>
    </w:p>
    <w:tbl>
      <w:tblPr>
        <w:tblW w:w="0" w:type="auto"/>
        <w:tblInd w:w="-5" w:type="dxa"/>
        <w:tblLook w:val="0000" w:firstRow="0" w:lastRow="0" w:firstColumn="0" w:lastColumn="0" w:noHBand="0" w:noVBand="0"/>
      </w:tblPr>
      <w:tblGrid>
        <w:gridCol w:w="1688"/>
        <w:gridCol w:w="7327"/>
      </w:tblGrid>
      <w:tr w:rsidR="009021E2" w:rsidRPr="009A4583" w14:paraId="24337410" w14:textId="77777777" w:rsidTr="00EA317B">
        <w:trPr>
          <w:trHeight w:val="501"/>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09701B84" w14:textId="77777777" w:rsidR="009021E2" w:rsidRPr="009A4583" w:rsidRDefault="009021E2" w:rsidP="00EA317B">
            <w:pPr>
              <w:pStyle w:val="WorkplanParagrafo"/>
              <w:rPr>
                <w:rStyle w:val="CondensedBold"/>
                <w:rFonts w:cs="Open Sans"/>
                <w:color w:val="FFFFFF" w:themeColor="background1"/>
                <w:szCs w:val="16"/>
              </w:rPr>
            </w:pPr>
            <w:r w:rsidRPr="009A4583">
              <w:rPr>
                <w:rStyle w:val="CondensedBold"/>
                <w:rFonts w:cs="Open Sans"/>
                <w:color w:val="FFFFFF" w:themeColor="background1"/>
                <w:szCs w:val="16"/>
              </w:rPr>
              <w:t>Disability Employment Project</w:t>
            </w:r>
          </w:p>
        </w:tc>
        <w:tc>
          <w:tcPr>
            <w:tcW w:w="7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2CDC5DC3" w14:textId="77777777" w:rsidR="009021E2" w:rsidRPr="009A4583" w:rsidRDefault="009021E2" w:rsidP="009021E2">
            <w:pPr>
              <w:pStyle w:val="ListParagraph"/>
              <w:numPr>
                <w:ilvl w:val="0"/>
                <w:numId w:val="1"/>
              </w:numPr>
              <w:rPr>
                <w:rFonts w:cs="Open Sans"/>
                <w:color w:val="000000" w:themeColor="text1"/>
              </w:rPr>
            </w:pPr>
            <w:r w:rsidRPr="009A4583">
              <w:rPr>
                <w:rFonts w:cs="Open Sans"/>
                <w:color w:val="000000" w:themeColor="text1"/>
              </w:rPr>
              <w:t xml:space="preserve">Building employer commitment and capacity to recruit and support the progression of people with disability in employment. A range of strategies will be adopted including working directly with a network of private and public sector employers. In the coming year we will establish a core employer network, an ambassador group, and a set of resources to support employers and job seekers with disability. </w:t>
            </w:r>
          </w:p>
          <w:p w14:paraId="1D05CE45" w14:textId="77777777" w:rsidR="009021E2" w:rsidRPr="009A4583" w:rsidRDefault="009021E2" w:rsidP="009021E2">
            <w:pPr>
              <w:pStyle w:val="ListParagraph"/>
              <w:numPr>
                <w:ilvl w:val="0"/>
                <w:numId w:val="1"/>
              </w:numPr>
              <w:rPr>
                <w:rFonts w:cs="Open Sans"/>
                <w:color w:val="000000" w:themeColor="text1"/>
              </w:rPr>
            </w:pPr>
            <w:r w:rsidRPr="009A4583">
              <w:rPr>
                <w:rFonts w:cs="Open Sans"/>
                <w:color w:val="000000" w:themeColor="text1"/>
              </w:rPr>
              <w:t>Ongoing engagement with employers and industry groups to remove workplace barriers and encourage the adoption of recommendations and good practice examples from the 2016 ‘Willing to Work’ report.</w:t>
            </w:r>
          </w:p>
          <w:p w14:paraId="02C6EB09" w14:textId="77777777" w:rsidR="009021E2" w:rsidRPr="009A4583" w:rsidRDefault="009021E2" w:rsidP="009021E2">
            <w:pPr>
              <w:pStyle w:val="ListParagraph"/>
              <w:numPr>
                <w:ilvl w:val="0"/>
                <w:numId w:val="1"/>
              </w:numPr>
              <w:rPr>
                <w:rFonts w:cs="Open Sans"/>
                <w:color w:val="000000" w:themeColor="text1"/>
              </w:rPr>
            </w:pPr>
            <w:r w:rsidRPr="009A4583">
              <w:rPr>
                <w:rFonts w:cs="Open Sans"/>
                <w:color w:val="000000" w:themeColor="text1"/>
              </w:rPr>
              <w:t>Development of resources for employers and job seekers with disability including leader training, factsheets and practical tools and templates. Resources will be designed to remove recruitment and career progression barriers and create more inclusive workplaces for people with disability.</w:t>
            </w:r>
          </w:p>
        </w:tc>
      </w:tr>
      <w:tr w:rsidR="009021E2" w:rsidRPr="009A4583" w14:paraId="37C429C5" w14:textId="77777777" w:rsidTr="00EA317B">
        <w:trPr>
          <w:trHeight w:val="1297"/>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64F861B4" w14:textId="77777777" w:rsidR="009021E2" w:rsidRPr="009A4583" w:rsidRDefault="009021E2" w:rsidP="00EA317B">
            <w:pPr>
              <w:pStyle w:val="WorkplanParagrafo"/>
              <w:rPr>
                <w:rFonts w:ascii="Open Sans" w:hAnsi="Open Sans" w:cs="Open Sans"/>
                <w:b/>
                <w:bCs/>
                <w:color w:val="FFFFFF" w:themeColor="background1"/>
                <w:sz w:val="16"/>
                <w:szCs w:val="16"/>
                <w:lang w:val="en-AU"/>
              </w:rPr>
            </w:pPr>
            <w:r w:rsidRPr="009A4583">
              <w:rPr>
                <w:rFonts w:ascii="Open Sans" w:hAnsi="Open Sans" w:cs="Open Sans"/>
                <w:b/>
                <w:bCs/>
                <w:color w:val="FFFFFF" w:themeColor="background1"/>
                <w:sz w:val="16"/>
                <w:szCs w:val="16"/>
                <w:lang w:val="en-AU"/>
              </w:rPr>
              <w:t>Accessible Housing Project</w:t>
            </w:r>
          </w:p>
        </w:tc>
        <w:tc>
          <w:tcPr>
            <w:tcW w:w="7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27C929B5" w14:textId="77777777" w:rsidR="009021E2" w:rsidRPr="009A4583" w:rsidRDefault="009021E2" w:rsidP="009021E2">
            <w:pPr>
              <w:pStyle w:val="ListParagraph"/>
              <w:numPr>
                <w:ilvl w:val="0"/>
                <w:numId w:val="2"/>
              </w:numPr>
              <w:rPr>
                <w:rFonts w:cs="Open Sans"/>
                <w:color w:val="000000" w:themeColor="text1"/>
              </w:rPr>
            </w:pPr>
            <w:r w:rsidRPr="009A4583">
              <w:rPr>
                <w:rFonts w:cs="Open Sans"/>
                <w:color w:val="000000" w:themeColor="text1"/>
              </w:rPr>
              <w:t>Exploring ways to increase the availability of accessible housing options for people with disability through collaboration with key stakeholders, experts, government agencies and people with disability.</w:t>
            </w:r>
          </w:p>
          <w:p w14:paraId="6B51CD22" w14:textId="77777777" w:rsidR="009021E2" w:rsidRPr="009A4583" w:rsidRDefault="009021E2" w:rsidP="009021E2">
            <w:pPr>
              <w:pStyle w:val="ListParagraph"/>
              <w:numPr>
                <w:ilvl w:val="0"/>
                <w:numId w:val="2"/>
              </w:numPr>
              <w:rPr>
                <w:rFonts w:cs="Open Sans"/>
                <w:color w:val="000000" w:themeColor="text1"/>
              </w:rPr>
            </w:pPr>
            <w:r w:rsidRPr="009A4583">
              <w:rPr>
                <w:rFonts w:cs="Open Sans"/>
                <w:color w:val="000000" w:themeColor="text1"/>
              </w:rPr>
              <w:t>Improving the knowledge of people with disability in relation to their housing needs and options.</w:t>
            </w:r>
          </w:p>
          <w:p w14:paraId="3C377D06" w14:textId="77777777" w:rsidR="009021E2" w:rsidRPr="009A4583" w:rsidRDefault="009021E2" w:rsidP="009021E2">
            <w:pPr>
              <w:pStyle w:val="ListParagraph"/>
              <w:numPr>
                <w:ilvl w:val="0"/>
                <w:numId w:val="2"/>
              </w:numPr>
              <w:rPr>
                <w:rFonts w:cs="Open Sans"/>
                <w:color w:val="000000" w:themeColor="text1"/>
              </w:rPr>
            </w:pPr>
            <w:r w:rsidRPr="009A4583">
              <w:rPr>
                <w:rFonts w:cs="Open Sans"/>
                <w:color w:val="000000" w:themeColor="text1"/>
              </w:rPr>
              <w:t>Raising awareness within the community regarding the benefits of universal and accessible design in the housing context.</w:t>
            </w:r>
          </w:p>
        </w:tc>
      </w:tr>
      <w:tr w:rsidR="009021E2" w:rsidRPr="009A4583" w14:paraId="592812CD" w14:textId="77777777" w:rsidTr="00EA317B">
        <w:trPr>
          <w:trHeight w:val="1032"/>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7B833531" w14:textId="77777777" w:rsidR="009021E2" w:rsidRPr="009A4583" w:rsidRDefault="009021E2" w:rsidP="00EA317B">
            <w:pPr>
              <w:pStyle w:val="WorkplanParagrafo"/>
              <w:rPr>
                <w:rStyle w:val="CondensedBold"/>
                <w:rFonts w:cs="Open Sans"/>
                <w:color w:val="FFFFFF" w:themeColor="background1"/>
                <w:szCs w:val="16"/>
              </w:rPr>
            </w:pPr>
            <w:r w:rsidRPr="00363E0A">
              <w:rPr>
                <w:rFonts w:ascii="Open Sans" w:hAnsi="Open Sans" w:cs="Open Sans"/>
                <w:b/>
                <w:bCs/>
                <w:color w:val="FFFFFF" w:themeColor="background1"/>
                <w:sz w:val="16"/>
                <w:szCs w:val="16"/>
                <w:lang w:val="en-AU"/>
              </w:rPr>
              <w:t>Community consultation and engagement</w:t>
            </w:r>
          </w:p>
        </w:tc>
        <w:tc>
          <w:tcPr>
            <w:tcW w:w="7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739C95B4" w14:textId="77777777" w:rsidR="009021E2" w:rsidRPr="00236561" w:rsidRDefault="009021E2" w:rsidP="009021E2">
            <w:pPr>
              <w:pStyle w:val="ListParagraph"/>
              <w:numPr>
                <w:ilvl w:val="0"/>
                <w:numId w:val="2"/>
              </w:numPr>
              <w:rPr>
                <w:rFonts w:cs="Open Sans"/>
                <w:color w:val="000000" w:themeColor="text1"/>
              </w:rPr>
            </w:pPr>
            <w:r w:rsidRPr="009A4583">
              <w:rPr>
                <w:rFonts w:cs="Open Sans"/>
                <w:szCs w:val="16"/>
              </w:rPr>
              <w:t xml:space="preserve">Working with Government to ensure that its second National Disability Strategy is informed by lived experience through meaningful consultations with people with disability. This will include people with complex support and communication needs and Aboriginal and Torres Strait Islander people with disability in remote and regional Australia. </w:t>
            </w:r>
          </w:p>
        </w:tc>
      </w:tr>
      <w:tr w:rsidR="009021E2" w:rsidRPr="009A4583" w14:paraId="0B4A5586" w14:textId="77777777" w:rsidTr="00EA317B">
        <w:trPr>
          <w:trHeight w:val="510"/>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7166186A" w14:textId="77777777" w:rsidR="009021E2" w:rsidRPr="009A4583" w:rsidRDefault="009021E2" w:rsidP="00EA317B">
            <w:pPr>
              <w:rPr>
                <w:rStyle w:val="CondensedBold"/>
                <w:rFonts w:cs="Open Sans"/>
                <w:color w:val="FFFFFF" w:themeColor="background1"/>
                <w:szCs w:val="16"/>
              </w:rPr>
            </w:pPr>
            <w:r w:rsidRPr="009A4583">
              <w:rPr>
                <w:rStyle w:val="CondensedBold"/>
                <w:rFonts w:cs="Open Sans"/>
                <w:color w:val="FFFFFF" w:themeColor="background1"/>
                <w:szCs w:val="16"/>
              </w:rPr>
              <w:t>D</w:t>
            </w:r>
            <w:r w:rsidRPr="009A4583">
              <w:rPr>
                <w:rStyle w:val="CondensedBold"/>
                <w:rFonts w:cs="Open Sans"/>
                <w:color w:val="FFFFFF" w:themeColor="background1"/>
              </w:rPr>
              <w:t>isability Royal Commission engagement</w:t>
            </w:r>
          </w:p>
        </w:tc>
        <w:tc>
          <w:tcPr>
            <w:tcW w:w="7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74C38175" w14:textId="77777777" w:rsidR="009021E2" w:rsidRPr="009A4583" w:rsidRDefault="009021E2" w:rsidP="009021E2">
            <w:pPr>
              <w:pStyle w:val="ListParagraph"/>
              <w:numPr>
                <w:ilvl w:val="0"/>
                <w:numId w:val="2"/>
              </w:numPr>
              <w:rPr>
                <w:rFonts w:cs="Open Sans"/>
                <w:szCs w:val="16"/>
              </w:rPr>
            </w:pPr>
            <w:r w:rsidRPr="009A4583">
              <w:rPr>
                <w:rFonts w:cs="Open Sans"/>
                <w:szCs w:val="16"/>
              </w:rPr>
              <w:t>Developing human rights-focused submissions to inform the Royal Commission into Violence, Abuse, Neglect and Exploitation of People with Disability (Disability Royal Commission) on issues including inclusive education, criminal justice, and employment.</w:t>
            </w:r>
          </w:p>
        </w:tc>
      </w:tr>
      <w:tr w:rsidR="009021E2" w:rsidRPr="009A4583" w14:paraId="3BB3C30B" w14:textId="77777777" w:rsidTr="00EA317B">
        <w:trPr>
          <w:trHeight w:val="1057"/>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3DBFBE6F" w14:textId="77777777" w:rsidR="009021E2" w:rsidRPr="009A4583" w:rsidRDefault="009021E2" w:rsidP="00EA317B">
            <w:pPr>
              <w:rPr>
                <w:rStyle w:val="CondensedBold"/>
                <w:rFonts w:cs="Open Sans"/>
                <w:color w:val="FFFFFF" w:themeColor="background1"/>
                <w:szCs w:val="16"/>
              </w:rPr>
            </w:pPr>
            <w:r w:rsidRPr="009A4583">
              <w:rPr>
                <w:rStyle w:val="CondensedBold"/>
                <w:rFonts w:cs="Open Sans"/>
                <w:color w:val="FFFFFF" w:themeColor="background1"/>
                <w:szCs w:val="16"/>
              </w:rPr>
              <w:t>I</w:t>
            </w:r>
            <w:r w:rsidRPr="009A4583">
              <w:rPr>
                <w:rStyle w:val="CondensedBold"/>
                <w:rFonts w:cs="Open Sans"/>
                <w:color w:val="FFFFFF" w:themeColor="background1"/>
              </w:rPr>
              <w:t xml:space="preserve">nternational engagement and youth development </w:t>
            </w:r>
          </w:p>
        </w:tc>
        <w:tc>
          <w:tcPr>
            <w:tcW w:w="7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7FF99079" w14:textId="77777777" w:rsidR="009021E2" w:rsidRPr="009A4583" w:rsidRDefault="009021E2" w:rsidP="009021E2">
            <w:pPr>
              <w:pStyle w:val="ListParagraph"/>
              <w:numPr>
                <w:ilvl w:val="0"/>
                <w:numId w:val="2"/>
              </w:numPr>
              <w:rPr>
                <w:rFonts w:cs="Open Sans"/>
                <w:color w:val="000000" w:themeColor="text1"/>
              </w:rPr>
            </w:pPr>
            <w:r w:rsidRPr="009A4583">
              <w:rPr>
                <w:rFonts w:cs="Open Sans"/>
                <w:color w:val="000000" w:themeColor="text1"/>
              </w:rPr>
              <w:t>Participating in the 13</w:t>
            </w:r>
            <w:r w:rsidRPr="009A4583">
              <w:rPr>
                <w:rFonts w:cs="Open Sans"/>
                <w:color w:val="000000" w:themeColor="text1"/>
                <w:vertAlign w:val="superscript"/>
              </w:rPr>
              <w:t>th</w:t>
            </w:r>
            <w:r w:rsidRPr="009A4583">
              <w:rPr>
                <w:rFonts w:cs="Open Sans"/>
                <w:color w:val="000000" w:themeColor="text1"/>
              </w:rPr>
              <w:t xml:space="preserve"> Conference of States Parties to the Convention on the Rights of Persons with Disabilities (COSP13) in New York in December 2020. This will involve sharing the experiences of Australians with disability on the international stage and learning from international leaders.</w:t>
            </w:r>
          </w:p>
          <w:p w14:paraId="24285E3B" w14:textId="77777777" w:rsidR="009021E2" w:rsidRPr="009A4583" w:rsidRDefault="009021E2" w:rsidP="009021E2">
            <w:pPr>
              <w:pStyle w:val="ListParagraph"/>
              <w:numPr>
                <w:ilvl w:val="0"/>
                <w:numId w:val="2"/>
              </w:numPr>
              <w:rPr>
                <w:rFonts w:cs="Open Sans"/>
                <w:color w:val="000000" w:themeColor="text1"/>
              </w:rPr>
            </w:pPr>
            <w:r w:rsidRPr="009A4583">
              <w:rPr>
                <w:rFonts w:cs="Open Sans"/>
                <w:color w:val="000000" w:themeColor="text1"/>
              </w:rPr>
              <w:t>Facilitating participation of, and mentoring, a delegation of Emerging Young Leaders, comprising people with disability under 30 years of age, to the COSP13 in New York.</w:t>
            </w:r>
          </w:p>
        </w:tc>
      </w:tr>
      <w:tr w:rsidR="009021E2" w:rsidRPr="009A4583" w14:paraId="3D14894C" w14:textId="77777777" w:rsidTr="00EA317B">
        <w:trPr>
          <w:trHeight w:val="1057"/>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7A4E4D04" w14:textId="77777777" w:rsidR="009021E2" w:rsidRPr="009A4583" w:rsidRDefault="009021E2" w:rsidP="00EA317B">
            <w:pPr>
              <w:rPr>
                <w:rStyle w:val="CondensedBold"/>
                <w:rFonts w:cs="Open Sans"/>
                <w:color w:val="FFFFFF" w:themeColor="background1"/>
                <w:szCs w:val="16"/>
              </w:rPr>
            </w:pPr>
            <w:r w:rsidRPr="009A4583">
              <w:rPr>
                <w:rStyle w:val="CondensedBold"/>
                <w:rFonts w:cs="Open Sans"/>
                <w:color w:val="FFFFFF" w:themeColor="background1"/>
                <w:szCs w:val="16"/>
              </w:rPr>
              <w:t>Education and awareness raising</w:t>
            </w:r>
          </w:p>
        </w:tc>
        <w:tc>
          <w:tcPr>
            <w:tcW w:w="7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28ED925C" w14:textId="77777777" w:rsidR="009021E2" w:rsidRPr="009A4583" w:rsidRDefault="009021E2" w:rsidP="009021E2">
            <w:pPr>
              <w:pStyle w:val="ListParagraph"/>
              <w:numPr>
                <w:ilvl w:val="0"/>
                <w:numId w:val="2"/>
              </w:numPr>
              <w:rPr>
                <w:rFonts w:cs="Open Sans"/>
                <w:color w:val="000000" w:themeColor="text1"/>
              </w:rPr>
            </w:pPr>
            <w:r w:rsidRPr="009A4583">
              <w:rPr>
                <w:rFonts w:cs="Open Sans"/>
                <w:color w:val="000000" w:themeColor="text1"/>
              </w:rPr>
              <w:t>Working with universities, vocational education, and training institutions and professional groups to ensure that disability awareness is integrated throughout the curricula of all relevant degrees and diplomas.</w:t>
            </w:r>
          </w:p>
        </w:tc>
      </w:tr>
    </w:tbl>
    <w:p w14:paraId="57E3F316" w14:textId="77777777" w:rsidR="009021E2" w:rsidRPr="009A4583" w:rsidRDefault="009021E2" w:rsidP="009021E2">
      <w:pPr>
        <w:rPr>
          <w:rFonts w:cs="Open Sans"/>
          <w:color w:val="000000" w:themeColor="text1"/>
        </w:rPr>
      </w:pPr>
    </w:p>
    <w:p w14:paraId="21CE8D61" w14:textId="77777777" w:rsidR="003B4E16" w:rsidRDefault="009021E2">
      <w:bookmarkStart w:id="7" w:name="_GoBack"/>
      <w:bookmarkEnd w:id="7"/>
    </w:p>
    <w:sectPr w:rsidR="003B4E16" w:rsidSect="002109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Calibri"/>
    <w:panose1 w:val="020B0604020202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HelveticaNeueLT Pro 57 Cn">
    <w:altName w:val="Arial"/>
    <w:panose1 w:val="020B060402020202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817A96"/>
    <w:multiLevelType w:val="hybridMultilevel"/>
    <w:tmpl w:val="056C5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E2"/>
    <w:rsid w:val="001060D5"/>
    <w:rsid w:val="00210904"/>
    <w:rsid w:val="00682B4D"/>
    <w:rsid w:val="009021E2"/>
    <w:rsid w:val="00A25AC1"/>
    <w:rsid w:val="00B9781F"/>
    <w:rsid w:val="00BE00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319D03"/>
  <w14:defaultImageDpi w14:val="32767"/>
  <w15:chartTrackingRefBased/>
  <w15:docId w15:val="{14EC2BD2-089B-5A43-9E46-C042FCB8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1E2"/>
    <w:pPr>
      <w:spacing w:after="120"/>
    </w:pPr>
    <w:rPr>
      <w:rFonts w:ascii="Open Sans" w:eastAsiaTheme="minorHAnsi" w:hAnsi="Open Sans"/>
      <w:sz w:val="16"/>
      <w:lang w:val="en-AU" w:eastAsia="en-US"/>
    </w:rPr>
  </w:style>
  <w:style w:type="paragraph" w:styleId="Heading1">
    <w:name w:val="heading 1"/>
    <w:basedOn w:val="Normal"/>
    <w:next w:val="Normal"/>
    <w:link w:val="Heading1Char"/>
    <w:uiPriority w:val="9"/>
    <w:qFormat/>
    <w:rsid w:val="009021E2"/>
    <w:pPr>
      <w:keepNext/>
      <w:keepLines/>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9021E2"/>
    <w:pPr>
      <w:keepNext/>
      <w:keepLines/>
      <w:spacing w:after="240"/>
      <w:outlineLvl w:val="1"/>
    </w:pPr>
    <w:rPr>
      <w:rFonts w:eastAsiaTheme="majorEastAsia" w:cstheme="majorBidi"/>
      <w:color w:val="ED7D31" w:themeColor="accent2"/>
      <w:sz w:val="28"/>
      <w:szCs w:val="26"/>
    </w:rPr>
  </w:style>
  <w:style w:type="paragraph" w:styleId="Heading3">
    <w:name w:val="heading 3"/>
    <w:basedOn w:val="Normal"/>
    <w:next w:val="Normal"/>
    <w:link w:val="Heading3Char"/>
    <w:uiPriority w:val="9"/>
    <w:unhideWhenUsed/>
    <w:qFormat/>
    <w:rsid w:val="009021E2"/>
    <w:pPr>
      <w:keepNext/>
      <w:keepLines/>
      <w:spacing w:before="40" w:after="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E2"/>
    <w:rPr>
      <w:rFonts w:ascii="Arial Narrow" w:eastAsiaTheme="majorEastAsia" w:hAnsi="Arial Narrow" w:cstheme="majorBidi"/>
      <w:b/>
      <w:sz w:val="32"/>
      <w:szCs w:val="32"/>
      <w:lang w:val="en-AU" w:eastAsia="en-US"/>
    </w:rPr>
  </w:style>
  <w:style w:type="character" w:customStyle="1" w:styleId="Heading2Char">
    <w:name w:val="Heading 2 Char"/>
    <w:basedOn w:val="DefaultParagraphFont"/>
    <w:link w:val="Heading2"/>
    <w:uiPriority w:val="9"/>
    <w:rsid w:val="009021E2"/>
    <w:rPr>
      <w:rFonts w:ascii="Open Sans" w:eastAsiaTheme="majorEastAsia" w:hAnsi="Open Sans" w:cstheme="majorBidi"/>
      <w:color w:val="ED7D31" w:themeColor="accent2"/>
      <w:sz w:val="28"/>
      <w:szCs w:val="26"/>
      <w:lang w:val="en-AU" w:eastAsia="en-US"/>
    </w:rPr>
  </w:style>
  <w:style w:type="character" w:customStyle="1" w:styleId="Heading3Char">
    <w:name w:val="Heading 3 Char"/>
    <w:basedOn w:val="DefaultParagraphFont"/>
    <w:link w:val="Heading3"/>
    <w:uiPriority w:val="9"/>
    <w:rsid w:val="009021E2"/>
    <w:rPr>
      <w:rFonts w:ascii="Open Sans" w:eastAsiaTheme="majorEastAsia" w:hAnsi="Open Sans" w:cstheme="majorBidi"/>
      <w:sz w:val="16"/>
      <w:lang w:val="en-AU" w:eastAsia="en-US"/>
    </w:rPr>
  </w:style>
  <w:style w:type="table" w:styleId="TableGrid">
    <w:name w:val="Table Grid"/>
    <w:basedOn w:val="TableNormal"/>
    <w:uiPriority w:val="39"/>
    <w:rsid w:val="009021E2"/>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densedBold">
    <w:name w:val="Condensed Bold"/>
    <w:uiPriority w:val="99"/>
    <w:rsid w:val="009021E2"/>
    <w:rPr>
      <w:rFonts w:ascii="HelveticaNeueLT Pro 57 Cn" w:hAnsi="HelveticaNeueLT Pro 57 Cn" w:cs="HelveticaNeueLT Pro 57 Cn"/>
      <w:b/>
      <w:bCs/>
      <w:u w:val="none"/>
    </w:rPr>
  </w:style>
  <w:style w:type="paragraph" w:customStyle="1" w:styleId="WorkplanParagrafo">
    <w:name w:val="Workplan Paragrafo"/>
    <w:basedOn w:val="Normal"/>
    <w:uiPriority w:val="99"/>
    <w:rsid w:val="009021E2"/>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styleId="ListParagraph">
    <w:name w:val="List Paragraph"/>
    <w:basedOn w:val="Normal"/>
    <w:uiPriority w:val="34"/>
    <w:qFormat/>
    <w:rsid w:val="009021E2"/>
    <w:pPr>
      <w:ind w:left="720"/>
      <w:contextualSpacing/>
    </w:pPr>
  </w:style>
  <w:style w:type="paragraph" w:customStyle="1" w:styleId="Caption6">
    <w:name w:val="Caption 6"/>
    <w:aliases w:val="5pt Nero"/>
    <w:basedOn w:val="Caption"/>
    <w:uiPriority w:val="99"/>
    <w:rsid w:val="009021E2"/>
    <w:pPr>
      <w:tabs>
        <w:tab w:val="left" w:pos="567"/>
      </w:tabs>
      <w:suppressAutoHyphens/>
      <w:autoSpaceDE w:val="0"/>
      <w:autoSpaceDN w:val="0"/>
      <w:adjustRightInd w:val="0"/>
      <w:spacing w:after="0" w:line="160" w:lineRule="atLeast"/>
      <w:textAlignment w:val="center"/>
    </w:pPr>
    <w:rPr>
      <w:rFonts w:cs="Open Sans"/>
      <w:i w:val="0"/>
      <w:iCs w:val="0"/>
      <w:color w:val="000000"/>
      <w:sz w:val="13"/>
      <w:szCs w:val="13"/>
    </w:rPr>
  </w:style>
  <w:style w:type="paragraph" w:styleId="Caption">
    <w:name w:val="caption"/>
    <w:basedOn w:val="Normal"/>
    <w:next w:val="Normal"/>
    <w:uiPriority w:val="35"/>
    <w:semiHidden/>
    <w:unhideWhenUsed/>
    <w:qFormat/>
    <w:rsid w:val="009021E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Kwan</dc:creator>
  <cp:keywords/>
  <dc:description/>
  <cp:lastModifiedBy>Connie Kwan</cp:lastModifiedBy>
  <cp:revision>1</cp:revision>
  <dcterms:created xsi:type="dcterms:W3CDTF">2020-09-01T01:11:00Z</dcterms:created>
  <dcterms:modified xsi:type="dcterms:W3CDTF">2020-09-01T01:12:00Z</dcterms:modified>
</cp:coreProperties>
</file>