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8C9" w:rsidRPr="0065576B" w:rsidRDefault="003D1002" w:rsidP="00883322">
      <w:pPr>
        <w:pStyle w:val="Heading1"/>
        <w:rPr>
          <w:rStyle w:val="BookTitle"/>
          <w:i w:val="0"/>
          <w:iCs w:val="0"/>
          <w:smallCaps w:val="0"/>
          <w:spacing w:val="0"/>
        </w:rPr>
      </w:pPr>
      <w:r w:rsidRPr="0065576B">
        <w:rPr>
          <w:rStyle w:val="BookTitle"/>
          <w:i w:val="0"/>
          <w:iCs w:val="0"/>
          <w:smallCaps w:val="0"/>
          <w:spacing w:val="0"/>
        </w:rPr>
        <w:t xml:space="preserve">Department of Social Services: </w:t>
      </w:r>
      <w:r w:rsidR="004928C9" w:rsidRPr="0065576B">
        <w:rPr>
          <w:rStyle w:val="BookTitle"/>
          <w:i w:val="0"/>
          <w:iCs w:val="0"/>
          <w:smallCaps w:val="0"/>
          <w:spacing w:val="0"/>
        </w:rPr>
        <w:t>Quarterly Report to the Australian Human Rights Commission</w:t>
      </w:r>
    </w:p>
    <w:p w:rsidR="00883322" w:rsidRPr="0065576B" w:rsidRDefault="00883322" w:rsidP="004928C9">
      <w:pPr>
        <w:rPr>
          <w:rStyle w:val="BookTitle"/>
          <w:b/>
          <w:i w:val="0"/>
          <w:iCs w:val="0"/>
          <w:smallCaps w:val="0"/>
          <w:spacing w:val="0"/>
          <w:sz w:val="24"/>
          <w:szCs w:val="24"/>
        </w:rPr>
      </w:pPr>
    </w:p>
    <w:p w:rsidR="00883322" w:rsidRPr="0065576B" w:rsidRDefault="00883322" w:rsidP="00883322">
      <w:pPr>
        <w:pStyle w:val="Heading2"/>
        <w:rPr>
          <w:rFonts w:eastAsia="Times New Roman"/>
          <w:lang w:eastAsia="en-AU"/>
        </w:rPr>
      </w:pPr>
      <w:r w:rsidRPr="0065576B">
        <w:rPr>
          <w:rFonts w:eastAsia="Times New Roman"/>
          <w:lang w:eastAsia="en-AU"/>
        </w:rPr>
        <w:t>Introduction</w:t>
      </w:r>
    </w:p>
    <w:p w:rsidR="00883322" w:rsidRPr="0065576B" w:rsidRDefault="00883322" w:rsidP="00883322">
      <w:pPr>
        <w:spacing w:before="240" w:after="240" w:line="240" w:lineRule="auto"/>
        <w:rPr>
          <w:rFonts w:eastAsia="Times New Roman" w:cs="Times New Roman"/>
          <w:sz w:val="24"/>
          <w:szCs w:val="24"/>
          <w:lang w:eastAsia="en-AU"/>
        </w:rPr>
      </w:pPr>
      <w:r w:rsidRPr="0065576B">
        <w:rPr>
          <w:rFonts w:eastAsia="Times New Roman" w:cs="Times New Roman"/>
          <w:sz w:val="24"/>
          <w:szCs w:val="24"/>
          <w:lang w:eastAsia="en-AU"/>
        </w:rPr>
        <w:t>On 29 April 2014, the Australian Human Rights Commission (AHRC) granted the Commonwealth</w:t>
      </w:r>
      <w:r w:rsidR="002C472E">
        <w:rPr>
          <w:rFonts w:eastAsia="Times New Roman" w:cs="Times New Roman"/>
          <w:sz w:val="24"/>
          <w:szCs w:val="24"/>
          <w:lang w:eastAsia="en-AU"/>
        </w:rPr>
        <w:t>,</w:t>
      </w:r>
      <w:r w:rsidRPr="0065576B">
        <w:rPr>
          <w:rFonts w:eastAsia="Times New Roman" w:cs="Times New Roman"/>
          <w:sz w:val="24"/>
          <w:szCs w:val="24"/>
          <w:lang w:eastAsia="en-AU"/>
        </w:rPr>
        <w:t xml:space="preserve"> and all Australian Disability Enterprises (ADEs) using or proposing to use the Business Services Wage Assessment Tool (BSWAT)</w:t>
      </w:r>
      <w:r w:rsidR="002C472E">
        <w:rPr>
          <w:rFonts w:eastAsia="Times New Roman" w:cs="Times New Roman"/>
          <w:sz w:val="24"/>
          <w:szCs w:val="24"/>
          <w:lang w:eastAsia="en-AU"/>
        </w:rPr>
        <w:t>,</w:t>
      </w:r>
      <w:r w:rsidRPr="0065576B">
        <w:rPr>
          <w:rFonts w:eastAsia="Times New Roman" w:cs="Times New Roman"/>
          <w:sz w:val="24"/>
          <w:szCs w:val="24"/>
          <w:lang w:eastAsia="en-AU"/>
        </w:rPr>
        <w:t xml:space="preserve"> an exemption for a 12-month period from the operation of sections 15, 24 and 29 of the </w:t>
      </w:r>
      <w:r w:rsidRPr="0065576B">
        <w:rPr>
          <w:rFonts w:eastAsia="Times New Roman" w:cs="Times New Roman"/>
          <w:i/>
          <w:sz w:val="24"/>
          <w:szCs w:val="24"/>
          <w:lang w:eastAsia="en-AU"/>
        </w:rPr>
        <w:t xml:space="preserve">Disability Discrimination Act 1992 </w:t>
      </w:r>
      <w:r w:rsidRPr="0065576B">
        <w:rPr>
          <w:rFonts w:eastAsia="Times New Roman" w:cs="Times New Roman"/>
          <w:sz w:val="24"/>
          <w:szCs w:val="24"/>
          <w:lang w:eastAsia="en-AU"/>
        </w:rPr>
        <w:t>(</w:t>
      </w:r>
      <w:r w:rsidR="00C557C0">
        <w:rPr>
          <w:rFonts w:eastAsia="Times New Roman" w:cs="Times New Roman"/>
          <w:sz w:val="24"/>
          <w:szCs w:val="24"/>
          <w:lang w:eastAsia="en-AU"/>
        </w:rPr>
        <w:t>Cth</w:t>
      </w:r>
      <w:r w:rsidRPr="0065576B">
        <w:rPr>
          <w:rFonts w:eastAsia="Times New Roman" w:cs="Times New Roman"/>
          <w:sz w:val="24"/>
          <w:szCs w:val="24"/>
          <w:lang w:eastAsia="en-AU"/>
        </w:rPr>
        <w:t xml:space="preserve">).  </w:t>
      </w:r>
    </w:p>
    <w:p w:rsidR="00883322" w:rsidRPr="0065576B" w:rsidRDefault="00883322" w:rsidP="00883322">
      <w:pPr>
        <w:spacing w:before="240" w:after="240" w:line="240" w:lineRule="auto"/>
        <w:rPr>
          <w:rFonts w:eastAsia="Times New Roman" w:cs="Times New Roman"/>
          <w:color w:val="000000"/>
          <w:sz w:val="24"/>
          <w:szCs w:val="20"/>
        </w:rPr>
      </w:pPr>
      <w:r w:rsidRPr="0065576B">
        <w:rPr>
          <w:rFonts w:eastAsia="Times New Roman" w:cs="Times New Roman"/>
          <w:color w:val="000000"/>
          <w:sz w:val="24"/>
          <w:szCs w:val="20"/>
        </w:rPr>
        <w:t xml:space="preserve">The exemption </w:t>
      </w:r>
      <w:r w:rsidR="00C557C0">
        <w:rPr>
          <w:rFonts w:eastAsia="Times New Roman" w:cs="Times New Roman"/>
          <w:color w:val="000000"/>
          <w:sz w:val="24"/>
          <w:szCs w:val="20"/>
        </w:rPr>
        <w:t>includes</w:t>
      </w:r>
      <w:r w:rsidRPr="0065576B">
        <w:rPr>
          <w:rFonts w:eastAsia="Times New Roman" w:cs="Times New Roman"/>
          <w:color w:val="000000"/>
          <w:sz w:val="24"/>
          <w:szCs w:val="20"/>
        </w:rPr>
        <w:t xml:space="preserve"> a number of conditions and requires the Department of Social Services (the Department) to report against these conditions on a quarterly basis.  </w:t>
      </w:r>
    </w:p>
    <w:p w:rsidR="00883322" w:rsidRPr="0065576B" w:rsidRDefault="00883322" w:rsidP="00883322">
      <w:pPr>
        <w:spacing w:before="240" w:after="240" w:line="240" w:lineRule="auto"/>
        <w:rPr>
          <w:rFonts w:eastAsia="Times New Roman" w:cs="Times New Roman"/>
          <w:color w:val="000000"/>
          <w:sz w:val="24"/>
          <w:szCs w:val="20"/>
        </w:rPr>
      </w:pPr>
    </w:p>
    <w:p w:rsidR="00883322" w:rsidRPr="0065576B" w:rsidRDefault="004928C9" w:rsidP="004928C9">
      <w:pPr>
        <w:rPr>
          <w:rStyle w:val="Heading2Char"/>
        </w:rPr>
      </w:pPr>
      <w:r w:rsidRPr="0065576B">
        <w:rPr>
          <w:rStyle w:val="Heading2Char"/>
        </w:rPr>
        <w:t>Reporting period</w:t>
      </w:r>
    </w:p>
    <w:p w:rsidR="004928C9" w:rsidRPr="0065576B" w:rsidRDefault="00C660DE" w:rsidP="00883322">
      <w:pPr>
        <w:rPr>
          <w:rStyle w:val="BookTitle"/>
          <w:i w:val="0"/>
          <w:iCs w:val="0"/>
          <w:smallCaps w:val="0"/>
          <w:spacing w:val="0"/>
          <w:sz w:val="24"/>
          <w:szCs w:val="24"/>
        </w:rPr>
      </w:pPr>
      <w:r w:rsidRPr="0065576B">
        <w:rPr>
          <w:rStyle w:val="BookTitle"/>
          <w:i w:val="0"/>
          <w:iCs w:val="0"/>
          <w:smallCaps w:val="0"/>
          <w:spacing w:val="0"/>
          <w:sz w:val="24"/>
          <w:szCs w:val="24"/>
        </w:rPr>
        <w:t>1 February 2015 to 30 April 2015</w:t>
      </w:r>
    </w:p>
    <w:p w:rsidR="00883322" w:rsidRPr="0065576B" w:rsidRDefault="00883322" w:rsidP="00883322">
      <w:pPr>
        <w:pStyle w:val="Heading2"/>
        <w:rPr>
          <w:rFonts w:eastAsia="Times New Roman"/>
          <w:lang w:eastAsia="en-AU"/>
        </w:rPr>
      </w:pPr>
    </w:p>
    <w:p w:rsidR="00AF2356" w:rsidRPr="0065576B" w:rsidRDefault="00AF2356" w:rsidP="00883322">
      <w:pPr>
        <w:pStyle w:val="Heading2"/>
        <w:rPr>
          <w:lang w:eastAsia="en-AU"/>
        </w:rPr>
      </w:pPr>
      <w:r w:rsidRPr="0065576B">
        <w:rPr>
          <w:lang w:eastAsia="en-AU"/>
        </w:rPr>
        <w:t xml:space="preserve">Report against conditions </w:t>
      </w:r>
    </w:p>
    <w:p w:rsidR="004928C9" w:rsidRPr="0065576B" w:rsidRDefault="00883322" w:rsidP="00AF2356">
      <w:pPr>
        <w:pStyle w:val="Heading3"/>
        <w:rPr>
          <w:lang w:eastAsia="en-AU"/>
        </w:rPr>
      </w:pPr>
      <w:r w:rsidRPr="0065576B">
        <w:rPr>
          <w:lang w:eastAsia="en-AU"/>
        </w:rPr>
        <w:t xml:space="preserve">Condition (a): </w:t>
      </w:r>
      <w:r w:rsidR="004928C9" w:rsidRPr="0065576B">
        <w:rPr>
          <w:lang w:eastAsia="en-AU"/>
        </w:rPr>
        <w:t xml:space="preserve">Take all necessary steps to transition from BSWAT to the Supported Wage System (SWS), or an alternative tool approved by the Fair Work Commission (FWC), as quickly as possible. </w:t>
      </w:r>
    </w:p>
    <w:p w:rsidR="001B3D40" w:rsidRPr="0065576B" w:rsidRDefault="001B3D40" w:rsidP="00883322">
      <w:pPr>
        <w:pStyle w:val="SubmissionNormal"/>
        <w:rPr>
          <w:lang w:val="en" w:eastAsia="en-AU"/>
        </w:rPr>
      </w:pPr>
      <w:r w:rsidRPr="0065576B">
        <w:rPr>
          <w:color w:val="auto"/>
          <w:szCs w:val="24"/>
          <w:lang w:eastAsia="en-AU"/>
        </w:rPr>
        <w:t xml:space="preserve">The Department continues to encourage </w:t>
      </w:r>
      <w:r w:rsidR="00C557C0" w:rsidRPr="0065576B">
        <w:rPr>
          <w:color w:val="auto"/>
          <w:szCs w:val="24"/>
          <w:lang w:eastAsia="en-AU"/>
        </w:rPr>
        <w:t xml:space="preserve">the ADE sector </w:t>
      </w:r>
      <w:r w:rsidR="00C557C0">
        <w:rPr>
          <w:color w:val="auto"/>
          <w:szCs w:val="24"/>
          <w:lang w:eastAsia="en-AU"/>
        </w:rPr>
        <w:t xml:space="preserve">to take </w:t>
      </w:r>
      <w:r w:rsidRPr="0065576B">
        <w:rPr>
          <w:color w:val="auto"/>
          <w:szCs w:val="24"/>
          <w:lang w:eastAsia="en-AU"/>
        </w:rPr>
        <w:t>all necessary steps to transition their supported employees from BSWAT</w:t>
      </w:r>
      <w:r w:rsidR="00C557C0">
        <w:rPr>
          <w:color w:val="auto"/>
          <w:szCs w:val="24"/>
          <w:lang w:eastAsia="en-AU"/>
        </w:rPr>
        <w:t>-assessed wages</w:t>
      </w:r>
      <w:r w:rsidRPr="0065576B">
        <w:rPr>
          <w:color w:val="auto"/>
          <w:szCs w:val="24"/>
          <w:lang w:eastAsia="en-AU"/>
        </w:rPr>
        <w:t>.</w:t>
      </w:r>
    </w:p>
    <w:p w:rsidR="001B3D40" w:rsidRPr="0065576B" w:rsidRDefault="001B3D40" w:rsidP="00883322">
      <w:pPr>
        <w:pStyle w:val="SubmissionNormal"/>
        <w:rPr>
          <w:szCs w:val="24"/>
          <w:lang w:val="en" w:eastAsia="en-AU"/>
        </w:rPr>
      </w:pPr>
      <w:r w:rsidRPr="0065576B">
        <w:rPr>
          <w:color w:val="auto"/>
          <w:szCs w:val="24"/>
          <w:lang w:eastAsia="en-AU"/>
        </w:rPr>
        <w:t xml:space="preserve">The Department is working with parties in the Fair Work Commission to develop an alternative tool, and has participated in several conciliation meetings with union parties, advocates, employer representatives and the peak organisation representing ADEs, National Disability Services. </w:t>
      </w:r>
    </w:p>
    <w:p w:rsidR="001B3D40" w:rsidRPr="0065576B" w:rsidRDefault="001B3D40" w:rsidP="00883322">
      <w:pPr>
        <w:pStyle w:val="SubmissionNormal"/>
        <w:rPr>
          <w:szCs w:val="24"/>
          <w:lang w:val="en" w:eastAsia="en-AU"/>
        </w:rPr>
      </w:pPr>
      <w:r w:rsidRPr="0065576B">
        <w:rPr>
          <w:szCs w:val="24"/>
        </w:rPr>
        <w:t xml:space="preserve">The Health Services Union and United Voice have applied to the Fair Work Commission to have, through consent or arbitration, the BSWAT </w:t>
      </w:r>
      <w:r w:rsidR="00852919">
        <w:rPr>
          <w:szCs w:val="24"/>
        </w:rPr>
        <w:t xml:space="preserve">removed </w:t>
      </w:r>
      <w:r w:rsidRPr="0065576B">
        <w:rPr>
          <w:szCs w:val="24"/>
        </w:rPr>
        <w:t xml:space="preserve">from the </w:t>
      </w:r>
      <w:r w:rsidRPr="001075D9">
        <w:rPr>
          <w:i/>
          <w:szCs w:val="24"/>
        </w:rPr>
        <w:t>Supported Employment Services Award</w:t>
      </w:r>
      <w:r w:rsidR="00852919" w:rsidRPr="001075D9">
        <w:rPr>
          <w:i/>
          <w:szCs w:val="24"/>
        </w:rPr>
        <w:t xml:space="preserve"> 2010</w:t>
      </w:r>
      <w:r w:rsidRPr="0065576B">
        <w:rPr>
          <w:szCs w:val="24"/>
        </w:rPr>
        <w:t xml:space="preserve">.  Their application </w:t>
      </w:r>
      <w:r w:rsidR="00852919">
        <w:rPr>
          <w:szCs w:val="24"/>
        </w:rPr>
        <w:t>requeste</w:t>
      </w:r>
      <w:r w:rsidRPr="0065576B">
        <w:rPr>
          <w:szCs w:val="24"/>
        </w:rPr>
        <w:t>d the Fair Work Commission arbitrat</w:t>
      </w:r>
      <w:r w:rsidR="00C557C0">
        <w:rPr>
          <w:szCs w:val="24"/>
        </w:rPr>
        <w:t>e the matter</w:t>
      </w:r>
      <w:r w:rsidRPr="0065576B">
        <w:rPr>
          <w:szCs w:val="24"/>
        </w:rPr>
        <w:t xml:space="preserve"> after 21 May 2015</w:t>
      </w:r>
      <w:r w:rsidR="00C557C0">
        <w:rPr>
          <w:szCs w:val="24"/>
        </w:rPr>
        <w:t>,</w:t>
      </w:r>
      <w:r w:rsidRPr="0065576B">
        <w:rPr>
          <w:szCs w:val="24"/>
        </w:rPr>
        <w:t xml:space="preserve"> if consent ha</w:t>
      </w:r>
      <w:r w:rsidR="00C557C0">
        <w:rPr>
          <w:szCs w:val="24"/>
        </w:rPr>
        <w:t>s</w:t>
      </w:r>
      <w:r w:rsidRPr="0065576B">
        <w:rPr>
          <w:szCs w:val="24"/>
        </w:rPr>
        <w:t xml:space="preserve"> not been reached by that time. </w:t>
      </w:r>
      <w:r w:rsidRPr="0065576B">
        <w:rPr>
          <w:color w:val="auto"/>
          <w:szCs w:val="24"/>
          <w:lang w:eastAsia="en-AU"/>
        </w:rPr>
        <w:t xml:space="preserve">  </w:t>
      </w:r>
    </w:p>
    <w:p w:rsidR="00883322" w:rsidRPr="0065576B" w:rsidRDefault="004928C9" w:rsidP="001B3D40">
      <w:pPr>
        <w:pStyle w:val="SubmissionNormal"/>
        <w:ind w:left="360"/>
        <w:rPr>
          <w:color w:val="auto"/>
          <w:szCs w:val="24"/>
          <w:lang w:eastAsia="en-AU"/>
        </w:rPr>
      </w:pPr>
      <w:r w:rsidRPr="0065576B">
        <w:rPr>
          <w:color w:val="auto"/>
          <w:szCs w:val="24"/>
          <w:lang w:eastAsia="en-AU"/>
        </w:rPr>
        <w:t xml:space="preserve">  </w:t>
      </w:r>
    </w:p>
    <w:p w:rsidR="004928C9" w:rsidRPr="0065576B" w:rsidRDefault="004928C9" w:rsidP="001B3D40">
      <w:pPr>
        <w:pStyle w:val="SubmissionNormal"/>
        <w:ind w:left="360"/>
        <w:rPr>
          <w:lang w:val="en" w:eastAsia="en-AU"/>
        </w:rPr>
      </w:pPr>
      <w:r w:rsidRPr="0065576B">
        <w:rPr>
          <w:lang w:val="en" w:eastAsia="en-AU"/>
        </w:rPr>
        <w:t xml:space="preserve"> </w:t>
      </w:r>
    </w:p>
    <w:p w:rsidR="0065576B" w:rsidRDefault="0065576B">
      <w:pPr>
        <w:rPr>
          <w:rFonts w:eastAsiaTheme="majorEastAsia" w:cstheme="majorBidi"/>
          <w:b/>
          <w:bCs/>
        </w:rPr>
      </w:pPr>
      <w:r>
        <w:br w:type="page"/>
      </w:r>
    </w:p>
    <w:p w:rsidR="004928C9" w:rsidRPr="0065576B" w:rsidRDefault="00883322" w:rsidP="00AF2356">
      <w:pPr>
        <w:pStyle w:val="Heading3"/>
      </w:pPr>
      <w:r w:rsidRPr="0065576B">
        <w:lastRenderedPageBreak/>
        <w:t>Condition (b):</w:t>
      </w:r>
      <w:r w:rsidR="00AF2356" w:rsidRPr="0065576B">
        <w:t xml:space="preserve"> </w:t>
      </w:r>
      <w:r w:rsidR="004928C9" w:rsidRPr="0065576B">
        <w:t>Take all appropriate steps to ensure ADEs using or proposing to use BSWAT to conduct wage assessments immediately commence using the SWS, or an alternative tool approved by FWC, (other than BSWAT) to conduct new and outstanding wage assessments.</w:t>
      </w:r>
    </w:p>
    <w:p w:rsidR="00CF6C84" w:rsidRPr="0065576B" w:rsidRDefault="00CF6C84" w:rsidP="00883322">
      <w:pPr>
        <w:pStyle w:val="SubmissionNormal"/>
        <w:rPr>
          <w:iCs/>
          <w:szCs w:val="24"/>
          <w:lang w:eastAsia="en-AU"/>
        </w:rPr>
      </w:pPr>
      <w:r w:rsidRPr="0065576B">
        <w:rPr>
          <w:color w:val="auto"/>
          <w:szCs w:val="24"/>
          <w:lang w:eastAsia="en-AU"/>
        </w:rPr>
        <w:t>The</w:t>
      </w:r>
      <w:r w:rsidR="004928C9" w:rsidRPr="0065576B">
        <w:rPr>
          <w:color w:val="auto"/>
          <w:szCs w:val="24"/>
          <w:lang w:eastAsia="en-AU"/>
        </w:rPr>
        <w:t xml:space="preserve"> Commonwealth suspended BSWAT wage assessments for supported employees working in ADEs on 24 December 2012. </w:t>
      </w:r>
    </w:p>
    <w:p w:rsidR="00CF6C84" w:rsidRPr="0065576B" w:rsidRDefault="001B60A5" w:rsidP="00883322">
      <w:pPr>
        <w:pStyle w:val="SubmissionNormal"/>
        <w:rPr>
          <w:color w:val="auto"/>
          <w:szCs w:val="24"/>
          <w:lang w:eastAsia="en-AU"/>
        </w:rPr>
      </w:pPr>
      <w:r w:rsidRPr="0065576B">
        <w:rPr>
          <w:color w:val="auto"/>
          <w:szCs w:val="24"/>
          <w:lang w:eastAsia="en-AU"/>
        </w:rPr>
        <w:t>T</w:t>
      </w:r>
      <w:r w:rsidR="00CF6C84" w:rsidRPr="0065576B">
        <w:rPr>
          <w:color w:val="auto"/>
          <w:szCs w:val="24"/>
          <w:lang w:eastAsia="en-AU"/>
        </w:rPr>
        <w:t>he Department has continued to encourage transition to other wage assessment tools through information such as disAbilty e-news and regional Grant Agreement Managers</w:t>
      </w:r>
      <w:r w:rsidRPr="0065576B">
        <w:rPr>
          <w:color w:val="auto"/>
          <w:szCs w:val="24"/>
          <w:lang w:eastAsia="en-AU"/>
        </w:rPr>
        <w:t>.  T</w:t>
      </w:r>
      <w:r w:rsidR="00CF6C84" w:rsidRPr="0065576B">
        <w:rPr>
          <w:color w:val="auto"/>
          <w:szCs w:val="24"/>
          <w:lang w:eastAsia="en-AU"/>
        </w:rPr>
        <w:t xml:space="preserve">ransition is dependent on each ADE deciding which </w:t>
      </w:r>
      <w:r w:rsidR="00C557C0">
        <w:rPr>
          <w:color w:val="auto"/>
          <w:szCs w:val="24"/>
          <w:lang w:eastAsia="en-AU"/>
        </w:rPr>
        <w:t>wage</w:t>
      </w:r>
      <w:r w:rsidR="00CF6C84" w:rsidRPr="0065576B">
        <w:rPr>
          <w:color w:val="auto"/>
          <w:szCs w:val="24"/>
          <w:lang w:eastAsia="en-AU"/>
        </w:rPr>
        <w:t xml:space="preserve"> tool is appropriate given their individual circumstance.</w:t>
      </w:r>
    </w:p>
    <w:p w:rsidR="00883322" w:rsidRPr="0065576B" w:rsidRDefault="00883322" w:rsidP="00883322">
      <w:pPr>
        <w:pStyle w:val="SubmissionNormal"/>
        <w:rPr>
          <w:color w:val="auto"/>
          <w:szCs w:val="24"/>
          <w:lang w:eastAsia="en-AU"/>
        </w:rPr>
      </w:pPr>
    </w:p>
    <w:p w:rsidR="004928C9" w:rsidRPr="0065576B" w:rsidRDefault="00883322" w:rsidP="00AF2356">
      <w:pPr>
        <w:pStyle w:val="Heading3"/>
        <w:rPr>
          <w:szCs w:val="24"/>
          <w:lang w:eastAsia="en-AU"/>
        </w:rPr>
      </w:pPr>
      <w:r w:rsidRPr="0065576B">
        <w:t>Condition (c):</w:t>
      </w:r>
      <w:r w:rsidR="00AF2356" w:rsidRPr="0065576B">
        <w:t xml:space="preserve"> </w:t>
      </w:r>
      <w:r w:rsidR="004928C9" w:rsidRPr="0065576B">
        <w:rPr>
          <w:szCs w:val="24"/>
          <w:lang w:eastAsia="en-AU"/>
        </w:rPr>
        <w:t>Report to the Commission, on a quarterly basis during the exemption period, as to:</w:t>
      </w:r>
    </w:p>
    <w:p w:rsidR="00AF2356" w:rsidRPr="0065576B" w:rsidRDefault="004928C9" w:rsidP="00AF2356">
      <w:pPr>
        <w:pStyle w:val="Heading3"/>
        <w:numPr>
          <w:ilvl w:val="0"/>
          <w:numId w:val="6"/>
        </w:numPr>
        <w:rPr>
          <w:szCs w:val="24"/>
          <w:lang w:eastAsia="en-AU"/>
        </w:rPr>
      </w:pPr>
      <w:r w:rsidRPr="0065576B">
        <w:rPr>
          <w:szCs w:val="24"/>
          <w:lang w:eastAsia="en-AU"/>
        </w:rPr>
        <w:t>The number of assessments conducted each quarter; and</w:t>
      </w:r>
    </w:p>
    <w:p w:rsidR="004928C9" w:rsidRPr="0065576B" w:rsidRDefault="004928C9" w:rsidP="00AF2356">
      <w:pPr>
        <w:pStyle w:val="Heading3"/>
        <w:numPr>
          <w:ilvl w:val="0"/>
          <w:numId w:val="6"/>
        </w:numPr>
        <w:rPr>
          <w:szCs w:val="24"/>
          <w:lang w:eastAsia="en-AU"/>
        </w:rPr>
      </w:pPr>
      <w:r w:rsidRPr="0065576B">
        <w:rPr>
          <w:szCs w:val="24"/>
          <w:lang w:eastAsia="en-AU"/>
        </w:rPr>
        <w:t>The number of assessments still to be conducted.</w:t>
      </w:r>
    </w:p>
    <w:p w:rsidR="00B63905" w:rsidRPr="0065576B" w:rsidRDefault="00B63905" w:rsidP="00B63905">
      <w:pPr>
        <w:rPr>
          <w:lang w:eastAsia="en-AU"/>
        </w:rPr>
      </w:pPr>
    </w:p>
    <w:p w:rsidR="0006784A" w:rsidRPr="0065576B" w:rsidRDefault="0006784A" w:rsidP="00AF2356">
      <w:pPr>
        <w:pStyle w:val="Heading4"/>
        <w:rPr>
          <w:lang w:eastAsia="en-AU"/>
        </w:rPr>
      </w:pPr>
      <w:r w:rsidRPr="0065576B">
        <w:rPr>
          <w:lang w:eastAsia="en-AU"/>
        </w:rPr>
        <w:t>Organisation</w:t>
      </w:r>
      <w:r w:rsidR="00883322" w:rsidRPr="0065576B">
        <w:rPr>
          <w:lang w:eastAsia="en-AU"/>
        </w:rPr>
        <w:t>-</w:t>
      </w:r>
      <w:r w:rsidRPr="0065576B">
        <w:rPr>
          <w:lang w:eastAsia="en-AU"/>
        </w:rPr>
        <w:t>level data:</w:t>
      </w:r>
      <w:r w:rsidRPr="0065576B">
        <w:rPr>
          <w:rStyle w:val="FootnoteReference"/>
          <w:szCs w:val="24"/>
          <w:lang w:eastAsia="en-AU"/>
        </w:rPr>
        <w:t xml:space="preserve"> </w:t>
      </w:r>
      <w:r w:rsidRPr="0065576B">
        <w:rPr>
          <w:rStyle w:val="FootnoteReference"/>
          <w:szCs w:val="24"/>
          <w:lang w:eastAsia="en-AU"/>
        </w:rPr>
        <w:footnoteReference w:id="1"/>
      </w:r>
    </w:p>
    <w:tbl>
      <w:tblPr>
        <w:tblStyle w:val="TableGrid"/>
        <w:tblW w:w="0" w:type="auto"/>
        <w:tblLook w:val="04A0" w:firstRow="1" w:lastRow="0" w:firstColumn="1" w:lastColumn="0" w:noHBand="0" w:noVBand="1"/>
      </w:tblPr>
      <w:tblGrid>
        <w:gridCol w:w="1242"/>
        <w:gridCol w:w="1359"/>
        <w:gridCol w:w="1435"/>
        <w:gridCol w:w="1435"/>
        <w:gridCol w:w="1435"/>
        <w:gridCol w:w="1168"/>
        <w:gridCol w:w="1168"/>
      </w:tblGrid>
      <w:tr w:rsidR="00CE2411" w:rsidRPr="0065576B" w:rsidTr="00883322">
        <w:tc>
          <w:tcPr>
            <w:tcW w:w="1242" w:type="dxa"/>
            <w:vAlign w:val="center"/>
          </w:tcPr>
          <w:p w:rsidR="00CE2411" w:rsidRPr="0065576B" w:rsidRDefault="00CE2411" w:rsidP="00883322">
            <w:pPr>
              <w:pStyle w:val="SubmissionNormal"/>
              <w:jc w:val="center"/>
              <w:rPr>
                <w:color w:val="auto"/>
                <w:sz w:val="16"/>
                <w:szCs w:val="16"/>
                <w:lang w:eastAsia="en-AU"/>
              </w:rPr>
            </w:pPr>
            <w:r w:rsidRPr="0065576B">
              <w:rPr>
                <w:color w:val="auto"/>
                <w:sz w:val="16"/>
                <w:szCs w:val="16"/>
                <w:lang w:eastAsia="en-AU"/>
              </w:rPr>
              <w:t>Report period</w:t>
            </w:r>
          </w:p>
        </w:tc>
        <w:tc>
          <w:tcPr>
            <w:tcW w:w="1359" w:type="dxa"/>
            <w:vAlign w:val="center"/>
          </w:tcPr>
          <w:p w:rsidR="00CE2411" w:rsidRPr="0065576B" w:rsidRDefault="00CE2411" w:rsidP="00883322">
            <w:pPr>
              <w:pStyle w:val="SubmissionNormal"/>
              <w:jc w:val="center"/>
              <w:rPr>
                <w:color w:val="auto"/>
                <w:sz w:val="16"/>
                <w:szCs w:val="16"/>
                <w:lang w:eastAsia="en-AU"/>
              </w:rPr>
            </w:pPr>
            <w:r w:rsidRPr="0065576B">
              <w:rPr>
                <w:color w:val="auto"/>
                <w:sz w:val="16"/>
                <w:szCs w:val="16"/>
                <w:lang w:eastAsia="en-AU"/>
              </w:rPr>
              <w:t>Number or organisations previously using BSWAT</w:t>
            </w:r>
          </w:p>
        </w:tc>
        <w:tc>
          <w:tcPr>
            <w:tcW w:w="1435" w:type="dxa"/>
            <w:vAlign w:val="center"/>
          </w:tcPr>
          <w:p w:rsidR="00CE2411" w:rsidRPr="0065576B" w:rsidRDefault="00CE2411" w:rsidP="00883322">
            <w:pPr>
              <w:pStyle w:val="SubmissionNormal"/>
              <w:jc w:val="center"/>
              <w:rPr>
                <w:color w:val="auto"/>
                <w:sz w:val="16"/>
                <w:szCs w:val="16"/>
                <w:lang w:eastAsia="en-AU"/>
              </w:rPr>
            </w:pPr>
            <w:r w:rsidRPr="0065576B">
              <w:rPr>
                <w:color w:val="auto"/>
                <w:sz w:val="16"/>
                <w:szCs w:val="16"/>
                <w:lang w:eastAsia="en-AU"/>
              </w:rPr>
              <w:t>Number of organisations with all workers using alternate tool</w:t>
            </w:r>
          </w:p>
        </w:tc>
        <w:tc>
          <w:tcPr>
            <w:tcW w:w="1435" w:type="dxa"/>
            <w:vAlign w:val="center"/>
          </w:tcPr>
          <w:p w:rsidR="00CE2411" w:rsidRPr="0065576B" w:rsidRDefault="00CE2411" w:rsidP="00883322">
            <w:pPr>
              <w:pStyle w:val="SubmissionNormal"/>
              <w:jc w:val="center"/>
              <w:rPr>
                <w:color w:val="auto"/>
                <w:sz w:val="16"/>
                <w:szCs w:val="16"/>
                <w:lang w:eastAsia="en-AU"/>
              </w:rPr>
            </w:pPr>
            <w:r w:rsidRPr="0065576B">
              <w:rPr>
                <w:color w:val="auto"/>
                <w:sz w:val="16"/>
                <w:szCs w:val="16"/>
                <w:lang w:eastAsia="en-AU"/>
              </w:rPr>
              <w:t>Number of organisations with alternative tool and completed some assessments</w:t>
            </w:r>
          </w:p>
        </w:tc>
        <w:tc>
          <w:tcPr>
            <w:tcW w:w="1435" w:type="dxa"/>
            <w:vAlign w:val="center"/>
          </w:tcPr>
          <w:p w:rsidR="00CE2411" w:rsidRPr="0065576B" w:rsidRDefault="00CE2411" w:rsidP="00883322">
            <w:pPr>
              <w:pStyle w:val="SubmissionNormal"/>
              <w:jc w:val="center"/>
              <w:rPr>
                <w:color w:val="auto"/>
                <w:sz w:val="16"/>
                <w:szCs w:val="16"/>
                <w:lang w:eastAsia="en-AU"/>
              </w:rPr>
            </w:pPr>
            <w:r w:rsidRPr="0065576B">
              <w:rPr>
                <w:color w:val="auto"/>
                <w:sz w:val="16"/>
                <w:szCs w:val="16"/>
                <w:lang w:eastAsia="en-AU"/>
              </w:rPr>
              <w:t>Number of orga</w:t>
            </w:r>
            <w:r w:rsidR="002C472E">
              <w:rPr>
                <w:color w:val="auto"/>
                <w:sz w:val="16"/>
                <w:szCs w:val="16"/>
                <w:lang w:eastAsia="en-AU"/>
              </w:rPr>
              <w:t>nisations with alternative tool</w:t>
            </w:r>
            <w:r w:rsidRPr="0065576B">
              <w:rPr>
                <w:color w:val="auto"/>
                <w:sz w:val="16"/>
                <w:szCs w:val="16"/>
                <w:lang w:eastAsia="en-AU"/>
              </w:rPr>
              <w:t>, but have not commenced assessments</w:t>
            </w:r>
          </w:p>
        </w:tc>
        <w:tc>
          <w:tcPr>
            <w:tcW w:w="1168" w:type="dxa"/>
            <w:vAlign w:val="center"/>
          </w:tcPr>
          <w:p w:rsidR="00CE2411" w:rsidRPr="0065576B" w:rsidRDefault="00CE2411" w:rsidP="00883322">
            <w:pPr>
              <w:pStyle w:val="SubmissionNormal"/>
              <w:jc w:val="center"/>
              <w:rPr>
                <w:color w:val="auto"/>
                <w:sz w:val="16"/>
                <w:szCs w:val="16"/>
                <w:lang w:eastAsia="en-AU"/>
              </w:rPr>
            </w:pPr>
            <w:r w:rsidRPr="0065576B">
              <w:rPr>
                <w:color w:val="auto"/>
                <w:sz w:val="16"/>
                <w:szCs w:val="16"/>
                <w:lang w:eastAsia="en-AU"/>
              </w:rPr>
              <w:t>Number of organisations who have not identified an alternate tool</w:t>
            </w:r>
          </w:p>
        </w:tc>
        <w:tc>
          <w:tcPr>
            <w:tcW w:w="1168" w:type="dxa"/>
            <w:vAlign w:val="center"/>
          </w:tcPr>
          <w:p w:rsidR="00CE2411" w:rsidRPr="0065576B" w:rsidRDefault="00CE2411" w:rsidP="00883322">
            <w:pPr>
              <w:pStyle w:val="SubmissionNormal"/>
              <w:jc w:val="center"/>
              <w:rPr>
                <w:color w:val="auto"/>
                <w:sz w:val="16"/>
                <w:szCs w:val="16"/>
                <w:lang w:eastAsia="en-AU"/>
              </w:rPr>
            </w:pPr>
            <w:r w:rsidRPr="0065576B">
              <w:rPr>
                <w:color w:val="auto"/>
                <w:sz w:val="16"/>
                <w:szCs w:val="16"/>
                <w:lang w:eastAsia="en-AU"/>
              </w:rPr>
              <w:t>Number of organisations who no longer provide supported employment</w:t>
            </w:r>
          </w:p>
        </w:tc>
      </w:tr>
      <w:tr w:rsidR="00CE2411" w:rsidRPr="0065576B" w:rsidTr="0006784A">
        <w:tc>
          <w:tcPr>
            <w:tcW w:w="1242" w:type="dxa"/>
          </w:tcPr>
          <w:p w:rsidR="00CE2411" w:rsidRPr="0065576B" w:rsidRDefault="00CE2411" w:rsidP="00CE2411">
            <w:pPr>
              <w:pStyle w:val="SubmissionNormal"/>
              <w:rPr>
                <w:color w:val="auto"/>
                <w:sz w:val="16"/>
                <w:szCs w:val="16"/>
                <w:lang w:eastAsia="en-AU"/>
              </w:rPr>
            </w:pPr>
            <w:r w:rsidRPr="0065576B">
              <w:rPr>
                <w:color w:val="auto"/>
                <w:sz w:val="16"/>
                <w:szCs w:val="16"/>
                <w:lang w:eastAsia="en-AU"/>
              </w:rPr>
              <w:t>Third Quarter:</w:t>
            </w:r>
          </w:p>
          <w:p w:rsidR="00CE2411" w:rsidRPr="0065576B" w:rsidRDefault="00CE2411" w:rsidP="00CE2411">
            <w:pPr>
              <w:pStyle w:val="SubmissionNormal"/>
              <w:rPr>
                <w:color w:val="auto"/>
                <w:sz w:val="16"/>
                <w:szCs w:val="16"/>
                <w:lang w:eastAsia="en-AU"/>
              </w:rPr>
            </w:pPr>
            <w:r w:rsidRPr="0065576B">
              <w:rPr>
                <w:color w:val="auto"/>
                <w:sz w:val="16"/>
                <w:szCs w:val="16"/>
                <w:lang w:eastAsia="en-AU"/>
              </w:rPr>
              <w:t>1 Nov 2014 – 31 Jan 2015</w:t>
            </w:r>
          </w:p>
        </w:tc>
        <w:tc>
          <w:tcPr>
            <w:tcW w:w="1359" w:type="dxa"/>
          </w:tcPr>
          <w:p w:rsidR="00CE2411" w:rsidRPr="0065576B" w:rsidRDefault="00CE2411" w:rsidP="00CE2411">
            <w:pPr>
              <w:pStyle w:val="SubmissionNormal"/>
              <w:rPr>
                <w:color w:val="auto"/>
                <w:sz w:val="16"/>
                <w:szCs w:val="16"/>
                <w:lang w:eastAsia="en-AU"/>
              </w:rPr>
            </w:pPr>
            <w:r w:rsidRPr="0065576B">
              <w:rPr>
                <w:color w:val="auto"/>
                <w:sz w:val="16"/>
                <w:szCs w:val="16"/>
                <w:lang w:eastAsia="en-AU"/>
              </w:rPr>
              <w:t>109</w:t>
            </w:r>
          </w:p>
        </w:tc>
        <w:tc>
          <w:tcPr>
            <w:tcW w:w="1435" w:type="dxa"/>
          </w:tcPr>
          <w:p w:rsidR="00CE2411" w:rsidRPr="0065576B" w:rsidRDefault="00CE2411" w:rsidP="00CE2411">
            <w:pPr>
              <w:pStyle w:val="SubmissionNormal"/>
              <w:rPr>
                <w:color w:val="auto"/>
                <w:sz w:val="16"/>
                <w:szCs w:val="16"/>
                <w:lang w:eastAsia="en-AU"/>
              </w:rPr>
            </w:pPr>
            <w:r w:rsidRPr="0065576B">
              <w:rPr>
                <w:color w:val="auto"/>
                <w:sz w:val="16"/>
                <w:szCs w:val="16"/>
                <w:lang w:eastAsia="en-AU"/>
              </w:rPr>
              <w:t>17</w:t>
            </w:r>
          </w:p>
        </w:tc>
        <w:tc>
          <w:tcPr>
            <w:tcW w:w="1435" w:type="dxa"/>
          </w:tcPr>
          <w:p w:rsidR="00CE2411" w:rsidRPr="0065576B" w:rsidRDefault="00CE2411" w:rsidP="00CE2411">
            <w:pPr>
              <w:pStyle w:val="SubmissionNormal"/>
              <w:rPr>
                <w:color w:val="auto"/>
                <w:sz w:val="16"/>
                <w:szCs w:val="16"/>
                <w:lang w:eastAsia="en-AU"/>
              </w:rPr>
            </w:pPr>
            <w:r w:rsidRPr="0065576B">
              <w:rPr>
                <w:color w:val="auto"/>
                <w:sz w:val="16"/>
                <w:szCs w:val="16"/>
                <w:lang w:eastAsia="en-AU"/>
              </w:rPr>
              <w:t>19</w:t>
            </w:r>
          </w:p>
        </w:tc>
        <w:tc>
          <w:tcPr>
            <w:tcW w:w="1435" w:type="dxa"/>
          </w:tcPr>
          <w:p w:rsidR="00CE2411" w:rsidRPr="0065576B" w:rsidRDefault="00CE2411" w:rsidP="00CE2411">
            <w:pPr>
              <w:pStyle w:val="SubmissionNormal"/>
              <w:rPr>
                <w:color w:val="auto"/>
                <w:sz w:val="16"/>
                <w:szCs w:val="16"/>
                <w:lang w:eastAsia="en-AU"/>
              </w:rPr>
            </w:pPr>
            <w:r w:rsidRPr="0065576B">
              <w:rPr>
                <w:color w:val="auto"/>
                <w:sz w:val="16"/>
                <w:szCs w:val="16"/>
                <w:lang w:eastAsia="en-AU"/>
              </w:rPr>
              <w:t>47</w:t>
            </w:r>
          </w:p>
        </w:tc>
        <w:tc>
          <w:tcPr>
            <w:tcW w:w="1168" w:type="dxa"/>
          </w:tcPr>
          <w:p w:rsidR="00CE2411" w:rsidRPr="0065576B" w:rsidRDefault="00CE2411" w:rsidP="00CE2411">
            <w:pPr>
              <w:pStyle w:val="SubmissionNormal"/>
              <w:rPr>
                <w:color w:val="auto"/>
                <w:sz w:val="16"/>
                <w:szCs w:val="16"/>
                <w:lang w:eastAsia="en-AU"/>
              </w:rPr>
            </w:pPr>
            <w:r w:rsidRPr="0065576B">
              <w:rPr>
                <w:color w:val="auto"/>
                <w:sz w:val="16"/>
                <w:szCs w:val="16"/>
                <w:lang w:eastAsia="en-AU"/>
              </w:rPr>
              <w:t>24</w:t>
            </w:r>
          </w:p>
        </w:tc>
        <w:tc>
          <w:tcPr>
            <w:tcW w:w="1168" w:type="dxa"/>
          </w:tcPr>
          <w:p w:rsidR="00CE2411" w:rsidRPr="0065576B" w:rsidRDefault="00CE2411" w:rsidP="00CE2411">
            <w:pPr>
              <w:pStyle w:val="SubmissionNormal"/>
              <w:rPr>
                <w:color w:val="auto"/>
                <w:sz w:val="16"/>
                <w:szCs w:val="16"/>
                <w:lang w:eastAsia="en-AU"/>
              </w:rPr>
            </w:pPr>
            <w:r w:rsidRPr="0065576B">
              <w:rPr>
                <w:color w:val="auto"/>
                <w:sz w:val="16"/>
                <w:szCs w:val="16"/>
                <w:lang w:eastAsia="en-AU"/>
              </w:rPr>
              <w:t xml:space="preserve">2 </w:t>
            </w:r>
          </w:p>
          <w:p w:rsidR="00CE2411" w:rsidRPr="0065576B" w:rsidRDefault="00CE2411" w:rsidP="00CE2411">
            <w:pPr>
              <w:pStyle w:val="SubmissionNormal"/>
              <w:rPr>
                <w:color w:val="auto"/>
                <w:sz w:val="16"/>
                <w:szCs w:val="16"/>
                <w:lang w:eastAsia="en-AU"/>
              </w:rPr>
            </w:pPr>
            <w:r w:rsidRPr="0065576B">
              <w:rPr>
                <w:color w:val="auto"/>
                <w:sz w:val="16"/>
                <w:szCs w:val="16"/>
                <w:lang w:eastAsia="en-AU"/>
              </w:rPr>
              <w:t>(in process)</w:t>
            </w:r>
          </w:p>
        </w:tc>
      </w:tr>
      <w:tr w:rsidR="00CE2411" w:rsidRPr="0065576B" w:rsidTr="0006784A">
        <w:tc>
          <w:tcPr>
            <w:tcW w:w="1242" w:type="dxa"/>
          </w:tcPr>
          <w:p w:rsidR="00CE2411" w:rsidRPr="0065576B" w:rsidRDefault="00CE2411" w:rsidP="00CE2411">
            <w:pPr>
              <w:pStyle w:val="SubmissionNormal"/>
              <w:rPr>
                <w:color w:val="auto"/>
                <w:sz w:val="16"/>
                <w:szCs w:val="16"/>
                <w:lang w:eastAsia="en-AU"/>
              </w:rPr>
            </w:pPr>
            <w:r w:rsidRPr="0065576B">
              <w:rPr>
                <w:color w:val="auto"/>
                <w:sz w:val="16"/>
                <w:szCs w:val="16"/>
                <w:lang w:eastAsia="en-AU"/>
              </w:rPr>
              <w:t>Fourth Quarter:</w:t>
            </w:r>
          </w:p>
          <w:p w:rsidR="00CE2411" w:rsidRPr="0065576B" w:rsidRDefault="00CE2411" w:rsidP="00CE2411">
            <w:pPr>
              <w:pStyle w:val="SubmissionNormal"/>
              <w:rPr>
                <w:color w:val="auto"/>
                <w:sz w:val="16"/>
                <w:szCs w:val="16"/>
                <w:lang w:eastAsia="en-AU"/>
              </w:rPr>
            </w:pPr>
            <w:r w:rsidRPr="0065576B">
              <w:rPr>
                <w:color w:val="auto"/>
                <w:sz w:val="16"/>
                <w:szCs w:val="16"/>
                <w:lang w:eastAsia="en-AU"/>
              </w:rPr>
              <w:t>1 Feb 2015 – 30 April 2015</w:t>
            </w:r>
          </w:p>
        </w:tc>
        <w:tc>
          <w:tcPr>
            <w:tcW w:w="1359" w:type="dxa"/>
          </w:tcPr>
          <w:p w:rsidR="00CE2411" w:rsidRPr="0065576B" w:rsidRDefault="00CE2411" w:rsidP="0006784A">
            <w:pPr>
              <w:pStyle w:val="SubmissionNormal"/>
              <w:rPr>
                <w:color w:val="auto"/>
                <w:sz w:val="16"/>
                <w:szCs w:val="16"/>
                <w:lang w:eastAsia="en-AU"/>
              </w:rPr>
            </w:pPr>
            <w:r w:rsidRPr="0065576B">
              <w:rPr>
                <w:color w:val="auto"/>
                <w:sz w:val="16"/>
                <w:szCs w:val="16"/>
                <w:lang w:eastAsia="en-AU"/>
              </w:rPr>
              <w:t>1</w:t>
            </w:r>
            <w:r w:rsidR="0006784A" w:rsidRPr="0065576B">
              <w:rPr>
                <w:color w:val="auto"/>
                <w:sz w:val="16"/>
                <w:szCs w:val="16"/>
                <w:lang w:eastAsia="en-AU"/>
              </w:rPr>
              <w:t>10</w:t>
            </w:r>
            <w:r w:rsidR="0006784A" w:rsidRPr="0065576B">
              <w:rPr>
                <w:rStyle w:val="FootnoteReference"/>
                <w:color w:val="auto"/>
                <w:sz w:val="16"/>
                <w:szCs w:val="16"/>
                <w:lang w:eastAsia="en-AU"/>
              </w:rPr>
              <w:footnoteReference w:id="2"/>
            </w:r>
          </w:p>
          <w:p w:rsidR="0006784A" w:rsidRPr="0065576B" w:rsidRDefault="0006784A" w:rsidP="0006784A">
            <w:pPr>
              <w:pStyle w:val="SubmissionNormal"/>
              <w:rPr>
                <w:color w:val="auto"/>
                <w:sz w:val="16"/>
                <w:szCs w:val="16"/>
                <w:lang w:eastAsia="en-AU"/>
              </w:rPr>
            </w:pPr>
          </w:p>
        </w:tc>
        <w:tc>
          <w:tcPr>
            <w:tcW w:w="1435" w:type="dxa"/>
          </w:tcPr>
          <w:p w:rsidR="00CE2411" w:rsidRPr="0065576B" w:rsidRDefault="00CE2411" w:rsidP="00CE2411">
            <w:pPr>
              <w:pStyle w:val="SubmissionNormal"/>
              <w:rPr>
                <w:color w:val="auto"/>
                <w:sz w:val="16"/>
                <w:szCs w:val="16"/>
                <w:lang w:eastAsia="en-AU"/>
              </w:rPr>
            </w:pPr>
            <w:r w:rsidRPr="0065576B">
              <w:rPr>
                <w:color w:val="auto"/>
                <w:sz w:val="16"/>
                <w:szCs w:val="16"/>
                <w:lang w:eastAsia="en-AU"/>
              </w:rPr>
              <w:t>37</w:t>
            </w:r>
          </w:p>
        </w:tc>
        <w:tc>
          <w:tcPr>
            <w:tcW w:w="1435" w:type="dxa"/>
          </w:tcPr>
          <w:p w:rsidR="00CE2411" w:rsidRPr="0065576B" w:rsidRDefault="00CE2411" w:rsidP="00CE2411">
            <w:pPr>
              <w:pStyle w:val="SubmissionNormal"/>
              <w:rPr>
                <w:color w:val="auto"/>
                <w:sz w:val="16"/>
                <w:szCs w:val="16"/>
                <w:lang w:eastAsia="en-AU"/>
              </w:rPr>
            </w:pPr>
            <w:r w:rsidRPr="0065576B">
              <w:rPr>
                <w:color w:val="auto"/>
                <w:sz w:val="16"/>
                <w:szCs w:val="16"/>
                <w:lang w:eastAsia="en-AU"/>
              </w:rPr>
              <w:t>35</w:t>
            </w:r>
          </w:p>
        </w:tc>
        <w:tc>
          <w:tcPr>
            <w:tcW w:w="1435" w:type="dxa"/>
          </w:tcPr>
          <w:p w:rsidR="00CE2411" w:rsidRPr="0065576B" w:rsidRDefault="00CE2411" w:rsidP="00CE2411">
            <w:pPr>
              <w:pStyle w:val="SubmissionNormal"/>
              <w:rPr>
                <w:color w:val="auto"/>
                <w:sz w:val="16"/>
                <w:szCs w:val="16"/>
                <w:lang w:eastAsia="en-AU"/>
              </w:rPr>
            </w:pPr>
            <w:r w:rsidRPr="0065576B">
              <w:rPr>
                <w:color w:val="auto"/>
                <w:sz w:val="16"/>
                <w:szCs w:val="16"/>
                <w:lang w:eastAsia="en-AU"/>
              </w:rPr>
              <w:t>33</w:t>
            </w:r>
          </w:p>
        </w:tc>
        <w:tc>
          <w:tcPr>
            <w:tcW w:w="1168" w:type="dxa"/>
          </w:tcPr>
          <w:p w:rsidR="00CE2411" w:rsidRPr="0065576B" w:rsidRDefault="00CE2411" w:rsidP="00CE2411">
            <w:pPr>
              <w:pStyle w:val="SubmissionNormal"/>
              <w:rPr>
                <w:color w:val="auto"/>
                <w:sz w:val="16"/>
                <w:szCs w:val="16"/>
                <w:lang w:eastAsia="en-AU"/>
              </w:rPr>
            </w:pPr>
            <w:r w:rsidRPr="0065576B">
              <w:rPr>
                <w:color w:val="auto"/>
                <w:sz w:val="16"/>
                <w:szCs w:val="16"/>
                <w:lang w:eastAsia="en-AU"/>
              </w:rPr>
              <w:t>3</w:t>
            </w:r>
          </w:p>
        </w:tc>
        <w:tc>
          <w:tcPr>
            <w:tcW w:w="1168" w:type="dxa"/>
          </w:tcPr>
          <w:p w:rsidR="00CE2411" w:rsidRPr="0065576B" w:rsidRDefault="00CE2411" w:rsidP="00CE2411">
            <w:pPr>
              <w:pStyle w:val="SubmissionNormal"/>
              <w:rPr>
                <w:color w:val="auto"/>
                <w:sz w:val="16"/>
                <w:szCs w:val="16"/>
                <w:lang w:eastAsia="en-AU"/>
              </w:rPr>
            </w:pPr>
            <w:r w:rsidRPr="0065576B">
              <w:rPr>
                <w:color w:val="auto"/>
                <w:sz w:val="16"/>
                <w:szCs w:val="16"/>
                <w:lang w:eastAsia="en-AU"/>
              </w:rPr>
              <w:t xml:space="preserve">2 </w:t>
            </w:r>
          </w:p>
        </w:tc>
      </w:tr>
    </w:tbl>
    <w:p w:rsidR="00AF2356" w:rsidRPr="0065576B" w:rsidRDefault="00AF2356" w:rsidP="00CE2411">
      <w:pPr>
        <w:pStyle w:val="SubmissionNormal"/>
        <w:rPr>
          <w:color w:val="auto"/>
          <w:szCs w:val="24"/>
          <w:lang w:eastAsia="en-AU"/>
        </w:rPr>
      </w:pPr>
    </w:p>
    <w:p w:rsidR="00AF2356" w:rsidRPr="0065576B" w:rsidRDefault="00AF2356" w:rsidP="00AF2356">
      <w:pPr>
        <w:rPr>
          <w:rFonts w:eastAsia="Times New Roman" w:cs="Times New Roman"/>
          <w:sz w:val="24"/>
          <w:lang w:eastAsia="en-AU"/>
        </w:rPr>
      </w:pPr>
      <w:r w:rsidRPr="0065576B">
        <w:rPr>
          <w:lang w:eastAsia="en-AU"/>
        </w:rPr>
        <w:br w:type="page"/>
      </w:r>
      <w:bookmarkStart w:id="0" w:name="_GoBack"/>
      <w:bookmarkEnd w:id="0"/>
    </w:p>
    <w:p w:rsidR="0006784A" w:rsidRPr="0065576B" w:rsidRDefault="0006784A" w:rsidP="00AF2356">
      <w:pPr>
        <w:pStyle w:val="Heading4"/>
        <w:rPr>
          <w:lang w:eastAsia="en-AU"/>
        </w:rPr>
      </w:pPr>
      <w:r w:rsidRPr="0065576B">
        <w:rPr>
          <w:lang w:eastAsia="en-AU"/>
        </w:rPr>
        <w:lastRenderedPageBreak/>
        <w:t xml:space="preserve">Supported </w:t>
      </w:r>
      <w:r w:rsidR="00883322" w:rsidRPr="0065576B">
        <w:rPr>
          <w:lang w:eastAsia="en-AU"/>
        </w:rPr>
        <w:t>e</w:t>
      </w:r>
      <w:r w:rsidRPr="0065576B">
        <w:rPr>
          <w:lang w:eastAsia="en-AU"/>
        </w:rPr>
        <w:t>mployee</w:t>
      </w:r>
      <w:r w:rsidR="00883322" w:rsidRPr="0065576B">
        <w:rPr>
          <w:lang w:eastAsia="en-AU"/>
        </w:rPr>
        <w:t>-</w:t>
      </w:r>
      <w:r w:rsidRPr="0065576B">
        <w:rPr>
          <w:lang w:eastAsia="en-AU"/>
        </w:rPr>
        <w:t>level data:</w:t>
      </w:r>
      <w:r w:rsidRPr="0065576B">
        <w:rPr>
          <w:rStyle w:val="FootnoteReference"/>
          <w:szCs w:val="24"/>
          <w:lang w:eastAsia="en-AU"/>
        </w:rPr>
        <w:t xml:space="preserve"> </w:t>
      </w:r>
      <w:r w:rsidRPr="0065576B">
        <w:rPr>
          <w:rStyle w:val="FootnoteReference"/>
          <w:szCs w:val="24"/>
          <w:lang w:eastAsia="en-AU"/>
        </w:rPr>
        <w:footnoteReference w:id="3"/>
      </w:r>
    </w:p>
    <w:tbl>
      <w:tblPr>
        <w:tblStyle w:val="TableGrid"/>
        <w:tblW w:w="9241" w:type="dxa"/>
        <w:tblLook w:val="04A0" w:firstRow="1" w:lastRow="0" w:firstColumn="1" w:lastColumn="0" w:noHBand="0" w:noVBand="1"/>
      </w:tblPr>
      <w:tblGrid>
        <w:gridCol w:w="1848"/>
        <w:gridCol w:w="1848"/>
        <w:gridCol w:w="1848"/>
        <w:gridCol w:w="1848"/>
        <w:gridCol w:w="1849"/>
      </w:tblGrid>
      <w:tr w:rsidR="0006784A" w:rsidRPr="0065576B" w:rsidTr="00883322">
        <w:tc>
          <w:tcPr>
            <w:tcW w:w="1848" w:type="dxa"/>
            <w:vAlign w:val="center"/>
          </w:tcPr>
          <w:p w:rsidR="0006784A" w:rsidRPr="0065576B" w:rsidRDefault="0006784A" w:rsidP="00883322">
            <w:pPr>
              <w:pStyle w:val="SubmissionNormal"/>
              <w:jc w:val="center"/>
              <w:rPr>
                <w:rFonts w:cs="Arial"/>
                <w:color w:val="auto"/>
                <w:sz w:val="16"/>
                <w:szCs w:val="16"/>
                <w:lang w:eastAsia="en-AU"/>
              </w:rPr>
            </w:pPr>
            <w:r w:rsidRPr="0065576B">
              <w:rPr>
                <w:rFonts w:cs="Arial"/>
                <w:color w:val="auto"/>
                <w:sz w:val="16"/>
                <w:szCs w:val="16"/>
                <w:lang w:eastAsia="en-AU"/>
              </w:rPr>
              <w:t>Report period</w:t>
            </w:r>
          </w:p>
        </w:tc>
        <w:tc>
          <w:tcPr>
            <w:tcW w:w="1848" w:type="dxa"/>
            <w:vAlign w:val="center"/>
          </w:tcPr>
          <w:p w:rsidR="0006784A" w:rsidRPr="0065576B" w:rsidRDefault="0006784A" w:rsidP="00883322">
            <w:pPr>
              <w:jc w:val="center"/>
              <w:rPr>
                <w:rFonts w:eastAsia="Times New Roman" w:cs="Arial"/>
                <w:color w:val="000000"/>
                <w:sz w:val="16"/>
                <w:szCs w:val="16"/>
                <w:lang w:eastAsia="en-AU"/>
              </w:rPr>
            </w:pPr>
            <w:r w:rsidRPr="0065576B">
              <w:rPr>
                <w:rFonts w:eastAsia="Times New Roman" w:cs="Arial"/>
                <w:color w:val="000000"/>
                <w:sz w:val="16"/>
                <w:szCs w:val="16"/>
                <w:lang w:eastAsia="en-AU"/>
              </w:rPr>
              <w:t>Number of supported employees who work at an ADE that had previously used BSWAT</w:t>
            </w:r>
          </w:p>
        </w:tc>
        <w:tc>
          <w:tcPr>
            <w:tcW w:w="1848" w:type="dxa"/>
            <w:vAlign w:val="center"/>
          </w:tcPr>
          <w:p w:rsidR="0006784A" w:rsidRPr="0065576B" w:rsidRDefault="0006784A" w:rsidP="00883322">
            <w:pPr>
              <w:jc w:val="center"/>
              <w:rPr>
                <w:rFonts w:eastAsia="Times New Roman" w:cs="Arial"/>
                <w:color w:val="000000"/>
                <w:sz w:val="16"/>
                <w:szCs w:val="16"/>
                <w:lang w:eastAsia="en-AU"/>
              </w:rPr>
            </w:pPr>
            <w:r w:rsidRPr="0065576B">
              <w:rPr>
                <w:rFonts w:eastAsia="Times New Roman" w:cs="Arial"/>
                <w:color w:val="000000"/>
                <w:sz w:val="16"/>
                <w:szCs w:val="16"/>
                <w:lang w:eastAsia="en-AU"/>
              </w:rPr>
              <w:t>Number of supported employees assessed under alternate tool</w:t>
            </w:r>
          </w:p>
        </w:tc>
        <w:tc>
          <w:tcPr>
            <w:tcW w:w="1848" w:type="dxa"/>
            <w:vAlign w:val="center"/>
          </w:tcPr>
          <w:p w:rsidR="0006784A" w:rsidRPr="0065576B" w:rsidRDefault="0006784A" w:rsidP="00883322">
            <w:pPr>
              <w:jc w:val="center"/>
              <w:rPr>
                <w:rFonts w:eastAsia="Times New Roman" w:cs="Arial"/>
                <w:color w:val="000000"/>
                <w:sz w:val="16"/>
                <w:szCs w:val="16"/>
                <w:lang w:eastAsia="en-AU"/>
              </w:rPr>
            </w:pPr>
            <w:r w:rsidRPr="0065576B">
              <w:rPr>
                <w:rFonts w:eastAsia="Times New Roman" w:cs="Arial"/>
                <w:color w:val="000000"/>
                <w:sz w:val="16"/>
                <w:szCs w:val="16"/>
                <w:lang w:eastAsia="en-AU"/>
              </w:rPr>
              <w:t>Number of supported employees yet to be assessed by alternate tool</w:t>
            </w:r>
          </w:p>
        </w:tc>
        <w:tc>
          <w:tcPr>
            <w:tcW w:w="1849" w:type="dxa"/>
            <w:vAlign w:val="center"/>
          </w:tcPr>
          <w:p w:rsidR="0006784A" w:rsidRPr="0065576B" w:rsidRDefault="0006784A" w:rsidP="00883322">
            <w:pPr>
              <w:jc w:val="center"/>
              <w:rPr>
                <w:rFonts w:eastAsia="Times New Roman" w:cs="Arial"/>
                <w:color w:val="000000"/>
                <w:sz w:val="16"/>
                <w:szCs w:val="16"/>
                <w:lang w:eastAsia="en-AU"/>
              </w:rPr>
            </w:pPr>
            <w:r w:rsidRPr="0065576B">
              <w:rPr>
                <w:rFonts w:eastAsia="Times New Roman" w:cs="Arial"/>
                <w:color w:val="000000"/>
                <w:sz w:val="16"/>
                <w:szCs w:val="16"/>
                <w:lang w:eastAsia="en-AU"/>
              </w:rPr>
              <w:t>Percentage of employees who have transitioned to new wage tool</w:t>
            </w:r>
          </w:p>
        </w:tc>
      </w:tr>
      <w:tr w:rsidR="0006784A" w:rsidRPr="0065576B" w:rsidTr="0006784A">
        <w:tc>
          <w:tcPr>
            <w:tcW w:w="1848" w:type="dxa"/>
          </w:tcPr>
          <w:p w:rsidR="0006784A" w:rsidRPr="0065576B" w:rsidRDefault="0006784A" w:rsidP="0039448D">
            <w:pPr>
              <w:pStyle w:val="SubmissionNormal"/>
              <w:rPr>
                <w:rFonts w:cs="Arial"/>
                <w:color w:val="auto"/>
                <w:sz w:val="16"/>
                <w:szCs w:val="16"/>
                <w:lang w:eastAsia="en-AU"/>
              </w:rPr>
            </w:pPr>
            <w:r w:rsidRPr="0065576B">
              <w:rPr>
                <w:rFonts w:cs="Arial"/>
                <w:color w:val="auto"/>
                <w:sz w:val="16"/>
                <w:szCs w:val="16"/>
                <w:lang w:eastAsia="en-AU"/>
              </w:rPr>
              <w:t>Third Quarter:</w:t>
            </w:r>
          </w:p>
          <w:p w:rsidR="0006784A" w:rsidRPr="0065576B" w:rsidRDefault="0006784A" w:rsidP="0039448D">
            <w:pPr>
              <w:pStyle w:val="SubmissionNormal"/>
              <w:rPr>
                <w:rFonts w:cs="Arial"/>
                <w:color w:val="auto"/>
                <w:sz w:val="16"/>
                <w:szCs w:val="16"/>
                <w:lang w:eastAsia="en-AU"/>
              </w:rPr>
            </w:pPr>
            <w:r w:rsidRPr="0065576B">
              <w:rPr>
                <w:rFonts w:cs="Arial"/>
                <w:color w:val="auto"/>
                <w:sz w:val="16"/>
                <w:szCs w:val="16"/>
                <w:lang w:eastAsia="en-AU"/>
              </w:rPr>
              <w:t>1 Nov 2014 – 31 Jan 2015</w:t>
            </w:r>
          </w:p>
        </w:tc>
        <w:tc>
          <w:tcPr>
            <w:tcW w:w="1848" w:type="dxa"/>
          </w:tcPr>
          <w:p w:rsidR="0006784A" w:rsidRPr="0065576B" w:rsidRDefault="0006784A" w:rsidP="00CE2411">
            <w:pPr>
              <w:pStyle w:val="SubmissionNormal"/>
              <w:rPr>
                <w:rFonts w:cs="Arial"/>
                <w:color w:val="auto"/>
                <w:sz w:val="16"/>
                <w:szCs w:val="16"/>
                <w:lang w:eastAsia="en-AU"/>
              </w:rPr>
            </w:pPr>
            <w:r w:rsidRPr="0065576B">
              <w:rPr>
                <w:rFonts w:cs="Arial"/>
                <w:color w:val="auto"/>
                <w:sz w:val="16"/>
                <w:szCs w:val="16"/>
                <w:lang w:eastAsia="en-AU"/>
              </w:rPr>
              <w:t>8534</w:t>
            </w:r>
          </w:p>
        </w:tc>
        <w:tc>
          <w:tcPr>
            <w:tcW w:w="1848" w:type="dxa"/>
          </w:tcPr>
          <w:p w:rsidR="0006784A" w:rsidRPr="0065576B" w:rsidRDefault="0006784A" w:rsidP="00CE2411">
            <w:pPr>
              <w:pStyle w:val="SubmissionNormal"/>
              <w:rPr>
                <w:rFonts w:cs="Arial"/>
                <w:color w:val="auto"/>
                <w:sz w:val="16"/>
                <w:szCs w:val="16"/>
                <w:lang w:eastAsia="en-AU"/>
              </w:rPr>
            </w:pPr>
            <w:r w:rsidRPr="0065576B">
              <w:rPr>
                <w:rFonts w:cs="Arial"/>
                <w:color w:val="auto"/>
                <w:sz w:val="16"/>
                <w:szCs w:val="16"/>
                <w:lang w:eastAsia="en-AU"/>
              </w:rPr>
              <w:t>2861</w:t>
            </w:r>
          </w:p>
        </w:tc>
        <w:tc>
          <w:tcPr>
            <w:tcW w:w="1848" w:type="dxa"/>
          </w:tcPr>
          <w:p w:rsidR="0006784A" w:rsidRPr="0065576B" w:rsidRDefault="0006784A" w:rsidP="00CE2411">
            <w:pPr>
              <w:pStyle w:val="SubmissionNormal"/>
              <w:rPr>
                <w:rFonts w:cs="Arial"/>
                <w:color w:val="auto"/>
                <w:sz w:val="16"/>
                <w:szCs w:val="16"/>
                <w:lang w:eastAsia="en-AU"/>
              </w:rPr>
            </w:pPr>
            <w:r w:rsidRPr="0065576B">
              <w:rPr>
                <w:rFonts w:cs="Arial"/>
                <w:color w:val="auto"/>
                <w:sz w:val="16"/>
                <w:szCs w:val="16"/>
                <w:lang w:eastAsia="en-AU"/>
              </w:rPr>
              <w:t>5673</w:t>
            </w:r>
          </w:p>
        </w:tc>
        <w:tc>
          <w:tcPr>
            <w:tcW w:w="1849" w:type="dxa"/>
          </w:tcPr>
          <w:p w:rsidR="0006784A" w:rsidRPr="0065576B" w:rsidRDefault="0006784A" w:rsidP="00CE2411">
            <w:pPr>
              <w:pStyle w:val="SubmissionNormal"/>
              <w:rPr>
                <w:rFonts w:cs="Arial"/>
                <w:color w:val="auto"/>
                <w:sz w:val="16"/>
                <w:szCs w:val="16"/>
                <w:lang w:eastAsia="en-AU"/>
              </w:rPr>
            </w:pPr>
            <w:r w:rsidRPr="0065576B">
              <w:rPr>
                <w:rFonts w:cs="Arial"/>
                <w:color w:val="auto"/>
                <w:sz w:val="16"/>
                <w:szCs w:val="16"/>
                <w:lang w:eastAsia="en-AU"/>
              </w:rPr>
              <w:t>32%</w:t>
            </w:r>
          </w:p>
        </w:tc>
      </w:tr>
      <w:tr w:rsidR="0006784A" w:rsidRPr="0065576B" w:rsidTr="0006784A">
        <w:tc>
          <w:tcPr>
            <w:tcW w:w="1848" w:type="dxa"/>
          </w:tcPr>
          <w:p w:rsidR="0006784A" w:rsidRPr="0065576B" w:rsidRDefault="0006784A" w:rsidP="0039448D">
            <w:pPr>
              <w:pStyle w:val="SubmissionNormal"/>
              <w:rPr>
                <w:rFonts w:cs="Arial"/>
                <w:color w:val="auto"/>
                <w:sz w:val="16"/>
                <w:szCs w:val="16"/>
                <w:lang w:eastAsia="en-AU"/>
              </w:rPr>
            </w:pPr>
            <w:r w:rsidRPr="0065576B">
              <w:rPr>
                <w:rFonts w:cs="Arial"/>
                <w:color w:val="auto"/>
                <w:sz w:val="16"/>
                <w:szCs w:val="16"/>
                <w:lang w:eastAsia="en-AU"/>
              </w:rPr>
              <w:t>Fourth Quarter:</w:t>
            </w:r>
          </w:p>
          <w:p w:rsidR="0006784A" w:rsidRPr="0065576B" w:rsidRDefault="0006784A" w:rsidP="0039448D">
            <w:pPr>
              <w:pStyle w:val="SubmissionNormal"/>
              <w:rPr>
                <w:rFonts w:cs="Arial"/>
                <w:color w:val="auto"/>
                <w:sz w:val="16"/>
                <w:szCs w:val="16"/>
                <w:lang w:eastAsia="en-AU"/>
              </w:rPr>
            </w:pPr>
            <w:r w:rsidRPr="0065576B">
              <w:rPr>
                <w:rFonts w:cs="Arial"/>
                <w:color w:val="auto"/>
                <w:sz w:val="16"/>
                <w:szCs w:val="16"/>
                <w:lang w:eastAsia="en-AU"/>
              </w:rPr>
              <w:t>1 Feb 2015 – 30 April 2015</w:t>
            </w:r>
          </w:p>
        </w:tc>
        <w:tc>
          <w:tcPr>
            <w:tcW w:w="1848" w:type="dxa"/>
          </w:tcPr>
          <w:p w:rsidR="0006784A" w:rsidRPr="0065576B" w:rsidRDefault="006F1540" w:rsidP="00CE2411">
            <w:pPr>
              <w:pStyle w:val="SubmissionNormal"/>
              <w:rPr>
                <w:rFonts w:cs="Arial"/>
                <w:color w:val="auto"/>
                <w:sz w:val="16"/>
                <w:szCs w:val="16"/>
                <w:lang w:eastAsia="en-AU"/>
              </w:rPr>
            </w:pPr>
            <w:r w:rsidRPr="0065576B">
              <w:rPr>
                <w:rFonts w:cs="Arial"/>
                <w:color w:val="auto"/>
                <w:sz w:val="16"/>
                <w:szCs w:val="16"/>
                <w:lang w:eastAsia="en-AU"/>
              </w:rPr>
              <w:t>8538</w:t>
            </w:r>
          </w:p>
        </w:tc>
        <w:tc>
          <w:tcPr>
            <w:tcW w:w="1848" w:type="dxa"/>
          </w:tcPr>
          <w:p w:rsidR="0006784A" w:rsidRPr="0065576B" w:rsidRDefault="006F1540" w:rsidP="00CE2411">
            <w:pPr>
              <w:pStyle w:val="SubmissionNormal"/>
              <w:rPr>
                <w:rFonts w:cs="Arial"/>
                <w:color w:val="auto"/>
                <w:sz w:val="16"/>
                <w:szCs w:val="16"/>
                <w:lang w:eastAsia="en-AU"/>
              </w:rPr>
            </w:pPr>
            <w:r w:rsidRPr="0065576B">
              <w:rPr>
                <w:rFonts w:cs="Arial"/>
                <w:color w:val="auto"/>
                <w:sz w:val="16"/>
                <w:szCs w:val="16"/>
                <w:lang w:eastAsia="en-AU"/>
              </w:rPr>
              <w:t>4948</w:t>
            </w:r>
          </w:p>
        </w:tc>
        <w:tc>
          <w:tcPr>
            <w:tcW w:w="1848" w:type="dxa"/>
          </w:tcPr>
          <w:p w:rsidR="0006784A" w:rsidRPr="0065576B" w:rsidRDefault="006F1540" w:rsidP="006F1540">
            <w:pPr>
              <w:pStyle w:val="SubmissionNormal"/>
              <w:rPr>
                <w:rFonts w:cs="Arial"/>
                <w:color w:val="auto"/>
                <w:sz w:val="16"/>
                <w:szCs w:val="16"/>
                <w:lang w:eastAsia="en-AU"/>
              </w:rPr>
            </w:pPr>
            <w:r w:rsidRPr="0065576B">
              <w:rPr>
                <w:rFonts w:cs="Arial"/>
                <w:color w:val="auto"/>
                <w:sz w:val="16"/>
                <w:szCs w:val="16"/>
                <w:lang w:eastAsia="en-AU"/>
              </w:rPr>
              <w:t>3590</w:t>
            </w:r>
          </w:p>
        </w:tc>
        <w:tc>
          <w:tcPr>
            <w:tcW w:w="1849" w:type="dxa"/>
          </w:tcPr>
          <w:p w:rsidR="0006784A" w:rsidRPr="0065576B" w:rsidRDefault="006F1540" w:rsidP="00CE2411">
            <w:pPr>
              <w:pStyle w:val="SubmissionNormal"/>
              <w:rPr>
                <w:rFonts w:cs="Arial"/>
                <w:color w:val="auto"/>
                <w:sz w:val="16"/>
                <w:szCs w:val="16"/>
                <w:lang w:eastAsia="en-AU"/>
              </w:rPr>
            </w:pPr>
            <w:r w:rsidRPr="0065576B">
              <w:rPr>
                <w:rFonts w:cs="Arial"/>
                <w:color w:val="auto"/>
                <w:sz w:val="16"/>
                <w:szCs w:val="16"/>
                <w:lang w:eastAsia="en-AU"/>
              </w:rPr>
              <w:t>58%</w:t>
            </w:r>
          </w:p>
        </w:tc>
      </w:tr>
    </w:tbl>
    <w:p w:rsidR="00883322" w:rsidRPr="0065576B" w:rsidRDefault="00883322">
      <w:pPr>
        <w:rPr>
          <w:rFonts w:eastAsia="Times New Roman" w:cs="Times New Roman"/>
          <w:sz w:val="24"/>
          <w:szCs w:val="24"/>
          <w:lang w:eastAsia="en-AU"/>
        </w:rPr>
      </w:pPr>
    </w:p>
    <w:p w:rsidR="00E97EA2" w:rsidRPr="0065576B" w:rsidRDefault="0006784A" w:rsidP="00CE2411">
      <w:pPr>
        <w:pStyle w:val="SubmissionNormal"/>
        <w:rPr>
          <w:color w:val="auto"/>
          <w:szCs w:val="24"/>
          <w:lang w:eastAsia="en-AU"/>
        </w:rPr>
      </w:pPr>
      <w:r w:rsidRPr="0065576B">
        <w:rPr>
          <w:color w:val="auto"/>
          <w:szCs w:val="24"/>
          <w:lang w:eastAsia="en-AU"/>
        </w:rPr>
        <w:t xml:space="preserve">Of organisations which have identified an alternate tool, some have reported delays due to preparations for new wage assessments, and </w:t>
      </w:r>
      <w:r w:rsidR="00C557C0">
        <w:rPr>
          <w:color w:val="auto"/>
          <w:szCs w:val="24"/>
          <w:lang w:eastAsia="en-AU"/>
        </w:rPr>
        <w:t xml:space="preserve">requisite staff </w:t>
      </w:r>
      <w:r w:rsidRPr="0065576B">
        <w:rPr>
          <w:color w:val="auto"/>
          <w:szCs w:val="24"/>
          <w:lang w:eastAsia="en-AU"/>
        </w:rPr>
        <w:t>training</w:t>
      </w:r>
      <w:r w:rsidR="00C557C0">
        <w:rPr>
          <w:color w:val="auto"/>
          <w:szCs w:val="24"/>
          <w:lang w:eastAsia="en-AU"/>
        </w:rPr>
        <w:t xml:space="preserve"> to undertake new wage assessments</w:t>
      </w:r>
      <w:r w:rsidRPr="0065576B">
        <w:rPr>
          <w:color w:val="auto"/>
          <w:szCs w:val="24"/>
          <w:lang w:eastAsia="en-AU"/>
        </w:rPr>
        <w:t xml:space="preserve">.  </w:t>
      </w:r>
      <w:r w:rsidR="00E97EA2" w:rsidRPr="0065576B">
        <w:rPr>
          <w:color w:val="auto"/>
          <w:szCs w:val="24"/>
          <w:lang w:eastAsia="en-AU"/>
        </w:rPr>
        <w:t xml:space="preserve">Some organisations have a number of wage assessments scheduled, but not yet undertaken.  </w:t>
      </w:r>
      <w:r w:rsidRPr="0065576B">
        <w:rPr>
          <w:color w:val="auto"/>
          <w:szCs w:val="24"/>
          <w:lang w:eastAsia="en-AU"/>
        </w:rPr>
        <w:t xml:space="preserve">As such, the </w:t>
      </w:r>
      <w:r w:rsidR="00E97EA2" w:rsidRPr="0065576B">
        <w:rPr>
          <w:color w:val="auto"/>
          <w:szCs w:val="24"/>
          <w:lang w:eastAsia="en-AU"/>
        </w:rPr>
        <w:t>Department</w:t>
      </w:r>
      <w:r w:rsidRPr="0065576B">
        <w:rPr>
          <w:color w:val="auto"/>
          <w:szCs w:val="24"/>
          <w:lang w:eastAsia="en-AU"/>
        </w:rPr>
        <w:t xml:space="preserve"> has also collated data for </w:t>
      </w:r>
      <w:r w:rsidR="00E97EA2" w:rsidRPr="0065576B">
        <w:rPr>
          <w:color w:val="auto"/>
          <w:szCs w:val="24"/>
          <w:lang w:eastAsia="en-AU"/>
        </w:rPr>
        <w:t xml:space="preserve">this </w:t>
      </w:r>
      <w:r w:rsidRPr="0065576B">
        <w:rPr>
          <w:color w:val="auto"/>
          <w:szCs w:val="24"/>
          <w:lang w:eastAsia="en-AU"/>
        </w:rPr>
        <w:t xml:space="preserve">report that shows the numbers of supported employees where wage assessments have </w:t>
      </w:r>
      <w:r w:rsidRPr="0065576B">
        <w:rPr>
          <w:i/>
          <w:color w:val="auto"/>
          <w:szCs w:val="24"/>
          <w:lang w:eastAsia="en-AU"/>
        </w:rPr>
        <w:t>not</w:t>
      </w:r>
      <w:r w:rsidRPr="0065576B">
        <w:rPr>
          <w:color w:val="auto"/>
          <w:szCs w:val="24"/>
          <w:lang w:eastAsia="en-AU"/>
        </w:rPr>
        <w:t xml:space="preserve"> been done, but </w:t>
      </w:r>
      <w:r w:rsidR="00C557C0">
        <w:rPr>
          <w:color w:val="auto"/>
          <w:szCs w:val="24"/>
          <w:lang w:eastAsia="en-AU"/>
        </w:rPr>
        <w:t xml:space="preserve">some </w:t>
      </w:r>
      <w:r w:rsidR="00E97EA2" w:rsidRPr="0065576B">
        <w:rPr>
          <w:color w:val="auto"/>
          <w:szCs w:val="24"/>
          <w:lang w:eastAsia="en-AU"/>
        </w:rPr>
        <w:t xml:space="preserve">wage assessments have </w:t>
      </w:r>
      <w:r w:rsidR="002C472E">
        <w:rPr>
          <w:color w:val="auto"/>
          <w:szCs w:val="24"/>
          <w:lang w:eastAsia="en-AU"/>
        </w:rPr>
        <w:t>commenced</w:t>
      </w:r>
      <w:r w:rsidR="00E97EA2" w:rsidRPr="0065576B">
        <w:rPr>
          <w:color w:val="auto"/>
          <w:szCs w:val="24"/>
          <w:lang w:eastAsia="en-AU"/>
        </w:rPr>
        <w:t xml:space="preserve"> in their workplace.</w:t>
      </w:r>
      <w:r w:rsidR="00883322" w:rsidRPr="0065576B">
        <w:rPr>
          <w:color w:val="auto"/>
          <w:szCs w:val="24"/>
          <w:lang w:eastAsia="en-AU"/>
        </w:rPr>
        <w:t xml:space="preserve">  </w:t>
      </w:r>
      <w:r w:rsidR="00E97EA2" w:rsidRPr="0065576B">
        <w:rPr>
          <w:color w:val="auto"/>
          <w:szCs w:val="24"/>
          <w:lang w:eastAsia="en-AU"/>
        </w:rPr>
        <w:t xml:space="preserve"> </w:t>
      </w:r>
    </w:p>
    <w:p w:rsidR="00883322" w:rsidRPr="0065576B" w:rsidRDefault="00883322" w:rsidP="00E97EA2">
      <w:pPr>
        <w:pStyle w:val="SubmissionNormal"/>
        <w:rPr>
          <w:color w:val="auto"/>
          <w:szCs w:val="24"/>
          <w:lang w:eastAsia="en-AU"/>
        </w:rPr>
      </w:pPr>
    </w:p>
    <w:p w:rsidR="00E97EA2" w:rsidRPr="0065576B" w:rsidRDefault="00883322" w:rsidP="00AF2356">
      <w:pPr>
        <w:pStyle w:val="Heading4"/>
        <w:rPr>
          <w:lang w:eastAsia="en-AU"/>
        </w:rPr>
      </w:pPr>
      <w:r w:rsidRPr="0065576B">
        <w:rPr>
          <w:lang w:eastAsia="en-AU"/>
        </w:rPr>
        <w:t>Further analysis of s</w:t>
      </w:r>
      <w:r w:rsidR="00E97EA2" w:rsidRPr="0065576B">
        <w:rPr>
          <w:lang w:eastAsia="en-AU"/>
        </w:rPr>
        <w:t xml:space="preserve">upported </w:t>
      </w:r>
      <w:r w:rsidRPr="0065576B">
        <w:rPr>
          <w:lang w:eastAsia="en-AU"/>
        </w:rPr>
        <w:t>e</w:t>
      </w:r>
      <w:r w:rsidR="00E97EA2" w:rsidRPr="0065576B">
        <w:rPr>
          <w:lang w:eastAsia="en-AU"/>
        </w:rPr>
        <w:t>mployee</w:t>
      </w:r>
      <w:r w:rsidRPr="0065576B">
        <w:rPr>
          <w:lang w:eastAsia="en-AU"/>
        </w:rPr>
        <w:t>-</w:t>
      </w:r>
      <w:r w:rsidR="00E97EA2" w:rsidRPr="0065576B">
        <w:rPr>
          <w:lang w:eastAsia="en-AU"/>
        </w:rPr>
        <w:t>level data:</w:t>
      </w:r>
      <w:r w:rsidR="00E97EA2" w:rsidRPr="0065576B">
        <w:rPr>
          <w:rStyle w:val="FootnoteReference"/>
          <w:szCs w:val="24"/>
          <w:lang w:eastAsia="en-AU"/>
        </w:rPr>
        <w:t xml:space="preserve"> </w:t>
      </w:r>
      <w:r w:rsidR="00E97EA2" w:rsidRPr="0065576B">
        <w:rPr>
          <w:rStyle w:val="FootnoteReference"/>
          <w:szCs w:val="24"/>
          <w:lang w:eastAsia="en-AU"/>
        </w:rPr>
        <w:footnoteReference w:id="4"/>
      </w:r>
    </w:p>
    <w:tbl>
      <w:tblPr>
        <w:tblStyle w:val="TableGrid"/>
        <w:tblW w:w="0" w:type="auto"/>
        <w:tblLook w:val="04A0" w:firstRow="1" w:lastRow="0" w:firstColumn="1" w:lastColumn="0" w:noHBand="0" w:noVBand="1"/>
      </w:tblPr>
      <w:tblGrid>
        <w:gridCol w:w="1848"/>
        <w:gridCol w:w="1848"/>
        <w:gridCol w:w="1848"/>
        <w:gridCol w:w="1849"/>
        <w:gridCol w:w="1849"/>
      </w:tblGrid>
      <w:tr w:rsidR="00E97EA2" w:rsidRPr="0065576B" w:rsidTr="00883322">
        <w:tc>
          <w:tcPr>
            <w:tcW w:w="1848" w:type="dxa"/>
            <w:vAlign w:val="center"/>
          </w:tcPr>
          <w:p w:rsidR="00E97EA2" w:rsidRPr="0065576B" w:rsidRDefault="00E97EA2" w:rsidP="00883322">
            <w:pPr>
              <w:pStyle w:val="SubmissionNormal"/>
              <w:jc w:val="center"/>
              <w:rPr>
                <w:rFonts w:cs="Arial"/>
                <w:color w:val="auto"/>
                <w:sz w:val="16"/>
                <w:szCs w:val="16"/>
                <w:lang w:eastAsia="en-AU"/>
              </w:rPr>
            </w:pPr>
            <w:r w:rsidRPr="0065576B">
              <w:rPr>
                <w:rFonts w:cs="Arial"/>
                <w:color w:val="auto"/>
                <w:sz w:val="16"/>
                <w:szCs w:val="16"/>
                <w:lang w:eastAsia="en-AU"/>
              </w:rPr>
              <w:t>Report period</w:t>
            </w:r>
          </w:p>
        </w:tc>
        <w:tc>
          <w:tcPr>
            <w:tcW w:w="1848" w:type="dxa"/>
            <w:vAlign w:val="center"/>
          </w:tcPr>
          <w:p w:rsidR="00E97EA2" w:rsidRPr="0065576B" w:rsidRDefault="00E97EA2" w:rsidP="00883322">
            <w:pPr>
              <w:jc w:val="center"/>
              <w:rPr>
                <w:rFonts w:eastAsia="Times New Roman" w:cs="Arial"/>
                <w:color w:val="000000"/>
                <w:sz w:val="16"/>
                <w:szCs w:val="16"/>
                <w:lang w:eastAsia="en-AU"/>
              </w:rPr>
            </w:pPr>
            <w:r w:rsidRPr="0065576B">
              <w:rPr>
                <w:rFonts w:eastAsia="Times New Roman" w:cs="Arial"/>
                <w:color w:val="000000"/>
                <w:sz w:val="16"/>
                <w:szCs w:val="16"/>
                <w:lang w:eastAsia="en-AU"/>
              </w:rPr>
              <w:t>Number of supported employees who work at an ADE that had previously used BSWAT</w:t>
            </w:r>
          </w:p>
        </w:tc>
        <w:tc>
          <w:tcPr>
            <w:tcW w:w="1848" w:type="dxa"/>
            <w:vAlign w:val="center"/>
          </w:tcPr>
          <w:p w:rsidR="00E97EA2" w:rsidRPr="0065576B" w:rsidRDefault="00E97EA2" w:rsidP="00883322">
            <w:pPr>
              <w:jc w:val="center"/>
              <w:rPr>
                <w:rFonts w:eastAsia="Times New Roman" w:cs="Arial"/>
                <w:color w:val="000000"/>
                <w:sz w:val="16"/>
                <w:szCs w:val="16"/>
                <w:lang w:eastAsia="en-AU"/>
              </w:rPr>
            </w:pPr>
            <w:r w:rsidRPr="0065576B">
              <w:rPr>
                <w:rFonts w:eastAsia="Times New Roman" w:cs="Arial"/>
                <w:color w:val="000000"/>
                <w:sz w:val="16"/>
                <w:szCs w:val="16"/>
                <w:lang w:eastAsia="en-AU"/>
              </w:rPr>
              <w:t>Number of supported employees assessed under alternate tool</w:t>
            </w:r>
          </w:p>
        </w:tc>
        <w:tc>
          <w:tcPr>
            <w:tcW w:w="1849" w:type="dxa"/>
            <w:vAlign w:val="center"/>
          </w:tcPr>
          <w:p w:rsidR="00E97EA2" w:rsidRPr="0065576B" w:rsidRDefault="00E97EA2" w:rsidP="00883322">
            <w:pPr>
              <w:pStyle w:val="SubmissionNormal"/>
              <w:jc w:val="center"/>
              <w:rPr>
                <w:color w:val="auto"/>
                <w:szCs w:val="24"/>
                <w:lang w:eastAsia="en-AU"/>
              </w:rPr>
            </w:pPr>
            <w:r w:rsidRPr="0065576B">
              <w:rPr>
                <w:rFonts w:cs="Arial"/>
                <w:sz w:val="16"/>
                <w:szCs w:val="16"/>
                <w:lang w:eastAsia="en-AU"/>
              </w:rPr>
              <w:t>Number of supported employees yet to be assessed by alternate tool, where organisation has commenced assessments on alternate tool</w:t>
            </w:r>
          </w:p>
        </w:tc>
        <w:tc>
          <w:tcPr>
            <w:tcW w:w="1849" w:type="dxa"/>
            <w:vAlign w:val="center"/>
          </w:tcPr>
          <w:p w:rsidR="00E97EA2" w:rsidRPr="0065576B" w:rsidRDefault="00E97EA2" w:rsidP="00883322">
            <w:pPr>
              <w:pStyle w:val="SubmissionNormal"/>
              <w:jc w:val="center"/>
              <w:rPr>
                <w:color w:val="auto"/>
                <w:szCs w:val="24"/>
                <w:lang w:eastAsia="en-AU"/>
              </w:rPr>
            </w:pPr>
            <w:r w:rsidRPr="0065576B">
              <w:rPr>
                <w:rFonts w:cs="Arial"/>
                <w:sz w:val="16"/>
                <w:szCs w:val="16"/>
                <w:lang w:eastAsia="en-AU"/>
              </w:rPr>
              <w:t>Number of supported employees yet to be assessed by alternate tool, where organisation has NOT commenced assessments on alternate tool</w:t>
            </w:r>
          </w:p>
        </w:tc>
      </w:tr>
      <w:tr w:rsidR="00883322" w:rsidRPr="0065576B" w:rsidTr="009851A3">
        <w:tc>
          <w:tcPr>
            <w:tcW w:w="1848" w:type="dxa"/>
          </w:tcPr>
          <w:p w:rsidR="00883322" w:rsidRPr="0065576B" w:rsidRDefault="00883322" w:rsidP="0039448D">
            <w:pPr>
              <w:pStyle w:val="SubmissionNormal"/>
              <w:rPr>
                <w:rFonts w:cs="Arial"/>
                <w:color w:val="auto"/>
                <w:sz w:val="16"/>
                <w:szCs w:val="16"/>
                <w:lang w:eastAsia="en-AU"/>
              </w:rPr>
            </w:pPr>
            <w:r w:rsidRPr="0065576B">
              <w:rPr>
                <w:rFonts w:cs="Arial"/>
                <w:color w:val="auto"/>
                <w:sz w:val="16"/>
                <w:szCs w:val="16"/>
                <w:lang w:eastAsia="en-AU"/>
              </w:rPr>
              <w:t>Third Quarter:</w:t>
            </w:r>
          </w:p>
          <w:p w:rsidR="00883322" w:rsidRPr="0065576B" w:rsidRDefault="00883322" w:rsidP="0039448D">
            <w:pPr>
              <w:pStyle w:val="SubmissionNormal"/>
              <w:rPr>
                <w:rFonts w:cs="Arial"/>
                <w:color w:val="auto"/>
                <w:sz w:val="16"/>
                <w:szCs w:val="16"/>
                <w:lang w:eastAsia="en-AU"/>
              </w:rPr>
            </w:pPr>
            <w:r w:rsidRPr="0065576B">
              <w:rPr>
                <w:rFonts w:cs="Arial"/>
                <w:color w:val="auto"/>
                <w:sz w:val="16"/>
                <w:szCs w:val="16"/>
                <w:lang w:eastAsia="en-AU"/>
              </w:rPr>
              <w:t>1 Nov 2014 – 31 Jan 2015</w:t>
            </w:r>
          </w:p>
        </w:tc>
        <w:tc>
          <w:tcPr>
            <w:tcW w:w="1848" w:type="dxa"/>
          </w:tcPr>
          <w:p w:rsidR="00883322" w:rsidRPr="0065576B" w:rsidRDefault="00883322" w:rsidP="0039448D">
            <w:pPr>
              <w:pStyle w:val="SubmissionNormal"/>
              <w:rPr>
                <w:rFonts w:cs="Arial"/>
                <w:color w:val="auto"/>
                <w:sz w:val="16"/>
                <w:szCs w:val="16"/>
                <w:lang w:eastAsia="en-AU"/>
              </w:rPr>
            </w:pPr>
            <w:r w:rsidRPr="0065576B">
              <w:rPr>
                <w:rFonts w:cs="Arial"/>
                <w:color w:val="auto"/>
                <w:sz w:val="16"/>
                <w:szCs w:val="16"/>
                <w:lang w:eastAsia="en-AU"/>
              </w:rPr>
              <w:t>8534</w:t>
            </w:r>
          </w:p>
        </w:tc>
        <w:tc>
          <w:tcPr>
            <w:tcW w:w="1848" w:type="dxa"/>
          </w:tcPr>
          <w:p w:rsidR="00883322" w:rsidRPr="0065576B" w:rsidRDefault="00883322" w:rsidP="0039448D">
            <w:pPr>
              <w:pStyle w:val="SubmissionNormal"/>
              <w:rPr>
                <w:rFonts w:cs="Arial"/>
                <w:color w:val="auto"/>
                <w:sz w:val="16"/>
                <w:szCs w:val="16"/>
                <w:lang w:eastAsia="en-AU"/>
              </w:rPr>
            </w:pPr>
            <w:r w:rsidRPr="0065576B">
              <w:rPr>
                <w:rFonts w:cs="Arial"/>
                <w:color w:val="auto"/>
                <w:sz w:val="16"/>
                <w:szCs w:val="16"/>
                <w:lang w:eastAsia="en-AU"/>
              </w:rPr>
              <w:t>2861</w:t>
            </w:r>
          </w:p>
          <w:p w:rsidR="00883322" w:rsidRPr="0065576B" w:rsidRDefault="002C472E" w:rsidP="0039448D">
            <w:pPr>
              <w:pStyle w:val="SubmissionNormal"/>
              <w:rPr>
                <w:rFonts w:cs="Arial"/>
                <w:color w:val="auto"/>
                <w:sz w:val="16"/>
                <w:szCs w:val="16"/>
                <w:lang w:eastAsia="en-AU"/>
              </w:rPr>
            </w:pPr>
            <w:r>
              <w:rPr>
                <w:rFonts w:cs="Arial"/>
                <w:color w:val="auto"/>
                <w:sz w:val="16"/>
                <w:szCs w:val="16"/>
                <w:lang w:eastAsia="en-AU"/>
              </w:rPr>
              <w:t>32</w:t>
            </w:r>
            <w:r w:rsidR="00883322" w:rsidRPr="0065576B">
              <w:rPr>
                <w:rFonts w:cs="Arial"/>
                <w:color w:val="auto"/>
                <w:sz w:val="16"/>
                <w:szCs w:val="16"/>
                <w:lang w:eastAsia="en-AU"/>
              </w:rPr>
              <w:t>%</w:t>
            </w:r>
          </w:p>
        </w:tc>
        <w:tc>
          <w:tcPr>
            <w:tcW w:w="3698" w:type="dxa"/>
            <w:gridSpan w:val="2"/>
          </w:tcPr>
          <w:p w:rsidR="00883322" w:rsidRPr="0065576B" w:rsidRDefault="00883322" w:rsidP="00CE2411">
            <w:pPr>
              <w:pStyle w:val="SubmissionNormal"/>
              <w:rPr>
                <w:color w:val="auto"/>
                <w:sz w:val="16"/>
                <w:szCs w:val="16"/>
                <w:lang w:eastAsia="en-AU"/>
              </w:rPr>
            </w:pPr>
            <w:r w:rsidRPr="0065576B">
              <w:rPr>
                <w:color w:val="auto"/>
                <w:sz w:val="16"/>
                <w:szCs w:val="16"/>
                <w:lang w:eastAsia="en-AU"/>
              </w:rPr>
              <w:t xml:space="preserve">This information was not disaggregated for the Third Quarter Report. </w:t>
            </w:r>
          </w:p>
        </w:tc>
      </w:tr>
      <w:tr w:rsidR="00E97EA2" w:rsidRPr="0065576B" w:rsidTr="00E97EA2">
        <w:tc>
          <w:tcPr>
            <w:tcW w:w="1848" w:type="dxa"/>
          </w:tcPr>
          <w:p w:rsidR="00E97EA2" w:rsidRPr="0065576B" w:rsidRDefault="00E97EA2" w:rsidP="00E97EA2">
            <w:pPr>
              <w:pStyle w:val="SubmissionNormal"/>
              <w:rPr>
                <w:rFonts w:cs="Arial"/>
                <w:color w:val="auto"/>
                <w:sz w:val="16"/>
                <w:szCs w:val="16"/>
                <w:lang w:eastAsia="en-AU"/>
              </w:rPr>
            </w:pPr>
            <w:r w:rsidRPr="0065576B">
              <w:rPr>
                <w:rFonts w:cs="Arial"/>
                <w:color w:val="auto"/>
                <w:sz w:val="16"/>
                <w:szCs w:val="16"/>
                <w:lang w:eastAsia="en-AU"/>
              </w:rPr>
              <w:t>Fourth Quarter:</w:t>
            </w:r>
          </w:p>
          <w:p w:rsidR="00E97EA2" w:rsidRPr="0065576B" w:rsidRDefault="00E97EA2" w:rsidP="00E97EA2">
            <w:pPr>
              <w:pStyle w:val="SubmissionNormal"/>
              <w:rPr>
                <w:color w:val="auto"/>
                <w:szCs w:val="24"/>
                <w:lang w:eastAsia="en-AU"/>
              </w:rPr>
            </w:pPr>
            <w:r w:rsidRPr="0065576B">
              <w:rPr>
                <w:rFonts w:cs="Arial"/>
                <w:color w:val="auto"/>
                <w:sz w:val="16"/>
                <w:szCs w:val="16"/>
                <w:lang w:eastAsia="en-AU"/>
              </w:rPr>
              <w:t>1 Feb 2015 – 30 April 2015</w:t>
            </w:r>
          </w:p>
        </w:tc>
        <w:tc>
          <w:tcPr>
            <w:tcW w:w="1848" w:type="dxa"/>
          </w:tcPr>
          <w:p w:rsidR="00E97EA2" w:rsidRPr="0065576B" w:rsidRDefault="00E97EA2" w:rsidP="00CE2411">
            <w:pPr>
              <w:pStyle w:val="SubmissionNormal"/>
              <w:rPr>
                <w:color w:val="auto"/>
                <w:sz w:val="16"/>
                <w:szCs w:val="16"/>
                <w:lang w:eastAsia="en-AU"/>
              </w:rPr>
            </w:pPr>
            <w:r w:rsidRPr="0065576B">
              <w:rPr>
                <w:color w:val="auto"/>
                <w:sz w:val="16"/>
                <w:szCs w:val="16"/>
                <w:lang w:eastAsia="en-AU"/>
              </w:rPr>
              <w:t>8538</w:t>
            </w:r>
          </w:p>
        </w:tc>
        <w:tc>
          <w:tcPr>
            <w:tcW w:w="1848" w:type="dxa"/>
          </w:tcPr>
          <w:p w:rsidR="00E97EA2" w:rsidRPr="0065576B" w:rsidRDefault="006F1540" w:rsidP="00CE2411">
            <w:pPr>
              <w:pStyle w:val="SubmissionNormal"/>
              <w:rPr>
                <w:color w:val="auto"/>
                <w:sz w:val="16"/>
                <w:szCs w:val="16"/>
                <w:lang w:eastAsia="en-AU"/>
              </w:rPr>
            </w:pPr>
            <w:r w:rsidRPr="0065576B">
              <w:rPr>
                <w:color w:val="auto"/>
                <w:sz w:val="16"/>
                <w:szCs w:val="16"/>
                <w:lang w:eastAsia="en-AU"/>
              </w:rPr>
              <w:t>4948</w:t>
            </w:r>
          </w:p>
          <w:p w:rsidR="00E97EA2" w:rsidRPr="0065576B" w:rsidRDefault="00E97EA2" w:rsidP="00CE2411">
            <w:pPr>
              <w:pStyle w:val="SubmissionNormal"/>
              <w:rPr>
                <w:color w:val="auto"/>
                <w:sz w:val="16"/>
                <w:szCs w:val="16"/>
                <w:lang w:eastAsia="en-AU"/>
              </w:rPr>
            </w:pPr>
            <w:r w:rsidRPr="0065576B">
              <w:rPr>
                <w:color w:val="auto"/>
                <w:sz w:val="16"/>
                <w:szCs w:val="16"/>
                <w:lang w:eastAsia="en-AU"/>
              </w:rPr>
              <w:t>58%</w:t>
            </w:r>
          </w:p>
        </w:tc>
        <w:tc>
          <w:tcPr>
            <w:tcW w:w="1849" w:type="dxa"/>
          </w:tcPr>
          <w:p w:rsidR="00E97EA2" w:rsidRPr="0065576B" w:rsidRDefault="00E97EA2" w:rsidP="00CE2411">
            <w:pPr>
              <w:pStyle w:val="SubmissionNormal"/>
              <w:rPr>
                <w:color w:val="auto"/>
                <w:sz w:val="16"/>
                <w:szCs w:val="16"/>
                <w:lang w:eastAsia="en-AU"/>
              </w:rPr>
            </w:pPr>
            <w:r w:rsidRPr="0065576B">
              <w:rPr>
                <w:color w:val="auto"/>
                <w:sz w:val="16"/>
                <w:szCs w:val="16"/>
                <w:lang w:eastAsia="en-AU"/>
              </w:rPr>
              <w:t>1900</w:t>
            </w:r>
          </w:p>
          <w:p w:rsidR="00E97EA2" w:rsidRPr="0065576B" w:rsidRDefault="00883322" w:rsidP="00CE2411">
            <w:pPr>
              <w:pStyle w:val="SubmissionNormal"/>
              <w:rPr>
                <w:color w:val="auto"/>
                <w:sz w:val="16"/>
                <w:szCs w:val="16"/>
                <w:lang w:eastAsia="en-AU"/>
              </w:rPr>
            </w:pPr>
            <w:r w:rsidRPr="0065576B">
              <w:rPr>
                <w:color w:val="auto"/>
                <w:sz w:val="16"/>
                <w:szCs w:val="16"/>
                <w:lang w:eastAsia="en-AU"/>
              </w:rPr>
              <w:t>22</w:t>
            </w:r>
            <w:r w:rsidR="00E97EA2" w:rsidRPr="0065576B">
              <w:rPr>
                <w:color w:val="auto"/>
                <w:sz w:val="16"/>
                <w:szCs w:val="16"/>
                <w:lang w:eastAsia="en-AU"/>
              </w:rPr>
              <w:t>%</w:t>
            </w:r>
          </w:p>
        </w:tc>
        <w:tc>
          <w:tcPr>
            <w:tcW w:w="1849" w:type="dxa"/>
          </w:tcPr>
          <w:p w:rsidR="00E97EA2" w:rsidRPr="0065576B" w:rsidRDefault="006F1540" w:rsidP="00CE2411">
            <w:pPr>
              <w:pStyle w:val="SubmissionNormal"/>
              <w:rPr>
                <w:color w:val="auto"/>
                <w:sz w:val="16"/>
                <w:szCs w:val="16"/>
                <w:lang w:eastAsia="en-AU"/>
              </w:rPr>
            </w:pPr>
            <w:r w:rsidRPr="0065576B">
              <w:rPr>
                <w:color w:val="auto"/>
                <w:sz w:val="16"/>
                <w:szCs w:val="16"/>
                <w:lang w:eastAsia="en-AU"/>
              </w:rPr>
              <w:t>1690</w:t>
            </w:r>
          </w:p>
          <w:p w:rsidR="00E97EA2" w:rsidRPr="0065576B" w:rsidRDefault="00883322" w:rsidP="00CE2411">
            <w:pPr>
              <w:pStyle w:val="SubmissionNormal"/>
              <w:rPr>
                <w:color w:val="auto"/>
                <w:sz w:val="16"/>
                <w:szCs w:val="16"/>
                <w:lang w:eastAsia="en-AU"/>
              </w:rPr>
            </w:pPr>
            <w:r w:rsidRPr="0065576B">
              <w:rPr>
                <w:color w:val="auto"/>
                <w:sz w:val="16"/>
                <w:szCs w:val="16"/>
                <w:lang w:eastAsia="en-AU"/>
              </w:rPr>
              <w:t>20</w:t>
            </w:r>
            <w:r w:rsidR="00E97EA2" w:rsidRPr="0065576B">
              <w:rPr>
                <w:color w:val="auto"/>
                <w:sz w:val="16"/>
                <w:szCs w:val="16"/>
                <w:lang w:eastAsia="en-AU"/>
              </w:rPr>
              <w:t>%</w:t>
            </w:r>
          </w:p>
        </w:tc>
      </w:tr>
    </w:tbl>
    <w:p w:rsidR="00397354" w:rsidRPr="0065576B" w:rsidRDefault="00397354" w:rsidP="00397354">
      <w:pPr>
        <w:rPr>
          <w:rFonts w:eastAsiaTheme="majorEastAsia" w:cstheme="majorBidi"/>
          <w:sz w:val="26"/>
          <w:szCs w:val="26"/>
        </w:rPr>
      </w:pPr>
      <w:r w:rsidRPr="0065576B">
        <w:br w:type="page"/>
      </w:r>
    </w:p>
    <w:p w:rsidR="004928C9" w:rsidRPr="0065576B" w:rsidRDefault="00397354" w:rsidP="00AF2356">
      <w:pPr>
        <w:pStyle w:val="Heading3"/>
        <w:rPr>
          <w:szCs w:val="24"/>
          <w:lang w:eastAsia="en-AU"/>
        </w:rPr>
      </w:pPr>
      <w:r w:rsidRPr="0065576B">
        <w:lastRenderedPageBreak/>
        <w:t>Condition (d):</w:t>
      </w:r>
      <w:r w:rsidR="00AF2356" w:rsidRPr="0065576B">
        <w:t xml:space="preserve"> </w:t>
      </w:r>
      <w:r w:rsidR="004928C9" w:rsidRPr="0065576B">
        <w:rPr>
          <w:szCs w:val="24"/>
          <w:lang w:eastAsia="en-AU"/>
        </w:rPr>
        <w:t>Give consideration to ensuring that no disadvantage is suffered by ADE employees whose wages may be reduced as a result of the application of the SWS or alternative tool.</w:t>
      </w:r>
    </w:p>
    <w:p w:rsidR="003C5181" w:rsidRPr="00EE5E92" w:rsidRDefault="00883322" w:rsidP="00883322">
      <w:pPr>
        <w:pStyle w:val="SubmissionNormal"/>
        <w:rPr>
          <w:rStyle w:val="BookTitle"/>
          <w:i w:val="0"/>
          <w:iCs w:val="0"/>
          <w:smallCaps w:val="0"/>
          <w:color w:val="auto"/>
          <w:spacing w:val="0"/>
          <w:szCs w:val="24"/>
          <w:lang w:eastAsia="en-AU"/>
        </w:rPr>
      </w:pPr>
      <w:r w:rsidRPr="0065576B">
        <w:rPr>
          <w:color w:val="auto"/>
          <w:szCs w:val="24"/>
          <w:lang w:eastAsia="en-AU"/>
        </w:rPr>
        <w:t xml:space="preserve">Where </w:t>
      </w:r>
      <w:r w:rsidR="003C5181" w:rsidRPr="0065576B">
        <w:rPr>
          <w:rStyle w:val="BookTitle"/>
          <w:i w:val="0"/>
          <w:iCs w:val="0"/>
          <w:smallCaps w:val="0"/>
          <w:color w:val="auto"/>
          <w:spacing w:val="0"/>
          <w:szCs w:val="24"/>
          <w:lang w:eastAsia="en-AU"/>
        </w:rPr>
        <w:t>new wage assessments are producing lower wage outcomes than under BSWAT</w:t>
      </w:r>
      <w:r w:rsidR="00C557C0">
        <w:rPr>
          <w:rStyle w:val="BookTitle"/>
          <w:i w:val="0"/>
          <w:iCs w:val="0"/>
          <w:smallCaps w:val="0"/>
          <w:color w:val="auto"/>
          <w:spacing w:val="0"/>
          <w:szCs w:val="24"/>
          <w:lang w:eastAsia="en-AU"/>
        </w:rPr>
        <w:t xml:space="preserve"> assessments</w:t>
      </w:r>
      <w:r w:rsidRPr="0065576B">
        <w:rPr>
          <w:rStyle w:val="BookTitle"/>
          <w:i w:val="0"/>
          <w:iCs w:val="0"/>
          <w:smallCaps w:val="0"/>
          <w:color w:val="auto"/>
          <w:spacing w:val="0"/>
          <w:szCs w:val="24"/>
          <w:lang w:eastAsia="en-AU"/>
        </w:rPr>
        <w:t xml:space="preserve">, </w:t>
      </w:r>
      <w:r w:rsidR="003C5181" w:rsidRPr="0065576B">
        <w:rPr>
          <w:rStyle w:val="BookTitle"/>
          <w:i w:val="0"/>
          <w:iCs w:val="0"/>
          <w:smallCaps w:val="0"/>
          <w:color w:val="auto"/>
          <w:spacing w:val="0"/>
          <w:szCs w:val="24"/>
          <w:lang w:eastAsia="en-AU"/>
        </w:rPr>
        <w:t>ADEs have advised th</w:t>
      </w:r>
      <w:r w:rsidR="00C557C0">
        <w:rPr>
          <w:rStyle w:val="BookTitle"/>
          <w:i w:val="0"/>
          <w:iCs w:val="0"/>
          <w:smallCaps w:val="0"/>
          <w:color w:val="auto"/>
          <w:spacing w:val="0"/>
          <w:szCs w:val="24"/>
          <w:lang w:eastAsia="en-AU"/>
        </w:rPr>
        <w:t>ey</w:t>
      </w:r>
      <w:r w:rsidR="003C5181" w:rsidRPr="0065576B">
        <w:rPr>
          <w:rStyle w:val="BookTitle"/>
          <w:i w:val="0"/>
          <w:iCs w:val="0"/>
          <w:smallCaps w:val="0"/>
          <w:color w:val="auto"/>
          <w:spacing w:val="0"/>
          <w:szCs w:val="24"/>
          <w:lang w:eastAsia="en-AU"/>
        </w:rPr>
        <w:t xml:space="preserve"> </w:t>
      </w:r>
      <w:r w:rsidRPr="0065576B">
        <w:rPr>
          <w:rStyle w:val="BookTitle"/>
          <w:i w:val="0"/>
          <w:iCs w:val="0"/>
          <w:smallCaps w:val="0"/>
          <w:color w:val="auto"/>
          <w:spacing w:val="0"/>
          <w:szCs w:val="24"/>
          <w:lang w:eastAsia="en-AU"/>
        </w:rPr>
        <w:t xml:space="preserve">are maintaining </w:t>
      </w:r>
      <w:r w:rsidR="003C5181" w:rsidRPr="0065576B">
        <w:rPr>
          <w:rStyle w:val="BookTitle"/>
          <w:i w:val="0"/>
          <w:iCs w:val="0"/>
          <w:smallCaps w:val="0"/>
          <w:color w:val="auto"/>
          <w:spacing w:val="0"/>
          <w:szCs w:val="24"/>
          <w:lang w:eastAsia="en-AU"/>
        </w:rPr>
        <w:t>employee wages at the rate of the BSWAT assessment</w:t>
      </w:r>
      <w:r w:rsidR="00C557C0">
        <w:rPr>
          <w:rStyle w:val="BookTitle"/>
          <w:i w:val="0"/>
          <w:iCs w:val="0"/>
          <w:smallCaps w:val="0"/>
          <w:color w:val="auto"/>
          <w:spacing w:val="0"/>
          <w:szCs w:val="24"/>
          <w:lang w:eastAsia="en-AU"/>
        </w:rPr>
        <w:t>s</w:t>
      </w:r>
      <w:r w:rsidR="003C5181" w:rsidRPr="0065576B">
        <w:rPr>
          <w:rStyle w:val="BookTitle"/>
          <w:i w:val="0"/>
          <w:iCs w:val="0"/>
          <w:smallCaps w:val="0"/>
          <w:color w:val="auto"/>
          <w:spacing w:val="0"/>
          <w:szCs w:val="24"/>
          <w:lang w:eastAsia="en-AU"/>
        </w:rPr>
        <w:t>.</w:t>
      </w:r>
    </w:p>
    <w:sectPr w:rsidR="003C5181" w:rsidRPr="00EE5E9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84A" w:rsidRDefault="0006784A" w:rsidP="0006784A">
      <w:pPr>
        <w:spacing w:after="0" w:line="240" w:lineRule="auto"/>
      </w:pPr>
      <w:r>
        <w:separator/>
      </w:r>
    </w:p>
  </w:endnote>
  <w:endnote w:type="continuationSeparator" w:id="0">
    <w:p w:rsidR="0006784A" w:rsidRDefault="0006784A" w:rsidP="000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354" w:rsidRDefault="005001F6">
    <w:pPr>
      <w:pStyle w:val="Footer"/>
      <w:jc w:val="right"/>
    </w:pPr>
    <w:sdt>
      <w:sdtPr>
        <w:id w:val="2142689061"/>
        <w:docPartObj>
          <w:docPartGallery w:val="Page Numbers (Bottom of Page)"/>
          <w:docPartUnique/>
        </w:docPartObj>
      </w:sdtPr>
      <w:sdtEndPr>
        <w:rPr>
          <w:noProof/>
        </w:rPr>
      </w:sdtEndPr>
      <w:sdtContent>
        <w:r w:rsidR="00397354">
          <w:t xml:space="preserve">Page </w:t>
        </w:r>
        <w:r w:rsidR="00397354">
          <w:fldChar w:fldCharType="begin"/>
        </w:r>
        <w:r w:rsidR="00397354">
          <w:instrText xml:space="preserve"> PAGE   \* MERGEFORMAT </w:instrText>
        </w:r>
        <w:r w:rsidR="00397354">
          <w:fldChar w:fldCharType="separate"/>
        </w:r>
        <w:r>
          <w:rPr>
            <w:noProof/>
          </w:rPr>
          <w:t>4</w:t>
        </w:r>
        <w:r w:rsidR="00397354">
          <w:rPr>
            <w:noProof/>
          </w:rPr>
          <w:fldChar w:fldCharType="end"/>
        </w:r>
      </w:sdtContent>
    </w:sdt>
    <w:r w:rsidR="00397354">
      <w:rPr>
        <w:noProof/>
      </w:rPr>
      <w:t xml:space="preserve"> of 4</w:t>
    </w:r>
  </w:p>
  <w:p w:rsidR="00397354" w:rsidRPr="00397354" w:rsidRDefault="00397354" w:rsidP="003973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84A" w:rsidRDefault="0006784A" w:rsidP="0006784A">
      <w:pPr>
        <w:spacing w:after="0" w:line="240" w:lineRule="auto"/>
      </w:pPr>
      <w:r>
        <w:separator/>
      </w:r>
    </w:p>
  </w:footnote>
  <w:footnote w:type="continuationSeparator" w:id="0">
    <w:p w:rsidR="0006784A" w:rsidRDefault="0006784A" w:rsidP="0006784A">
      <w:pPr>
        <w:spacing w:after="0" w:line="240" w:lineRule="auto"/>
      </w:pPr>
      <w:r>
        <w:continuationSeparator/>
      </w:r>
    </w:p>
  </w:footnote>
  <w:footnote w:id="1">
    <w:p w:rsidR="0006784A" w:rsidRPr="0006784A" w:rsidRDefault="0006784A" w:rsidP="0006784A">
      <w:pPr>
        <w:pStyle w:val="FootnoteText"/>
        <w:rPr>
          <w:sz w:val="16"/>
          <w:szCs w:val="16"/>
        </w:rPr>
      </w:pPr>
      <w:r w:rsidRPr="0006784A">
        <w:rPr>
          <w:rStyle w:val="FootnoteReference"/>
          <w:sz w:val="16"/>
          <w:szCs w:val="16"/>
        </w:rPr>
        <w:footnoteRef/>
      </w:r>
      <w:r w:rsidRPr="0006784A">
        <w:rPr>
          <w:sz w:val="16"/>
          <w:szCs w:val="16"/>
        </w:rPr>
        <w:t xml:space="preserve"> This data has been reported by organisations to the Department’s Grant Agreement Managers. </w:t>
      </w:r>
    </w:p>
  </w:footnote>
  <w:footnote w:id="2">
    <w:p w:rsidR="0006784A" w:rsidRPr="0006784A" w:rsidRDefault="0006784A">
      <w:pPr>
        <w:pStyle w:val="FootnoteText"/>
        <w:rPr>
          <w:sz w:val="16"/>
          <w:szCs w:val="16"/>
        </w:rPr>
      </w:pPr>
      <w:r w:rsidRPr="0006784A">
        <w:rPr>
          <w:rStyle w:val="FootnoteReference"/>
          <w:sz w:val="16"/>
          <w:szCs w:val="16"/>
        </w:rPr>
        <w:footnoteRef/>
      </w:r>
      <w:r w:rsidRPr="0006784A">
        <w:rPr>
          <w:sz w:val="16"/>
          <w:szCs w:val="16"/>
        </w:rPr>
        <w:t xml:space="preserve"> </w:t>
      </w:r>
      <w:r w:rsidRPr="0006784A">
        <w:rPr>
          <w:sz w:val="16"/>
          <w:szCs w:val="16"/>
          <w:lang w:eastAsia="en-AU"/>
        </w:rPr>
        <w:t xml:space="preserve">One organisation created a new function and </w:t>
      </w:r>
      <w:r>
        <w:rPr>
          <w:sz w:val="16"/>
          <w:szCs w:val="16"/>
          <w:lang w:eastAsia="en-AU"/>
        </w:rPr>
        <w:t>is</w:t>
      </w:r>
      <w:r w:rsidRPr="0006784A">
        <w:rPr>
          <w:sz w:val="16"/>
          <w:szCs w:val="16"/>
          <w:lang w:eastAsia="en-AU"/>
        </w:rPr>
        <w:t xml:space="preserve"> now counted as two organisations.</w:t>
      </w:r>
    </w:p>
  </w:footnote>
  <w:footnote w:id="3">
    <w:p w:rsidR="0006784A" w:rsidRDefault="0006784A" w:rsidP="0006784A">
      <w:pPr>
        <w:pStyle w:val="FootnoteText"/>
      </w:pPr>
      <w:r w:rsidRPr="0006784A">
        <w:rPr>
          <w:rStyle w:val="FootnoteReference"/>
          <w:sz w:val="16"/>
          <w:szCs w:val="16"/>
        </w:rPr>
        <w:footnoteRef/>
      </w:r>
      <w:r w:rsidRPr="0006784A">
        <w:rPr>
          <w:sz w:val="16"/>
          <w:szCs w:val="16"/>
        </w:rPr>
        <w:t xml:space="preserve"> This data has been reported by organisations to the Department’s Grant Agreement Managers.</w:t>
      </w:r>
    </w:p>
  </w:footnote>
  <w:footnote w:id="4">
    <w:p w:rsidR="00E97EA2" w:rsidRDefault="00E97EA2" w:rsidP="00E97EA2">
      <w:pPr>
        <w:pStyle w:val="FootnoteText"/>
      </w:pPr>
      <w:r w:rsidRPr="0006784A">
        <w:rPr>
          <w:rStyle w:val="FootnoteReference"/>
          <w:sz w:val="16"/>
          <w:szCs w:val="16"/>
        </w:rPr>
        <w:footnoteRef/>
      </w:r>
      <w:r w:rsidRPr="0006784A">
        <w:rPr>
          <w:sz w:val="16"/>
          <w:szCs w:val="16"/>
        </w:rPr>
        <w:t xml:space="preserve"> This data has been reported by organisations to the Department’s Grant Agreement Managers.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41D7"/>
    <w:multiLevelType w:val="hybridMultilevel"/>
    <w:tmpl w:val="3D0EB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66F66C4"/>
    <w:multiLevelType w:val="hybridMultilevel"/>
    <w:tmpl w:val="7B607FC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8976A77"/>
    <w:multiLevelType w:val="hybridMultilevel"/>
    <w:tmpl w:val="D8DAA0BA"/>
    <w:lvl w:ilvl="0" w:tplc="E6B43F2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57731997"/>
    <w:multiLevelType w:val="hybridMultilevel"/>
    <w:tmpl w:val="6FD83EAA"/>
    <w:lvl w:ilvl="0" w:tplc="460EE25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5F297B97"/>
    <w:multiLevelType w:val="hybridMultilevel"/>
    <w:tmpl w:val="6A7A5DAA"/>
    <w:lvl w:ilvl="0" w:tplc="0C090017">
      <w:start w:val="1"/>
      <w:numFmt w:val="lowerLetter"/>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
    <w:nsid w:val="62B802EC"/>
    <w:multiLevelType w:val="hybridMultilevel"/>
    <w:tmpl w:val="9278A3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8C9"/>
    <w:rsid w:val="000110DE"/>
    <w:rsid w:val="00015D15"/>
    <w:rsid w:val="000369E0"/>
    <w:rsid w:val="0006784A"/>
    <w:rsid w:val="001075D9"/>
    <w:rsid w:val="0013315C"/>
    <w:rsid w:val="001B3D40"/>
    <w:rsid w:val="001B40F3"/>
    <w:rsid w:val="001B60A5"/>
    <w:rsid w:val="001E630D"/>
    <w:rsid w:val="00260ACE"/>
    <w:rsid w:val="002C472E"/>
    <w:rsid w:val="00397354"/>
    <w:rsid w:val="003A20EE"/>
    <w:rsid w:val="003B2BB8"/>
    <w:rsid w:val="003C5181"/>
    <w:rsid w:val="003D1002"/>
    <w:rsid w:val="003D34FF"/>
    <w:rsid w:val="004928C9"/>
    <w:rsid w:val="004B54CA"/>
    <w:rsid w:val="004E5CBF"/>
    <w:rsid w:val="005001F6"/>
    <w:rsid w:val="005C3AA9"/>
    <w:rsid w:val="00654A76"/>
    <w:rsid w:val="0065576B"/>
    <w:rsid w:val="0066050B"/>
    <w:rsid w:val="00662AA7"/>
    <w:rsid w:val="006821BC"/>
    <w:rsid w:val="006A4CE7"/>
    <w:rsid w:val="006B4110"/>
    <w:rsid w:val="006F1540"/>
    <w:rsid w:val="00785261"/>
    <w:rsid w:val="007B0256"/>
    <w:rsid w:val="00811291"/>
    <w:rsid w:val="00852919"/>
    <w:rsid w:val="00883322"/>
    <w:rsid w:val="00894ACB"/>
    <w:rsid w:val="009225F0"/>
    <w:rsid w:val="00940E73"/>
    <w:rsid w:val="00AF2356"/>
    <w:rsid w:val="00B63905"/>
    <w:rsid w:val="00BA2DB9"/>
    <w:rsid w:val="00BB19E1"/>
    <w:rsid w:val="00BE7148"/>
    <w:rsid w:val="00BF12C7"/>
    <w:rsid w:val="00C41A57"/>
    <w:rsid w:val="00C557C0"/>
    <w:rsid w:val="00C660DE"/>
    <w:rsid w:val="00C72480"/>
    <w:rsid w:val="00CE2411"/>
    <w:rsid w:val="00CF6C84"/>
    <w:rsid w:val="00E2795F"/>
    <w:rsid w:val="00E97EA2"/>
    <w:rsid w:val="00EE5E92"/>
    <w:rsid w:val="00FD1D1A"/>
    <w:rsid w:val="00FD65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8C9"/>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SubmissionNormal">
    <w:name w:val="Submission Normal"/>
    <w:basedOn w:val="Normal"/>
    <w:link w:val="SubmissionNormalChar"/>
    <w:rsid w:val="004928C9"/>
    <w:pPr>
      <w:spacing w:before="240" w:after="240" w:line="240" w:lineRule="auto"/>
    </w:pPr>
    <w:rPr>
      <w:rFonts w:eastAsia="Times New Roman" w:cs="Times New Roman"/>
      <w:color w:val="000000"/>
      <w:sz w:val="24"/>
      <w:szCs w:val="20"/>
    </w:rPr>
  </w:style>
  <w:style w:type="character" w:customStyle="1" w:styleId="SubmissionNormalChar">
    <w:name w:val="Submission Normal Char"/>
    <w:link w:val="SubmissionNormal"/>
    <w:rsid w:val="004928C9"/>
    <w:rPr>
      <w:rFonts w:ascii="Arial" w:eastAsia="Times New Roman" w:hAnsi="Arial" w:cs="Times New Roman"/>
      <w:color w:val="000000"/>
      <w:sz w:val="24"/>
      <w:szCs w:val="20"/>
    </w:rPr>
  </w:style>
  <w:style w:type="paragraph" w:styleId="BalloonText">
    <w:name w:val="Balloon Text"/>
    <w:basedOn w:val="Normal"/>
    <w:link w:val="BalloonTextChar"/>
    <w:uiPriority w:val="99"/>
    <w:semiHidden/>
    <w:unhideWhenUsed/>
    <w:rsid w:val="000369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9E0"/>
    <w:rPr>
      <w:rFonts w:ascii="Tahoma" w:hAnsi="Tahoma" w:cs="Tahoma"/>
      <w:sz w:val="16"/>
      <w:szCs w:val="16"/>
    </w:rPr>
  </w:style>
  <w:style w:type="character" w:styleId="CommentReference">
    <w:name w:val="annotation reference"/>
    <w:basedOn w:val="DefaultParagraphFont"/>
    <w:uiPriority w:val="99"/>
    <w:semiHidden/>
    <w:unhideWhenUsed/>
    <w:rsid w:val="00654A76"/>
    <w:rPr>
      <w:sz w:val="16"/>
      <w:szCs w:val="16"/>
    </w:rPr>
  </w:style>
  <w:style w:type="paragraph" w:styleId="CommentText">
    <w:name w:val="annotation text"/>
    <w:basedOn w:val="Normal"/>
    <w:link w:val="CommentTextChar"/>
    <w:uiPriority w:val="99"/>
    <w:semiHidden/>
    <w:unhideWhenUsed/>
    <w:rsid w:val="00654A76"/>
    <w:pPr>
      <w:spacing w:line="240" w:lineRule="auto"/>
    </w:pPr>
    <w:rPr>
      <w:sz w:val="20"/>
      <w:szCs w:val="20"/>
    </w:rPr>
  </w:style>
  <w:style w:type="character" w:customStyle="1" w:styleId="CommentTextChar">
    <w:name w:val="Comment Text Char"/>
    <w:basedOn w:val="DefaultParagraphFont"/>
    <w:link w:val="CommentText"/>
    <w:uiPriority w:val="99"/>
    <w:semiHidden/>
    <w:rsid w:val="00654A7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54A76"/>
    <w:rPr>
      <w:b/>
      <w:bCs/>
    </w:rPr>
  </w:style>
  <w:style w:type="character" w:customStyle="1" w:styleId="CommentSubjectChar">
    <w:name w:val="Comment Subject Char"/>
    <w:basedOn w:val="CommentTextChar"/>
    <w:link w:val="CommentSubject"/>
    <w:uiPriority w:val="99"/>
    <w:semiHidden/>
    <w:rsid w:val="00654A76"/>
    <w:rPr>
      <w:rFonts w:ascii="Arial" w:hAnsi="Arial"/>
      <w:b/>
      <w:bCs/>
      <w:sz w:val="20"/>
      <w:szCs w:val="20"/>
    </w:rPr>
  </w:style>
  <w:style w:type="table" w:styleId="TableGrid">
    <w:name w:val="Table Grid"/>
    <w:basedOn w:val="TableNormal"/>
    <w:uiPriority w:val="59"/>
    <w:rsid w:val="00CE2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678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784A"/>
    <w:rPr>
      <w:rFonts w:ascii="Arial" w:hAnsi="Arial"/>
      <w:sz w:val="20"/>
      <w:szCs w:val="20"/>
    </w:rPr>
  </w:style>
  <w:style w:type="character" w:styleId="FootnoteReference">
    <w:name w:val="footnote reference"/>
    <w:basedOn w:val="DefaultParagraphFont"/>
    <w:uiPriority w:val="99"/>
    <w:semiHidden/>
    <w:unhideWhenUsed/>
    <w:rsid w:val="0006784A"/>
    <w:rPr>
      <w:vertAlign w:val="superscript"/>
    </w:rPr>
  </w:style>
  <w:style w:type="paragraph" w:styleId="Header">
    <w:name w:val="header"/>
    <w:basedOn w:val="Normal"/>
    <w:link w:val="HeaderChar"/>
    <w:uiPriority w:val="99"/>
    <w:unhideWhenUsed/>
    <w:rsid w:val="003973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354"/>
    <w:rPr>
      <w:rFonts w:ascii="Arial" w:hAnsi="Arial"/>
    </w:rPr>
  </w:style>
  <w:style w:type="paragraph" w:styleId="Footer">
    <w:name w:val="footer"/>
    <w:basedOn w:val="Normal"/>
    <w:link w:val="FooterChar"/>
    <w:uiPriority w:val="99"/>
    <w:unhideWhenUsed/>
    <w:rsid w:val="00397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354"/>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8C9"/>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SubmissionNormal">
    <w:name w:val="Submission Normal"/>
    <w:basedOn w:val="Normal"/>
    <w:link w:val="SubmissionNormalChar"/>
    <w:rsid w:val="004928C9"/>
    <w:pPr>
      <w:spacing w:before="240" w:after="240" w:line="240" w:lineRule="auto"/>
    </w:pPr>
    <w:rPr>
      <w:rFonts w:eastAsia="Times New Roman" w:cs="Times New Roman"/>
      <w:color w:val="000000"/>
      <w:sz w:val="24"/>
      <w:szCs w:val="20"/>
    </w:rPr>
  </w:style>
  <w:style w:type="character" w:customStyle="1" w:styleId="SubmissionNormalChar">
    <w:name w:val="Submission Normal Char"/>
    <w:link w:val="SubmissionNormal"/>
    <w:rsid w:val="004928C9"/>
    <w:rPr>
      <w:rFonts w:ascii="Arial" w:eastAsia="Times New Roman" w:hAnsi="Arial" w:cs="Times New Roman"/>
      <w:color w:val="000000"/>
      <w:sz w:val="24"/>
      <w:szCs w:val="20"/>
    </w:rPr>
  </w:style>
  <w:style w:type="paragraph" w:styleId="BalloonText">
    <w:name w:val="Balloon Text"/>
    <w:basedOn w:val="Normal"/>
    <w:link w:val="BalloonTextChar"/>
    <w:uiPriority w:val="99"/>
    <w:semiHidden/>
    <w:unhideWhenUsed/>
    <w:rsid w:val="000369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9E0"/>
    <w:rPr>
      <w:rFonts w:ascii="Tahoma" w:hAnsi="Tahoma" w:cs="Tahoma"/>
      <w:sz w:val="16"/>
      <w:szCs w:val="16"/>
    </w:rPr>
  </w:style>
  <w:style w:type="character" w:styleId="CommentReference">
    <w:name w:val="annotation reference"/>
    <w:basedOn w:val="DefaultParagraphFont"/>
    <w:uiPriority w:val="99"/>
    <w:semiHidden/>
    <w:unhideWhenUsed/>
    <w:rsid w:val="00654A76"/>
    <w:rPr>
      <w:sz w:val="16"/>
      <w:szCs w:val="16"/>
    </w:rPr>
  </w:style>
  <w:style w:type="paragraph" w:styleId="CommentText">
    <w:name w:val="annotation text"/>
    <w:basedOn w:val="Normal"/>
    <w:link w:val="CommentTextChar"/>
    <w:uiPriority w:val="99"/>
    <w:semiHidden/>
    <w:unhideWhenUsed/>
    <w:rsid w:val="00654A76"/>
    <w:pPr>
      <w:spacing w:line="240" w:lineRule="auto"/>
    </w:pPr>
    <w:rPr>
      <w:sz w:val="20"/>
      <w:szCs w:val="20"/>
    </w:rPr>
  </w:style>
  <w:style w:type="character" w:customStyle="1" w:styleId="CommentTextChar">
    <w:name w:val="Comment Text Char"/>
    <w:basedOn w:val="DefaultParagraphFont"/>
    <w:link w:val="CommentText"/>
    <w:uiPriority w:val="99"/>
    <w:semiHidden/>
    <w:rsid w:val="00654A7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54A76"/>
    <w:rPr>
      <w:b/>
      <w:bCs/>
    </w:rPr>
  </w:style>
  <w:style w:type="character" w:customStyle="1" w:styleId="CommentSubjectChar">
    <w:name w:val="Comment Subject Char"/>
    <w:basedOn w:val="CommentTextChar"/>
    <w:link w:val="CommentSubject"/>
    <w:uiPriority w:val="99"/>
    <w:semiHidden/>
    <w:rsid w:val="00654A76"/>
    <w:rPr>
      <w:rFonts w:ascii="Arial" w:hAnsi="Arial"/>
      <w:b/>
      <w:bCs/>
      <w:sz w:val="20"/>
      <w:szCs w:val="20"/>
    </w:rPr>
  </w:style>
  <w:style w:type="table" w:styleId="TableGrid">
    <w:name w:val="Table Grid"/>
    <w:basedOn w:val="TableNormal"/>
    <w:uiPriority w:val="59"/>
    <w:rsid w:val="00CE2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678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784A"/>
    <w:rPr>
      <w:rFonts w:ascii="Arial" w:hAnsi="Arial"/>
      <w:sz w:val="20"/>
      <w:szCs w:val="20"/>
    </w:rPr>
  </w:style>
  <w:style w:type="character" w:styleId="FootnoteReference">
    <w:name w:val="footnote reference"/>
    <w:basedOn w:val="DefaultParagraphFont"/>
    <w:uiPriority w:val="99"/>
    <w:semiHidden/>
    <w:unhideWhenUsed/>
    <w:rsid w:val="0006784A"/>
    <w:rPr>
      <w:vertAlign w:val="superscript"/>
    </w:rPr>
  </w:style>
  <w:style w:type="paragraph" w:styleId="Header">
    <w:name w:val="header"/>
    <w:basedOn w:val="Normal"/>
    <w:link w:val="HeaderChar"/>
    <w:uiPriority w:val="99"/>
    <w:unhideWhenUsed/>
    <w:rsid w:val="003973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354"/>
    <w:rPr>
      <w:rFonts w:ascii="Arial" w:hAnsi="Arial"/>
    </w:rPr>
  </w:style>
  <w:style w:type="paragraph" w:styleId="Footer">
    <w:name w:val="footer"/>
    <w:basedOn w:val="Normal"/>
    <w:link w:val="FooterChar"/>
    <w:uiPriority w:val="99"/>
    <w:unhideWhenUsed/>
    <w:rsid w:val="00397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35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09FD8-9B06-4D03-AFFD-0D4144530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James</dc:creator>
  <cp:keywords/>
  <dc:description/>
  <cp:lastModifiedBy>DOUGLAS, James</cp:lastModifiedBy>
  <cp:revision>2</cp:revision>
  <cp:lastPrinted>2015-06-05T01:01:00Z</cp:lastPrinted>
  <dcterms:created xsi:type="dcterms:W3CDTF">2015-06-05T01:13:00Z</dcterms:created>
  <dcterms:modified xsi:type="dcterms:W3CDTF">2015-06-05T01:13:00Z</dcterms:modified>
</cp:coreProperties>
</file>