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33836" w14:textId="1EFE7A95" w:rsidR="00591951" w:rsidRPr="00FB5561" w:rsidRDefault="00912CF5" w:rsidP="00591951">
      <w:pPr>
        <w:tabs>
          <w:tab w:val="left" w:pos="3014"/>
        </w:tabs>
        <w:spacing w:after="3000"/>
        <w:rPr>
          <w:rStyle w:val="FootnoteReference"/>
          <w:rFonts w:cs="Arial"/>
        </w:rPr>
      </w:pPr>
      <w:r w:rsidRPr="00FB5561">
        <w:rPr>
          <w:rFonts w:cs="Arial"/>
          <w:noProof/>
        </w:rPr>
        <mc:AlternateContent>
          <mc:Choice Requires="wps">
            <w:drawing>
              <wp:anchor distT="0" distB="0" distL="114300" distR="114300" simplePos="0" relativeHeight="251658752" behindDoc="0" locked="0" layoutInCell="1" allowOverlap="1" wp14:anchorId="431E1747" wp14:editId="3E75C416">
                <wp:simplePos x="0" y="0"/>
                <wp:positionH relativeFrom="column">
                  <wp:posOffset>1961523</wp:posOffset>
                </wp:positionH>
                <wp:positionV relativeFrom="paragraph">
                  <wp:posOffset>1491491</wp:posOffset>
                </wp:positionV>
                <wp:extent cx="3775075" cy="5225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522515"/>
                        </a:xfrm>
                        <a:prstGeom prst="rect">
                          <a:avLst/>
                        </a:prstGeom>
                        <a:noFill/>
                        <a:ln w="6350">
                          <a:noFill/>
                        </a:ln>
                        <a:effectLst/>
                      </wps:spPr>
                      <wps:txbx>
                        <w:txbxContent>
                          <w:p w14:paraId="6848E0F1" w14:textId="77777777" w:rsidR="00912CF5" w:rsidRPr="000E1D6F" w:rsidRDefault="00912CF5" w:rsidP="002863D7">
                            <w:pPr>
                              <w:pStyle w:val="Date"/>
                              <w:rPr>
                                <w:sz w:val="32"/>
                                <w:szCs w:val="32"/>
                              </w:rPr>
                            </w:pPr>
                            <w:r w:rsidRPr="000E1D6F">
                              <w:rPr>
                                <w:rFonts w:cs="Arial"/>
                                <w:b/>
                                <w:caps/>
                                <w:color w:val="auto"/>
                                <w:sz w:val="32"/>
                                <w:szCs w:val="32"/>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E1747" id="_x0000_t202" coordsize="21600,21600" o:spt="202" path="m,l,21600r21600,l21600,xe">
                <v:stroke joinstyle="miter"/>
                <v:path gradientshapeok="t" o:connecttype="rect"/>
              </v:shapetype>
              <v:shape id="Text Box 4" o:spid="_x0000_s1026" type="#_x0000_t202" style="position:absolute;margin-left:154.45pt;margin-top:117.45pt;width:297.25pt;height: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" filled="f" stroked="f" strokeweight=".5pt">
                <v:path arrowok="t"/>
                <v:textbox>
                  <w:txbxContent>
                    <w:p w14:paraId="6848E0F1" w14:textId="77777777" w:rsidR="00912CF5" w:rsidRPr="000E1D6F" w:rsidRDefault="00912CF5" w:rsidP="002863D7">
                      <w:pPr>
                        <w:pStyle w:val="Date"/>
                        <w:rPr>
                          <w:sz w:val="32"/>
                          <w:szCs w:val="32"/>
                        </w:rPr>
                      </w:pPr>
                      <w:r w:rsidRPr="000E1D6F">
                        <w:rPr>
                          <w:rFonts w:cs="Arial"/>
                          <w:b/>
                          <w:caps/>
                          <w:color w:val="auto"/>
                          <w:sz w:val="32"/>
                          <w:szCs w:val="32"/>
                        </w:rPr>
                        <w:t>2016</w:t>
                      </w:r>
                    </w:p>
                  </w:txbxContent>
                </v:textbox>
              </v:shape>
            </w:pict>
          </mc:Fallback>
        </mc:AlternateContent>
      </w:r>
      <w:r w:rsidR="000251FC" w:rsidRPr="00FB5561">
        <w:rPr>
          <w:rFonts w:cs="Arial"/>
          <w:noProof/>
        </w:rPr>
        <mc:AlternateContent>
          <mc:Choice Requires="wps">
            <w:drawing>
              <wp:anchor distT="0" distB="0" distL="114300" distR="114300" simplePos="0" relativeHeight="251656704" behindDoc="0" locked="0" layoutInCell="1" allowOverlap="1" wp14:anchorId="36A4FABB" wp14:editId="68002636">
                <wp:simplePos x="0" y="0"/>
                <wp:positionH relativeFrom="margin">
                  <wp:posOffset>-597975</wp:posOffset>
                </wp:positionH>
                <wp:positionV relativeFrom="paragraph">
                  <wp:posOffset>-40152</wp:posOffset>
                </wp:positionV>
                <wp:extent cx="6343015" cy="1600982"/>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015" cy="1600982"/>
                        </a:xfrm>
                        <a:prstGeom prst="rect">
                          <a:avLst/>
                        </a:prstGeom>
                        <a:noFill/>
                        <a:ln w="6350">
                          <a:noFill/>
                        </a:ln>
                        <a:effectLst/>
                      </wps:spPr>
                      <wps:txbx>
                        <w:txbxContent>
                          <w:p w14:paraId="063CCC0E" w14:textId="77777777" w:rsidR="00912CF5" w:rsidRDefault="00912CF5" w:rsidP="000251FC">
                            <w:pPr>
                              <w:pStyle w:val="MainTitle"/>
                            </w:pPr>
                            <w:r>
                              <w:t xml:space="preserve">Guidelines for providers of insurance and superannuation under the </w:t>
                            </w:r>
                            <w:r w:rsidRPr="000251FC">
                              <w:rPr>
                                <w:i/>
                              </w:rPr>
                              <w:t>Disability Discrimination Act 1992</w:t>
                            </w:r>
                            <w:r>
                              <w:t xml:space="preserve"> (Cth)</w:t>
                            </w:r>
                          </w:p>
                          <w:p w14:paraId="656CF6F2" w14:textId="77777777" w:rsidR="00912CF5" w:rsidRDefault="00912CF5" w:rsidP="00456064">
                            <w:pPr>
                              <w:pStyle w:val="MainTitle"/>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4FABB" id="Text Box 1" o:spid="_x0000_s1027" type="#_x0000_t202" style="position:absolute;margin-left:-47.1pt;margin-top:-3.15pt;width:499.45pt;height:126.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" filled="f" stroked="f" strokeweight=".5pt">
                <v:path arrowok="t"/>
                <v:textbox>
                  <w:txbxContent>
                    <w:p w14:paraId="063CCC0E" w14:textId="77777777" w:rsidR="00912CF5" w:rsidRDefault="00912CF5" w:rsidP="000251FC">
                      <w:pPr>
                        <w:pStyle w:val="MainTitle"/>
                      </w:pPr>
                      <w:r>
                        <w:t xml:space="preserve">Guidelines for providers of insurance and superannuation under the </w:t>
                      </w:r>
                      <w:r w:rsidRPr="000251FC">
                        <w:rPr>
                          <w:i/>
                        </w:rPr>
                        <w:t>Disability Discrimination Act 1992</w:t>
                      </w:r>
                      <w:r>
                        <w:t xml:space="preserve"> (Cth)</w:t>
                      </w:r>
                    </w:p>
                    <w:p w14:paraId="656CF6F2" w14:textId="77777777" w:rsidR="00912CF5" w:rsidRDefault="00912CF5" w:rsidP="00456064">
                      <w:pPr>
                        <w:pStyle w:val="MainTitle"/>
                        <w:jc w:val="center"/>
                      </w:pPr>
                    </w:p>
                  </w:txbxContent>
                </v:textbox>
                <w10:wrap anchorx="margin"/>
              </v:shape>
            </w:pict>
          </mc:Fallback>
        </mc:AlternateContent>
      </w:r>
    </w:p>
    <w:p w14:paraId="3C002079" w14:textId="77777777" w:rsidR="00591951" w:rsidRPr="00FB5561" w:rsidRDefault="00591951" w:rsidP="00591951">
      <w:pPr>
        <w:pStyle w:val="MainTitle"/>
        <w:rPr>
          <w:rFonts w:cs="Arial"/>
          <w:sz w:val="44"/>
          <w:szCs w:val="44"/>
        </w:rPr>
      </w:pPr>
    </w:p>
    <w:p w14:paraId="6BEA85EA" w14:textId="77777777" w:rsidR="00DC64D6" w:rsidRPr="00FB5561" w:rsidRDefault="00DC64D6" w:rsidP="00E26B28">
      <w:pPr>
        <w:rPr>
          <w:rFonts w:cs="Arial"/>
        </w:rPr>
      </w:pPr>
      <w:bookmarkStart w:id="0" w:name="_Toc209316062"/>
      <w:bookmarkEnd w:id="0"/>
    </w:p>
    <w:p w14:paraId="1F20588C" w14:textId="77777777" w:rsidR="00DC64D6" w:rsidRPr="00FB5561" w:rsidRDefault="00DC64D6" w:rsidP="00DC64D6">
      <w:pPr>
        <w:tabs>
          <w:tab w:val="left" w:pos="5370"/>
        </w:tabs>
        <w:rPr>
          <w:rFonts w:cs="Arial"/>
        </w:rPr>
      </w:pPr>
      <w:r w:rsidRPr="00FB5561">
        <w:rPr>
          <w:rFonts w:cs="Arial"/>
        </w:rPr>
        <w:tab/>
      </w:r>
    </w:p>
    <w:p w14:paraId="36F1B41F" w14:textId="77777777" w:rsidR="00B924E6" w:rsidRPr="00FB5561" w:rsidRDefault="00DC64D6" w:rsidP="00DC64D6">
      <w:pPr>
        <w:tabs>
          <w:tab w:val="left" w:pos="5370"/>
        </w:tabs>
        <w:rPr>
          <w:rFonts w:cs="Arial"/>
        </w:rPr>
        <w:sectPr w:rsidR="00B924E6" w:rsidRPr="00FB5561" w:rsidSect="00B24B1D">
          <w:headerReference w:type="default" r:id="rId8"/>
          <w:footerReference w:type="default" r:id="rId9"/>
          <w:headerReference w:type="first" r:id="rId10"/>
          <w:footerReference w:type="first" r:id="rId11"/>
          <w:type w:val="continuous"/>
          <w:pgSz w:w="11906" w:h="16838" w:code="9"/>
          <w:pgMar w:top="228" w:right="1700" w:bottom="1134" w:left="1418" w:header="277" w:footer="415" w:gutter="0"/>
          <w:cols w:space="708"/>
          <w:titlePg/>
          <w:docGrid w:linePitch="360"/>
        </w:sectPr>
      </w:pPr>
      <w:r w:rsidRPr="00FB5561">
        <w:rPr>
          <w:rFonts w:cs="Arial"/>
        </w:rPr>
        <w:tab/>
      </w:r>
    </w:p>
    <w:p w14:paraId="7197EB1E" w14:textId="77777777" w:rsidR="00B63D24" w:rsidRPr="00FB5561" w:rsidRDefault="00B63D24" w:rsidP="00B63D24">
      <w:pPr>
        <w:rPr>
          <w:rFonts w:cs="Arial"/>
          <w:b/>
          <w:sz w:val="28"/>
          <w:szCs w:val="28"/>
        </w:rPr>
      </w:pPr>
      <w:bookmarkStart w:id="1" w:name="_Toc207761829"/>
      <w:r w:rsidRPr="00FB5561">
        <w:rPr>
          <w:rFonts w:cs="Arial"/>
          <w:b/>
          <w:sz w:val="28"/>
          <w:szCs w:val="28"/>
        </w:rPr>
        <w:lastRenderedPageBreak/>
        <w:t>Contents</w:t>
      </w:r>
      <w:bookmarkEnd w:id="1"/>
    </w:p>
    <w:p w14:paraId="738EE882" w14:textId="5EA6CF64" w:rsidR="00CC69FD" w:rsidRDefault="00B63D24">
      <w:pPr>
        <w:pStyle w:val="TOC1"/>
        <w:rPr>
          <w:rFonts w:asciiTheme="minorHAnsi" w:eastAsiaTheme="minorEastAsia" w:hAnsiTheme="minorHAnsi" w:cstheme="minorBidi"/>
          <w:b w:val="0"/>
          <w:szCs w:val="22"/>
        </w:rPr>
      </w:pPr>
      <w:r w:rsidRPr="00FB5561">
        <w:rPr>
          <w:rFonts w:cs="Arial"/>
          <w:sz w:val="24"/>
        </w:rPr>
        <w:fldChar w:fldCharType="begin"/>
      </w:r>
      <w:r w:rsidRPr="00FB5561">
        <w:rPr>
          <w:rFonts w:cs="Arial"/>
          <w:sz w:val="24"/>
        </w:rPr>
        <w:instrText xml:space="preserve"> TOC \o "1-4" \h \z \u </w:instrText>
      </w:r>
      <w:r w:rsidRPr="00FB5561">
        <w:rPr>
          <w:rFonts w:cs="Arial"/>
          <w:sz w:val="24"/>
        </w:rPr>
        <w:fldChar w:fldCharType="separate"/>
      </w:r>
      <w:hyperlink w:anchor="_Toc466973672" w:history="1">
        <w:r w:rsidR="00CC69FD" w:rsidRPr="001A56FC">
          <w:rPr>
            <w:rStyle w:val="Hyperlink"/>
            <w:rFonts w:cs="Arial"/>
          </w:rPr>
          <w:t>1</w:t>
        </w:r>
        <w:r w:rsidR="00CC69FD">
          <w:rPr>
            <w:rFonts w:asciiTheme="minorHAnsi" w:eastAsiaTheme="minorEastAsia" w:hAnsiTheme="minorHAnsi" w:cstheme="minorBidi"/>
            <w:b w:val="0"/>
            <w:szCs w:val="22"/>
          </w:rPr>
          <w:tab/>
        </w:r>
        <w:r w:rsidR="00CC69FD" w:rsidRPr="001A56FC">
          <w:rPr>
            <w:rStyle w:val="Hyperlink"/>
            <w:rFonts w:cs="Arial"/>
          </w:rPr>
          <w:t>Introduction to these guidelines</w:t>
        </w:r>
        <w:r w:rsidR="00CC69FD">
          <w:rPr>
            <w:webHidden/>
          </w:rPr>
          <w:tab/>
        </w:r>
        <w:r w:rsidR="00CC69FD">
          <w:rPr>
            <w:webHidden/>
          </w:rPr>
          <w:fldChar w:fldCharType="begin"/>
        </w:r>
        <w:r w:rsidR="00CC69FD">
          <w:rPr>
            <w:webHidden/>
          </w:rPr>
          <w:instrText xml:space="preserve"> PAGEREF _Toc466973672 \h </w:instrText>
        </w:r>
        <w:r w:rsidR="00CC69FD">
          <w:rPr>
            <w:webHidden/>
          </w:rPr>
        </w:r>
        <w:r w:rsidR="00CC69FD">
          <w:rPr>
            <w:webHidden/>
          </w:rPr>
          <w:fldChar w:fldCharType="separate"/>
        </w:r>
        <w:r w:rsidR="004C4C4E">
          <w:rPr>
            <w:webHidden/>
          </w:rPr>
          <w:t>3</w:t>
        </w:r>
        <w:r w:rsidR="00CC69FD">
          <w:rPr>
            <w:webHidden/>
          </w:rPr>
          <w:fldChar w:fldCharType="end"/>
        </w:r>
      </w:hyperlink>
    </w:p>
    <w:p w14:paraId="4C7AB27F" w14:textId="478B26E4" w:rsidR="00CC69FD" w:rsidRDefault="00CC69FD">
      <w:pPr>
        <w:pStyle w:val="TOC1"/>
        <w:rPr>
          <w:rFonts w:asciiTheme="minorHAnsi" w:eastAsiaTheme="minorEastAsia" w:hAnsiTheme="minorHAnsi" w:cstheme="minorBidi"/>
          <w:b w:val="0"/>
          <w:szCs w:val="22"/>
        </w:rPr>
      </w:pPr>
      <w:hyperlink w:anchor="_Toc466973673" w:history="1">
        <w:r w:rsidRPr="001A56FC">
          <w:rPr>
            <w:rStyle w:val="Hyperlink"/>
            <w:rFonts w:cs="Arial"/>
          </w:rPr>
          <w:t>2</w:t>
        </w:r>
        <w:r>
          <w:rPr>
            <w:rFonts w:asciiTheme="minorHAnsi" w:eastAsiaTheme="minorEastAsia" w:hAnsiTheme="minorHAnsi" w:cstheme="minorBidi"/>
            <w:b w:val="0"/>
            <w:szCs w:val="22"/>
          </w:rPr>
          <w:tab/>
        </w:r>
        <w:r w:rsidRPr="001A56FC">
          <w:rPr>
            <w:rStyle w:val="Hyperlink"/>
            <w:rFonts w:cs="Arial"/>
          </w:rPr>
          <w:t>What is the definition of ‘disability’ in the DDA?</w:t>
        </w:r>
        <w:r>
          <w:rPr>
            <w:webHidden/>
          </w:rPr>
          <w:tab/>
        </w:r>
        <w:r>
          <w:rPr>
            <w:webHidden/>
          </w:rPr>
          <w:fldChar w:fldCharType="begin"/>
        </w:r>
        <w:r>
          <w:rPr>
            <w:webHidden/>
          </w:rPr>
          <w:instrText xml:space="preserve"> PAGEREF _Toc466973673 \h </w:instrText>
        </w:r>
        <w:r>
          <w:rPr>
            <w:webHidden/>
          </w:rPr>
        </w:r>
        <w:r>
          <w:rPr>
            <w:webHidden/>
          </w:rPr>
          <w:fldChar w:fldCharType="separate"/>
        </w:r>
        <w:r w:rsidR="004C4C4E">
          <w:rPr>
            <w:webHidden/>
          </w:rPr>
          <w:t>3</w:t>
        </w:r>
        <w:r>
          <w:rPr>
            <w:webHidden/>
          </w:rPr>
          <w:fldChar w:fldCharType="end"/>
        </w:r>
      </w:hyperlink>
    </w:p>
    <w:p w14:paraId="1A1E81F0" w14:textId="35DA0A89" w:rsidR="00CC69FD" w:rsidRDefault="00CC69FD">
      <w:pPr>
        <w:pStyle w:val="TOC1"/>
        <w:rPr>
          <w:rFonts w:asciiTheme="minorHAnsi" w:eastAsiaTheme="minorEastAsia" w:hAnsiTheme="minorHAnsi" w:cstheme="minorBidi"/>
          <w:b w:val="0"/>
          <w:szCs w:val="22"/>
        </w:rPr>
      </w:pPr>
      <w:hyperlink w:anchor="_Toc466973674" w:history="1">
        <w:r w:rsidRPr="001A56FC">
          <w:rPr>
            <w:rStyle w:val="Hyperlink"/>
            <w:rFonts w:cs="Arial"/>
          </w:rPr>
          <w:t>3</w:t>
        </w:r>
        <w:r>
          <w:rPr>
            <w:rFonts w:asciiTheme="minorHAnsi" w:eastAsiaTheme="minorEastAsia" w:hAnsiTheme="minorHAnsi" w:cstheme="minorBidi"/>
            <w:b w:val="0"/>
            <w:szCs w:val="22"/>
          </w:rPr>
          <w:tab/>
        </w:r>
        <w:r w:rsidRPr="001A56FC">
          <w:rPr>
            <w:rStyle w:val="Hyperlink"/>
            <w:rFonts w:cs="Arial"/>
          </w:rPr>
          <w:t>What constitutes discrimination?</w:t>
        </w:r>
        <w:r>
          <w:rPr>
            <w:webHidden/>
          </w:rPr>
          <w:tab/>
        </w:r>
        <w:r>
          <w:rPr>
            <w:webHidden/>
          </w:rPr>
          <w:fldChar w:fldCharType="begin"/>
        </w:r>
        <w:r>
          <w:rPr>
            <w:webHidden/>
          </w:rPr>
          <w:instrText xml:space="preserve"> PAGEREF _Toc466973674 \h </w:instrText>
        </w:r>
        <w:r>
          <w:rPr>
            <w:webHidden/>
          </w:rPr>
        </w:r>
        <w:r>
          <w:rPr>
            <w:webHidden/>
          </w:rPr>
          <w:fldChar w:fldCharType="separate"/>
        </w:r>
        <w:r w:rsidR="004C4C4E">
          <w:rPr>
            <w:webHidden/>
          </w:rPr>
          <w:t>4</w:t>
        </w:r>
        <w:r>
          <w:rPr>
            <w:webHidden/>
          </w:rPr>
          <w:fldChar w:fldCharType="end"/>
        </w:r>
      </w:hyperlink>
    </w:p>
    <w:p w14:paraId="1F6B98D3" w14:textId="239739D4" w:rsidR="00CC69FD" w:rsidRDefault="00CC69FD">
      <w:pPr>
        <w:pStyle w:val="TOC1"/>
        <w:rPr>
          <w:rFonts w:asciiTheme="minorHAnsi" w:eastAsiaTheme="minorEastAsia" w:hAnsiTheme="minorHAnsi" w:cstheme="minorBidi"/>
          <w:b w:val="0"/>
          <w:szCs w:val="22"/>
        </w:rPr>
      </w:pPr>
      <w:hyperlink w:anchor="_Toc466973675" w:history="1">
        <w:r w:rsidRPr="001A56FC">
          <w:rPr>
            <w:rStyle w:val="Hyperlink"/>
            <w:rFonts w:cs="Arial"/>
          </w:rPr>
          <w:t>4</w:t>
        </w:r>
        <w:r>
          <w:rPr>
            <w:rFonts w:asciiTheme="minorHAnsi" w:eastAsiaTheme="minorEastAsia" w:hAnsiTheme="minorHAnsi" w:cstheme="minorBidi"/>
            <w:b w:val="0"/>
            <w:szCs w:val="22"/>
          </w:rPr>
          <w:tab/>
        </w:r>
        <w:r w:rsidRPr="001A56FC">
          <w:rPr>
            <w:rStyle w:val="Hyperlink"/>
            <w:rFonts w:cs="Arial"/>
          </w:rPr>
          <w:t>Partial exemption for insurance and superannuation</w:t>
        </w:r>
        <w:r>
          <w:rPr>
            <w:webHidden/>
          </w:rPr>
          <w:tab/>
        </w:r>
        <w:r>
          <w:rPr>
            <w:webHidden/>
          </w:rPr>
          <w:fldChar w:fldCharType="begin"/>
        </w:r>
        <w:r>
          <w:rPr>
            <w:webHidden/>
          </w:rPr>
          <w:instrText xml:space="preserve"> PAGEREF _Toc466973675 \h </w:instrText>
        </w:r>
        <w:r>
          <w:rPr>
            <w:webHidden/>
          </w:rPr>
        </w:r>
        <w:r>
          <w:rPr>
            <w:webHidden/>
          </w:rPr>
          <w:fldChar w:fldCharType="separate"/>
        </w:r>
        <w:r w:rsidR="004C4C4E">
          <w:rPr>
            <w:webHidden/>
          </w:rPr>
          <w:t>6</w:t>
        </w:r>
        <w:r>
          <w:rPr>
            <w:webHidden/>
          </w:rPr>
          <w:fldChar w:fldCharType="end"/>
        </w:r>
      </w:hyperlink>
    </w:p>
    <w:p w14:paraId="7DD298D0" w14:textId="3277C5FB" w:rsidR="00CC69FD" w:rsidRDefault="00CC69FD">
      <w:pPr>
        <w:pStyle w:val="TOC2"/>
        <w:rPr>
          <w:rFonts w:asciiTheme="minorHAnsi" w:eastAsiaTheme="minorEastAsia" w:hAnsiTheme="minorHAnsi" w:cstheme="minorBidi"/>
          <w:b w:val="0"/>
          <w:i w:val="0"/>
          <w:sz w:val="22"/>
          <w:szCs w:val="22"/>
        </w:rPr>
      </w:pPr>
      <w:hyperlink w:anchor="_Toc466973676" w:history="1">
        <w:r w:rsidRPr="001A56FC">
          <w:rPr>
            <w:rStyle w:val="Hyperlink"/>
            <w:rFonts w:cs="Arial"/>
          </w:rPr>
          <w:t>4.1</w:t>
        </w:r>
        <w:r>
          <w:rPr>
            <w:rFonts w:asciiTheme="minorHAnsi" w:eastAsiaTheme="minorEastAsia" w:hAnsiTheme="minorHAnsi" w:cstheme="minorBidi"/>
            <w:b w:val="0"/>
            <w:i w:val="0"/>
            <w:sz w:val="22"/>
            <w:szCs w:val="22"/>
          </w:rPr>
          <w:tab/>
        </w:r>
        <w:r w:rsidRPr="001A56FC">
          <w:rPr>
            <w:rStyle w:val="Hyperlink"/>
            <w:rFonts w:cs="Arial"/>
          </w:rPr>
          <w:t>What actuarial or statistical data is reasonable to rely upon?</w:t>
        </w:r>
        <w:r>
          <w:rPr>
            <w:webHidden/>
          </w:rPr>
          <w:tab/>
        </w:r>
        <w:r>
          <w:rPr>
            <w:webHidden/>
          </w:rPr>
          <w:fldChar w:fldCharType="begin"/>
        </w:r>
        <w:r>
          <w:rPr>
            <w:webHidden/>
          </w:rPr>
          <w:instrText xml:space="preserve"> PAGEREF _Toc466973676 \h </w:instrText>
        </w:r>
        <w:r>
          <w:rPr>
            <w:webHidden/>
          </w:rPr>
        </w:r>
        <w:r>
          <w:rPr>
            <w:webHidden/>
          </w:rPr>
          <w:fldChar w:fldCharType="separate"/>
        </w:r>
        <w:r w:rsidR="004C4C4E">
          <w:rPr>
            <w:webHidden/>
          </w:rPr>
          <w:t>9</w:t>
        </w:r>
        <w:r>
          <w:rPr>
            <w:webHidden/>
          </w:rPr>
          <w:fldChar w:fldCharType="end"/>
        </w:r>
      </w:hyperlink>
    </w:p>
    <w:p w14:paraId="133D4C51" w14:textId="7F543932" w:rsidR="00CC69FD" w:rsidRDefault="00CC69FD">
      <w:pPr>
        <w:pStyle w:val="TOC3"/>
        <w:rPr>
          <w:rFonts w:asciiTheme="minorHAnsi" w:eastAsiaTheme="minorEastAsia" w:hAnsiTheme="minorHAnsi" w:cstheme="minorBidi"/>
          <w:i w:val="0"/>
          <w:sz w:val="22"/>
          <w:szCs w:val="22"/>
        </w:rPr>
      </w:pPr>
      <w:hyperlink w:anchor="_Toc466973677" w:history="1">
        <w:r w:rsidRPr="001A56FC">
          <w:rPr>
            <w:rStyle w:val="Hyperlink"/>
          </w:rPr>
          <w:t>(a)</w:t>
        </w:r>
        <w:r>
          <w:rPr>
            <w:rFonts w:asciiTheme="minorHAnsi" w:eastAsiaTheme="minorEastAsia" w:hAnsiTheme="minorHAnsi" w:cstheme="minorBidi"/>
            <w:i w:val="0"/>
            <w:sz w:val="22"/>
            <w:szCs w:val="22"/>
          </w:rPr>
          <w:tab/>
        </w:r>
        <w:r w:rsidRPr="001A56FC">
          <w:rPr>
            <w:rStyle w:val="Hyperlink"/>
          </w:rPr>
          <w:t>General considerations applicable to all data</w:t>
        </w:r>
        <w:r>
          <w:rPr>
            <w:webHidden/>
          </w:rPr>
          <w:tab/>
        </w:r>
        <w:r>
          <w:rPr>
            <w:webHidden/>
          </w:rPr>
          <w:fldChar w:fldCharType="begin"/>
        </w:r>
        <w:r>
          <w:rPr>
            <w:webHidden/>
          </w:rPr>
          <w:instrText xml:space="preserve"> PAGEREF _Toc466973677 \h </w:instrText>
        </w:r>
        <w:r>
          <w:rPr>
            <w:webHidden/>
          </w:rPr>
        </w:r>
        <w:r>
          <w:rPr>
            <w:webHidden/>
          </w:rPr>
          <w:fldChar w:fldCharType="separate"/>
        </w:r>
        <w:r w:rsidR="004C4C4E">
          <w:rPr>
            <w:webHidden/>
          </w:rPr>
          <w:t>9</w:t>
        </w:r>
        <w:r>
          <w:rPr>
            <w:webHidden/>
          </w:rPr>
          <w:fldChar w:fldCharType="end"/>
        </w:r>
      </w:hyperlink>
    </w:p>
    <w:p w14:paraId="31A57081" w14:textId="2AB5AC0D" w:rsidR="00CC69FD" w:rsidRDefault="00CC69FD">
      <w:pPr>
        <w:pStyle w:val="TOC3"/>
        <w:rPr>
          <w:rFonts w:asciiTheme="minorHAnsi" w:eastAsiaTheme="minorEastAsia" w:hAnsiTheme="minorHAnsi" w:cstheme="minorBidi"/>
          <w:i w:val="0"/>
          <w:sz w:val="22"/>
          <w:szCs w:val="22"/>
        </w:rPr>
      </w:pPr>
      <w:hyperlink w:anchor="_Toc466973678" w:history="1">
        <w:r w:rsidRPr="001A56FC">
          <w:rPr>
            <w:rStyle w:val="Hyperlink"/>
          </w:rPr>
          <w:t>(b)</w:t>
        </w:r>
        <w:r>
          <w:rPr>
            <w:rFonts w:asciiTheme="minorHAnsi" w:eastAsiaTheme="minorEastAsia" w:hAnsiTheme="minorHAnsi" w:cstheme="minorBidi"/>
            <w:i w:val="0"/>
            <w:sz w:val="22"/>
            <w:szCs w:val="22"/>
          </w:rPr>
          <w:tab/>
        </w:r>
        <w:r w:rsidRPr="001A56FC">
          <w:rPr>
            <w:rStyle w:val="Hyperlink"/>
          </w:rPr>
          <w:t>Underwriting manuals</w:t>
        </w:r>
        <w:r>
          <w:rPr>
            <w:webHidden/>
          </w:rPr>
          <w:tab/>
        </w:r>
        <w:r>
          <w:rPr>
            <w:webHidden/>
          </w:rPr>
          <w:fldChar w:fldCharType="begin"/>
        </w:r>
        <w:r>
          <w:rPr>
            <w:webHidden/>
          </w:rPr>
          <w:instrText xml:space="preserve"> PAGEREF _Toc466973678 \h </w:instrText>
        </w:r>
        <w:r>
          <w:rPr>
            <w:webHidden/>
          </w:rPr>
        </w:r>
        <w:r>
          <w:rPr>
            <w:webHidden/>
          </w:rPr>
          <w:fldChar w:fldCharType="separate"/>
        </w:r>
        <w:r w:rsidR="004C4C4E">
          <w:rPr>
            <w:webHidden/>
          </w:rPr>
          <w:t>9</w:t>
        </w:r>
        <w:r>
          <w:rPr>
            <w:webHidden/>
          </w:rPr>
          <w:fldChar w:fldCharType="end"/>
        </w:r>
      </w:hyperlink>
    </w:p>
    <w:p w14:paraId="32D9DDBB" w14:textId="1D4DFACA" w:rsidR="00CC69FD" w:rsidRDefault="00CC69FD">
      <w:pPr>
        <w:pStyle w:val="TOC3"/>
        <w:rPr>
          <w:rFonts w:asciiTheme="minorHAnsi" w:eastAsiaTheme="minorEastAsia" w:hAnsiTheme="minorHAnsi" w:cstheme="minorBidi"/>
          <w:i w:val="0"/>
          <w:sz w:val="22"/>
          <w:szCs w:val="22"/>
        </w:rPr>
      </w:pPr>
      <w:hyperlink w:anchor="_Toc466973679" w:history="1">
        <w:r w:rsidRPr="001A56FC">
          <w:rPr>
            <w:rStyle w:val="Hyperlink"/>
          </w:rPr>
          <w:t>(c)</w:t>
        </w:r>
        <w:r>
          <w:rPr>
            <w:rFonts w:asciiTheme="minorHAnsi" w:eastAsiaTheme="minorEastAsia" w:hAnsiTheme="minorHAnsi" w:cstheme="minorBidi"/>
            <w:i w:val="0"/>
            <w:sz w:val="22"/>
            <w:szCs w:val="22"/>
          </w:rPr>
          <w:tab/>
        </w:r>
        <w:r w:rsidRPr="001A56FC">
          <w:rPr>
            <w:rStyle w:val="Hyperlink"/>
          </w:rPr>
          <w:t>Local data</w:t>
        </w:r>
        <w:r>
          <w:rPr>
            <w:webHidden/>
          </w:rPr>
          <w:tab/>
        </w:r>
        <w:r>
          <w:rPr>
            <w:webHidden/>
          </w:rPr>
          <w:fldChar w:fldCharType="begin"/>
        </w:r>
        <w:r>
          <w:rPr>
            <w:webHidden/>
          </w:rPr>
          <w:instrText xml:space="preserve"> PAGEREF _Toc466973679 \h </w:instrText>
        </w:r>
        <w:r>
          <w:rPr>
            <w:webHidden/>
          </w:rPr>
        </w:r>
        <w:r>
          <w:rPr>
            <w:webHidden/>
          </w:rPr>
          <w:fldChar w:fldCharType="separate"/>
        </w:r>
        <w:r w:rsidR="004C4C4E">
          <w:rPr>
            <w:webHidden/>
          </w:rPr>
          <w:t>10</w:t>
        </w:r>
        <w:r>
          <w:rPr>
            <w:webHidden/>
          </w:rPr>
          <w:fldChar w:fldCharType="end"/>
        </w:r>
      </w:hyperlink>
    </w:p>
    <w:p w14:paraId="6B1C12BE" w14:textId="77FA2256" w:rsidR="00CC69FD" w:rsidRDefault="00CC69FD">
      <w:pPr>
        <w:pStyle w:val="TOC3"/>
        <w:rPr>
          <w:rFonts w:asciiTheme="minorHAnsi" w:eastAsiaTheme="minorEastAsia" w:hAnsiTheme="minorHAnsi" w:cstheme="minorBidi"/>
          <w:i w:val="0"/>
          <w:sz w:val="22"/>
          <w:szCs w:val="22"/>
        </w:rPr>
      </w:pPr>
      <w:hyperlink w:anchor="_Toc466973680" w:history="1">
        <w:r w:rsidRPr="001A56FC">
          <w:rPr>
            <w:rStyle w:val="Hyperlink"/>
          </w:rPr>
          <w:t>(d)</w:t>
        </w:r>
        <w:r>
          <w:rPr>
            <w:rFonts w:asciiTheme="minorHAnsi" w:eastAsiaTheme="minorEastAsia" w:hAnsiTheme="minorHAnsi" w:cstheme="minorBidi"/>
            <w:i w:val="0"/>
            <w:sz w:val="22"/>
            <w:szCs w:val="22"/>
          </w:rPr>
          <w:tab/>
        </w:r>
        <w:r w:rsidRPr="001A56FC">
          <w:rPr>
            <w:rStyle w:val="Hyperlink"/>
          </w:rPr>
          <w:t>International studies</w:t>
        </w:r>
        <w:r>
          <w:rPr>
            <w:webHidden/>
          </w:rPr>
          <w:tab/>
        </w:r>
        <w:r>
          <w:rPr>
            <w:webHidden/>
          </w:rPr>
          <w:fldChar w:fldCharType="begin"/>
        </w:r>
        <w:r>
          <w:rPr>
            <w:webHidden/>
          </w:rPr>
          <w:instrText xml:space="preserve"> PAGEREF _Toc466973680 \h </w:instrText>
        </w:r>
        <w:r>
          <w:rPr>
            <w:webHidden/>
          </w:rPr>
        </w:r>
        <w:r>
          <w:rPr>
            <w:webHidden/>
          </w:rPr>
          <w:fldChar w:fldCharType="separate"/>
        </w:r>
        <w:r w:rsidR="004C4C4E">
          <w:rPr>
            <w:webHidden/>
          </w:rPr>
          <w:t>10</w:t>
        </w:r>
        <w:r>
          <w:rPr>
            <w:webHidden/>
          </w:rPr>
          <w:fldChar w:fldCharType="end"/>
        </w:r>
      </w:hyperlink>
    </w:p>
    <w:p w14:paraId="2F07EBA0" w14:textId="061B0295" w:rsidR="00CC69FD" w:rsidRDefault="00CC69FD">
      <w:pPr>
        <w:pStyle w:val="TOC3"/>
        <w:rPr>
          <w:rFonts w:asciiTheme="minorHAnsi" w:eastAsiaTheme="minorEastAsia" w:hAnsiTheme="minorHAnsi" w:cstheme="minorBidi"/>
          <w:i w:val="0"/>
          <w:sz w:val="22"/>
          <w:szCs w:val="22"/>
        </w:rPr>
      </w:pPr>
      <w:hyperlink w:anchor="_Toc466973681" w:history="1">
        <w:r w:rsidRPr="001A56FC">
          <w:rPr>
            <w:rStyle w:val="Hyperlink"/>
          </w:rPr>
          <w:t>(e)</w:t>
        </w:r>
        <w:r>
          <w:rPr>
            <w:rFonts w:asciiTheme="minorHAnsi" w:eastAsiaTheme="minorEastAsia" w:hAnsiTheme="minorHAnsi" w:cstheme="minorBidi"/>
            <w:i w:val="0"/>
            <w:sz w:val="22"/>
            <w:szCs w:val="22"/>
          </w:rPr>
          <w:tab/>
        </w:r>
        <w:r w:rsidRPr="001A56FC">
          <w:rPr>
            <w:rStyle w:val="Hyperlink"/>
          </w:rPr>
          <w:t>Relevant domestic and international insurance experience</w:t>
        </w:r>
        <w:r>
          <w:rPr>
            <w:webHidden/>
          </w:rPr>
          <w:tab/>
        </w:r>
        <w:r>
          <w:rPr>
            <w:webHidden/>
          </w:rPr>
          <w:fldChar w:fldCharType="begin"/>
        </w:r>
        <w:r>
          <w:rPr>
            <w:webHidden/>
          </w:rPr>
          <w:instrText xml:space="preserve"> PAGEREF _Toc466973681 \h </w:instrText>
        </w:r>
        <w:r>
          <w:rPr>
            <w:webHidden/>
          </w:rPr>
        </w:r>
        <w:r>
          <w:rPr>
            <w:webHidden/>
          </w:rPr>
          <w:fldChar w:fldCharType="separate"/>
        </w:r>
        <w:r w:rsidR="004C4C4E">
          <w:rPr>
            <w:webHidden/>
          </w:rPr>
          <w:t>11</w:t>
        </w:r>
        <w:r>
          <w:rPr>
            <w:webHidden/>
          </w:rPr>
          <w:fldChar w:fldCharType="end"/>
        </w:r>
      </w:hyperlink>
    </w:p>
    <w:p w14:paraId="5DE7227A" w14:textId="6598B1D4" w:rsidR="00CC69FD" w:rsidRDefault="00CC69FD">
      <w:pPr>
        <w:pStyle w:val="TOC2"/>
        <w:rPr>
          <w:rFonts w:asciiTheme="minorHAnsi" w:eastAsiaTheme="minorEastAsia" w:hAnsiTheme="minorHAnsi" w:cstheme="minorBidi"/>
          <w:b w:val="0"/>
          <w:i w:val="0"/>
          <w:sz w:val="22"/>
          <w:szCs w:val="22"/>
        </w:rPr>
      </w:pPr>
      <w:hyperlink w:anchor="_Toc466973682" w:history="1">
        <w:r w:rsidRPr="001A56FC">
          <w:rPr>
            <w:rStyle w:val="Hyperlink"/>
            <w:rFonts w:cs="Arial"/>
          </w:rPr>
          <w:t>4.2</w:t>
        </w:r>
        <w:r>
          <w:rPr>
            <w:rFonts w:asciiTheme="minorHAnsi" w:eastAsiaTheme="minorEastAsia" w:hAnsiTheme="minorHAnsi" w:cstheme="minorBidi"/>
            <w:b w:val="0"/>
            <w:i w:val="0"/>
            <w:sz w:val="22"/>
            <w:szCs w:val="22"/>
          </w:rPr>
          <w:tab/>
        </w:r>
        <w:r w:rsidRPr="001A56FC">
          <w:rPr>
            <w:rStyle w:val="Hyperlink"/>
            <w:rFonts w:cs="Arial"/>
          </w:rPr>
          <w:t>What ‘other relevant factors’ may contribute to a decision that discrimination is reasonable?</w:t>
        </w:r>
        <w:r>
          <w:rPr>
            <w:webHidden/>
          </w:rPr>
          <w:tab/>
        </w:r>
        <w:r>
          <w:rPr>
            <w:webHidden/>
          </w:rPr>
          <w:fldChar w:fldCharType="begin"/>
        </w:r>
        <w:r>
          <w:rPr>
            <w:webHidden/>
          </w:rPr>
          <w:instrText xml:space="preserve"> PAGEREF _Toc466973682 \h </w:instrText>
        </w:r>
        <w:r>
          <w:rPr>
            <w:webHidden/>
          </w:rPr>
        </w:r>
        <w:r>
          <w:rPr>
            <w:webHidden/>
          </w:rPr>
          <w:fldChar w:fldCharType="separate"/>
        </w:r>
        <w:r w:rsidR="004C4C4E">
          <w:rPr>
            <w:webHidden/>
          </w:rPr>
          <w:t>11</w:t>
        </w:r>
        <w:r>
          <w:rPr>
            <w:webHidden/>
          </w:rPr>
          <w:fldChar w:fldCharType="end"/>
        </w:r>
      </w:hyperlink>
    </w:p>
    <w:p w14:paraId="07229BDC" w14:textId="2CC52FED" w:rsidR="00CC69FD" w:rsidRDefault="00CC69FD">
      <w:pPr>
        <w:pStyle w:val="TOC3"/>
        <w:rPr>
          <w:rFonts w:asciiTheme="minorHAnsi" w:eastAsiaTheme="minorEastAsia" w:hAnsiTheme="minorHAnsi" w:cstheme="minorBidi"/>
          <w:i w:val="0"/>
          <w:sz w:val="22"/>
          <w:szCs w:val="22"/>
        </w:rPr>
      </w:pPr>
      <w:hyperlink w:anchor="_Toc466973683" w:history="1">
        <w:r w:rsidRPr="001A56FC">
          <w:rPr>
            <w:rStyle w:val="Hyperlink"/>
          </w:rPr>
          <w:t>(a)</w:t>
        </w:r>
        <w:r>
          <w:rPr>
            <w:rFonts w:asciiTheme="minorHAnsi" w:eastAsiaTheme="minorEastAsia" w:hAnsiTheme="minorHAnsi" w:cstheme="minorBidi"/>
            <w:i w:val="0"/>
            <w:sz w:val="22"/>
            <w:szCs w:val="22"/>
          </w:rPr>
          <w:tab/>
        </w:r>
        <w:r w:rsidRPr="001A56FC">
          <w:rPr>
            <w:rStyle w:val="Hyperlink"/>
          </w:rPr>
          <w:t>Medical opinions</w:t>
        </w:r>
        <w:r>
          <w:rPr>
            <w:webHidden/>
          </w:rPr>
          <w:tab/>
        </w:r>
        <w:r>
          <w:rPr>
            <w:webHidden/>
          </w:rPr>
          <w:fldChar w:fldCharType="begin"/>
        </w:r>
        <w:r>
          <w:rPr>
            <w:webHidden/>
          </w:rPr>
          <w:instrText xml:space="preserve"> PAGEREF _Toc466973683 \h </w:instrText>
        </w:r>
        <w:r>
          <w:rPr>
            <w:webHidden/>
          </w:rPr>
        </w:r>
        <w:r>
          <w:rPr>
            <w:webHidden/>
          </w:rPr>
          <w:fldChar w:fldCharType="separate"/>
        </w:r>
        <w:r w:rsidR="004C4C4E">
          <w:rPr>
            <w:webHidden/>
          </w:rPr>
          <w:t>11</w:t>
        </w:r>
        <w:r>
          <w:rPr>
            <w:webHidden/>
          </w:rPr>
          <w:fldChar w:fldCharType="end"/>
        </w:r>
      </w:hyperlink>
    </w:p>
    <w:p w14:paraId="55C1EBDC" w14:textId="707DCDC0" w:rsidR="00CC69FD" w:rsidRDefault="00CC69FD">
      <w:pPr>
        <w:pStyle w:val="TOC3"/>
        <w:rPr>
          <w:rFonts w:asciiTheme="minorHAnsi" w:eastAsiaTheme="minorEastAsia" w:hAnsiTheme="minorHAnsi" w:cstheme="minorBidi"/>
          <w:i w:val="0"/>
          <w:sz w:val="22"/>
          <w:szCs w:val="22"/>
        </w:rPr>
      </w:pPr>
      <w:hyperlink w:anchor="_Toc466973684" w:history="1">
        <w:r w:rsidRPr="001A56FC">
          <w:rPr>
            <w:rStyle w:val="Hyperlink"/>
          </w:rPr>
          <w:t>(b)</w:t>
        </w:r>
        <w:r>
          <w:rPr>
            <w:rFonts w:asciiTheme="minorHAnsi" w:eastAsiaTheme="minorEastAsia" w:hAnsiTheme="minorHAnsi" w:cstheme="minorBidi"/>
            <w:i w:val="0"/>
            <w:sz w:val="22"/>
            <w:szCs w:val="22"/>
          </w:rPr>
          <w:tab/>
        </w:r>
        <w:r w:rsidRPr="001A56FC">
          <w:rPr>
            <w:rStyle w:val="Hyperlink"/>
          </w:rPr>
          <w:t>Relevant information about the particular individual seeking insurance</w:t>
        </w:r>
        <w:r>
          <w:rPr>
            <w:webHidden/>
          </w:rPr>
          <w:tab/>
        </w:r>
        <w:r>
          <w:rPr>
            <w:webHidden/>
          </w:rPr>
          <w:fldChar w:fldCharType="begin"/>
        </w:r>
        <w:r>
          <w:rPr>
            <w:webHidden/>
          </w:rPr>
          <w:instrText xml:space="preserve"> PAGEREF _Toc466973684 \h </w:instrText>
        </w:r>
        <w:r>
          <w:rPr>
            <w:webHidden/>
          </w:rPr>
        </w:r>
        <w:r>
          <w:rPr>
            <w:webHidden/>
          </w:rPr>
          <w:fldChar w:fldCharType="separate"/>
        </w:r>
        <w:r w:rsidR="004C4C4E">
          <w:rPr>
            <w:webHidden/>
          </w:rPr>
          <w:t>12</w:t>
        </w:r>
        <w:r>
          <w:rPr>
            <w:webHidden/>
          </w:rPr>
          <w:fldChar w:fldCharType="end"/>
        </w:r>
      </w:hyperlink>
    </w:p>
    <w:p w14:paraId="0B8245D2" w14:textId="524ACD5B" w:rsidR="00CC69FD" w:rsidRDefault="00CC69FD">
      <w:pPr>
        <w:pStyle w:val="TOC3"/>
        <w:rPr>
          <w:rFonts w:asciiTheme="minorHAnsi" w:eastAsiaTheme="minorEastAsia" w:hAnsiTheme="minorHAnsi" w:cstheme="minorBidi"/>
          <w:i w:val="0"/>
          <w:sz w:val="22"/>
          <w:szCs w:val="22"/>
        </w:rPr>
      </w:pPr>
      <w:hyperlink w:anchor="_Toc466973685" w:history="1">
        <w:r w:rsidRPr="001A56FC">
          <w:rPr>
            <w:rStyle w:val="Hyperlink"/>
          </w:rPr>
          <w:t>(c)</w:t>
        </w:r>
        <w:r>
          <w:rPr>
            <w:rFonts w:asciiTheme="minorHAnsi" w:eastAsiaTheme="minorEastAsia" w:hAnsiTheme="minorHAnsi" w:cstheme="minorBidi"/>
            <w:i w:val="0"/>
            <w:sz w:val="22"/>
            <w:szCs w:val="22"/>
          </w:rPr>
          <w:tab/>
        </w:r>
        <w:r w:rsidRPr="001A56FC">
          <w:rPr>
            <w:rStyle w:val="Hyperlink"/>
          </w:rPr>
          <w:t>Opinions from other professional groups</w:t>
        </w:r>
        <w:r>
          <w:rPr>
            <w:webHidden/>
          </w:rPr>
          <w:tab/>
        </w:r>
        <w:r>
          <w:rPr>
            <w:webHidden/>
          </w:rPr>
          <w:fldChar w:fldCharType="begin"/>
        </w:r>
        <w:r>
          <w:rPr>
            <w:webHidden/>
          </w:rPr>
          <w:instrText xml:space="preserve"> PAGEREF _Toc466973685 \h </w:instrText>
        </w:r>
        <w:r>
          <w:rPr>
            <w:webHidden/>
          </w:rPr>
        </w:r>
        <w:r>
          <w:rPr>
            <w:webHidden/>
          </w:rPr>
          <w:fldChar w:fldCharType="separate"/>
        </w:r>
        <w:r w:rsidR="004C4C4E">
          <w:rPr>
            <w:webHidden/>
          </w:rPr>
          <w:t>13</w:t>
        </w:r>
        <w:r>
          <w:rPr>
            <w:webHidden/>
          </w:rPr>
          <w:fldChar w:fldCharType="end"/>
        </w:r>
      </w:hyperlink>
    </w:p>
    <w:p w14:paraId="1FBD362C" w14:textId="2C4FDE76" w:rsidR="00CC69FD" w:rsidRDefault="00CC69FD">
      <w:pPr>
        <w:pStyle w:val="TOC3"/>
        <w:rPr>
          <w:rFonts w:asciiTheme="minorHAnsi" w:eastAsiaTheme="minorEastAsia" w:hAnsiTheme="minorHAnsi" w:cstheme="minorBidi"/>
          <w:i w:val="0"/>
          <w:sz w:val="22"/>
          <w:szCs w:val="22"/>
        </w:rPr>
      </w:pPr>
      <w:hyperlink w:anchor="_Toc466973686" w:history="1">
        <w:r w:rsidRPr="001A56FC">
          <w:rPr>
            <w:rStyle w:val="Hyperlink"/>
          </w:rPr>
          <w:t>(d)</w:t>
        </w:r>
        <w:r>
          <w:rPr>
            <w:rFonts w:asciiTheme="minorHAnsi" w:eastAsiaTheme="minorEastAsia" w:hAnsiTheme="minorHAnsi" w:cstheme="minorBidi"/>
            <w:i w:val="0"/>
            <w:sz w:val="22"/>
            <w:szCs w:val="22"/>
          </w:rPr>
          <w:tab/>
        </w:r>
        <w:r w:rsidRPr="001A56FC">
          <w:rPr>
            <w:rStyle w:val="Hyperlink"/>
          </w:rPr>
          <w:t>Actuarial advice or opinion</w:t>
        </w:r>
        <w:r>
          <w:rPr>
            <w:webHidden/>
          </w:rPr>
          <w:tab/>
        </w:r>
        <w:r>
          <w:rPr>
            <w:webHidden/>
          </w:rPr>
          <w:fldChar w:fldCharType="begin"/>
        </w:r>
        <w:r>
          <w:rPr>
            <w:webHidden/>
          </w:rPr>
          <w:instrText xml:space="preserve"> PAGEREF _Toc466973686 \h </w:instrText>
        </w:r>
        <w:r>
          <w:rPr>
            <w:webHidden/>
          </w:rPr>
        </w:r>
        <w:r>
          <w:rPr>
            <w:webHidden/>
          </w:rPr>
          <w:fldChar w:fldCharType="separate"/>
        </w:r>
        <w:r w:rsidR="004C4C4E">
          <w:rPr>
            <w:webHidden/>
          </w:rPr>
          <w:t>13</w:t>
        </w:r>
        <w:r>
          <w:rPr>
            <w:webHidden/>
          </w:rPr>
          <w:fldChar w:fldCharType="end"/>
        </w:r>
      </w:hyperlink>
    </w:p>
    <w:p w14:paraId="38D40842" w14:textId="5C843B8B" w:rsidR="00CC69FD" w:rsidRDefault="00CC69FD">
      <w:pPr>
        <w:pStyle w:val="TOC3"/>
        <w:rPr>
          <w:rFonts w:asciiTheme="minorHAnsi" w:eastAsiaTheme="minorEastAsia" w:hAnsiTheme="minorHAnsi" w:cstheme="minorBidi"/>
          <w:i w:val="0"/>
          <w:sz w:val="22"/>
          <w:szCs w:val="22"/>
        </w:rPr>
      </w:pPr>
      <w:hyperlink w:anchor="_Toc466973687" w:history="1">
        <w:r w:rsidRPr="001A56FC">
          <w:rPr>
            <w:rStyle w:val="Hyperlink"/>
          </w:rPr>
          <w:t>(e)</w:t>
        </w:r>
        <w:r>
          <w:rPr>
            <w:rFonts w:asciiTheme="minorHAnsi" w:eastAsiaTheme="minorEastAsia" w:hAnsiTheme="minorHAnsi" w:cstheme="minorBidi"/>
            <w:i w:val="0"/>
            <w:sz w:val="22"/>
            <w:szCs w:val="22"/>
          </w:rPr>
          <w:tab/>
        </w:r>
        <w:r w:rsidRPr="001A56FC">
          <w:rPr>
            <w:rStyle w:val="Hyperlink"/>
          </w:rPr>
          <w:t>Practice of others in the insurance industry</w:t>
        </w:r>
        <w:r>
          <w:rPr>
            <w:webHidden/>
          </w:rPr>
          <w:tab/>
        </w:r>
        <w:r>
          <w:rPr>
            <w:webHidden/>
          </w:rPr>
          <w:fldChar w:fldCharType="begin"/>
        </w:r>
        <w:r>
          <w:rPr>
            <w:webHidden/>
          </w:rPr>
          <w:instrText xml:space="preserve"> PAGEREF _Toc466973687 \h </w:instrText>
        </w:r>
        <w:r>
          <w:rPr>
            <w:webHidden/>
          </w:rPr>
        </w:r>
        <w:r>
          <w:rPr>
            <w:webHidden/>
          </w:rPr>
          <w:fldChar w:fldCharType="separate"/>
        </w:r>
        <w:r w:rsidR="004C4C4E">
          <w:rPr>
            <w:webHidden/>
          </w:rPr>
          <w:t>14</w:t>
        </w:r>
        <w:r>
          <w:rPr>
            <w:webHidden/>
          </w:rPr>
          <w:fldChar w:fldCharType="end"/>
        </w:r>
      </w:hyperlink>
    </w:p>
    <w:p w14:paraId="394D9063" w14:textId="40264B6C" w:rsidR="00CC69FD" w:rsidRDefault="00CC69FD">
      <w:pPr>
        <w:pStyle w:val="TOC3"/>
        <w:rPr>
          <w:rFonts w:asciiTheme="minorHAnsi" w:eastAsiaTheme="minorEastAsia" w:hAnsiTheme="minorHAnsi" w:cstheme="minorBidi"/>
          <w:i w:val="0"/>
          <w:sz w:val="22"/>
          <w:szCs w:val="22"/>
        </w:rPr>
      </w:pPr>
      <w:hyperlink w:anchor="_Toc466973688" w:history="1">
        <w:r w:rsidRPr="001A56FC">
          <w:rPr>
            <w:rStyle w:val="Hyperlink"/>
          </w:rPr>
          <w:t>(f)</w:t>
        </w:r>
        <w:r>
          <w:rPr>
            <w:rFonts w:asciiTheme="minorHAnsi" w:eastAsiaTheme="minorEastAsia" w:hAnsiTheme="minorHAnsi" w:cstheme="minorBidi"/>
            <w:i w:val="0"/>
            <w:sz w:val="22"/>
            <w:szCs w:val="22"/>
          </w:rPr>
          <w:tab/>
        </w:r>
        <w:r w:rsidRPr="001A56FC">
          <w:rPr>
            <w:rStyle w:val="Hyperlink"/>
          </w:rPr>
          <w:t>Commercial judgment</w:t>
        </w:r>
        <w:r>
          <w:rPr>
            <w:webHidden/>
          </w:rPr>
          <w:tab/>
        </w:r>
        <w:r>
          <w:rPr>
            <w:webHidden/>
          </w:rPr>
          <w:fldChar w:fldCharType="begin"/>
        </w:r>
        <w:r>
          <w:rPr>
            <w:webHidden/>
          </w:rPr>
          <w:instrText xml:space="preserve"> PAGEREF _Toc466973688 \h </w:instrText>
        </w:r>
        <w:r>
          <w:rPr>
            <w:webHidden/>
          </w:rPr>
        </w:r>
        <w:r>
          <w:rPr>
            <w:webHidden/>
          </w:rPr>
          <w:fldChar w:fldCharType="separate"/>
        </w:r>
        <w:r w:rsidR="004C4C4E">
          <w:rPr>
            <w:webHidden/>
          </w:rPr>
          <w:t>14</w:t>
        </w:r>
        <w:r>
          <w:rPr>
            <w:webHidden/>
          </w:rPr>
          <w:fldChar w:fldCharType="end"/>
        </w:r>
      </w:hyperlink>
    </w:p>
    <w:p w14:paraId="6FA8F995" w14:textId="5A3CCB46" w:rsidR="00CC69FD" w:rsidRDefault="00CC69FD">
      <w:pPr>
        <w:pStyle w:val="TOC2"/>
        <w:rPr>
          <w:rFonts w:asciiTheme="minorHAnsi" w:eastAsiaTheme="minorEastAsia" w:hAnsiTheme="minorHAnsi" w:cstheme="minorBidi"/>
          <w:b w:val="0"/>
          <w:i w:val="0"/>
          <w:sz w:val="22"/>
          <w:szCs w:val="22"/>
        </w:rPr>
      </w:pPr>
      <w:hyperlink w:anchor="_Toc466973689" w:history="1">
        <w:r w:rsidRPr="001A56FC">
          <w:rPr>
            <w:rStyle w:val="Hyperlink"/>
            <w:rFonts w:cs="Arial"/>
          </w:rPr>
          <w:t>4.3</w:t>
        </w:r>
        <w:r>
          <w:rPr>
            <w:rFonts w:asciiTheme="minorHAnsi" w:eastAsiaTheme="minorEastAsia" w:hAnsiTheme="minorHAnsi" w:cstheme="minorBidi"/>
            <w:b w:val="0"/>
            <w:i w:val="0"/>
            <w:sz w:val="22"/>
            <w:szCs w:val="22"/>
          </w:rPr>
          <w:tab/>
        </w:r>
        <w:r w:rsidRPr="001A56FC">
          <w:rPr>
            <w:rStyle w:val="Hyperlink"/>
            <w:rFonts w:cs="Arial"/>
          </w:rPr>
          <w:t>When will it be ‘reasonable’ to discriminate?</w:t>
        </w:r>
        <w:r>
          <w:rPr>
            <w:webHidden/>
          </w:rPr>
          <w:tab/>
        </w:r>
        <w:r>
          <w:rPr>
            <w:webHidden/>
          </w:rPr>
          <w:fldChar w:fldCharType="begin"/>
        </w:r>
        <w:r>
          <w:rPr>
            <w:webHidden/>
          </w:rPr>
          <w:instrText xml:space="preserve"> PAGEREF _Toc466973689 \h </w:instrText>
        </w:r>
        <w:r>
          <w:rPr>
            <w:webHidden/>
          </w:rPr>
        </w:r>
        <w:r>
          <w:rPr>
            <w:webHidden/>
          </w:rPr>
          <w:fldChar w:fldCharType="separate"/>
        </w:r>
        <w:r w:rsidR="004C4C4E">
          <w:rPr>
            <w:webHidden/>
          </w:rPr>
          <w:t>14</w:t>
        </w:r>
        <w:r>
          <w:rPr>
            <w:webHidden/>
          </w:rPr>
          <w:fldChar w:fldCharType="end"/>
        </w:r>
      </w:hyperlink>
    </w:p>
    <w:p w14:paraId="407BBE3E" w14:textId="1CFEA53F" w:rsidR="00CC69FD" w:rsidRDefault="00CC69FD">
      <w:pPr>
        <w:pStyle w:val="TOC3"/>
        <w:rPr>
          <w:rFonts w:asciiTheme="minorHAnsi" w:eastAsiaTheme="minorEastAsia" w:hAnsiTheme="minorHAnsi" w:cstheme="minorBidi"/>
          <w:i w:val="0"/>
          <w:sz w:val="22"/>
          <w:szCs w:val="22"/>
        </w:rPr>
      </w:pPr>
      <w:hyperlink w:anchor="_Toc466973690" w:history="1">
        <w:r w:rsidRPr="001A56FC">
          <w:rPr>
            <w:rStyle w:val="Hyperlink"/>
          </w:rPr>
          <w:t>(a)</w:t>
        </w:r>
        <w:r>
          <w:rPr>
            <w:rFonts w:asciiTheme="minorHAnsi" w:eastAsiaTheme="minorEastAsia" w:hAnsiTheme="minorHAnsi" w:cstheme="minorBidi"/>
            <w:i w:val="0"/>
            <w:sz w:val="22"/>
            <w:szCs w:val="22"/>
          </w:rPr>
          <w:tab/>
        </w:r>
        <w:r w:rsidRPr="001A56FC">
          <w:rPr>
            <w:rStyle w:val="Hyperlink"/>
          </w:rPr>
          <w:t xml:space="preserve">Guidance as to what is </w:t>
        </w:r>
        <w:r w:rsidRPr="001A56FC">
          <w:rPr>
            <w:rStyle w:val="Hyperlink"/>
            <w:b/>
          </w:rPr>
          <w:t>not</w:t>
        </w:r>
        <w:r w:rsidRPr="001A56FC">
          <w:rPr>
            <w:rStyle w:val="Hyperlink"/>
          </w:rPr>
          <w:t xml:space="preserve"> reasonable discrimination</w:t>
        </w:r>
        <w:r>
          <w:rPr>
            <w:webHidden/>
          </w:rPr>
          <w:tab/>
        </w:r>
        <w:r>
          <w:rPr>
            <w:webHidden/>
          </w:rPr>
          <w:fldChar w:fldCharType="begin"/>
        </w:r>
        <w:r>
          <w:rPr>
            <w:webHidden/>
          </w:rPr>
          <w:instrText xml:space="preserve"> PAGEREF _Toc466973690 \h </w:instrText>
        </w:r>
        <w:r>
          <w:rPr>
            <w:webHidden/>
          </w:rPr>
        </w:r>
        <w:r>
          <w:rPr>
            <w:webHidden/>
          </w:rPr>
          <w:fldChar w:fldCharType="separate"/>
        </w:r>
        <w:r w:rsidR="004C4C4E">
          <w:rPr>
            <w:webHidden/>
          </w:rPr>
          <w:t>16</w:t>
        </w:r>
        <w:r>
          <w:rPr>
            <w:webHidden/>
          </w:rPr>
          <w:fldChar w:fldCharType="end"/>
        </w:r>
      </w:hyperlink>
    </w:p>
    <w:p w14:paraId="663E26C4" w14:textId="1B32B778" w:rsidR="00CC69FD" w:rsidRDefault="00CC69FD">
      <w:pPr>
        <w:pStyle w:val="TOC3"/>
        <w:rPr>
          <w:rFonts w:asciiTheme="minorHAnsi" w:eastAsiaTheme="minorEastAsia" w:hAnsiTheme="minorHAnsi" w:cstheme="minorBidi"/>
          <w:i w:val="0"/>
          <w:sz w:val="22"/>
          <w:szCs w:val="22"/>
        </w:rPr>
      </w:pPr>
      <w:hyperlink w:anchor="_Toc466973691" w:history="1">
        <w:r w:rsidRPr="001A56FC">
          <w:rPr>
            <w:rStyle w:val="Hyperlink"/>
          </w:rPr>
          <w:t>(b)</w:t>
        </w:r>
        <w:r>
          <w:rPr>
            <w:rFonts w:asciiTheme="minorHAnsi" w:eastAsiaTheme="minorEastAsia" w:hAnsiTheme="minorHAnsi" w:cstheme="minorBidi"/>
            <w:i w:val="0"/>
            <w:sz w:val="22"/>
            <w:szCs w:val="22"/>
          </w:rPr>
          <w:tab/>
        </w:r>
        <w:r w:rsidRPr="001A56FC">
          <w:rPr>
            <w:rStyle w:val="Hyperlink"/>
          </w:rPr>
          <w:t>Alternatives to refusing to provide any cover</w:t>
        </w:r>
        <w:r>
          <w:rPr>
            <w:webHidden/>
          </w:rPr>
          <w:tab/>
        </w:r>
        <w:r>
          <w:rPr>
            <w:webHidden/>
          </w:rPr>
          <w:fldChar w:fldCharType="begin"/>
        </w:r>
        <w:r>
          <w:rPr>
            <w:webHidden/>
          </w:rPr>
          <w:instrText xml:space="preserve"> PAGEREF _Toc466973691 \h </w:instrText>
        </w:r>
        <w:r>
          <w:rPr>
            <w:webHidden/>
          </w:rPr>
        </w:r>
        <w:r>
          <w:rPr>
            <w:webHidden/>
          </w:rPr>
          <w:fldChar w:fldCharType="separate"/>
        </w:r>
        <w:r w:rsidR="004C4C4E">
          <w:rPr>
            <w:webHidden/>
          </w:rPr>
          <w:t>18</w:t>
        </w:r>
        <w:r>
          <w:rPr>
            <w:webHidden/>
          </w:rPr>
          <w:fldChar w:fldCharType="end"/>
        </w:r>
      </w:hyperlink>
    </w:p>
    <w:p w14:paraId="796209A9" w14:textId="574CCF85" w:rsidR="00CC69FD" w:rsidRDefault="00CC69FD">
      <w:pPr>
        <w:pStyle w:val="TOC2"/>
        <w:rPr>
          <w:rFonts w:asciiTheme="minorHAnsi" w:eastAsiaTheme="minorEastAsia" w:hAnsiTheme="minorHAnsi" w:cstheme="minorBidi"/>
          <w:b w:val="0"/>
          <w:i w:val="0"/>
          <w:sz w:val="22"/>
          <w:szCs w:val="22"/>
        </w:rPr>
      </w:pPr>
      <w:hyperlink w:anchor="_Toc466973692" w:history="1">
        <w:r w:rsidRPr="001A56FC">
          <w:rPr>
            <w:rStyle w:val="Hyperlink"/>
            <w:rFonts w:cs="Arial"/>
          </w:rPr>
          <w:t>4.4</w:t>
        </w:r>
        <w:r>
          <w:rPr>
            <w:rFonts w:asciiTheme="minorHAnsi" w:eastAsiaTheme="minorEastAsia" w:hAnsiTheme="minorHAnsi" w:cstheme="minorBidi"/>
            <w:b w:val="0"/>
            <w:i w:val="0"/>
            <w:sz w:val="22"/>
            <w:szCs w:val="22"/>
          </w:rPr>
          <w:tab/>
        </w:r>
        <w:r w:rsidRPr="001A56FC">
          <w:rPr>
            <w:rStyle w:val="Hyperlink"/>
            <w:rFonts w:cs="Arial"/>
          </w:rPr>
          <w:t>Practical tips to avoid unlawful discrimination</w:t>
        </w:r>
        <w:r>
          <w:rPr>
            <w:webHidden/>
          </w:rPr>
          <w:tab/>
        </w:r>
        <w:r>
          <w:rPr>
            <w:webHidden/>
          </w:rPr>
          <w:fldChar w:fldCharType="begin"/>
        </w:r>
        <w:r>
          <w:rPr>
            <w:webHidden/>
          </w:rPr>
          <w:instrText xml:space="preserve"> PAGEREF _Toc466973692 \h </w:instrText>
        </w:r>
        <w:r>
          <w:rPr>
            <w:webHidden/>
          </w:rPr>
        </w:r>
        <w:r>
          <w:rPr>
            <w:webHidden/>
          </w:rPr>
          <w:fldChar w:fldCharType="separate"/>
        </w:r>
        <w:r w:rsidR="004C4C4E">
          <w:rPr>
            <w:webHidden/>
          </w:rPr>
          <w:t>19</w:t>
        </w:r>
        <w:r>
          <w:rPr>
            <w:webHidden/>
          </w:rPr>
          <w:fldChar w:fldCharType="end"/>
        </w:r>
      </w:hyperlink>
    </w:p>
    <w:p w14:paraId="41199E24" w14:textId="08F48F5B" w:rsidR="00CC69FD" w:rsidRDefault="00CC69FD">
      <w:pPr>
        <w:pStyle w:val="TOC1"/>
        <w:rPr>
          <w:rFonts w:asciiTheme="minorHAnsi" w:eastAsiaTheme="minorEastAsia" w:hAnsiTheme="minorHAnsi" w:cstheme="minorBidi"/>
          <w:b w:val="0"/>
          <w:szCs w:val="22"/>
        </w:rPr>
      </w:pPr>
      <w:hyperlink w:anchor="_Toc466973693" w:history="1">
        <w:r w:rsidRPr="001A56FC">
          <w:rPr>
            <w:rStyle w:val="Hyperlink"/>
            <w:rFonts w:cs="Arial"/>
          </w:rPr>
          <w:t>5</w:t>
        </w:r>
        <w:r>
          <w:rPr>
            <w:rFonts w:asciiTheme="minorHAnsi" w:eastAsiaTheme="minorEastAsia" w:hAnsiTheme="minorHAnsi" w:cstheme="minorBidi"/>
            <w:b w:val="0"/>
            <w:szCs w:val="22"/>
          </w:rPr>
          <w:tab/>
        </w:r>
        <w:r w:rsidRPr="001A56FC">
          <w:rPr>
            <w:rStyle w:val="Hyperlink"/>
            <w:rFonts w:cs="Arial"/>
          </w:rPr>
          <w:t>The defence of unjustifiable hardship</w:t>
        </w:r>
        <w:r>
          <w:rPr>
            <w:webHidden/>
          </w:rPr>
          <w:tab/>
        </w:r>
        <w:r>
          <w:rPr>
            <w:webHidden/>
          </w:rPr>
          <w:fldChar w:fldCharType="begin"/>
        </w:r>
        <w:r>
          <w:rPr>
            <w:webHidden/>
          </w:rPr>
          <w:instrText xml:space="preserve"> PAGEREF _Toc466973693 \h </w:instrText>
        </w:r>
        <w:r>
          <w:rPr>
            <w:webHidden/>
          </w:rPr>
        </w:r>
        <w:r>
          <w:rPr>
            <w:webHidden/>
          </w:rPr>
          <w:fldChar w:fldCharType="separate"/>
        </w:r>
        <w:r w:rsidR="004C4C4E">
          <w:rPr>
            <w:webHidden/>
          </w:rPr>
          <w:t>20</w:t>
        </w:r>
        <w:r>
          <w:rPr>
            <w:webHidden/>
          </w:rPr>
          <w:fldChar w:fldCharType="end"/>
        </w:r>
      </w:hyperlink>
    </w:p>
    <w:p w14:paraId="52FB81DA" w14:textId="12236964" w:rsidR="00B34946" w:rsidRPr="00FB5561" w:rsidRDefault="00B63D24" w:rsidP="00280101">
      <w:pPr>
        <w:spacing w:before="0" w:after="120"/>
        <w:rPr>
          <w:rFonts w:cs="Arial"/>
        </w:rPr>
      </w:pPr>
      <w:r w:rsidRPr="00FB5561">
        <w:rPr>
          <w:rFonts w:cs="Arial"/>
        </w:rPr>
        <w:fldChar w:fldCharType="end"/>
      </w:r>
    </w:p>
    <w:p w14:paraId="15B1681B" w14:textId="77777777" w:rsidR="00B34946" w:rsidRPr="00FB5561" w:rsidRDefault="00B34946">
      <w:pPr>
        <w:spacing w:before="0" w:after="0"/>
        <w:rPr>
          <w:rFonts w:cs="Arial"/>
        </w:rPr>
      </w:pPr>
      <w:r w:rsidRPr="00FB5561">
        <w:rPr>
          <w:rFonts w:cs="Arial"/>
        </w:rPr>
        <w:br w:type="page"/>
      </w:r>
    </w:p>
    <w:p w14:paraId="51F39A77" w14:textId="77777777" w:rsidR="00B34946" w:rsidRPr="00FB5561" w:rsidRDefault="00B34946" w:rsidP="0007787E">
      <w:pPr>
        <w:pStyle w:val="Heading1"/>
        <w:numPr>
          <w:ilvl w:val="0"/>
          <w:numId w:val="15"/>
        </w:numPr>
        <w:rPr>
          <w:rFonts w:cs="Arial"/>
        </w:rPr>
      </w:pPr>
      <w:bookmarkStart w:id="2" w:name="_Toc207761830"/>
      <w:bookmarkStart w:id="3" w:name="_Toc209578266"/>
      <w:bookmarkStart w:id="4" w:name="_Toc466973672"/>
      <w:r w:rsidRPr="00FB5561">
        <w:rPr>
          <w:rFonts w:cs="Arial"/>
        </w:rPr>
        <w:lastRenderedPageBreak/>
        <w:t>Introduction</w:t>
      </w:r>
      <w:bookmarkEnd w:id="2"/>
      <w:bookmarkEnd w:id="3"/>
      <w:r w:rsidRPr="00FB5561">
        <w:rPr>
          <w:rFonts w:cs="Arial"/>
        </w:rPr>
        <w:t xml:space="preserve"> </w:t>
      </w:r>
      <w:r w:rsidR="00432177" w:rsidRPr="00FB5561">
        <w:rPr>
          <w:rFonts w:cs="Arial"/>
        </w:rPr>
        <w:t>to these guidelines</w:t>
      </w:r>
      <w:bookmarkEnd w:id="4"/>
    </w:p>
    <w:p w14:paraId="0979AC16" w14:textId="77777777" w:rsidR="00001454" w:rsidRPr="00FB5561" w:rsidRDefault="00001454" w:rsidP="00E34F43">
      <w:pPr>
        <w:pStyle w:val="SubmissionNormal"/>
        <w:numPr>
          <w:ilvl w:val="0"/>
          <w:numId w:val="0"/>
        </w:numPr>
        <w:rPr>
          <w:rFonts w:cs="Arial"/>
        </w:rPr>
      </w:pPr>
      <w:r w:rsidRPr="00FB5561">
        <w:rPr>
          <w:rFonts w:cs="Arial"/>
        </w:rPr>
        <w:t xml:space="preserve">The Commonwealth </w:t>
      </w:r>
      <w:r w:rsidRPr="00FB5561">
        <w:rPr>
          <w:rFonts w:cs="Arial"/>
          <w:i/>
        </w:rPr>
        <w:t>Disability Discrimination Act 1992</w:t>
      </w:r>
      <w:r w:rsidRPr="00FB5561">
        <w:rPr>
          <w:rFonts w:cs="Arial"/>
        </w:rPr>
        <w:t xml:space="preserve"> (the DDA) aims, as far as possible, to promote the rights of people with a disability to participate equally in all areas of life. It does this by making it unlawful to discriminate against a person with a dis</w:t>
      </w:r>
      <w:r w:rsidR="002374EB" w:rsidRPr="00FB5561">
        <w:rPr>
          <w:rFonts w:cs="Arial"/>
        </w:rPr>
        <w:t>ability</w:t>
      </w:r>
      <w:r w:rsidR="00D37C3A" w:rsidRPr="00FB5561">
        <w:rPr>
          <w:rFonts w:cs="Arial"/>
        </w:rPr>
        <w:t xml:space="preserve"> in a range of areas</w:t>
      </w:r>
      <w:r w:rsidR="002374EB" w:rsidRPr="00FB5561">
        <w:rPr>
          <w:rFonts w:cs="Arial"/>
        </w:rPr>
        <w:t xml:space="preserve">, subject to certain </w:t>
      </w:r>
      <w:r w:rsidRPr="00FB5561">
        <w:rPr>
          <w:rFonts w:cs="Arial"/>
        </w:rPr>
        <w:t>exceptions.</w:t>
      </w:r>
    </w:p>
    <w:p w14:paraId="1BCB8E34" w14:textId="77777777" w:rsidR="00001454" w:rsidRPr="00FB5561" w:rsidRDefault="00001454" w:rsidP="00E34F43">
      <w:pPr>
        <w:pStyle w:val="SubmissionNormal"/>
        <w:numPr>
          <w:ilvl w:val="0"/>
          <w:numId w:val="0"/>
        </w:numPr>
        <w:rPr>
          <w:rFonts w:cs="Arial"/>
        </w:rPr>
      </w:pPr>
      <w:r w:rsidRPr="00FB5561">
        <w:rPr>
          <w:rFonts w:cs="Arial"/>
        </w:rPr>
        <w:t xml:space="preserve">The </w:t>
      </w:r>
      <w:r w:rsidR="005B2124" w:rsidRPr="00FB5561">
        <w:rPr>
          <w:rFonts w:cs="Arial"/>
        </w:rPr>
        <w:t xml:space="preserve">DDA </w:t>
      </w:r>
      <w:r w:rsidR="00E57B40" w:rsidRPr="00FB5561">
        <w:rPr>
          <w:rFonts w:cs="Arial"/>
        </w:rPr>
        <w:t xml:space="preserve">generally </w:t>
      </w:r>
      <w:r w:rsidR="005B2124" w:rsidRPr="00FB5561">
        <w:rPr>
          <w:rFonts w:cs="Arial"/>
          <w:color w:val="000000"/>
        </w:rPr>
        <w:t>makes it against the law to discriminate against a person because of disability when providing insurance and superannuation.</w:t>
      </w:r>
      <w:r w:rsidR="00D37C3A" w:rsidRPr="00FB5561">
        <w:rPr>
          <w:rFonts w:cs="Arial"/>
        </w:rPr>
        <w:t xml:space="preserve"> </w:t>
      </w:r>
      <w:r w:rsidR="00B00685" w:rsidRPr="00FB5561">
        <w:rPr>
          <w:rFonts w:cs="Arial"/>
        </w:rPr>
        <w:t xml:space="preserve">This covers </w:t>
      </w:r>
      <w:r w:rsidRPr="00FB5561">
        <w:rPr>
          <w:rFonts w:cs="Arial"/>
        </w:rPr>
        <w:t>all forms of general, health and life insurance issued by registered insurers</w:t>
      </w:r>
      <w:r w:rsidR="005B2124" w:rsidRPr="00FB5561">
        <w:rPr>
          <w:rFonts w:cs="Arial"/>
        </w:rPr>
        <w:t>,</w:t>
      </w:r>
      <w:r w:rsidRPr="00FB5561">
        <w:rPr>
          <w:rFonts w:cs="Arial"/>
        </w:rPr>
        <w:t xml:space="preserve"> and includes underwritten and non</w:t>
      </w:r>
      <w:r w:rsidR="00533A10" w:rsidRPr="00FB5561">
        <w:rPr>
          <w:rFonts w:cs="Arial"/>
        </w:rPr>
        <w:t>-</w:t>
      </w:r>
      <w:r w:rsidRPr="00FB5561">
        <w:rPr>
          <w:rFonts w:cs="Arial"/>
        </w:rPr>
        <w:t>underwritten applications and policies issued by insurers.</w:t>
      </w:r>
    </w:p>
    <w:p w14:paraId="6B1B1BEF" w14:textId="77777777" w:rsidR="006C7D67" w:rsidRPr="00FB5561" w:rsidRDefault="00001454" w:rsidP="00E34F43">
      <w:pPr>
        <w:pStyle w:val="SubmissionNormal"/>
        <w:numPr>
          <w:ilvl w:val="0"/>
          <w:numId w:val="0"/>
        </w:numPr>
        <w:rPr>
          <w:rFonts w:cs="Arial"/>
        </w:rPr>
      </w:pPr>
      <w:r w:rsidRPr="00FB5561">
        <w:rPr>
          <w:rFonts w:cs="Arial"/>
        </w:rPr>
        <w:t xml:space="preserve">However, the DDA </w:t>
      </w:r>
      <w:r w:rsidR="007E73B3" w:rsidRPr="00FB5561">
        <w:rPr>
          <w:rFonts w:cs="Arial"/>
        </w:rPr>
        <w:t xml:space="preserve">recognises that some discrimination is necessary in the insurance business. It </w:t>
      </w:r>
      <w:r w:rsidRPr="00FB5561">
        <w:rPr>
          <w:rFonts w:cs="Arial"/>
        </w:rPr>
        <w:t xml:space="preserve">contains </w:t>
      </w:r>
      <w:r w:rsidR="006C7D67" w:rsidRPr="00FB5561">
        <w:rPr>
          <w:rFonts w:cs="Arial"/>
        </w:rPr>
        <w:t>a partial exemption for insurance and superannuation providers</w:t>
      </w:r>
      <w:r w:rsidR="00282BA8" w:rsidRPr="00FB5561">
        <w:rPr>
          <w:rFonts w:cs="Arial"/>
        </w:rPr>
        <w:t xml:space="preserve"> in </w:t>
      </w:r>
      <w:r w:rsidR="00402137" w:rsidRPr="00FB5561">
        <w:rPr>
          <w:rFonts w:cs="Arial"/>
        </w:rPr>
        <w:t>s</w:t>
      </w:r>
      <w:r w:rsidR="00282BA8" w:rsidRPr="00FB5561">
        <w:rPr>
          <w:rFonts w:cs="Arial"/>
        </w:rPr>
        <w:t xml:space="preserve"> 46. It a</w:t>
      </w:r>
      <w:r w:rsidR="00247110" w:rsidRPr="00FB5561">
        <w:rPr>
          <w:rFonts w:cs="Arial"/>
        </w:rPr>
        <w:t>lso contains a general defence</w:t>
      </w:r>
      <w:r w:rsidR="00282BA8" w:rsidRPr="00FB5561">
        <w:rPr>
          <w:rFonts w:cs="Arial"/>
        </w:rPr>
        <w:t xml:space="preserve"> which may apply to providers where not discriminating would cause</w:t>
      </w:r>
      <w:r w:rsidR="008501BE" w:rsidRPr="00FB5561">
        <w:rPr>
          <w:rFonts w:cs="Arial"/>
        </w:rPr>
        <w:t xml:space="preserve"> them</w:t>
      </w:r>
      <w:r w:rsidR="00282BA8" w:rsidRPr="00FB5561">
        <w:rPr>
          <w:rFonts w:cs="Arial"/>
        </w:rPr>
        <w:t xml:space="preserve"> unjustifiable hardship.</w:t>
      </w:r>
    </w:p>
    <w:p w14:paraId="0A0B7EC3" w14:textId="2280352C" w:rsidR="00A203EA" w:rsidRPr="00FB5561" w:rsidRDefault="00001454" w:rsidP="00E34F43">
      <w:pPr>
        <w:pStyle w:val="SubmissionNormal"/>
        <w:numPr>
          <w:ilvl w:val="0"/>
          <w:numId w:val="0"/>
        </w:numPr>
        <w:rPr>
          <w:rFonts w:cs="Arial"/>
        </w:rPr>
      </w:pPr>
      <w:r w:rsidRPr="00FB5561">
        <w:rPr>
          <w:rFonts w:cs="Arial"/>
        </w:rPr>
        <w:t xml:space="preserve">The </w:t>
      </w:r>
      <w:r w:rsidR="00AF5A94" w:rsidRPr="00FB5561">
        <w:rPr>
          <w:rFonts w:cs="Arial"/>
        </w:rPr>
        <w:t xml:space="preserve">Australian Human Rights </w:t>
      </w:r>
      <w:r w:rsidRPr="00FB5561">
        <w:rPr>
          <w:rFonts w:cs="Arial"/>
        </w:rPr>
        <w:t xml:space="preserve">Commission </w:t>
      </w:r>
      <w:r w:rsidR="00AF5A94" w:rsidRPr="00FB5561">
        <w:rPr>
          <w:rFonts w:cs="Arial"/>
        </w:rPr>
        <w:t>(the Commission)</w:t>
      </w:r>
      <w:r w:rsidR="008501BE" w:rsidRPr="00FB5561">
        <w:rPr>
          <w:rFonts w:cs="Arial"/>
        </w:rPr>
        <w:t xml:space="preserve"> has</w:t>
      </w:r>
      <w:r w:rsidR="00AF5A94" w:rsidRPr="00FB5561">
        <w:rPr>
          <w:rFonts w:cs="Arial"/>
        </w:rPr>
        <w:t xml:space="preserve"> the </w:t>
      </w:r>
      <w:r w:rsidRPr="00FB5561">
        <w:rPr>
          <w:rFonts w:cs="Arial"/>
        </w:rPr>
        <w:t>power to make guidelines to assist better understanding of righ</w:t>
      </w:r>
      <w:r w:rsidR="008501BE" w:rsidRPr="00FB5561">
        <w:rPr>
          <w:rFonts w:cs="Arial"/>
        </w:rPr>
        <w:t>ts and obligations under the DDA</w:t>
      </w:r>
      <w:r w:rsidRPr="00FB5561">
        <w:rPr>
          <w:rFonts w:cs="Arial"/>
        </w:rPr>
        <w:t>.</w:t>
      </w:r>
      <w:r w:rsidR="00A203EA" w:rsidRPr="00FB5561">
        <w:rPr>
          <w:rStyle w:val="EndnoteReference"/>
          <w:rFonts w:cs="Arial"/>
        </w:rPr>
        <w:endnoteReference w:id="1"/>
      </w:r>
      <w:r w:rsidR="00A203EA" w:rsidRPr="00FB5561">
        <w:rPr>
          <w:rFonts w:cs="Arial"/>
        </w:rPr>
        <w:t xml:space="preserve"> These guidelines are not regulations and are not legally binding. </w:t>
      </w:r>
      <w:r w:rsidR="008C1CE3" w:rsidRPr="00FB5561">
        <w:rPr>
          <w:rFonts w:cs="Arial"/>
        </w:rPr>
        <w:t>However,</w:t>
      </w:r>
      <w:r w:rsidR="00A203EA" w:rsidRPr="00FB5561">
        <w:rPr>
          <w:rFonts w:cs="Arial"/>
        </w:rPr>
        <w:t xml:space="preserve"> they provide the Commission</w:t>
      </w:r>
      <w:r w:rsidR="00F6794B" w:rsidRPr="00FB5561">
        <w:rPr>
          <w:rFonts w:cs="Arial"/>
        </w:rPr>
        <w:t>’</w:t>
      </w:r>
      <w:r w:rsidR="00A203EA" w:rsidRPr="00FB5561">
        <w:rPr>
          <w:rFonts w:cs="Arial"/>
        </w:rPr>
        <w:t xml:space="preserve">s views on </w:t>
      </w:r>
      <w:r w:rsidR="00876727" w:rsidRPr="00FB5561">
        <w:rPr>
          <w:rFonts w:cs="Arial"/>
        </w:rPr>
        <w:t xml:space="preserve">the </w:t>
      </w:r>
      <w:r w:rsidR="00A203EA" w:rsidRPr="00FB5561">
        <w:rPr>
          <w:rFonts w:cs="Arial"/>
        </w:rPr>
        <w:t xml:space="preserve">interpretation of the DDA and information on how it has been applied in cases in practice. They provide guidance as to when discrimination by insurance and superannuation providers may be lawful, and when it may be unlawful. </w:t>
      </w:r>
    </w:p>
    <w:p w14:paraId="760AB7B5" w14:textId="77777777" w:rsidR="00A203EA" w:rsidRPr="00FB5561" w:rsidRDefault="00A203EA" w:rsidP="00E34F43">
      <w:pPr>
        <w:pStyle w:val="SubmissionNormal"/>
        <w:numPr>
          <w:ilvl w:val="0"/>
          <w:numId w:val="0"/>
        </w:numPr>
        <w:rPr>
          <w:rFonts w:cs="Arial"/>
        </w:rPr>
      </w:pPr>
      <w:r w:rsidRPr="00FB5561">
        <w:rPr>
          <w:rFonts w:cs="Arial"/>
        </w:rPr>
        <w:t>These guidelines are intended to:</w:t>
      </w:r>
    </w:p>
    <w:p w14:paraId="143695CA" w14:textId="77777777" w:rsidR="00A203EA" w:rsidRPr="00FB5561" w:rsidRDefault="00A203EA"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 xml:space="preserve">help providers of insurance and superannuation </w:t>
      </w:r>
      <w:r w:rsidR="0009760A" w:rsidRPr="00FB5561">
        <w:rPr>
          <w:rFonts w:cs="Arial"/>
        </w:rPr>
        <w:t>to comply</w:t>
      </w:r>
      <w:r w:rsidRPr="00FB5561">
        <w:rPr>
          <w:rFonts w:cs="Arial"/>
        </w:rPr>
        <w:t xml:space="preserve"> with the DDA, in making decisions in individual cases and in developing broader policies and pr</w:t>
      </w:r>
      <w:r w:rsidR="006866F7" w:rsidRPr="00FB5561">
        <w:rPr>
          <w:rFonts w:cs="Arial"/>
        </w:rPr>
        <w:t>ocedures</w:t>
      </w:r>
    </w:p>
    <w:p w14:paraId="0D1D23C1" w14:textId="2B849AA0" w:rsidR="00A203EA" w:rsidRPr="00FB5561" w:rsidRDefault="00A203EA"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explain what distinctions or exclusions may be reasonable in offering insurance to people with a disability</w:t>
      </w:r>
    </w:p>
    <w:p w14:paraId="31F14D86" w14:textId="77777777" w:rsidR="00A203EA" w:rsidRPr="00FB5561" w:rsidRDefault="00A203EA"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explain factors that courts may take into account in deciding a complaint about disability discrimination.</w:t>
      </w:r>
    </w:p>
    <w:p w14:paraId="1137E02E" w14:textId="77777777" w:rsidR="008D0C88" w:rsidRPr="00FB5561" w:rsidRDefault="00A203EA" w:rsidP="008D0C88">
      <w:pPr>
        <w:pStyle w:val="SubmissionNormal"/>
        <w:numPr>
          <w:ilvl w:val="0"/>
          <w:numId w:val="0"/>
        </w:numPr>
        <w:spacing w:before="0" w:after="120"/>
        <w:rPr>
          <w:rFonts w:cs="Arial"/>
        </w:rPr>
      </w:pPr>
      <w:r w:rsidRPr="00FB5561">
        <w:rPr>
          <w:rFonts w:cs="Arial"/>
        </w:rPr>
        <w:t xml:space="preserve">These guidelines replace the earlier </w:t>
      </w:r>
      <w:r w:rsidRPr="00FB5561">
        <w:rPr>
          <w:rFonts w:cs="Arial"/>
          <w:i/>
        </w:rPr>
        <w:t>Guidelines for Providers of Insurance and Superannuation</w:t>
      </w:r>
      <w:r w:rsidRPr="00FB5561">
        <w:rPr>
          <w:rFonts w:cs="Arial"/>
        </w:rPr>
        <w:t xml:space="preserve"> published by the Commission in 2005,</w:t>
      </w:r>
      <w:r w:rsidRPr="00FB5561">
        <w:rPr>
          <w:rStyle w:val="EndnoteReference"/>
          <w:rFonts w:cs="Arial"/>
        </w:rPr>
        <w:endnoteReference w:id="2"/>
      </w:r>
      <w:r w:rsidRPr="00FB5561">
        <w:rPr>
          <w:rFonts w:cs="Arial"/>
        </w:rPr>
        <w:t xml:space="preserve"> and 2012.</w:t>
      </w:r>
      <w:r w:rsidRPr="00FB5561">
        <w:rPr>
          <w:rStyle w:val="EndnoteReference"/>
          <w:rFonts w:cs="Arial"/>
        </w:rPr>
        <w:endnoteReference w:id="3"/>
      </w:r>
      <w:r w:rsidRPr="00FB5561">
        <w:rPr>
          <w:rFonts w:cs="Arial"/>
        </w:rPr>
        <w:t xml:space="preserve"> </w:t>
      </w:r>
    </w:p>
    <w:p w14:paraId="279FF7AA" w14:textId="77777777" w:rsidR="00CD2A8C" w:rsidRPr="00FB5561" w:rsidRDefault="005773AB" w:rsidP="0007787E">
      <w:pPr>
        <w:pStyle w:val="Heading1"/>
        <w:numPr>
          <w:ilvl w:val="0"/>
          <w:numId w:val="15"/>
        </w:numPr>
        <w:rPr>
          <w:rFonts w:cs="Arial"/>
        </w:rPr>
      </w:pPr>
      <w:bookmarkStart w:id="5" w:name="_Toc466973673"/>
      <w:r w:rsidRPr="00FB5561">
        <w:rPr>
          <w:rFonts w:cs="Arial"/>
        </w:rPr>
        <w:t>What is the definition</w:t>
      </w:r>
      <w:r w:rsidR="00E91861" w:rsidRPr="00FB5561">
        <w:rPr>
          <w:rFonts w:cs="Arial"/>
        </w:rPr>
        <w:t xml:space="preserve"> of ‘disability’</w:t>
      </w:r>
      <w:r w:rsidRPr="00FB5561">
        <w:rPr>
          <w:rFonts w:cs="Arial"/>
        </w:rPr>
        <w:t xml:space="preserve"> in</w:t>
      </w:r>
      <w:r w:rsidR="00247110" w:rsidRPr="00FB5561">
        <w:rPr>
          <w:rFonts w:cs="Arial"/>
        </w:rPr>
        <w:t xml:space="preserve"> the DDA?</w:t>
      </w:r>
      <w:bookmarkEnd w:id="5"/>
    </w:p>
    <w:p w14:paraId="3EECFC04" w14:textId="77777777" w:rsidR="00221341" w:rsidRPr="00FB5561" w:rsidRDefault="005773AB" w:rsidP="00E34F43">
      <w:pPr>
        <w:pStyle w:val="SubmissionNormal"/>
        <w:numPr>
          <w:ilvl w:val="0"/>
          <w:numId w:val="0"/>
        </w:numPr>
        <w:rPr>
          <w:rFonts w:cs="Arial"/>
        </w:rPr>
      </w:pPr>
      <w:r w:rsidRPr="00FB5561">
        <w:rPr>
          <w:rFonts w:cs="Arial"/>
        </w:rPr>
        <w:t>‘Disability’</w:t>
      </w:r>
      <w:r w:rsidR="00221341" w:rsidRPr="00FB5561">
        <w:rPr>
          <w:rFonts w:cs="Arial"/>
        </w:rPr>
        <w:t xml:space="preserve"> has a very broad meaning in the DDA and includes: </w:t>
      </w:r>
    </w:p>
    <w:p w14:paraId="248CF554" w14:textId="77777777" w:rsidR="00221341" w:rsidRPr="00FB5561" w:rsidRDefault="00221341" w:rsidP="0007787E">
      <w:pPr>
        <w:pStyle w:val="SubmissionNormal"/>
        <w:numPr>
          <w:ilvl w:val="0"/>
          <w:numId w:val="16"/>
        </w:numPr>
        <w:tabs>
          <w:tab w:val="clear" w:pos="720"/>
          <w:tab w:val="num" w:pos="284"/>
        </w:tabs>
        <w:spacing w:before="0" w:after="120"/>
        <w:ind w:left="567" w:hanging="567"/>
        <w:rPr>
          <w:rFonts w:cs="Arial"/>
        </w:rPr>
      </w:pPr>
      <w:r w:rsidRPr="00FB5561">
        <w:rPr>
          <w:rFonts w:cs="Arial"/>
        </w:rPr>
        <w:t>physical disability</w:t>
      </w:r>
    </w:p>
    <w:p w14:paraId="4EAC631E" w14:textId="77777777" w:rsidR="00221341" w:rsidRPr="00FB5561" w:rsidRDefault="00221341" w:rsidP="0007787E">
      <w:pPr>
        <w:pStyle w:val="SubmissionNormal"/>
        <w:numPr>
          <w:ilvl w:val="0"/>
          <w:numId w:val="16"/>
        </w:numPr>
        <w:tabs>
          <w:tab w:val="clear" w:pos="720"/>
          <w:tab w:val="num" w:pos="284"/>
        </w:tabs>
        <w:spacing w:before="0" w:after="120"/>
        <w:ind w:left="567" w:hanging="567"/>
        <w:rPr>
          <w:rFonts w:cs="Arial"/>
        </w:rPr>
      </w:pPr>
      <w:r w:rsidRPr="00FB5561">
        <w:rPr>
          <w:rFonts w:cs="Arial"/>
        </w:rPr>
        <w:t>intellectual disability</w:t>
      </w:r>
    </w:p>
    <w:p w14:paraId="46635A4D" w14:textId="77777777" w:rsidR="00221341" w:rsidRPr="00FB5561" w:rsidRDefault="00221341" w:rsidP="0007787E">
      <w:pPr>
        <w:pStyle w:val="SubmissionNormal"/>
        <w:numPr>
          <w:ilvl w:val="0"/>
          <w:numId w:val="16"/>
        </w:numPr>
        <w:tabs>
          <w:tab w:val="clear" w:pos="720"/>
          <w:tab w:val="num" w:pos="284"/>
        </w:tabs>
        <w:spacing w:before="0" w:after="120"/>
        <w:ind w:left="567" w:hanging="567"/>
        <w:rPr>
          <w:rFonts w:cs="Arial"/>
        </w:rPr>
      </w:pPr>
      <w:r w:rsidRPr="00FB5561">
        <w:rPr>
          <w:rFonts w:cs="Arial"/>
        </w:rPr>
        <w:t>psychiatric or psychological disability</w:t>
      </w:r>
      <w:r w:rsidR="003451C7" w:rsidRPr="00FB5561">
        <w:rPr>
          <w:rFonts w:cs="Arial"/>
        </w:rPr>
        <w:t xml:space="preserve"> (including mental illness)</w:t>
      </w:r>
    </w:p>
    <w:p w14:paraId="6C8C2518" w14:textId="77777777" w:rsidR="00221341" w:rsidRPr="00FB5561" w:rsidRDefault="00221341" w:rsidP="0007787E">
      <w:pPr>
        <w:pStyle w:val="SubmissionNormal"/>
        <w:numPr>
          <w:ilvl w:val="0"/>
          <w:numId w:val="16"/>
        </w:numPr>
        <w:tabs>
          <w:tab w:val="clear" w:pos="720"/>
          <w:tab w:val="num" w:pos="284"/>
        </w:tabs>
        <w:spacing w:before="0" w:after="120"/>
        <w:ind w:left="567" w:hanging="567"/>
        <w:rPr>
          <w:rFonts w:cs="Arial"/>
        </w:rPr>
      </w:pPr>
      <w:r w:rsidRPr="00FB5561">
        <w:rPr>
          <w:rFonts w:cs="Arial"/>
        </w:rPr>
        <w:t>sensory disability</w:t>
      </w:r>
    </w:p>
    <w:p w14:paraId="577803DA" w14:textId="77777777" w:rsidR="00221341" w:rsidRPr="00FB5561" w:rsidRDefault="00221341" w:rsidP="0007787E">
      <w:pPr>
        <w:pStyle w:val="SubmissionNormal"/>
        <w:numPr>
          <w:ilvl w:val="0"/>
          <w:numId w:val="16"/>
        </w:numPr>
        <w:tabs>
          <w:tab w:val="clear" w:pos="720"/>
          <w:tab w:val="num" w:pos="284"/>
        </w:tabs>
        <w:spacing w:before="0" w:after="120"/>
        <w:ind w:left="567" w:hanging="567"/>
        <w:rPr>
          <w:rFonts w:cs="Arial"/>
        </w:rPr>
      </w:pPr>
      <w:r w:rsidRPr="00FB5561">
        <w:rPr>
          <w:rFonts w:cs="Arial"/>
        </w:rPr>
        <w:t>neurological disability</w:t>
      </w:r>
    </w:p>
    <w:p w14:paraId="32389F08" w14:textId="77777777" w:rsidR="00221341" w:rsidRPr="00FB5561" w:rsidRDefault="00221341" w:rsidP="0007787E">
      <w:pPr>
        <w:pStyle w:val="SubmissionNormal"/>
        <w:numPr>
          <w:ilvl w:val="0"/>
          <w:numId w:val="16"/>
        </w:numPr>
        <w:tabs>
          <w:tab w:val="clear" w:pos="720"/>
          <w:tab w:val="num" w:pos="284"/>
        </w:tabs>
        <w:spacing w:before="0" w:after="120"/>
        <w:ind w:left="567" w:hanging="567"/>
        <w:rPr>
          <w:rFonts w:cs="Arial"/>
        </w:rPr>
      </w:pPr>
      <w:r w:rsidRPr="00FB5561">
        <w:rPr>
          <w:rFonts w:cs="Arial"/>
        </w:rPr>
        <w:lastRenderedPageBreak/>
        <w:t>learning disabilities</w:t>
      </w:r>
    </w:p>
    <w:p w14:paraId="4139D1C5" w14:textId="77777777" w:rsidR="00221341" w:rsidRPr="00FB5561" w:rsidRDefault="00221341" w:rsidP="0007787E">
      <w:pPr>
        <w:pStyle w:val="SubmissionNormal"/>
        <w:numPr>
          <w:ilvl w:val="0"/>
          <w:numId w:val="16"/>
        </w:numPr>
        <w:tabs>
          <w:tab w:val="clear" w:pos="720"/>
          <w:tab w:val="num" w:pos="284"/>
        </w:tabs>
        <w:spacing w:before="0" w:after="120"/>
        <w:ind w:left="567" w:hanging="567"/>
        <w:rPr>
          <w:rFonts w:cs="Arial"/>
        </w:rPr>
      </w:pPr>
      <w:r w:rsidRPr="00FB5561">
        <w:rPr>
          <w:rFonts w:cs="Arial"/>
        </w:rPr>
        <w:t>physical disfigurement</w:t>
      </w:r>
    </w:p>
    <w:p w14:paraId="62314091" w14:textId="77777777" w:rsidR="00BA4216" w:rsidRPr="00FB5561" w:rsidRDefault="00221341" w:rsidP="00DD2048">
      <w:pPr>
        <w:pStyle w:val="SubmissionNormal"/>
        <w:numPr>
          <w:ilvl w:val="0"/>
          <w:numId w:val="16"/>
        </w:numPr>
        <w:tabs>
          <w:tab w:val="clear" w:pos="720"/>
          <w:tab w:val="num" w:pos="284"/>
        </w:tabs>
        <w:spacing w:before="0" w:after="120"/>
        <w:ind w:left="284" w:hanging="284"/>
        <w:rPr>
          <w:rFonts w:cs="Arial"/>
        </w:rPr>
      </w:pPr>
      <w:r w:rsidRPr="00FB5561">
        <w:rPr>
          <w:rFonts w:cs="Arial"/>
        </w:rPr>
        <w:t>the presence in the body of disease</w:t>
      </w:r>
      <w:r w:rsidR="0009760A" w:rsidRPr="00FB5561">
        <w:rPr>
          <w:rFonts w:cs="Arial"/>
        </w:rPr>
        <w:t>-</w:t>
      </w:r>
      <w:r w:rsidRPr="00FB5561">
        <w:rPr>
          <w:rFonts w:cs="Arial"/>
        </w:rPr>
        <w:t>causing organisms</w:t>
      </w:r>
      <w:r w:rsidR="005773AB" w:rsidRPr="00FB5561">
        <w:rPr>
          <w:rFonts w:cs="Arial"/>
        </w:rPr>
        <w:t xml:space="preserve"> (such as hepatitis C or HIV)</w:t>
      </w:r>
      <w:r w:rsidRPr="00FB5561">
        <w:rPr>
          <w:rFonts w:cs="Arial"/>
        </w:rPr>
        <w:t>.</w:t>
      </w:r>
      <w:r w:rsidR="00BA4216" w:rsidRPr="00FB5561">
        <w:rPr>
          <w:sz w:val="20"/>
          <w:vertAlign w:val="superscript"/>
        </w:rPr>
        <w:endnoteReference w:id="4"/>
      </w:r>
    </w:p>
    <w:p w14:paraId="1686D7E4" w14:textId="77777777" w:rsidR="00221341" w:rsidRPr="00FB5561" w:rsidRDefault="00221341" w:rsidP="00E34F43">
      <w:pPr>
        <w:rPr>
          <w:rFonts w:cs="Arial"/>
        </w:rPr>
      </w:pPr>
      <w:r w:rsidRPr="00FB5561">
        <w:rPr>
          <w:rFonts w:cs="Arial"/>
        </w:rPr>
        <w:t>It includes a person with one disability as well as someone with more than one disability. It applies whether the disability is total or partial</w:t>
      </w:r>
      <w:r w:rsidR="00DB257E" w:rsidRPr="00FB5561">
        <w:rPr>
          <w:rFonts w:cs="Arial"/>
        </w:rPr>
        <w:t>,</w:t>
      </w:r>
      <w:r w:rsidRPr="00FB5561">
        <w:rPr>
          <w:rFonts w:cs="Arial"/>
        </w:rPr>
        <w:t xml:space="preserve"> and whether the person: </w:t>
      </w:r>
    </w:p>
    <w:p w14:paraId="4E14F7CE" w14:textId="77777777" w:rsidR="00221341" w:rsidRPr="00FB5561" w:rsidRDefault="00221341"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currently has a disability</w:t>
      </w:r>
    </w:p>
    <w:p w14:paraId="15737999" w14:textId="77777777" w:rsidR="00221341" w:rsidRPr="00FB5561" w:rsidRDefault="00221341"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has had a disability in the past (for example, a past episode of mental illness)</w:t>
      </w:r>
    </w:p>
    <w:p w14:paraId="0A0C9B4E" w14:textId="77777777" w:rsidR="00221341" w:rsidRPr="00FB5561" w:rsidRDefault="00221341"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may have a disabi</w:t>
      </w:r>
      <w:r w:rsidR="00DB257E" w:rsidRPr="00FB5561">
        <w:rPr>
          <w:rFonts w:cs="Arial"/>
        </w:rPr>
        <w:t>lity in the future (for example, because of a genetic predisposition to that disability</w:t>
      </w:r>
      <w:r w:rsidRPr="00FB5561">
        <w:rPr>
          <w:rFonts w:cs="Arial"/>
        </w:rPr>
        <w:t>)</w:t>
      </w:r>
    </w:p>
    <w:p w14:paraId="20AEC612" w14:textId="77777777" w:rsidR="00B34946" w:rsidRPr="00FB5561" w:rsidRDefault="00221341"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is imputed as having a disability (for example, a person is thought to have HIV/AIDS).</w:t>
      </w:r>
    </w:p>
    <w:p w14:paraId="6BF165FF" w14:textId="3A8D75C6" w:rsidR="00807A0D" w:rsidRPr="00FB5561" w:rsidRDefault="00807A0D" w:rsidP="00D20E92">
      <w:pPr>
        <w:rPr>
          <w:rFonts w:cs="Arial"/>
        </w:rPr>
      </w:pPr>
      <w:r w:rsidRPr="00FB5561">
        <w:rPr>
          <w:rFonts w:cs="Arial"/>
        </w:rPr>
        <w:t xml:space="preserve">A disability that ‘may </w:t>
      </w:r>
      <w:r w:rsidR="00326D58" w:rsidRPr="00FB5561">
        <w:rPr>
          <w:rFonts w:cs="Arial"/>
        </w:rPr>
        <w:t>exist</w:t>
      </w:r>
      <w:r w:rsidRPr="00FB5561">
        <w:rPr>
          <w:rFonts w:cs="Arial"/>
        </w:rPr>
        <w:t xml:space="preserve"> in the future’ can include a condition that was present in a person’s body</w:t>
      </w:r>
      <w:r w:rsidR="00881A60" w:rsidRPr="00FB5561">
        <w:rPr>
          <w:rFonts w:cs="Arial"/>
        </w:rPr>
        <w:t>, but not yet diagnosed,</w:t>
      </w:r>
      <w:r w:rsidRPr="00FB5561">
        <w:rPr>
          <w:rFonts w:cs="Arial"/>
        </w:rPr>
        <w:t xml:space="preserve"> at the time the policy was purchased. It can also include a disability that did not yet exist or had not been diagnosed, was not known to the person or others or was not otherwise apparent.</w:t>
      </w:r>
      <w:r w:rsidR="00881A60" w:rsidRPr="00FB5561">
        <w:rPr>
          <w:rStyle w:val="EndnoteReference"/>
          <w:rFonts w:cs="Arial"/>
        </w:rPr>
        <w:endnoteReference w:id="5"/>
      </w:r>
    </w:p>
    <w:p w14:paraId="26E2D017" w14:textId="5FEC0B90" w:rsidR="00807A0D" w:rsidRPr="00FB5561" w:rsidRDefault="00807A0D" w:rsidP="00D20E92">
      <w:pPr>
        <w:rPr>
          <w:rFonts w:cs="Arial"/>
        </w:rPr>
      </w:pPr>
      <w:r w:rsidRPr="00FB5561">
        <w:rPr>
          <w:rFonts w:cs="Arial"/>
          <w:i/>
        </w:rPr>
        <w:t>For example</w:t>
      </w:r>
      <w:r w:rsidR="009B03F3" w:rsidRPr="00FB5561">
        <w:rPr>
          <w:rFonts w:cs="Arial"/>
          <w:i/>
        </w:rPr>
        <w:t>,</w:t>
      </w:r>
      <w:r w:rsidRPr="00FB5561">
        <w:rPr>
          <w:rFonts w:cs="Arial"/>
          <w:i/>
        </w:rPr>
        <w:t xml:space="preserve"> </w:t>
      </w:r>
      <w:r w:rsidR="009B03F3" w:rsidRPr="00FB5561">
        <w:rPr>
          <w:rFonts w:cs="Arial"/>
          <w:i/>
        </w:rPr>
        <w:t>i</w:t>
      </w:r>
      <w:r w:rsidRPr="00FB5561">
        <w:rPr>
          <w:rFonts w:cs="Arial"/>
          <w:i/>
        </w:rPr>
        <w:t xml:space="preserve">n </w:t>
      </w:r>
      <w:r w:rsidRPr="00FB5561">
        <w:rPr>
          <w:rFonts w:cs="Arial"/>
        </w:rPr>
        <w:t>Ingram v QBE</w:t>
      </w:r>
      <w:r w:rsidRPr="00FB5561">
        <w:rPr>
          <w:rFonts w:cs="Arial"/>
          <w:i/>
        </w:rPr>
        <w:t>,</w:t>
      </w:r>
      <w:r w:rsidR="009376B6">
        <w:rPr>
          <w:rStyle w:val="EndnoteReference"/>
          <w:rFonts w:cs="Arial"/>
          <w:i/>
        </w:rPr>
        <w:endnoteReference w:id="6"/>
      </w:r>
      <w:r w:rsidRPr="00FB5561">
        <w:rPr>
          <w:rFonts w:cs="Arial"/>
          <w:i/>
        </w:rPr>
        <w:t xml:space="preserve"> VCAT found that, for the purposes of anti-discrimination laws, the definition of ‘disability that may </w:t>
      </w:r>
      <w:r w:rsidR="00881A60" w:rsidRPr="00FB5561">
        <w:rPr>
          <w:rFonts w:cs="Arial"/>
          <w:i/>
        </w:rPr>
        <w:t>exist</w:t>
      </w:r>
      <w:r w:rsidRPr="00FB5561">
        <w:rPr>
          <w:rFonts w:cs="Arial"/>
          <w:i/>
        </w:rPr>
        <w:t xml:space="preserve"> in the future’ applied to Ms Ingram where she had no pre-existing mental illness at the time the policy was issued but a depressive disorder manifested and was diagnosed subsequently.</w:t>
      </w:r>
    </w:p>
    <w:p w14:paraId="6655BDEC" w14:textId="7D847CF5" w:rsidR="00F6101A" w:rsidRPr="00FB5561" w:rsidRDefault="00AA6DBA" w:rsidP="00D20E92">
      <w:pPr>
        <w:rPr>
          <w:rFonts w:cs="Arial"/>
        </w:rPr>
      </w:pPr>
      <w:r w:rsidRPr="00FB5561">
        <w:rPr>
          <w:rFonts w:cs="Arial"/>
        </w:rPr>
        <w:t>O</w:t>
      </w:r>
      <w:r w:rsidR="00F6101A" w:rsidRPr="00FB5561">
        <w:rPr>
          <w:rFonts w:cs="Arial"/>
        </w:rPr>
        <w:t xml:space="preserve">ver 4 million people in Australia, </w:t>
      </w:r>
      <w:r w:rsidR="007868AB" w:rsidRPr="00FB5561">
        <w:rPr>
          <w:rFonts w:cs="Arial"/>
        </w:rPr>
        <w:t xml:space="preserve">nearly </w:t>
      </w:r>
      <w:r w:rsidR="00F6101A" w:rsidRPr="00FB5561">
        <w:rPr>
          <w:rFonts w:cs="Arial"/>
        </w:rPr>
        <w:t>1 in 5, experience disability</w:t>
      </w:r>
      <w:r w:rsidRPr="00FB5561">
        <w:rPr>
          <w:rFonts w:cs="Arial"/>
        </w:rPr>
        <w:t>, according to the most recent data from the Australian Bureau of Statistics</w:t>
      </w:r>
      <w:r w:rsidR="00F6101A" w:rsidRPr="00FB5561">
        <w:rPr>
          <w:rFonts w:cs="Arial"/>
        </w:rPr>
        <w:t>.</w:t>
      </w:r>
      <w:r w:rsidR="00F6101A" w:rsidRPr="00FB5561">
        <w:rPr>
          <w:rStyle w:val="EndnoteReference"/>
          <w:rFonts w:cs="Arial"/>
        </w:rPr>
        <w:endnoteReference w:id="7"/>
      </w:r>
      <w:r w:rsidR="00F6101A" w:rsidRPr="00FB5561">
        <w:rPr>
          <w:rFonts w:cs="Arial"/>
        </w:rPr>
        <w:t xml:space="preserve"> People with disability, as well as their friends, relations and colleagues, constitute a significant group of consumers.</w:t>
      </w:r>
    </w:p>
    <w:p w14:paraId="0263F016" w14:textId="77777777" w:rsidR="00B34946" w:rsidRPr="00FB5561" w:rsidRDefault="00BF2B82" w:rsidP="0007787E">
      <w:pPr>
        <w:pStyle w:val="Heading1"/>
        <w:numPr>
          <w:ilvl w:val="0"/>
          <w:numId w:val="15"/>
        </w:numPr>
        <w:rPr>
          <w:rFonts w:cs="Arial"/>
        </w:rPr>
      </w:pPr>
      <w:bookmarkStart w:id="6" w:name="_Toc466973674"/>
      <w:r w:rsidRPr="00FB5561">
        <w:rPr>
          <w:rFonts w:cs="Arial"/>
        </w:rPr>
        <w:t>What constitutes discrimination</w:t>
      </w:r>
      <w:r w:rsidR="00CE5684" w:rsidRPr="00FB5561">
        <w:rPr>
          <w:rFonts w:cs="Arial"/>
        </w:rPr>
        <w:t>?</w:t>
      </w:r>
      <w:bookmarkEnd w:id="6"/>
    </w:p>
    <w:p w14:paraId="4EFE3E4E" w14:textId="77777777" w:rsidR="008D2883" w:rsidRPr="00FB5561" w:rsidRDefault="0010691F" w:rsidP="008D2883">
      <w:pPr>
        <w:spacing w:before="0" w:after="0"/>
        <w:rPr>
          <w:rFonts w:cs="Arial"/>
        </w:rPr>
      </w:pPr>
      <w:r w:rsidRPr="00FB5561">
        <w:rPr>
          <w:rFonts w:cs="Arial"/>
        </w:rPr>
        <w:t>Section 24 of t</w:t>
      </w:r>
      <w:r w:rsidR="008D2883" w:rsidRPr="00FB5561">
        <w:rPr>
          <w:rFonts w:cs="Arial"/>
        </w:rPr>
        <w:t>he DDA makes it against the law to discriminate against a person because of their disability either:</w:t>
      </w:r>
    </w:p>
    <w:p w14:paraId="0AA906AA" w14:textId="77777777" w:rsidR="008D2883" w:rsidRPr="00FB5561" w:rsidRDefault="008D2883" w:rsidP="0007787E">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by refusing to provide them</w:t>
      </w:r>
      <w:r w:rsidR="0010691F" w:rsidRPr="00FB5561">
        <w:rPr>
          <w:rFonts w:ascii="Arial" w:hAnsi="Arial" w:cs="Arial"/>
          <w:sz w:val="24"/>
          <w:szCs w:val="24"/>
        </w:rPr>
        <w:t xml:space="preserve"> with </w:t>
      </w:r>
      <w:r w:rsidRPr="00FB5561">
        <w:rPr>
          <w:rFonts w:ascii="Arial" w:hAnsi="Arial" w:cs="Arial"/>
          <w:sz w:val="24"/>
          <w:szCs w:val="24"/>
        </w:rPr>
        <w:t>goods or services or make facilities available; or</w:t>
      </w:r>
    </w:p>
    <w:p w14:paraId="11716773" w14:textId="77777777" w:rsidR="008D2883" w:rsidRPr="00FB5561" w:rsidRDefault="008D2883" w:rsidP="0007787E">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because of the terms or conditions on which, or the manner in which, the goods, services or facilities are provided.</w:t>
      </w:r>
    </w:p>
    <w:p w14:paraId="469A6963" w14:textId="77777777" w:rsidR="00EF408A" w:rsidRPr="00FB5561" w:rsidRDefault="00EF408A" w:rsidP="00EF408A">
      <w:pPr>
        <w:spacing w:before="100" w:beforeAutospacing="1" w:after="100" w:afterAutospacing="1"/>
        <w:rPr>
          <w:rFonts w:cs="Arial"/>
        </w:rPr>
      </w:pPr>
      <w:r w:rsidRPr="00FB5561">
        <w:rPr>
          <w:rFonts w:cs="Arial"/>
        </w:rPr>
        <w:t xml:space="preserve">Discrimination can be direct, meaning a person with disability is treated less favourably than a person without that disability in the same or similar circumstances. </w:t>
      </w:r>
    </w:p>
    <w:p w14:paraId="2CC9E72A" w14:textId="77777777" w:rsidR="008D2883" w:rsidRPr="00FB5561" w:rsidRDefault="00EF408A" w:rsidP="00EF408A">
      <w:pPr>
        <w:spacing w:before="100" w:beforeAutospacing="1" w:after="100" w:afterAutospacing="1"/>
        <w:rPr>
          <w:rFonts w:cs="Arial"/>
        </w:rPr>
      </w:pPr>
      <w:r w:rsidRPr="00FB5561">
        <w:rPr>
          <w:rFonts w:cs="Arial"/>
          <w:i/>
          <w:iCs/>
        </w:rPr>
        <w:t>For example</w:t>
      </w:r>
      <w:r w:rsidR="00336934" w:rsidRPr="00FB5561">
        <w:rPr>
          <w:rFonts w:cs="Arial"/>
          <w:i/>
          <w:iCs/>
        </w:rPr>
        <w:t>, i</w:t>
      </w:r>
      <w:r w:rsidRPr="00FB5561">
        <w:rPr>
          <w:rFonts w:cs="Arial"/>
          <w:i/>
          <w:iCs/>
        </w:rPr>
        <w:t xml:space="preserve">t would be direct discrimination to refuse to insure someone because he or she is blind. </w:t>
      </w:r>
    </w:p>
    <w:p w14:paraId="58B5F4D2" w14:textId="77777777" w:rsidR="00893E17" w:rsidRPr="00FB5561" w:rsidRDefault="00EF408A" w:rsidP="00EF408A">
      <w:pPr>
        <w:rPr>
          <w:rFonts w:cs="Arial"/>
        </w:rPr>
      </w:pPr>
      <w:r w:rsidRPr="00FB5561">
        <w:rPr>
          <w:rFonts w:cs="Arial"/>
        </w:rPr>
        <w:t xml:space="preserve">Discrimination can also be indirect. Indirect disability discrimination can happen when conditions or requirements are put in place that appear to treat everyone the same, but actually disadvantage some people because of their disability. </w:t>
      </w:r>
    </w:p>
    <w:p w14:paraId="577E0FD4" w14:textId="5EBAC78D" w:rsidR="00B34946" w:rsidRPr="00FB5561" w:rsidRDefault="000E73D5" w:rsidP="00EF408A">
      <w:pPr>
        <w:rPr>
          <w:rFonts w:cs="Arial"/>
          <w:i/>
          <w:iCs/>
        </w:rPr>
      </w:pPr>
      <w:r w:rsidRPr="00FB5561">
        <w:rPr>
          <w:rFonts w:cs="Arial"/>
          <w:i/>
          <w:iCs/>
        </w:rPr>
        <w:lastRenderedPageBreak/>
        <w:t>For example</w:t>
      </w:r>
      <w:r w:rsidR="00336934" w:rsidRPr="00FB5561">
        <w:rPr>
          <w:rFonts w:cs="Arial"/>
          <w:i/>
          <w:iCs/>
        </w:rPr>
        <w:t>, r</w:t>
      </w:r>
      <w:r w:rsidRPr="00FB5561">
        <w:rPr>
          <w:rFonts w:cs="Arial"/>
          <w:i/>
          <w:iCs/>
        </w:rPr>
        <w:t>equiring all applicants</w:t>
      </w:r>
      <w:r w:rsidR="00BA4223" w:rsidRPr="00FB5561">
        <w:rPr>
          <w:rFonts w:cs="Arial"/>
          <w:i/>
          <w:iCs/>
        </w:rPr>
        <w:t xml:space="preserve"> for insurance to provide details from</w:t>
      </w:r>
      <w:r w:rsidRPr="00FB5561">
        <w:rPr>
          <w:rFonts w:cs="Arial"/>
          <w:i/>
          <w:iCs/>
        </w:rPr>
        <w:t xml:space="preserve"> a driver</w:t>
      </w:r>
      <w:r w:rsidR="007125E6" w:rsidRPr="00FB5561">
        <w:rPr>
          <w:rFonts w:cs="Arial"/>
          <w:i/>
          <w:iCs/>
        </w:rPr>
        <w:t>’</w:t>
      </w:r>
      <w:r w:rsidRPr="00FB5561">
        <w:rPr>
          <w:rFonts w:cs="Arial"/>
          <w:i/>
          <w:iCs/>
        </w:rPr>
        <w:t>s licence for identification indirectly discriminates against anyone who is unable to drive because of a disability.</w:t>
      </w:r>
    </w:p>
    <w:p w14:paraId="1A32154E" w14:textId="77777777" w:rsidR="00992B54" w:rsidRPr="00FB5561" w:rsidRDefault="003A400E" w:rsidP="00EF408A">
      <w:pPr>
        <w:rPr>
          <w:rFonts w:cs="Arial"/>
        </w:rPr>
      </w:pPr>
      <w:r w:rsidRPr="00FB5561">
        <w:rPr>
          <w:rFonts w:cs="Arial"/>
        </w:rPr>
        <w:t>The DDA also requires businesses to make reasonable adjustments to enable a person with disability to access goods, services or facilities.</w:t>
      </w:r>
      <w:r w:rsidRPr="00FB5561">
        <w:rPr>
          <w:rStyle w:val="EndnoteReference"/>
          <w:rFonts w:cs="Arial"/>
        </w:rPr>
        <w:endnoteReference w:id="8"/>
      </w:r>
      <w:r w:rsidRPr="00FB5561">
        <w:rPr>
          <w:rFonts w:cs="Arial"/>
        </w:rPr>
        <w:t xml:space="preserve"> A failure to make such adjustments itself may constitute discrimination.  </w:t>
      </w:r>
    </w:p>
    <w:p w14:paraId="0E680A49" w14:textId="77777777" w:rsidR="00326F59" w:rsidRPr="00FB5561" w:rsidRDefault="00326F59" w:rsidP="00EF408A">
      <w:pPr>
        <w:rPr>
          <w:rFonts w:cs="Arial"/>
        </w:rPr>
      </w:pPr>
      <w:r w:rsidRPr="00FB5561">
        <w:rPr>
          <w:rFonts w:cs="Arial"/>
        </w:rPr>
        <w:t>Reasonable adjustments may be relevant to the way in which standard terms of superannuat</w:t>
      </w:r>
      <w:r w:rsidR="000604CA" w:rsidRPr="00FB5561">
        <w:rPr>
          <w:rFonts w:cs="Arial"/>
        </w:rPr>
        <w:t xml:space="preserve">ion or insurance are obtained. </w:t>
      </w:r>
      <w:r w:rsidRPr="00FB5561">
        <w:rPr>
          <w:rFonts w:cs="Arial"/>
        </w:rPr>
        <w:t>For example, it may include providing contracts of insurance in accessible formats that meet the needs of persons with disability.</w:t>
      </w:r>
    </w:p>
    <w:p w14:paraId="0A2AB278" w14:textId="701591C1" w:rsidR="00CE1C87" w:rsidRPr="00FB5561" w:rsidRDefault="00A569CA" w:rsidP="002F6B90">
      <w:pPr>
        <w:spacing w:before="120"/>
        <w:rPr>
          <w:rFonts w:cs="Arial"/>
        </w:rPr>
      </w:pPr>
      <w:r w:rsidRPr="00FB5561">
        <w:rPr>
          <w:rFonts w:eastAsia="Times New Roman" w:cs="Arial"/>
        </w:rPr>
        <w:t>R</w:t>
      </w:r>
      <w:r w:rsidR="00CE1C87" w:rsidRPr="00FB5561">
        <w:rPr>
          <w:rFonts w:eastAsia="Times New Roman" w:cs="Arial"/>
        </w:rPr>
        <w:t xml:space="preserve">easonable adjustments by superannuation and insurance providers might </w:t>
      </w:r>
      <w:r w:rsidR="00326F59" w:rsidRPr="00FB5561">
        <w:rPr>
          <w:rFonts w:eastAsia="Times New Roman" w:cs="Arial"/>
        </w:rPr>
        <w:t xml:space="preserve">also </w:t>
      </w:r>
      <w:r w:rsidR="00CE1C87" w:rsidRPr="00FB5561">
        <w:rPr>
          <w:rFonts w:eastAsia="Times New Roman" w:cs="Arial"/>
        </w:rPr>
        <w:t>include</w:t>
      </w:r>
      <w:r w:rsidR="002F6B90" w:rsidRPr="00FB5561">
        <w:rPr>
          <w:rFonts w:eastAsia="Times New Roman" w:cs="Arial"/>
        </w:rPr>
        <w:t xml:space="preserve"> </w:t>
      </w:r>
      <w:r w:rsidRPr="00FB5561">
        <w:rPr>
          <w:rFonts w:cs="Arial"/>
        </w:rPr>
        <w:t>o</w:t>
      </w:r>
      <w:r w:rsidR="00CE1C87" w:rsidRPr="00FB5561">
        <w:rPr>
          <w:rFonts w:cs="Arial"/>
        </w:rPr>
        <w:t>ffers</w:t>
      </w:r>
      <w:r w:rsidRPr="00FB5561">
        <w:rPr>
          <w:rFonts w:cs="Arial"/>
        </w:rPr>
        <w:t xml:space="preserve"> of</w:t>
      </w:r>
      <w:r w:rsidR="00CE1C87" w:rsidRPr="00FB5561">
        <w:rPr>
          <w:rFonts w:cs="Arial"/>
        </w:rPr>
        <w:t xml:space="preserve"> insurance on non-standard terms</w:t>
      </w:r>
      <w:r w:rsidR="002F6B90" w:rsidRPr="00FB5561">
        <w:rPr>
          <w:rFonts w:cs="Arial"/>
        </w:rPr>
        <w:t xml:space="preserve"> that take into account the particular circumstances of the person</w:t>
      </w:r>
      <w:r w:rsidR="00BF116B" w:rsidRPr="00FB5561">
        <w:rPr>
          <w:rFonts w:cs="Arial"/>
        </w:rPr>
        <w:t xml:space="preserve">. These adjustments may mean that a person is able to obtain a policy that they would not otherwise be provided because of their disability. If non-standard terms are offered, this may </w:t>
      </w:r>
      <w:r w:rsidR="002D3AD5" w:rsidRPr="00FB5561">
        <w:rPr>
          <w:rFonts w:cs="Arial"/>
        </w:rPr>
        <w:t>involve</w:t>
      </w:r>
      <w:r w:rsidRPr="00FB5561">
        <w:rPr>
          <w:rFonts w:cs="Arial"/>
        </w:rPr>
        <w:t xml:space="preserve"> </w:t>
      </w:r>
      <w:r w:rsidR="00CE1C87" w:rsidRPr="00FB5561">
        <w:rPr>
          <w:rFonts w:eastAsia="Times New Roman" w:cs="Arial"/>
        </w:rPr>
        <w:t>exclusion</w:t>
      </w:r>
      <w:r w:rsidRPr="00FB5561">
        <w:rPr>
          <w:rFonts w:eastAsia="Times New Roman" w:cs="Arial"/>
        </w:rPr>
        <w:t xml:space="preserve">s or </w:t>
      </w:r>
      <w:r w:rsidR="00CE1C87" w:rsidRPr="00FB5561">
        <w:rPr>
          <w:rFonts w:eastAsia="Times New Roman" w:cs="Arial"/>
        </w:rPr>
        <w:t>higher premium</w:t>
      </w:r>
      <w:r w:rsidRPr="00FB5561">
        <w:rPr>
          <w:rFonts w:eastAsia="Times New Roman" w:cs="Arial"/>
        </w:rPr>
        <w:t>s</w:t>
      </w:r>
      <w:r w:rsidR="00BF116B" w:rsidRPr="00FB5561">
        <w:rPr>
          <w:rFonts w:eastAsia="Times New Roman" w:cs="Arial"/>
        </w:rPr>
        <w:t xml:space="preserve">. In assessing whether these terms constitute reasonable adjustments, the following factors </w:t>
      </w:r>
      <w:r w:rsidR="00DD1C3F" w:rsidRPr="00FB5561">
        <w:rPr>
          <w:rFonts w:eastAsia="Times New Roman" w:cs="Arial"/>
        </w:rPr>
        <w:t>may be</w:t>
      </w:r>
      <w:r w:rsidR="00BF116B" w:rsidRPr="00FB5561">
        <w:rPr>
          <w:rFonts w:eastAsia="Times New Roman" w:cs="Arial"/>
        </w:rPr>
        <w:t xml:space="preserve"> relevant</w:t>
      </w:r>
      <w:r w:rsidR="00CE1C87" w:rsidRPr="00FB5561">
        <w:rPr>
          <w:rFonts w:cs="Arial"/>
        </w:rPr>
        <w:t>:</w:t>
      </w:r>
    </w:p>
    <w:p w14:paraId="230D5673" w14:textId="77777777" w:rsidR="00F50663" w:rsidRPr="00FB5561" w:rsidRDefault="00D214B7" w:rsidP="00BF116B">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whether the exclusion or higher premium is reasonable given the particular circumstances of the person</w:t>
      </w:r>
    </w:p>
    <w:p w14:paraId="51BA3DBD" w14:textId="49C59EBC" w:rsidR="00CE1C87" w:rsidRPr="00FB5561" w:rsidRDefault="00D214B7" w:rsidP="00BF116B">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 xml:space="preserve">whether there are </w:t>
      </w:r>
      <w:r w:rsidR="00A569CA" w:rsidRPr="00FB5561">
        <w:rPr>
          <w:rFonts w:ascii="Arial" w:hAnsi="Arial" w:cs="Arial"/>
          <w:sz w:val="24"/>
          <w:szCs w:val="24"/>
        </w:rPr>
        <w:t xml:space="preserve">clear and specific time limitations on </w:t>
      </w:r>
      <w:r w:rsidR="00F50663" w:rsidRPr="00FB5561">
        <w:rPr>
          <w:rFonts w:ascii="Arial" w:hAnsi="Arial" w:cs="Arial"/>
          <w:sz w:val="24"/>
          <w:szCs w:val="24"/>
        </w:rPr>
        <w:t xml:space="preserve">the </w:t>
      </w:r>
      <w:r w:rsidR="00A569CA" w:rsidRPr="00FB5561">
        <w:rPr>
          <w:rFonts w:ascii="Arial" w:hAnsi="Arial" w:cs="Arial"/>
          <w:sz w:val="24"/>
          <w:szCs w:val="24"/>
        </w:rPr>
        <w:t>application of</w:t>
      </w:r>
      <w:r w:rsidR="00CE1C87" w:rsidRPr="00FB5561">
        <w:rPr>
          <w:rFonts w:ascii="Arial" w:hAnsi="Arial" w:cs="Arial"/>
          <w:sz w:val="24"/>
          <w:szCs w:val="24"/>
        </w:rPr>
        <w:t xml:space="preserve"> the exclusion</w:t>
      </w:r>
      <w:r w:rsidR="00A569CA" w:rsidRPr="00FB5561">
        <w:rPr>
          <w:rFonts w:ascii="Arial" w:hAnsi="Arial" w:cs="Arial"/>
          <w:sz w:val="24"/>
          <w:szCs w:val="24"/>
        </w:rPr>
        <w:t xml:space="preserve"> or </w:t>
      </w:r>
      <w:r w:rsidR="00CE1C87" w:rsidRPr="00FB5561">
        <w:rPr>
          <w:rFonts w:ascii="Arial" w:hAnsi="Arial" w:cs="Arial"/>
          <w:sz w:val="24"/>
          <w:szCs w:val="24"/>
        </w:rPr>
        <w:t>higher premium to the policy</w:t>
      </w:r>
    </w:p>
    <w:p w14:paraId="70DF4BD5" w14:textId="14FFA9A6" w:rsidR="00CE1C87" w:rsidRPr="00FB5561" w:rsidRDefault="00CE1C87" w:rsidP="00BF116B">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the criteria the insured would be required to satisfy to have the exclusion removed or premium reduced</w:t>
      </w:r>
    </w:p>
    <w:p w14:paraId="416D11DB" w14:textId="21E430A7" w:rsidR="00CE1C87" w:rsidRPr="00FB5561" w:rsidRDefault="00CE1C87" w:rsidP="00BF116B">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 xml:space="preserve">the process </w:t>
      </w:r>
      <w:r w:rsidR="00D214B7" w:rsidRPr="00FB5561">
        <w:rPr>
          <w:rFonts w:ascii="Arial" w:hAnsi="Arial" w:cs="Arial"/>
          <w:sz w:val="24"/>
          <w:szCs w:val="24"/>
        </w:rPr>
        <w:t xml:space="preserve">involved in </w:t>
      </w:r>
      <w:r w:rsidRPr="00FB5561">
        <w:rPr>
          <w:rFonts w:ascii="Arial" w:hAnsi="Arial" w:cs="Arial"/>
          <w:sz w:val="24"/>
          <w:szCs w:val="24"/>
        </w:rPr>
        <w:t>removing or amending the</w:t>
      </w:r>
      <w:r w:rsidR="008740EE" w:rsidRPr="00FB5561">
        <w:rPr>
          <w:rFonts w:ascii="Arial" w:hAnsi="Arial" w:cs="Arial"/>
          <w:sz w:val="24"/>
          <w:szCs w:val="24"/>
        </w:rPr>
        <w:t xml:space="preserve"> non-standard</w:t>
      </w:r>
      <w:r w:rsidRPr="00FB5561">
        <w:rPr>
          <w:rFonts w:ascii="Arial" w:hAnsi="Arial" w:cs="Arial"/>
          <w:sz w:val="24"/>
          <w:szCs w:val="24"/>
        </w:rPr>
        <w:t xml:space="preserve"> exclusion</w:t>
      </w:r>
      <w:r w:rsidR="008740EE" w:rsidRPr="00FB5561">
        <w:rPr>
          <w:rFonts w:ascii="Arial" w:hAnsi="Arial" w:cs="Arial"/>
          <w:sz w:val="24"/>
          <w:szCs w:val="24"/>
        </w:rPr>
        <w:t xml:space="preserve"> or </w:t>
      </w:r>
      <w:r w:rsidRPr="00FB5561">
        <w:rPr>
          <w:rFonts w:ascii="Arial" w:hAnsi="Arial" w:cs="Arial"/>
          <w:sz w:val="24"/>
          <w:szCs w:val="24"/>
        </w:rPr>
        <w:t>premium</w:t>
      </w:r>
      <w:r w:rsidR="00A569CA" w:rsidRPr="00FB5561">
        <w:rPr>
          <w:rFonts w:ascii="Arial" w:hAnsi="Arial" w:cs="Arial"/>
          <w:sz w:val="24"/>
          <w:szCs w:val="24"/>
        </w:rPr>
        <w:t>.</w:t>
      </w:r>
      <w:r w:rsidRPr="00FB5561">
        <w:rPr>
          <w:rFonts w:ascii="Arial" w:hAnsi="Arial" w:cs="Arial"/>
          <w:sz w:val="24"/>
          <w:szCs w:val="24"/>
        </w:rPr>
        <w:t xml:space="preserve"> </w:t>
      </w:r>
    </w:p>
    <w:p w14:paraId="1052D28E" w14:textId="24030B3F" w:rsidR="00F50663" w:rsidRPr="00FB5561" w:rsidRDefault="00F055CF" w:rsidP="00CE1C87">
      <w:pPr>
        <w:autoSpaceDE w:val="0"/>
        <w:autoSpaceDN w:val="0"/>
        <w:adjustRightInd w:val="0"/>
        <w:spacing w:after="0"/>
        <w:rPr>
          <w:rFonts w:cs="Arial"/>
        </w:rPr>
      </w:pPr>
      <w:bookmarkStart w:id="7" w:name="_Toc448852165"/>
      <w:bookmarkStart w:id="8" w:name="_Toc448852943"/>
      <w:bookmarkStart w:id="9" w:name="_Toc162769291"/>
      <w:bookmarkStart w:id="10" w:name="_Toc207761832"/>
      <w:bookmarkStart w:id="11" w:name="_Toc209578268"/>
      <w:r w:rsidRPr="00FB5561">
        <w:rPr>
          <w:rFonts w:cs="Arial"/>
        </w:rPr>
        <w:t xml:space="preserve">The aim of </w:t>
      </w:r>
      <w:r w:rsidR="000604CA" w:rsidRPr="00FB5561">
        <w:rPr>
          <w:rFonts w:cs="Arial"/>
        </w:rPr>
        <w:t>imposing a duty to make all</w:t>
      </w:r>
      <w:r w:rsidRPr="00FB5561">
        <w:rPr>
          <w:rFonts w:cs="Arial"/>
        </w:rPr>
        <w:t xml:space="preserve"> reasonable adjustments is to eliminate, to the extent possible, the discriminatory treatment of persons with disabilities.</w:t>
      </w:r>
      <w:r w:rsidR="00B24858" w:rsidRPr="00FB5561">
        <w:rPr>
          <w:rStyle w:val="EndnoteReference"/>
          <w:rFonts w:cs="Arial"/>
        </w:rPr>
        <w:endnoteReference w:id="9"/>
      </w:r>
      <w:r w:rsidR="000604CA" w:rsidRPr="00FB5561">
        <w:rPr>
          <w:rFonts w:cs="Arial"/>
        </w:rPr>
        <w:t xml:space="preserve"> </w:t>
      </w:r>
      <w:r w:rsidR="00F50663" w:rsidRPr="00FB5561">
        <w:rPr>
          <w:rFonts w:cs="Arial"/>
        </w:rPr>
        <w:t>An adjustment to be made by a</w:t>
      </w:r>
      <w:r w:rsidR="00D214B7" w:rsidRPr="00FB5561">
        <w:rPr>
          <w:rFonts w:cs="Arial"/>
        </w:rPr>
        <w:t>n insurance or superannuation provider</w:t>
      </w:r>
      <w:r w:rsidR="00F50663" w:rsidRPr="00FB5561">
        <w:rPr>
          <w:rFonts w:cs="Arial"/>
        </w:rPr>
        <w:t xml:space="preserve"> </w:t>
      </w:r>
      <w:r w:rsidR="000604CA" w:rsidRPr="00FB5561">
        <w:rPr>
          <w:rFonts w:cs="Arial"/>
        </w:rPr>
        <w:t xml:space="preserve">consistently with achieving </w:t>
      </w:r>
      <w:r w:rsidRPr="00FB5561">
        <w:rPr>
          <w:rFonts w:cs="Arial"/>
        </w:rPr>
        <w:t xml:space="preserve">this </w:t>
      </w:r>
      <w:r w:rsidR="000604CA" w:rsidRPr="00FB5561">
        <w:rPr>
          <w:rFonts w:cs="Arial"/>
        </w:rPr>
        <w:t>aim</w:t>
      </w:r>
      <w:r w:rsidRPr="00FB5561">
        <w:rPr>
          <w:rFonts w:cs="Arial"/>
        </w:rPr>
        <w:t xml:space="preserve"> </w:t>
      </w:r>
      <w:r w:rsidR="00F50663" w:rsidRPr="00FB5561">
        <w:rPr>
          <w:rFonts w:cs="Arial"/>
        </w:rPr>
        <w:t xml:space="preserve">is a reasonable adjustment unless making the adjustment would involve an unjustifiable hardship on the </w:t>
      </w:r>
      <w:r w:rsidR="00D214B7" w:rsidRPr="00FB5561">
        <w:rPr>
          <w:rFonts w:cs="Arial"/>
        </w:rPr>
        <w:t>provider</w:t>
      </w:r>
      <w:r w:rsidR="00F50663" w:rsidRPr="00FB5561">
        <w:rPr>
          <w:rFonts w:cs="Arial"/>
        </w:rPr>
        <w:t>.</w:t>
      </w:r>
      <w:r w:rsidR="002D3AD5" w:rsidRPr="00FB5561">
        <w:rPr>
          <w:rStyle w:val="EndnoteReference"/>
          <w:rFonts w:cs="Arial"/>
        </w:rPr>
        <w:endnoteReference w:id="10"/>
      </w:r>
      <w:r w:rsidR="000604CA" w:rsidRPr="00FB5561">
        <w:rPr>
          <w:rFonts w:cs="Arial"/>
        </w:rPr>
        <w:t xml:space="preserve"> </w:t>
      </w:r>
      <w:r w:rsidR="00F50663" w:rsidRPr="00FB5561">
        <w:rPr>
          <w:rFonts w:cs="Arial"/>
        </w:rPr>
        <w:t xml:space="preserve">The concept of unjustifiable hardship is discussed in more detail in section </w:t>
      </w:r>
      <w:r w:rsidR="00F50663" w:rsidRPr="00FB5561">
        <w:rPr>
          <w:rFonts w:cs="Arial"/>
        </w:rPr>
        <w:fldChar w:fldCharType="begin"/>
      </w:r>
      <w:r w:rsidR="00F50663" w:rsidRPr="00FB5561">
        <w:rPr>
          <w:rFonts w:cs="Arial"/>
        </w:rPr>
        <w:instrText xml:space="preserve"> REF _Ref462906420 \r \h </w:instrText>
      </w:r>
      <w:r w:rsidR="00F50663" w:rsidRPr="00FB5561">
        <w:rPr>
          <w:rFonts w:cs="Arial"/>
        </w:rPr>
      </w:r>
      <w:r w:rsidR="00F50663" w:rsidRPr="00FB5561">
        <w:rPr>
          <w:rFonts w:cs="Arial"/>
        </w:rPr>
        <w:fldChar w:fldCharType="separate"/>
      </w:r>
      <w:r w:rsidR="004C4C4E">
        <w:rPr>
          <w:rFonts w:cs="Arial"/>
        </w:rPr>
        <w:t>5</w:t>
      </w:r>
      <w:r w:rsidR="00F50663" w:rsidRPr="00FB5561">
        <w:rPr>
          <w:rFonts w:cs="Arial"/>
        </w:rPr>
        <w:fldChar w:fldCharType="end"/>
      </w:r>
      <w:r w:rsidR="00F50663" w:rsidRPr="00FB5561">
        <w:rPr>
          <w:rFonts w:cs="Arial"/>
        </w:rPr>
        <w:t xml:space="preserve"> below.</w:t>
      </w:r>
    </w:p>
    <w:p w14:paraId="54645CD0" w14:textId="6B2D99D4" w:rsidR="00A25FAC" w:rsidRPr="00FB5561" w:rsidRDefault="00A25FAC" w:rsidP="00CE1C87">
      <w:pPr>
        <w:autoSpaceDE w:val="0"/>
        <w:autoSpaceDN w:val="0"/>
        <w:adjustRightInd w:val="0"/>
        <w:spacing w:after="0"/>
        <w:rPr>
          <w:rFonts w:cs="Arial"/>
        </w:rPr>
      </w:pPr>
      <w:r w:rsidRPr="00FB5561">
        <w:rPr>
          <w:rFonts w:cs="Arial"/>
        </w:rPr>
        <w:t xml:space="preserve">Discrimination in insurance and superannuation happens at the time of the particular act complained of </w:t>
      </w:r>
      <w:r w:rsidR="0009760A" w:rsidRPr="00FB5561">
        <w:rPr>
          <w:rFonts w:cs="Arial"/>
        </w:rPr>
        <w:t xml:space="preserve">— </w:t>
      </w:r>
      <w:r w:rsidRPr="00FB5561">
        <w:rPr>
          <w:rFonts w:cs="Arial"/>
        </w:rPr>
        <w:t>which may be a refusal to provide cover</w:t>
      </w:r>
      <w:r w:rsidR="007125E6" w:rsidRPr="00FB5561">
        <w:rPr>
          <w:rFonts w:cs="Arial"/>
        </w:rPr>
        <w:t>,</w:t>
      </w:r>
      <w:r w:rsidR="00A53247" w:rsidRPr="00FB5561">
        <w:rPr>
          <w:rFonts w:cs="Arial"/>
        </w:rPr>
        <w:t xml:space="preserve"> an </w:t>
      </w:r>
      <w:r w:rsidR="00A53247" w:rsidRPr="00FB5561">
        <w:rPr>
          <w:rFonts w:eastAsia="Times New Roman" w:cs="Arial"/>
        </w:rPr>
        <w:t xml:space="preserve">offer of a policy on non-standard terms that are not reasonable </w:t>
      </w:r>
      <w:r w:rsidR="008C268A" w:rsidRPr="00FB5561">
        <w:rPr>
          <w:rFonts w:eastAsia="Times New Roman" w:cs="Arial"/>
        </w:rPr>
        <w:t>tak</w:t>
      </w:r>
      <w:r w:rsidR="007125E6" w:rsidRPr="00FB5561">
        <w:rPr>
          <w:rFonts w:eastAsia="Times New Roman" w:cs="Arial"/>
        </w:rPr>
        <w:t>ing</w:t>
      </w:r>
      <w:r w:rsidR="00A53247" w:rsidRPr="00FB5561">
        <w:rPr>
          <w:rFonts w:eastAsia="Times New Roman" w:cs="Arial"/>
        </w:rPr>
        <w:t xml:space="preserve"> into account the circumstances of the person</w:t>
      </w:r>
      <w:r w:rsidR="00A53247" w:rsidRPr="00FB5561">
        <w:rPr>
          <w:rFonts w:cs="Arial"/>
        </w:rPr>
        <w:t>,</w:t>
      </w:r>
      <w:r w:rsidRPr="00FB5561">
        <w:rPr>
          <w:rFonts w:cs="Arial"/>
        </w:rPr>
        <w:t xml:space="preserve"> </w:t>
      </w:r>
      <w:r w:rsidR="007125E6" w:rsidRPr="00FB5561">
        <w:rPr>
          <w:rFonts w:cs="Arial"/>
        </w:rPr>
        <w:t xml:space="preserve">or </w:t>
      </w:r>
      <w:r w:rsidRPr="00FB5561">
        <w:rPr>
          <w:rFonts w:cs="Arial"/>
        </w:rPr>
        <w:t>a subsequent refusal to pay a claim. The date of the insurance contract, insurance policy or superannuation policy will not necessarily be decisive. It will depend on the circumstances of each case.</w:t>
      </w:r>
      <w:bookmarkEnd w:id="7"/>
      <w:bookmarkEnd w:id="8"/>
    </w:p>
    <w:p w14:paraId="29497F7D" w14:textId="77777777" w:rsidR="007C3CFB" w:rsidRPr="00FB5561" w:rsidRDefault="00A25FAC" w:rsidP="00FB4427">
      <w:pPr>
        <w:rPr>
          <w:rFonts w:cs="Arial"/>
          <w:i/>
          <w:iCs/>
        </w:rPr>
      </w:pPr>
      <w:r w:rsidRPr="00FB5561">
        <w:rPr>
          <w:rFonts w:cs="Arial"/>
          <w:i/>
          <w:iCs/>
        </w:rPr>
        <w:t>For example</w:t>
      </w:r>
      <w:r w:rsidR="008C268A" w:rsidRPr="00FB5561">
        <w:rPr>
          <w:rFonts w:cs="Arial"/>
          <w:i/>
          <w:iCs/>
        </w:rPr>
        <w:t>, a</w:t>
      </w:r>
      <w:r w:rsidRPr="00FB5561">
        <w:rPr>
          <w:rFonts w:cs="Arial"/>
          <w:i/>
          <w:iCs/>
        </w:rPr>
        <w:t xml:space="preserve"> customer signed a cont</w:t>
      </w:r>
      <w:r w:rsidR="00237FF5" w:rsidRPr="00FB5561">
        <w:rPr>
          <w:rFonts w:cs="Arial"/>
          <w:i/>
          <w:iCs/>
        </w:rPr>
        <w:t>r</w:t>
      </w:r>
      <w:r w:rsidRPr="00FB5561">
        <w:rPr>
          <w:rFonts w:cs="Arial"/>
          <w:i/>
          <w:iCs/>
        </w:rPr>
        <w:t>act of insurance in 1990 containing a</w:t>
      </w:r>
      <w:r w:rsidR="004F7BA8" w:rsidRPr="00FB5561">
        <w:rPr>
          <w:rFonts w:cs="Arial"/>
          <w:i/>
          <w:iCs/>
        </w:rPr>
        <w:t>n</w:t>
      </w:r>
      <w:r w:rsidRPr="00FB5561">
        <w:rPr>
          <w:rFonts w:cs="Arial"/>
          <w:i/>
          <w:iCs/>
        </w:rPr>
        <w:t xml:space="preserve"> HIV/AIDS exclusion clause. If an insurer refuses a claim in 2004 on the basis of the exclusion, this refusal will be covered by the DDA even though the contract was signed before the DDA came into force.</w:t>
      </w:r>
    </w:p>
    <w:p w14:paraId="03ACB5C8" w14:textId="7AF5F028" w:rsidR="00B34946" w:rsidRPr="00FB5561" w:rsidRDefault="00A569CA" w:rsidP="0007787E">
      <w:pPr>
        <w:pStyle w:val="Heading1"/>
        <w:numPr>
          <w:ilvl w:val="0"/>
          <w:numId w:val="15"/>
        </w:numPr>
        <w:rPr>
          <w:rFonts w:cs="Arial"/>
        </w:rPr>
      </w:pPr>
      <w:bookmarkStart w:id="12" w:name="_Toc466973675"/>
      <w:bookmarkEnd w:id="9"/>
      <w:bookmarkEnd w:id="10"/>
      <w:bookmarkEnd w:id="11"/>
      <w:r w:rsidRPr="00FB5561">
        <w:rPr>
          <w:rFonts w:cs="Arial"/>
        </w:rPr>
        <w:lastRenderedPageBreak/>
        <w:t>Pa</w:t>
      </w:r>
      <w:r w:rsidR="00474084" w:rsidRPr="00FB5561">
        <w:rPr>
          <w:rFonts w:cs="Arial"/>
        </w:rPr>
        <w:t>rtial exemption for insurance and superannuation</w:t>
      </w:r>
      <w:bookmarkEnd w:id="12"/>
    </w:p>
    <w:p w14:paraId="13C66531" w14:textId="77777777" w:rsidR="000A1320" w:rsidRPr="00FB5561" w:rsidRDefault="000A1320" w:rsidP="000A1320">
      <w:pPr>
        <w:rPr>
          <w:rFonts w:cs="Arial"/>
        </w:rPr>
      </w:pPr>
      <w:r w:rsidRPr="00FB5561">
        <w:rPr>
          <w:rFonts w:cs="Arial"/>
        </w:rPr>
        <w:t>Section 46</w:t>
      </w:r>
      <w:r w:rsidR="00050C6B" w:rsidRPr="00FB5561">
        <w:rPr>
          <w:rFonts w:cs="Arial"/>
        </w:rPr>
        <w:t xml:space="preserve"> of the DDA</w:t>
      </w:r>
      <w:r w:rsidRPr="00FB5561">
        <w:rPr>
          <w:rFonts w:cs="Arial"/>
        </w:rPr>
        <w:t xml:space="preserve"> provides that discrimination</w:t>
      </w:r>
      <w:r w:rsidR="0005302A" w:rsidRPr="00FB5561">
        <w:rPr>
          <w:rFonts w:cs="Arial"/>
        </w:rPr>
        <w:t xml:space="preserve"> in </w:t>
      </w:r>
      <w:r w:rsidR="00FE4BF0" w:rsidRPr="00FB5561">
        <w:rPr>
          <w:rFonts w:cs="Arial"/>
        </w:rPr>
        <w:t>relation to provision of insurance or superannuation by either</w:t>
      </w:r>
      <w:r w:rsidR="0005302A" w:rsidRPr="00FB5561">
        <w:rPr>
          <w:rFonts w:cs="Arial"/>
        </w:rPr>
        <w:t xml:space="preserve"> refusing to offer</w:t>
      </w:r>
      <w:r w:rsidR="00FE4BF0" w:rsidRPr="00FB5561">
        <w:rPr>
          <w:rFonts w:cs="Arial"/>
        </w:rPr>
        <w:t xml:space="preserve"> a product</w:t>
      </w:r>
      <w:r w:rsidR="0005302A" w:rsidRPr="00FB5561">
        <w:rPr>
          <w:rFonts w:cs="Arial"/>
        </w:rPr>
        <w:t xml:space="preserve">, or in respect of the terms or conditions on which the </w:t>
      </w:r>
      <w:r w:rsidR="00FE4BF0" w:rsidRPr="00FB5561">
        <w:rPr>
          <w:rFonts w:cs="Arial"/>
        </w:rPr>
        <w:t xml:space="preserve">product </w:t>
      </w:r>
      <w:r w:rsidR="0005302A" w:rsidRPr="00FB5561">
        <w:rPr>
          <w:rFonts w:cs="Arial"/>
        </w:rPr>
        <w:t xml:space="preserve">is offered or may be obtained, </w:t>
      </w:r>
      <w:r w:rsidRPr="00FB5561">
        <w:rPr>
          <w:rFonts w:cs="Arial"/>
        </w:rPr>
        <w:t>is not unlawful if the discrimination:</w:t>
      </w:r>
    </w:p>
    <w:p w14:paraId="3D24D0BC" w14:textId="77777777" w:rsidR="00BA4216" w:rsidRPr="00FB5561" w:rsidRDefault="000A1320"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 xml:space="preserve">is based upon actuarial or statistical data on which it is reasonable to rely, and </w:t>
      </w:r>
      <w:r w:rsidR="004B0CFC" w:rsidRPr="00FB5561">
        <w:rPr>
          <w:rFonts w:cs="Arial"/>
        </w:rPr>
        <w:t xml:space="preserve">the discrimination </w:t>
      </w:r>
      <w:r w:rsidRPr="00FB5561">
        <w:rPr>
          <w:rFonts w:cs="Arial"/>
        </w:rPr>
        <w:t>is reasonable having regard to the matter of the data and other relevant factors</w:t>
      </w:r>
      <w:r w:rsidR="00BA4216" w:rsidRPr="00FB5561">
        <w:rPr>
          <w:rStyle w:val="EndnoteReference"/>
          <w:rFonts w:cs="Arial"/>
        </w:rPr>
        <w:endnoteReference w:id="11"/>
      </w:r>
      <w:r w:rsidR="00BA4216" w:rsidRPr="00FB5561">
        <w:rPr>
          <w:rFonts w:cs="Arial"/>
        </w:rPr>
        <w:t xml:space="preserve"> (the data limb) </w:t>
      </w:r>
    </w:p>
    <w:p w14:paraId="48687E29" w14:textId="77777777" w:rsidR="00BA4216" w:rsidRPr="00FB5561" w:rsidRDefault="00BA4216" w:rsidP="00023ACE">
      <w:pPr>
        <w:pStyle w:val="SubmissionNormal"/>
        <w:numPr>
          <w:ilvl w:val="0"/>
          <w:numId w:val="0"/>
        </w:numPr>
        <w:spacing w:before="0" w:after="120"/>
        <w:ind w:left="284"/>
        <w:rPr>
          <w:rFonts w:cs="Arial"/>
        </w:rPr>
      </w:pPr>
      <w:r w:rsidRPr="00FB5561">
        <w:rPr>
          <w:rFonts w:cs="Arial"/>
          <w:b/>
        </w:rPr>
        <w:t>or</w:t>
      </w:r>
    </w:p>
    <w:p w14:paraId="6BBCB7C5" w14:textId="77777777" w:rsidR="00B34946" w:rsidRPr="00FB5561" w:rsidRDefault="00BA4216"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 xml:space="preserve">in a case where no such actuarial or statistical data is available and cannot reasonably be obtained </w:t>
      </w:r>
      <w:r w:rsidR="007868AB" w:rsidRPr="00FB5561">
        <w:rPr>
          <w:rFonts w:cs="Arial"/>
        </w:rPr>
        <w:t>—</w:t>
      </w:r>
      <w:r w:rsidRPr="00FB5561">
        <w:rPr>
          <w:rFonts w:cs="Arial"/>
        </w:rPr>
        <w:t xml:space="preserve"> the discrimination is reasonable having regard to any other relevant factors</w:t>
      </w:r>
      <w:r w:rsidRPr="00FB5561">
        <w:rPr>
          <w:rStyle w:val="EndnoteReference"/>
          <w:rFonts w:cs="Arial"/>
        </w:rPr>
        <w:endnoteReference w:id="12"/>
      </w:r>
      <w:r w:rsidRPr="00FB5561">
        <w:rPr>
          <w:rFonts w:cs="Arial"/>
        </w:rPr>
        <w:t xml:space="preserve"> </w:t>
      </w:r>
      <w:r w:rsidR="00BE0896" w:rsidRPr="00FB5561">
        <w:rPr>
          <w:rFonts w:cs="Arial"/>
        </w:rPr>
        <w:t>(the no data limb</w:t>
      </w:r>
      <w:r w:rsidR="00C537D5" w:rsidRPr="00FB5561">
        <w:rPr>
          <w:rFonts w:cs="Arial"/>
        </w:rPr>
        <w:t>)</w:t>
      </w:r>
      <w:r w:rsidR="0046385B" w:rsidRPr="00FB5561">
        <w:rPr>
          <w:rFonts w:cs="Arial"/>
        </w:rPr>
        <w:t>.</w:t>
      </w:r>
      <w:r w:rsidR="000A1320" w:rsidRPr="00FB5561">
        <w:rPr>
          <w:rFonts w:cs="Arial"/>
        </w:rPr>
        <w:t xml:space="preserve"> </w:t>
      </w:r>
    </w:p>
    <w:p w14:paraId="41E2E858" w14:textId="77777777" w:rsidR="0046385B" w:rsidRPr="00FB5561" w:rsidRDefault="0046385B" w:rsidP="00337194">
      <w:pPr>
        <w:autoSpaceDE w:val="0"/>
        <w:autoSpaceDN w:val="0"/>
        <w:adjustRightInd w:val="0"/>
        <w:rPr>
          <w:rFonts w:cs="Arial"/>
        </w:rPr>
      </w:pPr>
      <w:r w:rsidRPr="00FB5561">
        <w:rPr>
          <w:rFonts w:cs="Arial"/>
        </w:rPr>
        <w:t>An insurance or superannuation provider who seeks to rely on the s 46 exemption to establish the discrimination is lawful must be able to show that the requirements of either the data limb or the no data limb have been met.</w:t>
      </w:r>
    </w:p>
    <w:p w14:paraId="38F84179" w14:textId="405F6DB7" w:rsidR="00E77FF4" w:rsidRPr="00FB5561" w:rsidRDefault="0046385B" w:rsidP="00337194">
      <w:pPr>
        <w:autoSpaceDE w:val="0"/>
        <w:autoSpaceDN w:val="0"/>
        <w:adjustRightInd w:val="0"/>
        <w:rPr>
          <w:rFonts w:eastAsia="Times New Roman" w:cs="Arial"/>
        </w:rPr>
      </w:pPr>
      <w:r w:rsidRPr="00FB5561">
        <w:rPr>
          <w:rFonts w:cs="Arial"/>
        </w:rPr>
        <w:t>Howeve</w:t>
      </w:r>
      <w:r w:rsidR="00645367" w:rsidRPr="00FB5561">
        <w:rPr>
          <w:rFonts w:cs="Arial"/>
        </w:rPr>
        <w:t xml:space="preserve">r, these limbs are sequential. </w:t>
      </w:r>
      <w:r w:rsidRPr="00FB5561">
        <w:rPr>
          <w:rFonts w:cs="Arial"/>
        </w:rPr>
        <w:t>The data limb must be considered before the no data limb.</w:t>
      </w:r>
      <w:r w:rsidR="00232B30" w:rsidRPr="00FB5561">
        <w:rPr>
          <w:rStyle w:val="EndnoteReference"/>
          <w:rFonts w:cs="Arial"/>
        </w:rPr>
        <w:endnoteReference w:id="13"/>
      </w:r>
      <w:r w:rsidRPr="00FB5561">
        <w:rPr>
          <w:rFonts w:cs="Arial"/>
        </w:rPr>
        <w:t xml:space="preserve"> </w:t>
      </w:r>
      <w:r w:rsidRPr="00FB5561">
        <w:rPr>
          <w:rFonts w:eastAsia="Times New Roman" w:cs="Arial"/>
        </w:rPr>
        <w:t>A</w:t>
      </w:r>
      <w:r w:rsidR="00502243" w:rsidRPr="00FB5561">
        <w:rPr>
          <w:rFonts w:eastAsia="Times New Roman" w:cs="Arial"/>
        </w:rPr>
        <w:t>n insu</w:t>
      </w:r>
      <w:r w:rsidR="00337194" w:rsidRPr="00FB5561">
        <w:rPr>
          <w:rFonts w:eastAsia="Times New Roman" w:cs="Arial"/>
        </w:rPr>
        <w:t>re</w:t>
      </w:r>
      <w:r w:rsidR="00502243" w:rsidRPr="00FB5561">
        <w:rPr>
          <w:rFonts w:eastAsia="Times New Roman" w:cs="Arial"/>
        </w:rPr>
        <w:t>r</w:t>
      </w:r>
      <w:r w:rsidR="00337194" w:rsidRPr="00FB5561">
        <w:rPr>
          <w:rFonts w:eastAsia="Times New Roman" w:cs="Arial"/>
        </w:rPr>
        <w:t xml:space="preserve"> or superannuation </w:t>
      </w:r>
      <w:r w:rsidR="00B85541" w:rsidRPr="00FB5561">
        <w:rPr>
          <w:rFonts w:eastAsia="Times New Roman" w:cs="Arial"/>
        </w:rPr>
        <w:t xml:space="preserve">provider </w:t>
      </w:r>
      <w:r w:rsidR="00A905EB" w:rsidRPr="00FB5561">
        <w:rPr>
          <w:rFonts w:eastAsia="Times New Roman" w:cs="Arial"/>
        </w:rPr>
        <w:t>cannot cho</w:t>
      </w:r>
      <w:r w:rsidR="0009760A" w:rsidRPr="00FB5561">
        <w:rPr>
          <w:rFonts w:eastAsia="Times New Roman" w:cs="Arial"/>
        </w:rPr>
        <w:t>o</w:t>
      </w:r>
      <w:r w:rsidR="00A905EB" w:rsidRPr="00FB5561">
        <w:rPr>
          <w:rFonts w:eastAsia="Times New Roman" w:cs="Arial"/>
        </w:rPr>
        <w:t>se to argue that the</w:t>
      </w:r>
      <w:r w:rsidR="00C537D5" w:rsidRPr="00FB5561">
        <w:rPr>
          <w:rFonts w:eastAsia="Times New Roman" w:cs="Arial"/>
        </w:rPr>
        <w:t xml:space="preserve"> </w:t>
      </w:r>
      <w:r w:rsidR="00A905EB" w:rsidRPr="00FB5561">
        <w:rPr>
          <w:rFonts w:eastAsia="Times New Roman" w:cs="Arial"/>
        </w:rPr>
        <w:t>‘</w:t>
      </w:r>
      <w:r w:rsidR="00BE0896" w:rsidRPr="00FB5561">
        <w:rPr>
          <w:rFonts w:eastAsia="Times New Roman" w:cs="Arial"/>
        </w:rPr>
        <w:t>no data limb’ of the exemption</w:t>
      </w:r>
      <w:r w:rsidR="00C537D5" w:rsidRPr="00FB5561">
        <w:rPr>
          <w:rFonts w:eastAsia="Times New Roman" w:cs="Arial"/>
        </w:rPr>
        <w:t xml:space="preserve"> </w:t>
      </w:r>
      <w:r w:rsidR="00281C46" w:rsidRPr="00FB5561">
        <w:rPr>
          <w:rFonts w:eastAsia="Times New Roman" w:cs="Arial"/>
        </w:rPr>
        <w:t xml:space="preserve">applies </w:t>
      </w:r>
      <w:r w:rsidR="00C537D5" w:rsidRPr="00FB5561">
        <w:rPr>
          <w:rFonts w:eastAsia="Times New Roman" w:cs="Arial"/>
        </w:rPr>
        <w:t xml:space="preserve">if </w:t>
      </w:r>
      <w:r w:rsidR="00645367" w:rsidRPr="00FB5561">
        <w:rPr>
          <w:rFonts w:eastAsia="Times New Roman" w:cs="Arial"/>
        </w:rPr>
        <w:t xml:space="preserve">data </w:t>
      </w:r>
      <w:r w:rsidR="00C537D5" w:rsidRPr="00FB5561">
        <w:rPr>
          <w:rFonts w:eastAsia="Times New Roman" w:cs="Arial"/>
        </w:rPr>
        <w:t>is</w:t>
      </w:r>
      <w:r w:rsidR="00502243" w:rsidRPr="00FB5561">
        <w:rPr>
          <w:rFonts w:eastAsia="Times New Roman" w:cs="Arial"/>
        </w:rPr>
        <w:t xml:space="preserve"> available or reasonably obtainable which meets the requirements </w:t>
      </w:r>
      <w:r w:rsidR="00BE0896" w:rsidRPr="00FB5561">
        <w:rPr>
          <w:rFonts w:eastAsia="Times New Roman" w:cs="Arial"/>
        </w:rPr>
        <w:t>of the data limb</w:t>
      </w:r>
      <w:r w:rsidR="00337194" w:rsidRPr="00FB5561">
        <w:rPr>
          <w:rFonts w:eastAsia="Times New Roman" w:cs="Arial"/>
        </w:rPr>
        <w:t>.</w:t>
      </w:r>
      <w:r w:rsidR="00E77FF4" w:rsidRPr="00FB5561">
        <w:rPr>
          <w:rStyle w:val="EndnoteReference"/>
          <w:rFonts w:eastAsia="Times New Roman" w:cs="Arial"/>
        </w:rPr>
        <w:endnoteReference w:id="14"/>
      </w:r>
      <w:r w:rsidR="00E77FF4" w:rsidRPr="00FB5561">
        <w:rPr>
          <w:rFonts w:eastAsia="Times New Roman" w:cs="Arial"/>
        </w:rPr>
        <w:t xml:space="preserve"> If such data is available, an insurer </w:t>
      </w:r>
      <w:r w:rsidR="00B85541" w:rsidRPr="00FB5561">
        <w:rPr>
          <w:rFonts w:eastAsia="Times New Roman" w:cs="Arial"/>
        </w:rPr>
        <w:t xml:space="preserve">or superannuation provider </w:t>
      </w:r>
      <w:r w:rsidR="00E77FF4" w:rsidRPr="00FB5561">
        <w:rPr>
          <w:rFonts w:eastAsia="Times New Roman" w:cs="Arial"/>
        </w:rPr>
        <w:t>cannot ignore it.</w:t>
      </w:r>
      <w:r w:rsidR="00E77FF4" w:rsidRPr="00FB5561">
        <w:rPr>
          <w:rStyle w:val="EndnoteReference"/>
          <w:rFonts w:eastAsia="Times New Roman" w:cs="Arial"/>
        </w:rPr>
        <w:endnoteReference w:id="15"/>
      </w:r>
    </w:p>
    <w:p w14:paraId="26F4A011" w14:textId="22424CC8" w:rsidR="008A2A3A" w:rsidRPr="00FB5561" w:rsidRDefault="00232B30" w:rsidP="008A2A3A">
      <w:pPr>
        <w:spacing w:before="100" w:beforeAutospacing="1" w:after="100" w:afterAutospacing="1"/>
        <w:rPr>
          <w:rFonts w:cs="Arial"/>
        </w:rPr>
      </w:pPr>
      <w:r w:rsidRPr="00FB5561">
        <w:rPr>
          <w:rFonts w:cs="Arial"/>
        </w:rPr>
        <w:t>R</w:t>
      </w:r>
      <w:r w:rsidR="000B083C" w:rsidRPr="00FB5561">
        <w:rPr>
          <w:rFonts w:cs="Arial"/>
        </w:rPr>
        <w:t xml:space="preserve">eliance on the s 46 exemption </w:t>
      </w:r>
      <w:r w:rsidR="002C366B" w:rsidRPr="00FB5561">
        <w:rPr>
          <w:rFonts w:cs="Arial"/>
        </w:rPr>
        <w:t>involve</w:t>
      </w:r>
      <w:r w:rsidRPr="00FB5561">
        <w:rPr>
          <w:rFonts w:cs="Arial"/>
        </w:rPr>
        <w:t>s</w:t>
      </w:r>
      <w:r w:rsidR="00734B0C" w:rsidRPr="00FB5561">
        <w:rPr>
          <w:rFonts w:cs="Arial"/>
        </w:rPr>
        <w:t xml:space="preserve"> considering each of the </w:t>
      </w:r>
      <w:r w:rsidR="008A2A3A" w:rsidRPr="00FB5561">
        <w:rPr>
          <w:rFonts w:cs="Arial"/>
        </w:rPr>
        <w:t>following questions in turn</w:t>
      </w:r>
      <w:r w:rsidR="00375883" w:rsidRPr="00FB5561">
        <w:rPr>
          <w:rFonts w:cs="Arial"/>
        </w:rPr>
        <w:t>, set out below and in the flow chart on p 8:</w:t>
      </w:r>
      <w:r w:rsidR="008A2A3A" w:rsidRPr="00FB5561">
        <w:rPr>
          <w:rStyle w:val="EndnoteReference"/>
          <w:rFonts w:cs="Arial"/>
        </w:rPr>
        <w:endnoteReference w:id="16"/>
      </w:r>
      <w:r w:rsidR="008A2A3A" w:rsidRPr="00FB5561">
        <w:rPr>
          <w:rFonts w:cs="Arial"/>
        </w:rPr>
        <w:t xml:space="preserve"> </w:t>
      </w:r>
    </w:p>
    <w:p w14:paraId="11AD6F3D" w14:textId="77777777" w:rsidR="008A2A3A" w:rsidRPr="00FB5561" w:rsidRDefault="008A2A3A" w:rsidP="008A2A3A">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Did you base your decision to discriminate on actuarial or statistical data?</w:t>
      </w:r>
    </w:p>
    <w:p w14:paraId="45914071" w14:textId="77777777" w:rsidR="008A2A3A" w:rsidRPr="00FB5561" w:rsidRDefault="008A2A3A" w:rsidP="008A2A3A">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If so:</w:t>
      </w:r>
    </w:p>
    <w:p w14:paraId="7061FB40" w14:textId="77777777" w:rsidR="008A2A3A"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is it objectively reasonable for you to rely on that data?</w:t>
      </w:r>
    </w:p>
    <w:p w14:paraId="79F0BC09" w14:textId="77777777" w:rsidR="008A2A3A" w:rsidRPr="00FB5561" w:rsidRDefault="008A2A3A" w:rsidP="008A2A3A">
      <w:pPr>
        <w:pStyle w:val="ListParagraph"/>
        <w:spacing w:before="120"/>
        <w:ind w:left="1800"/>
        <w:rPr>
          <w:rFonts w:ascii="Arial" w:hAnsi="Arial" w:cs="Arial"/>
          <w:sz w:val="24"/>
          <w:szCs w:val="24"/>
        </w:rPr>
      </w:pPr>
      <w:r w:rsidRPr="00FB5561">
        <w:rPr>
          <w:rFonts w:ascii="Arial" w:hAnsi="Arial" w:cs="Arial"/>
          <w:sz w:val="24"/>
          <w:szCs w:val="24"/>
        </w:rPr>
        <w:t>In considering whether it is reasonable to rely on actuarial or statistical data, you should take into account whether:</w:t>
      </w:r>
    </w:p>
    <w:p w14:paraId="236A93CA" w14:textId="77777777" w:rsidR="008A2A3A" w:rsidRPr="00FB5561" w:rsidRDefault="008A2A3A" w:rsidP="008A2A3A">
      <w:pPr>
        <w:pStyle w:val="ListParagraph"/>
        <w:numPr>
          <w:ilvl w:val="2"/>
          <w:numId w:val="17"/>
        </w:numPr>
        <w:spacing w:before="120"/>
        <w:rPr>
          <w:rFonts w:ascii="Arial" w:hAnsi="Arial" w:cs="Arial"/>
          <w:sz w:val="24"/>
          <w:szCs w:val="24"/>
        </w:rPr>
      </w:pPr>
      <w:r w:rsidRPr="00FB5561">
        <w:rPr>
          <w:rFonts w:ascii="Arial" w:hAnsi="Arial" w:cs="Arial"/>
          <w:sz w:val="24"/>
          <w:szCs w:val="24"/>
        </w:rPr>
        <w:t>the data is applicable to the particular decision in question;</w:t>
      </w:r>
    </w:p>
    <w:p w14:paraId="4AB48339" w14:textId="77777777" w:rsidR="008A2A3A" w:rsidRPr="00FB5561" w:rsidRDefault="008A2A3A" w:rsidP="008A2A3A">
      <w:pPr>
        <w:pStyle w:val="ListParagraph"/>
        <w:numPr>
          <w:ilvl w:val="2"/>
          <w:numId w:val="17"/>
        </w:numPr>
        <w:spacing w:before="120"/>
        <w:rPr>
          <w:rFonts w:ascii="Arial" w:hAnsi="Arial" w:cs="Arial"/>
          <w:sz w:val="24"/>
          <w:szCs w:val="24"/>
        </w:rPr>
      </w:pPr>
      <w:r w:rsidRPr="00FB5561">
        <w:rPr>
          <w:rFonts w:ascii="Arial" w:hAnsi="Arial" w:cs="Arial"/>
          <w:sz w:val="24"/>
          <w:szCs w:val="24"/>
        </w:rPr>
        <w:t>the data is subject to any qualifications;</w:t>
      </w:r>
    </w:p>
    <w:p w14:paraId="0A1B0F8E" w14:textId="77777777" w:rsidR="008A2A3A" w:rsidRPr="00FB5561" w:rsidRDefault="008A2A3A" w:rsidP="008A2A3A">
      <w:pPr>
        <w:pStyle w:val="ListParagraph"/>
        <w:numPr>
          <w:ilvl w:val="2"/>
          <w:numId w:val="17"/>
        </w:numPr>
        <w:spacing w:before="120"/>
        <w:rPr>
          <w:rFonts w:ascii="Arial" w:hAnsi="Arial" w:cs="Arial"/>
          <w:sz w:val="24"/>
          <w:szCs w:val="24"/>
        </w:rPr>
      </w:pPr>
      <w:r w:rsidRPr="00FB5561">
        <w:rPr>
          <w:rFonts w:ascii="Arial" w:hAnsi="Arial" w:cs="Arial"/>
          <w:sz w:val="24"/>
          <w:szCs w:val="24"/>
        </w:rPr>
        <w:t>there is a sufficient sample for reliable use;</w:t>
      </w:r>
    </w:p>
    <w:p w14:paraId="4B307900" w14:textId="77777777" w:rsidR="008A2A3A" w:rsidRPr="00FB5561" w:rsidRDefault="008A2A3A" w:rsidP="008A2A3A">
      <w:pPr>
        <w:pStyle w:val="ListParagraph"/>
        <w:numPr>
          <w:ilvl w:val="2"/>
          <w:numId w:val="17"/>
        </w:numPr>
        <w:spacing w:before="120"/>
        <w:rPr>
          <w:rFonts w:ascii="Arial" w:hAnsi="Arial" w:cs="Arial"/>
          <w:sz w:val="24"/>
          <w:szCs w:val="24"/>
        </w:rPr>
      </w:pPr>
      <w:r w:rsidRPr="00FB5561">
        <w:rPr>
          <w:rFonts w:ascii="Arial" w:hAnsi="Arial" w:cs="Arial"/>
          <w:sz w:val="24"/>
          <w:szCs w:val="24"/>
        </w:rPr>
        <w:t>the data is complete;</w:t>
      </w:r>
    </w:p>
    <w:p w14:paraId="1D9EDA9B" w14:textId="77777777" w:rsidR="008A2A3A" w:rsidRPr="00FB5561" w:rsidRDefault="008A2A3A" w:rsidP="008A2A3A">
      <w:pPr>
        <w:pStyle w:val="ListParagraph"/>
        <w:numPr>
          <w:ilvl w:val="2"/>
          <w:numId w:val="17"/>
        </w:numPr>
        <w:spacing w:before="120"/>
        <w:rPr>
          <w:rFonts w:ascii="Arial" w:hAnsi="Arial" w:cs="Arial"/>
          <w:sz w:val="24"/>
          <w:szCs w:val="24"/>
        </w:rPr>
      </w:pPr>
      <w:r w:rsidRPr="00FB5561">
        <w:rPr>
          <w:rFonts w:ascii="Arial" w:hAnsi="Arial" w:cs="Arial"/>
          <w:sz w:val="24"/>
          <w:szCs w:val="24"/>
        </w:rPr>
        <w:t>the data is up to date;</w:t>
      </w:r>
    </w:p>
    <w:p w14:paraId="72352B78" w14:textId="77777777" w:rsidR="008A2A3A" w:rsidRPr="00FB5561" w:rsidRDefault="008A2A3A" w:rsidP="008A2A3A">
      <w:pPr>
        <w:pStyle w:val="ListParagraph"/>
        <w:numPr>
          <w:ilvl w:val="2"/>
          <w:numId w:val="17"/>
        </w:numPr>
        <w:spacing w:before="120"/>
        <w:rPr>
          <w:rFonts w:ascii="Arial" w:hAnsi="Arial" w:cs="Arial"/>
          <w:sz w:val="24"/>
          <w:szCs w:val="24"/>
        </w:rPr>
      </w:pPr>
      <w:r w:rsidRPr="00FB5561">
        <w:rPr>
          <w:rFonts w:ascii="Arial" w:hAnsi="Arial" w:cs="Arial"/>
          <w:sz w:val="24"/>
          <w:szCs w:val="24"/>
        </w:rPr>
        <w:t>the use of the data set has been discredited;</w:t>
      </w:r>
    </w:p>
    <w:p w14:paraId="7CD19F83" w14:textId="77777777" w:rsidR="008A2A3A" w:rsidRPr="00FB5561" w:rsidRDefault="008A2A3A" w:rsidP="008A2A3A">
      <w:pPr>
        <w:spacing w:before="120" w:after="120"/>
        <w:ind w:left="1440"/>
        <w:rPr>
          <w:rFonts w:cs="Arial"/>
          <w:b/>
        </w:rPr>
      </w:pPr>
      <w:r w:rsidRPr="00FB5561">
        <w:rPr>
          <w:rFonts w:cs="Arial"/>
          <w:b/>
        </w:rPr>
        <w:t>and</w:t>
      </w:r>
    </w:p>
    <w:p w14:paraId="10E16DC9" w14:textId="77777777" w:rsidR="008A2A3A"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 xml:space="preserve">is the discrimination objectively reasonable having regard to this data and other relevant factors of which you are aware (or ought to be aware)? </w:t>
      </w:r>
    </w:p>
    <w:p w14:paraId="333D81FA" w14:textId="77777777" w:rsidR="008A2A3A" w:rsidRPr="00FB5561" w:rsidRDefault="008A2A3A" w:rsidP="008A2A3A">
      <w:pPr>
        <w:spacing w:before="120"/>
        <w:ind w:left="1080"/>
        <w:rPr>
          <w:rFonts w:cs="Arial"/>
        </w:rPr>
      </w:pPr>
      <w:r w:rsidRPr="00FB5561">
        <w:rPr>
          <w:rFonts w:cs="Arial"/>
        </w:rPr>
        <w:lastRenderedPageBreak/>
        <w:t>If the answer to both of these questions is ‘yes’, then the ‘data limb’ of s 46 applies.  Ensure that the document recording the relevant decision refers to the data relied upon.</w:t>
      </w:r>
    </w:p>
    <w:p w14:paraId="59B01202" w14:textId="77777777" w:rsidR="008A2A3A" w:rsidRPr="00FB5561" w:rsidRDefault="008A2A3A" w:rsidP="008A2A3A">
      <w:pPr>
        <w:spacing w:before="120"/>
        <w:ind w:left="1080"/>
        <w:rPr>
          <w:rFonts w:cs="Arial"/>
        </w:rPr>
      </w:pPr>
      <w:r w:rsidRPr="00FB5561">
        <w:rPr>
          <w:rFonts w:cs="Arial"/>
        </w:rPr>
        <w:t>If the answer to either of these questions is ‘no’, then the exemption in s 46 does not apply.</w:t>
      </w:r>
    </w:p>
    <w:p w14:paraId="52AFCDC9" w14:textId="77777777" w:rsidR="008A2A3A" w:rsidRPr="00FB5561" w:rsidRDefault="008A2A3A" w:rsidP="008A2A3A">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If you did not base your decision on relevant actuarial or statistical data, is such data available or could it reasonably be obtained?</w:t>
      </w:r>
    </w:p>
    <w:p w14:paraId="3D7689E9" w14:textId="77777777" w:rsidR="008A2A3A" w:rsidRPr="00FB5561" w:rsidRDefault="008A2A3A" w:rsidP="008A2A3A">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If so, the ‘no data limb’ is not available and the exemption in s 46 does not apply:</w:t>
      </w:r>
    </w:p>
    <w:p w14:paraId="07958D15" w14:textId="77777777" w:rsidR="008A2A3A"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That is, if relevant data is available or could reasonably be obtained, it must not be ignored. Any disability discrimination in relation to superannuation or insurance should be based on relevant actuarial or statistical data where it is available or could reasonably be obtained.</w:t>
      </w:r>
    </w:p>
    <w:p w14:paraId="0F522584" w14:textId="77777777" w:rsidR="008A2A3A"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 xml:space="preserve">It is therefore prudent for insurance and superannuation providers to obtain relevant data where they intend to discriminate on the basis of particular disabilities. If they do not obtain such data, but a court later finds that they could reasonably have done so, then they will not be able to rely on the ‘no data limb’. </w:t>
      </w:r>
    </w:p>
    <w:p w14:paraId="5D75E5FC" w14:textId="77777777" w:rsidR="008A2A3A" w:rsidRPr="00FB5561" w:rsidRDefault="008A2A3A" w:rsidP="008A2A3A">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If not, the ‘no data limb’ is potentially available.</w:t>
      </w:r>
    </w:p>
    <w:p w14:paraId="0F04D4C2" w14:textId="64884AFA" w:rsidR="008A2A3A" w:rsidRPr="00FB5561" w:rsidRDefault="008A2A3A" w:rsidP="008A2A3A">
      <w:pPr>
        <w:pStyle w:val="ListParagraph"/>
        <w:numPr>
          <w:ilvl w:val="0"/>
          <w:numId w:val="17"/>
        </w:numPr>
        <w:spacing w:before="120"/>
        <w:ind w:hanging="284"/>
        <w:rPr>
          <w:rFonts w:ascii="Arial" w:hAnsi="Arial" w:cs="Arial"/>
          <w:sz w:val="24"/>
          <w:szCs w:val="24"/>
        </w:rPr>
      </w:pPr>
      <w:r w:rsidRPr="00FB5561">
        <w:rPr>
          <w:rFonts w:ascii="Arial" w:hAnsi="Arial" w:cs="Arial"/>
          <w:sz w:val="24"/>
          <w:szCs w:val="24"/>
        </w:rPr>
        <w:t>In cases where there is no data, is the discrimination objectively reasonabl</w:t>
      </w:r>
      <w:r w:rsidR="00097593">
        <w:rPr>
          <w:rFonts w:ascii="Arial" w:hAnsi="Arial" w:cs="Arial"/>
          <w:sz w:val="24"/>
          <w:szCs w:val="24"/>
        </w:rPr>
        <w:t>e</w:t>
      </w:r>
      <w:r w:rsidRPr="00FB5561">
        <w:rPr>
          <w:rFonts w:ascii="Arial" w:hAnsi="Arial" w:cs="Arial"/>
          <w:sz w:val="24"/>
          <w:szCs w:val="24"/>
        </w:rPr>
        <w:t xml:space="preserve"> having regard to other relevant factors?</w:t>
      </w:r>
    </w:p>
    <w:p w14:paraId="4762D2A5" w14:textId="77777777" w:rsidR="008A2A3A" w:rsidRPr="00FB5561" w:rsidRDefault="008A2A3A" w:rsidP="008A2A3A">
      <w:pPr>
        <w:pStyle w:val="ListParagraph"/>
        <w:spacing w:before="120"/>
        <w:ind w:left="1080"/>
        <w:rPr>
          <w:rFonts w:ascii="Arial" w:hAnsi="Arial" w:cs="Arial"/>
          <w:sz w:val="24"/>
          <w:szCs w:val="24"/>
        </w:rPr>
      </w:pPr>
      <w:r w:rsidRPr="00FB5561">
        <w:rPr>
          <w:rFonts w:ascii="Arial" w:hAnsi="Arial" w:cs="Arial"/>
          <w:sz w:val="24"/>
          <w:szCs w:val="24"/>
        </w:rPr>
        <w:t>Those factors should include:</w:t>
      </w:r>
    </w:p>
    <w:p w14:paraId="3537D850" w14:textId="77777777" w:rsidR="008A2A3A"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practical and business considerations</w:t>
      </w:r>
    </w:p>
    <w:p w14:paraId="3A723CC5" w14:textId="77777777" w:rsidR="008A2A3A"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whether less discriminatory options were available</w:t>
      </w:r>
    </w:p>
    <w:p w14:paraId="4B9224E3" w14:textId="77777777" w:rsidR="008A2A3A"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the individual’s particular circumstances</w:t>
      </w:r>
    </w:p>
    <w:p w14:paraId="409DF1B4" w14:textId="77777777" w:rsidR="003557F0" w:rsidRPr="00FB5561" w:rsidRDefault="008A2A3A" w:rsidP="008A2A3A">
      <w:pPr>
        <w:pStyle w:val="ListParagraph"/>
        <w:numPr>
          <w:ilvl w:val="1"/>
          <w:numId w:val="17"/>
        </w:numPr>
        <w:spacing w:before="120"/>
        <w:rPr>
          <w:rFonts w:ascii="Arial" w:hAnsi="Arial" w:cs="Arial"/>
          <w:sz w:val="24"/>
          <w:szCs w:val="24"/>
        </w:rPr>
      </w:pPr>
      <w:r w:rsidRPr="00FB5561">
        <w:rPr>
          <w:rFonts w:ascii="Arial" w:hAnsi="Arial" w:cs="Arial"/>
          <w:sz w:val="24"/>
          <w:szCs w:val="24"/>
        </w:rPr>
        <w:t>the objects of the DDA, especially the object of eliminating disability discrimination as far as possible</w:t>
      </w:r>
    </w:p>
    <w:p w14:paraId="09BA12FF" w14:textId="5BB14D1C" w:rsidR="008A2A3A" w:rsidRPr="00FB5561" w:rsidRDefault="003557F0" w:rsidP="003557F0">
      <w:pPr>
        <w:pStyle w:val="ListParagraph"/>
        <w:numPr>
          <w:ilvl w:val="1"/>
          <w:numId w:val="17"/>
        </w:numPr>
        <w:spacing w:before="120"/>
        <w:rPr>
          <w:rFonts w:ascii="Arial" w:hAnsi="Arial" w:cs="Arial"/>
          <w:sz w:val="24"/>
          <w:szCs w:val="24"/>
        </w:rPr>
      </w:pPr>
      <w:r w:rsidRPr="00FB5561">
        <w:rPr>
          <w:rFonts w:ascii="Arial" w:hAnsi="Arial" w:cs="Arial"/>
          <w:sz w:val="24"/>
          <w:szCs w:val="24"/>
        </w:rPr>
        <w:t>all other relevant factors of the particular case</w:t>
      </w:r>
      <w:r w:rsidR="008A2A3A" w:rsidRPr="00FB5561">
        <w:rPr>
          <w:rFonts w:ascii="Arial" w:hAnsi="Arial" w:cs="Arial"/>
          <w:sz w:val="24"/>
          <w:szCs w:val="24"/>
        </w:rPr>
        <w:t>.</w:t>
      </w:r>
    </w:p>
    <w:p w14:paraId="42776580" w14:textId="4EB44159" w:rsidR="0061568A" w:rsidRPr="00FB5561" w:rsidRDefault="0061568A" w:rsidP="00734B0C">
      <w:pPr>
        <w:spacing w:before="100" w:beforeAutospacing="1" w:after="100" w:afterAutospacing="1"/>
        <w:rPr>
          <w:rFonts w:cs="Arial"/>
        </w:rPr>
      </w:pPr>
    </w:p>
    <w:p w14:paraId="797DC76C" w14:textId="77777777" w:rsidR="008A2A3A" w:rsidRPr="00FB5561" w:rsidRDefault="008A2A3A" w:rsidP="00734B0C">
      <w:pPr>
        <w:spacing w:before="100" w:beforeAutospacing="1" w:after="100" w:afterAutospacing="1"/>
        <w:rPr>
          <w:rFonts w:cs="Arial"/>
        </w:rPr>
      </w:pPr>
    </w:p>
    <w:p w14:paraId="695877F6" w14:textId="77777777" w:rsidR="0061568A" w:rsidRPr="00FB5561" w:rsidRDefault="0061568A" w:rsidP="00734B0C">
      <w:pPr>
        <w:spacing w:before="100" w:beforeAutospacing="1" w:after="100" w:afterAutospacing="1"/>
        <w:rPr>
          <w:rFonts w:cs="Arial"/>
        </w:rPr>
      </w:pPr>
    </w:p>
    <w:p w14:paraId="01FF10C8" w14:textId="77777777" w:rsidR="0061568A" w:rsidRPr="00FB5561" w:rsidRDefault="0061568A" w:rsidP="00734B0C">
      <w:pPr>
        <w:spacing w:before="100" w:beforeAutospacing="1" w:after="100" w:afterAutospacing="1"/>
        <w:rPr>
          <w:rFonts w:cs="Arial"/>
        </w:rPr>
      </w:pPr>
    </w:p>
    <w:p w14:paraId="31337829" w14:textId="77777777" w:rsidR="0061568A" w:rsidRPr="00FB5561" w:rsidRDefault="0061568A" w:rsidP="00734B0C">
      <w:pPr>
        <w:spacing w:before="100" w:beforeAutospacing="1" w:after="100" w:afterAutospacing="1"/>
        <w:rPr>
          <w:rFonts w:cs="Arial"/>
        </w:rPr>
      </w:pPr>
    </w:p>
    <w:p w14:paraId="1E959CE2" w14:textId="77777777" w:rsidR="0061568A" w:rsidRPr="00FB5561" w:rsidRDefault="0061568A" w:rsidP="00734B0C">
      <w:pPr>
        <w:spacing w:before="100" w:beforeAutospacing="1" w:after="100" w:afterAutospacing="1"/>
        <w:rPr>
          <w:rFonts w:cs="Arial"/>
        </w:rPr>
      </w:pPr>
    </w:p>
    <w:p w14:paraId="6CB0485D" w14:textId="77777777" w:rsidR="0061568A" w:rsidRPr="00FB5561" w:rsidRDefault="0061568A" w:rsidP="00734B0C">
      <w:pPr>
        <w:spacing w:before="100" w:beforeAutospacing="1" w:after="100" w:afterAutospacing="1"/>
        <w:rPr>
          <w:rFonts w:cs="Arial"/>
        </w:rPr>
      </w:pPr>
    </w:p>
    <w:p w14:paraId="41D515D1" w14:textId="77777777" w:rsidR="0061568A" w:rsidRPr="00FB5561" w:rsidRDefault="0061568A" w:rsidP="00734B0C">
      <w:pPr>
        <w:spacing w:before="100" w:beforeAutospacing="1" w:after="100" w:afterAutospacing="1"/>
        <w:rPr>
          <w:rFonts w:cs="Arial"/>
        </w:rPr>
      </w:pPr>
    </w:p>
    <w:p w14:paraId="26B2BA7C" w14:textId="29F1C223" w:rsidR="00D050EB" w:rsidRPr="00FB5561" w:rsidRDefault="0061568A" w:rsidP="00734B0C">
      <w:pPr>
        <w:spacing w:before="100" w:beforeAutospacing="1" w:after="100" w:afterAutospacing="1"/>
        <w:rPr>
          <w:rFonts w:cs="Arial"/>
        </w:rPr>
      </w:pPr>
      <w:r w:rsidRPr="00060C32">
        <w:rPr>
          <w:rFonts w:cs="Arial"/>
          <w:noProof/>
        </w:rPr>
        <w:lastRenderedPageBreak/>
        <mc:AlternateContent>
          <mc:Choice Requires="wps">
            <w:drawing>
              <wp:anchor distT="0" distB="0" distL="114300" distR="114300" simplePos="0" relativeHeight="251659776" behindDoc="0" locked="0" layoutInCell="1" allowOverlap="1" wp14:anchorId="7F0DB098" wp14:editId="4B3CA956">
                <wp:simplePos x="0" y="0"/>
                <wp:positionH relativeFrom="page">
                  <wp:posOffset>1092835</wp:posOffset>
                </wp:positionH>
                <wp:positionV relativeFrom="paragraph">
                  <wp:posOffset>139065</wp:posOffset>
                </wp:positionV>
                <wp:extent cx="5743575" cy="46672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5743575" cy="466725"/>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71A31C" w14:textId="77777777" w:rsidR="00912CF5" w:rsidRPr="007C0BA1" w:rsidRDefault="00912CF5" w:rsidP="00D050EB">
                            <w:pPr>
                              <w:spacing w:before="120"/>
                              <w:jc w:val="center"/>
                              <w:rPr>
                                <w:rFonts w:cs="Arial"/>
                                <w:b/>
                              </w:rPr>
                            </w:pPr>
                            <w:r w:rsidRPr="007C0BA1">
                              <w:rPr>
                                <w:rFonts w:cs="Arial"/>
                                <w:b/>
                              </w:rPr>
                              <w:t>Did you base your decision to discriminate on actuarial or statistical data?</w:t>
                            </w:r>
                          </w:p>
                          <w:p w14:paraId="2C8B305B" w14:textId="77777777" w:rsidR="00912CF5" w:rsidRPr="007C0BA1" w:rsidRDefault="00912CF5" w:rsidP="00D050EB">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DB098" id="_x0000_t109" coordsize="21600,21600" o:spt="109" path="m,l,21600r21600,l21600,xe">
                <v:stroke joinstyle="miter"/>
                <v:path gradientshapeok="t" o:connecttype="rect"/>
              </v:shapetype>
              <v:shape id="Flowchart: Process 5" o:spid="_x0000_s1028" type="#_x0000_t109" style="position:absolute;margin-left:86.05pt;margin-top:10.95pt;width:452.25pt;height:36.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" fillcolor="#237bbc" strokecolor="#243f60 [1604]" strokeweight="1pt">
                <v:textbox>
                  <w:txbxContent>
                    <w:p w14:paraId="1271A31C" w14:textId="77777777" w:rsidR="00912CF5" w:rsidRPr="007C0BA1" w:rsidRDefault="00912CF5" w:rsidP="00D050EB">
                      <w:pPr>
                        <w:spacing w:before="120"/>
                        <w:jc w:val="center"/>
                        <w:rPr>
                          <w:rFonts w:cs="Arial"/>
                          <w:b/>
                        </w:rPr>
                      </w:pPr>
                      <w:r w:rsidRPr="007C0BA1">
                        <w:rPr>
                          <w:rFonts w:cs="Arial"/>
                          <w:b/>
                        </w:rPr>
                        <w:t>Did you base your decision to discriminate on actuarial or statistical data?</w:t>
                      </w:r>
                    </w:p>
                    <w:p w14:paraId="2C8B305B" w14:textId="77777777" w:rsidR="00912CF5" w:rsidRPr="007C0BA1" w:rsidRDefault="00912CF5" w:rsidP="00D050EB">
                      <w:pPr>
                        <w:jc w:val="center"/>
                        <w:rPr>
                          <w:b/>
                        </w:rPr>
                      </w:pPr>
                    </w:p>
                  </w:txbxContent>
                </v:textbox>
                <w10:wrap anchorx="page"/>
              </v:shape>
            </w:pict>
          </mc:Fallback>
        </mc:AlternateContent>
      </w:r>
    </w:p>
    <w:p w14:paraId="31A8EC6F" w14:textId="77777777" w:rsidR="00D050EB" w:rsidRPr="00FB5561" w:rsidRDefault="00D050EB" w:rsidP="00D050EB">
      <w:pPr>
        <w:spacing w:before="120"/>
        <w:rPr>
          <w:rFonts w:cs="Arial"/>
        </w:rPr>
      </w:pPr>
    </w:p>
    <w:p w14:paraId="38831972" w14:textId="758535B2" w:rsidR="0061568A" w:rsidRPr="00FB5561" w:rsidRDefault="00D74D68" w:rsidP="0061568A">
      <w:pPr>
        <w:spacing w:before="120"/>
        <w:rPr>
          <w:rFonts w:cs="Arial"/>
        </w:rPr>
      </w:pPr>
      <w:r w:rsidRPr="00060C32">
        <w:rPr>
          <w:rFonts w:cs="Arial"/>
          <w:noProof/>
        </w:rPr>
        <mc:AlternateContent>
          <mc:Choice Requires="wps">
            <w:drawing>
              <wp:anchor distT="0" distB="0" distL="114300" distR="114300" simplePos="0" relativeHeight="251666944" behindDoc="0" locked="0" layoutInCell="1" allowOverlap="1" wp14:anchorId="7139144B" wp14:editId="35CC6919">
                <wp:simplePos x="0" y="0"/>
                <wp:positionH relativeFrom="margin">
                  <wp:posOffset>4366895</wp:posOffset>
                </wp:positionH>
                <wp:positionV relativeFrom="paragraph">
                  <wp:posOffset>5716</wp:posOffset>
                </wp:positionV>
                <wp:extent cx="447675" cy="228600"/>
                <wp:effectExtent l="0" t="0" r="66675" b="57150"/>
                <wp:wrapNone/>
                <wp:docPr id="11" name="Straight Arrow Connector 11"/>
                <wp:cNvGraphicFramePr/>
                <a:graphic xmlns:a="http://schemas.openxmlformats.org/drawingml/2006/main">
                  <a:graphicData uri="http://schemas.microsoft.com/office/word/2010/wordprocessingShape">
                    <wps:wsp>
                      <wps:cNvCnPr/>
                      <wps:spPr>
                        <a:xfrm>
                          <a:off x="0" y="0"/>
                          <a:ext cx="44767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0B8CC2D2" id="_x0000_t32" coordsize="21600,21600" o:spt="32" o:oned="t" path="m0,0l21600,21600e" filled="f">
                <v:path arrowok="t" fillok="f" o:connecttype="none"/>
                <o:lock v:ext="edit" shapetype="t"/>
              </v:shapetype>
              <v:shape id="Straight Arrow Connector 11" o:spid="_x0000_s1026" type="#_x0000_t32" style="position:absolute;margin-left:343.85pt;margin-top:.45pt;width:35.25pt;height:1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" strokecolor="#4f81bd [3204]" strokeweight=".5pt">
                <v:stroke endarrow="block" joinstyle="miter"/>
                <w10:wrap anchorx="margin"/>
              </v:shape>
            </w:pict>
          </mc:Fallback>
        </mc:AlternateContent>
      </w:r>
      <w:r w:rsidR="002A273E" w:rsidRPr="00CC69FD">
        <w:rPr>
          <w:rFonts w:cs="Arial"/>
          <w:noProof/>
        </w:rPr>
        <mc:AlternateContent>
          <mc:Choice Requires="wps">
            <w:drawing>
              <wp:anchor distT="0" distB="0" distL="114300" distR="114300" simplePos="0" relativeHeight="251662848" behindDoc="0" locked="0" layoutInCell="1" allowOverlap="1" wp14:anchorId="7DE8B4A0" wp14:editId="63666871">
                <wp:simplePos x="0" y="0"/>
                <wp:positionH relativeFrom="column">
                  <wp:posOffset>-224155</wp:posOffset>
                </wp:positionH>
                <wp:positionV relativeFrom="paragraph">
                  <wp:posOffset>367665</wp:posOffset>
                </wp:positionV>
                <wp:extent cx="1504950" cy="466725"/>
                <wp:effectExtent l="0" t="0" r="19050" b="28575"/>
                <wp:wrapNone/>
                <wp:docPr id="8" name="Flowchart: Process 8"/>
                <wp:cNvGraphicFramePr/>
                <a:graphic xmlns:a="http://schemas.openxmlformats.org/drawingml/2006/main">
                  <a:graphicData uri="http://schemas.microsoft.com/office/word/2010/wordprocessingShape">
                    <wps:wsp>
                      <wps:cNvSpPr/>
                      <wps:spPr>
                        <a:xfrm>
                          <a:off x="0" y="0"/>
                          <a:ext cx="1504950" cy="466725"/>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656274" w14:textId="77777777" w:rsidR="00912CF5" w:rsidRDefault="00912CF5" w:rsidP="0061568A">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E8B4A0" id="Flowchart: Process 8" o:spid="_x0000_s1029" type="#_x0000_t109" style="position:absolute;margin-left:-17.65pt;margin-top:28.95pt;width:118.5pt;height:36.7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" fillcolor="#237bbc" strokecolor="#243f60 [1604]" strokeweight="1pt">
                <v:textbox>
                  <w:txbxContent>
                    <w:p w14:paraId="6B656274" w14:textId="77777777" w:rsidR="00912CF5" w:rsidRDefault="00912CF5" w:rsidP="0061568A">
                      <w:pPr>
                        <w:jc w:val="center"/>
                      </w:pPr>
                      <w:r>
                        <w:t>Yes</w:t>
                      </w:r>
                    </w:p>
                  </w:txbxContent>
                </v:textbox>
              </v:shape>
            </w:pict>
          </mc:Fallback>
        </mc:AlternateContent>
      </w:r>
      <w:r w:rsidR="002A273E" w:rsidRPr="00CC69FD">
        <w:rPr>
          <w:rFonts w:cs="Arial"/>
          <w:noProof/>
        </w:rPr>
        <mc:AlternateContent>
          <mc:Choice Requires="wps">
            <w:drawing>
              <wp:anchor distT="0" distB="0" distL="114300" distR="114300" simplePos="0" relativeHeight="251660800" behindDoc="0" locked="0" layoutInCell="1" allowOverlap="1" wp14:anchorId="6AC19CE0" wp14:editId="20AC37CF">
                <wp:simplePos x="0" y="0"/>
                <wp:positionH relativeFrom="column">
                  <wp:posOffset>699770</wp:posOffset>
                </wp:positionH>
                <wp:positionV relativeFrom="paragraph">
                  <wp:posOffset>5715</wp:posOffset>
                </wp:positionV>
                <wp:extent cx="476250" cy="276225"/>
                <wp:effectExtent l="38100" t="0" r="19050" b="47625"/>
                <wp:wrapNone/>
                <wp:docPr id="6" name="Straight Arrow Connector 6"/>
                <wp:cNvGraphicFramePr/>
                <a:graphic xmlns:a="http://schemas.openxmlformats.org/drawingml/2006/main">
                  <a:graphicData uri="http://schemas.microsoft.com/office/word/2010/wordprocessingShape">
                    <wps:wsp>
                      <wps:cNvCnPr/>
                      <wps:spPr>
                        <a:xfrm flipH="1">
                          <a:off x="0" y="0"/>
                          <a:ext cx="47625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388668C" id="Straight Arrow Connector 6" o:spid="_x0000_s1026" type="#_x0000_t32" style="position:absolute;margin-left:55.1pt;margin-top:.45pt;width:37.5pt;height:21.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" strokecolor="#4f81bd [3204]" strokeweight=".5pt">
                <v:stroke endarrow="block" joinstyle="miter"/>
              </v:shape>
            </w:pict>
          </mc:Fallback>
        </mc:AlternateContent>
      </w:r>
    </w:p>
    <w:p w14:paraId="1873E9F5" w14:textId="426AD1ED" w:rsidR="0061568A" w:rsidRPr="00FB5561" w:rsidRDefault="0061568A" w:rsidP="0061568A">
      <w:pPr>
        <w:spacing w:before="120"/>
        <w:rPr>
          <w:rFonts w:cs="Arial"/>
        </w:rPr>
      </w:pPr>
      <w:r w:rsidRPr="00060C32">
        <w:rPr>
          <w:rFonts w:cs="Arial"/>
          <w:noProof/>
        </w:rPr>
        <mc:AlternateContent>
          <mc:Choice Requires="wps">
            <w:drawing>
              <wp:anchor distT="0" distB="0" distL="114300" distR="114300" simplePos="0" relativeHeight="251664896" behindDoc="0" locked="0" layoutInCell="1" allowOverlap="1" wp14:anchorId="09E5D266" wp14:editId="50C5507F">
                <wp:simplePos x="0" y="0"/>
                <wp:positionH relativeFrom="margin">
                  <wp:align>right</wp:align>
                </wp:positionH>
                <wp:positionV relativeFrom="paragraph">
                  <wp:posOffset>6985</wp:posOffset>
                </wp:positionV>
                <wp:extent cx="1504950" cy="466725"/>
                <wp:effectExtent l="0" t="0" r="19050" b="28575"/>
                <wp:wrapNone/>
                <wp:docPr id="10" name="Flowchart: Process 10"/>
                <wp:cNvGraphicFramePr/>
                <a:graphic xmlns:a="http://schemas.openxmlformats.org/drawingml/2006/main">
                  <a:graphicData uri="http://schemas.microsoft.com/office/word/2010/wordprocessingShape">
                    <wps:wsp>
                      <wps:cNvSpPr/>
                      <wps:spPr>
                        <a:xfrm>
                          <a:off x="0" y="0"/>
                          <a:ext cx="1504950" cy="466725"/>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6ABE58" w14:textId="77777777" w:rsidR="00912CF5" w:rsidRDefault="00912CF5" w:rsidP="0061568A">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E5D266" id="Flowchart: Process 10" o:spid="_x0000_s1030" type="#_x0000_t109" style="position:absolute;margin-left:67.3pt;margin-top:.55pt;width:118.5pt;height:36.75pt;z-index:2516648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" fillcolor="#237bbc" strokecolor="#243f60 [1604]" strokeweight="1pt">
                <v:textbox>
                  <w:txbxContent>
                    <w:p w14:paraId="3D6ABE58" w14:textId="77777777" w:rsidR="00912CF5" w:rsidRDefault="00912CF5" w:rsidP="0061568A">
                      <w:pPr>
                        <w:jc w:val="center"/>
                      </w:pPr>
                      <w:r>
                        <w:t>No</w:t>
                      </w:r>
                    </w:p>
                  </w:txbxContent>
                </v:textbox>
                <w10:wrap anchorx="margin"/>
              </v:shape>
            </w:pict>
          </mc:Fallback>
        </mc:AlternateContent>
      </w:r>
    </w:p>
    <w:p w14:paraId="31E310AE" w14:textId="0C5D2D7A" w:rsidR="0061568A" w:rsidRPr="00FB5561" w:rsidRDefault="002A273E" w:rsidP="0061568A">
      <w:pPr>
        <w:spacing w:before="120"/>
        <w:rPr>
          <w:rFonts w:cs="Arial"/>
        </w:rPr>
      </w:pPr>
      <w:r w:rsidRPr="00060C32">
        <w:rPr>
          <w:rFonts w:cs="Arial"/>
          <w:noProof/>
        </w:rPr>
        <mc:AlternateContent>
          <mc:Choice Requires="wps">
            <w:drawing>
              <wp:anchor distT="0" distB="0" distL="114300" distR="114300" simplePos="0" relativeHeight="251661824" behindDoc="0" locked="0" layoutInCell="1" allowOverlap="1" wp14:anchorId="3CADEFE1" wp14:editId="77D8591C">
                <wp:simplePos x="0" y="0"/>
                <wp:positionH relativeFrom="margin">
                  <wp:posOffset>-509905</wp:posOffset>
                </wp:positionH>
                <wp:positionV relativeFrom="paragraph">
                  <wp:posOffset>398145</wp:posOffset>
                </wp:positionV>
                <wp:extent cx="3124200" cy="369570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3124200" cy="3695700"/>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7AC505" w14:textId="57B8B6D1" w:rsidR="00912CF5" w:rsidRDefault="00912CF5" w:rsidP="0061568A">
                            <w:r>
                              <w:t>Is it objectively reasonable for you to rely on that data?</w:t>
                            </w:r>
                          </w:p>
                          <w:p w14:paraId="53E535BE" w14:textId="644A500F" w:rsidR="00912CF5" w:rsidRPr="0061568A" w:rsidRDefault="00912CF5" w:rsidP="0061568A">
                            <w:pPr>
                              <w:spacing w:before="120"/>
                              <w:rPr>
                                <w:rFonts w:cs="Arial"/>
                              </w:rPr>
                            </w:pPr>
                            <w:r>
                              <w:rPr>
                                <w:rFonts w:cs="Arial"/>
                              </w:rPr>
                              <w:t xml:space="preserve">Consider </w:t>
                            </w:r>
                            <w:r w:rsidRPr="0061568A">
                              <w:rPr>
                                <w:rFonts w:cs="Arial"/>
                              </w:rPr>
                              <w:t>whether:</w:t>
                            </w:r>
                          </w:p>
                          <w:p w14:paraId="1B4BADA4"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applicable to the particular decision in question;</w:t>
                            </w:r>
                          </w:p>
                          <w:p w14:paraId="41512A78"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subject to any qualifications;</w:t>
                            </w:r>
                          </w:p>
                          <w:p w14:paraId="61D718C8"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there is a sufficient sample for reliable use;</w:t>
                            </w:r>
                          </w:p>
                          <w:p w14:paraId="13DE8CAC"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complete;</w:t>
                            </w:r>
                          </w:p>
                          <w:p w14:paraId="5BC7580F"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up to date;</w:t>
                            </w:r>
                          </w:p>
                          <w:p w14:paraId="098A0C6C" w14:textId="11EE2B04"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use of the data set has been discredited.</w:t>
                            </w:r>
                          </w:p>
                          <w:p w14:paraId="100B3DF7" w14:textId="77777777" w:rsidR="00912CF5" w:rsidRDefault="00912CF5" w:rsidP="006156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DEFE1" id="Flowchart: Process 7" o:spid="_x0000_s1031" type="#_x0000_t109" style="position:absolute;margin-left:-40.15pt;margin-top:31.35pt;width:246pt;height:291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" fillcolor="#237bbc" strokecolor="#243f60 [1604]" strokeweight="1pt">
                <v:textbox>
                  <w:txbxContent>
                    <w:p w14:paraId="6F7AC505" w14:textId="57B8B6D1" w:rsidR="00912CF5" w:rsidRDefault="00912CF5" w:rsidP="0061568A">
                      <w:r>
                        <w:t>Is it objectively reasonable for you to rely on that data?</w:t>
                      </w:r>
                    </w:p>
                    <w:p w14:paraId="53E535BE" w14:textId="644A500F" w:rsidR="00912CF5" w:rsidRPr="0061568A" w:rsidRDefault="00912CF5" w:rsidP="0061568A">
                      <w:pPr>
                        <w:spacing w:before="120"/>
                        <w:rPr>
                          <w:rFonts w:cs="Arial"/>
                        </w:rPr>
                      </w:pPr>
                      <w:r>
                        <w:rPr>
                          <w:rFonts w:cs="Arial"/>
                        </w:rPr>
                        <w:t xml:space="preserve">Consider </w:t>
                      </w:r>
                      <w:r w:rsidRPr="0061568A">
                        <w:rPr>
                          <w:rFonts w:cs="Arial"/>
                        </w:rPr>
                        <w:t>whether:</w:t>
                      </w:r>
                    </w:p>
                    <w:p w14:paraId="1B4BADA4"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applicable to the particular decision in question;</w:t>
                      </w:r>
                    </w:p>
                    <w:p w14:paraId="41512A78"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subject to any qualifications;</w:t>
                      </w:r>
                    </w:p>
                    <w:p w14:paraId="61D718C8"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there is a sufficient sample for reliable use;</w:t>
                      </w:r>
                    </w:p>
                    <w:p w14:paraId="13DE8CAC"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complete;</w:t>
                      </w:r>
                    </w:p>
                    <w:p w14:paraId="5BC7580F" w14:textId="77777777"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data is up to date;</w:t>
                      </w:r>
                    </w:p>
                    <w:p w14:paraId="098A0C6C" w14:textId="11EE2B04" w:rsidR="00912CF5" w:rsidRDefault="00912CF5" w:rsidP="0061568A">
                      <w:pPr>
                        <w:pStyle w:val="ListParagraph"/>
                        <w:numPr>
                          <w:ilvl w:val="0"/>
                          <w:numId w:val="17"/>
                        </w:numPr>
                        <w:spacing w:before="120"/>
                        <w:rPr>
                          <w:rFonts w:ascii="Arial" w:hAnsi="Arial" w:cs="Arial"/>
                          <w:sz w:val="24"/>
                          <w:szCs w:val="24"/>
                        </w:rPr>
                      </w:pPr>
                      <w:r>
                        <w:rPr>
                          <w:rFonts w:ascii="Arial" w:hAnsi="Arial" w:cs="Arial"/>
                          <w:sz w:val="24"/>
                          <w:szCs w:val="24"/>
                        </w:rPr>
                        <w:t>the use of the data set has been discredited.</w:t>
                      </w:r>
                    </w:p>
                    <w:p w14:paraId="100B3DF7" w14:textId="77777777" w:rsidR="00912CF5" w:rsidRDefault="00912CF5" w:rsidP="0061568A">
                      <w:pPr>
                        <w:jc w:val="center"/>
                      </w:pPr>
                    </w:p>
                  </w:txbxContent>
                </v:textbox>
                <w10:wrap anchorx="margin"/>
              </v:shape>
            </w:pict>
          </mc:Fallback>
        </mc:AlternateContent>
      </w:r>
      <w:r w:rsidRPr="00CC69FD">
        <w:rPr>
          <w:rFonts w:cs="Arial"/>
          <w:noProof/>
        </w:rPr>
        <mc:AlternateContent>
          <mc:Choice Requires="wps">
            <w:drawing>
              <wp:anchor distT="0" distB="0" distL="114300" distR="114300" simplePos="0" relativeHeight="251670016" behindDoc="0" locked="0" layoutInCell="1" allowOverlap="1" wp14:anchorId="41DF8739" wp14:editId="37537FE2">
                <wp:simplePos x="0" y="0"/>
                <wp:positionH relativeFrom="column">
                  <wp:posOffset>423545</wp:posOffset>
                </wp:positionH>
                <wp:positionV relativeFrom="paragraph">
                  <wp:posOffset>226695</wp:posOffset>
                </wp:positionV>
                <wp:extent cx="0" cy="152400"/>
                <wp:effectExtent l="7620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6D28114A" id="Straight Arrow Connector 13" o:spid="_x0000_s1026" type="#_x0000_t32" style="position:absolute;margin-left:33.35pt;margin-top:17.85pt;width:0;height:12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" strokecolor="#4f81bd [3204]" strokeweight=".5pt">
                <v:stroke endarrow="block" joinstyle="miter"/>
              </v:shape>
            </w:pict>
          </mc:Fallback>
        </mc:AlternateContent>
      </w:r>
      <w:r w:rsidRPr="00CC69FD">
        <w:rPr>
          <w:rFonts w:cs="Arial"/>
          <w:noProof/>
        </w:rPr>
        <mc:AlternateContent>
          <mc:Choice Requires="wps">
            <w:drawing>
              <wp:anchor distT="0" distB="0" distL="114300" distR="114300" simplePos="0" relativeHeight="251684352" behindDoc="0" locked="0" layoutInCell="1" allowOverlap="1" wp14:anchorId="195DC357" wp14:editId="3D1BA9F6">
                <wp:simplePos x="0" y="0"/>
                <wp:positionH relativeFrom="column">
                  <wp:posOffset>4981575</wp:posOffset>
                </wp:positionH>
                <wp:positionV relativeFrom="paragraph">
                  <wp:posOffset>222250</wp:posOffset>
                </wp:positionV>
                <wp:extent cx="0" cy="15240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69F6A26B" id="Straight Arrow Connector 21" o:spid="_x0000_s1026" type="#_x0000_t32" style="position:absolute;margin-left:392.25pt;margin-top:17.5pt;width:0;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" strokecolor="#4f81bd [3204]" strokeweight=".5pt">
                <v:stroke endarrow="block" joinstyle="miter"/>
              </v:shape>
            </w:pict>
          </mc:Fallback>
        </mc:AlternateContent>
      </w:r>
    </w:p>
    <w:p w14:paraId="6F03B149" w14:textId="7B781AC0" w:rsidR="0061568A" w:rsidRPr="00FB5561" w:rsidRDefault="002A273E" w:rsidP="009F1CA7">
      <w:pPr>
        <w:spacing w:before="120" w:after="120"/>
        <w:ind w:left="1440"/>
        <w:rPr>
          <w:rFonts w:cs="Arial"/>
        </w:rPr>
      </w:pPr>
      <w:r w:rsidRPr="00CC69FD">
        <w:rPr>
          <w:rFonts w:cs="Arial"/>
          <w:b/>
          <w:noProof/>
        </w:rPr>
        <mc:AlternateContent>
          <mc:Choice Requires="wps">
            <w:drawing>
              <wp:anchor distT="0" distB="0" distL="114300" distR="114300" simplePos="0" relativeHeight="251682304" behindDoc="0" locked="0" layoutInCell="1" allowOverlap="1" wp14:anchorId="69541589" wp14:editId="59CB1A6F">
                <wp:simplePos x="0" y="0"/>
                <wp:positionH relativeFrom="margin">
                  <wp:posOffset>3286125</wp:posOffset>
                </wp:positionH>
                <wp:positionV relativeFrom="paragraph">
                  <wp:posOffset>107950</wp:posOffset>
                </wp:positionV>
                <wp:extent cx="3124200" cy="96202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3124200" cy="962025"/>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FF04DE" w14:textId="77777777" w:rsidR="00912CF5" w:rsidRDefault="00912CF5" w:rsidP="003E36B8">
                            <w:pPr>
                              <w:jc w:val="center"/>
                            </w:pPr>
                            <w:r>
                              <w:rPr>
                                <w:rFonts w:cs="Arial"/>
                              </w:rPr>
                              <w:t>Is relevant actuarial or statistical data available or could it reasonably be obtained?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1589" id="Flowchart: Process 20" o:spid="_x0000_s1032" type="#_x0000_t109" style="position:absolute;left:0;text-align:left;margin-left:258.75pt;margin-top:8.5pt;width:246pt;height:75.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" fillcolor="#237bbc" strokecolor="#243f60 [1604]" strokeweight="1pt">
                <v:textbox>
                  <w:txbxContent>
                    <w:p w14:paraId="44FF04DE" w14:textId="77777777" w:rsidR="00912CF5" w:rsidRDefault="00912CF5" w:rsidP="003E36B8">
                      <w:pPr>
                        <w:jc w:val="center"/>
                      </w:pPr>
                      <w:r>
                        <w:rPr>
                          <w:rFonts w:cs="Arial"/>
                        </w:rPr>
                        <w:t>Is relevant actuarial or statistical data available or could it reasonably be obtained?</w:t>
                      </w:r>
                    </w:p>
                  </w:txbxContent>
                </v:textbox>
                <w10:wrap anchorx="margin"/>
              </v:shape>
            </w:pict>
          </mc:Fallback>
        </mc:AlternateContent>
      </w:r>
    </w:p>
    <w:p w14:paraId="7BB521B2" w14:textId="77777777" w:rsidR="0061568A" w:rsidRPr="00FB5561" w:rsidRDefault="0061568A" w:rsidP="009F1CA7">
      <w:pPr>
        <w:spacing w:before="120" w:after="120"/>
        <w:ind w:left="1440"/>
        <w:rPr>
          <w:rFonts w:cs="Arial"/>
        </w:rPr>
      </w:pPr>
    </w:p>
    <w:p w14:paraId="6EDAA452" w14:textId="77777777" w:rsidR="0061568A" w:rsidRPr="00FB5561" w:rsidRDefault="0061568A" w:rsidP="009F1CA7">
      <w:pPr>
        <w:spacing w:before="120" w:after="120"/>
        <w:ind w:left="1440"/>
        <w:rPr>
          <w:rFonts w:cs="Arial"/>
        </w:rPr>
      </w:pPr>
    </w:p>
    <w:p w14:paraId="54DEC4F7" w14:textId="77777777" w:rsidR="0061568A" w:rsidRPr="00FB5561" w:rsidRDefault="0061568A" w:rsidP="009F1CA7">
      <w:pPr>
        <w:spacing w:before="120" w:after="120"/>
        <w:ind w:left="1440"/>
        <w:rPr>
          <w:rFonts w:cs="Arial"/>
        </w:rPr>
      </w:pPr>
    </w:p>
    <w:p w14:paraId="01371638" w14:textId="4CB09648" w:rsidR="0061568A" w:rsidRPr="00FB5561" w:rsidRDefault="007C0BA1" w:rsidP="009F1CA7">
      <w:pPr>
        <w:spacing w:before="120" w:after="120"/>
        <w:ind w:left="1440"/>
        <w:rPr>
          <w:rFonts w:cs="Arial"/>
        </w:rPr>
      </w:pPr>
      <w:r w:rsidRPr="00060C32">
        <w:rPr>
          <w:rFonts w:cs="Arial"/>
          <w:noProof/>
        </w:rPr>
        <mc:AlternateContent>
          <mc:Choice Requires="wps">
            <w:drawing>
              <wp:anchor distT="0" distB="0" distL="114300" distR="114300" simplePos="0" relativeHeight="251688448" behindDoc="0" locked="0" layoutInCell="1" allowOverlap="1" wp14:anchorId="5FC20337" wp14:editId="31024E97">
                <wp:simplePos x="0" y="0"/>
                <wp:positionH relativeFrom="column">
                  <wp:posOffset>3823969</wp:posOffset>
                </wp:positionH>
                <wp:positionV relativeFrom="paragraph">
                  <wp:posOffset>93345</wp:posOffset>
                </wp:positionV>
                <wp:extent cx="171450" cy="123825"/>
                <wp:effectExtent l="38100" t="0" r="19050" b="47625"/>
                <wp:wrapNone/>
                <wp:docPr id="23" name="Straight Arrow Connector 23"/>
                <wp:cNvGraphicFramePr/>
                <a:graphic xmlns:a="http://schemas.openxmlformats.org/drawingml/2006/main">
                  <a:graphicData uri="http://schemas.microsoft.com/office/word/2010/wordprocessingShape">
                    <wps:wsp>
                      <wps:cNvCnPr/>
                      <wps:spPr>
                        <a:xfrm flipH="1">
                          <a:off x="0" y="0"/>
                          <a:ext cx="1714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07E25D6" id="Straight Arrow Connector 23" o:spid="_x0000_s1026" type="#_x0000_t32" style="position:absolute;margin-left:301.1pt;margin-top:7.35pt;width:13.5pt;height:9.75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" strokecolor="#4f81bd [3204]" strokeweight=".5pt">
                <v:stroke endarrow="block" joinstyle="miter"/>
              </v:shape>
            </w:pict>
          </mc:Fallback>
        </mc:AlternateContent>
      </w:r>
      <w:r w:rsidR="002A273E" w:rsidRPr="00CC69FD">
        <w:rPr>
          <w:rFonts w:cs="Arial"/>
          <w:noProof/>
        </w:rPr>
        <mc:AlternateContent>
          <mc:Choice Requires="wps">
            <w:drawing>
              <wp:anchor distT="0" distB="0" distL="114300" distR="114300" simplePos="0" relativeHeight="251692544" behindDoc="0" locked="0" layoutInCell="1" allowOverlap="1" wp14:anchorId="408DC921" wp14:editId="1A69BB67">
                <wp:simplePos x="0" y="0"/>
                <wp:positionH relativeFrom="margin">
                  <wp:posOffset>5395595</wp:posOffset>
                </wp:positionH>
                <wp:positionV relativeFrom="paragraph">
                  <wp:posOffset>93345</wp:posOffset>
                </wp:positionV>
                <wp:extent cx="180975" cy="161925"/>
                <wp:effectExtent l="0" t="0" r="66675" b="47625"/>
                <wp:wrapNone/>
                <wp:docPr id="25" name="Straight Arrow Connector 25"/>
                <wp:cNvGraphicFramePr/>
                <a:graphic xmlns:a="http://schemas.openxmlformats.org/drawingml/2006/main">
                  <a:graphicData uri="http://schemas.microsoft.com/office/word/2010/wordprocessingShape">
                    <wps:wsp>
                      <wps:cNvCnPr/>
                      <wps:spPr>
                        <a:xfrm>
                          <a:off x="0" y="0"/>
                          <a:ext cx="18097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D44DEE9" id="Straight Arrow Connector 25" o:spid="_x0000_s1026" type="#_x0000_t32" style="position:absolute;margin-left:424.85pt;margin-top:7.35pt;width:14.25pt;height:12.7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" strokecolor="#4f81bd [3204]" strokeweight=".5pt">
                <v:stroke endarrow="block" joinstyle="miter"/>
                <w10:wrap anchorx="margin"/>
              </v:shape>
            </w:pict>
          </mc:Fallback>
        </mc:AlternateContent>
      </w:r>
    </w:p>
    <w:p w14:paraId="395C17B2" w14:textId="163EB89B" w:rsidR="0061568A" w:rsidRPr="00FB5561" w:rsidRDefault="007C0BA1" w:rsidP="009F1CA7">
      <w:pPr>
        <w:spacing w:before="120" w:after="120"/>
        <w:ind w:left="1440"/>
        <w:rPr>
          <w:rFonts w:cs="Arial"/>
        </w:rPr>
      </w:pPr>
      <w:r w:rsidRPr="00060C32">
        <w:rPr>
          <w:rFonts w:cs="Arial"/>
          <w:noProof/>
        </w:rPr>
        <mc:AlternateContent>
          <mc:Choice Requires="wps">
            <w:drawing>
              <wp:anchor distT="0" distB="0" distL="114300" distR="114300" simplePos="0" relativeHeight="251686400" behindDoc="0" locked="0" layoutInCell="1" allowOverlap="1" wp14:anchorId="65470BAC" wp14:editId="7197BA98">
                <wp:simplePos x="0" y="0"/>
                <wp:positionH relativeFrom="column">
                  <wp:posOffset>3071495</wp:posOffset>
                </wp:positionH>
                <wp:positionV relativeFrom="paragraph">
                  <wp:posOffset>13335</wp:posOffset>
                </wp:positionV>
                <wp:extent cx="1543050" cy="419100"/>
                <wp:effectExtent l="0" t="0" r="19050" b="19050"/>
                <wp:wrapNone/>
                <wp:docPr id="22" name="Flowchart: Process 22"/>
                <wp:cNvGraphicFramePr/>
                <a:graphic xmlns:a="http://schemas.openxmlformats.org/drawingml/2006/main">
                  <a:graphicData uri="http://schemas.microsoft.com/office/word/2010/wordprocessingShape">
                    <wps:wsp>
                      <wps:cNvSpPr/>
                      <wps:spPr>
                        <a:xfrm>
                          <a:off x="0" y="0"/>
                          <a:ext cx="1543050" cy="419100"/>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355198" w14:textId="77777777" w:rsidR="00912CF5" w:rsidRDefault="00912CF5" w:rsidP="0049706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70BAC" id="Flowchart: Process 22" o:spid="_x0000_s1033" type="#_x0000_t109" style="position:absolute;left:0;text-align:left;margin-left:241.85pt;margin-top:1.05pt;width:121.5pt;height: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" fillcolor="#237bbc" strokecolor="#243f60 [1604]" strokeweight="1pt">
                <v:textbox>
                  <w:txbxContent>
                    <w:p w14:paraId="3F355198" w14:textId="77777777" w:rsidR="00912CF5" w:rsidRDefault="00912CF5" w:rsidP="00497066">
                      <w:pPr>
                        <w:jc w:val="center"/>
                      </w:pPr>
                      <w:r>
                        <w:t>Yes</w:t>
                      </w:r>
                    </w:p>
                  </w:txbxContent>
                </v:textbox>
              </v:shape>
            </w:pict>
          </mc:Fallback>
        </mc:AlternateContent>
      </w:r>
      <w:r w:rsidR="002A273E" w:rsidRPr="00CC69FD">
        <w:rPr>
          <w:rFonts w:cs="Arial"/>
          <w:noProof/>
        </w:rPr>
        <mc:AlternateContent>
          <mc:Choice Requires="wps">
            <w:drawing>
              <wp:anchor distT="0" distB="0" distL="114300" distR="114300" simplePos="0" relativeHeight="251698688" behindDoc="0" locked="0" layoutInCell="1" allowOverlap="1" wp14:anchorId="64DE55BF" wp14:editId="408C7C65">
                <wp:simplePos x="0" y="0"/>
                <wp:positionH relativeFrom="column">
                  <wp:posOffset>4881245</wp:posOffset>
                </wp:positionH>
                <wp:positionV relativeFrom="paragraph">
                  <wp:posOffset>13335</wp:posOffset>
                </wp:positionV>
                <wp:extent cx="1543050" cy="419100"/>
                <wp:effectExtent l="0" t="0" r="19050" b="19050"/>
                <wp:wrapNone/>
                <wp:docPr id="29" name="Flowchart: Process 29"/>
                <wp:cNvGraphicFramePr/>
                <a:graphic xmlns:a="http://schemas.openxmlformats.org/drawingml/2006/main">
                  <a:graphicData uri="http://schemas.microsoft.com/office/word/2010/wordprocessingShape">
                    <wps:wsp>
                      <wps:cNvSpPr/>
                      <wps:spPr>
                        <a:xfrm>
                          <a:off x="0" y="0"/>
                          <a:ext cx="1543050" cy="419100"/>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9E867A" w14:textId="77777777" w:rsidR="00912CF5" w:rsidRDefault="00912CF5" w:rsidP="009632A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E55BF" id="Flowchart: Process 29" o:spid="_x0000_s1034" type="#_x0000_t109" style="position:absolute;left:0;text-align:left;margin-left:384.35pt;margin-top:1.05pt;width:121.5pt;height:3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" fillcolor="#237bbc" strokecolor="#243f60 [1604]" strokeweight="1pt">
                <v:textbox>
                  <w:txbxContent>
                    <w:p w14:paraId="2D9E867A" w14:textId="77777777" w:rsidR="00912CF5" w:rsidRDefault="00912CF5" w:rsidP="009632A6">
                      <w:pPr>
                        <w:jc w:val="center"/>
                      </w:pPr>
                      <w:r>
                        <w:t>No</w:t>
                      </w:r>
                    </w:p>
                  </w:txbxContent>
                </v:textbox>
              </v:shape>
            </w:pict>
          </mc:Fallback>
        </mc:AlternateContent>
      </w:r>
    </w:p>
    <w:p w14:paraId="1D05C7BB" w14:textId="1BD6A330" w:rsidR="0061568A" w:rsidRPr="00FB5561" w:rsidRDefault="007C0BA1" w:rsidP="009F1CA7">
      <w:pPr>
        <w:spacing w:before="120" w:after="120"/>
        <w:ind w:left="1440"/>
        <w:rPr>
          <w:rFonts w:cs="Arial"/>
        </w:rPr>
      </w:pPr>
      <w:r w:rsidRPr="00060C32">
        <w:rPr>
          <w:rFonts w:cs="Arial"/>
          <w:noProof/>
        </w:rPr>
        <mc:AlternateContent>
          <mc:Choice Requires="wps">
            <w:drawing>
              <wp:anchor distT="0" distB="0" distL="114300" distR="114300" simplePos="0" relativeHeight="251696640" behindDoc="0" locked="0" layoutInCell="1" allowOverlap="1" wp14:anchorId="688CF9C4" wp14:editId="0356D48F">
                <wp:simplePos x="0" y="0"/>
                <wp:positionH relativeFrom="column">
                  <wp:posOffset>3810000</wp:posOffset>
                </wp:positionH>
                <wp:positionV relativeFrom="paragraph">
                  <wp:posOffset>205105</wp:posOffset>
                </wp:positionV>
                <wp:extent cx="0" cy="15240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E4F91A8" id="Straight Arrow Connector 27" o:spid="_x0000_s1026" type="#_x0000_t32" style="position:absolute;margin-left:300pt;margin-top:16.15pt;width:0;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" strokecolor="#4f81bd [3204]" strokeweight=".5pt">
                <v:stroke endarrow="block" joinstyle="miter"/>
              </v:shape>
            </w:pict>
          </mc:Fallback>
        </mc:AlternateContent>
      </w:r>
      <w:r w:rsidRPr="00CC69FD">
        <w:rPr>
          <w:rFonts w:cs="Arial"/>
          <w:noProof/>
        </w:rPr>
        <mc:AlternateContent>
          <mc:Choice Requires="wps">
            <w:drawing>
              <wp:anchor distT="0" distB="0" distL="114300" distR="114300" simplePos="0" relativeHeight="251700736" behindDoc="0" locked="0" layoutInCell="1" allowOverlap="1" wp14:anchorId="35252B32" wp14:editId="6DF6EE4F">
                <wp:simplePos x="0" y="0"/>
                <wp:positionH relativeFrom="margin">
                  <wp:posOffset>5683250</wp:posOffset>
                </wp:positionH>
                <wp:positionV relativeFrom="paragraph">
                  <wp:posOffset>187960</wp:posOffset>
                </wp:positionV>
                <wp:extent cx="0" cy="15240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0C7DA43" id="Straight Arrow Connector 30" o:spid="_x0000_s1026" type="#_x0000_t32" style="position:absolute;margin-left:447.5pt;margin-top:14.8pt;width:0;height:12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" strokecolor="#4f81bd [3204]" strokeweight=".5pt">
                <v:stroke endarrow="block" joinstyle="miter"/>
                <w10:wrap anchorx="margin"/>
              </v:shape>
            </w:pict>
          </mc:Fallback>
        </mc:AlternateContent>
      </w:r>
    </w:p>
    <w:p w14:paraId="01CC1B7E" w14:textId="7B9D8165" w:rsidR="0061568A" w:rsidRPr="00FB5561" w:rsidRDefault="007C0BA1" w:rsidP="009F1CA7">
      <w:pPr>
        <w:spacing w:before="120" w:after="120"/>
        <w:ind w:left="1440"/>
        <w:rPr>
          <w:rFonts w:cs="Arial"/>
        </w:rPr>
      </w:pPr>
      <w:r w:rsidRPr="00060C32">
        <w:rPr>
          <w:rFonts w:cs="Arial"/>
          <w:noProof/>
        </w:rPr>
        <mc:AlternateContent>
          <mc:Choice Requires="wps">
            <w:drawing>
              <wp:anchor distT="0" distB="0" distL="114300" distR="114300" simplePos="0" relativeHeight="251694592" behindDoc="0" locked="0" layoutInCell="1" allowOverlap="1" wp14:anchorId="3521420A" wp14:editId="57EF3E7E">
                <wp:simplePos x="0" y="0"/>
                <wp:positionH relativeFrom="margin">
                  <wp:posOffset>2738120</wp:posOffset>
                </wp:positionH>
                <wp:positionV relativeFrom="paragraph">
                  <wp:posOffset>120015</wp:posOffset>
                </wp:positionV>
                <wp:extent cx="1914525" cy="6076950"/>
                <wp:effectExtent l="0" t="0" r="28575" b="19050"/>
                <wp:wrapNone/>
                <wp:docPr id="26" name="Flowchart: Process 26"/>
                <wp:cNvGraphicFramePr/>
                <a:graphic xmlns:a="http://schemas.openxmlformats.org/drawingml/2006/main">
                  <a:graphicData uri="http://schemas.microsoft.com/office/word/2010/wordprocessingShape">
                    <wps:wsp>
                      <wps:cNvSpPr/>
                      <wps:spPr>
                        <a:xfrm>
                          <a:off x="0" y="0"/>
                          <a:ext cx="1914525" cy="6076950"/>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AEAAC7" w14:textId="66D81D75" w:rsidR="00912CF5" w:rsidRPr="00C82263" w:rsidRDefault="00912CF5" w:rsidP="00C82263">
                            <w:pPr>
                              <w:spacing w:before="120"/>
                              <w:rPr>
                                <w:rFonts w:cs="Arial"/>
                              </w:rPr>
                            </w:pPr>
                            <w:r>
                              <w:rPr>
                                <w:rFonts w:cs="Arial"/>
                                <w:b/>
                              </w:rPr>
                              <w:t>T</w:t>
                            </w:r>
                            <w:r w:rsidRPr="009632A6">
                              <w:rPr>
                                <w:rFonts w:cs="Arial"/>
                                <w:b/>
                              </w:rPr>
                              <w:t>he ‘no data limb’ is not available and the exemption in s 46 does not apply</w:t>
                            </w:r>
                            <w:r w:rsidRPr="002A7E6E">
                              <w:rPr>
                                <w:rFonts w:cs="Arial"/>
                                <w:b/>
                              </w:rPr>
                              <w:t>.</w:t>
                            </w:r>
                          </w:p>
                          <w:p w14:paraId="78DA70AD" w14:textId="77777777" w:rsidR="00912CF5" w:rsidRPr="00C82263" w:rsidRDefault="00912CF5" w:rsidP="00C82263">
                            <w:pPr>
                              <w:spacing w:before="120"/>
                              <w:rPr>
                                <w:rFonts w:cs="Arial"/>
                              </w:rPr>
                            </w:pPr>
                            <w:r w:rsidRPr="00C82263">
                              <w:rPr>
                                <w:rFonts w:cs="Arial"/>
                              </w:rPr>
                              <w:t>That is, if relevant data is available or could reasonably be obtained, it must not be ignored. Any disability discrimination in relation to superannuation or insurance should be based on relevant actuarial or statistical data where it is available or could reasonably be obtained.</w:t>
                            </w:r>
                          </w:p>
                          <w:p w14:paraId="6F219BA0" w14:textId="77777777" w:rsidR="00912CF5" w:rsidRPr="00C82263" w:rsidRDefault="00912CF5" w:rsidP="00C82263">
                            <w:pPr>
                              <w:spacing w:before="120"/>
                              <w:rPr>
                                <w:rFonts w:cs="Arial"/>
                              </w:rPr>
                            </w:pPr>
                            <w:r w:rsidRPr="00C82263">
                              <w:rPr>
                                <w:rFonts w:cs="Arial"/>
                              </w:rPr>
                              <w:t xml:space="preserve">It is therefore prudent for insurance and superannuation providers to obtain relevant data where they intend to discriminate on the basis of particular disabilities. If they do not obtain such data, but a court later finds that they could reasonably have done so, then they will not be able to rely on the ‘no data limb’. </w:t>
                            </w:r>
                          </w:p>
                          <w:p w14:paraId="139760F3" w14:textId="77777777" w:rsidR="00912CF5" w:rsidRDefault="00912CF5" w:rsidP="00C82263">
                            <w:pPr>
                              <w:pStyle w:val="ListParagraph"/>
                              <w:spacing w:before="1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1420A" id="Flowchart: Process 26" o:spid="_x0000_s1035" type="#_x0000_t109" style="position:absolute;left:0;text-align:left;margin-left:215.6pt;margin-top:9.45pt;width:150.75pt;height:478.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" fillcolor="#237bbc" strokecolor="#243f60 [1604]" strokeweight="1pt">
                <v:textbox>
                  <w:txbxContent>
                    <w:p w14:paraId="65AEAAC7" w14:textId="66D81D75" w:rsidR="00912CF5" w:rsidRPr="00C82263" w:rsidRDefault="00912CF5" w:rsidP="00C82263">
                      <w:pPr>
                        <w:spacing w:before="120"/>
                        <w:rPr>
                          <w:rFonts w:cs="Arial"/>
                        </w:rPr>
                      </w:pPr>
                      <w:r>
                        <w:rPr>
                          <w:rFonts w:cs="Arial"/>
                          <w:b/>
                        </w:rPr>
                        <w:t>T</w:t>
                      </w:r>
                      <w:r w:rsidRPr="009632A6">
                        <w:rPr>
                          <w:rFonts w:cs="Arial"/>
                          <w:b/>
                        </w:rPr>
                        <w:t>he ‘no data limb’ is not available and the exemption in s 46 does not apply</w:t>
                      </w:r>
                      <w:r w:rsidRPr="002A7E6E">
                        <w:rPr>
                          <w:rFonts w:cs="Arial"/>
                          <w:b/>
                        </w:rPr>
                        <w:t>.</w:t>
                      </w:r>
                    </w:p>
                    <w:p w14:paraId="78DA70AD" w14:textId="77777777" w:rsidR="00912CF5" w:rsidRPr="00C82263" w:rsidRDefault="00912CF5" w:rsidP="00C82263">
                      <w:pPr>
                        <w:spacing w:before="120"/>
                        <w:rPr>
                          <w:rFonts w:cs="Arial"/>
                        </w:rPr>
                      </w:pPr>
                      <w:r w:rsidRPr="00C82263">
                        <w:rPr>
                          <w:rFonts w:cs="Arial"/>
                        </w:rPr>
                        <w:t>That is, if relevant data is available or could reasonably be obtained, it must not be ignored. Any disability discrimination in relation to superannuation or insurance should be based on relevant actuarial or statistical data where it is available or could reasonably be obtained.</w:t>
                      </w:r>
                    </w:p>
                    <w:p w14:paraId="6F219BA0" w14:textId="77777777" w:rsidR="00912CF5" w:rsidRPr="00C82263" w:rsidRDefault="00912CF5" w:rsidP="00C82263">
                      <w:pPr>
                        <w:spacing w:before="120"/>
                        <w:rPr>
                          <w:rFonts w:cs="Arial"/>
                        </w:rPr>
                      </w:pPr>
                      <w:r w:rsidRPr="00C82263">
                        <w:rPr>
                          <w:rFonts w:cs="Arial"/>
                        </w:rPr>
                        <w:t xml:space="preserve">It is therefore prudent for insurance and superannuation providers to obtain relevant data where they intend to discriminate on the basis of particular disabilities. If they do not obtain such data, but a court later finds that they could reasonably have done so, then they will not be able to rely on the ‘no data limb’. </w:t>
                      </w:r>
                    </w:p>
                    <w:p w14:paraId="139760F3" w14:textId="77777777" w:rsidR="00912CF5" w:rsidRDefault="00912CF5" w:rsidP="00C82263">
                      <w:pPr>
                        <w:pStyle w:val="ListParagraph"/>
                        <w:spacing w:before="120"/>
                      </w:pPr>
                    </w:p>
                  </w:txbxContent>
                </v:textbox>
                <w10:wrap anchorx="margin"/>
              </v:shape>
            </w:pict>
          </mc:Fallback>
        </mc:AlternateContent>
      </w:r>
      <w:r w:rsidRPr="00CC69FD">
        <w:rPr>
          <w:rFonts w:cs="Arial"/>
          <w:noProof/>
        </w:rPr>
        <mc:AlternateContent>
          <mc:Choice Requires="wps">
            <w:drawing>
              <wp:anchor distT="0" distB="0" distL="114300" distR="114300" simplePos="0" relativeHeight="251702784" behindDoc="0" locked="0" layoutInCell="1" allowOverlap="1" wp14:anchorId="103D3ED8" wp14:editId="18A09A7F">
                <wp:simplePos x="0" y="0"/>
                <wp:positionH relativeFrom="margin">
                  <wp:posOffset>4757420</wp:posOffset>
                </wp:positionH>
                <wp:positionV relativeFrom="paragraph">
                  <wp:posOffset>100966</wp:posOffset>
                </wp:positionV>
                <wp:extent cx="1771650" cy="6096000"/>
                <wp:effectExtent l="0" t="0" r="19050" b="19050"/>
                <wp:wrapNone/>
                <wp:docPr id="31" name="Flowchart: Process 31"/>
                <wp:cNvGraphicFramePr/>
                <a:graphic xmlns:a="http://schemas.openxmlformats.org/drawingml/2006/main">
                  <a:graphicData uri="http://schemas.microsoft.com/office/word/2010/wordprocessingShape">
                    <wps:wsp>
                      <wps:cNvSpPr/>
                      <wps:spPr>
                        <a:xfrm>
                          <a:off x="0" y="0"/>
                          <a:ext cx="1771650" cy="6096000"/>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A1A8EA" w14:textId="6D142399" w:rsidR="00912CF5" w:rsidRPr="002A273E" w:rsidRDefault="00912CF5" w:rsidP="009632A6">
                            <w:pPr>
                              <w:spacing w:before="120"/>
                              <w:rPr>
                                <w:rFonts w:cs="Arial"/>
                                <w:b/>
                              </w:rPr>
                            </w:pPr>
                            <w:r>
                              <w:rPr>
                                <w:rFonts w:cs="Arial"/>
                                <w:b/>
                              </w:rPr>
                              <w:t>T</w:t>
                            </w:r>
                            <w:r w:rsidRPr="002A273E">
                              <w:rPr>
                                <w:rFonts w:cs="Arial"/>
                                <w:b/>
                              </w:rPr>
                              <w:t>he ‘no data limb’ is potentially available.</w:t>
                            </w:r>
                          </w:p>
                          <w:p w14:paraId="2F865736" w14:textId="3EB14EB3" w:rsidR="00912CF5" w:rsidRPr="002A273E" w:rsidRDefault="00912CF5" w:rsidP="002A7E6E">
                            <w:pPr>
                              <w:spacing w:before="120"/>
                              <w:rPr>
                                <w:rFonts w:cs="Arial"/>
                              </w:rPr>
                            </w:pPr>
                            <w:r>
                              <w:rPr>
                                <w:rFonts w:cs="Arial"/>
                              </w:rPr>
                              <w:t>I</w:t>
                            </w:r>
                            <w:r w:rsidRPr="002A273E">
                              <w:rPr>
                                <w:rFonts w:cs="Arial"/>
                              </w:rPr>
                              <w:t>s the discrimination objectively reasonabl</w:t>
                            </w:r>
                            <w:r>
                              <w:rPr>
                                <w:rFonts w:cs="Arial"/>
                              </w:rPr>
                              <w:t>e</w:t>
                            </w:r>
                            <w:r w:rsidRPr="002A273E">
                              <w:rPr>
                                <w:rFonts w:cs="Arial"/>
                              </w:rPr>
                              <w:t xml:space="preserve"> having regard to:</w:t>
                            </w:r>
                          </w:p>
                          <w:p w14:paraId="4FCC7680" w14:textId="77777777" w:rsidR="00912CF5" w:rsidRPr="002A273E" w:rsidRDefault="00912CF5" w:rsidP="007C0BA1">
                            <w:pPr>
                              <w:pStyle w:val="ListParagraph"/>
                              <w:numPr>
                                <w:ilvl w:val="0"/>
                                <w:numId w:val="17"/>
                              </w:numPr>
                              <w:spacing w:before="120"/>
                              <w:rPr>
                                <w:rFonts w:ascii="Arial" w:hAnsi="Arial" w:cs="Arial"/>
                                <w:sz w:val="24"/>
                                <w:szCs w:val="24"/>
                              </w:rPr>
                            </w:pPr>
                            <w:r w:rsidRPr="002A273E">
                              <w:rPr>
                                <w:rFonts w:ascii="Arial" w:hAnsi="Arial" w:cs="Arial"/>
                                <w:sz w:val="24"/>
                                <w:szCs w:val="24"/>
                              </w:rPr>
                              <w:t>practical and business considerations</w:t>
                            </w:r>
                          </w:p>
                          <w:p w14:paraId="71EAFC11" w14:textId="77777777" w:rsidR="00912CF5" w:rsidRPr="002A273E" w:rsidRDefault="00912CF5" w:rsidP="002A273E">
                            <w:pPr>
                              <w:pStyle w:val="ListParagraph"/>
                              <w:numPr>
                                <w:ilvl w:val="0"/>
                                <w:numId w:val="17"/>
                              </w:numPr>
                              <w:spacing w:before="120"/>
                              <w:rPr>
                                <w:rFonts w:ascii="Arial" w:hAnsi="Arial" w:cs="Arial"/>
                                <w:sz w:val="24"/>
                                <w:szCs w:val="24"/>
                              </w:rPr>
                            </w:pPr>
                            <w:r w:rsidRPr="002A273E">
                              <w:rPr>
                                <w:rFonts w:ascii="Arial" w:hAnsi="Arial" w:cs="Arial"/>
                                <w:sz w:val="24"/>
                                <w:szCs w:val="24"/>
                              </w:rPr>
                              <w:t>whether less discriminatory options were available</w:t>
                            </w:r>
                          </w:p>
                          <w:p w14:paraId="5ED503C5" w14:textId="77777777" w:rsidR="00912CF5" w:rsidRPr="002A273E" w:rsidRDefault="00912CF5" w:rsidP="002A273E">
                            <w:pPr>
                              <w:pStyle w:val="ListParagraph"/>
                              <w:numPr>
                                <w:ilvl w:val="0"/>
                                <w:numId w:val="17"/>
                              </w:numPr>
                              <w:spacing w:before="120"/>
                              <w:rPr>
                                <w:rFonts w:ascii="Arial" w:hAnsi="Arial" w:cs="Arial"/>
                                <w:sz w:val="24"/>
                                <w:szCs w:val="24"/>
                              </w:rPr>
                            </w:pPr>
                            <w:r w:rsidRPr="002A273E">
                              <w:rPr>
                                <w:rFonts w:ascii="Arial" w:hAnsi="Arial" w:cs="Arial"/>
                                <w:sz w:val="24"/>
                                <w:szCs w:val="24"/>
                              </w:rPr>
                              <w:t>the individual’s particular circumstances</w:t>
                            </w:r>
                          </w:p>
                          <w:p w14:paraId="3DDF8E1A" w14:textId="77777777" w:rsidR="00912CF5" w:rsidRDefault="00912CF5" w:rsidP="00354ADC">
                            <w:pPr>
                              <w:pStyle w:val="ListParagraph"/>
                              <w:numPr>
                                <w:ilvl w:val="0"/>
                                <w:numId w:val="17"/>
                              </w:numPr>
                              <w:spacing w:before="120"/>
                              <w:rPr>
                                <w:rFonts w:ascii="Arial" w:hAnsi="Arial" w:cs="Arial"/>
                                <w:sz w:val="24"/>
                                <w:szCs w:val="24"/>
                              </w:rPr>
                            </w:pPr>
                            <w:r w:rsidRPr="002A273E">
                              <w:rPr>
                                <w:rFonts w:ascii="Arial" w:hAnsi="Arial" w:cs="Arial"/>
                                <w:sz w:val="24"/>
                                <w:szCs w:val="24"/>
                              </w:rPr>
                              <w:t>the objects of the DDA, especially the object of eliminating disability discrimination as far as possible</w:t>
                            </w:r>
                          </w:p>
                          <w:p w14:paraId="7EF4E269" w14:textId="57C85E29" w:rsidR="00912CF5" w:rsidRPr="003557F0" w:rsidRDefault="00912CF5" w:rsidP="003557F0">
                            <w:pPr>
                              <w:pStyle w:val="ListParagraph"/>
                              <w:numPr>
                                <w:ilvl w:val="0"/>
                                <w:numId w:val="17"/>
                              </w:numPr>
                              <w:spacing w:before="120"/>
                              <w:rPr>
                                <w:rFonts w:ascii="Arial" w:hAnsi="Arial" w:cs="Arial"/>
                                <w:sz w:val="24"/>
                                <w:szCs w:val="24"/>
                              </w:rPr>
                            </w:pPr>
                            <w:r w:rsidRPr="002A273E">
                              <w:rPr>
                                <w:rFonts w:ascii="Arial" w:hAnsi="Arial" w:cs="Arial"/>
                                <w:sz w:val="24"/>
                                <w:szCs w:val="24"/>
                              </w:rPr>
                              <w:t>all other relevant factors of the particular case</w:t>
                            </w:r>
                            <w:r w:rsidRPr="003557F0">
                              <w:rPr>
                                <w:rFonts w:ascii="Arial" w:hAnsi="Arial" w:cs="Arial"/>
                                <w:sz w:val="24"/>
                                <w:szCs w:val="24"/>
                              </w:rPr>
                              <w:t>?</w:t>
                            </w:r>
                          </w:p>
                          <w:p w14:paraId="139EE38A" w14:textId="77777777" w:rsidR="00912CF5" w:rsidRPr="00354ADC" w:rsidRDefault="00912CF5" w:rsidP="00354ADC">
                            <w:pPr>
                              <w:pStyle w:val="ListParagraph"/>
                              <w:spacing w:before="120"/>
                              <w:ind w:left="284"/>
                              <w:rPr>
                                <w:rFonts w:ascii="Arial" w:hAnsi="Arial" w:cs="Arial"/>
                                <w:sz w:val="24"/>
                                <w:szCs w:val="24"/>
                              </w:rPr>
                            </w:pPr>
                          </w:p>
                          <w:p w14:paraId="59D580EA" w14:textId="422FA74B" w:rsidR="00912CF5" w:rsidRPr="00354ADC" w:rsidRDefault="00912CF5" w:rsidP="00354ADC">
                            <w:pPr>
                              <w:spacing w:before="120"/>
                              <w:rPr>
                                <w:rFonts w:cs="Arial"/>
                                <w:b/>
                              </w:rPr>
                            </w:pPr>
                            <w:r>
                              <w:rPr>
                                <w:rFonts w:cs="Arial"/>
                                <w:b/>
                              </w:rPr>
                              <w:t>If YES, the ‘no-data limb of s 46 applies.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D3ED8" id="Flowchart: Process 31" o:spid="_x0000_s1036" type="#_x0000_t109" style="position:absolute;left:0;text-align:left;margin-left:374.6pt;margin-top:7.95pt;width:139.5pt;height:480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" fillcolor="#237bbc" strokecolor="#243f60 [1604]" strokeweight="1pt">
                <v:textbox>
                  <w:txbxContent>
                    <w:p w14:paraId="0CA1A8EA" w14:textId="6D142399" w:rsidR="00912CF5" w:rsidRPr="002A273E" w:rsidRDefault="00912CF5" w:rsidP="009632A6">
                      <w:pPr>
                        <w:spacing w:before="120"/>
                        <w:rPr>
                          <w:rFonts w:cs="Arial"/>
                          <w:b/>
                        </w:rPr>
                      </w:pPr>
                      <w:r>
                        <w:rPr>
                          <w:rFonts w:cs="Arial"/>
                          <w:b/>
                        </w:rPr>
                        <w:t>T</w:t>
                      </w:r>
                      <w:r w:rsidRPr="002A273E">
                        <w:rPr>
                          <w:rFonts w:cs="Arial"/>
                          <w:b/>
                        </w:rPr>
                        <w:t>he ‘no data limb’ is potentially available.</w:t>
                      </w:r>
                    </w:p>
                    <w:p w14:paraId="2F865736" w14:textId="3EB14EB3" w:rsidR="00912CF5" w:rsidRPr="002A273E" w:rsidRDefault="00912CF5" w:rsidP="002A7E6E">
                      <w:pPr>
                        <w:spacing w:before="120"/>
                        <w:rPr>
                          <w:rFonts w:cs="Arial"/>
                        </w:rPr>
                      </w:pPr>
                      <w:r>
                        <w:rPr>
                          <w:rFonts w:cs="Arial"/>
                        </w:rPr>
                        <w:t>I</w:t>
                      </w:r>
                      <w:r w:rsidRPr="002A273E">
                        <w:rPr>
                          <w:rFonts w:cs="Arial"/>
                        </w:rPr>
                        <w:t>s the discrimination objectively reasonabl</w:t>
                      </w:r>
                      <w:r>
                        <w:rPr>
                          <w:rFonts w:cs="Arial"/>
                        </w:rPr>
                        <w:t>e</w:t>
                      </w:r>
                      <w:r w:rsidRPr="002A273E">
                        <w:rPr>
                          <w:rFonts w:cs="Arial"/>
                        </w:rPr>
                        <w:t xml:space="preserve"> having regard to:</w:t>
                      </w:r>
                    </w:p>
                    <w:p w14:paraId="4FCC7680" w14:textId="77777777" w:rsidR="00912CF5" w:rsidRPr="002A273E" w:rsidRDefault="00912CF5" w:rsidP="007C0BA1">
                      <w:pPr>
                        <w:pStyle w:val="ListParagraph"/>
                        <w:numPr>
                          <w:ilvl w:val="0"/>
                          <w:numId w:val="17"/>
                        </w:numPr>
                        <w:spacing w:before="120"/>
                        <w:rPr>
                          <w:rFonts w:ascii="Arial" w:hAnsi="Arial" w:cs="Arial"/>
                          <w:sz w:val="24"/>
                          <w:szCs w:val="24"/>
                        </w:rPr>
                      </w:pPr>
                      <w:r w:rsidRPr="002A273E">
                        <w:rPr>
                          <w:rFonts w:ascii="Arial" w:hAnsi="Arial" w:cs="Arial"/>
                          <w:sz w:val="24"/>
                          <w:szCs w:val="24"/>
                        </w:rPr>
                        <w:t>practical and business considerations</w:t>
                      </w:r>
                    </w:p>
                    <w:p w14:paraId="71EAFC11" w14:textId="77777777" w:rsidR="00912CF5" w:rsidRPr="002A273E" w:rsidRDefault="00912CF5" w:rsidP="002A273E">
                      <w:pPr>
                        <w:pStyle w:val="ListParagraph"/>
                        <w:numPr>
                          <w:ilvl w:val="0"/>
                          <w:numId w:val="17"/>
                        </w:numPr>
                        <w:spacing w:before="120"/>
                        <w:rPr>
                          <w:rFonts w:ascii="Arial" w:hAnsi="Arial" w:cs="Arial"/>
                          <w:sz w:val="24"/>
                          <w:szCs w:val="24"/>
                        </w:rPr>
                      </w:pPr>
                      <w:r w:rsidRPr="002A273E">
                        <w:rPr>
                          <w:rFonts w:ascii="Arial" w:hAnsi="Arial" w:cs="Arial"/>
                          <w:sz w:val="24"/>
                          <w:szCs w:val="24"/>
                        </w:rPr>
                        <w:t>whether less discriminatory options were available</w:t>
                      </w:r>
                    </w:p>
                    <w:p w14:paraId="5ED503C5" w14:textId="77777777" w:rsidR="00912CF5" w:rsidRPr="002A273E" w:rsidRDefault="00912CF5" w:rsidP="002A273E">
                      <w:pPr>
                        <w:pStyle w:val="ListParagraph"/>
                        <w:numPr>
                          <w:ilvl w:val="0"/>
                          <w:numId w:val="17"/>
                        </w:numPr>
                        <w:spacing w:before="120"/>
                        <w:rPr>
                          <w:rFonts w:ascii="Arial" w:hAnsi="Arial" w:cs="Arial"/>
                          <w:sz w:val="24"/>
                          <w:szCs w:val="24"/>
                        </w:rPr>
                      </w:pPr>
                      <w:r w:rsidRPr="002A273E">
                        <w:rPr>
                          <w:rFonts w:ascii="Arial" w:hAnsi="Arial" w:cs="Arial"/>
                          <w:sz w:val="24"/>
                          <w:szCs w:val="24"/>
                        </w:rPr>
                        <w:t>the individual’s particular circumstances</w:t>
                      </w:r>
                    </w:p>
                    <w:p w14:paraId="3DDF8E1A" w14:textId="77777777" w:rsidR="00912CF5" w:rsidRDefault="00912CF5" w:rsidP="00354ADC">
                      <w:pPr>
                        <w:pStyle w:val="ListParagraph"/>
                        <w:numPr>
                          <w:ilvl w:val="0"/>
                          <w:numId w:val="17"/>
                        </w:numPr>
                        <w:spacing w:before="120"/>
                        <w:rPr>
                          <w:rFonts w:ascii="Arial" w:hAnsi="Arial" w:cs="Arial"/>
                          <w:sz w:val="24"/>
                          <w:szCs w:val="24"/>
                        </w:rPr>
                      </w:pPr>
                      <w:r w:rsidRPr="002A273E">
                        <w:rPr>
                          <w:rFonts w:ascii="Arial" w:hAnsi="Arial" w:cs="Arial"/>
                          <w:sz w:val="24"/>
                          <w:szCs w:val="24"/>
                        </w:rPr>
                        <w:t>the objects of the DDA, especially the object of eliminating disability discrimination as far as possible</w:t>
                      </w:r>
                    </w:p>
                    <w:p w14:paraId="7EF4E269" w14:textId="57C85E29" w:rsidR="00912CF5" w:rsidRPr="003557F0" w:rsidRDefault="00912CF5" w:rsidP="003557F0">
                      <w:pPr>
                        <w:pStyle w:val="ListParagraph"/>
                        <w:numPr>
                          <w:ilvl w:val="0"/>
                          <w:numId w:val="17"/>
                        </w:numPr>
                        <w:spacing w:before="120"/>
                        <w:rPr>
                          <w:rFonts w:ascii="Arial" w:hAnsi="Arial" w:cs="Arial"/>
                          <w:sz w:val="24"/>
                          <w:szCs w:val="24"/>
                        </w:rPr>
                      </w:pPr>
                      <w:r w:rsidRPr="002A273E">
                        <w:rPr>
                          <w:rFonts w:ascii="Arial" w:hAnsi="Arial" w:cs="Arial"/>
                          <w:sz w:val="24"/>
                          <w:szCs w:val="24"/>
                        </w:rPr>
                        <w:t>all other relevant factors of the particular case</w:t>
                      </w:r>
                      <w:r w:rsidRPr="003557F0">
                        <w:rPr>
                          <w:rFonts w:ascii="Arial" w:hAnsi="Arial" w:cs="Arial"/>
                          <w:sz w:val="24"/>
                          <w:szCs w:val="24"/>
                        </w:rPr>
                        <w:t>?</w:t>
                      </w:r>
                    </w:p>
                    <w:p w14:paraId="139EE38A" w14:textId="77777777" w:rsidR="00912CF5" w:rsidRPr="00354ADC" w:rsidRDefault="00912CF5" w:rsidP="00354ADC">
                      <w:pPr>
                        <w:pStyle w:val="ListParagraph"/>
                        <w:spacing w:before="120"/>
                        <w:ind w:left="284"/>
                        <w:rPr>
                          <w:rFonts w:ascii="Arial" w:hAnsi="Arial" w:cs="Arial"/>
                          <w:sz w:val="24"/>
                          <w:szCs w:val="24"/>
                        </w:rPr>
                      </w:pPr>
                    </w:p>
                    <w:p w14:paraId="59D580EA" w14:textId="422FA74B" w:rsidR="00912CF5" w:rsidRPr="00354ADC" w:rsidRDefault="00912CF5" w:rsidP="00354ADC">
                      <w:pPr>
                        <w:spacing w:before="120"/>
                        <w:rPr>
                          <w:rFonts w:cs="Arial"/>
                          <w:b/>
                        </w:rPr>
                      </w:pPr>
                      <w:r>
                        <w:rPr>
                          <w:rFonts w:cs="Arial"/>
                          <w:b/>
                        </w:rPr>
                        <w:t>If YES, the ‘no-data limb of s 46 applies.</w:t>
                      </w:r>
                    </w:p>
                  </w:txbxContent>
                </v:textbox>
                <w10:wrap anchorx="margin"/>
              </v:shape>
            </w:pict>
          </mc:Fallback>
        </mc:AlternateContent>
      </w:r>
    </w:p>
    <w:p w14:paraId="0E4759FD" w14:textId="77777777" w:rsidR="0061568A" w:rsidRPr="00FB5561" w:rsidRDefault="0061568A" w:rsidP="009F1CA7">
      <w:pPr>
        <w:spacing w:before="120" w:after="120"/>
        <w:ind w:left="1440"/>
        <w:rPr>
          <w:rFonts w:cs="Arial"/>
        </w:rPr>
      </w:pPr>
    </w:p>
    <w:p w14:paraId="6253EEA4" w14:textId="77777777" w:rsidR="0061568A" w:rsidRPr="00FB5561" w:rsidRDefault="0061568A" w:rsidP="009F1CA7">
      <w:pPr>
        <w:spacing w:before="120" w:after="120"/>
        <w:ind w:left="1440"/>
        <w:rPr>
          <w:rFonts w:cs="Arial"/>
        </w:rPr>
      </w:pPr>
    </w:p>
    <w:p w14:paraId="48F6EF1B" w14:textId="77777777" w:rsidR="0061568A" w:rsidRPr="00FB5561" w:rsidRDefault="0061568A" w:rsidP="009F1CA7">
      <w:pPr>
        <w:spacing w:before="120" w:after="120"/>
        <w:ind w:left="1440"/>
        <w:rPr>
          <w:rFonts w:cs="Arial"/>
        </w:rPr>
      </w:pPr>
    </w:p>
    <w:p w14:paraId="443FBD5E" w14:textId="77777777" w:rsidR="0061568A" w:rsidRPr="00FB5561" w:rsidRDefault="0061568A" w:rsidP="009F1CA7">
      <w:pPr>
        <w:spacing w:before="120" w:after="120"/>
        <w:ind w:left="1440"/>
        <w:rPr>
          <w:rFonts w:cs="Arial"/>
        </w:rPr>
      </w:pPr>
    </w:p>
    <w:p w14:paraId="5C50A1D4" w14:textId="77777777" w:rsidR="0061568A" w:rsidRPr="00FB5561" w:rsidRDefault="0061568A" w:rsidP="009F1CA7">
      <w:pPr>
        <w:spacing w:before="120" w:after="120"/>
        <w:ind w:left="1440"/>
        <w:rPr>
          <w:rFonts w:cs="Arial"/>
        </w:rPr>
      </w:pPr>
    </w:p>
    <w:p w14:paraId="1C5D2453" w14:textId="77777777" w:rsidR="0061568A" w:rsidRPr="00FB5561" w:rsidRDefault="0061568A" w:rsidP="009F1CA7">
      <w:pPr>
        <w:spacing w:before="120" w:after="120"/>
        <w:ind w:left="1440"/>
        <w:rPr>
          <w:rFonts w:cs="Arial"/>
        </w:rPr>
      </w:pPr>
    </w:p>
    <w:p w14:paraId="3C47439E" w14:textId="77777777" w:rsidR="0061568A" w:rsidRPr="00FB5561" w:rsidRDefault="0061568A" w:rsidP="009F1CA7">
      <w:pPr>
        <w:spacing w:before="120" w:after="120"/>
        <w:ind w:left="1440"/>
        <w:rPr>
          <w:rFonts w:cs="Arial"/>
        </w:rPr>
      </w:pPr>
    </w:p>
    <w:p w14:paraId="14F9D879" w14:textId="542C8120" w:rsidR="0061568A" w:rsidRPr="00FB5561" w:rsidRDefault="007C0BA1" w:rsidP="009F1CA7">
      <w:pPr>
        <w:spacing w:before="120" w:after="120"/>
        <w:ind w:left="1440"/>
        <w:rPr>
          <w:rFonts w:cs="Arial"/>
        </w:rPr>
      </w:pPr>
      <w:r w:rsidRPr="00060C32">
        <w:rPr>
          <w:rFonts w:cs="Arial"/>
          <w:noProof/>
        </w:rPr>
        <mc:AlternateContent>
          <mc:Choice Requires="wps">
            <w:drawing>
              <wp:anchor distT="0" distB="0" distL="114300" distR="114300" simplePos="0" relativeHeight="251703808" behindDoc="0" locked="0" layoutInCell="1" allowOverlap="1" wp14:anchorId="6453AC30" wp14:editId="79019429">
                <wp:simplePos x="0" y="0"/>
                <wp:positionH relativeFrom="column">
                  <wp:posOffset>918845</wp:posOffset>
                </wp:positionH>
                <wp:positionV relativeFrom="paragraph">
                  <wp:posOffset>90170</wp:posOffset>
                </wp:positionV>
                <wp:extent cx="0" cy="361950"/>
                <wp:effectExtent l="76200" t="0" r="76200" b="57150"/>
                <wp:wrapNone/>
                <wp:docPr id="35" name="Straight Arrow Connector 35"/>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w14:anchorId="7DB08D58" id="Straight Arrow Connector 35" o:spid="_x0000_s1026" type="#_x0000_t32" style="position:absolute;margin-left:72.35pt;margin-top:7.1pt;width:0;height:28.5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" strokecolor="#4f81bd [3204]" strokeweight=".5pt">
                <v:stroke endarrow="block" joinstyle="miter"/>
              </v:shape>
            </w:pict>
          </mc:Fallback>
        </mc:AlternateContent>
      </w:r>
    </w:p>
    <w:p w14:paraId="4FF245CA" w14:textId="77777777" w:rsidR="0061568A" w:rsidRPr="00FB5561" w:rsidRDefault="0061568A" w:rsidP="009F1CA7">
      <w:pPr>
        <w:spacing w:before="120" w:after="120"/>
        <w:ind w:left="1440"/>
        <w:rPr>
          <w:rFonts w:cs="Arial"/>
        </w:rPr>
      </w:pPr>
    </w:p>
    <w:p w14:paraId="1C6C3A31" w14:textId="77777777" w:rsidR="0061568A" w:rsidRPr="00FB5561" w:rsidRDefault="00A0750E" w:rsidP="00A0750E">
      <w:pPr>
        <w:spacing w:before="120" w:after="120"/>
        <w:ind w:firstLine="720"/>
        <w:rPr>
          <w:rFonts w:cs="Arial"/>
          <w:b/>
        </w:rPr>
      </w:pPr>
      <w:r w:rsidRPr="00CC69FD">
        <w:rPr>
          <w:rFonts w:cs="Arial"/>
          <w:b/>
          <w:noProof/>
        </w:rPr>
        <mc:AlternateContent>
          <mc:Choice Requires="wps">
            <w:drawing>
              <wp:anchor distT="0" distB="0" distL="114300" distR="114300" simplePos="0" relativeHeight="251668992" behindDoc="0" locked="0" layoutInCell="1" allowOverlap="1" wp14:anchorId="4C9DEA38" wp14:editId="612F53F6">
                <wp:simplePos x="0" y="0"/>
                <wp:positionH relativeFrom="margin">
                  <wp:posOffset>-557530</wp:posOffset>
                </wp:positionH>
                <wp:positionV relativeFrom="paragraph">
                  <wp:posOffset>301625</wp:posOffset>
                </wp:positionV>
                <wp:extent cx="3124200" cy="962025"/>
                <wp:effectExtent l="0" t="0" r="19050" b="28575"/>
                <wp:wrapNone/>
                <wp:docPr id="12" name="Flowchart: Process 12"/>
                <wp:cNvGraphicFramePr/>
                <a:graphic xmlns:a="http://schemas.openxmlformats.org/drawingml/2006/main">
                  <a:graphicData uri="http://schemas.microsoft.com/office/word/2010/wordprocessingShape">
                    <wps:wsp>
                      <wps:cNvSpPr/>
                      <wps:spPr>
                        <a:xfrm>
                          <a:off x="0" y="0"/>
                          <a:ext cx="3124200" cy="962025"/>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41782C" w14:textId="3931B067" w:rsidR="00912CF5" w:rsidRPr="00A0750E" w:rsidRDefault="00912CF5" w:rsidP="00A0750E">
                            <w:pPr>
                              <w:spacing w:before="120"/>
                              <w:rPr>
                                <w:rFonts w:cs="Arial"/>
                              </w:rPr>
                            </w:pPr>
                            <w:r>
                              <w:rPr>
                                <w:rFonts w:cs="Arial"/>
                              </w:rPr>
                              <w:t>I</w:t>
                            </w:r>
                            <w:r w:rsidRPr="00A0750E">
                              <w:rPr>
                                <w:rFonts w:cs="Arial"/>
                              </w:rPr>
                              <w:t xml:space="preserve">s the discrimination objectively reasonable having regard to this data and other relevant factors of which you are aware (or ought to be aware)? </w:t>
                            </w:r>
                          </w:p>
                          <w:p w14:paraId="41AC0EEB" w14:textId="77777777" w:rsidR="00912CF5" w:rsidRDefault="00912CF5" w:rsidP="00A075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EA38" id="Flowchart: Process 12" o:spid="_x0000_s1037" type="#_x0000_t109" style="position:absolute;left:0;text-align:left;margin-left:-43.9pt;margin-top:23.75pt;width:246pt;height:75.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" fillcolor="#237bbc" strokecolor="#243f60 [1604]" strokeweight="1pt">
                <v:textbox>
                  <w:txbxContent>
                    <w:p w14:paraId="4341782C" w14:textId="3931B067" w:rsidR="00912CF5" w:rsidRPr="00A0750E" w:rsidRDefault="00912CF5" w:rsidP="00A0750E">
                      <w:pPr>
                        <w:spacing w:before="120"/>
                        <w:rPr>
                          <w:rFonts w:cs="Arial"/>
                        </w:rPr>
                      </w:pPr>
                      <w:r>
                        <w:rPr>
                          <w:rFonts w:cs="Arial"/>
                        </w:rPr>
                        <w:t>I</w:t>
                      </w:r>
                      <w:r w:rsidRPr="00A0750E">
                        <w:rPr>
                          <w:rFonts w:cs="Arial"/>
                        </w:rPr>
                        <w:t xml:space="preserve">s the discrimination objectively reasonable having regard to this data and other relevant factors of which you are aware (or ought to be aware)? </w:t>
                      </w:r>
                    </w:p>
                    <w:p w14:paraId="41AC0EEB" w14:textId="77777777" w:rsidR="00912CF5" w:rsidRDefault="00912CF5" w:rsidP="00A0750E">
                      <w:pPr>
                        <w:jc w:val="center"/>
                      </w:pPr>
                    </w:p>
                  </w:txbxContent>
                </v:textbox>
                <w10:wrap anchorx="margin"/>
              </v:shape>
            </w:pict>
          </mc:Fallback>
        </mc:AlternateContent>
      </w:r>
      <w:r w:rsidR="002A273E" w:rsidRPr="00FB5561">
        <w:rPr>
          <w:rFonts w:cs="Arial"/>
          <w:b/>
        </w:rPr>
        <w:t xml:space="preserve">       </w:t>
      </w:r>
      <w:r w:rsidRPr="00FB5561">
        <w:rPr>
          <w:rFonts w:cs="Arial"/>
          <w:b/>
        </w:rPr>
        <w:t xml:space="preserve">AND </w:t>
      </w:r>
    </w:p>
    <w:p w14:paraId="7F011B2D" w14:textId="77777777" w:rsidR="0061568A" w:rsidRPr="00FB5561" w:rsidRDefault="0061568A" w:rsidP="009F1CA7">
      <w:pPr>
        <w:spacing w:before="120" w:after="120"/>
        <w:ind w:left="1440"/>
        <w:rPr>
          <w:rFonts w:cs="Arial"/>
        </w:rPr>
      </w:pPr>
    </w:p>
    <w:p w14:paraId="687C8215" w14:textId="77777777" w:rsidR="0061568A" w:rsidRPr="00FB5561" w:rsidRDefault="0061568A" w:rsidP="009F1CA7">
      <w:pPr>
        <w:spacing w:before="120" w:after="120"/>
        <w:ind w:left="1440"/>
        <w:rPr>
          <w:rFonts w:cs="Arial"/>
        </w:rPr>
      </w:pPr>
    </w:p>
    <w:p w14:paraId="0B975FD6" w14:textId="77777777" w:rsidR="0061568A" w:rsidRPr="00FB5561" w:rsidRDefault="0061568A" w:rsidP="009F1CA7">
      <w:pPr>
        <w:spacing w:before="120" w:after="120"/>
        <w:ind w:left="1440"/>
        <w:rPr>
          <w:rFonts w:cs="Arial"/>
        </w:rPr>
      </w:pPr>
    </w:p>
    <w:p w14:paraId="4944400D" w14:textId="77777777" w:rsidR="0061568A" w:rsidRPr="00FB5561" w:rsidRDefault="0061568A" w:rsidP="009F1CA7">
      <w:pPr>
        <w:spacing w:before="120" w:after="120"/>
        <w:ind w:left="1440"/>
        <w:rPr>
          <w:rFonts w:cs="Arial"/>
        </w:rPr>
      </w:pPr>
    </w:p>
    <w:p w14:paraId="5A5A0C1C" w14:textId="405C9348" w:rsidR="0061568A" w:rsidRPr="00FB5561" w:rsidRDefault="00A0750E" w:rsidP="009F1CA7">
      <w:pPr>
        <w:spacing w:before="120" w:after="120"/>
        <w:ind w:left="1440"/>
        <w:rPr>
          <w:rFonts w:cs="Arial"/>
        </w:rPr>
      </w:pPr>
      <w:r w:rsidRPr="00060C32">
        <w:rPr>
          <w:rFonts w:cs="Arial"/>
          <w:noProof/>
        </w:rPr>
        <mc:AlternateContent>
          <mc:Choice Requires="wps">
            <w:drawing>
              <wp:anchor distT="0" distB="0" distL="114300" distR="114300" simplePos="0" relativeHeight="251678208" behindDoc="0" locked="0" layoutInCell="1" allowOverlap="1" wp14:anchorId="6FB4FA9A" wp14:editId="0CFED7EA">
                <wp:simplePos x="0" y="0"/>
                <wp:positionH relativeFrom="margin">
                  <wp:posOffset>1547495</wp:posOffset>
                </wp:positionH>
                <wp:positionV relativeFrom="paragraph">
                  <wp:posOffset>63499</wp:posOffset>
                </wp:positionV>
                <wp:extent cx="76200" cy="295275"/>
                <wp:effectExtent l="0" t="0" r="76200" b="47625"/>
                <wp:wrapNone/>
                <wp:docPr id="18" name="Straight Arrow Connector 18"/>
                <wp:cNvGraphicFramePr/>
                <a:graphic xmlns:a="http://schemas.openxmlformats.org/drawingml/2006/main">
                  <a:graphicData uri="http://schemas.microsoft.com/office/word/2010/wordprocessingShape">
                    <wps:wsp>
                      <wps:cNvCnPr/>
                      <wps:spPr>
                        <a:xfrm>
                          <a:off x="0" y="0"/>
                          <a:ext cx="762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7C0A6702" id="Straight Arrow Connector 18" o:spid="_x0000_s1026" type="#_x0000_t32" style="position:absolute;margin-left:121.85pt;margin-top:5pt;width:6pt;height:23.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" strokecolor="#4f81bd [3204]" strokeweight=".5pt">
                <v:stroke endarrow="block" joinstyle="miter"/>
                <w10:wrap anchorx="margin"/>
              </v:shape>
            </w:pict>
          </mc:Fallback>
        </mc:AlternateContent>
      </w:r>
      <w:r w:rsidRPr="00CC69FD">
        <w:rPr>
          <w:rFonts w:cs="Arial"/>
          <w:noProof/>
        </w:rPr>
        <mc:AlternateContent>
          <mc:Choice Requires="wps">
            <w:drawing>
              <wp:anchor distT="0" distB="0" distL="114300" distR="114300" simplePos="0" relativeHeight="251674112" behindDoc="0" locked="0" layoutInCell="1" allowOverlap="1" wp14:anchorId="27ADEA20" wp14:editId="55FB975A">
                <wp:simplePos x="0" y="0"/>
                <wp:positionH relativeFrom="margin">
                  <wp:align>left</wp:align>
                </wp:positionH>
                <wp:positionV relativeFrom="paragraph">
                  <wp:posOffset>53975</wp:posOffset>
                </wp:positionV>
                <wp:extent cx="228600" cy="314325"/>
                <wp:effectExtent l="38100" t="0" r="19050" b="47625"/>
                <wp:wrapNone/>
                <wp:docPr id="16" name="Straight Arrow Connector 16"/>
                <wp:cNvGraphicFramePr/>
                <a:graphic xmlns:a="http://schemas.openxmlformats.org/drawingml/2006/main">
                  <a:graphicData uri="http://schemas.microsoft.com/office/word/2010/wordprocessingShape">
                    <wps:wsp>
                      <wps:cNvCnPr/>
                      <wps:spPr>
                        <a:xfrm flipH="1">
                          <a:off x="0" y="0"/>
                          <a:ext cx="22860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7190873" id="Straight Arrow Connector 16" o:spid="_x0000_s1026" type="#_x0000_t32" style="position:absolute;margin-left:0;margin-top:4.25pt;width:18pt;height:24.75pt;flip:x;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" strokecolor="#4f81bd [3204]" strokeweight=".5pt">
                <v:stroke endarrow="block" joinstyle="miter"/>
                <w10:wrap anchorx="margin"/>
              </v:shape>
            </w:pict>
          </mc:Fallback>
        </mc:AlternateContent>
      </w:r>
    </w:p>
    <w:p w14:paraId="4B8F82C3" w14:textId="24BB4970" w:rsidR="00A0750E" w:rsidRPr="00FB5561" w:rsidRDefault="003E36B8" w:rsidP="009F1CA7">
      <w:pPr>
        <w:spacing w:before="120" w:after="120"/>
        <w:ind w:left="1440"/>
        <w:rPr>
          <w:rFonts w:cs="Arial"/>
        </w:rPr>
      </w:pPr>
      <w:r w:rsidRPr="00CC69FD">
        <w:rPr>
          <w:rFonts w:cs="Arial"/>
          <w:b/>
          <w:noProof/>
        </w:rPr>
        <mc:AlternateContent>
          <mc:Choice Requires="wps">
            <w:drawing>
              <wp:anchor distT="0" distB="0" distL="114300" distR="114300" simplePos="0" relativeHeight="251680256" behindDoc="0" locked="0" layoutInCell="1" allowOverlap="1" wp14:anchorId="2FEA4DB5" wp14:editId="4AB3F5D1">
                <wp:simplePos x="0" y="0"/>
                <wp:positionH relativeFrom="margin">
                  <wp:posOffset>1057275</wp:posOffset>
                </wp:positionH>
                <wp:positionV relativeFrom="paragraph">
                  <wp:posOffset>188595</wp:posOffset>
                </wp:positionV>
                <wp:extent cx="1619250" cy="1962150"/>
                <wp:effectExtent l="0" t="0" r="19050" b="19050"/>
                <wp:wrapNone/>
                <wp:docPr id="19" name="Flowchart: Process 19"/>
                <wp:cNvGraphicFramePr/>
                <a:graphic xmlns:a="http://schemas.openxmlformats.org/drawingml/2006/main">
                  <a:graphicData uri="http://schemas.microsoft.com/office/word/2010/wordprocessingShape">
                    <wps:wsp>
                      <wps:cNvSpPr/>
                      <wps:spPr>
                        <a:xfrm>
                          <a:off x="0" y="0"/>
                          <a:ext cx="1619250" cy="1962150"/>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4A2B1C" w14:textId="4249362F" w:rsidR="00912CF5" w:rsidRPr="009D7B1A" w:rsidRDefault="00912CF5" w:rsidP="003E36B8">
                            <w:pPr>
                              <w:spacing w:before="120"/>
                              <w:jc w:val="both"/>
                              <w:rPr>
                                <w:rFonts w:cs="Arial"/>
                              </w:rPr>
                            </w:pPr>
                            <w:r w:rsidRPr="003E36B8">
                              <w:rPr>
                                <w:rFonts w:cs="Arial"/>
                                <w:b/>
                              </w:rPr>
                              <w:t xml:space="preserve">If the answer to either of these questions is </w:t>
                            </w:r>
                            <w:r>
                              <w:rPr>
                                <w:rFonts w:cs="Arial"/>
                                <w:b/>
                              </w:rPr>
                              <w:t>NO</w:t>
                            </w:r>
                            <w:r>
                              <w:rPr>
                                <w:rFonts w:cs="Arial"/>
                              </w:rPr>
                              <w:t>:  the exemption in s 46 does not apply.</w:t>
                            </w:r>
                          </w:p>
                          <w:p w14:paraId="63649282" w14:textId="77777777" w:rsidR="00912CF5" w:rsidRDefault="00912CF5" w:rsidP="003E36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A4DB5" id="Flowchart: Process 19" o:spid="_x0000_s1038" type="#_x0000_t109" style="position:absolute;left:0;text-align:left;margin-left:83.25pt;margin-top:14.85pt;width:127.5pt;height:154.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" fillcolor="#237bbc" strokecolor="#243f60 [1604]" strokeweight="1pt">
                <v:textbox>
                  <w:txbxContent>
                    <w:p w14:paraId="274A2B1C" w14:textId="4249362F" w:rsidR="00912CF5" w:rsidRPr="009D7B1A" w:rsidRDefault="00912CF5" w:rsidP="003E36B8">
                      <w:pPr>
                        <w:spacing w:before="120"/>
                        <w:jc w:val="both"/>
                        <w:rPr>
                          <w:rFonts w:cs="Arial"/>
                        </w:rPr>
                      </w:pPr>
                      <w:r w:rsidRPr="003E36B8">
                        <w:rPr>
                          <w:rFonts w:cs="Arial"/>
                          <w:b/>
                        </w:rPr>
                        <w:t xml:space="preserve">If the answer to either of these questions is </w:t>
                      </w:r>
                      <w:r>
                        <w:rPr>
                          <w:rFonts w:cs="Arial"/>
                          <w:b/>
                        </w:rPr>
                        <w:t>NO</w:t>
                      </w:r>
                      <w:r>
                        <w:rPr>
                          <w:rFonts w:cs="Arial"/>
                        </w:rPr>
                        <w:t>:  the exemption in s 46 does not apply.</w:t>
                      </w:r>
                    </w:p>
                    <w:p w14:paraId="63649282" w14:textId="77777777" w:rsidR="00912CF5" w:rsidRDefault="00912CF5" w:rsidP="003E36B8">
                      <w:pPr>
                        <w:jc w:val="center"/>
                      </w:pPr>
                    </w:p>
                  </w:txbxContent>
                </v:textbox>
                <w10:wrap anchorx="margin"/>
              </v:shape>
            </w:pict>
          </mc:Fallback>
        </mc:AlternateContent>
      </w:r>
      <w:r w:rsidR="00A0750E" w:rsidRPr="00CC69FD">
        <w:rPr>
          <w:rFonts w:cs="Arial"/>
          <w:b/>
          <w:noProof/>
        </w:rPr>
        <mc:AlternateContent>
          <mc:Choice Requires="wps">
            <w:drawing>
              <wp:anchor distT="0" distB="0" distL="114300" distR="114300" simplePos="0" relativeHeight="251676160" behindDoc="0" locked="0" layoutInCell="1" allowOverlap="1" wp14:anchorId="74EA1D54" wp14:editId="54740784">
                <wp:simplePos x="0" y="0"/>
                <wp:positionH relativeFrom="margin">
                  <wp:posOffset>-614679</wp:posOffset>
                </wp:positionH>
                <wp:positionV relativeFrom="paragraph">
                  <wp:posOffset>183515</wp:posOffset>
                </wp:positionV>
                <wp:extent cx="1619250" cy="1962150"/>
                <wp:effectExtent l="0" t="0" r="19050" b="19050"/>
                <wp:wrapNone/>
                <wp:docPr id="17" name="Flowchart: Process 17"/>
                <wp:cNvGraphicFramePr/>
                <a:graphic xmlns:a="http://schemas.openxmlformats.org/drawingml/2006/main">
                  <a:graphicData uri="http://schemas.microsoft.com/office/word/2010/wordprocessingShape">
                    <wps:wsp>
                      <wps:cNvSpPr/>
                      <wps:spPr>
                        <a:xfrm>
                          <a:off x="0" y="0"/>
                          <a:ext cx="1619250" cy="1962150"/>
                        </a:xfrm>
                        <a:prstGeom prst="flowChartProcess">
                          <a:avLst/>
                        </a:prstGeom>
                        <a:solidFill>
                          <a:srgbClr val="237BBC"/>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25032A" w14:textId="498F462D" w:rsidR="00912CF5" w:rsidRDefault="00912CF5" w:rsidP="00A0750E">
                            <w:pPr>
                              <w:spacing w:before="120"/>
                              <w:rPr>
                                <w:rFonts w:cs="Arial"/>
                              </w:rPr>
                            </w:pPr>
                            <w:r w:rsidRPr="00A0750E">
                              <w:rPr>
                                <w:rFonts w:cs="Arial"/>
                                <w:b/>
                              </w:rPr>
                              <w:t>If the answer to both of these questions is YES</w:t>
                            </w:r>
                            <w:r>
                              <w:rPr>
                                <w:rFonts w:cs="Arial"/>
                              </w:rPr>
                              <w:t>: th</w:t>
                            </w:r>
                            <w:r w:rsidRPr="009D7B1A">
                              <w:rPr>
                                <w:rFonts w:cs="Arial"/>
                              </w:rPr>
                              <w:t xml:space="preserve">e ‘data limb’ </w:t>
                            </w:r>
                            <w:r>
                              <w:rPr>
                                <w:rFonts w:cs="Arial"/>
                              </w:rPr>
                              <w:t xml:space="preserve">of s 46 </w:t>
                            </w:r>
                            <w:r w:rsidRPr="009D7B1A">
                              <w:rPr>
                                <w:rFonts w:cs="Arial"/>
                              </w:rPr>
                              <w:t>applies.</w:t>
                            </w:r>
                            <w:r>
                              <w:rPr>
                                <w:rFonts w:cs="Arial"/>
                              </w:rPr>
                              <w:t xml:space="preserve">  Ensure that the document recording the relevant decision refers to the data relied upon.</w:t>
                            </w:r>
                          </w:p>
                          <w:p w14:paraId="6CF76681" w14:textId="77777777" w:rsidR="00912CF5" w:rsidRDefault="00912CF5" w:rsidP="00A075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1D54" id="Flowchart: Process 17" o:spid="_x0000_s1039" type="#_x0000_t109" style="position:absolute;left:0;text-align:left;margin-left:-48.4pt;margin-top:14.45pt;width:127.5pt;height:154.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" fillcolor="#237bbc" strokecolor="#243f60 [1604]" strokeweight="1pt">
                <v:textbox>
                  <w:txbxContent>
                    <w:p w14:paraId="7E25032A" w14:textId="498F462D" w:rsidR="00912CF5" w:rsidRDefault="00912CF5" w:rsidP="00A0750E">
                      <w:pPr>
                        <w:spacing w:before="120"/>
                        <w:rPr>
                          <w:rFonts w:cs="Arial"/>
                        </w:rPr>
                      </w:pPr>
                      <w:r w:rsidRPr="00A0750E">
                        <w:rPr>
                          <w:rFonts w:cs="Arial"/>
                          <w:b/>
                        </w:rPr>
                        <w:t>If the answer to both of these questions is YES</w:t>
                      </w:r>
                      <w:r>
                        <w:rPr>
                          <w:rFonts w:cs="Arial"/>
                        </w:rPr>
                        <w:t>: th</w:t>
                      </w:r>
                      <w:r w:rsidRPr="009D7B1A">
                        <w:rPr>
                          <w:rFonts w:cs="Arial"/>
                        </w:rPr>
                        <w:t xml:space="preserve">e ‘data limb’ </w:t>
                      </w:r>
                      <w:r>
                        <w:rPr>
                          <w:rFonts w:cs="Arial"/>
                        </w:rPr>
                        <w:t xml:space="preserve">of s 46 </w:t>
                      </w:r>
                      <w:r w:rsidRPr="009D7B1A">
                        <w:rPr>
                          <w:rFonts w:cs="Arial"/>
                        </w:rPr>
                        <w:t>applies.</w:t>
                      </w:r>
                      <w:r>
                        <w:rPr>
                          <w:rFonts w:cs="Arial"/>
                        </w:rPr>
                        <w:t xml:space="preserve">  Ensure that the document recording the relevant decision refers to the data relied upon.</w:t>
                      </w:r>
                    </w:p>
                    <w:p w14:paraId="6CF76681" w14:textId="77777777" w:rsidR="00912CF5" w:rsidRDefault="00912CF5" w:rsidP="00A0750E">
                      <w:pPr>
                        <w:jc w:val="center"/>
                      </w:pPr>
                    </w:p>
                  </w:txbxContent>
                </v:textbox>
                <w10:wrap anchorx="margin"/>
              </v:shape>
            </w:pict>
          </mc:Fallback>
        </mc:AlternateContent>
      </w:r>
    </w:p>
    <w:p w14:paraId="5B983E97" w14:textId="77777777" w:rsidR="00A0750E" w:rsidRPr="00FB5561" w:rsidRDefault="00A0750E" w:rsidP="009F1CA7">
      <w:pPr>
        <w:spacing w:before="120" w:after="120"/>
        <w:ind w:left="1440"/>
        <w:rPr>
          <w:rFonts w:cs="Arial"/>
        </w:rPr>
      </w:pPr>
    </w:p>
    <w:p w14:paraId="7AA61931" w14:textId="77777777" w:rsidR="00A0750E" w:rsidRPr="00FB5561" w:rsidRDefault="00A0750E" w:rsidP="009D7B1A">
      <w:pPr>
        <w:spacing w:before="120"/>
        <w:ind w:left="1080"/>
        <w:rPr>
          <w:rFonts w:cs="Arial"/>
        </w:rPr>
      </w:pPr>
    </w:p>
    <w:p w14:paraId="5121740C" w14:textId="77777777" w:rsidR="00A0750E" w:rsidRPr="00FB5561" w:rsidRDefault="00A0750E" w:rsidP="009D7B1A">
      <w:pPr>
        <w:spacing w:before="120"/>
        <w:ind w:left="1080"/>
        <w:rPr>
          <w:rFonts w:cs="Arial"/>
        </w:rPr>
      </w:pPr>
    </w:p>
    <w:p w14:paraId="0D29A141" w14:textId="43A11B3A" w:rsidR="00A0750E" w:rsidRPr="00FB5561" w:rsidRDefault="00A0750E" w:rsidP="004C4C4E">
      <w:pPr>
        <w:spacing w:before="120"/>
        <w:rPr>
          <w:rFonts w:cs="Arial"/>
          <w:b/>
        </w:rPr>
      </w:pPr>
      <w:bookmarkStart w:id="13" w:name="_GoBack"/>
      <w:bookmarkEnd w:id="13"/>
    </w:p>
    <w:p w14:paraId="57A83089" w14:textId="12929FA9" w:rsidR="00B90E27" w:rsidRPr="00FB5561" w:rsidRDefault="000B083C" w:rsidP="000B083C">
      <w:pPr>
        <w:pStyle w:val="Heading2"/>
        <w:numPr>
          <w:ilvl w:val="0"/>
          <w:numId w:val="0"/>
        </w:numPr>
        <w:tabs>
          <w:tab w:val="left" w:pos="851"/>
        </w:tabs>
        <w:ind w:left="851" w:hanging="851"/>
        <w:rPr>
          <w:rFonts w:cs="Arial"/>
          <w:i w:val="0"/>
          <w:sz w:val="24"/>
          <w:szCs w:val="24"/>
        </w:rPr>
      </w:pPr>
      <w:bookmarkStart w:id="14" w:name="_Toc450572318"/>
      <w:bookmarkStart w:id="15" w:name="_Toc451164016"/>
      <w:bookmarkStart w:id="16" w:name="_Toc451164050"/>
      <w:bookmarkStart w:id="17" w:name="_Toc451243892"/>
      <w:bookmarkStart w:id="18" w:name="_Toc450572319"/>
      <w:bookmarkStart w:id="19" w:name="_Toc451164017"/>
      <w:bookmarkStart w:id="20" w:name="_Toc451164051"/>
      <w:bookmarkStart w:id="21" w:name="_Toc451243893"/>
      <w:bookmarkStart w:id="22" w:name="_Toc450572320"/>
      <w:bookmarkStart w:id="23" w:name="_Toc451164018"/>
      <w:bookmarkStart w:id="24" w:name="_Toc451164052"/>
      <w:bookmarkStart w:id="25" w:name="_Toc451243894"/>
      <w:bookmarkStart w:id="26" w:name="_Toc450572321"/>
      <w:bookmarkStart w:id="27" w:name="_Toc451164019"/>
      <w:bookmarkStart w:id="28" w:name="_Toc451164053"/>
      <w:bookmarkStart w:id="29" w:name="_Toc451243895"/>
      <w:bookmarkStart w:id="30" w:name="_Toc46697367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B5561">
        <w:rPr>
          <w:rFonts w:cs="Arial"/>
          <w:i w:val="0"/>
          <w:sz w:val="24"/>
          <w:szCs w:val="24"/>
        </w:rPr>
        <w:t>4.1</w:t>
      </w:r>
      <w:r w:rsidRPr="00FB5561">
        <w:rPr>
          <w:rFonts w:cs="Arial"/>
          <w:i w:val="0"/>
          <w:sz w:val="24"/>
          <w:szCs w:val="24"/>
        </w:rPr>
        <w:tab/>
      </w:r>
      <w:r w:rsidR="00B90E27" w:rsidRPr="00FB5561">
        <w:rPr>
          <w:rFonts w:cs="Arial"/>
          <w:i w:val="0"/>
          <w:sz w:val="24"/>
          <w:szCs w:val="24"/>
        </w:rPr>
        <w:t>Wh</w:t>
      </w:r>
      <w:r w:rsidR="003228A4" w:rsidRPr="00FB5561">
        <w:rPr>
          <w:rFonts w:cs="Arial"/>
          <w:i w:val="0"/>
          <w:sz w:val="24"/>
          <w:szCs w:val="24"/>
        </w:rPr>
        <w:t>at</w:t>
      </w:r>
      <w:r w:rsidR="00B90E27" w:rsidRPr="00FB5561">
        <w:rPr>
          <w:rFonts w:cs="Arial"/>
          <w:i w:val="0"/>
          <w:sz w:val="24"/>
          <w:szCs w:val="24"/>
        </w:rPr>
        <w:t xml:space="preserve"> actuarial or statistical </w:t>
      </w:r>
      <w:r w:rsidR="00C634F3" w:rsidRPr="00FB5561">
        <w:rPr>
          <w:rFonts w:cs="Arial"/>
          <w:i w:val="0"/>
          <w:sz w:val="24"/>
          <w:szCs w:val="24"/>
        </w:rPr>
        <w:t>data</w:t>
      </w:r>
      <w:r w:rsidR="003228A4" w:rsidRPr="00FB5561">
        <w:rPr>
          <w:rFonts w:cs="Arial"/>
          <w:i w:val="0"/>
          <w:sz w:val="24"/>
          <w:szCs w:val="24"/>
        </w:rPr>
        <w:t xml:space="preserve"> is reasonable to rely upon</w:t>
      </w:r>
      <w:r w:rsidR="00C634F3" w:rsidRPr="00FB5561">
        <w:rPr>
          <w:rFonts w:cs="Arial"/>
          <w:i w:val="0"/>
          <w:sz w:val="24"/>
          <w:szCs w:val="24"/>
        </w:rPr>
        <w:t>?</w:t>
      </w:r>
      <w:bookmarkEnd w:id="30"/>
    </w:p>
    <w:p w14:paraId="6A5AEDEE" w14:textId="1D35B5BD" w:rsidR="00F079E6" w:rsidRPr="00FB5561" w:rsidRDefault="00474DEC" w:rsidP="00474DEC">
      <w:pPr>
        <w:pStyle w:val="Heading3"/>
        <w:tabs>
          <w:tab w:val="left" w:pos="1134"/>
        </w:tabs>
        <w:rPr>
          <w:rFonts w:cs="Arial"/>
        </w:rPr>
      </w:pPr>
      <w:bookmarkStart w:id="31" w:name="_Toc450572323"/>
      <w:bookmarkStart w:id="32" w:name="_Toc466973677"/>
      <w:r w:rsidRPr="00FB5561">
        <w:rPr>
          <w:rFonts w:cs="Arial"/>
        </w:rPr>
        <w:t>(a)</w:t>
      </w:r>
      <w:r w:rsidRPr="00FB5561">
        <w:rPr>
          <w:rFonts w:cs="Arial"/>
        </w:rPr>
        <w:tab/>
      </w:r>
      <w:r w:rsidR="00F079E6" w:rsidRPr="00FB5561">
        <w:rPr>
          <w:rFonts w:cs="Arial"/>
        </w:rPr>
        <w:t>General considerations applicable to all data</w:t>
      </w:r>
      <w:bookmarkEnd w:id="31"/>
      <w:bookmarkEnd w:id="32"/>
    </w:p>
    <w:p w14:paraId="3D66AE76" w14:textId="77777777" w:rsidR="00C634F3" w:rsidRPr="00FB5561" w:rsidRDefault="00C73D67" w:rsidP="00341197">
      <w:pPr>
        <w:spacing w:before="100" w:beforeAutospacing="1" w:after="100" w:afterAutospacing="1"/>
        <w:rPr>
          <w:rFonts w:cs="Arial"/>
        </w:rPr>
      </w:pPr>
      <w:r w:rsidRPr="00FB5561">
        <w:rPr>
          <w:rFonts w:cs="Arial"/>
        </w:rPr>
        <w:t>A provider of insurance or superannuation should consider actuarial or statistical data if it is available or reasonably obtaina</w:t>
      </w:r>
      <w:r w:rsidR="00BA04B0" w:rsidRPr="00FB5561">
        <w:rPr>
          <w:rFonts w:cs="Arial"/>
        </w:rPr>
        <w:t xml:space="preserve">ble. </w:t>
      </w:r>
      <w:r w:rsidRPr="00FB5561">
        <w:rPr>
          <w:rFonts w:cs="Arial"/>
        </w:rPr>
        <w:t xml:space="preserve">The following </w:t>
      </w:r>
      <w:r w:rsidR="00EE1512" w:rsidRPr="00FB5561">
        <w:rPr>
          <w:rFonts w:cs="Arial"/>
        </w:rPr>
        <w:t xml:space="preserve">sections set out </w:t>
      </w:r>
      <w:r w:rsidRPr="00FB5561">
        <w:rPr>
          <w:rFonts w:cs="Arial"/>
        </w:rPr>
        <w:t xml:space="preserve">some of the more common types of actuarial and statistical data on which </w:t>
      </w:r>
      <w:r w:rsidR="00EE1512" w:rsidRPr="00FB5561">
        <w:rPr>
          <w:rFonts w:cs="Arial"/>
        </w:rPr>
        <w:t xml:space="preserve">it may be reasonable to rely, depending on all the circumstances. </w:t>
      </w:r>
    </w:p>
    <w:p w14:paraId="273FA708" w14:textId="2C070CFD" w:rsidR="00E77FF4" w:rsidRPr="00FB5561" w:rsidRDefault="004F620E" w:rsidP="00EE1512">
      <w:pPr>
        <w:rPr>
          <w:rFonts w:cs="Arial"/>
        </w:rPr>
      </w:pPr>
      <w:r w:rsidRPr="00FB5561">
        <w:rPr>
          <w:rFonts w:cs="Arial"/>
        </w:rPr>
        <w:t xml:space="preserve">The question of whether it is reasonable for a provider to rely upon particular data involves </w:t>
      </w:r>
      <w:r w:rsidR="00CB0B37" w:rsidRPr="00FB5561">
        <w:rPr>
          <w:rFonts w:cs="Arial"/>
        </w:rPr>
        <w:t>‘</w:t>
      </w:r>
      <w:r w:rsidRPr="00FB5561">
        <w:rPr>
          <w:rFonts w:cs="Arial"/>
        </w:rPr>
        <w:t xml:space="preserve">an objective </w:t>
      </w:r>
      <w:r w:rsidR="00CB0B37" w:rsidRPr="00FB5561">
        <w:rPr>
          <w:rFonts w:cs="Arial"/>
        </w:rPr>
        <w:t>judgment about the nature and quality of the actuarial or statistical data’ in each case.</w:t>
      </w:r>
      <w:r w:rsidR="00E77FF4" w:rsidRPr="00FB5561">
        <w:rPr>
          <w:rStyle w:val="EndnoteReference"/>
          <w:rFonts w:cs="Arial"/>
          <w:szCs w:val="20"/>
        </w:rPr>
        <w:endnoteReference w:id="17"/>
      </w:r>
    </w:p>
    <w:p w14:paraId="4FF7A04B" w14:textId="77777777" w:rsidR="0085589A" w:rsidRPr="00FB5561" w:rsidRDefault="00E77FF4" w:rsidP="00A9130F">
      <w:pPr>
        <w:spacing w:before="100" w:beforeAutospacing="1" w:after="100" w:afterAutospacing="1"/>
        <w:rPr>
          <w:rFonts w:cs="Arial"/>
        </w:rPr>
      </w:pPr>
      <w:r w:rsidRPr="00FB5561">
        <w:rPr>
          <w:rFonts w:cs="Arial"/>
        </w:rPr>
        <w:t>The Federal Court has suggested that it may not, for example, be reasonable to rely on data where that data is out-of-date, qualified, incomplete, discredited, based on an insufficient sample size, or not directly applicable to the particular situation, and the decision-maker ought to know this.</w:t>
      </w:r>
      <w:r w:rsidRPr="00FB5561">
        <w:rPr>
          <w:rStyle w:val="EndnoteReference"/>
          <w:rFonts w:cs="Arial"/>
          <w:szCs w:val="20"/>
        </w:rPr>
        <w:endnoteReference w:id="18"/>
      </w:r>
      <w:r w:rsidRPr="00FB5561">
        <w:rPr>
          <w:rFonts w:cs="Arial"/>
        </w:rPr>
        <w:t xml:space="preserve"> </w:t>
      </w:r>
    </w:p>
    <w:p w14:paraId="69CD3489" w14:textId="5E2A6675" w:rsidR="00F51A3A" w:rsidRPr="00FB5561" w:rsidRDefault="000B66D1" w:rsidP="001C3E09">
      <w:pPr>
        <w:spacing w:before="100" w:beforeAutospacing="1" w:after="100" w:afterAutospacing="1"/>
        <w:rPr>
          <w:rFonts w:cs="Arial"/>
        </w:rPr>
      </w:pPr>
      <w:r w:rsidRPr="00FB5561">
        <w:rPr>
          <w:rFonts w:cs="Arial"/>
        </w:rPr>
        <w:t>As the data</w:t>
      </w:r>
      <w:r w:rsidR="00174EFE" w:rsidRPr="00FB5561">
        <w:rPr>
          <w:rFonts w:cs="Arial"/>
        </w:rPr>
        <w:t>-limb</w:t>
      </w:r>
      <w:r w:rsidRPr="00FB5561">
        <w:rPr>
          <w:rFonts w:cs="Arial"/>
        </w:rPr>
        <w:t xml:space="preserve"> exemption</w:t>
      </w:r>
      <w:r w:rsidR="008D52CE" w:rsidRPr="00FB5561">
        <w:rPr>
          <w:rFonts w:cs="Arial"/>
        </w:rPr>
        <w:t xml:space="preserve"> requires the discrimination to be ‘based’ on the relevant data, this means that the data must have </w:t>
      </w:r>
      <w:r w:rsidR="00E665C3" w:rsidRPr="00FB5561">
        <w:rPr>
          <w:rFonts w:cs="Arial"/>
        </w:rPr>
        <w:t>be</w:t>
      </w:r>
      <w:r w:rsidR="00174EFE" w:rsidRPr="00FB5561">
        <w:rPr>
          <w:rFonts w:cs="Arial"/>
        </w:rPr>
        <w:t>en</w:t>
      </w:r>
      <w:r w:rsidR="00E665C3" w:rsidRPr="00FB5561">
        <w:rPr>
          <w:rFonts w:cs="Arial"/>
        </w:rPr>
        <w:t xml:space="preserve"> available</w:t>
      </w:r>
      <w:r w:rsidR="008D52CE" w:rsidRPr="00FB5561">
        <w:rPr>
          <w:rFonts w:cs="Arial"/>
        </w:rPr>
        <w:t xml:space="preserve"> at the time of the discrimination.</w:t>
      </w:r>
      <w:r w:rsidR="00F51A3A" w:rsidRPr="00FB5561">
        <w:rPr>
          <w:rStyle w:val="EndnoteReference"/>
          <w:rFonts w:cs="Arial"/>
        </w:rPr>
        <w:endnoteReference w:id="19"/>
      </w:r>
      <w:r w:rsidR="00F51A3A" w:rsidRPr="00FB5561">
        <w:rPr>
          <w:rFonts w:cs="Arial"/>
        </w:rPr>
        <w:t xml:space="preserve"> </w:t>
      </w:r>
      <w:r w:rsidR="00FD3838" w:rsidRPr="00FB5561">
        <w:rPr>
          <w:rFonts w:cs="Arial"/>
        </w:rPr>
        <w:t>In addition, t</w:t>
      </w:r>
      <w:r w:rsidR="00053EC8" w:rsidRPr="00FB5561">
        <w:rPr>
          <w:rFonts w:cs="Arial"/>
        </w:rPr>
        <w:t xml:space="preserve">he insurance or superannuation provider must also </w:t>
      </w:r>
      <w:r w:rsidR="00E665C3" w:rsidRPr="00FB5561">
        <w:rPr>
          <w:rFonts w:cs="Arial"/>
        </w:rPr>
        <w:t xml:space="preserve">be able to </w:t>
      </w:r>
      <w:r w:rsidR="00053EC8" w:rsidRPr="00FB5561">
        <w:rPr>
          <w:rFonts w:cs="Arial"/>
        </w:rPr>
        <w:t xml:space="preserve">show that the data </w:t>
      </w:r>
      <w:r w:rsidR="00FD3838" w:rsidRPr="00FB5561">
        <w:rPr>
          <w:rFonts w:cs="Arial"/>
        </w:rPr>
        <w:t>was</w:t>
      </w:r>
      <w:r w:rsidR="00053EC8" w:rsidRPr="00FB5561">
        <w:rPr>
          <w:rFonts w:cs="Arial"/>
        </w:rPr>
        <w:t xml:space="preserve"> actually</w:t>
      </w:r>
      <w:r w:rsidR="00E665C3" w:rsidRPr="00FB5561">
        <w:rPr>
          <w:rFonts w:cs="Arial"/>
        </w:rPr>
        <w:t xml:space="preserve"> </w:t>
      </w:r>
      <w:r w:rsidR="00053EC8" w:rsidRPr="00FB5561">
        <w:rPr>
          <w:rFonts w:cs="Arial"/>
        </w:rPr>
        <w:t>considered and relied upon.</w:t>
      </w:r>
    </w:p>
    <w:p w14:paraId="00655D11" w14:textId="7017B82F" w:rsidR="00F079E6" w:rsidRPr="00FB5561" w:rsidRDefault="00F51A3A" w:rsidP="001C3E09">
      <w:pPr>
        <w:spacing w:before="100" w:beforeAutospacing="1" w:after="100" w:afterAutospacing="1"/>
        <w:rPr>
          <w:rFonts w:cs="Arial"/>
          <w:i/>
          <w:iCs/>
        </w:rPr>
      </w:pPr>
      <w:r w:rsidRPr="00FB5561">
        <w:rPr>
          <w:rFonts w:cs="Arial"/>
          <w:i/>
          <w:iCs/>
        </w:rPr>
        <w:t>For example</w:t>
      </w:r>
      <w:r w:rsidR="00174EFE" w:rsidRPr="00FB5561">
        <w:rPr>
          <w:rFonts w:cs="Arial"/>
          <w:i/>
          <w:iCs/>
        </w:rPr>
        <w:t xml:space="preserve"> i</w:t>
      </w:r>
      <w:r w:rsidRPr="00FB5561">
        <w:rPr>
          <w:rFonts w:cs="Arial"/>
          <w:i/>
          <w:iCs/>
        </w:rPr>
        <w:t xml:space="preserve">n </w:t>
      </w:r>
      <w:r w:rsidRPr="00FB5561">
        <w:rPr>
          <w:rFonts w:cs="Arial"/>
          <w:iCs/>
        </w:rPr>
        <w:t>Ingram v QBE</w:t>
      </w:r>
      <w:r w:rsidR="002F40C0" w:rsidRPr="00FB5561">
        <w:rPr>
          <w:rFonts w:cs="Arial"/>
          <w:iCs/>
        </w:rPr>
        <w:t>,</w:t>
      </w:r>
      <w:r w:rsidRPr="00FB5561">
        <w:rPr>
          <w:rFonts w:cs="Arial"/>
          <w:i/>
          <w:iCs/>
        </w:rPr>
        <w:t xml:space="preserve"> </w:t>
      </w:r>
      <w:r w:rsidR="005205C7" w:rsidRPr="00FB5561">
        <w:rPr>
          <w:rFonts w:cs="Arial"/>
          <w:i/>
          <w:iCs/>
        </w:rPr>
        <w:t xml:space="preserve">QBE accepted that it had no actuarial data to rely on </w:t>
      </w:r>
      <w:r w:rsidR="00A71542" w:rsidRPr="00FB5561">
        <w:rPr>
          <w:rFonts w:cs="Arial"/>
          <w:i/>
          <w:iCs/>
        </w:rPr>
        <w:t xml:space="preserve">when </w:t>
      </w:r>
      <w:r w:rsidR="005205C7" w:rsidRPr="00FB5561">
        <w:rPr>
          <w:rFonts w:cs="Arial"/>
          <w:i/>
          <w:iCs/>
        </w:rPr>
        <w:t xml:space="preserve">it included a mental illness exclusion in </w:t>
      </w:r>
      <w:r w:rsidR="002F40C0" w:rsidRPr="00FB5561">
        <w:rPr>
          <w:rFonts w:cs="Arial"/>
          <w:i/>
          <w:iCs/>
        </w:rPr>
        <w:t xml:space="preserve">a travel insurance policy. QBE submitted an actuarial report at the hearing in 2015, but this could not be relied upon under s 46(2)(f) of the DDA because it was not available to QBE at the time it made the decisions in relation to the content of the policy and Ms Ingram’s claim for indemnity. Instead, QBE </w:t>
      </w:r>
      <w:r w:rsidR="00C14EFA" w:rsidRPr="00FB5561">
        <w:rPr>
          <w:rFonts w:cs="Arial"/>
          <w:i/>
          <w:iCs/>
        </w:rPr>
        <w:t>referred to other contemporaneous data and asked the tribunal to infer that QBE took this data into account in making the relevant decisions</w:t>
      </w:r>
      <w:r w:rsidRPr="00FB5561">
        <w:rPr>
          <w:rFonts w:cs="Arial"/>
          <w:i/>
          <w:iCs/>
        </w:rPr>
        <w:t>.</w:t>
      </w:r>
      <w:r w:rsidR="00B00372" w:rsidRPr="00FB5561">
        <w:rPr>
          <w:rFonts w:cs="Arial"/>
          <w:i/>
          <w:iCs/>
        </w:rPr>
        <w:t xml:space="preserve"> The tribunal refused to make the inference sought by QBE</w:t>
      </w:r>
      <w:r w:rsidR="00C948DE" w:rsidRPr="00FB5561">
        <w:rPr>
          <w:rFonts w:cs="Arial"/>
          <w:i/>
          <w:iCs/>
        </w:rPr>
        <w:t>, noting that QBE had not produced any evidence to establish that any person involved in the drafting or approval of the policy wording had any knowledge of or regard to that contemporaneous data.</w:t>
      </w:r>
      <w:r w:rsidRPr="00FB5561">
        <w:rPr>
          <w:rStyle w:val="EndnoteReference"/>
          <w:rFonts w:cs="Arial"/>
        </w:rPr>
        <w:endnoteReference w:id="20"/>
      </w:r>
      <w:r w:rsidRPr="00FB5561">
        <w:rPr>
          <w:rStyle w:val="EndnoteReference"/>
          <w:rFonts w:cs="Arial"/>
          <w:sz w:val="24"/>
        </w:rPr>
        <w:t xml:space="preserve"> </w:t>
      </w:r>
      <w:r w:rsidR="00847889" w:rsidRPr="00FB5561">
        <w:rPr>
          <w:rStyle w:val="FootnoteReference"/>
          <w:rFonts w:cs="Arial"/>
          <w:sz w:val="24"/>
        </w:rPr>
        <w:t xml:space="preserve"> </w:t>
      </w:r>
    </w:p>
    <w:p w14:paraId="4BAFFADD" w14:textId="77777777" w:rsidR="0013306F" w:rsidRPr="00FB5561" w:rsidRDefault="0013306F" w:rsidP="00876727">
      <w:pPr>
        <w:spacing w:before="100" w:beforeAutospacing="1" w:after="100" w:afterAutospacing="1"/>
        <w:rPr>
          <w:rFonts w:cs="Arial"/>
        </w:rPr>
      </w:pPr>
      <w:bookmarkStart w:id="33" w:name="_Toc450572324"/>
      <w:r w:rsidRPr="00FB5561">
        <w:rPr>
          <w:rFonts w:cs="Arial"/>
        </w:rPr>
        <w:t>This means that it is important for insurance or superannuation providers to keep accurate records of the actuarial or statistical data that they rely on when making relevant decisions. Failure to do so may mean that the s 46(1)(f) and (2)(f) exemptions cannot be relied upon, even if relevant data was publicly available at the relevant time.</w:t>
      </w:r>
    </w:p>
    <w:p w14:paraId="3937D823" w14:textId="1B2512D0" w:rsidR="0085589A" w:rsidRPr="00FB5561" w:rsidRDefault="00474DEC" w:rsidP="003E4C3D">
      <w:pPr>
        <w:pStyle w:val="Heading3"/>
        <w:rPr>
          <w:rFonts w:cs="Arial"/>
        </w:rPr>
      </w:pPr>
      <w:bookmarkStart w:id="34" w:name="_Toc466973678"/>
      <w:r w:rsidRPr="00FB5561">
        <w:rPr>
          <w:rFonts w:cs="Arial"/>
        </w:rPr>
        <w:t>(b)</w:t>
      </w:r>
      <w:r w:rsidRPr="00FB5561">
        <w:rPr>
          <w:rFonts w:cs="Arial"/>
        </w:rPr>
        <w:tab/>
      </w:r>
      <w:r w:rsidR="00C23E2F" w:rsidRPr="00FB5561">
        <w:rPr>
          <w:rFonts w:cs="Arial"/>
        </w:rPr>
        <w:t>Underwriting manuals</w:t>
      </w:r>
      <w:bookmarkEnd w:id="33"/>
      <w:bookmarkEnd w:id="34"/>
    </w:p>
    <w:p w14:paraId="2E6B9580" w14:textId="77777777" w:rsidR="00A34C20" w:rsidRPr="00FB5561" w:rsidRDefault="00217FF5" w:rsidP="00661056">
      <w:pPr>
        <w:spacing w:before="100" w:beforeAutospacing="1" w:after="100" w:afterAutospacing="1"/>
        <w:rPr>
          <w:rFonts w:cs="Arial"/>
        </w:rPr>
      </w:pPr>
      <w:r w:rsidRPr="00FB5561">
        <w:rPr>
          <w:rFonts w:cs="Arial"/>
        </w:rPr>
        <w:t>Insurers</w:t>
      </w:r>
      <w:r w:rsidR="00A34C20" w:rsidRPr="00FB5561">
        <w:rPr>
          <w:rFonts w:cs="Arial"/>
        </w:rPr>
        <w:t xml:space="preserve"> may use appropriate manuals that include detailed information about the nature and degree of extra risk associat</w:t>
      </w:r>
      <w:r w:rsidRPr="00FB5561">
        <w:rPr>
          <w:rFonts w:cs="Arial"/>
        </w:rPr>
        <w:t>ed with insuring people with</w:t>
      </w:r>
      <w:r w:rsidR="00035597" w:rsidRPr="00FB5561">
        <w:rPr>
          <w:rFonts w:cs="Arial"/>
        </w:rPr>
        <w:t xml:space="preserve"> the</w:t>
      </w:r>
      <w:r w:rsidRPr="00FB5561">
        <w:rPr>
          <w:rFonts w:cs="Arial"/>
        </w:rPr>
        <w:t xml:space="preserve"> particular disability in question</w:t>
      </w:r>
      <w:r w:rsidR="00A34C20" w:rsidRPr="00FB5561">
        <w:rPr>
          <w:rFonts w:cs="Arial"/>
        </w:rPr>
        <w:t>.</w:t>
      </w:r>
    </w:p>
    <w:p w14:paraId="705320B8" w14:textId="77777777" w:rsidR="00661056" w:rsidRPr="00FB5561" w:rsidRDefault="00661056" w:rsidP="00661056">
      <w:pPr>
        <w:spacing w:before="100" w:beforeAutospacing="1" w:after="100" w:afterAutospacing="1"/>
        <w:rPr>
          <w:rFonts w:cs="Arial"/>
        </w:rPr>
      </w:pPr>
      <w:r w:rsidRPr="00FB5561">
        <w:rPr>
          <w:rFonts w:cs="Arial"/>
        </w:rPr>
        <w:lastRenderedPageBreak/>
        <w:t>As indicated by the Federal Court</w:t>
      </w:r>
      <w:r w:rsidR="00217FF5" w:rsidRPr="00FB5561">
        <w:rPr>
          <w:rFonts w:cs="Arial"/>
        </w:rPr>
        <w:t xml:space="preserve">, however, </w:t>
      </w:r>
      <w:r w:rsidR="00AA0961" w:rsidRPr="00FB5561">
        <w:rPr>
          <w:rFonts w:cs="Arial"/>
        </w:rPr>
        <w:t>courts may</w:t>
      </w:r>
      <w:r w:rsidRPr="00FB5561">
        <w:rPr>
          <w:rFonts w:cs="Arial"/>
        </w:rPr>
        <w:t xml:space="preserve"> examine whether data in underwriting manuals is reasonable to rely on, including whether data is reasonably complete and up to date. Manuals should be based on relevant actuarial or statistical data or medical opinion and updated as necessary to take into account advances in medical knowledge, rehabilitation and treatment, adaptive technology or other areas affecting the level of risk or loss associated with a particular disability.</w:t>
      </w:r>
    </w:p>
    <w:p w14:paraId="401B2F26" w14:textId="77777777" w:rsidR="000D2E8A" w:rsidRPr="00FB5561" w:rsidRDefault="00A75AC3" w:rsidP="00AE3AF8">
      <w:pPr>
        <w:pBdr>
          <w:top w:val="single" w:sz="4" w:space="1" w:color="auto"/>
          <w:left w:val="single" w:sz="4" w:space="4" w:color="auto"/>
          <w:bottom w:val="single" w:sz="4" w:space="1" w:color="auto"/>
          <w:right w:val="single" w:sz="4" w:space="4" w:color="auto"/>
        </w:pBdr>
        <w:shd w:val="clear" w:color="auto" w:fill="237BBC"/>
        <w:spacing w:before="120" w:after="120"/>
        <w:rPr>
          <w:rFonts w:cs="Arial"/>
          <w:b/>
          <w:color w:val="FFFFFF" w:themeColor="background1"/>
          <w:u w:val="single"/>
        </w:rPr>
      </w:pPr>
      <w:bookmarkStart w:id="35" w:name="_Toc450572325"/>
      <w:r w:rsidRPr="00FB5561">
        <w:rPr>
          <w:rFonts w:cs="Arial"/>
          <w:b/>
          <w:color w:val="FFFFFF" w:themeColor="background1"/>
          <w:u w:val="single"/>
        </w:rPr>
        <w:t>Case study o</w:t>
      </w:r>
      <w:r w:rsidR="005C7D7E" w:rsidRPr="00FB5561">
        <w:rPr>
          <w:rFonts w:cs="Arial"/>
          <w:b/>
          <w:color w:val="FFFFFF" w:themeColor="background1"/>
          <w:u w:val="single"/>
        </w:rPr>
        <w:t>f</w:t>
      </w:r>
      <w:r w:rsidR="00E528AF" w:rsidRPr="00FB5561">
        <w:rPr>
          <w:rFonts w:cs="Arial"/>
          <w:b/>
          <w:color w:val="FFFFFF" w:themeColor="background1"/>
          <w:u w:val="single"/>
        </w:rPr>
        <w:t xml:space="preserve"> reliance on outdated underwriting manual</w:t>
      </w:r>
      <w:bookmarkEnd w:id="35"/>
    </w:p>
    <w:p w14:paraId="6DECABD4" w14:textId="0BFF7120" w:rsidR="00217FF5" w:rsidRPr="00FB5561" w:rsidRDefault="00217FF5" w:rsidP="00AE3AF8">
      <w:pPr>
        <w:pBdr>
          <w:top w:val="single" w:sz="4" w:space="1" w:color="auto"/>
          <w:left w:val="single" w:sz="4" w:space="4" w:color="auto"/>
          <w:bottom w:val="single" w:sz="4" w:space="1" w:color="auto"/>
          <w:right w:val="single" w:sz="4" w:space="4" w:color="auto"/>
        </w:pBdr>
        <w:shd w:val="clear" w:color="auto" w:fill="237BBC"/>
        <w:spacing w:before="120" w:after="120"/>
        <w:rPr>
          <w:rFonts w:cs="Arial"/>
          <w:color w:val="FFFFFF" w:themeColor="background1"/>
        </w:rPr>
      </w:pPr>
      <w:r w:rsidRPr="00FB5561">
        <w:rPr>
          <w:rFonts w:cs="Arial"/>
          <w:color w:val="FFFFFF" w:themeColor="background1"/>
        </w:rPr>
        <w:t xml:space="preserve">A woman with vision impairment complained that she had been discriminated against by an insurer </w:t>
      </w:r>
      <w:r w:rsidR="005C7D7E" w:rsidRPr="00FB5561">
        <w:rPr>
          <w:rFonts w:cs="Arial"/>
          <w:color w:val="FFFFFF" w:themeColor="background1"/>
        </w:rPr>
        <w:t xml:space="preserve">which was </w:t>
      </w:r>
      <w:r w:rsidRPr="00FB5561">
        <w:rPr>
          <w:rFonts w:cs="Arial"/>
          <w:color w:val="FFFFFF" w:themeColor="background1"/>
        </w:rPr>
        <w:t>only prepared to issue her with a life insurance policy subject to an exclusion clause where blindness c</w:t>
      </w:r>
      <w:r w:rsidR="005C7D7E" w:rsidRPr="00FB5561">
        <w:rPr>
          <w:rFonts w:cs="Arial"/>
          <w:color w:val="FFFFFF" w:themeColor="background1"/>
        </w:rPr>
        <w:t>ontributed to accidental death.</w:t>
      </w:r>
      <w:r w:rsidRPr="00FB5561">
        <w:rPr>
          <w:rFonts w:cs="Arial"/>
          <w:color w:val="FFFFFF" w:themeColor="background1"/>
        </w:rPr>
        <w:t xml:space="preserve"> The insurer regarded this as reasonable by reference to actuarial data and other evidence and thus as lawful under DDA s 46. After further discussion the insurer determined that the underwriting manual it was using </w:t>
      </w:r>
      <w:r w:rsidR="00A77D72" w:rsidRPr="00FB5561">
        <w:rPr>
          <w:rFonts w:cs="Arial"/>
          <w:color w:val="FFFFFF" w:themeColor="background1"/>
        </w:rPr>
        <w:t>was</w:t>
      </w:r>
      <w:r w:rsidRPr="00FB5561">
        <w:rPr>
          <w:rFonts w:cs="Arial"/>
          <w:color w:val="FFFFFF" w:themeColor="background1"/>
        </w:rPr>
        <w:t xml:space="preserve"> outdated. The matter was settled</w:t>
      </w:r>
      <w:r w:rsidR="005C7D7E" w:rsidRPr="00FB5561">
        <w:rPr>
          <w:rFonts w:cs="Arial"/>
          <w:color w:val="FFFFFF" w:themeColor="background1"/>
        </w:rPr>
        <w:t>,</w:t>
      </w:r>
      <w:r w:rsidRPr="00FB5561">
        <w:rPr>
          <w:rFonts w:cs="Arial"/>
          <w:color w:val="FFFFFF" w:themeColor="background1"/>
        </w:rPr>
        <w:t xml:space="preserve"> without admission of liability</w:t>
      </w:r>
      <w:r w:rsidR="005C7D7E" w:rsidRPr="00FB5561">
        <w:rPr>
          <w:rFonts w:cs="Arial"/>
          <w:color w:val="FFFFFF" w:themeColor="background1"/>
        </w:rPr>
        <w:t>,</w:t>
      </w:r>
      <w:r w:rsidRPr="00FB5561">
        <w:rPr>
          <w:rFonts w:cs="Arial"/>
          <w:color w:val="FFFFFF" w:themeColor="background1"/>
        </w:rPr>
        <w:t xml:space="preserve"> with the policy being re-issued with a modified exclusion clause covering only situations where blindness is a symptom of a primary health condition leading to death, and a policy change to take blindness into account only where material to the risk and then to apply more up</w:t>
      </w:r>
      <w:r w:rsidR="005C7D7E" w:rsidRPr="00FB5561">
        <w:rPr>
          <w:rFonts w:cs="Arial"/>
          <w:color w:val="FFFFFF" w:themeColor="background1"/>
        </w:rPr>
        <w:t>-</w:t>
      </w:r>
      <w:r w:rsidRPr="00FB5561">
        <w:rPr>
          <w:rFonts w:cs="Arial"/>
          <w:color w:val="FFFFFF" w:themeColor="background1"/>
        </w:rPr>
        <w:t>to</w:t>
      </w:r>
      <w:r w:rsidR="005C7D7E" w:rsidRPr="00FB5561">
        <w:rPr>
          <w:rFonts w:cs="Arial"/>
          <w:color w:val="FFFFFF" w:themeColor="background1"/>
        </w:rPr>
        <w:t>-</w:t>
      </w:r>
      <w:r w:rsidRPr="00FB5561">
        <w:rPr>
          <w:rFonts w:cs="Arial"/>
          <w:color w:val="FFFFFF" w:themeColor="background1"/>
        </w:rPr>
        <w:t>date underwriting guidelines to determine whether the proposal should be accepted with or without some a</w:t>
      </w:r>
      <w:r w:rsidR="005D4DA2" w:rsidRPr="00FB5561">
        <w:rPr>
          <w:rFonts w:cs="Arial"/>
          <w:color w:val="FFFFFF" w:themeColor="background1"/>
        </w:rPr>
        <w:t>dditional premium loading</w:t>
      </w:r>
      <w:r w:rsidRPr="00FB5561">
        <w:rPr>
          <w:rFonts w:cs="Arial"/>
          <w:color w:val="FFFFFF" w:themeColor="background1"/>
        </w:rPr>
        <w:t>.</w:t>
      </w:r>
    </w:p>
    <w:p w14:paraId="2B88DADA" w14:textId="6B1029B9" w:rsidR="00C23E2F" w:rsidRPr="00FB5561" w:rsidRDefault="00474DEC" w:rsidP="003E4C3D">
      <w:pPr>
        <w:pStyle w:val="Heading3"/>
        <w:rPr>
          <w:rFonts w:cs="Arial"/>
        </w:rPr>
      </w:pPr>
      <w:bookmarkStart w:id="36" w:name="_Toc450572326"/>
      <w:bookmarkStart w:id="37" w:name="_Toc466973679"/>
      <w:r w:rsidRPr="00FB5561">
        <w:rPr>
          <w:rFonts w:cs="Arial"/>
        </w:rPr>
        <w:t>(c)</w:t>
      </w:r>
      <w:r w:rsidRPr="00FB5561">
        <w:rPr>
          <w:rFonts w:cs="Arial"/>
        </w:rPr>
        <w:tab/>
      </w:r>
      <w:r w:rsidR="00C23E2F" w:rsidRPr="00FB5561">
        <w:rPr>
          <w:rFonts w:cs="Arial"/>
        </w:rPr>
        <w:t>Local data</w:t>
      </w:r>
      <w:bookmarkEnd w:id="36"/>
      <w:bookmarkEnd w:id="37"/>
    </w:p>
    <w:p w14:paraId="3C40BA55" w14:textId="48D79560" w:rsidR="00BC7A20" w:rsidRPr="00FB5561" w:rsidRDefault="0082063B" w:rsidP="00BC7A20">
      <w:pPr>
        <w:spacing w:before="100" w:beforeAutospacing="1" w:after="100" w:afterAutospacing="1"/>
        <w:rPr>
          <w:rFonts w:cs="Arial"/>
        </w:rPr>
      </w:pPr>
      <w:r w:rsidRPr="00FB5561">
        <w:rPr>
          <w:rFonts w:cs="Arial"/>
        </w:rPr>
        <w:t>Insurers and superannuation providers</w:t>
      </w:r>
      <w:r w:rsidR="00BC7A20" w:rsidRPr="00FB5561">
        <w:rPr>
          <w:rFonts w:cs="Arial"/>
        </w:rPr>
        <w:t xml:space="preserve"> may use relevant domestic population or insurance studies that include specific data collected from a reliable source, about people with the disability. This may include government studies such as census statistics, studies reported in major medical journals, experience studies conducted by individual insurance companies, and insurance studies produced by the Institute of Actuaries of Australia</w:t>
      </w:r>
      <w:r w:rsidR="00053EC8" w:rsidRPr="00FB5561">
        <w:rPr>
          <w:rFonts w:cs="Arial"/>
        </w:rPr>
        <w:t xml:space="preserve"> if they are relevant to the risks under consideration</w:t>
      </w:r>
      <w:r w:rsidR="00BC7A20" w:rsidRPr="00FB5561">
        <w:rPr>
          <w:rFonts w:cs="Arial"/>
        </w:rPr>
        <w:t xml:space="preserve">. </w:t>
      </w:r>
    </w:p>
    <w:p w14:paraId="1A392041" w14:textId="08EA7997" w:rsidR="00C64456" w:rsidRPr="00FB5561" w:rsidRDefault="0082063B" w:rsidP="00C64456">
      <w:pPr>
        <w:rPr>
          <w:rFonts w:cs="Arial"/>
          <w:i/>
        </w:rPr>
      </w:pPr>
      <w:r w:rsidRPr="00FB5561">
        <w:rPr>
          <w:rFonts w:cs="Arial"/>
          <w:i/>
        </w:rPr>
        <w:t>For example</w:t>
      </w:r>
      <w:r w:rsidR="005C7D7E" w:rsidRPr="00FB5561">
        <w:rPr>
          <w:rFonts w:cs="Arial"/>
          <w:i/>
        </w:rPr>
        <w:t>,</w:t>
      </w:r>
      <w:r w:rsidRPr="00FB5561">
        <w:rPr>
          <w:rFonts w:cs="Arial"/>
          <w:i/>
        </w:rPr>
        <w:t xml:space="preserve"> </w:t>
      </w:r>
      <w:r w:rsidR="00053EC8" w:rsidRPr="00FB5561">
        <w:rPr>
          <w:rFonts w:cs="Arial"/>
          <w:i/>
        </w:rPr>
        <w:t>i</w:t>
      </w:r>
      <w:r w:rsidRPr="00FB5561">
        <w:rPr>
          <w:rFonts w:cs="Arial"/>
          <w:i/>
        </w:rPr>
        <w:t xml:space="preserve">n </w:t>
      </w:r>
      <w:r w:rsidRPr="00FB5561">
        <w:rPr>
          <w:rFonts w:cs="Arial"/>
        </w:rPr>
        <w:t>Ingram v QBE</w:t>
      </w:r>
      <w:r w:rsidRPr="00FB5561">
        <w:rPr>
          <w:rFonts w:cs="Arial"/>
          <w:i/>
        </w:rPr>
        <w:t xml:space="preserve">, </w:t>
      </w:r>
      <w:r w:rsidR="00552750" w:rsidRPr="00FB5561">
        <w:rPr>
          <w:rFonts w:cs="Arial"/>
          <w:i/>
        </w:rPr>
        <w:t>among the evidence tendered,</w:t>
      </w:r>
      <w:r w:rsidR="005C7D7E" w:rsidRPr="00FB5561">
        <w:rPr>
          <w:rFonts w:cs="Arial"/>
          <w:i/>
        </w:rPr>
        <w:t xml:space="preserve"> </w:t>
      </w:r>
      <w:r w:rsidRPr="00FB5561">
        <w:rPr>
          <w:rFonts w:cs="Arial"/>
          <w:i/>
        </w:rPr>
        <w:t xml:space="preserve">QBE referred to </w:t>
      </w:r>
      <w:r w:rsidR="00965C11" w:rsidRPr="00FB5561">
        <w:rPr>
          <w:rFonts w:cs="Arial"/>
          <w:i/>
        </w:rPr>
        <w:t>a</w:t>
      </w:r>
      <w:r w:rsidR="00552750" w:rsidRPr="00FB5561">
        <w:rPr>
          <w:rFonts w:cs="Arial"/>
          <w:i/>
        </w:rPr>
        <w:t xml:space="preserve"> </w:t>
      </w:r>
      <w:r w:rsidRPr="00FB5561">
        <w:rPr>
          <w:rFonts w:cs="Arial"/>
        </w:rPr>
        <w:t>National Survey of Mental Health and Wellbeing</w:t>
      </w:r>
      <w:r w:rsidRPr="00FB5561">
        <w:rPr>
          <w:rFonts w:cs="Arial"/>
          <w:i/>
        </w:rPr>
        <w:t xml:space="preserve"> from the Australian Bureau of Statistics, and a report on mental health services by the Australian Institute of Health and Welfare.</w:t>
      </w:r>
      <w:r w:rsidR="00B17961" w:rsidRPr="00FB5561">
        <w:rPr>
          <w:rStyle w:val="EndnoteReference"/>
          <w:rFonts w:cs="Arial"/>
          <w:szCs w:val="20"/>
        </w:rPr>
        <w:endnoteReference w:id="21"/>
      </w:r>
      <w:r w:rsidR="00B17961" w:rsidRPr="00FB5561">
        <w:rPr>
          <w:rFonts w:cs="Arial"/>
        </w:rPr>
        <w:t xml:space="preserve"> </w:t>
      </w:r>
      <w:r w:rsidR="009428EB" w:rsidRPr="00FB5561">
        <w:rPr>
          <w:rFonts w:cs="Arial"/>
          <w:i/>
        </w:rPr>
        <w:t xml:space="preserve">VCAT </w:t>
      </w:r>
      <w:r w:rsidR="00CE31E1" w:rsidRPr="00FB5561">
        <w:rPr>
          <w:rFonts w:cs="Arial"/>
          <w:i/>
        </w:rPr>
        <w:t>recognised that</w:t>
      </w:r>
      <w:r w:rsidR="00053EC8" w:rsidRPr="00FB5561">
        <w:rPr>
          <w:rFonts w:cs="Arial"/>
          <w:i/>
        </w:rPr>
        <w:t xml:space="preserve"> these are credible sources </w:t>
      </w:r>
      <w:r w:rsidR="009428EB" w:rsidRPr="00FB5561">
        <w:rPr>
          <w:rFonts w:cs="Arial"/>
          <w:i/>
        </w:rPr>
        <w:t xml:space="preserve">but </w:t>
      </w:r>
      <w:r w:rsidR="00D31E35" w:rsidRPr="00FB5561">
        <w:rPr>
          <w:rFonts w:cs="Arial"/>
          <w:i/>
        </w:rPr>
        <w:t xml:space="preserve">identified problems in relying </w:t>
      </w:r>
      <w:r w:rsidR="00053EC8" w:rsidRPr="00FB5561">
        <w:rPr>
          <w:rFonts w:cs="Arial"/>
          <w:i/>
        </w:rPr>
        <w:t>on them</w:t>
      </w:r>
      <w:r w:rsidR="00CE31E1" w:rsidRPr="00FB5561">
        <w:rPr>
          <w:rFonts w:cs="Arial"/>
          <w:i/>
        </w:rPr>
        <w:t xml:space="preserve"> in the circumstances</w:t>
      </w:r>
      <w:r w:rsidR="00965C11" w:rsidRPr="00FB5561">
        <w:rPr>
          <w:rFonts w:cs="Arial"/>
          <w:i/>
        </w:rPr>
        <w:t xml:space="preserve"> given the nature of the policy taken out by Ms Ingram</w:t>
      </w:r>
      <w:r w:rsidR="00053EC8" w:rsidRPr="00FB5561">
        <w:rPr>
          <w:rFonts w:cs="Arial"/>
          <w:i/>
        </w:rPr>
        <w:t xml:space="preserve">. </w:t>
      </w:r>
      <w:r w:rsidR="00965C11" w:rsidRPr="00FB5561">
        <w:rPr>
          <w:rFonts w:cs="Arial"/>
          <w:i/>
        </w:rPr>
        <w:t xml:space="preserve">One reason for this was that these reports </w:t>
      </w:r>
      <w:r w:rsidR="00C92BC9" w:rsidRPr="00FB5561">
        <w:rPr>
          <w:rFonts w:cs="Arial"/>
          <w:i/>
        </w:rPr>
        <w:t>contained prevalence data (the proportion of the population that has a particular health related condition) but not incidence data (the occurrence of new cases during a particular time period).</w:t>
      </w:r>
      <w:r w:rsidR="00C92BC9" w:rsidRPr="00FB5561">
        <w:rPr>
          <w:rStyle w:val="EndnoteReference"/>
          <w:rFonts w:cs="Arial"/>
        </w:rPr>
        <w:endnoteReference w:id="22"/>
      </w:r>
      <w:r w:rsidR="00053EC8" w:rsidRPr="00FB5561">
        <w:rPr>
          <w:rFonts w:cs="Arial"/>
        </w:rPr>
        <w:t xml:space="preserve"> </w:t>
      </w:r>
      <w:r w:rsidR="001530A8" w:rsidRPr="00FB5561">
        <w:rPr>
          <w:rFonts w:cs="Arial"/>
          <w:i/>
        </w:rPr>
        <w:t xml:space="preserve">Ms Ingram’s policy contained an exclusion for pre-existing conditions, so arguably the most significant issue for the insurer </w:t>
      </w:r>
      <w:r w:rsidR="009428EB" w:rsidRPr="00FB5561">
        <w:rPr>
          <w:rFonts w:cs="Arial"/>
          <w:i/>
        </w:rPr>
        <w:t xml:space="preserve">in the circumstances of Ms Ingram’s case </w:t>
      </w:r>
      <w:r w:rsidR="001530A8" w:rsidRPr="00FB5561">
        <w:rPr>
          <w:rFonts w:cs="Arial"/>
          <w:i/>
        </w:rPr>
        <w:t xml:space="preserve">was </w:t>
      </w:r>
      <w:r w:rsidR="008A4965" w:rsidRPr="00FB5561">
        <w:rPr>
          <w:rFonts w:cs="Arial"/>
          <w:i/>
        </w:rPr>
        <w:t xml:space="preserve">how likely it was that there would be </w:t>
      </w:r>
      <w:r w:rsidR="001530A8" w:rsidRPr="00FB5561">
        <w:rPr>
          <w:rFonts w:cs="Arial"/>
          <w:i/>
        </w:rPr>
        <w:t xml:space="preserve">a new incident of mental illness after the </w:t>
      </w:r>
      <w:r w:rsidR="008A4965" w:rsidRPr="00FB5561">
        <w:rPr>
          <w:rFonts w:cs="Arial"/>
          <w:i/>
        </w:rPr>
        <w:t xml:space="preserve">travel insurance </w:t>
      </w:r>
      <w:r w:rsidR="001530A8" w:rsidRPr="00FB5561">
        <w:rPr>
          <w:rFonts w:cs="Arial"/>
          <w:i/>
        </w:rPr>
        <w:t>policy was taken out</w:t>
      </w:r>
      <w:r w:rsidR="008A4965" w:rsidRPr="00FB5561">
        <w:rPr>
          <w:rFonts w:cs="Arial"/>
          <w:i/>
        </w:rPr>
        <w:t xml:space="preserve"> and before the travel was undertaken</w:t>
      </w:r>
      <w:r w:rsidR="009428EB" w:rsidRPr="00FB5561">
        <w:rPr>
          <w:rFonts w:cs="Arial"/>
          <w:i/>
        </w:rPr>
        <w:t>.</w:t>
      </w:r>
      <w:r w:rsidR="009428EB" w:rsidRPr="00FB5561">
        <w:rPr>
          <w:rStyle w:val="EndnoteReference"/>
          <w:rFonts w:cs="Arial"/>
        </w:rPr>
        <w:endnoteReference w:id="23"/>
      </w:r>
      <w:r w:rsidR="001530A8" w:rsidRPr="00FB5561">
        <w:rPr>
          <w:rFonts w:cs="Arial"/>
        </w:rPr>
        <w:t xml:space="preserve"> </w:t>
      </w:r>
    </w:p>
    <w:p w14:paraId="1C971B22" w14:textId="091568C6" w:rsidR="00CB47DA" w:rsidRPr="00FB5561" w:rsidRDefault="00474DEC" w:rsidP="00CB47DA">
      <w:pPr>
        <w:pStyle w:val="Heading3"/>
        <w:rPr>
          <w:rFonts w:cs="Arial"/>
        </w:rPr>
      </w:pPr>
      <w:bookmarkStart w:id="38" w:name="_Toc450572327"/>
      <w:bookmarkStart w:id="39" w:name="_Toc466973680"/>
      <w:r w:rsidRPr="00FB5561">
        <w:rPr>
          <w:rFonts w:cs="Arial"/>
        </w:rPr>
        <w:t>(d)</w:t>
      </w:r>
      <w:r w:rsidRPr="00FB5561">
        <w:rPr>
          <w:rFonts w:cs="Arial"/>
        </w:rPr>
        <w:tab/>
      </w:r>
      <w:r w:rsidR="00C23E2F" w:rsidRPr="00FB5561">
        <w:rPr>
          <w:rFonts w:cs="Arial"/>
        </w:rPr>
        <w:t>International studies</w:t>
      </w:r>
      <w:bookmarkEnd w:id="38"/>
      <w:bookmarkEnd w:id="39"/>
    </w:p>
    <w:p w14:paraId="6BF89FB2" w14:textId="75A14593" w:rsidR="00C0099D" w:rsidRPr="00FB5561" w:rsidRDefault="00C0099D" w:rsidP="00C0099D">
      <w:pPr>
        <w:spacing w:before="100" w:beforeAutospacing="1" w:after="100" w:afterAutospacing="1"/>
        <w:rPr>
          <w:rFonts w:cs="Arial"/>
        </w:rPr>
      </w:pPr>
      <w:r w:rsidRPr="00FB5561">
        <w:rPr>
          <w:rFonts w:cs="Arial"/>
        </w:rPr>
        <w:t>It may be reasonable for insurers to rely on relevant international population or medical studies tha</w:t>
      </w:r>
      <w:r w:rsidR="00A8597F" w:rsidRPr="00FB5561">
        <w:rPr>
          <w:rFonts w:cs="Arial"/>
        </w:rPr>
        <w:t>t include data about disability-</w:t>
      </w:r>
      <w:r w:rsidRPr="00FB5561">
        <w:rPr>
          <w:rFonts w:cs="Arial"/>
        </w:rPr>
        <w:t xml:space="preserve">related risks, particularly where local data is unavailable or insufficient. Insurers relying on overseas data should be </w:t>
      </w:r>
      <w:r w:rsidRPr="00FB5561">
        <w:rPr>
          <w:rFonts w:cs="Arial"/>
        </w:rPr>
        <w:lastRenderedPageBreak/>
        <w:t>prepared to demonstrate</w:t>
      </w:r>
      <w:r w:rsidR="00A8597F" w:rsidRPr="00FB5561">
        <w:rPr>
          <w:rFonts w:cs="Arial"/>
        </w:rPr>
        <w:t>,</w:t>
      </w:r>
      <w:r w:rsidRPr="00FB5561">
        <w:rPr>
          <w:rFonts w:cs="Arial"/>
        </w:rPr>
        <w:t xml:space="preserve"> if necessary</w:t>
      </w:r>
      <w:r w:rsidR="00A8597F" w:rsidRPr="00FB5561">
        <w:rPr>
          <w:rFonts w:cs="Arial"/>
        </w:rPr>
        <w:t>,</w:t>
      </w:r>
      <w:r w:rsidRPr="00FB5561">
        <w:rPr>
          <w:rFonts w:cs="Arial"/>
        </w:rPr>
        <w:t xml:space="preserve"> that overseas data remains reasonably applicable in Australian conditions.</w:t>
      </w:r>
    </w:p>
    <w:p w14:paraId="3C136048" w14:textId="77777777" w:rsidR="005B3CD0" w:rsidRPr="00FB5561" w:rsidRDefault="00D50C6B" w:rsidP="00CB47DA">
      <w:pPr>
        <w:rPr>
          <w:rFonts w:cs="Arial"/>
        </w:rPr>
      </w:pPr>
      <w:r w:rsidRPr="00FB5561">
        <w:rPr>
          <w:rFonts w:cs="Arial"/>
          <w:i/>
        </w:rPr>
        <w:t>For example</w:t>
      </w:r>
      <w:r w:rsidR="00A8597F" w:rsidRPr="00FB5561">
        <w:rPr>
          <w:rFonts w:cs="Arial"/>
          <w:i/>
        </w:rPr>
        <w:t>, i</w:t>
      </w:r>
      <w:r w:rsidR="002B246B" w:rsidRPr="00FB5561">
        <w:rPr>
          <w:rFonts w:cs="Arial"/>
          <w:i/>
        </w:rPr>
        <w:t xml:space="preserve">n </w:t>
      </w:r>
      <w:r w:rsidR="002B246B" w:rsidRPr="00FB5561">
        <w:rPr>
          <w:rFonts w:cs="Arial"/>
        </w:rPr>
        <w:t>Xiros v Fortis Life Assurance Ltd</w:t>
      </w:r>
      <w:r w:rsidR="002B246B" w:rsidRPr="00FB5561">
        <w:rPr>
          <w:rFonts w:cs="Arial"/>
          <w:i/>
        </w:rPr>
        <w:t xml:space="preserve">, </w:t>
      </w:r>
      <w:r w:rsidR="00BC1844" w:rsidRPr="00FB5561">
        <w:rPr>
          <w:rFonts w:cs="Arial"/>
          <w:i/>
        </w:rPr>
        <w:t xml:space="preserve">the respondent insurer </w:t>
      </w:r>
      <w:r w:rsidR="00CF00EB" w:rsidRPr="00FB5561">
        <w:rPr>
          <w:rFonts w:cs="Arial"/>
          <w:i/>
        </w:rPr>
        <w:t>relied, among other data, on information from an underwriter</w:t>
      </w:r>
      <w:r w:rsidR="002B246B" w:rsidRPr="00FB5561">
        <w:rPr>
          <w:rFonts w:cs="Arial"/>
          <w:i/>
        </w:rPr>
        <w:t xml:space="preserve"> which established </w:t>
      </w:r>
      <w:r w:rsidR="00CF00EB" w:rsidRPr="00FB5561">
        <w:rPr>
          <w:rFonts w:cs="Arial"/>
          <w:i/>
        </w:rPr>
        <w:t xml:space="preserve">from European data </w:t>
      </w:r>
      <w:r w:rsidR="002B246B" w:rsidRPr="00FB5561">
        <w:rPr>
          <w:rFonts w:cs="Arial"/>
          <w:i/>
        </w:rPr>
        <w:t>t</w:t>
      </w:r>
      <w:r w:rsidR="00A8597F" w:rsidRPr="00FB5561">
        <w:rPr>
          <w:rFonts w:cs="Arial"/>
          <w:i/>
        </w:rPr>
        <w:t xml:space="preserve">hat </w:t>
      </w:r>
      <w:r w:rsidR="00F61075" w:rsidRPr="00FB5561">
        <w:rPr>
          <w:rFonts w:cs="Arial"/>
          <w:i/>
        </w:rPr>
        <w:t xml:space="preserve">in 1995 </w:t>
      </w:r>
      <w:r w:rsidR="00A8597F" w:rsidRPr="00FB5561">
        <w:rPr>
          <w:rFonts w:cs="Arial"/>
          <w:i/>
        </w:rPr>
        <w:t>the three-</w:t>
      </w:r>
      <w:r w:rsidR="002B246B" w:rsidRPr="00FB5561">
        <w:rPr>
          <w:rFonts w:cs="Arial"/>
          <w:i/>
        </w:rPr>
        <w:t>year survival rate after AIDS diagnosis was still less than 20 per cent, and that there had been a 130 per cent increase in AIDS cases from heterosexual contact in</w:t>
      </w:r>
      <w:r w:rsidR="00CF00EB" w:rsidRPr="00FB5561">
        <w:rPr>
          <w:rFonts w:cs="Arial"/>
          <w:i/>
        </w:rPr>
        <w:t xml:space="preserve"> the USA between 1992 and 1993.</w:t>
      </w:r>
      <w:r w:rsidR="005B3CD0" w:rsidRPr="00FB5561">
        <w:rPr>
          <w:rStyle w:val="EndnoteReference"/>
          <w:rFonts w:cs="Arial"/>
          <w:szCs w:val="20"/>
        </w:rPr>
        <w:endnoteReference w:id="24"/>
      </w:r>
    </w:p>
    <w:p w14:paraId="4E61844B" w14:textId="1B73C9F1" w:rsidR="00B255A2" w:rsidRPr="00FB5561" w:rsidRDefault="00474DEC" w:rsidP="003E4C3D">
      <w:pPr>
        <w:pStyle w:val="Heading3"/>
        <w:rPr>
          <w:rFonts w:cs="Arial"/>
        </w:rPr>
      </w:pPr>
      <w:bookmarkStart w:id="40" w:name="_Toc450572328"/>
      <w:bookmarkStart w:id="41" w:name="_Toc466973681"/>
      <w:r w:rsidRPr="00FB5561">
        <w:rPr>
          <w:rFonts w:cs="Arial"/>
        </w:rPr>
        <w:t>(e)</w:t>
      </w:r>
      <w:r w:rsidRPr="00FB5561">
        <w:rPr>
          <w:rFonts w:cs="Arial"/>
        </w:rPr>
        <w:tab/>
      </w:r>
      <w:r w:rsidR="00B255A2" w:rsidRPr="00FB5561">
        <w:rPr>
          <w:rFonts w:cs="Arial"/>
        </w:rPr>
        <w:t>Relevant domestic and international insurance experience</w:t>
      </w:r>
      <w:bookmarkEnd w:id="40"/>
      <w:bookmarkEnd w:id="41"/>
    </w:p>
    <w:p w14:paraId="41FF036C" w14:textId="6AC1B27A" w:rsidR="000E1CF0" w:rsidRDefault="0002762C" w:rsidP="000E1CF0">
      <w:pPr>
        <w:spacing w:before="100" w:beforeAutospacing="1" w:after="100" w:afterAutospacing="1"/>
        <w:rPr>
          <w:rFonts w:cs="Arial"/>
        </w:rPr>
      </w:pPr>
      <w:r w:rsidRPr="00FB5561">
        <w:rPr>
          <w:rFonts w:cs="Arial"/>
        </w:rPr>
        <w:t>I</w:t>
      </w:r>
      <w:r w:rsidR="008860B8" w:rsidRPr="00FB5561">
        <w:rPr>
          <w:rFonts w:cs="Arial"/>
        </w:rPr>
        <w:t xml:space="preserve">t </w:t>
      </w:r>
      <w:r w:rsidR="005C54F2" w:rsidRPr="00FB5561">
        <w:rPr>
          <w:rFonts w:cs="Arial"/>
        </w:rPr>
        <w:t xml:space="preserve">may be </w:t>
      </w:r>
      <w:r w:rsidR="008860B8" w:rsidRPr="00FB5561">
        <w:rPr>
          <w:rFonts w:cs="Arial"/>
        </w:rPr>
        <w:t xml:space="preserve">reasonable to take into account the relevant claims experience of the insurer concerned and of other insurance companies. </w:t>
      </w:r>
      <w:r w:rsidR="0035264C" w:rsidRPr="00CC69FD">
        <w:rPr>
          <w:rFonts w:cs="Arial"/>
        </w:rPr>
        <w:t>As with the other categories of data referred to above, whether or not reliance on past claims experience is reasonable may depend on whether the data is up to date, directly applicable to the particular situation and of a sufficient sample size.</w:t>
      </w:r>
      <w:r w:rsidR="0035264C">
        <w:rPr>
          <w:rFonts w:cs="Arial"/>
        </w:rPr>
        <w:t xml:space="preserve"> </w:t>
      </w:r>
    </w:p>
    <w:p w14:paraId="0E1D1ECB" w14:textId="170C22A5" w:rsidR="00B255A2" w:rsidRPr="00FB5561" w:rsidRDefault="008860B8" w:rsidP="0002762C">
      <w:pPr>
        <w:spacing w:before="100" w:beforeAutospacing="1" w:after="100" w:afterAutospacing="1"/>
        <w:rPr>
          <w:rFonts w:cs="Arial"/>
        </w:rPr>
      </w:pPr>
      <w:r w:rsidRPr="00FB5561">
        <w:rPr>
          <w:rFonts w:cs="Arial"/>
        </w:rPr>
        <w:t>Note that industry experience may be relevant either to demonstrate that refusal of cover</w:t>
      </w:r>
      <w:r w:rsidR="00A8597F" w:rsidRPr="00FB5561">
        <w:rPr>
          <w:rFonts w:cs="Arial"/>
        </w:rPr>
        <w:t>,</w:t>
      </w:r>
      <w:r w:rsidRPr="00FB5561">
        <w:rPr>
          <w:rFonts w:cs="Arial"/>
        </w:rPr>
        <w:t xml:space="preserve"> or </w:t>
      </w:r>
      <w:r w:rsidR="00053EC8" w:rsidRPr="00FB5561">
        <w:rPr>
          <w:rFonts w:cs="Arial"/>
        </w:rPr>
        <w:t xml:space="preserve">the offer of </w:t>
      </w:r>
      <w:r w:rsidRPr="00FB5561">
        <w:rPr>
          <w:rFonts w:cs="Arial"/>
        </w:rPr>
        <w:t>cover at a higher premium or with restrictions</w:t>
      </w:r>
      <w:r w:rsidR="00A8597F" w:rsidRPr="00FB5561">
        <w:rPr>
          <w:rFonts w:cs="Arial"/>
        </w:rPr>
        <w:t>,</w:t>
      </w:r>
      <w:r w:rsidRPr="00FB5561">
        <w:rPr>
          <w:rFonts w:cs="Arial"/>
        </w:rPr>
        <w:t xml:space="preserve"> was reasonable, or that it was not.</w:t>
      </w:r>
      <w:r w:rsidR="00053EC8" w:rsidRPr="00FB5561">
        <w:rPr>
          <w:rFonts w:cs="Arial"/>
        </w:rPr>
        <w:t xml:space="preserve"> </w:t>
      </w:r>
      <w:r w:rsidR="00552750" w:rsidRPr="00FB5561">
        <w:rPr>
          <w:rFonts w:cs="Arial"/>
        </w:rPr>
        <w:t xml:space="preserve">Such experience can only be relied upon when </w:t>
      </w:r>
      <w:r w:rsidR="005C54F2" w:rsidRPr="00FB5561">
        <w:rPr>
          <w:rFonts w:cs="Arial"/>
        </w:rPr>
        <w:t xml:space="preserve">the experience </w:t>
      </w:r>
      <w:r w:rsidR="00552750" w:rsidRPr="00FB5561">
        <w:rPr>
          <w:rFonts w:cs="Arial"/>
        </w:rPr>
        <w:t>is relevant</w:t>
      </w:r>
      <w:r w:rsidR="005C54F2" w:rsidRPr="00FB5561">
        <w:rPr>
          <w:rFonts w:cs="Arial"/>
        </w:rPr>
        <w:t xml:space="preserve"> and the reliance is reasonable</w:t>
      </w:r>
      <w:r w:rsidR="0080574B" w:rsidRPr="00FB5561">
        <w:rPr>
          <w:rFonts w:cs="Arial"/>
        </w:rPr>
        <w:t>. Decisions based on previous experience of the insurer concerned or other insurers would need to be derived from some analysis of the policies or practices to establish that it is relevant to the discrimination that is being contemplated</w:t>
      </w:r>
      <w:r w:rsidR="00552750" w:rsidRPr="00FB5561">
        <w:rPr>
          <w:rFonts w:cs="Arial"/>
        </w:rPr>
        <w:t xml:space="preserve">. </w:t>
      </w:r>
    </w:p>
    <w:p w14:paraId="59924864" w14:textId="4799C219" w:rsidR="00776848" w:rsidRDefault="0080574B" w:rsidP="00CC69FD">
      <w:pPr>
        <w:pStyle w:val="NoSpacing"/>
        <w:rPr>
          <w:rStyle w:val="EndnoteReference"/>
          <w:rFonts w:cs="Arial"/>
          <w:szCs w:val="20"/>
        </w:rPr>
      </w:pPr>
      <w:r w:rsidRPr="00CC69FD">
        <w:rPr>
          <w:i/>
        </w:rPr>
        <w:t>For example</w:t>
      </w:r>
      <w:r w:rsidR="00A8597F" w:rsidRPr="00CC69FD">
        <w:rPr>
          <w:i/>
        </w:rPr>
        <w:t>,</w:t>
      </w:r>
      <w:r w:rsidRPr="00CC69FD">
        <w:rPr>
          <w:i/>
        </w:rPr>
        <w:t xml:space="preserve"> in Ingram v QBE, evidence about the policies of other insurers was found to be of limited assistance due to the variability of approaches and the lack of evidence about the bases for such variability</w:t>
      </w:r>
      <w:r w:rsidR="00CC69FD" w:rsidRPr="00CC69FD">
        <w:rPr>
          <w:rFonts w:cs="Arial"/>
          <w:b/>
          <w:i/>
        </w:rPr>
        <w:t>.</w:t>
      </w:r>
      <w:r w:rsidRPr="00FB5561">
        <w:rPr>
          <w:rStyle w:val="EndnoteReference"/>
          <w:rFonts w:cs="Arial"/>
          <w:szCs w:val="20"/>
        </w:rPr>
        <w:endnoteReference w:id="25"/>
      </w:r>
    </w:p>
    <w:p w14:paraId="5BF0085B" w14:textId="57007A71" w:rsidR="00965D27" w:rsidRPr="00FB5561" w:rsidRDefault="0026188C" w:rsidP="0026188C">
      <w:pPr>
        <w:pStyle w:val="Heading2"/>
        <w:numPr>
          <w:ilvl w:val="0"/>
          <w:numId w:val="0"/>
        </w:numPr>
        <w:tabs>
          <w:tab w:val="left" w:pos="851"/>
        </w:tabs>
        <w:ind w:left="851" w:hanging="851"/>
        <w:rPr>
          <w:rFonts w:cs="Arial"/>
          <w:i w:val="0"/>
          <w:sz w:val="24"/>
          <w:szCs w:val="24"/>
        </w:rPr>
      </w:pPr>
      <w:bookmarkStart w:id="42" w:name="_Toc466973682"/>
      <w:r w:rsidRPr="00FB5561">
        <w:rPr>
          <w:rFonts w:cs="Arial"/>
          <w:i w:val="0"/>
          <w:sz w:val="24"/>
          <w:szCs w:val="24"/>
        </w:rPr>
        <w:t>4.2</w:t>
      </w:r>
      <w:r w:rsidRPr="00FB5561">
        <w:rPr>
          <w:rFonts w:cs="Arial"/>
          <w:i w:val="0"/>
          <w:sz w:val="24"/>
          <w:szCs w:val="24"/>
        </w:rPr>
        <w:tab/>
      </w:r>
      <w:r w:rsidR="00965D27" w:rsidRPr="00FB5561">
        <w:rPr>
          <w:rFonts w:cs="Arial"/>
          <w:i w:val="0"/>
          <w:sz w:val="24"/>
          <w:szCs w:val="24"/>
        </w:rPr>
        <w:t>What ‘other relevant factors’ may contribute to a decision that discrimination is reasonable?</w:t>
      </w:r>
      <w:bookmarkEnd w:id="42"/>
    </w:p>
    <w:p w14:paraId="227D77B5" w14:textId="77777777" w:rsidR="0002762C" w:rsidRPr="00FB5561" w:rsidRDefault="00107350" w:rsidP="0002762C">
      <w:pPr>
        <w:spacing w:before="100" w:beforeAutospacing="1" w:after="100" w:afterAutospacing="1"/>
        <w:rPr>
          <w:rFonts w:cs="Arial"/>
        </w:rPr>
      </w:pPr>
      <w:r w:rsidRPr="00FB5561">
        <w:rPr>
          <w:rFonts w:cs="Arial"/>
        </w:rPr>
        <w:t xml:space="preserve">Aside from </w:t>
      </w:r>
      <w:r w:rsidR="00D70C7B" w:rsidRPr="00FB5561">
        <w:rPr>
          <w:rFonts w:cs="Arial"/>
        </w:rPr>
        <w:t xml:space="preserve">relevant </w:t>
      </w:r>
      <w:r w:rsidR="0002762C" w:rsidRPr="00FB5561">
        <w:rPr>
          <w:rFonts w:cs="Arial"/>
        </w:rPr>
        <w:t>statis</w:t>
      </w:r>
      <w:r w:rsidRPr="00FB5561">
        <w:rPr>
          <w:rFonts w:cs="Arial"/>
        </w:rPr>
        <w:t>tics or actuarial data</w:t>
      </w:r>
      <w:r w:rsidR="0002762C" w:rsidRPr="00FB5561">
        <w:rPr>
          <w:rFonts w:cs="Arial"/>
        </w:rPr>
        <w:t xml:space="preserve">, </w:t>
      </w:r>
      <w:r w:rsidRPr="00FB5561">
        <w:rPr>
          <w:rFonts w:cs="Arial"/>
        </w:rPr>
        <w:t xml:space="preserve">to be protected under s 46 </w:t>
      </w:r>
      <w:r w:rsidR="0002762C" w:rsidRPr="00FB5561">
        <w:rPr>
          <w:rFonts w:cs="Arial"/>
        </w:rPr>
        <w:t xml:space="preserve">a decision to discriminate needs to be shown to be reasonable </w:t>
      </w:r>
      <w:r w:rsidRPr="00FB5561">
        <w:rPr>
          <w:rFonts w:cs="Arial"/>
        </w:rPr>
        <w:t xml:space="preserve">in light </w:t>
      </w:r>
      <w:r w:rsidR="0002762C" w:rsidRPr="00FB5561">
        <w:rPr>
          <w:rFonts w:cs="Arial"/>
        </w:rPr>
        <w:t xml:space="preserve">of </w:t>
      </w:r>
      <w:r w:rsidRPr="00FB5561">
        <w:rPr>
          <w:rFonts w:cs="Arial"/>
        </w:rPr>
        <w:t>‘</w:t>
      </w:r>
      <w:r w:rsidR="0002762C" w:rsidRPr="00FB5561">
        <w:rPr>
          <w:rFonts w:cs="Arial"/>
        </w:rPr>
        <w:t>other relevant factors</w:t>
      </w:r>
      <w:r w:rsidRPr="00FB5561">
        <w:rPr>
          <w:rFonts w:cs="Arial"/>
        </w:rPr>
        <w:t>’</w:t>
      </w:r>
      <w:r w:rsidR="0002762C" w:rsidRPr="00FB5561">
        <w:rPr>
          <w:rFonts w:cs="Arial"/>
        </w:rPr>
        <w:t xml:space="preserve">. </w:t>
      </w:r>
    </w:p>
    <w:p w14:paraId="42661CC4" w14:textId="7926F2ED" w:rsidR="00965D27" w:rsidRPr="00FB5561" w:rsidRDefault="00107350" w:rsidP="00965D27">
      <w:pPr>
        <w:autoSpaceDE w:val="0"/>
        <w:autoSpaceDN w:val="0"/>
        <w:adjustRightInd w:val="0"/>
        <w:spacing w:before="0" w:after="0"/>
        <w:rPr>
          <w:rFonts w:cs="Arial"/>
        </w:rPr>
      </w:pPr>
      <w:r w:rsidRPr="00FB5561">
        <w:rPr>
          <w:rFonts w:cs="Arial"/>
        </w:rPr>
        <w:t>The Federal</w:t>
      </w:r>
      <w:r w:rsidR="008A63A6" w:rsidRPr="00FB5561">
        <w:rPr>
          <w:rFonts w:cs="Arial"/>
        </w:rPr>
        <w:t xml:space="preserve"> Court </w:t>
      </w:r>
      <w:r w:rsidR="00A06873" w:rsidRPr="00FB5561">
        <w:rPr>
          <w:rFonts w:cs="Arial"/>
        </w:rPr>
        <w:t>has stated that a ‘relevant’ factor would include ‘</w:t>
      </w:r>
      <w:r w:rsidR="00A06873" w:rsidRPr="00FB5561">
        <w:rPr>
          <w:rFonts w:eastAsia="Times New Roman" w:cs="Arial"/>
        </w:rPr>
        <w:t>[a]</w:t>
      </w:r>
      <w:r w:rsidR="00965D27" w:rsidRPr="00FB5561">
        <w:rPr>
          <w:rFonts w:eastAsia="Times New Roman" w:cs="Arial"/>
        </w:rPr>
        <w:t>ny matter which is rationally capable of bearing</w:t>
      </w:r>
      <w:r w:rsidR="00A06873" w:rsidRPr="00FB5561">
        <w:rPr>
          <w:rFonts w:cs="Arial"/>
        </w:rPr>
        <w:t xml:space="preserve"> </w:t>
      </w:r>
      <w:r w:rsidR="00965D27" w:rsidRPr="00FB5561">
        <w:rPr>
          <w:rFonts w:eastAsia="Times New Roman" w:cs="Arial"/>
        </w:rPr>
        <w:t>upon whether the discrimination is reasonable</w:t>
      </w:r>
      <w:r w:rsidR="00BF0A8C" w:rsidRPr="00FB5561">
        <w:rPr>
          <w:rFonts w:eastAsia="Times New Roman" w:cs="Arial"/>
        </w:rPr>
        <w:t>’</w:t>
      </w:r>
      <w:r w:rsidR="00965D27" w:rsidRPr="00FB5561">
        <w:rPr>
          <w:rFonts w:eastAsia="Times New Roman" w:cs="Arial"/>
        </w:rPr>
        <w:t>.</w:t>
      </w:r>
      <w:r w:rsidR="005B3CD0" w:rsidRPr="00FB5561">
        <w:rPr>
          <w:rStyle w:val="EndnoteReference"/>
          <w:rFonts w:eastAsia="Times New Roman" w:cs="Arial"/>
        </w:rPr>
        <w:endnoteReference w:id="26"/>
      </w:r>
      <w:r w:rsidR="005B3CD0" w:rsidRPr="00FB5561">
        <w:rPr>
          <w:rFonts w:eastAsia="Times New Roman" w:cs="Arial"/>
        </w:rPr>
        <w:t xml:space="preserve"> </w:t>
      </w:r>
      <w:r w:rsidR="004310FF" w:rsidRPr="00FB5561">
        <w:rPr>
          <w:rFonts w:eastAsia="Times New Roman" w:cs="Arial"/>
        </w:rPr>
        <w:t>This includes factors that may increase the risk to the insurer</w:t>
      </w:r>
      <w:r w:rsidR="00A8597F" w:rsidRPr="00FB5561">
        <w:rPr>
          <w:rFonts w:eastAsia="Times New Roman" w:cs="Arial"/>
        </w:rPr>
        <w:t xml:space="preserve"> as well as</w:t>
      </w:r>
      <w:r w:rsidR="004310FF" w:rsidRPr="00FB5561">
        <w:rPr>
          <w:rFonts w:eastAsia="Times New Roman" w:cs="Arial"/>
        </w:rPr>
        <w:t xml:space="preserve"> those that may reduce it. </w:t>
      </w:r>
    </w:p>
    <w:p w14:paraId="626A6604" w14:textId="77777777" w:rsidR="00965D27" w:rsidRPr="00FB5561" w:rsidRDefault="00107350" w:rsidP="004310FF">
      <w:pPr>
        <w:ind w:left="284" w:hanging="284"/>
        <w:rPr>
          <w:rFonts w:cs="Arial"/>
        </w:rPr>
      </w:pPr>
      <w:r w:rsidRPr="00FB5561">
        <w:rPr>
          <w:rFonts w:cs="Arial"/>
        </w:rPr>
        <w:t>The following are some examples.</w:t>
      </w:r>
    </w:p>
    <w:p w14:paraId="26D886FD" w14:textId="0EAC0C1D" w:rsidR="005D303C" w:rsidRPr="00FB5561" w:rsidRDefault="00474DEC" w:rsidP="0026188C">
      <w:pPr>
        <w:pStyle w:val="Heading3"/>
        <w:rPr>
          <w:rFonts w:cs="Arial"/>
        </w:rPr>
      </w:pPr>
      <w:bookmarkStart w:id="43" w:name="_Toc450572330"/>
      <w:bookmarkStart w:id="44" w:name="_Toc466973683"/>
      <w:r w:rsidRPr="00FB5561">
        <w:rPr>
          <w:rFonts w:cs="Arial"/>
        </w:rPr>
        <w:t>(a)</w:t>
      </w:r>
      <w:r w:rsidRPr="00FB5561">
        <w:rPr>
          <w:rFonts w:cs="Arial"/>
        </w:rPr>
        <w:tab/>
      </w:r>
      <w:r w:rsidR="00E363B7" w:rsidRPr="00FB5561">
        <w:rPr>
          <w:rFonts w:cs="Arial"/>
        </w:rPr>
        <w:t>Medical o</w:t>
      </w:r>
      <w:r w:rsidR="005D303C" w:rsidRPr="00FB5561">
        <w:rPr>
          <w:rFonts w:cs="Arial"/>
        </w:rPr>
        <w:t>pinion</w:t>
      </w:r>
      <w:bookmarkEnd w:id="43"/>
      <w:r w:rsidR="00646F38" w:rsidRPr="00FB5561">
        <w:rPr>
          <w:rFonts w:cs="Arial"/>
        </w:rPr>
        <w:t>s</w:t>
      </w:r>
      <w:bookmarkEnd w:id="44"/>
    </w:p>
    <w:p w14:paraId="5BBF6216" w14:textId="77777777" w:rsidR="00E363B7" w:rsidRPr="00FB5561" w:rsidRDefault="00E363B7" w:rsidP="00E363B7">
      <w:pPr>
        <w:spacing w:before="100" w:beforeAutospacing="1" w:after="100" w:afterAutospacing="1"/>
        <w:rPr>
          <w:rFonts w:cs="Arial"/>
        </w:rPr>
      </w:pPr>
      <w:r w:rsidRPr="00FB5561">
        <w:rPr>
          <w:rFonts w:cs="Arial"/>
        </w:rPr>
        <w:t>If relying on medical opinion, it must be on a medical matter.</w:t>
      </w:r>
    </w:p>
    <w:p w14:paraId="5822DF73" w14:textId="77777777" w:rsidR="00474DEC" w:rsidRPr="00FB5561" w:rsidRDefault="00E363B7" w:rsidP="00646F38">
      <w:pPr>
        <w:autoSpaceDE w:val="0"/>
        <w:autoSpaceDN w:val="0"/>
        <w:adjustRightInd w:val="0"/>
        <w:spacing w:before="0"/>
        <w:rPr>
          <w:rFonts w:cs="Arial"/>
          <w:i/>
        </w:rPr>
      </w:pPr>
      <w:r w:rsidRPr="00FB5561">
        <w:rPr>
          <w:rFonts w:cs="Arial"/>
          <w:i/>
        </w:rPr>
        <w:t>For example</w:t>
      </w:r>
      <w:r w:rsidR="00726B7B" w:rsidRPr="00FB5561">
        <w:rPr>
          <w:rFonts w:cs="Arial"/>
          <w:i/>
        </w:rPr>
        <w:t>,</w:t>
      </w:r>
      <w:r w:rsidRPr="00FB5561">
        <w:rPr>
          <w:rFonts w:cs="Arial"/>
          <w:i/>
        </w:rPr>
        <w:t xml:space="preserve"> </w:t>
      </w:r>
      <w:r w:rsidR="00646F38" w:rsidRPr="00FB5561">
        <w:rPr>
          <w:rFonts w:cs="Arial"/>
          <w:i/>
        </w:rPr>
        <w:t xml:space="preserve">as </w:t>
      </w:r>
      <w:r w:rsidRPr="00FB5561">
        <w:rPr>
          <w:rFonts w:cs="Arial"/>
          <w:i/>
        </w:rPr>
        <w:t>population and insurance studies usually only cover single disabilities in isolation</w:t>
      </w:r>
      <w:r w:rsidR="00091154" w:rsidRPr="00FB5561">
        <w:rPr>
          <w:rFonts w:cs="Arial"/>
          <w:i/>
        </w:rPr>
        <w:t>,</w:t>
      </w:r>
      <w:r w:rsidRPr="00FB5561">
        <w:rPr>
          <w:rFonts w:cs="Arial"/>
          <w:i/>
        </w:rPr>
        <w:t xml:space="preserve"> a specialist medical opinion may be required to assess the risks of someone who has more than one disability to assess the combined effect of the disabilities.</w:t>
      </w:r>
    </w:p>
    <w:p w14:paraId="4CE3297A" w14:textId="77777777" w:rsidR="00063F19" w:rsidRPr="00FB5561" w:rsidRDefault="00063F19" w:rsidP="00646F38">
      <w:pPr>
        <w:autoSpaceDE w:val="0"/>
        <w:autoSpaceDN w:val="0"/>
        <w:adjustRightInd w:val="0"/>
        <w:spacing w:before="0"/>
        <w:rPr>
          <w:rFonts w:cs="Arial"/>
        </w:rPr>
      </w:pPr>
      <w:r w:rsidRPr="00FB5561">
        <w:rPr>
          <w:rFonts w:cs="Arial"/>
        </w:rPr>
        <w:lastRenderedPageBreak/>
        <w:t>However, it is important to recognise that medical experts and actuar</w:t>
      </w:r>
      <w:r w:rsidR="00F820E5" w:rsidRPr="00FB5561">
        <w:rPr>
          <w:rFonts w:cs="Arial"/>
        </w:rPr>
        <w:t xml:space="preserve">ies have different skill sets. </w:t>
      </w:r>
      <w:r w:rsidRPr="00FB5561">
        <w:rPr>
          <w:rFonts w:cs="Arial"/>
        </w:rPr>
        <w:t>There may be limits on the ability of medical experts to quantify risk. The risk of a claim being made against an insurance policy is primarily an actuarial question.</w:t>
      </w:r>
    </w:p>
    <w:p w14:paraId="41BAF9F9" w14:textId="2FB94CA3" w:rsidR="00646F38" w:rsidRPr="00FB5561" w:rsidRDefault="00646F38" w:rsidP="00646F38">
      <w:pPr>
        <w:autoSpaceDE w:val="0"/>
        <w:autoSpaceDN w:val="0"/>
        <w:adjustRightInd w:val="0"/>
        <w:spacing w:before="0"/>
        <w:rPr>
          <w:rFonts w:eastAsia="Times New Roman" w:cs="Arial"/>
        </w:rPr>
      </w:pPr>
      <w:r w:rsidRPr="00FB5561">
        <w:rPr>
          <w:rFonts w:cs="Arial"/>
        </w:rPr>
        <w:t>Expert</w:t>
      </w:r>
      <w:r w:rsidRPr="00FB5561">
        <w:rPr>
          <w:rFonts w:eastAsia="Times New Roman" w:cs="Arial"/>
        </w:rPr>
        <w:t xml:space="preserve"> opinion regarding risks that pertain to a particular disability might appropriately be sourced from experts such as medical researchers who have statistical experience and academic </w:t>
      </w:r>
      <w:r w:rsidR="00063F19" w:rsidRPr="00FB5561">
        <w:rPr>
          <w:rFonts w:eastAsia="Times New Roman" w:cs="Arial"/>
        </w:rPr>
        <w:t xml:space="preserve">medical </w:t>
      </w:r>
      <w:r w:rsidRPr="00FB5561">
        <w:rPr>
          <w:rFonts w:eastAsia="Times New Roman" w:cs="Arial"/>
        </w:rPr>
        <w:t>qualifications.</w:t>
      </w:r>
    </w:p>
    <w:p w14:paraId="3D149854" w14:textId="72BDD45D" w:rsidR="003A2420" w:rsidRPr="00FB5561" w:rsidRDefault="00F820E5" w:rsidP="00646F38">
      <w:pPr>
        <w:autoSpaceDE w:val="0"/>
        <w:autoSpaceDN w:val="0"/>
        <w:adjustRightInd w:val="0"/>
        <w:spacing w:before="0"/>
        <w:rPr>
          <w:rFonts w:cs="Arial"/>
        </w:rPr>
      </w:pPr>
      <w:r w:rsidRPr="00FB5561">
        <w:rPr>
          <w:rFonts w:cs="Arial"/>
        </w:rPr>
        <w:t xml:space="preserve">Where the opinion of a medical practitioner is sought, it should be </w:t>
      </w:r>
      <w:r w:rsidR="003A2420" w:rsidRPr="00FB5561">
        <w:rPr>
          <w:rFonts w:cs="Arial"/>
        </w:rPr>
        <w:t>from a medical practitioner with relevant expertise in assessing risks relevant to the particular disability.</w:t>
      </w:r>
    </w:p>
    <w:p w14:paraId="5A24A44F" w14:textId="77777777" w:rsidR="00A42B2B" w:rsidRPr="00FB5561" w:rsidRDefault="00A42B2B" w:rsidP="00A42B2B">
      <w:pPr>
        <w:spacing w:before="100" w:beforeAutospacing="1" w:after="100" w:afterAutospacing="1"/>
        <w:rPr>
          <w:rFonts w:cs="Arial"/>
          <w:i/>
        </w:rPr>
      </w:pPr>
      <w:r w:rsidRPr="00FB5561">
        <w:rPr>
          <w:rFonts w:cs="Arial"/>
          <w:i/>
        </w:rPr>
        <w:t>For example</w:t>
      </w:r>
      <w:r w:rsidR="005B41EA" w:rsidRPr="00FB5561">
        <w:rPr>
          <w:rFonts w:cs="Arial"/>
          <w:i/>
        </w:rPr>
        <w:t>,</w:t>
      </w:r>
      <w:r w:rsidRPr="00FB5561">
        <w:rPr>
          <w:rFonts w:cs="Arial"/>
          <w:i/>
        </w:rPr>
        <w:t xml:space="preserve"> </w:t>
      </w:r>
      <w:r w:rsidR="00646F38" w:rsidRPr="00FB5561">
        <w:rPr>
          <w:rFonts w:cs="Arial"/>
          <w:i/>
        </w:rPr>
        <w:t xml:space="preserve">an </w:t>
      </w:r>
      <w:r w:rsidRPr="00FB5561">
        <w:rPr>
          <w:rFonts w:cs="Arial"/>
          <w:i/>
        </w:rPr>
        <w:t>area of medicine in which knowledge is rapidly developing and experience is changing, such as HIV/AIDS, may require a medical practitioner with detailed knowledge in the disease.</w:t>
      </w:r>
    </w:p>
    <w:p w14:paraId="4AC043B7" w14:textId="77777777" w:rsidR="00646F38" w:rsidRPr="00FB5561" w:rsidRDefault="00646F38" w:rsidP="00646F38">
      <w:pPr>
        <w:autoSpaceDE w:val="0"/>
        <w:autoSpaceDN w:val="0"/>
        <w:adjustRightInd w:val="0"/>
        <w:spacing w:before="0" w:after="0"/>
        <w:rPr>
          <w:rFonts w:cs="Arial"/>
          <w:i/>
        </w:rPr>
      </w:pPr>
      <w:r w:rsidRPr="00FB5561">
        <w:rPr>
          <w:rFonts w:eastAsia="Times New Roman" w:cs="Arial"/>
        </w:rPr>
        <w:t xml:space="preserve">Medical opinions regarding the diagnosis, symptoms and likelihood of relapse that pertain to an individual with a disability (either seeking an insurance policy, or making a claim under an insurance policy), might appropriately be provided by: a treating practitioner of the individual concerned; or an independent medical practitioner with appropriate expertise, access to all of the </w:t>
      </w:r>
      <w:r w:rsidR="00F820E5" w:rsidRPr="00FB5561">
        <w:rPr>
          <w:rFonts w:eastAsia="Times New Roman" w:cs="Arial"/>
        </w:rPr>
        <w:t xml:space="preserve">relevant </w:t>
      </w:r>
      <w:r w:rsidRPr="00FB5561">
        <w:rPr>
          <w:rFonts w:eastAsia="Times New Roman" w:cs="Arial"/>
        </w:rPr>
        <w:t>medical history that pertains to the individual, and the opportunity to examine that individual.</w:t>
      </w:r>
    </w:p>
    <w:p w14:paraId="4CF2953A" w14:textId="77777777" w:rsidR="005F2ACF" w:rsidRPr="00FB5561" w:rsidRDefault="005F2ACF" w:rsidP="005F2ACF">
      <w:pPr>
        <w:spacing w:before="100" w:beforeAutospacing="1" w:after="100" w:afterAutospacing="1"/>
        <w:rPr>
          <w:rFonts w:cs="Arial"/>
        </w:rPr>
      </w:pPr>
      <w:r w:rsidRPr="00FB5561">
        <w:rPr>
          <w:rFonts w:cs="Arial"/>
        </w:rPr>
        <w:t xml:space="preserve">It may be reasonable to defer a decision on insurance to seek clarification of medical issues. </w:t>
      </w:r>
    </w:p>
    <w:p w14:paraId="52F0F010" w14:textId="1BCA7548" w:rsidR="007775D5" w:rsidRPr="00FB5561" w:rsidRDefault="005F2ACF" w:rsidP="00F820E5">
      <w:pPr>
        <w:spacing w:before="100" w:beforeAutospacing="1" w:after="100" w:afterAutospacing="1"/>
        <w:rPr>
          <w:rFonts w:cs="Arial"/>
        </w:rPr>
      </w:pPr>
      <w:r w:rsidRPr="00FB5561">
        <w:rPr>
          <w:rFonts w:cs="Arial"/>
          <w:i/>
        </w:rPr>
        <w:t>For example</w:t>
      </w:r>
      <w:r w:rsidR="005B41EA" w:rsidRPr="00FB5561">
        <w:rPr>
          <w:rFonts w:cs="Arial"/>
          <w:i/>
        </w:rPr>
        <w:t>,</w:t>
      </w:r>
      <w:r w:rsidRPr="00FB5561">
        <w:rPr>
          <w:rFonts w:cs="Arial"/>
          <w:i/>
        </w:rPr>
        <w:t xml:space="preserve"> in one case received by the Commission a woman complained that she had been discriminated against when she was refused loan insurance after disclosing on the application form that she had received treatment for melanoma 14 years previously. The insurer expressed concern that the medical reports provided had not satisfactorily addressed issues of probability of morbidity (illness or disability) rather than only mortality, noting that the policy would cover disability as well as death. After an additional medical report was obtained by the applicant addressing these issues satisfactorily the complaint was settled</w:t>
      </w:r>
      <w:r w:rsidR="00646F38" w:rsidRPr="00FB5561">
        <w:rPr>
          <w:rFonts w:cs="Arial"/>
          <w:i/>
        </w:rPr>
        <w:t>,</w:t>
      </w:r>
      <w:r w:rsidRPr="00FB5561">
        <w:rPr>
          <w:rFonts w:cs="Arial"/>
          <w:i/>
        </w:rPr>
        <w:t xml:space="preserve"> with the insurer agreeing to provide insurance cover for the remaining period of the loan without charge.</w:t>
      </w:r>
    </w:p>
    <w:p w14:paraId="0036884F" w14:textId="6D27283E" w:rsidR="00E363B7" w:rsidRPr="00FB5561" w:rsidRDefault="00474DEC" w:rsidP="008B22E6">
      <w:pPr>
        <w:pStyle w:val="Heading3"/>
        <w:rPr>
          <w:rFonts w:cs="Arial"/>
        </w:rPr>
      </w:pPr>
      <w:bookmarkStart w:id="45" w:name="_Toc450572331"/>
      <w:bookmarkStart w:id="46" w:name="_Toc466973684"/>
      <w:r w:rsidRPr="00FB5561">
        <w:rPr>
          <w:rFonts w:cs="Arial"/>
        </w:rPr>
        <w:t>(b)</w:t>
      </w:r>
      <w:r w:rsidRPr="00FB5561">
        <w:rPr>
          <w:rFonts w:cs="Arial"/>
        </w:rPr>
        <w:tab/>
      </w:r>
      <w:r w:rsidR="008B22E6" w:rsidRPr="00FB5561">
        <w:rPr>
          <w:rFonts w:cs="Arial"/>
        </w:rPr>
        <w:t xml:space="preserve">Relevant information about the </w:t>
      </w:r>
      <w:r w:rsidR="0054039D" w:rsidRPr="00FB5561">
        <w:rPr>
          <w:rFonts w:cs="Arial"/>
        </w:rPr>
        <w:t xml:space="preserve">particular </w:t>
      </w:r>
      <w:r w:rsidR="008B22E6" w:rsidRPr="00FB5561">
        <w:rPr>
          <w:rFonts w:cs="Arial"/>
        </w:rPr>
        <w:t>individual seeking insurance</w:t>
      </w:r>
      <w:bookmarkEnd w:id="45"/>
      <w:bookmarkEnd w:id="46"/>
    </w:p>
    <w:p w14:paraId="4717E0CB" w14:textId="26F84AEB" w:rsidR="00102A42" w:rsidRPr="00FB5561" w:rsidRDefault="00527163" w:rsidP="00297739">
      <w:pPr>
        <w:autoSpaceDE w:val="0"/>
        <w:autoSpaceDN w:val="0"/>
        <w:adjustRightInd w:val="0"/>
        <w:spacing w:before="0" w:after="0"/>
        <w:rPr>
          <w:rFonts w:cs="Arial"/>
          <w:iCs/>
        </w:rPr>
      </w:pPr>
      <w:r w:rsidRPr="00FB5561">
        <w:rPr>
          <w:rFonts w:cs="Arial"/>
        </w:rPr>
        <w:t>The circumstances of the individual ought to have particular prominence as a ‘relevant factor’. Decision-making processes which are formulaic or which tend to stereotype individuals by reference to their disability should be avoided.</w:t>
      </w:r>
      <w:r w:rsidR="00EB1F65" w:rsidRPr="00FB5561">
        <w:rPr>
          <w:rStyle w:val="EndnoteReference"/>
          <w:rFonts w:cs="Arial"/>
        </w:rPr>
        <w:endnoteReference w:id="27"/>
      </w:r>
      <w:r w:rsidRPr="00FB5561">
        <w:rPr>
          <w:rFonts w:cs="Arial"/>
        </w:rPr>
        <w:t xml:space="preserve"> Therefore, </w:t>
      </w:r>
      <w:r w:rsidRPr="00FB5561">
        <w:rPr>
          <w:rFonts w:cs="Arial"/>
          <w:iCs/>
        </w:rPr>
        <w:t>w</w:t>
      </w:r>
      <w:r w:rsidR="0054039D" w:rsidRPr="00FB5561">
        <w:rPr>
          <w:rFonts w:cs="Arial"/>
          <w:iCs/>
        </w:rPr>
        <w:t>here available, i</w:t>
      </w:r>
      <w:r w:rsidR="008B22E6" w:rsidRPr="00FB5561">
        <w:rPr>
          <w:rFonts w:cs="Arial"/>
          <w:iCs/>
        </w:rPr>
        <w:t xml:space="preserve">nformation about the particular person seeking insurance </w:t>
      </w:r>
      <w:r w:rsidR="00B561F8" w:rsidRPr="00FB5561">
        <w:rPr>
          <w:rFonts w:cs="Arial"/>
          <w:iCs/>
        </w:rPr>
        <w:t xml:space="preserve">such as medical </w:t>
      </w:r>
      <w:r w:rsidR="003E5580" w:rsidRPr="00FB5561">
        <w:rPr>
          <w:rFonts w:cs="Arial"/>
          <w:iCs/>
        </w:rPr>
        <w:t xml:space="preserve">opinions </w:t>
      </w:r>
      <w:r w:rsidR="00B561F8" w:rsidRPr="00FB5561">
        <w:rPr>
          <w:rFonts w:cs="Arial"/>
          <w:iCs/>
        </w:rPr>
        <w:t xml:space="preserve">and work records </w:t>
      </w:r>
      <w:r w:rsidR="003E5580" w:rsidRPr="00FB5561">
        <w:rPr>
          <w:rFonts w:cs="Arial"/>
          <w:iCs/>
        </w:rPr>
        <w:t>may</w:t>
      </w:r>
      <w:r w:rsidR="008B22E6" w:rsidRPr="00FB5561">
        <w:rPr>
          <w:rFonts w:cs="Arial"/>
          <w:iCs/>
        </w:rPr>
        <w:t xml:space="preserve"> be relevant in assessing whether </w:t>
      </w:r>
      <w:r w:rsidR="00E36A30" w:rsidRPr="00FB5561">
        <w:rPr>
          <w:rFonts w:cs="Arial"/>
          <w:iCs/>
        </w:rPr>
        <w:t>they present</w:t>
      </w:r>
      <w:r w:rsidR="008B22E6" w:rsidRPr="00FB5561">
        <w:rPr>
          <w:rFonts w:cs="Arial"/>
          <w:iCs/>
        </w:rPr>
        <w:t xml:space="preserve"> a higher or lower risk than the average person with the disability concerned. </w:t>
      </w:r>
      <w:r w:rsidR="00297739" w:rsidRPr="00FB5561">
        <w:rPr>
          <w:rFonts w:cs="Arial"/>
          <w:iCs/>
        </w:rPr>
        <w:t>Such records</w:t>
      </w:r>
      <w:r w:rsidR="00A01321" w:rsidRPr="00FB5561">
        <w:rPr>
          <w:rFonts w:cs="Arial"/>
          <w:iCs/>
        </w:rPr>
        <w:t xml:space="preserve"> should only be relied on where it is reasonable to do so in the</w:t>
      </w:r>
      <w:r w:rsidR="00297739" w:rsidRPr="00FB5561">
        <w:rPr>
          <w:rFonts w:cs="Arial"/>
          <w:iCs/>
        </w:rPr>
        <w:t xml:space="preserve"> </w:t>
      </w:r>
      <w:r w:rsidR="00A01321" w:rsidRPr="00FB5561">
        <w:rPr>
          <w:rFonts w:cs="Arial"/>
          <w:iCs/>
        </w:rPr>
        <w:t>circumstances. Further information may be required regarding</w:t>
      </w:r>
      <w:r w:rsidR="00297739" w:rsidRPr="00FB5561">
        <w:rPr>
          <w:rFonts w:cs="Arial"/>
          <w:iCs/>
        </w:rPr>
        <w:t xml:space="preserve"> this data</w:t>
      </w:r>
      <w:r w:rsidR="00A01321" w:rsidRPr="00FB5561">
        <w:rPr>
          <w:rFonts w:cs="Arial"/>
          <w:iCs/>
        </w:rPr>
        <w:t xml:space="preserve"> in order to avoid discrimination</w:t>
      </w:r>
      <w:r w:rsidR="00297739" w:rsidRPr="00FB5561">
        <w:rPr>
          <w:rFonts w:cs="Arial"/>
          <w:iCs/>
        </w:rPr>
        <w:t>, for example the simple fact that an individual has taken sick leave cannot necessarily be linked to a particular disability without further information</w:t>
      </w:r>
      <w:r w:rsidR="00A01321" w:rsidRPr="00FB5561">
        <w:rPr>
          <w:rFonts w:cs="Arial"/>
          <w:iCs/>
        </w:rPr>
        <w:t>.</w:t>
      </w:r>
    </w:p>
    <w:p w14:paraId="7A179805" w14:textId="1E5EE101" w:rsidR="00E27D35" w:rsidRPr="00FB5561" w:rsidRDefault="00E27D35" w:rsidP="00E27D35">
      <w:pPr>
        <w:spacing w:before="100" w:beforeAutospacing="1" w:after="100" w:afterAutospacing="1"/>
        <w:rPr>
          <w:rFonts w:cs="Arial"/>
        </w:rPr>
      </w:pPr>
      <w:r w:rsidRPr="00FB5561">
        <w:rPr>
          <w:rFonts w:cs="Arial"/>
        </w:rPr>
        <w:lastRenderedPageBreak/>
        <w:t>Consideration of individual circumstances would necessarily require consideration of a range of factors</w:t>
      </w:r>
      <w:r w:rsidR="00335B6F">
        <w:rPr>
          <w:rFonts w:cs="Arial"/>
        </w:rPr>
        <w:t>. S</w:t>
      </w:r>
      <w:r w:rsidRPr="00FB5561">
        <w:rPr>
          <w:rFonts w:cs="Arial"/>
        </w:rPr>
        <w:t>ome examples might include:</w:t>
      </w:r>
    </w:p>
    <w:p w14:paraId="2AEE56AF" w14:textId="71E49B14" w:rsidR="00E27D35" w:rsidRPr="00FB5561" w:rsidRDefault="00E27D35" w:rsidP="00FE3FF0">
      <w:pPr>
        <w:pStyle w:val="SubmissionNormal"/>
        <w:numPr>
          <w:ilvl w:val="0"/>
          <w:numId w:val="16"/>
        </w:numPr>
        <w:tabs>
          <w:tab w:val="clear" w:pos="720"/>
          <w:tab w:val="num" w:pos="284"/>
        </w:tabs>
        <w:spacing w:before="0" w:after="120"/>
        <w:ind w:left="284" w:hanging="284"/>
        <w:rPr>
          <w:rFonts w:cs="Arial"/>
        </w:rPr>
      </w:pPr>
      <w:r w:rsidRPr="00FB5561">
        <w:rPr>
          <w:rFonts w:cs="Arial"/>
          <w:i/>
        </w:rPr>
        <w:t>type of disability</w:t>
      </w:r>
      <w:r w:rsidRPr="00FB5561">
        <w:rPr>
          <w:rFonts w:cs="Arial"/>
        </w:rPr>
        <w:t xml:space="preserve">: there are, for example, </w:t>
      </w:r>
      <w:r w:rsidR="0013663E" w:rsidRPr="00FB5561">
        <w:rPr>
          <w:rFonts w:cs="Arial"/>
        </w:rPr>
        <w:t>substantial</w:t>
      </w:r>
      <w:r w:rsidRPr="00FB5561">
        <w:rPr>
          <w:rFonts w:cs="Arial"/>
        </w:rPr>
        <w:t xml:space="preserve"> differences between anxiety, affective and psychotic disorders</w:t>
      </w:r>
      <w:r w:rsidR="008C118E" w:rsidRPr="00FB5561">
        <w:rPr>
          <w:rFonts w:cs="Arial"/>
        </w:rPr>
        <w:t xml:space="preserve">. </w:t>
      </w:r>
      <w:r w:rsidR="00352CDD" w:rsidRPr="00FB5561">
        <w:rPr>
          <w:rFonts w:cs="Arial"/>
        </w:rPr>
        <w:t>These differences require a difference in approach</w:t>
      </w:r>
      <w:r w:rsidR="00EC6445" w:rsidRPr="00FB5561">
        <w:rPr>
          <w:rFonts w:cs="Arial"/>
        </w:rPr>
        <w:t>. Assumptions should not be made that the symptoms of one disability indicate a risk of a more severe disability where they are unrelated</w:t>
      </w:r>
    </w:p>
    <w:p w14:paraId="14803DC9" w14:textId="77777777" w:rsidR="00E27D35" w:rsidRPr="00FB5561" w:rsidRDefault="00E27D35" w:rsidP="00FE3FF0">
      <w:pPr>
        <w:pStyle w:val="SubmissionNormal"/>
        <w:numPr>
          <w:ilvl w:val="0"/>
          <w:numId w:val="16"/>
        </w:numPr>
        <w:tabs>
          <w:tab w:val="clear" w:pos="720"/>
          <w:tab w:val="num" w:pos="284"/>
        </w:tabs>
        <w:spacing w:before="0" w:after="120"/>
        <w:ind w:left="284" w:hanging="284"/>
        <w:rPr>
          <w:rFonts w:cs="Arial"/>
          <w:i/>
        </w:rPr>
      </w:pPr>
      <w:r w:rsidRPr="00FB5561">
        <w:rPr>
          <w:rFonts w:cs="Arial"/>
          <w:i/>
        </w:rPr>
        <w:t>severity of the disability</w:t>
      </w:r>
    </w:p>
    <w:p w14:paraId="16CF0311" w14:textId="77777777" w:rsidR="00E27D35" w:rsidRPr="00FB5561" w:rsidRDefault="00E27D35" w:rsidP="00FE3FF0">
      <w:pPr>
        <w:pStyle w:val="SubmissionNormal"/>
        <w:numPr>
          <w:ilvl w:val="0"/>
          <w:numId w:val="16"/>
        </w:numPr>
        <w:tabs>
          <w:tab w:val="clear" w:pos="720"/>
          <w:tab w:val="num" w:pos="284"/>
        </w:tabs>
        <w:spacing w:before="0" w:after="120"/>
        <w:ind w:left="284" w:hanging="284"/>
        <w:rPr>
          <w:rFonts w:cs="Arial"/>
        </w:rPr>
      </w:pPr>
      <w:r w:rsidRPr="00FB5561">
        <w:rPr>
          <w:rFonts w:cs="Arial"/>
          <w:i/>
        </w:rPr>
        <w:t>functional impact of disability</w:t>
      </w:r>
      <w:r w:rsidRPr="00FB5561">
        <w:rPr>
          <w:rFonts w:cs="Arial"/>
        </w:rPr>
        <w:t>: the degree of impact on functionality of any disability can vary from person to person</w:t>
      </w:r>
    </w:p>
    <w:p w14:paraId="1EB55BC0" w14:textId="2844DCE0" w:rsidR="00102A42" w:rsidRPr="00FB5561" w:rsidRDefault="00EC6445" w:rsidP="00FE3FF0">
      <w:pPr>
        <w:pStyle w:val="SubmissionNormal"/>
        <w:numPr>
          <w:ilvl w:val="0"/>
          <w:numId w:val="16"/>
        </w:numPr>
        <w:tabs>
          <w:tab w:val="clear" w:pos="720"/>
          <w:tab w:val="num" w:pos="284"/>
        </w:tabs>
        <w:spacing w:before="0" w:after="120"/>
        <w:ind w:left="284" w:hanging="284"/>
        <w:rPr>
          <w:rFonts w:cs="Arial"/>
        </w:rPr>
      </w:pPr>
      <w:r w:rsidRPr="00FB5561">
        <w:rPr>
          <w:rFonts w:cs="Arial"/>
          <w:i/>
        </w:rPr>
        <w:t>treatment plans</w:t>
      </w:r>
      <w:r w:rsidRPr="00FB5561">
        <w:rPr>
          <w:rFonts w:cs="Arial"/>
        </w:rPr>
        <w:t xml:space="preserve">: </w:t>
      </w:r>
      <w:r w:rsidR="008B22E6" w:rsidRPr="00FB5561">
        <w:rPr>
          <w:rFonts w:cs="Arial"/>
        </w:rPr>
        <w:t>it may be relevant to look at information on whether a person is or is not receiving treatment for a condition such as a mental illness, so as to reduce risks associated with the condition</w:t>
      </w:r>
    </w:p>
    <w:p w14:paraId="2E8D8D8C" w14:textId="762897F8" w:rsidR="008B22E6" w:rsidRPr="00FB5561" w:rsidRDefault="00EC6445" w:rsidP="00FE3FF0">
      <w:pPr>
        <w:pStyle w:val="SubmissionNormal"/>
        <w:numPr>
          <w:ilvl w:val="0"/>
          <w:numId w:val="16"/>
        </w:numPr>
        <w:tabs>
          <w:tab w:val="clear" w:pos="720"/>
          <w:tab w:val="num" w:pos="284"/>
        </w:tabs>
        <w:spacing w:before="0" w:after="120"/>
        <w:ind w:left="284" w:hanging="284"/>
        <w:rPr>
          <w:rFonts w:cs="Arial"/>
        </w:rPr>
      </w:pPr>
      <w:r w:rsidRPr="00FB5561">
        <w:rPr>
          <w:rFonts w:cs="Arial"/>
          <w:i/>
        </w:rPr>
        <w:t>employment records</w:t>
      </w:r>
      <w:r w:rsidRPr="00FB5561">
        <w:rPr>
          <w:rFonts w:cs="Arial"/>
        </w:rPr>
        <w:t xml:space="preserve">: </w:t>
      </w:r>
      <w:r w:rsidR="003B5910" w:rsidRPr="00FB5561">
        <w:rPr>
          <w:rFonts w:cs="Arial"/>
        </w:rPr>
        <w:t>i</w:t>
      </w:r>
      <w:r w:rsidR="008B22E6" w:rsidRPr="00FB5561">
        <w:rPr>
          <w:rFonts w:cs="Arial"/>
        </w:rPr>
        <w:t xml:space="preserve">t </w:t>
      </w:r>
      <w:r w:rsidR="003E5580" w:rsidRPr="00FB5561">
        <w:rPr>
          <w:rFonts w:cs="Arial"/>
        </w:rPr>
        <w:t xml:space="preserve">may </w:t>
      </w:r>
      <w:r w:rsidR="008B22E6" w:rsidRPr="00FB5561">
        <w:rPr>
          <w:rFonts w:cs="Arial"/>
        </w:rPr>
        <w:t>be relevant</w:t>
      </w:r>
      <w:r w:rsidR="003E5580" w:rsidRPr="00FB5561">
        <w:rPr>
          <w:rFonts w:cs="Arial"/>
        </w:rPr>
        <w:t xml:space="preserve"> in certain circumstances</w:t>
      </w:r>
      <w:r w:rsidR="008B22E6" w:rsidRPr="00FB5561">
        <w:rPr>
          <w:rFonts w:cs="Arial"/>
        </w:rPr>
        <w:t xml:space="preserve"> to consider </w:t>
      </w:r>
      <w:r w:rsidR="009E3694" w:rsidRPr="00FB5561">
        <w:rPr>
          <w:rFonts w:cs="Arial"/>
        </w:rPr>
        <w:t xml:space="preserve">specific and appropriate </w:t>
      </w:r>
      <w:r w:rsidR="008B22E6" w:rsidRPr="00FB5561">
        <w:rPr>
          <w:rFonts w:cs="Arial"/>
        </w:rPr>
        <w:t>information about a person</w:t>
      </w:r>
      <w:r w:rsidRPr="00FB5561">
        <w:rPr>
          <w:rFonts w:cs="Arial"/>
        </w:rPr>
        <w:t>’</w:t>
      </w:r>
      <w:r w:rsidR="008B22E6" w:rsidRPr="00FB5561">
        <w:rPr>
          <w:rFonts w:cs="Arial"/>
        </w:rPr>
        <w:t>s work attendance record when assessing the effect of a</w:t>
      </w:r>
      <w:r w:rsidR="00527163" w:rsidRPr="00FB5561">
        <w:rPr>
          <w:rFonts w:cs="Arial"/>
        </w:rPr>
        <w:t>n existing</w:t>
      </w:r>
      <w:r w:rsidR="008B22E6" w:rsidRPr="00FB5561">
        <w:rPr>
          <w:rFonts w:cs="Arial"/>
        </w:rPr>
        <w:t xml:space="preserve"> disability in relation to income protection insurance.</w:t>
      </w:r>
    </w:p>
    <w:p w14:paraId="3B54B2A7" w14:textId="4D9F465B" w:rsidR="00FE3FF0" w:rsidRPr="00FB5561" w:rsidRDefault="007775D5" w:rsidP="007775D5">
      <w:pPr>
        <w:spacing w:before="100" w:beforeAutospacing="1" w:after="100" w:afterAutospacing="1"/>
        <w:rPr>
          <w:rFonts w:cs="Arial"/>
        </w:rPr>
      </w:pPr>
      <w:r w:rsidRPr="00FB5561">
        <w:rPr>
          <w:rFonts w:cs="Arial"/>
        </w:rPr>
        <w:t xml:space="preserve">In many cases access to full medical histories </w:t>
      </w:r>
      <w:r w:rsidR="00FE3FF0" w:rsidRPr="00FB5561">
        <w:rPr>
          <w:rFonts w:cs="Arial"/>
        </w:rPr>
        <w:t xml:space="preserve">may not be </w:t>
      </w:r>
      <w:r w:rsidRPr="00FB5561">
        <w:rPr>
          <w:rFonts w:cs="Arial"/>
        </w:rPr>
        <w:t xml:space="preserve">necessary. Often a report from a treating clinician would suffice to allow consideration of factors such as severity and functional impact of a disability.  </w:t>
      </w:r>
    </w:p>
    <w:p w14:paraId="3B567321" w14:textId="77777777" w:rsidR="00A95B2E" w:rsidRPr="00FB5561" w:rsidRDefault="00FE3FF0" w:rsidP="007775D5">
      <w:pPr>
        <w:spacing w:before="100" w:beforeAutospacing="1" w:after="100" w:afterAutospacing="1"/>
        <w:rPr>
          <w:rFonts w:cs="Arial"/>
        </w:rPr>
      </w:pPr>
      <w:r w:rsidRPr="00FB5561">
        <w:rPr>
          <w:rFonts w:cs="Arial"/>
        </w:rPr>
        <w:t xml:space="preserve">Where personal medical information is being sought from a person seeking insurance or superannuation </w:t>
      </w:r>
      <w:r w:rsidR="005535CA" w:rsidRPr="00FB5561">
        <w:rPr>
          <w:rFonts w:cs="Arial"/>
        </w:rPr>
        <w:t>products</w:t>
      </w:r>
      <w:r w:rsidRPr="00FB5561">
        <w:rPr>
          <w:rFonts w:cs="Arial"/>
        </w:rPr>
        <w:t>, it is important that they are fully informed about the nature of the medical records that are sought, why those records are being sought (that is, what is the relevant issue at hand and how will the records assist the insurer to make a determination) and the range of outcomes they can expect as a result of the provision of the information. This is important in ensuring that the person is able to provide informed consent to disclose their medical records.</w:t>
      </w:r>
    </w:p>
    <w:p w14:paraId="7E8B973F" w14:textId="10AA6D69" w:rsidR="00336B9F" w:rsidRPr="00FB5561" w:rsidRDefault="00474DEC" w:rsidP="00336B9F">
      <w:pPr>
        <w:pStyle w:val="Heading3"/>
        <w:rPr>
          <w:rFonts w:cs="Arial"/>
        </w:rPr>
      </w:pPr>
      <w:bookmarkStart w:id="47" w:name="_Toc450572332"/>
      <w:bookmarkStart w:id="48" w:name="_Toc466973685"/>
      <w:r w:rsidRPr="00FB5561">
        <w:rPr>
          <w:rFonts w:cs="Arial"/>
        </w:rPr>
        <w:t>(c)</w:t>
      </w:r>
      <w:r w:rsidRPr="00FB5561">
        <w:rPr>
          <w:rFonts w:cs="Arial"/>
        </w:rPr>
        <w:tab/>
      </w:r>
      <w:r w:rsidR="00336B9F" w:rsidRPr="00FB5561">
        <w:rPr>
          <w:rFonts w:cs="Arial"/>
        </w:rPr>
        <w:t>Opinions from other professional groups</w:t>
      </w:r>
      <w:bookmarkEnd w:id="47"/>
      <w:bookmarkEnd w:id="48"/>
    </w:p>
    <w:p w14:paraId="4C36390F" w14:textId="57C66C57" w:rsidR="00336B9F" w:rsidRPr="00FB5561" w:rsidRDefault="008E0AE3" w:rsidP="00336B9F">
      <w:pPr>
        <w:spacing w:before="100" w:beforeAutospacing="1" w:after="100" w:afterAutospacing="1"/>
        <w:rPr>
          <w:rFonts w:cs="Arial"/>
        </w:rPr>
      </w:pPr>
      <w:r w:rsidRPr="00FB5561">
        <w:rPr>
          <w:rFonts w:cs="Arial"/>
        </w:rPr>
        <w:t>Bearing in mind the need to consider the specific circumstances of the individual concerned, i</w:t>
      </w:r>
      <w:r w:rsidR="00336B9F" w:rsidRPr="00FB5561">
        <w:rPr>
          <w:rFonts w:cs="Arial"/>
        </w:rPr>
        <w:t>t may also be reasonable to rely on the opinion of other professionals with relevant experience, for example occupational therapists, physiotherapists, clinical psychologists or mobility trainers.</w:t>
      </w:r>
    </w:p>
    <w:p w14:paraId="5737C0F3" w14:textId="77777777" w:rsidR="00FE3FF0" w:rsidRPr="00FB5561" w:rsidRDefault="00FE3FF0" w:rsidP="00336B9F">
      <w:pPr>
        <w:spacing w:before="100" w:beforeAutospacing="1" w:after="100" w:afterAutospacing="1"/>
        <w:rPr>
          <w:rFonts w:cs="Arial"/>
        </w:rPr>
      </w:pPr>
      <w:r w:rsidRPr="00FB5561">
        <w:rPr>
          <w:rFonts w:cs="Arial"/>
        </w:rPr>
        <w:t xml:space="preserve">Again, it is important to recognise that </w:t>
      </w:r>
      <w:r w:rsidR="009552AB" w:rsidRPr="00FB5561">
        <w:rPr>
          <w:rFonts w:cs="Arial"/>
        </w:rPr>
        <w:t xml:space="preserve">these professional experts have different skill sets to </w:t>
      </w:r>
      <w:r w:rsidRPr="00FB5561">
        <w:rPr>
          <w:rFonts w:cs="Arial"/>
        </w:rPr>
        <w:t xml:space="preserve">actuaries </w:t>
      </w:r>
      <w:r w:rsidR="009552AB" w:rsidRPr="00FB5561">
        <w:rPr>
          <w:rFonts w:cs="Arial"/>
        </w:rPr>
        <w:t>and t</w:t>
      </w:r>
      <w:r w:rsidRPr="00FB5561">
        <w:rPr>
          <w:rFonts w:cs="Arial"/>
        </w:rPr>
        <w:t>here may be limits on the</w:t>
      </w:r>
      <w:r w:rsidR="009552AB" w:rsidRPr="00FB5561">
        <w:rPr>
          <w:rFonts w:cs="Arial"/>
        </w:rPr>
        <w:t>ir</w:t>
      </w:r>
      <w:r w:rsidRPr="00FB5561">
        <w:rPr>
          <w:rFonts w:cs="Arial"/>
        </w:rPr>
        <w:t xml:space="preserve"> ability to quantify risk. </w:t>
      </w:r>
    </w:p>
    <w:p w14:paraId="10F21594" w14:textId="4E741551" w:rsidR="00336B9F" w:rsidRPr="00FB5561" w:rsidRDefault="00474DEC" w:rsidP="00336B9F">
      <w:pPr>
        <w:pStyle w:val="Heading3"/>
        <w:rPr>
          <w:rFonts w:cs="Arial"/>
        </w:rPr>
      </w:pPr>
      <w:bookmarkStart w:id="49" w:name="_Toc450572333"/>
      <w:bookmarkStart w:id="50" w:name="_Toc466973686"/>
      <w:r w:rsidRPr="00FB5561">
        <w:rPr>
          <w:rFonts w:cs="Arial"/>
        </w:rPr>
        <w:t>(d)</w:t>
      </w:r>
      <w:r w:rsidRPr="00FB5561">
        <w:rPr>
          <w:rFonts w:cs="Arial"/>
        </w:rPr>
        <w:tab/>
      </w:r>
      <w:r w:rsidR="00336B9F" w:rsidRPr="00FB5561">
        <w:rPr>
          <w:rFonts w:cs="Arial"/>
        </w:rPr>
        <w:t>Actuarial advice or opinion</w:t>
      </w:r>
      <w:bookmarkEnd w:id="49"/>
      <w:bookmarkEnd w:id="50"/>
    </w:p>
    <w:p w14:paraId="32328670" w14:textId="77777777" w:rsidR="00336B9F" w:rsidRPr="00FB5561" w:rsidRDefault="00336B9F" w:rsidP="00336B9F">
      <w:pPr>
        <w:spacing w:before="100" w:beforeAutospacing="1" w:after="100" w:afterAutospacing="1"/>
        <w:rPr>
          <w:rFonts w:cs="Arial"/>
        </w:rPr>
      </w:pPr>
      <w:r w:rsidRPr="00FB5561">
        <w:rPr>
          <w:rFonts w:cs="Arial"/>
        </w:rPr>
        <w:t xml:space="preserve">It may be reasonable to rely on actuarial advice or opinion to assist in quantifying the risk of insuring someone with a particular disability if there is no other data available and the opinion is from a relevant source. </w:t>
      </w:r>
      <w:r w:rsidRPr="00FB5561">
        <w:rPr>
          <w:rFonts w:cs="Arial"/>
          <w:iCs/>
        </w:rPr>
        <w:t>Actuarial opinion may be helpful in interpreting medical studies or making allowances for differences in degree of disability between an individual applying for insurance and the study population.</w:t>
      </w:r>
    </w:p>
    <w:p w14:paraId="575C4EF4" w14:textId="725BDD2A" w:rsidR="0002762C" w:rsidRPr="00FB5561" w:rsidRDefault="00474DEC" w:rsidP="00174DE2">
      <w:pPr>
        <w:pStyle w:val="Heading3"/>
        <w:rPr>
          <w:rFonts w:cs="Arial"/>
        </w:rPr>
      </w:pPr>
      <w:bookmarkStart w:id="51" w:name="_Toc450572334"/>
      <w:bookmarkStart w:id="52" w:name="_Toc466973687"/>
      <w:r w:rsidRPr="00FB5561">
        <w:rPr>
          <w:rFonts w:cs="Arial"/>
        </w:rPr>
        <w:lastRenderedPageBreak/>
        <w:t>(e)</w:t>
      </w:r>
      <w:r w:rsidRPr="00FB5561">
        <w:rPr>
          <w:rFonts w:cs="Arial"/>
        </w:rPr>
        <w:tab/>
      </w:r>
      <w:r w:rsidR="0002762C" w:rsidRPr="00FB5561">
        <w:rPr>
          <w:rFonts w:cs="Arial"/>
        </w:rPr>
        <w:t>Practice of others in the insurance industry</w:t>
      </w:r>
      <w:bookmarkEnd w:id="51"/>
      <w:bookmarkEnd w:id="52"/>
    </w:p>
    <w:p w14:paraId="0B4DBF6F" w14:textId="2D10746D" w:rsidR="009D5D75" w:rsidRPr="00FB5561" w:rsidRDefault="00965D27" w:rsidP="00597E32">
      <w:pPr>
        <w:rPr>
          <w:rFonts w:cs="Arial"/>
        </w:rPr>
      </w:pPr>
      <w:r w:rsidRPr="00FB5561">
        <w:rPr>
          <w:rFonts w:cs="Arial"/>
        </w:rPr>
        <w:t xml:space="preserve">It is permissible when determining whether the discrimination is reasonable to have regard to the fact that another insurer with the same or similar knowledge was prepared to issue a policy to the </w:t>
      </w:r>
      <w:r w:rsidR="00597E32" w:rsidRPr="00FB5561">
        <w:rPr>
          <w:rFonts w:cs="Arial"/>
        </w:rPr>
        <w:t>person</w:t>
      </w:r>
      <w:r w:rsidR="004061A9" w:rsidRPr="00FB5561">
        <w:rPr>
          <w:rFonts w:cs="Arial"/>
        </w:rPr>
        <w:t xml:space="preserve"> (including the terms on which they were prepared to do so)</w:t>
      </w:r>
      <w:r w:rsidR="00597E32" w:rsidRPr="00FB5561">
        <w:rPr>
          <w:rFonts w:cs="Arial"/>
        </w:rPr>
        <w:t>.</w:t>
      </w:r>
    </w:p>
    <w:p w14:paraId="40B5C22B" w14:textId="77777777" w:rsidR="009552AB" w:rsidRPr="00FB5561" w:rsidRDefault="009552AB" w:rsidP="009552AB">
      <w:pPr>
        <w:spacing w:before="100" w:beforeAutospacing="1" w:after="100" w:afterAutospacing="1"/>
        <w:rPr>
          <w:rFonts w:cs="Arial"/>
        </w:rPr>
      </w:pPr>
      <w:r w:rsidRPr="00FB5561">
        <w:rPr>
          <w:rFonts w:cs="Arial"/>
          <w:i/>
          <w:szCs w:val="20"/>
        </w:rPr>
        <w:t>For example, in</w:t>
      </w:r>
      <w:r w:rsidRPr="00FB5561">
        <w:rPr>
          <w:rFonts w:cs="Arial"/>
          <w:szCs w:val="20"/>
        </w:rPr>
        <w:t xml:space="preserve"> QBE v Bassanelli</w:t>
      </w:r>
      <w:r w:rsidRPr="00FB5561">
        <w:rPr>
          <w:rFonts w:cs="Arial"/>
          <w:i/>
          <w:szCs w:val="20"/>
        </w:rPr>
        <w:t>, the Magistrate at first instance was presented with extensive evidence about travel insurance policies offered by other insurers to persons with pre-existing conditions. The Magistrate regarded that evidence as of little weight except for those travel insurance policies that Ms Bassanelli actually purchased after QBE refused her cover. On appeal, Mansfield J found that the fact that another reputable insurer with apparently the same or similar knowledge was prepared to issue a policy of travel insurance excluding claims relating to her pre-existing medical condition for the same travel was a matter that the Magistrate was entitled to consider as relevant.</w:t>
      </w:r>
      <w:r w:rsidRPr="00FB5561">
        <w:rPr>
          <w:rStyle w:val="EndnoteReference"/>
          <w:rFonts w:cs="Arial"/>
          <w:szCs w:val="20"/>
        </w:rPr>
        <w:endnoteReference w:id="28"/>
      </w:r>
      <w:r w:rsidRPr="00FB5561">
        <w:rPr>
          <w:rFonts w:cs="Arial"/>
          <w:i/>
          <w:szCs w:val="20"/>
        </w:rPr>
        <w:t xml:space="preserve"> </w:t>
      </w:r>
    </w:p>
    <w:p w14:paraId="0846B32B" w14:textId="77777777" w:rsidR="009D5D75" w:rsidRPr="00FB5561" w:rsidRDefault="009D5D75" w:rsidP="001A1420">
      <w:pPr>
        <w:spacing w:before="100" w:beforeAutospacing="1" w:after="100" w:afterAutospacing="1"/>
        <w:rPr>
          <w:rFonts w:cs="Arial"/>
        </w:rPr>
      </w:pPr>
      <w:r w:rsidRPr="00FB5561">
        <w:rPr>
          <w:rFonts w:cs="Arial"/>
        </w:rPr>
        <w:t>It is not reasonable, however, to refuse to insure a person with a disability simply because of historical practice, however widespread, or to rely on inaccurate assumptions about people with a disability.</w:t>
      </w:r>
    </w:p>
    <w:p w14:paraId="1B5428F4" w14:textId="6B4F3CA8" w:rsidR="009D5D75" w:rsidRPr="00FB5561" w:rsidRDefault="00474DEC" w:rsidP="00174DE2">
      <w:pPr>
        <w:pStyle w:val="Heading3"/>
        <w:rPr>
          <w:rFonts w:cs="Arial"/>
        </w:rPr>
      </w:pPr>
      <w:bookmarkStart w:id="53" w:name="_Toc450572335"/>
      <w:bookmarkStart w:id="54" w:name="_Toc466973688"/>
      <w:r w:rsidRPr="00FB5561">
        <w:rPr>
          <w:rFonts w:cs="Arial"/>
        </w:rPr>
        <w:t>(f)</w:t>
      </w:r>
      <w:r w:rsidRPr="00FB5561">
        <w:rPr>
          <w:rFonts w:cs="Arial"/>
        </w:rPr>
        <w:tab/>
      </w:r>
      <w:r w:rsidR="009D5D75" w:rsidRPr="00FB5561">
        <w:rPr>
          <w:rFonts w:cs="Arial"/>
        </w:rPr>
        <w:t>Commercial judgment</w:t>
      </w:r>
      <w:bookmarkEnd w:id="53"/>
      <w:bookmarkEnd w:id="54"/>
    </w:p>
    <w:p w14:paraId="06B3D230" w14:textId="77777777" w:rsidR="009D5D75" w:rsidRPr="00FB5561" w:rsidRDefault="009D5D75" w:rsidP="006A7F9D">
      <w:pPr>
        <w:spacing w:before="100" w:beforeAutospacing="1" w:after="100" w:afterAutospacing="1"/>
        <w:rPr>
          <w:rFonts w:cs="Arial"/>
        </w:rPr>
      </w:pPr>
      <w:r w:rsidRPr="00FB5561">
        <w:rPr>
          <w:rFonts w:cs="Arial"/>
        </w:rPr>
        <w:t xml:space="preserve">Assessing the likelihood of an insurance claim can sometimes go beyond medical and statistical probability. Other relevant </w:t>
      </w:r>
      <w:r w:rsidR="00202A52" w:rsidRPr="00FB5561">
        <w:rPr>
          <w:rFonts w:cs="Arial"/>
        </w:rPr>
        <w:t xml:space="preserve">commercial </w:t>
      </w:r>
      <w:r w:rsidRPr="00FB5561">
        <w:rPr>
          <w:rFonts w:cs="Arial"/>
        </w:rPr>
        <w:t>factors may be taken into account so long as it is reasonable to do so.</w:t>
      </w:r>
    </w:p>
    <w:p w14:paraId="3B934218" w14:textId="7365C421" w:rsidR="009D5D75" w:rsidRPr="00FB5561" w:rsidRDefault="00202A52" w:rsidP="00297739">
      <w:pPr>
        <w:autoSpaceDE w:val="0"/>
        <w:autoSpaceDN w:val="0"/>
        <w:adjustRightInd w:val="0"/>
        <w:spacing w:before="0" w:after="0"/>
        <w:rPr>
          <w:rFonts w:cs="Arial"/>
        </w:rPr>
      </w:pPr>
      <w:r w:rsidRPr="00FB5561">
        <w:rPr>
          <w:rFonts w:cs="Arial"/>
        </w:rPr>
        <w:t>For example, t</w:t>
      </w:r>
      <w:r w:rsidR="009D5D75" w:rsidRPr="00FB5561">
        <w:rPr>
          <w:rFonts w:cs="Arial"/>
        </w:rPr>
        <w:t>here may be circumstances</w:t>
      </w:r>
      <w:r w:rsidRPr="00FB5561">
        <w:rPr>
          <w:rFonts w:cs="Arial"/>
        </w:rPr>
        <w:t>, such as when there is evidence that a person has made fraudulent claims in the past</w:t>
      </w:r>
      <w:r w:rsidR="00297739" w:rsidRPr="00FB5561">
        <w:rPr>
          <w:rFonts w:eastAsia="Times New Roman" w:cs="Arial"/>
          <w:sz w:val="22"/>
          <w:szCs w:val="22"/>
        </w:rPr>
        <w:t xml:space="preserve"> </w:t>
      </w:r>
      <w:r w:rsidR="00297739" w:rsidRPr="00FB5561">
        <w:rPr>
          <w:rFonts w:eastAsia="Times New Roman" w:cs="Arial"/>
          <w:szCs w:val="22"/>
        </w:rPr>
        <w:t>or where there is clear evidence that a particular mental illness creates a higher propensity for fraud</w:t>
      </w:r>
      <w:r w:rsidRPr="00FB5561">
        <w:rPr>
          <w:rFonts w:cs="Arial"/>
        </w:rPr>
        <w:t>,</w:t>
      </w:r>
      <w:r w:rsidR="009D5D75" w:rsidRPr="00FB5561">
        <w:rPr>
          <w:rFonts w:cs="Arial"/>
        </w:rPr>
        <w:t xml:space="preserve"> </w:t>
      </w:r>
      <w:r w:rsidRPr="00FB5561">
        <w:rPr>
          <w:rFonts w:cs="Arial"/>
        </w:rPr>
        <w:t xml:space="preserve">in which </w:t>
      </w:r>
      <w:r w:rsidR="009D5D75" w:rsidRPr="00FB5561">
        <w:rPr>
          <w:rFonts w:cs="Arial"/>
        </w:rPr>
        <w:t>it is reasonable for an insurer to consider an individual</w:t>
      </w:r>
      <w:r w:rsidR="009552AB" w:rsidRPr="00FB5561">
        <w:rPr>
          <w:rFonts w:cs="Arial"/>
        </w:rPr>
        <w:t>’</w:t>
      </w:r>
      <w:r w:rsidR="009D5D75" w:rsidRPr="00FB5561">
        <w:rPr>
          <w:rFonts w:cs="Arial"/>
        </w:rPr>
        <w:t>s</w:t>
      </w:r>
      <w:r w:rsidR="001F030C" w:rsidRPr="00FB5561">
        <w:rPr>
          <w:rFonts w:cs="Arial"/>
        </w:rPr>
        <w:t xml:space="preserve"> claims history </w:t>
      </w:r>
      <w:r w:rsidR="00297739" w:rsidRPr="00FB5561">
        <w:rPr>
          <w:rFonts w:cs="Arial"/>
        </w:rPr>
        <w:t>or</w:t>
      </w:r>
      <w:r w:rsidR="001F030C" w:rsidRPr="00FB5561">
        <w:rPr>
          <w:rFonts w:cs="Arial"/>
        </w:rPr>
        <w:t xml:space="preserve"> </w:t>
      </w:r>
      <w:r w:rsidR="009D5D75" w:rsidRPr="00FB5561">
        <w:rPr>
          <w:rFonts w:cs="Arial"/>
        </w:rPr>
        <w:t xml:space="preserve">propensity or incentive to make a fraudulent claim </w:t>
      </w:r>
      <w:r w:rsidRPr="00FB5561">
        <w:rPr>
          <w:rFonts w:cs="Arial"/>
        </w:rPr>
        <w:t>when</w:t>
      </w:r>
      <w:r w:rsidR="009D5D75" w:rsidRPr="00FB5561">
        <w:rPr>
          <w:rFonts w:cs="Arial"/>
        </w:rPr>
        <w:t xml:space="preserve"> assessing the overall risk of insuring someone with a particular disability. This does not, however, entitle insurers to rely on untested discriminatory assumptions.</w:t>
      </w:r>
    </w:p>
    <w:p w14:paraId="1B5B7793" w14:textId="77777777" w:rsidR="009D5D75" w:rsidRPr="00FB5561" w:rsidRDefault="00202A52" w:rsidP="00202A52">
      <w:pPr>
        <w:pStyle w:val="Heading2"/>
        <w:numPr>
          <w:ilvl w:val="0"/>
          <w:numId w:val="0"/>
        </w:numPr>
        <w:tabs>
          <w:tab w:val="left" w:pos="851"/>
        </w:tabs>
        <w:ind w:left="851" w:hanging="851"/>
        <w:rPr>
          <w:rFonts w:cs="Arial"/>
          <w:i w:val="0"/>
          <w:sz w:val="24"/>
          <w:szCs w:val="24"/>
        </w:rPr>
      </w:pPr>
      <w:bookmarkStart w:id="55" w:name="_Toc466973689"/>
      <w:r w:rsidRPr="00FB5561">
        <w:rPr>
          <w:rFonts w:cs="Arial"/>
          <w:i w:val="0"/>
          <w:sz w:val="24"/>
          <w:szCs w:val="24"/>
        </w:rPr>
        <w:t>4.3</w:t>
      </w:r>
      <w:r w:rsidRPr="00FB5561">
        <w:rPr>
          <w:rFonts w:cs="Arial"/>
          <w:i w:val="0"/>
          <w:sz w:val="24"/>
          <w:szCs w:val="24"/>
        </w:rPr>
        <w:tab/>
      </w:r>
      <w:r w:rsidR="009D5D75" w:rsidRPr="00FB5561">
        <w:rPr>
          <w:rFonts w:cs="Arial"/>
          <w:i w:val="0"/>
          <w:sz w:val="24"/>
          <w:szCs w:val="24"/>
        </w:rPr>
        <w:t>When will it be ‘reasonable’ to discriminate?</w:t>
      </w:r>
      <w:bookmarkEnd w:id="55"/>
    </w:p>
    <w:p w14:paraId="1F07089D" w14:textId="77777777" w:rsidR="009D5D75" w:rsidRPr="00FB5561" w:rsidRDefault="009D5D75" w:rsidP="003710E3">
      <w:pPr>
        <w:spacing w:before="100" w:beforeAutospacing="1" w:after="100" w:afterAutospacing="1"/>
        <w:rPr>
          <w:rFonts w:eastAsia="Times New Roman" w:cs="Arial"/>
        </w:rPr>
      </w:pPr>
      <w:r w:rsidRPr="00FB5561">
        <w:rPr>
          <w:rFonts w:cs="Arial"/>
        </w:rPr>
        <w:t xml:space="preserve">The Federal Court has stated that </w:t>
      </w:r>
      <w:r w:rsidRPr="00FB5561">
        <w:rPr>
          <w:rFonts w:eastAsia="Times New Roman" w:cs="Arial"/>
        </w:rPr>
        <w:t>‘[w]hether the discrimination is shown to be reasonable is a question of fact in all the relevant circumstances’.</w:t>
      </w:r>
      <w:r w:rsidRPr="00FB5561">
        <w:rPr>
          <w:rStyle w:val="EndnoteReference"/>
          <w:rFonts w:eastAsia="Times New Roman" w:cs="Arial"/>
          <w:szCs w:val="20"/>
        </w:rPr>
        <w:endnoteReference w:id="29"/>
      </w:r>
      <w:r w:rsidRPr="00FB5561">
        <w:rPr>
          <w:rFonts w:cs="Arial"/>
        </w:rPr>
        <w:t xml:space="preserve"> </w:t>
      </w:r>
      <w:r w:rsidRPr="00FB5561">
        <w:rPr>
          <w:rFonts w:eastAsia="Times New Roman" w:cs="Arial"/>
        </w:rPr>
        <w:t>The question of whether the discrimination is reasonable ‘is a judgment to be made objectively with the knowledge and in the circumstances of the discriminator, but including factors of which the discriminator ought to have been aware</w:t>
      </w:r>
      <w:r w:rsidR="00B31C5A" w:rsidRPr="00FB5561">
        <w:rPr>
          <w:rFonts w:eastAsia="Times New Roman" w:cs="Arial"/>
        </w:rPr>
        <w:t>’</w:t>
      </w:r>
      <w:r w:rsidRPr="00FB5561">
        <w:rPr>
          <w:rFonts w:eastAsia="Times New Roman" w:cs="Arial"/>
        </w:rPr>
        <w:t>.</w:t>
      </w:r>
      <w:r w:rsidRPr="00FB5561">
        <w:rPr>
          <w:rStyle w:val="EndnoteReference"/>
          <w:rFonts w:eastAsia="Times New Roman" w:cs="Arial"/>
          <w:szCs w:val="20"/>
        </w:rPr>
        <w:endnoteReference w:id="30"/>
      </w:r>
      <w:r w:rsidRPr="00FB5561">
        <w:rPr>
          <w:rFonts w:eastAsia="Times New Roman" w:cs="Arial"/>
          <w:sz w:val="20"/>
          <w:szCs w:val="20"/>
        </w:rPr>
        <w:t xml:space="preserve"> </w:t>
      </w:r>
    </w:p>
    <w:p w14:paraId="6BE22A14" w14:textId="222227B1" w:rsidR="00580655" w:rsidRPr="00FB5561" w:rsidRDefault="009D5D75" w:rsidP="00580655">
      <w:pPr>
        <w:spacing w:before="100" w:beforeAutospacing="1" w:after="100" w:afterAutospacing="1"/>
        <w:rPr>
          <w:rFonts w:eastAsia="Times New Roman" w:cs="Arial"/>
        </w:rPr>
      </w:pPr>
      <w:r w:rsidRPr="00FB5561">
        <w:rPr>
          <w:rFonts w:eastAsia="Times New Roman" w:cs="Arial"/>
        </w:rPr>
        <w:t>A court assessing whether discrimination was reasonable for the purposes of s 46 is required to ‘</w:t>
      </w:r>
      <w:r w:rsidRPr="00FB5561">
        <w:rPr>
          <w:rFonts w:cs="Arial"/>
          <w:iCs/>
          <w:color w:val="000000"/>
        </w:rPr>
        <w:t>weigh the nature and extent of the discriminatory effect on the one hand against the reasons advanced in favour of the requirement or condition on the other</w:t>
      </w:r>
      <w:r w:rsidR="00C70A9B" w:rsidRPr="00FB5561">
        <w:rPr>
          <w:rFonts w:cs="Arial"/>
          <w:iCs/>
          <w:color w:val="000000"/>
        </w:rPr>
        <w:t>’</w:t>
      </w:r>
      <w:r w:rsidRPr="00FB5561">
        <w:rPr>
          <w:rFonts w:cs="Arial"/>
          <w:iCs/>
          <w:color w:val="000000"/>
        </w:rPr>
        <w:t>.</w:t>
      </w:r>
      <w:r w:rsidRPr="00FB5561">
        <w:rPr>
          <w:rStyle w:val="EndnoteReference"/>
          <w:rFonts w:cs="Arial"/>
          <w:iCs/>
          <w:color w:val="000000"/>
          <w:szCs w:val="20"/>
        </w:rPr>
        <w:endnoteReference w:id="31"/>
      </w:r>
      <w:r w:rsidRPr="00FB5561">
        <w:rPr>
          <w:rFonts w:cs="Arial"/>
          <w:iCs/>
          <w:color w:val="000000"/>
        </w:rPr>
        <w:t xml:space="preserve"> </w:t>
      </w:r>
      <w:r w:rsidR="00580655" w:rsidRPr="00FB5561">
        <w:rPr>
          <w:rFonts w:cs="Arial"/>
        </w:rPr>
        <w:t xml:space="preserve">Matters taken into account include: </w:t>
      </w:r>
    </w:p>
    <w:p w14:paraId="5E752033" w14:textId="77777777" w:rsidR="00580655" w:rsidRPr="00FB5561" w:rsidRDefault="00580655"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practical and business considerations</w:t>
      </w:r>
    </w:p>
    <w:p w14:paraId="4E6123C3" w14:textId="77777777" w:rsidR="00812147" w:rsidRPr="00FB5561" w:rsidRDefault="00812147" w:rsidP="00812147">
      <w:pPr>
        <w:pStyle w:val="SubmissionNormal"/>
        <w:numPr>
          <w:ilvl w:val="0"/>
          <w:numId w:val="16"/>
        </w:numPr>
        <w:tabs>
          <w:tab w:val="clear" w:pos="720"/>
          <w:tab w:val="num" w:pos="284"/>
        </w:tabs>
        <w:spacing w:before="0" w:after="120"/>
        <w:ind w:left="284" w:hanging="284"/>
        <w:rPr>
          <w:rFonts w:cs="Arial"/>
        </w:rPr>
      </w:pPr>
      <w:r w:rsidRPr="00FB5561">
        <w:rPr>
          <w:rFonts w:cs="Arial"/>
        </w:rPr>
        <w:t>whether less discriminatory options were available</w:t>
      </w:r>
    </w:p>
    <w:p w14:paraId="7FA5C481" w14:textId="77777777" w:rsidR="00812147" w:rsidRPr="00FB5561" w:rsidRDefault="00812147" w:rsidP="00812147">
      <w:pPr>
        <w:pStyle w:val="SubmissionNormal"/>
        <w:numPr>
          <w:ilvl w:val="0"/>
          <w:numId w:val="16"/>
        </w:numPr>
        <w:tabs>
          <w:tab w:val="clear" w:pos="720"/>
          <w:tab w:val="num" w:pos="284"/>
        </w:tabs>
        <w:spacing w:before="0" w:after="120"/>
        <w:ind w:left="284" w:hanging="284"/>
        <w:rPr>
          <w:rFonts w:cs="Arial"/>
        </w:rPr>
      </w:pPr>
      <w:r w:rsidRPr="00FB5561">
        <w:rPr>
          <w:rFonts w:cs="Arial"/>
        </w:rPr>
        <w:lastRenderedPageBreak/>
        <w:t>the individual’s particular circumstances</w:t>
      </w:r>
    </w:p>
    <w:p w14:paraId="157092CF" w14:textId="135974F7" w:rsidR="00580655" w:rsidRPr="00FB5561" w:rsidRDefault="00580655"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all other relevant factors of the particular case</w:t>
      </w:r>
    </w:p>
    <w:p w14:paraId="1ABCD21D" w14:textId="254DF081" w:rsidR="008E4035" w:rsidRPr="00FB5561" w:rsidRDefault="00580655" w:rsidP="0007787E">
      <w:pPr>
        <w:pStyle w:val="SubmissionNormal"/>
        <w:numPr>
          <w:ilvl w:val="0"/>
          <w:numId w:val="16"/>
        </w:numPr>
        <w:tabs>
          <w:tab w:val="clear" w:pos="720"/>
          <w:tab w:val="num" w:pos="284"/>
        </w:tabs>
        <w:spacing w:before="0" w:after="120"/>
        <w:ind w:left="284" w:hanging="284"/>
        <w:rPr>
          <w:rFonts w:cs="Arial"/>
        </w:rPr>
      </w:pPr>
      <w:r w:rsidRPr="00FB5561">
        <w:rPr>
          <w:rFonts w:cs="Arial"/>
        </w:rPr>
        <w:t xml:space="preserve">the </w:t>
      </w:r>
      <w:r w:rsidR="005F3D78" w:rsidRPr="00FB5561">
        <w:rPr>
          <w:rFonts w:cs="Arial"/>
        </w:rPr>
        <w:t xml:space="preserve">objects </w:t>
      </w:r>
      <w:r w:rsidRPr="00FB5561">
        <w:rPr>
          <w:rFonts w:cs="Arial"/>
        </w:rPr>
        <w:t>of the DDA</w:t>
      </w:r>
      <w:r w:rsidR="0090043C" w:rsidRPr="00FB5561">
        <w:rPr>
          <w:rFonts w:cs="Arial"/>
        </w:rPr>
        <w:t xml:space="preserve">, especially the </w:t>
      </w:r>
      <w:r w:rsidR="005F3D78" w:rsidRPr="00FB5561">
        <w:rPr>
          <w:rFonts w:cs="Arial"/>
        </w:rPr>
        <w:t xml:space="preserve">object </w:t>
      </w:r>
      <w:r w:rsidR="0090043C" w:rsidRPr="00FB5561">
        <w:rPr>
          <w:rFonts w:cs="Arial"/>
        </w:rPr>
        <w:t>of eliminating</w:t>
      </w:r>
      <w:r w:rsidRPr="00FB5561">
        <w:rPr>
          <w:rFonts w:cs="Arial"/>
        </w:rPr>
        <w:t xml:space="preserve"> disability discrimination as far as possible.</w:t>
      </w:r>
    </w:p>
    <w:p w14:paraId="58D55DE1" w14:textId="77777777" w:rsidR="006964A5" w:rsidRPr="00FB5561" w:rsidRDefault="006964A5" w:rsidP="006964A5">
      <w:pPr>
        <w:pStyle w:val="SubmissionNormal"/>
        <w:numPr>
          <w:ilvl w:val="0"/>
          <w:numId w:val="0"/>
        </w:numPr>
        <w:spacing w:before="0" w:after="120"/>
        <w:rPr>
          <w:rFonts w:cs="Arial"/>
          <w:i/>
        </w:rPr>
      </w:pPr>
      <w:r w:rsidRPr="00FB5561">
        <w:rPr>
          <w:rFonts w:cs="Arial"/>
          <w:i/>
        </w:rPr>
        <w:t>For example, in considering whether there were less discriminatory options available</w:t>
      </w:r>
      <w:r w:rsidR="00C03709" w:rsidRPr="00FB5561">
        <w:rPr>
          <w:rFonts w:cs="Arial"/>
          <w:i/>
        </w:rPr>
        <w:t xml:space="preserve"> to refusing travel insurance to Ms Bassanelli entirely</w:t>
      </w:r>
      <w:r w:rsidRPr="00FB5561">
        <w:rPr>
          <w:rFonts w:cs="Arial"/>
          <w:i/>
        </w:rPr>
        <w:t xml:space="preserve">, the court in QBE v Bassanelli </w:t>
      </w:r>
      <w:r w:rsidR="00C03709" w:rsidRPr="00FB5561">
        <w:rPr>
          <w:rFonts w:cs="Arial"/>
          <w:i/>
        </w:rPr>
        <w:t>considered whether QBE could have offered a travel insurance policy which excluded pre-existing medical conditions</w:t>
      </w:r>
      <w:r w:rsidR="00BD7AE6" w:rsidRPr="00FB5561">
        <w:rPr>
          <w:rFonts w:cs="Arial"/>
          <w:i/>
        </w:rPr>
        <w:t xml:space="preserve"> (as other reputable insurers subsequently issued to her)</w:t>
      </w:r>
      <w:r w:rsidR="00C03709" w:rsidRPr="00FB5561">
        <w:rPr>
          <w:rFonts w:cs="Arial"/>
          <w:i/>
        </w:rPr>
        <w:t xml:space="preserve">; and whether QBE could have offered a policy that covered only property loss and damage </w:t>
      </w:r>
      <w:r w:rsidR="00BD7AE6" w:rsidRPr="00FB5561">
        <w:rPr>
          <w:rFonts w:cs="Arial"/>
          <w:i/>
        </w:rPr>
        <w:t>(as QBE had in issued in the past to other customers)</w:t>
      </w:r>
      <w:r w:rsidRPr="00FB5561">
        <w:rPr>
          <w:rFonts w:cs="Arial"/>
          <w:i/>
        </w:rPr>
        <w:t>.</w:t>
      </w:r>
      <w:r w:rsidR="007A49DA" w:rsidRPr="00FB5561">
        <w:rPr>
          <w:rStyle w:val="EndnoteReference"/>
          <w:rFonts w:cs="Arial"/>
          <w:i/>
        </w:rPr>
        <w:endnoteReference w:id="32"/>
      </w:r>
    </w:p>
    <w:p w14:paraId="0C7F5530" w14:textId="77777777" w:rsidR="00224C16" w:rsidRPr="00FB5561" w:rsidRDefault="00B37894" w:rsidP="00E142BB">
      <w:pPr>
        <w:pStyle w:val="SubmissionNormal"/>
        <w:numPr>
          <w:ilvl w:val="0"/>
          <w:numId w:val="0"/>
        </w:numPr>
        <w:spacing w:before="0" w:after="120"/>
        <w:rPr>
          <w:rFonts w:cs="Arial"/>
        </w:rPr>
      </w:pPr>
      <w:r w:rsidRPr="00FB5561">
        <w:rPr>
          <w:rFonts w:cs="Arial"/>
          <w:i/>
        </w:rPr>
        <w:t>Similarly, in</w:t>
      </w:r>
      <w:r w:rsidR="00FD282D" w:rsidRPr="00FB5561">
        <w:rPr>
          <w:rFonts w:cs="Arial"/>
          <w:i/>
        </w:rPr>
        <w:t xml:space="preserve"> considering the individual’s particular circumstances,</w:t>
      </w:r>
      <w:r w:rsidRPr="00FB5561">
        <w:rPr>
          <w:rFonts w:cs="Arial"/>
          <w:i/>
        </w:rPr>
        <w:t xml:space="preserve"> although QBE pointed to 50 or so difficult causation claims </w:t>
      </w:r>
      <w:r w:rsidR="00FD282D" w:rsidRPr="00FB5561">
        <w:rPr>
          <w:rFonts w:cs="Arial"/>
          <w:i/>
        </w:rPr>
        <w:t>that it had</w:t>
      </w:r>
      <w:r w:rsidRPr="00FB5561">
        <w:rPr>
          <w:rFonts w:cs="Arial"/>
          <w:i/>
        </w:rPr>
        <w:t xml:space="preserve"> experienced over a </w:t>
      </w:r>
      <w:r w:rsidR="00D74D68" w:rsidRPr="00FB5561">
        <w:rPr>
          <w:rFonts w:cs="Arial"/>
          <w:i/>
        </w:rPr>
        <w:t>20-year</w:t>
      </w:r>
      <w:r w:rsidRPr="00FB5561">
        <w:rPr>
          <w:rFonts w:cs="Arial"/>
          <w:i/>
        </w:rPr>
        <w:t xml:space="preserve"> </w:t>
      </w:r>
      <w:r w:rsidR="0033012D" w:rsidRPr="00FB5561">
        <w:rPr>
          <w:rFonts w:cs="Arial"/>
          <w:i/>
        </w:rPr>
        <w:t xml:space="preserve">period </w:t>
      </w:r>
      <w:r w:rsidRPr="00FB5561">
        <w:rPr>
          <w:rFonts w:cs="Arial"/>
          <w:i/>
        </w:rPr>
        <w:t xml:space="preserve">involving a claimant with a pre-existing condition similar to Ms Bassanelli’s, the court considered that this evidence was merely anecdotal and did not relate specifically to Ms Bassanelli’s pre-existing medical condition. </w:t>
      </w:r>
      <w:r w:rsidR="00FD282D" w:rsidRPr="00FB5561">
        <w:rPr>
          <w:rFonts w:cs="Arial"/>
          <w:i/>
        </w:rPr>
        <w:t xml:space="preserve">It was not a sufficient basis to </w:t>
      </w:r>
      <w:r w:rsidR="0033012D" w:rsidRPr="00FB5561">
        <w:rPr>
          <w:rFonts w:cs="Arial"/>
          <w:i/>
        </w:rPr>
        <w:t>exclude her from insurance for any personal illness or accident, even if it was unrelated to her pre-existing medical condition.</w:t>
      </w:r>
      <w:r w:rsidR="0033012D" w:rsidRPr="00FB5561">
        <w:rPr>
          <w:rStyle w:val="EndnoteReference"/>
          <w:rFonts w:cs="Arial"/>
        </w:rPr>
        <w:endnoteReference w:id="33"/>
      </w:r>
      <w:r w:rsidR="0033012D" w:rsidRPr="00FB5561">
        <w:rPr>
          <w:rFonts w:cs="Arial"/>
        </w:rPr>
        <w:t xml:space="preserve"> </w:t>
      </w:r>
    </w:p>
    <w:tbl>
      <w:tblPr>
        <w:tblW w:w="93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37BBC"/>
        <w:tblLook w:val="0000" w:firstRow="0" w:lastRow="0" w:firstColumn="0" w:lastColumn="0" w:noHBand="0" w:noVBand="0"/>
      </w:tblPr>
      <w:tblGrid>
        <w:gridCol w:w="9300"/>
      </w:tblGrid>
      <w:tr w:rsidR="00E142BB" w:rsidRPr="00FB5561" w14:paraId="3640764E" w14:textId="77777777" w:rsidTr="00E142BB">
        <w:trPr>
          <w:trHeight w:val="7860"/>
        </w:trPr>
        <w:tc>
          <w:tcPr>
            <w:tcW w:w="9300" w:type="dxa"/>
            <w:shd w:val="clear" w:color="auto" w:fill="237BBC"/>
          </w:tcPr>
          <w:p w14:paraId="0BF3BAC1" w14:textId="77777777" w:rsidR="00660076" w:rsidRPr="00FB5561" w:rsidRDefault="00660076" w:rsidP="00E142BB">
            <w:pPr>
              <w:pStyle w:val="NoSpacing"/>
              <w:rPr>
                <w:rFonts w:cs="Arial"/>
                <w:b/>
                <w:color w:val="FFFFFF" w:themeColor="background1"/>
                <w:u w:val="single"/>
              </w:rPr>
            </w:pPr>
          </w:p>
          <w:p w14:paraId="205026F4" w14:textId="77777777" w:rsidR="00E142BB" w:rsidRPr="00FB5561" w:rsidRDefault="00E142BB" w:rsidP="00E142BB">
            <w:pPr>
              <w:pStyle w:val="NoSpacing"/>
              <w:rPr>
                <w:b/>
                <w:i/>
                <w:color w:val="FFFFFF" w:themeColor="background1"/>
                <w:u w:val="single"/>
              </w:rPr>
            </w:pPr>
            <w:r w:rsidRPr="00FB5561">
              <w:rPr>
                <w:rFonts w:cs="Arial"/>
                <w:b/>
                <w:color w:val="FFFFFF" w:themeColor="background1"/>
                <w:u w:val="single"/>
              </w:rPr>
              <w:t>Case study on assessing reasonableness:</w:t>
            </w:r>
            <w:r w:rsidRPr="00FB5561">
              <w:rPr>
                <w:b/>
                <w:color w:val="FFFFFF" w:themeColor="background1"/>
                <w:u w:val="single"/>
              </w:rPr>
              <w:t xml:space="preserve"> </w:t>
            </w:r>
            <w:r w:rsidRPr="00FB5561">
              <w:rPr>
                <w:b/>
                <w:i/>
                <w:color w:val="FFFFFF" w:themeColor="background1"/>
                <w:u w:val="single"/>
              </w:rPr>
              <w:t>Xiros v Fortis Life Assurance Ltd</w:t>
            </w:r>
            <w:r w:rsidRPr="00FB5561">
              <w:rPr>
                <w:rStyle w:val="EndnoteReference"/>
                <w:rFonts w:cs="Arial"/>
                <w:b/>
                <w:bCs/>
                <w:color w:val="FFFFFF" w:themeColor="background1"/>
                <w:u w:val="single"/>
              </w:rPr>
              <w:endnoteReference w:id="34"/>
            </w:r>
          </w:p>
          <w:p w14:paraId="3DF311E4" w14:textId="77777777" w:rsidR="00E142BB" w:rsidRPr="00FB5561" w:rsidRDefault="00E142BB" w:rsidP="00E142BB">
            <w:pPr>
              <w:pStyle w:val="NoSpacing"/>
              <w:rPr>
                <w:color w:val="FFFFFF" w:themeColor="background1"/>
              </w:rPr>
            </w:pPr>
          </w:p>
          <w:p w14:paraId="31023AF6" w14:textId="3A105749" w:rsidR="00E142BB" w:rsidRPr="00FB5561" w:rsidRDefault="00E142BB" w:rsidP="00E142BB">
            <w:pPr>
              <w:pStyle w:val="NoSpacing"/>
              <w:rPr>
                <w:color w:val="FFFFFF" w:themeColor="background1"/>
              </w:rPr>
            </w:pPr>
            <w:r w:rsidRPr="00FB5561">
              <w:rPr>
                <w:color w:val="FFFFFF" w:themeColor="background1"/>
              </w:rPr>
              <w:t>Mr Xiros took out a mortgage protection insurance policy underwritten by Fortis which included death and permanent disablement plus temporary disablement cover in 1995. He was subsequently diagnosed as HIV positive. In 1996 he ceased work due to his deteriorating health and depression. In 1997 he submitted a claim under the policy which was declined on the basis that ‘the policy excludes all claims made on the basis of the condition of HIV/AIDS’.</w:t>
            </w:r>
          </w:p>
          <w:p w14:paraId="3D9CAEC2" w14:textId="77777777" w:rsidR="00E142BB" w:rsidRPr="00FB5561" w:rsidRDefault="00E142BB" w:rsidP="00E142BB">
            <w:pPr>
              <w:pStyle w:val="NoSpacing"/>
              <w:rPr>
                <w:color w:val="FFFFFF" w:themeColor="background1"/>
              </w:rPr>
            </w:pPr>
          </w:p>
          <w:p w14:paraId="3EE91594" w14:textId="1FF15DDE" w:rsidR="00E142BB" w:rsidRPr="00FB5561" w:rsidRDefault="00E142BB" w:rsidP="00E142BB">
            <w:pPr>
              <w:pStyle w:val="NoSpacing"/>
              <w:rPr>
                <w:color w:val="FFFFFF" w:themeColor="background1"/>
              </w:rPr>
            </w:pPr>
            <w:r w:rsidRPr="00FB5561">
              <w:rPr>
                <w:color w:val="FFFFFF" w:themeColor="background1"/>
              </w:rPr>
              <w:t xml:space="preserve">Mr Xiros brought a complaint under the DDA alleging that he was suffering from a disability in the form of his HIV positive status and that Fortis had discriminated against him by providing him a policy of mortgage protection insurance which included an exclusion against cover for conditions relating to HIV and AIDS, and by refusing to pay the claim he made under the policy. The Human Rights and Equal Opportunity Commission (as the Australian Human Rights Commission was then called) was unable to conciliate the complaint, and Mr Xiros filed an application in the Federal Magistrates Court. </w:t>
            </w:r>
          </w:p>
          <w:p w14:paraId="0EEDA516" w14:textId="77777777" w:rsidR="00E142BB" w:rsidRPr="00FB5561" w:rsidRDefault="00E142BB" w:rsidP="00E142BB">
            <w:pPr>
              <w:pStyle w:val="NoSpacing"/>
              <w:rPr>
                <w:color w:val="FFFFFF" w:themeColor="background1"/>
              </w:rPr>
            </w:pPr>
          </w:p>
          <w:p w14:paraId="4DE2FA0F" w14:textId="77777777" w:rsidR="00E142BB" w:rsidRPr="00FB5561" w:rsidRDefault="00E142BB" w:rsidP="00E142BB">
            <w:pPr>
              <w:pStyle w:val="NoSpacing"/>
              <w:rPr>
                <w:color w:val="FFFFFF" w:themeColor="background1"/>
              </w:rPr>
            </w:pPr>
            <w:r w:rsidRPr="00FB5561">
              <w:rPr>
                <w:color w:val="FFFFFF" w:themeColor="background1"/>
              </w:rPr>
              <w:t>Fortis argued that the discrimination was not unlawful because it was covered by the exemption in s 46(2) of the DDA. Applying s 46(2), in assessing whether it was reasonable for Fortis to have discriminated against Mr Xiros, Driver FM considered the statistical and actuarial data submitted by Fortis and various other relevant factors, including:</w:t>
            </w:r>
          </w:p>
          <w:p w14:paraId="179FECB7" w14:textId="77777777" w:rsidR="00E142BB" w:rsidRPr="00FB5561" w:rsidRDefault="00E142BB" w:rsidP="00E142BB">
            <w:pPr>
              <w:pStyle w:val="NoSpacing"/>
              <w:rPr>
                <w:color w:val="FFFFFF" w:themeColor="background1"/>
              </w:rPr>
            </w:pPr>
          </w:p>
          <w:p w14:paraId="6D48E518" w14:textId="77777777" w:rsidR="00E142BB" w:rsidRPr="00FB5561" w:rsidRDefault="00E142BB" w:rsidP="00E142BB">
            <w:pPr>
              <w:pStyle w:val="NoSpacing"/>
              <w:numPr>
                <w:ilvl w:val="0"/>
                <w:numId w:val="28"/>
              </w:numPr>
              <w:rPr>
                <w:color w:val="FFFFFF" w:themeColor="background1"/>
              </w:rPr>
            </w:pPr>
            <w:r w:rsidRPr="00FB5561">
              <w:rPr>
                <w:color w:val="FFFFFF" w:themeColor="background1"/>
              </w:rPr>
              <w:t>whether Mr Xiros was aware of the exclusion clause at time of taking out the policy</w:t>
            </w:r>
          </w:p>
          <w:p w14:paraId="2089C7E6" w14:textId="77777777" w:rsidR="00E142BB" w:rsidRPr="00FB5561" w:rsidRDefault="00E142BB" w:rsidP="00E142BB">
            <w:pPr>
              <w:pStyle w:val="NoSpacing"/>
              <w:ind w:left="720"/>
              <w:rPr>
                <w:color w:val="FFFFFF" w:themeColor="background1"/>
              </w:rPr>
            </w:pPr>
          </w:p>
          <w:p w14:paraId="60C697E5" w14:textId="77777777" w:rsidR="00E142BB" w:rsidRPr="00FB5561" w:rsidRDefault="00E142BB" w:rsidP="00E142BB">
            <w:pPr>
              <w:pStyle w:val="NoSpacing"/>
              <w:numPr>
                <w:ilvl w:val="0"/>
                <w:numId w:val="28"/>
              </w:numPr>
              <w:rPr>
                <w:color w:val="FFFFFF" w:themeColor="background1"/>
              </w:rPr>
            </w:pPr>
            <w:r w:rsidRPr="00FB5561">
              <w:rPr>
                <w:color w:val="FFFFFF" w:themeColor="background1"/>
              </w:rPr>
              <w:t>whether the policy was a voluntary or compulsory form of insurance, and whether a medical examination was required prior to a policy being offered</w:t>
            </w:r>
          </w:p>
          <w:p w14:paraId="3DBE2820" w14:textId="09AAD908" w:rsidR="00E142BB" w:rsidRPr="00FB5561" w:rsidRDefault="00E142BB" w:rsidP="00E142BB">
            <w:pPr>
              <w:pStyle w:val="NoSpacing"/>
              <w:numPr>
                <w:ilvl w:val="0"/>
                <w:numId w:val="28"/>
              </w:numPr>
              <w:rPr>
                <w:color w:val="FFFFFF" w:themeColor="background1"/>
              </w:rPr>
            </w:pPr>
            <w:r w:rsidRPr="00FB5561">
              <w:rPr>
                <w:color w:val="FFFFFF" w:themeColor="background1"/>
              </w:rPr>
              <w:lastRenderedPageBreak/>
              <w:t>the fact the policy offered was a low-premium policy (the cost of which was approximately $100 per annum), reflecting the insurer’s assessment of the risk to it of having to make payments under the policy according to its terms</w:t>
            </w:r>
          </w:p>
          <w:p w14:paraId="431617BC" w14:textId="77777777" w:rsidR="00E142BB" w:rsidRPr="00FB5561" w:rsidRDefault="00E142BB" w:rsidP="00E142BB">
            <w:pPr>
              <w:pStyle w:val="NoSpacing"/>
              <w:ind w:left="720"/>
              <w:rPr>
                <w:color w:val="FFFFFF" w:themeColor="background1"/>
              </w:rPr>
            </w:pPr>
          </w:p>
          <w:p w14:paraId="41996568" w14:textId="77777777" w:rsidR="00E142BB" w:rsidRPr="00FB5561" w:rsidRDefault="00E142BB" w:rsidP="00E142BB">
            <w:pPr>
              <w:pStyle w:val="NoSpacing"/>
              <w:numPr>
                <w:ilvl w:val="0"/>
                <w:numId w:val="28"/>
              </w:numPr>
              <w:rPr>
                <w:color w:val="FFFFFF" w:themeColor="background1"/>
              </w:rPr>
            </w:pPr>
            <w:r w:rsidRPr="00FB5561">
              <w:rPr>
                <w:color w:val="FFFFFF" w:themeColor="background1"/>
              </w:rPr>
              <w:t>evidence of the rapid increase in HIV and AIDS infections in Australia during the 1980s and 1990s (covering the period when the complainant took out the policy and made a claim under them)</w:t>
            </w:r>
          </w:p>
          <w:p w14:paraId="34D42604" w14:textId="77777777" w:rsidR="00E142BB" w:rsidRPr="00FB5561" w:rsidRDefault="00E142BB" w:rsidP="00E142BB">
            <w:pPr>
              <w:pStyle w:val="NoSpacing"/>
              <w:rPr>
                <w:color w:val="FFFFFF" w:themeColor="background1"/>
              </w:rPr>
            </w:pPr>
          </w:p>
          <w:p w14:paraId="49C33C1F" w14:textId="1E18C21F" w:rsidR="00E142BB" w:rsidRPr="00FB5561" w:rsidRDefault="00E142BB" w:rsidP="00E142BB">
            <w:pPr>
              <w:pStyle w:val="NoSpacing"/>
              <w:numPr>
                <w:ilvl w:val="0"/>
                <w:numId w:val="28"/>
              </w:numPr>
              <w:rPr>
                <w:color w:val="FFFFFF" w:themeColor="background1"/>
              </w:rPr>
            </w:pPr>
            <w:r w:rsidRPr="00FB5561">
              <w:rPr>
                <w:color w:val="FFFFFF" w:themeColor="background1"/>
              </w:rPr>
              <w:t xml:space="preserve">evidence of the concern in the insurance industry in Australia in this period of the risk of ‘anti-selection’ (described as the practice of selecting insurance to provide cover against a risk to which a person is particularly susceptible), the fact this risk was increased in the case of voluntary insurance, and ‘in circumstances where the insurer does not have the opportunity to properly assess its insurance risk at the time that individual policies are proposed, for example, where no medical examination is required’ </w:t>
            </w:r>
          </w:p>
          <w:p w14:paraId="61E654D7" w14:textId="77777777" w:rsidR="00E142BB" w:rsidRPr="00FB5561" w:rsidRDefault="00E142BB" w:rsidP="00E142BB">
            <w:pPr>
              <w:pStyle w:val="NoSpacing"/>
              <w:rPr>
                <w:color w:val="FFFFFF" w:themeColor="background1"/>
              </w:rPr>
            </w:pPr>
          </w:p>
          <w:p w14:paraId="5C51A54E" w14:textId="36DBF1E9" w:rsidR="00E142BB" w:rsidRPr="00FB5561" w:rsidRDefault="00E142BB" w:rsidP="00E142BB">
            <w:pPr>
              <w:pStyle w:val="NoSpacing"/>
              <w:numPr>
                <w:ilvl w:val="0"/>
                <w:numId w:val="28"/>
              </w:numPr>
              <w:rPr>
                <w:color w:val="FFFFFF" w:themeColor="background1"/>
              </w:rPr>
            </w:pPr>
            <w:r w:rsidRPr="00FB5561">
              <w:rPr>
                <w:color w:val="FFFFFF" w:themeColor="background1"/>
              </w:rPr>
              <w:t>information and reports from the Life Insurance Federation of Australia (LIFA) in the 1990s regarding:</w:t>
            </w:r>
          </w:p>
          <w:p w14:paraId="433F7C13" w14:textId="77777777" w:rsidR="00E142BB" w:rsidRPr="00FB5561" w:rsidRDefault="00E142BB" w:rsidP="00E142BB">
            <w:pPr>
              <w:pStyle w:val="NoSpacing"/>
              <w:numPr>
                <w:ilvl w:val="1"/>
                <w:numId w:val="28"/>
              </w:numPr>
              <w:rPr>
                <w:color w:val="FFFFFF" w:themeColor="background1"/>
              </w:rPr>
            </w:pPr>
            <w:r w:rsidRPr="00FB5561">
              <w:rPr>
                <w:color w:val="FFFFFF" w:themeColor="background1"/>
              </w:rPr>
              <w:t xml:space="preserve">the mortality rate and life expectancy of persons who contracted HIV and AIDS    </w:t>
            </w:r>
          </w:p>
          <w:p w14:paraId="7587BD77" w14:textId="77777777" w:rsidR="00E142BB" w:rsidRPr="00FB5561" w:rsidRDefault="00E142BB" w:rsidP="00E142BB">
            <w:pPr>
              <w:pStyle w:val="NoSpacing"/>
              <w:numPr>
                <w:ilvl w:val="1"/>
                <w:numId w:val="28"/>
              </w:numPr>
              <w:rPr>
                <w:color w:val="FFFFFF" w:themeColor="background1"/>
              </w:rPr>
            </w:pPr>
            <w:r w:rsidRPr="00FB5561">
              <w:rPr>
                <w:color w:val="FFFFFF" w:themeColor="background1"/>
              </w:rPr>
              <w:t>that AIDS claims had had a significant impact on the life insurance industry, despite the operation of the exclusions then in place — for the 12 months ending December 1992, life insurance companies had paid out about $50 million in death and disability claims, nearly $25 million of which was paid in AIDS related group life claims</w:t>
            </w:r>
          </w:p>
          <w:p w14:paraId="737C72E4" w14:textId="77777777" w:rsidR="00E142BB" w:rsidRPr="00FB5561" w:rsidRDefault="00E142BB" w:rsidP="00E142BB">
            <w:pPr>
              <w:pStyle w:val="NoSpacing"/>
              <w:numPr>
                <w:ilvl w:val="1"/>
                <w:numId w:val="28"/>
              </w:numPr>
              <w:rPr>
                <w:color w:val="FFFFFF" w:themeColor="background1"/>
              </w:rPr>
            </w:pPr>
            <w:r w:rsidRPr="00FB5561">
              <w:rPr>
                <w:color w:val="FFFFFF" w:themeColor="background1"/>
              </w:rPr>
              <w:t>HIV/AIDS has many characteristics that make it materially different from other diseases which may require special underwriting measures.</w:t>
            </w:r>
            <w:r w:rsidR="00660076" w:rsidRPr="00FB5561">
              <w:rPr>
                <w:rStyle w:val="EndnoteReference"/>
                <w:rFonts w:cs="Arial"/>
                <w:color w:val="FFFFFF" w:themeColor="background1"/>
              </w:rPr>
              <w:t xml:space="preserve"> </w:t>
            </w:r>
            <w:r w:rsidR="00660076" w:rsidRPr="00FB5561">
              <w:rPr>
                <w:rStyle w:val="EndnoteReference"/>
                <w:rFonts w:cs="Arial"/>
                <w:color w:val="FFFFFF" w:themeColor="background1"/>
              </w:rPr>
              <w:endnoteReference w:id="35"/>
            </w:r>
          </w:p>
          <w:p w14:paraId="08508DFE" w14:textId="2EDC3889" w:rsidR="00E142BB" w:rsidRPr="00FB5561" w:rsidRDefault="00E142BB" w:rsidP="00E142BB">
            <w:pPr>
              <w:rPr>
                <w:color w:val="FFFFFF" w:themeColor="background1"/>
              </w:rPr>
            </w:pPr>
            <w:r w:rsidRPr="00FB5561">
              <w:rPr>
                <w:color w:val="FFFFFF" w:themeColor="background1"/>
              </w:rPr>
              <w:t>Driver FM also held that the actions of Fortis should be measured against the circumstances applying (including the information available) at the time of the discriminatory acts.</w:t>
            </w:r>
            <w:r w:rsidRPr="00FB5561">
              <w:rPr>
                <w:rStyle w:val="EndnoteReference"/>
                <w:rFonts w:cs="Arial"/>
                <w:color w:val="FFFFFF" w:themeColor="background1"/>
              </w:rPr>
              <w:endnoteReference w:id="36"/>
            </w:r>
          </w:p>
          <w:p w14:paraId="1563F1D0" w14:textId="51719EC9" w:rsidR="00E142BB" w:rsidRPr="00FB5561" w:rsidRDefault="00E142BB" w:rsidP="00E142BB">
            <w:pPr>
              <w:pStyle w:val="NoSpacing"/>
            </w:pPr>
            <w:r w:rsidRPr="00FB5561">
              <w:rPr>
                <w:color w:val="FFFFFF" w:themeColor="background1"/>
              </w:rPr>
              <w:t>Driver FM concluded that Fortis was entitled to rely on the exemption provided by s 46(2) of the DDA in these circumstances, and therefore had not breached the DDA.</w:t>
            </w:r>
          </w:p>
        </w:tc>
      </w:tr>
    </w:tbl>
    <w:p w14:paraId="62075B96" w14:textId="77777777" w:rsidR="005B6D3C" w:rsidRPr="00FB5561" w:rsidRDefault="005B6D3C" w:rsidP="005B6D3C">
      <w:pPr>
        <w:spacing w:before="100" w:beforeAutospacing="1" w:after="100" w:afterAutospacing="1"/>
        <w:rPr>
          <w:rFonts w:cs="Arial"/>
          <w:color w:val="000000"/>
        </w:rPr>
      </w:pPr>
      <w:bookmarkStart w:id="56" w:name="_Toc450572337"/>
      <w:r w:rsidRPr="00FB5561">
        <w:rPr>
          <w:rFonts w:cs="Arial"/>
          <w:color w:val="000000"/>
        </w:rPr>
        <w:lastRenderedPageBreak/>
        <w:t>Significantly, the fact that there was a reasonable basis for an exclusion</w:t>
      </w:r>
      <w:r w:rsidR="008541D6" w:rsidRPr="00FB5561">
        <w:rPr>
          <w:rFonts w:cs="Arial"/>
          <w:color w:val="000000"/>
        </w:rPr>
        <w:t xml:space="preserve"> in an insurance policy when it was first taken out does not mean that there will be a reasonable basis for maintaining an exclusion if circumstances change.</w:t>
      </w:r>
      <w:r w:rsidR="008541D6" w:rsidRPr="00FB5561">
        <w:rPr>
          <w:rStyle w:val="EndnoteReference"/>
          <w:rFonts w:cs="Arial"/>
          <w:color w:val="000000"/>
        </w:rPr>
        <w:endnoteReference w:id="37"/>
      </w:r>
      <w:r w:rsidR="008541D6" w:rsidRPr="00FB5561">
        <w:rPr>
          <w:rFonts w:cs="Arial"/>
          <w:color w:val="000000"/>
        </w:rPr>
        <w:t xml:space="preserve">  Insurers should regularly reassess exclusions which discriminate on the basis of disability to ensure that it is reasonable to maintain them.</w:t>
      </w:r>
    </w:p>
    <w:p w14:paraId="4F516DBF" w14:textId="5518F622" w:rsidR="00600265" w:rsidRPr="00FB5561" w:rsidRDefault="000E647A" w:rsidP="00EC141B">
      <w:pPr>
        <w:pStyle w:val="Heading3"/>
        <w:rPr>
          <w:rFonts w:cs="Arial"/>
        </w:rPr>
      </w:pPr>
      <w:bookmarkStart w:id="57" w:name="_Toc466973690"/>
      <w:r w:rsidRPr="00FB5561">
        <w:rPr>
          <w:rFonts w:cs="Arial"/>
        </w:rPr>
        <w:t>(a)</w:t>
      </w:r>
      <w:r w:rsidRPr="00FB5561">
        <w:rPr>
          <w:rFonts w:cs="Arial"/>
        </w:rPr>
        <w:tab/>
      </w:r>
      <w:r w:rsidR="00600265" w:rsidRPr="00FB5561">
        <w:rPr>
          <w:rFonts w:cs="Arial"/>
        </w:rPr>
        <w:t xml:space="preserve">Guidance as to what is </w:t>
      </w:r>
      <w:r w:rsidR="00600265" w:rsidRPr="00FB5561">
        <w:rPr>
          <w:rFonts w:cs="Arial"/>
          <w:b/>
        </w:rPr>
        <w:t>not</w:t>
      </w:r>
      <w:r w:rsidR="00600265" w:rsidRPr="00FB5561">
        <w:rPr>
          <w:rFonts w:cs="Arial"/>
        </w:rPr>
        <w:t xml:space="preserve"> reasonable discrimination</w:t>
      </w:r>
      <w:bookmarkEnd w:id="56"/>
      <w:bookmarkEnd w:id="57"/>
    </w:p>
    <w:p w14:paraId="01EC1394" w14:textId="77777777" w:rsidR="00600265" w:rsidRPr="00FB5561" w:rsidRDefault="00600265" w:rsidP="008C6D44">
      <w:pPr>
        <w:spacing w:before="100" w:beforeAutospacing="1" w:after="100" w:afterAutospacing="1"/>
        <w:rPr>
          <w:rFonts w:cs="Arial"/>
          <w:color w:val="000000"/>
        </w:rPr>
      </w:pPr>
      <w:r w:rsidRPr="00FB5561">
        <w:rPr>
          <w:rFonts w:cs="Arial"/>
          <w:color w:val="000000"/>
        </w:rPr>
        <w:t xml:space="preserve">It will not be </w:t>
      </w:r>
      <w:r w:rsidRPr="00FB5561">
        <w:rPr>
          <w:rFonts w:cs="Arial"/>
        </w:rPr>
        <w:t>reasonable and therefore will be unlawful under the DDA for a provider of insurance or superannuation</w:t>
      </w:r>
      <w:r w:rsidR="001C6D1D" w:rsidRPr="00FB5561">
        <w:rPr>
          <w:rFonts w:cs="Arial"/>
        </w:rPr>
        <w:t xml:space="preserve"> to</w:t>
      </w:r>
      <w:r w:rsidRPr="00FB5561">
        <w:rPr>
          <w:rFonts w:cs="Arial"/>
        </w:rPr>
        <w:t xml:space="preserve">: </w:t>
      </w:r>
    </w:p>
    <w:p w14:paraId="58B7CA6A" w14:textId="456905BC" w:rsidR="00600265" w:rsidRPr="00FB5561" w:rsidRDefault="00600265" w:rsidP="0007787E">
      <w:pPr>
        <w:pStyle w:val="ListParagraph"/>
        <w:numPr>
          <w:ilvl w:val="0"/>
          <w:numId w:val="18"/>
        </w:numPr>
        <w:spacing w:after="120"/>
        <w:ind w:left="426" w:hanging="426"/>
        <w:rPr>
          <w:rFonts w:ascii="Arial" w:hAnsi="Arial" w:cs="Arial"/>
          <w:color w:val="000000"/>
          <w:sz w:val="24"/>
          <w:szCs w:val="24"/>
        </w:rPr>
      </w:pPr>
      <w:r w:rsidRPr="00FB5561">
        <w:rPr>
          <w:rFonts w:ascii="Arial" w:hAnsi="Arial" w:cs="Arial"/>
          <w:color w:val="000000"/>
          <w:sz w:val="24"/>
          <w:szCs w:val="24"/>
        </w:rPr>
        <w:t xml:space="preserve">refuse to insure a person with a disability simply because the provider does not have any data </w:t>
      </w:r>
      <w:r w:rsidR="00436839" w:rsidRPr="00FB5561">
        <w:rPr>
          <w:rFonts w:ascii="Arial" w:hAnsi="Arial" w:cs="Arial"/>
          <w:color w:val="000000"/>
          <w:sz w:val="24"/>
          <w:szCs w:val="24"/>
        </w:rPr>
        <w:t xml:space="preserve">if it would otherwise be reasonable to provide insurance having regard to other relevant factors </w:t>
      </w:r>
    </w:p>
    <w:p w14:paraId="1DDD2073" w14:textId="77777777" w:rsidR="00600265" w:rsidRPr="00FB5561" w:rsidRDefault="00600265" w:rsidP="0007787E">
      <w:pPr>
        <w:pStyle w:val="ListParagraph"/>
        <w:numPr>
          <w:ilvl w:val="0"/>
          <w:numId w:val="18"/>
        </w:numPr>
        <w:spacing w:after="120"/>
        <w:ind w:left="426" w:hanging="426"/>
        <w:rPr>
          <w:rFonts w:ascii="Arial" w:hAnsi="Arial" w:cs="Arial"/>
          <w:color w:val="000000"/>
          <w:sz w:val="24"/>
          <w:szCs w:val="24"/>
        </w:rPr>
      </w:pPr>
      <w:r w:rsidRPr="00FB5561">
        <w:rPr>
          <w:rFonts w:ascii="Arial" w:hAnsi="Arial" w:cs="Arial"/>
          <w:color w:val="000000"/>
          <w:sz w:val="24"/>
          <w:szCs w:val="24"/>
        </w:rPr>
        <w:t xml:space="preserve">refuse to insure a person with a disability </w:t>
      </w:r>
      <w:r w:rsidR="00A71219" w:rsidRPr="00FB5561">
        <w:rPr>
          <w:rFonts w:ascii="Arial" w:hAnsi="Arial" w:cs="Arial"/>
          <w:color w:val="000000"/>
          <w:sz w:val="24"/>
          <w:szCs w:val="24"/>
        </w:rPr>
        <w:t xml:space="preserve">merely </w:t>
      </w:r>
      <w:r w:rsidRPr="00FB5561">
        <w:rPr>
          <w:rFonts w:ascii="Arial" w:hAnsi="Arial" w:cs="Arial"/>
          <w:color w:val="000000"/>
          <w:sz w:val="24"/>
          <w:szCs w:val="24"/>
        </w:rPr>
        <w:t>because of historical practice</w:t>
      </w:r>
    </w:p>
    <w:p w14:paraId="4732A163" w14:textId="53790615" w:rsidR="00510211" w:rsidRPr="00FB5561" w:rsidRDefault="00F45D98" w:rsidP="0007787E">
      <w:pPr>
        <w:pStyle w:val="ListParagraph"/>
        <w:numPr>
          <w:ilvl w:val="0"/>
          <w:numId w:val="18"/>
        </w:numPr>
        <w:spacing w:after="120"/>
        <w:ind w:left="426" w:hanging="426"/>
        <w:rPr>
          <w:rFonts w:ascii="Arial" w:hAnsi="Arial" w:cs="Arial"/>
          <w:color w:val="000000"/>
          <w:sz w:val="24"/>
          <w:szCs w:val="24"/>
        </w:rPr>
      </w:pPr>
      <w:r w:rsidRPr="00FB5561">
        <w:rPr>
          <w:rFonts w:ascii="Arial" w:hAnsi="Arial" w:cs="Arial"/>
          <w:color w:val="000000"/>
          <w:sz w:val="24"/>
          <w:szCs w:val="24"/>
        </w:rPr>
        <w:lastRenderedPageBreak/>
        <w:t xml:space="preserve">base decisions about insurance or superannuation on </w:t>
      </w:r>
      <w:r w:rsidR="00600265" w:rsidRPr="00FB5561">
        <w:rPr>
          <w:rFonts w:ascii="Arial" w:hAnsi="Arial" w:cs="Arial"/>
          <w:color w:val="000000"/>
          <w:sz w:val="24"/>
          <w:szCs w:val="24"/>
        </w:rPr>
        <w:t xml:space="preserve">inaccurate assumptions </w:t>
      </w:r>
      <w:r w:rsidRPr="00FB5561">
        <w:rPr>
          <w:rFonts w:ascii="Arial" w:hAnsi="Arial" w:cs="Arial"/>
          <w:color w:val="000000"/>
          <w:sz w:val="24"/>
          <w:szCs w:val="24"/>
        </w:rPr>
        <w:t xml:space="preserve">or stereotypes of </w:t>
      </w:r>
      <w:r w:rsidR="00600265" w:rsidRPr="00FB5561">
        <w:rPr>
          <w:rFonts w:ascii="Arial" w:hAnsi="Arial" w:cs="Arial"/>
          <w:color w:val="000000"/>
          <w:sz w:val="24"/>
          <w:szCs w:val="24"/>
        </w:rPr>
        <w:t>people with disability</w:t>
      </w:r>
    </w:p>
    <w:p w14:paraId="7C6622FC" w14:textId="64EB43DF" w:rsidR="000E647A" w:rsidRDefault="00510211" w:rsidP="0007787E">
      <w:pPr>
        <w:pStyle w:val="ListParagraph"/>
        <w:numPr>
          <w:ilvl w:val="0"/>
          <w:numId w:val="18"/>
        </w:numPr>
        <w:spacing w:after="120"/>
        <w:ind w:left="426" w:hanging="426"/>
        <w:rPr>
          <w:rFonts w:ascii="Arial" w:hAnsi="Arial" w:cs="Arial"/>
          <w:color w:val="000000"/>
          <w:sz w:val="24"/>
          <w:szCs w:val="24"/>
        </w:rPr>
      </w:pPr>
      <w:r w:rsidRPr="00FB5561">
        <w:rPr>
          <w:rFonts w:ascii="Arial" w:hAnsi="Arial" w:cs="Arial"/>
          <w:color w:val="000000"/>
          <w:sz w:val="24"/>
          <w:szCs w:val="24"/>
        </w:rPr>
        <w:t xml:space="preserve">impute a disability </w:t>
      </w:r>
      <w:r w:rsidR="00F45D98" w:rsidRPr="00FB5561">
        <w:rPr>
          <w:rFonts w:ascii="Arial" w:hAnsi="Arial" w:cs="Arial"/>
          <w:color w:val="000000"/>
          <w:sz w:val="24"/>
          <w:szCs w:val="24"/>
        </w:rPr>
        <w:t xml:space="preserve">merely </w:t>
      </w:r>
      <w:r w:rsidRPr="00FB5561">
        <w:rPr>
          <w:rFonts w:ascii="Arial" w:hAnsi="Arial" w:cs="Arial"/>
          <w:color w:val="000000"/>
          <w:sz w:val="24"/>
          <w:szCs w:val="24"/>
        </w:rPr>
        <w:t xml:space="preserve">from </w:t>
      </w:r>
      <w:r w:rsidR="009F788E" w:rsidRPr="00FB5561">
        <w:rPr>
          <w:rFonts w:ascii="Arial" w:hAnsi="Arial" w:cs="Arial"/>
          <w:color w:val="000000"/>
          <w:sz w:val="24"/>
          <w:szCs w:val="24"/>
        </w:rPr>
        <w:t xml:space="preserve">the fact that a person has consulted with a </w:t>
      </w:r>
      <w:r w:rsidRPr="00FB5561">
        <w:rPr>
          <w:rFonts w:ascii="Arial" w:hAnsi="Arial" w:cs="Arial"/>
          <w:color w:val="000000"/>
          <w:sz w:val="24"/>
          <w:szCs w:val="24"/>
        </w:rPr>
        <w:t xml:space="preserve">medical </w:t>
      </w:r>
      <w:r w:rsidR="009F788E" w:rsidRPr="00FB5561">
        <w:rPr>
          <w:rFonts w:ascii="Arial" w:hAnsi="Arial" w:cs="Arial"/>
          <w:color w:val="000000"/>
          <w:sz w:val="24"/>
          <w:szCs w:val="24"/>
        </w:rPr>
        <w:t>practitioner</w:t>
      </w:r>
    </w:p>
    <w:p w14:paraId="6A050314" w14:textId="578A5806" w:rsidR="007414CD" w:rsidRPr="00CC69FD" w:rsidRDefault="007414CD" w:rsidP="0007787E">
      <w:pPr>
        <w:pStyle w:val="ListParagraph"/>
        <w:numPr>
          <w:ilvl w:val="0"/>
          <w:numId w:val="18"/>
        </w:numPr>
        <w:spacing w:after="120"/>
        <w:ind w:left="426" w:hanging="426"/>
        <w:rPr>
          <w:rFonts w:ascii="Arial" w:hAnsi="Arial" w:cs="Arial"/>
          <w:color w:val="000000"/>
          <w:sz w:val="24"/>
          <w:szCs w:val="24"/>
        </w:rPr>
      </w:pPr>
      <w:r w:rsidRPr="00CC69FD">
        <w:rPr>
          <w:rFonts w:ascii="Arial" w:hAnsi="Arial" w:cs="Arial"/>
          <w:color w:val="000000"/>
          <w:sz w:val="24"/>
          <w:szCs w:val="24"/>
        </w:rPr>
        <w:t>impute a disability merely from the fact that a person has failed to disclose to an insurer that they consulted with a medical practitioner</w:t>
      </w:r>
    </w:p>
    <w:p w14:paraId="75591D72" w14:textId="1C5626E4" w:rsidR="00600265" w:rsidRPr="00FB5561" w:rsidRDefault="000E647A" w:rsidP="000E647A">
      <w:pPr>
        <w:pStyle w:val="ListParagraph"/>
        <w:numPr>
          <w:ilvl w:val="0"/>
          <w:numId w:val="18"/>
        </w:numPr>
        <w:spacing w:after="120"/>
        <w:ind w:left="426" w:hanging="426"/>
        <w:rPr>
          <w:rFonts w:ascii="Arial" w:hAnsi="Arial" w:cs="Arial"/>
          <w:color w:val="000000"/>
          <w:sz w:val="24"/>
          <w:szCs w:val="24"/>
        </w:rPr>
      </w:pPr>
      <w:r w:rsidRPr="00FB5561">
        <w:rPr>
          <w:rFonts w:ascii="Arial" w:hAnsi="Arial" w:cs="Arial"/>
          <w:color w:val="000000"/>
          <w:sz w:val="24"/>
          <w:szCs w:val="24"/>
        </w:rPr>
        <w:t>impute a disability</w:t>
      </w:r>
      <w:r w:rsidR="00AC2D66" w:rsidRPr="00FB5561">
        <w:rPr>
          <w:rFonts w:ascii="Arial" w:hAnsi="Arial" w:cs="Arial"/>
          <w:color w:val="000000"/>
          <w:sz w:val="24"/>
          <w:szCs w:val="24"/>
        </w:rPr>
        <w:t xml:space="preserve"> from</w:t>
      </w:r>
      <w:r w:rsidRPr="00FB5561">
        <w:rPr>
          <w:rFonts w:ascii="Arial" w:hAnsi="Arial" w:cs="Arial"/>
          <w:color w:val="000000"/>
          <w:sz w:val="24"/>
          <w:szCs w:val="24"/>
        </w:rPr>
        <w:t xml:space="preserve"> information disclosed by </w:t>
      </w:r>
      <w:r w:rsidR="00A71219" w:rsidRPr="00FB5561">
        <w:rPr>
          <w:rFonts w:ascii="Arial" w:hAnsi="Arial" w:cs="Arial"/>
          <w:color w:val="000000"/>
          <w:sz w:val="24"/>
          <w:szCs w:val="24"/>
        </w:rPr>
        <w:t>a person</w:t>
      </w:r>
      <w:r w:rsidRPr="00FB5561">
        <w:rPr>
          <w:rFonts w:ascii="Arial" w:hAnsi="Arial" w:cs="Arial"/>
          <w:color w:val="000000"/>
          <w:sz w:val="24"/>
          <w:szCs w:val="24"/>
        </w:rPr>
        <w:t xml:space="preserve"> </w:t>
      </w:r>
      <w:r w:rsidR="00AC2D66" w:rsidRPr="00FB5561">
        <w:rPr>
          <w:rFonts w:ascii="Arial" w:hAnsi="Arial" w:cs="Arial"/>
          <w:color w:val="000000"/>
          <w:sz w:val="24"/>
          <w:szCs w:val="24"/>
        </w:rPr>
        <w:t xml:space="preserve">if </w:t>
      </w:r>
      <w:r w:rsidR="00A71219" w:rsidRPr="00FB5561">
        <w:rPr>
          <w:rFonts w:ascii="Arial" w:hAnsi="Arial" w:cs="Arial"/>
          <w:color w:val="000000"/>
          <w:sz w:val="24"/>
          <w:szCs w:val="24"/>
        </w:rPr>
        <w:t xml:space="preserve">the person has not disclosed that they have a disability and the </w:t>
      </w:r>
      <w:r w:rsidRPr="00FB5561">
        <w:rPr>
          <w:rFonts w:ascii="Arial" w:hAnsi="Arial" w:cs="Arial"/>
          <w:color w:val="000000"/>
          <w:sz w:val="24"/>
          <w:szCs w:val="24"/>
        </w:rPr>
        <w:t>imputation is not supported by medical opinion</w:t>
      </w:r>
      <w:r w:rsidR="00600265" w:rsidRPr="00FB5561">
        <w:rPr>
          <w:rFonts w:ascii="Arial" w:hAnsi="Arial" w:cs="Arial"/>
          <w:color w:val="000000"/>
          <w:sz w:val="24"/>
          <w:szCs w:val="24"/>
        </w:rPr>
        <w:t>.</w:t>
      </w:r>
    </w:p>
    <w:p w14:paraId="76CBA103" w14:textId="1F322B64" w:rsidR="00600265" w:rsidRPr="00FB5561" w:rsidRDefault="00600265" w:rsidP="008C6D44">
      <w:pPr>
        <w:spacing w:before="100" w:beforeAutospacing="1" w:after="100" w:afterAutospacing="1"/>
        <w:rPr>
          <w:rFonts w:cs="Arial"/>
          <w:iCs/>
        </w:rPr>
      </w:pPr>
      <w:r w:rsidRPr="00FB5561">
        <w:rPr>
          <w:rFonts w:cs="Arial"/>
          <w:iCs/>
        </w:rPr>
        <w:t xml:space="preserve">It is particularly important that any assumptions which underpin the decision to discriminate are supported by reasonable evidence. </w:t>
      </w:r>
    </w:p>
    <w:p w14:paraId="7CECE101" w14:textId="77777777" w:rsidR="00600265" w:rsidRPr="00FB5561" w:rsidRDefault="00600265" w:rsidP="008C6D44">
      <w:pPr>
        <w:spacing w:before="100" w:beforeAutospacing="1" w:after="100" w:afterAutospacing="1"/>
        <w:rPr>
          <w:rFonts w:cs="Arial"/>
        </w:rPr>
      </w:pPr>
      <w:r w:rsidRPr="00FB5561">
        <w:rPr>
          <w:rFonts w:cs="Arial"/>
          <w:i/>
          <w:iCs/>
        </w:rPr>
        <w:t>For example</w:t>
      </w:r>
      <w:r w:rsidR="004056D5" w:rsidRPr="00FB5561">
        <w:rPr>
          <w:rFonts w:cs="Arial"/>
          <w:i/>
          <w:iCs/>
        </w:rPr>
        <w:t>,</w:t>
      </w:r>
      <w:r w:rsidRPr="00FB5561">
        <w:rPr>
          <w:rFonts w:cs="Arial"/>
          <w:i/>
          <w:iCs/>
        </w:rPr>
        <w:t xml:space="preserve"> </w:t>
      </w:r>
      <w:r w:rsidR="008B07D0" w:rsidRPr="00FB5561">
        <w:rPr>
          <w:rFonts w:cs="Arial"/>
          <w:i/>
          <w:iCs/>
        </w:rPr>
        <w:t>w</w:t>
      </w:r>
      <w:r w:rsidRPr="00FB5561">
        <w:rPr>
          <w:rFonts w:cs="Arial"/>
          <w:i/>
          <w:iCs/>
        </w:rPr>
        <w:t>hile it may be reasonable to make certain assumptions if data reasonably links a particular type of disability with someone being predisposed to future complications or the possibility of secondary disabilities, it is not reasonable to assume</w:t>
      </w:r>
      <w:r w:rsidR="008B07D0" w:rsidRPr="00FB5561">
        <w:rPr>
          <w:rFonts w:cs="Arial"/>
          <w:i/>
          <w:iCs/>
        </w:rPr>
        <w:t>, without evidence,</w:t>
      </w:r>
      <w:r w:rsidRPr="00FB5561">
        <w:rPr>
          <w:rFonts w:cs="Arial"/>
          <w:i/>
          <w:iCs/>
        </w:rPr>
        <w:t xml:space="preserve"> that someone who is blind in one eye because of an injury is more likely than anyone else to become blind in the other eye.</w:t>
      </w:r>
    </w:p>
    <w:p w14:paraId="2680D961" w14:textId="77777777" w:rsidR="00600265" w:rsidRPr="00FB5561" w:rsidRDefault="00600265" w:rsidP="008C6D44">
      <w:pPr>
        <w:rPr>
          <w:rFonts w:cs="Arial"/>
          <w:i/>
          <w:iCs/>
        </w:rPr>
      </w:pPr>
      <w:r w:rsidRPr="00FB5561">
        <w:rPr>
          <w:rFonts w:cs="Arial"/>
          <w:i/>
          <w:iCs/>
        </w:rPr>
        <w:t>For example</w:t>
      </w:r>
      <w:r w:rsidR="004056D5" w:rsidRPr="00FB5561">
        <w:rPr>
          <w:rFonts w:cs="Arial"/>
          <w:i/>
          <w:iCs/>
        </w:rPr>
        <w:t>,</w:t>
      </w:r>
      <w:r w:rsidRPr="00FB5561">
        <w:rPr>
          <w:rFonts w:cs="Arial"/>
          <w:i/>
          <w:iCs/>
        </w:rPr>
        <w:t xml:space="preserve"> </w:t>
      </w:r>
      <w:r w:rsidR="008B07D0" w:rsidRPr="00FB5561">
        <w:rPr>
          <w:rFonts w:cs="Arial"/>
          <w:i/>
          <w:iCs/>
        </w:rPr>
        <w:t>i</w:t>
      </w:r>
      <w:r w:rsidRPr="00FB5561">
        <w:rPr>
          <w:rFonts w:cs="Arial"/>
          <w:i/>
          <w:iCs/>
        </w:rPr>
        <w:t>t is not reasonable to assume without evidence that people with o</w:t>
      </w:r>
      <w:r w:rsidR="00510211" w:rsidRPr="00FB5561">
        <w:rPr>
          <w:rFonts w:cs="Arial"/>
          <w:i/>
          <w:iCs/>
        </w:rPr>
        <w:t>ne disability are more accident-</w:t>
      </w:r>
      <w:r w:rsidRPr="00FB5561">
        <w:rPr>
          <w:rFonts w:cs="Arial"/>
          <w:i/>
          <w:iCs/>
        </w:rPr>
        <w:t>prone and more likely to incur a workplace injury than co-workers without a disability, or that people with a disability are at greater risk of becoming unable to work.</w:t>
      </w:r>
    </w:p>
    <w:p w14:paraId="38201503" w14:textId="77777777" w:rsidR="00510211" w:rsidRPr="00FB5561" w:rsidRDefault="00510211" w:rsidP="008C6D44">
      <w:pPr>
        <w:rPr>
          <w:rFonts w:cs="Arial"/>
          <w:i/>
          <w:iCs/>
        </w:rPr>
      </w:pPr>
      <w:r w:rsidRPr="00FB5561">
        <w:rPr>
          <w:rFonts w:cs="Arial"/>
          <w:i/>
          <w:iCs/>
        </w:rPr>
        <w:t>For example</w:t>
      </w:r>
      <w:r w:rsidR="004056D5" w:rsidRPr="00FB5561">
        <w:rPr>
          <w:rFonts w:cs="Arial"/>
          <w:i/>
          <w:iCs/>
        </w:rPr>
        <w:t>,</w:t>
      </w:r>
      <w:r w:rsidRPr="00FB5561">
        <w:rPr>
          <w:rFonts w:cs="Arial"/>
          <w:i/>
          <w:iCs/>
        </w:rPr>
        <w:t xml:space="preserve"> </w:t>
      </w:r>
      <w:r w:rsidR="008B07D0" w:rsidRPr="00FB5561">
        <w:rPr>
          <w:rFonts w:cs="Arial"/>
          <w:i/>
          <w:iCs/>
        </w:rPr>
        <w:t>i</w:t>
      </w:r>
      <w:r w:rsidRPr="00FB5561">
        <w:rPr>
          <w:rFonts w:cs="Arial"/>
          <w:i/>
          <w:iCs/>
        </w:rPr>
        <w:t>t is not reasonable to assume that someone who has in the past consulted a psychologist has an increased likelihood of suffering from a mental illness and to refuse insurance cover on that basis.</w:t>
      </w:r>
    </w:p>
    <w:tbl>
      <w:tblPr>
        <w:tblStyle w:val="TableGrid"/>
        <w:tblW w:w="0" w:type="auto"/>
        <w:shd w:val="clear" w:color="auto" w:fill="237BBC"/>
        <w:tblLook w:val="04A0" w:firstRow="1" w:lastRow="0" w:firstColumn="1" w:lastColumn="0" w:noHBand="0" w:noVBand="1"/>
      </w:tblPr>
      <w:tblGrid>
        <w:gridCol w:w="9060"/>
      </w:tblGrid>
      <w:tr w:rsidR="00660076" w:rsidRPr="00FB5561" w14:paraId="44BC2C1A" w14:textId="77777777" w:rsidTr="00660076">
        <w:tc>
          <w:tcPr>
            <w:tcW w:w="9060" w:type="dxa"/>
            <w:shd w:val="clear" w:color="auto" w:fill="237BBC"/>
          </w:tcPr>
          <w:p w14:paraId="41D2E576" w14:textId="77777777" w:rsidR="00660076" w:rsidRPr="00FB5561" w:rsidRDefault="00660076" w:rsidP="00660076">
            <w:pPr>
              <w:rPr>
                <w:rFonts w:cs="Arial"/>
                <w:b/>
                <w:color w:val="FFFFFF" w:themeColor="background1"/>
                <w:u w:val="single"/>
              </w:rPr>
            </w:pPr>
            <w:r w:rsidRPr="00FB5561">
              <w:rPr>
                <w:rFonts w:cs="Arial"/>
                <w:b/>
                <w:color w:val="FFFFFF" w:themeColor="background1"/>
                <w:u w:val="single"/>
              </w:rPr>
              <w:t xml:space="preserve">Case study on impermissibility of relying on generalisations/stereotypes: </w:t>
            </w:r>
            <w:r w:rsidRPr="00FB5561">
              <w:rPr>
                <w:rFonts w:cs="Arial"/>
                <w:b/>
                <w:i/>
                <w:color w:val="FFFFFF" w:themeColor="background1"/>
                <w:u w:val="single"/>
              </w:rPr>
              <w:t>QBE v Bassanelli</w:t>
            </w:r>
            <w:r w:rsidRPr="00FB5561">
              <w:rPr>
                <w:rFonts w:cs="Arial"/>
                <w:b/>
                <w:color w:val="FFFFFF" w:themeColor="background1"/>
                <w:u w:val="single"/>
                <w:vertAlign w:val="superscript"/>
              </w:rPr>
              <w:endnoteReference w:id="38"/>
            </w:r>
          </w:p>
          <w:p w14:paraId="3B975519" w14:textId="301EBC31" w:rsidR="00660076" w:rsidRPr="00FB5561" w:rsidRDefault="00660076" w:rsidP="00660076">
            <w:pPr>
              <w:rPr>
                <w:rFonts w:cs="Arial"/>
                <w:color w:val="FFFFFF" w:themeColor="background1"/>
              </w:rPr>
            </w:pPr>
            <w:r w:rsidRPr="00FB5561">
              <w:rPr>
                <w:rFonts w:cs="Arial"/>
                <w:color w:val="FFFFFF" w:themeColor="background1"/>
              </w:rPr>
              <w:t>Ms Bassanelli sought a travel insurance policy from QBE to cover a proposed trip to Japan. She disclosed to QBE that she had been diagnosed with and treated for metastatic breast cancer. She did not expect to obtain travel insurance in respect of any events related to or arising from the disclosed medical condition.  However, QBE declined to issue any policy to her, citing her medical condition. Another company subsequently issued a policy to Ms Bassanelli which excluded any claims relating to her pre-existing medical condition and she completed her travel arrangements.</w:t>
            </w:r>
          </w:p>
          <w:p w14:paraId="37A86A56" w14:textId="77777777" w:rsidR="00660076" w:rsidRPr="00FB5561" w:rsidRDefault="00660076" w:rsidP="00660076">
            <w:pPr>
              <w:rPr>
                <w:rFonts w:cs="Arial"/>
                <w:color w:val="FFFFFF" w:themeColor="background1"/>
              </w:rPr>
            </w:pPr>
            <w:r w:rsidRPr="00FB5561">
              <w:rPr>
                <w:rFonts w:cs="Arial"/>
                <w:color w:val="FFFFFF" w:themeColor="background1"/>
              </w:rPr>
              <w:t xml:space="preserve">She complained to the Human Rights and Equal Opportunity Commission (as it then was) that QBE had discriminated against her contrary to the DDA. QBE sought to rely on s 46 and the defence of unjustifiable hardship. </w:t>
            </w:r>
          </w:p>
          <w:p w14:paraId="53043F4E" w14:textId="3EA4B69B" w:rsidR="00660076" w:rsidRPr="00FB5561" w:rsidRDefault="00660076" w:rsidP="00660076">
            <w:pPr>
              <w:rPr>
                <w:rFonts w:cs="Arial"/>
                <w:color w:val="FFFFFF" w:themeColor="background1"/>
              </w:rPr>
            </w:pPr>
            <w:r w:rsidRPr="00FB5561">
              <w:rPr>
                <w:rFonts w:cs="Arial"/>
                <w:color w:val="FFFFFF" w:themeColor="background1"/>
              </w:rPr>
              <w:t>The Commission terminated the complaint and Ms Bassanelli brought a claim in the Federal Magistrates Court. In relation to the claimed s 46 exemption, the Court held that QBE’s discrimination against her was not reasonable. QBE appealed to the Federal Court.</w:t>
            </w:r>
          </w:p>
          <w:p w14:paraId="64FD79E9" w14:textId="4FFE2961" w:rsidR="00660076" w:rsidRPr="00FB5561" w:rsidRDefault="00660076" w:rsidP="00660076">
            <w:pPr>
              <w:rPr>
                <w:rFonts w:cs="Arial"/>
                <w:color w:val="FFFFFF" w:themeColor="background1"/>
              </w:rPr>
            </w:pPr>
            <w:r w:rsidRPr="00FB5561">
              <w:rPr>
                <w:rFonts w:cs="Arial"/>
                <w:color w:val="FFFFFF" w:themeColor="background1"/>
              </w:rPr>
              <w:lastRenderedPageBreak/>
              <w:t xml:space="preserve">Mansfield J in the Federal Court held that the Federal Magistrate had been correct to conclude that QBE’s discrimination against Ms Bassanelli was not reasonable in all the circumstances. </w:t>
            </w:r>
          </w:p>
          <w:p w14:paraId="6B3AD308" w14:textId="77777777" w:rsidR="00660076" w:rsidRPr="00FB5561" w:rsidRDefault="00660076" w:rsidP="00660076">
            <w:pPr>
              <w:rPr>
                <w:rFonts w:cs="Arial"/>
                <w:color w:val="FFFFFF" w:themeColor="background1"/>
              </w:rPr>
            </w:pPr>
            <w:r w:rsidRPr="00FB5561">
              <w:rPr>
                <w:rFonts w:cs="Arial"/>
                <w:color w:val="FFFFFF" w:themeColor="background1"/>
              </w:rPr>
              <w:t>The reasoning given by QBE for refusing any policy was that it was generally difficult in cases of metastatic breast cancer to determine whether certain medical conditions are associated with a pre-existing condition, due to the large number of possible medical complications suffered by a person with metastatic cancer.</w:t>
            </w:r>
          </w:p>
          <w:p w14:paraId="4ABECF9E" w14:textId="119B9581" w:rsidR="00660076" w:rsidRPr="00FB5561" w:rsidRDefault="00660076" w:rsidP="00660076">
            <w:pPr>
              <w:rPr>
                <w:rFonts w:cs="Arial"/>
                <w:color w:val="FFFFFF" w:themeColor="background1"/>
              </w:rPr>
            </w:pPr>
            <w:r w:rsidRPr="00FB5561">
              <w:rPr>
                <w:rFonts w:cs="Arial"/>
                <w:color w:val="FFFFFF" w:themeColor="background1"/>
              </w:rPr>
              <w:t>Mansfield J noted that there was evidence before the court that there were events and medical conditions which could be readily identified as caused by metastatic breast cancer but that these were quite unlikely to arise during a six day holiday to Japan. There were also conditions which may arise which were well known as potentially related to metastatic breast cancer and which QBE should reasonably readily be able to identify as related to that illness. Finally, there were incidents which could occur on overseas travel ‘which, although apparently unrelated to the illness, may be more prolonged or complex or difficult to treat by reason of the illness’. However:</w:t>
            </w:r>
          </w:p>
          <w:p w14:paraId="152FC807" w14:textId="3D9BB622" w:rsidR="00660076" w:rsidRPr="00FB5561" w:rsidRDefault="00660076" w:rsidP="00660076">
            <w:pPr>
              <w:ind w:left="720"/>
              <w:rPr>
                <w:rFonts w:cs="Arial"/>
                <w:color w:val="FFFFFF" w:themeColor="background1"/>
                <w:sz w:val="22"/>
                <w:szCs w:val="22"/>
              </w:rPr>
            </w:pPr>
            <w:r w:rsidRPr="00FB5561">
              <w:rPr>
                <w:rFonts w:cs="Arial"/>
                <w:color w:val="FFFFFF" w:themeColor="background1"/>
                <w:sz w:val="22"/>
                <w:szCs w:val="22"/>
              </w:rPr>
              <w:t>[QBE’s] evidence did not go near to showing the extent to which such problems might arise, or at what cost, or how they might be addressed, in the case of the respondent. Instead, by virtue of the anecdotal claims experience which did not relate specifically to the respondent’s pre-existing medical condition, the appellant discriminated against the respondent.</w:t>
            </w:r>
            <w:r w:rsidRPr="00FB5561">
              <w:rPr>
                <w:rFonts w:cs="Arial"/>
                <w:color w:val="FFFFFF" w:themeColor="background1"/>
                <w:sz w:val="22"/>
                <w:szCs w:val="22"/>
                <w:vertAlign w:val="superscript"/>
              </w:rPr>
              <w:endnoteReference w:id="39"/>
            </w:r>
          </w:p>
          <w:p w14:paraId="65197009" w14:textId="77777777" w:rsidR="00660076" w:rsidRPr="00FB5561" w:rsidRDefault="00660076" w:rsidP="00660076">
            <w:pPr>
              <w:rPr>
                <w:rFonts w:cs="Arial"/>
                <w:color w:val="FFFFFF" w:themeColor="background1"/>
              </w:rPr>
            </w:pPr>
            <w:r w:rsidRPr="00FB5561">
              <w:rPr>
                <w:rFonts w:cs="Arial"/>
                <w:color w:val="FFFFFF" w:themeColor="background1"/>
              </w:rPr>
              <w:t>Mansfield J concluded that QBE could not bring itself within s 46 because it:</w:t>
            </w:r>
          </w:p>
          <w:p w14:paraId="1BEBEBA7" w14:textId="77777777" w:rsidR="00660076" w:rsidRPr="00FB5561" w:rsidRDefault="00660076" w:rsidP="00660076">
            <w:pPr>
              <w:ind w:left="720"/>
              <w:rPr>
                <w:rFonts w:cs="Arial"/>
                <w:color w:val="FFFFFF" w:themeColor="background1"/>
                <w:sz w:val="22"/>
                <w:szCs w:val="22"/>
              </w:rPr>
            </w:pPr>
            <w:r w:rsidRPr="00FB5561">
              <w:rPr>
                <w:rFonts w:cs="Arial"/>
                <w:color w:val="FFFFFF" w:themeColor="background1"/>
                <w:sz w:val="22"/>
                <w:szCs w:val="22"/>
              </w:rPr>
              <w:t>applied a decision-making process which was too formulaic or which tended to stereotype the respondent by reference to her disability. Such grouping of individuals, whether by race or disability, without proper regard to an individual’s circumstances or to the characteristics that they possess, may cause distress or hurt. … Legislation such as the DD Act is aimed to reduce or prevent such harm. Section 46 of the DD Act recognises that there are circumstances in which discrimination by reason of disability may be justified (or, at least, not be unlawful). It requires that the particular circumstances of an individual who is discriminated against be addressed, but not in a formulaic way.</w:t>
            </w:r>
            <w:r w:rsidRPr="00FB5561">
              <w:rPr>
                <w:rStyle w:val="EndnoteReference"/>
                <w:rFonts w:eastAsia="Times New Roman" w:cs="Arial"/>
                <w:color w:val="FFFFFF" w:themeColor="background1"/>
                <w:szCs w:val="22"/>
              </w:rPr>
              <w:t xml:space="preserve"> </w:t>
            </w:r>
            <w:r w:rsidRPr="00FB5561">
              <w:rPr>
                <w:rStyle w:val="EndnoteReference"/>
                <w:rFonts w:eastAsia="Times New Roman" w:cs="Arial"/>
                <w:color w:val="FFFFFF" w:themeColor="background1"/>
                <w:szCs w:val="22"/>
              </w:rPr>
              <w:endnoteReference w:id="40"/>
            </w:r>
          </w:p>
        </w:tc>
      </w:tr>
    </w:tbl>
    <w:p w14:paraId="01F4B166" w14:textId="575323E8" w:rsidR="00F8234D" w:rsidRPr="00FB5561" w:rsidRDefault="00660076" w:rsidP="00CA54E5">
      <w:pPr>
        <w:pStyle w:val="Heading3"/>
        <w:rPr>
          <w:rFonts w:cs="Arial"/>
        </w:rPr>
      </w:pPr>
      <w:bookmarkStart w:id="58" w:name="_Toc450572338"/>
      <w:r w:rsidRPr="00FB5561">
        <w:rPr>
          <w:rFonts w:cs="Arial"/>
        </w:rPr>
        <w:lastRenderedPageBreak/>
        <w:t xml:space="preserve"> </w:t>
      </w:r>
      <w:bookmarkStart w:id="59" w:name="_Toc466973691"/>
      <w:r w:rsidR="000E647A" w:rsidRPr="00FB5561">
        <w:rPr>
          <w:rFonts w:cs="Arial"/>
        </w:rPr>
        <w:t>(b)</w:t>
      </w:r>
      <w:r w:rsidR="000E647A" w:rsidRPr="00FB5561">
        <w:rPr>
          <w:rFonts w:cs="Arial"/>
        </w:rPr>
        <w:tab/>
        <w:t>A</w:t>
      </w:r>
      <w:r w:rsidR="00CA54E5" w:rsidRPr="00FB5561">
        <w:rPr>
          <w:rFonts w:cs="Arial"/>
        </w:rPr>
        <w:t xml:space="preserve">lternatives to refusing to provide any </w:t>
      </w:r>
      <w:bookmarkEnd w:id="58"/>
      <w:r w:rsidR="00C605C1" w:rsidRPr="00FB5561">
        <w:rPr>
          <w:rFonts w:cs="Arial"/>
        </w:rPr>
        <w:t>cover</w:t>
      </w:r>
      <w:bookmarkEnd w:id="59"/>
    </w:p>
    <w:p w14:paraId="23464244" w14:textId="1E0534B1" w:rsidR="005B37A6" w:rsidRPr="00FB5561" w:rsidRDefault="005B37A6" w:rsidP="005B37A6">
      <w:pPr>
        <w:spacing w:before="100" w:beforeAutospacing="1" w:after="100" w:afterAutospacing="1"/>
        <w:rPr>
          <w:rFonts w:cs="Arial"/>
        </w:rPr>
      </w:pPr>
      <w:r w:rsidRPr="00FB5561">
        <w:rPr>
          <w:rFonts w:cs="Arial"/>
        </w:rPr>
        <w:t>The existence of s 46 in the DDA acknowledges that in some cases risks associated with a person</w:t>
      </w:r>
      <w:r w:rsidR="00B30EAE" w:rsidRPr="00FB5561">
        <w:rPr>
          <w:rFonts w:cs="Arial"/>
        </w:rPr>
        <w:t>’</w:t>
      </w:r>
      <w:r w:rsidRPr="00FB5561">
        <w:rPr>
          <w:rFonts w:cs="Arial"/>
        </w:rPr>
        <w:t xml:space="preserve">s disability may be too high, or too uncertain, for an insurer to accept. </w:t>
      </w:r>
    </w:p>
    <w:p w14:paraId="5968E4A0" w14:textId="77777777" w:rsidR="005B37A6" w:rsidRPr="00FB5561" w:rsidRDefault="00C47A44" w:rsidP="005B37A6">
      <w:pPr>
        <w:spacing w:before="100" w:beforeAutospacing="1" w:after="100" w:afterAutospacing="1"/>
        <w:rPr>
          <w:rFonts w:cs="Arial"/>
        </w:rPr>
      </w:pPr>
      <w:r w:rsidRPr="00FB5561">
        <w:rPr>
          <w:rFonts w:cs="Arial"/>
        </w:rPr>
        <w:t xml:space="preserve">However, as the Federal Court’s decision in </w:t>
      </w:r>
      <w:r w:rsidRPr="00FB5561">
        <w:rPr>
          <w:rFonts w:cs="Arial"/>
          <w:i/>
        </w:rPr>
        <w:t>QBE v</w:t>
      </w:r>
      <w:r w:rsidRPr="00FB5561">
        <w:rPr>
          <w:rFonts w:cs="Arial"/>
        </w:rPr>
        <w:t xml:space="preserve"> </w:t>
      </w:r>
      <w:r w:rsidRPr="00FB5561">
        <w:rPr>
          <w:rFonts w:cs="Arial"/>
          <w:i/>
        </w:rPr>
        <w:t>Bassanelli</w:t>
      </w:r>
      <w:r w:rsidRPr="00FB5561">
        <w:rPr>
          <w:rFonts w:cs="Arial"/>
        </w:rPr>
        <w:t xml:space="preserve"> shows,</w:t>
      </w:r>
      <w:r w:rsidR="005B37A6" w:rsidRPr="00FB5561">
        <w:rPr>
          <w:rFonts w:cs="Arial"/>
        </w:rPr>
        <w:t xml:space="preserve"> before declining to offer insurance to a person with a disability, </w:t>
      </w:r>
      <w:r w:rsidRPr="00FB5561">
        <w:rPr>
          <w:rFonts w:cs="Arial"/>
        </w:rPr>
        <w:t>an insurer or superannuation provider should</w:t>
      </w:r>
      <w:r w:rsidR="005B37A6" w:rsidRPr="00FB5561">
        <w:rPr>
          <w:rFonts w:cs="Arial"/>
        </w:rPr>
        <w:t xml:space="preserve"> consider whether risks can be </w:t>
      </w:r>
      <w:r w:rsidRPr="00FB5561">
        <w:rPr>
          <w:rFonts w:cs="Arial"/>
        </w:rPr>
        <w:t xml:space="preserve">reduced </w:t>
      </w:r>
      <w:r w:rsidR="005B37A6" w:rsidRPr="00FB5561">
        <w:rPr>
          <w:rFonts w:cs="Arial"/>
        </w:rPr>
        <w:t>by restricting the cover, using an exclusion clause, applying a premium loading, or some other means.</w:t>
      </w:r>
    </w:p>
    <w:p w14:paraId="2817A844" w14:textId="77777777" w:rsidR="005B37A6" w:rsidRPr="00FB5561" w:rsidRDefault="005B37A6" w:rsidP="003B3349">
      <w:pPr>
        <w:spacing w:before="100" w:beforeAutospacing="1" w:after="100" w:afterAutospacing="1"/>
        <w:rPr>
          <w:rFonts w:cs="Arial"/>
        </w:rPr>
      </w:pPr>
      <w:r w:rsidRPr="00FB5561">
        <w:rPr>
          <w:rFonts w:cs="Arial"/>
        </w:rPr>
        <w:t xml:space="preserve">Discrimination will </w:t>
      </w:r>
      <w:r w:rsidR="00E729B3" w:rsidRPr="00FB5561">
        <w:rPr>
          <w:rFonts w:cs="Arial"/>
        </w:rPr>
        <w:t xml:space="preserve">only </w:t>
      </w:r>
      <w:r w:rsidRPr="00FB5561">
        <w:rPr>
          <w:rFonts w:cs="Arial"/>
        </w:rPr>
        <w:t xml:space="preserve">be accepted as reasonable </w:t>
      </w:r>
      <w:r w:rsidR="00E729B3" w:rsidRPr="00FB5561">
        <w:rPr>
          <w:rFonts w:cs="Arial"/>
        </w:rPr>
        <w:t xml:space="preserve">if </w:t>
      </w:r>
      <w:r w:rsidRPr="00FB5561">
        <w:rPr>
          <w:rFonts w:cs="Arial"/>
        </w:rPr>
        <w:t>the consequences of the discrimination are limited as far as reasonably possible.</w:t>
      </w:r>
    </w:p>
    <w:p w14:paraId="2E9EFFE3" w14:textId="77777777" w:rsidR="00185BC7" w:rsidRPr="00FB5561" w:rsidRDefault="00185BC7" w:rsidP="000239E8">
      <w:pPr>
        <w:rPr>
          <w:rFonts w:cs="Arial"/>
          <w:i/>
          <w:iCs/>
        </w:rPr>
      </w:pPr>
      <w:r w:rsidRPr="00FB5561">
        <w:rPr>
          <w:rFonts w:cs="Arial"/>
          <w:i/>
          <w:iCs/>
        </w:rPr>
        <w:t>For example</w:t>
      </w:r>
      <w:r w:rsidR="000239E8" w:rsidRPr="00FB5561">
        <w:rPr>
          <w:rFonts w:cs="Arial"/>
          <w:i/>
          <w:iCs/>
        </w:rPr>
        <w:t>,</w:t>
      </w:r>
      <w:r w:rsidRPr="00FB5561">
        <w:rPr>
          <w:rFonts w:cs="Arial"/>
          <w:i/>
          <w:iCs/>
        </w:rPr>
        <w:t xml:space="preserve"> </w:t>
      </w:r>
      <w:r w:rsidR="00A71169" w:rsidRPr="00FB5561">
        <w:rPr>
          <w:rFonts w:cs="Arial"/>
          <w:i/>
          <w:iCs/>
        </w:rPr>
        <w:t>a</w:t>
      </w:r>
      <w:r w:rsidRPr="00FB5561">
        <w:rPr>
          <w:rFonts w:cs="Arial"/>
          <w:i/>
          <w:iCs/>
        </w:rPr>
        <w:t xml:space="preserve"> woman said she experienced </w:t>
      </w:r>
      <w:r w:rsidR="008C1CE3" w:rsidRPr="00FB5561">
        <w:rPr>
          <w:rFonts w:cs="Arial"/>
          <w:i/>
          <w:iCs/>
        </w:rPr>
        <w:t>post-natal</w:t>
      </w:r>
      <w:r w:rsidRPr="00FB5561">
        <w:rPr>
          <w:rFonts w:cs="Arial"/>
          <w:i/>
          <w:iCs/>
        </w:rPr>
        <w:t xml:space="preserve"> d</w:t>
      </w:r>
      <w:r w:rsidR="00A71169" w:rsidRPr="00FB5561">
        <w:rPr>
          <w:rFonts w:cs="Arial"/>
          <w:i/>
          <w:iCs/>
        </w:rPr>
        <w:t>epression and a lower-</w:t>
      </w:r>
      <w:r w:rsidRPr="00FB5561">
        <w:rPr>
          <w:rFonts w:cs="Arial"/>
          <w:i/>
          <w:iCs/>
        </w:rPr>
        <w:t xml:space="preserve">back injury during her pregnancy. She said the insurer offered her an income protection </w:t>
      </w:r>
      <w:r w:rsidRPr="00FB5561">
        <w:rPr>
          <w:rFonts w:cs="Arial"/>
          <w:i/>
          <w:iCs/>
        </w:rPr>
        <w:lastRenderedPageBreak/>
        <w:t>policy but it included a five-year exclusion fo</w:t>
      </w:r>
      <w:r w:rsidR="00A71169" w:rsidRPr="00FB5561">
        <w:rPr>
          <w:rFonts w:cs="Arial"/>
          <w:i/>
          <w:iCs/>
        </w:rPr>
        <w:t>r claims associated with mental-</w:t>
      </w:r>
      <w:r w:rsidRPr="00FB5561">
        <w:rPr>
          <w:rFonts w:cs="Arial"/>
          <w:i/>
          <w:iCs/>
        </w:rPr>
        <w:t>health issues and an indefinite exclusion for any claims relating t</w:t>
      </w:r>
      <w:r w:rsidR="00A71169" w:rsidRPr="00FB5561">
        <w:rPr>
          <w:rFonts w:cs="Arial"/>
          <w:i/>
          <w:iCs/>
        </w:rPr>
        <w:t>o lower-</w:t>
      </w:r>
      <w:r w:rsidRPr="00FB5561">
        <w:rPr>
          <w:rFonts w:cs="Arial"/>
          <w:i/>
          <w:iCs/>
        </w:rPr>
        <w:t>back injury. The insurer claimed the exclusions were consistent with relevant underwriting guidelines and based on relevant statistical and actuarial data on which it was reasonable to rely.</w:t>
      </w:r>
    </w:p>
    <w:p w14:paraId="24CB705F" w14:textId="77777777" w:rsidR="00185BC7" w:rsidRPr="00FB5561" w:rsidRDefault="00185BC7" w:rsidP="000239E8">
      <w:pPr>
        <w:rPr>
          <w:rFonts w:cs="Arial"/>
          <w:i/>
          <w:iCs/>
        </w:rPr>
      </w:pPr>
      <w:r w:rsidRPr="00FB5561">
        <w:rPr>
          <w:rFonts w:cs="Arial"/>
          <w:i/>
          <w:iCs/>
        </w:rPr>
        <w:t>The complaint</w:t>
      </w:r>
      <w:r w:rsidR="00E86D18" w:rsidRPr="00FB5561">
        <w:rPr>
          <w:rFonts w:cs="Arial"/>
          <w:i/>
          <w:iCs/>
        </w:rPr>
        <w:t xml:space="preserve"> to the Commission</w:t>
      </w:r>
      <w:r w:rsidRPr="00FB5561">
        <w:rPr>
          <w:rFonts w:cs="Arial"/>
          <w:i/>
          <w:iCs/>
        </w:rPr>
        <w:t xml:space="preserve"> was resolved with an agreement that the insurer consider r</w:t>
      </w:r>
      <w:r w:rsidR="00A71169" w:rsidRPr="00FB5561">
        <w:rPr>
          <w:rFonts w:cs="Arial"/>
          <w:i/>
          <w:iCs/>
        </w:rPr>
        <w:t>emoving the exclusion for lower-</w:t>
      </w:r>
      <w:r w:rsidRPr="00FB5561">
        <w:rPr>
          <w:rFonts w:cs="Arial"/>
          <w:i/>
          <w:iCs/>
        </w:rPr>
        <w:t>back injury pending the provision of up-to-date medical information. The insurer a</w:t>
      </w:r>
      <w:r w:rsidR="00A71169" w:rsidRPr="00FB5561">
        <w:rPr>
          <w:rFonts w:cs="Arial"/>
          <w:i/>
          <w:iCs/>
        </w:rPr>
        <w:t>lso agreed to review the mental-</w:t>
      </w:r>
      <w:r w:rsidRPr="00FB5561">
        <w:rPr>
          <w:rFonts w:cs="Arial"/>
          <w:i/>
          <w:iCs/>
        </w:rPr>
        <w:t>health exclusion after two years with a view to removal of the exclusion.</w:t>
      </w:r>
    </w:p>
    <w:p w14:paraId="2BA2BC3D" w14:textId="77777777" w:rsidR="001C2E33" w:rsidRPr="00FB5561" w:rsidRDefault="00494359" w:rsidP="001B7A2F">
      <w:pPr>
        <w:spacing w:before="120" w:after="0"/>
        <w:rPr>
          <w:rFonts w:cs="Arial"/>
        </w:rPr>
      </w:pPr>
      <w:r w:rsidRPr="00FB5561">
        <w:rPr>
          <w:rFonts w:cs="Arial"/>
        </w:rPr>
        <w:t xml:space="preserve">The </w:t>
      </w:r>
      <w:r w:rsidR="00801D70" w:rsidRPr="00FB5561">
        <w:rPr>
          <w:rFonts w:cs="Arial"/>
        </w:rPr>
        <w:t>relevance</w:t>
      </w:r>
      <w:r w:rsidR="002F73B0" w:rsidRPr="00FB5561">
        <w:rPr>
          <w:rFonts w:cs="Arial"/>
        </w:rPr>
        <w:t xml:space="preserve"> of considering alternatives to refusing to </w:t>
      </w:r>
      <w:r w:rsidRPr="00FB5561">
        <w:rPr>
          <w:rFonts w:cs="Arial"/>
        </w:rPr>
        <w:t>grant</w:t>
      </w:r>
      <w:r w:rsidR="002F73B0" w:rsidRPr="00FB5561">
        <w:rPr>
          <w:rFonts w:cs="Arial"/>
        </w:rPr>
        <w:t xml:space="preserve"> a policy</w:t>
      </w:r>
      <w:r w:rsidRPr="00FB5561">
        <w:rPr>
          <w:rFonts w:cs="Arial"/>
        </w:rPr>
        <w:t xml:space="preserve"> when determining whether </w:t>
      </w:r>
      <w:r w:rsidR="0031737D" w:rsidRPr="00FB5561">
        <w:rPr>
          <w:rFonts w:cs="Arial"/>
        </w:rPr>
        <w:t>discrimination was reasonable</w:t>
      </w:r>
      <w:r w:rsidR="00A0382F" w:rsidRPr="00FB5561">
        <w:rPr>
          <w:rFonts w:cs="Arial"/>
        </w:rPr>
        <w:t xml:space="preserve"> </w:t>
      </w:r>
      <w:r w:rsidRPr="00FB5561">
        <w:rPr>
          <w:rFonts w:cs="Arial"/>
        </w:rPr>
        <w:t>was considered in</w:t>
      </w:r>
      <w:r w:rsidR="002F73B0" w:rsidRPr="00FB5561">
        <w:rPr>
          <w:rFonts w:cs="Arial"/>
        </w:rPr>
        <w:t xml:space="preserve"> </w:t>
      </w:r>
      <w:r w:rsidR="002F73B0" w:rsidRPr="00FB5561">
        <w:rPr>
          <w:rFonts w:cs="Arial"/>
          <w:i/>
        </w:rPr>
        <w:t>QBE v Bassanelli</w:t>
      </w:r>
      <w:r w:rsidRPr="00FB5561">
        <w:rPr>
          <w:rFonts w:cs="Arial"/>
        </w:rPr>
        <w:t>, discussed above.</w:t>
      </w:r>
      <w:r w:rsidR="00BA740C" w:rsidRPr="00FB5561">
        <w:rPr>
          <w:rStyle w:val="EndnoteReference"/>
          <w:rFonts w:cs="Arial"/>
          <w:szCs w:val="20"/>
        </w:rPr>
        <w:endnoteReference w:id="41"/>
      </w:r>
      <w:r w:rsidR="00BA740C" w:rsidRPr="00FB5561">
        <w:rPr>
          <w:rFonts w:cs="Arial"/>
        </w:rPr>
        <w:t xml:space="preserve"> </w:t>
      </w:r>
      <w:r w:rsidR="001C2E33" w:rsidRPr="00FB5561">
        <w:rPr>
          <w:rFonts w:cs="Arial"/>
        </w:rPr>
        <w:t xml:space="preserve">In summary, the </w:t>
      </w:r>
      <w:r w:rsidRPr="00FB5561">
        <w:rPr>
          <w:rFonts w:cs="Arial"/>
        </w:rPr>
        <w:t xml:space="preserve">Federal Magistrates Court and Federal Court </w:t>
      </w:r>
      <w:r w:rsidR="001C2E33" w:rsidRPr="00FB5561">
        <w:rPr>
          <w:rFonts w:cs="Arial"/>
        </w:rPr>
        <w:t xml:space="preserve">in the </w:t>
      </w:r>
      <w:r w:rsidR="001C2E33" w:rsidRPr="00FB5561">
        <w:rPr>
          <w:rFonts w:cs="Arial"/>
          <w:i/>
          <w:iCs/>
        </w:rPr>
        <w:t>Bassanelli</w:t>
      </w:r>
      <w:r w:rsidRPr="00FB5561">
        <w:rPr>
          <w:rFonts w:cs="Arial"/>
        </w:rPr>
        <w:t xml:space="preserve"> case appear to have confirmed</w:t>
      </w:r>
      <w:r w:rsidR="00A0382F" w:rsidRPr="00FB5561">
        <w:rPr>
          <w:rFonts w:cs="Arial"/>
        </w:rPr>
        <w:t xml:space="preserve"> that</w:t>
      </w:r>
      <w:r w:rsidR="001C2E33" w:rsidRPr="00FB5561">
        <w:rPr>
          <w:rFonts w:cs="Arial"/>
        </w:rPr>
        <w:t>:</w:t>
      </w:r>
    </w:p>
    <w:p w14:paraId="1D1C2DD4" w14:textId="77777777" w:rsidR="001C2E33" w:rsidRPr="00FB5561" w:rsidRDefault="00A0382F"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e</w:t>
      </w:r>
      <w:r w:rsidR="001C2E33" w:rsidRPr="00FB5561">
        <w:rPr>
          <w:rFonts w:ascii="Arial" w:hAnsi="Arial" w:cs="Arial"/>
          <w:color w:val="000000"/>
          <w:sz w:val="24"/>
          <w:szCs w:val="24"/>
        </w:rPr>
        <w:t>xcluding cover for pre-existing conditions is an accepted part of insurance</w:t>
      </w:r>
    </w:p>
    <w:p w14:paraId="5D16E44C" w14:textId="77777777" w:rsidR="001C2E33" w:rsidRPr="00FB5561" w:rsidRDefault="00A0382F"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i</w:t>
      </w:r>
      <w:r w:rsidR="001C2E33" w:rsidRPr="00FB5561">
        <w:rPr>
          <w:rFonts w:ascii="Arial" w:hAnsi="Arial" w:cs="Arial"/>
          <w:color w:val="000000"/>
          <w:sz w:val="24"/>
          <w:szCs w:val="24"/>
        </w:rPr>
        <w:t>nsurers should consider use of appropriate</w:t>
      </w:r>
      <w:r w:rsidR="0031737D" w:rsidRPr="00FB5561">
        <w:rPr>
          <w:rFonts w:ascii="Arial" w:hAnsi="Arial" w:cs="Arial"/>
          <w:color w:val="000000"/>
          <w:sz w:val="24"/>
          <w:szCs w:val="24"/>
        </w:rPr>
        <w:t>ly limited</w:t>
      </w:r>
      <w:r w:rsidR="001C2E33" w:rsidRPr="00FB5561">
        <w:rPr>
          <w:rFonts w:ascii="Arial" w:hAnsi="Arial" w:cs="Arial"/>
          <w:color w:val="000000"/>
          <w:sz w:val="24"/>
          <w:szCs w:val="24"/>
        </w:rPr>
        <w:t xml:space="preserve"> exclusion clauses as an alternative to denying cover</w:t>
      </w:r>
    </w:p>
    <w:p w14:paraId="52411FFC" w14:textId="77777777" w:rsidR="001C2E33" w:rsidRPr="00FB5561" w:rsidRDefault="008E4035"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i</w:t>
      </w:r>
      <w:r w:rsidR="001C2E33" w:rsidRPr="00FB5561">
        <w:rPr>
          <w:rFonts w:ascii="Arial" w:hAnsi="Arial" w:cs="Arial"/>
          <w:color w:val="000000"/>
          <w:sz w:val="24"/>
          <w:szCs w:val="24"/>
        </w:rPr>
        <w:t>t may be reasonable to charge a higher premium for cases which are reasonably assessed as presenting a higher risk or where risks are unusually difficult to determine</w:t>
      </w:r>
    </w:p>
    <w:p w14:paraId="2774E15D" w14:textId="77777777" w:rsidR="001C2E33" w:rsidRPr="00FB5561" w:rsidRDefault="00A0382F"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t</w:t>
      </w:r>
      <w:r w:rsidR="001C2E33" w:rsidRPr="00FB5561">
        <w:rPr>
          <w:rFonts w:ascii="Arial" w:hAnsi="Arial" w:cs="Arial"/>
          <w:color w:val="000000"/>
          <w:sz w:val="24"/>
          <w:szCs w:val="24"/>
        </w:rPr>
        <w:t>his approach should also be considered before refusing cover</w:t>
      </w:r>
    </w:p>
    <w:p w14:paraId="49F665F5" w14:textId="77777777" w:rsidR="001C2E33" w:rsidRPr="00FB5561" w:rsidRDefault="00A0382F"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i</w:t>
      </w:r>
      <w:r w:rsidR="001C2E33" w:rsidRPr="00FB5561">
        <w:rPr>
          <w:rFonts w:ascii="Arial" w:hAnsi="Arial" w:cs="Arial"/>
          <w:color w:val="000000"/>
          <w:sz w:val="24"/>
          <w:szCs w:val="24"/>
        </w:rPr>
        <w:t>t may be reasonable to defer a decision</w:t>
      </w:r>
      <w:r w:rsidR="00A71169" w:rsidRPr="00FB5561">
        <w:rPr>
          <w:rFonts w:ascii="Arial" w:hAnsi="Arial" w:cs="Arial"/>
          <w:color w:val="000000"/>
          <w:sz w:val="24"/>
          <w:szCs w:val="24"/>
        </w:rPr>
        <w:t xml:space="preserve"> in order</w:t>
      </w:r>
      <w:r w:rsidR="001C2E33" w:rsidRPr="00FB5561">
        <w:rPr>
          <w:rFonts w:ascii="Arial" w:hAnsi="Arial" w:cs="Arial"/>
          <w:color w:val="000000"/>
          <w:sz w:val="24"/>
          <w:szCs w:val="24"/>
        </w:rPr>
        <w:t xml:space="preserve"> to seek further information on risks.</w:t>
      </w:r>
    </w:p>
    <w:p w14:paraId="0CB23230" w14:textId="5A0DC95E" w:rsidR="0099344A" w:rsidRPr="00FB5561" w:rsidRDefault="0099344A" w:rsidP="00C933C7">
      <w:pPr>
        <w:autoSpaceDE w:val="0"/>
        <w:autoSpaceDN w:val="0"/>
        <w:adjustRightInd w:val="0"/>
        <w:spacing w:after="0"/>
        <w:rPr>
          <w:rFonts w:cs="Arial"/>
        </w:rPr>
      </w:pPr>
      <w:r w:rsidRPr="00FB5561">
        <w:rPr>
          <w:rFonts w:cs="Arial"/>
        </w:rPr>
        <w:t xml:space="preserve">Any alternatives to refusing policies or denying claims should also be </w:t>
      </w:r>
      <w:r w:rsidR="000E647A" w:rsidRPr="00FB5561">
        <w:rPr>
          <w:rFonts w:cs="Arial"/>
        </w:rPr>
        <w:t xml:space="preserve">reasonable, </w:t>
      </w:r>
      <w:r w:rsidRPr="00FB5561">
        <w:rPr>
          <w:rFonts w:cs="Arial"/>
        </w:rPr>
        <w:t xml:space="preserve">proportionate to the risk that is being avoided and impose the least imposition or restriction on the person </w:t>
      </w:r>
      <w:r w:rsidR="00DC10FE" w:rsidRPr="00FB5561">
        <w:rPr>
          <w:rFonts w:cs="Arial"/>
        </w:rPr>
        <w:t xml:space="preserve">that is </w:t>
      </w:r>
      <w:r w:rsidRPr="00FB5561">
        <w:rPr>
          <w:rFonts w:cs="Arial"/>
        </w:rPr>
        <w:t xml:space="preserve">possible in the circumstances. </w:t>
      </w:r>
      <w:r w:rsidR="00DC10FE" w:rsidRPr="00FB5561">
        <w:rPr>
          <w:rFonts w:cs="Arial"/>
        </w:rPr>
        <w:t>Where t</w:t>
      </w:r>
      <w:r w:rsidRPr="00FB5561">
        <w:rPr>
          <w:rFonts w:cs="Arial"/>
        </w:rPr>
        <w:t xml:space="preserve">he alternative </w:t>
      </w:r>
      <w:r w:rsidR="00DC10FE" w:rsidRPr="00FB5561">
        <w:rPr>
          <w:rFonts w:cs="Arial"/>
        </w:rPr>
        <w:t xml:space="preserve">still imposes a discriminatory burden, it </w:t>
      </w:r>
      <w:r w:rsidRPr="00FB5561">
        <w:rPr>
          <w:rFonts w:cs="Arial"/>
        </w:rPr>
        <w:t xml:space="preserve">must be supported by data </w:t>
      </w:r>
      <w:r w:rsidR="00C83CB6" w:rsidRPr="00FB5561">
        <w:rPr>
          <w:rFonts w:cs="Arial"/>
        </w:rPr>
        <w:t xml:space="preserve">where it is available or can </w:t>
      </w:r>
      <w:r w:rsidR="00DC10FE" w:rsidRPr="00FB5561">
        <w:rPr>
          <w:rFonts w:cs="Arial"/>
        </w:rPr>
        <w:t xml:space="preserve">reasonably </w:t>
      </w:r>
      <w:r w:rsidR="00C83CB6" w:rsidRPr="00FB5561">
        <w:rPr>
          <w:rFonts w:cs="Arial"/>
        </w:rPr>
        <w:t xml:space="preserve">be </w:t>
      </w:r>
      <w:r w:rsidR="00DC10FE" w:rsidRPr="00FB5561">
        <w:rPr>
          <w:rFonts w:cs="Arial"/>
        </w:rPr>
        <w:t xml:space="preserve">obtained </w:t>
      </w:r>
      <w:r w:rsidR="00C933C7" w:rsidRPr="00FB5561">
        <w:rPr>
          <w:rFonts w:cs="Arial"/>
        </w:rPr>
        <w:t xml:space="preserve">and satisfy the </w:t>
      </w:r>
      <w:r w:rsidR="00DC10FE" w:rsidRPr="00FB5561">
        <w:rPr>
          <w:rFonts w:cs="Arial"/>
        </w:rPr>
        <w:t xml:space="preserve">other </w:t>
      </w:r>
      <w:r w:rsidR="00C933C7" w:rsidRPr="00FB5561">
        <w:rPr>
          <w:rFonts w:cs="Arial"/>
        </w:rPr>
        <w:t xml:space="preserve">requirements of the exemption </w:t>
      </w:r>
      <w:r w:rsidR="00DC10FE" w:rsidRPr="00FB5561">
        <w:rPr>
          <w:rFonts w:cs="Arial"/>
        </w:rPr>
        <w:t xml:space="preserve">in </w:t>
      </w:r>
      <w:r w:rsidR="00C933C7" w:rsidRPr="00FB5561">
        <w:rPr>
          <w:rFonts w:cs="Arial"/>
        </w:rPr>
        <w:t>s 46 of the DDA</w:t>
      </w:r>
      <w:r w:rsidRPr="00FB5561">
        <w:rPr>
          <w:rFonts w:cs="Arial"/>
        </w:rPr>
        <w:t>.</w:t>
      </w:r>
    </w:p>
    <w:p w14:paraId="2B3C082C" w14:textId="5DF30CD0" w:rsidR="008E4035" w:rsidRPr="00FB5561" w:rsidRDefault="001B7A2F" w:rsidP="001B7A2F">
      <w:pPr>
        <w:spacing w:before="100" w:beforeAutospacing="1" w:after="100" w:afterAutospacing="1"/>
        <w:rPr>
          <w:rFonts w:cs="Arial"/>
        </w:rPr>
      </w:pPr>
      <w:r w:rsidRPr="00FB5561">
        <w:rPr>
          <w:rFonts w:cs="Arial"/>
        </w:rPr>
        <w:t>Exclusion clauses in relation to pre</w:t>
      </w:r>
      <w:r w:rsidR="00400B81" w:rsidRPr="00FB5561">
        <w:rPr>
          <w:rFonts w:cs="Arial"/>
        </w:rPr>
        <w:t>-existing conditions or particu</w:t>
      </w:r>
      <w:r w:rsidRPr="00FB5561">
        <w:rPr>
          <w:rFonts w:cs="Arial"/>
        </w:rPr>
        <w:t>l</w:t>
      </w:r>
      <w:r w:rsidR="00400B81" w:rsidRPr="00FB5561">
        <w:rPr>
          <w:rFonts w:cs="Arial"/>
        </w:rPr>
        <w:t>a</w:t>
      </w:r>
      <w:r w:rsidRPr="00FB5561">
        <w:rPr>
          <w:rFonts w:cs="Arial"/>
        </w:rPr>
        <w:t xml:space="preserve">r identified risks have been </w:t>
      </w:r>
      <w:r w:rsidR="00400B81" w:rsidRPr="00FB5561">
        <w:rPr>
          <w:rFonts w:cs="Arial"/>
        </w:rPr>
        <w:t>used in a number of cases to se</w:t>
      </w:r>
      <w:r w:rsidRPr="00FB5561">
        <w:rPr>
          <w:rFonts w:cs="Arial"/>
        </w:rPr>
        <w:t>ttle complaint</w:t>
      </w:r>
      <w:r w:rsidR="00A71169" w:rsidRPr="00FB5561">
        <w:rPr>
          <w:rFonts w:cs="Arial"/>
        </w:rPr>
        <w:t>s</w:t>
      </w:r>
      <w:r w:rsidRPr="00FB5561">
        <w:rPr>
          <w:rFonts w:cs="Arial"/>
        </w:rPr>
        <w:t xml:space="preserve"> and enable polic</w:t>
      </w:r>
      <w:r w:rsidR="000239E8" w:rsidRPr="00FB5561">
        <w:rPr>
          <w:rFonts w:cs="Arial"/>
        </w:rPr>
        <w:t>ies</w:t>
      </w:r>
      <w:r w:rsidRPr="00FB5561">
        <w:rPr>
          <w:rFonts w:cs="Arial"/>
        </w:rPr>
        <w:t xml:space="preserve"> to be issued. </w:t>
      </w:r>
    </w:p>
    <w:p w14:paraId="39124452" w14:textId="503F7675" w:rsidR="00690F4D" w:rsidRPr="00FB5561" w:rsidRDefault="0053062E" w:rsidP="00690F4D">
      <w:pPr>
        <w:spacing w:before="100" w:beforeAutospacing="1" w:after="100" w:afterAutospacing="1"/>
        <w:rPr>
          <w:rFonts w:cs="Arial"/>
          <w:i/>
          <w:iCs/>
        </w:rPr>
      </w:pPr>
      <w:r w:rsidRPr="00FB5561">
        <w:rPr>
          <w:rFonts w:cs="Arial"/>
          <w:i/>
          <w:iCs/>
        </w:rPr>
        <w:t>For example</w:t>
      </w:r>
      <w:r w:rsidR="000239E8" w:rsidRPr="00FB5561">
        <w:rPr>
          <w:rFonts w:cs="Arial"/>
          <w:i/>
          <w:iCs/>
        </w:rPr>
        <w:t>,</w:t>
      </w:r>
      <w:r w:rsidRPr="00FB5561">
        <w:rPr>
          <w:rFonts w:cs="Arial"/>
          <w:i/>
          <w:iCs/>
        </w:rPr>
        <w:t xml:space="preserve"> </w:t>
      </w:r>
      <w:r w:rsidR="000239E8" w:rsidRPr="00FB5561">
        <w:rPr>
          <w:rFonts w:cs="Arial"/>
          <w:i/>
          <w:iCs/>
        </w:rPr>
        <w:t>a</w:t>
      </w:r>
      <w:r w:rsidR="001B7A2F" w:rsidRPr="00FB5561">
        <w:rPr>
          <w:rFonts w:cs="Arial"/>
          <w:i/>
          <w:iCs/>
        </w:rPr>
        <w:t xml:space="preserve"> computer programmer wished to protect his family income in the event of illness or accident preventing him from carrying out his usual employment. He has a vision disability which may result in hi</w:t>
      </w:r>
      <w:r w:rsidR="00E86D18" w:rsidRPr="00FB5561">
        <w:rPr>
          <w:rFonts w:cs="Arial"/>
          <w:i/>
          <w:iCs/>
        </w:rPr>
        <w:t>m</w:t>
      </w:r>
      <w:r w:rsidR="001B7A2F" w:rsidRPr="00FB5561">
        <w:rPr>
          <w:rFonts w:cs="Arial"/>
          <w:i/>
          <w:iCs/>
        </w:rPr>
        <w:t xml:space="preserve"> being totally blind in a few years. His applications for income protection insurance were refused. The complaint </w:t>
      </w:r>
      <w:r w:rsidR="00E86D18" w:rsidRPr="00FB5561">
        <w:rPr>
          <w:rFonts w:cs="Arial"/>
          <w:i/>
          <w:iCs/>
        </w:rPr>
        <w:t xml:space="preserve">to the Commission </w:t>
      </w:r>
      <w:r w:rsidR="001B7A2F" w:rsidRPr="00FB5561">
        <w:rPr>
          <w:rFonts w:cs="Arial"/>
          <w:i/>
          <w:iCs/>
        </w:rPr>
        <w:t>was settled without admission of liability on the basis that the insurer provided the complainant with disability income insurance with a blindness exclusion.</w:t>
      </w:r>
    </w:p>
    <w:p w14:paraId="0CD3CA72" w14:textId="77777777" w:rsidR="00A041D3" w:rsidRPr="00FB5561" w:rsidRDefault="0099344A" w:rsidP="0099344A">
      <w:pPr>
        <w:pStyle w:val="Heading2"/>
        <w:numPr>
          <w:ilvl w:val="0"/>
          <w:numId w:val="0"/>
        </w:numPr>
        <w:tabs>
          <w:tab w:val="left" w:pos="851"/>
        </w:tabs>
        <w:ind w:left="851" w:hanging="851"/>
        <w:rPr>
          <w:rFonts w:cs="Arial"/>
          <w:i w:val="0"/>
          <w:sz w:val="24"/>
          <w:szCs w:val="24"/>
        </w:rPr>
      </w:pPr>
      <w:bookmarkStart w:id="60" w:name="_Toc466973692"/>
      <w:r w:rsidRPr="00FB5561">
        <w:rPr>
          <w:rFonts w:cs="Arial"/>
          <w:i w:val="0"/>
          <w:sz w:val="24"/>
          <w:szCs w:val="24"/>
        </w:rPr>
        <w:t>4.4</w:t>
      </w:r>
      <w:r w:rsidRPr="00FB5561">
        <w:rPr>
          <w:rFonts w:cs="Arial"/>
          <w:i w:val="0"/>
          <w:sz w:val="24"/>
          <w:szCs w:val="24"/>
        </w:rPr>
        <w:tab/>
      </w:r>
      <w:r w:rsidR="006648CD" w:rsidRPr="00FB5561">
        <w:rPr>
          <w:rFonts w:cs="Arial"/>
          <w:i w:val="0"/>
          <w:sz w:val="24"/>
          <w:szCs w:val="24"/>
        </w:rPr>
        <w:t xml:space="preserve">Practical tips to avoid </w:t>
      </w:r>
      <w:r w:rsidR="00F12ED9" w:rsidRPr="00FB5561">
        <w:rPr>
          <w:rFonts w:cs="Arial"/>
          <w:i w:val="0"/>
          <w:sz w:val="24"/>
          <w:szCs w:val="24"/>
        </w:rPr>
        <w:t xml:space="preserve">unlawful </w:t>
      </w:r>
      <w:r w:rsidR="006648CD" w:rsidRPr="00FB5561">
        <w:rPr>
          <w:rFonts w:cs="Arial"/>
          <w:i w:val="0"/>
          <w:sz w:val="24"/>
          <w:szCs w:val="24"/>
        </w:rPr>
        <w:t>discrimination</w:t>
      </w:r>
      <w:bookmarkEnd w:id="60"/>
    </w:p>
    <w:p w14:paraId="340A23EC" w14:textId="77777777" w:rsidR="008D1C5D" w:rsidRPr="00FB5561" w:rsidRDefault="008D1C5D" w:rsidP="00872A2B">
      <w:pPr>
        <w:spacing w:before="100" w:beforeAutospacing="1" w:after="100" w:afterAutospacing="1"/>
        <w:rPr>
          <w:rFonts w:cs="Arial"/>
        </w:rPr>
      </w:pPr>
      <w:bookmarkStart w:id="61" w:name="_Toc162769295"/>
      <w:r w:rsidRPr="00FB5561">
        <w:rPr>
          <w:rFonts w:cs="Arial"/>
        </w:rPr>
        <w:t>To minimise the risk of unlawful discrimination, the Commission suggests that providers of insurance and superannuation:</w:t>
      </w:r>
    </w:p>
    <w:p w14:paraId="0410EA88" w14:textId="77777777" w:rsidR="005B1331" w:rsidRPr="00FB5561" w:rsidRDefault="00872A2B"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lastRenderedPageBreak/>
        <w:t>seek to ensure good communication with people who are insured or seeking insurance, so that information is brought out which might reduce or eliminate the need for a discriminatory decision</w:t>
      </w:r>
    </w:p>
    <w:p w14:paraId="79F4D185" w14:textId="06D23613" w:rsidR="00C933C7" w:rsidRPr="00FB5561" w:rsidRDefault="00137C0F"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b</w:t>
      </w:r>
      <w:r w:rsidR="00201D1A" w:rsidRPr="00FB5561">
        <w:rPr>
          <w:rFonts w:ascii="Arial" w:hAnsi="Arial" w:cs="Arial"/>
          <w:color w:val="000000"/>
          <w:sz w:val="24"/>
          <w:szCs w:val="24"/>
        </w:rPr>
        <w:t>efore re</w:t>
      </w:r>
      <w:r w:rsidR="00872A2B" w:rsidRPr="00FB5561">
        <w:rPr>
          <w:rFonts w:ascii="Arial" w:hAnsi="Arial" w:cs="Arial"/>
          <w:color w:val="000000"/>
          <w:sz w:val="24"/>
          <w:szCs w:val="24"/>
        </w:rPr>
        <w:t>f</w:t>
      </w:r>
      <w:r w:rsidR="00201D1A" w:rsidRPr="00FB5561">
        <w:rPr>
          <w:rFonts w:ascii="Arial" w:hAnsi="Arial" w:cs="Arial"/>
          <w:color w:val="000000"/>
          <w:sz w:val="24"/>
          <w:szCs w:val="24"/>
        </w:rPr>
        <w:t>u</w:t>
      </w:r>
      <w:r w:rsidR="00872A2B" w:rsidRPr="00FB5561">
        <w:rPr>
          <w:rFonts w:ascii="Arial" w:hAnsi="Arial" w:cs="Arial"/>
          <w:color w:val="000000"/>
          <w:sz w:val="24"/>
          <w:szCs w:val="24"/>
        </w:rPr>
        <w:t>sing to provide cover</w:t>
      </w:r>
      <w:r w:rsidR="00C933C7" w:rsidRPr="00FB5561">
        <w:rPr>
          <w:rFonts w:ascii="Arial" w:hAnsi="Arial" w:cs="Arial"/>
          <w:color w:val="000000"/>
          <w:sz w:val="24"/>
          <w:szCs w:val="24"/>
        </w:rPr>
        <w:t>:</w:t>
      </w:r>
    </w:p>
    <w:p w14:paraId="4016CBC9" w14:textId="77777777" w:rsidR="00C933C7" w:rsidRPr="00FB5561" w:rsidRDefault="00C933C7" w:rsidP="00C933C7">
      <w:pPr>
        <w:pStyle w:val="ListParagraph"/>
        <w:numPr>
          <w:ilvl w:val="1"/>
          <w:numId w:val="18"/>
        </w:numPr>
        <w:spacing w:before="120"/>
        <w:ind w:left="851"/>
        <w:rPr>
          <w:rFonts w:ascii="Arial" w:hAnsi="Arial" w:cs="Arial"/>
          <w:color w:val="000000"/>
          <w:sz w:val="24"/>
          <w:szCs w:val="24"/>
        </w:rPr>
      </w:pPr>
      <w:r w:rsidRPr="00FB5561">
        <w:rPr>
          <w:rFonts w:ascii="Arial" w:hAnsi="Arial" w:cs="Arial"/>
          <w:color w:val="000000"/>
          <w:sz w:val="24"/>
          <w:szCs w:val="24"/>
        </w:rPr>
        <w:t xml:space="preserve">provide the opportunity </w:t>
      </w:r>
      <w:r w:rsidR="00C83CB6" w:rsidRPr="00FB5561">
        <w:rPr>
          <w:rFonts w:ascii="Arial" w:hAnsi="Arial" w:cs="Arial"/>
          <w:color w:val="000000"/>
          <w:sz w:val="24"/>
          <w:szCs w:val="24"/>
        </w:rPr>
        <w:t xml:space="preserve">to the applicant </w:t>
      </w:r>
      <w:r w:rsidRPr="00FB5561">
        <w:rPr>
          <w:rFonts w:ascii="Arial" w:hAnsi="Arial" w:cs="Arial"/>
          <w:color w:val="000000"/>
          <w:sz w:val="24"/>
          <w:szCs w:val="24"/>
        </w:rPr>
        <w:t>to either provide further information, including supporting medical documents, or withdraw the application</w:t>
      </w:r>
    </w:p>
    <w:p w14:paraId="4594AA39" w14:textId="77777777" w:rsidR="00872A2B" w:rsidRPr="00FB5561" w:rsidRDefault="00872A2B" w:rsidP="00C933C7">
      <w:pPr>
        <w:pStyle w:val="ListParagraph"/>
        <w:numPr>
          <w:ilvl w:val="1"/>
          <w:numId w:val="18"/>
        </w:numPr>
        <w:spacing w:before="120"/>
        <w:ind w:left="851"/>
        <w:rPr>
          <w:rFonts w:ascii="Arial" w:hAnsi="Arial" w:cs="Arial"/>
          <w:color w:val="000000"/>
          <w:sz w:val="24"/>
          <w:szCs w:val="24"/>
        </w:rPr>
      </w:pPr>
      <w:r w:rsidRPr="00FB5561">
        <w:rPr>
          <w:rFonts w:ascii="Arial" w:hAnsi="Arial" w:cs="Arial"/>
          <w:color w:val="000000"/>
          <w:sz w:val="24"/>
          <w:szCs w:val="24"/>
        </w:rPr>
        <w:t xml:space="preserve">consider whether alternatives such as </w:t>
      </w:r>
      <w:r w:rsidR="00201D1A" w:rsidRPr="00FB5561">
        <w:rPr>
          <w:rFonts w:ascii="Arial" w:hAnsi="Arial" w:cs="Arial"/>
          <w:color w:val="000000"/>
          <w:sz w:val="24"/>
          <w:szCs w:val="24"/>
        </w:rPr>
        <w:t xml:space="preserve">providing a policy with an appropriate exclusion clause, restricting the cover or imposing an additional premium would effectively manage any additional risk </w:t>
      </w:r>
    </w:p>
    <w:p w14:paraId="73531C21" w14:textId="497126C8" w:rsidR="00882E65" w:rsidRPr="00FB5561" w:rsidRDefault="00872A2B"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give reas</w:t>
      </w:r>
      <w:r w:rsidR="008D1C5D" w:rsidRPr="00FB5561">
        <w:rPr>
          <w:rFonts w:ascii="Arial" w:hAnsi="Arial" w:cs="Arial"/>
          <w:color w:val="000000"/>
          <w:sz w:val="24"/>
          <w:szCs w:val="24"/>
        </w:rPr>
        <w:t>ons to customers for decisions, as</w:t>
      </w:r>
      <w:r w:rsidRPr="00FB5561">
        <w:rPr>
          <w:rFonts w:ascii="Arial" w:hAnsi="Arial" w:cs="Arial"/>
          <w:color w:val="000000"/>
          <w:sz w:val="24"/>
          <w:szCs w:val="24"/>
        </w:rPr>
        <w:t xml:space="preserve"> clear communication about concerns and about reasons for decisions may help to avoid unlawful discrimination, and also avoid complaints resulting from misunderstandings about justifiable decisions</w:t>
      </w:r>
      <w:r w:rsidR="00A21E66" w:rsidRPr="00FB5561">
        <w:rPr>
          <w:rFonts w:ascii="Arial" w:hAnsi="Arial" w:cs="Arial"/>
          <w:color w:val="000000"/>
          <w:sz w:val="24"/>
          <w:szCs w:val="24"/>
        </w:rPr>
        <w:t xml:space="preserve"> </w:t>
      </w:r>
    </w:p>
    <w:p w14:paraId="566B0C82" w14:textId="14E9A31F" w:rsidR="00C933C7" w:rsidRPr="00FB5561" w:rsidRDefault="00882E65"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w</w:t>
      </w:r>
      <w:r w:rsidR="00A21E66" w:rsidRPr="00FB5561">
        <w:rPr>
          <w:rFonts w:ascii="Arial" w:hAnsi="Arial" w:cs="Arial"/>
          <w:color w:val="000000"/>
          <w:sz w:val="24"/>
          <w:szCs w:val="24"/>
        </w:rPr>
        <w:t xml:space="preserve">hen non-standard terms or higher premiums are applied this might also include: </w:t>
      </w:r>
    </w:p>
    <w:p w14:paraId="63CBAE11" w14:textId="77777777" w:rsidR="00A21E66" w:rsidRPr="00FB5561" w:rsidRDefault="00A21E66" w:rsidP="00A21E66">
      <w:pPr>
        <w:pStyle w:val="ListParagraph"/>
        <w:numPr>
          <w:ilvl w:val="1"/>
          <w:numId w:val="18"/>
        </w:numPr>
        <w:spacing w:before="120"/>
        <w:ind w:left="851"/>
        <w:rPr>
          <w:rFonts w:ascii="Arial" w:hAnsi="Arial" w:cs="Arial"/>
          <w:color w:val="000000"/>
          <w:sz w:val="24"/>
          <w:szCs w:val="24"/>
        </w:rPr>
      </w:pPr>
      <w:r w:rsidRPr="00FB5561">
        <w:rPr>
          <w:rFonts w:ascii="Arial" w:hAnsi="Arial" w:cs="Arial"/>
          <w:color w:val="000000"/>
          <w:sz w:val="24"/>
          <w:szCs w:val="24"/>
        </w:rPr>
        <w:t xml:space="preserve">advice about how long the </w:t>
      </w:r>
      <w:r w:rsidR="00882E65" w:rsidRPr="00FB5561">
        <w:rPr>
          <w:rFonts w:ascii="Arial" w:hAnsi="Arial" w:cs="Arial"/>
          <w:color w:val="000000"/>
          <w:sz w:val="24"/>
          <w:szCs w:val="24"/>
        </w:rPr>
        <w:t xml:space="preserve">non-standard </w:t>
      </w:r>
      <w:r w:rsidRPr="00FB5561">
        <w:rPr>
          <w:rFonts w:ascii="Arial" w:hAnsi="Arial" w:cs="Arial"/>
          <w:color w:val="000000"/>
          <w:sz w:val="24"/>
          <w:szCs w:val="24"/>
        </w:rPr>
        <w:t xml:space="preserve">terms or </w:t>
      </w:r>
      <w:r w:rsidR="00882E65" w:rsidRPr="00FB5561">
        <w:rPr>
          <w:rFonts w:ascii="Arial" w:hAnsi="Arial" w:cs="Arial"/>
          <w:color w:val="000000"/>
          <w:sz w:val="24"/>
          <w:szCs w:val="24"/>
        </w:rPr>
        <w:t xml:space="preserve">higher </w:t>
      </w:r>
      <w:r w:rsidRPr="00FB5561">
        <w:rPr>
          <w:rFonts w:ascii="Arial" w:hAnsi="Arial" w:cs="Arial"/>
          <w:color w:val="000000"/>
          <w:sz w:val="24"/>
          <w:szCs w:val="24"/>
        </w:rPr>
        <w:t>premiums would apply</w:t>
      </w:r>
    </w:p>
    <w:p w14:paraId="17E1B006" w14:textId="0A22CDC4" w:rsidR="00A21E66" w:rsidRPr="00FB5561" w:rsidRDefault="00A21E66" w:rsidP="00A21E66">
      <w:pPr>
        <w:pStyle w:val="ListParagraph"/>
        <w:numPr>
          <w:ilvl w:val="1"/>
          <w:numId w:val="18"/>
        </w:numPr>
        <w:spacing w:before="120"/>
        <w:ind w:left="851"/>
        <w:rPr>
          <w:rFonts w:ascii="Arial" w:hAnsi="Arial" w:cs="Arial"/>
          <w:color w:val="000000"/>
          <w:sz w:val="24"/>
          <w:szCs w:val="24"/>
        </w:rPr>
      </w:pPr>
      <w:r w:rsidRPr="00FB5561">
        <w:rPr>
          <w:rFonts w:ascii="Arial" w:hAnsi="Arial" w:cs="Arial"/>
          <w:color w:val="000000"/>
          <w:sz w:val="24"/>
          <w:szCs w:val="24"/>
        </w:rPr>
        <w:t xml:space="preserve">any criteria that would need to be satisfied to have the policy </w:t>
      </w:r>
      <w:r w:rsidR="00B30EAE" w:rsidRPr="00FB5561">
        <w:rPr>
          <w:rFonts w:ascii="Arial" w:hAnsi="Arial" w:cs="Arial"/>
          <w:color w:val="000000"/>
          <w:sz w:val="24"/>
          <w:szCs w:val="24"/>
        </w:rPr>
        <w:t>‘</w:t>
      </w:r>
      <w:r w:rsidRPr="00FB5561">
        <w:rPr>
          <w:rFonts w:ascii="Arial" w:hAnsi="Arial" w:cs="Arial"/>
          <w:color w:val="000000"/>
          <w:sz w:val="24"/>
          <w:szCs w:val="24"/>
        </w:rPr>
        <w:t>standardised</w:t>
      </w:r>
      <w:r w:rsidR="00B30EAE" w:rsidRPr="00FB5561">
        <w:rPr>
          <w:rFonts w:ascii="Arial" w:hAnsi="Arial" w:cs="Arial"/>
          <w:color w:val="000000"/>
          <w:sz w:val="24"/>
          <w:szCs w:val="24"/>
        </w:rPr>
        <w:t>’</w:t>
      </w:r>
      <w:r w:rsidRPr="00FB5561">
        <w:rPr>
          <w:rFonts w:ascii="Arial" w:hAnsi="Arial" w:cs="Arial"/>
          <w:color w:val="000000"/>
          <w:sz w:val="24"/>
          <w:szCs w:val="24"/>
        </w:rPr>
        <w:t xml:space="preserve"> </w:t>
      </w:r>
    </w:p>
    <w:p w14:paraId="482A9498" w14:textId="743C8D2D" w:rsidR="00B34946" w:rsidRPr="00FB5561" w:rsidRDefault="00A21E66" w:rsidP="00A21E66">
      <w:pPr>
        <w:pStyle w:val="ListParagraph"/>
        <w:numPr>
          <w:ilvl w:val="1"/>
          <w:numId w:val="18"/>
        </w:numPr>
        <w:spacing w:before="120"/>
        <w:ind w:left="851"/>
        <w:rPr>
          <w:rFonts w:ascii="Arial" w:hAnsi="Arial" w:cs="Arial"/>
          <w:color w:val="000000"/>
          <w:sz w:val="24"/>
          <w:szCs w:val="24"/>
        </w:rPr>
      </w:pPr>
      <w:r w:rsidRPr="00FB5561">
        <w:rPr>
          <w:rFonts w:ascii="Arial" w:hAnsi="Arial" w:cs="Arial"/>
          <w:color w:val="000000"/>
          <w:sz w:val="24"/>
          <w:szCs w:val="24"/>
        </w:rPr>
        <w:t>the process for removing or amending the non-standard term</w:t>
      </w:r>
      <w:r w:rsidR="00882E65" w:rsidRPr="00FB5561">
        <w:rPr>
          <w:rFonts w:ascii="Arial" w:hAnsi="Arial" w:cs="Arial"/>
          <w:color w:val="000000"/>
          <w:sz w:val="24"/>
          <w:szCs w:val="24"/>
        </w:rPr>
        <w:t>s</w:t>
      </w:r>
      <w:r w:rsidRPr="00FB5561">
        <w:rPr>
          <w:rFonts w:ascii="Arial" w:hAnsi="Arial" w:cs="Arial"/>
          <w:color w:val="000000"/>
          <w:sz w:val="24"/>
          <w:szCs w:val="24"/>
        </w:rPr>
        <w:t xml:space="preserve"> or </w:t>
      </w:r>
      <w:r w:rsidR="00882E65" w:rsidRPr="00FB5561">
        <w:rPr>
          <w:rFonts w:ascii="Arial" w:hAnsi="Arial" w:cs="Arial"/>
          <w:color w:val="000000"/>
          <w:sz w:val="24"/>
          <w:szCs w:val="24"/>
        </w:rPr>
        <w:t xml:space="preserve">higher </w:t>
      </w:r>
      <w:r w:rsidRPr="00FB5561">
        <w:rPr>
          <w:rFonts w:ascii="Arial" w:hAnsi="Arial" w:cs="Arial"/>
          <w:color w:val="000000"/>
          <w:sz w:val="24"/>
          <w:szCs w:val="24"/>
        </w:rPr>
        <w:t>premium</w:t>
      </w:r>
      <w:r w:rsidR="00882E65" w:rsidRPr="00FB5561">
        <w:rPr>
          <w:rFonts w:ascii="Arial" w:hAnsi="Arial" w:cs="Arial"/>
          <w:color w:val="000000"/>
          <w:sz w:val="24"/>
          <w:szCs w:val="24"/>
        </w:rPr>
        <w:t>s</w:t>
      </w:r>
    </w:p>
    <w:p w14:paraId="249370D3" w14:textId="77777777" w:rsidR="00882E65" w:rsidRPr="00FB5561" w:rsidRDefault="00882E65" w:rsidP="00882E65">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ensure that applications for insurance that reveal a mental health condition or symptoms of a mental health condition are not automatically declined</w:t>
      </w:r>
    </w:p>
    <w:p w14:paraId="475C0DD1" w14:textId="77777777" w:rsidR="00882E65" w:rsidRPr="00FB5561" w:rsidRDefault="00882E65" w:rsidP="00882E65">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refer applications for insurance that reveal a mental health condition or symptoms of a mental health condition to an appropriately qualified underwriter.</w:t>
      </w:r>
    </w:p>
    <w:p w14:paraId="318AE97D" w14:textId="77777777" w:rsidR="00875C2B" w:rsidRPr="00FB5561" w:rsidRDefault="00875C2B" w:rsidP="00875C2B">
      <w:pPr>
        <w:spacing w:before="120"/>
        <w:rPr>
          <w:rFonts w:cs="Arial"/>
          <w:color w:val="000000"/>
        </w:rPr>
      </w:pPr>
      <w:r w:rsidRPr="00FB5561">
        <w:rPr>
          <w:rFonts w:cs="Arial"/>
          <w:color w:val="000000"/>
        </w:rPr>
        <w:t xml:space="preserve">Finally, insurance and superannuation providers may develop their own action plans under Part 3 of the DDA. Action plans </w:t>
      </w:r>
      <w:r w:rsidR="008E017D" w:rsidRPr="00FB5561">
        <w:rPr>
          <w:rFonts w:cs="Arial"/>
          <w:color w:val="000000"/>
        </w:rPr>
        <w:t xml:space="preserve">include policies and programs with particular </w:t>
      </w:r>
      <w:r w:rsidRPr="00FB5561">
        <w:rPr>
          <w:rFonts w:cs="Arial"/>
          <w:color w:val="000000"/>
        </w:rPr>
        <w:t xml:space="preserve">goals and targets </w:t>
      </w:r>
      <w:r w:rsidR="008E017D" w:rsidRPr="00FB5561">
        <w:rPr>
          <w:rFonts w:cs="Arial"/>
          <w:color w:val="000000"/>
        </w:rPr>
        <w:t>for an organisation to meet in order to further the objects of the DDA.</w:t>
      </w:r>
      <w:r w:rsidR="00953C76" w:rsidRPr="00FB5561">
        <w:rPr>
          <w:rFonts w:cs="Arial"/>
          <w:color w:val="000000"/>
        </w:rPr>
        <w:t xml:space="preserve"> The Commission publishes a register of action plans on its website.</w:t>
      </w:r>
      <w:r w:rsidR="00953C76" w:rsidRPr="00FB5561">
        <w:rPr>
          <w:rStyle w:val="EndnoteReference"/>
          <w:rFonts w:cs="Arial"/>
          <w:color w:val="000000"/>
        </w:rPr>
        <w:endnoteReference w:id="42"/>
      </w:r>
    </w:p>
    <w:p w14:paraId="392C1CBA" w14:textId="77777777" w:rsidR="00875C2B" w:rsidRPr="00FB5561" w:rsidRDefault="00875C2B" w:rsidP="00875C2B">
      <w:pPr>
        <w:spacing w:before="120"/>
        <w:rPr>
          <w:rFonts w:cs="Arial"/>
          <w:color w:val="000000"/>
        </w:rPr>
      </w:pPr>
      <w:r w:rsidRPr="00FB5561">
        <w:rPr>
          <w:rFonts w:cs="Arial"/>
          <w:color w:val="000000"/>
        </w:rPr>
        <w:t>These action plans can be taken into account under s 11(e) in determining whether a hardship imposed on an insurance and superannuation provider (for example, a hardship imposed in avoiding particular discrimination under s 29) is an unjustifiable hardship.</w:t>
      </w:r>
    </w:p>
    <w:p w14:paraId="6C56EDE0" w14:textId="14C3DFE5" w:rsidR="00B34946" w:rsidRPr="00FB5561" w:rsidRDefault="00910A49" w:rsidP="0007787E">
      <w:pPr>
        <w:pStyle w:val="Heading1"/>
        <w:numPr>
          <w:ilvl w:val="0"/>
          <w:numId w:val="15"/>
        </w:numPr>
        <w:rPr>
          <w:rFonts w:cs="Arial"/>
        </w:rPr>
      </w:pPr>
      <w:bookmarkStart w:id="62" w:name="_Ref462906420"/>
      <w:bookmarkStart w:id="63" w:name="_Toc466973693"/>
      <w:bookmarkEnd w:id="61"/>
      <w:r w:rsidRPr="00FB5561">
        <w:rPr>
          <w:rFonts w:cs="Arial"/>
        </w:rPr>
        <w:t>The d</w:t>
      </w:r>
      <w:r w:rsidR="008B0E45" w:rsidRPr="00FB5561">
        <w:rPr>
          <w:rFonts w:cs="Arial"/>
        </w:rPr>
        <w:t>efence of unjustifiable hardship</w:t>
      </w:r>
      <w:bookmarkEnd w:id="62"/>
      <w:bookmarkEnd w:id="63"/>
      <w:r w:rsidR="00B34946" w:rsidRPr="00FB5561">
        <w:rPr>
          <w:rFonts w:cs="Arial"/>
        </w:rPr>
        <w:t xml:space="preserve"> </w:t>
      </w:r>
    </w:p>
    <w:p w14:paraId="5DF09033" w14:textId="77777777" w:rsidR="00807622" w:rsidRPr="00FB5561" w:rsidRDefault="00807622" w:rsidP="00807622">
      <w:pPr>
        <w:spacing w:before="100" w:beforeAutospacing="1" w:after="100" w:afterAutospacing="1"/>
        <w:rPr>
          <w:rFonts w:cs="Arial"/>
        </w:rPr>
      </w:pPr>
      <w:r w:rsidRPr="00FB5561">
        <w:rPr>
          <w:rFonts w:cs="Arial"/>
        </w:rPr>
        <w:t>Most issues about limitation and exclusion of insurance or superannuation will be dealt with under</w:t>
      </w:r>
      <w:r w:rsidR="007D6A0C" w:rsidRPr="00FB5561">
        <w:rPr>
          <w:rFonts w:cs="Arial"/>
        </w:rPr>
        <w:t xml:space="preserve"> s</w:t>
      </w:r>
      <w:r w:rsidRPr="00FB5561">
        <w:rPr>
          <w:rFonts w:cs="Arial"/>
        </w:rPr>
        <w:t xml:space="preserve"> 46. </w:t>
      </w:r>
      <w:r w:rsidR="00E42E6C" w:rsidRPr="00FB5561">
        <w:rPr>
          <w:rFonts w:cs="Arial"/>
        </w:rPr>
        <w:t>The DDA</w:t>
      </w:r>
      <w:r w:rsidR="00F4744B">
        <w:rPr>
          <w:rFonts w:cs="Arial"/>
        </w:rPr>
        <w:t>,</w:t>
      </w:r>
      <w:r w:rsidR="00DF1DAE" w:rsidRPr="00FB5561">
        <w:rPr>
          <w:rFonts w:cs="Arial"/>
        </w:rPr>
        <w:t xml:space="preserve"> however</w:t>
      </w:r>
      <w:r w:rsidR="00F4744B">
        <w:rPr>
          <w:rFonts w:cs="Arial"/>
        </w:rPr>
        <w:t>,</w:t>
      </w:r>
      <w:r w:rsidRPr="00FB5561">
        <w:rPr>
          <w:rFonts w:cs="Arial"/>
        </w:rPr>
        <w:t xml:space="preserve"> also contains a more general exception to unlawful discrimination in providing, goods, serv</w:t>
      </w:r>
      <w:r w:rsidR="00A3083B" w:rsidRPr="00FB5561">
        <w:rPr>
          <w:rFonts w:cs="Arial"/>
        </w:rPr>
        <w:t>ices or facilities</w:t>
      </w:r>
      <w:r w:rsidR="00DF1DAE" w:rsidRPr="00FB5561">
        <w:rPr>
          <w:rFonts w:cs="Arial"/>
        </w:rPr>
        <w:t xml:space="preserve">, </w:t>
      </w:r>
      <w:r w:rsidRPr="00FB5561">
        <w:rPr>
          <w:rFonts w:cs="Arial"/>
        </w:rPr>
        <w:t xml:space="preserve">known as the defence of unjustifiable hardship. </w:t>
      </w:r>
    </w:p>
    <w:p w14:paraId="70D8EF08" w14:textId="77777777" w:rsidR="00614854" w:rsidRPr="00FB5561" w:rsidRDefault="008503B6" w:rsidP="00BA335B">
      <w:pPr>
        <w:rPr>
          <w:rFonts w:cs="Arial"/>
        </w:rPr>
      </w:pPr>
      <w:r w:rsidRPr="00FB5561">
        <w:rPr>
          <w:rFonts w:cs="Arial"/>
        </w:rPr>
        <w:t>Section 29A of the</w:t>
      </w:r>
      <w:r w:rsidR="00DF1DAE" w:rsidRPr="00FB5561">
        <w:rPr>
          <w:rFonts w:cs="Arial"/>
        </w:rPr>
        <w:t xml:space="preserve"> DDA provides that it is </w:t>
      </w:r>
      <w:r w:rsidR="00E9509C" w:rsidRPr="00FB5561">
        <w:rPr>
          <w:rFonts w:cs="Arial"/>
        </w:rPr>
        <w:t xml:space="preserve">not unlawful for a provider of insurance or superannuation to discriminate against a person with a disability if it can be shown that providing cover would cause unjustifiable hardship. It is important to note that, even if providing insurance or superannuation to a person with a disability might involve some costs and effort, it will not necessarily amount to unjustifiable hardship. </w:t>
      </w:r>
    </w:p>
    <w:p w14:paraId="4D57056F" w14:textId="77777777" w:rsidR="0018531B" w:rsidRPr="00FB5561" w:rsidRDefault="0018531B" w:rsidP="004B7EDE">
      <w:pPr>
        <w:spacing w:before="100" w:beforeAutospacing="1" w:after="100" w:afterAutospacing="1"/>
        <w:rPr>
          <w:rFonts w:cs="Arial"/>
        </w:rPr>
      </w:pPr>
      <w:r w:rsidRPr="00FB5561">
        <w:rPr>
          <w:rFonts w:cs="Arial"/>
        </w:rPr>
        <w:lastRenderedPageBreak/>
        <w:t xml:space="preserve">In </w:t>
      </w:r>
      <w:r w:rsidRPr="00FB5561">
        <w:rPr>
          <w:rFonts w:cs="Arial"/>
          <w:i/>
        </w:rPr>
        <w:t>Ingram v QBE</w:t>
      </w:r>
      <w:r w:rsidRPr="00FB5561">
        <w:rPr>
          <w:rFonts w:cs="Arial"/>
        </w:rPr>
        <w:t>, the Victorian Civil and Administrative Tribunal (VCAT) considered the defence in s 29A of the DDA, and explained:</w:t>
      </w:r>
    </w:p>
    <w:p w14:paraId="1E785329" w14:textId="6F01816C" w:rsidR="0072006C" w:rsidRPr="00FB5561" w:rsidRDefault="0018531B" w:rsidP="0018531B">
      <w:pPr>
        <w:spacing w:before="100" w:beforeAutospacing="1" w:after="100" w:afterAutospacing="1"/>
        <w:ind w:left="567"/>
        <w:rPr>
          <w:rFonts w:cs="Arial"/>
          <w:sz w:val="22"/>
          <w:szCs w:val="22"/>
        </w:rPr>
      </w:pPr>
      <w:r w:rsidRPr="00FB5561">
        <w:rPr>
          <w:rFonts w:cs="Arial"/>
          <w:sz w:val="22"/>
          <w:szCs w:val="22"/>
        </w:rPr>
        <w:t xml:space="preserve">It is apparent from the terms of section 29A that some hardship is justifiable. In order to determine whether that hardship is unjustifiable turns on the nature and degree of the hardship in the context of the section 11 DDA factors and any other relevant circumstances. A financial burden may be justified, given the objectives of the DDA in respect to the elimination of discrimination as far as possible. </w:t>
      </w:r>
      <w:r w:rsidRPr="00FB5561">
        <w:rPr>
          <w:rFonts w:eastAsia="Times New Roman" w:cs="Arial"/>
          <w:sz w:val="22"/>
          <w:szCs w:val="22"/>
        </w:rPr>
        <w:t xml:space="preserve">While the financial burden which may be imposed will be relevant, it is not the only factor to consider. If the financial burden is </w:t>
      </w:r>
      <w:r w:rsidR="00A72C4F" w:rsidRPr="00FB5561">
        <w:rPr>
          <w:rFonts w:eastAsia="Times New Roman" w:cs="Arial"/>
          <w:sz w:val="22"/>
          <w:szCs w:val="22"/>
        </w:rPr>
        <w:t>minor,</w:t>
      </w:r>
      <w:r w:rsidRPr="00FB5561">
        <w:rPr>
          <w:rFonts w:eastAsia="Times New Roman" w:cs="Arial"/>
          <w:sz w:val="22"/>
          <w:szCs w:val="22"/>
        </w:rPr>
        <w:t xml:space="preserve"> then it is not likely to fall within the exception. If, on the other hand, it is very significant and might lead to the relevant entity not being financially viable, then the exception is more likely to apply. What is required is for an assessment to be made of whether some decision or action might be taken to avoid the discrimination and whether it would impose an unjustifiable hardship.</w:t>
      </w:r>
      <w:r w:rsidR="0072006C" w:rsidRPr="00FB5561">
        <w:rPr>
          <w:rStyle w:val="EndnoteReference"/>
          <w:rFonts w:cs="Arial"/>
          <w:sz w:val="22"/>
          <w:szCs w:val="22"/>
        </w:rPr>
        <w:endnoteReference w:id="43"/>
      </w:r>
    </w:p>
    <w:p w14:paraId="091B0B96" w14:textId="55B17A81" w:rsidR="0072006C" w:rsidRPr="00FB5561" w:rsidRDefault="00BA69A3" w:rsidP="00BC3207">
      <w:pPr>
        <w:spacing w:before="120" w:after="0"/>
        <w:rPr>
          <w:rFonts w:cs="Arial"/>
        </w:rPr>
      </w:pPr>
      <w:r w:rsidRPr="00FB5561">
        <w:rPr>
          <w:rFonts w:cs="Arial"/>
        </w:rPr>
        <w:t>Section 11 of t</w:t>
      </w:r>
      <w:r w:rsidR="0072006C" w:rsidRPr="00FB5561">
        <w:rPr>
          <w:rFonts w:cs="Arial"/>
        </w:rPr>
        <w:t xml:space="preserve">he DDA states that all relevant circumstances of a particular case are to be taken into account in determining whether </w:t>
      </w:r>
      <w:r w:rsidRPr="00FB5561">
        <w:rPr>
          <w:rFonts w:cs="Arial"/>
        </w:rPr>
        <w:t xml:space="preserve">a hardship imposed on a person is </w:t>
      </w:r>
      <w:r w:rsidR="0072006C" w:rsidRPr="00FB5561">
        <w:rPr>
          <w:rFonts w:cs="Arial"/>
        </w:rPr>
        <w:t xml:space="preserve">unjustifiable. </w:t>
      </w:r>
      <w:r w:rsidR="00903F60" w:rsidRPr="00FB5561">
        <w:rPr>
          <w:rFonts w:cs="Arial"/>
        </w:rPr>
        <w:t xml:space="preserve">In the context of the provision of superannuation or insurance services, these circumstances </w:t>
      </w:r>
      <w:r w:rsidR="0072006C" w:rsidRPr="00FB5561">
        <w:rPr>
          <w:rFonts w:cs="Arial"/>
        </w:rPr>
        <w:t>include:</w:t>
      </w:r>
    </w:p>
    <w:p w14:paraId="6D983C1A" w14:textId="151F6826" w:rsidR="00903F60" w:rsidRPr="00FB5561" w:rsidRDefault="00903F60" w:rsidP="00903F60">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 xml:space="preserve">any benefits that might accrue to the customer with a disability or any other person (including </w:t>
      </w:r>
      <w:r w:rsidR="00272987" w:rsidRPr="00FB5561">
        <w:rPr>
          <w:rFonts w:ascii="Arial" w:hAnsi="Arial" w:cs="Arial"/>
          <w:color w:val="000000"/>
          <w:sz w:val="24"/>
          <w:szCs w:val="24"/>
        </w:rPr>
        <w:t xml:space="preserve">other people with the same disability, </w:t>
      </w:r>
      <w:r w:rsidRPr="00FB5561">
        <w:rPr>
          <w:rFonts w:ascii="Arial" w:hAnsi="Arial" w:cs="Arial"/>
          <w:color w:val="000000"/>
          <w:sz w:val="24"/>
          <w:szCs w:val="24"/>
        </w:rPr>
        <w:t>the community generally, or even the insurer) if cover was provided</w:t>
      </w:r>
    </w:p>
    <w:p w14:paraId="04469DA5" w14:textId="77777777" w:rsidR="0072006C" w:rsidRPr="00FB5561" w:rsidRDefault="0072006C"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the effect of the disability of the person concerned</w:t>
      </w:r>
      <w:r w:rsidR="00272987" w:rsidRPr="00FB5561">
        <w:rPr>
          <w:rFonts w:ascii="Arial" w:hAnsi="Arial" w:cs="Arial"/>
          <w:color w:val="000000"/>
          <w:sz w:val="24"/>
          <w:szCs w:val="24"/>
        </w:rPr>
        <w:t xml:space="preserve"> (the steps required to be taken to avoid discrimination against a person will depend on the nature of the person’s disability)</w:t>
      </w:r>
    </w:p>
    <w:p w14:paraId="27E72568" w14:textId="3E3F891E" w:rsidR="00FF3EA2" w:rsidRPr="00FB5561" w:rsidRDefault="0072006C"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any costs or other disadvantages of providing cover</w:t>
      </w:r>
      <w:r w:rsidR="00D02C0D" w:rsidRPr="00FB5561">
        <w:rPr>
          <w:rFonts w:ascii="Arial" w:hAnsi="Arial" w:cs="Arial"/>
        </w:rPr>
        <w:t xml:space="preserve">, </w:t>
      </w:r>
      <w:r w:rsidR="00D02C0D" w:rsidRPr="00FB5561">
        <w:rPr>
          <w:rFonts w:ascii="Arial" w:eastAsia="MS Mincho" w:hAnsi="Arial" w:cs="Arial"/>
          <w:sz w:val="24"/>
          <w:szCs w:val="24"/>
          <w:lang w:eastAsia="en-AU"/>
        </w:rPr>
        <w:t xml:space="preserve">bearing in mind </w:t>
      </w:r>
      <w:r w:rsidR="009C1618" w:rsidRPr="00FB5561">
        <w:rPr>
          <w:rFonts w:ascii="Arial" w:eastAsia="MS Mincho" w:hAnsi="Arial" w:cs="Arial"/>
          <w:sz w:val="24"/>
          <w:szCs w:val="24"/>
          <w:lang w:eastAsia="en-AU"/>
        </w:rPr>
        <w:t xml:space="preserve">the financial circumstances of the insurance or superannuation provider (noting that </w:t>
      </w:r>
      <w:r w:rsidR="00D02C0D" w:rsidRPr="00FB5561">
        <w:rPr>
          <w:rFonts w:ascii="Arial" w:eastAsia="MS Mincho" w:hAnsi="Arial" w:cs="Arial"/>
          <w:sz w:val="24"/>
          <w:szCs w:val="24"/>
          <w:lang w:eastAsia="en-AU"/>
        </w:rPr>
        <w:t xml:space="preserve">a level of hardship that may be unjustifiable </w:t>
      </w:r>
      <w:r w:rsidR="00453C5C" w:rsidRPr="00FB5561">
        <w:rPr>
          <w:rFonts w:ascii="Arial" w:eastAsia="MS Mincho" w:hAnsi="Arial" w:cs="Arial"/>
          <w:sz w:val="24"/>
          <w:szCs w:val="24"/>
          <w:lang w:eastAsia="en-AU"/>
        </w:rPr>
        <w:t>for</w:t>
      </w:r>
      <w:r w:rsidR="00D02C0D" w:rsidRPr="00FB5561">
        <w:rPr>
          <w:rFonts w:ascii="Arial" w:eastAsia="MS Mincho" w:hAnsi="Arial" w:cs="Arial"/>
          <w:sz w:val="24"/>
          <w:szCs w:val="24"/>
          <w:lang w:eastAsia="en-AU"/>
        </w:rPr>
        <w:t xml:space="preserve"> one insurer may not be for another</w:t>
      </w:r>
      <w:r w:rsidR="009C1618" w:rsidRPr="00FB5561">
        <w:rPr>
          <w:rFonts w:ascii="Arial" w:eastAsia="MS Mincho" w:hAnsi="Arial" w:cs="Arial"/>
          <w:sz w:val="24"/>
          <w:szCs w:val="24"/>
          <w:lang w:eastAsia="en-AU"/>
        </w:rPr>
        <w:t>: ‘Clearly the larger the company the more it can usually afford’</w:t>
      </w:r>
      <w:r w:rsidR="009C1618" w:rsidRPr="00FB5561">
        <w:rPr>
          <w:rFonts w:ascii="Arial" w:eastAsia="MS Mincho" w:hAnsi="Arial" w:cs="Arial"/>
          <w:sz w:val="20"/>
          <w:szCs w:val="20"/>
          <w:vertAlign w:val="superscript"/>
          <w:lang w:eastAsia="en-AU"/>
        </w:rPr>
        <w:endnoteReference w:id="44"/>
      </w:r>
      <w:r w:rsidR="009C1618" w:rsidRPr="00FB5561">
        <w:rPr>
          <w:rFonts w:ascii="Arial" w:eastAsia="MS Mincho" w:hAnsi="Arial" w:cs="Arial"/>
          <w:sz w:val="24"/>
          <w:szCs w:val="24"/>
          <w:lang w:eastAsia="en-AU"/>
        </w:rPr>
        <w:t>)</w:t>
      </w:r>
      <w:r w:rsidR="00FF3EA2" w:rsidRPr="00FB5561">
        <w:rPr>
          <w:rFonts w:ascii="Arial" w:hAnsi="Arial" w:cs="Arial"/>
          <w:color w:val="000000"/>
          <w:sz w:val="24"/>
          <w:szCs w:val="24"/>
        </w:rPr>
        <w:t>the availability of financial and other assistance to the insurance or superannuation provider</w:t>
      </w:r>
    </w:p>
    <w:p w14:paraId="6992BDB4" w14:textId="766E86B7" w:rsidR="0072006C" w:rsidRPr="00FB5561" w:rsidRDefault="00FF3EA2" w:rsidP="0007787E">
      <w:pPr>
        <w:pStyle w:val="ListParagraph"/>
        <w:numPr>
          <w:ilvl w:val="0"/>
          <w:numId w:val="18"/>
        </w:numPr>
        <w:spacing w:before="120"/>
        <w:ind w:left="426" w:hanging="426"/>
        <w:rPr>
          <w:rFonts w:ascii="Arial" w:hAnsi="Arial" w:cs="Arial"/>
          <w:color w:val="000000"/>
          <w:sz w:val="24"/>
          <w:szCs w:val="24"/>
        </w:rPr>
      </w:pPr>
      <w:r w:rsidRPr="00FB5561">
        <w:rPr>
          <w:rFonts w:ascii="Arial" w:hAnsi="Arial" w:cs="Arial"/>
          <w:color w:val="000000"/>
          <w:sz w:val="24"/>
          <w:szCs w:val="24"/>
        </w:rPr>
        <w:t xml:space="preserve">the </w:t>
      </w:r>
      <w:r w:rsidR="0072006C" w:rsidRPr="00FB5561">
        <w:rPr>
          <w:rFonts w:ascii="Arial" w:hAnsi="Arial" w:cs="Arial"/>
          <w:color w:val="000000"/>
          <w:sz w:val="24"/>
          <w:szCs w:val="24"/>
        </w:rPr>
        <w:t xml:space="preserve">terms of </w:t>
      </w:r>
      <w:r w:rsidRPr="00FB5561">
        <w:rPr>
          <w:rFonts w:ascii="Arial" w:hAnsi="Arial" w:cs="Arial"/>
          <w:color w:val="000000"/>
          <w:sz w:val="24"/>
          <w:szCs w:val="24"/>
        </w:rPr>
        <w:t xml:space="preserve">any </w:t>
      </w:r>
      <w:r w:rsidR="0072006C" w:rsidRPr="00FB5561">
        <w:rPr>
          <w:rFonts w:ascii="Arial" w:hAnsi="Arial" w:cs="Arial"/>
          <w:color w:val="000000"/>
          <w:sz w:val="24"/>
          <w:szCs w:val="24"/>
        </w:rPr>
        <w:t xml:space="preserve">action plan </w:t>
      </w:r>
      <w:r w:rsidRPr="00FB5561">
        <w:rPr>
          <w:rFonts w:ascii="Arial" w:hAnsi="Arial" w:cs="Arial"/>
          <w:color w:val="000000"/>
          <w:sz w:val="24"/>
          <w:szCs w:val="24"/>
        </w:rPr>
        <w:t xml:space="preserve">developed by the insurer or superannuation provider under s 64 of the DDA </w:t>
      </w:r>
      <w:r w:rsidR="0072006C" w:rsidRPr="00FB5561">
        <w:rPr>
          <w:rFonts w:ascii="Arial" w:hAnsi="Arial" w:cs="Arial"/>
          <w:color w:val="000000"/>
          <w:sz w:val="24"/>
          <w:szCs w:val="24"/>
        </w:rPr>
        <w:t>that are relevant.</w:t>
      </w:r>
      <w:r w:rsidR="0072006C" w:rsidRPr="00FB5561">
        <w:rPr>
          <w:rStyle w:val="EndnoteReference"/>
          <w:rFonts w:eastAsia="MS Mincho" w:cs="Arial"/>
          <w:szCs w:val="20"/>
          <w:lang w:eastAsia="en-AU"/>
        </w:rPr>
        <w:endnoteReference w:id="45"/>
      </w:r>
    </w:p>
    <w:p w14:paraId="3D8481B3" w14:textId="77777777" w:rsidR="00FF3EA2" w:rsidRPr="00FB5561" w:rsidRDefault="00FF3EA2" w:rsidP="004B7EDE">
      <w:pPr>
        <w:spacing w:before="100" w:beforeAutospacing="1" w:after="100" w:afterAutospacing="1"/>
        <w:rPr>
          <w:rFonts w:cs="Arial"/>
        </w:rPr>
      </w:pPr>
      <w:r w:rsidRPr="00FB5561">
        <w:rPr>
          <w:rFonts w:cs="Arial"/>
        </w:rPr>
        <w:t xml:space="preserve">This list is not exhaustive. In </w:t>
      </w:r>
      <w:r w:rsidRPr="00FB5561">
        <w:rPr>
          <w:rFonts w:cs="Arial"/>
          <w:i/>
        </w:rPr>
        <w:t>Ingram v QBE</w:t>
      </w:r>
      <w:r w:rsidRPr="00FB5561">
        <w:rPr>
          <w:rFonts w:cs="Arial"/>
        </w:rPr>
        <w:t xml:space="preserve">, QBE submitted that prudential </w:t>
      </w:r>
      <w:r w:rsidR="00662DE8" w:rsidRPr="00FB5561">
        <w:rPr>
          <w:rFonts w:cs="Arial"/>
        </w:rPr>
        <w:t>standards</w:t>
      </w:r>
      <w:r w:rsidRPr="00FB5561">
        <w:rPr>
          <w:rFonts w:cs="Arial"/>
        </w:rPr>
        <w:t xml:space="preserve"> for insurers </w:t>
      </w:r>
      <w:r w:rsidR="00662DE8" w:rsidRPr="00FB5561">
        <w:rPr>
          <w:rFonts w:cs="Arial"/>
        </w:rPr>
        <w:t>issued</w:t>
      </w:r>
      <w:r w:rsidRPr="00FB5561">
        <w:rPr>
          <w:rFonts w:cs="Arial"/>
        </w:rPr>
        <w:t xml:space="preserve"> by the Australian Prudential Regulation Authority </w:t>
      </w:r>
      <w:r w:rsidR="00662DE8" w:rsidRPr="00FB5561">
        <w:rPr>
          <w:rFonts w:cs="Arial"/>
        </w:rPr>
        <w:t xml:space="preserve">under the </w:t>
      </w:r>
      <w:r w:rsidR="00662DE8" w:rsidRPr="00FB5561">
        <w:rPr>
          <w:rFonts w:cs="Arial"/>
          <w:i/>
        </w:rPr>
        <w:t>Insurance Act 1973</w:t>
      </w:r>
      <w:r w:rsidR="00662DE8" w:rsidRPr="00FB5561">
        <w:rPr>
          <w:rFonts w:cs="Arial"/>
        </w:rPr>
        <w:t xml:space="preserve"> (Cth) were relevant to the financial impact of removing the mental health exclusion from the relevant policy.</w:t>
      </w:r>
      <w:r w:rsidR="00662DE8" w:rsidRPr="00FB5561">
        <w:rPr>
          <w:rStyle w:val="EndnoteReference"/>
          <w:rFonts w:cs="Arial"/>
        </w:rPr>
        <w:endnoteReference w:id="46"/>
      </w:r>
      <w:r w:rsidR="00662DE8" w:rsidRPr="00FB5561">
        <w:rPr>
          <w:rFonts w:cs="Arial"/>
        </w:rPr>
        <w:t xml:space="preserve"> In particular</w:t>
      </w:r>
      <w:r w:rsidR="005B7DB7">
        <w:rPr>
          <w:rFonts w:cs="Arial"/>
        </w:rPr>
        <w:t>,</w:t>
      </w:r>
      <w:r w:rsidR="00662DE8" w:rsidRPr="00FB5561">
        <w:rPr>
          <w:rFonts w:cs="Arial"/>
        </w:rPr>
        <w:t xml:space="preserve"> QBE submitted that if the exclusion were to be removed it would suffer a loss and be required to hold an additional amount of capital to secure its travel insurance business as a result of APRA’s capital adequacy requirements. Ms Ingram commented that this may just be the cost of doing business in a non-discriminatory way.</w:t>
      </w:r>
      <w:r w:rsidR="00AC6727" w:rsidRPr="00FB5561">
        <w:rPr>
          <w:rStyle w:val="EndnoteReference"/>
          <w:rFonts w:cs="Arial"/>
        </w:rPr>
        <w:endnoteReference w:id="47"/>
      </w:r>
      <w:r w:rsidR="00AC6727" w:rsidRPr="00FB5561">
        <w:rPr>
          <w:rFonts w:cs="Arial"/>
        </w:rPr>
        <w:t xml:space="preserve"> Ultimately no findings were made about the impact of these regulatory obligations as no evidence about the obligations was called at the hearing.</w:t>
      </w:r>
    </w:p>
    <w:p w14:paraId="1F708BAB" w14:textId="77777777" w:rsidR="004B7EDE" w:rsidRPr="00FB5561" w:rsidRDefault="004B7EDE" w:rsidP="004B7EDE">
      <w:pPr>
        <w:spacing w:before="100" w:beforeAutospacing="1" w:after="100" w:afterAutospacing="1"/>
        <w:rPr>
          <w:rFonts w:cs="Arial"/>
        </w:rPr>
      </w:pPr>
      <w:r w:rsidRPr="00FB5561">
        <w:rPr>
          <w:rFonts w:cs="Arial"/>
        </w:rPr>
        <w:t xml:space="preserve">In assessing the </w:t>
      </w:r>
      <w:r w:rsidR="00C93710" w:rsidRPr="00FB5561">
        <w:rPr>
          <w:rFonts w:cs="Arial"/>
        </w:rPr>
        <w:t>extent</w:t>
      </w:r>
      <w:r w:rsidR="006020D7" w:rsidRPr="00FB5561">
        <w:rPr>
          <w:rFonts w:cs="Arial"/>
        </w:rPr>
        <w:t xml:space="preserve"> of the </w:t>
      </w:r>
      <w:r w:rsidRPr="00FB5561">
        <w:rPr>
          <w:rFonts w:cs="Arial"/>
        </w:rPr>
        <w:t>benefits that might accrue to the customer with the disability if the discrimination had been avoided, it is relevant if alternatives were offered to the complainant which would have provided some benefit, rather than just an absolute refusal to provide the service.</w:t>
      </w:r>
      <w:r w:rsidR="003C49A2" w:rsidRPr="00FB5561">
        <w:rPr>
          <w:rStyle w:val="EndnoteReference"/>
          <w:rFonts w:cs="Arial"/>
        </w:rPr>
        <w:endnoteReference w:id="48"/>
      </w:r>
      <w:r w:rsidR="003C49A2" w:rsidRPr="00FB5561">
        <w:rPr>
          <w:rFonts w:cs="Arial"/>
        </w:rPr>
        <w:t xml:space="preserve"> </w:t>
      </w:r>
      <w:r w:rsidRPr="00FB5561">
        <w:rPr>
          <w:rFonts w:cs="Arial"/>
        </w:rPr>
        <w:t xml:space="preserve">Therefore, in relation to insurance, like </w:t>
      </w:r>
      <w:r w:rsidRPr="00FB5561">
        <w:rPr>
          <w:rFonts w:cs="Arial"/>
        </w:rPr>
        <w:lastRenderedPageBreak/>
        <w:t xml:space="preserve">under s 46 it is relevant for the purposes of s 29A if the insurer offered alternatives to refusing cover, such as offering a policy but with </w:t>
      </w:r>
      <w:r w:rsidR="00583EDB" w:rsidRPr="00FB5561">
        <w:rPr>
          <w:rFonts w:cs="Arial"/>
        </w:rPr>
        <w:t xml:space="preserve">an </w:t>
      </w:r>
      <w:r w:rsidRPr="00FB5561">
        <w:rPr>
          <w:rFonts w:cs="Arial"/>
        </w:rPr>
        <w:t>exclusion for pre-existing conditions,</w:t>
      </w:r>
      <w:r w:rsidR="00DC75AB" w:rsidRPr="00FB5561">
        <w:rPr>
          <w:rFonts w:cs="Arial"/>
        </w:rPr>
        <w:t xml:space="preserve"> </w:t>
      </w:r>
      <w:r w:rsidRPr="00FB5561">
        <w:rPr>
          <w:rFonts w:cs="Arial"/>
        </w:rPr>
        <w:t xml:space="preserve">or </w:t>
      </w:r>
      <w:r w:rsidR="00583EDB" w:rsidRPr="00FB5561">
        <w:rPr>
          <w:rFonts w:cs="Arial"/>
        </w:rPr>
        <w:t>a</w:t>
      </w:r>
      <w:r w:rsidR="00DC75AB" w:rsidRPr="00FB5561">
        <w:rPr>
          <w:rFonts w:cs="Arial"/>
        </w:rPr>
        <w:t xml:space="preserve"> </w:t>
      </w:r>
      <w:r w:rsidRPr="00FB5561">
        <w:rPr>
          <w:rFonts w:cs="Arial"/>
        </w:rPr>
        <w:t xml:space="preserve">policy with </w:t>
      </w:r>
      <w:r w:rsidR="00583EDB" w:rsidRPr="00FB5561">
        <w:rPr>
          <w:rFonts w:cs="Arial"/>
        </w:rPr>
        <w:t xml:space="preserve">a </w:t>
      </w:r>
      <w:r w:rsidRPr="00FB5561">
        <w:rPr>
          <w:rFonts w:cs="Arial"/>
        </w:rPr>
        <w:t xml:space="preserve">higher premium. </w:t>
      </w:r>
    </w:p>
    <w:p w14:paraId="3BAAD838" w14:textId="77777777" w:rsidR="003C49A2" w:rsidRPr="00FB5561" w:rsidRDefault="00DC75AB" w:rsidP="001A785E">
      <w:pPr>
        <w:pBdr>
          <w:top w:val="single" w:sz="4" w:space="1" w:color="auto"/>
          <w:left w:val="single" w:sz="4" w:space="4" w:color="auto"/>
          <w:bottom w:val="single" w:sz="4" w:space="1" w:color="auto"/>
          <w:right w:val="single" w:sz="4" w:space="4" w:color="auto"/>
        </w:pBdr>
        <w:shd w:val="clear" w:color="auto" w:fill="237BBC"/>
        <w:spacing w:before="100" w:beforeAutospacing="1" w:after="100" w:afterAutospacing="1"/>
        <w:rPr>
          <w:rFonts w:cs="Arial"/>
          <w:color w:val="FFFFFF" w:themeColor="background1"/>
        </w:rPr>
      </w:pPr>
      <w:r w:rsidRPr="00FB5561">
        <w:rPr>
          <w:rFonts w:cs="Arial"/>
          <w:b/>
          <w:color w:val="FFFFFF" w:themeColor="background1"/>
          <w:u w:val="single"/>
        </w:rPr>
        <w:t>Case study</w:t>
      </w:r>
      <w:r w:rsidR="00466655" w:rsidRPr="00FB5561">
        <w:rPr>
          <w:rFonts w:cs="Arial"/>
          <w:b/>
          <w:color w:val="FFFFFF" w:themeColor="background1"/>
          <w:u w:val="single"/>
        </w:rPr>
        <w:t xml:space="preserve"> on the</w:t>
      </w:r>
      <w:r w:rsidRPr="00FB5561">
        <w:rPr>
          <w:rFonts w:cs="Arial"/>
          <w:b/>
          <w:color w:val="FFFFFF" w:themeColor="background1"/>
          <w:u w:val="single"/>
        </w:rPr>
        <w:t xml:space="preserve"> defence of</w:t>
      </w:r>
      <w:r w:rsidR="005201BE" w:rsidRPr="00FB5561">
        <w:rPr>
          <w:rFonts w:cs="Arial"/>
          <w:b/>
          <w:color w:val="FFFFFF" w:themeColor="background1"/>
          <w:u w:val="single"/>
        </w:rPr>
        <w:t xml:space="preserve"> unjustifiable hardship: </w:t>
      </w:r>
      <w:r w:rsidR="005201BE" w:rsidRPr="00FB5561">
        <w:rPr>
          <w:rFonts w:cs="Arial"/>
          <w:b/>
          <w:i/>
          <w:color w:val="FFFFFF" w:themeColor="background1"/>
          <w:u w:val="single"/>
        </w:rPr>
        <w:t>Ingram v QBE</w:t>
      </w:r>
      <w:r w:rsidR="003C49A2" w:rsidRPr="00FB5561">
        <w:rPr>
          <w:rStyle w:val="EndnoteReference"/>
          <w:rFonts w:cs="Arial"/>
          <w:color w:val="FFFFFF" w:themeColor="background1"/>
        </w:rPr>
        <w:endnoteReference w:id="49"/>
      </w:r>
      <w:r w:rsidR="003C49A2" w:rsidRPr="00FB5561">
        <w:rPr>
          <w:rFonts w:cs="Arial"/>
          <w:color w:val="FFFFFF" w:themeColor="background1"/>
        </w:rPr>
        <w:t xml:space="preserve"> </w:t>
      </w:r>
    </w:p>
    <w:p w14:paraId="24359F8E" w14:textId="09331045" w:rsidR="003C49A2" w:rsidRPr="00FB5561" w:rsidRDefault="003C49A2" w:rsidP="001A785E">
      <w:pPr>
        <w:pBdr>
          <w:top w:val="single" w:sz="4" w:space="1" w:color="auto"/>
          <w:left w:val="single" w:sz="4" w:space="4" w:color="auto"/>
          <w:bottom w:val="single" w:sz="4" w:space="1" w:color="auto"/>
          <w:right w:val="single" w:sz="4" w:space="4" w:color="auto"/>
        </w:pBdr>
        <w:shd w:val="clear" w:color="auto" w:fill="237BBC"/>
        <w:spacing w:before="100" w:beforeAutospacing="1" w:after="100" w:afterAutospacing="1"/>
        <w:rPr>
          <w:rFonts w:cs="Arial"/>
          <w:color w:val="FFFFFF" w:themeColor="background1"/>
        </w:rPr>
      </w:pPr>
      <w:r w:rsidRPr="00FB5561">
        <w:rPr>
          <w:rFonts w:cs="Arial"/>
          <w:color w:val="FFFFFF" w:themeColor="background1"/>
        </w:rPr>
        <w:t xml:space="preserve">Ms Ingram applied for a travel insurance policy from QBE in December 2011 to cover a planned trip to New York in 2012. The policy included a general exclusion for any claims arising directly or indirectly </w:t>
      </w:r>
      <w:r w:rsidR="00365AEB" w:rsidRPr="00FB5561">
        <w:rPr>
          <w:rFonts w:cs="Arial"/>
          <w:color w:val="FFFFFF" w:themeColor="background1"/>
        </w:rPr>
        <w:t xml:space="preserve">from </w:t>
      </w:r>
      <w:r w:rsidRPr="00FB5561">
        <w:rPr>
          <w:rFonts w:cs="Arial"/>
          <w:color w:val="FFFFFF" w:themeColor="background1"/>
        </w:rPr>
        <w:t>mental illness.</w:t>
      </w:r>
    </w:p>
    <w:p w14:paraId="3836E1CE" w14:textId="77777777" w:rsidR="003C49A2" w:rsidRPr="00FB5561" w:rsidRDefault="003C49A2" w:rsidP="001A785E">
      <w:pPr>
        <w:pBdr>
          <w:top w:val="single" w:sz="4" w:space="1" w:color="auto"/>
          <w:left w:val="single" w:sz="4" w:space="4" w:color="auto"/>
          <w:bottom w:val="single" w:sz="4" w:space="1" w:color="auto"/>
          <w:right w:val="single" w:sz="4" w:space="4" w:color="auto"/>
        </w:pBdr>
        <w:shd w:val="clear" w:color="auto" w:fill="237BBC"/>
        <w:spacing w:before="100" w:beforeAutospacing="1" w:after="100" w:afterAutospacing="1"/>
        <w:rPr>
          <w:rFonts w:cs="Arial"/>
          <w:color w:val="FFFFFF" w:themeColor="background1"/>
        </w:rPr>
      </w:pPr>
      <w:r w:rsidRPr="00FB5561">
        <w:rPr>
          <w:rFonts w:cs="Arial"/>
          <w:color w:val="FFFFFF" w:themeColor="background1"/>
        </w:rPr>
        <w:t xml:space="preserve">In early 2012 </w:t>
      </w:r>
      <w:r w:rsidR="00F62AE3" w:rsidRPr="00FB5561">
        <w:rPr>
          <w:rFonts w:cs="Arial"/>
          <w:color w:val="FFFFFF" w:themeColor="background1"/>
        </w:rPr>
        <w:t xml:space="preserve">Ms </w:t>
      </w:r>
      <w:r w:rsidRPr="00FB5561">
        <w:rPr>
          <w:rFonts w:cs="Arial"/>
          <w:color w:val="FFFFFF" w:themeColor="background1"/>
        </w:rPr>
        <w:t>Ingram was diagnosed with and treated for depression, which resulted in her deciding to cancel the trip for health reasons. In May 2012 Ms Ingram’s mother lodged a claim under the travel insurance policy, which QBE denied, relying on the general exclusion. In its 4 December 2012 correspondence with Ms Ingram’s mother</w:t>
      </w:r>
      <w:r w:rsidR="00365AEB" w:rsidRPr="00FB5561">
        <w:rPr>
          <w:rFonts w:cs="Arial"/>
          <w:color w:val="FFFFFF" w:themeColor="background1"/>
        </w:rPr>
        <w:t>,</w:t>
      </w:r>
      <w:r w:rsidRPr="00FB5561">
        <w:rPr>
          <w:rFonts w:cs="Arial"/>
          <w:color w:val="FFFFFF" w:themeColor="background1"/>
        </w:rPr>
        <w:t xml:space="preserve"> QBE said that mental illness is excluded from the policy because its statistics demonstrated that in travel policies there is a high risk of cancellation because of mental illness.</w:t>
      </w:r>
    </w:p>
    <w:p w14:paraId="2C815FCC" w14:textId="77777777" w:rsidR="003C49A2" w:rsidRPr="00FB5561" w:rsidRDefault="003C49A2" w:rsidP="001A785E">
      <w:pPr>
        <w:pBdr>
          <w:top w:val="single" w:sz="4" w:space="1" w:color="auto"/>
          <w:left w:val="single" w:sz="4" w:space="4" w:color="auto"/>
          <w:bottom w:val="single" w:sz="4" w:space="1" w:color="auto"/>
          <w:right w:val="single" w:sz="4" w:space="4" w:color="auto"/>
        </w:pBdr>
        <w:shd w:val="clear" w:color="auto" w:fill="237BBC"/>
        <w:spacing w:before="100" w:beforeAutospacing="1" w:after="100" w:afterAutospacing="1"/>
        <w:rPr>
          <w:rFonts w:cs="Arial"/>
          <w:color w:val="FFFFFF" w:themeColor="background1"/>
        </w:rPr>
      </w:pPr>
      <w:r w:rsidRPr="00FB5561">
        <w:rPr>
          <w:rFonts w:cs="Arial"/>
          <w:color w:val="FFFFFF" w:themeColor="background1"/>
        </w:rPr>
        <w:t>Ms Ingram brought a claim under the DDA. QBE sought to rely on both s 46 and s</w:t>
      </w:r>
      <w:r w:rsidR="00DD174E" w:rsidRPr="00FB5561">
        <w:rPr>
          <w:rFonts w:cs="Arial"/>
          <w:color w:val="FFFFFF" w:themeColor="background1"/>
        </w:rPr>
        <w:t> </w:t>
      </w:r>
      <w:r w:rsidRPr="00FB5561">
        <w:rPr>
          <w:rFonts w:cs="Arial"/>
          <w:color w:val="FFFFFF" w:themeColor="background1"/>
        </w:rPr>
        <w:t>29A of the DDA.</w:t>
      </w:r>
    </w:p>
    <w:p w14:paraId="7A44E548" w14:textId="58D2ECD5" w:rsidR="003C49A2" w:rsidRPr="00FB5561" w:rsidRDefault="003C49A2" w:rsidP="001A785E">
      <w:pPr>
        <w:pStyle w:val="Para1"/>
        <w:numPr>
          <w:ilvl w:val="0"/>
          <w:numId w:val="0"/>
        </w:numPr>
        <w:pBdr>
          <w:top w:val="single" w:sz="4" w:space="1" w:color="auto"/>
          <w:left w:val="single" w:sz="4" w:space="4" w:color="auto"/>
          <w:bottom w:val="single" w:sz="4" w:space="1" w:color="auto"/>
          <w:right w:val="single" w:sz="4" w:space="4" w:color="auto"/>
        </w:pBdr>
        <w:shd w:val="clear" w:color="auto" w:fill="237BBC"/>
        <w:spacing w:line="240" w:lineRule="auto"/>
        <w:rPr>
          <w:rFonts w:ascii="Arial" w:hAnsi="Arial" w:cs="Arial"/>
          <w:color w:val="FFFFFF" w:themeColor="background1"/>
          <w:sz w:val="24"/>
          <w:szCs w:val="24"/>
        </w:rPr>
      </w:pPr>
      <w:r w:rsidRPr="00FB5561">
        <w:rPr>
          <w:rFonts w:ascii="Arial" w:hAnsi="Arial" w:cs="Arial"/>
          <w:color w:val="FFFFFF" w:themeColor="background1"/>
          <w:sz w:val="24"/>
          <w:szCs w:val="24"/>
        </w:rPr>
        <w:t xml:space="preserve">In considering whether the defence in s 29A of the DDA applied, VCAT Member Dea stated that regard may be had to all the relevant circumstances, including QBE’s financial circumstances, and the estimated amount of expenditure required to be made by QBE. Member Dea </w:t>
      </w:r>
      <w:r w:rsidR="00D119AF" w:rsidRPr="00FB5561">
        <w:rPr>
          <w:rFonts w:ascii="Arial" w:hAnsi="Arial" w:cs="Arial"/>
          <w:color w:val="FFFFFF" w:themeColor="background1"/>
          <w:sz w:val="24"/>
          <w:szCs w:val="24"/>
        </w:rPr>
        <w:t xml:space="preserve">said </w:t>
      </w:r>
      <w:r w:rsidRPr="00FB5561">
        <w:rPr>
          <w:rFonts w:ascii="Arial" w:hAnsi="Arial" w:cs="Arial"/>
          <w:color w:val="FFFFFF" w:themeColor="background1"/>
          <w:sz w:val="24"/>
          <w:szCs w:val="24"/>
        </w:rPr>
        <w:t>that the latter ‘touches on the interests of other policy holders and shareholders</w:t>
      </w:r>
      <w:r w:rsidR="00D119AF" w:rsidRPr="00FB5561">
        <w:rPr>
          <w:rFonts w:ascii="Arial" w:hAnsi="Arial" w:cs="Arial"/>
          <w:color w:val="FFFFFF" w:themeColor="background1"/>
          <w:sz w:val="24"/>
          <w:szCs w:val="24"/>
        </w:rPr>
        <w:t>’</w:t>
      </w:r>
      <w:r w:rsidRPr="00FB5561">
        <w:rPr>
          <w:rFonts w:ascii="Arial" w:hAnsi="Arial" w:cs="Arial"/>
          <w:color w:val="FFFFFF" w:themeColor="background1"/>
          <w:sz w:val="24"/>
          <w:szCs w:val="24"/>
        </w:rPr>
        <w:t>.</w:t>
      </w:r>
      <w:r w:rsidRPr="00FB5561">
        <w:rPr>
          <w:rStyle w:val="EndnoteReference"/>
          <w:rFonts w:cs="Arial"/>
          <w:color w:val="FFFFFF" w:themeColor="background1"/>
          <w:szCs w:val="20"/>
        </w:rPr>
        <w:endnoteReference w:id="50"/>
      </w:r>
      <w:r w:rsidRPr="00FB5561">
        <w:rPr>
          <w:rFonts w:ascii="Arial" w:hAnsi="Arial" w:cs="Arial"/>
          <w:color w:val="FFFFFF" w:themeColor="background1"/>
          <w:sz w:val="20"/>
          <w:szCs w:val="20"/>
        </w:rPr>
        <w:t xml:space="preserve"> </w:t>
      </w:r>
    </w:p>
    <w:p w14:paraId="401CE2A2" w14:textId="14257DDE" w:rsidR="003C49A2" w:rsidRPr="00FB5561" w:rsidRDefault="00D119AF" w:rsidP="001A785E">
      <w:pPr>
        <w:pBdr>
          <w:top w:val="single" w:sz="4" w:space="1" w:color="auto"/>
          <w:left w:val="single" w:sz="4" w:space="4" w:color="auto"/>
          <w:bottom w:val="single" w:sz="4" w:space="1" w:color="auto"/>
          <w:right w:val="single" w:sz="4" w:space="4" w:color="auto"/>
        </w:pBdr>
        <w:shd w:val="clear" w:color="auto" w:fill="237BBC"/>
        <w:rPr>
          <w:rFonts w:cs="Arial"/>
          <w:color w:val="FFFFFF" w:themeColor="background1"/>
        </w:rPr>
      </w:pPr>
      <w:r w:rsidRPr="00FB5561">
        <w:rPr>
          <w:rFonts w:cs="Arial"/>
          <w:color w:val="FFFFFF" w:themeColor="background1"/>
        </w:rPr>
        <w:t>I</w:t>
      </w:r>
      <w:r w:rsidR="003C49A2" w:rsidRPr="00FB5561">
        <w:rPr>
          <w:rFonts w:cs="Arial"/>
          <w:color w:val="FFFFFF" w:themeColor="background1"/>
        </w:rPr>
        <w:t>dentifying the decision or action which could be taken to avoid the discrimination may depend on the way in which the complaint of discrimination is framed.</w:t>
      </w:r>
      <w:r w:rsidR="003C49A2" w:rsidRPr="00FB5561">
        <w:rPr>
          <w:rStyle w:val="EndnoteReference"/>
          <w:rFonts w:cs="Arial"/>
          <w:color w:val="FFFFFF" w:themeColor="background1"/>
        </w:rPr>
        <w:endnoteReference w:id="51"/>
      </w:r>
      <w:r w:rsidR="003C49A2" w:rsidRPr="00FB5561">
        <w:rPr>
          <w:rFonts w:cs="Arial"/>
          <w:color w:val="FFFFFF" w:themeColor="background1"/>
        </w:rPr>
        <w:t xml:space="preserve"> Once the action is identified, the question under s 29A is whether it would cause unjustifiable hardship for the insurer to have taken that action. In </w:t>
      </w:r>
      <w:r w:rsidR="003C49A2" w:rsidRPr="00FB5561">
        <w:rPr>
          <w:rFonts w:cs="Arial"/>
          <w:i/>
          <w:color w:val="FFFFFF" w:themeColor="background1"/>
        </w:rPr>
        <w:t>Ingram</w:t>
      </w:r>
      <w:r w:rsidR="003C49A2" w:rsidRPr="00FB5561">
        <w:rPr>
          <w:rFonts w:cs="Arial"/>
          <w:color w:val="FFFFFF" w:themeColor="background1"/>
        </w:rPr>
        <w:t xml:space="preserve">, Member Dea held that the question under s 29A was whether it would cause unjustifiable hardship to QBE to remove the </w:t>
      </w:r>
      <w:r w:rsidR="008A7988" w:rsidRPr="00FB5561">
        <w:rPr>
          <w:rFonts w:cs="Arial"/>
          <w:color w:val="FFFFFF" w:themeColor="background1"/>
        </w:rPr>
        <w:t xml:space="preserve">general </w:t>
      </w:r>
      <w:r w:rsidR="003C49A2" w:rsidRPr="00FB5561">
        <w:rPr>
          <w:rFonts w:cs="Arial"/>
          <w:color w:val="FFFFFF" w:themeColor="background1"/>
        </w:rPr>
        <w:t>mental illness exclusion from all policies, not just the policy offered to Ms Ingram</w:t>
      </w:r>
      <w:r w:rsidR="003C49A2" w:rsidRPr="00FB5561">
        <w:rPr>
          <w:rFonts w:eastAsia="Times New Roman" w:cs="Arial"/>
          <w:color w:val="FFFFFF" w:themeColor="background1"/>
          <w:sz w:val="22"/>
          <w:szCs w:val="22"/>
        </w:rPr>
        <w:t>.</w:t>
      </w:r>
      <w:r w:rsidR="003C49A2" w:rsidRPr="00FB5561">
        <w:rPr>
          <w:rStyle w:val="EndnoteReference"/>
          <w:rFonts w:cs="Arial"/>
          <w:color w:val="FFFFFF" w:themeColor="background1"/>
          <w:szCs w:val="20"/>
        </w:rPr>
        <w:endnoteReference w:id="52"/>
      </w:r>
      <w:r w:rsidR="003C49A2" w:rsidRPr="00FB5561">
        <w:rPr>
          <w:rStyle w:val="EndnoteReference"/>
          <w:rFonts w:cs="Arial"/>
          <w:color w:val="FFFFFF" w:themeColor="background1"/>
          <w:sz w:val="24"/>
          <w:vertAlign w:val="baseline"/>
        </w:rPr>
        <w:t xml:space="preserve"> </w:t>
      </w:r>
      <w:r w:rsidR="008A7988" w:rsidRPr="00FB5561">
        <w:rPr>
          <w:rStyle w:val="EndnoteReference"/>
          <w:rFonts w:cs="Arial"/>
          <w:color w:val="FFFFFF" w:themeColor="background1"/>
          <w:sz w:val="24"/>
          <w:vertAlign w:val="baseline"/>
        </w:rPr>
        <w:t>There</w:t>
      </w:r>
      <w:r w:rsidR="008A7988" w:rsidRPr="00FB5561">
        <w:rPr>
          <w:rFonts w:cs="Arial"/>
          <w:color w:val="FFFFFF" w:themeColor="background1"/>
        </w:rPr>
        <w:t xml:space="preserve"> was no evidence before the tribunal about whether a modified version of the mental illness exclusion could have been applied in Ms Ingram’s case.</w:t>
      </w:r>
    </w:p>
    <w:p w14:paraId="2F2F34D9" w14:textId="77777777" w:rsidR="003C49A2" w:rsidRPr="00FB5561" w:rsidRDefault="003C49A2" w:rsidP="001A785E">
      <w:pPr>
        <w:pBdr>
          <w:top w:val="single" w:sz="4" w:space="1" w:color="auto"/>
          <w:left w:val="single" w:sz="4" w:space="4" w:color="auto"/>
          <w:bottom w:val="single" w:sz="4" w:space="1" w:color="auto"/>
          <w:right w:val="single" w:sz="4" w:space="4" w:color="auto"/>
        </w:pBdr>
        <w:shd w:val="clear" w:color="auto" w:fill="237BBC"/>
        <w:rPr>
          <w:rFonts w:cs="Arial"/>
          <w:color w:val="FFFFFF" w:themeColor="background1"/>
        </w:rPr>
      </w:pPr>
      <w:r w:rsidRPr="00FB5561">
        <w:rPr>
          <w:rFonts w:cs="Arial"/>
          <w:color w:val="FFFFFF" w:themeColor="background1"/>
        </w:rPr>
        <w:t xml:space="preserve">The burden of proving </w:t>
      </w:r>
      <w:r w:rsidR="00365AEB" w:rsidRPr="00FB5561">
        <w:rPr>
          <w:rFonts w:cs="Arial"/>
          <w:color w:val="FFFFFF" w:themeColor="background1"/>
        </w:rPr>
        <w:t xml:space="preserve">that </w:t>
      </w:r>
      <w:r w:rsidRPr="00FB5561">
        <w:rPr>
          <w:rFonts w:cs="Arial"/>
          <w:color w:val="FFFFFF" w:themeColor="background1"/>
        </w:rPr>
        <w:t>unjustifiable hardship would be caused rests on the person seeking to rely on the defence, in this case the insurer QBE.</w:t>
      </w:r>
      <w:r w:rsidRPr="00FB5561">
        <w:rPr>
          <w:rStyle w:val="EndnoteReference"/>
          <w:rFonts w:cs="Arial"/>
          <w:color w:val="FFFFFF" w:themeColor="background1"/>
        </w:rPr>
        <w:endnoteReference w:id="53"/>
      </w:r>
      <w:r w:rsidRPr="00FB5561">
        <w:rPr>
          <w:rFonts w:cs="Arial"/>
          <w:color w:val="FFFFFF" w:themeColor="background1"/>
        </w:rPr>
        <w:t xml:space="preserve"> Member Dea ultimately held that QBE had not adduced sufficient reliable evidence to support the conclusion that removing the exclusion clause in relation to mental illness would result in an overall reduction in profits.</w:t>
      </w:r>
      <w:r w:rsidRPr="00FB5561">
        <w:rPr>
          <w:rStyle w:val="EndnoteReference"/>
          <w:rFonts w:cs="Arial"/>
          <w:color w:val="FFFFFF" w:themeColor="background1"/>
        </w:rPr>
        <w:endnoteReference w:id="54"/>
      </w:r>
    </w:p>
    <w:p w14:paraId="410B340F" w14:textId="77777777" w:rsidR="00F409BE" w:rsidRPr="00FB5561" w:rsidRDefault="0019372B" w:rsidP="001A785E">
      <w:pPr>
        <w:pBdr>
          <w:top w:val="single" w:sz="4" w:space="1" w:color="auto"/>
          <w:left w:val="single" w:sz="4" w:space="4" w:color="auto"/>
          <w:bottom w:val="single" w:sz="4" w:space="1" w:color="auto"/>
          <w:right w:val="single" w:sz="4" w:space="4" w:color="auto"/>
        </w:pBdr>
        <w:shd w:val="clear" w:color="auto" w:fill="237BBC"/>
        <w:spacing w:before="100" w:beforeAutospacing="1" w:after="100" w:afterAutospacing="1"/>
        <w:rPr>
          <w:rFonts w:cs="Arial"/>
          <w:color w:val="FFFFFF" w:themeColor="background1"/>
        </w:rPr>
      </w:pPr>
      <w:r w:rsidRPr="00FB5561">
        <w:rPr>
          <w:rFonts w:cs="Arial"/>
          <w:color w:val="FFFFFF" w:themeColor="background1"/>
        </w:rPr>
        <w:t>Turning to the balancing exercise required under s 11 of the DDA to determine if unjustifiable hardship has been established</w:t>
      </w:r>
      <w:r w:rsidR="006C1D5F" w:rsidRPr="00FB5561">
        <w:rPr>
          <w:rFonts w:cs="Arial"/>
          <w:color w:val="FFFFFF" w:themeColor="background1"/>
        </w:rPr>
        <w:t>, Member Dea made findings that</w:t>
      </w:r>
      <w:r w:rsidRPr="00FB5561">
        <w:rPr>
          <w:rFonts w:cs="Arial"/>
          <w:color w:val="FFFFFF" w:themeColor="background1"/>
        </w:rPr>
        <w:t>:</w:t>
      </w:r>
    </w:p>
    <w:p w14:paraId="65D90B5F" w14:textId="7D5A7A72" w:rsidR="0019372B" w:rsidRPr="00FB5561" w:rsidRDefault="00E71A93" w:rsidP="0007787E">
      <w:pPr>
        <w:pStyle w:val="Para1"/>
        <w:numPr>
          <w:ilvl w:val="0"/>
          <w:numId w:val="22"/>
        </w:numPr>
        <w:pBdr>
          <w:top w:val="single" w:sz="4" w:space="1" w:color="auto"/>
          <w:left w:val="single" w:sz="4" w:space="4" w:color="auto"/>
          <w:bottom w:val="single" w:sz="4" w:space="1" w:color="auto"/>
          <w:right w:val="single" w:sz="4" w:space="4" w:color="auto"/>
        </w:pBdr>
        <w:shd w:val="clear" w:color="auto" w:fill="237BBC"/>
        <w:ind w:left="426" w:hanging="426"/>
        <w:rPr>
          <w:rFonts w:ascii="Arial" w:hAnsi="Arial" w:cs="Arial"/>
          <w:color w:val="FFFFFF" w:themeColor="background1"/>
          <w:sz w:val="24"/>
          <w:szCs w:val="24"/>
        </w:rPr>
      </w:pPr>
      <w:r w:rsidRPr="00FB5561">
        <w:rPr>
          <w:rFonts w:ascii="Arial" w:hAnsi="Arial" w:cs="Arial"/>
          <w:color w:val="FFFFFF" w:themeColor="background1"/>
          <w:sz w:val="24"/>
          <w:szCs w:val="24"/>
        </w:rPr>
        <w:t>‘</w:t>
      </w:r>
      <w:r w:rsidR="0019372B" w:rsidRPr="00FB5561">
        <w:rPr>
          <w:rFonts w:ascii="Arial" w:hAnsi="Arial" w:cs="Arial"/>
          <w:color w:val="FFFFFF" w:themeColor="background1"/>
          <w:sz w:val="24"/>
          <w:szCs w:val="24"/>
        </w:rPr>
        <w:t>if the mental health exclusion were removed from the QBE policy, the effect on Ms Ingram and other policy holders subject to the same terms, would be that they might have had their claims met (section 11(1)(a) and (b))</w:t>
      </w:r>
      <w:r w:rsidRPr="00FB5561">
        <w:rPr>
          <w:rFonts w:ascii="Arial" w:hAnsi="Arial" w:cs="Arial"/>
          <w:color w:val="FFFFFF" w:themeColor="background1"/>
          <w:sz w:val="24"/>
          <w:szCs w:val="24"/>
        </w:rPr>
        <w:t>’</w:t>
      </w:r>
      <w:r w:rsidR="003C49A2" w:rsidRPr="00FB5561">
        <w:rPr>
          <w:rStyle w:val="EndnoteReference"/>
          <w:rFonts w:cs="Arial"/>
          <w:color w:val="FFFFFF" w:themeColor="background1"/>
          <w:szCs w:val="24"/>
        </w:rPr>
        <w:endnoteReference w:id="55"/>
      </w:r>
      <w:r w:rsidR="003C49A2" w:rsidRPr="00FB5561">
        <w:rPr>
          <w:rFonts w:ascii="Arial" w:hAnsi="Arial" w:cs="Arial"/>
          <w:color w:val="FFFFFF" w:themeColor="background1"/>
          <w:sz w:val="24"/>
          <w:szCs w:val="24"/>
        </w:rPr>
        <w:t xml:space="preserve"> </w:t>
      </w:r>
      <w:r w:rsidR="0019372B" w:rsidRPr="00FB5561">
        <w:rPr>
          <w:rFonts w:ascii="Arial" w:hAnsi="Arial" w:cs="Arial"/>
          <w:color w:val="FFFFFF" w:themeColor="background1"/>
          <w:sz w:val="24"/>
          <w:szCs w:val="24"/>
        </w:rPr>
        <w:t xml:space="preserve"> </w:t>
      </w:r>
    </w:p>
    <w:p w14:paraId="5296393E" w14:textId="13186E96" w:rsidR="003C49A2" w:rsidRPr="00FB5561" w:rsidRDefault="00E71A93" w:rsidP="0007787E">
      <w:pPr>
        <w:pStyle w:val="Para1"/>
        <w:numPr>
          <w:ilvl w:val="0"/>
          <w:numId w:val="22"/>
        </w:numPr>
        <w:pBdr>
          <w:top w:val="single" w:sz="4" w:space="1" w:color="auto"/>
          <w:left w:val="single" w:sz="4" w:space="4" w:color="auto"/>
          <w:bottom w:val="single" w:sz="4" w:space="1" w:color="auto"/>
          <w:right w:val="single" w:sz="4" w:space="4" w:color="auto"/>
        </w:pBdr>
        <w:shd w:val="clear" w:color="auto" w:fill="237BBC"/>
        <w:ind w:left="426" w:hanging="426"/>
        <w:rPr>
          <w:rFonts w:ascii="Arial" w:hAnsi="Arial" w:cs="Arial"/>
          <w:color w:val="FFFFFF" w:themeColor="background1"/>
          <w:sz w:val="24"/>
          <w:szCs w:val="24"/>
        </w:rPr>
      </w:pPr>
      <w:r w:rsidRPr="00FB5561">
        <w:rPr>
          <w:rFonts w:ascii="Arial" w:hAnsi="Arial" w:cs="Arial"/>
          <w:color w:val="FFFFFF" w:themeColor="background1"/>
          <w:sz w:val="24"/>
          <w:szCs w:val="24"/>
        </w:rPr>
        <w:lastRenderedPageBreak/>
        <w:t>‘</w:t>
      </w:r>
      <w:r w:rsidR="0019372B" w:rsidRPr="00FB5561">
        <w:rPr>
          <w:rFonts w:ascii="Arial" w:hAnsi="Arial" w:cs="Arial"/>
          <w:color w:val="FFFFFF" w:themeColor="background1"/>
          <w:sz w:val="24"/>
          <w:szCs w:val="24"/>
        </w:rPr>
        <w:t>the community would benefit from an action which would lessen the stigmatising effect of negative attitudes towards mental illness (section 11(1)(a))</w:t>
      </w:r>
      <w:r w:rsidRPr="00FB5561">
        <w:rPr>
          <w:rFonts w:ascii="Arial" w:hAnsi="Arial" w:cs="Arial"/>
          <w:color w:val="FFFFFF" w:themeColor="background1"/>
          <w:sz w:val="24"/>
          <w:szCs w:val="24"/>
        </w:rPr>
        <w:t>’</w:t>
      </w:r>
      <w:r w:rsidR="003C49A2" w:rsidRPr="00FB5561">
        <w:rPr>
          <w:rStyle w:val="EndnoteReference"/>
          <w:rFonts w:cs="Arial"/>
          <w:color w:val="FFFFFF" w:themeColor="background1"/>
          <w:szCs w:val="24"/>
        </w:rPr>
        <w:endnoteReference w:id="56"/>
      </w:r>
    </w:p>
    <w:p w14:paraId="681ED16B" w14:textId="2B573E0B" w:rsidR="003C49A2" w:rsidRPr="00FB5561" w:rsidRDefault="003C49A2" w:rsidP="0007787E">
      <w:pPr>
        <w:pStyle w:val="Para1"/>
        <w:numPr>
          <w:ilvl w:val="0"/>
          <w:numId w:val="22"/>
        </w:numPr>
        <w:pBdr>
          <w:top w:val="single" w:sz="4" w:space="1" w:color="auto"/>
          <w:left w:val="single" w:sz="4" w:space="4" w:color="auto"/>
          <w:bottom w:val="single" w:sz="4" w:space="1" w:color="auto"/>
          <w:right w:val="single" w:sz="4" w:space="4" w:color="auto"/>
        </w:pBdr>
        <w:shd w:val="clear" w:color="auto" w:fill="237BBC"/>
        <w:ind w:left="426" w:hanging="426"/>
        <w:rPr>
          <w:rFonts w:ascii="Arial" w:hAnsi="Arial" w:cs="Arial"/>
          <w:color w:val="FFFFFF" w:themeColor="background1"/>
          <w:sz w:val="24"/>
          <w:szCs w:val="24"/>
        </w:rPr>
      </w:pPr>
      <w:r w:rsidRPr="00FB5561">
        <w:rPr>
          <w:rFonts w:ascii="Arial" w:hAnsi="Arial" w:cs="Arial"/>
          <w:color w:val="FFFFFF" w:themeColor="background1"/>
          <w:sz w:val="24"/>
          <w:szCs w:val="24"/>
        </w:rPr>
        <w:t>‘Clearly the burden of any detriment arising from the removal of the mental illness exclusion would fall on QBE, its policy holders and shareholders because the impact would be primarily financial (section 11(1)(a) and (c))’</w:t>
      </w:r>
      <w:r w:rsidRPr="00FB5561">
        <w:rPr>
          <w:rStyle w:val="EndnoteReference"/>
          <w:rFonts w:cs="Arial"/>
          <w:color w:val="FFFFFF" w:themeColor="background1"/>
          <w:szCs w:val="24"/>
        </w:rPr>
        <w:endnoteReference w:id="57"/>
      </w:r>
    </w:p>
    <w:p w14:paraId="0154E42B" w14:textId="77777777" w:rsidR="003C49A2" w:rsidRPr="00FB5561" w:rsidRDefault="003C49A2" w:rsidP="0007787E">
      <w:pPr>
        <w:pStyle w:val="Para1"/>
        <w:numPr>
          <w:ilvl w:val="0"/>
          <w:numId w:val="22"/>
        </w:numPr>
        <w:pBdr>
          <w:top w:val="single" w:sz="4" w:space="1" w:color="auto"/>
          <w:left w:val="single" w:sz="4" w:space="4" w:color="auto"/>
          <w:bottom w:val="single" w:sz="4" w:space="1" w:color="auto"/>
          <w:right w:val="single" w:sz="4" w:space="4" w:color="auto"/>
        </w:pBdr>
        <w:shd w:val="clear" w:color="auto" w:fill="237BBC"/>
        <w:ind w:left="426" w:hanging="426"/>
        <w:rPr>
          <w:rFonts w:ascii="Arial" w:hAnsi="Arial" w:cs="Arial"/>
          <w:color w:val="FFFFFF" w:themeColor="background1"/>
          <w:sz w:val="24"/>
          <w:szCs w:val="24"/>
        </w:rPr>
      </w:pPr>
      <w:r w:rsidRPr="00FB5561">
        <w:rPr>
          <w:rFonts w:ascii="Arial" w:hAnsi="Arial" w:cs="Arial"/>
          <w:color w:val="FFFFFF" w:themeColor="background1"/>
          <w:sz w:val="24"/>
          <w:szCs w:val="24"/>
        </w:rPr>
        <w:t>‘a reduction in profits might be sufficient to amount to an unjustifiable hardship.  Due to the significant reservations I have about</w:t>
      </w:r>
      <w:r w:rsidR="0086544D" w:rsidRPr="00FB5561">
        <w:rPr>
          <w:rFonts w:ascii="Arial" w:hAnsi="Arial" w:cs="Arial"/>
          <w:color w:val="FFFFFF" w:themeColor="background1"/>
          <w:sz w:val="24"/>
          <w:szCs w:val="24"/>
        </w:rPr>
        <w:t xml:space="preserve"> </w:t>
      </w:r>
      <w:r w:rsidRPr="00FB5561">
        <w:rPr>
          <w:rFonts w:ascii="Arial" w:hAnsi="Arial" w:cs="Arial"/>
          <w:color w:val="FFFFFF" w:themeColor="background1"/>
          <w:sz w:val="24"/>
          <w:szCs w:val="24"/>
        </w:rPr>
        <w:t>…</w:t>
      </w:r>
      <w:r w:rsidR="0086544D" w:rsidRPr="00FB5561">
        <w:rPr>
          <w:rFonts w:ascii="Arial" w:hAnsi="Arial" w:cs="Arial"/>
          <w:color w:val="FFFFFF" w:themeColor="background1"/>
          <w:sz w:val="24"/>
          <w:szCs w:val="24"/>
        </w:rPr>
        <w:t xml:space="preserve"> </w:t>
      </w:r>
      <w:r w:rsidRPr="00FB5561">
        <w:rPr>
          <w:rFonts w:ascii="Arial" w:hAnsi="Arial" w:cs="Arial"/>
          <w:color w:val="FFFFFF" w:themeColor="background1"/>
          <w:sz w:val="24"/>
          <w:szCs w:val="24"/>
        </w:rPr>
        <w:t>the evidence produced in this case by QBE, I cannot safely find that there would be a reduction in profits</w:t>
      </w:r>
      <w:r w:rsidR="0086544D" w:rsidRPr="00FB5561">
        <w:rPr>
          <w:rFonts w:ascii="Arial" w:hAnsi="Arial" w:cs="Arial"/>
          <w:color w:val="FFFFFF" w:themeColor="background1"/>
          <w:sz w:val="24"/>
          <w:szCs w:val="24"/>
        </w:rPr>
        <w:t xml:space="preserve">. </w:t>
      </w:r>
      <w:r w:rsidRPr="00FB5561">
        <w:rPr>
          <w:rFonts w:ascii="Arial" w:hAnsi="Arial" w:cs="Arial"/>
          <w:color w:val="FFFFFF" w:themeColor="background1"/>
          <w:sz w:val="24"/>
          <w:szCs w:val="24"/>
        </w:rPr>
        <w:t>…</w:t>
      </w:r>
      <w:r w:rsidR="0086544D" w:rsidRPr="00FB5561">
        <w:rPr>
          <w:rFonts w:ascii="Arial" w:hAnsi="Arial" w:cs="Arial"/>
          <w:color w:val="FFFFFF" w:themeColor="background1"/>
          <w:sz w:val="24"/>
          <w:szCs w:val="24"/>
        </w:rPr>
        <w:t xml:space="preserve"> </w:t>
      </w:r>
      <w:r w:rsidRPr="00FB5561">
        <w:rPr>
          <w:rFonts w:ascii="Arial" w:hAnsi="Arial" w:cs="Arial"/>
          <w:color w:val="FFFFFF" w:themeColor="background1"/>
          <w:sz w:val="24"/>
          <w:szCs w:val="24"/>
        </w:rPr>
        <w:t>in so far as QBE relied on the financial factors to demonstrate that it falls within section 29A of the DDA, it has not met its burden of proof.’</w:t>
      </w:r>
      <w:r w:rsidRPr="00FB5561">
        <w:rPr>
          <w:rStyle w:val="EndnoteReference"/>
          <w:rFonts w:cs="Arial"/>
          <w:color w:val="FFFFFF" w:themeColor="background1"/>
          <w:szCs w:val="24"/>
        </w:rPr>
        <w:endnoteReference w:id="58"/>
      </w:r>
    </w:p>
    <w:p w14:paraId="30C2077C" w14:textId="77777777" w:rsidR="00375883" w:rsidRPr="00FB5561" w:rsidRDefault="003C49A2" w:rsidP="00375883">
      <w:pPr>
        <w:pStyle w:val="Para1"/>
        <w:numPr>
          <w:ilvl w:val="0"/>
          <w:numId w:val="0"/>
        </w:numPr>
        <w:pBdr>
          <w:top w:val="single" w:sz="4" w:space="1" w:color="auto"/>
          <w:left w:val="single" w:sz="4" w:space="4" w:color="auto"/>
          <w:bottom w:val="single" w:sz="4" w:space="1" w:color="auto"/>
          <w:right w:val="single" w:sz="4" w:space="4" w:color="auto"/>
        </w:pBdr>
        <w:shd w:val="clear" w:color="auto" w:fill="237BBC"/>
        <w:ind w:left="567" w:hanging="567"/>
        <w:rPr>
          <w:rFonts w:ascii="Arial" w:hAnsi="Arial" w:cs="Arial"/>
          <w:color w:val="FFFFFF" w:themeColor="background1"/>
          <w:sz w:val="24"/>
          <w:szCs w:val="24"/>
        </w:rPr>
      </w:pPr>
      <w:r w:rsidRPr="00FB5561">
        <w:rPr>
          <w:rFonts w:ascii="Arial" w:hAnsi="Arial" w:cs="Arial"/>
          <w:color w:val="FFFFFF" w:themeColor="background1"/>
          <w:sz w:val="24"/>
          <w:szCs w:val="24"/>
        </w:rPr>
        <w:t>Member Dea concluded that:</w:t>
      </w:r>
    </w:p>
    <w:p w14:paraId="1EA5ECED" w14:textId="77777777" w:rsidR="003C49A2" w:rsidRPr="00FB5561" w:rsidRDefault="00375883" w:rsidP="00375883">
      <w:pPr>
        <w:pStyle w:val="Para1"/>
        <w:numPr>
          <w:ilvl w:val="0"/>
          <w:numId w:val="0"/>
        </w:numPr>
        <w:pBdr>
          <w:top w:val="single" w:sz="4" w:space="1" w:color="auto"/>
          <w:left w:val="single" w:sz="4" w:space="4" w:color="auto"/>
          <w:bottom w:val="single" w:sz="4" w:space="1" w:color="auto"/>
          <w:right w:val="single" w:sz="4" w:space="4" w:color="auto"/>
        </w:pBdr>
        <w:shd w:val="clear" w:color="auto" w:fill="237BBC"/>
        <w:ind w:left="567" w:hanging="567"/>
        <w:rPr>
          <w:rFonts w:ascii="Arial" w:hAnsi="Arial" w:cs="Arial"/>
          <w:color w:val="FFFFFF" w:themeColor="background1"/>
          <w:sz w:val="24"/>
          <w:szCs w:val="24"/>
        </w:rPr>
      </w:pPr>
      <w:r w:rsidRPr="00FB5561">
        <w:rPr>
          <w:rFonts w:cs="Arial"/>
          <w:color w:val="FFFFFF" w:themeColor="background1"/>
        </w:rPr>
        <w:t xml:space="preserve">         </w:t>
      </w:r>
      <w:r w:rsidR="003C49A2" w:rsidRPr="00FB5561">
        <w:rPr>
          <w:rFonts w:ascii="Arial" w:hAnsi="Arial" w:cs="Arial"/>
          <w:color w:val="FFFFFF" w:themeColor="background1"/>
          <w:sz w:val="22"/>
          <w:szCs w:val="22"/>
        </w:rPr>
        <w:t>The consequence is that, when undertaking the balancing task required by section 11, there is an absence of sufficient material for me to determine that it would be an unjustifiable hardship for QBE to be unable to rely on the mental illness exclusion.  The scales weigh in favour of people like Ms Ingram being able to be properly assessed on their policy claims in the same way people with physical disabilities are assessed</w:t>
      </w:r>
      <w:r w:rsidR="003C49A2" w:rsidRPr="00FB5561">
        <w:rPr>
          <w:rFonts w:cs="Arial"/>
          <w:color w:val="FFFFFF" w:themeColor="background1"/>
        </w:rPr>
        <w:t>.</w:t>
      </w:r>
      <w:r w:rsidR="003C49A2" w:rsidRPr="00FB5561">
        <w:rPr>
          <w:rStyle w:val="EndnoteReference"/>
          <w:rFonts w:cs="Arial"/>
          <w:color w:val="FFFFFF" w:themeColor="background1"/>
          <w:szCs w:val="20"/>
        </w:rPr>
        <w:endnoteReference w:id="59"/>
      </w:r>
    </w:p>
    <w:p w14:paraId="5E7F0D03" w14:textId="4CF405C2" w:rsidR="003C3189" w:rsidRPr="00FB5561" w:rsidRDefault="0086544D" w:rsidP="001A785E">
      <w:pPr>
        <w:pStyle w:val="Para1"/>
        <w:numPr>
          <w:ilvl w:val="0"/>
          <w:numId w:val="0"/>
        </w:numPr>
        <w:pBdr>
          <w:top w:val="single" w:sz="4" w:space="1" w:color="auto"/>
          <w:left w:val="single" w:sz="4" w:space="4" w:color="auto"/>
          <w:bottom w:val="single" w:sz="4" w:space="1" w:color="auto"/>
          <w:right w:val="single" w:sz="4" w:space="4" w:color="auto"/>
        </w:pBdr>
        <w:shd w:val="clear" w:color="auto" w:fill="237BBC"/>
        <w:rPr>
          <w:rFonts w:ascii="Arial" w:eastAsia="MS Mincho" w:hAnsi="Arial" w:cs="Arial"/>
          <w:color w:val="FFFFFF" w:themeColor="background1"/>
          <w:sz w:val="24"/>
          <w:szCs w:val="24"/>
          <w:lang w:eastAsia="en-AU"/>
        </w:rPr>
      </w:pPr>
      <w:r w:rsidRPr="00FB5561">
        <w:rPr>
          <w:rFonts w:ascii="Arial" w:eastAsia="MS Mincho" w:hAnsi="Arial" w:cs="Arial"/>
          <w:color w:val="FFFFFF" w:themeColor="background1"/>
          <w:sz w:val="24"/>
          <w:szCs w:val="24"/>
          <w:lang w:eastAsia="en-AU"/>
        </w:rPr>
        <w:t xml:space="preserve">The Member </w:t>
      </w:r>
      <w:r w:rsidR="003C49A2" w:rsidRPr="00FB5561">
        <w:rPr>
          <w:rFonts w:ascii="Arial" w:eastAsia="MS Mincho" w:hAnsi="Arial" w:cs="Arial"/>
          <w:color w:val="FFFFFF" w:themeColor="background1"/>
          <w:sz w:val="24"/>
          <w:szCs w:val="24"/>
          <w:lang w:eastAsia="en-AU"/>
        </w:rPr>
        <w:t>therefore held that QBE could not rely upon the defence of unjustifiable hardship in s 29A of the DDA.</w:t>
      </w:r>
      <w:r w:rsidR="003C49A2" w:rsidRPr="00FB5561">
        <w:rPr>
          <w:rStyle w:val="EndnoteReference"/>
          <w:rFonts w:eastAsia="MS Mincho" w:cs="Arial"/>
          <w:color w:val="FFFFFF" w:themeColor="background1"/>
          <w:szCs w:val="24"/>
          <w:lang w:eastAsia="en-AU"/>
        </w:rPr>
        <w:endnoteReference w:id="60"/>
      </w:r>
    </w:p>
    <w:p w14:paraId="4B23042B" w14:textId="488DD48B" w:rsidR="00894066" w:rsidRPr="00FB5561" w:rsidRDefault="00894066" w:rsidP="001A785E">
      <w:pPr>
        <w:pStyle w:val="Para1"/>
        <w:numPr>
          <w:ilvl w:val="0"/>
          <w:numId w:val="0"/>
        </w:numPr>
        <w:pBdr>
          <w:top w:val="single" w:sz="4" w:space="1" w:color="auto"/>
          <w:left w:val="single" w:sz="4" w:space="4" w:color="auto"/>
          <w:bottom w:val="single" w:sz="4" w:space="1" w:color="auto"/>
          <w:right w:val="single" w:sz="4" w:space="4" w:color="auto"/>
        </w:pBdr>
        <w:shd w:val="clear" w:color="auto" w:fill="237BBC"/>
        <w:rPr>
          <w:rFonts w:ascii="Arial" w:eastAsia="MS Mincho" w:hAnsi="Arial" w:cs="Arial"/>
          <w:color w:val="FFFFFF" w:themeColor="background1"/>
          <w:sz w:val="24"/>
          <w:szCs w:val="24"/>
          <w:lang w:eastAsia="en-AU"/>
        </w:rPr>
      </w:pPr>
      <w:r w:rsidRPr="00FB5561">
        <w:rPr>
          <w:rFonts w:ascii="Arial" w:eastAsia="MS Mincho" w:hAnsi="Arial" w:cs="Arial"/>
          <w:color w:val="FFFFFF" w:themeColor="background1"/>
          <w:sz w:val="24"/>
          <w:szCs w:val="24"/>
          <w:lang w:eastAsia="en-AU"/>
        </w:rPr>
        <w:t xml:space="preserve">It should be noted that in this case Member Dea </w:t>
      </w:r>
      <w:r w:rsidR="000F306B" w:rsidRPr="00FB5561">
        <w:rPr>
          <w:rFonts w:ascii="Arial" w:eastAsia="MS Mincho" w:hAnsi="Arial" w:cs="Arial"/>
          <w:color w:val="FFFFFF" w:themeColor="background1"/>
          <w:sz w:val="24"/>
          <w:szCs w:val="24"/>
          <w:lang w:eastAsia="en-AU"/>
        </w:rPr>
        <w:t>stated</w:t>
      </w:r>
      <w:r w:rsidRPr="00FB5561">
        <w:rPr>
          <w:rFonts w:ascii="Arial" w:eastAsia="MS Mincho" w:hAnsi="Arial" w:cs="Arial"/>
          <w:color w:val="FFFFFF" w:themeColor="background1"/>
          <w:sz w:val="24"/>
          <w:szCs w:val="24"/>
          <w:lang w:eastAsia="en-AU"/>
        </w:rPr>
        <w:t xml:space="preserve"> that ‘This has not been a test case but rather is a case of a kind commonly run in the tribunal. My findings have turned on the evidence placed before me in circumstances where each party has very properly pursued its interests vigorously’.</w:t>
      </w:r>
      <w:r w:rsidRPr="00FB5561">
        <w:rPr>
          <w:rStyle w:val="EndnoteReference"/>
          <w:rFonts w:eastAsia="MS Mincho" w:cs="Arial"/>
          <w:color w:val="FFFFFF" w:themeColor="background1"/>
          <w:szCs w:val="24"/>
          <w:lang w:eastAsia="en-AU"/>
        </w:rPr>
        <w:endnoteReference w:id="61"/>
      </w:r>
      <w:r w:rsidR="00895E2A" w:rsidRPr="00FB5561">
        <w:rPr>
          <w:rFonts w:ascii="Arial" w:eastAsia="MS Mincho" w:hAnsi="Arial" w:cs="Arial"/>
          <w:color w:val="FFFFFF" w:themeColor="background1"/>
          <w:sz w:val="24"/>
          <w:szCs w:val="24"/>
          <w:lang w:eastAsia="en-AU"/>
        </w:rPr>
        <w:t xml:space="preserve"> The particular findings in this case in relation to the policy offered by QBE may not apply to all insurers.</w:t>
      </w:r>
      <w:r w:rsidR="00895E2A" w:rsidRPr="00FB5561">
        <w:rPr>
          <w:rStyle w:val="EndnoteReference"/>
          <w:rFonts w:eastAsia="MS Mincho" w:cs="Arial"/>
          <w:color w:val="FFFFFF" w:themeColor="background1"/>
          <w:szCs w:val="24"/>
          <w:lang w:eastAsia="en-AU"/>
        </w:rPr>
        <w:endnoteReference w:id="62"/>
      </w:r>
    </w:p>
    <w:p w14:paraId="1963C023" w14:textId="479271B1" w:rsidR="00402137" w:rsidRPr="00FB5561" w:rsidRDefault="00402137" w:rsidP="003801D7">
      <w:pPr>
        <w:spacing w:before="100" w:beforeAutospacing="1" w:after="100" w:afterAutospacing="1"/>
        <w:rPr>
          <w:rFonts w:cs="Arial"/>
        </w:rPr>
      </w:pPr>
      <w:r w:rsidRPr="00FB5561">
        <w:rPr>
          <w:rFonts w:cs="Arial"/>
        </w:rPr>
        <w:t xml:space="preserve">It was also noted in Ingram, citing Commissioner Innes in </w:t>
      </w:r>
      <w:r w:rsidRPr="00FB5561">
        <w:rPr>
          <w:rFonts w:cs="Arial"/>
          <w:i/>
        </w:rPr>
        <w:t>Francey v Hilton Hotels of Australia Pty Ltd</w:t>
      </w:r>
      <w:r w:rsidRPr="00FB5561">
        <w:rPr>
          <w:rFonts w:cs="Arial"/>
        </w:rPr>
        <w:t>,</w:t>
      </w:r>
      <w:r w:rsidRPr="00FB5561">
        <w:rPr>
          <w:sz w:val="20"/>
          <w:vertAlign w:val="superscript"/>
        </w:rPr>
        <w:endnoteReference w:id="63"/>
      </w:r>
      <w:r w:rsidRPr="00FB5561">
        <w:rPr>
          <w:rFonts w:cs="Arial"/>
        </w:rPr>
        <w:t xml:space="preserve"> that the costs </w:t>
      </w:r>
      <w:r w:rsidR="005C1080" w:rsidRPr="00FB5561">
        <w:rPr>
          <w:rFonts w:cs="Arial"/>
        </w:rPr>
        <w:t xml:space="preserve">involved in avoiding the discrimination and the financial circumstances of the person incurring those costs should not be given any greater weight than </w:t>
      </w:r>
      <w:r w:rsidRPr="00FB5561">
        <w:rPr>
          <w:rFonts w:cs="Arial"/>
        </w:rPr>
        <w:t xml:space="preserve">the </w:t>
      </w:r>
      <w:r w:rsidR="005C1080" w:rsidRPr="00FB5561">
        <w:rPr>
          <w:rFonts w:cs="Arial"/>
        </w:rPr>
        <w:t xml:space="preserve">other </w:t>
      </w:r>
      <w:r w:rsidRPr="00FB5561">
        <w:rPr>
          <w:rFonts w:cs="Arial"/>
        </w:rPr>
        <w:t xml:space="preserve">factors </w:t>
      </w:r>
      <w:r w:rsidR="005C1080" w:rsidRPr="00FB5561">
        <w:rPr>
          <w:rFonts w:cs="Arial"/>
        </w:rPr>
        <w:t xml:space="preserve">set out in </w:t>
      </w:r>
      <w:r w:rsidRPr="00FB5561">
        <w:rPr>
          <w:rFonts w:cs="Arial"/>
        </w:rPr>
        <w:t>s</w:t>
      </w:r>
      <w:r w:rsidR="005C1080" w:rsidRPr="00FB5561">
        <w:rPr>
          <w:rFonts w:cs="Arial"/>
        </w:rPr>
        <w:t> </w:t>
      </w:r>
      <w:r w:rsidRPr="00FB5561">
        <w:rPr>
          <w:rFonts w:cs="Arial"/>
        </w:rPr>
        <w:t>11. All the factors are to be considered within the context of the legislation and the circumstances of the case.</w:t>
      </w:r>
    </w:p>
    <w:p w14:paraId="7103B789" w14:textId="7819CB12" w:rsidR="00F409BE" w:rsidRPr="00FB5561" w:rsidRDefault="00F409BE" w:rsidP="00722C4E">
      <w:pPr>
        <w:spacing w:before="100" w:beforeAutospacing="1" w:after="100" w:afterAutospacing="1"/>
        <w:rPr>
          <w:rFonts w:cs="Arial"/>
        </w:rPr>
      </w:pPr>
    </w:p>
    <w:sectPr w:rsidR="00F409BE" w:rsidRPr="00FB5561" w:rsidSect="00B63D24">
      <w:headerReference w:type="even" r:id="rId12"/>
      <w:headerReference w:type="default" r:id="rId13"/>
      <w:footerReference w:type="default" r:id="rId14"/>
      <w:headerReference w:type="first" r:id="rId15"/>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7256A" w14:textId="77777777" w:rsidR="00912CF5" w:rsidRDefault="00912CF5" w:rsidP="00F14C6D">
      <w:r>
        <w:separator/>
      </w:r>
    </w:p>
  </w:endnote>
  <w:endnote w:type="continuationSeparator" w:id="0">
    <w:p w14:paraId="6D08A325" w14:textId="77777777" w:rsidR="00912CF5" w:rsidRDefault="00912CF5" w:rsidP="00F14C6D">
      <w:r>
        <w:continuationSeparator/>
      </w:r>
    </w:p>
  </w:endnote>
  <w:endnote w:id="1">
    <w:p w14:paraId="2AD5E9AA" w14:textId="77777777" w:rsidR="00912CF5" w:rsidRDefault="00912CF5">
      <w:pPr>
        <w:pStyle w:val="EndnoteText"/>
      </w:pPr>
      <w:r>
        <w:rPr>
          <w:rStyle w:val="EndnoteReference"/>
        </w:rPr>
        <w:endnoteRef/>
      </w:r>
      <w:r>
        <w:t xml:space="preserve"> </w:t>
      </w:r>
      <w:r w:rsidRPr="008501BE">
        <w:rPr>
          <w:i/>
        </w:rPr>
        <w:t>Disability Discrimination Act 1992</w:t>
      </w:r>
      <w:r>
        <w:t xml:space="preserve"> (Cth) s 67(1)(k).</w:t>
      </w:r>
    </w:p>
  </w:endnote>
  <w:endnote w:id="2">
    <w:p w14:paraId="6B71E869" w14:textId="77777777" w:rsidR="00912CF5" w:rsidRPr="00A72C4F" w:rsidRDefault="00912CF5">
      <w:pPr>
        <w:pStyle w:val="EndnoteText"/>
      </w:pPr>
      <w:r w:rsidRPr="00A72C4F">
        <w:rPr>
          <w:rStyle w:val="EndnoteReference"/>
        </w:rPr>
        <w:endnoteRef/>
      </w:r>
      <w:r w:rsidRPr="00A72C4F">
        <w:t xml:space="preserve"> For archive purposes, available at </w:t>
      </w:r>
      <w:hyperlink r:id="rId1" w:history="1">
        <w:r w:rsidRPr="00A72C4F">
          <w:rPr>
            <w:rStyle w:val="Hyperlink"/>
          </w:rPr>
          <w:t>https://www.humanrights.gov.au/our-work/disability-rights/publications/disability-guidelines-providers-insurance-and-superannuation</w:t>
        </w:r>
      </w:hyperlink>
      <w:r w:rsidRPr="00A72C4F">
        <w:t xml:space="preserve"> (viewed 16 May 2016).</w:t>
      </w:r>
    </w:p>
  </w:endnote>
  <w:endnote w:id="3">
    <w:p w14:paraId="0BEDF331" w14:textId="77777777" w:rsidR="00912CF5" w:rsidRDefault="00912CF5">
      <w:pPr>
        <w:pStyle w:val="EndnoteText"/>
      </w:pPr>
      <w:r w:rsidRPr="00A72C4F">
        <w:rPr>
          <w:rStyle w:val="EndnoteReference"/>
        </w:rPr>
        <w:endnoteRef/>
      </w:r>
      <w:r w:rsidRPr="00A72C4F">
        <w:t xml:space="preserve"> For archive purposes, available at </w:t>
      </w:r>
      <w:hyperlink r:id="rId2" w:history="1">
        <w:r w:rsidRPr="00A72C4F">
          <w:rPr>
            <w:rStyle w:val="Hyperlink"/>
          </w:rPr>
          <w:t>https://www.humanrights.gov.au/guidelines-providers-insurance-and-superannuation-0</w:t>
        </w:r>
      </w:hyperlink>
      <w:r w:rsidRPr="00A72C4F">
        <w:t xml:space="preserve"> (viewed 16 May 2016).</w:t>
      </w:r>
    </w:p>
  </w:endnote>
  <w:endnote w:id="4">
    <w:p w14:paraId="429759C5" w14:textId="77777777" w:rsidR="00912CF5" w:rsidRDefault="00912CF5">
      <w:pPr>
        <w:pStyle w:val="EndnoteText"/>
      </w:pPr>
      <w:r>
        <w:rPr>
          <w:rStyle w:val="EndnoteReference"/>
        </w:rPr>
        <w:endnoteRef/>
      </w:r>
      <w:r>
        <w:t xml:space="preserve"> </w:t>
      </w:r>
      <w:r w:rsidRPr="008501BE">
        <w:rPr>
          <w:i/>
        </w:rPr>
        <w:t>Disability Discrimination Act 1992</w:t>
      </w:r>
      <w:r>
        <w:t xml:space="preserve"> (Cth) s 4(1).</w:t>
      </w:r>
    </w:p>
  </w:endnote>
  <w:endnote w:id="5">
    <w:p w14:paraId="435BB288" w14:textId="77777777" w:rsidR="00912CF5" w:rsidRDefault="00912CF5" w:rsidP="00881A60">
      <w:pPr>
        <w:pStyle w:val="EndnoteText"/>
      </w:pPr>
      <w:r>
        <w:rPr>
          <w:rStyle w:val="EndnoteReference"/>
        </w:rPr>
        <w:endnoteRef/>
      </w:r>
      <w:r>
        <w:t xml:space="preserve"> </w:t>
      </w:r>
      <w:r w:rsidRPr="00A71FF4">
        <w:rPr>
          <w:i/>
        </w:rPr>
        <w:t>Ingram v QBE Insurance (Australia) Ltd</w:t>
      </w:r>
      <w:r w:rsidRPr="00C83046">
        <w:t xml:space="preserve"> (Human Rights) [2015] VCAT 1936</w:t>
      </w:r>
      <w:r>
        <w:t>, [49].</w:t>
      </w:r>
    </w:p>
  </w:endnote>
  <w:endnote w:id="6">
    <w:p w14:paraId="463619D1" w14:textId="738BF28E" w:rsidR="00912CF5" w:rsidRDefault="00912CF5">
      <w:pPr>
        <w:pStyle w:val="EndnoteText"/>
      </w:pPr>
      <w:r>
        <w:rPr>
          <w:rStyle w:val="EndnoteReference"/>
        </w:rPr>
        <w:endnoteRef/>
      </w:r>
      <w:r>
        <w:t xml:space="preserve"> </w:t>
      </w:r>
      <w:r>
        <w:rPr>
          <w:i/>
        </w:rPr>
        <w:t>I</w:t>
      </w:r>
      <w:r w:rsidRPr="00A71FF4">
        <w:rPr>
          <w:i/>
        </w:rPr>
        <w:t>ngram v QBE Insurance (Australia) Ltd</w:t>
      </w:r>
      <w:r w:rsidRPr="00C83046">
        <w:t xml:space="preserve"> (Human Rights) [2015] VCAT 1936</w:t>
      </w:r>
      <w:r>
        <w:t>.</w:t>
      </w:r>
    </w:p>
  </w:endnote>
  <w:endnote w:id="7">
    <w:p w14:paraId="2FDCEEB0" w14:textId="77777777" w:rsidR="00912CF5" w:rsidRDefault="00912CF5" w:rsidP="00F6101A">
      <w:pPr>
        <w:pStyle w:val="EndnoteText"/>
      </w:pPr>
      <w:r>
        <w:rPr>
          <w:rStyle w:val="EndnoteReference"/>
        </w:rPr>
        <w:endnoteRef/>
      </w:r>
      <w:r>
        <w:t xml:space="preserve"> </w:t>
      </w:r>
      <w:r>
        <w:rPr>
          <w:rFonts w:cs="Arial"/>
        </w:rPr>
        <w:t xml:space="preserve">Australian Bureau of Statistics, 2015, </w:t>
      </w:r>
      <w:r>
        <w:rPr>
          <w:rFonts w:cs="Arial"/>
          <w:i/>
          <w:iCs/>
        </w:rPr>
        <w:t>Disability, Ageing and Carers, Australia: First Results,</w:t>
      </w:r>
      <w:r>
        <w:rPr>
          <w:rFonts w:cs="Arial"/>
        </w:rPr>
        <w:t xml:space="preserve"> cat. no. 4430.0.10.001. At </w:t>
      </w:r>
      <w:hyperlink r:id="rId3" w:history="1">
        <w:r>
          <w:rPr>
            <w:rStyle w:val="Hyperlink"/>
            <w:rFonts w:cs="Arial"/>
          </w:rPr>
          <w:t>http://www.abs.gov.au/ausstats/abs@.nsf/mf/4430.0.10.001</w:t>
        </w:r>
      </w:hyperlink>
      <w:r>
        <w:t xml:space="preserve"> (viewed 8 June 2016).</w:t>
      </w:r>
    </w:p>
  </w:endnote>
  <w:endnote w:id="8">
    <w:p w14:paraId="49BDA343" w14:textId="77777777" w:rsidR="00912CF5" w:rsidRDefault="00912CF5" w:rsidP="003A400E">
      <w:pPr>
        <w:pStyle w:val="EndnoteText"/>
      </w:pPr>
      <w:r>
        <w:rPr>
          <w:rStyle w:val="EndnoteReference"/>
        </w:rPr>
        <w:endnoteRef/>
      </w:r>
      <w:r>
        <w:t xml:space="preserve"> </w:t>
      </w:r>
      <w:r w:rsidRPr="000C2B19">
        <w:rPr>
          <w:i/>
        </w:rPr>
        <w:t>Disability Discrimination Act 1992</w:t>
      </w:r>
      <w:r>
        <w:t xml:space="preserve"> (Cth) sub-ss 5(2) and 6(2).</w:t>
      </w:r>
    </w:p>
  </w:endnote>
  <w:endnote w:id="9">
    <w:p w14:paraId="0B2D2C91" w14:textId="77777777" w:rsidR="00912CF5" w:rsidRDefault="00912CF5">
      <w:pPr>
        <w:pStyle w:val="EndnoteText"/>
      </w:pPr>
      <w:r>
        <w:rPr>
          <w:rStyle w:val="EndnoteReference"/>
        </w:rPr>
        <w:endnoteRef/>
      </w:r>
      <w:r>
        <w:t xml:space="preserve"> Explanatory Memorandum to the </w:t>
      </w:r>
      <w:r w:rsidRPr="00B24858">
        <w:rPr>
          <w:i/>
        </w:rPr>
        <w:t>Disability Discrimination and Other Human Rights Legislation Amendment Bill 2008</w:t>
      </w:r>
      <w:r>
        <w:t xml:space="preserve"> (Cth), pp 8-9 [41-8]-[41-9].</w:t>
      </w:r>
    </w:p>
  </w:endnote>
  <w:endnote w:id="10">
    <w:p w14:paraId="5F136761" w14:textId="77777777" w:rsidR="00912CF5" w:rsidRDefault="00912CF5">
      <w:pPr>
        <w:pStyle w:val="EndnoteText"/>
      </w:pPr>
      <w:r>
        <w:rPr>
          <w:rStyle w:val="EndnoteReference"/>
        </w:rPr>
        <w:endnoteRef/>
      </w:r>
      <w:r>
        <w:t xml:space="preserve"> </w:t>
      </w:r>
      <w:r w:rsidRPr="002D3AD5">
        <w:rPr>
          <w:i/>
        </w:rPr>
        <w:t>Disability Discrimination Act 1992</w:t>
      </w:r>
      <w:r>
        <w:t xml:space="preserve"> (Cth) s 4 (definition of ‘reasonable adjustment’)</w:t>
      </w:r>
    </w:p>
  </w:endnote>
  <w:endnote w:id="11">
    <w:p w14:paraId="0671D0A1" w14:textId="77777777" w:rsidR="00912CF5" w:rsidRDefault="00912CF5">
      <w:pPr>
        <w:pStyle w:val="EndnoteText"/>
      </w:pPr>
      <w:r>
        <w:rPr>
          <w:rStyle w:val="EndnoteReference"/>
        </w:rPr>
        <w:endnoteRef/>
      </w:r>
      <w:r>
        <w:t xml:space="preserve"> </w:t>
      </w:r>
      <w:r w:rsidRPr="00023ACE">
        <w:rPr>
          <w:i/>
        </w:rPr>
        <w:t>Disability Discrimination Act 1992</w:t>
      </w:r>
      <w:r>
        <w:t xml:space="preserve"> (Cth) sub-ss 46(1)(f) and (2)(f).</w:t>
      </w:r>
    </w:p>
  </w:endnote>
  <w:endnote w:id="12">
    <w:p w14:paraId="575D628A" w14:textId="77777777" w:rsidR="00912CF5" w:rsidRDefault="00912CF5">
      <w:pPr>
        <w:pStyle w:val="EndnoteText"/>
      </w:pPr>
      <w:r>
        <w:rPr>
          <w:rStyle w:val="EndnoteReference"/>
        </w:rPr>
        <w:endnoteRef/>
      </w:r>
      <w:r>
        <w:t xml:space="preserve"> </w:t>
      </w:r>
      <w:r w:rsidRPr="00023ACE">
        <w:rPr>
          <w:i/>
        </w:rPr>
        <w:t>Disability Discrimination Act 1992</w:t>
      </w:r>
      <w:r>
        <w:t xml:space="preserve"> (Cth) sub-ss 46(1)(g) and (2)(g).</w:t>
      </w:r>
    </w:p>
  </w:endnote>
  <w:endnote w:id="13">
    <w:p w14:paraId="349A2EDC"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[28].</w:t>
      </w:r>
    </w:p>
  </w:endnote>
  <w:endnote w:id="14">
    <w:p w14:paraId="1A0488E3"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[33].</w:t>
      </w:r>
    </w:p>
  </w:endnote>
  <w:endnote w:id="15">
    <w:p w14:paraId="3B043393"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[33].</w:t>
      </w:r>
    </w:p>
  </w:endnote>
  <w:endnote w:id="16">
    <w:p w14:paraId="2B3B5057" w14:textId="77777777" w:rsidR="00912CF5" w:rsidRDefault="00912CF5" w:rsidP="008A2A3A">
      <w:pPr>
        <w:pStyle w:val="EndnoteText"/>
      </w:pPr>
      <w:r>
        <w:rPr>
          <w:rStyle w:val="EndnoteReference"/>
        </w:rPr>
        <w:endnoteRef/>
      </w:r>
      <w:r>
        <w:t xml:space="preserve"> </w:t>
      </w:r>
      <w:r w:rsidRPr="00454B54">
        <w:rPr>
          <w:i/>
        </w:rPr>
        <w:t>QBE Travel Insurance v Bassanelli</w:t>
      </w:r>
      <w:r>
        <w:t xml:space="preserve"> (2004) 137 FCR 88, [30]-[34].</w:t>
      </w:r>
    </w:p>
  </w:endnote>
  <w:endnote w:id="17">
    <w:p w14:paraId="35F3386F"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[30].</w:t>
      </w:r>
    </w:p>
  </w:endnote>
  <w:endnote w:id="18">
    <w:p w14:paraId="4EC8C421"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[30].</w:t>
      </w:r>
    </w:p>
  </w:endnote>
  <w:endnote w:id="19">
    <w:p w14:paraId="0718FC9C"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[30]; </w:t>
      </w:r>
      <w:r w:rsidRPr="00A71FF4">
        <w:rPr>
          <w:i/>
        </w:rPr>
        <w:t>Ingram v QBE Insurance (Australia) Ltd</w:t>
      </w:r>
      <w:r w:rsidRPr="00C83046">
        <w:t xml:space="preserve"> (Human Rights) [2015] VCAT 1936</w:t>
      </w:r>
      <w:r>
        <w:t>, [89].</w:t>
      </w:r>
    </w:p>
  </w:endnote>
  <w:endnote w:id="20">
    <w:p w14:paraId="649F9F3F"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[90], [99]-[100] and [117].</w:t>
      </w:r>
    </w:p>
  </w:endnote>
  <w:endnote w:id="21">
    <w:p w14:paraId="5AAD2507"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[91]–[92].</w:t>
      </w:r>
    </w:p>
  </w:endnote>
  <w:endnote w:id="22">
    <w:p w14:paraId="3F726206" w14:textId="77777777" w:rsidR="00912CF5" w:rsidRDefault="00912CF5" w:rsidP="00C92BC9">
      <w:pPr>
        <w:pStyle w:val="EndnoteText"/>
      </w:pPr>
      <w:r>
        <w:rPr>
          <w:rStyle w:val="EndnoteReference"/>
        </w:rPr>
        <w:endnoteRef/>
      </w:r>
      <w:r>
        <w:t xml:space="preserve"> </w:t>
      </w:r>
      <w:r w:rsidRPr="00A71FF4">
        <w:rPr>
          <w:i/>
        </w:rPr>
        <w:t>Ingram v QBE Insurance (Australia) Ltd</w:t>
      </w:r>
      <w:r w:rsidRPr="00C83046">
        <w:t xml:space="preserve"> (Human Rights) [2015] VCAT 1936</w:t>
      </w:r>
      <w:r>
        <w:t>, [182] and [211].</w:t>
      </w:r>
    </w:p>
  </w:endnote>
  <w:endnote w:id="23">
    <w:p w14:paraId="222749E9"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[185]-[190] and [202]-[211].</w:t>
      </w:r>
    </w:p>
  </w:endnote>
  <w:endnote w:id="24">
    <w:p w14:paraId="584B3F4B" w14:textId="77777777" w:rsidR="00912CF5" w:rsidRDefault="00912CF5">
      <w:pPr>
        <w:pStyle w:val="EndnoteText"/>
      </w:pPr>
      <w:r>
        <w:rPr>
          <w:rStyle w:val="EndnoteReference"/>
        </w:rPr>
        <w:endnoteRef/>
      </w:r>
      <w:r>
        <w:t xml:space="preserve"> </w:t>
      </w:r>
      <w:r w:rsidRPr="005B3CD0">
        <w:rPr>
          <w:i/>
          <w:lang w:val="en"/>
        </w:rPr>
        <w:t>Xiros v Fortis Life Assurance Ltd</w:t>
      </w:r>
      <w:r>
        <w:rPr>
          <w:lang w:val="en"/>
        </w:rPr>
        <w:t xml:space="preserve"> [2001] FMCA 15 (6 April 2001) [16(k)].</w:t>
      </w:r>
    </w:p>
  </w:endnote>
  <w:endnote w:id="25">
    <w:p w14:paraId="59C7FD4E" w14:textId="77777777" w:rsidR="00912CF5" w:rsidRDefault="00912CF5" w:rsidP="0080574B">
      <w:pPr>
        <w:pStyle w:val="EndnoteText"/>
      </w:pPr>
      <w:r>
        <w:rPr>
          <w:rStyle w:val="EndnoteReference"/>
        </w:rPr>
        <w:endnoteRef/>
      </w:r>
      <w:r>
        <w:t xml:space="preserve"> </w:t>
      </w:r>
      <w:r w:rsidRPr="00A71FF4">
        <w:rPr>
          <w:i/>
        </w:rPr>
        <w:t>Ingram v QBE Insurance (Australia) Ltd</w:t>
      </w:r>
      <w:r w:rsidRPr="00C83046">
        <w:t xml:space="preserve"> (Human Rights) [2015] VCAT 1936</w:t>
      </w:r>
      <w:r>
        <w:t>, [185] n 89.</w:t>
      </w:r>
    </w:p>
  </w:endnote>
  <w:endnote w:id="26">
    <w:p w14:paraId="684D8A1A"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[53].</w:t>
      </w:r>
    </w:p>
  </w:endnote>
  <w:endnote w:id="27">
    <w:p w14:paraId="01B7EF73"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[85].</w:t>
      </w:r>
    </w:p>
  </w:endnote>
  <w:endnote w:id="28">
    <w:p w14:paraId="5CFA8187" w14:textId="77777777" w:rsidR="00912CF5" w:rsidRDefault="00912CF5" w:rsidP="009552AB">
      <w:pPr>
        <w:pStyle w:val="EndnoteText"/>
      </w:pPr>
      <w:r>
        <w:rPr>
          <w:rStyle w:val="EndnoteReference"/>
        </w:rPr>
        <w:endnoteRef/>
      </w:r>
      <w:r>
        <w:t xml:space="preserve"> </w:t>
      </w:r>
      <w:r w:rsidRPr="00454B54">
        <w:rPr>
          <w:i/>
        </w:rPr>
        <w:t>QBE Travel Insurance v Bassanelli</w:t>
      </w:r>
      <w:r>
        <w:t xml:space="preserve"> (2004) 137 FCR 88, [40]-[44].</w:t>
      </w:r>
    </w:p>
  </w:endnote>
  <w:endnote w:id="29">
    <w:p w14:paraId="1147F758"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[79].</w:t>
      </w:r>
    </w:p>
  </w:endnote>
  <w:endnote w:id="30">
    <w:p w14:paraId="10E8B753" w14:textId="77777777" w:rsidR="00912CF5" w:rsidRDefault="00912CF5">
      <w:pPr>
        <w:pStyle w:val="EndnoteText"/>
      </w:pPr>
      <w:r>
        <w:rPr>
          <w:rStyle w:val="EndnoteReference"/>
        </w:rPr>
        <w:endnoteRef/>
      </w:r>
      <w:r>
        <w:t xml:space="preserve"> </w:t>
      </w:r>
      <w:r w:rsidRPr="00454B54">
        <w:rPr>
          <w:i/>
        </w:rPr>
        <w:t>QBE Travel Insurance v Bassanelli</w:t>
      </w:r>
      <w:r>
        <w:t xml:space="preserve"> (2004) 137 FCR 88, [31].</w:t>
      </w:r>
    </w:p>
  </w:endnote>
  <w:endnote w:id="31">
    <w:p w14:paraId="4ACDA226" w14:textId="6101B797" w:rsidR="00912CF5" w:rsidRDefault="00912CF5">
      <w:pPr>
        <w:pStyle w:val="EndnoteText"/>
      </w:pPr>
      <w:r>
        <w:rPr>
          <w:rStyle w:val="EndnoteReference"/>
        </w:rPr>
        <w:endnoteRef/>
      </w:r>
      <w:r>
        <w:t xml:space="preserve"> </w:t>
      </w:r>
      <w:r w:rsidRPr="00FE12B8">
        <w:rPr>
          <w:rFonts w:cs="Arial"/>
          <w:i/>
        </w:rPr>
        <w:t>Xiros v Fortis Life Assurance Ltd</w:t>
      </w:r>
      <w:r w:rsidRPr="00FE12B8">
        <w:rPr>
          <w:rFonts w:cs="Arial"/>
        </w:rPr>
        <w:t xml:space="preserve"> </w:t>
      </w:r>
      <w:r>
        <w:rPr>
          <w:lang w:val="en"/>
        </w:rPr>
        <w:t xml:space="preserve">[2001] FMCA 15 (6 April 2001) </w:t>
      </w:r>
      <w:r w:rsidRPr="00FE12B8">
        <w:rPr>
          <w:rFonts w:cs="Arial"/>
        </w:rPr>
        <w:t>[16] (</w:t>
      </w:r>
      <w:r>
        <w:rPr>
          <w:rFonts w:cs="Arial"/>
        </w:rPr>
        <w:t xml:space="preserve">referring to </w:t>
      </w:r>
      <w:r w:rsidRPr="00FE12B8">
        <w:rPr>
          <w:rFonts w:cs="Arial"/>
          <w:i/>
          <w:iCs/>
          <w:color w:val="000000"/>
        </w:rPr>
        <w:t xml:space="preserve">Waters v Public Transport Corporation </w:t>
      </w:r>
      <w:hyperlink r:id="rId4" w:tooltip="View LawCiteRecord" w:history="1">
        <w:r w:rsidRPr="00FE12B8">
          <w:rPr>
            <w:rFonts w:cs="Arial"/>
          </w:rPr>
          <w:t>(1991) 173 CLR 349</w:t>
        </w:r>
      </w:hyperlink>
      <w:r>
        <w:rPr>
          <w:rFonts w:cs="Arial"/>
        </w:rPr>
        <w:t xml:space="preserve">, 395 in which Dawson and Toohey JJ referred with approval to a decision of the Federal Court in </w:t>
      </w:r>
      <w:r w:rsidRPr="00C70A9B">
        <w:rPr>
          <w:rFonts w:cs="Arial"/>
          <w:i/>
        </w:rPr>
        <w:t>Secretary, Department of Foreign Affairs and Trade v Styles</w:t>
      </w:r>
      <w:r>
        <w:rPr>
          <w:rFonts w:cs="Arial"/>
        </w:rPr>
        <w:t xml:space="preserve"> (1989) 23 FCR 251, 263</w:t>
      </w:r>
      <w:r w:rsidRPr="00FE12B8">
        <w:rPr>
          <w:rFonts w:cs="Arial"/>
        </w:rPr>
        <w:t>).</w:t>
      </w:r>
      <w:r>
        <w:rPr>
          <w:rFonts w:cs="Arial"/>
        </w:rPr>
        <w:t xml:space="preserve"> See also </w:t>
      </w:r>
      <w:r w:rsidRPr="00454B54">
        <w:rPr>
          <w:i/>
        </w:rPr>
        <w:t>QBE Travel Insurance v Bassanelli</w:t>
      </w:r>
      <w:r>
        <w:t xml:space="preserve"> (2004) 137 FCR 88, [51].</w:t>
      </w:r>
    </w:p>
  </w:endnote>
  <w:endnote w:id="32">
    <w:p w14:paraId="4DD27215" w14:textId="77777777" w:rsidR="00912CF5" w:rsidRDefault="00912CF5" w:rsidP="007A49DA">
      <w:pPr>
        <w:pStyle w:val="EndnoteText"/>
      </w:pPr>
      <w:r>
        <w:rPr>
          <w:rStyle w:val="EndnoteReference"/>
        </w:rPr>
        <w:endnoteRef/>
      </w:r>
      <w:r>
        <w:t xml:space="preserve"> </w:t>
      </w:r>
      <w:r w:rsidRPr="00454B54">
        <w:rPr>
          <w:i/>
        </w:rPr>
        <w:t>QBE Travel Insurance v Bassanelli</w:t>
      </w:r>
      <w:r>
        <w:t xml:space="preserve"> (2004) 137 FCR 88, [21], [40]-[43] and [45].</w:t>
      </w:r>
    </w:p>
  </w:endnote>
  <w:endnote w:id="33">
    <w:p w14:paraId="1D6F6726" w14:textId="77777777" w:rsidR="00912CF5" w:rsidRDefault="00912CF5" w:rsidP="0033012D">
      <w:pPr>
        <w:pStyle w:val="EndnoteText"/>
      </w:pPr>
      <w:r>
        <w:rPr>
          <w:rStyle w:val="EndnoteReference"/>
        </w:rPr>
        <w:endnoteRef/>
      </w:r>
      <w:r>
        <w:t xml:space="preserve"> </w:t>
      </w:r>
      <w:r w:rsidRPr="00454B54">
        <w:rPr>
          <w:i/>
        </w:rPr>
        <w:t>QBE Travel Insurance v Bassanelli</w:t>
      </w:r>
      <w:r>
        <w:t xml:space="preserve"> (2004) 137 FCR 88, [81] and [83].</w:t>
      </w:r>
    </w:p>
  </w:endnote>
  <w:endnote w:id="34">
    <w:p w14:paraId="55D4D646" w14:textId="19ED104C" w:rsidR="00912CF5" w:rsidRDefault="00912CF5" w:rsidP="00E142BB">
      <w:pPr>
        <w:pStyle w:val="EndnoteText"/>
      </w:pPr>
      <w:r>
        <w:rPr>
          <w:rStyle w:val="EndnoteReference"/>
        </w:rPr>
        <w:endnoteRef/>
      </w:r>
      <w:r>
        <w:t xml:space="preserve"> </w:t>
      </w:r>
      <w:r w:rsidRPr="00FE12B8">
        <w:rPr>
          <w:rFonts w:cs="Arial"/>
          <w:i/>
        </w:rPr>
        <w:t>Xiros v Fortis Life Assurance Ltd</w:t>
      </w:r>
      <w:r w:rsidRPr="00FE12B8">
        <w:rPr>
          <w:rFonts w:cs="Arial"/>
        </w:rPr>
        <w:t xml:space="preserve"> </w:t>
      </w:r>
      <w:r>
        <w:rPr>
          <w:lang w:val="en"/>
        </w:rPr>
        <w:t>[2001] FMCA 15 (6 April 2001)</w:t>
      </w:r>
      <w:r w:rsidRPr="007F4306">
        <w:rPr>
          <w:rFonts w:cs="Arial"/>
          <w:bCs/>
          <w:color w:val="000000"/>
          <w:sz w:val="24"/>
          <w:szCs w:val="24"/>
        </w:rPr>
        <w:t>.</w:t>
      </w:r>
    </w:p>
  </w:endnote>
  <w:endnote w:id="35">
    <w:p w14:paraId="612D217B" w14:textId="77777777" w:rsidR="00912CF5" w:rsidRDefault="00912CF5" w:rsidP="00660076">
      <w:pPr>
        <w:pStyle w:val="EndnoteText"/>
      </w:pPr>
      <w:r>
        <w:rPr>
          <w:rStyle w:val="EndnoteReference"/>
        </w:rPr>
        <w:endnoteRef/>
      </w:r>
      <w:r>
        <w:t xml:space="preserve"> </w:t>
      </w:r>
      <w:r w:rsidRPr="00FE12B8">
        <w:rPr>
          <w:rFonts w:cs="Arial"/>
          <w:i/>
        </w:rPr>
        <w:t>Xiros v Fortis Life Assurance Ltd</w:t>
      </w:r>
      <w:r w:rsidRPr="00FE12B8">
        <w:rPr>
          <w:rFonts w:cs="Arial"/>
        </w:rPr>
        <w:t xml:space="preserve"> </w:t>
      </w:r>
      <w:r>
        <w:rPr>
          <w:lang w:val="en"/>
        </w:rPr>
        <w:t xml:space="preserve">[2001] FMCA 15 (6 April 2001) </w:t>
      </w:r>
      <w:r>
        <w:rPr>
          <w:rFonts w:cs="Arial"/>
        </w:rPr>
        <w:t>[16].</w:t>
      </w:r>
    </w:p>
  </w:endnote>
  <w:endnote w:id="36">
    <w:p w14:paraId="1B6A54A9" w14:textId="77777777" w:rsidR="00912CF5" w:rsidRDefault="00912CF5" w:rsidP="00E142BB">
      <w:pPr>
        <w:pStyle w:val="EndnoteText"/>
      </w:pPr>
      <w:r>
        <w:rPr>
          <w:rStyle w:val="EndnoteReference"/>
        </w:rPr>
        <w:endnoteRef/>
      </w:r>
      <w:r>
        <w:t xml:space="preserve"> </w:t>
      </w:r>
      <w:r w:rsidRPr="00FE12B8">
        <w:rPr>
          <w:rFonts w:cs="Arial"/>
          <w:i/>
        </w:rPr>
        <w:t>Xiros v Fortis Life Assurance Ltd</w:t>
      </w:r>
      <w:r w:rsidRPr="00FE12B8">
        <w:rPr>
          <w:rFonts w:cs="Arial"/>
        </w:rPr>
        <w:t xml:space="preserve"> </w:t>
      </w:r>
      <w:r>
        <w:rPr>
          <w:lang w:val="en"/>
        </w:rPr>
        <w:t xml:space="preserve">[2001] FMCA 15 (6 April 2001) </w:t>
      </w:r>
      <w:r>
        <w:rPr>
          <w:rFonts w:cs="Arial"/>
        </w:rPr>
        <w:t>[16]–[17].</w:t>
      </w:r>
    </w:p>
  </w:endnote>
  <w:endnote w:id="37">
    <w:p w14:paraId="593E9D3A" w14:textId="77777777" w:rsidR="00912CF5" w:rsidRDefault="00912CF5">
      <w:pPr>
        <w:pStyle w:val="EndnoteText"/>
      </w:pPr>
      <w:r>
        <w:rPr>
          <w:rStyle w:val="EndnoteReference"/>
        </w:rPr>
        <w:endnoteRef/>
      </w:r>
      <w:r>
        <w:t xml:space="preserve"> </w:t>
      </w:r>
      <w:r w:rsidRPr="00FE12B8">
        <w:rPr>
          <w:rFonts w:cs="Arial"/>
          <w:i/>
        </w:rPr>
        <w:t>Xiros v Fortis Life Assurance Ltd</w:t>
      </w:r>
      <w:r w:rsidRPr="00FE12B8">
        <w:rPr>
          <w:rFonts w:cs="Arial"/>
        </w:rPr>
        <w:t xml:space="preserve"> </w:t>
      </w:r>
      <w:r>
        <w:rPr>
          <w:lang w:val="en"/>
        </w:rPr>
        <w:t xml:space="preserve">[2001] FMCA 15 (6 April 2001) </w:t>
      </w:r>
      <w:r>
        <w:rPr>
          <w:rFonts w:cs="Arial"/>
        </w:rPr>
        <w:t>[17].</w:t>
      </w:r>
    </w:p>
  </w:endnote>
  <w:endnote w:id="38">
    <w:p w14:paraId="52229EFF" w14:textId="77777777" w:rsidR="00912CF5" w:rsidRDefault="00912CF5" w:rsidP="00660076">
      <w:pPr>
        <w:pStyle w:val="EndnoteText"/>
      </w:pPr>
      <w:r>
        <w:rPr>
          <w:rStyle w:val="EndnoteReference"/>
        </w:rPr>
        <w:endnoteRef/>
      </w:r>
      <w:r>
        <w:t xml:space="preserve"> </w:t>
      </w:r>
      <w:r w:rsidRPr="00454B54">
        <w:rPr>
          <w:i/>
        </w:rPr>
        <w:t>QBE Travel Insurance v Bassanelli</w:t>
      </w:r>
      <w:r>
        <w:t xml:space="preserve"> (2004) 137 FCR 88.</w:t>
      </w:r>
    </w:p>
  </w:endnote>
  <w:endnote w:id="39">
    <w:p w14:paraId="153A902E" w14:textId="77777777" w:rsidR="00912CF5" w:rsidRDefault="00912CF5" w:rsidP="00660076">
      <w:pPr>
        <w:pStyle w:val="EndnoteText"/>
      </w:pPr>
      <w:r>
        <w:rPr>
          <w:rStyle w:val="EndnoteReference"/>
        </w:rPr>
        <w:endnoteRef/>
      </w:r>
      <w:r>
        <w:t xml:space="preserve"> </w:t>
      </w:r>
      <w:r w:rsidRPr="00454B54">
        <w:rPr>
          <w:i/>
        </w:rPr>
        <w:t>QBE Travel Insurance v Bassanelli</w:t>
      </w:r>
      <w:r>
        <w:t xml:space="preserve"> (2004) 137 FCR 88, [83].</w:t>
      </w:r>
    </w:p>
  </w:endnote>
  <w:endnote w:id="40">
    <w:p w14:paraId="02B9EBA3" w14:textId="77777777" w:rsidR="00912CF5" w:rsidRDefault="00912CF5" w:rsidP="00660076">
      <w:pPr>
        <w:pStyle w:val="EndnoteText"/>
      </w:pPr>
      <w:r>
        <w:rPr>
          <w:rStyle w:val="EndnoteReference"/>
        </w:rPr>
        <w:endnoteRef/>
      </w:r>
      <w:r>
        <w:t xml:space="preserve"> </w:t>
      </w:r>
      <w:r w:rsidRPr="00454B54">
        <w:rPr>
          <w:i/>
        </w:rPr>
        <w:t>QBE Travel Insurance v Bassanelli</w:t>
      </w:r>
      <w:r>
        <w:t xml:space="preserve"> (2004) 137 FCR 88, [85].</w:t>
      </w:r>
    </w:p>
  </w:endnote>
  <w:endnote w:id="41">
    <w:p w14:paraId="31918529" w14:textId="77777777" w:rsidR="00912CF5" w:rsidRDefault="00912CF5" w:rsidP="002F73B0">
      <w:pPr>
        <w:pStyle w:val="EndnoteText"/>
      </w:pPr>
      <w:r>
        <w:rPr>
          <w:rStyle w:val="EndnoteReference"/>
        </w:rPr>
        <w:endnoteRef/>
      </w:r>
      <w:r>
        <w:t xml:space="preserve"> </w:t>
      </w:r>
      <w:r w:rsidRPr="00454B54">
        <w:rPr>
          <w:i/>
        </w:rPr>
        <w:t>QBE Travel Insurance v Bassanelli</w:t>
      </w:r>
      <w:r>
        <w:t xml:space="preserve"> (2004) 137 FCR 88,</w:t>
      </w:r>
      <w:r>
        <w:rPr>
          <w:rFonts w:ascii="xf30" w:eastAsia="Times New Roman" w:hAnsi="xf30" w:cs="xf30"/>
        </w:rPr>
        <w:t xml:space="preserve"> see [19], [57] and [45]–[48].</w:t>
      </w:r>
    </w:p>
  </w:endnote>
  <w:endnote w:id="42">
    <w:p w14:paraId="36AE5189" w14:textId="77777777" w:rsidR="00912CF5" w:rsidRDefault="00912CF5">
      <w:pPr>
        <w:pStyle w:val="EndnoteText"/>
      </w:pPr>
      <w:r>
        <w:rPr>
          <w:rStyle w:val="EndnoteReference"/>
        </w:rPr>
        <w:endnoteRef/>
      </w:r>
      <w:r>
        <w:t xml:space="preserve"> Australian Human Rights Commission, </w:t>
      </w:r>
      <w:r w:rsidRPr="00953C76">
        <w:rPr>
          <w:i/>
        </w:rPr>
        <w:t>Register of Disability Discrimination Act Action Plans</w:t>
      </w:r>
      <w:r>
        <w:t xml:space="preserve">. At </w:t>
      </w:r>
      <w:hyperlink r:id="rId5" w:history="1">
        <w:r w:rsidRPr="006B2469">
          <w:rPr>
            <w:rStyle w:val="Hyperlink"/>
          </w:rPr>
          <w:t>https://www.humanrights.gov.au/our-work/disability-rights/action-plans/register-disability-discrimination-act-action-plans</w:t>
        </w:r>
      </w:hyperlink>
      <w:r>
        <w:t xml:space="preserve"> (viewed 29 September 2016).</w:t>
      </w:r>
    </w:p>
  </w:endnote>
  <w:endnote w:id="43">
    <w:p w14:paraId="587AC4DE" w14:textId="77777777" w:rsidR="00912CF5" w:rsidRDefault="00912CF5" w:rsidP="0018531B">
      <w:pPr>
        <w:pStyle w:val="EndnoteText"/>
      </w:pPr>
      <w:r>
        <w:rPr>
          <w:rStyle w:val="EndnoteReference"/>
        </w:rPr>
        <w:endnoteRef/>
      </w:r>
      <w:r>
        <w:t xml:space="preserve"> </w:t>
      </w:r>
      <w:r w:rsidRPr="00A71FF4">
        <w:rPr>
          <w:i/>
        </w:rPr>
        <w:t>Ingram v QBE Insurance (Australia) Ltd</w:t>
      </w:r>
      <w:r w:rsidRPr="00C83046">
        <w:t xml:space="preserve"> (Human Rights) [2015] VCAT 1936</w:t>
      </w:r>
      <w:r>
        <w:t>, [127].</w:t>
      </w:r>
    </w:p>
  </w:endnote>
  <w:endnote w:id="44">
    <w:p w14:paraId="2B6C2B93" w14:textId="77777777" w:rsidR="00912CF5" w:rsidRDefault="00912CF5" w:rsidP="009C1618">
      <w:pPr>
        <w:pStyle w:val="EndnoteText"/>
      </w:pPr>
      <w:r>
        <w:rPr>
          <w:rStyle w:val="EndnoteReference"/>
        </w:rPr>
        <w:endnoteRef/>
      </w:r>
      <w:r>
        <w:t xml:space="preserve"> </w:t>
      </w:r>
      <w:r w:rsidRPr="002A57F8">
        <w:rPr>
          <w:lang w:val="en-US"/>
        </w:rPr>
        <w:t>Explanatory Memorandum to the Disability Discrimination Bill 1992 (Cth), p</w:t>
      </w:r>
      <w:r>
        <w:rPr>
          <w:lang w:val="en-US"/>
        </w:rPr>
        <w:t xml:space="preserve"> </w:t>
      </w:r>
      <w:r w:rsidRPr="002A57F8">
        <w:rPr>
          <w:lang w:val="en-US"/>
        </w:rPr>
        <w:t>7.</w:t>
      </w:r>
    </w:p>
  </w:endnote>
  <w:endnote w:id="45">
    <w:p w14:paraId="6FD06A5C" w14:textId="77777777" w:rsidR="00912CF5" w:rsidRDefault="00912CF5" w:rsidP="00BC3207">
      <w:pPr>
        <w:pStyle w:val="EndnoteText"/>
      </w:pPr>
      <w:r>
        <w:rPr>
          <w:rStyle w:val="EndnoteReference"/>
        </w:rPr>
        <w:endnoteRef/>
      </w:r>
      <w:r>
        <w:t xml:space="preserve"> See </w:t>
      </w:r>
      <w:r w:rsidRPr="008501BE">
        <w:rPr>
          <w:i/>
        </w:rPr>
        <w:t>Disability Discrimination Act 1992</w:t>
      </w:r>
      <w:r>
        <w:t xml:space="preserve"> (Cth) s 11(1).</w:t>
      </w:r>
    </w:p>
  </w:endnote>
  <w:endnote w:id="46">
    <w:p w14:paraId="298D41F6"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[214].</w:t>
      </w:r>
    </w:p>
  </w:endnote>
  <w:endnote w:id="47">
    <w:p w14:paraId="2B283BA2"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[216].</w:t>
      </w:r>
    </w:p>
  </w:endnote>
  <w:endnote w:id="48">
    <w:p w14:paraId="41847158" w14:textId="77777777" w:rsidR="00912CF5" w:rsidRDefault="00912CF5">
      <w:pPr>
        <w:pStyle w:val="EndnoteText"/>
      </w:pPr>
      <w:r>
        <w:rPr>
          <w:rStyle w:val="EndnoteReference"/>
        </w:rPr>
        <w:endnoteRef/>
      </w:r>
      <w:r>
        <w:t xml:space="preserve"> See </w:t>
      </w:r>
      <w:r w:rsidRPr="003C49A2">
        <w:rPr>
          <w:i/>
        </w:rPr>
        <w:t>King v Jetstar (No 2)</w:t>
      </w:r>
      <w:r>
        <w:t xml:space="preserve"> [2012] FCA 8 (13 January 2012) [256]. </w:t>
      </w:r>
    </w:p>
  </w:endnote>
  <w:endnote w:id="49">
    <w:p w14:paraId="10FD1F5A"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w:t>
      </w:r>
    </w:p>
  </w:endnote>
  <w:endnote w:id="50">
    <w:p w14:paraId="59A88620"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[77].</w:t>
      </w:r>
    </w:p>
  </w:endnote>
  <w:endnote w:id="51">
    <w:p w14:paraId="312E6FF0"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[135]–[136].</w:t>
      </w:r>
    </w:p>
  </w:endnote>
  <w:endnote w:id="52">
    <w:p w14:paraId="5D891CC2" w14:textId="77777777" w:rsidR="00912CF5" w:rsidRDefault="00912CF5" w:rsidP="00722C4E">
      <w:pPr>
        <w:pStyle w:val="EndnoteText"/>
      </w:pPr>
      <w:r>
        <w:rPr>
          <w:rStyle w:val="EndnoteReference"/>
        </w:rPr>
        <w:endnoteRef/>
      </w:r>
      <w:r>
        <w:t xml:space="preserve"> </w:t>
      </w:r>
      <w:r w:rsidRPr="00A71FF4">
        <w:rPr>
          <w:i/>
        </w:rPr>
        <w:t>Ingram v QBE Insurance (Australia) Ltd</w:t>
      </w:r>
      <w:r w:rsidRPr="00C83046">
        <w:t xml:space="preserve"> (Human Rights) [2015] VCAT 1936</w:t>
      </w:r>
      <w:r>
        <w:t>, [136].</w:t>
      </w:r>
    </w:p>
  </w:endnote>
  <w:endnote w:id="53">
    <w:p w14:paraId="70211EC2" w14:textId="77777777" w:rsidR="00912CF5" w:rsidRDefault="00912CF5">
      <w:pPr>
        <w:pStyle w:val="EndnoteText"/>
      </w:pPr>
      <w:r>
        <w:rPr>
          <w:rStyle w:val="EndnoteReference"/>
        </w:rPr>
        <w:endnoteRef/>
      </w:r>
      <w:r>
        <w:t xml:space="preserve"> See </w:t>
      </w:r>
      <w:r w:rsidRPr="00F01ECF">
        <w:rPr>
          <w:i/>
        </w:rPr>
        <w:t>Disability Discrimination Act 1992</w:t>
      </w:r>
      <w:r>
        <w:t xml:space="preserve"> (Cth) s 11(2). </w:t>
      </w:r>
    </w:p>
  </w:endnote>
  <w:endnote w:id="54">
    <w:p w14:paraId="41A5E1FA"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[222].</w:t>
      </w:r>
    </w:p>
  </w:endnote>
  <w:endnote w:id="55">
    <w:p w14:paraId="13DB0412" w14:textId="77777777" w:rsidR="00912CF5" w:rsidRDefault="00912CF5" w:rsidP="00BC5BCD">
      <w:pPr>
        <w:pStyle w:val="EndnoteText"/>
      </w:pPr>
      <w:r>
        <w:rPr>
          <w:rStyle w:val="EndnoteReference"/>
        </w:rPr>
        <w:endnoteRef/>
      </w:r>
      <w:r>
        <w:t xml:space="preserve"> </w:t>
      </w:r>
      <w:r w:rsidRPr="00A71FF4">
        <w:rPr>
          <w:i/>
        </w:rPr>
        <w:t>Ingram v QBE Insurance (Australia) Ltd</w:t>
      </w:r>
      <w:r w:rsidRPr="00C83046">
        <w:t xml:space="preserve"> (Human Rights) [2015] VCAT 1936</w:t>
      </w:r>
      <w:r>
        <w:t>, [239].</w:t>
      </w:r>
    </w:p>
  </w:endnote>
  <w:endnote w:id="56">
    <w:p w14:paraId="5437EE9F" w14:textId="77777777" w:rsidR="00912CF5" w:rsidRDefault="00912CF5" w:rsidP="00BC5BCD">
      <w:pPr>
        <w:pStyle w:val="EndnoteText"/>
      </w:pPr>
      <w:r>
        <w:rPr>
          <w:rStyle w:val="EndnoteReference"/>
        </w:rPr>
        <w:endnoteRef/>
      </w:r>
      <w:r>
        <w:t xml:space="preserve"> </w:t>
      </w:r>
      <w:r w:rsidRPr="00A71FF4">
        <w:rPr>
          <w:i/>
        </w:rPr>
        <w:t>Ingram v QBE Insurance (Australia) Ltd</w:t>
      </w:r>
      <w:r w:rsidRPr="00C83046">
        <w:t xml:space="preserve"> (Human Rights) [2015] VCAT 1936</w:t>
      </w:r>
      <w:r>
        <w:t>, [240].</w:t>
      </w:r>
    </w:p>
  </w:endnote>
  <w:endnote w:id="57">
    <w:p w14:paraId="00CA1991" w14:textId="77777777" w:rsidR="00912CF5" w:rsidRDefault="00912CF5" w:rsidP="00BC5BCD">
      <w:pPr>
        <w:pStyle w:val="EndnoteText"/>
      </w:pPr>
      <w:r>
        <w:rPr>
          <w:rStyle w:val="EndnoteReference"/>
        </w:rPr>
        <w:endnoteRef/>
      </w:r>
      <w:r>
        <w:t xml:space="preserve"> </w:t>
      </w:r>
      <w:r w:rsidRPr="00A71FF4">
        <w:rPr>
          <w:i/>
        </w:rPr>
        <w:t>Ingram v QBE Insurance (Australia) Ltd</w:t>
      </w:r>
      <w:r w:rsidRPr="00C83046">
        <w:t xml:space="preserve"> (Human Rights) [2015] VCAT 1936</w:t>
      </w:r>
      <w:r>
        <w:t>, [241].</w:t>
      </w:r>
    </w:p>
  </w:endnote>
  <w:endnote w:id="58">
    <w:p w14:paraId="64436DF2" w14:textId="77777777" w:rsidR="00912CF5" w:rsidRDefault="00912CF5" w:rsidP="00BC5BCD">
      <w:pPr>
        <w:pStyle w:val="EndnoteText"/>
      </w:pPr>
      <w:r>
        <w:rPr>
          <w:rStyle w:val="EndnoteReference"/>
        </w:rPr>
        <w:endnoteRef/>
      </w:r>
      <w:r>
        <w:t xml:space="preserve"> </w:t>
      </w:r>
      <w:r w:rsidRPr="00A71FF4">
        <w:rPr>
          <w:i/>
        </w:rPr>
        <w:t>Ingram v QBE Insurance (Australia) Ltd</w:t>
      </w:r>
      <w:r w:rsidRPr="00C83046">
        <w:t xml:space="preserve"> (Human Rights) [2015] VCAT 1936</w:t>
      </w:r>
      <w:r>
        <w:t>, [244].</w:t>
      </w:r>
    </w:p>
  </w:endnote>
  <w:endnote w:id="59">
    <w:p w14:paraId="09DDC572" w14:textId="77777777" w:rsidR="00912CF5" w:rsidRDefault="00912CF5" w:rsidP="003735BC">
      <w:pPr>
        <w:pStyle w:val="EndnoteText"/>
      </w:pPr>
      <w:r>
        <w:rPr>
          <w:rStyle w:val="EndnoteReference"/>
        </w:rPr>
        <w:endnoteRef/>
      </w:r>
      <w:r>
        <w:t xml:space="preserve"> </w:t>
      </w:r>
      <w:r w:rsidRPr="00A71FF4">
        <w:rPr>
          <w:i/>
        </w:rPr>
        <w:t>Ingram v QBE Insurance (Australia) Ltd</w:t>
      </w:r>
      <w:r w:rsidRPr="00C83046">
        <w:t xml:space="preserve"> (Human Rights) [2015] VCAT 1936</w:t>
      </w:r>
      <w:r>
        <w:t>, [245].</w:t>
      </w:r>
    </w:p>
  </w:endnote>
  <w:endnote w:id="60">
    <w:p w14:paraId="1BEC4DE7"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[246].</w:t>
      </w:r>
    </w:p>
  </w:endnote>
  <w:endnote w:id="61">
    <w:p w14:paraId="53756631" w14:textId="77777777" w:rsidR="00912CF5" w:rsidRDefault="00912CF5">
      <w:pPr>
        <w:pStyle w:val="EndnoteText"/>
      </w:pPr>
      <w:r>
        <w:rPr>
          <w:rStyle w:val="EndnoteReference"/>
        </w:rPr>
        <w:endnoteRef/>
      </w:r>
      <w:r>
        <w:t xml:space="preserve"> </w:t>
      </w:r>
      <w:r w:rsidRPr="00A71FF4">
        <w:rPr>
          <w:i/>
        </w:rPr>
        <w:t>Ingram v QBE Insurance (Australia) Ltd</w:t>
      </w:r>
      <w:r w:rsidRPr="00C83046">
        <w:t xml:space="preserve"> (Human Rights) [2015] VCAT 1936</w:t>
      </w:r>
      <w:r>
        <w:t>, [302].</w:t>
      </w:r>
    </w:p>
  </w:endnote>
  <w:endnote w:id="62">
    <w:p w14:paraId="59DE4662" w14:textId="77777777" w:rsidR="00912CF5" w:rsidRDefault="00912CF5" w:rsidP="00895E2A">
      <w:pPr>
        <w:pStyle w:val="EndnoteText"/>
      </w:pPr>
      <w:r>
        <w:rPr>
          <w:rStyle w:val="EndnoteReference"/>
        </w:rPr>
        <w:endnoteRef/>
      </w:r>
      <w:r>
        <w:t xml:space="preserve"> </w:t>
      </w:r>
      <w:r w:rsidRPr="00A71FF4">
        <w:rPr>
          <w:i/>
        </w:rPr>
        <w:t>Ingram v QBE Insurance (Australia) Ltd</w:t>
      </w:r>
      <w:r w:rsidRPr="00C83046">
        <w:t xml:space="preserve"> (Human Rights) [2015] VCAT 1936</w:t>
      </w:r>
      <w:r>
        <w:t>, [11] and [260].</w:t>
      </w:r>
    </w:p>
  </w:endnote>
  <w:endnote w:id="63">
    <w:p w14:paraId="3F3EFC9C" w14:textId="77777777" w:rsidR="00912CF5" w:rsidRDefault="00912CF5" w:rsidP="00402137">
      <w:pPr>
        <w:pStyle w:val="EndnoteText"/>
      </w:pPr>
      <w:r>
        <w:rPr>
          <w:rStyle w:val="EndnoteReference"/>
        </w:rPr>
        <w:endnoteRef/>
      </w:r>
      <w:r>
        <w:t xml:space="preserve"> </w:t>
      </w:r>
      <w:r w:rsidRPr="00CF1B54">
        <w:t>(1997) EOC 92-903, 77,453.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xf3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2962A" w14:textId="77777777" w:rsidR="00912CF5" w:rsidRPr="0090165F" w:rsidRDefault="00912CF5"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D6808" w14:textId="77777777" w:rsidR="00912CF5" w:rsidRPr="004A187B" w:rsidRDefault="00912CF5" w:rsidP="008B23BC">
    <w:pPr>
      <w:pStyle w:val="Footer"/>
    </w:pPr>
    <w:r>
      <w:rPr>
        <w:noProof/>
      </w:rPr>
      <mc:AlternateContent>
        <mc:Choice Requires="wps">
          <w:drawing>
            <wp:anchor distT="0" distB="0" distL="114300" distR="114300" simplePos="0" relativeHeight="251660288" behindDoc="0" locked="0" layoutInCell="1" allowOverlap="1" wp14:anchorId="10C88F67" wp14:editId="7932191D">
              <wp:simplePos x="0" y="0"/>
              <wp:positionH relativeFrom="column">
                <wp:posOffset>-548005</wp:posOffset>
              </wp:positionH>
              <wp:positionV relativeFrom="paragraph">
                <wp:posOffset>-1305560</wp:posOffset>
              </wp:positionV>
              <wp:extent cx="6071235" cy="854075"/>
              <wp:effectExtent l="0" t="0" r="571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0B928C9E" w14:textId="77777777" w:rsidR="00912CF5" w:rsidRPr="0003606D" w:rsidRDefault="00912CF5" w:rsidP="0003606D">
                          <w:pPr>
                            <w:pStyle w:val="coveraddresses"/>
                          </w:pPr>
                          <w:r w:rsidRPr="0003606D">
                            <w:t>ABN 47 996 232 602</w:t>
                          </w:r>
                        </w:p>
                        <w:p w14:paraId="1029530E" w14:textId="77777777" w:rsidR="00912CF5" w:rsidRPr="0003606D" w:rsidRDefault="00912CF5" w:rsidP="0003606D">
                          <w:pPr>
                            <w:pStyle w:val="coveraddresses"/>
                          </w:pPr>
                          <w:r w:rsidRPr="0003606D">
                            <w:t>Level 3, 175 Pitt Street, Sydney NSW 2000</w:t>
                          </w:r>
                        </w:p>
                        <w:p w14:paraId="1C6408C5" w14:textId="77777777" w:rsidR="00912CF5" w:rsidRPr="0003606D" w:rsidRDefault="00912CF5" w:rsidP="0003606D">
                          <w:pPr>
                            <w:pStyle w:val="coveraddresses"/>
                          </w:pPr>
                          <w:r w:rsidRPr="0003606D">
                            <w:t>GPO Box 5218, Sydney NSW 2001</w:t>
                          </w:r>
                        </w:p>
                        <w:p w14:paraId="44B12863" w14:textId="77777777" w:rsidR="00912CF5" w:rsidRPr="0003606D" w:rsidRDefault="00912CF5" w:rsidP="0003606D">
                          <w:pPr>
                            <w:pStyle w:val="coveraddresses"/>
                          </w:pPr>
                          <w:r w:rsidRPr="0003606D">
                            <w:t>General enquiries 1300 369 711</w:t>
                          </w:r>
                        </w:p>
                        <w:p w14:paraId="5B6727FE" w14:textId="77777777" w:rsidR="00912CF5" w:rsidRPr="0003606D" w:rsidRDefault="00912CF5" w:rsidP="0003606D">
                          <w:pPr>
                            <w:pStyle w:val="coveraddresses"/>
                          </w:pPr>
                          <w:r w:rsidRPr="0003606D">
                            <w:t>Complaints info line 1300 656 419</w:t>
                          </w:r>
                        </w:p>
                        <w:p w14:paraId="1F7626CC" w14:textId="77777777" w:rsidR="00912CF5" w:rsidRPr="0003606D" w:rsidRDefault="00912CF5" w:rsidP="0003606D">
                          <w:pPr>
                            <w:pStyle w:val="coveraddresses"/>
                          </w:pPr>
                          <w:r w:rsidRPr="0003606D">
                            <w:t>TTY 1800 620 241</w:t>
                          </w:r>
                        </w:p>
                        <w:p w14:paraId="12BB2CB0" w14:textId="77777777" w:rsidR="00912CF5" w:rsidRPr="00B63D24" w:rsidRDefault="00912CF5"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8F67" id="_x0000_t202" coordsize="21600,21600" o:spt="202" path="m,l,21600r21600,l21600,xe">
              <v:stroke joinstyle="miter"/>
              <v:path gradientshapeok="t" o:connecttype="rect"/>
            </v:shapetype>
            <v:shape id="Text Box 9" o:spid="_x0000_s1040"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14:paraId="0B928C9E" w14:textId="77777777" w:rsidR="00912CF5" w:rsidRPr="0003606D" w:rsidRDefault="00912CF5" w:rsidP="0003606D">
                    <w:pPr>
                      <w:pStyle w:val="coveraddresses"/>
                    </w:pPr>
                    <w:r w:rsidRPr="0003606D">
                      <w:t>ABN 47 996 232 602</w:t>
                    </w:r>
                  </w:p>
                  <w:p w14:paraId="1029530E" w14:textId="77777777" w:rsidR="00912CF5" w:rsidRPr="0003606D" w:rsidRDefault="00912CF5" w:rsidP="0003606D">
                    <w:pPr>
                      <w:pStyle w:val="coveraddresses"/>
                    </w:pPr>
                    <w:r w:rsidRPr="0003606D">
                      <w:t>Level 3, 175 Pitt Street, Sydney NSW 2000</w:t>
                    </w:r>
                  </w:p>
                  <w:p w14:paraId="1C6408C5" w14:textId="77777777" w:rsidR="00912CF5" w:rsidRPr="0003606D" w:rsidRDefault="00912CF5" w:rsidP="0003606D">
                    <w:pPr>
                      <w:pStyle w:val="coveraddresses"/>
                    </w:pPr>
                    <w:r w:rsidRPr="0003606D">
                      <w:t>GPO Box 5218, Sydney NSW 2001</w:t>
                    </w:r>
                  </w:p>
                  <w:p w14:paraId="44B12863" w14:textId="77777777" w:rsidR="00912CF5" w:rsidRPr="0003606D" w:rsidRDefault="00912CF5" w:rsidP="0003606D">
                    <w:pPr>
                      <w:pStyle w:val="coveraddresses"/>
                    </w:pPr>
                    <w:r w:rsidRPr="0003606D">
                      <w:t>General enquiries 1300 369 711</w:t>
                    </w:r>
                  </w:p>
                  <w:p w14:paraId="5B6727FE" w14:textId="77777777" w:rsidR="00912CF5" w:rsidRPr="0003606D" w:rsidRDefault="00912CF5" w:rsidP="0003606D">
                    <w:pPr>
                      <w:pStyle w:val="coveraddresses"/>
                    </w:pPr>
                    <w:r w:rsidRPr="0003606D">
                      <w:t>Complaints info line 1300 656 419</w:t>
                    </w:r>
                  </w:p>
                  <w:p w14:paraId="1F7626CC" w14:textId="77777777" w:rsidR="00912CF5" w:rsidRPr="0003606D" w:rsidRDefault="00912CF5" w:rsidP="0003606D">
                    <w:pPr>
                      <w:pStyle w:val="coveraddresses"/>
                    </w:pPr>
                    <w:r w:rsidRPr="0003606D">
                      <w:t>TTY 1800 620 241</w:t>
                    </w:r>
                  </w:p>
                  <w:p w14:paraId="12BB2CB0" w14:textId="77777777" w:rsidR="00912CF5" w:rsidRPr="00B63D24" w:rsidRDefault="00912CF5"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D071" w14:textId="18E80D62" w:rsidR="00912CF5" w:rsidRPr="0090165F" w:rsidRDefault="00912CF5"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4C4C4E">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77B58" w14:textId="77777777" w:rsidR="00912CF5" w:rsidRDefault="00912CF5" w:rsidP="00F14C6D">
      <w:r>
        <w:separator/>
      </w:r>
    </w:p>
  </w:footnote>
  <w:footnote w:type="continuationSeparator" w:id="0">
    <w:p w14:paraId="6E66886B" w14:textId="77777777" w:rsidR="00912CF5" w:rsidRDefault="00912CF5"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6B13" w14:textId="77777777" w:rsidR="00912CF5" w:rsidRPr="00D27262" w:rsidRDefault="00912CF5" w:rsidP="002B1B65">
    <w:pPr>
      <w:spacing w:before="0" w:after="0"/>
      <w:jc w:val="right"/>
      <w:rPr>
        <w:sz w:val="22"/>
        <w:szCs w:val="22"/>
      </w:rPr>
    </w:pPr>
    <w:r w:rsidRPr="00D27262">
      <w:rPr>
        <w:sz w:val="22"/>
        <w:szCs w:val="22"/>
      </w:rPr>
      <w:t>Au</w:t>
    </w:r>
    <w:r>
      <w:rPr>
        <w:sz w:val="22"/>
        <w:szCs w:val="22"/>
      </w:rPr>
      <w:t>stralian Human Rights Commission</w:t>
    </w:r>
  </w:p>
  <w:p w14:paraId="7BA276FD" w14:textId="77777777" w:rsidR="00912CF5" w:rsidRDefault="00912CF5"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912CF5" w:rsidRPr="00B85DD4" w14:paraId="3C3DD5A7" w14:textId="77777777" w:rsidTr="00165E3C">
      <w:trPr>
        <w:trHeight w:val="1276"/>
      </w:trPr>
      <w:tc>
        <w:tcPr>
          <w:tcW w:w="1508" w:type="dxa"/>
        </w:tcPr>
        <w:p w14:paraId="0F6ACFFA" w14:textId="77777777" w:rsidR="00912CF5" w:rsidRPr="00B85DD4" w:rsidRDefault="00912CF5" w:rsidP="00B520BC">
          <w:pPr>
            <w:pStyle w:val="Header"/>
            <w:tabs>
              <w:tab w:val="left" w:pos="4686"/>
              <w:tab w:val="left" w:pos="7088"/>
              <w:tab w:val="left" w:pos="7242"/>
            </w:tabs>
            <w:ind w:left="-108"/>
            <w:rPr>
              <w:rFonts w:cs="ArialMT"/>
              <w:b/>
              <w:spacing w:val="-20"/>
            </w:rPr>
          </w:pPr>
        </w:p>
      </w:tc>
      <w:tc>
        <w:tcPr>
          <w:tcW w:w="2688" w:type="dxa"/>
          <w:vAlign w:val="center"/>
        </w:tcPr>
        <w:p w14:paraId="0FB96C83" w14:textId="77777777" w:rsidR="00912CF5" w:rsidRPr="00B85DD4" w:rsidRDefault="00912CF5" w:rsidP="002B1B65">
          <w:pPr>
            <w:spacing w:before="0" w:after="0"/>
            <w:rPr>
              <w:rFonts w:cs="ArialMT"/>
              <w:i/>
              <w:color w:val="808080"/>
              <w:sz w:val="17"/>
            </w:rPr>
          </w:pPr>
        </w:p>
      </w:tc>
      <w:tc>
        <w:tcPr>
          <w:tcW w:w="2302" w:type="dxa"/>
        </w:tcPr>
        <w:p w14:paraId="57848407" w14:textId="77777777" w:rsidR="00912CF5" w:rsidRPr="00B85DD4" w:rsidRDefault="00912CF5" w:rsidP="00B520BC">
          <w:pPr>
            <w:pStyle w:val="HeaderFooter"/>
            <w:rPr>
              <w:b/>
              <w:spacing w:val="-20"/>
              <w:sz w:val="40"/>
            </w:rPr>
          </w:pPr>
        </w:p>
      </w:tc>
      <w:tc>
        <w:tcPr>
          <w:tcW w:w="2130" w:type="dxa"/>
        </w:tcPr>
        <w:p w14:paraId="11C9E15A" w14:textId="77777777" w:rsidR="00912CF5" w:rsidRPr="00B85DD4" w:rsidRDefault="00912CF5" w:rsidP="00B520BC">
          <w:pPr>
            <w:pStyle w:val="HeaderFooter"/>
            <w:rPr>
              <w:b/>
              <w:spacing w:val="-20"/>
              <w:sz w:val="40"/>
            </w:rPr>
          </w:pPr>
        </w:p>
      </w:tc>
      <w:tc>
        <w:tcPr>
          <w:tcW w:w="1721" w:type="dxa"/>
        </w:tcPr>
        <w:p w14:paraId="08D70740" w14:textId="77777777" w:rsidR="00912CF5" w:rsidRPr="00B85DD4" w:rsidRDefault="00912CF5" w:rsidP="00B520BC">
          <w:pPr>
            <w:pStyle w:val="HeaderFooter"/>
            <w:spacing w:before="227" w:after="340"/>
            <w:rPr>
              <w:b/>
              <w:spacing w:val="-20"/>
              <w:sz w:val="40"/>
            </w:rPr>
          </w:pPr>
        </w:p>
      </w:tc>
    </w:tr>
  </w:tbl>
  <w:p w14:paraId="2B3A3260" w14:textId="77777777" w:rsidR="00912CF5" w:rsidRDefault="00912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072A" w14:textId="77777777" w:rsidR="00912CF5" w:rsidRDefault="00912C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BEF2" w14:textId="77777777" w:rsidR="00912CF5" w:rsidRPr="00D27262" w:rsidRDefault="00912CF5" w:rsidP="00B34946">
    <w:pPr>
      <w:spacing w:before="0" w:after="60"/>
      <w:jc w:val="right"/>
      <w:rPr>
        <w:sz w:val="22"/>
        <w:szCs w:val="22"/>
      </w:rPr>
    </w:pPr>
    <w:r w:rsidRPr="00D27262">
      <w:rPr>
        <w:sz w:val="22"/>
        <w:szCs w:val="22"/>
      </w:rPr>
      <w:t>Au</w:t>
    </w:r>
    <w:r>
      <w:rPr>
        <w:sz w:val="22"/>
        <w:szCs w:val="22"/>
      </w:rPr>
      <w:t>stralian Human Rights Commission</w:t>
    </w:r>
  </w:p>
  <w:p w14:paraId="3F310FF9" w14:textId="10F19A77" w:rsidR="00912CF5" w:rsidRPr="00D729AD" w:rsidRDefault="00912CF5" w:rsidP="002F4CE1">
    <w:pPr>
      <w:pStyle w:val="Footer"/>
      <w:spacing w:after="240"/>
      <w:jc w:val="right"/>
      <w:rPr>
        <w:i/>
        <w:szCs w:val="18"/>
      </w:rPr>
    </w:pPr>
    <w:r>
      <w:rPr>
        <w:b/>
        <w:i/>
        <w:szCs w:val="18"/>
      </w:rPr>
      <w:t>DDA Guidelines on insurance and superannuation</w:t>
    </w:r>
    <w:r>
      <w:rPr>
        <w:i/>
        <w:szCs w:val="18"/>
      </w:rPr>
      <w:t xml:space="preserve"> – November 2016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912CF5" w:rsidRPr="00B85DD4" w14:paraId="68575E88" w14:textId="77777777" w:rsidTr="002B1B65">
      <w:trPr>
        <w:trHeight w:val="1603"/>
      </w:trPr>
      <w:tc>
        <w:tcPr>
          <w:tcW w:w="1508" w:type="dxa"/>
        </w:tcPr>
        <w:p w14:paraId="10D333C9" w14:textId="77777777" w:rsidR="00912CF5" w:rsidRPr="00B85DD4" w:rsidRDefault="00912CF5" w:rsidP="00B520BC">
          <w:pPr>
            <w:pStyle w:val="Header"/>
            <w:tabs>
              <w:tab w:val="left" w:pos="4686"/>
              <w:tab w:val="left" w:pos="7088"/>
              <w:tab w:val="left" w:pos="7242"/>
            </w:tabs>
            <w:ind w:left="-108"/>
            <w:rPr>
              <w:rFonts w:cs="ArialMT"/>
              <w:b/>
              <w:spacing w:val="-20"/>
            </w:rPr>
          </w:pPr>
          <w:r w:rsidRPr="004D6E55">
            <w:rPr>
              <w:rFonts w:cs="ArialMT"/>
              <w:b/>
              <w:noProof/>
              <w:spacing w:val="-20"/>
            </w:rPr>
            <w:drawing>
              <wp:inline distT="0" distB="0" distL="0" distR="0" wp14:anchorId="11FA5E4E" wp14:editId="4D00980C">
                <wp:extent cx="819150" cy="819150"/>
                <wp:effectExtent l="0" t="0" r="0" b="0"/>
                <wp:docPr id="1"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14:paraId="1176523B" w14:textId="77777777" w:rsidR="00912CF5" w:rsidRPr="00D36BB2" w:rsidRDefault="00912CF5" w:rsidP="002B1B65">
          <w:pPr>
            <w:pStyle w:val="LogoType"/>
            <w:pBdr>
              <w:bottom w:val="single" w:sz="4" w:space="1" w:color="808080"/>
            </w:pBdr>
            <w:spacing w:line="240" w:lineRule="auto"/>
          </w:pPr>
          <w:r w:rsidRPr="00D36BB2">
            <w:t>Australian</w:t>
          </w:r>
        </w:p>
        <w:p w14:paraId="033D5B5B" w14:textId="77777777" w:rsidR="00912CF5" w:rsidRPr="00D36BB2" w:rsidRDefault="00912CF5" w:rsidP="002B1B65">
          <w:pPr>
            <w:pStyle w:val="LogoType"/>
            <w:pBdr>
              <w:bottom w:val="single" w:sz="4" w:space="1" w:color="808080"/>
            </w:pBdr>
            <w:spacing w:line="240" w:lineRule="auto"/>
          </w:pPr>
          <w:r w:rsidRPr="00D36BB2">
            <w:t>Human Rights</w:t>
          </w:r>
        </w:p>
        <w:p w14:paraId="63E67531" w14:textId="77777777" w:rsidR="00912CF5" w:rsidRPr="00D36BB2" w:rsidRDefault="00912CF5" w:rsidP="002B1B65">
          <w:pPr>
            <w:pStyle w:val="LogoType"/>
            <w:pBdr>
              <w:bottom w:val="single" w:sz="4" w:space="1" w:color="808080"/>
            </w:pBdr>
            <w:spacing w:line="240" w:lineRule="auto"/>
          </w:pPr>
          <w:r w:rsidRPr="00D36BB2">
            <w:t>Commission</w:t>
          </w:r>
        </w:p>
        <w:p w14:paraId="1B2ACF6B" w14:textId="77777777" w:rsidR="00912CF5" w:rsidRPr="00B85DD4" w:rsidRDefault="00912CF5"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5463F497" w14:textId="77777777" w:rsidR="00912CF5" w:rsidRPr="00B85DD4" w:rsidRDefault="00912CF5" w:rsidP="00B520BC">
          <w:pPr>
            <w:pStyle w:val="HeaderFooter"/>
            <w:rPr>
              <w:b/>
              <w:spacing w:val="-20"/>
              <w:sz w:val="40"/>
            </w:rPr>
          </w:pPr>
        </w:p>
      </w:tc>
      <w:tc>
        <w:tcPr>
          <w:tcW w:w="2130" w:type="dxa"/>
        </w:tcPr>
        <w:p w14:paraId="19AB31F4" w14:textId="77777777" w:rsidR="00912CF5" w:rsidRPr="00B85DD4" w:rsidRDefault="00912CF5" w:rsidP="00B520BC">
          <w:pPr>
            <w:pStyle w:val="HeaderFooter"/>
            <w:rPr>
              <w:b/>
              <w:spacing w:val="-20"/>
              <w:sz w:val="40"/>
            </w:rPr>
          </w:pPr>
        </w:p>
      </w:tc>
      <w:tc>
        <w:tcPr>
          <w:tcW w:w="1721" w:type="dxa"/>
        </w:tcPr>
        <w:p w14:paraId="57A82319" w14:textId="77777777" w:rsidR="00912CF5" w:rsidRPr="00B85DD4" w:rsidRDefault="00912CF5" w:rsidP="00B520BC">
          <w:pPr>
            <w:pStyle w:val="HeaderFooter"/>
            <w:spacing w:before="227" w:after="340"/>
            <w:rPr>
              <w:b/>
              <w:spacing w:val="-20"/>
              <w:sz w:val="40"/>
            </w:rPr>
          </w:pPr>
        </w:p>
      </w:tc>
    </w:tr>
  </w:tbl>
  <w:p w14:paraId="7AD2692F" w14:textId="77777777" w:rsidR="00912CF5" w:rsidRDefault="00912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AA81283"/>
    <w:multiLevelType w:val="hybridMultilevel"/>
    <w:tmpl w:val="C772FE22"/>
    <w:lvl w:ilvl="0" w:tplc="6D527BE2">
      <w:start w:val="1"/>
      <w:numFmt w:val="decimal"/>
      <w:pStyle w:val="Para1"/>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76D5A55"/>
    <w:multiLevelType w:val="hybridMultilevel"/>
    <w:tmpl w:val="919C9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A94306"/>
    <w:multiLevelType w:val="hybridMultilevel"/>
    <w:tmpl w:val="EA72B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1A301F8"/>
    <w:multiLevelType w:val="hybridMultilevel"/>
    <w:tmpl w:val="81B0A810"/>
    <w:lvl w:ilvl="0" w:tplc="B338F3B0">
      <w:start w:val="1"/>
      <w:numFmt w:val="bullet"/>
      <w:pStyle w:val="Para5"/>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80F3E"/>
    <w:multiLevelType w:val="hybridMultilevel"/>
    <w:tmpl w:val="E60024DA"/>
    <w:lvl w:ilvl="0" w:tplc="B13002FC">
      <w:start w:val="1"/>
      <w:numFmt w:val="bullet"/>
      <w:lvlText w:val=""/>
      <w:lvlJc w:val="left"/>
      <w:pPr>
        <w:ind w:left="284" w:hanging="22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C0074B"/>
    <w:multiLevelType w:val="hybridMultilevel"/>
    <w:tmpl w:val="FC864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1C1496"/>
    <w:multiLevelType w:val="hybridMultilevel"/>
    <w:tmpl w:val="E0A23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671D67"/>
    <w:multiLevelType w:val="multilevel"/>
    <w:tmpl w:val="3E4449A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2"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7DA1BA5"/>
    <w:multiLevelType w:val="hybridMultilevel"/>
    <w:tmpl w:val="9212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C6296A"/>
    <w:multiLevelType w:val="hybridMultilevel"/>
    <w:tmpl w:val="207E0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092B5C"/>
    <w:multiLevelType w:val="hybridMultilevel"/>
    <w:tmpl w:val="4010223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2"/>
  </w:num>
  <w:num w:numId="12">
    <w:abstractNumId w:val="19"/>
  </w:num>
  <w:num w:numId="13">
    <w:abstractNumId w:val="15"/>
  </w:num>
  <w:num w:numId="14">
    <w:abstractNumId w:val="14"/>
  </w:num>
  <w:num w:numId="15">
    <w:abstractNumId w:val="10"/>
  </w:num>
  <w:num w:numId="16">
    <w:abstractNumId w:val="25"/>
  </w:num>
  <w:num w:numId="17">
    <w:abstractNumId w:val="17"/>
  </w:num>
  <w:num w:numId="18">
    <w:abstractNumId w:val="24"/>
  </w:num>
  <w:num w:numId="19">
    <w:abstractNumId w:val="11"/>
  </w:num>
  <w:num w:numId="20">
    <w:abstractNumId w:val="16"/>
  </w:num>
  <w:num w:numId="21">
    <w:abstractNumId w:val="23"/>
  </w:num>
  <w:num w:numId="22">
    <w:abstractNumId w:val="18"/>
  </w:num>
  <w:num w:numId="23">
    <w:abstractNumId w:val="21"/>
  </w:num>
  <w:num w:numId="24">
    <w:abstractNumId w:val="12"/>
  </w:num>
  <w:num w:numId="25">
    <w:abstractNumId w:val="14"/>
  </w:num>
  <w:num w:numId="26">
    <w:abstractNumId w:val="14"/>
  </w:num>
  <w:num w:numId="27">
    <w:abstractNumId w:val="20"/>
  </w:num>
  <w:num w:numId="28">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131078" w:nlCheck="1" w:checkStyle="0"/>
  <w:activeWritingStyle w:appName="MSWord" w:lang="en-US" w:vendorID="64" w:dllVersion="131078" w:nlCheck="1" w:checkStyle="0"/>
  <w:activeWritingStyle w:appName="MSWord" w:lang="en"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96"/>
    <w:rsid w:val="000011DB"/>
    <w:rsid w:val="00001454"/>
    <w:rsid w:val="00001CAF"/>
    <w:rsid w:val="000025FF"/>
    <w:rsid w:val="00002A8F"/>
    <w:rsid w:val="000034FC"/>
    <w:rsid w:val="0000666B"/>
    <w:rsid w:val="00010124"/>
    <w:rsid w:val="000114DF"/>
    <w:rsid w:val="00013F56"/>
    <w:rsid w:val="000146D3"/>
    <w:rsid w:val="000157FF"/>
    <w:rsid w:val="00015E88"/>
    <w:rsid w:val="00020591"/>
    <w:rsid w:val="00021D0A"/>
    <w:rsid w:val="000230B5"/>
    <w:rsid w:val="000239E8"/>
    <w:rsid w:val="00023ACE"/>
    <w:rsid w:val="0002409E"/>
    <w:rsid w:val="00024778"/>
    <w:rsid w:val="000251FC"/>
    <w:rsid w:val="00025FC7"/>
    <w:rsid w:val="0002637E"/>
    <w:rsid w:val="00026646"/>
    <w:rsid w:val="00026E3D"/>
    <w:rsid w:val="0002762C"/>
    <w:rsid w:val="00031321"/>
    <w:rsid w:val="00031E68"/>
    <w:rsid w:val="00035597"/>
    <w:rsid w:val="0003606D"/>
    <w:rsid w:val="00036D1C"/>
    <w:rsid w:val="000403FB"/>
    <w:rsid w:val="00040623"/>
    <w:rsid w:val="0004356B"/>
    <w:rsid w:val="00044587"/>
    <w:rsid w:val="00044C8D"/>
    <w:rsid w:val="00045105"/>
    <w:rsid w:val="00050C6B"/>
    <w:rsid w:val="000515DA"/>
    <w:rsid w:val="0005302A"/>
    <w:rsid w:val="000539C2"/>
    <w:rsid w:val="00053EC8"/>
    <w:rsid w:val="00056B0C"/>
    <w:rsid w:val="00057149"/>
    <w:rsid w:val="00057291"/>
    <w:rsid w:val="00057763"/>
    <w:rsid w:val="000579B1"/>
    <w:rsid w:val="00060383"/>
    <w:rsid w:val="000604CA"/>
    <w:rsid w:val="00060C32"/>
    <w:rsid w:val="0006166E"/>
    <w:rsid w:val="000639BB"/>
    <w:rsid w:val="000639D3"/>
    <w:rsid w:val="00063BB8"/>
    <w:rsid w:val="00063F19"/>
    <w:rsid w:val="00064224"/>
    <w:rsid w:val="00066592"/>
    <w:rsid w:val="00066B4D"/>
    <w:rsid w:val="00067FF3"/>
    <w:rsid w:val="00072D2F"/>
    <w:rsid w:val="00074319"/>
    <w:rsid w:val="00076F5B"/>
    <w:rsid w:val="0007787E"/>
    <w:rsid w:val="00082475"/>
    <w:rsid w:val="0008321F"/>
    <w:rsid w:val="000835EF"/>
    <w:rsid w:val="0008362B"/>
    <w:rsid w:val="00083905"/>
    <w:rsid w:val="00086059"/>
    <w:rsid w:val="00087272"/>
    <w:rsid w:val="00090A3F"/>
    <w:rsid w:val="00091154"/>
    <w:rsid w:val="00092E8E"/>
    <w:rsid w:val="000930D8"/>
    <w:rsid w:val="0009324F"/>
    <w:rsid w:val="00096638"/>
    <w:rsid w:val="00097593"/>
    <w:rsid w:val="0009760A"/>
    <w:rsid w:val="000A0FF0"/>
    <w:rsid w:val="000A1320"/>
    <w:rsid w:val="000A1DB8"/>
    <w:rsid w:val="000A38C6"/>
    <w:rsid w:val="000A4041"/>
    <w:rsid w:val="000A48AC"/>
    <w:rsid w:val="000A6AE9"/>
    <w:rsid w:val="000B083C"/>
    <w:rsid w:val="000B0A5D"/>
    <w:rsid w:val="000B1177"/>
    <w:rsid w:val="000B1A0F"/>
    <w:rsid w:val="000B219A"/>
    <w:rsid w:val="000B3680"/>
    <w:rsid w:val="000B66D1"/>
    <w:rsid w:val="000C22A7"/>
    <w:rsid w:val="000C295E"/>
    <w:rsid w:val="000D2A14"/>
    <w:rsid w:val="000D2D9C"/>
    <w:rsid w:val="000D2E8A"/>
    <w:rsid w:val="000E130A"/>
    <w:rsid w:val="000E1CF0"/>
    <w:rsid w:val="000E1D6F"/>
    <w:rsid w:val="000E3326"/>
    <w:rsid w:val="000E45D7"/>
    <w:rsid w:val="000E4ADD"/>
    <w:rsid w:val="000E4D40"/>
    <w:rsid w:val="000E647A"/>
    <w:rsid w:val="000E73D5"/>
    <w:rsid w:val="000F1059"/>
    <w:rsid w:val="000F306B"/>
    <w:rsid w:val="000F38AA"/>
    <w:rsid w:val="000F55F8"/>
    <w:rsid w:val="001020C8"/>
    <w:rsid w:val="00102A42"/>
    <w:rsid w:val="00103619"/>
    <w:rsid w:val="001047AF"/>
    <w:rsid w:val="00104C5D"/>
    <w:rsid w:val="0010691F"/>
    <w:rsid w:val="00107350"/>
    <w:rsid w:val="00111013"/>
    <w:rsid w:val="00111B67"/>
    <w:rsid w:val="00111F67"/>
    <w:rsid w:val="00114F4E"/>
    <w:rsid w:val="001161F8"/>
    <w:rsid w:val="0011768B"/>
    <w:rsid w:val="00120FB5"/>
    <w:rsid w:val="0012165D"/>
    <w:rsid w:val="001225F0"/>
    <w:rsid w:val="0012702F"/>
    <w:rsid w:val="00131E58"/>
    <w:rsid w:val="00132424"/>
    <w:rsid w:val="0013306F"/>
    <w:rsid w:val="00133AB2"/>
    <w:rsid w:val="00134774"/>
    <w:rsid w:val="0013663E"/>
    <w:rsid w:val="00137C0F"/>
    <w:rsid w:val="00140274"/>
    <w:rsid w:val="00141B1D"/>
    <w:rsid w:val="0014419A"/>
    <w:rsid w:val="00146C05"/>
    <w:rsid w:val="00147BCC"/>
    <w:rsid w:val="00151263"/>
    <w:rsid w:val="00151C2C"/>
    <w:rsid w:val="001530A8"/>
    <w:rsid w:val="001538F9"/>
    <w:rsid w:val="00156832"/>
    <w:rsid w:val="00157748"/>
    <w:rsid w:val="001606C0"/>
    <w:rsid w:val="00162A8D"/>
    <w:rsid w:val="00162C24"/>
    <w:rsid w:val="00165E3C"/>
    <w:rsid w:val="0016720B"/>
    <w:rsid w:val="00173FB5"/>
    <w:rsid w:val="0017434A"/>
    <w:rsid w:val="00174DE2"/>
    <w:rsid w:val="00174EFE"/>
    <w:rsid w:val="00176E13"/>
    <w:rsid w:val="00176F5B"/>
    <w:rsid w:val="00184B99"/>
    <w:rsid w:val="0018531B"/>
    <w:rsid w:val="00185BC7"/>
    <w:rsid w:val="00186E65"/>
    <w:rsid w:val="00191098"/>
    <w:rsid w:val="0019372B"/>
    <w:rsid w:val="00195020"/>
    <w:rsid w:val="0019672E"/>
    <w:rsid w:val="001975D3"/>
    <w:rsid w:val="001A01F7"/>
    <w:rsid w:val="001A1420"/>
    <w:rsid w:val="001A203F"/>
    <w:rsid w:val="001A2050"/>
    <w:rsid w:val="001A785E"/>
    <w:rsid w:val="001B0353"/>
    <w:rsid w:val="001B0E57"/>
    <w:rsid w:val="001B0EA7"/>
    <w:rsid w:val="001B14CA"/>
    <w:rsid w:val="001B1C5A"/>
    <w:rsid w:val="001B7A2F"/>
    <w:rsid w:val="001C1F8B"/>
    <w:rsid w:val="001C2E33"/>
    <w:rsid w:val="001C3E09"/>
    <w:rsid w:val="001C3FF9"/>
    <w:rsid w:val="001C5189"/>
    <w:rsid w:val="001C6D1D"/>
    <w:rsid w:val="001D3FEF"/>
    <w:rsid w:val="001D4F51"/>
    <w:rsid w:val="001D7922"/>
    <w:rsid w:val="001E04A0"/>
    <w:rsid w:val="001E276F"/>
    <w:rsid w:val="001E3BFB"/>
    <w:rsid w:val="001E4EE8"/>
    <w:rsid w:val="001E503F"/>
    <w:rsid w:val="001F030C"/>
    <w:rsid w:val="001F0AF3"/>
    <w:rsid w:val="001F2BBB"/>
    <w:rsid w:val="001F6736"/>
    <w:rsid w:val="00200677"/>
    <w:rsid w:val="00201D1A"/>
    <w:rsid w:val="00202A52"/>
    <w:rsid w:val="00202DC8"/>
    <w:rsid w:val="00202FFF"/>
    <w:rsid w:val="00203359"/>
    <w:rsid w:val="00203A7C"/>
    <w:rsid w:val="0020509A"/>
    <w:rsid w:val="00206EC6"/>
    <w:rsid w:val="002129D1"/>
    <w:rsid w:val="00214FB5"/>
    <w:rsid w:val="00215AA2"/>
    <w:rsid w:val="00215CB5"/>
    <w:rsid w:val="00217FF5"/>
    <w:rsid w:val="00221341"/>
    <w:rsid w:val="00221845"/>
    <w:rsid w:val="0022238D"/>
    <w:rsid w:val="00224AA3"/>
    <w:rsid w:val="00224C16"/>
    <w:rsid w:val="00225931"/>
    <w:rsid w:val="00227316"/>
    <w:rsid w:val="00231ED1"/>
    <w:rsid w:val="00232514"/>
    <w:rsid w:val="00232B30"/>
    <w:rsid w:val="002374EB"/>
    <w:rsid w:val="00237FF5"/>
    <w:rsid w:val="00241533"/>
    <w:rsid w:val="002415C9"/>
    <w:rsid w:val="00242624"/>
    <w:rsid w:val="00244787"/>
    <w:rsid w:val="0024557E"/>
    <w:rsid w:val="002467B9"/>
    <w:rsid w:val="00246ACA"/>
    <w:rsid w:val="00247110"/>
    <w:rsid w:val="00253784"/>
    <w:rsid w:val="00260F99"/>
    <w:rsid w:val="0026188C"/>
    <w:rsid w:val="00261C73"/>
    <w:rsid w:val="00262A7A"/>
    <w:rsid w:val="00263666"/>
    <w:rsid w:val="00263C4C"/>
    <w:rsid w:val="00266527"/>
    <w:rsid w:val="00266C9B"/>
    <w:rsid w:val="002706C7"/>
    <w:rsid w:val="002712D4"/>
    <w:rsid w:val="00272987"/>
    <w:rsid w:val="00273E16"/>
    <w:rsid w:val="002749AA"/>
    <w:rsid w:val="002767FC"/>
    <w:rsid w:val="00280101"/>
    <w:rsid w:val="00281C46"/>
    <w:rsid w:val="00282BA8"/>
    <w:rsid w:val="00283701"/>
    <w:rsid w:val="0028576F"/>
    <w:rsid w:val="002863D7"/>
    <w:rsid w:val="002872E3"/>
    <w:rsid w:val="00297739"/>
    <w:rsid w:val="002A073E"/>
    <w:rsid w:val="002A0AC1"/>
    <w:rsid w:val="002A273E"/>
    <w:rsid w:val="002A2D1A"/>
    <w:rsid w:val="002A57F8"/>
    <w:rsid w:val="002A5FA4"/>
    <w:rsid w:val="002A75A2"/>
    <w:rsid w:val="002A7E6E"/>
    <w:rsid w:val="002B1B65"/>
    <w:rsid w:val="002B1E2F"/>
    <w:rsid w:val="002B20C7"/>
    <w:rsid w:val="002B246B"/>
    <w:rsid w:val="002C0994"/>
    <w:rsid w:val="002C09B3"/>
    <w:rsid w:val="002C1866"/>
    <w:rsid w:val="002C1952"/>
    <w:rsid w:val="002C2CB2"/>
    <w:rsid w:val="002C366B"/>
    <w:rsid w:val="002C738B"/>
    <w:rsid w:val="002D1250"/>
    <w:rsid w:val="002D33A5"/>
    <w:rsid w:val="002D3AD5"/>
    <w:rsid w:val="002D4138"/>
    <w:rsid w:val="002D5703"/>
    <w:rsid w:val="002D686E"/>
    <w:rsid w:val="002E00B0"/>
    <w:rsid w:val="002E0C43"/>
    <w:rsid w:val="002E243C"/>
    <w:rsid w:val="002E7517"/>
    <w:rsid w:val="002E7A35"/>
    <w:rsid w:val="002F37BA"/>
    <w:rsid w:val="002F409F"/>
    <w:rsid w:val="002F40C0"/>
    <w:rsid w:val="002F4CE1"/>
    <w:rsid w:val="002F6B90"/>
    <w:rsid w:val="002F73B0"/>
    <w:rsid w:val="00300F22"/>
    <w:rsid w:val="003016D9"/>
    <w:rsid w:val="00302F43"/>
    <w:rsid w:val="003036B9"/>
    <w:rsid w:val="003046D2"/>
    <w:rsid w:val="00304A37"/>
    <w:rsid w:val="003071AB"/>
    <w:rsid w:val="00310AAF"/>
    <w:rsid w:val="00310ED4"/>
    <w:rsid w:val="00312301"/>
    <w:rsid w:val="00314048"/>
    <w:rsid w:val="0031492A"/>
    <w:rsid w:val="00316C1A"/>
    <w:rsid w:val="0031737D"/>
    <w:rsid w:val="00320E78"/>
    <w:rsid w:val="00321C5F"/>
    <w:rsid w:val="003226E4"/>
    <w:rsid w:val="003228A4"/>
    <w:rsid w:val="003232E4"/>
    <w:rsid w:val="00323C73"/>
    <w:rsid w:val="0032699A"/>
    <w:rsid w:val="00326D58"/>
    <w:rsid w:val="00326F59"/>
    <w:rsid w:val="0033012D"/>
    <w:rsid w:val="00331141"/>
    <w:rsid w:val="003348D8"/>
    <w:rsid w:val="00335597"/>
    <w:rsid w:val="00335B6F"/>
    <w:rsid w:val="00336498"/>
    <w:rsid w:val="00336934"/>
    <w:rsid w:val="00336B9F"/>
    <w:rsid w:val="00337194"/>
    <w:rsid w:val="00337287"/>
    <w:rsid w:val="00340A6B"/>
    <w:rsid w:val="00340C96"/>
    <w:rsid w:val="00341197"/>
    <w:rsid w:val="00342431"/>
    <w:rsid w:val="0034246A"/>
    <w:rsid w:val="003428A5"/>
    <w:rsid w:val="00342960"/>
    <w:rsid w:val="00342A0C"/>
    <w:rsid w:val="0034450A"/>
    <w:rsid w:val="00344758"/>
    <w:rsid w:val="003451C7"/>
    <w:rsid w:val="00347142"/>
    <w:rsid w:val="0035264C"/>
    <w:rsid w:val="0035284E"/>
    <w:rsid w:val="00352CDD"/>
    <w:rsid w:val="00354ADC"/>
    <w:rsid w:val="00354E6C"/>
    <w:rsid w:val="003557F0"/>
    <w:rsid w:val="00356089"/>
    <w:rsid w:val="00356475"/>
    <w:rsid w:val="003565A8"/>
    <w:rsid w:val="003566EA"/>
    <w:rsid w:val="0036297B"/>
    <w:rsid w:val="00364601"/>
    <w:rsid w:val="00365AEB"/>
    <w:rsid w:val="0037033A"/>
    <w:rsid w:val="003710E3"/>
    <w:rsid w:val="00371F68"/>
    <w:rsid w:val="00372841"/>
    <w:rsid w:val="00372C79"/>
    <w:rsid w:val="003735BC"/>
    <w:rsid w:val="00374362"/>
    <w:rsid w:val="00374FC7"/>
    <w:rsid w:val="0037501D"/>
    <w:rsid w:val="003755E6"/>
    <w:rsid w:val="00375883"/>
    <w:rsid w:val="003801D7"/>
    <w:rsid w:val="0038155D"/>
    <w:rsid w:val="003850B9"/>
    <w:rsid w:val="0038612A"/>
    <w:rsid w:val="00390ACC"/>
    <w:rsid w:val="00391802"/>
    <w:rsid w:val="003968D0"/>
    <w:rsid w:val="00396B7D"/>
    <w:rsid w:val="00397776"/>
    <w:rsid w:val="00397AE2"/>
    <w:rsid w:val="00397C09"/>
    <w:rsid w:val="003A2415"/>
    <w:rsid w:val="003A2420"/>
    <w:rsid w:val="003A400E"/>
    <w:rsid w:val="003A75A8"/>
    <w:rsid w:val="003A794B"/>
    <w:rsid w:val="003B3349"/>
    <w:rsid w:val="003B3D85"/>
    <w:rsid w:val="003B4CAB"/>
    <w:rsid w:val="003B53DF"/>
    <w:rsid w:val="003B5910"/>
    <w:rsid w:val="003B7DF7"/>
    <w:rsid w:val="003C2A07"/>
    <w:rsid w:val="003C3189"/>
    <w:rsid w:val="003C49A2"/>
    <w:rsid w:val="003C52CC"/>
    <w:rsid w:val="003C624D"/>
    <w:rsid w:val="003C7675"/>
    <w:rsid w:val="003D2611"/>
    <w:rsid w:val="003D28E4"/>
    <w:rsid w:val="003D3138"/>
    <w:rsid w:val="003E0730"/>
    <w:rsid w:val="003E36B8"/>
    <w:rsid w:val="003E48A1"/>
    <w:rsid w:val="003E4C3D"/>
    <w:rsid w:val="003E5580"/>
    <w:rsid w:val="003E5D4E"/>
    <w:rsid w:val="003E5F0F"/>
    <w:rsid w:val="003E7ADB"/>
    <w:rsid w:val="003F695F"/>
    <w:rsid w:val="003F6B08"/>
    <w:rsid w:val="003F7C06"/>
    <w:rsid w:val="004000FD"/>
    <w:rsid w:val="00400B81"/>
    <w:rsid w:val="00402137"/>
    <w:rsid w:val="004056D5"/>
    <w:rsid w:val="004061A9"/>
    <w:rsid w:val="00410C3E"/>
    <w:rsid w:val="00416B08"/>
    <w:rsid w:val="00422417"/>
    <w:rsid w:val="00423C60"/>
    <w:rsid w:val="00424233"/>
    <w:rsid w:val="00425602"/>
    <w:rsid w:val="004268E9"/>
    <w:rsid w:val="00426AF0"/>
    <w:rsid w:val="0043042B"/>
    <w:rsid w:val="004310E0"/>
    <w:rsid w:val="004310FF"/>
    <w:rsid w:val="00432177"/>
    <w:rsid w:val="004336F0"/>
    <w:rsid w:val="00436839"/>
    <w:rsid w:val="00437559"/>
    <w:rsid w:val="00441965"/>
    <w:rsid w:val="0045335F"/>
    <w:rsid w:val="00453C5C"/>
    <w:rsid w:val="00454268"/>
    <w:rsid w:val="00454ACE"/>
    <w:rsid w:val="00454B54"/>
    <w:rsid w:val="00456064"/>
    <w:rsid w:val="004570F5"/>
    <w:rsid w:val="004573AE"/>
    <w:rsid w:val="004606C3"/>
    <w:rsid w:val="004624BD"/>
    <w:rsid w:val="00463444"/>
    <w:rsid w:val="0046385B"/>
    <w:rsid w:val="004652CB"/>
    <w:rsid w:val="00466655"/>
    <w:rsid w:val="0047126F"/>
    <w:rsid w:val="004713EE"/>
    <w:rsid w:val="004717E5"/>
    <w:rsid w:val="00471FB4"/>
    <w:rsid w:val="00472EFF"/>
    <w:rsid w:val="00472F25"/>
    <w:rsid w:val="00473A80"/>
    <w:rsid w:val="00474063"/>
    <w:rsid w:val="00474084"/>
    <w:rsid w:val="00474DEC"/>
    <w:rsid w:val="00475957"/>
    <w:rsid w:val="00475BE2"/>
    <w:rsid w:val="004761FA"/>
    <w:rsid w:val="00476793"/>
    <w:rsid w:val="004812FD"/>
    <w:rsid w:val="00481913"/>
    <w:rsid w:val="004853AE"/>
    <w:rsid w:val="00485B94"/>
    <w:rsid w:val="00486122"/>
    <w:rsid w:val="004900AC"/>
    <w:rsid w:val="00491EB8"/>
    <w:rsid w:val="00494359"/>
    <w:rsid w:val="00497066"/>
    <w:rsid w:val="004A187B"/>
    <w:rsid w:val="004A2D3C"/>
    <w:rsid w:val="004A451B"/>
    <w:rsid w:val="004A4E61"/>
    <w:rsid w:val="004A6219"/>
    <w:rsid w:val="004B0CFC"/>
    <w:rsid w:val="004B3586"/>
    <w:rsid w:val="004B4A7C"/>
    <w:rsid w:val="004B7EDE"/>
    <w:rsid w:val="004C2738"/>
    <w:rsid w:val="004C40BF"/>
    <w:rsid w:val="004C4C4E"/>
    <w:rsid w:val="004C7412"/>
    <w:rsid w:val="004D04BF"/>
    <w:rsid w:val="004D2284"/>
    <w:rsid w:val="004D6E55"/>
    <w:rsid w:val="004E0223"/>
    <w:rsid w:val="004E0DFF"/>
    <w:rsid w:val="004E103D"/>
    <w:rsid w:val="004E38B1"/>
    <w:rsid w:val="004E40A1"/>
    <w:rsid w:val="004F1C7C"/>
    <w:rsid w:val="004F4755"/>
    <w:rsid w:val="004F5715"/>
    <w:rsid w:val="004F5B9F"/>
    <w:rsid w:val="004F620E"/>
    <w:rsid w:val="004F7BA8"/>
    <w:rsid w:val="00500FD0"/>
    <w:rsid w:val="00501BB7"/>
    <w:rsid w:val="00502243"/>
    <w:rsid w:val="00502C43"/>
    <w:rsid w:val="00503FD4"/>
    <w:rsid w:val="00505ED1"/>
    <w:rsid w:val="00510211"/>
    <w:rsid w:val="00510DCD"/>
    <w:rsid w:val="005123F0"/>
    <w:rsid w:val="00513540"/>
    <w:rsid w:val="00513941"/>
    <w:rsid w:val="00514FA5"/>
    <w:rsid w:val="005201BE"/>
    <w:rsid w:val="005205C7"/>
    <w:rsid w:val="00520DF8"/>
    <w:rsid w:val="00521789"/>
    <w:rsid w:val="00524488"/>
    <w:rsid w:val="005252D1"/>
    <w:rsid w:val="00525987"/>
    <w:rsid w:val="00527163"/>
    <w:rsid w:val="005278D9"/>
    <w:rsid w:val="0053051D"/>
    <w:rsid w:val="0053062E"/>
    <w:rsid w:val="005331FE"/>
    <w:rsid w:val="00533A10"/>
    <w:rsid w:val="00533BFB"/>
    <w:rsid w:val="00533E49"/>
    <w:rsid w:val="00534C97"/>
    <w:rsid w:val="005377F9"/>
    <w:rsid w:val="0054039D"/>
    <w:rsid w:val="0054325E"/>
    <w:rsid w:val="005441F9"/>
    <w:rsid w:val="00545A85"/>
    <w:rsid w:val="00552130"/>
    <w:rsid w:val="00552750"/>
    <w:rsid w:val="005535CA"/>
    <w:rsid w:val="00555CA9"/>
    <w:rsid w:val="005563A9"/>
    <w:rsid w:val="00564208"/>
    <w:rsid w:val="00565BD4"/>
    <w:rsid w:val="00571CEB"/>
    <w:rsid w:val="00572BC1"/>
    <w:rsid w:val="00573188"/>
    <w:rsid w:val="005773AB"/>
    <w:rsid w:val="00580044"/>
    <w:rsid w:val="00580655"/>
    <w:rsid w:val="00581427"/>
    <w:rsid w:val="00581684"/>
    <w:rsid w:val="00582CCD"/>
    <w:rsid w:val="005833BF"/>
    <w:rsid w:val="00583EDB"/>
    <w:rsid w:val="0058426C"/>
    <w:rsid w:val="00584BB2"/>
    <w:rsid w:val="00584F0A"/>
    <w:rsid w:val="00585E3C"/>
    <w:rsid w:val="0058745E"/>
    <w:rsid w:val="00587946"/>
    <w:rsid w:val="005908BA"/>
    <w:rsid w:val="00591951"/>
    <w:rsid w:val="00594D65"/>
    <w:rsid w:val="0059780F"/>
    <w:rsid w:val="00597E32"/>
    <w:rsid w:val="005A30DF"/>
    <w:rsid w:val="005A78E0"/>
    <w:rsid w:val="005B1331"/>
    <w:rsid w:val="005B1CEA"/>
    <w:rsid w:val="005B2124"/>
    <w:rsid w:val="005B362C"/>
    <w:rsid w:val="005B37A6"/>
    <w:rsid w:val="005B3CD0"/>
    <w:rsid w:val="005B41EA"/>
    <w:rsid w:val="005B62E1"/>
    <w:rsid w:val="005B6D3C"/>
    <w:rsid w:val="005B754A"/>
    <w:rsid w:val="005B7DB7"/>
    <w:rsid w:val="005C1080"/>
    <w:rsid w:val="005C1221"/>
    <w:rsid w:val="005C2CDC"/>
    <w:rsid w:val="005C54F2"/>
    <w:rsid w:val="005C5D41"/>
    <w:rsid w:val="005C6714"/>
    <w:rsid w:val="005C7D7E"/>
    <w:rsid w:val="005D1F34"/>
    <w:rsid w:val="005D303C"/>
    <w:rsid w:val="005D345D"/>
    <w:rsid w:val="005D383D"/>
    <w:rsid w:val="005D4BEF"/>
    <w:rsid w:val="005D4DA2"/>
    <w:rsid w:val="005D5900"/>
    <w:rsid w:val="005D644D"/>
    <w:rsid w:val="005D7982"/>
    <w:rsid w:val="005E12D7"/>
    <w:rsid w:val="005E3DC3"/>
    <w:rsid w:val="005E3E84"/>
    <w:rsid w:val="005E7F75"/>
    <w:rsid w:val="005F0EC4"/>
    <w:rsid w:val="005F11B9"/>
    <w:rsid w:val="005F14C4"/>
    <w:rsid w:val="005F2ACF"/>
    <w:rsid w:val="005F3D78"/>
    <w:rsid w:val="005F3E94"/>
    <w:rsid w:val="00600265"/>
    <w:rsid w:val="006007CA"/>
    <w:rsid w:val="00600BAE"/>
    <w:rsid w:val="00601911"/>
    <w:rsid w:val="006020D7"/>
    <w:rsid w:val="00604C5B"/>
    <w:rsid w:val="00605E75"/>
    <w:rsid w:val="00611403"/>
    <w:rsid w:val="00612FB4"/>
    <w:rsid w:val="00614854"/>
    <w:rsid w:val="0061568A"/>
    <w:rsid w:val="00616FC5"/>
    <w:rsid w:val="006202EE"/>
    <w:rsid w:val="00621F75"/>
    <w:rsid w:val="006278A7"/>
    <w:rsid w:val="00627DBE"/>
    <w:rsid w:val="00630509"/>
    <w:rsid w:val="006306AC"/>
    <w:rsid w:val="00630716"/>
    <w:rsid w:val="00630A51"/>
    <w:rsid w:val="006411CB"/>
    <w:rsid w:val="006425E5"/>
    <w:rsid w:val="006433DA"/>
    <w:rsid w:val="00645367"/>
    <w:rsid w:val="00646F38"/>
    <w:rsid w:val="0065447D"/>
    <w:rsid w:val="00654793"/>
    <w:rsid w:val="00654DFA"/>
    <w:rsid w:val="00660076"/>
    <w:rsid w:val="00661056"/>
    <w:rsid w:val="00662DE8"/>
    <w:rsid w:val="00662F0D"/>
    <w:rsid w:val="006648CD"/>
    <w:rsid w:val="0066664F"/>
    <w:rsid w:val="00671A0B"/>
    <w:rsid w:val="00672010"/>
    <w:rsid w:val="00681A52"/>
    <w:rsid w:val="00683F5B"/>
    <w:rsid w:val="006866F7"/>
    <w:rsid w:val="00687A71"/>
    <w:rsid w:val="0069013F"/>
    <w:rsid w:val="00690F4D"/>
    <w:rsid w:val="0069143A"/>
    <w:rsid w:val="0069194E"/>
    <w:rsid w:val="0069196E"/>
    <w:rsid w:val="00692430"/>
    <w:rsid w:val="00693F82"/>
    <w:rsid w:val="006964A5"/>
    <w:rsid w:val="006A187A"/>
    <w:rsid w:val="006A28AB"/>
    <w:rsid w:val="006A4E42"/>
    <w:rsid w:val="006A68C6"/>
    <w:rsid w:val="006A6BB3"/>
    <w:rsid w:val="006A7F9D"/>
    <w:rsid w:val="006B3787"/>
    <w:rsid w:val="006B3D9E"/>
    <w:rsid w:val="006B4A9A"/>
    <w:rsid w:val="006C1D5F"/>
    <w:rsid w:val="006C7D67"/>
    <w:rsid w:val="006D35F1"/>
    <w:rsid w:val="006D3CA9"/>
    <w:rsid w:val="006D4053"/>
    <w:rsid w:val="006D4EAA"/>
    <w:rsid w:val="006D5636"/>
    <w:rsid w:val="006D5EE5"/>
    <w:rsid w:val="006D6223"/>
    <w:rsid w:val="006D7AD7"/>
    <w:rsid w:val="006E1C29"/>
    <w:rsid w:val="006E2CAE"/>
    <w:rsid w:val="006E5031"/>
    <w:rsid w:val="006F0A74"/>
    <w:rsid w:val="006F63FC"/>
    <w:rsid w:val="00706013"/>
    <w:rsid w:val="00706475"/>
    <w:rsid w:val="00710796"/>
    <w:rsid w:val="00710F07"/>
    <w:rsid w:val="00711A07"/>
    <w:rsid w:val="007125E6"/>
    <w:rsid w:val="0071597C"/>
    <w:rsid w:val="0072006C"/>
    <w:rsid w:val="007222F7"/>
    <w:rsid w:val="00722C4E"/>
    <w:rsid w:val="00723BA3"/>
    <w:rsid w:val="0072610C"/>
    <w:rsid w:val="007262D3"/>
    <w:rsid w:val="00726B58"/>
    <w:rsid w:val="00726B7B"/>
    <w:rsid w:val="00727755"/>
    <w:rsid w:val="007318A8"/>
    <w:rsid w:val="00731A0A"/>
    <w:rsid w:val="0073241F"/>
    <w:rsid w:val="00733265"/>
    <w:rsid w:val="0073333D"/>
    <w:rsid w:val="00734B0C"/>
    <w:rsid w:val="00736E8E"/>
    <w:rsid w:val="007414CD"/>
    <w:rsid w:val="007416D7"/>
    <w:rsid w:val="00743727"/>
    <w:rsid w:val="00746730"/>
    <w:rsid w:val="007525D0"/>
    <w:rsid w:val="00752E8E"/>
    <w:rsid w:val="007540BF"/>
    <w:rsid w:val="00754B82"/>
    <w:rsid w:val="00756D4E"/>
    <w:rsid w:val="007603F3"/>
    <w:rsid w:val="00763530"/>
    <w:rsid w:val="007636A0"/>
    <w:rsid w:val="00763D1C"/>
    <w:rsid w:val="00767527"/>
    <w:rsid w:val="00767A75"/>
    <w:rsid w:val="00770096"/>
    <w:rsid w:val="00770B12"/>
    <w:rsid w:val="00770DCB"/>
    <w:rsid w:val="0077376A"/>
    <w:rsid w:val="00775485"/>
    <w:rsid w:val="00776848"/>
    <w:rsid w:val="007775D5"/>
    <w:rsid w:val="00780750"/>
    <w:rsid w:val="00781EE6"/>
    <w:rsid w:val="0078246F"/>
    <w:rsid w:val="007836C6"/>
    <w:rsid w:val="007861DB"/>
    <w:rsid w:val="007868AB"/>
    <w:rsid w:val="0079316B"/>
    <w:rsid w:val="00794FFA"/>
    <w:rsid w:val="007A1A28"/>
    <w:rsid w:val="007A2515"/>
    <w:rsid w:val="007A3EF7"/>
    <w:rsid w:val="007A49DA"/>
    <w:rsid w:val="007B2B36"/>
    <w:rsid w:val="007B38A7"/>
    <w:rsid w:val="007C0BA1"/>
    <w:rsid w:val="007C2EA7"/>
    <w:rsid w:val="007C3CFB"/>
    <w:rsid w:val="007D0A77"/>
    <w:rsid w:val="007D0B31"/>
    <w:rsid w:val="007D0B5E"/>
    <w:rsid w:val="007D183B"/>
    <w:rsid w:val="007D41C7"/>
    <w:rsid w:val="007D677F"/>
    <w:rsid w:val="007D6A0C"/>
    <w:rsid w:val="007D7D76"/>
    <w:rsid w:val="007E0283"/>
    <w:rsid w:val="007E042C"/>
    <w:rsid w:val="007E100B"/>
    <w:rsid w:val="007E1BEC"/>
    <w:rsid w:val="007E2156"/>
    <w:rsid w:val="007E4C60"/>
    <w:rsid w:val="007E5B88"/>
    <w:rsid w:val="007E73B3"/>
    <w:rsid w:val="007E7F07"/>
    <w:rsid w:val="007F0D0B"/>
    <w:rsid w:val="007F0E41"/>
    <w:rsid w:val="007F4306"/>
    <w:rsid w:val="00800459"/>
    <w:rsid w:val="008007A8"/>
    <w:rsid w:val="00801D70"/>
    <w:rsid w:val="008042D9"/>
    <w:rsid w:val="0080505A"/>
    <w:rsid w:val="008051FE"/>
    <w:rsid w:val="0080574B"/>
    <w:rsid w:val="00807480"/>
    <w:rsid w:val="00807622"/>
    <w:rsid w:val="00807A0D"/>
    <w:rsid w:val="00812147"/>
    <w:rsid w:val="008123EC"/>
    <w:rsid w:val="00813759"/>
    <w:rsid w:val="00814713"/>
    <w:rsid w:val="00814FC0"/>
    <w:rsid w:val="0081742C"/>
    <w:rsid w:val="008179A8"/>
    <w:rsid w:val="0082063B"/>
    <w:rsid w:val="00821154"/>
    <w:rsid w:val="00821260"/>
    <w:rsid w:val="008225EC"/>
    <w:rsid w:val="00822F79"/>
    <w:rsid w:val="00822F81"/>
    <w:rsid w:val="00826A86"/>
    <w:rsid w:val="00826D4F"/>
    <w:rsid w:val="008277BE"/>
    <w:rsid w:val="00830B60"/>
    <w:rsid w:val="0083178E"/>
    <w:rsid w:val="00834A76"/>
    <w:rsid w:val="0084041B"/>
    <w:rsid w:val="00840715"/>
    <w:rsid w:val="00842F2F"/>
    <w:rsid w:val="00843B3B"/>
    <w:rsid w:val="00844602"/>
    <w:rsid w:val="00847889"/>
    <w:rsid w:val="008501BE"/>
    <w:rsid w:val="008501E9"/>
    <w:rsid w:val="008503B6"/>
    <w:rsid w:val="00853385"/>
    <w:rsid w:val="008541D6"/>
    <w:rsid w:val="0085589A"/>
    <w:rsid w:val="008558AD"/>
    <w:rsid w:val="00862320"/>
    <w:rsid w:val="00862543"/>
    <w:rsid w:val="008634C6"/>
    <w:rsid w:val="0086503B"/>
    <w:rsid w:val="0086519C"/>
    <w:rsid w:val="0086544D"/>
    <w:rsid w:val="008724DE"/>
    <w:rsid w:val="00872A2B"/>
    <w:rsid w:val="008740EE"/>
    <w:rsid w:val="0087458C"/>
    <w:rsid w:val="00875C2B"/>
    <w:rsid w:val="00876727"/>
    <w:rsid w:val="00880034"/>
    <w:rsid w:val="008813BC"/>
    <w:rsid w:val="00881444"/>
    <w:rsid w:val="00881A60"/>
    <w:rsid w:val="00881EA9"/>
    <w:rsid w:val="00882484"/>
    <w:rsid w:val="00882E65"/>
    <w:rsid w:val="008831EB"/>
    <w:rsid w:val="00884A21"/>
    <w:rsid w:val="008860B8"/>
    <w:rsid w:val="00887D5F"/>
    <w:rsid w:val="008922DF"/>
    <w:rsid w:val="00892BA8"/>
    <w:rsid w:val="00893E17"/>
    <w:rsid w:val="00894066"/>
    <w:rsid w:val="00895E2A"/>
    <w:rsid w:val="00897B72"/>
    <w:rsid w:val="008A2A3A"/>
    <w:rsid w:val="008A39B0"/>
    <w:rsid w:val="008A3D57"/>
    <w:rsid w:val="008A4965"/>
    <w:rsid w:val="008A63A6"/>
    <w:rsid w:val="008A7988"/>
    <w:rsid w:val="008B07D0"/>
    <w:rsid w:val="008B0E45"/>
    <w:rsid w:val="008B22E6"/>
    <w:rsid w:val="008B23BC"/>
    <w:rsid w:val="008B2451"/>
    <w:rsid w:val="008B27A1"/>
    <w:rsid w:val="008B34A7"/>
    <w:rsid w:val="008B37A1"/>
    <w:rsid w:val="008B5CBB"/>
    <w:rsid w:val="008C0EC2"/>
    <w:rsid w:val="008C118E"/>
    <w:rsid w:val="008C1CE3"/>
    <w:rsid w:val="008C268A"/>
    <w:rsid w:val="008C3B78"/>
    <w:rsid w:val="008C5D82"/>
    <w:rsid w:val="008C6D44"/>
    <w:rsid w:val="008D0C88"/>
    <w:rsid w:val="008D1B34"/>
    <w:rsid w:val="008D1C5D"/>
    <w:rsid w:val="008D2883"/>
    <w:rsid w:val="008D34B2"/>
    <w:rsid w:val="008D3565"/>
    <w:rsid w:val="008D3D5A"/>
    <w:rsid w:val="008D52CE"/>
    <w:rsid w:val="008D64DB"/>
    <w:rsid w:val="008D6BE0"/>
    <w:rsid w:val="008D7DC2"/>
    <w:rsid w:val="008E017D"/>
    <w:rsid w:val="008E0AE3"/>
    <w:rsid w:val="008E118B"/>
    <w:rsid w:val="008E200C"/>
    <w:rsid w:val="008E25BC"/>
    <w:rsid w:val="008E3D60"/>
    <w:rsid w:val="008E3F4C"/>
    <w:rsid w:val="008E4035"/>
    <w:rsid w:val="008E4C98"/>
    <w:rsid w:val="008F04F3"/>
    <w:rsid w:val="008F0971"/>
    <w:rsid w:val="008F14B5"/>
    <w:rsid w:val="008F2FE5"/>
    <w:rsid w:val="008F3958"/>
    <w:rsid w:val="008F47BE"/>
    <w:rsid w:val="008F51D8"/>
    <w:rsid w:val="008F6B7B"/>
    <w:rsid w:val="008F74AD"/>
    <w:rsid w:val="008F7789"/>
    <w:rsid w:val="0090043C"/>
    <w:rsid w:val="0090165F"/>
    <w:rsid w:val="0090188E"/>
    <w:rsid w:val="00901B82"/>
    <w:rsid w:val="00902DEE"/>
    <w:rsid w:val="009039FB"/>
    <w:rsid w:val="00903F60"/>
    <w:rsid w:val="0090437E"/>
    <w:rsid w:val="009055B7"/>
    <w:rsid w:val="00910A49"/>
    <w:rsid w:val="00912679"/>
    <w:rsid w:val="00912B09"/>
    <w:rsid w:val="00912CF5"/>
    <w:rsid w:val="00916573"/>
    <w:rsid w:val="00916D28"/>
    <w:rsid w:val="00920097"/>
    <w:rsid w:val="00925133"/>
    <w:rsid w:val="009255D7"/>
    <w:rsid w:val="0093281A"/>
    <w:rsid w:val="0093685A"/>
    <w:rsid w:val="009376B6"/>
    <w:rsid w:val="00937938"/>
    <w:rsid w:val="00941CF7"/>
    <w:rsid w:val="009421DC"/>
    <w:rsid w:val="009428EB"/>
    <w:rsid w:val="00947985"/>
    <w:rsid w:val="00950F07"/>
    <w:rsid w:val="00953C2A"/>
    <w:rsid w:val="00953C76"/>
    <w:rsid w:val="0095522D"/>
    <w:rsid w:val="009552AB"/>
    <w:rsid w:val="009557AF"/>
    <w:rsid w:val="009568CC"/>
    <w:rsid w:val="00957783"/>
    <w:rsid w:val="00960B82"/>
    <w:rsid w:val="009632A6"/>
    <w:rsid w:val="00963AE8"/>
    <w:rsid w:val="00965C11"/>
    <w:rsid w:val="00965D27"/>
    <w:rsid w:val="009661F7"/>
    <w:rsid w:val="00966C2F"/>
    <w:rsid w:val="009672BD"/>
    <w:rsid w:val="00970773"/>
    <w:rsid w:val="0097166A"/>
    <w:rsid w:val="00971854"/>
    <w:rsid w:val="009738C1"/>
    <w:rsid w:val="00973E38"/>
    <w:rsid w:val="00974172"/>
    <w:rsid w:val="009748F1"/>
    <w:rsid w:val="0097512B"/>
    <w:rsid w:val="0097658F"/>
    <w:rsid w:val="009776E4"/>
    <w:rsid w:val="0097796F"/>
    <w:rsid w:val="00977D51"/>
    <w:rsid w:val="00977E06"/>
    <w:rsid w:val="00980982"/>
    <w:rsid w:val="009862F5"/>
    <w:rsid w:val="009908C2"/>
    <w:rsid w:val="0099142B"/>
    <w:rsid w:val="0099234A"/>
    <w:rsid w:val="00992B54"/>
    <w:rsid w:val="0099344A"/>
    <w:rsid w:val="009970CD"/>
    <w:rsid w:val="009A0B46"/>
    <w:rsid w:val="009A3087"/>
    <w:rsid w:val="009B03F3"/>
    <w:rsid w:val="009B263D"/>
    <w:rsid w:val="009B2842"/>
    <w:rsid w:val="009B2994"/>
    <w:rsid w:val="009B3624"/>
    <w:rsid w:val="009B39F0"/>
    <w:rsid w:val="009B7208"/>
    <w:rsid w:val="009B7EC6"/>
    <w:rsid w:val="009C1618"/>
    <w:rsid w:val="009C1A07"/>
    <w:rsid w:val="009C21C8"/>
    <w:rsid w:val="009C31F0"/>
    <w:rsid w:val="009C6ACC"/>
    <w:rsid w:val="009D11FB"/>
    <w:rsid w:val="009D3162"/>
    <w:rsid w:val="009D4570"/>
    <w:rsid w:val="009D5978"/>
    <w:rsid w:val="009D5D75"/>
    <w:rsid w:val="009D67F6"/>
    <w:rsid w:val="009D7410"/>
    <w:rsid w:val="009D7B1A"/>
    <w:rsid w:val="009E0FE1"/>
    <w:rsid w:val="009E113E"/>
    <w:rsid w:val="009E1733"/>
    <w:rsid w:val="009E203D"/>
    <w:rsid w:val="009E3694"/>
    <w:rsid w:val="009F1664"/>
    <w:rsid w:val="009F1CA7"/>
    <w:rsid w:val="009F4413"/>
    <w:rsid w:val="009F52F8"/>
    <w:rsid w:val="009F6B23"/>
    <w:rsid w:val="009F788E"/>
    <w:rsid w:val="00A012EF"/>
    <w:rsid w:val="00A01321"/>
    <w:rsid w:val="00A01ECC"/>
    <w:rsid w:val="00A0382F"/>
    <w:rsid w:val="00A0406E"/>
    <w:rsid w:val="00A041D3"/>
    <w:rsid w:val="00A059B2"/>
    <w:rsid w:val="00A06873"/>
    <w:rsid w:val="00A0750E"/>
    <w:rsid w:val="00A1047E"/>
    <w:rsid w:val="00A106A7"/>
    <w:rsid w:val="00A11307"/>
    <w:rsid w:val="00A13AF3"/>
    <w:rsid w:val="00A1712F"/>
    <w:rsid w:val="00A203EA"/>
    <w:rsid w:val="00A21388"/>
    <w:rsid w:val="00A21E66"/>
    <w:rsid w:val="00A2201F"/>
    <w:rsid w:val="00A2282A"/>
    <w:rsid w:val="00A2381D"/>
    <w:rsid w:val="00A25FAC"/>
    <w:rsid w:val="00A27791"/>
    <w:rsid w:val="00A27866"/>
    <w:rsid w:val="00A3032F"/>
    <w:rsid w:val="00A3083B"/>
    <w:rsid w:val="00A310F9"/>
    <w:rsid w:val="00A3138A"/>
    <w:rsid w:val="00A33177"/>
    <w:rsid w:val="00A33F2C"/>
    <w:rsid w:val="00A34C20"/>
    <w:rsid w:val="00A35A91"/>
    <w:rsid w:val="00A35B96"/>
    <w:rsid w:val="00A378D5"/>
    <w:rsid w:val="00A41355"/>
    <w:rsid w:val="00A415CB"/>
    <w:rsid w:val="00A42B2B"/>
    <w:rsid w:val="00A43B92"/>
    <w:rsid w:val="00A45CDF"/>
    <w:rsid w:val="00A52777"/>
    <w:rsid w:val="00A52936"/>
    <w:rsid w:val="00A53247"/>
    <w:rsid w:val="00A54251"/>
    <w:rsid w:val="00A54FA5"/>
    <w:rsid w:val="00A55D79"/>
    <w:rsid w:val="00A55EF9"/>
    <w:rsid w:val="00A569CA"/>
    <w:rsid w:val="00A60317"/>
    <w:rsid w:val="00A6179E"/>
    <w:rsid w:val="00A61E93"/>
    <w:rsid w:val="00A61F60"/>
    <w:rsid w:val="00A64316"/>
    <w:rsid w:val="00A65617"/>
    <w:rsid w:val="00A660EA"/>
    <w:rsid w:val="00A67493"/>
    <w:rsid w:val="00A71169"/>
    <w:rsid w:val="00A71219"/>
    <w:rsid w:val="00A71542"/>
    <w:rsid w:val="00A71FF4"/>
    <w:rsid w:val="00A72C4F"/>
    <w:rsid w:val="00A74EC1"/>
    <w:rsid w:val="00A758F8"/>
    <w:rsid w:val="00A75AC3"/>
    <w:rsid w:val="00A75BC1"/>
    <w:rsid w:val="00A77D72"/>
    <w:rsid w:val="00A804D9"/>
    <w:rsid w:val="00A804EC"/>
    <w:rsid w:val="00A85924"/>
    <w:rsid w:val="00A8597F"/>
    <w:rsid w:val="00A905EB"/>
    <w:rsid w:val="00A90C5B"/>
    <w:rsid w:val="00A9130F"/>
    <w:rsid w:val="00A92511"/>
    <w:rsid w:val="00A92F92"/>
    <w:rsid w:val="00A931F0"/>
    <w:rsid w:val="00A95B2E"/>
    <w:rsid w:val="00A962F1"/>
    <w:rsid w:val="00A96892"/>
    <w:rsid w:val="00A96AA9"/>
    <w:rsid w:val="00AA0961"/>
    <w:rsid w:val="00AA2051"/>
    <w:rsid w:val="00AA337C"/>
    <w:rsid w:val="00AA4491"/>
    <w:rsid w:val="00AA6DBA"/>
    <w:rsid w:val="00AA7E1E"/>
    <w:rsid w:val="00AB0614"/>
    <w:rsid w:val="00AB1E14"/>
    <w:rsid w:val="00AB2F4A"/>
    <w:rsid w:val="00AB4991"/>
    <w:rsid w:val="00AB59E3"/>
    <w:rsid w:val="00AC27BF"/>
    <w:rsid w:val="00AC296E"/>
    <w:rsid w:val="00AC2D66"/>
    <w:rsid w:val="00AC6082"/>
    <w:rsid w:val="00AC6167"/>
    <w:rsid w:val="00AC6727"/>
    <w:rsid w:val="00AD18CF"/>
    <w:rsid w:val="00AD1AED"/>
    <w:rsid w:val="00AD1D52"/>
    <w:rsid w:val="00AD221A"/>
    <w:rsid w:val="00AD6257"/>
    <w:rsid w:val="00AD7999"/>
    <w:rsid w:val="00AE1CE9"/>
    <w:rsid w:val="00AE3AF8"/>
    <w:rsid w:val="00AE4F59"/>
    <w:rsid w:val="00AE7804"/>
    <w:rsid w:val="00AF020B"/>
    <w:rsid w:val="00AF03CF"/>
    <w:rsid w:val="00AF33C9"/>
    <w:rsid w:val="00AF3E41"/>
    <w:rsid w:val="00AF54F8"/>
    <w:rsid w:val="00AF5A94"/>
    <w:rsid w:val="00AF7B02"/>
    <w:rsid w:val="00B00372"/>
    <w:rsid w:val="00B00685"/>
    <w:rsid w:val="00B00F96"/>
    <w:rsid w:val="00B01995"/>
    <w:rsid w:val="00B02249"/>
    <w:rsid w:val="00B03E4B"/>
    <w:rsid w:val="00B0631A"/>
    <w:rsid w:val="00B10C65"/>
    <w:rsid w:val="00B119B3"/>
    <w:rsid w:val="00B130EA"/>
    <w:rsid w:val="00B17961"/>
    <w:rsid w:val="00B21866"/>
    <w:rsid w:val="00B24858"/>
    <w:rsid w:val="00B24B1D"/>
    <w:rsid w:val="00B255A2"/>
    <w:rsid w:val="00B277E0"/>
    <w:rsid w:val="00B27F2E"/>
    <w:rsid w:val="00B30CF5"/>
    <w:rsid w:val="00B30EAE"/>
    <w:rsid w:val="00B3141A"/>
    <w:rsid w:val="00B31C5A"/>
    <w:rsid w:val="00B32169"/>
    <w:rsid w:val="00B34946"/>
    <w:rsid w:val="00B34A82"/>
    <w:rsid w:val="00B36208"/>
    <w:rsid w:val="00B36338"/>
    <w:rsid w:val="00B37894"/>
    <w:rsid w:val="00B41447"/>
    <w:rsid w:val="00B44EE4"/>
    <w:rsid w:val="00B519FD"/>
    <w:rsid w:val="00B520BC"/>
    <w:rsid w:val="00B52BFB"/>
    <w:rsid w:val="00B53576"/>
    <w:rsid w:val="00B561F8"/>
    <w:rsid w:val="00B56701"/>
    <w:rsid w:val="00B60E82"/>
    <w:rsid w:val="00B61651"/>
    <w:rsid w:val="00B62801"/>
    <w:rsid w:val="00B63D24"/>
    <w:rsid w:val="00B6511B"/>
    <w:rsid w:val="00B70F03"/>
    <w:rsid w:val="00B7607E"/>
    <w:rsid w:val="00B811C7"/>
    <w:rsid w:val="00B819EE"/>
    <w:rsid w:val="00B828F6"/>
    <w:rsid w:val="00B85541"/>
    <w:rsid w:val="00B90E27"/>
    <w:rsid w:val="00B9186F"/>
    <w:rsid w:val="00B924E6"/>
    <w:rsid w:val="00B92BE1"/>
    <w:rsid w:val="00B932AA"/>
    <w:rsid w:val="00B933DD"/>
    <w:rsid w:val="00B94D52"/>
    <w:rsid w:val="00B95728"/>
    <w:rsid w:val="00B95D96"/>
    <w:rsid w:val="00BA0086"/>
    <w:rsid w:val="00BA04B0"/>
    <w:rsid w:val="00BA1534"/>
    <w:rsid w:val="00BA262D"/>
    <w:rsid w:val="00BA335B"/>
    <w:rsid w:val="00BA3712"/>
    <w:rsid w:val="00BA4216"/>
    <w:rsid w:val="00BA4223"/>
    <w:rsid w:val="00BA5698"/>
    <w:rsid w:val="00BA61ED"/>
    <w:rsid w:val="00BA69A3"/>
    <w:rsid w:val="00BA740C"/>
    <w:rsid w:val="00BB37C2"/>
    <w:rsid w:val="00BB49C6"/>
    <w:rsid w:val="00BB5104"/>
    <w:rsid w:val="00BB7985"/>
    <w:rsid w:val="00BC0A28"/>
    <w:rsid w:val="00BC0BCA"/>
    <w:rsid w:val="00BC1844"/>
    <w:rsid w:val="00BC3207"/>
    <w:rsid w:val="00BC512F"/>
    <w:rsid w:val="00BC5BCD"/>
    <w:rsid w:val="00BC79EB"/>
    <w:rsid w:val="00BC7A20"/>
    <w:rsid w:val="00BD6A40"/>
    <w:rsid w:val="00BD7246"/>
    <w:rsid w:val="00BD78DB"/>
    <w:rsid w:val="00BD7AE6"/>
    <w:rsid w:val="00BD7FCF"/>
    <w:rsid w:val="00BE0896"/>
    <w:rsid w:val="00BE08A9"/>
    <w:rsid w:val="00BE2B61"/>
    <w:rsid w:val="00BE51BF"/>
    <w:rsid w:val="00BE702A"/>
    <w:rsid w:val="00BE7805"/>
    <w:rsid w:val="00BF0A8C"/>
    <w:rsid w:val="00BF116B"/>
    <w:rsid w:val="00BF1575"/>
    <w:rsid w:val="00BF2B82"/>
    <w:rsid w:val="00BF41E4"/>
    <w:rsid w:val="00BF7069"/>
    <w:rsid w:val="00BF747A"/>
    <w:rsid w:val="00BF7E31"/>
    <w:rsid w:val="00BF7F6D"/>
    <w:rsid w:val="00C0099D"/>
    <w:rsid w:val="00C01F0A"/>
    <w:rsid w:val="00C021F9"/>
    <w:rsid w:val="00C03709"/>
    <w:rsid w:val="00C03AF7"/>
    <w:rsid w:val="00C05BF0"/>
    <w:rsid w:val="00C06AC0"/>
    <w:rsid w:val="00C07890"/>
    <w:rsid w:val="00C11446"/>
    <w:rsid w:val="00C1444C"/>
    <w:rsid w:val="00C14EFA"/>
    <w:rsid w:val="00C15FFA"/>
    <w:rsid w:val="00C20719"/>
    <w:rsid w:val="00C20E31"/>
    <w:rsid w:val="00C21F53"/>
    <w:rsid w:val="00C23E2F"/>
    <w:rsid w:val="00C25BDA"/>
    <w:rsid w:val="00C2777D"/>
    <w:rsid w:val="00C312D6"/>
    <w:rsid w:val="00C31421"/>
    <w:rsid w:val="00C32A03"/>
    <w:rsid w:val="00C32DB7"/>
    <w:rsid w:val="00C33104"/>
    <w:rsid w:val="00C34A00"/>
    <w:rsid w:val="00C35B7C"/>
    <w:rsid w:val="00C36AB8"/>
    <w:rsid w:val="00C36BAF"/>
    <w:rsid w:val="00C379E3"/>
    <w:rsid w:val="00C4185F"/>
    <w:rsid w:val="00C43E7C"/>
    <w:rsid w:val="00C44165"/>
    <w:rsid w:val="00C47A44"/>
    <w:rsid w:val="00C511AD"/>
    <w:rsid w:val="00C537C8"/>
    <w:rsid w:val="00C537D5"/>
    <w:rsid w:val="00C57C60"/>
    <w:rsid w:val="00C601E9"/>
    <w:rsid w:val="00C60545"/>
    <w:rsid w:val="00C605C1"/>
    <w:rsid w:val="00C634F3"/>
    <w:rsid w:val="00C64456"/>
    <w:rsid w:val="00C649E0"/>
    <w:rsid w:val="00C65BB1"/>
    <w:rsid w:val="00C700B6"/>
    <w:rsid w:val="00C70824"/>
    <w:rsid w:val="00C70A9B"/>
    <w:rsid w:val="00C71D46"/>
    <w:rsid w:val="00C7204B"/>
    <w:rsid w:val="00C73ABA"/>
    <w:rsid w:val="00C73D67"/>
    <w:rsid w:val="00C77D90"/>
    <w:rsid w:val="00C81D7A"/>
    <w:rsid w:val="00C82263"/>
    <w:rsid w:val="00C82651"/>
    <w:rsid w:val="00C83CB6"/>
    <w:rsid w:val="00C854D4"/>
    <w:rsid w:val="00C90556"/>
    <w:rsid w:val="00C92BC9"/>
    <w:rsid w:val="00C933C7"/>
    <w:rsid w:val="00C93710"/>
    <w:rsid w:val="00C9387A"/>
    <w:rsid w:val="00C948DE"/>
    <w:rsid w:val="00C94F24"/>
    <w:rsid w:val="00C95F77"/>
    <w:rsid w:val="00C9756B"/>
    <w:rsid w:val="00C97AC4"/>
    <w:rsid w:val="00CA0D78"/>
    <w:rsid w:val="00CA151E"/>
    <w:rsid w:val="00CA189D"/>
    <w:rsid w:val="00CA47DE"/>
    <w:rsid w:val="00CA4855"/>
    <w:rsid w:val="00CA54E5"/>
    <w:rsid w:val="00CB0B37"/>
    <w:rsid w:val="00CB10B8"/>
    <w:rsid w:val="00CB142E"/>
    <w:rsid w:val="00CB24FE"/>
    <w:rsid w:val="00CB3E86"/>
    <w:rsid w:val="00CB47DA"/>
    <w:rsid w:val="00CC69FD"/>
    <w:rsid w:val="00CC71AF"/>
    <w:rsid w:val="00CD0697"/>
    <w:rsid w:val="00CD2A8C"/>
    <w:rsid w:val="00CD3104"/>
    <w:rsid w:val="00CD4D0F"/>
    <w:rsid w:val="00CD58FD"/>
    <w:rsid w:val="00CD6A35"/>
    <w:rsid w:val="00CD7BC7"/>
    <w:rsid w:val="00CE0375"/>
    <w:rsid w:val="00CE15E6"/>
    <w:rsid w:val="00CE1C87"/>
    <w:rsid w:val="00CE31E1"/>
    <w:rsid w:val="00CE3F4D"/>
    <w:rsid w:val="00CE420F"/>
    <w:rsid w:val="00CE475C"/>
    <w:rsid w:val="00CE5684"/>
    <w:rsid w:val="00CF00EB"/>
    <w:rsid w:val="00CF0437"/>
    <w:rsid w:val="00CF0BDB"/>
    <w:rsid w:val="00CF0C4B"/>
    <w:rsid w:val="00CF1B54"/>
    <w:rsid w:val="00CF3541"/>
    <w:rsid w:val="00D01BE2"/>
    <w:rsid w:val="00D022B1"/>
    <w:rsid w:val="00D02A36"/>
    <w:rsid w:val="00D02C0D"/>
    <w:rsid w:val="00D04C31"/>
    <w:rsid w:val="00D050EB"/>
    <w:rsid w:val="00D05F7B"/>
    <w:rsid w:val="00D075EC"/>
    <w:rsid w:val="00D1046F"/>
    <w:rsid w:val="00D105B3"/>
    <w:rsid w:val="00D119AF"/>
    <w:rsid w:val="00D12416"/>
    <w:rsid w:val="00D1435C"/>
    <w:rsid w:val="00D16DC0"/>
    <w:rsid w:val="00D170FA"/>
    <w:rsid w:val="00D20E92"/>
    <w:rsid w:val="00D214B7"/>
    <w:rsid w:val="00D2281F"/>
    <w:rsid w:val="00D24218"/>
    <w:rsid w:val="00D26474"/>
    <w:rsid w:val="00D30A61"/>
    <w:rsid w:val="00D31E35"/>
    <w:rsid w:val="00D33AD2"/>
    <w:rsid w:val="00D33BEC"/>
    <w:rsid w:val="00D343FA"/>
    <w:rsid w:val="00D354A7"/>
    <w:rsid w:val="00D35B61"/>
    <w:rsid w:val="00D3734F"/>
    <w:rsid w:val="00D37521"/>
    <w:rsid w:val="00D37C3A"/>
    <w:rsid w:val="00D4082B"/>
    <w:rsid w:val="00D418FF"/>
    <w:rsid w:val="00D4285A"/>
    <w:rsid w:val="00D45008"/>
    <w:rsid w:val="00D45149"/>
    <w:rsid w:val="00D463F7"/>
    <w:rsid w:val="00D465C9"/>
    <w:rsid w:val="00D47B92"/>
    <w:rsid w:val="00D50C6B"/>
    <w:rsid w:val="00D51F22"/>
    <w:rsid w:val="00D5220D"/>
    <w:rsid w:val="00D52296"/>
    <w:rsid w:val="00D522E3"/>
    <w:rsid w:val="00D52CE8"/>
    <w:rsid w:val="00D5583D"/>
    <w:rsid w:val="00D6519C"/>
    <w:rsid w:val="00D654E6"/>
    <w:rsid w:val="00D65C76"/>
    <w:rsid w:val="00D65FD2"/>
    <w:rsid w:val="00D666D7"/>
    <w:rsid w:val="00D70C7B"/>
    <w:rsid w:val="00D729AD"/>
    <w:rsid w:val="00D734C7"/>
    <w:rsid w:val="00D73E60"/>
    <w:rsid w:val="00D7410F"/>
    <w:rsid w:val="00D74D68"/>
    <w:rsid w:val="00D7624E"/>
    <w:rsid w:val="00D826BC"/>
    <w:rsid w:val="00D8367C"/>
    <w:rsid w:val="00D8529F"/>
    <w:rsid w:val="00D91641"/>
    <w:rsid w:val="00D91FF3"/>
    <w:rsid w:val="00D9378E"/>
    <w:rsid w:val="00D93FBF"/>
    <w:rsid w:val="00D94B4E"/>
    <w:rsid w:val="00D95319"/>
    <w:rsid w:val="00D9588C"/>
    <w:rsid w:val="00D97C08"/>
    <w:rsid w:val="00DA2F73"/>
    <w:rsid w:val="00DA563C"/>
    <w:rsid w:val="00DA5F98"/>
    <w:rsid w:val="00DA64CC"/>
    <w:rsid w:val="00DA69EC"/>
    <w:rsid w:val="00DA6B62"/>
    <w:rsid w:val="00DA72BC"/>
    <w:rsid w:val="00DB17FC"/>
    <w:rsid w:val="00DB257E"/>
    <w:rsid w:val="00DB3A57"/>
    <w:rsid w:val="00DB7DE4"/>
    <w:rsid w:val="00DC10FE"/>
    <w:rsid w:val="00DC11C8"/>
    <w:rsid w:val="00DC413E"/>
    <w:rsid w:val="00DC462F"/>
    <w:rsid w:val="00DC5EE7"/>
    <w:rsid w:val="00DC6153"/>
    <w:rsid w:val="00DC64D6"/>
    <w:rsid w:val="00DC64F8"/>
    <w:rsid w:val="00DC75AB"/>
    <w:rsid w:val="00DD1637"/>
    <w:rsid w:val="00DD174E"/>
    <w:rsid w:val="00DD1C3F"/>
    <w:rsid w:val="00DD2048"/>
    <w:rsid w:val="00DD51B4"/>
    <w:rsid w:val="00DD6A21"/>
    <w:rsid w:val="00DD6E61"/>
    <w:rsid w:val="00DE07B0"/>
    <w:rsid w:val="00DE2FC5"/>
    <w:rsid w:val="00DE60CA"/>
    <w:rsid w:val="00DE6612"/>
    <w:rsid w:val="00DF0B9D"/>
    <w:rsid w:val="00DF12AE"/>
    <w:rsid w:val="00DF1DAE"/>
    <w:rsid w:val="00DF26CB"/>
    <w:rsid w:val="00DF29B4"/>
    <w:rsid w:val="00DF56B3"/>
    <w:rsid w:val="00DF5E53"/>
    <w:rsid w:val="00E00564"/>
    <w:rsid w:val="00E019FA"/>
    <w:rsid w:val="00E01E65"/>
    <w:rsid w:val="00E02CF3"/>
    <w:rsid w:val="00E02D46"/>
    <w:rsid w:val="00E06063"/>
    <w:rsid w:val="00E06157"/>
    <w:rsid w:val="00E06828"/>
    <w:rsid w:val="00E072B4"/>
    <w:rsid w:val="00E10689"/>
    <w:rsid w:val="00E1145C"/>
    <w:rsid w:val="00E13728"/>
    <w:rsid w:val="00E142BB"/>
    <w:rsid w:val="00E22366"/>
    <w:rsid w:val="00E2241A"/>
    <w:rsid w:val="00E22E04"/>
    <w:rsid w:val="00E2326C"/>
    <w:rsid w:val="00E24FA3"/>
    <w:rsid w:val="00E26B28"/>
    <w:rsid w:val="00E27D35"/>
    <w:rsid w:val="00E30168"/>
    <w:rsid w:val="00E31465"/>
    <w:rsid w:val="00E3259D"/>
    <w:rsid w:val="00E328CD"/>
    <w:rsid w:val="00E34F43"/>
    <w:rsid w:val="00E363B7"/>
    <w:rsid w:val="00E36A30"/>
    <w:rsid w:val="00E36B95"/>
    <w:rsid w:val="00E37BE1"/>
    <w:rsid w:val="00E37CDB"/>
    <w:rsid w:val="00E4003F"/>
    <w:rsid w:val="00E41484"/>
    <w:rsid w:val="00E42709"/>
    <w:rsid w:val="00E42E6C"/>
    <w:rsid w:val="00E452FE"/>
    <w:rsid w:val="00E458F6"/>
    <w:rsid w:val="00E45954"/>
    <w:rsid w:val="00E47167"/>
    <w:rsid w:val="00E47FD5"/>
    <w:rsid w:val="00E51BE8"/>
    <w:rsid w:val="00E51CED"/>
    <w:rsid w:val="00E528AF"/>
    <w:rsid w:val="00E566B5"/>
    <w:rsid w:val="00E57B40"/>
    <w:rsid w:val="00E57EA6"/>
    <w:rsid w:val="00E61070"/>
    <w:rsid w:val="00E61BFC"/>
    <w:rsid w:val="00E642D1"/>
    <w:rsid w:val="00E64C9E"/>
    <w:rsid w:val="00E65A31"/>
    <w:rsid w:val="00E665C3"/>
    <w:rsid w:val="00E671A9"/>
    <w:rsid w:val="00E70048"/>
    <w:rsid w:val="00E71A93"/>
    <w:rsid w:val="00E729B3"/>
    <w:rsid w:val="00E7494F"/>
    <w:rsid w:val="00E76B64"/>
    <w:rsid w:val="00E77FF4"/>
    <w:rsid w:val="00E80D95"/>
    <w:rsid w:val="00E821CA"/>
    <w:rsid w:val="00E84630"/>
    <w:rsid w:val="00E86D18"/>
    <w:rsid w:val="00E91861"/>
    <w:rsid w:val="00E920FA"/>
    <w:rsid w:val="00E935E4"/>
    <w:rsid w:val="00E93C2A"/>
    <w:rsid w:val="00E9509C"/>
    <w:rsid w:val="00E96920"/>
    <w:rsid w:val="00EA44D9"/>
    <w:rsid w:val="00EA4FA6"/>
    <w:rsid w:val="00EA4FF9"/>
    <w:rsid w:val="00EB15DE"/>
    <w:rsid w:val="00EB1A87"/>
    <w:rsid w:val="00EB1F65"/>
    <w:rsid w:val="00EB1FEA"/>
    <w:rsid w:val="00EB3351"/>
    <w:rsid w:val="00EB4C9F"/>
    <w:rsid w:val="00EB6A76"/>
    <w:rsid w:val="00EC141B"/>
    <w:rsid w:val="00EC1907"/>
    <w:rsid w:val="00EC1B89"/>
    <w:rsid w:val="00EC236C"/>
    <w:rsid w:val="00EC3ACB"/>
    <w:rsid w:val="00EC4FE7"/>
    <w:rsid w:val="00EC5998"/>
    <w:rsid w:val="00EC5BBB"/>
    <w:rsid w:val="00EC628B"/>
    <w:rsid w:val="00EC6445"/>
    <w:rsid w:val="00ED02BE"/>
    <w:rsid w:val="00ED2034"/>
    <w:rsid w:val="00ED2395"/>
    <w:rsid w:val="00ED5E56"/>
    <w:rsid w:val="00ED6224"/>
    <w:rsid w:val="00ED7EC7"/>
    <w:rsid w:val="00EE1512"/>
    <w:rsid w:val="00EE3874"/>
    <w:rsid w:val="00EE5E06"/>
    <w:rsid w:val="00EE6A7E"/>
    <w:rsid w:val="00EF1736"/>
    <w:rsid w:val="00EF189F"/>
    <w:rsid w:val="00EF1F81"/>
    <w:rsid w:val="00EF334E"/>
    <w:rsid w:val="00EF3596"/>
    <w:rsid w:val="00EF4079"/>
    <w:rsid w:val="00EF4086"/>
    <w:rsid w:val="00EF408A"/>
    <w:rsid w:val="00EF65BD"/>
    <w:rsid w:val="00F00029"/>
    <w:rsid w:val="00F00174"/>
    <w:rsid w:val="00F01ECF"/>
    <w:rsid w:val="00F055CF"/>
    <w:rsid w:val="00F05CC7"/>
    <w:rsid w:val="00F0606B"/>
    <w:rsid w:val="00F06CCD"/>
    <w:rsid w:val="00F07674"/>
    <w:rsid w:val="00F079E6"/>
    <w:rsid w:val="00F11A8D"/>
    <w:rsid w:val="00F12282"/>
    <w:rsid w:val="00F12ED9"/>
    <w:rsid w:val="00F14C6D"/>
    <w:rsid w:val="00F15514"/>
    <w:rsid w:val="00F15684"/>
    <w:rsid w:val="00F34341"/>
    <w:rsid w:val="00F3435A"/>
    <w:rsid w:val="00F36103"/>
    <w:rsid w:val="00F401F2"/>
    <w:rsid w:val="00F409BE"/>
    <w:rsid w:val="00F418D8"/>
    <w:rsid w:val="00F437D1"/>
    <w:rsid w:val="00F43AB7"/>
    <w:rsid w:val="00F43FBC"/>
    <w:rsid w:val="00F44DB9"/>
    <w:rsid w:val="00F4563E"/>
    <w:rsid w:val="00F45D98"/>
    <w:rsid w:val="00F4744B"/>
    <w:rsid w:val="00F50169"/>
    <w:rsid w:val="00F50663"/>
    <w:rsid w:val="00F508AD"/>
    <w:rsid w:val="00F5092B"/>
    <w:rsid w:val="00F51A3A"/>
    <w:rsid w:val="00F5250E"/>
    <w:rsid w:val="00F5358F"/>
    <w:rsid w:val="00F560F7"/>
    <w:rsid w:val="00F57484"/>
    <w:rsid w:val="00F57DE8"/>
    <w:rsid w:val="00F6101A"/>
    <w:rsid w:val="00F61075"/>
    <w:rsid w:val="00F62AE3"/>
    <w:rsid w:val="00F66B3E"/>
    <w:rsid w:val="00F6794B"/>
    <w:rsid w:val="00F70017"/>
    <w:rsid w:val="00F71855"/>
    <w:rsid w:val="00F72106"/>
    <w:rsid w:val="00F74AD4"/>
    <w:rsid w:val="00F75402"/>
    <w:rsid w:val="00F75CB4"/>
    <w:rsid w:val="00F75FD4"/>
    <w:rsid w:val="00F7669A"/>
    <w:rsid w:val="00F768C3"/>
    <w:rsid w:val="00F768D7"/>
    <w:rsid w:val="00F80557"/>
    <w:rsid w:val="00F80B69"/>
    <w:rsid w:val="00F820E5"/>
    <w:rsid w:val="00F82246"/>
    <w:rsid w:val="00F8234D"/>
    <w:rsid w:val="00F86343"/>
    <w:rsid w:val="00F930CB"/>
    <w:rsid w:val="00F93CC7"/>
    <w:rsid w:val="00F94209"/>
    <w:rsid w:val="00F9513A"/>
    <w:rsid w:val="00F97245"/>
    <w:rsid w:val="00FA1CC9"/>
    <w:rsid w:val="00FA4916"/>
    <w:rsid w:val="00FA51F3"/>
    <w:rsid w:val="00FB1067"/>
    <w:rsid w:val="00FB4427"/>
    <w:rsid w:val="00FB5561"/>
    <w:rsid w:val="00FC4194"/>
    <w:rsid w:val="00FC4293"/>
    <w:rsid w:val="00FC6C9D"/>
    <w:rsid w:val="00FC6E3B"/>
    <w:rsid w:val="00FD01B5"/>
    <w:rsid w:val="00FD273D"/>
    <w:rsid w:val="00FD282D"/>
    <w:rsid w:val="00FD2D47"/>
    <w:rsid w:val="00FD3838"/>
    <w:rsid w:val="00FD6155"/>
    <w:rsid w:val="00FD6AEC"/>
    <w:rsid w:val="00FE12B8"/>
    <w:rsid w:val="00FE159B"/>
    <w:rsid w:val="00FE3FF0"/>
    <w:rsid w:val="00FE4BF0"/>
    <w:rsid w:val="00FE6ADF"/>
    <w:rsid w:val="00FF2627"/>
    <w:rsid w:val="00FF2EDC"/>
    <w:rsid w:val="00FF340B"/>
    <w:rsid w:val="00FF3EA2"/>
    <w:rsid w:val="00FF7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8B4B0E"/>
  <w15:docId w15:val="{92A6A6AA-1260-436A-8F1D-5212A1CA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3"/>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474DEC"/>
    <w:pPr>
      <w:numPr>
        <w:ilvl w:val="0"/>
        <w:numId w:val="0"/>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3"/>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3"/>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3"/>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3"/>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3"/>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uiPriority w:val="99"/>
    <w:rsid w:val="000A1DB8"/>
    <w:rPr>
      <w:rFonts w:ascii="Arial" w:hAnsi="Arial"/>
      <w:sz w:val="20"/>
      <w:vertAlign w:val="superscript"/>
    </w:rPr>
  </w:style>
  <w:style w:type="paragraph" w:styleId="FootnoteText">
    <w:name w:val="footnote text"/>
    <w:basedOn w:val="Normal"/>
    <w:link w:val="FootnoteTextChar"/>
    <w:uiPriority w:val="99"/>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1"/>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4"/>
      </w:numPr>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paragraph" w:styleId="ListParagraph">
    <w:name w:val="List Paragraph"/>
    <w:basedOn w:val="Normal"/>
    <w:uiPriority w:val="34"/>
    <w:qFormat/>
    <w:rsid w:val="008D2883"/>
    <w:pPr>
      <w:spacing w:before="0" w:after="0"/>
      <w:ind w:left="720"/>
    </w:pPr>
    <w:rPr>
      <w:rFonts w:ascii="Calibri" w:eastAsiaTheme="minorHAnsi" w:hAnsi="Calibri"/>
      <w:sz w:val="22"/>
      <w:szCs w:val="22"/>
      <w:lang w:eastAsia="en-US"/>
    </w:rPr>
  </w:style>
  <w:style w:type="paragraph" w:customStyle="1" w:styleId="Default">
    <w:name w:val="Default"/>
    <w:rsid w:val="00B03E4B"/>
    <w:pPr>
      <w:autoSpaceDE w:val="0"/>
      <w:autoSpaceDN w:val="0"/>
      <w:adjustRightInd w:val="0"/>
    </w:pPr>
    <w:rPr>
      <w:rFonts w:ascii="Arial" w:hAnsi="Arial" w:cs="Arial"/>
      <w:color w:val="000000"/>
      <w:sz w:val="24"/>
      <w:szCs w:val="24"/>
    </w:rPr>
  </w:style>
  <w:style w:type="paragraph" w:customStyle="1" w:styleId="Para1">
    <w:name w:val="Para 1"/>
    <w:basedOn w:val="Normal"/>
    <w:link w:val="Para1Char"/>
    <w:rsid w:val="004B3586"/>
    <w:pPr>
      <w:numPr>
        <w:numId w:val="19"/>
      </w:numPr>
      <w:spacing w:before="0" w:after="120" w:line="300" w:lineRule="atLeast"/>
    </w:pPr>
    <w:rPr>
      <w:rFonts w:ascii="Times New Roman" w:eastAsia="Times New Roman" w:hAnsi="Times New Roman"/>
      <w:sz w:val="26"/>
      <w:szCs w:val="26"/>
      <w:lang w:eastAsia="en-US"/>
    </w:rPr>
  </w:style>
  <w:style w:type="character" w:customStyle="1" w:styleId="Para1Char">
    <w:name w:val="Para 1 Char"/>
    <w:link w:val="Para1"/>
    <w:locked/>
    <w:rsid w:val="004B3586"/>
    <w:rPr>
      <w:sz w:val="26"/>
      <w:szCs w:val="26"/>
      <w:lang w:eastAsia="en-US"/>
    </w:rPr>
  </w:style>
  <w:style w:type="character" w:customStyle="1" w:styleId="FootnoteTextChar">
    <w:name w:val="Footnote Text Char"/>
    <w:basedOn w:val="DefaultParagraphFont"/>
    <w:link w:val="FootnoteText"/>
    <w:uiPriority w:val="99"/>
    <w:locked/>
    <w:rsid w:val="00C06AC0"/>
    <w:rPr>
      <w:rFonts w:ascii="Arial" w:eastAsia="MS Mincho" w:hAnsi="Arial"/>
    </w:rPr>
  </w:style>
  <w:style w:type="paragraph" w:customStyle="1" w:styleId="Para5">
    <w:name w:val="Para 5"/>
    <w:basedOn w:val="Normal"/>
    <w:link w:val="Para5Char"/>
    <w:rsid w:val="00752E8E"/>
    <w:pPr>
      <w:numPr>
        <w:numId w:val="20"/>
      </w:numPr>
      <w:spacing w:before="0" w:after="120" w:line="300" w:lineRule="atLeast"/>
    </w:pPr>
    <w:rPr>
      <w:rFonts w:ascii="Times New Roman" w:eastAsia="Times New Roman" w:hAnsi="Times New Roman"/>
      <w:sz w:val="26"/>
      <w:szCs w:val="26"/>
      <w:lang w:eastAsia="en-US"/>
    </w:rPr>
  </w:style>
  <w:style w:type="character" w:customStyle="1" w:styleId="Para5Char">
    <w:name w:val="Para 5 Char"/>
    <w:link w:val="Para5"/>
    <w:locked/>
    <w:rsid w:val="00752E8E"/>
    <w:rPr>
      <w:sz w:val="26"/>
      <w:szCs w:val="26"/>
      <w:lang w:eastAsia="en-US"/>
    </w:rPr>
  </w:style>
  <w:style w:type="character" w:styleId="CommentReference">
    <w:name w:val="annotation reference"/>
    <w:basedOn w:val="DefaultParagraphFont"/>
    <w:locked/>
    <w:rsid w:val="00807A0D"/>
    <w:rPr>
      <w:sz w:val="16"/>
      <w:szCs w:val="16"/>
    </w:rPr>
  </w:style>
  <w:style w:type="paragraph" w:styleId="CommentText">
    <w:name w:val="annotation text"/>
    <w:basedOn w:val="Normal"/>
    <w:link w:val="CommentTextChar"/>
    <w:uiPriority w:val="99"/>
    <w:locked/>
    <w:rsid w:val="00807A0D"/>
    <w:rPr>
      <w:sz w:val="20"/>
      <w:szCs w:val="20"/>
    </w:rPr>
  </w:style>
  <w:style w:type="character" w:customStyle="1" w:styleId="CommentTextChar">
    <w:name w:val="Comment Text Char"/>
    <w:basedOn w:val="DefaultParagraphFont"/>
    <w:link w:val="CommentText"/>
    <w:uiPriority w:val="99"/>
    <w:rsid w:val="00807A0D"/>
    <w:rPr>
      <w:rFonts w:ascii="Arial" w:eastAsia="MS Mincho" w:hAnsi="Arial"/>
    </w:rPr>
  </w:style>
  <w:style w:type="paragraph" w:styleId="CommentSubject">
    <w:name w:val="annotation subject"/>
    <w:basedOn w:val="CommentText"/>
    <w:next w:val="CommentText"/>
    <w:link w:val="CommentSubjectChar"/>
    <w:locked/>
    <w:rsid w:val="00807A0D"/>
    <w:rPr>
      <w:b/>
      <w:bCs/>
    </w:rPr>
  </w:style>
  <w:style w:type="character" w:customStyle="1" w:styleId="CommentSubjectChar">
    <w:name w:val="Comment Subject Char"/>
    <w:basedOn w:val="CommentTextChar"/>
    <w:link w:val="CommentSubject"/>
    <w:rsid w:val="00807A0D"/>
    <w:rPr>
      <w:rFonts w:ascii="Arial" w:eastAsia="MS Mincho" w:hAnsi="Arial"/>
      <w:b/>
      <w:bCs/>
    </w:rPr>
  </w:style>
  <w:style w:type="paragraph" w:styleId="Revision">
    <w:name w:val="Revision"/>
    <w:hidden/>
    <w:uiPriority w:val="99"/>
    <w:semiHidden/>
    <w:rsid w:val="000B083C"/>
    <w:rPr>
      <w:rFonts w:ascii="Arial" w:eastAsia="MS Mincho" w:hAnsi="Arial"/>
      <w:sz w:val="24"/>
      <w:szCs w:val="24"/>
    </w:rPr>
  </w:style>
  <w:style w:type="paragraph" w:styleId="NoSpacing">
    <w:name w:val="No Spacing"/>
    <w:uiPriority w:val="1"/>
    <w:qFormat/>
    <w:rsid w:val="00013F56"/>
    <w:rPr>
      <w:rFonts w:ascii="Arial" w:eastAsia="MS Mincho"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904681631">
      <w:bodyDiv w:val="1"/>
      <w:marLeft w:val="0"/>
      <w:marRight w:val="0"/>
      <w:marTop w:val="0"/>
      <w:marBottom w:val="0"/>
      <w:divBdr>
        <w:top w:val="none" w:sz="0" w:space="0" w:color="auto"/>
        <w:left w:val="none" w:sz="0" w:space="0" w:color="auto"/>
        <w:bottom w:val="none" w:sz="0" w:space="0" w:color="auto"/>
        <w:right w:val="none" w:sz="0" w:space="0" w:color="auto"/>
      </w:divBdr>
    </w:div>
    <w:div w:id="19081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www.abs.gov.au/ausstats/abs@.nsf/mf/4430.0.10.001" TargetMode="External"/><Relationship Id="rId2" Type="http://schemas.openxmlformats.org/officeDocument/2006/relationships/hyperlink" Target="https://www.humanrights.gov.au/guidelines-providers-insurance-and-superannuation-0" TargetMode="External"/><Relationship Id="rId1" Type="http://schemas.openxmlformats.org/officeDocument/2006/relationships/hyperlink" Target="https://www.humanrights.gov.au/our-work/disability-rights/publications/disability-guidelines-providers-insurance-and-superannuation" TargetMode="External"/><Relationship Id="rId5" Type="http://schemas.openxmlformats.org/officeDocument/2006/relationships/hyperlink" Target="https://www.humanrights.gov.au/our-work/disability-rights/action-plans/register-disability-discrimination-act-action-plans" TargetMode="External"/><Relationship Id="rId4" Type="http://schemas.openxmlformats.org/officeDocument/2006/relationships/hyperlink" Target="http://www.austlii.edu.au/cgi-bin/LawCite?cit=%281991%29%20173%20CLR%20349"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87E5-6C3F-4F9A-8F25-7999C656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Submission.dot</Template>
  <TotalTime>5</TotalTime>
  <Pages>24</Pages>
  <Words>8773</Words>
  <Characters>47878</Characters>
  <Application>Microsoft Office Word</Application>
  <DocSecurity>0</DocSecurity>
  <Lines>398</Lines>
  <Paragraphs>113</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56538</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Tony Davidson</dc:creator>
  <cp:keywords/>
  <cp:lastModifiedBy>Anita Joseph</cp:lastModifiedBy>
  <cp:revision>5</cp:revision>
  <cp:lastPrinted>2016-11-15T00:50:00Z</cp:lastPrinted>
  <dcterms:created xsi:type="dcterms:W3CDTF">2016-11-15T00:47:00Z</dcterms:created>
  <dcterms:modified xsi:type="dcterms:W3CDTF">2016-11-15T00:51:00Z</dcterms:modified>
</cp:coreProperties>
</file>