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416" w:rsidRPr="00EF1384" w:rsidRDefault="00971416" w:rsidP="00971416">
      <w:pPr>
        <w:pStyle w:val="Header"/>
        <w:rPr>
          <w:rFonts w:asciiTheme="minorHAnsi" w:hAnsiTheme="minorHAnsi" w:cstheme="minorHAnsi"/>
          <w:sz w:val="22"/>
          <w:szCs w:val="22"/>
        </w:rPr>
      </w:pPr>
      <w:r w:rsidRPr="00EF1384">
        <w:rPr>
          <w:rFonts w:asciiTheme="minorHAnsi" w:hAnsiTheme="minorHAnsi" w:cstheme="minorHAnsi"/>
          <w:noProof/>
          <w:sz w:val="22"/>
          <w:szCs w:val="22"/>
          <w:lang w:eastAsia="en-AU"/>
        </w:rPr>
        <mc:AlternateContent>
          <mc:Choice Requires="wps">
            <w:drawing>
              <wp:anchor distT="0" distB="0" distL="114300" distR="114300" simplePos="0" relativeHeight="251660288" behindDoc="1" locked="0" layoutInCell="1" allowOverlap="1" wp14:anchorId="02D18104" wp14:editId="3A4F268F">
                <wp:simplePos x="0" y="0"/>
                <wp:positionH relativeFrom="column">
                  <wp:posOffset>5143500</wp:posOffset>
                </wp:positionH>
                <wp:positionV relativeFrom="paragraph">
                  <wp:posOffset>-45085</wp:posOffset>
                </wp:positionV>
                <wp:extent cx="1460500" cy="1143635"/>
                <wp:effectExtent l="0" t="0" r="635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0" cy="1143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0E8E" w:rsidRDefault="00620E8E" w:rsidP="00971416">
                            <w:pPr>
                              <w:rPr>
                                <w:b/>
                                <w:color w:val="FF0000"/>
                                <w:sz w:val="16"/>
                                <w:szCs w:val="16"/>
                              </w:rPr>
                            </w:pPr>
                            <w:r w:rsidRPr="00671A30">
                              <w:rPr>
                                <w:b/>
                                <w:color w:val="FF0000"/>
                                <w:sz w:val="16"/>
                                <w:szCs w:val="16"/>
                              </w:rPr>
                              <w:t xml:space="preserve">Graduate School </w:t>
                            </w:r>
                          </w:p>
                          <w:p w:rsidR="00620E8E" w:rsidRPr="00671A30" w:rsidRDefault="00620E8E" w:rsidP="00971416">
                            <w:pPr>
                              <w:rPr>
                                <w:b/>
                                <w:color w:val="FF0000"/>
                                <w:sz w:val="16"/>
                                <w:szCs w:val="16"/>
                              </w:rPr>
                            </w:pPr>
                            <w:proofErr w:type="gramStart"/>
                            <w:r w:rsidRPr="00671A30">
                              <w:rPr>
                                <w:b/>
                                <w:color w:val="FF0000"/>
                                <w:sz w:val="16"/>
                                <w:szCs w:val="16"/>
                              </w:rPr>
                              <w:t>of</w:t>
                            </w:r>
                            <w:proofErr w:type="gramEnd"/>
                            <w:r w:rsidRPr="00671A30">
                              <w:rPr>
                                <w:b/>
                                <w:color w:val="FF0000"/>
                                <w:sz w:val="16"/>
                                <w:szCs w:val="16"/>
                              </w:rPr>
                              <w:t xml:space="preserve"> Business</w:t>
                            </w:r>
                            <w:r>
                              <w:rPr>
                                <w:b/>
                                <w:color w:val="FF0000"/>
                                <w:sz w:val="16"/>
                                <w:szCs w:val="16"/>
                              </w:rPr>
                              <w:t xml:space="preserve"> and Law</w:t>
                            </w:r>
                          </w:p>
                          <w:p w:rsidR="00620E8E" w:rsidRPr="008329EF" w:rsidRDefault="00620E8E" w:rsidP="00971416">
                            <w:pPr>
                              <w:rPr>
                                <w:color w:val="000000"/>
                                <w:sz w:val="16"/>
                                <w:szCs w:val="16"/>
                              </w:rPr>
                            </w:pPr>
                          </w:p>
                          <w:p w:rsidR="00620E8E" w:rsidRPr="008329EF" w:rsidRDefault="00620E8E" w:rsidP="00971416">
                            <w:pPr>
                              <w:rPr>
                                <w:color w:val="000000"/>
                                <w:sz w:val="16"/>
                                <w:szCs w:val="16"/>
                              </w:rPr>
                            </w:pPr>
                            <w:proofErr w:type="spellStart"/>
                            <w:r w:rsidRPr="008329EF">
                              <w:rPr>
                                <w:color w:val="000000"/>
                                <w:sz w:val="16"/>
                                <w:szCs w:val="16"/>
                              </w:rPr>
                              <w:t>RMIT</w:t>
                            </w:r>
                            <w:proofErr w:type="spellEnd"/>
                            <w:r w:rsidRPr="008329EF">
                              <w:rPr>
                                <w:color w:val="000000"/>
                                <w:sz w:val="16"/>
                                <w:szCs w:val="16"/>
                              </w:rPr>
                              <w:t xml:space="preserve"> Building 13 </w:t>
                            </w:r>
                          </w:p>
                          <w:p w:rsidR="00620E8E" w:rsidRDefault="00620E8E" w:rsidP="00971416">
                            <w:pPr>
                              <w:rPr>
                                <w:color w:val="000000"/>
                                <w:sz w:val="16"/>
                                <w:szCs w:val="16"/>
                              </w:rPr>
                            </w:pPr>
                            <w:r w:rsidRPr="008329EF">
                              <w:rPr>
                                <w:color w:val="000000"/>
                                <w:sz w:val="16"/>
                                <w:szCs w:val="16"/>
                              </w:rPr>
                              <w:t xml:space="preserve">379-405 Russell Street </w:t>
                            </w:r>
                          </w:p>
                          <w:p w:rsidR="00620E8E" w:rsidRPr="008329EF" w:rsidRDefault="00620E8E" w:rsidP="00971416">
                            <w:pPr>
                              <w:rPr>
                                <w:color w:val="000000"/>
                                <w:sz w:val="16"/>
                                <w:szCs w:val="16"/>
                              </w:rPr>
                            </w:pPr>
                            <w:r>
                              <w:rPr>
                                <w:color w:val="000000"/>
                                <w:sz w:val="16"/>
                                <w:szCs w:val="16"/>
                              </w:rPr>
                              <w:t>GPO Box 2476</w:t>
                            </w:r>
                          </w:p>
                          <w:p w:rsidR="00620E8E" w:rsidRPr="008329EF" w:rsidRDefault="00620E8E" w:rsidP="00971416">
                            <w:pPr>
                              <w:rPr>
                                <w:color w:val="000000"/>
                                <w:sz w:val="16"/>
                                <w:szCs w:val="16"/>
                              </w:rPr>
                            </w:pPr>
                            <w:proofErr w:type="gramStart"/>
                            <w:r>
                              <w:rPr>
                                <w:color w:val="000000"/>
                                <w:sz w:val="16"/>
                                <w:szCs w:val="16"/>
                              </w:rPr>
                              <w:t>Melbourne  Vic</w:t>
                            </w:r>
                            <w:proofErr w:type="gramEnd"/>
                            <w:r>
                              <w:rPr>
                                <w:color w:val="000000"/>
                                <w:sz w:val="16"/>
                                <w:szCs w:val="16"/>
                              </w:rPr>
                              <w:t xml:space="preserve"> 3001</w:t>
                            </w:r>
                          </w:p>
                          <w:p w:rsidR="00620E8E" w:rsidRPr="008329EF" w:rsidRDefault="00620E8E" w:rsidP="00971416">
                            <w:pPr>
                              <w:rPr>
                                <w:color w:val="000000"/>
                                <w:sz w:val="16"/>
                                <w:szCs w:val="16"/>
                              </w:rPr>
                            </w:pPr>
                            <w:r w:rsidRPr="008329EF">
                              <w:rPr>
                                <w:color w:val="000000"/>
                                <w:sz w:val="16"/>
                                <w:szCs w:val="16"/>
                              </w:rPr>
                              <w:t>Australia</w:t>
                            </w:r>
                          </w:p>
                          <w:p w:rsidR="00620E8E" w:rsidRPr="006D12C8" w:rsidRDefault="00620E8E" w:rsidP="00971416">
                            <w:pPr>
                              <w:shd w:val="clear" w:color="auto" w:fill="FFFFFF"/>
                              <w:rPr>
                                <w:color w:val="888888"/>
                                <w:sz w:val="19"/>
                                <w:szCs w:val="19"/>
                                <w:lang w:eastAsia="en-AU"/>
                              </w:rPr>
                            </w:pPr>
                            <w:r w:rsidRPr="006D12C8">
                              <w:rPr>
                                <w:color w:val="000000"/>
                                <w:sz w:val="16"/>
                                <w:szCs w:val="16"/>
                              </w:rPr>
                              <w:t>Tel +</w:t>
                            </w:r>
                            <w:r w:rsidRPr="006D12C8">
                              <w:rPr>
                                <w:color w:val="000000" w:themeColor="text1"/>
                                <w:sz w:val="16"/>
                                <w:szCs w:val="16"/>
                              </w:rPr>
                              <w:t xml:space="preserve">61 3 </w:t>
                            </w:r>
                            <w:r w:rsidRPr="006D12C8">
                              <w:rPr>
                                <w:color w:val="000000" w:themeColor="text1"/>
                                <w:sz w:val="15"/>
                                <w:szCs w:val="15"/>
                                <w:lang w:eastAsia="en-AU"/>
                              </w:rPr>
                              <w:t>9925 1297</w:t>
                            </w:r>
                          </w:p>
                          <w:p w:rsidR="00620E8E" w:rsidRPr="008329EF" w:rsidRDefault="00620E8E" w:rsidP="00971416">
                            <w:pPr>
                              <w:rPr>
                                <w:color w:val="000000"/>
                                <w:sz w:val="16"/>
                                <w:szCs w:val="16"/>
                              </w:rPr>
                            </w:pPr>
                          </w:p>
                          <w:p w:rsidR="00620E8E" w:rsidRPr="00207217" w:rsidRDefault="00620E8E" w:rsidP="00971416">
                            <w:pP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05pt;margin-top:-3.55pt;width:115pt;height:90.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" stroked="f">
                <v:textbox inset="0,0,0,0">
                  <w:txbxContent>
                    <w:p w:rsidR="00620E8E" w:rsidRDefault="00620E8E" w:rsidP="00971416">
                      <w:pPr>
                        <w:rPr>
                          <w:b/>
                          <w:color w:val="FF0000"/>
                          <w:sz w:val="16"/>
                          <w:szCs w:val="16"/>
                        </w:rPr>
                      </w:pPr>
                      <w:r w:rsidRPr="00671A30">
                        <w:rPr>
                          <w:b/>
                          <w:color w:val="FF0000"/>
                          <w:sz w:val="16"/>
                          <w:szCs w:val="16"/>
                        </w:rPr>
                        <w:t xml:space="preserve">Graduate School </w:t>
                      </w:r>
                    </w:p>
                    <w:p w:rsidR="00620E8E" w:rsidRPr="00671A30" w:rsidRDefault="00620E8E" w:rsidP="00971416">
                      <w:pPr>
                        <w:rPr>
                          <w:b/>
                          <w:color w:val="FF0000"/>
                          <w:sz w:val="16"/>
                          <w:szCs w:val="16"/>
                        </w:rPr>
                      </w:pPr>
                      <w:proofErr w:type="gramStart"/>
                      <w:r w:rsidRPr="00671A30">
                        <w:rPr>
                          <w:b/>
                          <w:color w:val="FF0000"/>
                          <w:sz w:val="16"/>
                          <w:szCs w:val="16"/>
                        </w:rPr>
                        <w:t>of</w:t>
                      </w:r>
                      <w:proofErr w:type="gramEnd"/>
                      <w:r w:rsidRPr="00671A30">
                        <w:rPr>
                          <w:b/>
                          <w:color w:val="FF0000"/>
                          <w:sz w:val="16"/>
                          <w:szCs w:val="16"/>
                        </w:rPr>
                        <w:t xml:space="preserve"> Business</w:t>
                      </w:r>
                      <w:r>
                        <w:rPr>
                          <w:b/>
                          <w:color w:val="FF0000"/>
                          <w:sz w:val="16"/>
                          <w:szCs w:val="16"/>
                        </w:rPr>
                        <w:t xml:space="preserve"> and Law</w:t>
                      </w:r>
                    </w:p>
                    <w:p w:rsidR="00620E8E" w:rsidRPr="008329EF" w:rsidRDefault="00620E8E" w:rsidP="00971416">
                      <w:pPr>
                        <w:rPr>
                          <w:color w:val="000000"/>
                          <w:sz w:val="16"/>
                          <w:szCs w:val="16"/>
                        </w:rPr>
                      </w:pPr>
                    </w:p>
                    <w:p w:rsidR="00620E8E" w:rsidRPr="008329EF" w:rsidRDefault="00620E8E" w:rsidP="00971416">
                      <w:pPr>
                        <w:rPr>
                          <w:color w:val="000000"/>
                          <w:sz w:val="16"/>
                          <w:szCs w:val="16"/>
                        </w:rPr>
                      </w:pPr>
                      <w:proofErr w:type="spellStart"/>
                      <w:r w:rsidRPr="008329EF">
                        <w:rPr>
                          <w:color w:val="000000"/>
                          <w:sz w:val="16"/>
                          <w:szCs w:val="16"/>
                        </w:rPr>
                        <w:t>RMIT</w:t>
                      </w:r>
                      <w:proofErr w:type="spellEnd"/>
                      <w:r w:rsidRPr="008329EF">
                        <w:rPr>
                          <w:color w:val="000000"/>
                          <w:sz w:val="16"/>
                          <w:szCs w:val="16"/>
                        </w:rPr>
                        <w:t xml:space="preserve"> Building 13 </w:t>
                      </w:r>
                    </w:p>
                    <w:p w:rsidR="00620E8E" w:rsidRDefault="00620E8E" w:rsidP="00971416">
                      <w:pPr>
                        <w:rPr>
                          <w:color w:val="000000"/>
                          <w:sz w:val="16"/>
                          <w:szCs w:val="16"/>
                        </w:rPr>
                      </w:pPr>
                      <w:r w:rsidRPr="008329EF">
                        <w:rPr>
                          <w:color w:val="000000"/>
                          <w:sz w:val="16"/>
                          <w:szCs w:val="16"/>
                        </w:rPr>
                        <w:t xml:space="preserve">379-405 Russell Street </w:t>
                      </w:r>
                    </w:p>
                    <w:p w:rsidR="00620E8E" w:rsidRPr="008329EF" w:rsidRDefault="00620E8E" w:rsidP="00971416">
                      <w:pPr>
                        <w:rPr>
                          <w:color w:val="000000"/>
                          <w:sz w:val="16"/>
                          <w:szCs w:val="16"/>
                        </w:rPr>
                      </w:pPr>
                      <w:r>
                        <w:rPr>
                          <w:color w:val="000000"/>
                          <w:sz w:val="16"/>
                          <w:szCs w:val="16"/>
                        </w:rPr>
                        <w:t>GPO Box 2476</w:t>
                      </w:r>
                    </w:p>
                    <w:p w:rsidR="00620E8E" w:rsidRPr="008329EF" w:rsidRDefault="00620E8E" w:rsidP="00971416">
                      <w:pPr>
                        <w:rPr>
                          <w:color w:val="000000"/>
                          <w:sz w:val="16"/>
                          <w:szCs w:val="16"/>
                        </w:rPr>
                      </w:pPr>
                      <w:proofErr w:type="gramStart"/>
                      <w:r>
                        <w:rPr>
                          <w:color w:val="000000"/>
                          <w:sz w:val="16"/>
                          <w:szCs w:val="16"/>
                        </w:rPr>
                        <w:t>Melbourne  Vic</w:t>
                      </w:r>
                      <w:proofErr w:type="gramEnd"/>
                      <w:r>
                        <w:rPr>
                          <w:color w:val="000000"/>
                          <w:sz w:val="16"/>
                          <w:szCs w:val="16"/>
                        </w:rPr>
                        <w:t xml:space="preserve"> 3001</w:t>
                      </w:r>
                    </w:p>
                    <w:p w:rsidR="00620E8E" w:rsidRPr="008329EF" w:rsidRDefault="00620E8E" w:rsidP="00971416">
                      <w:pPr>
                        <w:rPr>
                          <w:color w:val="000000"/>
                          <w:sz w:val="16"/>
                          <w:szCs w:val="16"/>
                        </w:rPr>
                      </w:pPr>
                      <w:r w:rsidRPr="008329EF">
                        <w:rPr>
                          <w:color w:val="000000"/>
                          <w:sz w:val="16"/>
                          <w:szCs w:val="16"/>
                        </w:rPr>
                        <w:t>Australia</w:t>
                      </w:r>
                    </w:p>
                    <w:p w:rsidR="00620E8E" w:rsidRPr="006D12C8" w:rsidRDefault="00620E8E" w:rsidP="00971416">
                      <w:pPr>
                        <w:shd w:val="clear" w:color="auto" w:fill="FFFFFF"/>
                        <w:rPr>
                          <w:color w:val="888888"/>
                          <w:sz w:val="19"/>
                          <w:szCs w:val="19"/>
                          <w:lang w:eastAsia="en-AU"/>
                        </w:rPr>
                      </w:pPr>
                      <w:r w:rsidRPr="006D12C8">
                        <w:rPr>
                          <w:color w:val="000000"/>
                          <w:sz w:val="16"/>
                          <w:szCs w:val="16"/>
                        </w:rPr>
                        <w:t>Tel +</w:t>
                      </w:r>
                      <w:r w:rsidRPr="006D12C8">
                        <w:rPr>
                          <w:color w:val="000000" w:themeColor="text1"/>
                          <w:sz w:val="16"/>
                          <w:szCs w:val="16"/>
                        </w:rPr>
                        <w:t xml:space="preserve">61 3 </w:t>
                      </w:r>
                      <w:r w:rsidRPr="006D12C8">
                        <w:rPr>
                          <w:color w:val="000000" w:themeColor="text1"/>
                          <w:sz w:val="15"/>
                          <w:szCs w:val="15"/>
                          <w:lang w:eastAsia="en-AU"/>
                        </w:rPr>
                        <w:t>9925 1297</w:t>
                      </w:r>
                    </w:p>
                    <w:p w:rsidR="00620E8E" w:rsidRPr="008329EF" w:rsidRDefault="00620E8E" w:rsidP="00971416">
                      <w:pPr>
                        <w:rPr>
                          <w:color w:val="000000"/>
                          <w:sz w:val="16"/>
                          <w:szCs w:val="16"/>
                        </w:rPr>
                      </w:pPr>
                    </w:p>
                    <w:p w:rsidR="00620E8E" w:rsidRPr="00207217" w:rsidRDefault="00620E8E" w:rsidP="00971416">
                      <w:pPr>
                        <w:rPr>
                          <w:sz w:val="16"/>
                          <w:szCs w:val="16"/>
                        </w:rPr>
                      </w:pPr>
                    </w:p>
                  </w:txbxContent>
                </v:textbox>
              </v:shape>
            </w:pict>
          </mc:Fallback>
        </mc:AlternateContent>
      </w:r>
      <w:r w:rsidRPr="00EF1384">
        <w:rPr>
          <w:rFonts w:asciiTheme="minorHAnsi" w:hAnsiTheme="minorHAnsi" w:cstheme="minorHAnsi"/>
          <w:noProof/>
          <w:sz w:val="22"/>
          <w:szCs w:val="22"/>
          <w:lang w:eastAsia="en-AU"/>
        </w:rPr>
        <w:drawing>
          <wp:anchor distT="0" distB="0" distL="114300" distR="114300" simplePos="0" relativeHeight="251659264" behindDoc="1" locked="0" layoutInCell="1" allowOverlap="1" wp14:anchorId="098706F5" wp14:editId="1C22A8AB">
            <wp:simplePos x="0" y="0"/>
            <wp:positionH relativeFrom="column">
              <wp:posOffset>0</wp:posOffset>
            </wp:positionH>
            <wp:positionV relativeFrom="paragraph">
              <wp:posOffset>-45085</wp:posOffset>
            </wp:positionV>
            <wp:extent cx="1257300" cy="447675"/>
            <wp:effectExtent l="0" t="0" r="0" b="9525"/>
            <wp:wrapNone/>
            <wp:docPr id="3" name="Picture 2" descr="Description: RMIT logo 35mm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RMIT logo 35mm co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447675"/>
                    </a:xfrm>
                    <a:prstGeom prst="rect">
                      <a:avLst/>
                    </a:prstGeom>
                    <a:noFill/>
                  </pic:spPr>
                </pic:pic>
              </a:graphicData>
            </a:graphic>
            <wp14:sizeRelH relativeFrom="page">
              <wp14:pctWidth>0</wp14:pctWidth>
            </wp14:sizeRelH>
            <wp14:sizeRelV relativeFrom="page">
              <wp14:pctHeight>0</wp14:pctHeight>
            </wp14:sizeRelV>
          </wp:anchor>
        </w:drawing>
      </w:r>
    </w:p>
    <w:p w:rsidR="00971416" w:rsidRPr="00EF1384" w:rsidRDefault="00971416" w:rsidP="00971416">
      <w:pPr>
        <w:rPr>
          <w:rFonts w:asciiTheme="minorHAnsi" w:hAnsiTheme="minorHAnsi" w:cstheme="minorHAnsi"/>
          <w:szCs w:val="22"/>
        </w:rPr>
      </w:pPr>
    </w:p>
    <w:p w:rsidR="00971416" w:rsidRPr="00EF1384" w:rsidRDefault="00971416" w:rsidP="00971416">
      <w:pPr>
        <w:rPr>
          <w:rFonts w:asciiTheme="minorHAnsi" w:hAnsiTheme="minorHAnsi" w:cstheme="minorHAnsi"/>
          <w:szCs w:val="22"/>
        </w:rPr>
      </w:pPr>
    </w:p>
    <w:p w:rsidR="00971416" w:rsidRPr="00EF1384" w:rsidRDefault="00971416" w:rsidP="00971416">
      <w:pPr>
        <w:rPr>
          <w:rFonts w:asciiTheme="minorHAnsi" w:hAnsiTheme="minorHAnsi" w:cstheme="minorHAnsi"/>
          <w:szCs w:val="22"/>
        </w:rPr>
      </w:pPr>
    </w:p>
    <w:p w:rsidR="00971416" w:rsidRPr="00EF1384" w:rsidRDefault="00971416" w:rsidP="00971416">
      <w:pPr>
        <w:rPr>
          <w:rFonts w:asciiTheme="minorHAnsi" w:hAnsiTheme="minorHAnsi" w:cstheme="minorHAnsi"/>
          <w:szCs w:val="22"/>
        </w:rPr>
      </w:pPr>
    </w:p>
    <w:p w:rsidR="00971416" w:rsidRPr="00EF1384" w:rsidRDefault="00971416" w:rsidP="00971416">
      <w:pPr>
        <w:rPr>
          <w:rFonts w:asciiTheme="minorHAnsi" w:hAnsiTheme="minorHAnsi" w:cstheme="minorHAnsi"/>
          <w:szCs w:val="22"/>
        </w:rPr>
      </w:pPr>
    </w:p>
    <w:p w:rsidR="00EF1384" w:rsidRPr="00EF1384" w:rsidRDefault="00EF1384" w:rsidP="00EF1384">
      <w:pPr>
        <w:rPr>
          <w:rFonts w:asciiTheme="minorHAnsi" w:hAnsiTheme="minorHAnsi" w:cstheme="minorHAnsi"/>
          <w:szCs w:val="22"/>
        </w:rPr>
      </w:pPr>
      <w:r w:rsidRPr="00EF1384">
        <w:rPr>
          <w:rFonts w:asciiTheme="minorHAnsi" w:hAnsiTheme="minorHAnsi" w:cstheme="minorHAnsi"/>
          <w:szCs w:val="22"/>
        </w:rPr>
        <w:t>28 July 2017</w:t>
      </w:r>
    </w:p>
    <w:p w:rsidR="00EF1384" w:rsidRPr="00EF1384" w:rsidRDefault="00EF1384" w:rsidP="00EF1384">
      <w:pPr>
        <w:rPr>
          <w:rFonts w:asciiTheme="minorHAnsi" w:hAnsiTheme="minorHAnsi" w:cstheme="minorHAnsi"/>
          <w:szCs w:val="22"/>
        </w:rPr>
      </w:pPr>
    </w:p>
    <w:p w:rsidR="00EF1384" w:rsidRPr="00EF1384" w:rsidRDefault="00EF1384" w:rsidP="00EF1384">
      <w:pPr>
        <w:rPr>
          <w:rFonts w:asciiTheme="minorHAnsi" w:hAnsiTheme="minorHAnsi" w:cstheme="minorHAnsi"/>
          <w:szCs w:val="22"/>
        </w:rPr>
      </w:pPr>
      <w:r w:rsidRPr="00EF1384">
        <w:rPr>
          <w:rFonts w:asciiTheme="minorHAnsi" w:hAnsiTheme="minorHAnsi" w:cstheme="minorHAnsi"/>
          <w:szCs w:val="22"/>
        </w:rPr>
        <w:t xml:space="preserve">Mr Ed </w:t>
      </w:r>
      <w:proofErr w:type="spellStart"/>
      <w:r w:rsidRPr="00EF1384">
        <w:rPr>
          <w:rFonts w:asciiTheme="minorHAnsi" w:hAnsiTheme="minorHAnsi" w:cstheme="minorHAnsi"/>
          <w:szCs w:val="22"/>
        </w:rPr>
        <w:t>Santow</w:t>
      </w:r>
      <w:proofErr w:type="spellEnd"/>
    </w:p>
    <w:p w:rsidR="00EF1384" w:rsidRPr="00EF1384" w:rsidRDefault="00EF1384" w:rsidP="00EF1384">
      <w:pPr>
        <w:rPr>
          <w:rFonts w:asciiTheme="minorHAnsi" w:hAnsiTheme="minorHAnsi" w:cstheme="minorHAnsi"/>
          <w:szCs w:val="22"/>
        </w:rPr>
      </w:pPr>
      <w:r w:rsidRPr="00EF1384">
        <w:rPr>
          <w:rFonts w:asciiTheme="minorHAnsi" w:hAnsiTheme="minorHAnsi" w:cstheme="minorHAnsi"/>
          <w:szCs w:val="22"/>
        </w:rPr>
        <w:t>Human Rights Commissioner</w:t>
      </w:r>
    </w:p>
    <w:p w:rsidR="00EF1384" w:rsidRPr="00EF1384" w:rsidRDefault="00EF1384" w:rsidP="00EF1384">
      <w:pPr>
        <w:rPr>
          <w:rFonts w:asciiTheme="minorHAnsi" w:hAnsiTheme="minorHAnsi" w:cstheme="minorHAnsi"/>
          <w:szCs w:val="22"/>
        </w:rPr>
      </w:pPr>
      <w:r w:rsidRPr="00EF1384">
        <w:rPr>
          <w:rFonts w:asciiTheme="minorHAnsi" w:hAnsiTheme="minorHAnsi" w:cstheme="minorHAnsi"/>
          <w:szCs w:val="22"/>
        </w:rPr>
        <w:t>Australian Human Rights Commission</w:t>
      </w:r>
    </w:p>
    <w:p w:rsidR="00EF1384" w:rsidRPr="00EF1384" w:rsidRDefault="00EF1384" w:rsidP="00EF1384">
      <w:pPr>
        <w:rPr>
          <w:rFonts w:asciiTheme="minorHAnsi" w:hAnsiTheme="minorHAnsi" w:cstheme="minorHAnsi"/>
          <w:szCs w:val="22"/>
        </w:rPr>
      </w:pPr>
      <w:r w:rsidRPr="00EF1384">
        <w:rPr>
          <w:rFonts w:asciiTheme="minorHAnsi" w:hAnsiTheme="minorHAnsi" w:cstheme="minorHAnsi"/>
          <w:szCs w:val="22"/>
        </w:rPr>
        <w:t xml:space="preserve">By email: </w:t>
      </w:r>
      <w:hyperlink r:id="rId10" w:history="1">
        <w:r w:rsidRPr="00EF1384">
          <w:rPr>
            <w:rStyle w:val="Hyperlink"/>
            <w:rFonts w:asciiTheme="minorHAnsi" w:hAnsiTheme="minorHAnsi" w:cstheme="minorHAnsi"/>
            <w:szCs w:val="22"/>
          </w:rPr>
          <w:t>humanrights.commissioner@humanrights.gov.au</w:t>
        </w:r>
      </w:hyperlink>
      <w:r w:rsidRPr="00EF1384">
        <w:rPr>
          <w:rFonts w:asciiTheme="minorHAnsi" w:hAnsiTheme="minorHAnsi" w:cstheme="minorHAnsi"/>
          <w:szCs w:val="22"/>
        </w:rPr>
        <w:t>.</w:t>
      </w:r>
    </w:p>
    <w:p w:rsidR="00EF1384" w:rsidRPr="00EF1384" w:rsidRDefault="00EF1384" w:rsidP="00EF1384">
      <w:pPr>
        <w:rPr>
          <w:rFonts w:asciiTheme="minorHAnsi" w:hAnsiTheme="minorHAnsi" w:cstheme="minorHAnsi"/>
          <w:szCs w:val="22"/>
        </w:rPr>
      </w:pPr>
    </w:p>
    <w:p w:rsidR="00EF1384" w:rsidRPr="00EF1384" w:rsidRDefault="00EF1384" w:rsidP="00EF1384">
      <w:pPr>
        <w:rPr>
          <w:rFonts w:asciiTheme="minorHAnsi" w:hAnsiTheme="minorHAnsi" w:cstheme="minorHAnsi"/>
          <w:szCs w:val="22"/>
        </w:rPr>
      </w:pPr>
    </w:p>
    <w:p w:rsidR="00EF1384" w:rsidRPr="00EF1384" w:rsidRDefault="00EF1384" w:rsidP="00EF1384">
      <w:pPr>
        <w:rPr>
          <w:rFonts w:asciiTheme="minorHAnsi" w:hAnsiTheme="minorHAnsi" w:cstheme="minorHAnsi"/>
          <w:b/>
          <w:szCs w:val="22"/>
        </w:rPr>
      </w:pPr>
      <w:r w:rsidRPr="00EF1384">
        <w:rPr>
          <w:rFonts w:asciiTheme="minorHAnsi" w:hAnsiTheme="minorHAnsi" w:cstheme="minorHAnsi"/>
          <w:b/>
          <w:szCs w:val="22"/>
        </w:rPr>
        <w:t>A</w:t>
      </w:r>
      <w:r w:rsidR="000D0794">
        <w:rPr>
          <w:rFonts w:asciiTheme="minorHAnsi" w:hAnsiTheme="minorHAnsi" w:cstheme="minorHAnsi"/>
          <w:b/>
          <w:szCs w:val="22"/>
        </w:rPr>
        <w:t xml:space="preserve">ustralian </w:t>
      </w:r>
      <w:r w:rsidRPr="00EF1384">
        <w:rPr>
          <w:rFonts w:asciiTheme="minorHAnsi" w:hAnsiTheme="minorHAnsi" w:cstheme="minorHAnsi"/>
          <w:b/>
          <w:szCs w:val="22"/>
        </w:rPr>
        <w:t>H</w:t>
      </w:r>
      <w:r w:rsidR="000D0794">
        <w:rPr>
          <w:rFonts w:asciiTheme="minorHAnsi" w:hAnsiTheme="minorHAnsi" w:cstheme="minorHAnsi"/>
          <w:b/>
          <w:szCs w:val="22"/>
        </w:rPr>
        <w:t xml:space="preserve">uman </w:t>
      </w:r>
      <w:r w:rsidRPr="00EF1384">
        <w:rPr>
          <w:rFonts w:asciiTheme="minorHAnsi" w:hAnsiTheme="minorHAnsi" w:cstheme="minorHAnsi"/>
          <w:b/>
          <w:szCs w:val="22"/>
        </w:rPr>
        <w:t>R</w:t>
      </w:r>
      <w:r w:rsidR="000D0794">
        <w:rPr>
          <w:rFonts w:asciiTheme="minorHAnsi" w:hAnsiTheme="minorHAnsi" w:cstheme="minorHAnsi"/>
          <w:b/>
          <w:szCs w:val="22"/>
        </w:rPr>
        <w:t xml:space="preserve">ights </w:t>
      </w:r>
      <w:r w:rsidRPr="00EF1384">
        <w:rPr>
          <w:rFonts w:asciiTheme="minorHAnsi" w:hAnsiTheme="minorHAnsi" w:cstheme="minorHAnsi"/>
          <w:b/>
          <w:szCs w:val="22"/>
        </w:rPr>
        <w:t>C</w:t>
      </w:r>
      <w:r w:rsidR="000D0794">
        <w:rPr>
          <w:rFonts w:asciiTheme="minorHAnsi" w:hAnsiTheme="minorHAnsi" w:cstheme="minorHAnsi"/>
          <w:b/>
          <w:szCs w:val="22"/>
        </w:rPr>
        <w:t>ommission</w:t>
      </w:r>
      <w:r w:rsidRPr="00EF1384">
        <w:rPr>
          <w:rFonts w:asciiTheme="minorHAnsi" w:hAnsiTheme="minorHAnsi" w:cstheme="minorHAnsi"/>
          <w:b/>
          <w:szCs w:val="22"/>
        </w:rPr>
        <w:t xml:space="preserve"> Consultation on the Implementation of </w:t>
      </w:r>
      <w:proofErr w:type="spellStart"/>
      <w:r w:rsidRPr="00EF1384">
        <w:rPr>
          <w:rFonts w:asciiTheme="minorHAnsi" w:hAnsiTheme="minorHAnsi" w:cstheme="minorHAnsi"/>
          <w:b/>
          <w:szCs w:val="22"/>
        </w:rPr>
        <w:t>OPCAT</w:t>
      </w:r>
      <w:proofErr w:type="spellEnd"/>
      <w:r w:rsidRPr="00EF1384">
        <w:rPr>
          <w:rFonts w:asciiTheme="minorHAnsi" w:hAnsiTheme="minorHAnsi" w:cstheme="minorHAnsi"/>
          <w:b/>
          <w:szCs w:val="22"/>
        </w:rPr>
        <w:t xml:space="preserve"> in Australia </w:t>
      </w:r>
    </w:p>
    <w:p w:rsidR="00EF1384" w:rsidRPr="00EF1384" w:rsidRDefault="00EF1384" w:rsidP="00EF1384">
      <w:pPr>
        <w:rPr>
          <w:rFonts w:asciiTheme="minorHAnsi" w:hAnsiTheme="minorHAnsi" w:cstheme="minorHAnsi"/>
          <w:szCs w:val="22"/>
        </w:rPr>
      </w:pPr>
    </w:p>
    <w:p w:rsidR="00EF1384" w:rsidRPr="00EF1384" w:rsidRDefault="00EF1384" w:rsidP="00EF1384">
      <w:pPr>
        <w:rPr>
          <w:rFonts w:asciiTheme="minorHAnsi" w:hAnsiTheme="minorHAnsi" w:cstheme="minorHAnsi"/>
          <w:szCs w:val="22"/>
        </w:rPr>
      </w:pPr>
      <w:r w:rsidRPr="00EF1384">
        <w:rPr>
          <w:rFonts w:asciiTheme="minorHAnsi" w:hAnsiTheme="minorHAnsi" w:cstheme="minorHAnsi"/>
          <w:szCs w:val="22"/>
        </w:rPr>
        <w:t xml:space="preserve">Thank you for the opportunity to contribute to the </w:t>
      </w:r>
      <w:proofErr w:type="spellStart"/>
      <w:r w:rsidRPr="00EF1384">
        <w:rPr>
          <w:rFonts w:asciiTheme="minorHAnsi" w:hAnsiTheme="minorHAnsi" w:cstheme="minorHAnsi"/>
          <w:szCs w:val="22"/>
        </w:rPr>
        <w:t>AHRC</w:t>
      </w:r>
      <w:proofErr w:type="spellEnd"/>
      <w:r w:rsidRPr="00EF1384">
        <w:rPr>
          <w:rFonts w:asciiTheme="minorHAnsi" w:hAnsiTheme="minorHAnsi" w:cstheme="minorHAnsi"/>
          <w:szCs w:val="22"/>
        </w:rPr>
        <w:t xml:space="preserve"> consultation with civil society on the implementation of the </w:t>
      </w:r>
      <w:proofErr w:type="spellStart"/>
      <w:r w:rsidRPr="00EF1384">
        <w:rPr>
          <w:rFonts w:asciiTheme="minorHAnsi" w:hAnsiTheme="minorHAnsi" w:cstheme="minorHAnsi"/>
          <w:szCs w:val="22"/>
        </w:rPr>
        <w:t>OPCAT</w:t>
      </w:r>
      <w:proofErr w:type="spellEnd"/>
      <w:r w:rsidRPr="00EF1384">
        <w:rPr>
          <w:rFonts w:asciiTheme="minorHAnsi" w:hAnsiTheme="minorHAnsi" w:cstheme="minorHAnsi"/>
          <w:szCs w:val="22"/>
        </w:rPr>
        <w:t xml:space="preserve"> in Australia.  I welcome the Australian government’s decision to ratify </w:t>
      </w:r>
      <w:proofErr w:type="spellStart"/>
      <w:r w:rsidRPr="00EF1384">
        <w:rPr>
          <w:rFonts w:asciiTheme="minorHAnsi" w:hAnsiTheme="minorHAnsi" w:cstheme="minorHAnsi"/>
          <w:szCs w:val="22"/>
        </w:rPr>
        <w:t>OPCAT</w:t>
      </w:r>
      <w:proofErr w:type="spellEnd"/>
      <w:r w:rsidRPr="00EF1384">
        <w:rPr>
          <w:rFonts w:asciiTheme="minorHAnsi" w:hAnsiTheme="minorHAnsi" w:cstheme="minorHAnsi"/>
          <w:szCs w:val="22"/>
        </w:rPr>
        <w:t xml:space="preserve">, as an important step in protecting the rights of people in detention in Australia.  The </w:t>
      </w:r>
      <w:proofErr w:type="spellStart"/>
      <w:r w:rsidRPr="00EF1384">
        <w:rPr>
          <w:rFonts w:asciiTheme="minorHAnsi" w:hAnsiTheme="minorHAnsi" w:cstheme="minorHAnsi"/>
          <w:szCs w:val="22"/>
        </w:rPr>
        <w:t>AHRC</w:t>
      </w:r>
      <w:proofErr w:type="spellEnd"/>
      <w:r w:rsidRPr="00EF1384">
        <w:rPr>
          <w:rFonts w:asciiTheme="minorHAnsi" w:hAnsiTheme="minorHAnsi" w:cstheme="minorHAnsi"/>
          <w:szCs w:val="22"/>
        </w:rPr>
        <w:t xml:space="preserve"> consultation offers an invaluable opportunity to engage civil society with the process of implementing </w:t>
      </w:r>
      <w:proofErr w:type="spellStart"/>
      <w:r w:rsidRPr="00EF1384">
        <w:rPr>
          <w:rFonts w:asciiTheme="minorHAnsi" w:hAnsiTheme="minorHAnsi" w:cstheme="minorHAnsi"/>
          <w:szCs w:val="22"/>
        </w:rPr>
        <w:t>OPCAT</w:t>
      </w:r>
      <w:proofErr w:type="spellEnd"/>
      <w:r w:rsidRPr="00EF1384">
        <w:rPr>
          <w:rFonts w:asciiTheme="minorHAnsi" w:hAnsiTheme="minorHAnsi" w:cstheme="minorHAnsi"/>
          <w:szCs w:val="22"/>
        </w:rPr>
        <w:t>.</w:t>
      </w:r>
    </w:p>
    <w:p w:rsidR="00EF1384" w:rsidRPr="00EF1384" w:rsidRDefault="00EF1384" w:rsidP="00EF1384">
      <w:pPr>
        <w:rPr>
          <w:rFonts w:asciiTheme="minorHAnsi" w:hAnsiTheme="minorHAnsi" w:cstheme="minorHAnsi"/>
          <w:szCs w:val="22"/>
        </w:rPr>
      </w:pPr>
    </w:p>
    <w:p w:rsidR="00EF1384" w:rsidRPr="00EF1384" w:rsidRDefault="00EF1384" w:rsidP="00EF1384">
      <w:pPr>
        <w:rPr>
          <w:rFonts w:asciiTheme="minorHAnsi" w:hAnsiTheme="minorHAnsi" w:cstheme="minorHAnsi"/>
          <w:szCs w:val="22"/>
        </w:rPr>
      </w:pPr>
      <w:r w:rsidRPr="00EF1384">
        <w:rPr>
          <w:rFonts w:asciiTheme="minorHAnsi" w:hAnsiTheme="minorHAnsi" w:cstheme="minorHAnsi"/>
          <w:szCs w:val="22"/>
        </w:rPr>
        <w:t xml:space="preserve">Significant consultation has been carried out through </w:t>
      </w:r>
      <w:r w:rsidR="00F57E9C">
        <w:rPr>
          <w:rFonts w:asciiTheme="minorHAnsi" w:hAnsiTheme="minorHAnsi" w:cstheme="minorHAnsi"/>
          <w:szCs w:val="22"/>
        </w:rPr>
        <w:t xml:space="preserve">your </w:t>
      </w:r>
      <w:r w:rsidRPr="00EF1384">
        <w:rPr>
          <w:rFonts w:asciiTheme="minorHAnsi" w:hAnsiTheme="minorHAnsi" w:cstheme="minorHAnsi"/>
          <w:szCs w:val="22"/>
        </w:rPr>
        <w:t>regional Roundtable meetings, and many detailed submissions will have been made.</w:t>
      </w:r>
      <w:r w:rsidRPr="00EF1384">
        <w:rPr>
          <w:rStyle w:val="FootnoteReference"/>
          <w:rFonts w:asciiTheme="minorHAnsi" w:hAnsiTheme="minorHAnsi" w:cstheme="minorHAnsi"/>
          <w:szCs w:val="22"/>
        </w:rPr>
        <w:footnoteReference w:id="1"/>
      </w:r>
      <w:r w:rsidRPr="00EF1384">
        <w:rPr>
          <w:rFonts w:asciiTheme="minorHAnsi" w:hAnsiTheme="minorHAnsi" w:cstheme="minorHAnsi"/>
          <w:szCs w:val="22"/>
        </w:rPr>
        <w:t xml:space="preserve">  This submission will provide brief comments on questions 1 and 3, being some observations on the current framework for monitoring places of detention, and on some important issues that should be taken into account by the</w:t>
      </w:r>
      <w:r w:rsidR="008B4ABA">
        <w:rPr>
          <w:rFonts w:asciiTheme="minorHAnsi" w:hAnsiTheme="minorHAnsi" w:cstheme="minorHAnsi"/>
          <w:szCs w:val="22"/>
        </w:rPr>
        <w:t xml:space="preserve"> </w:t>
      </w:r>
      <w:r w:rsidR="008B4ABA" w:rsidRPr="00EF1384">
        <w:rPr>
          <w:rFonts w:asciiTheme="minorHAnsi" w:hAnsiTheme="minorHAnsi" w:cstheme="minorHAnsi"/>
          <w:szCs w:val="22"/>
        </w:rPr>
        <w:t>National Preventive Mechanism (</w:t>
      </w:r>
      <w:proofErr w:type="spellStart"/>
      <w:r w:rsidR="008B4ABA" w:rsidRPr="00EF1384">
        <w:rPr>
          <w:rFonts w:asciiTheme="minorHAnsi" w:hAnsiTheme="minorHAnsi" w:cstheme="minorHAnsi"/>
          <w:szCs w:val="22"/>
        </w:rPr>
        <w:t>NPM</w:t>
      </w:r>
      <w:proofErr w:type="spellEnd"/>
      <w:r w:rsidR="008B4ABA" w:rsidRPr="00EF1384">
        <w:rPr>
          <w:rFonts w:asciiTheme="minorHAnsi" w:hAnsiTheme="minorHAnsi" w:cstheme="minorHAnsi"/>
          <w:szCs w:val="22"/>
        </w:rPr>
        <w:t>)</w:t>
      </w:r>
      <w:r w:rsidRPr="00EF1384">
        <w:rPr>
          <w:rFonts w:asciiTheme="minorHAnsi" w:hAnsiTheme="minorHAnsi" w:cstheme="minorHAnsi"/>
          <w:szCs w:val="22"/>
        </w:rPr>
        <w:t xml:space="preserve"> when in operation.</w:t>
      </w:r>
    </w:p>
    <w:p w:rsidR="00EF1384" w:rsidRPr="00EF1384" w:rsidRDefault="00EF1384" w:rsidP="00EF1384">
      <w:pPr>
        <w:rPr>
          <w:rFonts w:asciiTheme="minorHAnsi" w:hAnsiTheme="minorHAnsi" w:cstheme="minorHAnsi"/>
          <w:szCs w:val="22"/>
        </w:rPr>
      </w:pPr>
    </w:p>
    <w:p w:rsidR="00EF1384" w:rsidRPr="00EF1384" w:rsidRDefault="00EF1384" w:rsidP="00EF1384">
      <w:pPr>
        <w:pStyle w:val="ListParagraph"/>
        <w:numPr>
          <w:ilvl w:val="0"/>
          <w:numId w:val="1"/>
        </w:numPr>
        <w:ind w:left="360"/>
        <w:rPr>
          <w:rFonts w:cstheme="minorHAnsi"/>
          <w:b/>
        </w:rPr>
      </w:pPr>
      <w:r w:rsidRPr="00EF1384">
        <w:rPr>
          <w:rFonts w:cstheme="minorHAnsi"/>
          <w:b/>
        </w:rPr>
        <w:t>Comments on the current inspection framework for places of detention</w:t>
      </w:r>
    </w:p>
    <w:p w:rsidR="00EF1384" w:rsidRPr="00EF1384" w:rsidRDefault="00EF1384" w:rsidP="00EF1384">
      <w:pPr>
        <w:rPr>
          <w:rFonts w:asciiTheme="minorHAnsi" w:hAnsiTheme="minorHAnsi" w:cstheme="minorHAnsi"/>
          <w:color w:val="000000"/>
          <w:szCs w:val="22"/>
          <w:shd w:val="clear" w:color="auto" w:fill="FFFFFF"/>
        </w:rPr>
      </w:pPr>
      <w:r w:rsidRPr="00EF1384">
        <w:rPr>
          <w:rFonts w:asciiTheme="minorHAnsi" w:hAnsiTheme="minorHAnsi" w:cstheme="minorHAnsi"/>
          <w:szCs w:val="22"/>
        </w:rPr>
        <w:t xml:space="preserve">The </w:t>
      </w:r>
      <w:proofErr w:type="spellStart"/>
      <w:r w:rsidRPr="00EF1384">
        <w:rPr>
          <w:rFonts w:asciiTheme="minorHAnsi" w:hAnsiTheme="minorHAnsi" w:cstheme="minorHAnsi"/>
          <w:szCs w:val="22"/>
        </w:rPr>
        <w:t>OPCAT</w:t>
      </w:r>
      <w:proofErr w:type="spellEnd"/>
      <w:r w:rsidRPr="00EF1384">
        <w:rPr>
          <w:rFonts w:asciiTheme="minorHAnsi" w:hAnsiTheme="minorHAnsi" w:cstheme="minorHAnsi"/>
          <w:szCs w:val="22"/>
        </w:rPr>
        <w:t xml:space="preserve"> is intended to protect the rights of people ‘</w:t>
      </w:r>
      <w:r w:rsidRPr="00EF1384">
        <w:rPr>
          <w:rFonts w:asciiTheme="minorHAnsi" w:hAnsiTheme="minorHAnsi" w:cstheme="minorHAnsi"/>
          <w:color w:val="000000"/>
          <w:szCs w:val="22"/>
          <w:shd w:val="clear" w:color="auto" w:fill="FFFFFF"/>
        </w:rPr>
        <w:t xml:space="preserve">deprived of their liberty’, that is, people held in ‘any form of </w:t>
      </w:r>
      <w:proofErr w:type="gramStart"/>
      <w:r w:rsidRPr="00EF1384">
        <w:rPr>
          <w:rFonts w:asciiTheme="minorHAnsi" w:hAnsiTheme="minorHAnsi" w:cstheme="minorHAnsi"/>
          <w:color w:val="000000"/>
          <w:szCs w:val="22"/>
          <w:shd w:val="clear" w:color="auto" w:fill="FFFFFF"/>
        </w:rPr>
        <w:t>detention  ….</w:t>
      </w:r>
      <w:proofErr w:type="gramEnd"/>
      <w:r w:rsidRPr="00EF1384">
        <w:rPr>
          <w:rFonts w:asciiTheme="minorHAnsi" w:hAnsiTheme="minorHAnsi" w:cstheme="minorHAnsi"/>
          <w:color w:val="000000"/>
          <w:szCs w:val="22"/>
          <w:shd w:val="clear" w:color="auto" w:fill="FFFFFF"/>
        </w:rPr>
        <w:t xml:space="preserve"> </w:t>
      </w:r>
      <w:proofErr w:type="gramStart"/>
      <w:r w:rsidRPr="00EF1384">
        <w:rPr>
          <w:rFonts w:asciiTheme="minorHAnsi" w:hAnsiTheme="minorHAnsi" w:cstheme="minorHAnsi"/>
          <w:color w:val="000000"/>
          <w:szCs w:val="22"/>
          <w:shd w:val="clear" w:color="auto" w:fill="FFFFFF"/>
        </w:rPr>
        <w:t>which</w:t>
      </w:r>
      <w:proofErr w:type="gramEnd"/>
      <w:r w:rsidRPr="00EF1384">
        <w:rPr>
          <w:rFonts w:asciiTheme="minorHAnsi" w:hAnsiTheme="minorHAnsi" w:cstheme="minorHAnsi"/>
          <w:color w:val="000000"/>
          <w:szCs w:val="22"/>
          <w:shd w:val="clear" w:color="auto" w:fill="FFFFFF"/>
        </w:rPr>
        <w:t xml:space="preserve"> that person is not permitted to leave at will </w:t>
      </w:r>
      <w:r w:rsidR="00830AB0">
        <w:rPr>
          <w:rFonts w:asciiTheme="minorHAnsi" w:hAnsiTheme="minorHAnsi" w:cstheme="minorHAnsi"/>
          <w:color w:val="000000"/>
          <w:szCs w:val="22"/>
          <w:shd w:val="clear" w:color="auto" w:fill="FFFFFF"/>
        </w:rPr>
        <w:t>… ‘</w:t>
      </w:r>
      <w:r w:rsidRPr="00EF1384">
        <w:rPr>
          <w:rFonts w:asciiTheme="minorHAnsi" w:hAnsiTheme="minorHAnsi" w:cstheme="minorHAnsi"/>
          <w:color w:val="000000"/>
          <w:szCs w:val="22"/>
          <w:shd w:val="clear" w:color="auto" w:fill="FFFFFF"/>
        </w:rPr>
        <w:t>.</w:t>
      </w:r>
      <w:r w:rsidR="00830AB0">
        <w:rPr>
          <w:rStyle w:val="FootnoteReference"/>
          <w:rFonts w:asciiTheme="minorHAnsi" w:hAnsiTheme="minorHAnsi" w:cstheme="minorHAnsi"/>
          <w:color w:val="000000"/>
          <w:szCs w:val="22"/>
          <w:shd w:val="clear" w:color="auto" w:fill="FFFFFF"/>
        </w:rPr>
        <w:footnoteReference w:id="2"/>
      </w:r>
      <w:r w:rsidRPr="00EF1384">
        <w:rPr>
          <w:rFonts w:asciiTheme="minorHAnsi" w:hAnsiTheme="minorHAnsi" w:cstheme="minorHAnsi"/>
          <w:color w:val="000000"/>
          <w:szCs w:val="22"/>
          <w:shd w:val="clear" w:color="auto" w:fill="FFFFFF"/>
        </w:rPr>
        <w:t xml:space="preserve"> This includes traditional places of detention such as prisons, youth detention, immigration detention and closed psychiatric facilities, but also, for example, disability and care facilities, aged care, military facilities, temporary holding facilities and </w:t>
      </w:r>
      <w:r w:rsidR="00070883">
        <w:rPr>
          <w:rFonts w:asciiTheme="minorHAnsi" w:hAnsiTheme="minorHAnsi" w:cstheme="minorHAnsi"/>
          <w:color w:val="000000"/>
          <w:szCs w:val="22"/>
          <w:shd w:val="clear" w:color="auto" w:fill="FFFFFF"/>
        </w:rPr>
        <w:t xml:space="preserve">detention-related </w:t>
      </w:r>
      <w:r w:rsidRPr="00EF1384">
        <w:rPr>
          <w:rFonts w:asciiTheme="minorHAnsi" w:hAnsiTheme="minorHAnsi" w:cstheme="minorHAnsi"/>
          <w:color w:val="000000"/>
          <w:szCs w:val="22"/>
          <w:shd w:val="clear" w:color="auto" w:fill="FFFFFF"/>
        </w:rPr>
        <w:t>transport vehicles.</w:t>
      </w:r>
      <w:r w:rsidRPr="00EF1384">
        <w:rPr>
          <w:rStyle w:val="FootnoteReference"/>
          <w:rFonts w:asciiTheme="minorHAnsi" w:hAnsiTheme="minorHAnsi" w:cstheme="minorHAnsi"/>
          <w:color w:val="000000"/>
          <w:szCs w:val="22"/>
          <w:shd w:val="clear" w:color="auto" w:fill="FFFFFF"/>
        </w:rPr>
        <w:footnoteReference w:id="3"/>
      </w:r>
      <w:r w:rsidRPr="00EF1384">
        <w:rPr>
          <w:rFonts w:asciiTheme="minorHAnsi" w:hAnsiTheme="minorHAnsi" w:cstheme="minorHAnsi"/>
          <w:color w:val="000000"/>
          <w:szCs w:val="22"/>
          <w:shd w:val="clear" w:color="auto" w:fill="FFFFFF"/>
        </w:rPr>
        <w:t xml:space="preserve">  In Australia the majority of places of detention are generally clearly located under either federal authority, or under state/territory authority, and it will be an important part of </w:t>
      </w:r>
      <w:proofErr w:type="spellStart"/>
      <w:r w:rsidRPr="00EF1384">
        <w:rPr>
          <w:rFonts w:asciiTheme="minorHAnsi" w:hAnsiTheme="minorHAnsi" w:cstheme="minorHAnsi"/>
          <w:color w:val="000000"/>
          <w:szCs w:val="22"/>
          <w:shd w:val="clear" w:color="auto" w:fill="FFFFFF"/>
        </w:rPr>
        <w:t>OPCAT</w:t>
      </w:r>
      <w:proofErr w:type="spellEnd"/>
      <w:r w:rsidRPr="00EF1384">
        <w:rPr>
          <w:rFonts w:asciiTheme="minorHAnsi" w:hAnsiTheme="minorHAnsi" w:cstheme="minorHAnsi"/>
          <w:color w:val="000000"/>
          <w:szCs w:val="22"/>
          <w:shd w:val="clear" w:color="auto" w:fill="FFFFFF"/>
        </w:rPr>
        <w:t xml:space="preserve"> implementation to fully identify all places where people are detained to ensure monitoring protections are in place.</w:t>
      </w:r>
    </w:p>
    <w:p w:rsidR="00EF1384" w:rsidRDefault="00EF1384" w:rsidP="00EF1384">
      <w:pPr>
        <w:rPr>
          <w:rFonts w:asciiTheme="minorHAnsi" w:hAnsiTheme="minorHAnsi" w:cstheme="minorHAnsi"/>
          <w:szCs w:val="22"/>
        </w:rPr>
      </w:pPr>
    </w:p>
    <w:p w:rsidR="00F57E9C" w:rsidRPr="00EF1384" w:rsidRDefault="00F57E9C" w:rsidP="00F57E9C">
      <w:pPr>
        <w:rPr>
          <w:rFonts w:asciiTheme="minorHAnsi" w:hAnsiTheme="minorHAnsi" w:cstheme="minorHAnsi"/>
          <w:szCs w:val="22"/>
        </w:rPr>
      </w:pPr>
      <w:r w:rsidRPr="00EF1384">
        <w:rPr>
          <w:rFonts w:asciiTheme="minorHAnsi" w:hAnsiTheme="minorHAnsi" w:cstheme="minorHAnsi"/>
          <w:szCs w:val="22"/>
        </w:rPr>
        <w:t>As outlined in the Consu</w:t>
      </w:r>
      <w:r w:rsidR="00583454">
        <w:rPr>
          <w:rFonts w:asciiTheme="minorHAnsi" w:hAnsiTheme="minorHAnsi" w:cstheme="minorHAnsi"/>
          <w:szCs w:val="22"/>
        </w:rPr>
        <w:t xml:space="preserve">ltation Paper, a mixed model </w:t>
      </w:r>
      <w:proofErr w:type="spellStart"/>
      <w:r w:rsidR="00583454">
        <w:rPr>
          <w:rFonts w:asciiTheme="minorHAnsi" w:hAnsiTheme="minorHAnsi" w:cstheme="minorHAnsi"/>
          <w:szCs w:val="22"/>
        </w:rPr>
        <w:t>NPM</w:t>
      </w:r>
      <w:proofErr w:type="spellEnd"/>
      <w:r w:rsidRPr="00EF1384">
        <w:rPr>
          <w:rFonts w:asciiTheme="minorHAnsi" w:hAnsiTheme="minorHAnsi" w:cstheme="minorHAnsi"/>
          <w:szCs w:val="22"/>
        </w:rPr>
        <w:t xml:space="preserve"> is proposed, with multiple bodies across the Commonwealth, states and territories having monitoring responsibilities, and with the Commonwealth Ombudsman having the national coordinating function. Existing monitoring bodies may be designated as </w:t>
      </w:r>
      <w:proofErr w:type="spellStart"/>
      <w:r w:rsidRPr="00EF1384">
        <w:rPr>
          <w:rFonts w:asciiTheme="minorHAnsi" w:hAnsiTheme="minorHAnsi" w:cstheme="minorHAnsi"/>
          <w:szCs w:val="22"/>
        </w:rPr>
        <w:t>NPM</w:t>
      </w:r>
      <w:proofErr w:type="spellEnd"/>
      <w:r w:rsidRPr="00EF1384">
        <w:rPr>
          <w:rFonts w:asciiTheme="minorHAnsi" w:hAnsiTheme="minorHAnsi" w:cstheme="minorHAnsi"/>
          <w:szCs w:val="22"/>
        </w:rPr>
        <w:t xml:space="preserve"> bodies – which, as will be discussed, will require expansion of mandates and resources – but there is also the option of establishing new bodies to ensure comprehensive coverage across the country.</w:t>
      </w:r>
    </w:p>
    <w:p w:rsidR="00F57E9C" w:rsidRPr="00EF1384" w:rsidRDefault="00F57E9C" w:rsidP="00EF1384">
      <w:pPr>
        <w:rPr>
          <w:rFonts w:asciiTheme="minorHAnsi" w:hAnsiTheme="minorHAnsi" w:cstheme="minorHAnsi"/>
          <w:szCs w:val="22"/>
        </w:rPr>
      </w:pPr>
    </w:p>
    <w:p w:rsidR="00EF1384" w:rsidRPr="00EF1384" w:rsidRDefault="00EF1384" w:rsidP="00EF1384">
      <w:pPr>
        <w:rPr>
          <w:rFonts w:asciiTheme="minorHAnsi" w:hAnsiTheme="minorHAnsi" w:cstheme="minorHAnsi"/>
          <w:color w:val="000000"/>
          <w:szCs w:val="22"/>
          <w:shd w:val="clear" w:color="auto" w:fill="FFFFFF"/>
        </w:rPr>
      </w:pPr>
      <w:r w:rsidRPr="00EF1384">
        <w:rPr>
          <w:rFonts w:asciiTheme="minorHAnsi" w:hAnsiTheme="minorHAnsi" w:cstheme="minorHAnsi"/>
          <w:szCs w:val="22"/>
        </w:rPr>
        <w:t>A model identifying existing bodies with expertise in monitoring specific places of detention, to be co-ordinated at the state/territory and federal level, would seem most appropriate in Australia.   It is an approach taken in other federal systems,</w:t>
      </w:r>
      <w:r w:rsidRPr="00EF1384">
        <w:rPr>
          <w:rStyle w:val="FootnoteReference"/>
          <w:rFonts w:asciiTheme="minorHAnsi" w:hAnsiTheme="minorHAnsi" w:cstheme="minorHAnsi"/>
          <w:szCs w:val="22"/>
        </w:rPr>
        <w:footnoteReference w:id="4"/>
      </w:r>
      <w:r w:rsidRPr="00EF1384">
        <w:rPr>
          <w:rFonts w:asciiTheme="minorHAnsi" w:hAnsiTheme="minorHAnsi" w:cstheme="minorHAnsi"/>
          <w:szCs w:val="22"/>
        </w:rPr>
        <w:t xml:space="preserve"> and similar appro</w:t>
      </w:r>
      <w:r w:rsidR="0033747C">
        <w:rPr>
          <w:rFonts w:asciiTheme="minorHAnsi" w:hAnsiTheme="minorHAnsi" w:cstheme="minorHAnsi"/>
          <w:szCs w:val="22"/>
        </w:rPr>
        <w:t>aches have been taken in the United Kingdom</w:t>
      </w:r>
      <w:r w:rsidRPr="00EF1384">
        <w:rPr>
          <w:rFonts w:asciiTheme="minorHAnsi" w:hAnsiTheme="minorHAnsi" w:cstheme="minorHAnsi"/>
          <w:szCs w:val="22"/>
        </w:rPr>
        <w:t xml:space="preserve"> (which has some of the multi-jurisdictional challenges faced in Australia), and in New Zealand.</w:t>
      </w:r>
    </w:p>
    <w:p w:rsidR="00EF1384" w:rsidRPr="00EF1384" w:rsidRDefault="00EF1384" w:rsidP="00EF1384">
      <w:pPr>
        <w:rPr>
          <w:rFonts w:asciiTheme="minorHAnsi" w:hAnsiTheme="minorHAnsi" w:cstheme="minorHAnsi"/>
          <w:szCs w:val="22"/>
        </w:rPr>
      </w:pPr>
    </w:p>
    <w:p w:rsidR="00EF1384" w:rsidRDefault="00EF1384" w:rsidP="00EF1384">
      <w:pPr>
        <w:rPr>
          <w:rFonts w:asciiTheme="minorHAnsi" w:hAnsiTheme="minorHAnsi" w:cstheme="minorHAnsi"/>
          <w:szCs w:val="22"/>
        </w:rPr>
      </w:pPr>
      <w:r w:rsidRPr="00EF1384">
        <w:rPr>
          <w:rFonts w:asciiTheme="minorHAnsi" w:hAnsiTheme="minorHAnsi" w:cstheme="minorHAnsi"/>
          <w:szCs w:val="22"/>
        </w:rPr>
        <w:t>A general oversight and co-ordinating body is also required to ensure there is consistency across different environments on common issues, to guard against gaps and overlaps, and to support development of standards and training.  It has been announced that this is to be the Commonwealth Ombudsman at the federal level.  A central body will also be needed at the state level to either co-ordinate a set of existing bodies across different sectors of places of detention, or to i</w:t>
      </w:r>
      <w:r w:rsidR="00E35A1B">
        <w:rPr>
          <w:rFonts w:asciiTheme="minorHAnsi" w:hAnsiTheme="minorHAnsi" w:cstheme="minorHAnsi"/>
          <w:szCs w:val="22"/>
        </w:rPr>
        <w:t>ncorporate previously separate</w:t>
      </w:r>
      <w:r w:rsidRPr="00EF1384">
        <w:rPr>
          <w:rFonts w:asciiTheme="minorHAnsi" w:hAnsiTheme="minorHAnsi" w:cstheme="minorHAnsi"/>
          <w:szCs w:val="22"/>
        </w:rPr>
        <w:t xml:space="preserve"> monitoring bodies into a single agency.</w:t>
      </w:r>
    </w:p>
    <w:p w:rsidR="00841819" w:rsidRPr="00EF1384" w:rsidRDefault="00841819" w:rsidP="00EF1384">
      <w:pPr>
        <w:rPr>
          <w:rFonts w:asciiTheme="minorHAnsi" w:hAnsiTheme="minorHAnsi" w:cstheme="minorHAnsi"/>
          <w:szCs w:val="22"/>
        </w:rPr>
      </w:pPr>
    </w:p>
    <w:p w:rsidR="00EF1384" w:rsidRPr="00EF1384" w:rsidRDefault="00EF1384" w:rsidP="00EF1384">
      <w:pPr>
        <w:rPr>
          <w:rFonts w:asciiTheme="minorHAnsi" w:hAnsiTheme="minorHAnsi" w:cstheme="minorHAnsi"/>
          <w:szCs w:val="22"/>
        </w:rPr>
      </w:pPr>
      <w:r w:rsidRPr="00EF1384">
        <w:rPr>
          <w:rFonts w:asciiTheme="minorHAnsi" w:hAnsiTheme="minorHAnsi" w:cstheme="minorHAnsi"/>
          <w:szCs w:val="22"/>
        </w:rPr>
        <w:t xml:space="preserve">Options </w:t>
      </w:r>
      <w:r w:rsidR="00841819">
        <w:rPr>
          <w:rFonts w:asciiTheme="minorHAnsi" w:hAnsiTheme="minorHAnsi" w:cstheme="minorHAnsi"/>
          <w:szCs w:val="22"/>
        </w:rPr>
        <w:t xml:space="preserve">for co-ordination </w:t>
      </w:r>
      <w:r w:rsidRPr="00EF1384">
        <w:rPr>
          <w:rFonts w:asciiTheme="minorHAnsi" w:hAnsiTheme="minorHAnsi" w:cstheme="minorHAnsi"/>
          <w:szCs w:val="22"/>
        </w:rPr>
        <w:t>include the UK model where an existing mon</w:t>
      </w:r>
      <w:r w:rsidR="00841819">
        <w:rPr>
          <w:rFonts w:asciiTheme="minorHAnsi" w:hAnsiTheme="minorHAnsi" w:cstheme="minorHAnsi"/>
          <w:szCs w:val="22"/>
        </w:rPr>
        <w:t>itoring body (</w:t>
      </w:r>
      <w:r w:rsidRPr="00EF1384">
        <w:rPr>
          <w:rFonts w:asciiTheme="minorHAnsi" w:hAnsiTheme="minorHAnsi" w:cstheme="minorHAnsi"/>
          <w:szCs w:val="22"/>
        </w:rPr>
        <w:t xml:space="preserve">HM Inspectorate of Prisons) took on the co-ordinating role, or the approach adopted in New Zealand, where the Human Rights Commission has the co-ordinating role as the Central </w:t>
      </w:r>
      <w:proofErr w:type="spellStart"/>
      <w:r w:rsidRPr="00EF1384">
        <w:rPr>
          <w:rFonts w:asciiTheme="minorHAnsi" w:hAnsiTheme="minorHAnsi" w:cstheme="minorHAnsi"/>
          <w:szCs w:val="22"/>
        </w:rPr>
        <w:t>NPM</w:t>
      </w:r>
      <w:proofErr w:type="spellEnd"/>
      <w:r w:rsidRPr="00EF1384">
        <w:rPr>
          <w:rFonts w:asciiTheme="minorHAnsi" w:hAnsiTheme="minorHAnsi" w:cstheme="minorHAnsi"/>
          <w:szCs w:val="22"/>
        </w:rPr>
        <w:t xml:space="preserve"> but does not carry out monitoring visits.</w:t>
      </w:r>
    </w:p>
    <w:p w:rsidR="00EF1384" w:rsidRPr="00EF1384" w:rsidRDefault="00EF1384" w:rsidP="00EF1384">
      <w:pPr>
        <w:rPr>
          <w:rFonts w:asciiTheme="minorHAnsi" w:hAnsiTheme="minorHAnsi" w:cstheme="minorHAnsi"/>
          <w:szCs w:val="22"/>
        </w:rPr>
      </w:pPr>
    </w:p>
    <w:p w:rsidR="00EF1384" w:rsidRPr="00EF1384" w:rsidRDefault="00EF1384" w:rsidP="00EF1384">
      <w:pPr>
        <w:rPr>
          <w:rFonts w:asciiTheme="minorHAnsi" w:hAnsiTheme="minorHAnsi" w:cstheme="minorHAnsi"/>
          <w:szCs w:val="22"/>
        </w:rPr>
      </w:pPr>
      <w:r w:rsidRPr="00EF1384">
        <w:rPr>
          <w:rFonts w:asciiTheme="minorHAnsi" w:hAnsiTheme="minorHAnsi" w:cstheme="minorHAnsi"/>
          <w:szCs w:val="22"/>
        </w:rPr>
        <w:t xml:space="preserve">In terms of implementing a model which is based on existing monitoring bodies, it will be important to take into account the capacity of the existing body to carry out the </w:t>
      </w:r>
      <w:r w:rsidRPr="00EF1384">
        <w:rPr>
          <w:rFonts w:asciiTheme="minorHAnsi" w:hAnsiTheme="minorHAnsi" w:cstheme="minorHAnsi"/>
          <w:i/>
          <w:szCs w:val="22"/>
        </w:rPr>
        <w:t>preventive</w:t>
      </w:r>
      <w:r w:rsidRPr="00EF1384">
        <w:rPr>
          <w:rFonts w:asciiTheme="minorHAnsi" w:hAnsiTheme="minorHAnsi" w:cstheme="minorHAnsi"/>
          <w:szCs w:val="22"/>
        </w:rPr>
        <w:t xml:space="preserve"> monitoring required under </w:t>
      </w:r>
      <w:proofErr w:type="spellStart"/>
      <w:r w:rsidRPr="00EF1384">
        <w:rPr>
          <w:rFonts w:asciiTheme="minorHAnsi" w:hAnsiTheme="minorHAnsi" w:cstheme="minorHAnsi"/>
          <w:szCs w:val="22"/>
        </w:rPr>
        <w:t>OPCAT</w:t>
      </w:r>
      <w:proofErr w:type="spellEnd"/>
      <w:r w:rsidRPr="00EF1384">
        <w:rPr>
          <w:rFonts w:asciiTheme="minorHAnsi" w:hAnsiTheme="minorHAnsi" w:cstheme="minorHAnsi"/>
          <w:szCs w:val="22"/>
        </w:rPr>
        <w:t xml:space="preserve">, and to ensure there is the resourcing and support needed to carry out this task.  It will also be important to consider the current mandate and focus of the existing body, and how the addition of </w:t>
      </w:r>
      <w:proofErr w:type="spellStart"/>
      <w:r w:rsidRPr="00EF1384">
        <w:rPr>
          <w:rFonts w:asciiTheme="minorHAnsi" w:hAnsiTheme="minorHAnsi" w:cstheme="minorHAnsi"/>
          <w:szCs w:val="22"/>
        </w:rPr>
        <w:t>OPCAT</w:t>
      </w:r>
      <w:proofErr w:type="spellEnd"/>
      <w:r w:rsidRPr="00EF1384">
        <w:rPr>
          <w:rFonts w:asciiTheme="minorHAnsi" w:hAnsiTheme="minorHAnsi" w:cstheme="minorHAnsi"/>
          <w:szCs w:val="22"/>
        </w:rPr>
        <w:t xml:space="preserve"> obligations will sit within the organisation.  Questions will include whether the </w:t>
      </w:r>
      <w:proofErr w:type="spellStart"/>
      <w:r w:rsidRPr="00EF1384">
        <w:rPr>
          <w:rFonts w:asciiTheme="minorHAnsi" w:hAnsiTheme="minorHAnsi" w:cstheme="minorHAnsi"/>
          <w:szCs w:val="22"/>
        </w:rPr>
        <w:t>OPCAT</w:t>
      </w:r>
      <w:proofErr w:type="spellEnd"/>
      <w:r w:rsidRPr="00EF1384">
        <w:rPr>
          <w:rFonts w:asciiTheme="minorHAnsi" w:hAnsiTheme="minorHAnsi" w:cstheme="minorHAnsi"/>
          <w:szCs w:val="22"/>
        </w:rPr>
        <w:t xml:space="preserve"> role will be given appropriate priority;  whether there will be adequate resources devoted to the role; whether there is any risk that </w:t>
      </w:r>
      <w:r w:rsidR="00027557">
        <w:rPr>
          <w:rFonts w:asciiTheme="minorHAnsi" w:hAnsiTheme="minorHAnsi" w:cstheme="minorHAnsi"/>
          <w:szCs w:val="22"/>
        </w:rPr>
        <w:t xml:space="preserve">having an </w:t>
      </w:r>
      <w:proofErr w:type="spellStart"/>
      <w:r w:rsidR="00027557">
        <w:rPr>
          <w:rFonts w:asciiTheme="minorHAnsi" w:hAnsiTheme="minorHAnsi" w:cstheme="minorHAnsi"/>
          <w:szCs w:val="22"/>
        </w:rPr>
        <w:t>NPM</w:t>
      </w:r>
      <w:proofErr w:type="spellEnd"/>
      <w:r w:rsidR="00027557">
        <w:rPr>
          <w:rFonts w:asciiTheme="minorHAnsi" w:hAnsiTheme="minorHAnsi" w:cstheme="minorHAnsi"/>
          <w:szCs w:val="22"/>
        </w:rPr>
        <w:t xml:space="preserve"> role might </w:t>
      </w:r>
      <w:r w:rsidRPr="00EF1384">
        <w:rPr>
          <w:rFonts w:asciiTheme="minorHAnsi" w:hAnsiTheme="minorHAnsi" w:cstheme="minorHAnsi"/>
          <w:szCs w:val="22"/>
        </w:rPr>
        <w:t>introduce role conflict; and how the changed role might affect the relationships the body has/had with relevant authorities.</w:t>
      </w:r>
    </w:p>
    <w:p w:rsidR="00EF1384" w:rsidRPr="00EF1384" w:rsidRDefault="00EF1384" w:rsidP="00EF1384">
      <w:pPr>
        <w:rPr>
          <w:rFonts w:asciiTheme="minorHAnsi" w:hAnsiTheme="minorHAnsi" w:cstheme="minorHAnsi"/>
          <w:szCs w:val="22"/>
        </w:rPr>
      </w:pPr>
    </w:p>
    <w:p w:rsidR="00EF1384" w:rsidRPr="00EF1384" w:rsidRDefault="00EF1384" w:rsidP="00EF1384">
      <w:pPr>
        <w:rPr>
          <w:rFonts w:asciiTheme="minorHAnsi" w:hAnsiTheme="minorHAnsi" w:cstheme="minorHAnsi"/>
          <w:szCs w:val="22"/>
        </w:rPr>
      </w:pPr>
      <w:r w:rsidRPr="00EF1384">
        <w:rPr>
          <w:rFonts w:asciiTheme="minorHAnsi" w:hAnsiTheme="minorHAnsi" w:cstheme="minorHAnsi"/>
          <w:szCs w:val="22"/>
        </w:rPr>
        <w:t xml:space="preserve">Assuming that the existing monitoring framework will form the basis of the </w:t>
      </w:r>
      <w:proofErr w:type="spellStart"/>
      <w:r w:rsidRPr="00EF1384">
        <w:rPr>
          <w:rFonts w:asciiTheme="minorHAnsi" w:hAnsiTheme="minorHAnsi" w:cstheme="minorHAnsi"/>
          <w:szCs w:val="22"/>
        </w:rPr>
        <w:t>NPM</w:t>
      </w:r>
      <w:proofErr w:type="spellEnd"/>
      <w:r w:rsidRPr="00EF1384">
        <w:rPr>
          <w:rFonts w:asciiTheme="minorHAnsi" w:hAnsiTheme="minorHAnsi" w:cstheme="minorHAnsi"/>
          <w:szCs w:val="22"/>
        </w:rPr>
        <w:t xml:space="preserve"> in most jurisdictions, this requires attention to the requirements for an </w:t>
      </w:r>
      <w:proofErr w:type="spellStart"/>
      <w:r w:rsidRPr="00EF1384">
        <w:rPr>
          <w:rFonts w:asciiTheme="minorHAnsi" w:hAnsiTheme="minorHAnsi" w:cstheme="minorHAnsi"/>
          <w:szCs w:val="22"/>
        </w:rPr>
        <w:t>NPM</w:t>
      </w:r>
      <w:proofErr w:type="spellEnd"/>
      <w:r w:rsidRPr="00EF1384">
        <w:rPr>
          <w:rFonts w:asciiTheme="minorHAnsi" w:hAnsiTheme="minorHAnsi" w:cstheme="minorHAnsi"/>
          <w:szCs w:val="22"/>
        </w:rPr>
        <w:t xml:space="preserve"> to be compliant with </w:t>
      </w:r>
      <w:proofErr w:type="spellStart"/>
      <w:r w:rsidRPr="00EF1384">
        <w:rPr>
          <w:rFonts w:asciiTheme="minorHAnsi" w:hAnsiTheme="minorHAnsi" w:cstheme="minorHAnsi"/>
          <w:szCs w:val="22"/>
        </w:rPr>
        <w:t>OPCAT</w:t>
      </w:r>
      <w:proofErr w:type="spellEnd"/>
      <w:r w:rsidRPr="00EF1384">
        <w:rPr>
          <w:rFonts w:asciiTheme="minorHAnsi" w:hAnsiTheme="minorHAnsi" w:cstheme="minorHAnsi"/>
          <w:szCs w:val="22"/>
        </w:rPr>
        <w:t xml:space="preserve">.   As set out in the Consultation Paper, </w:t>
      </w:r>
      <w:proofErr w:type="spellStart"/>
      <w:r w:rsidRPr="00EF1384">
        <w:rPr>
          <w:rFonts w:asciiTheme="minorHAnsi" w:hAnsiTheme="minorHAnsi" w:cstheme="minorHAnsi"/>
          <w:szCs w:val="22"/>
        </w:rPr>
        <w:t>OPCAT</w:t>
      </w:r>
      <w:proofErr w:type="spellEnd"/>
      <w:r w:rsidRPr="00EF1384">
        <w:rPr>
          <w:rFonts w:asciiTheme="minorHAnsi" w:hAnsiTheme="minorHAnsi" w:cstheme="minorHAnsi"/>
          <w:szCs w:val="22"/>
        </w:rPr>
        <w:t xml:space="preserve"> specifies criteria for the </w:t>
      </w:r>
      <w:proofErr w:type="spellStart"/>
      <w:r w:rsidRPr="00EF1384">
        <w:rPr>
          <w:rFonts w:asciiTheme="minorHAnsi" w:hAnsiTheme="minorHAnsi" w:cstheme="minorHAnsi"/>
          <w:szCs w:val="22"/>
        </w:rPr>
        <w:t>NPM</w:t>
      </w:r>
      <w:proofErr w:type="spellEnd"/>
      <w:r w:rsidRPr="00EF1384">
        <w:rPr>
          <w:rFonts w:asciiTheme="minorHAnsi" w:hAnsiTheme="minorHAnsi" w:cstheme="minorHAnsi"/>
          <w:szCs w:val="22"/>
        </w:rPr>
        <w:t xml:space="preserve">, to maximise the effectiveness of monitoring for preventing torture and cruel, inhuman and degrading treatment in places of detention.  In very brief summary, the </w:t>
      </w:r>
      <w:proofErr w:type="spellStart"/>
      <w:r w:rsidRPr="00EF1384">
        <w:rPr>
          <w:rFonts w:asciiTheme="minorHAnsi" w:hAnsiTheme="minorHAnsi" w:cstheme="minorHAnsi"/>
          <w:szCs w:val="22"/>
        </w:rPr>
        <w:t>OPCAT</w:t>
      </w:r>
      <w:proofErr w:type="spellEnd"/>
      <w:r w:rsidRPr="00EF1384">
        <w:rPr>
          <w:rFonts w:asciiTheme="minorHAnsi" w:hAnsiTheme="minorHAnsi" w:cstheme="minorHAnsi"/>
          <w:szCs w:val="22"/>
        </w:rPr>
        <w:t xml:space="preserve"> requires that an </w:t>
      </w:r>
      <w:proofErr w:type="spellStart"/>
      <w:r w:rsidRPr="00EF1384">
        <w:rPr>
          <w:rFonts w:asciiTheme="minorHAnsi" w:hAnsiTheme="minorHAnsi" w:cstheme="minorHAnsi"/>
          <w:szCs w:val="22"/>
        </w:rPr>
        <w:t>NPM</w:t>
      </w:r>
      <w:proofErr w:type="spellEnd"/>
      <w:r w:rsidRPr="00EF1384">
        <w:rPr>
          <w:rFonts w:asciiTheme="minorHAnsi" w:hAnsiTheme="minorHAnsi" w:cstheme="minorHAnsi"/>
          <w:szCs w:val="22"/>
        </w:rPr>
        <w:t xml:space="preserve"> is functionally independent, has requisite statutory powers, has free access for visits to any place of detention, including free access to all necessary information, and the ability to conduct private interviews with detainees and any other relevant people, is adequately resourced to undertake their role, has power to make recommendations and enter dialogue with detaining authorities, and that the state will publish </w:t>
      </w:r>
      <w:proofErr w:type="spellStart"/>
      <w:r w:rsidRPr="00EF1384">
        <w:rPr>
          <w:rFonts w:asciiTheme="minorHAnsi" w:hAnsiTheme="minorHAnsi" w:cstheme="minorHAnsi"/>
          <w:szCs w:val="22"/>
        </w:rPr>
        <w:t>NPM</w:t>
      </w:r>
      <w:proofErr w:type="spellEnd"/>
      <w:r w:rsidRPr="00EF1384">
        <w:rPr>
          <w:rFonts w:asciiTheme="minorHAnsi" w:hAnsiTheme="minorHAnsi" w:cstheme="minorHAnsi"/>
          <w:szCs w:val="22"/>
        </w:rPr>
        <w:t xml:space="preserve"> annual reports.</w:t>
      </w:r>
      <w:r w:rsidRPr="00EF1384">
        <w:rPr>
          <w:rStyle w:val="FootnoteReference"/>
          <w:rFonts w:asciiTheme="minorHAnsi" w:hAnsiTheme="minorHAnsi" w:cstheme="minorHAnsi"/>
          <w:szCs w:val="22"/>
        </w:rPr>
        <w:footnoteReference w:id="5"/>
      </w:r>
      <w:r w:rsidRPr="00EF1384">
        <w:rPr>
          <w:rFonts w:asciiTheme="minorHAnsi" w:hAnsiTheme="minorHAnsi" w:cstheme="minorHAnsi"/>
          <w:szCs w:val="22"/>
        </w:rPr>
        <w:t xml:space="preserve"> </w:t>
      </w:r>
      <w:r w:rsidR="00071E47">
        <w:rPr>
          <w:rFonts w:asciiTheme="minorHAnsi" w:hAnsiTheme="minorHAnsi" w:cstheme="minorHAnsi"/>
          <w:szCs w:val="22"/>
        </w:rPr>
        <w:t xml:space="preserve">This is the template for evaluating existing monitoring bodies which may be considered as an </w:t>
      </w:r>
      <w:proofErr w:type="spellStart"/>
      <w:r w:rsidR="00071E47">
        <w:rPr>
          <w:rFonts w:asciiTheme="minorHAnsi" w:hAnsiTheme="minorHAnsi" w:cstheme="minorHAnsi"/>
          <w:szCs w:val="22"/>
        </w:rPr>
        <w:t>NPM</w:t>
      </w:r>
      <w:proofErr w:type="spellEnd"/>
      <w:r w:rsidR="00071E47">
        <w:rPr>
          <w:rFonts w:asciiTheme="minorHAnsi" w:hAnsiTheme="minorHAnsi" w:cstheme="minorHAnsi"/>
          <w:szCs w:val="22"/>
        </w:rPr>
        <w:t>.</w:t>
      </w:r>
    </w:p>
    <w:p w:rsidR="00EF1384" w:rsidRPr="00EF1384" w:rsidRDefault="00EF1384" w:rsidP="00EF1384">
      <w:pPr>
        <w:rPr>
          <w:rFonts w:asciiTheme="minorHAnsi" w:hAnsiTheme="minorHAnsi" w:cstheme="minorHAnsi"/>
          <w:i/>
          <w:szCs w:val="22"/>
        </w:rPr>
      </w:pPr>
    </w:p>
    <w:p w:rsidR="00EF1384" w:rsidRPr="00EF1384" w:rsidRDefault="00EF1384" w:rsidP="00EF1384">
      <w:pPr>
        <w:rPr>
          <w:rFonts w:asciiTheme="minorHAnsi" w:hAnsiTheme="minorHAnsi" w:cstheme="minorHAnsi"/>
          <w:szCs w:val="22"/>
        </w:rPr>
      </w:pPr>
      <w:r w:rsidRPr="00EF1384">
        <w:rPr>
          <w:rFonts w:asciiTheme="minorHAnsi" w:hAnsiTheme="minorHAnsi" w:cstheme="minorHAnsi"/>
          <w:i/>
          <w:szCs w:val="22"/>
        </w:rPr>
        <w:t>Identification of existing monitoring schemes</w:t>
      </w:r>
    </w:p>
    <w:p w:rsidR="00EF1384" w:rsidRPr="00EF1384" w:rsidRDefault="00EF1384" w:rsidP="00EF1384">
      <w:pPr>
        <w:rPr>
          <w:rFonts w:asciiTheme="minorHAnsi" w:hAnsiTheme="minorHAnsi" w:cstheme="minorHAnsi"/>
          <w:szCs w:val="22"/>
        </w:rPr>
      </w:pPr>
    </w:p>
    <w:p w:rsidR="00EF1384" w:rsidRPr="00EF1384" w:rsidRDefault="00EF1384" w:rsidP="00EF1384">
      <w:pPr>
        <w:rPr>
          <w:rFonts w:asciiTheme="minorHAnsi" w:hAnsiTheme="minorHAnsi" w:cstheme="minorHAnsi"/>
          <w:szCs w:val="22"/>
        </w:rPr>
      </w:pPr>
      <w:r w:rsidRPr="00EF1384">
        <w:rPr>
          <w:rFonts w:asciiTheme="minorHAnsi" w:hAnsiTheme="minorHAnsi" w:cstheme="minorHAnsi"/>
          <w:szCs w:val="22"/>
        </w:rPr>
        <w:t>There are many existing monitoring bodies in Australia at federal, state and territory level. Australia has had Ombudsman offices since the 1970s, with statutory independence from government, and with powers to investigate complaints about (amongst other things) ill-treatment in various places of detention</w:t>
      </w:r>
      <w:r w:rsidR="00027557">
        <w:rPr>
          <w:rFonts w:asciiTheme="minorHAnsi" w:hAnsiTheme="minorHAnsi" w:cstheme="minorHAnsi"/>
          <w:szCs w:val="22"/>
        </w:rPr>
        <w:t xml:space="preserve"> and to make public reports</w:t>
      </w:r>
      <w:r w:rsidRPr="00EF1384">
        <w:rPr>
          <w:rFonts w:asciiTheme="minorHAnsi" w:hAnsiTheme="minorHAnsi" w:cstheme="minorHAnsi"/>
          <w:szCs w:val="22"/>
        </w:rPr>
        <w:t>.  The Victorian Ombudsman, for instance, can initiate inquiries as well as act on complaints, and in recent years has reported on conditions in prisons and police cells and in juvenile detention. The Victorian Ombudsman also has an explicit mandate to monitor human rights violations.</w:t>
      </w:r>
      <w:r w:rsidRPr="00EF1384">
        <w:rPr>
          <w:rStyle w:val="FootnoteReference"/>
          <w:rFonts w:asciiTheme="minorHAnsi" w:hAnsiTheme="minorHAnsi" w:cstheme="minorHAnsi"/>
          <w:szCs w:val="22"/>
        </w:rPr>
        <w:footnoteReference w:id="6"/>
      </w:r>
      <w:r w:rsidRPr="00EF1384">
        <w:rPr>
          <w:rFonts w:asciiTheme="minorHAnsi" w:hAnsiTheme="minorHAnsi" w:cstheme="minorHAnsi"/>
          <w:szCs w:val="22"/>
        </w:rPr>
        <w:t xml:space="preserve">  </w:t>
      </w:r>
    </w:p>
    <w:p w:rsidR="00EF1384" w:rsidRPr="00EF1384" w:rsidRDefault="00EF1384" w:rsidP="00EF1384">
      <w:pPr>
        <w:rPr>
          <w:rFonts w:asciiTheme="minorHAnsi" w:hAnsiTheme="minorHAnsi" w:cstheme="minorHAnsi"/>
          <w:szCs w:val="22"/>
        </w:rPr>
      </w:pPr>
    </w:p>
    <w:p w:rsidR="00EF1384" w:rsidRPr="00EF1384" w:rsidRDefault="00EF1384" w:rsidP="00EF1384">
      <w:pPr>
        <w:rPr>
          <w:rFonts w:asciiTheme="minorHAnsi" w:hAnsiTheme="minorHAnsi" w:cstheme="minorHAnsi"/>
          <w:szCs w:val="22"/>
        </w:rPr>
      </w:pPr>
      <w:r w:rsidRPr="00EF1384">
        <w:rPr>
          <w:rFonts w:asciiTheme="minorHAnsi" w:hAnsiTheme="minorHAnsi" w:cstheme="minorHAnsi"/>
          <w:szCs w:val="22"/>
        </w:rPr>
        <w:t xml:space="preserve">A number of jurisdictions have Human Rights Commissions, some of which have powers to inspect places of detention.  In Western Australia and New South Wales there are independent statutory Inspectorates to monitor prisons and juvenile detention facilities, and some other jurisdictions are developing similar bodies. All jurisdictions have Children’s Commissioners or </w:t>
      </w:r>
      <w:r w:rsidR="007E21B9">
        <w:rPr>
          <w:rFonts w:asciiTheme="minorHAnsi" w:hAnsiTheme="minorHAnsi" w:cstheme="minorHAnsi"/>
          <w:szCs w:val="22"/>
        </w:rPr>
        <w:t xml:space="preserve">similar offices. </w:t>
      </w:r>
      <w:r w:rsidRPr="00EF1384">
        <w:rPr>
          <w:rFonts w:asciiTheme="minorHAnsi" w:hAnsiTheme="minorHAnsi" w:cstheme="minorHAnsi"/>
          <w:szCs w:val="22"/>
        </w:rPr>
        <w:t xml:space="preserve"> Most jurisdictions also have extensive schemes of volunteer-based Community Visitors, who have powers to talk to detainees in prisons, in juvenile detention, and in some closed disability facilities, and can re</w:t>
      </w:r>
      <w:r w:rsidR="000F1BB5">
        <w:rPr>
          <w:rFonts w:asciiTheme="minorHAnsi" w:hAnsiTheme="minorHAnsi" w:cstheme="minorHAnsi"/>
          <w:szCs w:val="22"/>
        </w:rPr>
        <w:t>port back on concerns</w:t>
      </w:r>
      <w:r w:rsidRPr="00EF1384">
        <w:rPr>
          <w:rFonts w:asciiTheme="minorHAnsi" w:hAnsiTheme="minorHAnsi" w:cstheme="minorHAnsi"/>
          <w:szCs w:val="22"/>
        </w:rPr>
        <w:t>.</w:t>
      </w:r>
    </w:p>
    <w:p w:rsidR="00EF1384" w:rsidRPr="00EF1384" w:rsidRDefault="00EF1384" w:rsidP="00EF1384">
      <w:pPr>
        <w:rPr>
          <w:rFonts w:asciiTheme="minorHAnsi" w:hAnsiTheme="minorHAnsi" w:cstheme="minorHAnsi"/>
          <w:szCs w:val="22"/>
        </w:rPr>
      </w:pPr>
    </w:p>
    <w:p w:rsidR="00EF1384" w:rsidRPr="00EF1384" w:rsidRDefault="00EF1384" w:rsidP="00EF1384">
      <w:pPr>
        <w:rPr>
          <w:rFonts w:asciiTheme="minorHAnsi" w:hAnsiTheme="minorHAnsi" w:cstheme="minorHAnsi"/>
          <w:szCs w:val="22"/>
        </w:rPr>
      </w:pPr>
      <w:r w:rsidRPr="00EF1384">
        <w:rPr>
          <w:rFonts w:asciiTheme="minorHAnsi" w:hAnsiTheme="minorHAnsi" w:cstheme="minorHAnsi"/>
          <w:szCs w:val="22"/>
        </w:rPr>
        <w:lastRenderedPageBreak/>
        <w:t xml:space="preserve">An informal review of monitoring bodies in Australia, under federal, state and territory jurisdiction, suggests that a small number already operate at or near the standard required for compliance with </w:t>
      </w:r>
      <w:proofErr w:type="spellStart"/>
      <w:r w:rsidRPr="00EF1384">
        <w:rPr>
          <w:rFonts w:asciiTheme="minorHAnsi" w:hAnsiTheme="minorHAnsi" w:cstheme="minorHAnsi"/>
          <w:szCs w:val="22"/>
        </w:rPr>
        <w:t>OPCAT</w:t>
      </w:r>
      <w:proofErr w:type="spellEnd"/>
      <w:r w:rsidRPr="00EF1384">
        <w:rPr>
          <w:rFonts w:asciiTheme="minorHAnsi" w:hAnsiTheme="minorHAnsi" w:cstheme="minorHAnsi"/>
          <w:szCs w:val="22"/>
        </w:rPr>
        <w:t xml:space="preserve"> (such as the WA Office of the Inspector of Custodial Services).  Many more are effective in terms of their current mandate, which is primarily reactive and complaints-based, rather than proactive and preventive in their focus, and others  have limited resourcing and powers that restrict their effectiveness.   </w:t>
      </w:r>
    </w:p>
    <w:p w:rsidR="00EF1384" w:rsidRPr="00EF1384" w:rsidRDefault="00EF1384" w:rsidP="00EF1384">
      <w:pPr>
        <w:rPr>
          <w:rFonts w:asciiTheme="minorHAnsi" w:hAnsiTheme="minorHAnsi" w:cstheme="minorHAnsi"/>
          <w:szCs w:val="22"/>
        </w:rPr>
      </w:pPr>
    </w:p>
    <w:p w:rsidR="00EF1384" w:rsidRPr="00EF1384" w:rsidRDefault="00EF1384" w:rsidP="00EF1384">
      <w:pPr>
        <w:rPr>
          <w:rFonts w:asciiTheme="minorHAnsi" w:hAnsiTheme="minorHAnsi" w:cstheme="minorHAnsi"/>
          <w:szCs w:val="22"/>
        </w:rPr>
      </w:pPr>
      <w:r w:rsidRPr="00EF1384">
        <w:rPr>
          <w:rFonts w:asciiTheme="minorHAnsi" w:hAnsiTheme="minorHAnsi" w:cstheme="minorHAnsi"/>
          <w:szCs w:val="22"/>
        </w:rPr>
        <w:t xml:space="preserve">It is not possible to offer a comprehensive review in this brief submission, but as identified by the </w:t>
      </w:r>
      <w:proofErr w:type="spellStart"/>
      <w:r w:rsidRPr="00EF1384">
        <w:rPr>
          <w:rFonts w:asciiTheme="minorHAnsi" w:hAnsiTheme="minorHAnsi" w:cstheme="minorHAnsi"/>
          <w:szCs w:val="22"/>
        </w:rPr>
        <w:t>AHRC</w:t>
      </w:r>
      <w:proofErr w:type="spellEnd"/>
      <w:r w:rsidRPr="00EF1384">
        <w:rPr>
          <w:rFonts w:asciiTheme="minorHAnsi" w:hAnsiTheme="minorHAnsi" w:cstheme="minorHAnsi"/>
          <w:szCs w:val="22"/>
        </w:rPr>
        <w:t xml:space="preserve"> in its Consultation Paper a full stocktake is needed, both of places of detention and of monitoring bodies.  Such a stocktake is currently being undertaken in Victoria by the Ombudsman Victoria.</w:t>
      </w:r>
      <w:r w:rsidR="006130CE">
        <w:rPr>
          <w:rStyle w:val="FootnoteReference"/>
          <w:rFonts w:asciiTheme="minorHAnsi" w:hAnsiTheme="minorHAnsi" w:cstheme="minorHAnsi"/>
          <w:szCs w:val="22"/>
        </w:rPr>
        <w:footnoteReference w:id="7"/>
      </w:r>
      <w:r w:rsidRPr="00EF1384">
        <w:rPr>
          <w:rFonts w:asciiTheme="minorHAnsi" w:hAnsiTheme="minorHAnsi" w:cstheme="minorHAnsi"/>
          <w:szCs w:val="22"/>
        </w:rPr>
        <w:t xml:space="preserve">  Some earlier work has outlined coverage of places of detention and their oversight mechanisms.</w:t>
      </w:r>
      <w:r w:rsidRPr="00EF1384">
        <w:rPr>
          <w:rStyle w:val="FootnoteReference"/>
          <w:rFonts w:asciiTheme="minorHAnsi" w:hAnsiTheme="minorHAnsi" w:cstheme="minorHAnsi"/>
          <w:szCs w:val="22"/>
        </w:rPr>
        <w:footnoteReference w:id="8"/>
      </w:r>
      <w:r w:rsidRPr="00EF1384">
        <w:rPr>
          <w:rFonts w:asciiTheme="minorHAnsi" w:hAnsiTheme="minorHAnsi" w:cstheme="minorHAnsi"/>
          <w:szCs w:val="22"/>
        </w:rPr>
        <w:t xml:space="preserve">  </w:t>
      </w:r>
      <w:r w:rsidR="000A59D9">
        <w:rPr>
          <w:rFonts w:asciiTheme="minorHAnsi" w:hAnsiTheme="minorHAnsi" w:cstheme="minorHAnsi"/>
          <w:szCs w:val="22"/>
        </w:rPr>
        <w:t xml:space="preserve"> </w:t>
      </w:r>
      <w:r w:rsidRPr="00EF1384">
        <w:rPr>
          <w:rFonts w:asciiTheme="minorHAnsi" w:hAnsiTheme="minorHAnsi" w:cstheme="minorHAnsi"/>
          <w:szCs w:val="22"/>
        </w:rPr>
        <w:t>Harding and Morgan observed in their 2008 Report that it was difficult to identify all places of detention and to map re</w:t>
      </w:r>
      <w:r w:rsidR="00864D62">
        <w:rPr>
          <w:rFonts w:asciiTheme="minorHAnsi" w:hAnsiTheme="minorHAnsi" w:cstheme="minorHAnsi"/>
          <w:szCs w:val="22"/>
        </w:rPr>
        <w:t>l</w:t>
      </w:r>
      <w:r w:rsidRPr="00EF1384">
        <w:rPr>
          <w:rFonts w:asciiTheme="minorHAnsi" w:hAnsiTheme="minorHAnsi" w:cstheme="minorHAnsi"/>
          <w:szCs w:val="22"/>
        </w:rPr>
        <w:t xml:space="preserve">evant monitoring agencies, but concluded that at the time of their work, ‘There are, in fact, very few </w:t>
      </w:r>
      <w:proofErr w:type="spellStart"/>
      <w:r w:rsidRPr="00EF1384">
        <w:rPr>
          <w:rFonts w:asciiTheme="minorHAnsi" w:hAnsiTheme="minorHAnsi" w:cstheme="minorHAnsi"/>
          <w:szCs w:val="22"/>
        </w:rPr>
        <w:t>OPCAT</w:t>
      </w:r>
      <w:proofErr w:type="spellEnd"/>
      <w:r w:rsidRPr="00EF1384">
        <w:rPr>
          <w:rFonts w:asciiTheme="minorHAnsi" w:hAnsiTheme="minorHAnsi" w:cstheme="minorHAnsi"/>
          <w:szCs w:val="22"/>
        </w:rPr>
        <w:t xml:space="preserve">-compliant mechanisms in existence in any of the nine Australian jurisdictions.’ </w:t>
      </w:r>
      <w:r w:rsidRPr="00EF1384">
        <w:rPr>
          <w:rStyle w:val="FootnoteReference"/>
          <w:rFonts w:asciiTheme="minorHAnsi" w:hAnsiTheme="minorHAnsi" w:cstheme="minorHAnsi"/>
          <w:szCs w:val="22"/>
        </w:rPr>
        <w:footnoteReference w:id="9"/>
      </w:r>
      <w:r w:rsidRPr="00EF1384">
        <w:rPr>
          <w:rFonts w:asciiTheme="minorHAnsi" w:hAnsiTheme="minorHAnsi" w:cstheme="minorHAnsi"/>
          <w:szCs w:val="22"/>
        </w:rPr>
        <w:t xml:space="preserve"> </w:t>
      </w:r>
    </w:p>
    <w:p w:rsidR="00EF1384" w:rsidRPr="00EF1384" w:rsidRDefault="00EF1384" w:rsidP="00EF1384">
      <w:pPr>
        <w:rPr>
          <w:rFonts w:asciiTheme="minorHAnsi" w:hAnsiTheme="minorHAnsi" w:cstheme="minorHAnsi"/>
          <w:szCs w:val="22"/>
        </w:rPr>
      </w:pPr>
    </w:p>
    <w:p w:rsidR="00EF1384" w:rsidRPr="00EF1384" w:rsidRDefault="00EF1384" w:rsidP="00EF1384">
      <w:pPr>
        <w:rPr>
          <w:rFonts w:asciiTheme="minorHAnsi" w:hAnsiTheme="minorHAnsi" w:cstheme="minorHAnsi"/>
          <w:szCs w:val="22"/>
        </w:rPr>
      </w:pPr>
      <w:r w:rsidRPr="00EF1384">
        <w:rPr>
          <w:rFonts w:asciiTheme="minorHAnsi" w:hAnsiTheme="minorHAnsi" w:cstheme="minorHAnsi"/>
          <w:szCs w:val="22"/>
        </w:rPr>
        <w:t>As part of her recent report on oversight mechanisms in youth justice, the National Children’s Commissioner carried out an exhaustive audit of youth detention monitoring, and highlighted the differences between traditional reactive (complaints-based) monitori</w:t>
      </w:r>
      <w:r w:rsidR="00864D62">
        <w:rPr>
          <w:rFonts w:asciiTheme="minorHAnsi" w:hAnsiTheme="minorHAnsi" w:cstheme="minorHAnsi"/>
          <w:szCs w:val="22"/>
        </w:rPr>
        <w:t xml:space="preserve">ng and the proactive </w:t>
      </w:r>
      <w:r w:rsidR="00D5426B">
        <w:rPr>
          <w:rFonts w:asciiTheme="minorHAnsi" w:hAnsiTheme="minorHAnsi" w:cstheme="minorHAnsi"/>
          <w:szCs w:val="22"/>
        </w:rPr>
        <w:t>preventive</w:t>
      </w:r>
      <w:r w:rsidRPr="00EF1384">
        <w:rPr>
          <w:rFonts w:asciiTheme="minorHAnsi" w:hAnsiTheme="minorHAnsi" w:cstheme="minorHAnsi"/>
          <w:szCs w:val="22"/>
        </w:rPr>
        <w:t xml:space="preserve"> monitoring r</w:t>
      </w:r>
      <w:r w:rsidR="001F49EC">
        <w:rPr>
          <w:rFonts w:asciiTheme="minorHAnsi" w:hAnsiTheme="minorHAnsi" w:cstheme="minorHAnsi"/>
          <w:szCs w:val="22"/>
        </w:rPr>
        <w:t xml:space="preserve">equired under </w:t>
      </w:r>
      <w:proofErr w:type="spellStart"/>
      <w:r w:rsidR="001F49EC">
        <w:rPr>
          <w:rFonts w:asciiTheme="minorHAnsi" w:hAnsiTheme="minorHAnsi" w:cstheme="minorHAnsi"/>
          <w:szCs w:val="22"/>
        </w:rPr>
        <w:t>OPCAT</w:t>
      </w:r>
      <w:proofErr w:type="spellEnd"/>
      <w:r w:rsidR="001F49EC">
        <w:rPr>
          <w:rFonts w:asciiTheme="minorHAnsi" w:hAnsiTheme="minorHAnsi" w:cstheme="minorHAnsi"/>
          <w:szCs w:val="22"/>
        </w:rPr>
        <w:t xml:space="preserve">.  She </w:t>
      </w:r>
      <w:r w:rsidR="00823C61">
        <w:rPr>
          <w:rFonts w:asciiTheme="minorHAnsi" w:hAnsiTheme="minorHAnsi" w:cstheme="minorHAnsi"/>
          <w:szCs w:val="22"/>
        </w:rPr>
        <w:t>observed</w:t>
      </w:r>
      <w:r w:rsidRPr="00EF1384">
        <w:rPr>
          <w:rFonts w:asciiTheme="minorHAnsi" w:hAnsiTheme="minorHAnsi" w:cstheme="minorHAnsi"/>
          <w:szCs w:val="22"/>
        </w:rPr>
        <w:t xml:space="preserve"> that Australia does have a relatively comprehensive complaints-based system of oversight of places of detention but that ‘mechanism</w:t>
      </w:r>
      <w:r w:rsidR="00864D62">
        <w:rPr>
          <w:rFonts w:asciiTheme="minorHAnsi" w:hAnsiTheme="minorHAnsi" w:cstheme="minorHAnsi"/>
          <w:szCs w:val="22"/>
        </w:rPr>
        <w:t>s</w:t>
      </w:r>
      <w:r w:rsidRPr="00EF1384">
        <w:rPr>
          <w:rFonts w:asciiTheme="minorHAnsi" w:hAnsiTheme="minorHAnsi" w:cstheme="minorHAnsi"/>
          <w:szCs w:val="22"/>
        </w:rPr>
        <w:t xml:space="preserve"> to </w:t>
      </w:r>
      <w:r w:rsidRPr="00EF1384">
        <w:rPr>
          <w:rFonts w:asciiTheme="minorHAnsi" w:hAnsiTheme="minorHAnsi" w:cstheme="minorHAnsi"/>
          <w:i/>
          <w:szCs w:val="22"/>
        </w:rPr>
        <w:t xml:space="preserve">prevent </w:t>
      </w:r>
      <w:r w:rsidRPr="00EF1384">
        <w:rPr>
          <w:rFonts w:asciiTheme="minorHAnsi" w:hAnsiTheme="minorHAnsi" w:cstheme="minorHAnsi"/>
          <w:szCs w:val="22"/>
        </w:rPr>
        <w:t>ill-treatment in places of detention… are not as well developed.’</w:t>
      </w:r>
      <w:r w:rsidRPr="00EF1384">
        <w:rPr>
          <w:rStyle w:val="FootnoteReference"/>
          <w:rFonts w:asciiTheme="minorHAnsi" w:hAnsiTheme="minorHAnsi" w:cstheme="minorHAnsi"/>
          <w:szCs w:val="22"/>
        </w:rPr>
        <w:footnoteReference w:id="10"/>
      </w:r>
    </w:p>
    <w:p w:rsidR="00EF1384" w:rsidRPr="00EF1384" w:rsidRDefault="00EF1384" w:rsidP="00EF1384">
      <w:pPr>
        <w:rPr>
          <w:rFonts w:asciiTheme="minorHAnsi" w:hAnsiTheme="minorHAnsi" w:cstheme="minorHAnsi"/>
          <w:szCs w:val="22"/>
        </w:rPr>
      </w:pPr>
    </w:p>
    <w:p w:rsidR="00EF1384" w:rsidRPr="00EF1384" w:rsidRDefault="00EF1384" w:rsidP="00EF1384">
      <w:pPr>
        <w:rPr>
          <w:rFonts w:asciiTheme="minorHAnsi" w:hAnsiTheme="minorHAnsi" w:cstheme="minorHAnsi"/>
          <w:szCs w:val="22"/>
        </w:rPr>
      </w:pPr>
      <w:r w:rsidRPr="00EF1384">
        <w:rPr>
          <w:rFonts w:asciiTheme="minorHAnsi" w:hAnsiTheme="minorHAnsi" w:cstheme="minorHAnsi"/>
          <w:szCs w:val="22"/>
        </w:rPr>
        <w:t xml:space="preserve">There is therefore a wide range of models and what has been referred to as a 'patchwork' of monitoring bodies, with some jurisdictions and sectors better served than others, and with some forms of detention monitored by a number of bodies while others have little or no oversight.   The range of monitoring bodies is clearly </w:t>
      </w:r>
      <w:proofErr w:type="gramStart"/>
      <w:r w:rsidRPr="00EF1384">
        <w:rPr>
          <w:rFonts w:asciiTheme="minorHAnsi" w:hAnsiTheme="minorHAnsi" w:cstheme="minorHAnsi"/>
          <w:szCs w:val="22"/>
        </w:rPr>
        <w:t>a strength</w:t>
      </w:r>
      <w:proofErr w:type="gramEnd"/>
      <w:r w:rsidRPr="00EF1384">
        <w:rPr>
          <w:rFonts w:asciiTheme="minorHAnsi" w:hAnsiTheme="minorHAnsi" w:cstheme="minorHAnsi"/>
          <w:szCs w:val="22"/>
        </w:rPr>
        <w:t xml:space="preserve">. However if they are to form the basis of the new monitoring regimes under </w:t>
      </w:r>
      <w:proofErr w:type="spellStart"/>
      <w:r w:rsidRPr="00EF1384">
        <w:rPr>
          <w:rFonts w:asciiTheme="minorHAnsi" w:hAnsiTheme="minorHAnsi" w:cstheme="minorHAnsi"/>
          <w:szCs w:val="22"/>
        </w:rPr>
        <w:t>OPCAT</w:t>
      </w:r>
      <w:proofErr w:type="spellEnd"/>
      <w:r w:rsidRPr="00EF1384">
        <w:rPr>
          <w:rFonts w:asciiTheme="minorHAnsi" w:hAnsiTheme="minorHAnsi" w:cstheme="minorHAnsi"/>
          <w:szCs w:val="22"/>
        </w:rPr>
        <w:t xml:space="preserve"> they need to be evaluated against the </w:t>
      </w:r>
      <w:proofErr w:type="spellStart"/>
      <w:r w:rsidRPr="00EF1384">
        <w:rPr>
          <w:rFonts w:asciiTheme="minorHAnsi" w:hAnsiTheme="minorHAnsi" w:cstheme="minorHAnsi"/>
          <w:szCs w:val="22"/>
        </w:rPr>
        <w:t>OPCAT</w:t>
      </w:r>
      <w:proofErr w:type="spellEnd"/>
      <w:r w:rsidRPr="00EF1384">
        <w:rPr>
          <w:rFonts w:asciiTheme="minorHAnsi" w:hAnsiTheme="minorHAnsi" w:cstheme="minorHAnsi"/>
          <w:szCs w:val="22"/>
        </w:rPr>
        <w:t xml:space="preserve"> criteria. Some limitations should therefore be noted that would need to be addressed.</w:t>
      </w:r>
    </w:p>
    <w:p w:rsidR="00EF1384" w:rsidRPr="00EF1384" w:rsidRDefault="00EF1384" w:rsidP="00EF1384">
      <w:pPr>
        <w:rPr>
          <w:rFonts w:asciiTheme="minorHAnsi" w:hAnsiTheme="minorHAnsi" w:cstheme="minorHAnsi"/>
          <w:i/>
          <w:szCs w:val="22"/>
        </w:rPr>
      </w:pPr>
    </w:p>
    <w:p w:rsidR="00EF1384" w:rsidRPr="00EF1384" w:rsidRDefault="00EF1384" w:rsidP="00EF1384">
      <w:pPr>
        <w:rPr>
          <w:rFonts w:asciiTheme="minorHAnsi" w:hAnsiTheme="minorHAnsi" w:cstheme="minorHAnsi"/>
          <w:i/>
          <w:szCs w:val="22"/>
        </w:rPr>
      </w:pPr>
      <w:r w:rsidRPr="00EF1384">
        <w:rPr>
          <w:rFonts w:asciiTheme="minorHAnsi" w:hAnsiTheme="minorHAnsi" w:cstheme="minorHAnsi"/>
          <w:i/>
          <w:szCs w:val="22"/>
        </w:rPr>
        <w:t>Limitations of the existing framework</w:t>
      </w:r>
    </w:p>
    <w:p w:rsidR="00EF1384" w:rsidRPr="00EF1384" w:rsidRDefault="00EF1384" w:rsidP="00EF1384">
      <w:pPr>
        <w:rPr>
          <w:rFonts w:asciiTheme="minorHAnsi" w:hAnsiTheme="minorHAnsi" w:cstheme="minorHAnsi"/>
          <w:szCs w:val="22"/>
        </w:rPr>
      </w:pPr>
    </w:p>
    <w:p w:rsidR="00EF1384" w:rsidRDefault="00EF1384" w:rsidP="00EF1384">
      <w:pPr>
        <w:rPr>
          <w:rFonts w:asciiTheme="minorHAnsi" w:hAnsiTheme="minorHAnsi" w:cstheme="minorHAnsi"/>
          <w:szCs w:val="22"/>
        </w:rPr>
      </w:pPr>
      <w:r w:rsidRPr="00EF1384">
        <w:rPr>
          <w:rFonts w:asciiTheme="minorHAnsi" w:hAnsiTheme="minorHAnsi" w:cstheme="minorHAnsi"/>
          <w:szCs w:val="22"/>
        </w:rPr>
        <w:t>Mandate:  There are significant differences across existing bodies in powers to inspect premises and require information and</w:t>
      </w:r>
      <w:r w:rsidR="00B07263">
        <w:rPr>
          <w:rFonts w:asciiTheme="minorHAnsi" w:hAnsiTheme="minorHAnsi" w:cstheme="minorHAnsi"/>
          <w:szCs w:val="22"/>
        </w:rPr>
        <w:t>, as already noted,</w:t>
      </w:r>
      <w:r w:rsidRPr="00EF1384">
        <w:rPr>
          <w:rFonts w:asciiTheme="minorHAnsi" w:hAnsiTheme="minorHAnsi" w:cstheme="minorHAnsi"/>
          <w:szCs w:val="22"/>
        </w:rPr>
        <w:t xml:space="preserve"> most have a primarily reactive mandate.  It is of course essential that there be avenues for complaint about – </w:t>
      </w:r>
      <w:proofErr w:type="spellStart"/>
      <w:r w:rsidRPr="00EF1384">
        <w:rPr>
          <w:rFonts w:asciiTheme="minorHAnsi" w:hAnsiTheme="minorHAnsi" w:cstheme="minorHAnsi"/>
          <w:szCs w:val="22"/>
        </w:rPr>
        <w:t>eg</w:t>
      </w:r>
      <w:proofErr w:type="spellEnd"/>
      <w:r w:rsidRPr="00EF1384">
        <w:rPr>
          <w:rFonts w:asciiTheme="minorHAnsi" w:hAnsiTheme="minorHAnsi" w:cstheme="minorHAnsi"/>
          <w:szCs w:val="22"/>
        </w:rPr>
        <w:t xml:space="preserve"> – government activity and the exercise of state power, and Australia has historically been a leader in the establishment of Ombudsman- type offices.   It is however important, as a requirement of </w:t>
      </w:r>
      <w:proofErr w:type="spellStart"/>
      <w:r w:rsidRPr="00EF1384">
        <w:rPr>
          <w:rFonts w:asciiTheme="minorHAnsi" w:hAnsiTheme="minorHAnsi" w:cstheme="minorHAnsi"/>
          <w:szCs w:val="22"/>
        </w:rPr>
        <w:t>OPCAT</w:t>
      </w:r>
      <w:proofErr w:type="spellEnd"/>
      <w:r w:rsidRPr="00EF1384">
        <w:rPr>
          <w:rFonts w:asciiTheme="minorHAnsi" w:hAnsiTheme="minorHAnsi" w:cstheme="minorHAnsi"/>
          <w:szCs w:val="22"/>
        </w:rPr>
        <w:t xml:space="preserve">, that an </w:t>
      </w:r>
      <w:proofErr w:type="spellStart"/>
      <w:r w:rsidRPr="00EF1384">
        <w:rPr>
          <w:rFonts w:asciiTheme="minorHAnsi" w:hAnsiTheme="minorHAnsi" w:cstheme="minorHAnsi"/>
          <w:szCs w:val="22"/>
        </w:rPr>
        <w:t>NPM</w:t>
      </w:r>
      <w:proofErr w:type="spellEnd"/>
      <w:r w:rsidRPr="00EF1384">
        <w:rPr>
          <w:rFonts w:asciiTheme="minorHAnsi" w:hAnsiTheme="minorHAnsi" w:cstheme="minorHAnsi"/>
          <w:szCs w:val="22"/>
        </w:rPr>
        <w:t xml:space="preserve"> is able to engage in </w:t>
      </w:r>
      <w:r w:rsidRPr="00EF1384">
        <w:rPr>
          <w:rFonts w:asciiTheme="minorHAnsi" w:hAnsiTheme="minorHAnsi" w:cstheme="minorHAnsi"/>
          <w:i/>
          <w:szCs w:val="22"/>
        </w:rPr>
        <w:t xml:space="preserve">preventive </w:t>
      </w:r>
      <w:r w:rsidRPr="00EF1384">
        <w:rPr>
          <w:rFonts w:asciiTheme="minorHAnsi" w:hAnsiTheme="minorHAnsi" w:cstheme="minorHAnsi"/>
          <w:szCs w:val="22"/>
        </w:rPr>
        <w:t>monitoring.  This requires capacity</w:t>
      </w:r>
      <w:r w:rsidR="00D709EB">
        <w:rPr>
          <w:rFonts w:asciiTheme="minorHAnsi" w:hAnsiTheme="minorHAnsi" w:cstheme="minorHAnsi"/>
          <w:szCs w:val="22"/>
        </w:rPr>
        <w:t xml:space="preserve"> to proactively oversee the</w:t>
      </w:r>
      <w:r w:rsidRPr="00EF1384">
        <w:rPr>
          <w:rFonts w:asciiTheme="minorHAnsi" w:hAnsiTheme="minorHAnsi" w:cstheme="minorHAnsi"/>
          <w:szCs w:val="22"/>
        </w:rPr>
        <w:t xml:space="preserve"> operation of places of detention, with regular announced and unannounced visits.  This is important because preventive monitoring has different goals from complaints-based monitoring, but also because many people in places of detention are likely to have difficulty raising a complaint and/or may face recrimination should they complain.</w:t>
      </w:r>
    </w:p>
    <w:p w:rsidR="00B43875" w:rsidRPr="00EF1384" w:rsidRDefault="00B43875" w:rsidP="00EF1384">
      <w:pPr>
        <w:rPr>
          <w:rFonts w:asciiTheme="minorHAnsi" w:hAnsiTheme="minorHAnsi" w:cstheme="minorHAnsi"/>
          <w:szCs w:val="22"/>
        </w:rPr>
      </w:pPr>
    </w:p>
    <w:p w:rsidR="00EF1384" w:rsidRPr="00EF1384" w:rsidRDefault="00EF1384" w:rsidP="00EF1384">
      <w:pPr>
        <w:rPr>
          <w:rFonts w:asciiTheme="minorHAnsi" w:hAnsiTheme="minorHAnsi" w:cstheme="minorHAnsi"/>
          <w:szCs w:val="22"/>
        </w:rPr>
      </w:pPr>
      <w:r w:rsidRPr="00EF1384">
        <w:rPr>
          <w:rFonts w:asciiTheme="minorHAnsi" w:hAnsiTheme="minorHAnsi" w:cstheme="minorHAnsi"/>
          <w:szCs w:val="22"/>
        </w:rPr>
        <w:t>There are significant differences between existing bodies in levels of functional independence</w:t>
      </w:r>
      <w:r w:rsidR="001D2071">
        <w:rPr>
          <w:rFonts w:asciiTheme="minorHAnsi" w:hAnsiTheme="minorHAnsi" w:cstheme="minorHAnsi"/>
          <w:szCs w:val="22"/>
        </w:rPr>
        <w:t>.</w:t>
      </w:r>
      <w:r w:rsidRPr="00EF1384">
        <w:rPr>
          <w:rFonts w:asciiTheme="minorHAnsi" w:hAnsiTheme="minorHAnsi" w:cstheme="minorHAnsi"/>
          <w:szCs w:val="22"/>
        </w:rPr>
        <w:t xml:space="preserve">  Some are clearly established as independent but others operate within relevant government departments.  Funding and resourcing is also a challenge for some existing bodies.  </w:t>
      </w:r>
    </w:p>
    <w:p w:rsidR="00EF1384" w:rsidRPr="00EF1384" w:rsidRDefault="00EF1384" w:rsidP="00EF1384">
      <w:pPr>
        <w:rPr>
          <w:rFonts w:asciiTheme="minorHAnsi" w:hAnsiTheme="minorHAnsi" w:cstheme="minorHAnsi"/>
          <w:szCs w:val="22"/>
        </w:rPr>
      </w:pPr>
    </w:p>
    <w:p w:rsidR="00EF1384" w:rsidRPr="00EF1384" w:rsidRDefault="00EF1384" w:rsidP="00EF1384">
      <w:pPr>
        <w:rPr>
          <w:rFonts w:asciiTheme="minorHAnsi" w:hAnsiTheme="minorHAnsi" w:cstheme="minorHAnsi"/>
          <w:szCs w:val="22"/>
        </w:rPr>
      </w:pPr>
      <w:r w:rsidRPr="00EF1384">
        <w:rPr>
          <w:rFonts w:asciiTheme="minorHAnsi" w:hAnsiTheme="minorHAnsi" w:cstheme="minorHAnsi"/>
          <w:szCs w:val="22"/>
        </w:rPr>
        <w:lastRenderedPageBreak/>
        <w:t>Jurisdictional inconsistencies: Given that most detention occurs under state/territory authority there are inevitably currently jurisdictional differences in monitoring practices across Australia.  Some states have a range of monitoring bodies providing overlapping monitoring activities (</w:t>
      </w:r>
      <w:proofErr w:type="spellStart"/>
      <w:r w:rsidRPr="00EF1384">
        <w:rPr>
          <w:rFonts w:asciiTheme="minorHAnsi" w:hAnsiTheme="minorHAnsi" w:cstheme="minorHAnsi"/>
          <w:szCs w:val="22"/>
        </w:rPr>
        <w:t>eg</w:t>
      </w:r>
      <w:proofErr w:type="spellEnd"/>
      <w:r w:rsidRPr="00EF1384">
        <w:rPr>
          <w:rFonts w:asciiTheme="minorHAnsi" w:hAnsiTheme="minorHAnsi" w:cstheme="minorHAnsi"/>
          <w:szCs w:val="22"/>
        </w:rPr>
        <w:t xml:space="preserve"> several jurisdictions have multiple prison oversight agencies), while others are more limited in the strength and coverage of monitoring agencies.</w:t>
      </w:r>
    </w:p>
    <w:p w:rsidR="00EF1384" w:rsidRPr="00EF1384" w:rsidRDefault="00EF1384" w:rsidP="00EF1384">
      <w:pPr>
        <w:rPr>
          <w:rFonts w:asciiTheme="minorHAnsi" w:hAnsiTheme="minorHAnsi" w:cstheme="minorHAnsi"/>
          <w:szCs w:val="22"/>
        </w:rPr>
      </w:pPr>
    </w:p>
    <w:p w:rsidR="00EF1384" w:rsidRPr="00EF1384" w:rsidRDefault="00EF1384" w:rsidP="00EF1384">
      <w:pPr>
        <w:rPr>
          <w:rFonts w:asciiTheme="minorHAnsi" w:hAnsiTheme="minorHAnsi" w:cstheme="minorHAnsi"/>
          <w:szCs w:val="22"/>
        </w:rPr>
      </w:pPr>
      <w:r w:rsidRPr="00EF1384">
        <w:rPr>
          <w:rFonts w:asciiTheme="minorHAnsi" w:hAnsiTheme="minorHAnsi" w:cstheme="minorHAnsi"/>
          <w:szCs w:val="22"/>
        </w:rPr>
        <w:t xml:space="preserve">At the Commonwealth level, the main detention facilities are immigration detention centres. There are several bodies with </w:t>
      </w:r>
      <w:r w:rsidR="0014045E">
        <w:rPr>
          <w:rFonts w:asciiTheme="minorHAnsi" w:hAnsiTheme="minorHAnsi" w:cstheme="minorHAnsi"/>
          <w:szCs w:val="22"/>
        </w:rPr>
        <w:t xml:space="preserve">relevant </w:t>
      </w:r>
      <w:r w:rsidRPr="00EF1384">
        <w:rPr>
          <w:rFonts w:asciiTheme="minorHAnsi" w:hAnsiTheme="minorHAnsi" w:cstheme="minorHAnsi"/>
          <w:szCs w:val="22"/>
        </w:rPr>
        <w:t>monitoring roles</w:t>
      </w:r>
      <w:r w:rsidR="0014045E">
        <w:rPr>
          <w:rFonts w:asciiTheme="minorHAnsi" w:hAnsiTheme="minorHAnsi" w:cstheme="minorHAnsi"/>
          <w:szCs w:val="22"/>
        </w:rPr>
        <w:t>:</w:t>
      </w:r>
      <w:r w:rsidRPr="00EF1384">
        <w:rPr>
          <w:rFonts w:asciiTheme="minorHAnsi" w:hAnsiTheme="minorHAnsi" w:cstheme="minorHAnsi"/>
          <w:szCs w:val="22"/>
        </w:rPr>
        <w:t xml:space="preserve"> the Commonwealth Ombudsman and the Australian Human Rights Commission have powers to monitor and report on Commonwealth immigration detention, as do NGOs and Parliamentary Committees.  Monitoring has however been limited by resources, by restrictions imposed by government, and by difficulties in accessing and reporting on remote facilities.  Other forms of Commonwealth detention</w:t>
      </w:r>
      <w:r w:rsidR="00201A6C">
        <w:rPr>
          <w:rFonts w:asciiTheme="minorHAnsi" w:hAnsiTheme="minorHAnsi" w:cstheme="minorHAnsi"/>
          <w:szCs w:val="22"/>
        </w:rPr>
        <w:t>, such as in customs and military facilities</w:t>
      </w:r>
      <w:r w:rsidR="008A44EB">
        <w:rPr>
          <w:rFonts w:asciiTheme="minorHAnsi" w:hAnsiTheme="minorHAnsi" w:cstheme="minorHAnsi"/>
          <w:szCs w:val="22"/>
        </w:rPr>
        <w:t>,</w:t>
      </w:r>
      <w:r w:rsidRPr="00EF1384">
        <w:rPr>
          <w:rFonts w:asciiTheme="minorHAnsi" w:hAnsiTheme="minorHAnsi" w:cstheme="minorHAnsi"/>
          <w:szCs w:val="22"/>
        </w:rPr>
        <w:t xml:space="preserve"> seem to be less clearly subject to oversight. </w:t>
      </w:r>
    </w:p>
    <w:p w:rsidR="00EF1384" w:rsidRPr="00EF1384" w:rsidRDefault="00EF1384" w:rsidP="00EF1384">
      <w:pPr>
        <w:rPr>
          <w:rFonts w:asciiTheme="minorHAnsi" w:hAnsiTheme="minorHAnsi" w:cstheme="minorHAnsi"/>
          <w:szCs w:val="22"/>
        </w:rPr>
      </w:pPr>
    </w:p>
    <w:p w:rsidR="00EF1384" w:rsidRPr="00EF1384" w:rsidRDefault="00A63561" w:rsidP="00EF1384">
      <w:pPr>
        <w:rPr>
          <w:rFonts w:asciiTheme="minorHAnsi" w:hAnsiTheme="minorHAnsi" w:cstheme="minorHAnsi"/>
          <w:szCs w:val="22"/>
        </w:rPr>
      </w:pPr>
      <w:r>
        <w:rPr>
          <w:rFonts w:asciiTheme="minorHAnsi" w:hAnsiTheme="minorHAnsi" w:cstheme="minorHAnsi"/>
          <w:szCs w:val="22"/>
        </w:rPr>
        <w:t>Ultimately, w</w:t>
      </w:r>
      <w:r w:rsidR="00EF1384" w:rsidRPr="00EF1384">
        <w:rPr>
          <w:rFonts w:asciiTheme="minorHAnsi" w:hAnsiTheme="minorHAnsi" w:cstheme="minorHAnsi"/>
          <w:szCs w:val="22"/>
        </w:rPr>
        <w:t xml:space="preserve">hether a prison, immigration detention centre or youth facility is effectively monitored should not depend on where it is located or </w:t>
      </w:r>
      <w:r>
        <w:rPr>
          <w:rFonts w:asciiTheme="minorHAnsi" w:hAnsiTheme="minorHAnsi" w:cstheme="minorHAnsi"/>
          <w:szCs w:val="22"/>
        </w:rPr>
        <w:t xml:space="preserve">on the </w:t>
      </w:r>
      <w:r w:rsidR="00EF1384" w:rsidRPr="00EF1384">
        <w:rPr>
          <w:rFonts w:asciiTheme="minorHAnsi" w:hAnsiTheme="minorHAnsi" w:cstheme="minorHAnsi"/>
          <w:szCs w:val="22"/>
        </w:rPr>
        <w:t xml:space="preserve">government currently in power. </w:t>
      </w:r>
    </w:p>
    <w:p w:rsidR="00EF1384" w:rsidRPr="00EF1384" w:rsidRDefault="00EF1384" w:rsidP="00EF1384">
      <w:pPr>
        <w:rPr>
          <w:rFonts w:asciiTheme="minorHAnsi" w:hAnsiTheme="minorHAnsi" w:cstheme="minorHAnsi"/>
          <w:szCs w:val="22"/>
        </w:rPr>
      </w:pPr>
    </w:p>
    <w:p w:rsidR="00EF1384" w:rsidRPr="00EF1384" w:rsidRDefault="00EF1384" w:rsidP="00EF1384">
      <w:pPr>
        <w:rPr>
          <w:rFonts w:asciiTheme="minorHAnsi" w:hAnsiTheme="minorHAnsi" w:cstheme="minorHAnsi"/>
          <w:szCs w:val="22"/>
        </w:rPr>
      </w:pPr>
      <w:r w:rsidRPr="00EF1384">
        <w:rPr>
          <w:rFonts w:asciiTheme="minorHAnsi" w:hAnsiTheme="minorHAnsi" w:cstheme="minorHAnsi"/>
          <w:szCs w:val="22"/>
        </w:rPr>
        <w:t xml:space="preserve">Gaps in </w:t>
      </w:r>
      <w:r w:rsidR="00FB4D29">
        <w:rPr>
          <w:rFonts w:asciiTheme="minorHAnsi" w:hAnsiTheme="minorHAnsi" w:cstheme="minorHAnsi"/>
          <w:szCs w:val="22"/>
        </w:rPr>
        <w:t>c</w:t>
      </w:r>
      <w:r w:rsidRPr="00EF1384">
        <w:rPr>
          <w:rFonts w:asciiTheme="minorHAnsi" w:hAnsiTheme="minorHAnsi" w:cstheme="minorHAnsi"/>
          <w:szCs w:val="22"/>
        </w:rPr>
        <w:t>overage: There are significant gaps in coverage across the range of places in which people may be detained.  Most jurisdictions provide some monitoring of, for example, prisons, youth detention and closed psychiatric and disability facilities, but there is more limited monitoring across Australia of police cells, court custody facilities, and police and other detention-related transport, and the monitoring of aged care also seems to be problematic.</w:t>
      </w:r>
    </w:p>
    <w:p w:rsidR="00EF1384" w:rsidRPr="00EF1384" w:rsidRDefault="00EF1384" w:rsidP="00EF1384">
      <w:pPr>
        <w:rPr>
          <w:rFonts w:asciiTheme="minorHAnsi" w:hAnsiTheme="minorHAnsi" w:cstheme="minorHAnsi"/>
          <w:szCs w:val="22"/>
        </w:rPr>
      </w:pPr>
    </w:p>
    <w:p w:rsidR="00EF1384" w:rsidRPr="00EF1384" w:rsidRDefault="00EF1384" w:rsidP="00EF1384">
      <w:pPr>
        <w:rPr>
          <w:rFonts w:asciiTheme="minorHAnsi" w:hAnsiTheme="minorHAnsi" w:cstheme="minorHAnsi"/>
          <w:szCs w:val="22"/>
        </w:rPr>
      </w:pPr>
      <w:r w:rsidRPr="00EF1384">
        <w:rPr>
          <w:rFonts w:asciiTheme="minorHAnsi" w:hAnsiTheme="minorHAnsi" w:cstheme="minorHAnsi"/>
          <w:szCs w:val="22"/>
        </w:rPr>
        <w:t xml:space="preserve">Rights-based monitoring:  Given Australia’s limited formal recognition of international human rights principles it is not surprising that many existing monitoring bodies do not have an explicit human rights mandate or focus.  Exceptions include the </w:t>
      </w:r>
      <w:proofErr w:type="spellStart"/>
      <w:r w:rsidRPr="00EF1384">
        <w:rPr>
          <w:rFonts w:asciiTheme="minorHAnsi" w:hAnsiTheme="minorHAnsi" w:cstheme="minorHAnsi"/>
          <w:szCs w:val="22"/>
        </w:rPr>
        <w:t>AHRC</w:t>
      </w:r>
      <w:proofErr w:type="spellEnd"/>
      <w:r w:rsidRPr="00EF1384">
        <w:rPr>
          <w:rFonts w:asciiTheme="minorHAnsi" w:hAnsiTheme="minorHAnsi" w:cstheme="minorHAnsi"/>
          <w:szCs w:val="22"/>
        </w:rPr>
        <w:t xml:space="preserve">, the Victorian Ombudsman, and ACT Human Rights Commission.  On the other hand a number of monitoring bodies have </w:t>
      </w:r>
      <w:r w:rsidR="00C60CA5">
        <w:rPr>
          <w:rFonts w:asciiTheme="minorHAnsi" w:hAnsiTheme="minorHAnsi" w:cstheme="minorHAnsi"/>
          <w:szCs w:val="22"/>
        </w:rPr>
        <w:t>i</w:t>
      </w:r>
      <w:r w:rsidR="00160CCE">
        <w:rPr>
          <w:rFonts w:asciiTheme="minorHAnsi" w:hAnsiTheme="minorHAnsi" w:cstheme="minorHAnsi"/>
          <w:szCs w:val="22"/>
        </w:rPr>
        <w:t xml:space="preserve">ndependently </w:t>
      </w:r>
      <w:r w:rsidRPr="00EF1384">
        <w:rPr>
          <w:rFonts w:asciiTheme="minorHAnsi" w:hAnsiTheme="minorHAnsi" w:cstheme="minorHAnsi"/>
          <w:szCs w:val="22"/>
        </w:rPr>
        <w:t>developed monitoring standards which embody international human rights standards.</w:t>
      </w:r>
    </w:p>
    <w:p w:rsidR="00EF1384" w:rsidRPr="00EF1384" w:rsidRDefault="00EF1384" w:rsidP="00EF1384">
      <w:pPr>
        <w:rPr>
          <w:rFonts w:asciiTheme="minorHAnsi" w:hAnsiTheme="minorHAnsi" w:cstheme="minorHAnsi"/>
          <w:szCs w:val="22"/>
        </w:rPr>
      </w:pPr>
    </w:p>
    <w:p w:rsidR="00EF1384" w:rsidRPr="00EF1384" w:rsidRDefault="00EF1384" w:rsidP="00EF1384">
      <w:pPr>
        <w:rPr>
          <w:rFonts w:asciiTheme="minorHAnsi" w:hAnsiTheme="minorHAnsi" w:cstheme="minorHAnsi"/>
          <w:szCs w:val="22"/>
        </w:rPr>
      </w:pPr>
      <w:r w:rsidRPr="00EF1384">
        <w:rPr>
          <w:rFonts w:asciiTheme="minorHAnsi" w:hAnsiTheme="minorHAnsi" w:cstheme="minorHAnsi"/>
          <w:szCs w:val="22"/>
        </w:rPr>
        <w:t>Standards:  It is important, both for accountability and for the dissemination of good practice, that monitoring bodies make their monitoring standards, and their inspection findings, publicly available wherever possible.  For example, the Western Australian Office of the Inspector of Custodial Services and the New South Wales Inspector</w:t>
      </w:r>
      <w:r w:rsidR="002660A4">
        <w:rPr>
          <w:rFonts w:asciiTheme="minorHAnsi" w:hAnsiTheme="minorHAnsi" w:cstheme="minorHAnsi"/>
          <w:szCs w:val="22"/>
        </w:rPr>
        <w:t xml:space="preserve"> of Custodial Services publish</w:t>
      </w:r>
      <w:r w:rsidRPr="00EF1384">
        <w:rPr>
          <w:rFonts w:asciiTheme="minorHAnsi" w:hAnsiTheme="minorHAnsi" w:cstheme="minorHAnsi"/>
          <w:szCs w:val="22"/>
        </w:rPr>
        <w:t xml:space="preserve"> their inspection </w:t>
      </w:r>
      <w:r w:rsidR="009539BA">
        <w:rPr>
          <w:rFonts w:asciiTheme="minorHAnsi" w:hAnsiTheme="minorHAnsi" w:cstheme="minorHAnsi"/>
          <w:szCs w:val="22"/>
        </w:rPr>
        <w:t xml:space="preserve">and thematic </w:t>
      </w:r>
      <w:r w:rsidRPr="00EF1384">
        <w:rPr>
          <w:rFonts w:asciiTheme="minorHAnsi" w:hAnsiTheme="minorHAnsi" w:cstheme="minorHAnsi"/>
          <w:szCs w:val="22"/>
        </w:rPr>
        <w:t xml:space="preserve">reports, and their inspection standards, online.   However other monitoring bodies do not publish either the standards they employ, or reports on the inspections carried out.  </w:t>
      </w:r>
    </w:p>
    <w:p w:rsidR="00EF1384" w:rsidRPr="00EF1384" w:rsidRDefault="00EF1384" w:rsidP="00EF1384">
      <w:pPr>
        <w:rPr>
          <w:rFonts w:asciiTheme="minorHAnsi" w:hAnsiTheme="minorHAnsi" w:cstheme="minorHAnsi"/>
          <w:szCs w:val="22"/>
        </w:rPr>
      </w:pPr>
    </w:p>
    <w:p w:rsidR="00EF1384" w:rsidRPr="00EF1384" w:rsidRDefault="00B51DE7" w:rsidP="00EF1384">
      <w:pPr>
        <w:rPr>
          <w:rFonts w:asciiTheme="minorHAnsi" w:hAnsiTheme="minorHAnsi" w:cstheme="minorHAnsi"/>
          <w:szCs w:val="22"/>
        </w:rPr>
      </w:pPr>
      <w:r>
        <w:rPr>
          <w:rFonts w:asciiTheme="minorHAnsi" w:hAnsiTheme="minorHAnsi" w:cstheme="minorHAnsi"/>
          <w:szCs w:val="22"/>
        </w:rPr>
        <w:t xml:space="preserve">A central </w:t>
      </w:r>
      <w:r w:rsidR="00EF1384" w:rsidRPr="00EF1384">
        <w:rPr>
          <w:rFonts w:asciiTheme="minorHAnsi" w:hAnsiTheme="minorHAnsi" w:cstheme="minorHAnsi"/>
          <w:szCs w:val="22"/>
        </w:rPr>
        <w:t xml:space="preserve">co-ordinating </w:t>
      </w:r>
      <w:proofErr w:type="spellStart"/>
      <w:r w:rsidR="00EF1384" w:rsidRPr="00EF1384">
        <w:rPr>
          <w:rFonts w:asciiTheme="minorHAnsi" w:hAnsiTheme="minorHAnsi" w:cstheme="minorHAnsi"/>
          <w:szCs w:val="22"/>
        </w:rPr>
        <w:t>NPM</w:t>
      </w:r>
      <w:proofErr w:type="spellEnd"/>
      <w:r w:rsidR="00EF1384" w:rsidRPr="00EF1384">
        <w:rPr>
          <w:rFonts w:asciiTheme="minorHAnsi" w:hAnsiTheme="minorHAnsi" w:cstheme="minorHAnsi"/>
          <w:szCs w:val="22"/>
        </w:rPr>
        <w:t xml:space="preserve"> will have a valuable role in supporting the development of standards</w:t>
      </w:r>
      <w:r>
        <w:rPr>
          <w:rFonts w:asciiTheme="minorHAnsi" w:hAnsiTheme="minorHAnsi" w:cstheme="minorHAnsi"/>
          <w:szCs w:val="22"/>
        </w:rPr>
        <w:t>, for example</w:t>
      </w:r>
      <w:r w:rsidR="00EF1384" w:rsidRPr="00EF1384">
        <w:rPr>
          <w:rFonts w:asciiTheme="minorHAnsi" w:hAnsiTheme="minorHAnsi" w:cstheme="minorHAnsi"/>
          <w:szCs w:val="22"/>
        </w:rPr>
        <w:t xml:space="preserve"> drawing on those already develop</w:t>
      </w:r>
      <w:r w:rsidR="00E73A94">
        <w:rPr>
          <w:rFonts w:asciiTheme="minorHAnsi" w:hAnsiTheme="minorHAnsi" w:cstheme="minorHAnsi"/>
          <w:szCs w:val="22"/>
        </w:rPr>
        <w:t>ed in the corrections area in Western Australia</w:t>
      </w:r>
      <w:r w:rsidR="00EF1384" w:rsidRPr="00EF1384">
        <w:rPr>
          <w:rFonts w:asciiTheme="minorHAnsi" w:hAnsiTheme="minorHAnsi" w:cstheme="minorHAnsi"/>
          <w:szCs w:val="22"/>
        </w:rPr>
        <w:t xml:space="preserve"> and </w:t>
      </w:r>
      <w:r w:rsidR="00E73A94">
        <w:rPr>
          <w:rFonts w:asciiTheme="minorHAnsi" w:hAnsiTheme="minorHAnsi" w:cstheme="minorHAnsi"/>
          <w:szCs w:val="22"/>
        </w:rPr>
        <w:t>New South Wales.</w:t>
      </w:r>
      <w:r w:rsidR="00EF1384" w:rsidRPr="00EF1384">
        <w:rPr>
          <w:rFonts w:asciiTheme="minorHAnsi" w:hAnsiTheme="minorHAnsi" w:cstheme="minorHAnsi"/>
          <w:szCs w:val="22"/>
        </w:rPr>
        <w:t xml:space="preserve"> There are also valuable models available from the A</w:t>
      </w:r>
      <w:r w:rsidR="004E4071">
        <w:rPr>
          <w:rFonts w:asciiTheme="minorHAnsi" w:hAnsiTheme="minorHAnsi" w:cstheme="minorHAnsi"/>
          <w:szCs w:val="22"/>
        </w:rPr>
        <w:t>ssociation for the Prevention of Torture</w:t>
      </w:r>
      <w:r w:rsidR="00EF1384" w:rsidRPr="00EF1384">
        <w:rPr>
          <w:rStyle w:val="FootnoteReference"/>
          <w:rFonts w:asciiTheme="minorHAnsi" w:hAnsiTheme="minorHAnsi" w:cstheme="minorHAnsi"/>
          <w:szCs w:val="22"/>
        </w:rPr>
        <w:footnoteReference w:id="11"/>
      </w:r>
      <w:r w:rsidR="00EF1384" w:rsidRPr="00EF1384">
        <w:rPr>
          <w:rFonts w:asciiTheme="minorHAnsi" w:hAnsiTheme="minorHAnsi" w:cstheme="minorHAnsi"/>
          <w:szCs w:val="22"/>
        </w:rPr>
        <w:t xml:space="preserve"> and </w:t>
      </w:r>
      <w:r w:rsidR="004E4071">
        <w:rPr>
          <w:rFonts w:asciiTheme="minorHAnsi" w:hAnsiTheme="minorHAnsi" w:cstheme="minorHAnsi"/>
          <w:szCs w:val="22"/>
        </w:rPr>
        <w:t xml:space="preserve">the </w:t>
      </w:r>
      <w:r w:rsidR="004E4071" w:rsidRPr="00EF1384">
        <w:rPr>
          <w:rFonts w:asciiTheme="minorHAnsi" w:hAnsiTheme="minorHAnsi" w:cstheme="minorHAnsi"/>
          <w:szCs w:val="22"/>
        </w:rPr>
        <w:t>Subcommitte</w:t>
      </w:r>
      <w:r w:rsidR="004E4071">
        <w:rPr>
          <w:rFonts w:asciiTheme="minorHAnsi" w:hAnsiTheme="minorHAnsi" w:cstheme="minorHAnsi"/>
          <w:szCs w:val="22"/>
        </w:rPr>
        <w:t>e on the Prevention of Torture</w:t>
      </w:r>
      <w:r w:rsidR="00EF1384" w:rsidRPr="00EF1384">
        <w:rPr>
          <w:rFonts w:asciiTheme="minorHAnsi" w:hAnsiTheme="minorHAnsi" w:cstheme="minorHAnsi"/>
          <w:szCs w:val="22"/>
        </w:rPr>
        <w:t>.</w:t>
      </w:r>
      <w:r w:rsidR="00EF1384" w:rsidRPr="00EF1384">
        <w:rPr>
          <w:rStyle w:val="FootnoteReference"/>
          <w:rFonts w:asciiTheme="minorHAnsi" w:hAnsiTheme="minorHAnsi" w:cstheme="minorHAnsi"/>
          <w:szCs w:val="22"/>
        </w:rPr>
        <w:footnoteReference w:id="12"/>
      </w:r>
      <w:r w:rsidR="00EF1384" w:rsidRPr="00EF1384">
        <w:rPr>
          <w:rFonts w:asciiTheme="minorHAnsi" w:hAnsiTheme="minorHAnsi" w:cstheme="minorHAnsi"/>
          <w:szCs w:val="22"/>
        </w:rPr>
        <w:t xml:space="preserve">  The </w:t>
      </w:r>
      <w:r w:rsidR="00662564">
        <w:rPr>
          <w:rFonts w:asciiTheme="minorHAnsi" w:hAnsiTheme="minorHAnsi" w:cstheme="minorHAnsi"/>
          <w:szCs w:val="22"/>
        </w:rPr>
        <w:t xml:space="preserve">continued importance of the </w:t>
      </w:r>
      <w:r w:rsidR="00EF1384" w:rsidRPr="00EF1384">
        <w:rPr>
          <w:rFonts w:asciiTheme="minorHAnsi" w:hAnsiTheme="minorHAnsi" w:cstheme="minorHAnsi"/>
          <w:szCs w:val="22"/>
        </w:rPr>
        <w:t>UN Standard Minimum Rules for the Treatment of Prisoners, revised in 2015 and known as the Mandela Rules, ha</w:t>
      </w:r>
      <w:r w:rsidR="00662564">
        <w:rPr>
          <w:rFonts w:asciiTheme="minorHAnsi" w:hAnsiTheme="minorHAnsi" w:cstheme="minorHAnsi"/>
          <w:szCs w:val="22"/>
        </w:rPr>
        <w:t>s</w:t>
      </w:r>
      <w:r w:rsidR="00EF1384" w:rsidRPr="00EF1384">
        <w:rPr>
          <w:rFonts w:asciiTheme="minorHAnsi" w:hAnsiTheme="minorHAnsi" w:cstheme="minorHAnsi"/>
          <w:szCs w:val="22"/>
        </w:rPr>
        <w:t xml:space="preserve"> been </w:t>
      </w:r>
      <w:r w:rsidR="00D22002">
        <w:rPr>
          <w:rFonts w:asciiTheme="minorHAnsi" w:hAnsiTheme="minorHAnsi" w:cstheme="minorHAnsi"/>
          <w:szCs w:val="22"/>
        </w:rPr>
        <w:t xml:space="preserve">recently </w:t>
      </w:r>
      <w:r w:rsidR="00662564">
        <w:rPr>
          <w:rFonts w:asciiTheme="minorHAnsi" w:hAnsiTheme="minorHAnsi" w:cstheme="minorHAnsi"/>
          <w:szCs w:val="22"/>
        </w:rPr>
        <w:t xml:space="preserve">highlighted by </w:t>
      </w:r>
      <w:r w:rsidR="00EF1384" w:rsidRPr="00EF1384">
        <w:rPr>
          <w:rFonts w:asciiTheme="minorHAnsi" w:hAnsiTheme="minorHAnsi" w:cstheme="minorHAnsi"/>
          <w:szCs w:val="22"/>
        </w:rPr>
        <w:t xml:space="preserve">the UK </w:t>
      </w:r>
      <w:proofErr w:type="spellStart"/>
      <w:r w:rsidR="00EF1384" w:rsidRPr="00EF1384">
        <w:rPr>
          <w:rFonts w:asciiTheme="minorHAnsi" w:hAnsiTheme="minorHAnsi" w:cstheme="minorHAnsi"/>
          <w:szCs w:val="22"/>
        </w:rPr>
        <w:t>NPM</w:t>
      </w:r>
      <w:proofErr w:type="spellEnd"/>
      <w:r w:rsidR="00EF1384" w:rsidRPr="00EF1384">
        <w:rPr>
          <w:rFonts w:asciiTheme="minorHAnsi" w:hAnsiTheme="minorHAnsi" w:cstheme="minorHAnsi"/>
          <w:szCs w:val="22"/>
        </w:rPr>
        <w:t xml:space="preserve">. </w:t>
      </w:r>
      <w:r w:rsidR="00EF1384" w:rsidRPr="00EF1384">
        <w:rPr>
          <w:rStyle w:val="FootnoteReference"/>
          <w:rFonts w:asciiTheme="minorHAnsi" w:hAnsiTheme="minorHAnsi" w:cstheme="minorHAnsi"/>
          <w:szCs w:val="22"/>
        </w:rPr>
        <w:footnoteReference w:id="13"/>
      </w:r>
    </w:p>
    <w:p w:rsidR="00EF1384" w:rsidRPr="00EF1384" w:rsidRDefault="00EF1384" w:rsidP="00EF1384">
      <w:pPr>
        <w:rPr>
          <w:rFonts w:asciiTheme="minorHAnsi" w:hAnsiTheme="minorHAnsi" w:cstheme="minorHAnsi"/>
          <w:szCs w:val="22"/>
        </w:rPr>
      </w:pPr>
    </w:p>
    <w:p w:rsidR="00EF1384" w:rsidRPr="00EF1384" w:rsidRDefault="00EF1384" w:rsidP="00EF1384">
      <w:pPr>
        <w:rPr>
          <w:rFonts w:asciiTheme="minorHAnsi" w:hAnsiTheme="minorHAnsi" w:cstheme="minorHAnsi"/>
          <w:szCs w:val="22"/>
        </w:rPr>
      </w:pPr>
      <w:r w:rsidRPr="00EF1384">
        <w:rPr>
          <w:rFonts w:asciiTheme="minorHAnsi" w:hAnsiTheme="minorHAnsi" w:cstheme="minorHAnsi"/>
          <w:szCs w:val="22"/>
        </w:rPr>
        <w:t xml:space="preserve">Reporting: public reporting is a vital part of maintaining accountability of places of detention.  Many monitoring bodies in Australia – but not all - already present public reports, either general overviews or reports of inquiries. The </w:t>
      </w:r>
      <w:proofErr w:type="spellStart"/>
      <w:r w:rsidRPr="00EF1384">
        <w:rPr>
          <w:rFonts w:asciiTheme="minorHAnsi" w:hAnsiTheme="minorHAnsi" w:cstheme="minorHAnsi"/>
          <w:szCs w:val="22"/>
        </w:rPr>
        <w:t>OPCAT</w:t>
      </w:r>
      <w:proofErr w:type="spellEnd"/>
      <w:r w:rsidRPr="00EF1384">
        <w:rPr>
          <w:rFonts w:asciiTheme="minorHAnsi" w:hAnsiTheme="minorHAnsi" w:cstheme="minorHAnsi"/>
          <w:szCs w:val="22"/>
        </w:rPr>
        <w:t xml:space="preserve"> requires only annual reporting from </w:t>
      </w:r>
      <w:proofErr w:type="spellStart"/>
      <w:r w:rsidRPr="00EF1384">
        <w:rPr>
          <w:rFonts w:asciiTheme="minorHAnsi" w:hAnsiTheme="minorHAnsi" w:cstheme="minorHAnsi"/>
          <w:szCs w:val="22"/>
        </w:rPr>
        <w:t>NPMs</w:t>
      </w:r>
      <w:proofErr w:type="spellEnd"/>
      <w:r w:rsidRPr="00EF1384">
        <w:rPr>
          <w:rFonts w:asciiTheme="minorHAnsi" w:hAnsiTheme="minorHAnsi" w:cstheme="minorHAnsi"/>
          <w:szCs w:val="22"/>
        </w:rPr>
        <w:t xml:space="preserve"> but this is an area where it would be highly desirable for Australian </w:t>
      </w:r>
      <w:proofErr w:type="spellStart"/>
      <w:r w:rsidRPr="00EF1384">
        <w:rPr>
          <w:rFonts w:asciiTheme="minorHAnsi" w:hAnsiTheme="minorHAnsi" w:cstheme="minorHAnsi"/>
          <w:szCs w:val="22"/>
        </w:rPr>
        <w:t>NPMs</w:t>
      </w:r>
      <w:proofErr w:type="spellEnd"/>
      <w:r w:rsidRPr="00EF1384">
        <w:rPr>
          <w:rFonts w:asciiTheme="minorHAnsi" w:hAnsiTheme="minorHAnsi" w:cstheme="minorHAnsi"/>
          <w:szCs w:val="22"/>
        </w:rPr>
        <w:t xml:space="preserve"> to go beyond </w:t>
      </w:r>
      <w:proofErr w:type="spellStart"/>
      <w:r w:rsidRPr="00EF1384">
        <w:rPr>
          <w:rFonts w:asciiTheme="minorHAnsi" w:hAnsiTheme="minorHAnsi" w:cstheme="minorHAnsi"/>
          <w:szCs w:val="22"/>
        </w:rPr>
        <w:t>OPCAT</w:t>
      </w:r>
      <w:proofErr w:type="spellEnd"/>
      <w:r w:rsidRPr="00EF1384">
        <w:rPr>
          <w:rFonts w:asciiTheme="minorHAnsi" w:hAnsiTheme="minorHAnsi" w:cstheme="minorHAnsi"/>
          <w:szCs w:val="22"/>
        </w:rPr>
        <w:t xml:space="preserve"> minimum requirements and continue </w:t>
      </w:r>
      <w:r w:rsidRPr="00EF1384">
        <w:rPr>
          <w:rFonts w:asciiTheme="minorHAnsi" w:hAnsiTheme="minorHAnsi" w:cstheme="minorHAnsi"/>
          <w:szCs w:val="22"/>
        </w:rPr>
        <w:lastRenderedPageBreak/>
        <w:t>the practice of providing public reports on all inquiries, and on government responses to recommendations, wherever possible.</w:t>
      </w:r>
    </w:p>
    <w:p w:rsidR="00EF1384" w:rsidRPr="00EF1384" w:rsidRDefault="00EF1384" w:rsidP="00EF1384">
      <w:pPr>
        <w:rPr>
          <w:rFonts w:asciiTheme="minorHAnsi" w:hAnsiTheme="minorHAnsi" w:cstheme="minorHAnsi"/>
          <w:szCs w:val="22"/>
        </w:rPr>
      </w:pPr>
    </w:p>
    <w:p w:rsidR="00EF1384" w:rsidRPr="00EF1384" w:rsidRDefault="00E55763" w:rsidP="00EF1384">
      <w:pPr>
        <w:rPr>
          <w:rFonts w:asciiTheme="minorHAnsi" w:hAnsiTheme="minorHAnsi" w:cstheme="minorHAnsi"/>
          <w:szCs w:val="22"/>
        </w:rPr>
      </w:pPr>
      <w:r>
        <w:rPr>
          <w:rFonts w:asciiTheme="minorHAnsi" w:hAnsiTheme="minorHAnsi" w:cstheme="minorHAnsi"/>
          <w:szCs w:val="22"/>
        </w:rPr>
        <w:t>Legislative</w:t>
      </w:r>
      <w:r w:rsidR="00437B0C">
        <w:rPr>
          <w:rFonts w:asciiTheme="minorHAnsi" w:hAnsiTheme="minorHAnsi" w:cstheme="minorHAnsi"/>
          <w:szCs w:val="22"/>
        </w:rPr>
        <w:t xml:space="preserve"> basis: Many</w:t>
      </w:r>
      <w:r w:rsidR="00EF1384" w:rsidRPr="00EF1384">
        <w:rPr>
          <w:rFonts w:asciiTheme="minorHAnsi" w:hAnsiTheme="minorHAnsi" w:cstheme="minorHAnsi"/>
          <w:szCs w:val="22"/>
        </w:rPr>
        <w:t xml:space="preserve"> Australian monitoring bodies have a statutory basis but at this stage this will be limited by the currently agreed mandate of the agency.  The Subcommittee on the Prevention of </w:t>
      </w:r>
      <w:proofErr w:type="gramStart"/>
      <w:r w:rsidR="00EF1384" w:rsidRPr="00EF1384">
        <w:rPr>
          <w:rFonts w:asciiTheme="minorHAnsi" w:hAnsiTheme="minorHAnsi" w:cstheme="minorHAnsi"/>
          <w:szCs w:val="22"/>
        </w:rPr>
        <w:t>Torture  emphasises</w:t>
      </w:r>
      <w:proofErr w:type="gramEnd"/>
      <w:r w:rsidR="00EF1384" w:rsidRPr="00EF1384">
        <w:rPr>
          <w:rFonts w:asciiTheme="minorHAnsi" w:hAnsiTheme="minorHAnsi" w:cstheme="minorHAnsi"/>
          <w:szCs w:val="22"/>
        </w:rPr>
        <w:t xml:space="preserve"> the importance of spelling out the new obligations and powers of an </w:t>
      </w:r>
      <w:proofErr w:type="spellStart"/>
      <w:r w:rsidR="00EF1384" w:rsidRPr="00EF1384">
        <w:rPr>
          <w:rFonts w:asciiTheme="minorHAnsi" w:hAnsiTheme="minorHAnsi" w:cstheme="minorHAnsi"/>
          <w:szCs w:val="22"/>
        </w:rPr>
        <w:t>NPM</w:t>
      </w:r>
      <w:proofErr w:type="spellEnd"/>
      <w:r w:rsidR="00EF1384" w:rsidRPr="00EF1384">
        <w:rPr>
          <w:rFonts w:asciiTheme="minorHAnsi" w:hAnsiTheme="minorHAnsi" w:cstheme="minorHAnsi"/>
          <w:szCs w:val="22"/>
        </w:rPr>
        <w:t xml:space="preserve"> in legislation, to ensure the bodies carrying out </w:t>
      </w:r>
      <w:proofErr w:type="spellStart"/>
      <w:r w:rsidR="00EF1384" w:rsidRPr="00EF1384">
        <w:rPr>
          <w:rFonts w:asciiTheme="minorHAnsi" w:hAnsiTheme="minorHAnsi" w:cstheme="minorHAnsi"/>
          <w:szCs w:val="22"/>
        </w:rPr>
        <w:t>NPM</w:t>
      </w:r>
      <w:proofErr w:type="spellEnd"/>
      <w:r w:rsidR="00EF1384" w:rsidRPr="00EF1384">
        <w:rPr>
          <w:rFonts w:asciiTheme="minorHAnsi" w:hAnsiTheme="minorHAnsi" w:cstheme="minorHAnsi"/>
          <w:szCs w:val="22"/>
        </w:rPr>
        <w:t xml:space="preserve"> functions have the powers and protections required.</w:t>
      </w:r>
      <w:r w:rsidR="00EF1384" w:rsidRPr="00EF1384">
        <w:rPr>
          <w:rStyle w:val="FootnoteReference"/>
          <w:rFonts w:asciiTheme="minorHAnsi" w:hAnsiTheme="minorHAnsi" w:cstheme="minorHAnsi"/>
          <w:szCs w:val="22"/>
        </w:rPr>
        <w:footnoteReference w:id="14"/>
      </w:r>
      <w:r w:rsidR="00EF1384" w:rsidRPr="00EF1384">
        <w:rPr>
          <w:rFonts w:asciiTheme="minorHAnsi" w:hAnsiTheme="minorHAnsi" w:cstheme="minorHAnsi"/>
          <w:szCs w:val="22"/>
        </w:rPr>
        <w:t xml:space="preserve">  More broadly, implementation of the </w:t>
      </w:r>
      <w:proofErr w:type="spellStart"/>
      <w:r w:rsidR="00EF1384" w:rsidRPr="00EF1384">
        <w:rPr>
          <w:rFonts w:asciiTheme="minorHAnsi" w:hAnsiTheme="minorHAnsi" w:cstheme="minorHAnsi"/>
          <w:szCs w:val="22"/>
        </w:rPr>
        <w:t>NPM</w:t>
      </w:r>
      <w:proofErr w:type="spellEnd"/>
      <w:r w:rsidR="00EF1384" w:rsidRPr="00EF1384">
        <w:rPr>
          <w:rFonts w:asciiTheme="minorHAnsi" w:hAnsiTheme="minorHAnsi" w:cstheme="minorHAnsi"/>
          <w:szCs w:val="22"/>
        </w:rPr>
        <w:t xml:space="preserve"> regime requires comprehensive Commonwealth, state and territory legislation to articulate and coordinate the powers and obligations of the various bodies, and their authority in relation to places of detention.</w:t>
      </w:r>
      <w:r w:rsidR="00EF1384" w:rsidRPr="00EF1384">
        <w:rPr>
          <w:rStyle w:val="FootnoteReference"/>
          <w:rFonts w:asciiTheme="minorHAnsi" w:hAnsiTheme="minorHAnsi" w:cstheme="minorHAnsi"/>
          <w:szCs w:val="22"/>
        </w:rPr>
        <w:footnoteReference w:id="15"/>
      </w:r>
      <w:r w:rsidR="00EF1384" w:rsidRPr="00EF1384">
        <w:rPr>
          <w:rFonts w:asciiTheme="minorHAnsi" w:hAnsiTheme="minorHAnsi" w:cstheme="minorHAnsi"/>
          <w:szCs w:val="22"/>
        </w:rPr>
        <w:t xml:space="preserve"> </w:t>
      </w:r>
    </w:p>
    <w:p w:rsidR="00EF1384" w:rsidRPr="00EF1384" w:rsidRDefault="00EF1384" w:rsidP="00EF1384">
      <w:pPr>
        <w:rPr>
          <w:rFonts w:asciiTheme="minorHAnsi" w:hAnsiTheme="minorHAnsi" w:cstheme="minorHAnsi"/>
          <w:szCs w:val="22"/>
        </w:rPr>
      </w:pPr>
    </w:p>
    <w:p w:rsidR="00EF1384" w:rsidRPr="00EF1384" w:rsidRDefault="00EF1384" w:rsidP="00EF1384">
      <w:pPr>
        <w:rPr>
          <w:rFonts w:asciiTheme="minorHAnsi" w:hAnsiTheme="minorHAnsi" w:cstheme="minorHAnsi"/>
          <w:szCs w:val="22"/>
        </w:rPr>
      </w:pPr>
      <w:r w:rsidRPr="00EF1384">
        <w:rPr>
          <w:rFonts w:asciiTheme="minorHAnsi" w:hAnsiTheme="minorHAnsi" w:cstheme="minorHAnsi"/>
          <w:szCs w:val="22"/>
        </w:rPr>
        <w:t>Finally, it is often observed that a limitation of monitoring as a means of protecting rights is the unenforceabilit</w:t>
      </w:r>
      <w:r w:rsidR="00EA3423">
        <w:rPr>
          <w:rFonts w:asciiTheme="minorHAnsi" w:hAnsiTheme="minorHAnsi" w:cstheme="minorHAnsi"/>
          <w:szCs w:val="22"/>
        </w:rPr>
        <w:t>y of recommendations, compared for example</w:t>
      </w:r>
      <w:r w:rsidRPr="00EF1384">
        <w:rPr>
          <w:rFonts w:asciiTheme="minorHAnsi" w:hAnsiTheme="minorHAnsi" w:cstheme="minorHAnsi"/>
          <w:szCs w:val="22"/>
        </w:rPr>
        <w:t xml:space="preserve"> with the findings of courts in litigation.  It is </w:t>
      </w:r>
      <w:r w:rsidR="00242A70">
        <w:rPr>
          <w:rFonts w:asciiTheme="minorHAnsi" w:hAnsiTheme="minorHAnsi" w:cstheme="minorHAnsi"/>
          <w:szCs w:val="22"/>
        </w:rPr>
        <w:t>vital</w:t>
      </w:r>
      <w:r w:rsidRPr="00EF1384">
        <w:rPr>
          <w:rFonts w:asciiTheme="minorHAnsi" w:hAnsiTheme="minorHAnsi" w:cstheme="minorHAnsi"/>
          <w:szCs w:val="22"/>
        </w:rPr>
        <w:t xml:space="preserve"> that monitoring bodies </w:t>
      </w:r>
      <w:r w:rsidR="003603B3">
        <w:rPr>
          <w:rFonts w:asciiTheme="minorHAnsi" w:hAnsiTheme="minorHAnsi" w:cstheme="minorHAnsi"/>
          <w:szCs w:val="22"/>
        </w:rPr>
        <w:t>are</w:t>
      </w:r>
      <w:r w:rsidRPr="00EF1384">
        <w:rPr>
          <w:rFonts w:asciiTheme="minorHAnsi" w:hAnsiTheme="minorHAnsi" w:cstheme="minorHAnsi"/>
          <w:szCs w:val="22"/>
        </w:rPr>
        <w:t xml:space="preserve"> independent of government and of the</w:t>
      </w:r>
      <w:r w:rsidR="002525B9">
        <w:rPr>
          <w:rFonts w:asciiTheme="minorHAnsi" w:hAnsiTheme="minorHAnsi" w:cstheme="minorHAnsi"/>
          <w:szCs w:val="22"/>
        </w:rPr>
        <w:t xml:space="preserve"> agencies – public and private -</w:t>
      </w:r>
      <w:r w:rsidRPr="00EF1384">
        <w:rPr>
          <w:rFonts w:asciiTheme="minorHAnsi" w:hAnsiTheme="minorHAnsi" w:cstheme="minorHAnsi"/>
          <w:szCs w:val="22"/>
        </w:rPr>
        <w:t xml:space="preserve"> being monitored; it is </w:t>
      </w:r>
      <w:r w:rsidR="0000191A">
        <w:rPr>
          <w:rFonts w:asciiTheme="minorHAnsi" w:hAnsiTheme="minorHAnsi" w:cstheme="minorHAnsi"/>
          <w:szCs w:val="22"/>
        </w:rPr>
        <w:t xml:space="preserve">also </w:t>
      </w:r>
      <w:r w:rsidRPr="00EF1384">
        <w:rPr>
          <w:rFonts w:asciiTheme="minorHAnsi" w:hAnsiTheme="minorHAnsi" w:cstheme="minorHAnsi"/>
          <w:szCs w:val="22"/>
        </w:rPr>
        <w:t>vital to their credibility and effectiveness that their reports and recommendations are considered by the monitor</w:t>
      </w:r>
      <w:r w:rsidR="00110213">
        <w:rPr>
          <w:rFonts w:asciiTheme="minorHAnsi" w:hAnsiTheme="minorHAnsi" w:cstheme="minorHAnsi"/>
          <w:szCs w:val="22"/>
        </w:rPr>
        <w:t>ed</w:t>
      </w:r>
      <w:r w:rsidRPr="00EF1384">
        <w:rPr>
          <w:rFonts w:asciiTheme="minorHAnsi" w:hAnsiTheme="minorHAnsi" w:cstheme="minorHAnsi"/>
          <w:szCs w:val="22"/>
        </w:rPr>
        <w:t xml:space="preserve"> agency and by government.  It is therefore argued here that the legislation setting up the Australian </w:t>
      </w:r>
      <w:proofErr w:type="spellStart"/>
      <w:r w:rsidRPr="00EF1384">
        <w:rPr>
          <w:rFonts w:asciiTheme="minorHAnsi" w:hAnsiTheme="minorHAnsi" w:cstheme="minorHAnsi"/>
          <w:szCs w:val="22"/>
        </w:rPr>
        <w:t>NPM</w:t>
      </w:r>
      <w:proofErr w:type="spellEnd"/>
      <w:r w:rsidRPr="00EF1384">
        <w:rPr>
          <w:rFonts w:asciiTheme="minorHAnsi" w:hAnsiTheme="minorHAnsi" w:cstheme="minorHAnsi"/>
          <w:szCs w:val="22"/>
        </w:rPr>
        <w:t xml:space="preserve"> bodies, at federal, state and territory levels, should include a requirement for the </w:t>
      </w:r>
      <w:proofErr w:type="spellStart"/>
      <w:r w:rsidRPr="00EF1384">
        <w:rPr>
          <w:rFonts w:asciiTheme="minorHAnsi" w:hAnsiTheme="minorHAnsi" w:cstheme="minorHAnsi"/>
          <w:szCs w:val="22"/>
        </w:rPr>
        <w:t>NPM</w:t>
      </w:r>
      <w:proofErr w:type="spellEnd"/>
      <w:r w:rsidRPr="00EF1384">
        <w:rPr>
          <w:rFonts w:asciiTheme="minorHAnsi" w:hAnsiTheme="minorHAnsi" w:cstheme="minorHAnsi"/>
          <w:szCs w:val="22"/>
        </w:rPr>
        <w:t xml:space="preserve"> to table reports, and for </w:t>
      </w:r>
      <w:r w:rsidR="00FB6B5B">
        <w:rPr>
          <w:rFonts w:asciiTheme="minorHAnsi" w:hAnsiTheme="minorHAnsi" w:cstheme="minorHAnsi"/>
          <w:szCs w:val="22"/>
        </w:rPr>
        <w:t>the government</w:t>
      </w:r>
      <w:r w:rsidRPr="00EF1384">
        <w:rPr>
          <w:rFonts w:asciiTheme="minorHAnsi" w:hAnsiTheme="minorHAnsi" w:cstheme="minorHAnsi"/>
          <w:szCs w:val="22"/>
        </w:rPr>
        <w:t xml:space="preserve"> to respond to recommendations in these reports within a specified time frame, and </w:t>
      </w:r>
      <w:r w:rsidR="00974C3E">
        <w:rPr>
          <w:rFonts w:asciiTheme="minorHAnsi" w:hAnsiTheme="minorHAnsi" w:cstheme="minorHAnsi"/>
          <w:szCs w:val="22"/>
        </w:rPr>
        <w:t xml:space="preserve">to </w:t>
      </w:r>
      <w:r w:rsidRPr="00EF1384">
        <w:rPr>
          <w:rFonts w:asciiTheme="minorHAnsi" w:hAnsiTheme="minorHAnsi" w:cstheme="minorHAnsi"/>
          <w:szCs w:val="22"/>
        </w:rPr>
        <w:t>report on those responses.</w:t>
      </w:r>
    </w:p>
    <w:p w:rsidR="00EF1384" w:rsidRPr="00EF1384" w:rsidRDefault="00EF1384" w:rsidP="00EF1384">
      <w:pPr>
        <w:rPr>
          <w:rFonts w:asciiTheme="minorHAnsi" w:hAnsiTheme="minorHAnsi" w:cstheme="minorHAnsi"/>
          <w:b/>
          <w:szCs w:val="22"/>
        </w:rPr>
      </w:pPr>
    </w:p>
    <w:p w:rsidR="00EF1384" w:rsidRPr="00EF1384" w:rsidRDefault="00EF1384" w:rsidP="00EF1384">
      <w:pPr>
        <w:rPr>
          <w:rFonts w:asciiTheme="minorHAnsi" w:hAnsiTheme="minorHAnsi" w:cstheme="minorHAnsi"/>
          <w:b/>
          <w:szCs w:val="22"/>
        </w:rPr>
      </w:pPr>
      <w:r w:rsidRPr="00EF1384">
        <w:rPr>
          <w:rFonts w:asciiTheme="minorHAnsi" w:hAnsiTheme="minorHAnsi" w:cstheme="minorHAnsi"/>
          <w:b/>
          <w:szCs w:val="22"/>
        </w:rPr>
        <w:t xml:space="preserve">Question 3: what are the most important or urgent issues for the </w:t>
      </w:r>
      <w:proofErr w:type="spellStart"/>
      <w:r w:rsidRPr="00EF1384">
        <w:rPr>
          <w:rFonts w:asciiTheme="minorHAnsi" w:hAnsiTheme="minorHAnsi" w:cstheme="minorHAnsi"/>
          <w:b/>
          <w:szCs w:val="22"/>
        </w:rPr>
        <w:t>NPM</w:t>
      </w:r>
      <w:proofErr w:type="spellEnd"/>
      <w:r w:rsidRPr="00EF1384">
        <w:rPr>
          <w:rFonts w:asciiTheme="minorHAnsi" w:hAnsiTheme="minorHAnsi" w:cstheme="minorHAnsi"/>
          <w:b/>
          <w:szCs w:val="22"/>
        </w:rPr>
        <w:t>?</w:t>
      </w:r>
    </w:p>
    <w:p w:rsidR="00EF1384" w:rsidRPr="00EF1384" w:rsidRDefault="00EF1384" w:rsidP="00EF1384">
      <w:pPr>
        <w:rPr>
          <w:rFonts w:asciiTheme="minorHAnsi" w:hAnsiTheme="minorHAnsi" w:cstheme="minorHAnsi"/>
          <w:szCs w:val="22"/>
        </w:rPr>
      </w:pPr>
    </w:p>
    <w:p w:rsidR="00EF1384" w:rsidRPr="00EF1384" w:rsidRDefault="00EF1384" w:rsidP="00EF1384">
      <w:pPr>
        <w:rPr>
          <w:rFonts w:asciiTheme="minorHAnsi" w:hAnsiTheme="minorHAnsi" w:cstheme="minorHAnsi"/>
          <w:szCs w:val="22"/>
        </w:rPr>
      </w:pPr>
      <w:r w:rsidRPr="00EF1384">
        <w:rPr>
          <w:rFonts w:asciiTheme="minorHAnsi" w:hAnsiTheme="minorHAnsi" w:cstheme="minorHAnsi"/>
          <w:szCs w:val="22"/>
        </w:rPr>
        <w:t xml:space="preserve">There are a number of issues which are of potential concern across all places of detention, both nationally and at state/territory level.  The co-ordinating </w:t>
      </w:r>
      <w:proofErr w:type="spellStart"/>
      <w:r w:rsidRPr="00EF1384">
        <w:rPr>
          <w:rFonts w:asciiTheme="minorHAnsi" w:hAnsiTheme="minorHAnsi" w:cstheme="minorHAnsi"/>
          <w:szCs w:val="22"/>
        </w:rPr>
        <w:t>NPM</w:t>
      </w:r>
      <w:proofErr w:type="spellEnd"/>
      <w:r w:rsidRPr="00EF1384">
        <w:rPr>
          <w:rFonts w:asciiTheme="minorHAnsi" w:hAnsiTheme="minorHAnsi" w:cstheme="minorHAnsi"/>
          <w:szCs w:val="22"/>
        </w:rPr>
        <w:t xml:space="preserve"> will have an important role in identifying and supporting systemic reviews of such issues.  </w:t>
      </w:r>
      <w:r w:rsidR="005059AF">
        <w:rPr>
          <w:rFonts w:asciiTheme="minorHAnsi" w:hAnsiTheme="minorHAnsi" w:cstheme="minorHAnsi"/>
          <w:szCs w:val="22"/>
        </w:rPr>
        <w:t xml:space="preserve">The capacity to do so </w:t>
      </w:r>
      <w:r w:rsidR="004A4E11">
        <w:rPr>
          <w:rFonts w:asciiTheme="minorHAnsi" w:hAnsiTheme="minorHAnsi" w:cstheme="minorHAnsi"/>
          <w:szCs w:val="22"/>
        </w:rPr>
        <w:t xml:space="preserve">is one of the strengths of the </w:t>
      </w:r>
      <w:proofErr w:type="spellStart"/>
      <w:proofErr w:type="gramStart"/>
      <w:r w:rsidR="004A4E11">
        <w:rPr>
          <w:rFonts w:asciiTheme="minorHAnsi" w:hAnsiTheme="minorHAnsi" w:cstheme="minorHAnsi"/>
          <w:szCs w:val="22"/>
        </w:rPr>
        <w:t>O</w:t>
      </w:r>
      <w:r w:rsidR="005059AF">
        <w:rPr>
          <w:rFonts w:asciiTheme="minorHAnsi" w:hAnsiTheme="minorHAnsi" w:cstheme="minorHAnsi"/>
          <w:szCs w:val="22"/>
        </w:rPr>
        <w:t>PCAT</w:t>
      </w:r>
      <w:proofErr w:type="spellEnd"/>
      <w:r w:rsidR="005059AF">
        <w:rPr>
          <w:rFonts w:asciiTheme="minorHAnsi" w:hAnsiTheme="minorHAnsi" w:cstheme="minorHAnsi"/>
          <w:szCs w:val="22"/>
        </w:rPr>
        <w:t xml:space="preserve">  monitoring</w:t>
      </w:r>
      <w:proofErr w:type="gramEnd"/>
      <w:r w:rsidR="005059AF">
        <w:rPr>
          <w:rFonts w:asciiTheme="minorHAnsi" w:hAnsiTheme="minorHAnsi" w:cstheme="minorHAnsi"/>
          <w:szCs w:val="22"/>
        </w:rPr>
        <w:t xml:space="preserve"> model.  </w:t>
      </w:r>
      <w:r w:rsidRPr="00EF1384">
        <w:rPr>
          <w:rFonts w:asciiTheme="minorHAnsi" w:hAnsiTheme="minorHAnsi" w:cstheme="minorHAnsi"/>
          <w:szCs w:val="22"/>
        </w:rPr>
        <w:t>The issues should also be on the agenda of all monitoring bodies across different jurisdictions and across different sectors.  These include:</w:t>
      </w:r>
    </w:p>
    <w:p w:rsidR="00EF1384" w:rsidRPr="00EF1384" w:rsidRDefault="00EF1384" w:rsidP="00A75802">
      <w:pPr>
        <w:pStyle w:val="ListParagraph"/>
        <w:numPr>
          <w:ilvl w:val="0"/>
          <w:numId w:val="3"/>
        </w:numPr>
        <w:spacing w:line="240" w:lineRule="auto"/>
        <w:rPr>
          <w:rFonts w:cstheme="minorHAnsi"/>
        </w:rPr>
      </w:pPr>
      <w:r w:rsidRPr="00EF1384">
        <w:rPr>
          <w:rFonts w:cstheme="minorHAnsi"/>
        </w:rPr>
        <w:t>Uses of seclusion and restrictive practices</w:t>
      </w:r>
      <w:r w:rsidR="00827680">
        <w:rPr>
          <w:rFonts w:cstheme="minorHAnsi"/>
        </w:rPr>
        <w:t xml:space="preserve">, an issue recently addressed by the New Zealand </w:t>
      </w:r>
      <w:proofErr w:type="spellStart"/>
      <w:r w:rsidR="00827680">
        <w:rPr>
          <w:rFonts w:cstheme="minorHAnsi"/>
        </w:rPr>
        <w:t>NPM</w:t>
      </w:r>
      <w:proofErr w:type="spellEnd"/>
      <w:r w:rsidR="00827680">
        <w:rPr>
          <w:rFonts w:cstheme="minorHAnsi"/>
        </w:rPr>
        <w:t xml:space="preserve"> in i</w:t>
      </w:r>
      <w:r w:rsidRPr="00EF1384">
        <w:rPr>
          <w:rFonts w:cstheme="minorHAnsi"/>
        </w:rPr>
        <w:t xml:space="preserve">n collaboration with Dr Sharon </w:t>
      </w:r>
      <w:proofErr w:type="spellStart"/>
      <w:r w:rsidRPr="00EF1384">
        <w:rPr>
          <w:rFonts w:cstheme="minorHAnsi"/>
        </w:rPr>
        <w:t>Shalev</w:t>
      </w:r>
      <w:proofErr w:type="spellEnd"/>
      <w:r w:rsidR="00E835AA">
        <w:rPr>
          <w:rFonts w:cstheme="minorHAnsi"/>
        </w:rPr>
        <w:t>,</w:t>
      </w:r>
      <w:r w:rsidR="00E835AA">
        <w:rPr>
          <w:rStyle w:val="FootnoteReference"/>
          <w:rFonts w:cstheme="minorHAnsi"/>
        </w:rPr>
        <w:footnoteReference w:id="16"/>
      </w:r>
      <w:r w:rsidRPr="00EF1384">
        <w:rPr>
          <w:rFonts w:cstheme="minorHAnsi"/>
        </w:rPr>
        <w:t xml:space="preserve"> </w:t>
      </w:r>
      <w:r w:rsidR="00827680">
        <w:rPr>
          <w:rFonts w:cstheme="minorHAnsi"/>
        </w:rPr>
        <w:t xml:space="preserve">and by the UK </w:t>
      </w:r>
      <w:proofErr w:type="spellStart"/>
      <w:r w:rsidR="00827680">
        <w:rPr>
          <w:rFonts w:cstheme="minorHAnsi"/>
        </w:rPr>
        <w:t>NPM</w:t>
      </w:r>
      <w:proofErr w:type="spellEnd"/>
      <w:r w:rsidR="00827680">
        <w:rPr>
          <w:rFonts w:cstheme="minorHAnsi"/>
        </w:rPr>
        <w:t>.</w:t>
      </w:r>
      <w:r w:rsidR="00827680">
        <w:rPr>
          <w:rStyle w:val="FootnoteReference"/>
          <w:rFonts w:cstheme="minorHAnsi"/>
        </w:rPr>
        <w:footnoteReference w:id="17"/>
      </w:r>
    </w:p>
    <w:p w:rsidR="00EF1384" w:rsidRPr="00EF1384" w:rsidRDefault="00EF1384" w:rsidP="00A75802">
      <w:pPr>
        <w:pStyle w:val="ListParagraph"/>
        <w:numPr>
          <w:ilvl w:val="0"/>
          <w:numId w:val="3"/>
        </w:numPr>
        <w:spacing w:line="240" w:lineRule="auto"/>
        <w:rPr>
          <w:rFonts w:cstheme="minorHAnsi"/>
        </w:rPr>
      </w:pPr>
      <w:r w:rsidRPr="00EF1384">
        <w:rPr>
          <w:rFonts w:cstheme="minorHAnsi"/>
        </w:rPr>
        <w:t>Conditions of detention for people with disabilities and people with mental ill health, both in relation to the conditions in which they receive services, but also as a group wh</w:t>
      </w:r>
      <w:r w:rsidR="003B42BB">
        <w:rPr>
          <w:rFonts w:cstheme="minorHAnsi"/>
        </w:rPr>
        <w:t xml:space="preserve">ich is over-represented in </w:t>
      </w:r>
      <w:r w:rsidRPr="00EF1384">
        <w:rPr>
          <w:rFonts w:cstheme="minorHAnsi"/>
        </w:rPr>
        <w:t>most places of detention, including prisons.</w:t>
      </w:r>
    </w:p>
    <w:p w:rsidR="00EF1384" w:rsidRPr="00EF1384" w:rsidRDefault="00A159F3" w:rsidP="00A75802">
      <w:pPr>
        <w:pStyle w:val="ListParagraph"/>
        <w:numPr>
          <w:ilvl w:val="0"/>
          <w:numId w:val="3"/>
        </w:numPr>
        <w:spacing w:line="240" w:lineRule="auto"/>
        <w:rPr>
          <w:rFonts w:cstheme="minorHAnsi"/>
        </w:rPr>
      </w:pPr>
      <w:r>
        <w:rPr>
          <w:rFonts w:cstheme="minorHAnsi"/>
        </w:rPr>
        <w:t>Conditions and experience of detention of</w:t>
      </w:r>
      <w:r w:rsidR="00EF1384" w:rsidRPr="00EF1384">
        <w:rPr>
          <w:rFonts w:cstheme="minorHAnsi"/>
        </w:rPr>
        <w:t xml:space="preserve"> Aboriginal and Torres Strait Islander people</w:t>
      </w:r>
      <w:r w:rsidR="00AF3D9D">
        <w:rPr>
          <w:rFonts w:cstheme="minorHAnsi"/>
        </w:rPr>
        <w:t>, who are,</w:t>
      </w:r>
      <w:r w:rsidR="00EF1384" w:rsidRPr="00EF1384">
        <w:rPr>
          <w:rFonts w:cstheme="minorHAnsi"/>
        </w:rPr>
        <w:t xml:space="preserve"> again</w:t>
      </w:r>
      <w:r w:rsidR="00AF3D9D">
        <w:rPr>
          <w:rFonts w:cstheme="minorHAnsi"/>
        </w:rPr>
        <w:t>,</w:t>
      </w:r>
      <w:r w:rsidR="00EF1384" w:rsidRPr="00EF1384">
        <w:rPr>
          <w:rFonts w:cstheme="minorHAnsi"/>
        </w:rPr>
        <w:t xml:space="preserve"> over-represented in many places of detention.</w:t>
      </w:r>
      <w:bookmarkStart w:id="0" w:name="_GoBack"/>
      <w:bookmarkEnd w:id="0"/>
    </w:p>
    <w:p w:rsidR="00EF1384" w:rsidRPr="00EF1384" w:rsidRDefault="00EF1384" w:rsidP="00EF1384">
      <w:pPr>
        <w:rPr>
          <w:rFonts w:asciiTheme="minorHAnsi" w:hAnsiTheme="minorHAnsi" w:cstheme="minorHAnsi"/>
          <w:szCs w:val="22"/>
        </w:rPr>
      </w:pPr>
      <w:r w:rsidRPr="00EF1384">
        <w:rPr>
          <w:rFonts w:asciiTheme="minorHAnsi" w:hAnsiTheme="minorHAnsi" w:cstheme="minorHAnsi"/>
          <w:szCs w:val="22"/>
        </w:rPr>
        <w:t xml:space="preserve">Should you have any questions about any matters raised in this Submission please feel free to contact </w:t>
      </w:r>
      <w:proofErr w:type="gramStart"/>
      <w:r w:rsidRPr="00EF1384">
        <w:rPr>
          <w:rFonts w:asciiTheme="minorHAnsi" w:hAnsiTheme="minorHAnsi" w:cstheme="minorHAnsi"/>
          <w:szCs w:val="22"/>
        </w:rPr>
        <w:t>me.</w:t>
      </w:r>
      <w:proofErr w:type="gramEnd"/>
    </w:p>
    <w:p w:rsidR="00EF1384" w:rsidRPr="00EF1384" w:rsidRDefault="00EF1384" w:rsidP="00EF1384">
      <w:pPr>
        <w:rPr>
          <w:rFonts w:asciiTheme="minorHAnsi" w:hAnsiTheme="minorHAnsi" w:cstheme="minorHAnsi"/>
          <w:szCs w:val="22"/>
        </w:rPr>
      </w:pPr>
    </w:p>
    <w:p w:rsidR="00971416" w:rsidRPr="00EF1384" w:rsidRDefault="00971416" w:rsidP="00971416">
      <w:pPr>
        <w:rPr>
          <w:rFonts w:asciiTheme="minorHAnsi" w:hAnsiTheme="minorHAnsi" w:cstheme="minorHAnsi"/>
          <w:szCs w:val="22"/>
        </w:rPr>
      </w:pPr>
      <w:r w:rsidRPr="00EF1384">
        <w:rPr>
          <w:rFonts w:asciiTheme="minorHAnsi" w:hAnsiTheme="minorHAnsi" w:cstheme="minorHAnsi"/>
          <w:szCs w:val="22"/>
        </w:rPr>
        <w:t>Yours faithfully,</w:t>
      </w:r>
    </w:p>
    <w:p w:rsidR="00971416" w:rsidRPr="00EF1384" w:rsidRDefault="00971416" w:rsidP="00971416">
      <w:pPr>
        <w:rPr>
          <w:rFonts w:asciiTheme="minorHAnsi" w:hAnsiTheme="minorHAnsi" w:cstheme="minorHAnsi"/>
          <w:szCs w:val="22"/>
        </w:rPr>
      </w:pPr>
    </w:p>
    <w:p w:rsidR="00971416" w:rsidRPr="00EF1384" w:rsidRDefault="00971416" w:rsidP="00971416">
      <w:pPr>
        <w:rPr>
          <w:rFonts w:asciiTheme="minorHAnsi" w:hAnsiTheme="minorHAnsi" w:cstheme="minorHAnsi"/>
          <w:szCs w:val="22"/>
        </w:rPr>
      </w:pPr>
      <w:r w:rsidRPr="00EF1384">
        <w:rPr>
          <w:rFonts w:asciiTheme="minorHAnsi" w:hAnsiTheme="minorHAnsi" w:cstheme="minorHAnsi"/>
          <w:noProof/>
          <w:szCs w:val="22"/>
          <w:lang w:eastAsia="en-AU"/>
        </w:rPr>
        <w:drawing>
          <wp:inline distT="0" distB="0" distL="0" distR="0" wp14:anchorId="78AD5C6B" wp14:editId="2DBF6CD5">
            <wp:extent cx="1821180" cy="40185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 140614 Naylor.jpg"/>
                    <pic:cNvPicPr/>
                  </pic:nvPicPr>
                  <pic:blipFill>
                    <a:blip r:embed="rId11">
                      <a:extLst>
                        <a:ext uri="{28A0092B-C50C-407E-A947-70E740481C1C}">
                          <a14:useLocalDpi xmlns:a14="http://schemas.microsoft.com/office/drawing/2010/main" val="0"/>
                        </a:ext>
                      </a:extLst>
                    </a:blip>
                    <a:stretch>
                      <a:fillRect/>
                    </a:stretch>
                  </pic:blipFill>
                  <pic:spPr>
                    <a:xfrm>
                      <a:off x="0" y="0"/>
                      <a:ext cx="1816064" cy="400728"/>
                    </a:xfrm>
                    <a:prstGeom prst="rect">
                      <a:avLst/>
                    </a:prstGeom>
                  </pic:spPr>
                </pic:pic>
              </a:graphicData>
            </a:graphic>
          </wp:inline>
        </w:drawing>
      </w:r>
    </w:p>
    <w:p w:rsidR="0089670F" w:rsidRPr="00EF1384" w:rsidRDefault="00971416">
      <w:pPr>
        <w:rPr>
          <w:rFonts w:asciiTheme="minorHAnsi" w:hAnsiTheme="minorHAnsi" w:cstheme="minorHAnsi"/>
          <w:szCs w:val="22"/>
        </w:rPr>
      </w:pPr>
      <w:r w:rsidRPr="00EF1384">
        <w:rPr>
          <w:rFonts w:asciiTheme="minorHAnsi" w:hAnsiTheme="minorHAnsi" w:cstheme="minorHAnsi"/>
          <w:szCs w:val="22"/>
        </w:rPr>
        <w:t>(Professor) Bronwyn Naylor</w:t>
      </w:r>
    </w:p>
    <w:sectPr w:rsidR="0089670F" w:rsidRPr="00EF1384" w:rsidSect="00620E8E">
      <w:footerReference w:type="default" r:id="rId12"/>
      <w:pgSz w:w="11906" w:h="16838"/>
      <w:pgMar w:top="1135" w:right="1134" w:bottom="851" w:left="1134" w:header="900" w:footer="4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E8E" w:rsidRDefault="00620E8E">
      <w:r>
        <w:separator/>
      </w:r>
    </w:p>
  </w:endnote>
  <w:endnote w:type="continuationSeparator" w:id="0">
    <w:p w:rsidR="00620E8E" w:rsidRDefault="00620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E8E" w:rsidRPr="005527D1" w:rsidRDefault="00620E8E" w:rsidP="00620E8E">
    <w:pPr>
      <w:pStyle w:val="Footer"/>
      <w:pBdr>
        <w:top w:val="single" w:sz="4" w:space="1" w:color="auto"/>
      </w:pBdr>
      <w:rPr>
        <w:szCs w:val="12"/>
      </w:rPr>
    </w:pPr>
  </w:p>
  <w:tbl>
    <w:tblPr>
      <w:tblW w:w="5000" w:type="pct"/>
      <w:tblLook w:val="01E0" w:firstRow="1" w:lastRow="1" w:firstColumn="1" w:lastColumn="1" w:noHBand="0" w:noVBand="0"/>
    </w:tblPr>
    <w:tblGrid>
      <w:gridCol w:w="3284"/>
      <w:gridCol w:w="3285"/>
      <w:gridCol w:w="3285"/>
    </w:tblGrid>
    <w:tr w:rsidR="00620E8E" w:rsidRPr="005527D1" w:rsidTr="00620E8E">
      <w:tc>
        <w:tcPr>
          <w:tcW w:w="1666" w:type="pct"/>
        </w:tcPr>
        <w:p w:rsidR="00620E8E" w:rsidRDefault="00620E8E" w:rsidP="00620E8E">
          <w:pPr>
            <w:pStyle w:val="Footer"/>
          </w:pPr>
          <w:r>
            <w:rPr>
              <w:noProof/>
              <w:lang w:eastAsia="en-AU"/>
            </w:rPr>
            <w:drawing>
              <wp:anchor distT="0" distB="0" distL="114300" distR="114300" simplePos="0" relativeHeight="251659264" behindDoc="1" locked="0" layoutInCell="1" allowOverlap="1" wp14:anchorId="79D01DF6" wp14:editId="401A5AE2">
                <wp:simplePos x="0" y="0"/>
                <wp:positionH relativeFrom="column">
                  <wp:posOffset>2540</wp:posOffset>
                </wp:positionH>
                <wp:positionV relativeFrom="paragraph">
                  <wp:posOffset>-594995</wp:posOffset>
                </wp:positionV>
                <wp:extent cx="723900" cy="257175"/>
                <wp:effectExtent l="0" t="0" r="0" b="9525"/>
                <wp:wrapNone/>
                <wp:docPr id="5" name="Picture 9" descr="Description: RMIT logo 20mm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RMIT logo 20mm 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257175"/>
                        </a:xfrm>
                        <a:prstGeom prst="rect">
                          <a:avLst/>
                        </a:prstGeom>
                        <a:noFill/>
                      </pic:spPr>
                    </pic:pic>
                  </a:graphicData>
                </a:graphic>
                <wp14:sizeRelH relativeFrom="page">
                  <wp14:pctWidth>0</wp14:pctWidth>
                </wp14:sizeRelH>
                <wp14:sizeRelV relativeFrom="page">
                  <wp14:pctHeight>0</wp14:pctHeight>
                </wp14:sizeRelV>
              </wp:anchor>
            </w:drawing>
          </w:r>
        </w:p>
        <w:p w:rsidR="00620E8E" w:rsidRPr="005527D1" w:rsidRDefault="00620E8E" w:rsidP="00620E8E">
          <w:pPr>
            <w:pStyle w:val="Footer"/>
          </w:pPr>
        </w:p>
        <w:p w:rsidR="00620E8E" w:rsidRPr="005527D1" w:rsidRDefault="00620E8E" w:rsidP="00620E8E">
          <w:pPr>
            <w:pStyle w:val="Footer"/>
          </w:pPr>
        </w:p>
        <w:p w:rsidR="00620E8E" w:rsidRPr="005527D1" w:rsidRDefault="00620E8E" w:rsidP="00620E8E">
          <w:pPr>
            <w:pStyle w:val="Footer"/>
          </w:pPr>
        </w:p>
        <w:p w:rsidR="00620E8E" w:rsidRPr="005527D1" w:rsidRDefault="00620E8E" w:rsidP="00620E8E">
          <w:pPr>
            <w:pStyle w:val="Footer"/>
            <w:rPr>
              <w:szCs w:val="12"/>
            </w:rPr>
          </w:pPr>
          <w:r>
            <w:fldChar w:fldCharType="begin"/>
          </w:r>
          <w:r>
            <w:instrText xml:space="preserve"> DOCPROPERTY  Company  \* MERGEFORMAT </w:instrText>
          </w:r>
          <w:r>
            <w:fldChar w:fldCharType="separate"/>
          </w:r>
          <w:proofErr w:type="spellStart"/>
          <w:r w:rsidR="002655AC">
            <w:t>RMIT</w:t>
          </w:r>
          <w:proofErr w:type="spellEnd"/>
          <w:r w:rsidR="002655AC">
            <w:t xml:space="preserve"> University</w:t>
          </w:r>
          <w:r>
            <w:fldChar w:fldCharType="end"/>
          </w:r>
        </w:p>
      </w:tc>
      <w:tc>
        <w:tcPr>
          <w:tcW w:w="1667" w:type="pct"/>
        </w:tcPr>
        <w:p w:rsidR="00620E8E" w:rsidRPr="005527D1" w:rsidRDefault="00620E8E" w:rsidP="00620E8E">
          <w:pPr>
            <w:pStyle w:val="Footer"/>
            <w:jc w:val="center"/>
            <w:rPr>
              <w:szCs w:val="12"/>
            </w:rPr>
          </w:pPr>
        </w:p>
      </w:tc>
      <w:tc>
        <w:tcPr>
          <w:tcW w:w="1667" w:type="pct"/>
        </w:tcPr>
        <w:p w:rsidR="00620E8E" w:rsidRDefault="00620E8E" w:rsidP="00620E8E">
          <w:pPr>
            <w:pStyle w:val="Footer"/>
            <w:jc w:val="right"/>
            <w:rPr>
              <w:szCs w:val="12"/>
            </w:rPr>
          </w:pPr>
        </w:p>
        <w:p w:rsidR="00620E8E" w:rsidRDefault="00620E8E" w:rsidP="00620E8E">
          <w:pPr>
            <w:pStyle w:val="Footer"/>
            <w:jc w:val="right"/>
            <w:rPr>
              <w:szCs w:val="12"/>
            </w:rPr>
          </w:pPr>
        </w:p>
        <w:p w:rsidR="00620E8E" w:rsidRDefault="00620E8E" w:rsidP="00620E8E">
          <w:pPr>
            <w:pStyle w:val="Footer"/>
            <w:jc w:val="right"/>
            <w:rPr>
              <w:szCs w:val="12"/>
            </w:rPr>
          </w:pPr>
        </w:p>
        <w:p w:rsidR="00620E8E" w:rsidRDefault="00620E8E" w:rsidP="00620E8E">
          <w:pPr>
            <w:pStyle w:val="Footer"/>
            <w:jc w:val="right"/>
            <w:rPr>
              <w:szCs w:val="12"/>
            </w:rPr>
          </w:pPr>
        </w:p>
        <w:p w:rsidR="00620E8E" w:rsidRPr="005527D1" w:rsidRDefault="00620E8E" w:rsidP="00620E8E">
          <w:pPr>
            <w:pStyle w:val="Footer"/>
            <w:jc w:val="right"/>
            <w:rPr>
              <w:szCs w:val="12"/>
            </w:rPr>
          </w:pPr>
          <w:r w:rsidRPr="0053264D">
            <w:rPr>
              <w:szCs w:val="12"/>
            </w:rPr>
            <w:t xml:space="preserve">Page </w:t>
          </w:r>
          <w:r w:rsidRPr="0053264D">
            <w:rPr>
              <w:szCs w:val="12"/>
            </w:rPr>
            <w:fldChar w:fldCharType="begin"/>
          </w:r>
          <w:r w:rsidRPr="0053264D">
            <w:rPr>
              <w:szCs w:val="12"/>
            </w:rPr>
            <w:instrText xml:space="preserve"> PAGE </w:instrText>
          </w:r>
          <w:r w:rsidRPr="0053264D">
            <w:rPr>
              <w:szCs w:val="12"/>
            </w:rPr>
            <w:fldChar w:fldCharType="separate"/>
          </w:r>
          <w:r w:rsidR="002655AC">
            <w:rPr>
              <w:noProof/>
              <w:szCs w:val="12"/>
            </w:rPr>
            <w:t>5</w:t>
          </w:r>
          <w:r w:rsidRPr="0053264D">
            <w:rPr>
              <w:szCs w:val="12"/>
            </w:rPr>
            <w:fldChar w:fldCharType="end"/>
          </w:r>
          <w:r w:rsidRPr="0053264D">
            <w:rPr>
              <w:szCs w:val="12"/>
            </w:rPr>
            <w:t xml:space="preserve"> of </w:t>
          </w:r>
          <w:r w:rsidRPr="0053264D">
            <w:rPr>
              <w:szCs w:val="12"/>
            </w:rPr>
            <w:fldChar w:fldCharType="begin"/>
          </w:r>
          <w:r w:rsidRPr="0053264D">
            <w:rPr>
              <w:szCs w:val="12"/>
            </w:rPr>
            <w:instrText xml:space="preserve"> NUMPAGES </w:instrText>
          </w:r>
          <w:r w:rsidRPr="0053264D">
            <w:rPr>
              <w:szCs w:val="12"/>
            </w:rPr>
            <w:fldChar w:fldCharType="separate"/>
          </w:r>
          <w:r w:rsidR="002655AC">
            <w:rPr>
              <w:noProof/>
              <w:szCs w:val="12"/>
            </w:rPr>
            <w:t>5</w:t>
          </w:r>
          <w:r w:rsidRPr="0053264D">
            <w:rPr>
              <w:szCs w:val="12"/>
            </w:rPr>
            <w:fldChar w:fldCharType="end"/>
          </w:r>
        </w:p>
      </w:tc>
    </w:tr>
  </w:tbl>
  <w:p w:rsidR="00620E8E" w:rsidRPr="003965EC" w:rsidRDefault="00620E8E" w:rsidP="00620E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E8E" w:rsidRDefault="00620E8E">
      <w:r>
        <w:separator/>
      </w:r>
    </w:p>
  </w:footnote>
  <w:footnote w:type="continuationSeparator" w:id="0">
    <w:p w:rsidR="00620E8E" w:rsidRDefault="00620E8E">
      <w:r>
        <w:continuationSeparator/>
      </w:r>
    </w:p>
  </w:footnote>
  <w:footnote w:id="1">
    <w:p w:rsidR="00620E8E" w:rsidRDefault="00620E8E" w:rsidP="00EF1384">
      <w:pPr>
        <w:pStyle w:val="FootnoteText"/>
      </w:pPr>
      <w:r>
        <w:rPr>
          <w:rStyle w:val="FootnoteReference"/>
        </w:rPr>
        <w:footnoteRef/>
      </w:r>
      <w:r>
        <w:t xml:space="preserve"> </w:t>
      </w:r>
      <w:r w:rsidRPr="00923A60">
        <w:rPr>
          <w:sz w:val="20"/>
          <w:szCs w:val="20"/>
        </w:rPr>
        <w:t xml:space="preserve">See for example the extensive submission of the Australia </w:t>
      </w:r>
      <w:proofErr w:type="spellStart"/>
      <w:r w:rsidRPr="00923A60">
        <w:rPr>
          <w:sz w:val="20"/>
          <w:szCs w:val="20"/>
        </w:rPr>
        <w:t>OPCAT</w:t>
      </w:r>
      <w:proofErr w:type="spellEnd"/>
      <w:r w:rsidRPr="00923A60">
        <w:rPr>
          <w:sz w:val="20"/>
          <w:szCs w:val="20"/>
        </w:rPr>
        <w:t xml:space="preserve"> Network.</w:t>
      </w:r>
    </w:p>
  </w:footnote>
  <w:footnote w:id="2">
    <w:p w:rsidR="00830AB0" w:rsidRDefault="00830AB0">
      <w:pPr>
        <w:pStyle w:val="FootnoteText"/>
      </w:pPr>
      <w:r>
        <w:rPr>
          <w:rStyle w:val="FootnoteReference"/>
        </w:rPr>
        <w:footnoteRef/>
      </w:r>
      <w:r>
        <w:t xml:space="preserve"> </w:t>
      </w:r>
      <w:proofErr w:type="spellStart"/>
      <w:proofErr w:type="gramStart"/>
      <w:r w:rsidRPr="00830AB0">
        <w:rPr>
          <w:rFonts w:cstheme="minorHAnsi"/>
          <w:color w:val="000000"/>
          <w:sz w:val="20"/>
          <w:szCs w:val="20"/>
          <w:shd w:val="clear" w:color="auto" w:fill="FFFFFF"/>
        </w:rPr>
        <w:t>OPCAT</w:t>
      </w:r>
      <w:proofErr w:type="spellEnd"/>
      <w:r w:rsidRPr="00830AB0">
        <w:rPr>
          <w:rFonts w:cstheme="minorHAnsi"/>
          <w:color w:val="000000"/>
          <w:sz w:val="20"/>
          <w:szCs w:val="20"/>
          <w:shd w:val="clear" w:color="auto" w:fill="FFFFFF"/>
        </w:rPr>
        <w:t xml:space="preserve"> Article 4(1) and (2).</w:t>
      </w:r>
      <w:proofErr w:type="gramEnd"/>
    </w:p>
  </w:footnote>
  <w:footnote w:id="3">
    <w:p w:rsidR="00620E8E" w:rsidRPr="00923A60" w:rsidRDefault="00620E8E" w:rsidP="00EF1384">
      <w:pPr>
        <w:pStyle w:val="FootnoteText"/>
      </w:pPr>
      <w:r>
        <w:rPr>
          <w:rStyle w:val="FootnoteReference"/>
        </w:rPr>
        <w:footnoteRef/>
      </w:r>
      <w:r>
        <w:t xml:space="preserve"> </w:t>
      </w:r>
      <w:r w:rsidRPr="00923A60">
        <w:rPr>
          <w:sz w:val="20"/>
          <w:szCs w:val="20"/>
        </w:rPr>
        <w:t xml:space="preserve">See </w:t>
      </w:r>
      <w:r>
        <w:rPr>
          <w:sz w:val="20"/>
          <w:szCs w:val="20"/>
        </w:rPr>
        <w:t xml:space="preserve">for example </w:t>
      </w:r>
      <w:r w:rsidR="0010404C">
        <w:rPr>
          <w:sz w:val="20"/>
          <w:szCs w:val="20"/>
        </w:rPr>
        <w:t>Association for the Prevention of Torture (</w:t>
      </w:r>
      <w:r w:rsidRPr="00923A60">
        <w:rPr>
          <w:sz w:val="20"/>
          <w:szCs w:val="20"/>
        </w:rPr>
        <w:t>APT</w:t>
      </w:r>
      <w:r w:rsidR="0010404C">
        <w:rPr>
          <w:sz w:val="20"/>
          <w:szCs w:val="20"/>
        </w:rPr>
        <w:t>)</w:t>
      </w:r>
      <w:r w:rsidRPr="00923A60">
        <w:rPr>
          <w:sz w:val="20"/>
          <w:szCs w:val="20"/>
        </w:rPr>
        <w:t xml:space="preserve"> </w:t>
      </w:r>
      <w:r w:rsidRPr="00923A60">
        <w:rPr>
          <w:i/>
          <w:sz w:val="20"/>
          <w:szCs w:val="20"/>
        </w:rPr>
        <w:t xml:space="preserve">Implementation of the </w:t>
      </w:r>
      <w:proofErr w:type="spellStart"/>
      <w:r w:rsidRPr="00923A60">
        <w:rPr>
          <w:i/>
          <w:sz w:val="20"/>
          <w:szCs w:val="20"/>
        </w:rPr>
        <w:t>OPCAT</w:t>
      </w:r>
      <w:proofErr w:type="spellEnd"/>
      <w:r w:rsidRPr="00923A60">
        <w:rPr>
          <w:i/>
          <w:sz w:val="20"/>
          <w:szCs w:val="20"/>
        </w:rPr>
        <w:t xml:space="preserve"> in Federal and other Decentralised States </w:t>
      </w:r>
      <w:r w:rsidRPr="00923A60">
        <w:rPr>
          <w:sz w:val="20"/>
          <w:szCs w:val="20"/>
        </w:rPr>
        <w:t>2011, 4.</w:t>
      </w:r>
    </w:p>
  </w:footnote>
  <w:footnote w:id="4">
    <w:p w:rsidR="00620E8E" w:rsidRPr="00045293" w:rsidRDefault="00620E8E" w:rsidP="00EF1384">
      <w:pPr>
        <w:pStyle w:val="FootnoteText"/>
      </w:pPr>
      <w:r>
        <w:rPr>
          <w:rStyle w:val="FootnoteReference"/>
        </w:rPr>
        <w:footnoteRef/>
      </w:r>
      <w:r>
        <w:t xml:space="preserve"> </w:t>
      </w:r>
      <w:r w:rsidRPr="006A6AED">
        <w:rPr>
          <w:sz w:val="20"/>
          <w:szCs w:val="20"/>
        </w:rPr>
        <w:t xml:space="preserve">See APT </w:t>
      </w:r>
      <w:r w:rsidRPr="006A6AED">
        <w:rPr>
          <w:i/>
          <w:sz w:val="20"/>
          <w:szCs w:val="20"/>
        </w:rPr>
        <w:t xml:space="preserve">Implementation of the </w:t>
      </w:r>
      <w:proofErr w:type="spellStart"/>
      <w:r w:rsidRPr="006A6AED">
        <w:rPr>
          <w:i/>
          <w:sz w:val="20"/>
          <w:szCs w:val="20"/>
        </w:rPr>
        <w:t>OPCAT</w:t>
      </w:r>
      <w:proofErr w:type="spellEnd"/>
      <w:r w:rsidRPr="006A6AED">
        <w:rPr>
          <w:i/>
          <w:sz w:val="20"/>
          <w:szCs w:val="20"/>
        </w:rPr>
        <w:t xml:space="preserve"> in Federal an</w:t>
      </w:r>
      <w:r>
        <w:rPr>
          <w:i/>
          <w:sz w:val="20"/>
          <w:szCs w:val="20"/>
        </w:rPr>
        <w:t>d</w:t>
      </w:r>
      <w:r w:rsidRPr="006A6AED">
        <w:rPr>
          <w:i/>
          <w:sz w:val="20"/>
          <w:szCs w:val="20"/>
        </w:rPr>
        <w:t xml:space="preserve"> other Decentralised States</w:t>
      </w:r>
      <w:r w:rsidRPr="006A6AED">
        <w:rPr>
          <w:sz w:val="20"/>
          <w:szCs w:val="20"/>
        </w:rPr>
        <w:t xml:space="preserve"> 2011.</w:t>
      </w:r>
    </w:p>
  </w:footnote>
  <w:footnote w:id="5">
    <w:p w:rsidR="00620E8E" w:rsidRPr="0021127C" w:rsidRDefault="00620E8E" w:rsidP="00EF1384">
      <w:pPr>
        <w:pStyle w:val="FootnoteText"/>
      </w:pPr>
      <w:r>
        <w:rPr>
          <w:rStyle w:val="FootnoteReference"/>
        </w:rPr>
        <w:footnoteRef/>
      </w:r>
      <w:r>
        <w:t xml:space="preserve"> </w:t>
      </w:r>
      <w:proofErr w:type="spellStart"/>
      <w:r w:rsidR="004C59D0" w:rsidRPr="004C59D0">
        <w:rPr>
          <w:sz w:val="20"/>
          <w:szCs w:val="20"/>
        </w:rPr>
        <w:t>OPCAT</w:t>
      </w:r>
      <w:proofErr w:type="spellEnd"/>
      <w:r w:rsidR="004C59D0" w:rsidRPr="004C59D0">
        <w:rPr>
          <w:sz w:val="20"/>
          <w:szCs w:val="20"/>
        </w:rPr>
        <w:t xml:space="preserve"> Articles 17-23.</w:t>
      </w:r>
      <w:r w:rsidR="004C59D0">
        <w:t xml:space="preserve">  </w:t>
      </w:r>
      <w:r w:rsidR="004C59D0">
        <w:rPr>
          <w:sz w:val="20"/>
          <w:szCs w:val="20"/>
        </w:rPr>
        <w:t xml:space="preserve">See </w:t>
      </w:r>
      <w:r w:rsidRPr="0021127C">
        <w:rPr>
          <w:sz w:val="20"/>
          <w:szCs w:val="20"/>
        </w:rPr>
        <w:t xml:space="preserve">generally, Naylor, </w:t>
      </w:r>
      <w:proofErr w:type="spellStart"/>
      <w:r w:rsidRPr="0021127C">
        <w:rPr>
          <w:sz w:val="20"/>
          <w:szCs w:val="20"/>
        </w:rPr>
        <w:t>Debeljak</w:t>
      </w:r>
      <w:proofErr w:type="spellEnd"/>
      <w:r w:rsidRPr="0021127C">
        <w:rPr>
          <w:sz w:val="20"/>
          <w:szCs w:val="20"/>
        </w:rPr>
        <w:t xml:space="preserve"> and Mackay</w:t>
      </w:r>
      <w:proofErr w:type="gramStart"/>
      <w:r w:rsidRPr="0021127C">
        <w:rPr>
          <w:sz w:val="20"/>
          <w:szCs w:val="20"/>
        </w:rPr>
        <w:t>,  ‘A</w:t>
      </w:r>
      <w:proofErr w:type="gramEnd"/>
      <w:r w:rsidRPr="0021127C">
        <w:rPr>
          <w:sz w:val="20"/>
          <w:szCs w:val="20"/>
        </w:rPr>
        <w:t xml:space="preserve"> Strategic Framework for Implementing Human Rights in Closed Environments’ (2015) 41(1) </w:t>
      </w:r>
      <w:r w:rsidRPr="0021127C">
        <w:rPr>
          <w:i/>
          <w:sz w:val="20"/>
          <w:szCs w:val="20"/>
        </w:rPr>
        <w:t>Monash University Law Review</w:t>
      </w:r>
      <w:r w:rsidRPr="0021127C">
        <w:rPr>
          <w:sz w:val="20"/>
          <w:szCs w:val="20"/>
        </w:rPr>
        <w:t xml:space="preserve"> 218, 248ff</w:t>
      </w:r>
      <w:r>
        <w:rPr>
          <w:sz w:val="20"/>
          <w:szCs w:val="20"/>
        </w:rPr>
        <w:t>, 258</w:t>
      </w:r>
      <w:r w:rsidR="004C59D0">
        <w:rPr>
          <w:sz w:val="20"/>
          <w:szCs w:val="20"/>
        </w:rPr>
        <w:t>.</w:t>
      </w:r>
    </w:p>
  </w:footnote>
  <w:footnote w:id="6">
    <w:p w:rsidR="00620E8E" w:rsidRPr="009E59D5" w:rsidRDefault="00620E8E" w:rsidP="00EF1384">
      <w:pPr>
        <w:pStyle w:val="FootnoteText"/>
      </w:pPr>
      <w:r>
        <w:rPr>
          <w:rStyle w:val="FootnoteReference"/>
        </w:rPr>
        <w:footnoteRef/>
      </w:r>
      <w:r>
        <w:t xml:space="preserve"> </w:t>
      </w:r>
      <w:r w:rsidRPr="009E59D5">
        <w:rPr>
          <w:i/>
          <w:sz w:val="20"/>
          <w:szCs w:val="20"/>
        </w:rPr>
        <w:t xml:space="preserve">Ombudsman Act (Vic) 1973 </w:t>
      </w:r>
      <w:proofErr w:type="gramStart"/>
      <w:r w:rsidRPr="009E59D5">
        <w:rPr>
          <w:sz w:val="20"/>
          <w:szCs w:val="20"/>
        </w:rPr>
        <w:t>s.13AA(</w:t>
      </w:r>
      <w:proofErr w:type="gramEnd"/>
      <w:r w:rsidRPr="009E59D5">
        <w:rPr>
          <w:sz w:val="20"/>
          <w:szCs w:val="20"/>
        </w:rPr>
        <w:t>2).</w:t>
      </w:r>
    </w:p>
  </w:footnote>
  <w:footnote w:id="7">
    <w:p w:rsidR="006130CE" w:rsidRPr="00B43875" w:rsidRDefault="006130CE">
      <w:pPr>
        <w:pStyle w:val="FootnoteText"/>
        <w:rPr>
          <w:rFonts w:cstheme="minorHAnsi"/>
          <w:sz w:val="20"/>
          <w:szCs w:val="20"/>
        </w:rPr>
      </w:pPr>
      <w:r>
        <w:rPr>
          <w:rStyle w:val="FootnoteReference"/>
        </w:rPr>
        <w:footnoteRef/>
      </w:r>
      <w:r>
        <w:t xml:space="preserve"> </w:t>
      </w:r>
      <w:r w:rsidRPr="00B43875">
        <w:rPr>
          <w:rFonts w:cstheme="minorHAnsi"/>
          <w:sz w:val="20"/>
          <w:szCs w:val="20"/>
        </w:rPr>
        <w:t>https://www.ombudsman.vic.gov.au/News/Media-Releases/Media-Alerts/Ombudsman-to-conduct-OPCAT-style-inspection-of-the</w:t>
      </w:r>
    </w:p>
  </w:footnote>
  <w:footnote w:id="8">
    <w:p w:rsidR="00620E8E" w:rsidRPr="00B43875" w:rsidRDefault="00620E8E" w:rsidP="00EF1384">
      <w:pPr>
        <w:pStyle w:val="FootnoteText"/>
        <w:rPr>
          <w:rFonts w:cstheme="minorHAnsi"/>
          <w:sz w:val="20"/>
          <w:szCs w:val="20"/>
        </w:rPr>
      </w:pPr>
      <w:r w:rsidRPr="00B43875">
        <w:rPr>
          <w:rStyle w:val="FootnoteReference"/>
          <w:rFonts w:cstheme="minorHAnsi"/>
          <w:sz w:val="20"/>
          <w:szCs w:val="20"/>
        </w:rPr>
        <w:footnoteRef/>
      </w:r>
      <w:r w:rsidRPr="00B43875">
        <w:rPr>
          <w:rFonts w:cstheme="minorHAnsi"/>
          <w:sz w:val="20"/>
          <w:szCs w:val="20"/>
        </w:rPr>
        <w:t xml:space="preserve"> See Harding and Morgan, </w:t>
      </w:r>
      <w:r w:rsidRPr="00B43875">
        <w:rPr>
          <w:rFonts w:cstheme="minorHAnsi"/>
          <w:i/>
          <w:sz w:val="20"/>
          <w:szCs w:val="20"/>
        </w:rPr>
        <w:t xml:space="preserve">Implementing the </w:t>
      </w:r>
      <w:proofErr w:type="spellStart"/>
      <w:r w:rsidRPr="00B43875">
        <w:rPr>
          <w:rFonts w:cstheme="minorHAnsi"/>
          <w:i/>
          <w:sz w:val="20"/>
          <w:szCs w:val="20"/>
        </w:rPr>
        <w:t>OPCAT</w:t>
      </w:r>
      <w:proofErr w:type="spellEnd"/>
      <w:r w:rsidRPr="00B43875">
        <w:rPr>
          <w:rFonts w:cstheme="minorHAnsi"/>
          <w:i/>
          <w:sz w:val="20"/>
          <w:szCs w:val="20"/>
        </w:rPr>
        <w:t xml:space="preserve">: Options for </w:t>
      </w:r>
      <w:proofErr w:type="gramStart"/>
      <w:r w:rsidRPr="00B43875">
        <w:rPr>
          <w:rFonts w:cstheme="minorHAnsi"/>
          <w:i/>
          <w:sz w:val="20"/>
          <w:szCs w:val="20"/>
        </w:rPr>
        <w:t xml:space="preserve">Australia </w:t>
      </w:r>
      <w:r w:rsidR="00A00FCB">
        <w:rPr>
          <w:rFonts w:cstheme="minorHAnsi"/>
          <w:sz w:val="20"/>
          <w:szCs w:val="20"/>
        </w:rPr>
        <w:t xml:space="preserve"> 2008</w:t>
      </w:r>
      <w:proofErr w:type="gramEnd"/>
      <w:r w:rsidR="00A00FCB">
        <w:rPr>
          <w:rFonts w:cstheme="minorHAnsi"/>
          <w:sz w:val="20"/>
          <w:szCs w:val="20"/>
        </w:rPr>
        <w:t xml:space="preserve">; Naylor, </w:t>
      </w:r>
      <w:r w:rsidRPr="00B43875">
        <w:rPr>
          <w:rFonts w:cstheme="minorHAnsi"/>
          <w:sz w:val="20"/>
          <w:szCs w:val="20"/>
        </w:rPr>
        <w:t>Harrison,</w:t>
      </w:r>
      <w:r w:rsidR="00A00FCB">
        <w:rPr>
          <w:rFonts w:cstheme="minorHAnsi"/>
          <w:sz w:val="20"/>
          <w:szCs w:val="20"/>
        </w:rPr>
        <w:t xml:space="preserve"> </w:t>
      </w:r>
      <w:proofErr w:type="spellStart"/>
      <w:r w:rsidR="00A00FCB">
        <w:rPr>
          <w:rFonts w:cstheme="minorHAnsi"/>
          <w:sz w:val="20"/>
          <w:szCs w:val="20"/>
        </w:rPr>
        <w:t>Dussuyer</w:t>
      </w:r>
      <w:proofErr w:type="spellEnd"/>
      <w:r w:rsidR="00A00FCB">
        <w:rPr>
          <w:rFonts w:cstheme="minorHAnsi"/>
          <w:sz w:val="20"/>
          <w:szCs w:val="20"/>
        </w:rPr>
        <w:t xml:space="preserve"> and </w:t>
      </w:r>
      <w:proofErr w:type="spellStart"/>
      <w:r w:rsidR="00A00FCB">
        <w:rPr>
          <w:rFonts w:cstheme="minorHAnsi"/>
          <w:sz w:val="20"/>
          <w:szCs w:val="20"/>
        </w:rPr>
        <w:t>Kessel</w:t>
      </w:r>
      <w:proofErr w:type="spellEnd"/>
      <w:r w:rsidR="00A00FCB">
        <w:rPr>
          <w:rFonts w:cstheme="minorHAnsi"/>
          <w:sz w:val="20"/>
          <w:szCs w:val="20"/>
        </w:rPr>
        <w:t>,</w:t>
      </w:r>
      <w:r w:rsidRPr="00B43875">
        <w:rPr>
          <w:rFonts w:cstheme="minorHAnsi"/>
          <w:sz w:val="20"/>
          <w:szCs w:val="20"/>
        </w:rPr>
        <w:t xml:space="preserve">  </w:t>
      </w:r>
      <w:r w:rsidRPr="00B43875">
        <w:rPr>
          <w:rFonts w:cstheme="minorHAnsi"/>
          <w:i/>
          <w:sz w:val="20"/>
          <w:szCs w:val="20"/>
        </w:rPr>
        <w:t xml:space="preserve">Monitoring Closed Environments: The Role of Oversight Bodies </w:t>
      </w:r>
      <w:r w:rsidRPr="00B43875">
        <w:rPr>
          <w:rFonts w:cstheme="minorHAnsi"/>
          <w:sz w:val="20"/>
          <w:szCs w:val="20"/>
        </w:rPr>
        <w:t>Working Paper Number 3, 2014.</w:t>
      </w:r>
    </w:p>
  </w:footnote>
  <w:footnote w:id="9">
    <w:p w:rsidR="00620E8E" w:rsidRPr="00B43875" w:rsidRDefault="00620E8E" w:rsidP="00EF1384">
      <w:pPr>
        <w:pStyle w:val="FootnoteText"/>
        <w:rPr>
          <w:rFonts w:cstheme="minorHAnsi"/>
          <w:sz w:val="20"/>
          <w:szCs w:val="20"/>
        </w:rPr>
      </w:pPr>
      <w:r w:rsidRPr="00B43875">
        <w:rPr>
          <w:rStyle w:val="FootnoteReference"/>
          <w:rFonts w:cstheme="minorHAnsi"/>
          <w:sz w:val="20"/>
          <w:szCs w:val="20"/>
        </w:rPr>
        <w:footnoteRef/>
      </w:r>
      <w:r w:rsidRPr="00B43875">
        <w:rPr>
          <w:rFonts w:cstheme="minorHAnsi"/>
          <w:sz w:val="20"/>
          <w:szCs w:val="20"/>
        </w:rPr>
        <w:t xml:space="preserve"> </w:t>
      </w:r>
      <w:proofErr w:type="gramStart"/>
      <w:r w:rsidRPr="00B43875">
        <w:rPr>
          <w:rFonts w:cstheme="minorHAnsi"/>
          <w:sz w:val="20"/>
          <w:szCs w:val="20"/>
        </w:rPr>
        <w:t>Harding and Morgan, 2008, 16.</w:t>
      </w:r>
      <w:proofErr w:type="gramEnd"/>
    </w:p>
  </w:footnote>
  <w:footnote w:id="10">
    <w:p w:rsidR="00620E8E" w:rsidRPr="00B43875" w:rsidRDefault="00620E8E" w:rsidP="00EF1384">
      <w:pPr>
        <w:rPr>
          <w:rFonts w:asciiTheme="minorHAnsi" w:hAnsiTheme="minorHAnsi" w:cstheme="minorHAnsi"/>
          <w:sz w:val="20"/>
        </w:rPr>
      </w:pPr>
      <w:r w:rsidRPr="00B43875">
        <w:rPr>
          <w:rStyle w:val="FootnoteReference"/>
          <w:rFonts w:asciiTheme="minorHAnsi" w:hAnsiTheme="minorHAnsi" w:cstheme="minorHAnsi"/>
          <w:sz w:val="20"/>
        </w:rPr>
        <w:footnoteRef/>
      </w:r>
      <w:r w:rsidRPr="00B43875">
        <w:rPr>
          <w:rFonts w:asciiTheme="minorHAnsi" w:hAnsiTheme="minorHAnsi" w:cstheme="minorHAnsi"/>
          <w:sz w:val="20"/>
        </w:rPr>
        <w:t xml:space="preserve"> National Children’s Commissioner</w:t>
      </w:r>
      <w:r w:rsidR="00B43875">
        <w:rPr>
          <w:rFonts w:asciiTheme="minorHAnsi" w:hAnsiTheme="minorHAnsi" w:cstheme="minorHAnsi"/>
          <w:sz w:val="20"/>
        </w:rPr>
        <w:t xml:space="preserve">, </w:t>
      </w:r>
      <w:r w:rsidR="00B43875">
        <w:rPr>
          <w:rFonts w:asciiTheme="minorHAnsi" w:hAnsiTheme="minorHAnsi" w:cstheme="minorHAnsi"/>
          <w:i/>
          <w:sz w:val="20"/>
        </w:rPr>
        <w:t xml:space="preserve">Children’s Rights </w:t>
      </w:r>
      <w:proofErr w:type="gramStart"/>
      <w:r w:rsidR="00B43875">
        <w:rPr>
          <w:rFonts w:asciiTheme="minorHAnsi" w:hAnsiTheme="minorHAnsi" w:cstheme="minorHAnsi"/>
          <w:i/>
          <w:sz w:val="20"/>
        </w:rPr>
        <w:t xml:space="preserve">Report </w:t>
      </w:r>
      <w:r w:rsidR="00B43875">
        <w:rPr>
          <w:rFonts w:asciiTheme="minorHAnsi" w:hAnsiTheme="minorHAnsi" w:cstheme="minorHAnsi"/>
          <w:sz w:val="20"/>
        </w:rPr>
        <w:t xml:space="preserve"> Australian</w:t>
      </w:r>
      <w:proofErr w:type="gramEnd"/>
      <w:r w:rsidR="00B43875">
        <w:rPr>
          <w:rFonts w:asciiTheme="minorHAnsi" w:hAnsiTheme="minorHAnsi" w:cstheme="minorHAnsi"/>
          <w:sz w:val="20"/>
        </w:rPr>
        <w:t xml:space="preserve"> Human Rights Commission, 2016, </w:t>
      </w:r>
      <w:r w:rsidRPr="00B43875">
        <w:rPr>
          <w:rFonts w:asciiTheme="minorHAnsi" w:hAnsiTheme="minorHAnsi" w:cstheme="minorHAnsi"/>
          <w:sz w:val="20"/>
        </w:rPr>
        <w:t>94</w:t>
      </w:r>
      <w:r w:rsidR="00B43875">
        <w:rPr>
          <w:rFonts w:asciiTheme="minorHAnsi" w:hAnsiTheme="minorHAnsi" w:cstheme="minorHAnsi"/>
          <w:sz w:val="20"/>
        </w:rPr>
        <w:t>,</w:t>
      </w:r>
      <w:r w:rsidRPr="00B43875">
        <w:rPr>
          <w:rFonts w:asciiTheme="minorHAnsi" w:hAnsiTheme="minorHAnsi" w:cstheme="minorHAnsi"/>
          <w:sz w:val="20"/>
        </w:rPr>
        <w:t xml:space="preserve"> citing </w:t>
      </w:r>
      <w:r w:rsidR="00B43875">
        <w:rPr>
          <w:rFonts w:asciiTheme="minorHAnsi" w:hAnsiTheme="minorHAnsi" w:cstheme="minorHAnsi"/>
          <w:sz w:val="20"/>
        </w:rPr>
        <w:t>the submission of the Human Rights Law Centre.</w:t>
      </w:r>
    </w:p>
    <w:p w:rsidR="00620E8E" w:rsidRDefault="00620E8E" w:rsidP="00EF1384">
      <w:pPr>
        <w:pStyle w:val="FootnoteText"/>
      </w:pPr>
    </w:p>
  </w:footnote>
  <w:footnote w:id="11">
    <w:p w:rsidR="00620E8E" w:rsidRPr="007B2BF1" w:rsidRDefault="00620E8E" w:rsidP="00EF1384">
      <w:pPr>
        <w:pStyle w:val="FootnoteText"/>
        <w:rPr>
          <w:rFonts w:cstheme="minorHAnsi"/>
          <w:sz w:val="20"/>
          <w:szCs w:val="20"/>
        </w:rPr>
      </w:pPr>
      <w:r>
        <w:rPr>
          <w:rStyle w:val="FootnoteReference"/>
        </w:rPr>
        <w:footnoteRef/>
      </w:r>
      <w:r>
        <w:t xml:space="preserve"> </w:t>
      </w:r>
      <w:proofErr w:type="spellStart"/>
      <w:r w:rsidRPr="007B2BF1">
        <w:rPr>
          <w:rFonts w:cstheme="minorHAnsi"/>
          <w:sz w:val="20"/>
          <w:szCs w:val="20"/>
        </w:rPr>
        <w:t>Eg</w:t>
      </w:r>
      <w:proofErr w:type="spellEnd"/>
      <w:r w:rsidRPr="007B2BF1">
        <w:rPr>
          <w:rFonts w:cstheme="minorHAnsi"/>
          <w:sz w:val="20"/>
          <w:szCs w:val="20"/>
        </w:rPr>
        <w:t xml:space="preserve"> APT </w:t>
      </w:r>
      <w:r w:rsidRPr="007B2BF1">
        <w:rPr>
          <w:rFonts w:cstheme="minorHAnsi"/>
          <w:i/>
          <w:sz w:val="20"/>
          <w:szCs w:val="20"/>
        </w:rPr>
        <w:t>Monitoring Places of Detention: a practical guide</w:t>
      </w:r>
      <w:r w:rsidRPr="007B2BF1">
        <w:rPr>
          <w:rFonts w:cstheme="minorHAnsi"/>
          <w:sz w:val="20"/>
          <w:szCs w:val="20"/>
        </w:rPr>
        <w:t xml:space="preserve"> (2004); </w:t>
      </w:r>
      <w:r w:rsidRPr="007B2BF1">
        <w:rPr>
          <w:rFonts w:cstheme="minorHAnsi"/>
          <w:i/>
          <w:sz w:val="20"/>
          <w:szCs w:val="20"/>
        </w:rPr>
        <w:t>Monitoring Police Custody: a practical guide</w:t>
      </w:r>
      <w:r w:rsidRPr="007B2BF1">
        <w:rPr>
          <w:rFonts w:cstheme="minorHAnsi"/>
          <w:sz w:val="20"/>
          <w:szCs w:val="20"/>
        </w:rPr>
        <w:t xml:space="preserve"> (2013)</w:t>
      </w:r>
      <w:r w:rsidR="00BB3729">
        <w:rPr>
          <w:rFonts w:cstheme="minorHAnsi"/>
          <w:sz w:val="20"/>
          <w:szCs w:val="20"/>
        </w:rPr>
        <w:t>.</w:t>
      </w:r>
    </w:p>
  </w:footnote>
  <w:footnote w:id="12">
    <w:p w:rsidR="00620E8E" w:rsidRDefault="00620E8E" w:rsidP="00EF1384">
      <w:pPr>
        <w:pStyle w:val="FootnoteText"/>
      </w:pPr>
      <w:r>
        <w:rPr>
          <w:rStyle w:val="FootnoteReference"/>
        </w:rPr>
        <w:footnoteRef/>
      </w:r>
      <w:r>
        <w:t xml:space="preserve"> </w:t>
      </w:r>
      <w:r w:rsidR="005B5473" w:rsidRPr="005B5473">
        <w:rPr>
          <w:sz w:val="20"/>
          <w:szCs w:val="20"/>
        </w:rPr>
        <w:t>See http://www.ohchr.org/EN/HRBodies/OPCAT/Pages/NationalPreventiveMechanisms.aspx</w:t>
      </w:r>
    </w:p>
  </w:footnote>
  <w:footnote w:id="13">
    <w:p w:rsidR="00620E8E" w:rsidRPr="007B2BF1" w:rsidRDefault="00620E8E" w:rsidP="00EF1384">
      <w:pPr>
        <w:pStyle w:val="FootnoteText"/>
        <w:rPr>
          <w:rFonts w:cstheme="minorHAnsi"/>
          <w:sz w:val="20"/>
          <w:szCs w:val="20"/>
        </w:rPr>
      </w:pPr>
      <w:r w:rsidRPr="007B2BF1">
        <w:rPr>
          <w:rStyle w:val="FootnoteReference"/>
          <w:rFonts w:cstheme="minorHAnsi"/>
          <w:sz w:val="20"/>
        </w:rPr>
        <w:footnoteRef/>
      </w:r>
      <w:r w:rsidRPr="007B2BF1">
        <w:rPr>
          <w:rFonts w:cstheme="minorHAnsi"/>
          <w:sz w:val="20"/>
          <w:szCs w:val="20"/>
        </w:rPr>
        <w:t xml:space="preserve"> http://www.apt.ch/en/blog/nelson-mandela-rules-uk-npm/#.WXlX54SGOpo</w:t>
      </w:r>
    </w:p>
  </w:footnote>
  <w:footnote w:id="14">
    <w:p w:rsidR="00620E8E" w:rsidRPr="003B784D" w:rsidRDefault="00620E8E" w:rsidP="00EF1384">
      <w:pPr>
        <w:pStyle w:val="FootnoteText"/>
        <w:rPr>
          <w:i/>
        </w:rPr>
      </w:pPr>
      <w:r>
        <w:rPr>
          <w:rStyle w:val="FootnoteReference"/>
        </w:rPr>
        <w:footnoteRef/>
      </w:r>
      <w:r>
        <w:t xml:space="preserve"> </w:t>
      </w:r>
      <w:proofErr w:type="gramStart"/>
      <w:r w:rsidRPr="003B784D">
        <w:rPr>
          <w:sz w:val="20"/>
          <w:szCs w:val="20"/>
        </w:rPr>
        <w:t xml:space="preserve">Subcommittee on Prevention of Torture and Other Cruel, Inhuman or Degrading Treatment or Punishment </w:t>
      </w:r>
      <w:r w:rsidRPr="003B784D">
        <w:rPr>
          <w:i/>
          <w:sz w:val="20"/>
          <w:szCs w:val="20"/>
        </w:rPr>
        <w:t xml:space="preserve">Guidelines on National Preventive Mechanisms </w:t>
      </w:r>
      <w:r w:rsidR="003B784D" w:rsidRPr="003B784D">
        <w:rPr>
          <w:sz w:val="20"/>
          <w:szCs w:val="20"/>
        </w:rPr>
        <w:t>2010.</w:t>
      </w:r>
      <w:proofErr w:type="gramEnd"/>
    </w:p>
  </w:footnote>
  <w:footnote w:id="15">
    <w:p w:rsidR="00620E8E" w:rsidRDefault="00620E8E" w:rsidP="00EF1384">
      <w:pPr>
        <w:pStyle w:val="FootnoteText"/>
      </w:pPr>
      <w:r w:rsidRPr="003B784D">
        <w:rPr>
          <w:rStyle w:val="FootnoteReference"/>
        </w:rPr>
        <w:footnoteRef/>
      </w:r>
      <w:r w:rsidRPr="003B784D">
        <w:t xml:space="preserve"> </w:t>
      </w:r>
      <w:r w:rsidRPr="005674E9">
        <w:rPr>
          <w:sz w:val="20"/>
          <w:szCs w:val="20"/>
        </w:rPr>
        <w:t xml:space="preserve">See </w:t>
      </w:r>
      <w:r w:rsidRPr="003B784D">
        <w:rPr>
          <w:sz w:val="20"/>
          <w:szCs w:val="20"/>
        </w:rPr>
        <w:t>Harding and Morgan 2008</w:t>
      </w:r>
      <w:r w:rsidR="003B784D">
        <w:rPr>
          <w:sz w:val="20"/>
          <w:szCs w:val="20"/>
        </w:rPr>
        <w:t>, 45.</w:t>
      </w:r>
    </w:p>
  </w:footnote>
  <w:footnote w:id="16">
    <w:p w:rsidR="00E835AA" w:rsidRPr="00E835AA" w:rsidRDefault="00E835AA">
      <w:pPr>
        <w:pStyle w:val="FootnoteText"/>
      </w:pPr>
      <w:r>
        <w:rPr>
          <w:rStyle w:val="FootnoteReference"/>
        </w:rPr>
        <w:footnoteRef/>
      </w:r>
      <w:r>
        <w:t xml:space="preserve"> </w:t>
      </w:r>
      <w:r w:rsidRPr="00E835AA">
        <w:rPr>
          <w:sz w:val="20"/>
          <w:szCs w:val="20"/>
        </w:rPr>
        <w:t xml:space="preserve">See Sharon </w:t>
      </w:r>
      <w:proofErr w:type="spellStart"/>
      <w:r w:rsidRPr="00E835AA">
        <w:rPr>
          <w:sz w:val="20"/>
          <w:szCs w:val="20"/>
        </w:rPr>
        <w:t>Shalev</w:t>
      </w:r>
      <w:proofErr w:type="spellEnd"/>
      <w:r w:rsidRPr="00E835AA">
        <w:rPr>
          <w:sz w:val="20"/>
          <w:szCs w:val="20"/>
        </w:rPr>
        <w:t xml:space="preserve">, </w:t>
      </w:r>
      <w:r w:rsidRPr="00E835AA">
        <w:rPr>
          <w:i/>
          <w:sz w:val="20"/>
          <w:szCs w:val="20"/>
        </w:rPr>
        <w:t xml:space="preserve">Thinking Outside the Box? </w:t>
      </w:r>
      <w:proofErr w:type="gramStart"/>
      <w:r w:rsidRPr="00E835AA">
        <w:rPr>
          <w:i/>
          <w:sz w:val="20"/>
          <w:szCs w:val="20"/>
        </w:rPr>
        <w:t>A Review of Seclusion and Restraint Practices in New Zealand</w:t>
      </w:r>
      <w:r w:rsidRPr="00E835AA">
        <w:rPr>
          <w:sz w:val="20"/>
          <w:szCs w:val="20"/>
        </w:rPr>
        <w:t xml:space="preserve"> New Zealand Human Rights Commission 2017.</w:t>
      </w:r>
      <w:proofErr w:type="gramEnd"/>
    </w:p>
  </w:footnote>
  <w:footnote w:id="17">
    <w:p w:rsidR="00827680" w:rsidRDefault="00827680">
      <w:pPr>
        <w:pStyle w:val="FootnoteText"/>
      </w:pPr>
      <w:r>
        <w:rPr>
          <w:rStyle w:val="FootnoteReference"/>
        </w:rPr>
        <w:footnoteRef/>
      </w:r>
      <w:r>
        <w:t xml:space="preserve"> </w:t>
      </w:r>
      <w:r w:rsidRPr="00827680">
        <w:rPr>
          <w:sz w:val="20"/>
          <w:szCs w:val="20"/>
        </w:rPr>
        <w:t>https://s3-eu-west-2.amazonaws.com/npm-prod-storage-19n0nag2nk8xk/uploads/2017/02/NPM-Isolation-Guidance-FINAL.pdf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56FB9"/>
    <w:multiLevelType w:val="hybridMultilevel"/>
    <w:tmpl w:val="CF4628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46D40473"/>
    <w:multiLevelType w:val="hybridMultilevel"/>
    <w:tmpl w:val="A470F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59337E0"/>
    <w:multiLevelType w:val="hybridMultilevel"/>
    <w:tmpl w:val="056A1BC4"/>
    <w:lvl w:ilvl="0" w:tplc="79589A46">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416"/>
    <w:rsid w:val="0000191A"/>
    <w:rsid w:val="00027557"/>
    <w:rsid w:val="00070883"/>
    <w:rsid w:val="00071E47"/>
    <w:rsid w:val="000A59D9"/>
    <w:rsid w:val="000D0794"/>
    <w:rsid w:val="000F1BB5"/>
    <w:rsid w:val="0010404C"/>
    <w:rsid w:val="00110213"/>
    <w:rsid w:val="0013576B"/>
    <w:rsid w:val="0014045E"/>
    <w:rsid w:val="00160CCE"/>
    <w:rsid w:val="00175263"/>
    <w:rsid w:val="001D2071"/>
    <w:rsid w:val="001F49EC"/>
    <w:rsid w:val="00201A6C"/>
    <w:rsid w:val="00242A70"/>
    <w:rsid w:val="002525B9"/>
    <w:rsid w:val="002655AC"/>
    <w:rsid w:val="002660A4"/>
    <w:rsid w:val="003157C9"/>
    <w:rsid w:val="003340B2"/>
    <w:rsid w:val="0033747C"/>
    <w:rsid w:val="00354355"/>
    <w:rsid w:val="003603B3"/>
    <w:rsid w:val="003B42BB"/>
    <w:rsid w:val="003B784D"/>
    <w:rsid w:val="00437B0C"/>
    <w:rsid w:val="004A4E11"/>
    <w:rsid w:val="004C59D0"/>
    <w:rsid w:val="004E4071"/>
    <w:rsid w:val="004E4D6F"/>
    <w:rsid w:val="005059AF"/>
    <w:rsid w:val="005674E9"/>
    <w:rsid w:val="00583454"/>
    <w:rsid w:val="005A666D"/>
    <w:rsid w:val="005B5473"/>
    <w:rsid w:val="006130CE"/>
    <w:rsid w:val="00620E8E"/>
    <w:rsid w:val="00662564"/>
    <w:rsid w:val="006874C9"/>
    <w:rsid w:val="00720075"/>
    <w:rsid w:val="00742CC0"/>
    <w:rsid w:val="00794AE8"/>
    <w:rsid w:val="007E21B9"/>
    <w:rsid w:val="00823C61"/>
    <w:rsid w:val="00827680"/>
    <w:rsid w:val="00830AB0"/>
    <w:rsid w:val="00841819"/>
    <w:rsid w:val="00864D62"/>
    <w:rsid w:val="00893018"/>
    <w:rsid w:val="0089670F"/>
    <w:rsid w:val="008A416B"/>
    <w:rsid w:val="008A44EB"/>
    <w:rsid w:val="008B4ABA"/>
    <w:rsid w:val="008C4211"/>
    <w:rsid w:val="00944F13"/>
    <w:rsid w:val="009461B1"/>
    <w:rsid w:val="009539BA"/>
    <w:rsid w:val="00971416"/>
    <w:rsid w:val="00974C3E"/>
    <w:rsid w:val="0098456E"/>
    <w:rsid w:val="00A00FCB"/>
    <w:rsid w:val="00A159F3"/>
    <w:rsid w:val="00A63561"/>
    <w:rsid w:val="00A75802"/>
    <w:rsid w:val="00A87696"/>
    <w:rsid w:val="00AF3D9D"/>
    <w:rsid w:val="00B07263"/>
    <w:rsid w:val="00B43875"/>
    <w:rsid w:val="00B51DE7"/>
    <w:rsid w:val="00BB3729"/>
    <w:rsid w:val="00C2097D"/>
    <w:rsid w:val="00C60CA5"/>
    <w:rsid w:val="00D0287F"/>
    <w:rsid w:val="00D22002"/>
    <w:rsid w:val="00D5426B"/>
    <w:rsid w:val="00D611CF"/>
    <w:rsid w:val="00D709EB"/>
    <w:rsid w:val="00D9096D"/>
    <w:rsid w:val="00E35A1B"/>
    <w:rsid w:val="00E55763"/>
    <w:rsid w:val="00E73A94"/>
    <w:rsid w:val="00E835AA"/>
    <w:rsid w:val="00EA3423"/>
    <w:rsid w:val="00EF1384"/>
    <w:rsid w:val="00F57E9C"/>
    <w:rsid w:val="00F86DCE"/>
    <w:rsid w:val="00F90178"/>
    <w:rsid w:val="00FB4D29"/>
    <w:rsid w:val="00FB6B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416"/>
    <w:pPr>
      <w:spacing w:after="0" w:line="240" w:lineRule="auto"/>
    </w:pPr>
    <w:rPr>
      <w:rFonts w:ascii="Arial" w:eastAsia="Times New Roman"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1416"/>
    <w:rPr>
      <w:sz w:val="12"/>
    </w:rPr>
  </w:style>
  <w:style w:type="character" w:customStyle="1" w:styleId="HeaderChar">
    <w:name w:val="Header Char"/>
    <w:basedOn w:val="DefaultParagraphFont"/>
    <w:link w:val="Header"/>
    <w:rsid w:val="00971416"/>
    <w:rPr>
      <w:rFonts w:ascii="Arial" w:eastAsia="Times New Roman" w:hAnsi="Arial" w:cs="Arial"/>
      <w:sz w:val="12"/>
      <w:szCs w:val="20"/>
    </w:rPr>
  </w:style>
  <w:style w:type="paragraph" w:styleId="Footer">
    <w:name w:val="footer"/>
    <w:basedOn w:val="Normal"/>
    <w:link w:val="FooterChar"/>
    <w:rsid w:val="00971416"/>
    <w:rPr>
      <w:sz w:val="12"/>
    </w:rPr>
  </w:style>
  <w:style w:type="character" w:customStyle="1" w:styleId="FooterChar">
    <w:name w:val="Footer Char"/>
    <w:basedOn w:val="DefaultParagraphFont"/>
    <w:link w:val="Footer"/>
    <w:rsid w:val="00971416"/>
    <w:rPr>
      <w:rFonts w:ascii="Arial" w:eastAsia="Times New Roman" w:hAnsi="Arial" w:cs="Arial"/>
      <w:sz w:val="12"/>
      <w:szCs w:val="20"/>
    </w:rPr>
  </w:style>
  <w:style w:type="paragraph" w:styleId="BalloonText">
    <w:name w:val="Balloon Text"/>
    <w:basedOn w:val="Normal"/>
    <w:link w:val="BalloonTextChar"/>
    <w:uiPriority w:val="99"/>
    <w:semiHidden/>
    <w:unhideWhenUsed/>
    <w:rsid w:val="00971416"/>
    <w:rPr>
      <w:rFonts w:ascii="Tahoma" w:hAnsi="Tahoma" w:cs="Tahoma"/>
      <w:sz w:val="16"/>
      <w:szCs w:val="16"/>
    </w:rPr>
  </w:style>
  <w:style w:type="character" w:customStyle="1" w:styleId="BalloonTextChar">
    <w:name w:val="Balloon Text Char"/>
    <w:basedOn w:val="DefaultParagraphFont"/>
    <w:link w:val="BalloonText"/>
    <w:uiPriority w:val="99"/>
    <w:semiHidden/>
    <w:rsid w:val="00971416"/>
    <w:rPr>
      <w:rFonts w:ascii="Tahoma" w:eastAsia="Times New Roman" w:hAnsi="Tahoma" w:cs="Tahoma"/>
      <w:sz w:val="16"/>
      <w:szCs w:val="16"/>
    </w:rPr>
  </w:style>
  <w:style w:type="paragraph" w:styleId="ListParagraph">
    <w:name w:val="List Paragraph"/>
    <w:basedOn w:val="Normal"/>
    <w:uiPriority w:val="34"/>
    <w:qFormat/>
    <w:rsid w:val="00EF1384"/>
    <w:pPr>
      <w:spacing w:after="200" w:line="276" w:lineRule="auto"/>
      <w:ind w:left="720"/>
      <w:contextualSpacing/>
    </w:pPr>
    <w:rPr>
      <w:rFonts w:asciiTheme="minorHAnsi" w:eastAsiaTheme="minorHAnsi" w:hAnsiTheme="minorHAnsi" w:cstheme="minorBidi"/>
      <w:szCs w:val="22"/>
    </w:rPr>
  </w:style>
  <w:style w:type="character" w:styleId="FootnoteReference">
    <w:name w:val="footnote reference"/>
    <w:aliases w:val="Footnotes refss,Footnote number,Ref,de nota al pie,opcalrc,callout,4_G"/>
    <w:basedOn w:val="DefaultParagraphFont"/>
    <w:uiPriority w:val="99"/>
    <w:unhideWhenUsed/>
    <w:qFormat/>
    <w:rsid w:val="00EF1384"/>
    <w:rPr>
      <w:vertAlign w:val="superscript"/>
    </w:rPr>
  </w:style>
  <w:style w:type="paragraph" w:styleId="FootnoteText">
    <w:name w:val="footnote text"/>
    <w:basedOn w:val="Normal"/>
    <w:link w:val="FootnoteTextChar"/>
    <w:uiPriority w:val="99"/>
    <w:unhideWhenUsed/>
    <w:rsid w:val="00EF1384"/>
    <w:rPr>
      <w:rFonts w:asciiTheme="minorHAnsi" w:eastAsiaTheme="minorHAnsi" w:hAnsiTheme="minorHAnsi" w:cstheme="minorBidi"/>
      <w:sz w:val="24"/>
      <w:szCs w:val="24"/>
    </w:rPr>
  </w:style>
  <w:style w:type="character" w:customStyle="1" w:styleId="FootnoteTextChar">
    <w:name w:val="Footnote Text Char"/>
    <w:basedOn w:val="DefaultParagraphFont"/>
    <w:link w:val="FootnoteText"/>
    <w:uiPriority w:val="99"/>
    <w:rsid w:val="00EF1384"/>
    <w:rPr>
      <w:sz w:val="24"/>
      <w:szCs w:val="24"/>
    </w:rPr>
  </w:style>
  <w:style w:type="character" w:styleId="Hyperlink">
    <w:name w:val="Hyperlink"/>
    <w:basedOn w:val="DefaultParagraphFont"/>
    <w:uiPriority w:val="99"/>
    <w:unhideWhenUsed/>
    <w:rsid w:val="00EF13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416"/>
    <w:pPr>
      <w:spacing w:after="0" w:line="240" w:lineRule="auto"/>
    </w:pPr>
    <w:rPr>
      <w:rFonts w:ascii="Arial" w:eastAsia="Times New Roman"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1416"/>
    <w:rPr>
      <w:sz w:val="12"/>
    </w:rPr>
  </w:style>
  <w:style w:type="character" w:customStyle="1" w:styleId="HeaderChar">
    <w:name w:val="Header Char"/>
    <w:basedOn w:val="DefaultParagraphFont"/>
    <w:link w:val="Header"/>
    <w:rsid w:val="00971416"/>
    <w:rPr>
      <w:rFonts w:ascii="Arial" w:eastAsia="Times New Roman" w:hAnsi="Arial" w:cs="Arial"/>
      <w:sz w:val="12"/>
      <w:szCs w:val="20"/>
    </w:rPr>
  </w:style>
  <w:style w:type="paragraph" w:styleId="Footer">
    <w:name w:val="footer"/>
    <w:basedOn w:val="Normal"/>
    <w:link w:val="FooterChar"/>
    <w:rsid w:val="00971416"/>
    <w:rPr>
      <w:sz w:val="12"/>
    </w:rPr>
  </w:style>
  <w:style w:type="character" w:customStyle="1" w:styleId="FooterChar">
    <w:name w:val="Footer Char"/>
    <w:basedOn w:val="DefaultParagraphFont"/>
    <w:link w:val="Footer"/>
    <w:rsid w:val="00971416"/>
    <w:rPr>
      <w:rFonts w:ascii="Arial" w:eastAsia="Times New Roman" w:hAnsi="Arial" w:cs="Arial"/>
      <w:sz w:val="12"/>
      <w:szCs w:val="20"/>
    </w:rPr>
  </w:style>
  <w:style w:type="paragraph" w:styleId="BalloonText">
    <w:name w:val="Balloon Text"/>
    <w:basedOn w:val="Normal"/>
    <w:link w:val="BalloonTextChar"/>
    <w:uiPriority w:val="99"/>
    <w:semiHidden/>
    <w:unhideWhenUsed/>
    <w:rsid w:val="00971416"/>
    <w:rPr>
      <w:rFonts w:ascii="Tahoma" w:hAnsi="Tahoma" w:cs="Tahoma"/>
      <w:sz w:val="16"/>
      <w:szCs w:val="16"/>
    </w:rPr>
  </w:style>
  <w:style w:type="character" w:customStyle="1" w:styleId="BalloonTextChar">
    <w:name w:val="Balloon Text Char"/>
    <w:basedOn w:val="DefaultParagraphFont"/>
    <w:link w:val="BalloonText"/>
    <w:uiPriority w:val="99"/>
    <w:semiHidden/>
    <w:rsid w:val="00971416"/>
    <w:rPr>
      <w:rFonts w:ascii="Tahoma" w:eastAsia="Times New Roman" w:hAnsi="Tahoma" w:cs="Tahoma"/>
      <w:sz w:val="16"/>
      <w:szCs w:val="16"/>
    </w:rPr>
  </w:style>
  <w:style w:type="paragraph" w:styleId="ListParagraph">
    <w:name w:val="List Paragraph"/>
    <w:basedOn w:val="Normal"/>
    <w:uiPriority w:val="34"/>
    <w:qFormat/>
    <w:rsid w:val="00EF1384"/>
    <w:pPr>
      <w:spacing w:after="200" w:line="276" w:lineRule="auto"/>
      <w:ind w:left="720"/>
      <w:contextualSpacing/>
    </w:pPr>
    <w:rPr>
      <w:rFonts w:asciiTheme="minorHAnsi" w:eastAsiaTheme="minorHAnsi" w:hAnsiTheme="minorHAnsi" w:cstheme="minorBidi"/>
      <w:szCs w:val="22"/>
    </w:rPr>
  </w:style>
  <w:style w:type="character" w:styleId="FootnoteReference">
    <w:name w:val="footnote reference"/>
    <w:aliases w:val="Footnotes refss,Footnote number,Ref,de nota al pie,opcalrc,callout,4_G"/>
    <w:basedOn w:val="DefaultParagraphFont"/>
    <w:uiPriority w:val="99"/>
    <w:unhideWhenUsed/>
    <w:qFormat/>
    <w:rsid w:val="00EF1384"/>
    <w:rPr>
      <w:vertAlign w:val="superscript"/>
    </w:rPr>
  </w:style>
  <w:style w:type="paragraph" w:styleId="FootnoteText">
    <w:name w:val="footnote text"/>
    <w:basedOn w:val="Normal"/>
    <w:link w:val="FootnoteTextChar"/>
    <w:uiPriority w:val="99"/>
    <w:unhideWhenUsed/>
    <w:rsid w:val="00EF1384"/>
    <w:rPr>
      <w:rFonts w:asciiTheme="minorHAnsi" w:eastAsiaTheme="minorHAnsi" w:hAnsiTheme="minorHAnsi" w:cstheme="minorBidi"/>
      <w:sz w:val="24"/>
      <w:szCs w:val="24"/>
    </w:rPr>
  </w:style>
  <w:style w:type="character" w:customStyle="1" w:styleId="FootnoteTextChar">
    <w:name w:val="Footnote Text Char"/>
    <w:basedOn w:val="DefaultParagraphFont"/>
    <w:link w:val="FootnoteText"/>
    <w:uiPriority w:val="99"/>
    <w:rsid w:val="00EF1384"/>
    <w:rPr>
      <w:sz w:val="24"/>
      <w:szCs w:val="24"/>
    </w:rPr>
  </w:style>
  <w:style w:type="character" w:styleId="Hyperlink">
    <w:name w:val="Hyperlink"/>
    <w:basedOn w:val="DefaultParagraphFont"/>
    <w:uiPriority w:val="99"/>
    <w:unhideWhenUsed/>
    <w:rsid w:val="00EF13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0" Type="http://schemas.openxmlformats.org/officeDocument/2006/relationships/hyperlink" Target="mailto:humanrights.commissioner@humanrights.gov.a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5063641-0BDC-4A18-B36F-1FF04D27E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5</Pages>
  <Words>2530</Words>
  <Characters>14427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RMIT University</Company>
  <LinksUpToDate>false</LinksUpToDate>
  <CharactersWithSpaces>16924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Bronwyn Naylor</dc:creator>
  <cp:lastModifiedBy>Bronwyn Naylor</cp:lastModifiedBy>
  <cp:revision>98</cp:revision>
  <cp:lastPrinted>2017-07-29T22:35:00Z</cp:lastPrinted>
  <dcterms:created xsi:type="dcterms:W3CDTF">2017-07-27T06:35:00Z</dcterms:created>
  <dcterms:modified xsi:type="dcterms:W3CDTF">2017-07-29T22:35:00Z</dcterms:modified>
</cp:coreProperties>
</file>