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078" w:rsidRPr="007E5767" w:rsidRDefault="00457C34" w:rsidP="003E46D9">
      <w:pPr>
        <w:pStyle w:val="MainTitle"/>
        <w:spacing w:before="360" w:after="120"/>
        <w:rPr>
          <w:rFonts w:cs="Arial"/>
          <w:sz w:val="34"/>
          <w:szCs w:val="34"/>
        </w:rPr>
      </w:pPr>
      <w:bookmarkStart w:id="0" w:name="_GoBack"/>
      <w:bookmarkEnd w:id="0"/>
      <w:r w:rsidRPr="007E5767">
        <w:rPr>
          <w:rFonts w:cs="Arial"/>
          <w:sz w:val="34"/>
          <w:szCs w:val="34"/>
        </w:rPr>
        <w:t>Australian Human Rights Commission</w:t>
      </w:r>
      <w:r w:rsidR="007E5767" w:rsidRPr="007E5767">
        <w:rPr>
          <w:rFonts w:cs="Arial"/>
          <w:sz w:val="34"/>
          <w:szCs w:val="34"/>
        </w:rPr>
        <w:t xml:space="preserve"> </w:t>
      </w:r>
      <w:r w:rsidRPr="007E5767">
        <w:rPr>
          <w:rFonts w:cs="Arial"/>
          <w:sz w:val="34"/>
          <w:szCs w:val="34"/>
        </w:rPr>
        <w:sym w:font="Symbol" w:char="F0B7"/>
      </w:r>
      <w:r w:rsidR="003E46D9">
        <w:rPr>
          <w:rFonts w:cs="Arial"/>
          <w:sz w:val="34"/>
          <w:szCs w:val="34"/>
        </w:rPr>
        <w:br/>
      </w:r>
      <w:r w:rsidRPr="007E5767">
        <w:rPr>
          <w:rFonts w:cs="Arial"/>
          <w:sz w:val="34"/>
          <w:szCs w:val="34"/>
        </w:rPr>
        <w:t>Investigation and Conciliation Service</w:t>
      </w:r>
    </w:p>
    <w:p w:rsidR="00B924E6" w:rsidRDefault="003E46D9" w:rsidP="00960EFD">
      <w:pPr>
        <w:pStyle w:val="TitlewithLine"/>
      </w:pPr>
      <w:bookmarkStart w:id="1" w:name="_Toc209316062"/>
      <w:bookmarkEnd w:id="1"/>
      <w:r>
        <w:t>Information for advocates and lawyers participating in conciliation</w:t>
      </w:r>
    </w:p>
    <w:p w:rsidR="003E46D9" w:rsidRDefault="003E46D9" w:rsidP="003E46D9">
      <w:pPr>
        <w:spacing w:before="360"/>
      </w:pPr>
      <w:r>
        <w:t>The Commission values the positive role that advocates and lawyers can play in conciliation. Advocates and lawyers can provide important support to parties, assist parties understand and articulate how they see the law applies to a complaint and advise parties on possible options to resolve the complaint.</w:t>
      </w:r>
    </w:p>
    <w:p w:rsidR="003E46D9" w:rsidRDefault="003E46D9" w:rsidP="003E46D9">
      <w:r>
        <w:t>Conciliators at the Commission decide whether it is appropriate for an advocate or lawyer to participate in conciliation and the role that an advocate or lawyer will play. These decisions are made on a case by case basis, in consultation with the parties and with a view to ensuring a fair process that is consistent with the underlying principles of Alternative Dispute Resolution.</w:t>
      </w:r>
    </w:p>
    <w:p w:rsidR="003E46D9" w:rsidRDefault="003E46D9" w:rsidP="003E46D9">
      <w:r>
        <w:t xml:space="preserve">The Commission has certain expectations of advocates and lawyers when they participate in a conciliation process and these are explained in this document. </w:t>
      </w:r>
    </w:p>
    <w:p w:rsidR="003E46D9" w:rsidRDefault="003E46D9" w:rsidP="003E46D9">
      <w:pPr>
        <w:pStyle w:val="Heading1"/>
      </w:pPr>
      <w:r>
        <w:t>Before conciliation</w:t>
      </w:r>
    </w:p>
    <w:p w:rsidR="003E46D9" w:rsidRPr="00B751AB" w:rsidRDefault="003E46D9" w:rsidP="003E46D9">
      <w:r>
        <w:t>In preparation for a conciliation process the</w:t>
      </w:r>
      <w:r w:rsidRPr="00B751AB">
        <w:t xml:space="preserve"> Commission expects advocates and lawyers to</w:t>
      </w:r>
      <w:r>
        <w:t>:</w:t>
      </w:r>
    </w:p>
    <w:p w:rsidR="003E46D9" w:rsidRPr="0085164C" w:rsidRDefault="003E46D9" w:rsidP="003E46D9">
      <w:pPr>
        <w:pStyle w:val="ListParagraph"/>
        <w:numPr>
          <w:ilvl w:val="0"/>
          <w:numId w:val="30"/>
        </w:numPr>
      </w:pPr>
      <w:r w:rsidRPr="0085164C">
        <w:t>be available to discuss the complaint and their client</w:t>
      </w:r>
      <w:r>
        <w:t>’</w:t>
      </w:r>
      <w:r w:rsidRPr="0085164C">
        <w:t>s views with the conciliator;</w:t>
      </w:r>
    </w:p>
    <w:p w:rsidR="003E46D9" w:rsidRPr="0085164C" w:rsidRDefault="003E46D9" w:rsidP="003E46D9">
      <w:pPr>
        <w:pStyle w:val="ListParagraph"/>
        <w:numPr>
          <w:ilvl w:val="0"/>
          <w:numId w:val="30"/>
        </w:numPr>
      </w:pPr>
      <w:r w:rsidRPr="0085164C">
        <w:t>make all reasonable efforts to attend conciliation conferences on the scheduled date and provide adequate notice and reasons if unable to attend;</w:t>
      </w:r>
    </w:p>
    <w:p w:rsidR="003E46D9" w:rsidRDefault="003E46D9" w:rsidP="003E46D9">
      <w:pPr>
        <w:pStyle w:val="ListParagraph"/>
        <w:numPr>
          <w:ilvl w:val="0"/>
          <w:numId w:val="30"/>
        </w:numPr>
      </w:pPr>
      <w:r>
        <w:t>provide any information requested by the conciliator in a timely manner;</w:t>
      </w:r>
    </w:p>
    <w:p w:rsidR="003E46D9" w:rsidRDefault="003E46D9" w:rsidP="003E46D9">
      <w:pPr>
        <w:pStyle w:val="ListParagraph"/>
        <w:numPr>
          <w:ilvl w:val="0"/>
          <w:numId w:val="30"/>
        </w:numPr>
      </w:pPr>
      <w:r>
        <w:t>help their client understand the benefits of conciliation;</w:t>
      </w:r>
    </w:p>
    <w:p w:rsidR="003E46D9" w:rsidRDefault="003E46D9" w:rsidP="003E46D9">
      <w:pPr>
        <w:pStyle w:val="ListParagraph"/>
        <w:numPr>
          <w:ilvl w:val="0"/>
          <w:numId w:val="30"/>
        </w:numPr>
      </w:pPr>
      <w:r>
        <w:t xml:space="preserve">understand and advise their client about the law and the apparent strengths and weaknesses of the complaint; </w:t>
      </w:r>
    </w:p>
    <w:p w:rsidR="003E46D9" w:rsidRDefault="003E46D9" w:rsidP="003E46D9">
      <w:pPr>
        <w:pStyle w:val="ListParagraph"/>
        <w:numPr>
          <w:ilvl w:val="0"/>
          <w:numId w:val="30"/>
        </w:numPr>
      </w:pPr>
      <w:r>
        <w:t>advise their client about what may happen if the complaint is not resolved, including helping the client understand the potential risks and/or benefits of pursuing or defending a complaint in court; and</w:t>
      </w:r>
    </w:p>
    <w:p w:rsidR="003E46D9" w:rsidRPr="003E46D9" w:rsidRDefault="003E46D9" w:rsidP="003E46D9">
      <w:pPr>
        <w:pStyle w:val="ListParagraph"/>
        <w:numPr>
          <w:ilvl w:val="0"/>
          <w:numId w:val="30"/>
        </w:numPr>
        <w:rPr>
          <w:b/>
        </w:rPr>
      </w:pPr>
      <w:r>
        <w:t xml:space="preserve">assist their client proactively consider a range of options to resolve the complaint, prioritise these options and explore areas for compromise. </w:t>
      </w:r>
    </w:p>
    <w:p w:rsidR="003E46D9" w:rsidRPr="00E16FAD" w:rsidRDefault="003E46D9" w:rsidP="003E46D9">
      <w:pPr>
        <w:pStyle w:val="Heading1"/>
      </w:pPr>
      <w:r w:rsidRPr="00E16FAD">
        <w:lastRenderedPageBreak/>
        <w:t>During conciliation</w:t>
      </w:r>
    </w:p>
    <w:p w:rsidR="003E46D9" w:rsidRDefault="003E46D9" w:rsidP="003E46D9">
      <w:r>
        <w:t>During a conciliation process the Commission expects advocates and lawyers to:</w:t>
      </w:r>
    </w:p>
    <w:p w:rsidR="003E46D9" w:rsidRPr="003E46D9" w:rsidRDefault="003E46D9" w:rsidP="003E46D9">
      <w:pPr>
        <w:pStyle w:val="ListParagraph"/>
        <w:numPr>
          <w:ilvl w:val="0"/>
          <w:numId w:val="31"/>
        </w:numPr>
        <w:ind w:left="714" w:hanging="357"/>
      </w:pPr>
      <w:r w:rsidRPr="003E46D9">
        <w:t>genuinely participate with the aim of trying to resolve the complaint and encourage their client to do likewise;</w:t>
      </w:r>
    </w:p>
    <w:p w:rsidR="003E46D9" w:rsidRPr="003E46D9" w:rsidRDefault="003E46D9" w:rsidP="003E46D9">
      <w:pPr>
        <w:pStyle w:val="ListParagraph"/>
        <w:numPr>
          <w:ilvl w:val="0"/>
          <w:numId w:val="31"/>
        </w:numPr>
        <w:ind w:left="714" w:hanging="357"/>
      </w:pPr>
      <w:r w:rsidRPr="003E46D9">
        <w:t>cooperate with the conciliator;</w:t>
      </w:r>
    </w:p>
    <w:p w:rsidR="003E46D9" w:rsidRPr="003E46D9" w:rsidRDefault="003E46D9" w:rsidP="003E46D9">
      <w:pPr>
        <w:pStyle w:val="ListParagraph"/>
        <w:numPr>
          <w:ilvl w:val="0"/>
          <w:numId w:val="31"/>
        </w:numPr>
        <w:ind w:left="714" w:hanging="357"/>
      </w:pPr>
      <w:r w:rsidRPr="003E46D9">
        <w:t>encourage their client to directly participate in the conciliation process, where appropriate;</w:t>
      </w:r>
    </w:p>
    <w:p w:rsidR="003E46D9" w:rsidRPr="003E46D9" w:rsidRDefault="003E46D9" w:rsidP="003E46D9">
      <w:pPr>
        <w:pStyle w:val="ListParagraph"/>
        <w:numPr>
          <w:ilvl w:val="0"/>
          <w:numId w:val="31"/>
        </w:numPr>
        <w:ind w:left="714" w:hanging="357"/>
      </w:pPr>
      <w:r w:rsidRPr="003E46D9">
        <w:t>communicate in a conciliatory manner including listening to the other party’s views and treating all participants with respect and courtesy;</w:t>
      </w:r>
    </w:p>
    <w:p w:rsidR="003E46D9" w:rsidRPr="003E46D9" w:rsidRDefault="003E46D9" w:rsidP="003E46D9">
      <w:pPr>
        <w:pStyle w:val="ListParagraph"/>
        <w:numPr>
          <w:ilvl w:val="0"/>
          <w:numId w:val="31"/>
        </w:numPr>
        <w:ind w:left="714" w:hanging="357"/>
      </w:pPr>
      <w:r w:rsidRPr="003E46D9">
        <w:t xml:space="preserve">respect the difference between conciliation and an adversarial court process and refrain from actions such as cross-examination or seeking determination of legal issues; </w:t>
      </w:r>
    </w:p>
    <w:p w:rsidR="003E46D9" w:rsidRPr="003E46D9" w:rsidRDefault="003E46D9" w:rsidP="003E46D9">
      <w:pPr>
        <w:pStyle w:val="ListParagraph"/>
        <w:numPr>
          <w:ilvl w:val="0"/>
          <w:numId w:val="31"/>
        </w:numPr>
        <w:ind w:left="714" w:hanging="357"/>
      </w:pPr>
      <w:r w:rsidRPr="003E46D9">
        <w:t xml:space="preserve">ensure their client understands what is required in relation to confidentiality; </w:t>
      </w:r>
    </w:p>
    <w:p w:rsidR="003E46D9" w:rsidRPr="003E46D9" w:rsidRDefault="003E46D9" w:rsidP="003E46D9">
      <w:pPr>
        <w:pStyle w:val="ListParagraph"/>
        <w:numPr>
          <w:ilvl w:val="0"/>
          <w:numId w:val="31"/>
        </w:numPr>
        <w:ind w:left="714" w:hanging="357"/>
      </w:pPr>
      <w:r w:rsidRPr="003E46D9">
        <w:t xml:space="preserve">actively assist their client explore all possible options for resolution; and </w:t>
      </w:r>
    </w:p>
    <w:p w:rsidR="003E46D9" w:rsidRPr="003E46D9" w:rsidRDefault="003E46D9" w:rsidP="003E46D9">
      <w:pPr>
        <w:pStyle w:val="ListParagraph"/>
        <w:numPr>
          <w:ilvl w:val="0"/>
          <w:numId w:val="31"/>
        </w:numPr>
        <w:ind w:left="714" w:hanging="357"/>
      </w:pPr>
      <w:r w:rsidRPr="003E46D9">
        <w:t>be prepared to assist in negotiations regarding the preferred form and content of any conciliation agreement.</w:t>
      </w:r>
    </w:p>
    <w:p w:rsidR="003E46D9" w:rsidRPr="00E16FAD" w:rsidRDefault="003E46D9" w:rsidP="003E46D9">
      <w:pPr>
        <w:pStyle w:val="Heading1"/>
      </w:pPr>
      <w:r w:rsidRPr="00E16FAD">
        <w:t>After conciliation</w:t>
      </w:r>
    </w:p>
    <w:p w:rsidR="003E46D9" w:rsidRDefault="003E46D9" w:rsidP="003E46D9">
      <w:r>
        <w:t xml:space="preserve">Following the conclusion of a conciliation process the Commission expects that advocates and lawyers will: </w:t>
      </w:r>
    </w:p>
    <w:p w:rsidR="003E46D9" w:rsidRDefault="003E46D9" w:rsidP="003E46D9">
      <w:pPr>
        <w:pStyle w:val="ListParagraph"/>
        <w:numPr>
          <w:ilvl w:val="0"/>
          <w:numId w:val="32"/>
        </w:numPr>
      </w:pPr>
      <w:r>
        <w:t xml:space="preserve">complete any tasks agreed to at conciliation, such as drafting an agreement in a timely manner; and </w:t>
      </w:r>
    </w:p>
    <w:p w:rsidR="003E46D9" w:rsidRDefault="003E46D9" w:rsidP="003E46D9">
      <w:pPr>
        <w:pStyle w:val="ListParagraph"/>
        <w:numPr>
          <w:ilvl w:val="0"/>
          <w:numId w:val="32"/>
        </w:numPr>
      </w:pPr>
      <w:r>
        <w:t>cooperate with the Commission in relation to any other action necessary to finalise the complaint.</w:t>
      </w:r>
    </w:p>
    <w:p w:rsidR="003E46D9" w:rsidRPr="00026A58" w:rsidRDefault="003E46D9" w:rsidP="003E46D9">
      <w:pPr>
        <w:pStyle w:val="Heading1"/>
      </w:pPr>
      <w:r>
        <w:t>More information</w:t>
      </w:r>
    </w:p>
    <w:p w:rsidR="003E46D9" w:rsidRDefault="003E46D9" w:rsidP="003E46D9">
      <w:r>
        <w:t xml:space="preserve">If you would like to understand more about how you can positively participate in the Commission’s conciliation process, please contact the officer responsible for your client’s complaint. </w:t>
      </w:r>
    </w:p>
    <w:p w:rsidR="003E46D9" w:rsidRDefault="003E46D9" w:rsidP="003E46D9">
      <w:r>
        <w:t>Additional information about federal discrimination law and conciliation is available on the Commission’s website. This includes:</w:t>
      </w:r>
    </w:p>
    <w:p w:rsidR="003E46D9" w:rsidRPr="003E46D9" w:rsidRDefault="003E46D9" w:rsidP="003E46D9">
      <w:pPr>
        <w:pStyle w:val="ListParagraph"/>
        <w:numPr>
          <w:ilvl w:val="0"/>
          <w:numId w:val="33"/>
        </w:numPr>
        <w:rPr>
          <w:rStyle w:val="Hyperlink"/>
        </w:rPr>
      </w:pPr>
      <w:r>
        <w:t>a video on the Commission’s conciliation process</w:t>
      </w:r>
      <w:r>
        <w:br/>
      </w:r>
      <w:hyperlink r:id="rId7" w:history="1">
        <w:r w:rsidRPr="003E46D9">
          <w:rPr>
            <w:rStyle w:val="Hyperlink"/>
          </w:rPr>
          <w:t>www.humanrights.gov.au/complaints_information/pathways_to_resolution/index.html</w:t>
        </w:r>
      </w:hyperlink>
    </w:p>
    <w:p w:rsidR="003E46D9" w:rsidRDefault="003E46D9" w:rsidP="003E46D9">
      <w:pPr>
        <w:pStyle w:val="ListParagraph"/>
        <w:numPr>
          <w:ilvl w:val="0"/>
          <w:numId w:val="33"/>
        </w:numPr>
      </w:pPr>
      <w:r w:rsidRPr="003E46D9">
        <w:t>information sheets about understanding and preparing for conciliation</w:t>
      </w:r>
      <w:r w:rsidRPr="003E46D9">
        <w:br/>
      </w:r>
      <w:hyperlink r:id="rId8" w:history="1">
        <w:r w:rsidRPr="00B045FF">
          <w:rPr>
            <w:rStyle w:val="Hyperlink"/>
          </w:rPr>
          <w:t>www.humanrights.gov.au/complaints_information/UPC/index.html</w:t>
        </w:r>
      </w:hyperlink>
    </w:p>
    <w:p w:rsidR="003E46D9" w:rsidRPr="0007665D" w:rsidRDefault="003E46D9" w:rsidP="003E46D9">
      <w:pPr>
        <w:pStyle w:val="ListParagraph"/>
        <w:numPr>
          <w:ilvl w:val="0"/>
          <w:numId w:val="33"/>
        </w:numPr>
      </w:pPr>
      <w:r w:rsidRPr="003E46D9">
        <w:lastRenderedPageBreak/>
        <w:t>a Conciliation Register which provides de-identified summaries of complaints and information about how these complaints were resolved</w:t>
      </w:r>
      <w:r w:rsidRPr="003E46D9">
        <w:br/>
      </w:r>
      <w:hyperlink r:id="rId9" w:history="1">
        <w:r w:rsidRPr="00B045FF">
          <w:rPr>
            <w:rStyle w:val="Hyperlink"/>
          </w:rPr>
          <w:t>www.humanrights.gov.au/complaints_information/register/index.html</w:t>
        </w:r>
      </w:hyperlink>
    </w:p>
    <w:p w:rsidR="003E46D9" w:rsidRDefault="003E46D9" w:rsidP="003E46D9">
      <w:pPr>
        <w:pStyle w:val="ListParagraph"/>
        <w:numPr>
          <w:ilvl w:val="0"/>
          <w:numId w:val="33"/>
        </w:numPr>
      </w:pPr>
      <w:r w:rsidRPr="003E46D9">
        <w:rPr>
          <w:rStyle w:val="Hyperlink"/>
          <w:rFonts w:cs="Arial"/>
          <w:color w:val="auto"/>
          <w:u w:val="none"/>
        </w:rPr>
        <w:t xml:space="preserve">a publication which provides a </w:t>
      </w:r>
      <w:r w:rsidRPr="003E46D9">
        <w:rPr>
          <w:rFonts w:cs="Arial"/>
        </w:rPr>
        <w:t>comprehensive overview of case law decided under Australia's federal discrimination law</w:t>
      </w:r>
      <w:r w:rsidRPr="003E46D9">
        <w:rPr>
          <w:rFonts w:cs="Arial"/>
        </w:rPr>
        <w:br/>
      </w:r>
      <w:hyperlink r:id="rId10" w:history="1">
        <w:r w:rsidRPr="00B045FF">
          <w:rPr>
            <w:rStyle w:val="Hyperlink"/>
          </w:rPr>
          <w:t>www.humanrights.gov.au/legal/FDL/index.html</w:t>
        </w:r>
      </w:hyperlink>
    </w:p>
    <w:p w:rsidR="00457C34" w:rsidRDefault="00457C34" w:rsidP="003E46D9">
      <w:pPr>
        <w:pStyle w:val="Heading1"/>
      </w:pPr>
      <w:r>
        <w:t>Our contact information</w:t>
      </w:r>
    </w:p>
    <w:p w:rsidR="00457C34" w:rsidRDefault="00457C34" w:rsidP="00457C34">
      <w:r>
        <w:t>Postal address:</w:t>
      </w:r>
      <w:r>
        <w:tab/>
      </w:r>
      <w:r>
        <w:tab/>
        <w:t>Street address:</w:t>
      </w:r>
      <w:r>
        <w:br/>
        <w:t>GPO Box 5218</w:t>
      </w:r>
      <w:r>
        <w:tab/>
      </w:r>
      <w:r>
        <w:tab/>
        <w:t>Level 3, 175 Pitt Street</w:t>
      </w:r>
      <w:r>
        <w:br/>
        <w:t>SYDNEY NSW 2001</w:t>
      </w:r>
      <w:r>
        <w:tab/>
      </w:r>
      <w:r>
        <w:tab/>
        <w:t>SYDNEY NSW 2000</w:t>
      </w:r>
    </w:p>
    <w:p w:rsidR="00457C34" w:rsidRDefault="00457C34" w:rsidP="00457C34">
      <w:r>
        <w:t>Telephone: (02) 9284 9600 or 1300 369 711</w:t>
      </w:r>
      <w:r>
        <w:br/>
        <w:t>Fax: (02) 9284 9611</w:t>
      </w:r>
      <w:r>
        <w:br/>
        <w:t>TTY: 1800 620 241</w:t>
      </w:r>
    </w:p>
    <w:p w:rsidR="00457C34" w:rsidRDefault="00DF45B0" w:rsidP="00457C34">
      <w:r>
        <w:t>National Information Service</w:t>
      </w:r>
      <w:r w:rsidR="00457C34">
        <w:t>: 1300 656 419</w:t>
      </w:r>
      <w:r w:rsidR="00457C34">
        <w:br/>
        <w:t xml:space="preserve">Email: </w:t>
      </w:r>
      <w:hyperlink r:id="rId11" w:history="1">
        <w:r w:rsidRPr="00087829">
          <w:rPr>
            <w:rStyle w:val="Hyperlink"/>
          </w:rPr>
          <w:t>infoservice@humanrights.gov.au</w:t>
        </w:r>
      </w:hyperlink>
      <w:r w:rsidR="00457C34">
        <w:rPr>
          <w:rStyle w:val="Hyperlink"/>
        </w:rPr>
        <w:br/>
      </w:r>
      <w:r w:rsidR="00457C34">
        <w:t xml:space="preserve">Complaints Information Homepage: </w:t>
      </w:r>
      <w:hyperlink r:id="rId12" w:history="1">
        <w:r w:rsidR="00457C34" w:rsidRPr="00E11685">
          <w:rPr>
            <w:rStyle w:val="Hyperlink"/>
          </w:rPr>
          <w:t>www.humanrights.gov.au/complaints_information/index.html</w:t>
        </w:r>
      </w:hyperlink>
      <w:r w:rsidR="00457C34">
        <w:rPr>
          <w:rStyle w:val="Hyperlink"/>
        </w:rPr>
        <w:t xml:space="preserve"> </w:t>
      </w:r>
    </w:p>
    <w:sectPr w:rsidR="00457C34" w:rsidSect="005262E5">
      <w:headerReference w:type="default" r:id="rId13"/>
      <w:footerReference w:type="default" r:id="rId14"/>
      <w:headerReference w:type="first" r:id="rId15"/>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53B" w:rsidRDefault="0046053B" w:rsidP="00F14C6D">
      <w:r>
        <w:separator/>
      </w:r>
    </w:p>
  </w:endnote>
  <w:endnote w:type="continuationSeparator" w:id="0">
    <w:p w:rsidR="0046053B" w:rsidRDefault="0046053B"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6" w:rsidRPr="0090165F" w:rsidRDefault="00CF10B6"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EB2469">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53B" w:rsidRDefault="0046053B" w:rsidP="00F14C6D">
      <w:r>
        <w:separator/>
      </w:r>
    </w:p>
  </w:footnote>
  <w:footnote w:type="continuationSeparator" w:id="0">
    <w:p w:rsidR="0046053B" w:rsidRDefault="0046053B"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6" w:rsidRPr="00D27262" w:rsidRDefault="00CF10B6" w:rsidP="00EB6B66">
    <w:pPr>
      <w:spacing w:before="0" w:after="0"/>
      <w:jc w:val="right"/>
      <w:rPr>
        <w:szCs w:val="22"/>
      </w:rPr>
    </w:pPr>
    <w:r w:rsidRPr="00D27262">
      <w:rPr>
        <w:szCs w:val="22"/>
      </w:rPr>
      <w:t>Au</w:t>
    </w:r>
    <w:r>
      <w:rPr>
        <w:szCs w:val="22"/>
      </w:rPr>
      <w:t>stralian Human Rights Commission</w:t>
    </w:r>
  </w:p>
  <w:p w:rsidR="00CF10B6" w:rsidRPr="00EB6B66" w:rsidRDefault="007E5767" w:rsidP="003E46D9">
    <w:pPr>
      <w:pStyle w:val="Footer"/>
      <w:spacing w:before="0" w:after="360"/>
      <w:jc w:val="right"/>
      <w:rPr>
        <w:i/>
        <w:szCs w:val="22"/>
      </w:rPr>
    </w:pPr>
    <w:r>
      <w:rPr>
        <w:b/>
        <w:i/>
        <w:szCs w:val="22"/>
      </w:rPr>
      <w:t xml:space="preserve">Investigation and Conciliation Service </w:t>
    </w:r>
    <w:r w:rsidR="003E46D9" w:rsidRPr="007E5767">
      <w:rPr>
        <w:szCs w:val="22"/>
      </w:rPr>
      <w:sym w:font="Symbol" w:char="F0B7"/>
    </w:r>
    <w:r w:rsidR="003E46D9">
      <w:rPr>
        <w:szCs w:val="22"/>
      </w:rPr>
      <w:br/>
    </w:r>
    <w:r w:rsidR="003E46D9">
      <w:rPr>
        <w:b/>
        <w:i/>
        <w:szCs w:val="22"/>
      </w:rPr>
      <w:t>Information for advocates and lawyers participating in conciliation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CF10B6" w:rsidRPr="00B85DD4" w:rsidTr="002B1B65">
      <w:trPr>
        <w:trHeight w:val="1603"/>
      </w:trPr>
      <w:tc>
        <w:tcPr>
          <w:tcW w:w="1508" w:type="dxa"/>
        </w:tcPr>
        <w:p w:rsidR="00CF10B6" w:rsidRPr="00B85DD4" w:rsidRDefault="00821EBC" w:rsidP="00B520BC">
          <w:pPr>
            <w:pStyle w:val="Header"/>
            <w:tabs>
              <w:tab w:val="left" w:pos="4686"/>
              <w:tab w:val="left" w:pos="7088"/>
              <w:tab w:val="left" w:pos="7242"/>
            </w:tabs>
            <w:ind w:left="-108"/>
            <w:rPr>
              <w:rFonts w:cs="ArialMT"/>
              <w:b/>
              <w:spacing w:val="-20"/>
            </w:rPr>
          </w:pPr>
          <w:r>
            <w:rPr>
              <w:rFonts w:cs="ArialMT"/>
              <w:b/>
              <w:noProof/>
              <w:spacing w:val="-20"/>
            </w:rPr>
            <w:drawing>
              <wp:inline distT="0" distB="0" distL="0" distR="0">
                <wp:extent cx="819150" cy="819150"/>
                <wp:effectExtent l="19050" t="0" r="0" b="0"/>
                <wp:docPr id="1" name="Picture 1" descr="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OC-Globe_PMS_POS"/>
                        <pic:cNvPicPr>
                          <a:picLocks noChangeAspect="1" noChangeArrowheads="1"/>
                        </pic:cNvPicPr>
                      </pic:nvPicPr>
                      <pic:blipFill>
                        <a:blip r:embed="rId1"/>
                        <a:srcRect/>
                        <a:stretch>
                          <a:fillRect/>
                        </a:stretch>
                      </pic:blipFill>
                      <pic:spPr bwMode="auto">
                        <a:xfrm>
                          <a:off x="0" y="0"/>
                          <a:ext cx="819150" cy="819150"/>
                        </a:xfrm>
                        <a:prstGeom prst="rect">
                          <a:avLst/>
                        </a:prstGeom>
                        <a:noFill/>
                        <a:ln w="9525">
                          <a:noFill/>
                          <a:miter lim="800000"/>
                          <a:headEnd/>
                          <a:tailEnd/>
                        </a:ln>
                      </pic:spPr>
                    </pic:pic>
                  </a:graphicData>
                </a:graphic>
              </wp:inline>
            </w:drawing>
          </w:r>
        </w:p>
      </w:tc>
      <w:tc>
        <w:tcPr>
          <w:tcW w:w="2688" w:type="dxa"/>
          <w:vAlign w:val="center"/>
        </w:tcPr>
        <w:p w:rsidR="00CF10B6" w:rsidRPr="00D36BB2" w:rsidRDefault="00CF10B6" w:rsidP="002B1B65">
          <w:pPr>
            <w:pStyle w:val="LogoType"/>
            <w:pBdr>
              <w:bottom w:val="single" w:sz="4" w:space="1" w:color="808080"/>
            </w:pBdr>
            <w:spacing w:line="240" w:lineRule="auto"/>
          </w:pPr>
          <w:r w:rsidRPr="00D36BB2">
            <w:t>Australian</w:t>
          </w:r>
        </w:p>
        <w:p w:rsidR="00CF10B6" w:rsidRPr="00D36BB2" w:rsidRDefault="00CF10B6" w:rsidP="002B1B65">
          <w:pPr>
            <w:pStyle w:val="LogoType"/>
            <w:pBdr>
              <w:bottom w:val="single" w:sz="4" w:space="1" w:color="808080"/>
            </w:pBdr>
            <w:spacing w:line="240" w:lineRule="auto"/>
          </w:pPr>
          <w:r w:rsidRPr="00D36BB2">
            <w:t>Human Rights</w:t>
          </w:r>
        </w:p>
        <w:p w:rsidR="00CF10B6" w:rsidRPr="00D36BB2" w:rsidRDefault="00CF10B6" w:rsidP="002B1B65">
          <w:pPr>
            <w:pStyle w:val="LogoType"/>
            <w:pBdr>
              <w:bottom w:val="single" w:sz="4" w:space="1" w:color="808080"/>
            </w:pBdr>
            <w:spacing w:line="240" w:lineRule="auto"/>
          </w:pPr>
          <w:r w:rsidRPr="00D36BB2">
            <w:t>Commission</w:t>
          </w:r>
        </w:p>
        <w:p w:rsidR="00CF10B6" w:rsidRPr="00B85DD4" w:rsidRDefault="00CF10B6"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CF10B6" w:rsidRPr="00B85DD4" w:rsidRDefault="00CF10B6" w:rsidP="00B520BC">
          <w:pPr>
            <w:pStyle w:val="HeaderFooter"/>
            <w:rPr>
              <w:b/>
              <w:spacing w:val="-20"/>
              <w:sz w:val="40"/>
            </w:rPr>
          </w:pPr>
        </w:p>
      </w:tc>
      <w:tc>
        <w:tcPr>
          <w:tcW w:w="2130" w:type="dxa"/>
        </w:tcPr>
        <w:p w:rsidR="00CF10B6" w:rsidRPr="00B85DD4" w:rsidRDefault="00CF10B6" w:rsidP="00B520BC">
          <w:pPr>
            <w:pStyle w:val="HeaderFooter"/>
            <w:rPr>
              <w:b/>
              <w:spacing w:val="-20"/>
              <w:sz w:val="40"/>
            </w:rPr>
          </w:pPr>
        </w:p>
      </w:tc>
      <w:tc>
        <w:tcPr>
          <w:tcW w:w="1721" w:type="dxa"/>
        </w:tcPr>
        <w:p w:rsidR="00CF10B6" w:rsidRPr="00B85DD4" w:rsidRDefault="00CF10B6" w:rsidP="00B520BC">
          <w:pPr>
            <w:pStyle w:val="HeaderFooter"/>
            <w:spacing w:before="227" w:after="340"/>
            <w:rPr>
              <w:b/>
              <w:spacing w:val="-20"/>
              <w:sz w:val="40"/>
            </w:rPr>
          </w:pPr>
        </w:p>
      </w:tc>
    </w:tr>
  </w:tbl>
  <w:p w:rsidR="00CF10B6" w:rsidRDefault="00CF1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232D2"/>
    <w:multiLevelType w:val="hybridMultilevel"/>
    <w:tmpl w:val="DA6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B379E"/>
    <w:multiLevelType w:val="hybridMultilevel"/>
    <w:tmpl w:val="E904E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826D6"/>
    <w:multiLevelType w:val="hybridMultilevel"/>
    <w:tmpl w:val="29A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B678D"/>
    <w:multiLevelType w:val="hybridMultilevel"/>
    <w:tmpl w:val="B760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AE4FC1"/>
    <w:multiLevelType w:val="hybridMultilevel"/>
    <w:tmpl w:val="D9C4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B237C"/>
    <w:multiLevelType w:val="hybridMultilevel"/>
    <w:tmpl w:val="909079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D4E36FD"/>
    <w:multiLevelType w:val="hybridMultilevel"/>
    <w:tmpl w:val="A3769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049ED"/>
    <w:multiLevelType w:val="hybridMultilevel"/>
    <w:tmpl w:val="A0B81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FC7C28"/>
    <w:multiLevelType w:val="hybridMultilevel"/>
    <w:tmpl w:val="1C4A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412ABC"/>
    <w:multiLevelType w:val="hybridMultilevel"/>
    <w:tmpl w:val="6A34B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3" w15:restartNumberingAfterBreak="0">
    <w:nsid w:val="4B2B7E31"/>
    <w:multiLevelType w:val="hybridMultilevel"/>
    <w:tmpl w:val="C6E25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1166A7"/>
    <w:multiLevelType w:val="hybridMultilevel"/>
    <w:tmpl w:val="A8821D18"/>
    <w:lvl w:ilvl="0" w:tplc="AB8461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4F2F1440"/>
    <w:multiLevelType w:val="hybridMultilevel"/>
    <w:tmpl w:val="3C06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512D4"/>
    <w:multiLevelType w:val="hybridMultilevel"/>
    <w:tmpl w:val="241CB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B7036B"/>
    <w:multiLevelType w:val="hybridMultilevel"/>
    <w:tmpl w:val="96E2D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9A0FA2"/>
    <w:multiLevelType w:val="hybridMultilevel"/>
    <w:tmpl w:val="D6B4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64306"/>
    <w:multiLevelType w:val="hybridMultilevel"/>
    <w:tmpl w:val="A648C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9F17A3"/>
    <w:multiLevelType w:val="hybridMultilevel"/>
    <w:tmpl w:val="FCE2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954D5"/>
    <w:multiLevelType w:val="hybridMultilevel"/>
    <w:tmpl w:val="5B82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5"/>
  </w:num>
  <w:num w:numId="13">
    <w:abstractNumId w:val="20"/>
  </w:num>
  <w:num w:numId="14">
    <w:abstractNumId w:val="16"/>
  </w:num>
  <w:num w:numId="15">
    <w:abstractNumId w:val="15"/>
  </w:num>
  <w:num w:numId="16">
    <w:abstractNumId w:val="31"/>
  </w:num>
  <w:num w:numId="17">
    <w:abstractNumId w:val="32"/>
  </w:num>
  <w:num w:numId="18">
    <w:abstractNumId w:val="26"/>
  </w:num>
  <w:num w:numId="19">
    <w:abstractNumId w:val="12"/>
  </w:num>
  <w:num w:numId="20">
    <w:abstractNumId w:val="19"/>
  </w:num>
  <w:num w:numId="21">
    <w:abstractNumId w:val="10"/>
  </w:num>
  <w:num w:numId="22">
    <w:abstractNumId w:val="14"/>
  </w:num>
  <w:num w:numId="23">
    <w:abstractNumId w:val="29"/>
  </w:num>
  <w:num w:numId="24">
    <w:abstractNumId w:val="23"/>
  </w:num>
  <w:num w:numId="25">
    <w:abstractNumId w:val="11"/>
  </w:num>
  <w:num w:numId="26">
    <w:abstractNumId w:val="18"/>
  </w:num>
  <w:num w:numId="27">
    <w:abstractNumId w:val="30"/>
  </w:num>
  <w:num w:numId="28">
    <w:abstractNumId w:val="28"/>
  </w:num>
  <w:num w:numId="29">
    <w:abstractNumId w:val="21"/>
  </w:num>
  <w:num w:numId="30">
    <w:abstractNumId w:val="27"/>
  </w:num>
  <w:num w:numId="31">
    <w:abstractNumId w:val="17"/>
  </w:num>
  <w:num w:numId="32">
    <w:abstractNumId w:val="13"/>
  </w:num>
  <w:num w:numId="3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250E"/>
    <w:rsid w:val="000626F7"/>
    <w:rsid w:val="00062ABD"/>
    <w:rsid w:val="00062CA3"/>
    <w:rsid w:val="00062E2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ABC"/>
    <w:rsid w:val="000F3588"/>
    <w:rsid w:val="000F3F5A"/>
    <w:rsid w:val="000F52D1"/>
    <w:rsid w:val="000F55E6"/>
    <w:rsid w:val="000F5757"/>
    <w:rsid w:val="000F5AF7"/>
    <w:rsid w:val="000F62DC"/>
    <w:rsid w:val="000F62E9"/>
    <w:rsid w:val="000F68D6"/>
    <w:rsid w:val="000F6C6F"/>
    <w:rsid w:val="000F74D8"/>
    <w:rsid w:val="000F7FA3"/>
    <w:rsid w:val="001008C4"/>
    <w:rsid w:val="00101199"/>
    <w:rsid w:val="00102271"/>
    <w:rsid w:val="0010269C"/>
    <w:rsid w:val="00102BD4"/>
    <w:rsid w:val="001030B0"/>
    <w:rsid w:val="00103211"/>
    <w:rsid w:val="00104150"/>
    <w:rsid w:val="00105C7E"/>
    <w:rsid w:val="00106CD4"/>
    <w:rsid w:val="001070C5"/>
    <w:rsid w:val="00107736"/>
    <w:rsid w:val="001078DA"/>
    <w:rsid w:val="00107904"/>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0A5A"/>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0B0"/>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6CC"/>
    <w:rsid w:val="001E1A12"/>
    <w:rsid w:val="001E1AF1"/>
    <w:rsid w:val="001E1B3F"/>
    <w:rsid w:val="001E1D6D"/>
    <w:rsid w:val="001E2739"/>
    <w:rsid w:val="001E2A25"/>
    <w:rsid w:val="001E2CA8"/>
    <w:rsid w:val="001E2D6E"/>
    <w:rsid w:val="001E3338"/>
    <w:rsid w:val="001E3A90"/>
    <w:rsid w:val="001E3C75"/>
    <w:rsid w:val="001E40EA"/>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9D"/>
    <w:rsid w:val="002164D6"/>
    <w:rsid w:val="002165B6"/>
    <w:rsid w:val="0021671B"/>
    <w:rsid w:val="00216AB3"/>
    <w:rsid w:val="002173D5"/>
    <w:rsid w:val="00217487"/>
    <w:rsid w:val="00217F9D"/>
    <w:rsid w:val="00220043"/>
    <w:rsid w:val="00220F9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DAA"/>
    <w:rsid w:val="00244F7A"/>
    <w:rsid w:val="002453DF"/>
    <w:rsid w:val="0024557E"/>
    <w:rsid w:val="00245863"/>
    <w:rsid w:val="0024598C"/>
    <w:rsid w:val="00245AE5"/>
    <w:rsid w:val="00246038"/>
    <w:rsid w:val="002464D0"/>
    <w:rsid w:val="0024670A"/>
    <w:rsid w:val="00246767"/>
    <w:rsid w:val="002467AE"/>
    <w:rsid w:val="00246C18"/>
    <w:rsid w:val="00247C15"/>
    <w:rsid w:val="00247FBF"/>
    <w:rsid w:val="00250198"/>
    <w:rsid w:val="002506CB"/>
    <w:rsid w:val="0025125E"/>
    <w:rsid w:val="002518A8"/>
    <w:rsid w:val="0025277B"/>
    <w:rsid w:val="002527DC"/>
    <w:rsid w:val="00252930"/>
    <w:rsid w:val="00252E7A"/>
    <w:rsid w:val="00253E72"/>
    <w:rsid w:val="00254C21"/>
    <w:rsid w:val="00254D3B"/>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AA8"/>
    <w:rsid w:val="002A4AB6"/>
    <w:rsid w:val="002A4B69"/>
    <w:rsid w:val="002A4DA8"/>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C1A"/>
    <w:rsid w:val="003172B2"/>
    <w:rsid w:val="00317FA3"/>
    <w:rsid w:val="00320375"/>
    <w:rsid w:val="003205C2"/>
    <w:rsid w:val="00320946"/>
    <w:rsid w:val="003210EF"/>
    <w:rsid w:val="00322CFE"/>
    <w:rsid w:val="003235EA"/>
    <w:rsid w:val="003237EB"/>
    <w:rsid w:val="00323A32"/>
    <w:rsid w:val="00323A35"/>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5BFE"/>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6D9"/>
    <w:rsid w:val="003E4B72"/>
    <w:rsid w:val="003E4C3A"/>
    <w:rsid w:val="003E4D0B"/>
    <w:rsid w:val="003E51FF"/>
    <w:rsid w:val="003E6057"/>
    <w:rsid w:val="003E6910"/>
    <w:rsid w:val="003E6BE1"/>
    <w:rsid w:val="003E71DD"/>
    <w:rsid w:val="003E78BC"/>
    <w:rsid w:val="003E78DC"/>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5ECD"/>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57C34"/>
    <w:rsid w:val="0046053B"/>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277B"/>
    <w:rsid w:val="004B29D4"/>
    <w:rsid w:val="004B2F5D"/>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416"/>
    <w:rsid w:val="004E2F61"/>
    <w:rsid w:val="004E2F7D"/>
    <w:rsid w:val="004E4237"/>
    <w:rsid w:val="004E4280"/>
    <w:rsid w:val="004E46BC"/>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6AA1"/>
    <w:rsid w:val="004F76D9"/>
    <w:rsid w:val="004F790F"/>
    <w:rsid w:val="004F7CF0"/>
    <w:rsid w:val="0050020F"/>
    <w:rsid w:val="005004B1"/>
    <w:rsid w:val="005005B9"/>
    <w:rsid w:val="00500A7E"/>
    <w:rsid w:val="00500AAD"/>
    <w:rsid w:val="00500B40"/>
    <w:rsid w:val="00500FB2"/>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847"/>
    <w:rsid w:val="00511C9A"/>
    <w:rsid w:val="005121ED"/>
    <w:rsid w:val="005123F0"/>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46DC"/>
    <w:rsid w:val="005947E8"/>
    <w:rsid w:val="00594953"/>
    <w:rsid w:val="00595D47"/>
    <w:rsid w:val="005965CC"/>
    <w:rsid w:val="00596DCA"/>
    <w:rsid w:val="00596F50"/>
    <w:rsid w:val="00597531"/>
    <w:rsid w:val="00597A70"/>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5E5"/>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07A19"/>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9F1"/>
    <w:rsid w:val="00687270"/>
    <w:rsid w:val="00687731"/>
    <w:rsid w:val="00687A68"/>
    <w:rsid w:val="00687C60"/>
    <w:rsid w:val="0069013E"/>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BF2"/>
    <w:rsid w:val="00700C80"/>
    <w:rsid w:val="007013C2"/>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767"/>
    <w:rsid w:val="007E5B88"/>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B22"/>
    <w:rsid w:val="008119B7"/>
    <w:rsid w:val="00813A1E"/>
    <w:rsid w:val="00813B35"/>
    <w:rsid w:val="00813DBA"/>
    <w:rsid w:val="0081407D"/>
    <w:rsid w:val="0081429B"/>
    <w:rsid w:val="00814342"/>
    <w:rsid w:val="008148C1"/>
    <w:rsid w:val="00814A97"/>
    <w:rsid w:val="00814C87"/>
    <w:rsid w:val="00814FC0"/>
    <w:rsid w:val="00815E68"/>
    <w:rsid w:val="00815EFF"/>
    <w:rsid w:val="0081602A"/>
    <w:rsid w:val="00816397"/>
    <w:rsid w:val="0081656F"/>
    <w:rsid w:val="0081683C"/>
    <w:rsid w:val="00816DCA"/>
    <w:rsid w:val="00816FCD"/>
    <w:rsid w:val="008173B0"/>
    <w:rsid w:val="00817DED"/>
    <w:rsid w:val="0082112D"/>
    <w:rsid w:val="00821EBC"/>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BE3"/>
    <w:rsid w:val="00A01B38"/>
    <w:rsid w:val="00A01CC8"/>
    <w:rsid w:val="00A01E6F"/>
    <w:rsid w:val="00A0200D"/>
    <w:rsid w:val="00A020D0"/>
    <w:rsid w:val="00A0270D"/>
    <w:rsid w:val="00A032D6"/>
    <w:rsid w:val="00A0350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0611"/>
    <w:rsid w:val="00AD136D"/>
    <w:rsid w:val="00AD1CB4"/>
    <w:rsid w:val="00AD2537"/>
    <w:rsid w:val="00AD2C4A"/>
    <w:rsid w:val="00AD3201"/>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712"/>
    <w:rsid w:val="00AF7C0A"/>
    <w:rsid w:val="00AF7DCD"/>
    <w:rsid w:val="00AF7FDB"/>
    <w:rsid w:val="00B01786"/>
    <w:rsid w:val="00B02091"/>
    <w:rsid w:val="00B02593"/>
    <w:rsid w:val="00B02709"/>
    <w:rsid w:val="00B03ABA"/>
    <w:rsid w:val="00B04EF8"/>
    <w:rsid w:val="00B0529B"/>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3E30"/>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3DBC"/>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171"/>
    <w:rsid w:val="00CB2005"/>
    <w:rsid w:val="00CB220D"/>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79A"/>
    <w:rsid w:val="00DF45B0"/>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058"/>
    <w:rsid w:val="00E455BC"/>
    <w:rsid w:val="00E458F6"/>
    <w:rsid w:val="00E45954"/>
    <w:rsid w:val="00E459D3"/>
    <w:rsid w:val="00E45D3E"/>
    <w:rsid w:val="00E45EA2"/>
    <w:rsid w:val="00E46647"/>
    <w:rsid w:val="00E468C4"/>
    <w:rsid w:val="00E47506"/>
    <w:rsid w:val="00E47BD2"/>
    <w:rsid w:val="00E503F5"/>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6110"/>
    <w:rsid w:val="00E86362"/>
    <w:rsid w:val="00E86BCF"/>
    <w:rsid w:val="00E87061"/>
    <w:rsid w:val="00E87603"/>
    <w:rsid w:val="00E87BF1"/>
    <w:rsid w:val="00E87C32"/>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469"/>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D0738"/>
    <w:rsid w:val="00ED0CC6"/>
    <w:rsid w:val="00ED0F14"/>
    <w:rsid w:val="00ED164C"/>
    <w:rsid w:val="00ED1AE7"/>
    <w:rsid w:val="00ED1F49"/>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3D5"/>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DFA"/>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D52"/>
    <w:rsid w:val="00F60936"/>
    <w:rsid w:val="00F611AF"/>
    <w:rsid w:val="00F6159F"/>
    <w:rsid w:val="00F61950"/>
    <w:rsid w:val="00F61BE3"/>
    <w:rsid w:val="00F62389"/>
    <w:rsid w:val="00F62B77"/>
    <w:rsid w:val="00F63A9D"/>
    <w:rsid w:val="00F645E4"/>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3F9B"/>
    <w:rsid w:val="00FE45DF"/>
    <w:rsid w:val="00FE4813"/>
    <w:rsid w:val="00FE622E"/>
    <w:rsid w:val="00FE6D6E"/>
    <w:rsid w:val="00FE7258"/>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18DFF037-99B6-4419-B00E-9F94AB5B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8007A8"/>
    <w:pPr>
      <w:numPr>
        <w:ilvl w:val="2"/>
        <w:numId w:val="1"/>
      </w:numPr>
      <w:outlineLvl w:val="2"/>
    </w:pPr>
    <w:rPr>
      <w:b w:val="0"/>
      <w:i/>
      <w:szCs w:val="26"/>
    </w:rPr>
  </w:style>
  <w:style w:type="paragraph" w:styleId="Heading4">
    <w:name w:val="heading 4"/>
    <w:basedOn w:val="Heading3"/>
    <w:next w:val="Normal"/>
    <w:link w:val="Heading4Char"/>
    <w:rsid w:val="008007A8"/>
    <w:pPr>
      <w:numPr>
        <w:ilvl w:val="3"/>
      </w:numPr>
      <w:outlineLvl w:val="3"/>
    </w:pPr>
    <w:rPr>
      <w:bCs w:val="0"/>
      <w:i w:val="0"/>
      <w:iCs/>
    </w:rPr>
  </w:style>
  <w:style w:type="paragraph" w:styleId="Heading5">
    <w:name w:val="heading 5"/>
    <w:basedOn w:val="Normal"/>
    <w:next w:val="Normal"/>
    <w:link w:val="Heading5Char"/>
    <w:locked/>
    <w:rsid w:val="008007A8"/>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8007A8"/>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8007A8"/>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8007A8"/>
    <w:rPr>
      <w:rFonts w:ascii="Arial" w:hAnsi="Arial"/>
      <w:bCs/>
      <w:i/>
      <w:sz w:val="24"/>
      <w:szCs w:val="26"/>
      <w:lang w:val="en-AU" w:eastAsia="en-AU"/>
    </w:rPr>
  </w:style>
  <w:style w:type="character" w:customStyle="1" w:styleId="Heading4Char">
    <w:name w:val="Heading 4 Char"/>
    <w:link w:val="Heading4"/>
    <w:rsid w:val="008007A8"/>
    <w:rPr>
      <w:rFonts w:ascii="Arial" w:hAnsi="Arial"/>
      <w:iCs/>
      <w:sz w:val="24"/>
      <w:szCs w:val="26"/>
      <w:lang w:val="en-AU" w:eastAsia="en-AU"/>
    </w:rPr>
  </w:style>
  <w:style w:type="paragraph" w:customStyle="1" w:styleId="TitlewithLine">
    <w:name w:val="Title with Line"/>
    <w:basedOn w:val="MainTitle"/>
    <w:qFormat/>
    <w:rsid w:val="005262E5"/>
    <w:pPr>
      <w:spacing w:before="0"/>
    </w:pPr>
    <w:rPr>
      <w:rFonts w:cs="Arial"/>
      <w:b/>
      <w:sz w:val="48"/>
      <w:szCs w:val="48"/>
    </w:rPr>
  </w:style>
  <w:style w:type="character" w:customStyle="1" w:styleId="Heading5Char">
    <w:name w:val="Heading 5 Char"/>
    <w:link w:val="Heading5"/>
    <w:rsid w:val="008007A8"/>
    <w:rPr>
      <w:rFonts w:ascii="Cambria" w:hAnsi="Cambria"/>
      <w:color w:val="243F60"/>
      <w:sz w:val="24"/>
      <w:szCs w:val="24"/>
      <w:lang w:val="en-AU" w:eastAsia="en-AU"/>
    </w:rPr>
  </w:style>
  <w:style w:type="character" w:customStyle="1" w:styleId="Heading6Char">
    <w:name w:val="Heading 6 Char"/>
    <w:link w:val="Heading6"/>
    <w:rsid w:val="008007A8"/>
    <w:rPr>
      <w:rFonts w:ascii="Cambria" w:hAnsi="Cambria"/>
      <w:i/>
      <w:iCs/>
      <w:color w:val="243F60"/>
      <w:sz w:val="24"/>
      <w:szCs w:val="24"/>
      <w:lang w:val="en-AU" w:eastAsia="en-AU"/>
    </w:rPr>
  </w:style>
  <w:style w:type="character" w:customStyle="1" w:styleId="Heading7Char">
    <w:name w:val="Heading 7 Char"/>
    <w:link w:val="Heading7"/>
    <w:rsid w:val="008007A8"/>
    <w:rPr>
      <w:rFonts w:ascii="Cambria" w:hAnsi="Cambria"/>
      <w:i/>
      <w:iCs/>
      <w:color w:val="404040"/>
      <w:sz w:val="24"/>
      <w:szCs w:val="24"/>
      <w:lang w:val="en-AU" w:eastAsia="en-AU"/>
    </w:rPr>
  </w:style>
  <w:style w:type="character" w:customStyle="1" w:styleId="Heading8Char">
    <w:name w:val="Heading 8 Char"/>
    <w:link w:val="Heading8"/>
    <w:rsid w:val="008007A8"/>
    <w:rPr>
      <w:rFonts w:ascii="Cambria" w:hAnsi="Cambria"/>
      <w:color w:val="404040"/>
      <w:lang w:val="en-AU" w:eastAsia="en-AU"/>
    </w:rPr>
  </w:style>
  <w:style w:type="character" w:customStyle="1" w:styleId="Heading9Char">
    <w:name w:val="Heading 9 Char"/>
    <w:link w:val="Heading9"/>
    <w:rsid w:val="008007A8"/>
    <w:rPr>
      <w:rFonts w:ascii="Cambria" w:hAnsi="Cambria"/>
      <w:i/>
      <w:iCs/>
      <w:color w:val="404040"/>
      <w:lang w:val="en-AU"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ListParagraph">
    <w:name w:val="List Paragraph"/>
    <w:basedOn w:val="Normal"/>
    <w:uiPriority w:val="34"/>
    <w:qFormat/>
    <w:rsid w:val="003E46D9"/>
    <w:pPr>
      <w:ind w:left="720"/>
    </w:p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tyleEndnoteReference12pt">
    <w:name w:val="Style Endnote Reference + 12 pt"/>
    <w:basedOn w:val="EndnoteReference"/>
    <w:rsid w:val="001D4209"/>
    <w:rPr>
      <w:rFonts w:ascii="Arial" w:hAnsi="Arial"/>
      <w:sz w:val="20"/>
      <w:vertAlign w:val="superscript"/>
    </w:rPr>
  </w:style>
  <w:style w:type="paragraph" w:customStyle="1" w:styleId="Default">
    <w:name w:val="Default"/>
    <w:rsid w:val="00C32482"/>
    <w:pPr>
      <w:autoSpaceDE w:val="0"/>
      <w:autoSpaceDN w:val="0"/>
      <w:adjustRightInd w:val="0"/>
    </w:pPr>
    <w:rPr>
      <w:rFonts w:ascii="Book Antiqua" w:hAnsi="Book Antiqua" w:cs="Book Antiqua"/>
      <w:color w:val="000000"/>
      <w:sz w:val="24"/>
      <w:szCs w:val="24"/>
      <w:lang w:eastAsia="en-AU"/>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gov.au/complaints_information/UPC/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umanrights.gov.au/complaints_information/pathways_to_resolution/index.html" TargetMode="External"/><Relationship Id="rId12" Type="http://schemas.openxmlformats.org/officeDocument/2006/relationships/hyperlink" Target="http://www.humanrights.gov.au/complaints_information/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ervice@humanrights.gov.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humanrights.gov.au/legal/FDL/index.html" TargetMode="External"/><Relationship Id="rId4" Type="http://schemas.openxmlformats.org/officeDocument/2006/relationships/webSettings" Target="webSettings.xml"/><Relationship Id="rId9" Type="http://schemas.openxmlformats.org/officeDocument/2006/relationships/hyperlink" Target="http://www.humanrights.gov.au/complaints_information/register/index.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Coversheet Document.dot</Template>
  <TotalTime>1</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4980</CharactersWithSpaces>
  <SharedDoc>false</SharedDoc>
  <HLinks>
    <vt:vector size="12" baseType="variant">
      <vt:variant>
        <vt:i4>6619158</vt:i4>
      </vt:variant>
      <vt:variant>
        <vt:i4>3</vt:i4>
      </vt:variant>
      <vt:variant>
        <vt:i4>0</vt:i4>
      </vt:variant>
      <vt:variant>
        <vt:i4>5</vt:i4>
      </vt:variant>
      <vt:variant>
        <vt:lpwstr>http://www.humanrights.gov.au/complaints_information/index.html</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Lisa Thompson</dc:creator>
  <cp:keywords/>
  <cp:lastModifiedBy>Sue Broderick</cp:lastModifiedBy>
  <cp:revision>2</cp:revision>
  <cp:lastPrinted>2011-06-20T05:12:00Z</cp:lastPrinted>
  <dcterms:created xsi:type="dcterms:W3CDTF">2017-04-19T04:23:00Z</dcterms:created>
  <dcterms:modified xsi:type="dcterms:W3CDTF">2017-04-19T04:23:00Z</dcterms:modified>
</cp:coreProperties>
</file>