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4BDE74" w14:textId="47F84861" w:rsidR="00A87C63" w:rsidRDefault="008B6AD4" w:rsidP="00CB59EB">
      <w:bookmarkStart w:id="0" w:name="_GoBack"/>
      <w:bookmarkEnd w:id="0"/>
      <w:r>
        <w:rPr>
          <w:noProof/>
          <w:lang w:eastAsia="en-AU"/>
        </w:rPr>
        <mc:AlternateContent>
          <mc:Choice Requires="wps">
            <w:drawing>
              <wp:anchor distT="0" distB="0" distL="114300" distR="114300" simplePos="0" relativeHeight="251661312" behindDoc="0" locked="0" layoutInCell="1" allowOverlap="1" wp14:anchorId="3B236EB8" wp14:editId="1F73A9BB">
                <wp:simplePos x="0" y="0"/>
                <wp:positionH relativeFrom="column">
                  <wp:posOffset>3200400</wp:posOffset>
                </wp:positionH>
                <wp:positionV relativeFrom="paragraph">
                  <wp:posOffset>-685800</wp:posOffset>
                </wp:positionV>
                <wp:extent cx="2514600" cy="16002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2514600" cy="16002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B55C79D" w14:textId="77777777" w:rsidR="008B6AD4" w:rsidRPr="008B6AD4" w:rsidRDefault="008B6AD4" w:rsidP="008B6AD4">
                            <w:pPr>
                              <w:jc w:val="right"/>
                              <w:rPr>
                                <w:rFonts w:asciiTheme="minorHAnsi" w:hAnsiTheme="minorHAnsi"/>
                                <w:color w:val="132694"/>
                                <w:sz w:val="23"/>
                                <w:szCs w:val="23"/>
                              </w:rPr>
                            </w:pPr>
                            <w:r w:rsidRPr="008B6AD4">
                              <w:rPr>
                                <w:rFonts w:asciiTheme="minorHAnsi" w:hAnsiTheme="minorHAnsi"/>
                                <w:color w:val="132694"/>
                                <w:sz w:val="23"/>
                                <w:szCs w:val="23"/>
                              </w:rPr>
                              <w:t>Reliquaire</w:t>
                            </w:r>
                          </w:p>
                          <w:p w14:paraId="64D7B829" w14:textId="77777777" w:rsidR="008B6AD4" w:rsidRPr="008B6AD4" w:rsidRDefault="008B6AD4" w:rsidP="008B6AD4">
                            <w:pPr>
                              <w:jc w:val="right"/>
                              <w:rPr>
                                <w:rFonts w:asciiTheme="minorHAnsi" w:hAnsiTheme="minorHAnsi"/>
                                <w:color w:val="132694"/>
                                <w:sz w:val="23"/>
                                <w:szCs w:val="23"/>
                              </w:rPr>
                            </w:pPr>
                            <w:r w:rsidRPr="008B6AD4">
                              <w:rPr>
                                <w:rFonts w:asciiTheme="minorHAnsi" w:hAnsiTheme="minorHAnsi"/>
                                <w:color w:val="132694"/>
                                <w:sz w:val="23"/>
                                <w:szCs w:val="23"/>
                              </w:rPr>
                              <w:t>14 Hamilton St</w:t>
                            </w:r>
                          </w:p>
                          <w:p w14:paraId="42C0ECD6" w14:textId="77777777" w:rsidR="008B6AD4" w:rsidRPr="008B6AD4" w:rsidRDefault="008B6AD4" w:rsidP="008B6AD4">
                            <w:pPr>
                              <w:jc w:val="right"/>
                              <w:rPr>
                                <w:rFonts w:asciiTheme="minorHAnsi" w:hAnsiTheme="minorHAnsi"/>
                                <w:color w:val="132694"/>
                                <w:sz w:val="23"/>
                                <w:szCs w:val="23"/>
                              </w:rPr>
                            </w:pPr>
                            <w:r w:rsidRPr="008B6AD4">
                              <w:rPr>
                                <w:rFonts w:asciiTheme="minorHAnsi" w:hAnsiTheme="minorHAnsi"/>
                                <w:color w:val="132694"/>
                                <w:sz w:val="23"/>
                                <w:szCs w:val="23"/>
                              </w:rPr>
                              <w:t>Latrobe TAS</w:t>
                            </w:r>
                          </w:p>
                          <w:p w14:paraId="7E4AB5D0" w14:textId="77777777" w:rsidR="008B6AD4" w:rsidRPr="008B6AD4" w:rsidRDefault="008B6AD4" w:rsidP="008B6AD4">
                            <w:pPr>
                              <w:jc w:val="right"/>
                              <w:rPr>
                                <w:rFonts w:asciiTheme="minorHAnsi" w:hAnsiTheme="minorHAnsi"/>
                                <w:color w:val="132694"/>
                                <w:sz w:val="23"/>
                                <w:szCs w:val="23"/>
                              </w:rPr>
                            </w:pPr>
                            <w:r w:rsidRPr="008B6AD4">
                              <w:rPr>
                                <w:rFonts w:asciiTheme="minorHAnsi" w:hAnsiTheme="minorHAnsi"/>
                                <w:color w:val="132694"/>
                                <w:sz w:val="23"/>
                                <w:szCs w:val="23"/>
                              </w:rPr>
                              <w:t>Australia 7307</w:t>
                            </w:r>
                          </w:p>
                          <w:p w14:paraId="132DF83B" w14:textId="77777777" w:rsidR="008B6AD4" w:rsidRPr="008B6AD4" w:rsidRDefault="008B6AD4" w:rsidP="008B6AD4">
                            <w:pPr>
                              <w:jc w:val="right"/>
                              <w:rPr>
                                <w:rFonts w:asciiTheme="minorHAnsi" w:hAnsiTheme="minorHAnsi"/>
                                <w:color w:val="132694"/>
                                <w:sz w:val="23"/>
                                <w:szCs w:val="23"/>
                              </w:rPr>
                            </w:pPr>
                          </w:p>
                          <w:p w14:paraId="6598B916" w14:textId="77777777" w:rsidR="008B6AD4" w:rsidRPr="008B6AD4" w:rsidRDefault="008B6AD4" w:rsidP="008B6AD4">
                            <w:pPr>
                              <w:jc w:val="right"/>
                              <w:rPr>
                                <w:rFonts w:asciiTheme="minorHAnsi" w:hAnsiTheme="minorHAnsi"/>
                                <w:color w:val="132694"/>
                                <w:sz w:val="23"/>
                                <w:szCs w:val="23"/>
                              </w:rPr>
                            </w:pPr>
                            <w:r w:rsidRPr="008B6AD4">
                              <w:rPr>
                                <w:rFonts w:asciiTheme="minorHAnsi" w:hAnsiTheme="minorHAnsi"/>
                                <w:color w:val="132694"/>
                                <w:sz w:val="23"/>
                                <w:szCs w:val="23"/>
                              </w:rPr>
                              <w:t>Ph. +61 3 6426 2599</w:t>
                            </w:r>
                          </w:p>
                          <w:p w14:paraId="2F01700A" w14:textId="77777777" w:rsidR="008B6AD4" w:rsidRPr="008B6AD4" w:rsidRDefault="008B6AD4" w:rsidP="008B6AD4">
                            <w:pPr>
                              <w:jc w:val="right"/>
                              <w:rPr>
                                <w:rFonts w:asciiTheme="minorHAnsi" w:hAnsiTheme="minorHAnsi"/>
                                <w:color w:val="132694"/>
                                <w:sz w:val="23"/>
                                <w:szCs w:val="23"/>
                              </w:rPr>
                            </w:pPr>
                            <w:r w:rsidRPr="008B6AD4">
                              <w:rPr>
                                <w:rFonts w:asciiTheme="minorHAnsi" w:hAnsiTheme="minorHAnsi"/>
                                <w:color w:val="132694"/>
                                <w:sz w:val="23"/>
                                <w:szCs w:val="23"/>
                              </w:rPr>
                              <w:t xml:space="preserve">Email: </w:t>
                            </w:r>
                            <w:hyperlink r:id="rId7" w:history="1">
                              <w:r w:rsidRPr="008B6AD4">
                                <w:rPr>
                                  <w:rStyle w:val="Hyperlink"/>
                                  <w:rFonts w:asciiTheme="minorHAnsi" w:hAnsiTheme="minorHAnsi"/>
                                  <w:color w:val="132694"/>
                                  <w:sz w:val="23"/>
                                  <w:szCs w:val="23"/>
                                </w:rPr>
                                <w:t>shop@reliquaire.com</w:t>
                              </w:r>
                            </w:hyperlink>
                          </w:p>
                          <w:p w14:paraId="6533EA73" w14:textId="77777777" w:rsidR="008B6AD4" w:rsidRPr="008B6AD4" w:rsidRDefault="008B6AD4" w:rsidP="008B6AD4">
                            <w:pPr>
                              <w:jc w:val="right"/>
                              <w:rPr>
                                <w:rFonts w:asciiTheme="minorHAnsi" w:hAnsiTheme="minorHAnsi"/>
                                <w:color w:val="132694"/>
                                <w:sz w:val="23"/>
                                <w:szCs w:val="23"/>
                              </w:rPr>
                            </w:pPr>
                            <w:r w:rsidRPr="008B6AD4">
                              <w:rPr>
                                <w:rFonts w:asciiTheme="minorHAnsi" w:hAnsiTheme="minorHAnsi"/>
                                <w:color w:val="132694"/>
                                <w:sz w:val="23"/>
                                <w:szCs w:val="23"/>
                              </w:rPr>
                              <w:t xml:space="preserve">Web: </w:t>
                            </w:r>
                            <w:hyperlink r:id="rId8" w:history="1">
                              <w:r w:rsidRPr="008B6AD4">
                                <w:rPr>
                                  <w:rStyle w:val="Hyperlink"/>
                                  <w:rFonts w:asciiTheme="minorHAnsi" w:hAnsiTheme="minorHAnsi"/>
                                  <w:color w:val="132694"/>
                                  <w:sz w:val="23"/>
                                  <w:szCs w:val="23"/>
                                </w:rPr>
                                <w:t>www.reliquaire.com</w:t>
                              </w:r>
                            </w:hyperlink>
                          </w:p>
                          <w:p w14:paraId="13B62E2C" w14:textId="77777777" w:rsidR="008B6AD4" w:rsidRPr="008B6AD4" w:rsidRDefault="008B6AD4" w:rsidP="008B6AD4">
                            <w:pPr>
                              <w:jc w:val="right"/>
                              <w:rPr>
                                <w:rFonts w:asciiTheme="minorHAnsi" w:hAnsiTheme="minorHAnsi"/>
                                <w:color w:val="17365D" w:themeColor="text2" w:themeShade="BF"/>
                                <w:sz w:val="23"/>
                                <w:szCs w:val="23"/>
                              </w:rPr>
                            </w:pPr>
                            <w:r w:rsidRPr="008B6AD4">
                              <w:rPr>
                                <w:rFonts w:asciiTheme="minorHAnsi" w:hAnsiTheme="minorHAnsi"/>
                                <w:color w:val="132694"/>
                                <w:sz w:val="23"/>
                                <w:szCs w:val="23"/>
                              </w:rPr>
                              <w:t>ABN: 35714366155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236EB8" id="_x0000_t202" coordsize="21600,21600" o:spt="202" path="m,l,21600r21600,l21600,xe">
                <v:stroke joinstyle="miter"/>
                <v:path gradientshapeok="t" o:connecttype="rect"/>
              </v:shapetype>
              <v:shape id="Text Box 1" o:spid="_x0000_s1026" type="#_x0000_t202" style="position:absolute;margin-left:252pt;margin-top:-54pt;width:198pt;height:12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" filled="f" stroked="f">
                <v:textbox>
                  <w:txbxContent>
                    <w:p w14:paraId="3B55C79D" w14:textId="77777777" w:rsidR="008B6AD4" w:rsidRPr="008B6AD4" w:rsidRDefault="008B6AD4" w:rsidP="008B6AD4">
                      <w:pPr>
                        <w:jc w:val="right"/>
                        <w:rPr>
                          <w:rFonts w:asciiTheme="minorHAnsi" w:hAnsiTheme="minorHAnsi"/>
                          <w:color w:val="132694"/>
                          <w:sz w:val="23"/>
                          <w:szCs w:val="23"/>
                        </w:rPr>
                      </w:pPr>
                      <w:r w:rsidRPr="008B6AD4">
                        <w:rPr>
                          <w:rFonts w:asciiTheme="minorHAnsi" w:hAnsiTheme="minorHAnsi"/>
                          <w:color w:val="132694"/>
                          <w:sz w:val="23"/>
                          <w:szCs w:val="23"/>
                        </w:rPr>
                        <w:t>Reliquaire</w:t>
                      </w:r>
                    </w:p>
                    <w:p w14:paraId="64D7B829" w14:textId="77777777" w:rsidR="008B6AD4" w:rsidRPr="008B6AD4" w:rsidRDefault="008B6AD4" w:rsidP="008B6AD4">
                      <w:pPr>
                        <w:jc w:val="right"/>
                        <w:rPr>
                          <w:rFonts w:asciiTheme="minorHAnsi" w:hAnsiTheme="minorHAnsi"/>
                          <w:color w:val="132694"/>
                          <w:sz w:val="23"/>
                          <w:szCs w:val="23"/>
                        </w:rPr>
                      </w:pPr>
                      <w:r w:rsidRPr="008B6AD4">
                        <w:rPr>
                          <w:rFonts w:asciiTheme="minorHAnsi" w:hAnsiTheme="minorHAnsi"/>
                          <w:color w:val="132694"/>
                          <w:sz w:val="23"/>
                          <w:szCs w:val="23"/>
                        </w:rPr>
                        <w:t>14 Hamilton St</w:t>
                      </w:r>
                    </w:p>
                    <w:p w14:paraId="42C0ECD6" w14:textId="77777777" w:rsidR="008B6AD4" w:rsidRPr="008B6AD4" w:rsidRDefault="008B6AD4" w:rsidP="008B6AD4">
                      <w:pPr>
                        <w:jc w:val="right"/>
                        <w:rPr>
                          <w:rFonts w:asciiTheme="minorHAnsi" w:hAnsiTheme="minorHAnsi"/>
                          <w:color w:val="132694"/>
                          <w:sz w:val="23"/>
                          <w:szCs w:val="23"/>
                        </w:rPr>
                      </w:pPr>
                      <w:r w:rsidRPr="008B6AD4">
                        <w:rPr>
                          <w:rFonts w:asciiTheme="minorHAnsi" w:hAnsiTheme="minorHAnsi"/>
                          <w:color w:val="132694"/>
                          <w:sz w:val="23"/>
                          <w:szCs w:val="23"/>
                        </w:rPr>
                        <w:t>Latrobe TAS</w:t>
                      </w:r>
                    </w:p>
                    <w:p w14:paraId="7E4AB5D0" w14:textId="77777777" w:rsidR="008B6AD4" w:rsidRPr="008B6AD4" w:rsidRDefault="008B6AD4" w:rsidP="008B6AD4">
                      <w:pPr>
                        <w:jc w:val="right"/>
                        <w:rPr>
                          <w:rFonts w:asciiTheme="minorHAnsi" w:hAnsiTheme="minorHAnsi"/>
                          <w:color w:val="132694"/>
                          <w:sz w:val="23"/>
                          <w:szCs w:val="23"/>
                        </w:rPr>
                      </w:pPr>
                      <w:r w:rsidRPr="008B6AD4">
                        <w:rPr>
                          <w:rFonts w:asciiTheme="minorHAnsi" w:hAnsiTheme="minorHAnsi"/>
                          <w:color w:val="132694"/>
                          <w:sz w:val="23"/>
                          <w:szCs w:val="23"/>
                        </w:rPr>
                        <w:t>Australia 7307</w:t>
                      </w:r>
                    </w:p>
                    <w:p w14:paraId="132DF83B" w14:textId="77777777" w:rsidR="008B6AD4" w:rsidRPr="008B6AD4" w:rsidRDefault="008B6AD4" w:rsidP="008B6AD4">
                      <w:pPr>
                        <w:jc w:val="right"/>
                        <w:rPr>
                          <w:rFonts w:asciiTheme="minorHAnsi" w:hAnsiTheme="minorHAnsi"/>
                          <w:color w:val="132694"/>
                          <w:sz w:val="23"/>
                          <w:szCs w:val="23"/>
                        </w:rPr>
                      </w:pPr>
                    </w:p>
                    <w:p w14:paraId="6598B916" w14:textId="77777777" w:rsidR="008B6AD4" w:rsidRPr="008B6AD4" w:rsidRDefault="008B6AD4" w:rsidP="008B6AD4">
                      <w:pPr>
                        <w:jc w:val="right"/>
                        <w:rPr>
                          <w:rFonts w:asciiTheme="minorHAnsi" w:hAnsiTheme="minorHAnsi"/>
                          <w:color w:val="132694"/>
                          <w:sz w:val="23"/>
                          <w:szCs w:val="23"/>
                        </w:rPr>
                      </w:pPr>
                      <w:r w:rsidRPr="008B6AD4">
                        <w:rPr>
                          <w:rFonts w:asciiTheme="minorHAnsi" w:hAnsiTheme="minorHAnsi"/>
                          <w:color w:val="132694"/>
                          <w:sz w:val="23"/>
                          <w:szCs w:val="23"/>
                        </w:rPr>
                        <w:t>Ph. +61 3 6426 2599</w:t>
                      </w:r>
                    </w:p>
                    <w:p w14:paraId="2F01700A" w14:textId="77777777" w:rsidR="008B6AD4" w:rsidRPr="008B6AD4" w:rsidRDefault="008B6AD4" w:rsidP="008B6AD4">
                      <w:pPr>
                        <w:jc w:val="right"/>
                        <w:rPr>
                          <w:rFonts w:asciiTheme="minorHAnsi" w:hAnsiTheme="minorHAnsi"/>
                          <w:color w:val="132694"/>
                          <w:sz w:val="23"/>
                          <w:szCs w:val="23"/>
                        </w:rPr>
                      </w:pPr>
                      <w:r w:rsidRPr="008B6AD4">
                        <w:rPr>
                          <w:rFonts w:asciiTheme="minorHAnsi" w:hAnsiTheme="minorHAnsi"/>
                          <w:color w:val="132694"/>
                          <w:sz w:val="23"/>
                          <w:szCs w:val="23"/>
                        </w:rPr>
                        <w:t xml:space="preserve">Email: </w:t>
                      </w:r>
                      <w:hyperlink r:id="rId9" w:history="1">
                        <w:r w:rsidRPr="008B6AD4">
                          <w:rPr>
                            <w:rStyle w:val="Hyperlink"/>
                            <w:rFonts w:asciiTheme="minorHAnsi" w:hAnsiTheme="minorHAnsi"/>
                            <w:color w:val="132694"/>
                            <w:sz w:val="23"/>
                            <w:szCs w:val="23"/>
                          </w:rPr>
                          <w:t>shop@reliquaire.com</w:t>
                        </w:r>
                      </w:hyperlink>
                    </w:p>
                    <w:p w14:paraId="6533EA73" w14:textId="77777777" w:rsidR="008B6AD4" w:rsidRPr="008B6AD4" w:rsidRDefault="008B6AD4" w:rsidP="008B6AD4">
                      <w:pPr>
                        <w:jc w:val="right"/>
                        <w:rPr>
                          <w:rFonts w:asciiTheme="minorHAnsi" w:hAnsiTheme="minorHAnsi"/>
                          <w:color w:val="132694"/>
                          <w:sz w:val="23"/>
                          <w:szCs w:val="23"/>
                        </w:rPr>
                      </w:pPr>
                      <w:r w:rsidRPr="008B6AD4">
                        <w:rPr>
                          <w:rFonts w:asciiTheme="minorHAnsi" w:hAnsiTheme="minorHAnsi"/>
                          <w:color w:val="132694"/>
                          <w:sz w:val="23"/>
                          <w:szCs w:val="23"/>
                        </w:rPr>
                        <w:t xml:space="preserve">Web: </w:t>
                      </w:r>
                      <w:hyperlink r:id="rId10" w:history="1">
                        <w:r w:rsidRPr="008B6AD4">
                          <w:rPr>
                            <w:rStyle w:val="Hyperlink"/>
                            <w:rFonts w:asciiTheme="minorHAnsi" w:hAnsiTheme="minorHAnsi"/>
                            <w:color w:val="132694"/>
                            <w:sz w:val="23"/>
                            <w:szCs w:val="23"/>
                          </w:rPr>
                          <w:t>www.reliquaire.com</w:t>
                        </w:r>
                      </w:hyperlink>
                    </w:p>
                    <w:p w14:paraId="13B62E2C" w14:textId="77777777" w:rsidR="008B6AD4" w:rsidRPr="008B6AD4" w:rsidRDefault="008B6AD4" w:rsidP="008B6AD4">
                      <w:pPr>
                        <w:jc w:val="right"/>
                        <w:rPr>
                          <w:rFonts w:asciiTheme="minorHAnsi" w:hAnsiTheme="minorHAnsi"/>
                          <w:color w:val="17365D" w:themeColor="text2" w:themeShade="BF"/>
                          <w:sz w:val="23"/>
                          <w:szCs w:val="23"/>
                        </w:rPr>
                      </w:pPr>
                      <w:r w:rsidRPr="008B6AD4">
                        <w:rPr>
                          <w:rFonts w:asciiTheme="minorHAnsi" w:hAnsiTheme="minorHAnsi"/>
                          <w:color w:val="132694"/>
                          <w:sz w:val="23"/>
                          <w:szCs w:val="23"/>
                        </w:rPr>
                        <w:t>ABN: 35714366155</w:t>
                      </w:r>
                    </w:p>
                  </w:txbxContent>
                </v:textbox>
                <w10:wrap type="square"/>
              </v:shape>
            </w:pict>
          </mc:Fallback>
        </mc:AlternateContent>
      </w:r>
      <w:r>
        <w:rPr>
          <w:noProof/>
          <w:lang w:eastAsia="en-AU"/>
        </w:rPr>
        <w:drawing>
          <wp:anchor distT="0" distB="0" distL="114300" distR="114300" simplePos="0" relativeHeight="251659264" behindDoc="0" locked="0" layoutInCell="1" allowOverlap="1" wp14:anchorId="7C47207C" wp14:editId="1AFD7D38">
            <wp:simplePos x="0" y="0"/>
            <wp:positionH relativeFrom="margin">
              <wp:posOffset>0</wp:posOffset>
            </wp:positionH>
            <wp:positionV relativeFrom="margin">
              <wp:posOffset>-685800</wp:posOffset>
            </wp:positionV>
            <wp:extent cx="2892425" cy="1586230"/>
            <wp:effectExtent l="0" t="0" r="3175" b="0"/>
            <wp:wrapSquare wrapText="bothSides"/>
            <wp:docPr id="2" name="Picture 2" descr="Macintosh HD:Users:Hamilton:Downloads:Reliquaire-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Hamilton:Downloads:Reliquaire-3.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92425" cy="15862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8FC9622" w14:textId="0A8B6EEE" w:rsidR="005350D2" w:rsidRDefault="005350D2" w:rsidP="00CB59EB">
      <w:r>
        <w:t>Australian Human Rights Commission</w:t>
      </w:r>
    </w:p>
    <w:p w14:paraId="037715C9" w14:textId="7190C341" w:rsidR="005350D2" w:rsidRDefault="005350D2" w:rsidP="00CB59EB">
      <w:r>
        <w:t>GPO Box 5218</w:t>
      </w:r>
    </w:p>
    <w:p w14:paraId="222B48B3" w14:textId="5AB260F2" w:rsidR="005350D2" w:rsidRDefault="005350D2" w:rsidP="00CB59EB">
      <w:r>
        <w:t>Sydney</w:t>
      </w:r>
    </w:p>
    <w:p w14:paraId="599F98B6" w14:textId="5098201E" w:rsidR="005350D2" w:rsidRDefault="005350D2" w:rsidP="00CB59EB">
      <w:r>
        <w:t>NSW 2001</w:t>
      </w:r>
    </w:p>
    <w:p w14:paraId="4B02E8F1" w14:textId="77777777" w:rsidR="00BF732B" w:rsidRDefault="00BF732B" w:rsidP="00CB59EB"/>
    <w:p w14:paraId="49AF4BAE" w14:textId="1D0640D7" w:rsidR="00BF732B" w:rsidRDefault="00BF732B" w:rsidP="00CB59EB">
      <w:r>
        <w:t xml:space="preserve">By email to </w:t>
      </w:r>
      <w:r>
        <w:rPr>
          <w:rFonts w:cs="Arial"/>
          <w:color w:val="18376A"/>
          <w:sz w:val="28"/>
          <w:szCs w:val="28"/>
          <w:lang w:val="en-US"/>
        </w:rPr>
        <w:t> </w:t>
      </w:r>
      <w:hyperlink r:id="rId12" w:history="1">
        <w:r>
          <w:rPr>
            <w:rFonts w:cs="Arial"/>
            <w:color w:val="6B006D"/>
            <w:sz w:val="28"/>
            <w:szCs w:val="28"/>
            <w:u w:val="single" w:color="6B006D"/>
            <w:lang w:val="en-US"/>
          </w:rPr>
          <w:t>disability@humanrights.gov.au</w:t>
        </w:r>
      </w:hyperlink>
    </w:p>
    <w:p w14:paraId="083E1429" w14:textId="77777777" w:rsidR="005350D2" w:rsidRDefault="005350D2" w:rsidP="00CB59EB"/>
    <w:p w14:paraId="7714F3B7" w14:textId="3CCF2F25" w:rsidR="005350D2" w:rsidRDefault="00644C68" w:rsidP="00CB59EB">
      <w:r>
        <w:t>2</w:t>
      </w:r>
      <w:r w:rsidR="00FF036E">
        <w:t xml:space="preserve"> May 2016 </w:t>
      </w:r>
    </w:p>
    <w:p w14:paraId="2B3CF380" w14:textId="77777777" w:rsidR="009E6D91" w:rsidRDefault="009E6D91" w:rsidP="00CB59EB"/>
    <w:p w14:paraId="5C564CA4" w14:textId="0AC095E0" w:rsidR="009E6D91" w:rsidRDefault="00A911F2" w:rsidP="00CB59EB">
      <w:r>
        <w:t xml:space="preserve">Dear </w:t>
      </w:r>
      <w:r w:rsidR="00A87975">
        <w:t>Madam/Sir</w:t>
      </w:r>
    </w:p>
    <w:p w14:paraId="75C712EE" w14:textId="77777777" w:rsidR="009E6D91" w:rsidRDefault="009E6D91" w:rsidP="00CB59EB"/>
    <w:p w14:paraId="712E2F1E" w14:textId="742F7236" w:rsidR="009E6D91" w:rsidRDefault="009E6D91" w:rsidP="00F8226B">
      <w:pPr>
        <w:spacing w:after="120"/>
      </w:pPr>
      <w:r>
        <w:t>I am writing to submit a</w:t>
      </w:r>
      <w:r w:rsidR="00FF036E">
        <w:t xml:space="preserve"> Building Upgrade Plan (</w:t>
      </w:r>
      <w:r>
        <w:t>Action Plan</w:t>
      </w:r>
      <w:r w:rsidR="00FF036E">
        <w:t>)</w:t>
      </w:r>
      <w:r>
        <w:t xml:space="preserve"> under section 64 of the </w:t>
      </w:r>
      <w:r w:rsidRPr="009E6D91">
        <w:rPr>
          <w:i/>
        </w:rPr>
        <w:t>Disability Discrimination Act</w:t>
      </w:r>
      <w:r>
        <w:t xml:space="preserve"> 1992</w:t>
      </w:r>
      <w:r w:rsidR="00FF036E">
        <w:t xml:space="preserve"> in relation to retail premises operating as Reliquaire, Latrobe, Tasmania</w:t>
      </w:r>
      <w:r>
        <w:t>.</w:t>
      </w:r>
    </w:p>
    <w:p w14:paraId="306AD021" w14:textId="4B3C5E6E" w:rsidR="006E7EFD" w:rsidRPr="00FF036E" w:rsidRDefault="000D5CFE" w:rsidP="00A87C63">
      <w:pPr>
        <w:pStyle w:val="Heading2"/>
      </w:pPr>
      <w:r w:rsidRPr="00F8226B">
        <w:t>Background</w:t>
      </w:r>
    </w:p>
    <w:p w14:paraId="367264C9" w14:textId="608D93C3" w:rsidR="0019645B" w:rsidRDefault="00282D46" w:rsidP="00282D46">
      <w:pPr>
        <w:rPr>
          <w:lang w:val="en-US"/>
        </w:rPr>
      </w:pPr>
      <w:r w:rsidRPr="00282D46">
        <w:rPr>
          <w:lang w:val="en-US"/>
        </w:rPr>
        <w:t xml:space="preserve">Reliquaire </w:t>
      </w:r>
      <w:r>
        <w:rPr>
          <w:lang w:val="en-US"/>
        </w:rPr>
        <w:t>is</w:t>
      </w:r>
      <w:r w:rsidRPr="00282D46">
        <w:rPr>
          <w:lang w:val="en-US"/>
        </w:rPr>
        <w:t xml:space="preserve"> renowned for its eclectic </w:t>
      </w:r>
      <w:r w:rsidR="00FF036E">
        <w:rPr>
          <w:lang w:val="en-US"/>
        </w:rPr>
        <w:t>collection</w:t>
      </w:r>
      <w:r w:rsidRPr="00282D46">
        <w:rPr>
          <w:lang w:val="en-US"/>
        </w:rPr>
        <w:t xml:space="preserve"> of dolls, teddies, jewelry, soaps &amp; candles, handbags &amp; clothing, Venetian masks, cookbooks, puppets, games, science &amp; education, Tasmanian produce, homemade fudge, leadlight lamps, bronze statues, restoration supplies and antique furniture.</w:t>
      </w:r>
    </w:p>
    <w:p w14:paraId="0055BB5C" w14:textId="77777777" w:rsidR="00282D46" w:rsidRDefault="00282D46" w:rsidP="00282D46">
      <w:pPr>
        <w:jc w:val="center"/>
        <w:rPr>
          <w:lang w:val="en-US"/>
        </w:rPr>
      </w:pPr>
    </w:p>
    <w:p w14:paraId="74015711" w14:textId="50A826DB" w:rsidR="00282D46" w:rsidRDefault="00282D46" w:rsidP="00282D46">
      <w:pPr>
        <w:jc w:val="center"/>
        <w:rPr>
          <w:lang w:val="en-US"/>
        </w:rPr>
      </w:pPr>
      <w:r>
        <w:rPr>
          <w:rFonts w:ascii="Helvetica" w:hAnsi="Helvetica" w:cs="Helvetica"/>
          <w:noProof/>
          <w:lang w:eastAsia="en-AU"/>
        </w:rPr>
        <w:drawing>
          <wp:inline distT="0" distB="0" distL="0" distR="0" wp14:anchorId="51849DD1" wp14:editId="0F7E54B9">
            <wp:extent cx="3196590" cy="2122536"/>
            <wp:effectExtent l="0" t="0" r="3810" b="1143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197402" cy="2123075"/>
                    </a:xfrm>
                    <a:prstGeom prst="rect">
                      <a:avLst/>
                    </a:prstGeom>
                    <a:noFill/>
                    <a:ln>
                      <a:noFill/>
                    </a:ln>
                  </pic:spPr>
                </pic:pic>
              </a:graphicData>
            </a:graphic>
          </wp:inline>
        </w:drawing>
      </w:r>
    </w:p>
    <w:p w14:paraId="741D3CA3" w14:textId="20AC38E5" w:rsidR="008048EB" w:rsidRPr="008048EB" w:rsidRDefault="008048EB" w:rsidP="00282D46">
      <w:pPr>
        <w:jc w:val="center"/>
        <w:rPr>
          <w:sz w:val="22"/>
          <w:szCs w:val="22"/>
          <w:lang w:val="en-US"/>
        </w:rPr>
      </w:pPr>
      <w:r w:rsidRPr="008048EB">
        <w:rPr>
          <w:sz w:val="22"/>
          <w:szCs w:val="22"/>
          <w:lang w:val="en-US"/>
        </w:rPr>
        <w:t>Photo 1 shows the original Reliquaire</w:t>
      </w:r>
    </w:p>
    <w:p w14:paraId="2007E663" w14:textId="77777777" w:rsidR="00282D46" w:rsidRDefault="00282D46" w:rsidP="00282D46">
      <w:pPr>
        <w:rPr>
          <w:lang w:val="en-US"/>
        </w:rPr>
      </w:pPr>
    </w:p>
    <w:p w14:paraId="6A1E1C15" w14:textId="320F0704" w:rsidR="00282D46" w:rsidRDefault="008B6AD4" w:rsidP="00282D46">
      <w:pPr>
        <w:rPr>
          <w:lang w:val="en-US"/>
        </w:rPr>
      </w:pPr>
      <w:r>
        <w:rPr>
          <w:lang w:val="en-US"/>
        </w:rPr>
        <w:t>Sadly on Christmas E</w:t>
      </w:r>
      <w:r w:rsidR="00282D46">
        <w:rPr>
          <w:lang w:val="en-US"/>
        </w:rPr>
        <w:t xml:space="preserve">ve 2015 a fire </w:t>
      </w:r>
      <w:r w:rsidR="00282D46" w:rsidRPr="00282D46">
        <w:rPr>
          <w:lang w:val="en-US"/>
        </w:rPr>
        <w:t>destroyed the entire building and everything inside.</w:t>
      </w:r>
    </w:p>
    <w:p w14:paraId="0AC4EEAD" w14:textId="77777777" w:rsidR="00282D46" w:rsidRDefault="00282D46" w:rsidP="00282D46">
      <w:pPr>
        <w:rPr>
          <w:lang w:val="en-US"/>
        </w:rPr>
      </w:pPr>
    </w:p>
    <w:p w14:paraId="461CA93A" w14:textId="2CFE6C5E" w:rsidR="00282D46" w:rsidRDefault="008A10B6" w:rsidP="00282D46">
      <w:pPr>
        <w:rPr>
          <w:lang w:val="en-US"/>
        </w:rPr>
      </w:pPr>
      <w:r>
        <w:rPr>
          <w:lang w:val="en-US"/>
        </w:rPr>
        <w:t xml:space="preserve">We </w:t>
      </w:r>
      <w:r w:rsidR="00282D46">
        <w:rPr>
          <w:lang w:val="en-US"/>
        </w:rPr>
        <w:t xml:space="preserve">intend to build a new Reliquaire and in the meantime </w:t>
      </w:r>
      <w:r w:rsidR="00FF036E">
        <w:rPr>
          <w:lang w:val="en-US"/>
        </w:rPr>
        <w:t>have been</w:t>
      </w:r>
      <w:r w:rsidR="00282D46">
        <w:rPr>
          <w:lang w:val="en-US"/>
        </w:rPr>
        <w:t xml:space="preserve"> operating a pop-up shop and online ordering service.</w:t>
      </w:r>
    </w:p>
    <w:p w14:paraId="70D2EEAB" w14:textId="77777777" w:rsidR="00282D46" w:rsidRDefault="00282D46" w:rsidP="00282D46">
      <w:pPr>
        <w:rPr>
          <w:lang w:val="en-US"/>
        </w:rPr>
      </w:pPr>
    </w:p>
    <w:p w14:paraId="40052516" w14:textId="3ED7ED06" w:rsidR="00282D46" w:rsidRDefault="00282D46" w:rsidP="00282D46">
      <w:pPr>
        <w:rPr>
          <w:lang w:val="en-US"/>
        </w:rPr>
      </w:pPr>
      <w:r>
        <w:rPr>
          <w:lang w:val="en-US"/>
        </w:rPr>
        <w:t xml:space="preserve">In order to </w:t>
      </w:r>
      <w:r w:rsidR="007F49D0">
        <w:rPr>
          <w:lang w:val="en-US"/>
        </w:rPr>
        <w:t>ensure</w:t>
      </w:r>
      <w:r>
        <w:rPr>
          <w:lang w:val="en-US"/>
        </w:rPr>
        <w:t xml:space="preserve"> </w:t>
      </w:r>
      <w:r w:rsidR="00FF036E">
        <w:rPr>
          <w:lang w:val="en-US"/>
        </w:rPr>
        <w:t xml:space="preserve">the </w:t>
      </w:r>
      <w:r w:rsidR="007F49D0">
        <w:rPr>
          <w:lang w:val="en-US"/>
        </w:rPr>
        <w:t>visibility</w:t>
      </w:r>
      <w:r>
        <w:rPr>
          <w:lang w:val="en-US"/>
        </w:rPr>
        <w:t xml:space="preserve"> of the business </w:t>
      </w:r>
      <w:r w:rsidR="008048EB">
        <w:rPr>
          <w:lang w:val="en-US"/>
        </w:rPr>
        <w:t xml:space="preserve">while </w:t>
      </w:r>
      <w:r w:rsidR="007F49D0">
        <w:rPr>
          <w:lang w:val="en-US"/>
        </w:rPr>
        <w:t xml:space="preserve">awaiting the finalization of an insurance claim </w:t>
      </w:r>
      <w:r w:rsidR="008A10B6">
        <w:rPr>
          <w:lang w:val="en-US"/>
        </w:rPr>
        <w:t>we</w:t>
      </w:r>
      <w:r>
        <w:rPr>
          <w:lang w:val="en-US"/>
        </w:rPr>
        <w:t xml:space="preserve"> have sought a temporary occupation permit to operate a scaled down outlet </w:t>
      </w:r>
      <w:r w:rsidR="008048EB">
        <w:rPr>
          <w:lang w:val="en-US"/>
        </w:rPr>
        <w:t>at 14 Hamilton Street, Latrobe</w:t>
      </w:r>
      <w:r w:rsidR="00233FE7">
        <w:rPr>
          <w:lang w:val="en-US"/>
        </w:rPr>
        <w:t>.</w:t>
      </w:r>
      <w:r w:rsidR="007F49D0">
        <w:rPr>
          <w:lang w:val="en-US"/>
        </w:rPr>
        <w:t xml:space="preserve"> It is important that the business continues with a physical presence for its long-term viability.</w:t>
      </w:r>
    </w:p>
    <w:p w14:paraId="3A3F7F95" w14:textId="77777777" w:rsidR="00233FE7" w:rsidRDefault="00233FE7" w:rsidP="00282D46">
      <w:pPr>
        <w:rPr>
          <w:lang w:val="en-US"/>
        </w:rPr>
      </w:pPr>
    </w:p>
    <w:p w14:paraId="099BF5EE" w14:textId="424E9ACA" w:rsidR="00233FE7" w:rsidRDefault="00233FE7" w:rsidP="00282D46">
      <w:pPr>
        <w:rPr>
          <w:lang w:val="en-US"/>
        </w:rPr>
      </w:pPr>
      <w:r>
        <w:rPr>
          <w:lang w:val="en-US"/>
        </w:rPr>
        <w:t xml:space="preserve">The building </w:t>
      </w:r>
      <w:r w:rsidR="007F49D0">
        <w:rPr>
          <w:lang w:val="en-US"/>
        </w:rPr>
        <w:t xml:space="preserve">at 14 Hamilton Street </w:t>
      </w:r>
      <w:r w:rsidR="00FF036E">
        <w:rPr>
          <w:lang w:val="en-US"/>
        </w:rPr>
        <w:t xml:space="preserve">is on the Heritage Register and </w:t>
      </w:r>
      <w:r>
        <w:rPr>
          <w:lang w:val="en-US"/>
        </w:rPr>
        <w:t>currently operates as a family home</w:t>
      </w:r>
      <w:r w:rsidR="007F49D0">
        <w:rPr>
          <w:lang w:val="en-US"/>
        </w:rPr>
        <w:t>. Its use as a retail business</w:t>
      </w:r>
      <w:r>
        <w:rPr>
          <w:lang w:val="en-US"/>
        </w:rPr>
        <w:t xml:space="preserve"> will require approval for a temporary change of use and occupation permit</w:t>
      </w:r>
      <w:r w:rsidR="00FF036E">
        <w:rPr>
          <w:lang w:val="en-US"/>
        </w:rPr>
        <w:t xml:space="preserve"> for a limited period of time while work progresses on a new access compliant building</w:t>
      </w:r>
      <w:r>
        <w:rPr>
          <w:lang w:val="en-US"/>
        </w:rPr>
        <w:t>.</w:t>
      </w:r>
    </w:p>
    <w:p w14:paraId="0FAEAEC1" w14:textId="77777777" w:rsidR="0054601C" w:rsidRDefault="0054601C" w:rsidP="0054601C">
      <w:pPr>
        <w:jc w:val="center"/>
        <w:rPr>
          <w:lang w:val="en-US"/>
        </w:rPr>
      </w:pPr>
    </w:p>
    <w:p w14:paraId="3B72E986" w14:textId="77777777" w:rsidR="0054601C" w:rsidRDefault="0054601C" w:rsidP="0054601C">
      <w:pPr>
        <w:jc w:val="center"/>
        <w:rPr>
          <w:lang w:val="en-US"/>
        </w:rPr>
      </w:pPr>
      <w:r>
        <w:rPr>
          <w:noProof/>
          <w:lang w:eastAsia="en-AU"/>
        </w:rPr>
        <w:drawing>
          <wp:inline distT="0" distB="0" distL="0" distR="0" wp14:anchorId="017AB1EC" wp14:editId="5B086660">
            <wp:extent cx="2838332" cy="2213610"/>
            <wp:effectExtent l="0" t="0" r="698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 Hamilton.jpg"/>
                    <pic:cNvPicPr/>
                  </pic:nvPicPr>
                  <pic:blipFill>
                    <a:blip r:embed="rId14">
                      <a:extLst>
                        <a:ext uri="{28A0092B-C50C-407E-A947-70E740481C1C}">
                          <a14:useLocalDpi xmlns:a14="http://schemas.microsoft.com/office/drawing/2010/main" val="0"/>
                        </a:ext>
                      </a:extLst>
                    </a:blip>
                    <a:stretch>
                      <a:fillRect/>
                    </a:stretch>
                  </pic:blipFill>
                  <pic:spPr>
                    <a:xfrm>
                      <a:off x="0" y="0"/>
                      <a:ext cx="2839025" cy="2214150"/>
                    </a:xfrm>
                    <a:prstGeom prst="rect">
                      <a:avLst/>
                    </a:prstGeom>
                  </pic:spPr>
                </pic:pic>
              </a:graphicData>
            </a:graphic>
          </wp:inline>
        </w:drawing>
      </w:r>
    </w:p>
    <w:p w14:paraId="42758821" w14:textId="77777777" w:rsidR="0054601C" w:rsidRDefault="0054601C" w:rsidP="0054601C">
      <w:pPr>
        <w:jc w:val="center"/>
        <w:rPr>
          <w:lang w:val="en-US"/>
        </w:rPr>
      </w:pPr>
      <w:r>
        <w:rPr>
          <w:lang w:val="en-US"/>
        </w:rPr>
        <w:t>Photo 2 shows the proposed temporary outlet</w:t>
      </w:r>
    </w:p>
    <w:p w14:paraId="01E6D60F" w14:textId="77777777" w:rsidR="0054601C" w:rsidRDefault="0054601C" w:rsidP="00282D46">
      <w:pPr>
        <w:rPr>
          <w:lang w:val="en-US"/>
        </w:rPr>
      </w:pPr>
    </w:p>
    <w:p w14:paraId="7E9AED60" w14:textId="77777777" w:rsidR="0054601C" w:rsidRDefault="0054601C" w:rsidP="0054601C">
      <w:pPr>
        <w:rPr>
          <w:rFonts w:ascii="HelveticaNeueLT Pro 55 Roman" w:hAnsi="HelveticaNeueLT Pro 55 Roman"/>
        </w:rPr>
      </w:pPr>
      <w:r>
        <w:rPr>
          <w:rFonts w:ascii="HelveticaNeueLT Pro 55 Roman" w:hAnsi="HelveticaNeueLT Pro 55 Roman"/>
        </w:rPr>
        <w:t>We note</w:t>
      </w:r>
      <w:r w:rsidRPr="00FE6863">
        <w:rPr>
          <w:rFonts w:ascii="HelveticaNeueLT Pro 55 Roman" w:hAnsi="HelveticaNeueLT Pro 55 Roman"/>
        </w:rPr>
        <w:t xml:space="preserve"> that the Premises Standards at paragraph 4.1(3)(n) envisages that on occasion developing a ‘Building upgrade plan’ would be an appropriate strategy to achieve access compliance over time where arguably immediate compliance was not possible or reasonable. </w:t>
      </w:r>
    </w:p>
    <w:p w14:paraId="189174BD" w14:textId="77777777" w:rsidR="0054601C" w:rsidRDefault="0054601C" w:rsidP="0054601C">
      <w:pPr>
        <w:rPr>
          <w:rFonts w:ascii="HelveticaNeueLT Pro 55 Roman" w:hAnsi="HelveticaNeueLT Pro 55 Roman"/>
        </w:rPr>
      </w:pPr>
    </w:p>
    <w:p w14:paraId="1F3829B0" w14:textId="77777777" w:rsidR="0054601C" w:rsidRPr="00FE6863" w:rsidRDefault="0054601C" w:rsidP="0054601C">
      <w:pPr>
        <w:spacing w:after="120"/>
        <w:rPr>
          <w:rFonts w:ascii="HelveticaNeueLT Pro 55 Roman" w:hAnsi="HelveticaNeueLT Pro 55 Roman"/>
        </w:rPr>
      </w:pPr>
      <w:r w:rsidRPr="00FE6863">
        <w:rPr>
          <w:rFonts w:ascii="HelveticaNeueLT Pro 55 Roman" w:hAnsi="HelveticaNeueLT Pro 55 Roman"/>
        </w:rPr>
        <w:t xml:space="preserve">The </w:t>
      </w:r>
      <w:r w:rsidRPr="00FE6863">
        <w:rPr>
          <w:rFonts w:ascii="HelveticaNeueLT Pro 55 Roman" w:hAnsi="HelveticaNeueLT Pro 55 Roman"/>
          <w:i/>
        </w:rPr>
        <w:t>Guideline on the application of the Premises Standards</w:t>
      </w:r>
      <w:r w:rsidRPr="00FE6863">
        <w:rPr>
          <w:rFonts w:ascii="HelveticaNeueLT Pro 55 Roman" w:hAnsi="HelveticaNeueLT Pro 55 Roman"/>
        </w:rPr>
        <w:t xml:space="preserve"> at page 43 provides more information on the use of ‘Building upgrade plans’: </w:t>
      </w:r>
    </w:p>
    <w:p w14:paraId="48A4132A" w14:textId="77777777" w:rsidR="0054601C" w:rsidRDefault="0054601C" w:rsidP="0054601C">
      <w:pPr>
        <w:spacing w:after="120"/>
        <w:ind w:left="720"/>
      </w:pPr>
      <w:r>
        <w:t xml:space="preserve">Paragraph </w:t>
      </w:r>
      <w:r w:rsidRPr="005C6563">
        <w:t xml:space="preserve">4.1(3)(n) </w:t>
      </w:r>
      <w:r>
        <w:t xml:space="preserve">of the Premises Standards </w:t>
      </w:r>
      <w:r w:rsidRPr="005C6563">
        <w:t xml:space="preserve">ensures that action plans will also be relevant to </w:t>
      </w:r>
      <w:r>
        <w:t>assessing</w:t>
      </w:r>
      <w:r w:rsidRPr="005C6563">
        <w:t xml:space="preserve"> unjustifiable hardship for the purposes of the Premises Standards.</w:t>
      </w:r>
    </w:p>
    <w:p w14:paraId="597FFE02" w14:textId="77777777" w:rsidR="0054601C" w:rsidRDefault="0054601C" w:rsidP="0054601C">
      <w:pPr>
        <w:spacing w:after="120"/>
        <w:ind w:left="720"/>
      </w:pPr>
      <w:r>
        <w:t>An action plan may take the form of a ‘Building upgrade plan’ that puts forward a plan of action for addressing access issues over a period of time where immediate compliance might affect broader upgrade plans or cause unjustifiable hardship.</w:t>
      </w:r>
    </w:p>
    <w:p w14:paraId="1E408512" w14:textId="77777777" w:rsidR="0054601C" w:rsidRDefault="0054601C" w:rsidP="0054601C">
      <w:pPr>
        <w:spacing w:after="120"/>
        <w:ind w:left="720"/>
      </w:pPr>
      <w:r>
        <w:t>For example, a developer might be undertaking some minor upgrade work on a building such as replacing a single loadbearing wall which would require building approval. Such an application would trigger the application of the Premises Standards to the ‘affected part’ of the building. The developer might consider putting forward a ‘Building upgrade plan’ (action plan) proposing a phased implementation of access requirements or a delayed implementation until a major upgrade due to take place in the near future.</w:t>
      </w:r>
    </w:p>
    <w:p w14:paraId="2C3DBE0F" w14:textId="77777777" w:rsidR="0054601C" w:rsidRDefault="0054601C" w:rsidP="0054601C">
      <w:pPr>
        <w:spacing w:after="120"/>
        <w:ind w:left="720"/>
      </w:pPr>
      <w:r>
        <w:t>A court, if dealing with a complaint in relation to the Premises Standards would consider such a plan in looking at the question of unjustifiable hardship.</w:t>
      </w:r>
    </w:p>
    <w:p w14:paraId="5AEE2F56" w14:textId="57B119F8" w:rsidR="0054601C" w:rsidRDefault="0054601C" w:rsidP="0054601C">
      <w:pPr>
        <w:ind w:left="720"/>
        <w:rPr>
          <w:lang w:val="en-US"/>
        </w:rPr>
      </w:pPr>
      <w:r>
        <w:t>A building certifier might also consider such a written plan when assessing an application for building approval or occupancy where specific circumstances might mean that immediate compliance was not possible or reasonable</w:t>
      </w:r>
      <w:r>
        <w:rPr>
          <w:rStyle w:val="FootnoteReference"/>
        </w:rPr>
        <w:footnoteReference w:id="1"/>
      </w:r>
      <w:r>
        <w:t>.</w:t>
      </w:r>
    </w:p>
    <w:p w14:paraId="3C51EA2C" w14:textId="77777777" w:rsidR="00FF036E" w:rsidRDefault="00FF036E" w:rsidP="00282D46">
      <w:r>
        <w:lastRenderedPageBreak/>
        <w:t>Given the temporary use of the building, its heritage status and the technical and cost issues associated with providing access fully compliant with the Premises Standards immediately this Building Upgrade Plan proposes:</w:t>
      </w:r>
    </w:p>
    <w:p w14:paraId="414BA95B" w14:textId="77777777" w:rsidR="00FF036E" w:rsidRDefault="00FF036E" w:rsidP="00282D46"/>
    <w:p w14:paraId="58401B63" w14:textId="77777777" w:rsidR="006735A0" w:rsidRDefault="006735A0" w:rsidP="006735A0">
      <w:pPr>
        <w:pStyle w:val="ListParagraph"/>
        <w:numPr>
          <w:ilvl w:val="0"/>
          <w:numId w:val="3"/>
        </w:numPr>
      </w:pPr>
      <w:r>
        <w:t>Access arrangements for immediate implementation</w:t>
      </w:r>
    </w:p>
    <w:p w14:paraId="4B916454" w14:textId="55044678" w:rsidR="00282D46" w:rsidRDefault="006735A0" w:rsidP="00FE6863">
      <w:pPr>
        <w:pStyle w:val="ListParagraph"/>
        <w:numPr>
          <w:ilvl w:val="0"/>
          <w:numId w:val="3"/>
        </w:numPr>
        <w:spacing w:after="120"/>
        <w:ind w:left="714" w:hanging="357"/>
      </w:pPr>
      <w:r>
        <w:t>A timeframe for the construction of a new building that complies with the Premises Standards.</w:t>
      </w:r>
    </w:p>
    <w:p w14:paraId="64F2E33B" w14:textId="24F381FB" w:rsidR="006735A0" w:rsidRPr="00A87C63" w:rsidRDefault="00FE6863" w:rsidP="00282D46">
      <w:pPr>
        <w:rPr>
          <w:rFonts w:ascii="HelveticaNeueLT Pro 55 Roman" w:hAnsi="HelveticaNeueLT Pro 55 Roman"/>
        </w:rPr>
      </w:pPr>
      <w:r w:rsidRPr="00FE6863">
        <w:rPr>
          <w:rFonts w:ascii="HelveticaNeueLT Pro 55 Roman" w:hAnsi="HelveticaNeueLT Pro 55 Roman"/>
        </w:rPr>
        <w:t>This Building Access Upgrade Plan has been established to clearly outline the stages for progressively improved access with the aim of achieving full compliance with the access requirements of the Premises Standard on completion of the</w:t>
      </w:r>
      <w:r w:rsidR="00A87C63">
        <w:rPr>
          <w:rFonts w:ascii="HelveticaNeueLT Pro 55 Roman" w:hAnsi="HelveticaNeueLT Pro 55 Roman"/>
        </w:rPr>
        <w:t xml:space="preserve"> new</w:t>
      </w:r>
      <w:r w:rsidRPr="00FE6863">
        <w:rPr>
          <w:rFonts w:ascii="HelveticaNeueLT Pro 55 Roman" w:hAnsi="HelveticaNeueLT Pro 55 Roman"/>
        </w:rPr>
        <w:t xml:space="preserve"> building redevelopment. </w:t>
      </w:r>
    </w:p>
    <w:p w14:paraId="11D6C6C9" w14:textId="1FCE5042" w:rsidR="00491AB9" w:rsidRPr="0019645B" w:rsidRDefault="0019645B" w:rsidP="00A87C63">
      <w:pPr>
        <w:pStyle w:val="Heading2"/>
      </w:pPr>
      <w:r w:rsidRPr="0019645B">
        <w:t xml:space="preserve">Proposed </w:t>
      </w:r>
      <w:r w:rsidR="00A87C63">
        <w:t xml:space="preserve">access </w:t>
      </w:r>
      <w:r w:rsidRPr="0019645B">
        <w:t>approach</w:t>
      </w:r>
    </w:p>
    <w:p w14:paraId="1A63EDB8" w14:textId="27774089" w:rsidR="00A87C63" w:rsidRDefault="00A87C63" w:rsidP="00FF036E">
      <w:pPr>
        <w:rPr>
          <w:lang w:val="en-US"/>
        </w:rPr>
      </w:pPr>
      <w:r>
        <w:rPr>
          <w:lang w:val="en-US"/>
        </w:rPr>
        <w:t>The following access arrangements will be implemented immediately in relation to the temporary outlet at 14 Hamilton Street, Latrobe.</w:t>
      </w:r>
    </w:p>
    <w:p w14:paraId="2F5F87B6" w14:textId="77777777" w:rsidR="00FF036E" w:rsidRDefault="00FF036E" w:rsidP="00FF036E">
      <w:pPr>
        <w:rPr>
          <w:lang w:val="en-US"/>
        </w:rPr>
      </w:pPr>
      <w:r>
        <w:rPr>
          <w:lang w:val="en-US"/>
        </w:rPr>
        <w:t> </w:t>
      </w:r>
    </w:p>
    <w:p w14:paraId="43A79E52" w14:textId="6A4CFB1F" w:rsidR="00A87C63" w:rsidRPr="000A1A4B" w:rsidRDefault="00FF036E" w:rsidP="000A1A4B">
      <w:pPr>
        <w:pStyle w:val="ListParagraph"/>
        <w:numPr>
          <w:ilvl w:val="0"/>
          <w:numId w:val="4"/>
        </w:numPr>
        <w:rPr>
          <w:lang w:val="en-US"/>
        </w:rPr>
      </w:pPr>
      <w:r w:rsidRPr="000A1A4B">
        <w:rPr>
          <w:lang w:val="en-US"/>
        </w:rPr>
        <w:t xml:space="preserve">An accessible path of travel will be provided from the </w:t>
      </w:r>
      <w:r w:rsidR="00A87C63" w:rsidRPr="000A1A4B">
        <w:rPr>
          <w:lang w:val="en-US"/>
        </w:rPr>
        <w:t xml:space="preserve">public </w:t>
      </w:r>
      <w:r w:rsidRPr="000A1A4B">
        <w:rPr>
          <w:lang w:val="en-US"/>
        </w:rPr>
        <w:t xml:space="preserve">footpath across </w:t>
      </w:r>
      <w:r w:rsidR="00A87C63" w:rsidRPr="000A1A4B">
        <w:rPr>
          <w:lang w:val="en-US"/>
        </w:rPr>
        <w:t>a</w:t>
      </w:r>
      <w:r w:rsidRPr="000A1A4B">
        <w:rPr>
          <w:lang w:val="en-US"/>
        </w:rPr>
        <w:t xml:space="preserve"> courtyard and up onto </w:t>
      </w:r>
      <w:r w:rsidR="00A87C63" w:rsidRPr="000A1A4B">
        <w:rPr>
          <w:lang w:val="en-US"/>
        </w:rPr>
        <w:t>a</w:t>
      </w:r>
      <w:r w:rsidRPr="000A1A4B">
        <w:rPr>
          <w:lang w:val="en-US"/>
        </w:rPr>
        <w:t xml:space="preserve"> verandah </w:t>
      </w:r>
      <w:r w:rsidR="00A87C63" w:rsidRPr="000A1A4B">
        <w:rPr>
          <w:lang w:val="en-US"/>
        </w:rPr>
        <w:t xml:space="preserve">as </w:t>
      </w:r>
      <w:r w:rsidR="00644C68">
        <w:rPr>
          <w:lang w:val="en-US"/>
        </w:rPr>
        <w:t>agreed with the certifying authority</w:t>
      </w:r>
      <w:r w:rsidR="00A87C63" w:rsidRPr="000A1A4B">
        <w:rPr>
          <w:lang w:val="en-US"/>
        </w:rPr>
        <w:t xml:space="preserve">. This entrance will be identified as the principal pedestrian entrance and signage </w:t>
      </w:r>
      <w:r w:rsidR="0061139B" w:rsidRPr="000A1A4B">
        <w:rPr>
          <w:lang w:val="en-US"/>
        </w:rPr>
        <w:t>will direct all visitors to the</w:t>
      </w:r>
      <w:r w:rsidR="00A87C63" w:rsidRPr="000A1A4B">
        <w:rPr>
          <w:lang w:val="en-US"/>
        </w:rPr>
        <w:t xml:space="preserve"> entrance</w:t>
      </w:r>
      <w:r w:rsidR="0061139B" w:rsidRPr="000A1A4B">
        <w:rPr>
          <w:lang w:val="en-US"/>
        </w:rPr>
        <w:t>, which, weather permitting, will be open at all times</w:t>
      </w:r>
      <w:r w:rsidR="00A87C63" w:rsidRPr="000A1A4B">
        <w:rPr>
          <w:lang w:val="en-US"/>
        </w:rPr>
        <w:t xml:space="preserve">. </w:t>
      </w:r>
    </w:p>
    <w:p w14:paraId="5A50A11F" w14:textId="312F80A4" w:rsidR="00FF036E" w:rsidRDefault="00FF036E" w:rsidP="000A1A4B">
      <w:pPr>
        <w:ind w:firstLine="60"/>
        <w:rPr>
          <w:lang w:val="en-US"/>
        </w:rPr>
      </w:pPr>
    </w:p>
    <w:p w14:paraId="1D44A62C" w14:textId="54BBCB89" w:rsidR="0061139B" w:rsidRPr="000A1A4B" w:rsidRDefault="0061139B" w:rsidP="000A1A4B">
      <w:pPr>
        <w:pStyle w:val="ListParagraph"/>
        <w:numPr>
          <w:ilvl w:val="0"/>
          <w:numId w:val="4"/>
        </w:numPr>
        <w:rPr>
          <w:lang w:val="en-US"/>
        </w:rPr>
      </w:pPr>
      <w:r w:rsidRPr="000A1A4B">
        <w:rPr>
          <w:lang w:val="en-US"/>
        </w:rPr>
        <w:t xml:space="preserve">People with mobility disability will be able to circulate around the ground floor level to display rooms off a wide central corridor. Where visitors using mobility aids have difficulty moving into any of the display rooms staff will provide information on items in those rooms and bring any items of interest </w:t>
      </w:r>
      <w:r w:rsidR="009C6296" w:rsidRPr="000A1A4B">
        <w:rPr>
          <w:lang w:val="en-US"/>
        </w:rPr>
        <w:t>to the customer.</w:t>
      </w:r>
    </w:p>
    <w:p w14:paraId="55716A9A" w14:textId="77777777" w:rsidR="0061139B" w:rsidRDefault="0061139B" w:rsidP="00FF036E">
      <w:pPr>
        <w:rPr>
          <w:lang w:val="en-US"/>
        </w:rPr>
      </w:pPr>
    </w:p>
    <w:p w14:paraId="18FB79E1" w14:textId="7AF40B16" w:rsidR="00930FEC" w:rsidRDefault="009C6296" w:rsidP="000A1A4B">
      <w:pPr>
        <w:pStyle w:val="ListParagraph"/>
        <w:numPr>
          <w:ilvl w:val="0"/>
          <w:numId w:val="4"/>
        </w:numPr>
      </w:pPr>
      <w:r>
        <w:t xml:space="preserve">There </w:t>
      </w:r>
      <w:r w:rsidR="0061139B" w:rsidRPr="0061139B">
        <w:t xml:space="preserve">will </w:t>
      </w:r>
      <w:r>
        <w:t>also be</w:t>
      </w:r>
      <w:r w:rsidR="0061139B" w:rsidRPr="0061139B">
        <w:t xml:space="preserve"> a management approach in place that will give visitors who do not want to, or who cannot, use the stairs access to a portfolio of examples of items on the upper level and staff will bring downstairs any items of interest.</w:t>
      </w:r>
    </w:p>
    <w:p w14:paraId="7F5A57DB" w14:textId="77777777" w:rsidR="009C6296" w:rsidRDefault="009C6296" w:rsidP="00CB59EB"/>
    <w:p w14:paraId="47E958FB" w14:textId="77590CCE" w:rsidR="009C6296" w:rsidRDefault="008A10B6" w:rsidP="00CB59EB">
      <w:r>
        <w:t xml:space="preserve">Appendix 1 </w:t>
      </w:r>
      <w:r w:rsidR="009C6296">
        <w:t xml:space="preserve">Building Upgrade Plan (Action Plan) sets out the timeframe for </w:t>
      </w:r>
      <w:r w:rsidR="000A1A4B">
        <w:t>achieving compliant access.</w:t>
      </w:r>
    </w:p>
    <w:p w14:paraId="43949965" w14:textId="77777777" w:rsidR="00605455" w:rsidRDefault="00605455" w:rsidP="00CB59EB"/>
    <w:p w14:paraId="485E77AB" w14:textId="77777777" w:rsidR="003119B9" w:rsidRDefault="003119B9" w:rsidP="003119B9">
      <w:r>
        <w:t>I would be grateful if you could inform me when the Action Plan has been registered.</w:t>
      </w:r>
    </w:p>
    <w:p w14:paraId="6B21C238" w14:textId="77777777" w:rsidR="003119B9" w:rsidRDefault="003119B9" w:rsidP="003119B9"/>
    <w:p w14:paraId="0924DC27" w14:textId="308C3056" w:rsidR="003119B9" w:rsidRDefault="003119B9" w:rsidP="003119B9">
      <w:r>
        <w:t>Yours sincerely</w:t>
      </w:r>
      <w:r w:rsidR="008B6AD4">
        <w:t>,</w:t>
      </w:r>
    </w:p>
    <w:p w14:paraId="30ED46FA" w14:textId="77777777" w:rsidR="003119B9" w:rsidRDefault="003119B9" w:rsidP="003119B9"/>
    <w:p w14:paraId="108B3AE1" w14:textId="77777777" w:rsidR="003119B9" w:rsidRDefault="003119B9" w:rsidP="00CB59EB"/>
    <w:p w14:paraId="1AA3445D" w14:textId="094CDFBA" w:rsidR="00605455" w:rsidRDefault="008B6AD4" w:rsidP="00CB59EB">
      <w:r>
        <w:t>Sylvia &amp; Kim Christie</w:t>
      </w:r>
    </w:p>
    <w:p w14:paraId="315A22D3" w14:textId="77777777" w:rsidR="003119B9" w:rsidRDefault="003119B9" w:rsidP="00CB59EB"/>
    <w:p w14:paraId="1A07992E" w14:textId="77777777" w:rsidR="008B6AD4" w:rsidRDefault="008B6AD4" w:rsidP="00CB59EB"/>
    <w:p w14:paraId="70BE17F2" w14:textId="5163F268" w:rsidR="008B6AD4" w:rsidRDefault="008B6AD4" w:rsidP="00CB59EB">
      <w:r>
        <w:t>Reliquaire</w:t>
      </w:r>
    </w:p>
    <w:p w14:paraId="47A99FCA" w14:textId="6C359902" w:rsidR="008B6AD4" w:rsidRDefault="008B6AD4" w:rsidP="00CB59EB">
      <w:r>
        <w:t>14 Hamilton St</w:t>
      </w:r>
    </w:p>
    <w:p w14:paraId="02575A73" w14:textId="163ABD04" w:rsidR="008B6AD4" w:rsidRDefault="008B6AD4" w:rsidP="00CB59EB">
      <w:r>
        <w:t>Latrobe TAS 7307</w:t>
      </w:r>
    </w:p>
    <w:p w14:paraId="5F3BDA83" w14:textId="77777777" w:rsidR="008B6AD4" w:rsidRDefault="008B6AD4" w:rsidP="00CB59EB"/>
    <w:p w14:paraId="66720BBB" w14:textId="647BB8EC" w:rsidR="008B6AD4" w:rsidRDefault="008B6AD4" w:rsidP="00CB59EB">
      <w:r>
        <w:t>Ph. 03 6426 2599</w:t>
      </w:r>
    </w:p>
    <w:p w14:paraId="4038F780" w14:textId="2AE5A862" w:rsidR="008B6AD4" w:rsidRDefault="008B6AD4" w:rsidP="00CB59EB">
      <w:r>
        <w:t>Mobile. 0419 358 406</w:t>
      </w:r>
    </w:p>
    <w:p w14:paraId="79722440" w14:textId="47797844" w:rsidR="008B6AD4" w:rsidRDefault="008B6AD4" w:rsidP="00CB59EB">
      <w:r>
        <w:t>Email: shop@reliquaire.com</w:t>
      </w:r>
    </w:p>
    <w:p w14:paraId="027F7952" w14:textId="7D6F7A1A" w:rsidR="00605455" w:rsidRDefault="00605455">
      <w:r>
        <w:br w:type="page"/>
      </w:r>
    </w:p>
    <w:p w14:paraId="38AC430A" w14:textId="0C49875E" w:rsidR="00930FEC" w:rsidRDefault="00605455" w:rsidP="00605455">
      <w:pPr>
        <w:pStyle w:val="Heading1"/>
      </w:pPr>
      <w:r>
        <w:lastRenderedPageBreak/>
        <w:t>Appendix 1</w:t>
      </w:r>
    </w:p>
    <w:p w14:paraId="1D6A263C" w14:textId="77777777" w:rsidR="00605455" w:rsidRDefault="00605455" w:rsidP="00CB59EB"/>
    <w:p w14:paraId="6DBDCA62" w14:textId="7B3E408D" w:rsidR="00F8226B" w:rsidRPr="00F8226B" w:rsidRDefault="006735A0" w:rsidP="00CB59EB">
      <w:pPr>
        <w:rPr>
          <w:b/>
          <w:sz w:val="28"/>
          <w:szCs w:val="28"/>
        </w:rPr>
      </w:pPr>
      <w:r>
        <w:rPr>
          <w:b/>
          <w:sz w:val="28"/>
          <w:szCs w:val="28"/>
        </w:rPr>
        <w:t>Building Upgrade Plan (</w:t>
      </w:r>
      <w:r w:rsidR="00F8226B" w:rsidRPr="00F8226B">
        <w:rPr>
          <w:b/>
          <w:sz w:val="28"/>
          <w:szCs w:val="28"/>
        </w:rPr>
        <w:t>Action Plan</w:t>
      </w:r>
      <w:r>
        <w:rPr>
          <w:b/>
          <w:sz w:val="28"/>
          <w:szCs w:val="28"/>
        </w:rPr>
        <w:t>)</w:t>
      </w:r>
    </w:p>
    <w:p w14:paraId="2509F110" w14:textId="77777777" w:rsidR="00F8226B" w:rsidRDefault="00F8226B" w:rsidP="00CB59EB"/>
    <w:p w14:paraId="0971B62D" w14:textId="207D236F" w:rsidR="00F8226B" w:rsidRPr="007B4E9D" w:rsidRDefault="00F8226B" w:rsidP="00CB59EB">
      <w:pPr>
        <w:rPr>
          <w:b/>
        </w:rPr>
      </w:pPr>
      <w:r w:rsidRPr="007B4E9D">
        <w:rPr>
          <w:b/>
        </w:rPr>
        <w:t xml:space="preserve">Goal: To </w:t>
      </w:r>
      <w:r w:rsidR="008842AD">
        <w:rPr>
          <w:b/>
        </w:rPr>
        <w:t>ensure</w:t>
      </w:r>
      <w:r w:rsidRPr="007B4E9D">
        <w:rPr>
          <w:b/>
        </w:rPr>
        <w:t xml:space="preserve"> </w:t>
      </w:r>
      <w:r w:rsidR="00A90115">
        <w:rPr>
          <w:b/>
        </w:rPr>
        <w:t xml:space="preserve">equitable </w:t>
      </w:r>
      <w:r w:rsidRPr="007B4E9D">
        <w:rPr>
          <w:b/>
        </w:rPr>
        <w:t xml:space="preserve">access to </w:t>
      </w:r>
      <w:r w:rsidR="008842AD">
        <w:rPr>
          <w:b/>
        </w:rPr>
        <w:t xml:space="preserve">each of the services and </w:t>
      </w:r>
      <w:r w:rsidR="009A435A">
        <w:rPr>
          <w:b/>
        </w:rPr>
        <w:t>facilities</w:t>
      </w:r>
      <w:r w:rsidR="008842AD">
        <w:rPr>
          <w:b/>
        </w:rPr>
        <w:t xml:space="preserve"> provided by the business.</w:t>
      </w:r>
    </w:p>
    <w:p w14:paraId="6A669B23" w14:textId="77777777" w:rsidR="00F8226B" w:rsidRDefault="00F8226B" w:rsidP="00CB59EB"/>
    <w:tbl>
      <w:tblPr>
        <w:tblStyle w:val="TableGrid"/>
        <w:tblW w:w="8755" w:type="dxa"/>
        <w:tblLook w:val="04A0" w:firstRow="1" w:lastRow="0" w:firstColumn="1" w:lastColumn="0" w:noHBand="0" w:noVBand="1"/>
      </w:tblPr>
      <w:tblGrid>
        <w:gridCol w:w="4077"/>
        <w:gridCol w:w="2296"/>
        <w:gridCol w:w="2382"/>
      </w:tblGrid>
      <w:tr w:rsidR="009A435A" w:rsidRPr="00F8226B" w14:paraId="38A9865E" w14:textId="77777777" w:rsidTr="009A435A">
        <w:tc>
          <w:tcPr>
            <w:tcW w:w="4077" w:type="dxa"/>
          </w:tcPr>
          <w:p w14:paraId="7D5A6FCB" w14:textId="77777777" w:rsidR="009A435A" w:rsidRPr="00F8226B" w:rsidRDefault="009A435A" w:rsidP="00CB59EB">
            <w:pPr>
              <w:rPr>
                <w:b/>
              </w:rPr>
            </w:pPr>
            <w:r w:rsidRPr="00F8226B">
              <w:rPr>
                <w:b/>
              </w:rPr>
              <w:t>Action</w:t>
            </w:r>
          </w:p>
        </w:tc>
        <w:tc>
          <w:tcPr>
            <w:tcW w:w="2296" w:type="dxa"/>
          </w:tcPr>
          <w:p w14:paraId="117FB609" w14:textId="77777777" w:rsidR="009A435A" w:rsidRPr="00F8226B" w:rsidRDefault="009A435A" w:rsidP="00CB59EB">
            <w:pPr>
              <w:rPr>
                <w:b/>
              </w:rPr>
            </w:pPr>
            <w:r w:rsidRPr="00F8226B">
              <w:rPr>
                <w:b/>
              </w:rPr>
              <w:t>Timeframe</w:t>
            </w:r>
          </w:p>
        </w:tc>
        <w:tc>
          <w:tcPr>
            <w:tcW w:w="2382" w:type="dxa"/>
          </w:tcPr>
          <w:p w14:paraId="6B773156" w14:textId="77777777" w:rsidR="009A435A" w:rsidRPr="00F8226B" w:rsidRDefault="009A435A" w:rsidP="00CB59EB">
            <w:pPr>
              <w:rPr>
                <w:b/>
              </w:rPr>
            </w:pPr>
            <w:r w:rsidRPr="00F8226B">
              <w:rPr>
                <w:b/>
              </w:rPr>
              <w:t>Responsibility</w:t>
            </w:r>
          </w:p>
        </w:tc>
      </w:tr>
      <w:tr w:rsidR="009A435A" w14:paraId="27CBBD6D" w14:textId="77777777" w:rsidTr="009A435A">
        <w:tc>
          <w:tcPr>
            <w:tcW w:w="4077" w:type="dxa"/>
          </w:tcPr>
          <w:p w14:paraId="2A11E4AA" w14:textId="329A0848" w:rsidR="009A435A" w:rsidRDefault="009A435A" w:rsidP="00270B4A">
            <w:r>
              <w:t>1. Obtain approval for a Temporary Occupation Permit for a period of 2 years subject to meeting the actions set out in this plan.</w:t>
            </w:r>
          </w:p>
        </w:tc>
        <w:tc>
          <w:tcPr>
            <w:tcW w:w="2296" w:type="dxa"/>
          </w:tcPr>
          <w:p w14:paraId="0B7E231B" w14:textId="54C951C8" w:rsidR="009A435A" w:rsidRDefault="009A435A" w:rsidP="00CB59EB">
            <w:r>
              <w:t>Within 1 month of the registration of this Action Plan</w:t>
            </w:r>
          </w:p>
        </w:tc>
        <w:tc>
          <w:tcPr>
            <w:tcW w:w="2382" w:type="dxa"/>
          </w:tcPr>
          <w:p w14:paraId="01157205" w14:textId="772D9781" w:rsidR="009A435A" w:rsidRDefault="009A435A" w:rsidP="00CB59EB">
            <w:r>
              <w:t>Owner</w:t>
            </w:r>
          </w:p>
        </w:tc>
      </w:tr>
      <w:tr w:rsidR="009A435A" w14:paraId="4597971F" w14:textId="77777777" w:rsidTr="009A435A">
        <w:tc>
          <w:tcPr>
            <w:tcW w:w="4077" w:type="dxa"/>
          </w:tcPr>
          <w:p w14:paraId="5A949AEA" w14:textId="0E0E54E1" w:rsidR="009A435A" w:rsidRDefault="009A435A" w:rsidP="000A1A4B">
            <w:r>
              <w:t xml:space="preserve">2. Implement access arrangements 1, 2 and 3 identified in </w:t>
            </w:r>
            <w:r w:rsidRPr="009A435A">
              <w:rPr>
                <w:i/>
              </w:rPr>
              <w:t>Proposed access approach</w:t>
            </w:r>
          </w:p>
        </w:tc>
        <w:tc>
          <w:tcPr>
            <w:tcW w:w="2296" w:type="dxa"/>
          </w:tcPr>
          <w:p w14:paraId="1207E9E3" w14:textId="26F2AFD8" w:rsidR="009A435A" w:rsidRDefault="009A435A" w:rsidP="00CB59EB">
            <w:r>
              <w:t>Prior to opening.</w:t>
            </w:r>
          </w:p>
        </w:tc>
        <w:tc>
          <w:tcPr>
            <w:tcW w:w="2382" w:type="dxa"/>
          </w:tcPr>
          <w:p w14:paraId="54A46C00" w14:textId="0143EAFF" w:rsidR="009A435A" w:rsidRDefault="009A435A" w:rsidP="00CB59EB">
            <w:r>
              <w:t>Owner</w:t>
            </w:r>
          </w:p>
        </w:tc>
      </w:tr>
      <w:tr w:rsidR="009A435A" w14:paraId="04E8F1B9" w14:textId="77777777" w:rsidTr="009A435A">
        <w:tc>
          <w:tcPr>
            <w:tcW w:w="4077" w:type="dxa"/>
          </w:tcPr>
          <w:p w14:paraId="638D4D10" w14:textId="4D83BE6A" w:rsidR="009A435A" w:rsidRDefault="009A435A" w:rsidP="009A435A">
            <w:r>
              <w:t>3. Complete construction of compliant new building.</w:t>
            </w:r>
          </w:p>
        </w:tc>
        <w:tc>
          <w:tcPr>
            <w:tcW w:w="2296" w:type="dxa"/>
          </w:tcPr>
          <w:p w14:paraId="3ED23F9F" w14:textId="4A179B65" w:rsidR="009A435A" w:rsidRDefault="009A435A" w:rsidP="00270B4A">
            <w:r>
              <w:t>Within 24 months of the registration of this Action Plan.</w:t>
            </w:r>
          </w:p>
        </w:tc>
        <w:tc>
          <w:tcPr>
            <w:tcW w:w="2382" w:type="dxa"/>
          </w:tcPr>
          <w:p w14:paraId="22DF8451" w14:textId="5A4C9658" w:rsidR="009A435A" w:rsidRDefault="009A435A" w:rsidP="00CB59EB">
            <w:r>
              <w:t>Owner</w:t>
            </w:r>
          </w:p>
        </w:tc>
      </w:tr>
    </w:tbl>
    <w:p w14:paraId="506416E5" w14:textId="580C84AE" w:rsidR="002A6858" w:rsidRDefault="002A6858" w:rsidP="00CB59EB"/>
    <w:p w14:paraId="47309C43" w14:textId="06BAED8E" w:rsidR="009A435A" w:rsidRPr="009A435A" w:rsidRDefault="009A435A" w:rsidP="00CB59EB">
      <w:pPr>
        <w:rPr>
          <w:b/>
        </w:rPr>
      </w:pPr>
      <w:r w:rsidRPr="009A435A">
        <w:rPr>
          <w:b/>
        </w:rPr>
        <w:t>Reporting</w:t>
      </w:r>
    </w:p>
    <w:p w14:paraId="2EE79E91" w14:textId="77777777" w:rsidR="009A435A" w:rsidRDefault="009A435A" w:rsidP="00CB59EB"/>
    <w:p w14:paraId="7BC50D19" w14:textId="519465A0" w:rsidR="009A435A" w:rsidRDefault="009A435A" w:rsidP="00CB59EB">
      <w:r>
        <w:t>A report on progress will be provided to the Australian Human Rights Commission 12 months after the registration of this Building Upgrade Plan</w:t>
      </w:r>
    </w:p>
    <w:sectPr w:rsidR="009A435A" w:rsidSect="00CB59EB">
      <w:headerReference w:type="even" r:id="rId15"/>
      <w:headerReference w:type="default" r:id="rId16"/>
      <w:footerReference w:type="even" r:id="rId17"/>
      <w:footerReference w:type="default" r:id="rId18"/>
      <w:headerReference w:type="first" r:id="rId19"/>
      <w:footerReference w:type="first" r:id="rId20"/>
      <w:pgSz w:w="11900" w:h="16840"/>
      <w:pgMar w:top="1418" w:right="1418" w:bottom="1134"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8A79A8" w14:textId="77777777" w:rsidR="000A1A4B" w:rsidRDefault="000A1A4B" w:rsidP="002A6858">
      <w:r>
        <w:separator/>
      </w:r>
    </w:p>
  </w:endnote>
  <w:endnote w:type="continuationSeparator" w:id="0">
    <w:p w14:paraId="261C0C47" w14:textId="77777777" w:rsidR="000A1A4B" w:rsidRDefault="000A1A4B" w:rsidP="002A68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Helvetica">
    <w:panose1 w:val="020B0604020202020204"/>
    <w:charset w:val="00"/>
    <w:family w:val="swiss"/>
    <w:pitch w:val="variable"/>
    <w:sig w:usb0="E0002AFF" w:usb1="C0007843" w:usb2="00000009" w:usb3="00000000" w:csb0="000001FF" w:csb1="00000000"/>
  </w:font>
  <w:font w:name="HelveticaNeueLT Pro 55 Roman">
    <w:altName w:val="Arial"/>
    <w:panose1 w:val="00000000000000000000"/>
    <w:charset w:val="00"/>
    <w:family w:val="swiss"/>
    <w:notTrueType/>
    <w:pitch w:val="variable"/>
    <w:sig w:usb0="800000AF" w:usb1="5000205B" w:usb2="00000000" w:usb3="00000000" w:csb0="0000009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B36BDB" w14:textId="77777777" w:rsidR="000A1A4B" w:rsidRDefault="000A1A4B" w:rsidP="00A911F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3DA7C5" w14:textId="77777777" w:rsidR="000A1A4B" w:rsidRDefault="000A1A4B" w:rsidP="002A685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4289F8" w14:textId="77777777" w:rsidR="000A1A4B" w:rsidRDefault="000A1A4B" w:rsidP="00A911F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F1C73">
      <w:rPr>
        <w:rStyle w:val="PageNumber"/>
        <w:noProof/>
      </w:rPr>
      <w:t>1</w:t>
    </w:r>
    <w:r>
      <w:rPr>
        <w:rStyle w:val="PageNumber"/>
      </w:rPr>
      <w:fldChar w:fldCharType="end"/>
    </w:r>
  </w:p>
  <w:p w14:paraId="14B3D8F8" w14:textId="77777777" w:rsidR="000A1A4B" w:rsidRDefault="000A1A4B" w:rsidP="002A6858">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287A88" w14:textId="77777777" w:rsidR="000A1A4B" w:rsidRDefault="000A1A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CF414F" w14:textId="77777777" w:rsidR="000A1A4B" w:rsidRDefault="000A1A4B" w:rsidP="002A6858">
      <w:r>
        <w:separator/>
      </w:r>
    </w:p>
  </w:footnote>
  <w:footnote w:type="continuationSeparator" w:id="0">
    <w:p w14:paraId="39DCB0BB" w14:textId="77777777" w:rsidR="000A1A4B" w:rsidRDefault="000A1A4B" w:rsidP="002A6858">
      <w:r>
        <w:continuationSeparator/>
      </w:r>
    </w:p>
  </w:footnote>
  <w:footnote w:id="1">
    <w:p w14:paraId="403E14BD" w14:textId="77777777" w:rsidR="000A1A4B" w:rsidRPr="004D06DC" w:rsidRDefault="000A1A4B" w:rsidP="0054601C">
      <w:pPr>
        <w:pStyle w:val="FootnoteText"/>
        <w:rPr>
          <w:lang w:val="en-US"/>
        </w:rPr>
      </w:pPr>
      <w:r>
        <w:rPr>
          <w:rStyle w:val="FootnoteReference"/>
        </w:rPr>
        <w:footnoteRef/>
      </w:r>
      <w:r>
        <w:t xml:space="preserve"> </w:t>
      </w:r>
      <w:r>
        <w:rPr>
          <w:lang w:val="en-US"/>
        </w:rPr>
        <w:t xml:space="preserve"> </w:t>
      </w:r>
      <w:r w:rsidRPr="004D06DC">
        <w:rPr>
          <w:sz w:val="22"/>
          <w:szCs w:val="22"/>
          <w:lang w:val="en-US"/>
        </w:rPr>
        <w:t>https://www.humanrights.gov.au/guidelines-application-premises-standards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969355" w14:textId="02719561" w:rsidR="000A1A4B" w:rsidRDefault="000A1A4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2FC2B5" w14:textId="2D39189A" w:rsidR="000A1A4B" w:rsidRDefault="000A1A4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D3A34F" w14:textId="5A7C5E03" w:rsidR="000A1A4B" w:rsidRDefault="000A1A4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E6698C"/>
    <w:multiLevelType w:val="hybridMultilevel"/>
    <w:tmpl w:val="BFBE7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4E7F70"/>
    <w:multiLevelType w:val="hybridMultilevel"/>
    <w:tmpl w:val="994688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82D750F"/>
    <w:multiLevelType w:val="hybridMultilevel"/>
    <w:tmpl w:val="076874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F80739A"/>
    <w:multiLevelType w:val="hybridMultilevel"/>
    <w:tmpl w:val="4A260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en-AU" w:vendorID="64" w:dllVersion="131078" w:nlCheck="1" w:checkStyle="1"/>
  <w:activeWritingStyle w:appName="MSWord" w:lang="en-US" w:vendorID="64" w:dllVersion="131078" w:nlCheck="1" w:checkStyle="1"/>
  <w:defaultTabStop w:val="720"/>
  <w:drawingGridHorizontalSpacing w:val="360"/>
  <w:drawingGridVerticalSpacing w:val="360"/>
  <w:displayHorizontalDrawingGridEvery w:val="0"/>
  <w:displayVerticalDrawingGridEvery w:val="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6D91"/>
    <w:rsid w:val="000745A1"/>
    <w:rsid w:val="00085E92"/>
    <w:rsid w:val="000A1A4B"/>
    <w:rsid w:val="000B46EF"/>
    <w:rsid w:val="000D5CFE"/>
    <w:rsid w:val="000F4DBE"/>
    <w:rsid w:val="00181DB1"/>
    <w:rsid w:val="0019645B"/>
    <w:rsid w:val="001E2BF4"/>
    <w:rsid w:val="00211ADF"/>
    <w:rsid w:val="00233FE7"/>
    <w:rsid w:val="00270B4A"/>
    <w:rsid w:val="00282D46"/>
    <w:rsid w:val="002A6858"/>
    <w:rsid w:val="003119B9"/>
    <w:rsid w:val="003530D7"/>
    <w:rsid w:val="003F3EF5"/>
    <w:rsid w:val="00491AB9"/>
    <w:rsid w:val="004A417E"/>
    <w:rsid w:val="004F3E92"/>
    <w:rsid w:val="00512F5C"/>
    <w:rsid w:val="005350D2"/>
    <w:rsid w:val="0054601C"/>
    <w:rsid w:val="00555A18"/>
    <w:rsid w:val="005B097B"/>
    <w:rsid w:val="005C55FD"/>
    <w:rsid w:val="005F1D72"/>
    <w:rsid w:val="00605455"/>
    <w:rsid w:val="0061139B"/>
    <w:rsid w:val="00637A94"/>
    <w:rsid w:val="00644C68"/>
    <w:rsid w:val="006735A0"/>
    <w:rsid w:val="006E7EFD"/>
    <w:rsid w:val="006F25FF"/>
    <w:rsid w:val="00706C5A"/>
    <w:rsid w:val="007736F3"/>
    <w:rsid w:val="007B4E9D"/>
    <w:rsid w:val="007C29B5"/>
    <w:rsid w:val="007F49D0"/>
    <w:rsid w:val="007F58DF"/>
    <w:rsid w:val="008048EB"/>
    <w:rsid w:val="00833A7C"/>
    <w:rsid w:val="008842AD"/>
    <w:rsid w:val="008A10B6"/>
    <w:rsid w:val="008A53FA"/>
    <w:rsid w:val="008B6AD4"/>
    <w:rsid w:val="008C7CB3"/>
    <w:rsid w:val="00930FEC"/>
    <w:rsid w:val="00971813"/>
    <w:rsid w:val="009828AE"/>
    <w:rsid w:val="0099578F"/>
    <w:rsid w:val="009A435A"/>
    <w:rsid w:val="009C1E3B"/>
    <w:rsid w:val="009C6296"/>
    <w:rsid w:val="009E6D91"/>
    <w:rsid w:val="009F1C73"/>
    <w:rsid w:val="00A04068"/>
    <w:rsid w:val="00A87975"/>
    <w:rsid w:val="00A87C63"/>
    <w:rsid w:val="00A90115"/>
    <w:rsid w:val="00A911F2"/>
    <w:rsid w:val="00AE7247"/>
    <w:rsid w:val="00BD6A94"/>
    <w:rsid w:val="00BF732B"/>
    <w:rsid w:val="00C425DC"/>
    <w:rsid w:val="00CB59EB"/>
    <w:rsid w:val="00CC1DC4"/>
    <w:rsid w:val="00CD5F3B"/>
    <w:rsid w:val="00CE054B"/>
    <w:rsid w:val="00CF2DF0"/>
    <w:rsid w:val="00D33241"/>
    <w:rsid w:val="00D70D2E"/>
    <w:rsid w:val="00D9176E"/>
    <w:rsid w:val="00DC08AF"/>
    <w:rsid w:val="00E105BA"/>
    <w:rsid w:val="00E40F18"/>
    <w:rsid w:val="00ED6B11"/>
    <w:rsid w:val="00F00B41"/>
    <w:rsid w:val="00F8226B"/>
    <w:rsid w:val="00FB1681"/>
    <w:rsid w:val="00FE6863"/>
    <w:rsid w:val="00FF036E"/>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6813DBFC"/>
  <w15:docId w15:val="{9DC21877-31BE-4F9B-A942-69C6A49C1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59EB"/>
    <w:rPr>
      <w:rFonts w:ascii="Arial" w:hAnsi="Arial"/>
    </w:rPr>
  </w:style>
  <w:style w:type="paragraph" w:styleId="Heading1">
    <w:name w:val="heading 1"/>
    <w:basedOn w:val="Normal"/>
    <w:next w:val="Normal"/>
    <w:link w:val="Heading1Char"/>
    <w:uiPriority w:val="9"/>
    <w:qFormat/>
    <w:rsid w:val="000D5CFE"/>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A87C6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5CFE"/>
    <w:rPr>
      <w:rFonts w:asciiTheme="majorHAnsi" w:eastAsiaTheme="majorEastAsia" w:hAnsiTheme="majorHAnsi" w:cstheme="majorBidi"/>
      <w:b/>
      <w:bCs/>
      <w:color w:val="345A8A" w:themeColor="accent1" w:themeShade="B5"/>
      <w:sz w:val="32"/>
      <w:szCs w:val="32"/>
    </w:rPr>
  </w:style>
  <w:style w:type="table" w:styleId="TableGrid">
    <w:name w:val="Table Grid"/>
    <w:basedOn w:val="TableNormal"/>
    <w:uiPriority w:val="59"/>
    <w:rsid w:val="00F822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2A6858"/>
    <w:pPr>
      <w:tabs>
        <w:tab w:val="center" w:pos="4320"/>
        <w:tab w:val="right" w:pos="8640"/>
      </w:tabs>
    </w:pPr>
  </w:style>
  <w:style w:type="character" w:customStyle="1" w:styleId="FooterChar">
    <w:name w:val="Footer Char"/>
    <w:basedOn w:val="DefaultParagraphFont"/>
    <w:link w:val="Footer"/>
    <w:uiPriority w:val="99"/>
    <w:rsid w:val="002A6858"/>
    <w:rPr>
      <w:rFonts w:ascii="Arial" w:hAnsi="Arial"/>
    </w:rPr>
  </w:style>
  <w:style w:type="character" w:styleId="PageNumber">
    <w:name w:val="page number"/>
    <w:basedOn w:val="DefaultParagraphFont"/>
    <w:uiPriority w:val="99"/>
    <w:semiHidden/>
    <w:unhideWhenUsed/>
    <w:rsid w:val="002A6858"/>
  </w:style>
  <w:style w:type="paragraph" w:styleId="BalloonText">
    <w:name w:val="Balloon Text"/>
    <w:basedOn w:val="Normal"/>
    <w:link w:val="BalloonTextChar"/>
    <w:uiPriority w:val="99"/>
    <w:semiHidden/>
    <w:unhideWhenUsed/>
    <w:rsid w:val="00BD6A9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D6A94"/>
    <w:rPr>
      <w:rFonts w:ascii="Lucida Grande" w:hAnsi="Lucida Grande" w:cs="Lucida Grande"/>
      <w:sz w:val="18"/>
      <w:szCs w:val="18"/>
    </w:rPr>
  </w:style>
  <w:style w:type="paragraph" w:styleId="ListParagraph">
    <w:name w:val="List Paragraph"/>
    <w:basedOn w:val="Normal"/>
    <w:uiPriority w:val="34"/>
    <w:qFormat/>
    <w:rsid w:val="00FB1681"/>
    <w:pPr>
      <w:ind w:left="720"/>
      <w:contextualSpacing/>
    </w:pPr>
  </w:style>
  <w:style w:type="character" w:styleId="Hyperlink">
    <w:name w:val="Hyperlink"/>
    <w:basedOn w:val="DefaultParagraphFont"/>
    <w:uiPriority w:val="99"/>
    <w:unhideWhenUsed/>
    <w:rsid w:val="003119B9"/>
    <w:rPr>
      <w:color w:val="0000FF" w:themeColor="hyperlink"/>
      <w:u w:val="single"/>
    </w:rPr>
  </w:style>
  <w:style w:type="paragraph" w:styleId="Header">
    <w:name w:val="header"/>
    <w:basedOn w:val="Normal"/>
    <w:link w:val="HeaderChar"/>
    <w:uiPriority w:val="99"/>
    <w:unhideWhenUsed/>
    <w:rsid w:val="00A04068"/>
    <w:pPr>
      <w:tabs>
        <w:tab w:val="center" w:pos="4320"/>
        <w:tab w:val="right" w:pos="8640"/>
      </w:tabs>
    </w:pPr>
  </w:style>
  <w:style w:type="character" w:customStyle="1" w:styleId="HeaderChar">
    <w:name w:val="Header Char"/>
    <w:basedOn w:val="DefaultParagraphFont"/>
    <w:link w:val="Header"/>
    <w:uiPriority w:val="99"/>
    <w:rsid w:val="00A04068"/>
    <w:rPr>
      <w:rFonts w:ascii="Arial" w:hAnsi="Arial"/>
    </w:rPr>
  </w:style>
  <w:style w:type="paragraph" w:styleId="FootnoteText">
    <w:name w:val="footnote text"/>
    <w:basedOn w:val="Normal"/>
    <w:link w:val="FootnoteTextChar"/>
    <w:uiPriority w:val="99"/>
    <w:unhideWhenUsed/>
    <w:rsid w:val="00FE6863"/>
    <w:rPr>
      <w:rFonts w:asciiTheme="minorHAnsi" w:eastAsiaTheme="minorHAnsi" w:hAnsiTheme="minorHAnsi"/>
    </w:rPr>
  </w:style>
  <w:style w:type="character" w:customStyle="1" w:styleId="FootnoteTextChar">
    <w:name w:val="Footnote Text Char"/>
    <w:basedOn w:val="DefaultParagraphFont"/>
    <w:link w:val="FootnoteText"/>
    <w:uiPriority w:val="99"/>
    <w:rsid w:val="00FE6863"/>
    <w:rPr>
      <w:rFonts w:eastAsiaTheme="minorHAnsi"/>
    </w:rPr>
  </w:style>
  <w:style w:type="character" w:styleId="FootnoteReference">
    <w:name w:val="footnote reference"/>
    <w:basedOn w:val="DefaultParagraphFont"/>
    <w:uiPriority w:val="99"/>
    <w:unhideWhenUsed/>
    <w:rsid w:val="00FE6863"/>
    <w:rPr>
      <w:vertAlign w:val="superscript"/>
    </w:rPr>
  </w:style>
  <w:style w:type="character" w:customStyle="1" w:styleId="Heading2Char">
    <w:name w:val="Heading 2 Char"/>
    <w:basedOn w:val="DefaultParagraphFont"/>
    <w:link w:val="Heading2"/>
    <w:uiPriority w:val="9"/>
    <w:rsid w:val="00A87C63"/>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liquaire.com" TargetMode="External"/><Relationship Id="rId13" Type="http://schemas.openxmlformats.org/officeDocument/2006/relationships/image" Target="media/image2.jpeg"/><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shop@reliquaire.com" TargetMode="External"/><Relationship Id="rId12" Type="http://schemas.openxmlformats.org/officeDocument/2006/relationships/hyperlink" Target="mailto:disability@humanrights.gov.au"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reliquaire.com"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mailto:shop@reliquaire.com" TargetMode="External"/><Relationship Id="rId14" Type="http://schemas.openxmlformats.org/officeDocument/2006/relationships/image" Target="media/image3.jp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910</Words>
  <Characters>5191</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Manager/>
  <Company>Michael Small Consulting Pty Ltd</Company>
  <LinksUpToDate>false</LinksUpToDate>
  <CharactersWithSpaces>6089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Small</dc:creator>
  <cp:keywords/>
  <dc:description/>
  <cp:lastModifiedBy>Alex Mitchell</cp:lastModifiedBy>
  <cp:revision>2</cp:revision>
  <cp:lastPrinted>2015-01-21T00:18:00Z</cp:lastPrinted>
  <dcterms:created xsi:type="dcterms:W3CDTF">2016-05-04T05:37:00Z</dcterms:created>
  <dcterms:modified xsi:type="dcterms:W3CDTF">2016-05-04T05:37:00Z</dcterms:modified>
  <cp:category/>
</cp:coreProperties>
</file>