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customXml/itemProps6.xml" ContentType="application/vnd.openxmlformats-officedocument.customXmlProperties+xml"/>
  <Override PartName="/customXml/itemProps5.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7.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F5231" w14:textId="48D467F6" w:rsidR="008328A6" w:rsidRPr="00A41CBD" w:rsidRDefault="00320742" w:rsidP="00B14204">
      <w:r>
        <w:rPr>
          <w:noProof/>
        </w:rPr>
        <w:drawing>
          <wp:anchor distT="0" distB="0" distL="114300" distR="114300" simplePos="0" relativeHeight="251659264" behindDoc="0" locked="0" layoutInCell="1" allowOverlap="1" wp14:anchorId="38933040" wp14:editId="544EE4BD">
            <wp:simplePos x="0" y="0"/>
            <wp:positionH relativeFrom="margin">
              <wp:posOffset>262</wp:posOffset>
            </wp:positionH>
            <wp:positionV relativeFrom="margin">
              <wp:posOffset>-82893</wp:posOffset>
            </wp:positionV>
            <wp:extent cx="5759640" cy="2089314"/>
            <wp:effectExtent l="0" t="0" r="0" b="6350"/>
            <wp:wrapSquare wrapText="bothSides"/>
            <wp:docPr id="12" name="Immagine 12" descr="Page banner - Solid dark purple horizontal panel. Top left: Stylised lettering “IncludeAbility” in white. Bottom left: IncludeAbility logo in white (circle of figures surrounding a central figure). Bottom right: AHRC logo in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12" descr="Page banner - Solid dark purple horizontal panel. Top left: Stylised lettering “IncludeAbility” in white. Bottom left: IncludeAbility logo in white (circle of figures surrounding a central figure). Bottom right: AHRC logo in whi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640" cy="2089314"/>
                    </a:xfrm>
                    <a:prstGeom prst="rect">
                      <a:avLst/>
                    </a:prstGeom>
                  </pic:spPr>
                </pic:pic>
              </a:graphicData>
            </a:graphic>
            <wp14:sizeRelH relativeFrom="margin">
              <wp14:pctWidth>0</wp14:pctWidth>
            </wp14:sizeRelH>
            <wp14:sizeRelV relativeFrom="margin">
              <wp14:pctHeight>0</wp14:pctHeight>
            </wp14:sizeRelV>
          </wp:anchor>
        </w:drawing>
      </w:r>
    </w:p>
    <w:p w14:paraId="5BCD4C07" w14:textId="77777777" w:rsidR="00B14204" w:rsidRDefault="00B14204" w:rsidP="00B14204">
      <w:pPr>
        <w:pStyle w:val="Titolo"/>
      </w:pPr>
      <w:r>
        <w:t>FACTSHEET</w:t>
      </w:r>
    </w:p>
    <w:p w14:paraId="6DEA9FE7" w14:textId="77777777" w:rsidR="00B14204" w:rsidRDefault="00B14204" w:rsidP="00B14204">
      <w:pPr>
        <w:pStyle w:val="Sottotitolo"/>
      </w:pPr>
      <w:r>
        <w:t>Disability and employment in Australia</w:t>
      </w:r>
    </w:p>
    <w:p w14:paraId="5D054851" w14:textId="77777777" w:rsidR="00B14204" w:rsidRDefault="00B14204" w:rsidP="00B14204">
      <w:pPr>
        <w:pStyle w:val="Titolo1"/>
      </w:pPr>
      <w:r>
        <w:t>Overview</w:t>
      </w:r>
    </w:p>
    <w:p w14:paraId="2EB43EBE" w14:textId="77777777" w:rsidR="00B14204" w:rsidRDefault="00B14204" w:rsidP="00B14204">
      <w:r>
        <w:t>This factsheet provides information on:</w:t>
      </w:r>
    </w:p>
    <w:p w14:paraId="53D7C767" w14:textId="77777777" w:rsidR="00B14204" w:rsidRDefault="00B14204" w:rsidP="00B14204">
      <w:pPr>
        <w:pStyle w:val="ListParagraph0"/>
      </w:pPr>
      <w:r>
        <w:t>disability in Australia</w:t>
      </w:r>
    </w:p>
    <w:p w14:paraId="1809A618" w14:textId="77777777" w:rsidR="00B14204" w:rsidRDefault="00B14204" w:rsidP="00B14204">
      <w:pPr>
        <w:pStyle w:val="ListParagraph0"/>
      </w:pPr>
      <w:r>
        <w:t>disability and education in Australia</w:t>
      </w:r>
    </w:p>
    <w:p w14:paraId="45359ADE" w14:textId="71D08010" w:rsidR="00B14204" w:rsidRDefault="00B14204" w:rsidP="00B14204">
      <w:pPr>
        <w:pStyle w:val="ListParagraph0"/>
      </w:pPr>
      <w:r>
        <w:t>the employment of people with disability in</w:t>
      </w:r>
      <w:r w:rsidR="00AC034A">
        <w:t xml:space="preserve"> </w:t>
      </w:r>
      <w:r>
        <w:t>Australia</w:t>
      </w:r>
    </w:p>
    <w:p w14:paraId="30992C93" w14:textId="028B29F6" w:rsidR="00320742" w:rsidRDefault="00B14204" w:rsidP="00320742">
      <w:pPr>
        <w:pStyle w:val="ListParagraph0"/>
      </w:pPr>
      <w:r>
        <w:t>employment and disability discrimination in</w:t>
      </w:r>
      <w:r w:rsidR="00AC034A">
        <w:t xml:space="preserve"> </w:t>
      </w:r>
      <w:r>
        <w:t>Australia.</w:t>
      </w:r>
    </w:p>
    <w:p w14:paraId="10721EE9" w14:textId="21378F20" w:rsidR="00BB2D88" w:rsidRDefault="00B14204" w:rsidP="002B2471">
      <w:pPr>
        <w:pStyle w:val="Titolo1"/>
      </w:pPr>
      <w:r>
        <w:lastRenderedPageBreak/>
        <w:t>Disability in Australia</w:t>
      </w:r>
    </w:p>
    <w:p w14:paraId="65F38742" w14:textId="52C46E74" w:rsidR="002B2471" w:rsidRDefault="00DB26BD" w:rsidP="002B2471">
      <w:pPr>
        <w:tabs>
          <w:tab w:val="left" w:pos="1311"/>
        </w:tabs>
      </w:pPr>
      <w:r>
        <w:rPr>
          <w:noProof/>
        </w:rPr>
        <w:drawing>
          <wp:inline distT="0" distB="0" distL="0" distR="0" wp14:anchorId="54CE36C6" wp14:editId="3C12EB6E">
            <wp:extent cx="5759450" cy="5759450"/>
            <wp:effectExtent l="0" t="0" r="6350" b="6350"/>
            <wp:docPr id="3" name="Immagine 3" descr="INFOGRAPHIC&#10;&#10;Almost 1 in 5 people in Australia have a dis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NFOGRAPHIC&#10;&#10;Almost 1 in 5 people in Australia have a disability."/>
                    <pic:cNvPicPr/>
                  </pic:nvPicPr>
                  <pic:blipFill>
                    <a:blip r:embed="rId9">
                      <a:extLst>
                        <a:ext uri="{28A0092B-C50C-407E-A947-70E740481C1C}">
                          <a14:useLocalDpi xmlns:a14="http://schemas.microsoft.com/office/drawing/2010/main" val="0"/>
                        </a:ext>
                      </a:extLst>
                    </a:blip>
                    <a:stretch>
                      <a:fillRect/>
                    </a:stretch>
                  </pic:blipFill>
                  <pic:spPr>
                    <a:xfrm>
                      <a:off x="0" y="0"/>
                      <a:ext cx="5759450" cy="5759450"/>
                    </a:xfrm>
                    <a:prstGeom prst="rect">
                      <a:avLst/>
                    </a:prstGeom>
                  </pic:spPr>
                </pic:pic>
              </a:graphicData>
            </a:graphic>
          </wp:inline>
        </w:drawing>
      </w:r>
    </w:p>
    <w:p w14:paraId="0888FBE4" w14:textId="77777777" w:rsidR="00DB26BD" w:rsidRDefault="00DB26BD" w:rsidP="00B14204"/>
    <w:p w14:paraId="2BE6C563" w14:textId="7F62B364" w:rsidR="00BB2D88" w:rsidRDefault="00B14204" w:rsidP="00B14204">
      <w:r>
        <w:t>There are 4.4 million people with disability in Australia, comprising 17.7% of the population.</w:t>
      </w:r>
      <w:r>
        <w:rPr>
          <w:rStyle w:val="Rimandonotadichiusura"/>
        </w:rPr>
        <w:endnoteReference w:id="1"/>
      </w:r>
      <w:r>
        <w:t xml:space="preserve"> The prevalence of disability is similar for males (17.6%) and females (17.8%).</w:t>
      </w:r>
      <w:r>
        <w:rPr>
          <w:rStyle w:val="Rimandonotadichiusura"/>
        </w:rPr>
        <w:endnoteReference w:id="2"/>
      </w:r>
    </w:p>
    <w:p w14:paraId="58CCC773" w14:textId="0075E2AA" w:rsidR="00B14204" w:rsidRDefault="00DB26BD" w:rsidP="00BB2D88">
      <w:r>
        <w:rPr>
          <w:noProof/>
        </w:rPr>
        <w:lastRenderedPageBreak/>
        <w:drawing>
          <wp:inline distT="0" distB="0" distL="0" distR="0" wp14:anchorId="45854C2E" wp14:editId="157717B0">
            <wp:extent cx="5759450" cy="5039360"/>
            <wp:effectExtent l="0" t="0" r="6350" b="2540"/>
            <wp:docPr id="7" name="Immagine 7" descr="INFOGRAPHIC&#10;&#10;Adults living in poverty.&#10;&#10;People without disability 10.6%&#10;People with disability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descr="INFOGRAPHIC&#10;&#10;Adults living in poverty.&#10;&#10;People without disability 10.6%&#10;People with disability 16.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9450" cy="5039360"/>
                    </a:xfrm>
                    <a:prstGeom prst="rect">
                      <a:avLst/>
                    </a:prstGeom>
                  </pic:spPr>
                </pic:pic>
              </a:graphicData>
            </a:graphic>
          </wp:inline>
        </w:drawing>
      </w:r>
    </w:p>
    <w:p w14:paraId="573DF5AA" w14:textId="1A1F4864" w:rsidR="002B2471" w:rsidRDefault="002B2471" w:rsidP="00BB2D88"/>
    <w:p w14:paraId="430C7898" w14:textId="78E874AD" w:rsidR="00B14204" w:rsidRDefault="00B14204" w:rsidP="00B14204">
      <w:r>
        <w:t>In Australia:</w:t>
      </w:r>
    </w:p>
    <w:p w14:paraId="507B35AF" w14:textId="19A37E6B" w:rsidR="00B14204" w:rsidRPr="00B14204" w:rsidRDefault="00B14204" w:rsidP="00B14204">
      <w:pPr>
        <w:pStyle w:val="ListParagraph2"/>
        <w:rPr>
          <w:rStyle w:val="Rimandonotadichiusura"/>
          <w:sz w:val="24"/>
          <w:vertAlign w:val="baseline"/>
        </w:rPr>
      </w:pPr>
      <w:r w:rsidRPr="00B14204">
        <w:t>16.5% of adults with disability live in poverty compared to 10.6% of adults without a disability</w:t>
      </w:r>
      <w:r>
        <w:rPr>
          <w:rStyle w:val="Rimandonotadichiusura"/>
        </w:rPr>
        <w:endnoteReference w:id="3"/>
      </w:r>
    </w:p>
    <w:p w14:paraId="21C76BF1" w14:textId="7C099A4C" w:rsidR="00B14204" w:rsidRDefault="00B14204" w:rsidP="00B14204">
      <w:pPr>
        <w:pStyle w:val="ListParagraph2"/>
        <w:ind w:left="1077" w:hanging="357"/>
      </w:pPr>
      <w:r w:rsidRPr="00857F9D">
        <w:t>people with disability make up 37.9% of the population living in poverty (despite only making up 18% of the overall population</w:t>
      </w:r>
      <w:r>
        <w:t>).</w:t>
      </w:r>
      <w:r>
        <w:rPr>
          <w:rStyle w:val="Rimandonotadichiusura"/>
        </w:rPr>
        <w:endnoteReference w:id="4"/>
      </w:r>
    </w:p>
    <w:p w14:paraId="7A84CF91" w14:textId="1D7A688D" w:rsidR="00B14204" w:rsidRDefault="00B14204" w:rsidP="00B14204">
      <w:r>
        <w:t>Over a third of people with disability of working age (15-64 years) rely on a government pension or allowance as their main source of income.</w:t>
      </w:r>
      <w:r>
        <w:rPr>
          <w:rStyle w:val="Rimandonotadichiusura"/>
        </w:rPr>
        <w:endnoteReference w:id="5"/>
      </w:r>
    </w:p>
    <w:p w14:paraId="5134A83A" w14:textId="7785B01B" w:rsidR="00BE4E7C" w:rsidRPr="0033037B" w:rsidRDefault="00B14204" w:rsidP="0033037B">
      <w:pPr>
        <w:pStyle w:val="Titolo1"/>
      </w:pPr>
      <w:r w:rsidRPr="00857F9D">
        <w:lastRenderedPageBreak/>
        <w:t>Di</w:t>
      </w:r>
      <w:r w:rsidRPr="0033037B">
        <w:t xml:space="preserve">sability </w:t>
      </w:r>
      <w:r w:rsidRPr="00857F9D">
        <w:t>and education in Australia</w:t>
      </w:r>
    </w:p>
    <w:p w14:paraId="0AA36DA7" w14:textId="09463C82" w:rsidR="00B14204" w:rsidRDefault="00BE4E7C" w:rsidP="00B14204">
      <w:r>
        <w:rPr>
          <w:noProof/>
        </w:rPr>
        <mc:AlternateContent>
          <mc:Choice Requires="wps">
            <w:drawing>
              <wp:anchor distT="0" distB="0" distL="114300" distR="114300" simplePos="0" relativeHeight="251661312" behindDoc="1" locked="0" layoutInCell="1" allowOverlap="1" wp14:anchorId="21B6569F" wp14:editId="5CB0894F">
                <wp:simplePos x="0" y="0"/>
                <wp:positionH relativeFrom="column">
                  <wp:posOffset>-2506</wp:posOffset>
                </wp:positionH>
                <wp:positionV relativeFrom="paragraph">
                  <wp:posOffset>25915</wp:posOffset>
                </wp:positionV>
                <wp:extent cx="5759640" cy="1499400"/>
                <wp:effectExtent l="0" t="0" r="19050" b="12065"/>
                <wp:wrapNone/>
                <wp:docPr id="5" name="Casella di testo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759640" cy="1499400"/>
                        </a:xfrm>
                        <a:prstGeom prst="rect">
                          <a:avLst/>
                        </a:prstGeom>
                        <a:noFill/>
                        <a:ln w="6350">
                          <a:solidFill>
                            <a:prstClr val="black"/>
                          </a:solidFill>
                        </a:ln>
                      </wps:spPr>
                      <wps:txbx>
                        <w:txbxContent>
                          <w:p w14:paraId="0F2A468E" w14:textId="77777777" w:rsidR="00BE4E7C" w:rsidRDefault="00BE4E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B6569F" id="_x0000_t202" coordsize="21600,21600" o:spt="202" path="m,l,21600r21600,l21600,xe">
                <v:stroke joinstyle="miter"/>
                <v:path gradientshapeok="t" o:connecttype="rect"/>
              </v:shapetype>
              <v:shape id="Casella di testo 5" o:spid="_x0000_s1026" type="#_x0000_t202" alt="&quot;&quot;" style="position:absolute;margin-left:-.2pt;margin-top:2.05pt;width:453.5pt;height:118.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" filled="f" strokeweight=".5pt">
                <v:textbox>
                  <w:txbxContent>
                    <w:p w14:paraId="0F2A468E" w14:textId="77777777" w:rsidR="00BE4E7C" w:rsidRDefault="00BE4E7C"/>
                  </w:txbxContent>
                </v:textbox>
              </v:shape>
            </w:pict>
          </mc:Fallback>
        </mc:AlternateContent>
      </w:r>
    </w:p>
    <w:p w14:paraId="0C88F51B" w14:textId="02DC7635" w:rsidR="00BE4E7C" w:rsidRPr="0033037B" w:rsidRDefault="00BE4E7C" w:rsidP="00BE4E7C">
      <w:pPr>
        <w:pStyle w:val="PullQuoteText"/>
      </w:pPr>
      <w:r w:rsidRPr="0033037B">
        <w:t>People with disability are less likely to complete Year 12 or equivalent, than people without disability.</w:t>
      </w:r>
    </w:p>
    <w:p w14:paraId="1F5EA266" w14:textId="6ADF1E51" w:rsidR="00BE4E7C" w:rsidRDefault="00BE4E7C" w:rsidP="00B14204"/>
    <w:p w14:paraId="3A4BF95A" w14:textId="6882B409" w:rsidR="00BE4E7C" w:rsidRDefault="00BE4E7C" w:rsidP="00B14204"/>
    <w:p w14:paraId="3AB2674D" w14:textId="77777777" w:rsidR="00B14204" w:rsidRDefault="00B14204" w:rsidP="00B14204">
      <w:r>
        <w:t>Approximately 10% of Australian school students aged 5</w:t>
      </w:r>
      <w:r>
        <w:rPr>
          <w:spacing w:val="-14"/>
        </w:rPr>
        <w:t>–</w:t>
      </w:r>
      <w:r>
        <w:t>18 years have a disability, and most (89%) attend a mainstream school.</w:t>
      </w:r>
      <w:r>
        <w:rPr>
          <w:rStyle w:val="Rimandonotadichiusura"/>
        </w:rPr>
        <w:endnoteReference w:id="6"/>
      </w:r>
    </w:p>
    <w:p w14:paraId="6931C153" w14:textId="77777777" w:rsidR="00B14204" w:rsidRDefault="00B14204" w:rsidP="00B14204">
      <w:r>
        <w:t xml:space="preserve">For all Australians </w:t>
      </w:r>
      <w:r>
        <w:rPr>
          <w:rStyle w:val="Bold"/>
          <w:bCs/>
        </w:rPr>
        <w:t>with</w:t>
      </w:r>
      <w:r>
        <w:t xml:space="preserve"> disability aged 20 years and over:</w:t>
      </w:r>
    </w:p>
    <w:p w14:paraId="34D26A84" w14:textId="12538213" w:rsidR="00B14204" w:rsidRPr="00B14204" w:rsidRDefault="00B14204" w:rsidP="00B14204">
      <w:pPr>
        <w:pStyle w:val="ListParagraph2"/>
        <w:rPr>
          <w:rStyle w:val="Rimandonotadichiusura"/>
          <w:sz w:val="24"/>
          <w:vertAlign w:val="baseline"/>
        </w:rPr>
      </w:pPr>
      <w:r>
        <w:t xml:space="preserve">around 1 in 3 (34%) have </w:t>
      </w:r>
      <w:r w:rsidRPr="00B14204">
        <w:t>completed</w:t>
      </w:r>
      <w:r>
        <w:t xml:space="preserve"> Year 12 or equivalent</w:t>
      </w:r>
      <w:r>
        <w:rPr>
          <w:rStyle w:val="Rimandonotadichiusura"/>
        </w:rPr>
        <w:endnoteReference w:id="7"/>
      </w:r>
    </w:p>
    <w:p w14:paraId="074D09DF" w14:textId="4FD62EDE" w:rsidR="00B14204" w:rsidRDefault="00B14204" w:rsidP="00B14204">
      <w:pPr>
        <w:pStyle w:val="ListParagraph2"/>
      </w:pPr>
      <w:r>
        <w:t>17% have completed a bachelor’s degree or higher.</w:t>
      </w:r>
      <w:r>
        <w:rPr>
          <w:rStyle w:val="Rimandonotadichiusura"/>
        </w:rPr>
        <w:endnoteReference w:id="8"/>
      </w:r>
    </w:p>
    <w:p w14:paraId="3180612A" w14:textId="363D4E19" w:rsidR="00B14204" w:rsidRDefault="00B14204" w:rsidP="00B14204">
      <w:pPr>
        <w:ind w:left="90"/>
      </w:pPr>
      <w:r>
        <w:t xml:space="preserve">For all Australians </w:t>
      </w:r>
      <w:r>
        <w:rPr>
          <w:rStyle w:val="Bold"/>
          <w:bCs/>
        </w:rPr>
        <w:t>without</w:t>
      </w:r>
      <w:r>
        <w:rPr>
          <w:b/>
          <w:bCs/>
        </w:rPr>
        <w:t xml:space="preserve"> </w:t>
      </w:r>
      <w:r>
        <w:t>disability aged 20 years and over:</w:t>
      </w:r>
    </w:p>
    <w:p w14:paraId="251C6818" w14:textId="73945B2B" w:rsidR="00B14204" w:rsidRDefault="00B14204" w:rsidP="00B14204">
      <w:pPr>
        <w:pStyle w:val="ListParagraph2"/>
      </w:pPr>
      <w:r>
        <w:t>around 2 in 3 (66%) have completed Year 12 or equivalent</w:t>
      </w:r>
      <w:r>
        <w:rPr>
          <w:rStyle w:val="Rimandonotadichiusura"/>
        </w:rPr>
        <w:endnoteReference w:id="9"/>
      </w:r>
    </w:p>
    <w:p w14:paraId="4DD22068" w14:textId="66D0CEA4" w:rsidR="00B14204" w:rsidRDefault="00B14204" w:rsidP="00B14204">
      <w:pPr>
        <w:pStyle w:val="ListParagraph2"/>
      </w:pPr>
      <w:r>
        <w:t>close to 35% have completed a bachelor’s degree or higher.</w:t>
      </w:r>
      <w:r>
        <w:rPr>
          <w:rStyle w:val="Rimandonotadichiusura"/>
        </w:rPr>
        <w:endnoteReference w:id="10"/>
      </w:r>
    </w:p>
    <w:p w14:paraId="11321EC2" w14:textId="77777777" w:rsidR="00B14204" w:rsidRPr="000252EC" w:rsidRDefault="00B14204" w:rsidP="00B14204">
      <w:r>
        <w:t xml:space="preserve">It is important to note, however, that the above statistics differ considerably when focusing on </w:t>
      </w:r>
      <w:r w:rsidRPr="00F823C7">
        <w:rPr>
          <w:rStyle w:val="Enfasicorsivo"/>
          <w:sz w:val="24"/>
          <w:szCs w:val="24"/>
        </w:rPr>
        <w:t>recent</w:t>
      </w:r>
      <w:r>
        <w:t xml:space="preserve"> school leavers. Of those aged 20–24 years with a disability, 68% have completed Year 12 or equivalent compared with 85% of young people without a disability.</w:t>
      </w:r>
      <w:r>
        <w:rPr>
          <w:rStyle w:val="Rimandonotadichiusura"/>
        </w:rPr>
        <w:endnoteReference w:id="11"/>
      </w:r>
    </w:p>
    <w:p w14:paraId="4AD2BE4F" w14:textId="77777777" w:rsidR="00B14204" w:rsidRPr="00265224" w:rsidRDefault="00B14204" w:rsidP="00B14204">
      <w:r>
        <w:t>Around 7.3% of new university enrolments in 2018 were comprised of people with a disability. This percentage is steadily increasing each year. Since 2012, Australian university enrolments from people with a disability have increased by 64.9%, compared with general enrolment growth of 18.6%.</w:t>
      </w:r>
      <w:r>
        <w:rPr>
          <w:rStyle w:val="Rimandonotadichiusura"/>
        </w:rPr>
        <w:endnoteReference w:id="12"/>
      </w:r>
    </w:p>
    <w:p w14:paraId="11DBC1A1" w14:textId="77777777" w:rsidR="00B14204" w:rsidRPr="00265224" w:rsidRDefault="00B14204" w:rsidP="00B14204">
      <w:r>
        <w:t>As of 2019, 67% of undergraduates with a disability were employed full-time, compared with 73% of undergraduates without a disability.</w:t>
      </w:r>
      <w:r>
        <w:rPr>
          <w:rStyle w:val="Rimandonotadichiusura"/>
        </w:rPr>
        <w:endnoteReference w:id="13"/>
      </w:r>
    </w:p>
    <w:p w14:paraId="36A00AAA" w14:textId="77777777" w:rsidR="00B14204" w:rsidRDefault="00B14204" w:rsidP="00B14204">
      <w:pPr>
        <w:pStyle w:val="Titolo1"/>
      </w:pPr>
      <w:r w:rsidRPr="00A41CBD">
        <w:lastRenderedPageBreak/>
        <w:t>Employment</w:t>
      </w:r>
      <w:r>
        <w:t xml:space="preserve"> of people with disability</w:t>
      </w:r>
    </w:p>
    <w:p w14:paraId="085ADC82" w14:textId="3D4DBFFF" w:rsidR="002B2471" w:rsidRDefault="00DB26BD" w:rsidP="00B14204">
      <w:r>
        <w:rPr>
          <w:noProof/>
        </w:rPr>
        <w:drawing>
          <wp:inline distT="0" distB="0" distL="0" distR="0" wp14:anchorId="6ACB5E92" wp14:editId="4AE946C9">
            <wp:extent cx="5759450" cy="5759450"/>
            <wp:effectExtent l="0" t="0" r="6350" b="6350"/>
            <wp:docPr id="8" name="Immagine 8" descr="INFOGRAPHIC&#10;&#10;The labour force participation rate for people with disability aged 15-64 years was 53.4%, compared with 84.1% of people the same age without disability.&#10;&#10;84.1% people without disability&#10;53.4% people with dis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descr="INFOGRAPHIC&#10;&#10;The labour force participation rate for people with disability aged 15-64 years was 53.4%, compared with 84.1% of people the same age without disability.&#10;&#10;84.1% people without disability&#10;53.4% people with disability"/>
                    <pic:cNvPicPr/>
                  </pic:nvPicPr>
                  <pic:blipFill>
                    <a:blip r:embed="rId11">
                      <a:extLst>
                        <a:ext uri="{28A0092B-C50C-407E-A947-70E740481C1C}">
                          <a14:useLocalDpi xmlns:a14="http://schemas.microsoft.com/office/drawing/2010/main" val="0"/>
                        </a:ext>
                      </a:extLst>
                    </a:blip>
                    <a:stretch>
                      <a:fillRect/>
                    </a:stretch>
                  </pic:blipFill>
                  <pic:spPr>
                    <a:xfrm>
                      <a:off x="0" y="0"/>
                      <a:ext cx="5759450" cy="5759450"/>
                    </a:xfrm>
                    <a:prstGeom prst="rect">
                      <a:avLst/>
                    </a:prstGeom>
                  </pic:spPr>
                </pic:pic>
              </a:graphicData>
            </a:graphic>
          </wp:inline>
        </w:drawing>
      </w:r>
    </w:p>
    <w:p w14:paraId="2B956C70" w14:textId="77777777" w:rsidR="00BB2D88" w:rsidRDefault="00BB2D88" w:rsidP="00B14204"/>
    <w:p w14:paraId="29EFFA4E" w14:textId="0AEC701B" w:rsidR="00B14204" w:rsidRPr="006A2095" w:rsidRDefault="00B14204" w:rsidP="00B14204">
      <w:r>
        <w:t>The labour force participation rate</w:t>
      </w:r>
      <w:r>
        <w:rPr>
          <w:rStyle w:val="Rimandonotadichiusura"/>
        </w:rPr>
        <w:endnoteReference w:id="14"/>
      </w:r>
      <w:r>
        <w:t xml:space="preserve"> for people with disability aged 15–64 years is 53.4%, compared to 84.1% of people the same age without disability.</w:t>
      </w:r>
      <w:r>
        <w:rPr>
          <w:rStyle w:val="Rimandonotadichiusura"/>
        </w:rPr>
        <w:endnoteReference w:id="15"/>
      </w:r>
    </w:p>
    <w:p w14:paraId="76625DF8" w14:textId="31670962" w:rsidR="00B14204" w:rsidRDefault="00B14204" w:rsidP="00B14204">
      <w:r>
        <w:t xml:space="preserve">The labour force </w:t>
      </w:r>
      <w:r w:rsidRPr="002F6F6B">
        <w:t>participation</w:t>
      </w:r>
      <w:r>
        <w:t xml:space="preserve"> rate for people with disability has remained largely unchanged from 2003 (53%) to 2018 (53.4%).</w:t>
      </w:r>
      <w:r>
        <w:rPr>
          <w:rStyle w:val="Rimandonotadichiusura"/>
        </w:rPr>
        <w:endnoteReference w:id="16"/>
      </w:r>
      <w:r>
        <w:t xml:space="preserve"> In contrast, the labour force participation rate for people without disability increased from 63.6% (2003) to 84.1% (2018).</w:t>
      </w:r>
      <w:r>
        <w:rPr>
          <w:rStyle w:val="Rimandonotadichiusura"/>
        </w:rPr>
        <w:endnoteReference w:id="17"/>
      </w:r>
    </w:p>
    <w:p w14:paraId="13647559" w14:textId="17B53172" w:rsidR="001A3B8D" w:rsidRDefault="00B14204" w:rsidP="00B14204">
      <w:r>
        <w:lastRenderedPageBreak/>
        <w:t>In summary, the labour force participation rate has remained relatively unchanged for people with disability over the last 20 years.</w:t>
      </w:r>
      <w:r>
        <w:rPr>
          <w:rStyle w:val="Rimandonotadichiusura"/>
        </w:rPr>
        <w:endnoteReference w:id="18"/>
      </w:r>
    </w:p>
    <w:p w14:paraId="1D369298" w14:textId="77777777" w:rsidR="00F65AF1" w:rsidRDefault="00F65AF1" w:rsidP="00B14204"/>
    <w:p w14:paraId="2978AF13" w14:textId="598A7283" w:rsidR="00B14204" w:rsidRDefault="00BE4E7C" w:rsidP="00B14204">
      <w:r>
        <w:rPr>
          <w:noProof/>
        </w:rPr>
        <mc:AlternateContent>
          <mc:Choice Requires="wps">
            <w:drawing>
              <wp:anchor distT="0" distB="0" distL="114300" distR="114300" simplePos="0" relativeHeight="251662336" behindDoc="1" locked="0" layoutInCell="1" allowOverlap="1" wp14:anchorId="2F58026D" wp14:editId="746F2D76">
                <wp:simplePos x="0" y="0"/>
                <wp:positionH relativeFrom="column">
                  <wp:posOffset>-10744</wp:posOffset>
                </wp:positionH>
                <wp:positionV relativeFrom="paragraph">
                  <wp:posOffset>33277</wp:posOffset>
                </wp:positionV>
                <wp:extent cx="5766480" cy="1491120"/>
                <wp:effectExtent l="0" t="0" r="12065" b="7620"/>
                <wp:wrapNone/>
                <wp:docPr id="14" name="Casella di testo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766480" cy="1491120"/>
                        </a:xfrm>
                        <a:prstGeom prst="rect">
                          <a:avLst/>
                        </a:prstGeom>
                        <a:noFill/>
                        <a:ln w="6350">
                          <a:solidFill>
                            <a:prstClr val="black"/>
                          </a:solidFill>
                        </a:ln>
                      </wps:spPr>
                      <wps:txbx>
                        <w:txbxContent>
                          <w:p w14:paraId="6DBDF9ED" w14:textId="77777777" w:rsidR="00BE4E7C" w:rsidRDefault="00BE4E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58026D" id="Casella di testo 14" o:spid="_x0000_s1027" type="#_x0000_t202" alt="&quot;&quot;" style="position:absolute;margin-left:-.85pt;margin-top:2.6pt;width:454.05pt;height:117.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" filled="f" strokeweight=".5pt">
                <v:textbox>
                  <w:txbxContent>
                    <w:p w14:paraId="6DBDF9ED" w14:textId="77777777" w:rsidR="00BE4E7C" w:rsidRDefault="00BE4E7C"/>
                  </w:txbxContent>
                </v:textbox>
              </v:shape>
            </w:pict>
          </mc:Fallback>
        </mc:AlternateContent>
      </w:r>
    </w:p>
    <w:p w14:paraId="1CD1E6B6" w14:textId="77777777" w:rsidR="00BE4E7C" w:rsidRDefault="00BE4E7C" w:rsidP="00BE4E7C">
      <w:pPr>
        <w:pStyle w:val="PullQuoteText"/>
      </w:pPr>
      <w:r w:rsidRPr="00A41CBD">
        <w:t xml:space="preserve">People with </w:t>
      </w:r>
      <w:r w:rsidRPr="00B14204">
        <w:rPr>
          <w:rFonts w:eastAsiaTheme="minorEastAsia"/>
        </w:rPr>
        <w:t>disability</w:t>
      </w:r>
      <w:r w:rsidRPr="00A41CBD">
        <w:t xml:space="preserve"> are also more likely to be employed on a part time basis, than people without disability.</w:t>
      </w:r>
    </w:p>
    <w:p w14:paraId="4D67A92C" w14:textId="77777777" w:rsidR="00BE4E7C" w:rsidRDefault="00BE4E7C" w:rsidP="00B14204"/>
    <w:p w14:paraId="66290A46" w14:textId="77777777" w:rsidR="00BE4E7C" w:rsidRDefault="00BE4E7C" w:rsidP="00B14204"/>
    <w:p w14:paraId="15E13CD4" w14:textId="4E3519BB" w:rsidR="00B14204" w:rsidRDefault="00B14204" w:rsidP="00B14204">
      <w:r>
        <w:t>In Australia, for people with disability of working age (15–64 years) in the labour force:</w:t>
      </w:r>
    </w:p>
    <w:p w14:paraId="7CE74B15" w14:textId="4848EF8E" w:rsidR="00B14204" w:rsidRPr="00B14204" w:rsidRDefault="00B14204" w:rsidP="00B14204">
      <w:pPr>
        <w:pStyle w:val="ListParagraph2"/>
        <w:rPr>
          <w:rStyle w:val="Rimandonotadichiusura"/>
          <w:sz w:val="24"/>
          <w:vertAlign w:val="baseline"/>
        </w:rPr>
      </w:pPr>
      <w:r w:rsidRPr="00B14204">
        <w:t>close to 59.1% are employed on a full-time basis, compared to 68.3% of people without disability</w:t>
      </w:r>
      <w:r>
        <w:rPr>
          <w:rStyle w:val="Rimandonotadichiusura"/>
        </w:rPr>
        <w:endnoteReference w:id="19"/>
      </w:r>
    </w:p>
    <w:p w14:paraId="50385C10" w14:textId="531B6015" w:rsidR="00B14204" w:rsidRDefault="00B14204" w:rsidP="00B14204">
      <w:pPr>
        <w:pStyle w:val="ListParagraph2"/>
        <w:ind w:left="1077" w:hanging="357"/>
      </w:pPr>
      <w:r>
        <w:t xml:space="preserve">approximately 40.9% are employed on a part-time basis, </w:t>
      </w:r>
      <w:r w:rsidRPr="00B14204">
        <w:t>compared</w:t>
      </w:r>
      <w:r>
        <w:t xml:space="preserve"> to 31.7% of people without disability.</w:t>
      </w:r>
      <w:r>
        <w:rPr>
          <w:rStyle w:val="Rimandonotadichiusura"/>
        </w:rPr>
        <w:endnoteReference w:id="20"/>
      </w:r>
    </w:p>
    <w:p w14:paraId="3EDA906D" w14:textId="32A28A26" w:rsidR="00BB2D88" w:rsidRDefault="00B14204" w:rsidP="00BB2D88">
      <w:pPr>
        <w:pStyle w:val="Titolo1"/>
      </w:pPr>
      <w:r w:rsidRPr="00A41CBD">
        <w:lastRenderedPageBreak/>
        <w:t>Employment</w:t>
      </w:r>
      <w:r>
        <w:t xml:space="preserve"> and disability discrimination</w:t>
      </w:r>
    </w:p>
    <w:p w14:paraId="0577770D" w14:textId="12480709" w:rsidR="002B7D82" w:rsidRPr="00835262" w:rsidRDefault="00DB26BD" w:rsidP="00BB2D88">
      <w:r>
        <w:rPr>
          <w:noProof/>
        </w:rPr>
        <w:drawing>
          <wp:inline distT="0" distB="0" distL="0" distR="0" wp14:anchorId="7042971B" wp14:editId="1F26D11E">
            <wp:extent cx="5759450" cy="5039360"/>
            <wp:effectExtent l="0" t="0" r="6350" b="2540"/>
            <wp:docPr id="9" name="Immagine 9" descr="INFOGRAPHIC&#10;&#10;Nearly half (45.2%) of all employed people with disability reported that they had experienced unfair treatment or discrimination due to their disability from their employer in the past 12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9" descr="INFOGRAPHIC&#10;&#10;Nearly half (45.2%) of all employed people with disability reported that they had experienced unfair treatment or discrimination due to their disability from their employer in the past 12 months."/>
                    <pic:cNvPicPr/>
                  </pic:nvPicPr>
                  <pic:blipFill>
                    <a:blip r:embed="rId12">
                      <a:extLst>
                        <a:ext uri="{28A0092B-C50C-407E-A947-70E740481C1C}">
                          <a14:useLocalDpi xmlns:a14="http://schemas.microsoft.com/office/drawing/2010/main" val="0"/>
                        </a:ext>
                      </a:extLst>
                    </a:blip>
                    <a:stretch>
                      <a:fillRect/>
                    </a:stretch>
                  </pic:blipFill>
                  <pic:spPr>
                    <a:xfrm>
                      <a:off x="0" y="0"/>
                      <a:ext cx="5759450" cy="5039360"/>
                    </a:xfrm>
                    <a:prstGeom prst="rect">
                      <a:avLst/>
                    </a:prstGeom>
                  </pic:spPr>
                </pic:pic>
              </a:graphicData>
            </a:graphic>
          </wp:inline>
        </w:drawing>
      </w:r>
    </w:p>
    <w:p w14:paraId="6848C7D1" w14:textId="5C41F725" w:rsidR="00B14204" w:rsidRDefault="00B14204" w:rsidP="00B14204">
      <w:r>
        <w:t>In the most recent data from the Australian Bureau of Statistics, nearly half (45.2%) of all employed people with disability reported that they had experienced unfair treatment or discrimination from their employer due to their disability in the past 12 months.</w:t>
      </w:r>
      <w:r>
        <w:rPr>
          <w:rStyle w:val="Rimandonotadichiusura"/>
        </w:rPr>
        <w:endnoteReference w:id="21"/>
      </w:r>
    </w:p>
    <w:p w14:paraId="1836BB9E" w14:textId="56FA3B6C" w:rsidR="00B14204" w:rsidRPr="00835262" w:rsidRDefault="00B14204" w:rsidP="002B7D82">
      <w:r>
        <w:t>In 2019–2020, the Australian Human Rights Commission (the Commission) received a total of 2,307 complaints.</w:t>
      </w:r>
      <w:r>
        <w:rPr>
          <w:rStyle w:val="Rimandonotadichiusura"/>
        </w:rPr>
        <w:endnoteReference w:id="22"/>
      </w:r>
      <w:r>
        <w:t xml:space="preserve"> Consistent with previous years, the main areas of public life raised by complainants were employment and access to the provision of goods, services and facilities.</w:t>
      </w:r>
      <w:r>
        <w:rPr>
          <w:rStyle w:val="Rimandonotadichiusura"/>
        </w:rPr>
        <w:endnoteReference w:id="23"/>
      </w:r>
      <w:r>
        <w:t xml:space="preserve"> Almost half (44%) of these complaints were made under the </w:t>
      </w:r>
      <w:r w:rsidRPr="008E0ABD">
        <w:rPr>
          <w:rStyle w:val="Enfasicorsivo"/>
          <w:sz w:val="24"/>
          <w:szCs w:val="24"/>
        </w:rPr>
        <w:t>Disability Discrimination Act 1992</w:t>
      </w:r>
      <w:r>
        <w:t xml:space="preserve"> (Cth), with close to a third (30%) of these complaints relating to employment.</w:t>
      </w:r>
      <w:r>
        <w:rPr>
          <w:rStyle w:val="Rimandonotadichiusura"/>
        </w:rPr>
        <w:endnoteReference w:id="24"/>
      </w:r>
    </w:p>
    <w:p w14:paraId="64D0000D" w14:textId="2A2B18EF" w:rsidR="00265224" w:rsidRPr="00265224" w:rsidRDefault="00265224" w:rsidP="00265224">
      <w:r>
        <w:rPr>
          <w:noProof/>
        </w:rPr>
        <w:lastRenderedPageBreak/>
        <mc:AlternateContent>
          <mc:Choice Requires="wps">
            <w:drawing>
              <wp:anchor distT="0" distB="0" distL="114300" distR="114300" simplePos="0" relativeHeight="251663360" behindDoc="1" locked="0" layoutInCell="1" allowOverlap="1" wp14:anchorId="5268466A" wp14:editId="11EC97BE">
                <wp:simplePos x="0" y="0"/>
                <wp:positionH relativeFrom="column">
                  <wp:posOffset>-133350</wp:posOffset>
                </wp:positionH>
                <wp:positionV relativeFrom="paragraph">
                  <wp:posOffset>38340</wp:posOffset>
                </wp:positionV>
                <wp:extent cx="5939280" cy="8056440"/>
                <wp:effectExtent l="0" t="0" r="17145" b="8255"/>
                <wp:wrapNone/>
                <wp:docPr id="15" name="Casella di testo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39280" cy="8056440"/>
                        </a:xfrm>
                        <a:prstGeom prst="rect">
                          <a:avLst/>
                        </a:prstGeom>
                        <a:noFill/>
                        <a:ln w="6350">
                          <a:solidFill>
                            <a:prstClr val="black"/>
                          </a:solidFill>
                        </a:ln>
                      </wps:spPr>
                      <wps:txbx>
                        <w:txbxContent>
                          <w:p w14:paraId="257ED1C2" w14:textId="77777777" w:rsidR="00265224" w:rsidRDefault="002652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68466A" id="Casella di testo 15" o:spid="_x0000_s1028" type="#_x0000_t202" alt="&quot;&quot;" style="position:absolute;margin-left:-10.5pt;margin-top:3pt;width:467.65pt;height:634.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" filled="f" strokeweight=".5pt">
                <v:textbox>
                  <w:txbxContent>
                    <w:p w14:paraId="257ED1C2" w14:textId="77777777" w:rsidR="00265224" w:rsidRDefault="00265224"/>
                  </w:txbxContent>
                </v:textbox>
              </v:shape>
            </w:pict>
          </mc:Fallback>
        </mc:AlternateContent>
      </w:r>
    </w:p>
    <w:p w14:paraId="4D4EA68B" w14:textId="00B2C22E" w:rsidR="00BE4E7C" w:rsidRPr="00DA16B0" w:rsidRDefault="00BE4E7C" w:rsidP="00AD2D2D">
      <w:pPr>
        <w:pStyle w:val="CaseStudyHeading2"/>
        <w:jc w:val="center"/>
        <w:rPr>
          <w:color w:val="FFFFFF"/>
        </w:rPr>
      </w:pPr>
      <w:r w:rsidRPr="00DA16B0">
        <w:rPr>
          <w:noProof/>
          <w:color w:val="FFFFFF"/>
        </w:rPr>
        <w:drawing>
          <wp:inline distT="0" distB="0" distL="0" distR="0" wp14:anchorId="651CB004" wp14:editId="18996565">
            <wp:extent cx="719455" cy="719455"/>
            <wp:effectExtent l="0" t="0" r="0" b="0"/>
            <wp:docPr id="2" name="Immagine 7" descr="Lightbulb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magine 7" descr="Lightbulb icon"/>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inline>
        </w:drawing>
      </w:r>
    </w:p>
    <w:p w14:paraId="5D57F464" w14:textId="1630F557" w:rsidR="00BE4E7C" w:rsidRPr="00DA16B0" w:rsidRDefault="00BE4E7C" w:rsidP="00AD2D2D">
      <w:pPr>
        <w:pStyle w:val="CaseStudyHeading2"/>
        <w:rPr>
          <w:color w:val="423154"/>
        </w:rPr>
      </w:pPr>
      <w:r w:rsidRPr="00DA16B0">
        <w:rPr>
          <w:color w:val="423154"/>
        </w:rPr>
        <w:t>Willing to Work: National Inquiry into Employment Discrimination Against Older Australians and Australians</w:t>
      </w:r>
      <w:r w:rsidR="006A2095">
        <w:rPr>
          <w:color w:val="423154"/>
        </w:rPr>
        <w:t> </w:t>
      </w:r>
      <w:r w:rsidRPr="00DA16B0">
        <w:rPr>
          <w:color w:val="423154"/>
        </w:rPr>
        <w:t>with Disability</w:t>
      </w:r>
    </w:p>
    <w:p w14:paraId="12478EA0" w14:textId="77777777" w:rsidR="00BE4E7C" w:rsidRPr="00DA16B0" w:rsidRDefault="00BE4E7C" w:rsidP="00AD2D2D">
      <w:pPr>
        <w:rPr>
          <w:color w:val="auto"/>
        </w:rPr>
      </w:pPr>
      <w:r w:rsidRPr="00DA16B0">
        <w:rPr>
          <w:color w:val="auto"/>
        </w:rPr>
        <w:t xml:space="preserve">In 2015, the Attorney-General asked the Age and Disability Discrimination Commissioner, on behalf of the Commission, to undertake the </w:t>
      </w:r>
      <w:r w:rsidRPr="00DA16B0">
        <w:rPr>
          <w:rStyle w:val="Enfasicorsivo"/>
          <w:sz w:val="24"/>
          <w:szCs w:val="24"/>
        </w:rPr>
        <w:t>Willing to Work: National Inquiry into Employment Discrimination Against Older Australians and Australians with Disability</w:t>
      </w:r>
      <w:r w:rsidRPr="00DA16B0">
        <w:rPr>
          <w:color w:val="auto"/>
        </w:rPr>
        <w:t xml:space="preserve"> (the</w:t>
      </w:r>
      <w:r>
        <w:rPr>
          <w:color w:val="auto"/>
        </w:rPr>
        <w:t xml:space="preserve"> </w:t>
      </w:r>
      <w:r w:rsidRPr="00DA16B0">
        <w:rPr>
          <w:color w:val="auto"/>
        </w:rPr>
        <w:t>Inquiry).</w:t>
      </w:r>
    </w:p>
    <w:p w14:paraId="5E3751FC" w14:textId="77777777" w:rsidR="00BE4E7C" w:rsidRPr="00265224" w:rsidRDefault="00BE4E7C" w:rsidP="00AD2D2D">
      <w:r w:rsidRPr="00DA16B0">
        <w:rPr>
          <w:color w:val="auto"/>
        </w:rPr>
        <w:t>The Terms of Reference for the Inquiry required the Commission to examine practices, attitudes and Commonwealth laws that deny or diminish equal participation in employment and make recommendations to address employment discrimination against older Australians and Australians with disability.</w:t>
      </w:r>
      <w:r w:rsidRPr="00DA16B0">
        <w:rPr>
          <w:rStyle w:val="Rimandonotadichiusura"/>
          <w:color w:val="auto"/>
        </w:rPr>
        <w:endnoteReference w:id="25"/>
      </w:r>
    </w:p>
    <w:p w14:paraId="0B5123CA" w14:textId="77777777" w:rsidR="00BE4E7C" w:rsidRPr="00DA16B0" w:rsidRDefault="00BE4E7C" w:rsidP="00AD2D2D">
      <w:pPr>
        <w:rPr>
          <w:color w:val="auto"/>
        </w:rPr>
      </w:pPr>
      <w:r w:rsidRPr="00DA16B0">
        <w:rPr>
          <w:color w:val="auto"/>
        </w:rPr>
        <w:t>The Inquiry Report was released in May 2016. Its key findings included the following:</w:t>
      </w:r>
    </w:p>
    <w:p w14:paraId="42D6BDCC" w14:textId="77777777" w:rsidR="00BE4E7C" w:rsidRPr="00DA16B0" w:rsidRDefault="00BE4E7C" w:rsidP="00AD2D2D">
      <w:pPr>
        <w:pStyle w:val="ListParagraph2"/>
        <w:rPr>
          <w:rStyle w:val="Rimandonotadichiusura"/>
          <w:sz w:val="24"/>
          <w:vertAlign w:val="baseline"/>
        </w:rPr>
      </w:pPr>
      <w:r w:rsidRPr="00DA16B0">
        <w:t>Discrimination is underpinned by negative assumptions and attitudes that are held by many employers and throughout the community about the productivity and capability of people with disability and perceptions that they present a higher work health and safety risk.</w:t>
      </w:r>
      <w:r w:rsidRPr="00DA16B0">
        <w:rPr>
          <w:rStyle w:val="Rimandonotadichiusura"/>
          <w:color w:val="auto"/>
        </w:rPr>
        <w:endnoteReference w:id="26"/>
      </w:r>
    </w:p>
    <w:p w14:paraId="433C048A" w14:textId="0FC1C7DE" w:rsidR="00BE4E7C" w:rsidRDefault="00BE4E7C" w:rsidP="00AD2D2D">
      <w:pPr>
        <w:pStyle w:val="ListParagraph2"/>
      </w:pPr>
      <w:r w:rsidRPr="00DA16B0">
        <w:t>Employers may lack knowledge, awareness and skills to develop inclusive workplaces, implement recruitment and retention strategies to support people with disability and meet their legal and regulatory requirements. They may also be unaware of government programs and supports that can assist them.</w:t>
      </w:r>
      <w:r w:rsidRPr="00DA16B0">
        <w:rPr>
          <w:rStyle w:val="Rimandonotadichiusura"/>
          <w:color w:val="auto"/>
        </w:rPr>
        <w:endnoteReference w:id="27"/>
      </w:r>
    </w:p>
    <w:p w14:paraId="181D3C75" w14:textId="34A51FCF" w:rsidR="00BE4E7C" w:rsidRPr="00265224" w:rsidRDefault="00BE4E7C" w:rsidP="00265224"/>
    <w:p w14:paraId="3DC210BB" w14:textId="180D492C" w:rsidR="00BE4E7C" w:rsidRDefault="00BE4E7C" w:rsidP="00265224"/>
    <w:p w14:paraId="50BCD9C0" w14:textId="3E35A71A" w:rsidR="00265224" w:rsidRPr="00265224" w:rsidRDefault="00265224" w:rsidP="00265224">
      <w:r>
        <w:rPr>
          <w:noProof/>
          <w:color w:val="auto"/>
        </w:rPr>
        <w:lastRenderedPageBreak/>
        <mc:AlternateContent>
          <mc:Choice Requires="wps">
            <w:drawing>
              <wp:anchor distT="0" distB="0" distL="114300" distR="114300" simplePos="0" relativeHeight="251664384" behindDoc="1" locked="0" layoutInCell="1" allowOverlap="1" wp14:anchorId="3805BCFA" wp14:editId="3BC7CACD">
                <wp:simplePos x="0" y="0"/>
                <wp:positionH relativeFrom="column">
                  <wp:posOffset>-133350</wp:posOffset>
                </wp:positionH>
                <wp:positionV relativeFrom="paragraph">
                  <wp:posOffset>109667</wp:posOffset>
                </wp:positionV>
                <wp:extent cx="5939280" cy="2372400"/>
                <wp:effectExtent l="0" t="0" r="17145" b="15240"/>
                <wp:wrapNone/>
                <wp:docPr id="16" name="Casella di testo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5939280" cy="2372400"/>
                        </a:xfrm>
                        <a:prstGeom prst="rect">
                          <a:avLst/>
                        </a:prstGeom>
                        <a:noFill/>
                        <a:ln w="6350">
                          <a:solidFill>
                            <a:prstClr val="black"/>
                          </a:solidFill>
                        </a:ln>
                      </wps:spPr>
                      <wps:txbx>
                        <w:txbxContent>
                          <w:p w14:paraId="5A78C82A" w14:textId="77777777" w:rsidR="00265224" w:rsidRDefault="002652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05BCFA" id="_x0000_t202" coordsize="21600,21600" o:spt="202" path="m,l,21600r21600,l21600,xe">
                <v:stroke joinstyle="miter"/>
                <v:path gradientshapeok="t" o:connecttype="rect"/>
              </v:shapetype>
              <v:shape id="Casella di testo 16" o:spid="_x0000_s1029" type="#_x0000_t202" alt="&quot;&quot;" style="position:absolute;margin-left:-10.5pt;margin-top:8.65pt;width:467.65pt;height:186.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" filled="f" strokeweight=".5pt">
                <v:path arrowok="t"/>
                <o:lock v:ext="edit" aspectratio="t"/>
                <v:textbox>
                  <w:txbxContent>
                    <w:p w14:paraId="5A78C82A" w14:textId="77777777" w:rsidR="00265224" w:rsidRDefault="00265224"/>
                  </w:txbxContent>
                </v:textbox>
              </v:shape>
            </w:pict>
          </mc:Fallback>
        </mc:AlternateContent>
      </w:r>
    </w:p>
    <w:p w14:paraId="7086FC45" w14:textId="7D83A3F3" w:rsidR="00BE4E7C" w:rsidRPr="00DA16B0" w:rsidRDefault="00BE4E7C" w:rsidP="00AD2D2D">
      <w:pPr>
        <w:pStyle w:val="ListParagraph2"/>
        <w:rPr>
          <w:color w:val="auto"/>
        </w:rPr>
      </w:pPr>
      <w:r w:rsidRPr="00DA16B0">
        <w:rPr>
          <w:color w:val="auto"/>
        </w:rPr>
        <w:t>People with complex and intersecting disabilities can face more barriers in the workplace and more forms of discrimination.</w:t>
      </w:r>
      <w:r w:rsidRPr="00DA16B0">
        <w:rPr>
          <w:rStyle w:val="Rimandonotadichiusura"/>
          <w:color w:val="auto"/>
        </w:rPr>
        <w:endnoteReference w:id="28"/>
      </w:r>
    </w:p>
    <w:p w14:paraId="0588D09E" w14:textId="77777777" w:rsidR="00BE4E7C" w:rsidRPr="00DA16B0" w:rsidRDefault="00BE4E7C" w:rsidP="00AD2D2D">
      <w:pPr>
        <w:pStyle w:val="ListParagraph2"/>
        <w:rPr>
          <w:color w:val="auto"/>
        </w:rPr>
      </w:pPr>
      <w:r w:rsidRPr="00DA16B0">
        <w:rPr>
          <w:color w:val="auto"/>
        </w:rPr>
        <w:t>Individuals who are subject to negative assumptions, stereotypes and discrimination can experience stress, and a decline in physical and mental health.</w:t>
      </w:r>
      <w:r w:rsidRPr="00DA16B0">
        <w:rPr>
          <w:rStyle w:val="Rimandonotadichiusura"/>
          <w:color w:val="auto"/>
        </w:rPr>
        <w:endnoteReference w:id="29"/>
      </w:r>
    </w:p>
    <w:p w14:paraId="5F2B5797" w14:textId="151CF194" w:rsidR="009B0BB6" w:rsidRPr="00265224" w:rsidRDefault="00BE4E7C" w:rsidP="009B0BB6">
      <w:pPr>
        <w:pStyle w:val="ListParagraph2"/>
        <w:rPr>
          <w:color w:val="FFFFFF"/>
        </w:rPr>
      </w:pPr>
      <w:r w:rsidRPr="00DA16B0">
        <w:rPr>
          <w:color w:val="auto"/>
        </w:rPr>
        <w:t>The experience of discrimination can also diminish a person’s self-confidence, self-esteem and motivation to remain in the workforce.</w:t>
      </w:r>
      <w:r w:rsidRPr="00DA16B0">
        <w:rPr>
          <w:rStyle w:val="Rimandonotadichiusura"/>
          <w:color w:val="auto"/>
        </w:rPr>
        <w:endnoteReference w:id="30"/>
      </w:r>
    </w:p>
    <w:p w14:paraId="126C730A" w14:textId="0D843A4B" w:rsidR="00265224" w:rsidRPr="00265224" w:rsidRDefault="00F65AF1" w:rsidP="00265224">
      <w:r>
        <w:rPr>
          <w:noProof/>
        </w:rPr>
        <mc:AlternateContent>
          <mc:Choice Requires="wps">
            <w:drawing>
              <wp:anchor distT="0" distB="0" distL="114300" distR="114300" simplePos="0" relativeHeight="251665408" behindDoc="1" locked="0" layoutInCell="1" allowOverlap="1" wp14:anchorId="0B1A8468" wp14:editId="7ABBF50F">
                <wp:simplePos x="0" y="0"/>
                <wp:positionH relativeFrom="column">
                  <wp:posOffset>-133350</wp:posOffset>
                </wp:positionH>
                <wp:positionV relativeFrom="paragraph">
                  <wp:posOffset>373380</wp:posOffset>
                </wp:positionV>
                <wp:extent cx="5939280" cy="2890080"/>
                <wp:effectExtent l="0" t="0" r="17145" b="18415"/>
                <wp:wrapNone/>
                <wp:docPr id="18" name="Casella di testo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39280" cy="2890080"/>
                        </a:xfrm>
                        <a:prstGeom prst="rect">
                          <a:avLst/>
                        </a:prstGeom>
                        <a:noFill/>
                        <a:ln w="6350">
                          <a:solidFill>
                            <a:prstClr val="black"/>
                          </a:solidFill>
                        </a:ln>
                      </wps:spPr>
                      <wps:txbx>
                        <w:txbxContent>
                          <w:p w14:paraId="6F47D556" w14:textId="77777777" w:rsidR="00265224" w:rsidRDefault="002652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1A8468" id="Casella di testo 18" o:spid="_x0000_s1030" type="#_x0000_t202" alt="&quot;&quot;" style="position:absolute;margin-left:-10.5pt;margin-top:29.4pt;width:467.65pt;height:227.5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" filled="f" strokeweight=".5pt">
                <v:textbox>
                  <w:txbxContent>
                    <w:p w14:paraId="6F47D556" w14:textId="77777777" w:rsidR="00265224" w:rsidRDefault="00265224"/>
                  </w:txbxContent>
                </v:textbox>
              </v:shape>
            </w:pict>
          </mc:Fallback>
        </mc:AlternateContent>
      </w:r>
    </w:p>
    <w:p w14:paraId="62375A8E" w14:textId="51719594" w:rsidR="00265224" w:rsidRDefault="00265224" w:rsidP="00265224"/>
    <w:p w14:paraId="19AAE1CE" w14:textId="77777777" w:rsidR="00265224" w:rsidRDefault="00265224" w:rsidP="00265224">
      <w:pPr>
        <w:jc w:val="center"/>
      </w:pPr>
      <w:r>
        <w:rPr>
          <w:noProof/>
          <w:lang w:val="en-AU"/>
        </w:rPr>
        <w:drawing>
          <wp:inline distT="0" distB="0" distL="0" distR="0" wp14:anchorId="1C2AA59B" wp14:editId="2B1FDB6A">
            <wp:extent cx="722160" cy="722160"/>
            <wp:effectExtent l="0" t="0" r="1905" b="1905"/>
            <wp:docPr id="13" name="Immagine 13" descr="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magine 13" descr="Information ico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22160" cy="722160"/>
                    </a:xfrm>
                    <a:prstGeom prst="rect">
                      <a:avLst/>
                    </a:prstGeom>
                  </pic:spPr>
                </pic:pic>
              </a:graphicData>
            </a:graphic>
          </wp:inline>
        </w:drawing>
      </w:r>
    </w:p>
    <w:p w14:paraId="4BA55FA5" w14:textId="77777777" w:rsidR="00265224" w:rsidRPr="00F65AF1" w:rsidRDefault="00265224" w:rsidP="00265224">
      <w:pPr>
        <w:pStyle w:val="CopyrightText"/>
        <w:rPr>
          <w:sz w:val="18"/>
          <w:szCs w:val="18"/>
          <w:rtl/>
          <w:lang w:bidi="ar-YE"/>
        </w:rPr>
      </w:pPr>
      <w:r w:rsidRPr="00F65AF1">
        <w:rPr>
          <w:sz w:val="18"/>
          <w:szCs w:val="18"/>
        </w:rPr>
        <w:t>This factsheet is part of a suite of resources developed by the Australian Human Rights Commission as part of IncludeAbility</w:t>
      </w:r>
      <w:r w:rsidRPr="00F65AF1">
        <w:rPr>
          <w:rFonts w:cs="Times New Roman"/>
          <w:sz w:val="18"/>
          <w:szCs w:val="18"/>
          <w:rtl/>
          <w:lang w:bidi="ar-YE"/>
        </w:rPr>
        <w:t xml:space="preserve"> </w:t>
      </w:r>
      <w:r w:rsidRPr="00F65AF1">
        <w:rPr>
          <w:sz w:val="18"/>
          <w:szCs w:val="18"/>
          <w:lang w:bidi="ar-YE"/>
        </w:rPr>
        <w:t>to assist</w:t>
      </w:r>
      <w:r w:rsidRPr="00F65AF1">
        <w:rPr>
          <w:rFonts w:cs="Times New Roman"/>
          <w:sz w:val="18"/>
          <w:szCs w:val="18"/>
          <w:rtl/>
          <w:lang w:bidi="ar-YE"/>
        </w:rPr>
        <w:t>:</w:t>
      </w:r>
    </w:p>
    <w:p w14:paraId="2253258B" w14:textId="77777777" w:rsidR="00265224" w:rsidRPr="00F65AF1" w:rsidRDefault="00265224" w:rsidP="00265224">
      <w:pPr>
        <w:pStyle w:val="CopyrightTextBullets"/>
        <w:ind w:left="1004" w:hanging="360"/>
        <w:contextualSpacing w:val="0"/>
        <w:rPr>
          <w:sz w:val="18"/>
          <w:szCs w:val="18"/>
          <w:rtl/>
        </w:rPr>
      </w:pPr>
      <w:r w:rsidRPr="00F65AF1">
        <w:rPr>
          <w:sz w:val="18"/>
          <w:szCs w:val="18"/>
        </w:rPr>
        <w:t>employers provide meaningful job opportunities to people with disability</w:t>
      </w:r>
    </w:p>
    <w:p w14:paraId="6AD40ED9" w14:textId="77777777" w:rsidR="00265224" w:rsidRPr="00F65AF1" w:rsidRDefault="00265224" w:rsidP="00265224">
      <w:pPr>
        <w:pStyle w:val="CopyrightTextBullets"/>
        <w:ind w:left="1004" w:hanging="360"/>
        <w:contextualSpacing w:val="0"/>
        <w:rPr>
          <w:sz w:val="18"/>
          <w:szCs w:val="18"/>
          <w:rtl/>
        </w:rPr>
      </w:pPr>
      <w:r w:rsidRPr="00F65AF1">
        <w:rPr>
          <w:sz w:val="18"/>
          <w:szCs w:val="18"/>
        </w:rPr>
        <w:t>people with disability navigate barriers to employment</w:t>
      </w:r>
    </w:p>
    <w:p w14:paraId="644A945D" w14:textId="77777777" w:rsidR="00265224" w:rsidRPr="00F65AF1" w:rsidRDefault="00265224" w:rsidP="00265224">
      <w:pPr>
        <w:pStyle w:val="CopyrightText"/>
        <w:tabs>
          <w:tab w:val="clear" w:pos="567"/>
          <w:tab w:val="left" w:pos="1992"/>
        </w:tabs>
        <w:ind w:left="284"/>
        <w:rPr>
          <w:sz w:val="18"/>
          <w:szCs w:val="18"/>
        </w:rPr>
      </w:pPr>
      <w:r w:rsidRPr="00F65AF1">
        <w:rPr>
          <w:sz w:val="18"/>
          <w:szCs w:val="18"/>
        </w:rPr>
        <w:t xml:space="preserve">Further resources are available at </w:t>
      </w:r>
      <w:hyperlink r:id="rId15" w:history="1">
        <w:r w:rsidRPr="00F65AF1">
          <w:rPr>
            <w:rStyle w:val="Collegamentoipertestuale"/>
            <w:sz w:val="18"/>
            <w:szCs w:val="18"/>
          </w:rPr>
          <w:t>www.IncludeAbility.gov.au</w:t>
        </w:r>
      </w:hyperlink>
      <w:r w:rsidRPr="00F65AF1">
        <w:rPr>
          <w:sz w:val="18"/>
          <w:szCs w:val="18"/>
        </w:rPr>
        <w:t>.</w:t>
      </w:r>
    </w:p>
    <w:p w14:paraId="7D7849E4" w14:textId="77777777" w:rsidR="00265224" w:rsidRPr="00265224" w:rsidRDefault="00265224" w:rsidP="00265224">
      <w:pPr>
        <w:rPr>
          <w:lang w:val="en-AU"/>
        </w:rPr>
      </w:pPr>
    </w:p>
    <w:p w14:paraId="1FA1C38F" w14:textId="5B906455" w:rsidR="00265224" w:rsidRDefault="00265224">
      <w:pPr>
        <w:keepLines w:val="0"/>
        <w:widowControl/>
        <w:suppressAutoHyphens w:val="0"/>
        <w:autoSpaceDE/>
        <w:autoSpaceDN/>
        <w:adjustRightInd/>
        <w:spacing w:after="0" w:line="240" w:lineRule="auto"/>
        <w:textAlignment w:val="auto"/>
      </w:pPr>
      <w:r>
        <w:br w:type="page"/>
      </w:r>
    </w:p>
    <w:p w14:paraId="54888638" w14:textId="3334C4A1" w:rsidR="009A121A" w:rsidRPr="00B14204" w:rsidRDefault="00B14204">
      <w:pPr>
        <w:rPr>
          <w:b/>
          <w:bCs/>
        </w:rPr>
      </w:pPr>
      <w:r w:rsidRPr="00835262">
        <w:rPr>
          <w:rStyle w:val="Enfasigrassetto"/>
        </w:rPr>
        <w:lastRenderedPageBreak/>
        <w:t>Endnotes</w:t>
      </w:r>
    </w:p>
    <w:sectPr w:rsidR="009A121A" w:rsidRPr="00B14204" w:rsidSect="00320742">
      <w:headerReference w:type="default" r:id="rId16"/>
      <w:footerReference w:type="even" r:id="rId17"/>
      <w:footerReference w:type="default" r:id="rId18"/>
      <w:endnotePr>
        <w:numFmt w:val="decimal"/>
      </w:endnotePr>
      <w:pgSz w:w="11906" w:h="16838"/>
      <w:pgMar w:top="1418" w:right="1418" w:bottom="1418" w:left="1418" w:header="851" w:footer="851"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8572C" w14:textId="77777777" w:rsidR="00652F2B" w:rsidRDefault="00652F2B" w:rsidP="00B14204">
      <w:pPr>
        <w:spacing w:after="0" w:line="240" w:lineRule="auto"/>
      </w:pPr>
      <w:r>
        <w:separator/>
      </w:r>
    </w:p>
  </w:endnote>
  <w:endnote w:type="continuationSeparator" w:id="0">
    <w:p w14:paraId="37BA8F2C" w14:textId="77777777" w:rsidR="00652F2B" w:rsidRDefault="00652F2B" w:rsidP="00B14204">
      <w:pPr>
        <w:spacing w:after="0" w:line="240" w:lineRule="auto"/>
      </w:pPr>
      <w:r>
        <w:continuationSeparator/>
      </w:r>
    </w:p>
  </w:endnote>
  <w:endnote w:id="1">
    <w:p w14:paraId="00D1DBAB" w14:textId="77777777" w:rsidR="00B14204" w:rsidRDefault="00B14204" w:rsidP="00B14204">
      <w:pPr>
        <w:pStyle w:val="Testonotadichiusura"/>
      </w:pPr>
      <w:r w:rsidRPr="00835262">
        <w:rPr>
          <w:rStyle w:val="Rimandonotadichiusura"/>
        </w:rPr>
        <w:endnoteRef/>
      </w:r>
      <w:r>
        <w:tab/>
        <w:t>Australian Bureau of Statistics</w:t>
      </w:r>
      <w:r w:rsidRPr="00324F96">
        <w:t xml:space="preserve">, </w:t>
      </w:r>
      <w:r w:rsidRPr="00324F96">
        <w:rPr>
          <w:rStyle w:val="Enfasicorsivo"/>
        </w:rPr>
        <w:t xml:space="preserve">Survey of Disability, Ageing and Carers, Summary of Findings 2018 </w:t>
      </w:r>
      <w:r>
        <w:t xml:space="preserve">(Catalogue No 4430.0, 24 October 2019). </w:t>
      </w:r>
    </w:p>
  </w:endnote>
  <w:endnote w:id="2">
    <w:p w14:paraId="0DE4D20B" w14:textId="77777777" w:rsidR="00B14204" w:rsidRDefault="00B14204" w:rsidP="00B14204">
      <w:pPr>
        <w:pStyle w:val="Testonotadichiusura"/>
      </w:pPr>
      <w:r>
        <w:rPr>
          <w:vertAlign w:val="superscript"/>
        </w:rPr>
        <w:endnoteRef/>
      </w:r>
      <w:r>
        <w:tab/>
        <w:t>Australian Bureau of Statistics</w:t>
      </w:r>
      <w:r w:rsidRPr="00324F96">
        <w:rPr>
          <w:rStyle w:val="Enfasicorsivo"/>
        </w:rPr>
        <w:t xml:space="preserve">, Survey of Disability, Ageing and Carers, Summary of Findings 2018 </w:t>
      </w:r>
      <w:r>
        <w:t>(Catalogue No 4430.0, 24 October 2019).</w:t>
      </w:r>
    </w:p>
  </w:endnote>
  <w:endnote w:id="3">
    <w:p w14:paraId="1E5A95D7" w14:textId="77777777" w:rsidR="00B14204" w:rsidRDefault="00B14204" w:rsidP="00B14204">
      <w:pPr>
        <w:pStyle w:val="Testonotadichiusura"/>
      </w:pPr>
      <w:r>
        <w:rPr>
          <w:vertAlign w:val="superscript"/>
        </w:rPr>
        <w:endnoteRef/>
      </w:r>
      <w:r>
        <w:tab/>
        <w:t xml:space="preserve">ACOSS and UNSW Sydney, </w:t>
      </w:r>
      <w:r>
        <w:rPr>
          <w:rStyle w:val="Enfasicorsivo"/>
        </w:rPr>
        <w:t xml:space="preserve">Poverty in Australia 2018 </w:t>
      </w:r>
      <w:r>
        <w:t>(Report, 2018) 59 &lt;</w:t>
      </w:r>
      <w:hyperlink r:id="rId1" w:history="1">
        <w:r>
          <w:rPr>
            <w:rStyle w:val="HyperlinkBluRegular"/>
          </w:rPr>
          <w:t>https://www.acoss.org.au/wp-content/uploads/2018/10/ACOSS_Poverty-in-Australia-Report_Web-Final.pdf</w:t>
        </w:r>
      </w:hyperlink>
      <w:r>
        <w:t>&gt;.</w:t>
      </w:r>
    </w:p>
  </w:endnote>
  <w:endnote w:id="4">
    <w:p w14:paraId="14330DAC" w14:textId="77777777" w:rsidR="00B14204" w:rsidRDefault="00B14204" w:rsidP="00B14204">
      <w:pPr>
        <w:pStyle w:val="Testonotadichiusura"/>
      </w:pPr>
      <w:r>
        <w:rPr>
          <w:vertAlign w:val="superscript"/>
        </w:rPr>
        <w:endnoteRef/>
      </w:r>
      <w:r>
        <w:tab/>
        <w:t xml:space="preserve">ACOSS and UNSW Sydney, </w:t>
      </w:r>
      <w:r>
        <w:rPr>
          <w:rStyle w:val="Enfasicorsivo"/>
        </w:rPr>
        <w:t xml:space="preserve">Poverty in Australia 2018 </w:t>
      </w:r>
      <w:r>
        <w:t>(Report, 2018) 25 &lt;</w:t>
      </w:r>
      <w:hyperlink r:id="rId2" w:history="1">
        <w:r>
          <w:rPr>
            <w:rStyle w:val="HyperlinkBluRegular"/>
          </w:rPr>
          <w:t>https://www.acoss.org.au/wp-content/uploads/2018/10/ACOSS_Poverty-in-Australia-Report_Web-Final.pdf</w:t>
        </w:r>
      </w:hyperlink>
      <w:r>
        <w:t>&gt;.</w:t>
      </w:r>
    </w:p>
  </w:endnote>
  <w:endnote w:id="5">
    <w:p w14:paraId="05A02FEE" w14:textId="77777777" w:rsidR="00B14204" w:rsidRDefault="00B14204" w:rsidP="00B14204">
      <w:pPr>
        <w:pStyle w:val="Testonotadichiusura"/>
      </w:pPr>
      <w:r>
        <w:rPr>
          <w:vertAlign w:val="superscript"/>
        </w:rPr>
        <w:endnoteRef/>
      </w:r>
      <w:r>
        <w:tab/>
        <w:t xml:space="preserve">Australian Bureau of Statistics, </w:t>
      </w:r>
      <w:r>
        <w:rPr>
          <w:rStyle w:val="Enfasicorsivo"/>
        </w:rPr>
        <w:t xml:space="preserve">Disability, Ageing and Carers, Australia: Summary of Findings, 2018 </w:t>
      </w:r>
      <w:r>
        <w:t>(Catalogue No. 4430.0, 24 October 2019).</w:t>
      </w:r>
    </w:p>
  </w:endnote>
  <w:endnote w:id="6">
    <w:p w14:paraId="6D5B6E46" w14:textId="77777777" w:rsidR="00B14204" w:rsidRDefault="00B14204" w:rsidP="00B14204">
      <w:pPr>
        <w:pStyle w:val="Testonotadichiusura"/>
      </w:pPr>
      <w:r>
        <w:rPr>
          <w:vertAlign w:val="superscript"/>
        </w:rPr>
        <w:endnoteRef/>
      </w:r>
      <w:r>
        <w:tab/>
        <w:t xml:space="preserve">Australian Institute of Health and Welfare, </w:t>
      </w:r>
      <w:r>
        <w:rPr>
          <w:rStyle w:val="Enfasicorsivo"/>
        </w:rPr>
        <w:t>People with disability in Australia 2020: in brief</w:t>
      </w:r>
      <w:r>
        <w:t xml:space="preserve"> (Cat. no. DIS 77, October 2020) &lt;</w:t>
      </w:r>
      <w:hyperlink r:id="rId3" w:history="1">
        <w:r>
          <w:rPr>
            <w:rStyle w:val="HyperlinkBluRegular"/>
          </w:rPr>
          <w:t>https://www.aihw.gov.au/getmedia/7005c061-1c6e-490c-90c2-f2dd2773eb89/aihw-dis-77.pdf.aspx?inline=true</w:t>
        </w:r>
      </w:hyperlink>
      <w:r>
        <w:t>&gt;.</w:t>
      </w:r>
    </w:p>
  </w:endnote>
  <w:endnote w:id="7">
    <w:p w14:paraId="67A26D73" w14:textId="77777777" w:rsidR="00B14204" w:rsidRDefault="00B14204" w:rsidP="00B14204">
      <w:pPr>
        <w:pStyle w:val="Testonotadichiusura"/>
      </w:pPr>
      <w:r>
        <w:rPr>
          <w:vertAlign w:val="superscript"/>
        </w:rPr>
        <w:endnoteRef/>
      </w:r>
      <w:r>
        <w:tab/>
        <w:t xml:space="preserve">Australian Institute of Health and Welfare, </w:t>
      </w:r>
      <w:r>
        <w:rPr>
          <w:rStyle w:val="Enfasicorsivo"/>
        </w:rPr>
        <w:t xml:space="preserve">People with Disability in Australia </w:t>
      </w:r>
      <w:r>
        <w:t>(Cat no DIS 72, 2 October 2020) &lt;</w:t>
      </w:r>
      <w:hyperlink r:id="rId4" w:history="1">
        <w:r>
          <w:rPr>
            <w:rStyle w:val="HyperlinkBluRegular"/>
          </w:rPr>
          <w:t>https://www.aihw.gov.au/reports/disability/people-with-disability-in-australia/contents/education-and-skills/educational-attainment</w:t>
        </w:r>
      </w:hyperlink>
      <w:r>
        <w:t>&gt;.</w:t>
      </w:r>
    </w:p>
  </w:endnote>
  <w:endnote w:id="8">
    <w:p w14:paraId="5D4DBA4E" w14:textId="77777777" w:rsidR="00B14204" w:rsidRDefault="00B14204" w:rsidP="00B14204">
      <w:pPr>
        <w:pStyle w:val="Testonotadichiusura"/>
      </w:pPr>
      <w:r>
        <w:rPr>
          <w:vertAlign w:val="superscript"/>
        </w:rPr>
        <w:endnoteRef/>
      </w:r>
      <w:r>
        <w:tab/>
        <w:t xml:space="preserve">Australian Institute of Health and Welfare, </w:t>
      </w:r>
      <w:r>
        <w:rPr>
          <w:rStyle w:val="Enfasicorsivo"/>
        </w:rPr>
        <w:t xml:space="preserve">People with Disability in Australia </w:t>
      </w:r>
      <w:r>
        <w:t>(Cat no DIS 72, 2 October 2020) &lt;</w:t>
      </w:r>
      <w:hyperlink r:id="rId5" w:history="1">
        <w:r>
          <w:rPr>
            <w:rStyle w:val="HyperlinkBluRegular"/>
          </w:rPr>
          <w:t>https://www.aihw.gov.au/reports/disability/people-with-disability-in-australia/contents/education-and-skills/educational-attainment</w:t>
        </w:r>
      </w:hyperlink>
      <w:r>
        <w:t>&gt;.</w:t>
      </w:r>
    </w:p>
  </w:endnote>
  <w:endnote w:id="9">
    <w:p w14:paraId="09F120E6" w14:textId="77777777" w:rsidR="00B14204" w:rsidRDefault="00B14204" w:rsidP="00B14204">
      <w:pPr>
        <w:pStyle w:val="Testonotadichiusura"/>
      </w:pPr>
      <w:r>
        <w:rPr>
          <w:vertAlign w:val="superscript"/>
        </w:rPr>
        <w:endnoteRef/>
      </w:r>
      <w:r>
        <w:tab/>
        <w:t xml:space="preserve">Australian Institute of Health and Welfare, </w:t>
      </w:r>
      <w:r>
        <w:rPr>
          <w:rStyle w:val="Enfasicorsivo"/>
        </w:rPr>
        <w:t xml:space="preserve">People with Disability in Australia </w:t>
      </w:r>
      <w:r>
        <w:t>(Cat no DIS 72, 2 October 2020) &lt;</w:t>
      </w:r>
      <w:hyperlink r:id="rId6" w:history="1">
        <w:r>
          <w:rPr>
            <w:rStyle w:val="HyperlinkBluRegular"/>
          </w:rPr>
          <w:t>https://www.aihw.gov.au/reports/disability/people-with-disability-in-australia/contents/education-and-skills/educational-attainment</w:t>
        </w:r>
      </w:hyperlink>
      <w:r>
        <w:t>&gt;.</w:t>
      </w:r>
    </w:p>
  </w:endnote>
  <w:endnote w:id="10">
    <w:p w14:paraId="0287D3E0" w14:textId="77777777" w:rsidR="00B14204" w:rsidRDefault="00B14204" w:rsidP="00B14204">
      <w:pPr>
        <w:pStyle w:val="Testonotadichiusura"/>
      </w:pPr>
      <w:r>
        <w:rPr>
          <w:vertAlign w:val="superscript"/>
        </w:rPr>
        <w:endnoteRef/>
      </w:r>
      <w:r>
        <w:tab/>
        <w:t xml:space="preserve">Australian Institute of Health and Welfare, </w:t>
      </w:r>
      <w:r>
        <w:rPr>
          <w:rStyle w:val="Enfasicorsivo"/>
        </w:rPr>
        <w:t xml:space="preserve">People with Disability in Australia </w:t>
      </w:r>
      <w:r>
        <w:t>(Cat no DIS 72, 2 October 2020) &lt;</w:t>
      </w:r>
      <w:hyperlink r:id="rId7" w:history="1">
        <w:r>
          <w:rPr>
            <w:rStyle w:val="HyperlinkBluRegular"/>
          </w:rPr>
          <w:t>https://www.aihw.gov.au/reports/disability/people-with-disability-in-australia/contents/education-and-skills/educational-attainment</w:t>
        </w:r>
      </w:hyperlink>
      <w:r>
        <w:t>&gt;.</w:t>
      </w:r>
    </w:p>
  </w:endnote>
  <w:endnote w:id="11">
    <w:p w14:paraId="2FD7F452" w14:textId="77777777" w:rsidR="00B14204" w:rsidRDefault="00B14204" w:rsidP="00B14204">
      <w:pPr>
        <w:pStyle w:val="Testonotadichiusura"/>
      </w:pPr>
      <w:r>
        <w:rPr>
          <w:vertAlign w:val="superscript"/>
        </w:rPr>
        <w:endnoteRef/>
      </w:r>
      <w:r>
        <w:tab/>
        <w:t xml:space="preserve">Australian Institute of Health and Welfare, </w:t>
      </w:r>
      <w:r>
        <w:rPr>
          <w:rStyle w:val="Enfasicorsivo"/>
        </w:rPr>
        <w:t>People with disability in Australia 2020: in brief</w:t>
      </w:r>
      <w:r>
        <w:t xml:space="preserve"> (Cat. no. DIS 77, October 2020) &lt;</w:t>
      </w:r>
      <w:hyperlink r:id="rId8" w:history="1">
        <w:r>
          <w:rPr>
            <w:rStyle w:val="HyperlinkBluRegular"/>
          </w:rPr>
          <w:t>https://www.aihw.gov.au/getmedia/7005c061-1c6e-490c-90c2-f2dd2773eb89/aihw-dis-77.pdf.aspx?inline=true</w:t>
        </w:r>
      </w:hyperlink>
      <w:r>
        <w:t>&gt;.</w:t>
      </w:r>
    </w:p>
  </w:endnote>
  <w:endnote w:id="12">
    <w:p w14:paraId="0AC4AD42" w14:textId="77777777" w:rsidR="00B14204" w:rsidRDefault="00B14204" w:rsidP="00B14204">
      <w:pPr>
        <w:pStyle w:val="Testonotadichiusura"/>
      </w:pPr>
      <w:r>
        <w:rPr>
          <w:vertAlign w:val="superscript"/>
        </w:rPr>
        <w:endnoteRef/>
      </w:r>
      <w:r>
        <w:tab/>
        <w:t xml:space="preserve">Australian Disability Clearinghouse on Education and Training, </w:t>
      </w:r>
      <w:r>
        <w:rPr>
          <w:rStyle w:val="Enfasicorsivo"/>
        </w:rPr>
        <w:t xml:space="preserve">Higher Education Statistics </w:t>
      </w:r>
      <w:r>
        <w:t>(2019) &lt;</w:t>
      </w:r>
      <w:hyperlink r:id="rId9" w:anchor="Ref" w:history="1">
        <w:r>
          <w:rPr>
            <w:rStyle w:val="HyperlinkBluRegular"/>
          </w:rPr>
          <w:t>https://www.adcet.edu.au/inclusive-teaching/understanding-disability/higher-education-statistics#Ref</w:t>
        </w:r>
      </w:hyperlink>
      <w:r>
        <w:t>&gt;.</w:t>
      </w:r>
    </w:p>
  </w:endnote>
  <w:endnote w:id="13">
    <w:p w14:paraId="363781B0" w14:textId="77777777" w:rsidR="00B14204" w:rsidRDefault="00B14204" w:rsidP="00B14204">
      <w:pPr>
        <w:pStyle w:val="Testonotadichiusura"/>
      </w:pPr>
      <w:r>
        <w:rPr>
          <w:vertAlign w:val="superscript"/>
        </w:rPr>
        <w:endnoteRef/>
      </w:r>
      <w:r>
        <w:tab/>
        <w:t xml:space="preserve">Australian Disability Clearinghouse on Education and Training, </w:t>
      </w:r>
      <w:r>
        <w:rPr>
          <w:rStyle w:val="Enfasicorsivo"/>
        </w:rPr>
        <w:t xml:space="preserve">Higher Education Statistics </w:t>
      </w:r>
      <w:r>
        <w:t>(2019) &lt;</w:t>
      </w:r>
      <w:hyperlink r:id="rId10" w:anchor="Ref" w:history="1">
        <w:r>
          <w:rPr>
            <w:rStyle w:val="HyperlinkBluRegular"/>
          </w:rPr>
          <w:t>https://www.adcet.edu.au/inclusive-teaching/understanding-disability/higher-education-statistics#Ref</w:t>
        </w:r>
      </w:hyperlink>
      <w:r>
        <w:t>&gt;.</w:t>
      </w:r>
    </w:p>
  </w:endnote>
  <w:endnote w:id="14">
    <w:p w14:paraId="0A770612" w14:textId="77777777" w:rsidR="00B14204" w:rsidRDefault="00B14204" w:rsidP="00B14204">
      <w:pPr>
        <w:pStyle w:val="Testonotadichiusura"/>
      </w:pPr>
      <w:r>
        <w:rPr>
          <w:vertAlign w:val="superscript"/>
        </w:rPr>
        <w:endnoteRef/>
      </w:r>
      <w:r>
        <w:tab/>
        <w:t xml:space="preserve">The labour force participation rate is the sum of working-age (aged 15-64) people who are employed or unemployed and looking for work as a percentage of the working-age population. See: Australian Institute of Health and Welfare, </w:t>
      </w:r>
      <w:r>
        <w:rPr>
          <w:rStyle w:val="Enfasicorsivo"/>
        </w:rPr>
        <w:t xml:space="preserve">People with Disability in Australia </w:t>
      </w:r>
      <w:r>
        <w:t>(Cat no DIS 72, 2 October 2020) &lt;</w:t>
      </w:r>
      <w:hyperlink r:id="rId11" w:history="1">
        <w:r>
          <w:rPr>
            <w:rStyle w:val="HyperlinkBluRegular"/>
          </w:rPr>
          <w:t>https://www.aihw.gov.au/reports/disability/people-with-disability-in-australia/contents/employment/labour-force-participation</w:t>
        </w:r>
      </w:hyperlink>
      <w:r>
        <w:t>&gt;.</w:t>
      </w:r>
    </w:p>
  </w:endnote>
  <w:endnote w:id="15">
    <w:p w14:paraId="13309ECF" w14:textId="77777777" w:rsidR="00B14204" w:rsidRDefault="00B14204" w:rsidP="00B14204">
      <w:pPr>
        <w:pStyle w:val="Testonotadichiusura"/>
      </w:pPr>
      <w:r>
        <w:rPr>
          <w:vertAlign w:val="superscript"/>
        </w:rPr>
        <w:endnoteRef/>
      </w:r>
      <w:r>
        <w:tab/>
        <w:t xml:space="preserve">Australian Bureau of Statistics, </w:t>
      </w:r>
      <w:r>
        <w:rPr>
          <w:rStyle w:val="Enfasicorsivo"/>
        </w:rPr>
        <w:t xml:space="preserve">Disability, Ageing and Carers, Australia: Summary of Findings, 2018 </w:t>
      </w:r>
      <w:r>
        <w:t>(Catalogue No. 4430.0, 24 October 2019).</w:t>
      </w:r>
    </w:p>
  </w:endnote>
  <w:endnote w:id="16">
    <w:p w14:paraId="4B491C80" w14:textId="77777777" w:rsidR="00B14204" w:rsidRDefault="00B14204" w:rsidP="00B14204">
      <w:pPr>
        <w:pStyle w:val="Testonotadichiusura"/>
      </w:pPr>
      <w:r>
        <w:rPr>
          <w:vertAlign w:val="superscript"/>
        </w:rPr>
        <w:endnoteRef/>
      </w:r>
      <w:r>
        <w:tab/>
        <w:t xml:space="preserve">See, Australian Bureau of Statistics, </w:t>
      </w:r>
      <w:r>
        <w:rPr>
          <w:rStyle w:val="Enfasicorsivo"/>
        </w:rPr>
        <w:t xml:space="preserve">Disability, Ageing and Carers, Australia: Summary of Findings, 2003 </w:t>
      </w:r>
      <w:r>
        <w:t xml:space="preserve">(Catalogue No. 4430.0, 15 September 2004); Australian Bureau of Statistics, </w:t>
      </w:r>
      <w:r>
        <w:rPr>
          <w:rStyle w:val="Enfasicorsivo"/>
        </w:rPr>
        <w:t xml:space="preserve">Disability, Ageing and Carers, Australia: Summary of Findings, 2018 </w:t>
      </w:r>
      <w:r>
        <w:t>(Catalogue No. 4430.0, 24 October 2019).</w:t>
      </w:r>
    </w:p>
  </w:endnote>
  <w:endnote w:id="17">
    <w:p w14:paraId="4ED74845" w14:textId="77777777" w:rsidR="00B14204" w:rsidRDefault="00B14204" w:rsidP="00B14204">
      <w:pPr>
        <w:pStyle w:val="Testonotadichiusura"/>
      </w:pPr>
      <w:r>
        <w:rPr>
          <w:vertAlign w:val="superscript"/>
        </w:rPr>
        <w:endnoteRef/>
      </w:r>
      <w:r>
        <w:tab/>
        <w:t xml:space="preserve">See, Australian Bureau of Statistics, </w:t>
      </w:r>
      <w:r>
        <w:rPr>
          <w:rStyle w:val="Enfasicorsivo"/>
        </w:rPr>
        <w:t xml:space="preserve">Australian Labour Market Statistics, Jan 2005 </w:t>
      </w:r>
      <w:r>
        <w:t xml:space="preserve">(Catalogue No 6105.0, 7 January 2005); Australian Bureau of Statistics, </w:t>
      </w:r>
      <w:r>
        <w:rPr>
          <w:rStyle w:val="Enfasicorsivo"/>
        </w:rPr>
        <w:t xml:space="preserve">Disability, Ageing and Carers, Australia: Summary of Findings, 2018 </w:t>
      </w:r>
      <w:r>
        <w:t>(Catalogue No. 4430.0, 24 October 2019).</w:t>
      </w:r>
    </w:p>
  </w:endnote>
  <w:endnote w:id="18">
    <w:p w14:paraId="33FC5CE1" w14:textId="77777777" w:rsidR="00B14204" w:rsidRDefault="00B14204" w:rsidP="00B14204">
      <w:pPr>
        <w:pStyle w:val="Testonotadichiusura"/>
      </w:pPr>
      <w:r>
        <w:rPr>
          <w:vertAlign w:val="superscript"/>
        </w:rPr>
        <w:endnoteRef/>
      </w:r>
      <w:r>
        <w:tab/>
        <w:t xml:space="preserve">See for example, in 1998, the labour force participation rate of people with disability was 46.5%. Australian Bureau of Statistics, </w:t>
      </w:r>
      <w:r>
        <w:rPr>
          <w:rStyle w:val="Enfasicorsivo"/>
        </w:rPr>
        <w:t xml:space="preserve">Disability, Ageing and Carers, Australia: Summary of Findings, 1998 </w:t>
      </w:r>
      <w:r>
        <w:t>(Catalogue No. 4430.0, 21 April 1999).</w:t>
      </w:r>
    </w:p>
  </w:endnote>
  <w:endnote w:id="19">
    <w:p w14:paraId="7383E719" w14:textId="77777777" w:rsidR="00B14204" w:rsidRDefault="00B14204" w:rsidP="00B14204">
      <w:pPr>
        <w:pStyle w:val="Testonotadichiusura"/>
      </w:pPr>
      <w:r>
        <w:rPr>
          <w:vertAlign w:val="superscript"/>
        </w:rPr>
        <w:endnoteRef/>
      </w:r>
      <w:r>
        <w:tab/>
        <w:t xml:space="preserve">Australian Institute of Health and Welfare, </w:t>
      </w:r>
      <w:r>
        <w:rPr>
          <w:rStyle w:val="Enfasicorsivo"/>
        </w:rPr>
        <w:t xml:space="preserve">People with Disability in Australia </w:t>
      </w:r>
      <w:r>
        <w:t>(Cat no DIS 72, 2 October 2020) &lt;</w:t>
      </w:r>
      <w:hyperlink r:id="rId12" w:history="1">
        <w:r>
          <w:rPr>
            <w:rStyle w:val="HyperlinkBluRegular"/>
          </w:rPr>
          <w:t>https://www.aihw.gov.au/reports/disability/people-with-disability-in-australia/contents/employment/employment-rate-and-type</w:t>
        </w:r>
      </w:hyperlink>
      <w:r>
        <w:t>&gt;.</w:t>
      </w:r>
    </w:p>
  </w:endnote>
  <w:endnote w:id="20">
    <w:p w14:paraId="26458F3D" w14:textId="77777777" w:rsidR="00B14204" w:rsidRDefault="00B14204" w:rsidP="00B14204">
      <w:pPr>
        <w:pStyle w:val="Testonotadichiusura"/>
      </w:pPr>
      <w:r>
        <w:rPr>
          <w:vertAlign w:val="superscript"/>
        </w:rPr>
        <w:endnoteRef/>
      </w:r>
      <w:r>
        <w:tab/>
        <w:t xml:space="preserve">Australian Institute of Health and Welfare, </w:t>
      </w:r>
      <w:r>
        <w:rPr>
          <w:rStyle w:val="Enfasicorsivo"/>
        </w:rPr>
        <w:t xml:space="preserve">People with Disability in Australia </w:t>
      </w:r>
      <w:r>
        <w:t>(Cat no DIS 72, 2 October 2020) &lt;</w:t>
      </w:r>
      <w:hyperlink r:id="rId13" w:history="1">
        <w:r>
          <w:rPr>
            <w:rStyle w:val="HyperlinkBluRegular"/>
          </w:rPr>
          <w:t>https://www.aihw.gov.au/reports/disability/people-with-disability-in-australia/contents/employment/employment-rate-and-type</w:t>
        </w:r>
      </w:hyperlink>
      <w:r>
        <w:t>&gt;.</w:t>
      </w:r>
    </w:p>
  </w:endnote>
  <w:endnote w:id="21">
    <w:p w14:paraId="5594D307" w14:textId="77777777" w:rsidR="00B14204" w:rsidRDefault="00B14204" w:rsidP="00B14204">
      <w:pPr>
        <w:pStyle w:val="Testonotadichiusura"/>
      </w:pPr>
      <w:r>
        <w:rPr>
          <w:vertAlign w:val="superscript"/>
        </w:rPr>
        <w:endnoteRef/>
      </w:r>
      <w:r>
        <w:tab/>
        <w:t xml:space="preserve">Australian Bureau of Statistics, </w:t>
      </w:r>
      <w:r>
        <w:rPr>
          <w:rStyle w:val="Enfasicorsivo"/>
        </w:rPr>
        <w:t xml:space="preserve">Disability, Ageing and Carers, Australia: Summary of Findings, 2018 </w:t>
      </w:r>
      <w:r>
        <w:t>(Catalogue No. 4430.0, 24 November 2019).</w:t>
      </w:r>
    </w:p>
  </w:endnote>
  <w:endnote w:id="22">
    <w:p w14:paraId="49709267" w14:textId="77777777" w:rsidR="00B14204" w:rsidRDefault="00B14204" w:rsidP="00B14204">
      <w:pPr>
        <w:pStyle w:val="Testonotadichiusura"/>
      </w:pPr>
      <w:r>
        <w:rPr>
          <w:vertAlign w:val="superscript"/>
        </w:rPr>
        <w:endnoteRef/>
      </w:r>
      <w:r>
        <w:tab/>
        <w:t xml:space="preserve">Australian Human Rights Commission, </w:t>
      </w:r>
      <w:r>
        <w:rPr>
          <w:rStyle w:val="Enfasicorsivo"/>
        </w:rPr>
        <w:t xml:space="preserve">2019-20 Complaint Statistics </w:t>
      </w:r>
      <w:r>
        <w:t>(2020) 2 &lt;</w:t>
      </w:r>
      <w:hyperlink r:id="rId14" w:history="1">
        <w:r>
          <w:rPr>
            <w:rStyle w:val="HyperlinkBluRegular"/>
          </w:rPr>
          <w:t>https://humanrights.gov.au/sites/default/files/2020-10/AHRC_AR_2019-20_Complaint_Stats_FINAL.pdf</w:t>
        </w:r>
      </w:hyperlink>
      <w:r>
        <w:t>&gt;.</w:t>
      </w:r>
    </w:p>
  </w:endnote>
  <w:endnote w:id="23">
    <w:p w14:paraId="7EAD519B" w14:textId="77777777" w:rsidR="00B14204" w:rsidRDefault="00B14204" w:rsidP="00B14204">
      <w:pPr>
        <w:pStyle w:val="Testonotadichiusura"/>
      </w:pPr>
      <w:r>
        <w:rPr>
          <w:vertAlign w:val="superscript"/>
        </w:rPr>
        <w:endnoteRef/>
      </w:r>
      <w:r>
        <w:tab/>
        <w:t xml:space="preserve">Australian Human Rights Commission, </w:t>
      </w:r>
      <w:r>
        <w:rPr>
          <w:rStyle w:val="Enfasicorsivo"/>
        </w:rPr>
        <w:t xml:space="preserve">2019-20 Complaint Statistics </w:t>
      </w:r>
      <w:r>
        <w:t>(2020) 2 &lt;</w:t>
      </w:r>
      <w:hyperlink r:id="rId15" w:history="1">
        <w:r>
          <w:rPr>
            <w:rStyle w:val="HyperlinkBluRegular"/>
          </w:rPr>
          <w:t>https://humanrights.gov.au/sites/default/files/2020-10/AHRC_AR_2019-20_Complaint_Stats_FINAL.pdf</w:t>
        </w:r>
      </w:hyperlink>
      <w:r>
        <w:t>&gt;.</w:t>
      </w:r>
    </w:p>
  </w:endnote>
  <w:endnote w:id="24">
    <w:p w14:paraId="5A209F7E" w14:textId="77777777" w:rsidR="00B14204" w:rsidRDefault="00B14204" w:rsidP="00B14204">
      <w:pPr>
        <w:pStyle w:val="Testonotadichiusura"/>
      </w:pPr>
      <w:r>
        <w:rPr>
          <w:vertAlign w:val="superscript"/>
        </w:rPr>
        <w:endnoteRef/>
      </w:r>
      <w:r>
        <w:tab/>
        <w:t xml:space="preserve">Australian Human Rights Commission, </w:t>
      </w:r>
      <w:r>
        <w:rPr>
          <w:rStyle w:val="Enfasicorsivo"/>
        </w:rPr>
        <w:t xml:space="preserve">2019-20 Complaint Statistics </w:t>
      </w:r>
      <w:r>
        <w:t>(2020) 2 &lt;</w:t>
      </w:r>
      <w:hyperlink r:id="rId16" w:history="1">
        <w:r>
          <w:rPr>
            <w:rStyle w:val="HyperlinkBluRegular"/>
          </w:rPr>
          <w:t>https://humanrights.gov.au/sites/default/files/2020-10/AHRC_AR_2019-20_Complaint_Stats_FINAL.pdf</w:t>
        </w:r>
      </w:hyperlink>
      <w:r>
        <w:t>&gt;.</w:t>
      </w:r>
    </w:p>
  </w:endnote>
  <w:endnote w:id="25">
    <w:p w14:paraId="4FD3824C" w14:textId="77777777" w:rsidR="00BE4E7C" w:rsidRDefault="00BE4E7C" w:rsidP="00B14204">
      <w:pPr>
        <w:pStyle w:val="Testonotadichiusura"/>
      </w:pPr>
      <w:r>
        <w:rPr>
          <w:vertAlign w:val="superscript"/>
        </w:rPr>
        <w:endnoteRef/>
      </w:r>
      <w:r>
        <w:tab/>
        <w:t xml:space="preserve">Australian Human Rights Commission, </w:t>
      </w:r>
      <w:r>
        <w:rPr>
          <w:rStyle w:val="Enfasicorsivo"/>
        </w:rPr>
        <w:t xml:space="preserve">Willing to Work – Terms of Reference for the Inquiry </w:t>
      </w:r>
      <w:r>
        <w:t>(June 2015) &lt;</w:t>
      </w:r>
      <w:hyperlink r:id="rId17" w:history="1">
        <w:r>
          <w:rPr>
            <w:rStyle w:val="HyperlinkBluRegular"/>
          </w:rPr>
          <w:t>https://humanrights.gov.au/our-work/disability-rights/willing-work-terms-reference-inquiry</w:t>
        </w:r>
      </w:hyperlink>
      <w:r>
        <w:t>&gt;.</w:t>
      </w:r>
    </w:p>
  </w:endnote>
  <w:endnote w:id="26">
    <w:p w14:paraId="003A76B4" w14:textId="77777777" w:rsidR="00BE4E7C" w:rsidRDefault="00BE4E7C" w:rsidP="00B14204">
      <w:pPr>
        <w:pStyle w:val="Testonotadichiusura"/>
      </w:pPr>
      <w:r>
        <w:rPr>
          <w:vertAlign w:val="superscript"/>
        </w:rPr>
        <w:endnoteRef/>
      </w:r>
      <w:r>
        <w:tab/>
        <w:t xml:space="preserve">Australian Human Rights Commission, </w:t>
      </w:r>
      <w:r>
        <w:rPr>
          <w:rStyle w:val="Enfasicorsivo"/>
        </w:rPr>
        <w:t>Willing to Work: National Inquiry into Employment Against Older Australians and Australians with Disability</w:t>
      </w:r>
      <w:r>
        <w:t xml:space="preserve"> (Report, May 2016) 12 &lt;</w:t>
      </w:r>
      <w:hyperlink r:id="rId18" w:history="1">
        <w:r>
          <w:rPr>
            <w:rStyle w:val="HyperlinkBluRegular"/>
          </w:rPr>
          <w:t>https://www.humanrights.gov.au/our-work/age-discrimination/projects/willing-work-national-inquiry-employment-discrimination</w:t>
        </w:r>
      </w:hyperlink>
      <w:r>
        <w:t>&gt;.</w:t>
      </w:r>
    </w:p>
  </w:endnote>
  <w:endnote w:id="27">
    <w:p w14:paraId="5DE889BE" w14:textId="77777777" w:rsidR="00BE4E7C" w:rsidRDefault="00BE4E7C" w:rsidP="00B14204">
      <w:pPr>
        <w:pStyle w:val="Testonotadichiusura"/>
      </w:pPr>
      <w:r>
        <w:rPr>
          <w:vertAlign w:val="superscript"/>
        </w:rPr>
        <w:endnoteRef/>
      </w:r>
      <w:r>
        <w:tab/>
        <w:t xml:space="preserve">Australian Human Rights Commission, </w:t>
      </w:r>
      <w:r>
        <w:rPr>
          <w:rStyle w:val="Enfasicorsivo"/>
        </w:rPr>
        <w:t>Willing to Work: National Inquiry into Employment Against Older Australians and Australians with Disability</w:t>
      </w:r>
      <w:r>
        <w:t xml:space="preserve"> (Report, May 2016) 12 &lt;</w:t>
      </w:r>
      <w:hyperlink r:id="rId19" w:history="1">
        <w:r>
          <w:rPr>
            <w:rStyle w:val="HyperlinkBluRegular"/>
          </w:rPr>
          <w:t>https://www.humanrights.gov.au/our-work/age-discrimination/projects/willing-work-national-inquiry-employment-discrimination</w:t>
        </w:r>
      </w:hyperlink>
      <w:r>
        <w:t>&gt;.</w:t>
      </w:r>
    </w:p>
  </w:endnote>
  <w:endnote w:id="28">
    <w:p w14:paraId="3CF91A43" w14:textId="77777777" w:rsidR="00BE4E7C" w:rsidRDefault="00BE4E7C" w:rsidP="00B14204">
      <w:pPr>
        <w:pStyle w:val="Testonotadichiusura"/>
      </w:pPr>
      <w:r>
        <w:rPr>
          <w:vertAlign w:val="superscript"/>
        </w:rPr>
        <w:endnoteRef/>
      </w:r>
      <w:r>
        <w:tab/>
        <w:t xml:space="preserve">Australian Human Rights Commission, </w:t>
      </w:r>
      <w:r>
        <w:rPr>
          <w:rStyle w:val="Enfasicorsivo"/>
        </w:rPr>
        <w:t>Willing to Work: National Inquiry into Employment Against Older Australians and Australians with Disability</w:t>
      </w:r>
      <w:r>
        <w:t xml:space="preserve"> (Report, May 2016) 71</w:t>
      </w:r>
      <w:r>
        <w:rPr>
          <w:rFonts w:ascii="Cambria Math" w:hAnsi="Cambria Math" w:cs="Cambria Math"/>
        </w:rPr>
        <w:t>‑</w:t>
      </w:r>
      <w:r>
        <w:t>74 &lt;</w:t>
      </w:r>
      <w:hyperlink r:id="rId20" w:history="1">
        <w:r>
          <w:rPr>
            <w:rStyle w:val="HyperlinkBluRegular"/>
          </w:rPr>
          <w:t>https://www.humanrights.gov.au/our-work/age-discrimination/projects/willing-work-national-inquiry-employment-discrimination</w:t>
        </w:r>
      </w:hyperlink>
      <w:r>
        <w:t>&gt;.</w:t>
      </w:r>
    </w:p>
  </w:endnote>
  <w:endnote w:id="29">
    <w:p w14:paraId="3B715535" w14:textId="77777777" w:rsidR="00BE4E7C" w:rsidRDefault="00BE4E7C" w:rsidP="00B14204">
      <w:pPr>
        <w:pStyle w:val="Testonotadichiusura"/>
      </w:pPr>
      <w:r>
        <w:rPr>
          <w:vertAlign w:val="superscript"/>
        </w:rPr>
        <w:endnoteRef/>
      </w:r>
      <w:r>
        <w:tab/>
        <w:t xml:space="preserve">Australian Human Rights Commission, </w:t>
      </w:r>
      <w:r>
        <w:rPr>
          <w:rStyle w:val="Enfasicorsivo"/>
        </w:rPr>
        <w:t>Willing to Work: National Inquiry into Employment Against Older Australians and Australians with Disability</w:t>
      </w:r>
      <w:r>
        <w:t xml:space="preserve"> (Report, May 2016) 12 &lt;</w:t>
      </w:r>
      <w:hyperlink r:id="rId21" w:history="1">
        <w:r>
          <w:rPr>
            <w:rStyle w:val="HyperlinkBluRegular"/>
          </w:rPr>
          <w:t>https://www.humanrights.gov.au/our-work/age-discrimination/projects/willing-work-national-inquiry-employment-discrimination</w:t>
        </w:r>
      </w:hyperlink>
      <w:r>
        <w:t>&gt;.</w:t>
      </w:r>
    </w:p>
  </w:endnote>
  <w:endnote w:id="30">
    <w:p w14:paraId="05DE9611" w14:textId="77777777" w:rsidR="00BE4E7C" w:rsidRDefault="00BE4E7C" w:rsidP="00B14204">
      <w:pPr>
        <w:pStyle w:val="Testonotadichiusura"/>
      </w:pPr>
      <w:r>
        <w:rPr>
          <w:vertAlign w:val="superscript"/>
        </w:rPr>
        <w:endnoteRef/>
      </w:r>
      <w:r>
        <w:tab/>
        <w:t xml:space="preserve">Australian Human Rights Commission, </w:t>
      </w:r>
      <w:r>
        <w:rPr>
          <w:rStyle w:val="Enfasicorsivo"/>
        </w:rPr>
        <w:t>Willing to Work: National Inquiry into Employment Against Older Australians and Australians with Disability</w:t>
      </w:r>
      <w:r>
        <w:t xml:space="preserve"> (Report, 2016) 12 &lt;</w:t>
      </w:r>
      <w:hyperlink r:id="rId22" w:history="1">
        <w:r>
          <w:rPr>
            <w:rStyle w:val="HyperlinkBluRegular"/>
          </w:rPr>
          <w:t>https://www.humanrights.gov.au/our-work/age-discrimination/projects/willing-work-national-inquiry-employment-discrimination</w:t>
        </w:r>
      </w:hyperlink>
      <w:r>
        <w:t>&gt;.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Open Sans">
    <w:altName w:val="________"/>
    <w:panose1 w:val="020B0606030504020204"/>
    <w:charset w:val="00"/>
    <w:family w:val="swiss"/>
    <w:pitch w:val="variable"/>
    <w:sig w:usb0="E00002EF" w:usb1="4000205B" w:usb2="00000028" w:usb3="00000000" w:csb0="0000019F" w:csb1="00000000"/>
  </w:font>
  <w:font w:name="Open Sans Light">
    <w:altName w:val="﷽﷽﷽﷽﷽﷽﷽﷽s Light"/>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Open Sans Extrabold">
    <w:altName w:val="﷽﷽﷽﷽﷽﷽﷽﷽s Extrabold"/>
    <w:panose1 w:val="020B0906030804020204"/>
    <w:charset w:val="00"/>
    <w:family w:val="swiss"/>
    <w:pitch w:val="variable"/>
    <w:sig w:usb0="E00002EF" w:usb1="4000205B" w:usb2="00000028" w:usb3="00000000" w:csb0="0000019F" w:csb1="00000000"/>
  </w:font>
  <w:font w:name="Montserrat">
    <w:altName w:val="Montserrat"/>
    <w:panose1 w:val="00000500000000000000"/>
    <w:charset w:val="4D"/>
    <w:family w:val="auto"/>
    <w:notTrueType/>
    <w:pitch w:val="variable"/>
    <w:sig w:usb0="2000020F" w:usb1="00000003" w:usb2="00000000" w:usb3="00000000" w:csb0="00000197" w:csb1="00000000"/>
  </w:font>
  <w:font w:name="Gotham">
    <w:altName w:val="Gotham"/>
    <w:panose1 w:val="02000504050000020004"/>
    <w:charset w:val="00"/>
    <w:family w:val="auto"/>
    <w:pitch w:val="variable"/>
    <w:sig w:usb0="80000027"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CFBAC" w14:textId="77777777" w:rsidR="00A41CBD" w:rsidRDefault="00D779B2" w:rsidP="0047384D">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p w14:paraId="40AFB579" w14:textId="77777777" w:rsidR="00A41CBD" w:rsidRDefault="00652F2B" w:rsidP="00A41CBD">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6E7C4" w14:textId="77777777" w:rsidR="00A41CBD" w:rsidRDefault="00D779B2" w:rsidP="0047384D">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p w14:paraId="47260A44" w14:textId="77777777" w:rsidR="00A41CBD" w:rsidRDefault="00652F2B" w:rsidP="00A41CBD">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0BC16" w14:textId="77777777" w:rsidR="00652F2B" w:rsidRDefault="00652F2B" w:rsidP="00B14204">
      <w:pPr>
        <w:spacing w:after="0" w:line="240" w:lineRule="auto"/>
      </w:pPr>
      <w:r>
        <w:separator/>
      </w:r>
    </w:p>
  </w:footnote>
  <w:footnote w:type="continuationSeparator" w:id="0">
    <w:p w14:paraId="005D1392" w14:textId="77777777" w:rsidR="00652F2B" w:rsidRDefault="00652F2B" w:rsidP="00B142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21162" w14:textId="77777777" w:rsidR="00A41CBD" w:rsidRPr="00B14204" w:rsidRDefault="00D779B2">
    <w:pPr>
      <w:pStyle w:val="Intestazione"/>
    </w:pPr>
    <w:r w:rsidRPr="00B14204">
      <w:t>Australian Human Rights Commission</w:t>
    </w:r>
  </w:p>
  <w:p w14:paraId="14A19985" w14:textId="77777777" w:rsidR="00A41CBD" w:rsidRDefault="00D779B2">
    <w:pPr>
      <w:pStyle w:val="Intestazione"/>
      <w:rPr>
        <w:rStyle w:val="Enfasigrassetto"/>
      </w:rPr>
    </w:pPr>
    <w:r w:rsidRPr="00A41CBD">
      <w:rPr>
        <w:rStyle w:val="Enfasigrassetto"/>
      </w:rPr>
      <w:t>IncludeAbility • Factsheet • Disability and Employment in Australia</w:t>
    </w:r>
  </w:p>
  <w:p w14:paraId="168B50A5" w14:textId="77777777" w:rsidR="00A41CBD" w:rsidRDefault="00652F2B" w:rsidP="00A41CBD">
    <w:pPr>
      <w:pStyle w:val="Intestazione"/>
      <w:jc w:val="left"/>
      <w:rPr>
        <w:rStyle w:val="Enfasigrassetto"/>
      </w:rPr>
    </w:pPr>
  </w:p>
  <w:p w14:paraId="79A18ECC" w14:textId="77777777" w:rsidR="00A41CBD" w:rsidRPr="00A41CBD" w:rsidRDefault="00652F2B" w:rsidP="00A41CBD">
    <w:pPr>
      <w:pStyle w:val="Intestazione"/>
      <w:jc w:val="left"/>
      <w:rPr>
        <w:rStyle w:val="Enfasigrasset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188A19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9C61E6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4AA084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826679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5F816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57016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7DCF5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E54C2D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7C7C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01C406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671318"/>
    <w:multiLevelType w:val="hybridMultilevel"/>
    <w:tmpl w:val="F1968D26"/>
    <w:lvl w:ilvl="0" w:tplc="341A39FC">
      <w:start w:val="1"/>
      <w:numFmt w:val="bullet"/>
      <w:pStyle w:val="ListParagraph0"/>
      <w:lvlText w:val=""/>
      <w:lvlJc w:val="left"/>
      <w:pPr>
        <w:ind w:left="1006"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1" w15:restartNumberingAfterBreak="0">
    <w:nsid w:val="298055BC"/>
    <w:multiLevelType w:val="hybridMultilevel"/>
    <w:tmpl w:val="3EACA98E"/>
    <w:lvl w:ilvl="0" w:tplc="B98CCA60">
      <w:start w:val="1"/>
      <w:numFmt w:val="bullet"/>
      <w:pStyle w:val="ListParagraph2"/>
      <w:lvlText w:val=""/>
      <w:lvlJc w:val="left"/>
      <w:pPr>
        <w:ind w:left="1080" w:hanging="360"/>
      </w:pPr>
      <w:rPr>
        <w:rFonts w:ascii="Symbol" w:hAnsi="Symbol" w:hint="default"/>
        <w:color w:val="auto"/>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15:restartNumberingAfterBreak="0">
    <w:nsid w:val="7792783B"/>
    <w:multiLevelType w:val="multilevel"/>
    <w:tmpl w:val="1CD6B896"/>
    <w:lvl w:ilvl="0">
      <w:start w:val="1"/>
      <w:numFmt w:val="decimal"/>
      <w:pStyle w:val="Titolo1"/>
      <w:lvlText w:val="%1."/>
      <w:lvlJc w:val="left"/>
      <w:pPr>
        <w:ind w:left="720" w:hanging="720"/>
      </w:pPr>
      <w:rPr>
        <w:rFonts w:hint="default"/>
      </w:rPr>
    </w:lvl>
    <w:lvl w:ilvl="1">
      <w:start w:val="1"/>
      <w:numFmt w:val="decimal"/>
      <w:pStyle w:val="Titolo2"/>
      <w:lvlText w:val="%1.%2"/>
      <w:lvlJc w:val="left"/>
      <w:pPr>
        <w:ind w:left="576" w:hanging="576"/>
      </w:pPr>
      <w:rPr>
        <w:rFonts w:hint="default"/>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13" w15:restartNumberingAfterBreak="0">
    <w:nsid w:val="7AC10C2F"/>
    <w:multiLevelType w:val="hybridMultilevel"/>
    <w:tmpl w:val="1BAE4734"/>
    <w:lvl w:ilvl="0" w:tplc="1F8A38A8">
      <w:start w:val="1"/>
      <w:numFmt w:val="bullet"/>
      <w:pStyle w:val="CopyrightTextBullets"/>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num w:numId="1">
    <w:abstractNumId w:val="12"/>
  </w:num>
  <w:num w:numId="2">
    <w:abstractNumId w:val="10"/>
  </w:num>
  <w:num w:numId="3">
    <w:abstractNumId w:val="11"/>
  </w:num>
  <w:num w:numId="4">
    <w:abstractNumId w:val="13"/>
  </w:num>
  <w:num w:numId="5">
    <w:abstractNumId w:val="4"/>
  </w:num>
  <w:num w:numId="6">
    <w:abstractNumId w:val="5"/>
  </w:num>
  <w:num w:numId="7">
    <w:abstractNumId w:val="6"/>
  </w:num>
  <w:num w:numId="8">
    <w:abstractNumId w:val="7"/>
  </w:num>
  <w:num w:numId="9">
    <w:abstractNumId w:val="9"/>
  </w:num>
  <w:num w:numId="10">
    <w:abstractNumId w:val="0"/>
  </w:num>
  <w:num w:numId="11">
    <w:abstractNumId w:val="1"/>
  </w:num>
  <w:num w:numId="12">
    <w:abstractNumId w:val="2"/>
  </w:num>
  <w:num w:numId="13">
    <w:abstractNumId w:val="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283"/>
  <w:drawingGridHorizontalSpacing w:val="120"/>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204"/>
    <w:rsid w:val="0001144C"/>
    <w:rsid w:val="000252EC"/>
    <w:rsid w:val="00040300"/>
    <w:rsid w:val="00090338"/>
    <w:rsid w:val="000A6A98"/>
    <w:rsid w:val="000B335C"/>
    <w:rsid w:val="000F0D38"/>
    <w:rsid w:val="001052DE"/>
    <w:rsid w:val="001A3B8D"/>
    <w:rsid w:val="001A60A4"/>
    <w:rsid w:val="001D47E1"/>
    <w:rsid w:val="001F25F0"/>
    <w:rsid w:val="00265224"/>
    <w:rsid w:val="002A1632"/>
    <w:rsid w:val="002B2471"/>
    <w:rsid w:val="002B7D82"/>
    <w:rsid w:val="002D7CD3"/>
    <w:rsid w:val="00320742"/>
    <w:rsid w:val="00324F96"/>
    <w:rsid w:val="0033037B"/>
    <w:rsid w:val="0036414C"/>
    <w:rsid w:val="00375672"/>
    <w:rsid w:val="003B38D3"/>
    <w:rsid w:val="004714E0"/>
    <w:rsid w:val="00472536"/>
    <w:rsid w:val="004D51AD"/>
    <w:rsid w:val="004E3DD6"/>
    <w:rsid w:val="00525B77"/>
    <w:rsid w:val="00652F2B"/>
    <w:rsid w:val="00692A74"/>
    <w:rsid w:val="006A2095"/>
    <w:rsid w:val="006D294B"/>
    <w:rsid w:val="006D704C"/>
    <w:rsid w:val="00782423"/>
    <w:rsid w:val="008328A6"/>
    <w:rsid w:val="0087374A"/>
    <w:rsid w:val="008E0452"/>
    <w:rsid w:val="008E0ABD"/>
    <w:rsid w:val="00923184"/>
    <w:rsid w:val="009333A0"/>
    <w:rsid w:val="009B0BB6"/>
    <w:rsid w:val="00A665AB"/>
    <w:rsid w:val="00A67CC4"/>
    <w:rsid w:val="00AC034A"/>
    <w:rsid w:val="00AD1096"/>
    <w:rsid w:val="00AE672E"/>
    <w:rsid w:val="00B14204"/>
    <w:rsid w:val="00B5099E"/>
    <w:rsid w:val="00B84162"/>
    <w:rsid w:val="00B84633"/>
    <w:rsid w:val="00BB2310"/>
    <w:rsid w:val="00BB2D88"/>
    <w:rsid w:val="00BB65B0"/>
    <w:rsid w:val="00BE207A"/>
    <w:rsid w:val="00BE4E7C"/>
    <w:rsid w:val="00BE7DBD"/>
    <w:rsid w:val="00C83E51"/>
    <w:rsid w:val="00CA33FB"/>
    <w:rsid w:val="00D779B2"/>
    <w:rsid w:val="00D93D47"/>
    <w:rsid w:val="00DA16B0"/>
    <w:rsid w:val="00DA29E7"/>
    <w:rsid w:val="00DA3E63"/>
    <w:rsid w:val="00DB26BD"/>
    <w:rsid w:val="00DC40FC"/>
    <w:rsid w:val="00E81C9E"/>
    <w:rsid w:val="00EB0D90"/>
    <w:rsid w:val="00F65AF1"/>
    <w:rsid w:val="00F823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D6E54"/>
  <w15:chartTrackingRefBased/>
  <w15:docId w15:val="{C00CDB6D-2B54-CA4D-A27C-7324BEF27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14204"/>
    <w:pPr>
      <w:keepLines/>
      <w:widowControl w:val="0"/>
      <w:suppressAutoHyphens/>
      <w:autoSpaceDE w:val="0"/>
      <w:autoSpaceDN w:val="0"/>
      <w:adjustRightInd w:val="0"/>
      <w:spacing w:after="170" w:line="288" w:lineRule="auto"/>
      <w:textAlignment w:val="center"/>
    </w:pPr>
    <w:rPr>
      <w:rFonts w:ascii="Open Sans" w:eastAsia="Times New Roman" w:hAnsi="Open Sans" w:cs="Open Sans"/>
      <w:color w:val="000000"/>
      <w:szCs w:val="20"/>
      <w:lang w:val="en-US" w:eastAsia="it-IT"/>
    </w:rPr>
  </w:style>
  <w:style w:type="paragraph" w:styleId="Titolo1">
    <w:name w:val="heading 1"/>
    <w:basedOn w:val="Normale"/>
    <w:next w:val="Normale"/>
    <w:link w:val="Titolo1Carattere"/>
    <w:uiPriority w:val="99"/>
    <w:qFormat/>
    <w:rsid w:val="00B14204"/>
    <w:pPr>
      <w:keepNext/>
      <w:numPr>
        <w:numId w:val="1"/>
      </w:numPr>
      <w:spacing w:before="227" w:after="227" w:line="460" w:lineRule="atLeast"/>
      <w:outlineLvl w:val="0"/>
    </w:pPr>
    <w:rPr>
      <w:rFonts w:ascii="Open Sans Light" w:hAnsi="Open Sans Light" w:cs="Open Sans Light"/>
      <w:color w:val="000047"/>
      <w:sz w:val="40"/>
      <w:szCs w:val="40"/>
    </w:rPr>
  </w:style>
  <w:style w:type="paragraph" w:styleId="Titolo2">
    <w:name w:val="heading 2"/>
    <w:basedOn w:val="Normale"/>
    <w:next w:val="Normale"/>
    <w:link w:val="Titolo2Carattere"/>
    <w:uiPriority w:val="9"/>
    <w:semiHidden/>
    <w:unhideWhenUsed/>
    <w:qFormat/>
    <w:rsid w:val="00B14204"/>
    <w:pPr>
      <w:keepNext/>
      <w:numPr>
        <w:ilvl w:val="1"/>
        <w:numId w:val="1"/>
      </w:numPr>
      <w:spacing w:before="240" w:after="60"/>
      <w:outlineLvl w:val="1"/>
    </w:pPr>
    <w:rPr>
      <w:rFonts w:ascii="Calibri Light" w:hAnsi="Calibri Light" w:cs="Times New Roman"/>
      <w:b/>
      <w:bCs/>
      <w:i/>
      <w:iCs/>
      <w:sz w:val="28"/>
      <w:szCs w:val="28"/>
    </w:rPr>
  </w:style>
  <w:style w:type="paragraph" w:styleId="Titolo3">
    <w:name w:val="heading 3"/>
    <w:basedOn w:val="Normale"/>
    <w:next w:val="Normale"/>
    <w:link w:val="Titolo3Carattere"/>
    <w:uiPriority w:val="9"/>
    <w:semiHidden/>
    <w:unhideWhenUsed/>
    <w:qFormat/>
    <w:rsid w:val="00B14204"/>
    <w:pPr>
      <w:keepNext/>
      <w:numPr>
        <w:ilvl w:val="2"/>
        <w:numId w:val="1"/>
      </w:numPr>
      <w:spacing w:before="240" w:after="60"/>
      <w:outlineLvl w:val="2"/>
    </w:pPr>
    <w:rPr>
      <w:rFonts w:ascii="Calibri Light" w:hAnsi="Calibri Light" w:cs="Times New Roman"/>
      <w:b/>
      <w:bCs/>
      <w:sz w:val="26"/>
      <w:szCs w:val="26"/>
    </w:rPr>
  </w:style>
  <w:style w:type="paragraph" w:styleId="Titolo4">
    <w:name w:val="heading 4"/>
    <w:basedOn w:val="Normale"/>
    <w:next w:val="Normale"/>
    <w:link w:val="Titolo4Carattere"/>
    <w:uiPriority w:val="9"/>
    <w:semiHidden/>
    <w:unhideWhenUsed/>
    <w:qFormat/>
    <w:rsid w:val="00B14204"/>
    <w:pPr>
      <w:keepNext/>
      <w:numPr>
        <w:ilvl w:val="3"/>
        <w:numId w:val="1"/>
      </w:numPr>
      <w:spacing w:before="240" w:after="60"/>
      <w:outlineLvl w:val="3"/>
    </w:pPr>
    <w:rPr>
      <w:rFonts w:ascii="Calibri" w:hAnsi="Calibri" w:cs="Times New Roman"/>
      <w:b/>
      <w:bCs/>
      <w:sz w:val="28"/>
      <w:szCs w:val="28"/>
    </w:rPr>
  </w:style>
  <w:style w:type="paragraph" w:styleId="Titolo5">
    <w:name w:val="heading 5"/>
    <w:basedOn w:val="Normale"/>
    <w:next w:val="Normale"/>
    <w:link w:val="Titolo5Carattere"/>
    <w:uiPriority w:val="9"/>
    <w:semiHidden/>
    <w:unhideWhenUsed/>
    <w:qFormat/>
    <w:rsid w:val="00B14204"/>
    <w:pPr>
      <w:numPr>
        <w:ilvl w:val="4"/>
        <w:numId w:val="1"/>
      </w:numPr>
      <w:spacing w:before="240" w:after="60"/>
      <w:outlineLvl w:val="4"/>
    </w:pPr>
    <w:rPr>
      <w:rFonts w:ascii="Calibri" w:hAnsi="Calibri" w:cs="Times New Roman"/>
      <w:b/>
      <w:bCs/>
      <w:i/>
      <w:iCs/>
      <w:sz w:val="26"/>
      <w:szCs w:val="26"/>
    </w:rPr>
  </w:style>
  <w:style w:type="paragraph" w:styleId="Titolo6">
    <w:name w:val="heading 6"/>
    <w:basedOn w:val="Normale"/>
    <w:next w:val="Normale"/>
    <w:link w:val="Titolo6Carattere"/>
    <w:uiPriority w:val="9"/>
    <w:semiHidden/>
    <w:unhideWhenUsed/>
    <w:qFormat/>
    <w:rsid w:val="00B14204"/>
    <w:pPr>
      <w:numPr>
        <w:ilvl w:val="5"/>
        <w:numId w:val="1"/>
      </w:numPr>
      <w:spacing w:before="240" w:after="60"/>
      <w:outlineLvl w:val="5"/>
    </w:pPr>
    <w:rPr>
      <w:rFonts w:ascii="Calibri" w:hAnsi="Calibri" w:cs="Times New Roman"/>
      <w:b/>
      <w:bCs/>
      <w:sz w:val="22"/>
      <w:szCs w:val="22"/>
    </w:rPr>
  </w:style>
  <w:style w:type="paragraph" w:styleId="Titolo7">
    <w:name w:val="heading 7"/>
    <w:basedOn w:val="Normale"/>
    <w:next w:val="Normale"/>
    <w:link w:val="Titolo7Carattere"/>
    <w:uiPriority w:val="9"/>
    <w:semiHidden/>
    <w:unhideWhenUsed/>
    <w:qFormat/>
    <w:rsid w:val="00B14204"/>
    <w:pPr>
      <w:numPr>
        <w:ilvl w:val="6"/>
        <w:numId w:val="1"/>
      </w:numPr>
      <w:spacing w:before="240" w:after="60"/>
      <w:outlineLvl w:val="6"/>
    </w:pPr>
    <w:rPr>
      <w:rFonts w:ascii="Calibri" w:hAnsi="Calibri" w:cs="Times New Roman"/>
      <w:szCs w:val="24"/>
    </w:rPr>
  </w:style>
  <w:style w:type="paragraph" w:styleId="Titolo8">
    <w:name w:val="heading 8"/>
    <w:basedOn w:val="Normale"/>
    <w:next w:val="Normale"/>
    <w:link w:val="Titolo8Carattere"/>
    <w:uiPriority w:val="9"/>
    <w:semiHidden/>
    <w:unhideWhenUsed/>
    <w:qFormat/>
    <w:rsid w:val="00B14204"/>
    <w:pPr>
      <w:numPr>
        <w:ilvl w:val="7"/>
        <w:numId w:val="1"/>
      </w:numPr>
      <w:spacing w:before="240" w:after="60"/>
      <w:outlineLvl w:val="7"/>
    </w:pPr>
    <w:rPr>
      <w:rFonts w:ascii="Calibri" w:hAnsi="Calibri" w:cs="Times New Roman"/>
      <w:i/>
      <w:iCs/>
      <w:szCs w:val="24"/>
    </w:rPr>
  </w:style>
  <w:style w:type="paragraph" w:styleId="Titolo9">
    <w:name w:val="heading 9"/>
    <w:basedOn w:val="Normale"/>
    <w:next w:val="Normale"/>
    <w:link w:val="Titolo9Carattere"/>
    <w:uiPriority w:val="9"/>
    <w:semiHidden/>
    <w:unhideWhenUsed/>
    <w:qFormat/>
    <w:rsid w:val="00B14204"/>
    <w:pPr>
      <w:numPr>
        <w:ilvl w:val="8"/>
        <w:numId w:val="1"/>
      </w:numPr>
      <w:spacing w:before="240" w:after="60"/>
      <w:outlineLvl w:val="8"/>
    </w:pPr>
    <w:rPr>
      <w:rFonts w:ascii="Calibri Light" w:hAnsi="Calibri Light" w:cs="Times New Roman"/>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Deloittetable">
    <w:name w:val="Deloitte table"/>
    <w:basedOn w:val="Tabellanormale"/>
    <w:uiPriority w:val="99"/>
    <w:rsid w:val="00525B77"/>
    <w:pPr>
      <w:spacing w:line="240" w:lineRule="atLeast"/>
    </w:pPr>
    <w:rPr>
      <w:rFonts w:ascii="Verdana" w:hAnsi="Verdana"/>
      <w:sz w:val="17"/>
      <w:szCs w:val="18"/>
      <w:lang w:val="en-AU"/>
    </w:rPr>
    <w:tblPr>
      <w:tblBorders>
        <w:top w:val="single" w:sz="4" w:space="0" w:color="A5A5A5" w:themeColor="accent3"/>
        <w:bottom w:val="single" w:sz="4" w:space="0" w:color="000000" w:themeColor="text1"/>
        <w:insideH w:val="single" w:sz="4" w:space="0" w:color="000000" w:themeColor="text1"/>
      </w:tblBorders>
      <w:tblCellMar>
        <w:top w:w="57" w:type="dxa"/>
        <w:left w:w="0" w:type="dxa"/>
        <w:bottom w:w="57" w:type="dxa"/>
        <w:right w:w="0" w:type="dxa"/>
      </w:tblCellMar>
    </w:tblPr>
    <w:tblStylePr w:type="firstRow">
      <w:tblPr/>
      <w:tcPr>
        <w:tcBorders>
          <w:top w:val="single" w:sz="24" w:space="0" w:color="A5A5A5" w:themeColor="accent3"/>
        </w:tcBorders>
      </w:tcPr>
    </w:tblStylePr>
  </w:style>
  <w:style w:type="character" w:customStyle="1" w:styleId="Titolo1Carattere">
    <w:name w:val="Titolo 1 Carattere"/>
    <w:basedOn w:val="Carpredefinitoparagrafo"/>
    <w:link w:val="Titolo1"/>
    <w:uiPriority w:val="99"/>
    <w:rsid w:val="00B14204"/>
    <w:rPr>
      <w:rFonts w:ascii="Open Sans Light" w:eastAsia="Times New Roman" w:hAnsi="Open Sans Light" w:cs="Open Sans Light"/>
      <w:color w:val="000047"/>
      <w:sz w:val="40"/>
      <w:szCs w:val="40"/>
      <w:lang w:val="en-US" w:eastAsia="it-IT"/>
    </w:rPr>
  </w:style>
  <w:style w:type="character" w:customStyle="1" w:styleId="Titolo2Carattere">
    <w:name w:val="Titolo 2 Carattere"/>
    <w:basedOn w:val="Carpredefinitoparagrafo"/>
    <w:link w:val="Titolo2"/>
    <w:uiPriority w:val="9"/>
    <w:semiHidden/>
    <w:rsid w:val="00B14204"/>
    <w:rPr>
      <w:rFonts w:ascii="Calibri Light" w:eastAsia="Times New Roman" w:hAnsi="Calibri Light" w:cs="Times New Roman"/>
      <w:b/>
      <w:bCs/>
      <w:i/>
      <w:iCs/>
      <w:color w:val="000000"/>
      <w:sz w:val="28"/>
      <w:szCs w:val="28"/>
      <w:lang w:val="en-US" w:eastAsia="it-IT"/>
    </w:rPr>
  </w:style>
  <w:style w:type="character" w:customStyle="1" w:styleId="Titolo3Carattere">
    <w:name w:val="Titolo 3 Carattere"/>
    <w:basedOn w:val="Carpredefinitoparagrafo"/>
    <w:link w:val="Titolo3"/>
    <w:uiPriority w:val="9"/>
    <w:semiHidden/>
    <w:rsid w:val="00B14204"/>
    <w:rPr>
      <w:rFonts w:ascii="Calibri Light" w:eastAsia="Times New Roman" w:hAnsi="Calibri Light" w:cs="Times New Roman"/>
      <w:b/>
      <w:bCs/>
      <w:color w:val="000000"/>
      <w:sz w:val="26"/>
      <w:szCs w:val="26"/>
      <w:lang w:val="en-US" w:eastAsia="it-IT"/>
    </w:rPr>
  </w:style>
  <w:style w:type="character" w:customStyle="1" w:styleId="Titolo4Carattere">
    <w:name w:val="Titolo 4 Carattere"/>
    <w:basedOn w:val="Carpredefinitoparagrafo"/>
    <w:link w:val="Titolo4"/>
    <w:uiPriority w:val="9"/>
    <w:semiHidden/>
    <w:rsid w:val="00B14204"/>
    <w:rPr>
      <w:rFonts w:ascii="Calibri" w:eastAsia="Times New Roman" w:hAnsi="Calibri" w:cs="Times New Roman"/>
      <w:b/>
      <w:bCs/>
      <w:color w:val="000000"/>
      <w:sz w:val="28"/>
      <w:szCs w:val="28"/>
      <w:lang w:val="en-US" w:eastAsia="it-IT"/>
    </w:rPr>
  </w:style>
  <w:style w:type="character" w:customStyle="1" w:styleId="Titolo5Carattere">
    <w:name w:val="Titolo 5 Carattere"/>
    <w:basedOn w:val="Carpredefinitoparagrafo"/>
    <w:link w:val="Titolo5"/>
    <w:uiPriority w:val="9"/>
    <w:semiHidden/>
    <w:rsid w:val="00B14204"/>
    <w:rPr>
      <w:rFonts w:ascii="Calibri" w:eastAsia="Times New Roman" w:hAnsi="Calibri" w:cs="Times New Roman"/>
      <w:b/>
      <w:bCs/>
      <w:i/>
      <w:iCs/>
      <w:color w:val="000000"/>
      <w:sz w:val="26"/>
      <w:szCs w:val="26"/>
      <w:lang w:val="en-US" w:eastAsia="it-IT"/>
    </w:rPr>
  </w:style>
  <w:style w:type="character" w:customStyle="1" w:styleId="Titolo6Carattere">
    <w:name w:val="Titolo 6 Carattere"/>
    <w:basedOn w:val="Carpredefinitoparagrafo"/>
    <w:link w:val="Titolo6"/>
    <w:uiPriority w:val="9"/>
    <w:semiHidden/>
    <w:rsid w:val="00B14204"/>
    <w:rPr>
      <w:rFonts w:ascii="Calibri" w:eastAsia="Times New Roman" w:hAnsi="Calibri" w:cs="Times New Roman"/>
      <w:b/>
      <w:bCs/>
      <w:color w:val="000000"/>
      <w:sz w:val="22"/>
      <w:szCs w:val="22"/>
      <w:lang w:val="en-US" w:eastAsia="it-IT"/>
    </w:rPr>
  </w:style>
  <w:style w:type="character" w:customStyle="1" w:styleId="Titolo7Carattere">
    <w:name w:val="Titolo 7 Carattere"/>
    <w:basedOn w:val="Carpredefinitoparagrafo"/>
    <w:link w:val="Titolo7"/>
    <w:uiPriority w:val="9"/>
    <w:semiHidden/>
    <w:rsid w:val="00B14204"/>
    <w:rPr>
      <w:rFonts w:ascii="Calibri" w:eastAsia="Times New Roman" w:hAnsi="Calibri" w:cs="Times New Roman"/>
      <w:color w:val="000000"/>
      <w:lang w:val="en-US" w:eastAsia="it-IT"/>
    </w:rPr>
  </w:style>
  <w:style w:type="character" w:customStyle="1" w:styleId="Titolo8Carattere">
    <w:name w:val="Titolo 8 Carattere"/>
    <w:basedOn w:val="Carpredefinitoparagrafo"/>
    <w:link w:val="Titolo8"/>
    <w:uiPriority w:val="9"/>
    <w:semiHidden/>
    <w:rsid w:val="00B14204"/>
    <w:rPr>
      <w:rFonts w:ascii="Calibri" w:eastAsia="Times New Roman" w:hAnsi="Calibri" w:cs="Times New Roman"/>
      <w:i/>
      <w:iCs/>
      <w:color w:val="000000"/>
      <w:lang w:val="en-US" w:eastAsia="it-IT"/>
    </w:rPr>
  </w:style>
  <w:style w:type="character" w:customStyle="1" w:styleId="Titolo9Carattere">
    <w:name w:val="Titolo 9 Carattere"/>
    <w:basedOn w:val="Carpredefinitoparagrafo"/>
    <w:link w:val="Titolo9"/>
    <w:uiPriority w:val="9"/>
    <w:semiHidden/>
    <w:rsid w:val="00B14204"/>
    <w:rPr>
      <w:rFonts w:ascii="Calibri Light" w:eastAsia="Times New Roman" w:hAnsi="Calibri Light" w:cs="Times New Roman"/>
      <w:color w:val="000000"/>
      <w:sz w:val="22"/>
      <w:szCs w:val="22"/>
      <w:lang w:val="en-US" w:eastAsia="it-IT"/>
    </w:rPr>
  </w:style>
  <w:style w:type="paragraph" w:styleId="Titolo">
    <w:name w:val="Title"/>
    <w:basedOn w:val="Normale"/>
    <w:link w:val="TitoloCarattere"/>
    <w:uiPriority w:val="99"/>
    <w:qFormat/>
    <w:rsid w:val="00B14204"/>
    <w:pPr>
      <w:keepLines w:val="0"/>
      <w:spacing w:after="113" w:line="520" w:lineRule="atLeast"/>
    </w:pPr>
    <w:rPr>
      <w:rFonts w:ascii="Open Sans Extrabold" w:hAnsi="Open Sans Extrabold" w:cs="Open Sans Extrabold"/>
      <w:b/>
      <w:bCs/>
      <w:caps/>
      <w:color w:val="423154"/>
      <w:spacing w:val="80"/>
      <w:sz w:val="40"/>
      <w:szCs w:val="40"/>
    </w:rPr>
  </w:style>
  <w:style w:type="character" w:customStyle="1" w:styleId="TitoloCarattere">
    <w:name w:val="Titolo Carattere"/>
    <w:basedOn w:val="Carpredefinitoparagrafo"/>
    <w:link w:val="Titolo"/>
    <w:uiPriority w:val="99"/>
    <w:rsid w:val="00B14204"/>
    <w:rPr>
      <w:rFonts w:ascii="Open Sans Extrabold" w:eastAsia="Times New Roman" w:hAnsi="Open Sans Extrabold" w:cs="Open Sans Extrabold"/>
      <w:b/>
      <w:bCs/>
      <w:caps/>
      <w:color w:val="423154"/>
      <w:spacing w:val="80"/>
      <w:sz w:val="40"/>
      <w:szCs w:val="40"/>
      <w:lang w:val="en-US" w:eastAsia="it-IT"/>
    </w:rPr>
  </w:style>
  <w:style w:type="paragraph" w:styleId="Sottotitolo">
    <w:name w:val="Subtitle"/>
    <w:basedOn w:val="Titolo"/>
    <w:link w:val="SottotitoloCarattere"/>
    <w:uiPriority w:val="99"/>
    <w:qFormat/>
    <w:rsid w:val="00E81C9E"/>
    <w:pPr>
      <w:spacing w:after="400" w:line="480" w:lineRule="atLeast"/>
    </w:pPr>
    <w:rPr>
      <w:rFonts w:ascii="Open Sans Light" w:hAnsi="Open Sans Light" w:cs="Open Sans"/>
      <w:b w:val="0"/>
      <w:caps w:val="0"/>
      <w:spacing w:val="0"/>
    </w:rPr>
  </w:style>
  <w:style w:type="character" w:customStyle="1" w:styleId="SottotitoloCarattere">
    <w:name w:val="Sottotitolo Carattere"/>
    <w:basedOn w:val="Carpredefinitoparagrafo"/>
    <w:link w:val="Sottotitolo"/>
    <w:uiPriority w:val="99"/>
    <w:rsid w:val="00E81C9E"/>
    <w:rPr>
      <w:rFonts w:ascii="Open Sans Light" w:eastAsia="Times New Roman" w:hAnsi="Open Sans Light" w:cs="Open Sans"/>
      <w:bCs/>
      <w:color w:val="423154"/>
      <w:sz w:val="40"/>
      <w:szCs w:val="40"/>
      <w:lang w:val="en-US" w:eastAsia="it-IT"/>
    </w:rPr>
  </w:style>
  <w:style w:type="paragraph" w:customStyle="1" w:styleId="ListParagraph2">
    <w:name w:val="List Paragraph (+2)"/>
    <w:basedOn w:val="Normale"/>
    <w:uiPriority w:val="99"/>
    <w:rsid w:val="00B14204"/>
    <w:pPr>
      <w:numPr>
        <w:numId w:val="3"/>
      </w:numPr>
    </w:pPr>
  </w:style>
  <w:style w:type="paragraph" w:customStyle="1" w:styleId="ListParagraph0">
    <w:name w:val="List Paragraph (+0)"/>
    <w:basedOn w:val="ListParagraph2"/>
    <w:uiPriority w:val="99"/>
    <w:rsid w:val="00B14204"/>
    <w:pPr>
      <w:numPr>
        <w:numId w:val="2"/>
      </w:numPr>
      <w:ind w:left="1077" w:hanging="357"/>
      <w:contextualSpacing/>
    </w:pPr>
  </w:style>
  <w:style w:type="paragraph" w:customStyle="1" w:styleId="Paragrafobase">
    <w:name w:val="[Paragrafo base]"/>
    <w:basedOn w:val="Normale"/>
    <w:uiPriority w:val="99"/>
    <w:rsid w:val="00B14204"/>
    <w:rPr>
      <w:sz w:val="20"/>
    </w:rPr>
  </w:style>
  <w:style w:type="paragraph" w:customStyle="1" w:styleId="PullQuoteText">
    <w:name w:val="Pull Quote Text"/>
    <w:basedOn w:val="Normale"/>
    <w:uiPriority w:val="99"/>
    <w:rsid w:val="00BE4E7C"/>
    <w:pPr>
      <w:spacing w:after="0"/>
      <w:ind w:left="567" w:right="567"/>
      <w:jc w:val="center"/>
    </w:pPr>
    <w:rPr>
      <w:rFonts w:ascii="Montserrat" w:hAnsi="Montserrat" w:cs="Gotham"/>
      <w:color w:val="413153"/>
      <w:sz w:val="32"/>
      <w:szCs w:val="32"/>
    </w:rPr>
  </w:style>
  <w:style w:type="paragraph" w:customStyle="1" w:styleId="CaseStudyHeading2">
    <w:name w:val="Case Study Heading 2"/>
    <w:basedOn w:val="Normale"/>
    <w:uiPriority w:val="99"/>
    <w:rsid w:val="00B14204"/>
    <w:pPr>
      <w:spacing w:after="227" w:line="380" w:lineRule="atLeast"/>
    </w:pPr>
    <w:rPr>
      <w:rFonts w:ascii="Open Sans Light" w:hAnsi="Open Sans Light" w:cs="Open Sans Light"/>
      <w:color w:val="000047"/>
      <w:sz w:val="36"/>
      <w:szCs w:val="36"/>
    </w:rPr>
  </w:style>
  <w:style w:type="paragraph" w:styleId="Testonotadichiusura">
    <w:name w:val="endnote text"/>
    <w:basedOn w:val="Normale"/>
    <w:link w:val="TestonotadichiusuraCarattere"/>
    <w:uiPriority w:val="99"/>
    <w:rsid w:val="00B14204"/>
    <w:pPr>
      <w:spacing w:after="0"/>
      <w:ind w:left="397" w:hanging="397"/>
    </w:pPr>
    <w:rPr>
      <w:color w:val="auto"/>
      <w:sz w:val="20"/>
      <w:szCs w:val="14"/>
    </w:rPr>
  </w:style>
  <w:style w:type="character" w:customStyle="1" w:styleId="TestonotadichiusuraCarattere">
    <w:name w:val="Testo nota di chiusura Carattere"/>
    <w:basedOn w:val="Carpredefinitoparagrafo"/>
    <w:link w:val="Testonotadichiusura"/>
    <w:uiPriority w:val="99"/>
    <w:rsid w:val="00B14204"/>
    <w:rPr>
      <w:rFonts w:ascii="Open Sans" w:eastAsia="Times New Roman" w:hAnsi="Open Sans" w:cs="Open Sans"/>
      <w:sz w:val="20"/>
      <w:szCs w:val="14"/>
      <w:lang w:val="en-US" w:eastAsia="it-IT"/>
    </w:rPr>
  </w:style>
  <w:style w:type="character" w:styleId="Rimandonotadichiusura">
    <w:name w:val="endnote reference"/>
    <w:uiPriority w:val="99"/>
    <w:rsid w:val="00B14204"/>
    <w:rPr>
      <w:rFonts w:ascii="Open Sans" w:hAnsi="Open Sans" w:cs="Open Sans"/>
      <w:color w:val="000000"/>
      <w:w w:val="100"/>
      <w:sz w:val="20"/>
      <w:vertAlign w:val="superscript"/>
    </w:rPr>
  </w:style>
  <w:style w:type="character" w:customStyle="1" w:styleId="Bold">
    <w:name w:val="Bold"/>
    <w:uiPriority w:val="99"/>
    <w:rsid w:val="00B14204"/>
    <w:rPr>
      <w:rFonts w:ascii="Open Sans" w:hAnsi="Open Sans"/>
      <w:b/>
    </w:rPr>
  </w:style>
  <w:style w:type="character" w:styleId="Enfasicorsivo">
    <w:name w:val="Emphasis"/>
    <w:uiPriority w:val="99"/>
    <w:qFormat/>
    <w:rsid w:val="00324F96"/>
    <w:rPr>
      <w:rFonts w:ascii="Open Sans" w:hAnsi="Open Sans" w:cs="Open Sans"/>
      <w:i/>
      <w:iCs/>
      <w:color w:val="auto"/>
      <w:w w:val="100"/>
      <w:sz w:val="20"/>
    </w:rPr>
  </w:style>
  <w:style w:type="character" w:customStyle="1" w:styleId="HyperlinkBluRegular">
    <w:name w:val="Hyperlink Blu Regular"/>
    <w:uiPriority w:val="99"/>
    <w:rsid w:val="00F823C7"/>
    <w:rPr>
      <w:rFonts w:ascii="Open Sans" w:hAnsi="Open Sans"/>
      <w:color w:val="0063A6"/>
      <w:w w:val="100"/>
      <w:u w:val="none"/>
    </w:rPr>
  </w:style>
  <w:style w:type="paragraph" w:styleId="Intestazione">
    <w:name w:val="header"/>
    <w:basedOn w:val="Normale"/>
    <w:link w:val="IntestazioneCarattere"/>
    <w:uiPriority w:val="99"/>
    <w:unhideWhenUsed/>
    <w:rsid w:val="00B14204"/>
    <w:pPr>
      <w:tabs>
        <w:tab w:val="center" w:pos="4819"/>
        <w:tab w:val="right" w:pos="9638"/>
      </w:tabs>
      <w:spacing w:after="0"/>
      <w:jc w:val="right"/>
    </w:pPr>
    <w:rPr>
      <w:sz w:val="20"/>
    </w:rPr>
  </w:style>
  <w:style w:type="character" w:customStyle="1" w:styleId="IntestazioneCarattere">
    <w:name w:val="Intestazione Carattere"/>
    <w:basedOn w:val="Carpredefinitoparagrafo"/>
    <w:link w:val="Intestazione"/>
    <w:uiPriority w:val="99"/>
    <w:rsid w:val="00B14204"/>
    <w:rPr>
      <w:rFonts w:ascii="Open Sans" w:eastAsia="Times New Roman" w:hAnsi="Open Sans" w:cs="Open Sans"/>
      <w:color w:val="000000"/>
      <w:sz w:val="20"/>
      <w:szCs w:val="20"/>
      <w:lang w:val="en-US" w:eastAsia="it-IT"/>
    </w:rPr>
  </w:style>
  <w:style w:type="paragraph" w:styleId="Pidipagina">
    <w:name w:val="footer"/>
    <w:basedOn w:val="Normale"/>
    <w:link w:val="PidipaginaCarattere"/>
    <w:uiPriority w:val="99"/>
    <w:unhideWhenUsed/>
    <w:rsid w:val="00B14204"/>
    <w:pPr>
      <w:tabs>
        <w:tab w:val="center" w:pos="4819"/>
        <w:tab w:val="right" w:pos="9638"/>
      </w:tabs>
    </w:pPr>
  </w:style>
  <w:style w:type="character" w:customStyle="1" w:styleId="PidipaginaCarattere">
    <w:name w:val="Piè di pagina Carattere"/>
    <w:basedOn w:val="Carpredefinitoparagrafo"/>
    <w:link w:val="Pidipagina"/>
    <w:uiPriority w:val="99"/>
    <w:rsid w:val="00B14204"/>
    <w:rPr>
      <w:rFonts w:ascii="Open Sans" w:eastAsia="Times New Roman" w:hAnsi="Open Sans" w:cs="Open Sans"/>
      <w:color w:val="000000"/>
      <w:szCs w:val="20"/>
      <w:lang w:val="en-US" w:eastAsia="it-IT"/>
    </w:rPr>
  </w:style>
  <w:style w:type="character" w:styleId="Enfasigrassetto">
    <w:name w:val="Strong"/>
    <w:uiPriority w:val="99"/>
    <w:qFormat/>
    <w:rsid w:val="00B14204"/>
    <w:rPr>
      <w:b/>
      <w:bCs/>
    </w:rPr>
  </w:style>
  <w:style w:type="character" w:styleId="Numeropagina">
    <w:name w:val="page number"/>
    <w:uiPriority w:val="99"/>
    <w:semiHidden/>
    <w:unhideWhenUsed/>
    <w:rsid w:val="00B14204"/>
    <w:rPr>
      <w:rFonts w:ascii="Open Sans" w:hAnsi="Open Sans"/>
      <w:b w:val="0"/>
      <w:i w:val="0"/>
      <w:sz w:val="20"/>
    </w:rPr>
  </w:style>
  <w:style w:type="table" w:styleId="Grigliatabella">
    <w:name w:val="Table Grid"/>
    <w:basedOn w:val="Tabellanormale"/>
    <w:uiPriority w:val="39"/>
    <w:rsid w:val="00472536"/>
    <w:rPr>
      <w:rFonts w:eastAsiaTheme="minorEastAsia" w:cs="Times New Roman"/>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Text">
    <w:name w:val="Copyright Text"/>
    <w:basedOn w:val="Normale"/>
    <w:uiPriority w:val="99"/>
    <w:rsid w:val="00324F96"/>
    <w:pPr>
      <w:keepLines w:val="0"/>
      <w:tabs>
        <w:tab w:val="left" w:pos="567"/>
      </w:tabs>
    </w:pPr>
    <w:rPr>
      <w:rFonts w:eastAsiaTheme="minorEastAsia"/>
      <w:color w:val="auto"/>
      <w:sz w:val="20"/>
      <w:u w:color="000000"/>
      <w:lang w:val="en-AU"/>
    </w:rPr>
  </w:style>
  <w:style w:type="paragraph" w:customStyle="1" w:styleId="CopyrightTextBullets">
    <w:name w:val="Copyright Text Bullets"/>
    <w:basedOn w:val="CopyrightText"/>
    <w:uiPriority w:val="99"/>
    <w:rsid w:val="00324F96"/>
    <w:pPr>
      <w:numPr>
        <w:numId w:val="4"/>
      </w:numPr>
      <w:ind w:left="1003" w:hanging="357"/>
      <w:contextualSpacing/>
    </w:pPr>
  </w:style>
  <w:style w:type="character" w:styleId="Enfasidelicata">
    <w:name w:val="Subtle Emphasis"/>
    <w:basedOn w:val="Carpredefinitoparagrafo"/>
    <w:uiPriority w:val="19"/>
    <w:qFormat/>
    <w:rsid w:val="00324F96"/>
    <w:rPr>
      <w:i/>
      <w:iCs/>
      <w:color w:val="404040" w:themeColor="text1" w:themeTint="BF"/>
    </w:rPr>
  </w:style>
  <w:style w:type="character" w:styleId="Rimandocommento">
    <w:name w:val="annotation reference"/>
    <w:basedOn w:val="Carpredefinitoparagrafo"/>
    <w:uiPriority w:val="99"/>
    <w:semiHidden/>
    <w:unhideWhenUsed/>
    <w:rsid w:val="00AE672E"/>
    <w:rPr>
      <w:sz w:val="16"/>
      <w:szCs w:val="16"/>
    </w:rPr>
  </w:style>
  <w:style w:type="paragraph" w:styleId="Testocommento">
    <w:name w:val="annotation text"/>
    <w:basedOn w:val="Normale"/>
    <w:link w:val="TestocommentoCarattere"/>
    <w:uiPriority w:val="99"/>
    <w:semiHidden/>
    <w:unhideWhenUsed/>
    <w:rsid w:val="00AE672E"/>
    <w:pPr>
      <w:spacing w:line="240" w:lineRule="auto"/>
    </w:pPr>
    <w:rPr>
      <w:sz w:val="20"/>
    </w:rPr>
  </w:style>
  <w:style w:type="character" w:customStyle="1" w:styleId="TestocommentoCarattere">
    <w:name w:val="Testo commento Carattere"/>
    <w:basedOn w:val="Carpredefinitoparagrafo"/>
    <w:link w:val="Testocommento"/>
    <w:uiPriority w:val="99"/>
    <w:semiHidden/>
    <w:rsid w:val="00AE672E"/>
    <w:rPr>
      <w:rFonts w:ascii="Open Sans" w:eastAsia="Times New Roman" w:hAnsi="Open Sans" w:cs="Open Sans"/>
      <w:color w:val="000000"/>
      <w:sz w:val="20"/>
      <w:szCs w:val="20"/>
      <w:lang w:val="en-US" w:eastAsia="it-IT"/>
    </w:rPr>
  </w:style>
  <w:style w:type="paragraph" w:styleId="Soggettocommento">
    <w:name w:val="annotation subject"/>
    <w:basedOn w:val="Testocommento"/>
    <w:next w:val="Testocommento"/>
    <w:link w:val="SoggettocommentoCarattere"/>
    <w:uiPriority w:val="99"/>
    <w:semiHidden/>
    <w:unhideWhenUsed/>
    <w:rsid w:val="00AE672E"/>
    <w:rPr>
      <w:b/>
      <w:bCs/>
    </w:rPr>
  </w:style>
  <w:style w:type="character" w:customStyle="1" w:styleId="SoggettocommentoCarattere">
    <w:name w:val="Soggetto commento Carattere"/>
    <w:basedOn w:val="TestocommentoCarattere"/>
    <w:link w:val="Soggettocommento"/>
    <w:uiPriority w:val="99"/>
    <w:semiHidden/>
    <w:rsid w:val="00AE672E"/>
    <w:rPr>
      <w:rFonts w:ascii="Open Sans" w:eastAsia="Times New Roman" w:hAnsi="Open Sans" w:cs="Open Sans"/>
      <w:b/>
      <w:bCs/>
      <w:color w:val="000000"/>
      <w:sz w:val="20"/>
      <w:szCs w:val="20"/>
      <w:lang w:val="en-US" w:eastAsia="it-IT"/>
    </w:rPr>
  </w:style>
  <w:style w:type="character" w:styleId="Collegamentoipertestuale">
    <w:name w:val="Hyperlink"/>
    <w:basedOn w:val="Carpredefinitoparagrafo"/>
    <w:uiPriority w:val="99"/>
    <w:unhideWhenUsed/>
    <w:rsid w:val="00AC034A"/>
    <w:rPr>
      <w:rFonts w:ascii="Open Sans" w:hAnsi="Open Sans"/>
      <w:b w:val="0"/>
      <w:i w:val="0"/>
      <w:color w:val="0563C1" w:themeColor="hyperlink"/>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footer" Target="footer2.xml"/><Relationship Id="rId26" Type="http://schemas.openxmlformats.org/officeDocument/2006/relationships/customXml" Target="../customXml/item7.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oter" Target="footer1.xml"/><Relationship Id="rId25" Type="http://schemas.openxmlformats.org/officeDocument/2006/relationships/customXml" Target="../customXml/item6.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hyperlink" Target="https://www.includeability.gov.au/" TargetMode="External"/><Relationship Id="rId23" Type="http://schemas.openxmlformats.org/officeDocument/2006/relationships/customXml" Target="../customXml/item4.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customXml" Target="../customXml/item3.xml"/></Relationships>
</file>

<file path=word/_rels/endnotes.xml.rels><?xml version="1.0" encoding="UTF-8" standalone="yes"?>
<Relationships xmlns="http://schemas.openxmlformats.org/package/2006/relationships"><Relationship Id="rId8" Type="http://schemas.openxmlformats.org/officeDocument/2006/relationships/hyperlink" Target="https://www.aihw.gov.au/getmedia/7005c061-1c6e-490c-90c2-f2dd2773eb89/aihw-dis-77.pdf.aspx?inline=tr" TargetMode="External"/><Relationship Id="rId13" Type="http://schemas.openxmlformats.org/officeDocument/2006/relationships/hyperlink" Target="https://www.aihw.gov.au/reports/disability/people-with-disability-in-australia/contents/employment/employment-rate-and-type" TargetMode="External"/><Relationship Id="rId18" Type="http://schemas.openxmlformats.org/officeDocument/2006/relationships/hyperlink" Target="https://www.humanrights.gov.au/our-work/age-discrimination/projects/willing-work-national-inquiry-employment-discrimination" TargetMode="External"/><Relationship Id="rId3" Type="http://schemas.openxmlformats.org/officeDocument/2006/relationships/hyperlink" Target="https://www.aihw.gov.au/getmedia/7005c061-1c6e-490c-90c2-f2dd2773eb89/aihw-dis-77.pdf.aspx?inline=tr" TargetMode="External"/><Relationship Id="rId21" Type="http://schemas.openxmlformats.org/officeDocument/2006/relationships/hyperlink" Target="https://www.humanrights.gov.au/our-work/age-discrimination/projects/willing-work-national-inquiry-employment-discrimination" TargetMode="External"/><Relationship Id="rId7" Type="http://schemas.openxmlformats.org/officeDocument/2006/relationships/hyperlink" Target="https://www.aihw.gov.au/reports/disability/people-with-disability-in-australia/contents/education-and-skills/educational-attainment" TargetMode="External"/><Relationship Id="rId12" Type="http://schemas.openxmlformats.org/officeDocument/2006/relationships/hyperlink" Target="https://www.aihw.gov.au/reports/disability/people-with-disability-in-australia/contents/education-and-skills/educational-attainment" TargetMode="External"/><Relationship Id="rId17" Type="http://schemas.openxmlformats.org/officeDocument/2006/relationships/hyperlink" Target="https://humanrights.gov.au/our-work/disability-rights/willing-work-terms-reference-inquiry" TargetMode="External"/><Relationship Id="rId2" Type="http://schemas.openxmlformats.org/officeDocument/2006/relationships/hyperlink" Target="https://www.acoss.org.au/wp-content/uploads/2018/10/ACOSS_Poverty-in-Australia-Report_Web-Final.pdf" TargetMode="External"/><Relationship Id="rId16" Type="http://schemas.openxmlformats.org/officeDocument/2006/relationships/hyperlink" Target="https://humanrights.gov.au/sites/default/files/2020-10/AHRC_AR_2019-20_Complaint_Stats_FINAL.pdf" TargetMode="External"/><Relationship Id="rId20" Type="http://schemas.openxmlformats.org/officeDocument/2006/relationships/hyperlink" Target="https://www.humanrights.gov.au/our-work/age-discrimination/projects/willing-work-national-inquiry-employment-discrimination" TargetMode="External"/><Relationship Id="rId1" Type="http://schemas.openxmlformats.org/officeDocument/2006/relationships/hyperlink" Target="https://www.acoss.org.au/wp-content/uploads/2018/10/ACOSS_Poverty-in-Australia-Report_Web-Final.pdf" TargetMode="External"/><Relationship Id="rId6" Type="http://schemas.openxmlformats.org/officeDocument/2006/relationships/hyperlink" Target="https://www.aihw.gov.au/reports/disability/people-with-disability-in-australia/contents/education-and-skills/educational-attainment" TargetMode="External"/><Relationship Id="rId11" Type="http://schemas.openxmlformats.org/officeDocument/2006/relationships/hyperlink" Target="https://www.aihw.gov.au/reports/disability/people-with-disability-in-australia/contents/employment/labour-force-participation" TargetMode="External"/><Relationship Id="rId5" Type="http://schemas.openxmlformats.org/officeDocument/2006/relationships/hyperlink" Target="https://www.aihw.gov.au/reports/disability/people-with-disability-in-australia/contents/education-and-skills/educational-attainment" TargetMode="External"/><Relationship Id="rId15" Type="http://schemas.openxmlformats.org/officeDocument/2006/relationships/hyperlink" Target="https://humanrights.gov.au/sites/default/files/2020-10/AHRC_AR_2019-20_Complaint_Stats_FINAL.pdf" TargetMode="External"/><Relationship Id="rId10" Type="http://schemas.openxmlformats.org/officeDocument/2006/relationships/hyperlink" Target="https://www.adcet.edu.au/inclusive-teaching/understanding-disability/higher-education-statistics" TargetMode="External"/><Relationship Id="rId19" Type="http://schemas.openxmlformats.org/officeDocument/2006/relationships/hyperlink" Target="https://www.humanrights.gov.au/our-work/age-discrimination/projects/willing-work-national-inquiry-employment-discrimination" TargetMode="External"/><Relationship Id="rId4" Type="http://schemas.openxmlformats.org/officeDocument/2006/relationships/hyperlink" Target="https://www.aihw.gov.au/reports/disability/people-with-disability-in-australia/contents/education-and-skills/educational-attainment" TargetMode="External"/><Relationship Id="rId9" Type="http://schemas.openxmlformats.org/officeDocument/2006/relationships/hyperlink" Target="https://www.adcet.edu.au/inclusive-teaching/understanding-disability/higher-education-statistics" TargetMode="External"/><Relationship Id="rId14" Type="http://schemas.openxmlformats.org/officeDocument/2006/relationships/hyperlink" Target="https://humanrights.gov.au/sites/default/files/2020-10/AHRC_AR_2019-20_Complaint_Stats_FINAL.pdf" TargetMode="External"/><Relationship Id="rId22" Type="http://schemas.openxmlformats.org/officeDocument/2006/relationships/hyperlink" Target="https://www.humanrights.gov.au/our-work/age-discrimination/projects/willing-work-national-inquiry-employment-discrimination"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BF9BCE703BAF44CBCFAFA1D85771A1F" ma:contentTypeVersion="1728" ma:contentTypeDescription="Create a new document." ma:contentTypeScope="" ma:versionID="29d0bec405e1e046c1e0d0f6509201ea">
  <xsd:schema xmlns:xsd="http://www.w3.org/2001/XMLSchema" xmlns:xs="http://www.w3.org/2001/XMLSchema" xmlns:p="http://schemas.microsoft.com/office/2006/metadata/properties" xmlns:ns2="6500fe01-343b-4fb9-a1b0-68ac19d62e01" xmlns:ns3="f38bc97f-71db-45c8-93e4-332747d752e1" xmlns:ns4="4d4c9e61-66a8-4e83-a6ce-9b84a95d8b05" targetNamespace="http://schemas.microsoft.com/office/2006/metadata/properties" ma:root="true" ma:fieldsID="a3f2365c98778fc19e98923508244976" ns2:_="" ns3:_="" ns4:_="">
    <xsd:import namespace="6500fe01-343b-4fb9-a1b0-68ac19d62e01"/>
    <xsd:import namespace="f38bc97f-71db-45c8-93e4-332747d752e1"/>
    <xsd:import namespace="4d4c9e61-66a8-4e83-a6ce-9b84a95d8b05"/>
    <xsd:element name="properties">
      <xsd:complexType>
        <xsd:sequence>
          <xsd:element name="documentManagement">
            <xsd:complexType>
              <xsd:all>
                <xsd:element ref="ns2:TaxKeywordTaxHTField" minOccurs="0"/>
                <xsd:element ref="ns2:TaxCatchAll" minOccurs="0"/>
                <xsd:element ref="ns2:TaxCatchAllLabel" minOccurs="0"/>
                <xsd:element ref="ns2:_dlc_DocId" minOccurs="0"/>
                <xsd:element ref="ns2:_dlc_DocIdUrl" minOccurs="0"/>
                <xsd:element ref="ns2:_dlc_DocIdPersistId" minOccurs="0"/>
                <xsd:element ref="ns3:fbe8333e833142b1aa4e528d7d71931d" minOccurs="0"/>
                <xsd:element ref="ns3:From1" minOccurs="0"/>
                <xsd:element ref="ns3:Has_x0020_Attachments" minOccurs="0"/>
                <xsd:element ref="ns3:Received_x002f_Sent" minOccurs="0"/>
                <xsd:element ref="ns3:To" minOccurs="0"/>
                <xsd:element ref="ns3:Download" minOccurs="0"/>
                <xsd:element ref="ns3:Open_x0020_in_x0020_Outlook"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3:SharedWithUsers" minOccurs="0"/>
                <xsd:element ref="ns3:SharedWithDetail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0fe01-343b-4fb9-a1b0-68ac19d62e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975c5ac6-a0cc-43ed-b850-4a2ae5923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4abab14b-d755-459c-8f5c-ac356589ffea}" ma:internalName="TaxCatchAll" ma:showField="CatchAllData" ma:web="f38bc97f-71db-45c8-93e4-332747d752e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abab14b-d755-459c-8f5c-ac356589ffea}" ma:internalName="TaxCatchAllLabel" ma:readOnly="true" ma:showField="CatchAllDataLabel" ma:web="f38bc97f-71db-45c8-93e4-332747d752e1">
      <xsd:complexType>
        <xsd:complexContent>
          <xsd:extension base="dms:MultiChoiceLookup">
            <xsd:sequence>
              <xsd:element name="Value" type="dms:Lookup" maxOccurs="unbounded" minOccurs="0" nillable="true"/>
            </xsd:sequence>
          </xsd:extension>
        </xsd:complexContent>
      </xsd:complexType>
    </xsd:element>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38bc97f-71db-45c8-93e4-332747d752e1" elementFormDefault="qualified">
    <xsd:import namespace="http://schemas.microsoft.com/office/2006/documentManagement/types"/>
    <xsd:import namespace="http://schemas.microsoft.com/office/infopath/2007/PartnerControls"/>
    <xsd:element name="fbe8333e833142b1aa4e528d7d71931d" ma:index="17" nillable="true" ma:taxonomy="true" ma:internalName="fbe8333e833142b1aa4e528d7d71931d" ma:taxonomyFieldName="Document_x0020_Type" ma:displayName="Document Type" ma:indexed="true" ma:default="" ma:fieldId="{fbe8333e-8331-42b1-aa4e-528d7d71931d}" ma:sspId="975c5ac6-a0cc-43ed-b850-4a2ae59237b6" ma:termSetId="06f72989-bf1e-40b3-b4de-fd0ca0e5cdad" ma:anchorId="00000000-0000-0000-0000-000000000000" ma:open="false" ma:isKeyword="false">
      <xsd:complexType>
        <xsd:sequence>
          <xsd:element ref="pc:Terms" minOccurs="0" maxOccurs="1"/>
        </xsd:sequence>
      </xsd:complexType>
    </xsd:element>
    <xsd:element name="From1" ma:index="18" nillable="true" ma:displayName="From" ma:hidden="true" ma:indexed="true" ma:internalName="From1" ma:readOnly="false">
      <xsd:simpleType>
        <xsd:restriction base="dms:Text">
          <xsd:maxLength value="255"/>
        </xsd:restriction>
      </xsd:simpleType>
    </xsd:element>
    <xsd:element name="Has_x0020_Attachments" ma:index="19" nillable="true" ma:displayName="Has Attachments" ma:hidden="true" ma:indexed="true" ma:internalName="Has_x0020_Attachments" ma:readOnly="false">
      <xsd:simpleType>
        <xsd:restriction base="dms:Text">
          <xsd:maxLength value="255"/>
        </xsd:restriction>
      </xsd:simpleType>
    </xsd:element>
    <xsd:element name="Received_x002f_Sent" ma:index="20" nillable="true" ma:displayName="Received/Sent" ma:format="DateOnly" ma:hidden="true" ma:indexed="true" ma:internalName="Received_x002F_Sent" ma:readOnly="false">
      <xsd:simpleType>
        <xsd:restriction base="dms:DateTime"/>
      </xsd:simpleType>
    </xsd:element>
    <xsd:element name="To" ma:index="21" nillable="true" ma:displayName="To" ma:hidden="true" ma:indexed="true" ma:internalName="To" ma:readOnly="false">
      <xsd:simpleType>
        <xsd:restriction base="dms:Text">
          <xsd:maxLength value="255"/>
        </xsd:restriction>
      </xsd:simpleType>
    </xsd:element>
    <xsd:element name="Download" ma:index="22" nillable="true" ma:displayName="Download" ma:hidden="true" ma:indexed="true" ma:internalName="Download" ma:readOnly="false">
      <xsd:simpleType>
        <xsd:restriction base="dms:Text">
          <xsd:maxLength value="255"/>
        </xsd:restriction>
      </xsd:simpleType>
    </xsd:element>
    <xsd:element name="Open_x0020_in_x0020_Outlook" ma:index="23" nillable="true" ma:displayName="Open in Outlook" ma:hidden="true" ma:indexed="true" ma:internalName="Open_x0020_in_x0020_Outlook" ma:readOnly="false">
      <xsd:simpleType>
        <xsd:restriction base="dms:Text">
          <xsd:maxLength value="255"/>
        </xsd:restriction>
      </xsd:simple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4c9e61-66a8-4e83-a6ce-9b84a95d8b05"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DateTaken" ma:index="28" nillable="true" ma:displayName="MediaServiceDateTaken" ma:hidden="true" ma:internalName="MediaServiceDateTaken" ma:readOnly="true">
      <xsd:simpleType>
        <xsd:restriction base="dms:Text"/>
      </xsd:simpleType>
    </xsd:element>
    <xsd:element name="MediaServiceAutoTags" ma:index="29" nillable="true" ma:displayName="Tags" ma:internalName="MediaServiceAutoTags" ma:readOnly="true">
      <xsd:simpleType>
        <xsd:restriction base="dms:Text"/>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LengthInSeconds" ma:index="35"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haredContentType xmlns="Microsoft.SharePoint.Taxonomy.ContentTypeSync" SourceId="975c5ac6-a0cc-43ed-b850-4a2ae59237b6" ContentTypeId="0x0101"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fbe8333e833142b1aa4e528d7d71931d xmlns="f38bc97f-71db-45c8-93e4-332747d752e1">
      <Terms xmlns="http://schemas.microsoft.com/office/infopath/2007/PartnerControls"/>
    </fbe8333e833142b1aa4e528d7d71931d>
    <To xmlns="f38bc97f-71db-45c8-93e4-332747d752e1" xsi:nil="true"/>
    <TaxCatchAll xmlns="6500fe01-343b-4fb9-a1b0-68ac19d62e01"/>
    <Has_x0020_Attachments xmlns="f38bc97f-71db-45c8-93e4-332747d752e1" xsi:nil="true"/>
    <TaxKeywordTaxHTField xmlns="6500fe01-343b-4fb9-a1b0-68ac19d62e01">
      <Terms xmlns="http://schemas.microsoft.com/office/infopath/2007/PartnerControls"/>
    </TaxKeywordTaxHTField>
    <Download xmlns="f38bc97f-71db-45c8-93e4-332747d752e1" xsi:nil="true"/>
    <Received_x002f_Sent xmlns="f38bc97f-71db-45c8-93e4-332747d752e1" xsi:nil="true"/>
    <Open_x0020_in_x0020_Outlook xmlns="f38bc97f-71db-45c8-93e4-332747d752e1" xsi:nil="true"/>
    <From1 xmlns="f38bc97f-71db-45c8-93e4-332747d752e1" xsi:nil="true"/>
    <_dlc_DocId xmlns="6500fe01-343b-4fb9-a1b0-68ac19d62e01">DGE6U7RJ2EFV-655893732-2436</_dlc_DocId>
    <_dlc_DocIdUrl xmlns="6500fe01-343b-4fb9-a1b0-68ac19d62e01">
      <Url>https://australianhrc.sharepoint.com/sites/PolicyExternalProjects/_layouts/15/DocIdRedir.aspx?ID=DGE6U7RJ2EFV-655893732-2436</Url>
      <Description>DGE6U7RJ2EFV-655893732-2436</Description>
    </_dlc_DocIdUrl>
  </documentManagement>
</p:properties>
</file>

<file path=customXml/itemProps1.xml><?xml version="1.0" encoding="utf-8"?>
<ds:datastoreItem xmlns:ds="http://schemas.openxmlformats.org/officeDocument/2006/customXml" ds:itemID="{FC249380-04C5-8B4A-9224-56FD174E9166}">
  <ds:schemaRefs>
    <ds:schemaRef ds:uri="http://schemas.openxmlformats.org/officeDocument/2006/bibliography"/>
  </ds:schemaRefs>
</ds:datastoreItem>
</file>

<file path=customXml/itemProps2.xml><?xml version="1.0" encoding="utf-8"?>
<ds:datastoreItem xmlns:ds="http://schemas.openxmlformats.org/officeDocument/2006/customXml" ds:itemID="{ECE37F31-0901-43BB-8994-B8CF0880CF79}"/>
</file>

<file path=customXml/itemProps3.xml><?xml version="1.0" encoding="utf-8"?>
<ds:datastoreItem xmlns:ds="http://schemas.openxmlformats.org/officeDocument/2006/customXml" ds:itemID="{F6E05D2D-72A4-461B-8FC3-11ACD829818D}"/>
</file>

<file path=customXml/itemProps4.xml><?xml version="1.0" encoding="utf-8"?>
<ds:datastoreItem xmlns:ds="http://schemas.openxmlformats.org/officeDocument/2006/customXml" ds:itemID="{2EEE4C4C-7B5C-4793-A4F9-8CD72FF93660}"/>
</file>

<file path=customXml/itemProps5.xml><?xml version="1.0" encoding="utf-8"?>
<ds:datastoreItem xmlns:ds="http://schemas.openxmlformats.org/officeDocument/2006/customXml" ds:itemID="{791B25F2-4D8D-4EB5-84AA-81F5041FF2B3}"/>
</file>

<file path=customXml/itemProps6.xml><?xml version="1.0" encoding="utf-8"?>
<ds:datastoreItem xmlns:ds="http://schemas.openxmlformats.org/officeDocument/2006/customXml" ds:itemID="{C5DD4759-0532-41CE-BF7F-099E10976763}"/>
</file>

<file path=customXml/itemProps7.xml><?xml version="1.0" encoding="utf-8"?>
<ds:datastoreItem xmlns:ds="http://schemas.openxmlformats.org/officeDocument/2006/customXml" ds:itemID="{5F3C72D8-4F84-4800-A5E5-1740B7AE11D8}"/>
</file>

<file path=docProps/app.xml><?xml version="1.0" encoding="utf-8"?>
<Properties xmlns="http://schemas.openxmlformats.org/officeDocument/2006/extended-properties" xmlns:vt="http://schemas.openxmlformats.org/officeDocument/2006/docPropsVTypes">
  <Template>Normal.dotm</Template>
  <TotalTime>61</TotalTime>
  <Pages>12</Pages>
  <Words>907</Words>
  <Characters>5172</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IncludeAbility Factsheet Disability and employment in Australia</vt:lpstr>
    </vt:vector>
  </TitlesOfParts>
  <Manager/>
  <Company/>
  <LinksUpToDate>false</LinksUpToDate>
  <CharactersWithSpaces>6067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IncludeAbility Factsheet Disability and employment in Australia</dc:title>
  <dc:subject/>
  <dc:creator>Australian Human Rights Commission</dc:creator>
  <cp:keywords/>
  <dc:description/>
  <cp:lastModifiedBy>Jo Stocovaz</cp:lastModifiedBy>
  <cp:revision>15</cp:revision>
  <dcterms:created xsi:type="dcterms:W3CDTF">2021-07-23T08:36:00Z</dcterms:created>
  <dcterms:modified xsi:type="dcterms:W3CDTF">2021-07-28T05:34:00Z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0x0101004BF9BCE703BAF44CBCFAFA1D85771A1F</vt:lpwstr>
  </property>
  <property fmtid="{D5CDD505-2E9C-101B-9397-08002B2CF9AE}" pid="3" name="_dlc_DocIdItemGuid">
    <vt:lpwstr>b9edc426-8067-4f86-a197-c3c5cce831f3</vt:lpwstr>
  </property>
</Properties>
</file>