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3545C" w14:textId="15AE9704" w:rsidR="00591951" w:rsidRPr="00820972" w:rsidRDefault="00B31DA3" w:rsidP="00717769">
      <w:pPr>
        <w:pStyle w:val="coveraddresses"/>
        <w:rPr>
          <w:rStyle w:val="FootnoteReference"/>
          <w:rFonts w:ascii="Open Sans" w:hAnsi="Open Sans" w:cs="Open Sans"/>
          <w:sz w:val="24"/>
        </w:rPr>
      </w:pPr>
      <w:r>
        <w:rPr>
          <w:rFonts w:cs="Open Sans"/>
          <w:noProof/>
        </w:rPr>
        <w:drawing>
          <wp:anchor distT="0" distB="0" distL="114300" distR="114300" simplePos="0" relativeHeight="251658240" behindDoc="1" locked="0" layoutInCell="1" allowOverlap="1" wp14:anchorId="6045924F" wp14:editId="125FB1AE">
            <wp:simplePos x="0" y="0"/>
            <wp:positionH relativeFrom="page">
              <wp:posOffset>5877</wp:posOffset>
            </wp:positionH>
            <wp:positionV relativeFrom="paragraph">
              <wp:posOffset>-1242060</wp:posOffset>
            </wp:positionV>
            <wp:extent cx="7541615" cy="10667737"/>
            <wp:effectExtent l="0" t="0" r="2540" b="635"/>
            <wp:wrapNone/>
            <wp:docPr id="2" name="Immagine 2" descr="Cover of the Australian Human Rights Commission's Guidelines on equal access to digital goods and services. Also includes a close up image, viewed over the shoulder of a man wearing headphones, and his fingers poised over an electronic braille display device positioned in front of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Cover of the Australian Human Rights Commission's Guidelines on equal access to digital goods and services. Also includes a close up image, viewed over the shoulder of a man wearing headphones, and his fingers poised over an electronic braille display device positioned in front of a lapto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41615" cy="10667737"/>
                    </a:xfrm>
                    <a:prstGeom prst="rect">
                      <a:avLst/>
                    </a:prstGeom>
                  </pic:spPr>
                </pic:pic>
              </a:graphicData>
            </a:graphic>
            <wp14:sizeRelH relativeFrom="margin">
              <wp14:pctWidth>0</wp14:pctWidth>
            </wp14:sizeRelH>
            <wp14:sizeRelV relativeFrom="margin">
              <wp14:pctHeight>0</wp14:pctHeight>
            </wp14:sizeRelV>
          </wp:anchor>
        </w:drawing>
      </w:r>
      <w:r w:rsidR="00E26360">
        <w:rPr>
          <w:rFonts w:cs="Open Sans"/>
          <w:noProof/>
        </w:rPr>
        <w:t xml:space="preserve">Cover image </w:t>
      </w:r>
    </w:p>
    <w:p w14:paraId="21B14E08" w14:textId="77777777" w:rsidR="00C202BB" w:rsidRPr="00C202BB" w:rsidRDefault="00C202BB" w:rsidP="00C202BB">
      <w:pPr>
        <w:pStyle w:val="Heading1"/>
      </w:pPr>
    </w:p>
    <w:p w14:paraId="2D70094C" w14:textId="28DC926E" w:rsidR="00B924E6" w:rsidRPr="00820972" w:rsidRDefault="00B924E6" w:rsidP="00E26B28">
      <w:pPr>
        <w:rPr>
          <w:rFonts w:cs="Open Sans"/>
        </w:rPr>
      </w:pPr>
      <w:bookmarkStart w:id="0" w:name="_Toc209316062"/>
      <w:bookmarkEnd w:id="0"/>
    </w:p>
    <w:p w14:paraId="22AB1496" w14:textId="6AB9C544" w:rsidR="00DF6291" w:rsidRPr="00820972" w:rsidRDefault="00DF6291" w:rsidP="00E26B28">
      <w:pPr>
        <w:rPr>
          <w:rFonts w:cs="Open Sans"/>
        </w:rPr>
      </w:pPr>
    </w:p>
    <w:p w14:paraId="08EBF36F" w14:textId="6E592533" w:rsidR="000B6388" w:rsidRDefault="000B6388">
      <w:pPr>
        <w:keepLines w:val="0"/>
        <w:spacing w:before="0" w:after="0"/>
        <w:rPr>
          <w:rFonts w:cs="Open Sans"/>
        </w:rPr>
      </w:pPr>
      <w:r>
        <w:rPr>
          <w:rFonts w:cs="Open Sans"/>
        </w:rPr>
        <w:br w:type="page"/>
      </w:r>
    </w:p>
    <w:p w14:paraId="41949B0E" w14:textId="2819D022" w:rsidR="00B31DA3" w:rsidRPr="00820972" w:rsidRDefault="00B31DA3" w:rsidP="00B31DA3">
      <w:pPr>
        <w:pStyle w:val="H1Imprint"/>
      </w:pPr>
      <w:bookmarkStart w:id="1" w:name="_Toc194569616"/>
      <w:bookmarkStart w:id="2" w:name="_Toc207761829"/>
      <w:r w:rsidRPr="00C202BB">
        <w:lastRenderedPageBreak/>
        <w:t>Guidelines on equal access to digital goods and services</w:t>
      </w:r>
      <w:r w:rsidR="007F657B">
        <w:t xml:space="preserve"> - </w:t>
      </w:r>
      <w:r w:rsidRPr="00C202BB">
        <w:t>April 2025</w:t>
      </w:r>
      <w:bookmarkEnd w:id="1"/>
      <w:r w:rsidRPr="00C202BB">
        <w:t xml:space="preserve">  </w:t>
      </w:r>
    </w:p>
    <w:p w14:paraId="29700DDB" w14:textId="6D2ABEE6" w:rsidR="00143FD4" w:rsidRPr="00D27CC2" w:rsidRDefault="00143FD4" w:rsidP="00D27CC2">
      <w:pPr>
        <w:pStyle w:val="Imprint"/>
      </w:pPr>
      <w:r w:rsidRPr="00D27CC2">
        <w:t>© Australian Human Rights Commission 202</w:t>
      </w:r>
      <w:r w:rsidR="004E2282" w:rsidRPr="00D27CC2">
        <w:t>5</w:t>
      </w:r>
      <w:r w:rsidRPr="00D27CC2">
        <w:t>.</w:t>
      </w:r>
    </w:p>
    <w:p w14:paraId="717C1BCD" w14:textId="77777777" w:rsidR="007F657B" w:rsidRDefault="004E2282" w:rsidP="00C202BB">
      <w:pPr>
        <w:pStyle w:val="Imprint"/>
      </w:pPr>
      <w:r w:rsidRPr="00C202BB">
        <w:t>The Australian Human Rights Commission encourages the dissemination and exchange of information presented</w:t>
      </w:r>
      <w:r w:rsidRPr="00C202BB">
        <w:rPr>
          <w:rFonts w:ascii="Arial" w:hAnsi="Arial" w:cs="Arial"/>
        </w:rPr>
        <w:t> </w:t>
      </w:r>
      <w:r w:rsidRPr="00C202BB">
        <w:t xml:space="preserve">in this publication. All material presented in this publication is licensed under the Creative Commons Attribution 4.0 International Licence, </w:t>
      </w:r>
      <w:proofErr w:type="gramStart"/>
      <w:r w:rsidRPr="00C202BB">
        <w:t>with the exception of</w:t>
      </w:r>
      <w:proofErr w:type="gramEnd"/>
      <w:r w:rsidRPr="00C202BB">
        <w:t xml:space="preserve"> photographs and images; logos, any branding or trademarks; content or material provided by third parties; and </w:t>
      </w:r>
      <w:r w:rsidRPr="004E2282">
        <w:t xml:space="preserve">where otherwise indicated. </w:t>
      </w:r>
    </w:p>
    <w:p w14:paraId="02DD614E" w14:textId="289A96EB" w:rsidR="004E2282" w:rsidRPr="004E2282" w:rsidRDefault="004E2282" w:rsidP="00C202BB">
      <w:pPr>
        <w:pStyle w:val="Imprint"/>
      </w:pPr>
      <w:r w:rsidRPr="004E2282">
        <w:t>To view a copy of this licence, visit</w:t>
      </w:r>
      <w:r>
        <w:t xml:space="preserve"> </w:t>
      </w:r>
      <w:hyperlink r:id="rId15" w:tooltip="Creative Commons Legal Code webpage" w:history="1">
        <w:r w:rsidRPr="004E2282">
          <w:rPr>
            <w:rStyle w:val="StyleHyperlink9pt"/>
          </w:rPr>
          <w:t>http://creativecommons.org/licenses/by/4.0/legalcode</w:t>
        </w:r>
      </w:hyperlink>
    </w:p>
    <w:p w14:paraId="342D56D2" w14:textId="77777777" w:rsidR="00143FD4" w:rsidRPr="000B6388" w:rsidRDefault="00143FD4" w:rsidP="003E36E0">
      <w:pPr>
        <w:spacing w:before="0" w:after="120"/>
        <w:rPr>
          <w:sz w:val="18"/>
          <w:szCs w:val="18"/>
        </w:rPr>
      </w:pPr>
      <w:r w:rsidRPr="000B6388">
        <w:rPr>
          <w:noProof/>
          <w:sz w:val="18"/>
          <w:szCs w:val="18"/>
        </w:rPr>
        <w:drawing>
          <wp:inline distT="0" distB="0" distL="0" distR="0" wp14:anchorId="3B90BA26" wp14:editId="3A4215B4">
            <wp:extent cx="838200" cy="295275"/>
            <wp:effectExtent l="0" t="0" r="0" b="9525"/>
            <wp:docPr id="3" name="Picture 1" descr="CC 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p w14:paraId="1DEBBD34" w14:textId="77777777" w:rsidR="004E2282" w:rsidRPr="004E2282" w:rsidRDefault="004E2282" w:rsidP="00C202BB">
      <w:pPr>
        <w:pStyle w:val="Imprint"/>
      </w:pPr>
      <w:r w:rsidRPr="004E2282">
        <w:t xml:space="preserve">In essence, you are free to copy, communicate and adapt the publication, </w:t>
      </w:r>
      <w:proofErr w:type="gramStart"/>
      <w:r w:rsidRPr="004E2282">
        <w:t>as long as</w:t>
      </w:r>
      <w:proofErr w:type="gramEnd"/>
      <w:r w:rsidRPr="004E2282">
        <w:t xml:space="preserve"> you attribute the Australian</w:t>
      </w:r>
      <w:r w:rsidRPr="004E2282">
        <w:rPr>
          <w:rFonts w:ascii="Arial" w:hAnsi="Arial" w:cs="Arial"/>
        </w:rPr>
        <w:t> </w:t>
      </w:r>
      <w:r w:rsidRPr="004E2282">
        <w:t>Human</w:t>
      </w:r>
      <w:r w:rsidRPr="004E2282">
        <w:rPr>
          <w:rFonts w:ascii="Arial" w:hAnsi="Arial" w:cs="Arial"/>
        </w:rPr>
        <w:t> </w:t>
      </w:r>
      <w:r w:rsidRPr="004E2282">
        <w:t>Rights Commission and abide by the other licence terms.</w:t>
      </w:r>
    </w:p>
    <w:p w14:paraId="77C63407" w14:textId="77777777" w:rsidR="004E2282" w:rsidRPr="00B31DA3" w:rsidRDefault="004E2282" w:rsidP="007F657B">
      <w:pPr>
        <w:pStyle w:val="ImprintH2"/>
      </w:pPr>
      <w:bookmarkStart w:id="3" w:name="_Toc194569617"/>
      <w:r w:rsidRPr="00B31DA3">
        <w:t xml:space="preserve">Suggested </w:t>
      </w:r>
      <w:r w:rsidRPr="007F657B">
        <w:t>citation</w:t>
      </w:r>
      <w:bookmarkEnd w:id="3"/>
    </w:p>
    <w:p w14:paraId="09C6E878" w14:textId="77777777" w:rsidR="004E2282" w:rsidRPr="004E2282" w:rsidRDefault="004E2282" w:rsidP="00C202BB">
      <w:pPr>
        <w:pStyle w:val="Imprint"/>
      </w:pPr>
      <w:r w:rsidRPr="004E2282">
        <w:t xml:space="preserve">Australian Human Rights Commission (2025). </w:t>
      </w:r>
      <w:r w:rsidRPr="004E2282">
        <w:rPr>
          <w:i/>
          <w:iCs/>
        </w:rPr>
        <w:t>Guidelines on equal access to digital goods and services.</w:t>
      </w:r>
      <w:r w:rsidRPr="004E2282">
        <w:t xml:space="preserve"> Sydney: Australian Human Rights Commission.</w:t>
      </w:r>
    </w:p>
    <w:p w14:paraId="2ED0FF76" w14:textId="77777777" w:rsidR="004E2282" w:rsidRPr="004E2282" w:rsidRDefault="004E2282" w:rsidP="007F657B">
      <w:pPr>
        <w:pStyle w:val="ImprintH2"/>
      </w:pPr>
      <w:bookmarkStart w:id="4" w:name="_Toc194569618"/>
      <w:r w:rsidRPr="004E2282">
        <w:t>Acknowledgement of Country</w:t>
      </w:r>
      <w:bookmarkEnd w:id="4"/>
    </w:p>
    <w:p w14:paraId="22E530BA" w14:textId="67C3CC85" w:rsidR="004E2282" w:rsidRPr="004E2282" w:rsidRDefault="004E2282" w:rsidP="00C202BB">
      <w:pPr>
        <w:pStyle w:val="Imprint"/>
      </w:pPr>
      <w:r w:rsidRPr="004E2282">
        <w:t xml:space="preserve">The Australian Human Rights Commission acknowledges the Traditional Custodians of Country throughout Australia, and recognises their continuing connection to land, waters and culture. </w:t>
      </w:r>
      <w:r w:rsidR="00D27CC2">
        <w:br/>
      </w:r>
      <w:r w:rsidRPr="004E2282">
        <w:t>We pay our respects to their Elders – past, present and future.</w:t>
      </w:r>
    </w:p>
    <w:p w14:paraId="4D8B27C3" w14:textId="77777777" w:rsidR="004E2282" w:rsidRPr="004E2282" w:rsidRDefault="004E2282" w:rsidP="007F657B">
      <w:pPr>
        <w:pStyle w:val="ImprintH2"/>
      </w:pPr>
      <w:bookmarkStart w:id="5" w:name="_Toc194569619"/>
      <w:r w:rsidRPr="004E2282">
        <w:t>Other Acknowledgements</w:t>
      </w:r>
      <w:bookmarkEnd w:id="5"/>
    </w:p>
    <w:p w14:paraId="6E8135A9" w14:textId="77777777" w:rsidR="004E2282" w:rsidRPr="004E2282" w:rsidRDefault="004E2282" w:rsidP="00C202BB">
      <w:pPr>
        <w:pStyle w:val="Imprint"/>
      </w:pPr>
      <w:r w:rsidRPr="004E2282">
        <w:t>Design and layout: Kathryn Collins, ADS, KC &amp; the Graphics Bandwagon</w:t>
      </w:r>
    </w:p>
    <w:p w14:paraId="6DF47BB8" w14:textId="77777777" w:rsidR="004E2282" w:rsidRPr="004E2282" w:rsidRDefault="004E2282" w:rsidP="007F657B">
      <w:pPr>
        <w:pStyle w:val="ImprintH2"/>
      </w:pPr>
      <w:bookmarkStart w:id="6" w:name="_Toc194569620"/>
      <w:r w:rsidRPr="004E2282">
        <w:t>Further information</w:t>
      </w:r>
      <w:bookmarkEnd w:id="6"/>
    </w:p>
    <w:p w14:paraId="573B2E44" w14:textId="4D42C188" w:rsidR="004E2282" w:rsidRPr="004E2282" w:rsidRDefault="004E2282" w:rsidP="00C202BB">
      <w:pPr>
        <w:pStyle w:val="Imprint"/>
      </w:pPr>
      <w:r w:rsidRPr="004E2282">
        <w:t>This publication can be found in electronic format on the Australian Human Rights Commission’s website:</w:t>
      </w:r>
      <w:r w:rsidR="007F657B">
        <w:t xml:space="preserve"> </w:t>
      </w:r>
      <w:hyperlink r:id="rId17" w:tooltip="Australian Human Rights Commission’s Puublications webpage" w:history="1">
        <w:r w:rsidRPr="004E2282">
          <w:rPr>
            <w:rStyle w:val="Hyperlink"/>
            <w:rFonts w:eastAsia="Calibri"/>
            <w:sz w:val="18"/>
            <w:szCs w:val="18"/>
          </w:rPr>
          <w:t>humanrights.gov.au/our-work/publications</w:t>
        </w:r>
      </w:hyperlink>
    </w:p>
    <w:p w14:paraId="146ABA40" w14:textId="0B35E670" w:rsidR="004E2282" w:rsidRPr="00E350D7" w:rsidRDefault="004E2282" w:rsidP="00C202BB">
      <w:pPr>
        <w:pStyle w:val="Imprint"/>
      </w:pPr>
      <w:r w:rsidRPr="00E350D7">
        <w:t>For more information about the Australian Human Rights Commission or copyright in this publication:</w:t>
      </w:r>
    </w:p>
    <w:p w14:paraId="24D35AFD" w14:textId="77777777" w:rsidR="007F657B" w:rsidRPr="00E350D7" w:rsidRDefault="00143FD4" w:rsidP="00C202BB">
      <w:pPr>
        <w:pStyle w:val="Imprint"/>
        <w:rPr>
          <w:rFonts w:eastAsia="Arial"/>
          <w:szCs w:val="20"/>
        </w:rPr>
      </w:pPr>
      <w:r w:rsidRPr="00E350D7">
        <w:rPr>
          <w:rFonts w:eastAsia="Arial"/>
          <w:szCs w:val="20"/>
        </w:rPr>
        <w:t>Australian Human Rights Commission</w:t>
      </w:r>
      <w:r w:rsidRPr="00E350D7">
        <w:rPr>
          <w:rFonts w:eastAsia="Arial"/>
          <w:szCs w:val="20"/>
        </w:rPr>
        <w:br/>
      </w:r>
      <w:r w:rsidR="007F657B" w:rsidRPr="00E350D7">
        <w:rPr>
          <w:rFonts w:eastAsia="Arial"/>
          <w:szCs w:val="20"/>
        </w:rPr>
        <w:t>GPO Box 5218, SYDNEY NSW 2001</w:t>
      </w:r>
    </w:p>
    <w:p w14:paraId="727EBC5C" w14:textId="77777777" w:rsidR="007F657B" w:rsidRPr="00E350D7" w:rsidRDefault="00143FD4" w:rsidP="00C202BB">
      <w:pPr>
        <w:pStyle w:val="Imprint"/>
        <w:rPr>
          <w:rFonts w:eastAsia="Arial"/>
          <w:szCs w:val="20"/>
        </w:rPr>
      </w:pPr>
      <w:r w:rsidRPr="00E350D7">
        <w:rPr>
          <w:rFonts w:eastAsia="Arial"/>
          <w:szCs w:val="20"/>
        </w:rPr>
        <w:t>Telephone: (02) 9284 9600</w:t>
      </w:r>
    </w:p>
    <w:p w14:paraId="730C9324" w14:textId="59F0A84D" w:rsidR="007F657B" w:rsidRDefault="00143FD4" w:rsidP="00C202BB">
      <w:pPr>
        <w:pStyle w:val="Imprint"/>
      </w:pPr>
      <w:r w:rsidRPr="00E350D7">
        <w:rPr>
          <w:rFonts w:eastAsia="Arial"/>
          <w:szCs w:val="20"/>
        </w:rPr>
        <w:t xml:space="preserve">Email: </w:t>
      </w:r>
      <w:hyperlink r:id="rId18" w:tooltip="Email Australian Human Rights Commission" w:history="1">
        <w:r w:rsidRPr="00E350D7">
          <w:rPr>
            <w:rStyle w:val="StyleHyperlink9pt"/>
            <w:sz w:val="20"/>
            <w:szCs w:val="20"/>
          </w:rPr>
          <w:t>communications@humanrights.gov.au</w:t>
        </w:r>
      </w:hyperlink>
      <w:r w:rsidR="007F657B">
        <w:br/>
        <w:t xml:space="preserve">Website: </w:t>
      </w:r>
      <w:hyperlink r:id="rId19" w:tooltip="Australian Human Rights Commission website" w:history="1">
        <w:r w:rsidR="007F657B" w:rsidRPr="007F657B">
          <w:rPr>
            <w:rStyle w:val="Hyperlink"/>
          </w:rPr>
          <w:t>humanrights.gov.au</w:t>
        </w:r>
      </w:hyperlink>
    </w:p>
    <w:p w14:paraId="20369E29" w14:textId="660DC356" w:rsidR="00AA5587" w:rsidRDefault="007F657B" w:rsidP="00123F3A">
      <w:pPr>
        <w:pStyle w:val="Imprint"/>
        <w:spacing w:before="240" w:after="240"/>
      </w:pPr>
      <w:r w:rsidRPr="007F657B">
        <w:t>ISBN (online): 978-1-921449-05-5</w:t>
      </w:r>
      <w:r w:rsidR="00123F3A">
        <w:br/>
      </w:r>
      <w:r w:rsidRPr="007F657B">
        <w:rPr>
          <w:i/>
          <w:iCs/>
        </w:rPr>
        <w:t>Guidelines on equal access to digital goods and services</w:t>
      </w:r>
      <w:r w:rsidR="00AA5587">
        <w:br w:type="page"/>
      </w:r>
    </w:p>
    <w:p w14:paraId="67C1383A" w14:textId="77777777" w:rsidR="00E775FC" w:rsidRDefault="00E775FC" w:rsidP="00E775FC">
      <w:pPr>
        <w:pStyle w:val="Heading1"/>
      </w:pPr>
      <w:bookmarkStart w:id="7" w:name="_Toc194569621"/>
      <w:r>
        <w:lastRenderedPageBreak/>
        <w:t>About this document</w:t>
      </w:r>
      <w:bookmarkEnd w:id="7"/>
    </w:p>
    <w:p w14:paraId="7A96E621" w14:textId="77777777" w:rsidR="00E775FC" w:rsidRDefault="00E775FC" w:rsidP="00E775FC">
      <w:r>
        <w:t xml:space="preserve">This is an update of the Australian Human Rights Commission’s (the Commission) World Wide Web Access: Disability Discrimination Act Advisory Note </w:t>
      </w:r>
      <w:proofErr w:type="spellStart"/>
      <w:r>
        <w:t>ver</w:t>
      </w:r>
      <w:proofErr w:type="spellEnd"/>
      <w:r>
        <w:t xml:space="preserve"> 4.1 (2014). This update builds upon the previous versions of the Commission’s Advisory Note to reflect changes in technology, its role within society, as well as national and international standards and policies that define how technology provides equal access for people with disability. </w:t>
      </w:r>
    </w:p>
    <w:p w14:paraId="0A0770C2" w14:textId="77777777" w:rsidR="00E775FC" w:rsidRPr="002C4B37" w:rsidRDefault="00E775FC" w:rsidP="005116A4">
      <w:pPr>
        <w:pStyle w:val="Emphasisshaded"/>
        <w:rPr>
          <w:rStyle w:val="Emphasis"/>
        </w:rPr>
      </w:pPr>
      <w:r w:rsidRPr="002C4B37">
        <w:rPr>
          <w:rStyle w:val="Emphasis"/>
        </w:rPr>
        <w:t xml:space="preserve">These Guidelines are being issued under section 67(1)(k) of the </w:t>
      </w:r>
      <w:r w:rsidRPr="002C4B37">
        <w:rPr>
          <w:rStyle w:val="Emphasis"/>
          <w:i/>
          <w:iCs/>
        </w:rPr>
        <w:t>Disability Discrimination Act 1992</w:t>
      </w:r>
      <w:r w:rsidRPr="002C4B37">
        <w:rPr>
          <w:rStyle w:val="Emphasis"/>
        </w:rPr>
        <w:t xml:space="preserve"> (</w:t>
      </w:r>
      <w:proofErr w:type="spellStart"/>
      <w:r w:rsidRPr="002C4B37">
        <w:rPr>
          <w:rStyle w:val="Emphasis"/>
        </w:rPr>
        <w:t>Cth</w:t>
      </w:r>
      <w:proofErr w:type="spellEnd"/>
      <w:r w:rsidRPr="002C4B37">
        <w:rPr>
          <w:rStyle w:val="Emphasis"/>
        </w:rPr>
        <w:t xml:space="preserve">) (the Disability Discrimination Act) and section 11(1)(n) of the </w:t>
      </w:r>
      <w:r w:rsidRPr="002C4B37">
        <w:rPr>
          <w:rStyle w:val="Emphasis"/>
          <w:i/>
          <w:iCs/>
        </w:rPr>
        <w:t>Australian Human Rights Commission Act 1986</w:t>
      </w:r>
      <w:r w:rsidRPr="002C4B37">
        <w:rPr>
          <w:rStyle w:val="Emphasis"/>
        </w:rPr>
        <w:t xml:space="preserve"> (</w:t>
      </w:r>
      <w:proofErr w:type="spellStart"/>
      <w:r w:rsidRPr="002C4B37">
        <w:rPr>
          <w:rStyle w:val="Emphasis"/>
        </w:rPr>
        <w:t>Cth</w:t>
      </w:r>
      <w:proofErr w:type="spellEnd"/>
      <w:r w:rsidRPr="002C4B37">
        <w:rPr>
          <w:rStyle w:val="Emphasis"/>
        </w:rPr>
        <w:t xml:space="preserve">). </w:t>
      </w:r>
      <w:r>
        <w:rPr>
          <w:rStyle w:val="Emphasis"/>
        </w:rPr>
        <w:br/>
      </w:r>
      <w:r w:rsidRPr="002C4B37">
        <w:rPr>
          <w:rStyle w:val="Emphasis"/>
        </w:rPr>
        <w:t xml:space="preserve">The Guidelines are not legally binding and should be read in conjunction </w:t>
      </w:r>
      <w:r>
        <w:rPr>
          <w:rStyle w:val="Emphasis"/>
        </w:rPr>
        <w:br/>
      </w:r>
      <w:r w:rsidRPr="002C4B37">
        <w:rPr>
          <w:rStyle w:val="Emphasis"/>
        </w:rPr>
        <w:t xml:space="preserve">with the Disability Discrimination Act. </w:t>
      </w:r>
    </w:p>
    <w:p w14:paraId="5A7D8430" w14:textId="77777777" w:rsidR="00E775FC" w:rsidRDefault="00E775FC" w:rsidP="005116A4">
      <w:pPr>
        <w:pStyle w:val="Emphasisshaded"/>
        <w:rPr>
          <w:rStyle w:val="Emphasis"/>
        </w:rPr>
      </w:pPr>
      <w:r w:rsidRPr="002C4B37">
        <w:rPr>
          <w:rStyle w:val="Emphasis"/>
        </w:rPr>
        <w:t xml:space="preserve">They have been prepared in consultation with advisory groups made up of technical subject matter experts, users, and disability representative organisations. </w:t>
      </w:r>
    </w:p>
    <w:p w14:paraId="1C450ABE" w14:textId="77777777" w:rsidR="00E775FC" w:rsidRPr="002C4B37" w:rsidRDefault="00E775FC" w:rsidP="00E775FC">
      <w:pPr>
        <w:rPr>
          <w:rStyle w:val="Emphasis"/>
        </w:rPr>
      </w:pPr>
      <w:r>
        <w:rPr>
          <w:rFonts w:ascii="Open Sans SemiBold" w:hAnsi="Open Sans SemiBold" w:cs="Open Sans SemiBold"/>
          <w:noProof/>
          <w:color w:val="1B587C" w:themeColor="accent3"/>
        </w:rPr>
        <w:drawing>
          <wp:inline distT="0" distB="0" distL="0" distR="0" wp14:anchorId="1FB9E4AE" wp14:editId="29DC10BF">
            <wp:extent cx="5468891" cy="3645725"/>
            <wp:effectExtent l="0" t="0" r="0" b="0"/>
            <wp:docPr id="1368406857" name="Picture 1" descr="An asian woman, viewed from side on, sitting at a desk, wearing headphones which are connected to the computer on her desk, her fingers poised over the keyboard, and smiling contented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06857" name="Picture 1" descr="An asian woman, viewed from side on, sitting at a desk, wearing headphones which are connected to the computer on her desk, her fingers poised over the keyboard, and smiling contentedly. "/>
                    <pic:cNvPicPr/>
                  </pic:nvPicPr>
                  <pic:blipFill>
                    <a:blip r:embed="rId20"/>
                    <a:stretch>
                      <a:fillRect/>
                    </a:stretch>
                  </pic:blipFill>
                  <pic:spPr>
                    <a:xfrm>
                      <a:off x="0" y="0"/>
                      <a:ext cx="5476755" cy="3650967"/>
                    </a:xfrm>
                    <a:prstGeom prst="rect">
                      <a:avLst/>
                    </a:prstGeom>
                  </pic:spPr>
                </pic:pic>
              </a:graphicData>
            </a:graphic>
          </wp:inline>
        </w:drawing>
      </w:r>
    </w:p>
    <w:p w14:paraId="5EE696BB" w14:textId="60F75EFC" w:rsidR="00B63D24" w:rsidRPr="00487E91" w:rsidRDefault="00B63D24" w:rsidP="00490A8D">
      <w:pPr>
        <w:pStyle w:val="Heading1"/>
      </w:pPr>
      <w:bookmarkStart w:id="8" w:name="_Toc194569622"/>
      <w:r w:rsidRPr="00487E91">
        <w:lastRenderedPageBreak/>
        <w:t>Contents</w:t>
      </w:r>
      <w:bookmarkEnd w:id="2"/>
      <w:bookmarkEnd w:id="8"/>
    </w:p>
    <w:p w14:paraId="0D332556" w14:textId="5ACD3133" w:rsidR="00E775FC" w:rsidRDefault="00B22B39" w:rsidP="00E775FC">
      <w:pPr>
        <w:pStyle w:val="TOC1"/>
        <w:rPr>
          <w:rFonts w:asciiTheme="minorHAnsi" w:eastAsiaTheme="minorEastAsia" w:hAnsiTheme="minorHAnsi" w:cstheme="minorBidi"/>
          <w:b w:val="0"/>
          <w:kern w:val="2"/>
          <w:sz w:val="24"/>
          <w14:ligatures w14:val="standardContextual"/>
        </w:rPr>
      </w:pPr>
      <w:r w:rsidRPr="00271BA2">
        <w:rPr>
          <w:rFonts w:cs="Arial"/>
          <w:szCs w:val="22"/>
        </w:rPr>
        <w:fldChar w:fldCharType="begin"/>
      </w:r>
      <w:r w:rsidRPr="00271BA2">
        <w:rPr>
          <w:rFonts w:cs="Arial"/>
          <w:szCs w:val="22"/>
        </w:rPr>
        <w:instrText xml:space="preserve"> TOC \o "1-2" \h \z \u </w:instrText>
      </w:r>
      <w:r w:rsidRPr="00271BA2">
        <w:rPr>
          <w:rFonts w:cs="Arial"/>
          <w:szCs w:val="22"/>
        </w:rPr>
        <w:fldChar w:fldCharType="separate"/>
      </w:r>
      <w:hyperlink w:anchor="_Toc194569623" w:history="1">
        <w:r w:rsidR="00E775FC" w:rsidRPr="00D95ADF">
          <w:rPr>
            <w:rStyle w:val="Hyperlink"/>
            <w:lang w:val="en-GB"/>
          </w:rPr>
          <w:t>Acknowledgements</w:t>
        </w:r>
        <w:r w:rsidR="00E775FC">
          <w:rPr>
            <w:webHidden/>
          </w:rPr>
          <w:tab/>
        </w:r>
        <w:r w:rsidR="00E775FC">
          <w:rPr>
            <w:webHidden/>
          </w:rPr>
          <w:fldChar w:fldCharType="begin"/>
        </w:r>
        <w:r w:rsidR="00E775FC">
          <w:rPr>
            <w:webHidden/>
          </w:rPr>
          <w:instrText xml:space="preserve"> PAGEREF _Toc194569623 \h </w:instrText>
        </w:r>
        <w:r w:rsidR="00E775FC">
          <w:rPr>
            <w:webHidden/>
          </w:rPr>
        </w:r>
        <w:r w:rsidR="00E775FC">
          <w:rPr>
            <w:webHidden/>
          </w:rPr>
          <w:fldChar w:fldCharType="separate"/>
        </w:r>
        <w:r w:rsidR="008E2A98">
          <w:rPr>
            <w:webHidden/>
          </w:rPr>
          <w:t>6</w:t>
        </w:r>
        <w:r w:rsidR="00E775FC">
          <w:rPr>
            <w:webHidden/>
          </w:rPr>
          <w:fldChar w:fldCharType="end"/>
        </w:r>
      </w:hyperlink>
    </w:p>
    <w:p w14:paraId="7E2C0B03" w14:textId="577FD92B" w:rsidR="00E775FC" w:rsidRDefault="00E775FC">
      <w:pPr>
        <w:pStyle w:val="TOC2"/>
        <w:rPr>
          <w:rFonts w:asciiTheme="minorHAnsi" w:eastAsiaTheme="minorEastAsia" w:hAnsiTheme="minorHAnsi" w:cstheme="minorBidi"/>
          <w:kern w:val="2"/>
          <w:sz w:val="24"/>
          <w14:ligatures w14:val="standardContextual"/>
        </w:rPr>
      </w:pPr>
      <w:hyperlink w:anchor="_Toc194569624" w:history="1">
        <w:r w:rsidRPr="00D95ADF">
          <w:rPr>
            <w:rStyle w:val="Hyperlink"/>
          </w:rPr>
          <w:t>The Commission thanks</w:t>
        </w:r>
        <w:r>
          <w:rPr>
            <w:webHidden/>
          </w:rPr>
          <w:tab/>
        </w:r>
        <w:r>
          <w:rPr>
            <w:webHidden/>
          </w:rPr>
          <w:fldChar w:fldCharType="begin"/>
        </w:r>
        <w:r>
          <w:rPr>
            <w:webHidden/>
          </w:rPr>
          <w:instrText xml:space="preserve"> PAGEREF _Toc194569624 \h </w:instrText>
        </w:r>
        <w:r>
          <w:rPr>
            <w:webHidden/>
          </w:rPr>
        </w:r>
        <w:r>
          <w:rPr>
            <w:webHidden/>
          </w:rPr>
          <w:fldChar w:fldCharType="separate"/>
        </w:r>
        <w:r w:rsidR="008E2A98">
          <w:rPr>
            <w:webHidden/>
          </w:rPr>
          <w:t>6</w:t>
        </w:r>
        <w:r>
          <w:rPr>
            <w:webHidden/>
          </w:rPr>
          <w:fldChar w:fldCharType="end"/>
        </w:r>
      </w:hyperlink>
    </w:p>
    <w:p w14:paraId="7AAF69D2" w14:textId="4C3DBC03" w:rsidR="00E775FC" w:rsidRDefault="00E775FC">
      <w:pPr>
        <w:pStyle w:val="TOC1"/>
        <w:rPr>
          <w:rFonts w:asciiTheme="minorHAnsi" w:eastAsiaTheme="minorEastAsia" w:hAnsiTheme="minorHAnsi" w:cstheme="minorBidi"/>
          <w:b w:val="0"/>
          <w:kern w:val="2"/>
          <w:sz w:val="24"/>
          <w14:ligatures w14:val="standardContextual"/>
        </w:rPr>
      </w:pPr>
      <w:hyperlink w:anchor="_Toc194569625" w:history="1">
        <w:r w:rsidRPr="00D95ADF">
          <w:rPr>
            <w:rStyle w:val="Hyperlink"/>
            <w:lang w:val="en-GB"/>
          </w:rPr>
          <w:t>Foreword by Rosemary Kayess,  Disability Discrimination Commissioner</w:t>
        </w:r>
        <w:r>
          <w:rPr>
            <w:webHidden/>
          </w:rPr>
          <w:tab/>
        </w:r>
        <w:r>
          <w:rPr>
            <w:webHidden/>
          </w:rPr>
          <w:fldChar w:fldCharType="begin"/>
        </w:r>
        <w:r>
          <w:rPr>
            <w:webHidden/>
          </w:rPr>
          <w:instrText xml:space="preserve"> PAGEREF _Toc194569625 \h </w:instrText>
        </w:r>
        <w:r>
          <w:rPr>
            <w:webHidden/>
          </w:rPr>
        </w:r>
        <w:r>
          <w:rPr>
            <w:webHidden/>
          </w:rPr>
          <w:fldChar w:fldCharType="separate"/>
        </w:r>
        <w:r w:rsidR="008E2A98">
          <w:rPr>
            <w:webHidden/>
          </w:rPr>
          <w:t>9</w:t>
        </w:r>
        <w:r>
          <w:rPr>
            <w:webHidden/>
          </w:rPr>
          <w:fldChar w:fldCharType="end"/>
        </w:r>
      </w:hyperlink>
    </w:p>
    <w:p w14:paraId="367BA7AF" w14:textId="1DE20501" w:rsidR="00E775FC" w:rsidRDefault="00E775FC">
      <w:pPr>
        <w:pStyle w:val="TOC1"/>
        <w:rPr>
          <w:rFonts w:asciiTheme="minorHAnsi" w:eastAsiaTheme="minorEastAsia" w:hAnsiTheme="minorHAnsi" w:cstheme="minorBidi"/>
          <w:b w:val="0"/>
          <w:kern w:val="2"/>
          <w:sz w:val="24"/>
          <w14:ligatures w14:val="standardContextual"/>
        </w:rPr>
      </w:pPr>
      <w:hyperlink w:anchor="_Toc194569626" w:history="1">
        <w:r w:rsidRPr="00D95ADF">
          <w:rPr>
            <w:rStyle w:val="Hyperlink"/>
          </w:rPr>
          <w:t>Executive Summary</w:t>
        </w:r>
        <w:r>
          <w:rPr>
            <w:webHidden/>
          </w:rPr>
          <w:tab/>
        </w:r>
        <w:r>
          <w:rPr>
            <w:webHidden/>
          </w:rPr>
          <w:fldChar w:fldCharType="begin"/>
        </w:r>
        <w:r>
          <w:rPr>
            <w:webHidden/>
          </w:rPr>
          <w:instrText xml:space="preserve"> PAGEREF _Toc194569626 \h </w:instrText>
        </w:r>
        <w:r>
          <w:rPr>
            <w:webHidden/>
          </w:rPr>
        </w:r>
        <w:r>
          <w:rPr>
            <w:webHidden/>
          </w:rPr>
          <w:fldChar w:fldCharType="separate"/>
        </w:r>
        <w:r w:rsidR="008E2A98">
          <w:rPr>
            <w:webHidden/>
          </w:rPr>
          <w:t>12</w:t>
        </w:r>
        <w:r>
          <w:rPr>
            <w:webHidden/>
          </w:rPr>
          <w:fldChar w:fldCharType="end"/>
        </w:r>
      </w:hyperlink>
    </w:p>
    <w:p w14:paraId="40DCAAEF" w14:textId="68A1AFD7" w:rsidR="00E775FC" w:rsidRDefault="00E775FC">
      <w:pPr>
        <w:pStyle w:val="TOC2"/>
        <w:rPr>
          <w:rFonts w:asciiTheme="minorHAnsi" w:eastAsiaTheme="minorEastAsia" w:hAnsiTheme="minorHAnsi" w:cstheme="minorBidi"/>
          <w:kern w:val="2"/>
          <w:sz w:val="24"/>
          <w14:ligatures w14:val="standardContextual"/>
        </w:rPr>
      </w:pPr>
      <w:hyperlink w:anchor="_Toc194569627" w:history="1">
        <w:r w:rsidRPr="00D95ADF">
          <w:rPr>
            <w:rStyle w:val="Hyperlink"/>
          </w:rPr>
          <w:t>The Guidelines are organised into 3 Chapters:</w:t>
        </w:r>
        <w:r>
          <w:rPr>
            <w:webHidden/>
          </w:rPr>
          <w:tab/>
        </w:r>
        <w:r>
          <w:rPr>
            <w:webHidden/>
          </w:rPr>
          <w:fldChar w:fldCharType="begin"/>
        </w:r>
        <w:r>
          <w:rPr>
            <w:webHidden/>
          </w:rPr>
          <w:instrText xml:space="preserve"> PAGEREF _Toc194569627 \h </w:instrText>
        </w:r>
        <w:r>
          <w:rPr>
            <w:webHidden/>
          </w:rPr>
        </w:r>
        <w:r>
          <w:rPr>
            <w:webHidden/>
          </w:rPr>
          <w:fldChar w:fldCharType="separate"/>
        </w:r>
        <w:r w:rsidR="008E2A98">
          <w:rPr>
            <w:webHidden/>
          </w:rPr>
          <w:t>12</w:t>
        </w:r>
        <w:r>
          <w:rPr>
            <w:webHidden/>
          </w:rPr>
          <w:fldChar w:fldCharType="end"/>
        </w:r>
      </w:hyperlink>
    </w:p>
    <w:p w14:paraId="6C965BCD" w14:textId="45BF4C9A" w:rsidR="00E775FC" w:rsidRDefault="00E775FC">
      <w:pPr>
        <w:pStyle w:val="TOC1"/>
        <w:rPr>
          <w:rFonts w:asciiTheme="minorHAnsi" w:eastAsiaTheme="minorEastAsia" w:hAnsiTheme="minorHAnsi" w:cstheme="minorBidi"/>
          <w:b w:val="0"/>
          <w:kern w:val="2"/>
          <w:sz w:val="24"/>
          <w14:ligatures w14:val="standardContextual"/>
        </w:rPr>
      </w:pPr>
      <w:hyperlink w:anchor="_Toc194569628" w:history="1">
        <w:r w:rsidRPr="00D95ADF">
          <w:rPr>
            <w:rStyle w:val="Hyperlink"/>
          </w:rPr>
          <w:t>Glossary and definitions</w:t>
        </w:r>
        <w:r>
          <w:rPr>
            <w:webHidden/>
          </w:rPr>
          <w:tab/>
        </w:r>
        <w:r>
          <w:rPr>
            <w:webHidden/>
          </w:rPr>
          <w:fldChar w:fldCharType="begin"/>
        </w:r>
        <w:r>
          <w:rPr>
            <w:webHidden/>
          </w:rPr>
          <w:instrText xml:space="preserve"> PAGEREF _Toc194569628 \h </w:instrText>
        </w:r>
        <w:r>
          <w:rPr>
            <w:webHidden/>
          </w:rPr>
        </w:r>
        <w:r>
          <w:rPr>
            <w:webHidden/>
          </w:rPr>
          <w:fldChar w:fldCharType="separate"/>
        </w:r>
        <w:r w:rsidR="008E2A98">
          <w:rPr>
            <w:webHidden/>
          </w:rPr>
          <w:t>13</w:t>
        </w:r>
        <w:r>
          <w:rPr>
            <w:webHidden/>
          </w:rPr>
          <w:fldChar w:fldCharType="end"/>
        </w:r>
      </w:hyperlink>
    </w:p>
    <w:p w14:paraId="5F4CC487" w14:textId="7C397245" w:rsidR="00E775FC" w:rsidRDefault="00E775FC">
      <w:pPr>
        <w:pStyle w:val="TOC2"/>
        <w:rPr>
          <w:rFonts w:asciiTheme="minorHAnsi" w:eastAsiaTheme="minorEastAsia" w:hAnsiTheme="minorHAnsi" w:cstheme="minorBidi"/>
          <w:kern w:val="2"/>
          <w:sz w:val="24"/>
          <w14:ligatures w14:val="standardContextual"/>
        </w:rPr>
      </w:pPr>
      <w:hyperlink w:anchor="_Toc194569629" w:history="1">
        <w:r w:rsidRPr="00D95ADF">
          <w:rPr>
            <w:rStyle w:val="Hyperlink"/>
          </w:rPr>
          <w:t>Ableism</w:t>
        </w:r>
        <w:r>
          <w:rPr>
            <w:webHidden/>
          </w:rPr>
          <w:tab/>
        </w:r>
        <w:r>
          <w:rPr>
            <w:webHidden/>
          </w:rPr>
          <w:fldChar w:fldCharType="begin"/>
        </w:r>
        <w:r>
          <w:rPr>
            <w:webHidden/>
          </w:rPr>
          <w:instrText xml:space="preserve"> PAGEREF _Toc194569629 \h </w:instrText>
        </w:r>
        <w:r>
          <w:rPr>
            <w:webHidden/>
          </w:rPr>
        </w:r>
        <w:r>
          <w:rPr>
            <w:webHidden/>
          </w:rPr>
          <w:fldChar w:fldCharType="separate"/>
        </w:r>
        <w:r w:rsidR="008E2A98">
          <w:rPr>
            <w:webHidden/>
          </w:rPr>
          <w:t>13</w:t>
        </w:r>
        <w:r>
          <w:rPr>
            <w:webHidden/>
          </w:rPr>
          <w:fldChar w:fldCharType="end"/>
        </w:r>
      </w:hyperlink>
    </w:p>
    <w:p w14:paraId="1F1C4F07" w14:textId="6830B7B6" w:rsidR="00E775FC" w:rsidRDefault="00E775FC">
      <w:pPr>
        <w:pStyle w:val="TOC2"/>
        <w:rPr>
          <w:rFonts w:asciiTheme="minorHAnsi" w:eastAsiaTheme="minorEastAsia" w:hAnsiTheme="minorHAnsi" w:cstheme="minorBidi"/>
          <w:kern w:val="2"/>
          <w:sz w:val="24"/>
          <w14:ligatures w14:val="standardContextual"/>
        </w:rPr>
      </w:pPr>
      <w:hyperlink w:anchor="_Toc194569630" w:history="1">
        <w:r w:rsidRPr="00D95ADF">
          <w:rPr>
            <w:rStyle w:val="Hyperlink"/>
          </w:rPr>
          <w:t>Assistive Technology</w:t>
        </w:r>
        <w:r>
          <w:rPr>
            <w:webHidden/>
          </w:rPr>
          <w:tab/>
        </w:r>
        <w:r>
          <w:rPr>
            <w:webHidden/>
          </w:rPr>
          <w:fldChar w:fldCharType="begin"/>
        </w:r>
        <w:r>
          <w:rPr>
            <w:webHidden/>
          </w:rPr>
          <w:instrText xml:space="preserve"> PAGEREF _Toc194569630 \h </w:instrText>
        </w:r>
        <w:r>
          <w:rPr>
            <w:webHidden/>
          </w:rPr>
        </w:r>
        <w:r>
          <w:rPr>
            <w:webHidden/>
          </w:rPr>
          <w:fldChar w:fldCharType="separate"/>
        </w:r>
        <w:r w:rsidR="008E2A98">
          <w:rPr>
            <w:webHidden/>
          </w:rPr>
          <w:t>13</w:t>
        </w:r>
        <w:r>
          <w:rPr>
            <w:webHidden/>
          </w:rPr>
          <w:fldChar w:fldCharType="end"/>
        </w:r>
      </w:hyperlink>
    </w:p>
    <w:p w14:paraId="1C108D2C" w14:textId="41035DC3" w:rsidR="00E775FC" w:rsidRDefault="00E775FC">
      <w:pPr>
        <w:pStyle w:val="TOC2"/>
        <w:rPr>
          <w:rFonts w:asciiTheme="minorHAnsi" w:eastAsiaTheme="minorEastAsia" w:hAnsiTheme="minorHAnsi" w:cstheme="minorBidi"/>
          <w:kern w:val="2"/>
          <w:sz w:val="24"/>
          <w14:ligatures w14:val="standardContextual"/>
        </w:rPr>
      </w:pPr>
      <w:hyperlink w:anchor="_Toc194569631" w:history="1">
        <w:r w:rsidRPr="00D95ADF">
          <w:rPr>
            <w:rStyle w:val="Hyperlink"/>
          </w:rPr>
          <w:t>Convention on the Rights of Persons with Disabilities (CRPD)</w:t>
        </w:r>
        <w:r>
          <w:rPr>
            <w:webHidden/>
          </w:rPr>
          <w:tab/>
        </w:r>
        <w:r>
          <w:rPr>
            <w:webHidden/>
          </w:rPr>
          <w:fldChar w:fldCharType="begin"/>
        </w:r>
        <w:r>
          <w:rPr>
            <w:webHidden/>
          </w:rPr>
          <w:instrText xml:space="preserve"> PAGEREF _Toc194569631 \h </w:instrText>
        </w:r>
        <w:r>
          <w:rPr>
            <w:webHidden/>
          </w:rPr>
        </w:r>
        <w:r>
          <w:rPr>
            <w:webHidden/>
          </w:rPr>
          <w:fldChar w:fldCharType="separate"/>
        </w:r>
        <w:r w:rsidR="008E2A98">
          <w:rPr>
            <w:webHidden/>
          </w:rPr>
          <w:t>13</w:t>
        </w:r>
        <w:r>
          <w:rPr>
            <w:webHidden/>
          </w:rPr>
          <w:fldChar w:fldCharType="end"/>
        </w:r>
      </w:hyperlink>
    </w:p>
    <w:p w14:paraId="42048B5B" w14:textId="24AA39E4" w:rsidR="00E775FC" w:rsidRDefault="00E775FC">
      <w:pPr>
        <w:pStyle w:val="TOC2"/>
        <w:rPr>
          <w:rFonts w:asciiTheme="minorHAnsi" w:eastAsiaTheme="minorEastAsia" w:hAnsiTheme="minorHAnsi" w:cstheme="minorBidi"/>
          <w:kern w:val="2"/>
          <w:sz w:val="24"/>
          <w14:ligatures w14:val="standardContextual"/>
        </w:rPr>
      </w:pPr>
      <w:hyperlink w:anchor="_Toc194569632" w:history="1">
        <w:r w:rsidRPr="00D95ADF">
          <w:rPr>
            <w:rStyle w:val="Hyperlink"/>
          </w:rPr>
          <w:t>Digital products</w:t>
        </w:r>
        <w:r>
          <w:rPr>
            <w:webHidden/>
          </w:rPr>
          <w:tab/>
        </w:r>
        <w:r>
          <w:rPr>
            <w:webHidden/>
          </w:rPr>
          <w:fldChar w:fldCharType="begin"/>
        </w:r>
        <w:r>
          <w:rPr>
            <w:webHidden/>
          </w:rPr>
          <w:instrText xml:space="preserve"> PAGEREF _Toc194569632 \h </w:instrText>
        </w:r>
        <w:r>
          <w:rPr>
            <w:webHidden/>
          </w:rPr>
        </w:r>
        <w:r>
          <w:rPr>
            <w:webHidden/>
          </w:rPr>
          <w:fldChar w:fldCharType="separate"/>
        </w:r>
        <w:r w:rsidR="008E2A98">
          <w:rPr>
            <w:webHidden/>
          </w:rPr>
          <w:t>14</w:t>
        </w:r>
        <w:r>
          <w:rPr>
            <w:webHidden/>
          </w:rPr>
          <w:fldChar w:fldCharType="end"/>
        </w:r>
      </w:hyperlink>
    </w:p>
    <w:p w14:paraId="4362E8A4" w14:textId="6F166EC1" w:rsidR="00E775FC" w:rsidRDefault="00E775FC">
      <w:pPr>
        <w:pStyle w:val="TOC2"/>
        <w:rPr>
          <w:rFonts w:asciiTheme="minorHAnsi" w:eastAsiaTheme="minorEastAsia" w:hAnsiTheme="minorHAnsi" w:cstheme="minorBidi"/>
          <w:kern w:val="2"/>
          <w:sz w:val="24"/>
          <w14:ligatures w14:val="standardContextual"/>
        </w:rPr>
      </w:pPr>
      <w:hyperlink w:anchor="_Toc194569633" w:history="1">
        <w:r w:rsidRPr="00D95ADF">
          <w:rPr>
            <w:rStyle w:val="Hyperlink"/>
          </w:rPr>
          <w:t>Disability Discrimination Act 1992 (Cth)</w:t>
        </w:r>
        <w:r>
          <w:rPr>
            <w:webHidden/>
          </w:rPr>
          <w:tab/>
        </w:r>
        <w:r>
          <w:rPr>
            <w:webHidden/>
          </w:rPr>
          <w:fldChar w:fldCharType="begin"/>
        </w:r>
        <w:r>
          <w:rPr>
            <w:webHidden/>
          </w:rPr>
          <w:instrText xml:space="preserve"> PAGEREF _Toc194569633 \h </w:instrText>
        </w:r>
        <w:r>
          <w:rPr>
            <w:webHidden/>
          </w:rPr>
        </w:r>
        <w:r>
          <w:rPr>
            <w:webHidden/>
          </w:rPr>
          <w:fldChar w:fldCharType="separate"/>
        </w:r>
        <w:r w:rsidR="008E2A98">
          <w:rPr>
            <w:webHidden/>
          </w:rPr>
          <w:t>14</w:t>
        </w:r>
        <w:r>
          <w:rPr>
            <w:webHidden/>
          </w:rPr>
          <w:fldChar w:fldCharType="end"/>
        </w:r>
      </w:hyperlink>
    </w:p>
    <w:p w14:paraId="4483B977" w14:textId="0779A54A" w:rsidR="00E775FC" w:rsidRDefault="00E775FC">
      <w:pPr>
        <w:pStyle w:val="TOC2"/>
        <w:rPr>
          <w:rFonts w:asciiTheme="minorHAnsi" w:eastAsiaTheme="minorEastAsia" w:hAnsiTheme="minorHAnsi" w:cstheme="minorBidi"/>
          <w:kern w:val="2"/>
          <w:sz w:val="24"/>
          <w14:ligatures w14:val="standardContextual"/>
        </w:rPr>
      </w:pPr>
      <w:hyperlink w:anchor="_Toc194569634" w:history="1">
        <w:r w:rsidRPr="00D95ADF">
          <w:rPr>
            <w:rStyle w:val="Hyperlink"/>
          </w:rPr>
          <w:t>ICT (Information and Communications Technology)</w:t>
        </w:r>
        <w:r>
          <w:rPr>
            <w:webHidden/>
          </w:rPr>
          <w:tab/>
        </w:r>
        <w:r>
          <w:rPr>
            <w:webHidden/>
          </w:rPr>
          <w:fldChar w:fldCharType="begin"/>
        </w:r>
        <w:r>
          <w:rPr>
            <w:webHidden/>
          </w:rPr>
          <w:instrText xml:space="preserve"> PAGEREF _Toc194569634 \h </w:instrText>
        </w:r>
        <w:r>
          <w:rPr>
            <w:webHidden/>
          </w:rPr>
        </w:r>
        <w:r>
          <w:rPr>
            <w:webHidden/>
          </w:rPr>
          <w:fldChar w:fldCharType="separate"/>
        </w:r>
        <w:r w:rsidR="008E2A98">
          <w:rPr>
            <w:webHidden/>
          </w:rPr>
          <w:t>14</w:t>
        </w:r>
        <w:r>
          <w:rPr>
            <w:webHidden/>
          </w:rPr>
          <w:fldChar w:fldCharType="end"/>
        </w:r>
      </w:hyperlink>
    </w:p>
    <w:p w14:paraId="0C6ED490" w14:textId="430BAA39" w:rsidR="00E775FC" w:rsidRDefault="00E775FC">
      <w:pPr>
        <w:pStyle w:val="TOC2"/>
        <w:rPr>
          <w:rFonts w:asciiTheme="minorHAnsi" w:eastAsiaTheme="minorEastAsia" w:hAnsiTheme="minorHAnsi" w:cstheme="minorBidi"/>
          <w:kern w:val="2"/>
          <w:sz w:val="24"/>
          <w14:ligatures w14:val="standardContextual"/>
        </w:rPr>
      </w:pPr>
      <w:hyperlink w:anchor="_Toc194569635" w:history="1">
        <w:r w:rsidRPr="00D95ADF">
          <w:rPr>
            <w:rStyle w:val="Hyperlink"/>
          </w:rPr>
          <w:t>Internet</w:t>
        </w:r>
        <w:r>
          <w:rPr>
            <w:webHidden/>
          </w:rPr>
          <w:tab/>
        </w:r>
        <w:r>
          <w:rPr>
            <w:webHidden/>
          </w:rPr>
          <w:fldChar w:fldCharType="begin"/>
        </w:r>
        <w:r>
          <w:rPr>
            <w:webHidden/>
          </w:rPr>
          <w:instrText xml:space="preserve"> PAGEREF _Toc194569635 \h </w:instrText>
        </w:r>
        <w:r>
          <w:rPr>
            <w:webHidden/>
          </w:rPr>
        </w:r>
        <w:r>
          <w:rPr>
            <w:webHidden/>
          </w:rPr>
          <w:fldChar w:fldCharType="separate"/>
        </w:r>
        <w:r w:rsidR="008E2A98">
          <w:rPr>
            <w:webHidden/>
          </w:rPr>
          <w:t>14</w:t>
        </w:r>
        <w:r>
          <w:rPr>
            <w:webHidden/>
          </w:rPr>
          <w:fldChar w:fldCharType="end"/>
        </w:r>
      </w:hyperlink>
    </w:p>
    <w:p w14:paraId="12DD52FC" w14:textId="35F67432" w:rsidR="00E775FC" w:rsidRDefault="00E775FC">
      <w:pPr>
        <w:pStyle w:val="TOC2"/>
        <w:rPr>
          <w:rFonts w:asciiTheme="minorHAnsi" w:eastAsiaTheme="minorEastAsia" w:hAnsiTheme="minorHAnsi" w:cstheme="minorBidi"/>
          <w:kern w:val="2"/>
          <w:sz w:val="24"/>
          <w14:ligatures w14:val="standardContextual"/>
        </w:rPr>
      </w:pPr>
      <w:hyperlink w:anchor="_Toc194569636" w:history="1">
        <w:r w:rsidRPr="00D95ADF">
          <w:rPr>
            <w:rStyle w:val="Hyperlink"/>
          </w:rPr>
          <w:t>Platform as a Service (PaaS)</w:t>
        </w:r>
        <w:r>
          <w:rPr>
            <w:webHidden/>
          </w:rPr>
          <w:tab/>
        </w:r>
        <w:r>
          <w:rPr>
            <w:webHidden/>
          </w:rPr>
          <w:fldChar w:fldCharType="begin"/>
        </w:r>
        <w:r>
          <w:rPr>
            <w:webHidden/>
          </w:rPr>
          <w:instrText xml:space="preserve"> PAGEREF _Toc194569636 \h </w:instrText>
        </w:r>
        <w:r>
          <w:rPr>
            <w:webHidden/>
          </w:rPr>
        </w:r>
        <w:r>
          <w:rPr>
            <w:webHidden/>
          </w:rPr>
          <w:fldChar w:fldCharType="separate"/>
        </w:r>
        <w:r w:rsidR="008E2A98">
          <w:rPr>
            <w:webHidden/>
          </w:rPr>
          <w:t>14</w:t>
        </w:r>
        <w:r>
          <w:rPr>
            <w:webHidden/>
          </w:rPr>
          <w:fldChar w:fldCharType="end"/>
        </w:r>
      </w:hyperlink>
    </w:p>
    <w:p w14:paraId="4FC549A4" w14:textId="5310B645" w:rsidR="00E775FC" w:rsidRDefault="00E775FC">
      <w:pPr>
        <w:pStyle w:val="TOC2"/>
        <w:rPr>
          <w:rFonts w:asciiTheme="minorHAnsi" w:eastAsiaTheme="minorEastAsia" w:hAnsiTheme="minorHAnsi" w:cstheme="minorBidi"/>
          <w:kern w:val="2"/>
          <w:sz w:val="24"/>
          <w14:ligatures w14:val="standardContextual"/>
        </w:rPr>
      </w:pPr>
      <w:hyperlink w:anchor="_Toc194569637" w:history="1">
        <w:r w:rsidRPr="00D95ADF">
          <w:rPr>
            <w:rStyle w:val="Hyperlink"/>
          </w:rPr>
          <w:t>Software as a Service (SaaS)</w:t>
        </w:r>
        <w:r>
          <w:rPr>
            <w:webHidden/>
          </w:rPr>
          <w:tab/>
        </w:r>
        <w:r>
          <w:rPr>
            <w:webHidden/>
          </w:rPr>
          <w:fldChar w:fldCharType="begin"/>
        </w:r>
        <w:r>
          <w:rPr>
            <w:webHidden/>
          </w:rPr>
          <w:instrText xml:space="preserve"> PAGEREF _Toc194569637 \h </w:instrText>
        </w:r>
        <w:r>
          <w:rPr>
            <w:webHidden/>
          </w:rPr>
        </w:r>
        <w:r>
          <w:rPr>
            <w:webHidden/>
          </w:rPr>
          <w:fldChar w:fldCharType="separate"/>
        </w:r>
        <w:r w:rsidR="008E2A98">
          <w:rPr>
            <w:webHidden/>
          </w:rPr>
          <w:t>15</w:t>
        </w:r>
        <w:r>
          <w:rPr>
            <w:webHidden/>
          </w:rPr>
          <w:fldChar w:fldCharType="end"/>
        </w:r>
      </w:hyperlink>
    </w:p>
    <w:p w14:paraId="5EA6E5FA" w14:textId="3CFF4308" w:rsidR="00E775FC" w:rsidRDefault="00E775FC">
      <w:pPr>
        <w:pStyle w:val="TOC2"/>
        <w:rPr>
          <w:rFonts w:asciiTheme="minorHAnsi" w:eastAsiaTheme="minorEastAsia" w:hAnsiTheme="minorHAnsi" w:cstheme="minorBidi"/>
          <w:kern w:val="2"/>
          <w:sz w:val="24"/>
          <w14:ligatures w14:val="standardContextual"/>
        </w:rPr>
      </w:pPr>
      <w:hyperlink w:anchor="_Toc194569638" w:history="1">
        <w:r w:rsidRPr="00D95ADF">
          <w:rPr>
            <w:rStyle w:val="Hyperlink"/>
          </w:rPr>
          <w:t>Universal design</w:t>
        </w:r>
        <w:r>
          <w:rPr>
            <w:webHidden/>
          </w:rPr>
          <w:tab/>
        </w:r>
        <w:r>
          <w:rPr>
            <w:webHidden/>
          </w:rPr>
          <w:fldChar w:fldCharType="begin"/>
        </w:r>
        <w:r>
          <w:rPr>
            <w:webHidden/>
          </w:rPr>
          <w:instrText xml:space="preserve"> PAGEREF _Toc194569638 \h </w:instrText>
        </w:r>
        <w:r>
          <w:rPr>
            <w:webHidden/>
          </w:rPr>
        </w:r>
        <w:r>
          <w:rPr>
            <w:webHidden/>
          </w:rPr>
          <w:fldChar w:fldCharType="separate"/>
        </w:r>
        <w:r w:rsidR="008E2A98">
          <w:rPr>
            <w:webHidden/>
          </w:rPr>
          <w:t>15</w:t>
        </w:r>
        <w:r>
          <w:rPr>
            <w:webHidden/>
          </w:rPr>
          <w:fldChar w:fldCharType="end"/>
        </w:r>
      </w:hyperlink>
    </w:p>
    <w:p w14:paraId="43D19A03" w14:textId="587EA41F" w:rsidR="00E775FC" w:rsidRDefault="00E775FC">
      <w:pPr>
        <w:pStyle w:val="TOC2"/>
        <w:rPr>
          <w:rFonts w:asciiTheme="minorHAnsi" w:eastAsiaTheme="minorEastAsia" w:hAnsiTheme="minorHAnsi" w:cstheme="minorBidi"/>
          <w:kern w:val="2"/>
          <w:sz w:val="24"/>
          <w14:ligatures w14:val="standardContextual"/>
        </w:rPr>
      </w:pPr>
      <w:hyperlink w:anchor="_Toc194569639" w:history="1">
        <w:r w:rsidRPr="00D95ADF">
          <w:rPr>
            <w:rStyle w:val="Hyperlink"/>
          </w:rPr>
          <w:t>Web Content Accessibility Guidelines (WCAG)</w:t>
        </w:r>
        <w:r>
          <w:rPr>
            <w:webHidden/>
          </w:rPr>
          <w:tab/>
        </w:r>
        <w:r>
          <w:rPr>
            <w:webHidden/>
          </w:rPr>
          <w:fldChar w:fldCharType="begin"/>
        </w:r>
        <w:r>
          <w:rPr>
            <w:webHidden/>
          </w:rPr>
          <w:instrText xml:space="preserve"> PAGEREF _Toc194569639 \h </w:instrText>
        </w:r>
        <w:r>
          <w:rPr>
            <w:webHidden/>
          </w:rPr>
        </w:r>
        <w:r>
          <w:rPr>
            <w:webHidden/>
          </w:rPr>
          <w:fldChar w:fldCharType="separate"/>
        </w:r>
        <w:r w:rsidR="008E2A98">
          <w:rPr>
            <w:webHidden/>
          </w:rPr>
          <w:t>15</w:t>
        </w:r>
        <w:r>
          <w:rPr>
            <w:webHidden/>
          </w:rPr>
          <w:fldChar w:fldCharType="end"/>
        </w:r>
      </w:hyperlink>
    </w:p>
    <w:p w14:paraId="5B0E3809" w14:textId="61806A54" w:rsidR="00E775FC" w:rsidRDefault="00E775FC">
      <w:pPr>
        <w:pStyle w:val="TOC1"/>
        <w:rPr>
          <w:rFonts w:asciiTheme="minorHAnsi" w:eastAsiaTheme="minorEastAsia" w:hAnsiTheme="minorHAnsi" w:cstheme="minorBidi"/>
          <w:b w:val="0"/>
          <w:kern w:val="2"/>
          <w:sz w:val="24"/>
          <w14:ligatures w14:val="standardContextual"/>
        </w:rPr>
      </w:pPr>
      <w:hyperlink w:anchor="_Toc194569640" w:history="1">
        <w:r w:rsidRPr="00D95ADF">
          <w:rPr>
            <w:rStyle w:val="Hyperlink"/>
          </w:rPr>
          <w:t>About the Guidelines</w:t>
        </w:r>
        <w:r>
          <w:rPr>
            <w:webHidden/>
          </w:rPr>
          <w:tab/>
        </w:r>
        <w:r>
          <w:rPr>
            <w:webHidden/>
          </w:rPr>
          <w:fldChar w:fldCharType="begin"/>
        </w:r>
        <w:r>
          <w:rPr>
            <w:webHidden/>
          </w:rPr>
          <w:instrText xml:space="preserve"> PAGEREF _Toc194569640 \h </w:instrText>
        </w:r>
        <w:r>
          <w:rPr>
            <w:webHidden/>
          </w:rPr>
        </w:r>
        <w:r>
          <w:rPr>
            <w:webHidden/>
          </w:rPr>
          <w:fldChar w:fldCharType="separate"/>
        </w:r>
        <w:r w:rsidR="008E2A98">
          <w:rPr>
            <w:webHidden/>
          </w:rPr>
          <w:t>16</w:t>
        </w:r>
        <w:r>
          <w:rPr>
            <w:webHidden/>
          </w:rPr>
          <w:fldChar w:fldCharType="end"/>
        </w:r>
      </w:hyperlink>
    </w:p>
    <w:p w14:paraId="4B888E08" w14:textId="2F3ADA22" w:rsidR="00E775FC" w:rsidRDefault="00E775FC">
      <w:pPr>
        <w:pStyle w:val="TOC1"/>
        <w:rPr>
          <w:rFonts w:asciiTheme="minorHAnsi" w:eastAsiaTheme="minorEastAsia" w:hAnsiTheme="minorHAnsi" w:cstheme="minorBidi"/>
          <w:b w:val="0"/>
          <w:kern w:val="2"/>
          <w:sz w:val="24"/>
          <w14:ligatures w14:val="standardContextual"/>
        </w:rPr>
      </w:pPr>
      <w:hyperlink w:anchor="_Toc194569641" w:history="1">
        <w:r w:rsidRPr="00D95ADF">
          <w:rPr>
            <w:rStyle w:val="Hyperlink"/>
          </w:rPr>
          <w:t>The need for Guidelines</w:t>
        </w:r>
        <w:r>
          <w:rPr>
            <w:webHidden/>
          </w:rPr>
          <w:tab/>
        </w:r>
        <w:r>
          <w:rPr>
            <w:webHidden/>
          </w:rPr>
          <w:fldChar w:fldCharType="begin"/>
        </w:r>
        <w:r>
          <w:rPr>
            <w:webHidden/>
          </w:rPr>
          <w:instrText xml:space="preserve"> PAGEREF _Toc194569641 \h </w:instrText>
        </w:r>
        <w:r>
          <w:rPr>
            <w:webHidden/>
          </w:rPr>
        </w:r>
        <w:r>
          <w:rPr>
            <w:webHidden/>
          </w:rPr>
          <w:fldChar w:fldCharType="separate"/>
        </w:r>
        <w:r w:rsidR="008E2A98">
          <w:rPr>
            <w:webHidden/>
          </w:rPr>
          <w:t>17</w:t>
        </w:r>
        <w:r>
          <w:rPr>
            <w:webHidden/>
          </w:rPr>
          <w:fldChar w:fldCharType="end"/>
        </w:r>
      </w:hyperlink>
    </w:p>
    <w:p w14:paraId="50BD9DCD" w14:textId="464DB8C3" w:rsidR="00E775FC" w:rsidRDefault="00E775FC">
      <w:pPr>
        <w:pStyle w:val="TOC2"/>
        <w:rPr>
          <w:rFonts w:asciiTheme="minorHAnsi" w:eastAsiaTheme="minorEastAsia" w:hAnsiTheme="minorHAnsi" w:cstheme="minorBidi"/>
          <w:kern w:val="2"/>
          <w:sz w:val="24"/>
          <w14:ligatures w14:val="standardContextual"/>
        </w:rPr>
      </w:pPr>
      <w:hyperlink w:anchor="_Toc194569642" w:history="1">
        <w:r w:rsidRPr="00D95ADF">
          <w:rPr>
            <w:rStyle w:val="Hyperlink"/>
          </w:rPr>
          <w:t>Examples</w:t>
        </w:r>
        <w:r>
          <w:rPr>
            <w:webHidden/>
          </w:rPr>
          <w:tab/>
        </w:r>
        <w:r>
          <w:rPr>
            <w:webHidden/>
          </w:rPr>
          <w:fldChar w:fldCharType="begin"/>
        </w:r>
        <w:r>
          <w:rPr>
            <w:webHidden/>
          </w:rPr>
          <w:instrText xml:space="preserve"> PAGEREF _Toc194569642 \h </w:instrText>
        </w:r>
        <w:r>
          <w:rPr>
            <w:webHidden/>
          </w:rPr>
        </w:r>
        <w:r>
          <w:rPr>
            <w:webHidden/>
          </w:rPr>
          <w:fldChar w:fldCharType="separate"/>
        </w:r>
        <w:r w:rsidR="008E2A98">
          <w:rPr>
            <w:webHidden/>
          </w:rPr>
          <w:t>17</w:t>
        </w:r>
        <w:r>
          <w:rPr>
            <w:webHidden/>
          </w:rPr>
          <w:fldChar w:fldCharType="end"/>
        </w:r>
      </w:hyperlink>
    </w:p>
    <w:p w14:paraId="155B9399" w14:textId="11FEFDA6" w:rsidR="00E775FC" w:rsidRDefault="00E775FC">
      <w:pPr>
        <w:pStyle w:val="TOC1"/>
        <w:rPr>
          <w:rFonts w:asciiTheme="minorHAnsi" w:eastAsiaTheme="minorEastAsia" w:hAnsiTheme="minorHAnsi" w:cstheme="minorBidi"/>
          <w:b w:val="0"/>
          <w:kern w:val="2"/>
          <w:sz w:val="24"/>
          <w14:ligatures w14:val="standardContextual"/>
        </w:rPr>
      </w:pPr>
      <w:hyperlink w:anchor="_Toc194569643" w:history="1">
        <w:r w:rsidRPr="00D95ADF">
          <w:rPr>
            <w:rStyle w:val="Hyperlink"/>
          </w:rPr>
          <w:t>Who should read these guidelines?</w:t>
        </w:r>
        <w:r>
          <w:rPr>
            <w:webHidden/>
          </w:rPr>
          <w:tab/>
        </w:r>
        <w:r>
          <w:rPr>
            <w:webHidden/>
          </w:rPr>
          <w:fldChar w:fldCharType="begin"/>
        </w:r>
        <w:r>
          <w:rPr>
            <w:webHidden/>
          </w:rPr>
          <w:instrText xml:space="preserve"> PAGEREF _Toc194569643 \h </w:instrText>
        </w:r>
        <w:r>
          <w:rPr>
            <w:webHidden/>
          </w:rPr>
        </w:r>
        <w:r>
          <w:rPr>
            <w:webHidden/>
          </w:rPr>
          <w:fldChar w:fldCharType="separate"/>
        </w:r>
        <w:r w:rsidR="008E2A98">
          <w:rPr>
            <w:webHidden/>
          </w:rPr>
          <w:t>20</w:t>
        </w:r>
        <w:r>
          <w:rPr>
            <w:webHidden/>
          </w:rPr>
          <w:fldChar w:fldCharType="end"/>
        </w:r>
      </w:hyperlink>
    </w:p>
    <w:p w14:paraId="753A0B0D" w14:textId="30059D50" w:rsidR="00E775FC" w:rsidRDefault="00E775FC">
      <w:pPr>
        <w:pStyle w:val="TOC1"/>
        <w:rPr>
          <w:rFonts w:asciiTheme="minorHAnsi" w:eastAsiaTheme="minorEastAsia" w:hAnsiTheme="minorHAnsi" w:cstheme="minorBidi"/>
          <w:b w:val="0"/>
          <w:kern w:val="2"/>
          <w:sz w:val="24"/>
          <w14:ligatures w14:val="standardContextual"/>
        </w:rPr>
      </w:pPr>
      <w:hyperlink w:anchor="_Toc194569644" w:history="1">
        <w:r w:rsidRPr="00D95ADF">
          <w:rPr>
            <w:rStyle w:val="Hyperlink"/>
          </w:rPr>
          <w:t>Chapter 1: Legal and human rights obligations</w:t>
        </w:r>
        <w:r>
          <w:rPr>
            <w:webHidden/>
          </w:rPr>
          <w:tab/>
        </w:r>
        <w:r>
          <w:rPr>
            <w:webHidden/>
          </w:rPr>
          <w:fldChar w:fldCharType="begin"/>
        </w:r>
        <w:r>
          <w:rPr>
            <w:webHidden/>
          </w:rPr>
          <w:instrText xml:space="preserve"> PAGEREF _Toc194569644 \h </w:instrText>
        </w:r>
        <w:r>
          <w:rPr>
            <w:webHidden/>
          </w:rPr>
        </w:r>
        <w:r>
          <w:rPr>
            <w:webHidden/>
          </w:rPr>
          <w:fldChar w:fldCharType="separate"/>
        </w:r>
        <w:r w:rsidR="008E2A98">
          <w:rPr>
            <w:webHidden/>
          </w:rPr>
          <w:t>21</w:t>
        </w:r>
        <w:r>
          <w:rPr>
            <w:webHidden/>
          </w:rPr>
          <w:fldChar w:fldCharType="end"/>
        </w:r>
      </w:hyperlink>
    </w:p>
    <w:p w14:paraId="4EC6F3F3" w14:textId="1E14008F" w:rsidR="00E775FC" w:rsidRDefault="00E775FC">
      <w:pPr>
        <w:pStyle w:val="TOC2"/>
        <w:rPr>
          <w:rFonts w:asciiTheme="minorHAnsi" w:eastAsiaTheme="minorEastAsia" w:hAnsiTheme="minorHAnsi" w:cstheme="minorBidi"/>
          <w:kern w:val="2"/>
          <w:sz w:val="24"/>
          <w14:ligatures w14:val="standardContextual"/>
        </w:rPr>
      </w:pPr>
      <w:hyperlink w:anchor="_Toc194569645" w:history="1">
        <w:r w:rsidRPr="00D95ADF">
          <w:rPr>
            <w:rStyle w:val="Hyperlink"/>
          </w:rPr>
          <w:t>What is the Disability Discrimination Act?</w:t>
        </w:r>
        <w:r>
          <w:rPr>
            <w:webHidden/>
          </w:rPr>
          <w:tab/>
        </w:r>
        <w:r>
          <w:rPr>
            <w:webHidden/>
          </w:rPr>
          <w:fldChar w:fldCharType="begin"/>
        </w:r>
        <w:r>
          <w:rPr>
            <w:webHidden/>
          </w:rPr>
          <w:instrText xml:space="preserve"> PAGEREF _Toc194569645 \h </w:instrText>
        </w:r>
        <w:r>
          <w:rPr>
            <w:webHidden/>
          </w:rPr>
        </w:r>
        <w:r>
          <w:rPr>
            <w:webHidden/>
          </w:rPr>
          <w:fldChar w:fldCharType="separate"/>
        </w:r>
        <w:r w:rsidR="008E2A98">
          <w:rPr>
            <w:webHidden/>
          </w:rPr>
          <w:t>21</w:t>
        </w:r>
        <w:r>
          <w:rPr>
            <w:webHidden/>
          </w:rPr>
          <w:fldChar w:fldCharType="end"/>
        </w:r>
      </w:hyperlink>
    </w:p>
    <w:p w14:paraId="41897F6E" w14:textId="6C813D36" w:rsidR="00E775FC" w:rsidRDefault="00E775FC">
      <w:pPr>
        <w:pStyle w:val="TOC2"/>
        <w:rPr>
          <w:rFonts w:asciiTheme="minorHAnsi" w:eastAsiaTheme="minorEastAsia" w:hAnsiTheme="minorHAnsi" w:cstheme="minorBidi"/>
          <w:kern w:val="2"/>
          <w:sz w:val="24"/>
          <w14:ligatures w14:val="standardContextual"/>
        </w:rPr>
      </w:pPr>
      <w:hyperlink w:anchor="_Toc194569646" w:history="1">
        <w:r w:rsidRPr="00D95ADF">
          <w:rPr>
            <w:rStyle w:val="Hyperlink"/>
          </w:rPr>
          <w:t>Reasonable adjustments</w:t>
        </w:r>
        <w:r>
          <w:rPr>
            <w:webHidden/>
          </w:rPr>
          <w:tab/>
        </w:r>
        <w:r>
          <w:rPr>
            <w:webHidden/>
          </w:rPr>
          <w:fldChar w:fldCharType="begin"/>
        </w:r>
        <w:r>
          <w:rPr>
            <w:webHidden/>
          </w:rPr>
          <w:instrText xml:space="preserve"> PAGEREF _Toc194569646 \h </w:instrText>
        </w:r>
        <w:r>
          <w:rPr>
            <w:webHidden/>
          </w:rPr>
        </w:r>
        <w:r>
          <w:rPr>
            <w:webHidden/>
          </w:rPr>
          <w:fldChar w:fldCharType="separate"/>
        </w:r>
        <w:r w:rsidR="008E2A98">
          <w:rPr>
            <w:webHidden/>
          </w:rPr>
          <w:t>26</w:t>
        </w:r>
        <w:r>
          <w:rPr>
            <w:webHidden/>
          </w:rPr>
          <w:fldChar w:fldCharType="end"/>
        </w:r>
      </w:hyperlink>
    </w:p>
    <w:p w14:paraId="52EA63BF" w14:textId="2F26B66D" w:rsidR="00E775FC" w:rsidRDefault="00E775FC">
      <w:pPr>
        <w:pStyle w:val="TOC2"/>
        <w:rPr>
          <w:rFonts w:asciiTheme="minorHAnsi" w:eastAsiaTheme="minorEastAsia" w:hAnsiTheme="minorHAnsi" w:cstheme="minorBidi"/>
          <w:kern w:val="2"/>
          <w:sz w:val="24"/>
          <w14:ligatures w14:val="standardContextual"/>
        </w:rPr>
      </w:pPr>
      <w:hyperlink w:anchor="_Toc194569647" w:history="1">
        <w:r w:rsidRPr="00D95ADF">
          <w:rPr>
            <w:rStyle w:val="Hyperlink"/>
          </w:rPr>
          <w:t>The Convention on the Rights of Persons with Disabilities</w:t>
        </w:r>
        <w:r>
          <w:rPr>
            <w:webHidden/>
          </w:rPr>
          <w:tab/>
        </w:r>
        <w:r>
          <w:rPr>
            <w:webHidden/>
          </w:rPr>
          <w:fldChar w:fldCharType="begin"/>
        </w:r>
        <w:r>
          <w:rPr>
            <w:webHidden/>
          </w:rPr>
          <w:instrText xml:space="preserve"> PAGEREF _Toc194569647 \h </w:instrText>
        </w:r>
        <w:r>
          <w:rPr>
            <w:webHidden/>
          </w:rPr>
        </w:r>
        <w:r>
          <w:rPr>
            <w:webHidden/>
          </w:rPr>
          <w:fldChar w:fldCharType="separate"/>
        </w:r>
        <w:r w:rsidR="008E2A98">
          <w:rPr>
            <w:webHidden/>
          </w:rPr>
          <w:t>29</w:t>
        </w:r>
        <w:r>
          <w:rPr>
            <w:webHidden/>
          </w:rPr>
          <w:fldChar w:fldCharType="end"/>
        </w:r>
      </w:hyperlink>
    </w:p>
    <w:p w14:paraId="0501667D" w14:textId="2D43B58F" w:rsidR="00E775FC" w:rsidRDefault="00E775FC">
      <w:pPr>
        <w:pStyle w:val="TOC2"/>
        <w:rPr>
          <w:rFonts w:asciiTheme="minorHAnsi" w:eastAsiaTheme="minorEastAsia" w:hAnsiTheme="minorHAnsi" w:cstheme="minorBidi"/>
          <w:kern w:val="2"/>
          <w:sz w:val="24"/>
          <w14:ligatures w14:val="standardContextual"/>
        </w:rPr>
      </w:pPr>
      <w:hyperlink w:anchor="_Toc194569648" w:history="1">
        <w:r w:rsidRPr="00D95ADF">
          <w:rPr>
            <w:rStyle w:val="Hyperlink"/>
          </w:rPr>
          <w:t>What is good practice?</w:t>
        </w:r>
        <w:r>
          <w:rPr>
            <w:webHidden/>
          </w:rPr>
          <w:tab/>
        </w:r>
        <w:r>
          <w:rPr>
            <w:webHidden/>
          </w:rPr>
          <w:fldChar w:fldCharType="begin"/>
        </w:r>
        <w:r>
          <w:rPr>
            <w:webHidden/>
          </w:rPr>
          <w:instrText xml:space="preserve"> PAGEREF _Toc194569648 \h </w:instrText>
        </w:r>
        <w:r>
          <w:rPr>
            <w:webHidden/>
          </w:rPr>
        </w:r>
        <w:r>
          <w:rPr>
            <w:webHidden/>
          </w:rPr>
          <w:fldChar w:fldCharType="separate"/>
        </w:r>
        <w:r w:rsidR="008E2A98">
          <w:rPr>
            <w:webHidden/>
          </w:rPr>
          <w:t>31</w:t>
        </w:r>
        <w:r>
          <w:rPr>
            <w:webHidden/>
          </w:rPr>
          <w:fldChar w:fldCharType="end"/>
        </w:r>
      </w:hyperlink>
    </w:p>
    <w:p w14:paraId="21C5838F" w14:textId="1DE4CB37" w:rsidR="00E775FC" w:rsidRDefault="00E775FC">
      <w:pPr>
        <w:pStyle w:val="TOC2"/>
        <w:rPr>
          <w:rFonts w:asciiTheme="minorHAnsi" w:eastAsiaTheme="minorEastAsia" w:hAnsiTheme="minorHAnsi" w:cstheme="minorBidi"/>
          <w:kern w:val="2"/>
          <w:sz w:val="24"/>
          <w14:ligatures w14:val="standardContextual"/>
        </w:rPr>
      </w:pPr>
      <w:hyperlink w:anchor="_Toc194569649" w:history="1">
        <w:r w:rsidRPr="00D95ADF">
          <w:rPr>
            <w:rStyle w:val="Hyperlink"/>
          </w:rPr>
          <w:t>Universal design</w:t>
        </w:r>
        <w:r>
          <w:rPr>
            <w:webHidden/>
          </w:rPr>
          <w:tab/>
        </w:r>
        <w:r>
          <w:rPr>
            <w:webHidden/>
          </w:rPr>
          <w:fldChar w:fldCharType="begin"/>
        </w:r>
        <w:r>
          <w:rPr>
            <w:webHidden/>
          </w:rPr>
          <w:instrText xml:space="preserve"> PAGEREF _Toc194569649 \h </w:instrText>
        </w:r>
        <w:r>
          <w:rPr>
            <w:webHidden/>
          </w:rPr>
        </w:r>
        <w:r>
          <w:rPr>
            <w:webHidden/>
          </w:rPr>
          <w:fldChar w:fldCharType="separate"/>
        </w:r>
        <w:r w:rsidR="008E2A98">
          <w:rPr>
            <w:webHidden/>
          </w:rPr>
          <w:t>33</w:t>
        </w:r>
        <w:r>
          <w:rPr>
            <w:webHidden/>
          </w:rPr>
          <w:fldChar w:fldCharType="end"/>
        </w:r>
      </w:hyperlink>
    </w:p>
    <w:p w14:paraId="3154B6A1" w14:textId="6580C47C" w:rsidR="00E775FC" w:rsidRDefault="00E775FC">
      <w:pPr>
        <w:pStyle w:val="TOC2"/>
        <w:rPr>
          <w:rFonts w:asciiTheme="minorHAnsi" w:eastAsiaTheme="minorEastAsia" w:hAnsiTheme="minorHAnsi" w:cstheme="minorBidi"/>
          <w:kern w:val="2"/>
          <w:sz w:val="24"/>
          <w14:ligatures w14:val="standardContextual"/>
        </w:rPr>
      </w:pPr>
      <w:hyperlink w:anchor="_Toc194569650" w:history="1">
        <w:r w:rsidRPr="00D95ADF">
          <w:rPr>
            <w:rStyle w:val="Hyperlink"/>
          </w:rPr>
          <w:t>Keeping up with fast-changing technology</w:t>
        </w:r>
        <w:r>
          <w:rPr>
            <w:webHidden/>
          </w:rPr>
          <w:tab/>
        </w:r>
        <w:r>
          <w:rPr>
            <w:webHidden/>
          </w:rPr>
          <w:fldChar w:fldCharType="begin"/>
        </w:r>
        <w:r>
          <w:rPr>
            <w:webHidden/>
          </w:rPr>
          <w:instrText xml:space="preserve"> PAGEREF _Toc194569650 \h </w:instrText>
        </w:r>
        <w:r>
          <w:rPr>
            <w:webHidden/>
          </w:rPr>
        </w:r>
        <w:r>
          <w:rPr>
            <w:webHidden/>
          </w:rPr>
          <w:fldChar w:fldCharType="separate"/>
        </w:r>
        <w:r w:rsidR="008E2A98">
          <w:rPr>
            <w:webHidden/>
          </w:rPr>
          <w:t>34</w:t>
        </w:r>
        <w:r>
          <w:rPr>
            <w:webHidden/>
          </w:rPr>
          <w:fldChar w:fldCharType="end"/>
        </w:r>
      </w:hyperlink>
    </w:p>
    <w:p w14:paraId="19EF0260" w14:textId="20429E8D" w:rsidR="00E775FC" w:rsidRDefault="00E775FC">
      <w:pPr>
        <w:pStyle w:val="TOC1"/>
        <w:rPr>
          <w:rFonts w:asciiTheme="minorHAnsi" w:eastAsiaTheme="minorEastAsia" w:hAnsiTheme="minorHAnsi" w:cstheme="minorBidi"/>
          <w:b w:val="0"/>
          <w:kern w:val="2"/>
          <w:sz w:val="24"/>
          <w14:ligatures w14:val="standardContextual"/>
        </w:rPr>
      </w:pPr>
      <w:hyperlink w:anchor="_Toc194569651" w:history="1">
        <w:r w:rsidRPr="00D95ADF">
          <w:rPr>
            <w:rStyle w:val="Hyperlink"/>
          </w:rPr>
          <w:t>Chapter 2: How to provide equal access to digital goods and services</w:t>
        </w:r>
        <w:r>
          <w:rPr>
            <w:webHidden/>
          </w:rPr>
          <w:tab/>
        </w:r>
        <w:r>
          <w:rPr>
            <w:webHidden/>
          </w:rPr>
          <w:fldChar w:fldCharType="begin"/>
        </w:r>
        <w:r>
          <w:rPr>
            <w:webHidden/>
          </w:rPr>
          <w:instrText xml:space="preserve"> PAGEREF _Toc194569651 \h </w:instrText>
        </w:r>
        <w:r>
          <w:rPr>
            <w:webHidden/>
          </w:rPr>
        </w:r>
        <w:r>
          <w:rPr>
            <w:webHidden/>
          </w:rPr>
          <w:fldChar w:fldCharType="separate"/>
        </w:r>
        <w:r w:rsidR="008E2A98">
          <w:rPr>
            <w:webHidden/>
          </w:rPr>
          <w:t>37</w:t>
        </w:r>
        <w:r>
          <w:rPr>
            <w:webHidden/>
          </w:rPr>
          <w:fldChar w:fldCharType="end"/>
        </w:r>
      </w:hyperlink>
    </w:p>
    <w:p w14:paraId="013AE616" w14:textId="630B5D9C" w:rsidR="00E775FC" w:rsidRDefault="00E775FC">
      <w:pPr>
        <w:pStyle w:val="TOC2"/>
        <w:rPr>
          <w:rFonts w:asciiTheme="minorHAnsi" w:eastAsiaTheme="minorEastAsia" w:hAnsiTheme="minorHAnsi" w:cstheme="minorBidi"/>
          <w:kern w:val="2"/>
          <w:sz w:val="24"/>
          <w14:ligatures w14:val="standardContextual"/>
        </w:rPr>
      </w:pPr>
      <w:hyperlink w:anchor="_Toc194569652" w:history="1">
        <w:r w:rsidRPr="00D95ADF">
          <w:rPr>
            <w:rStyle w:val="Hyperlink"/>
          </w:rPr>
          <w:t>Introduction</w:t>
        </w:r>
        <w:r>
          <w:rPr>
            <w:webHidden/>
          </w:rPr>
          <w:tab/>
        </w:r>
        <w:r>
          <w:rPr>
            <w:webHidden/>
          </w:rPr>
          <w:fldChar w:fldCharType="begin"/>
        </w:r>
        <w:r>
          <w:rPr>
            <w:webHidden/>
          </w:rPr>
          <w:instrText xml:space="preserve"> PAGEREF _Toc194569652 \h </w:instrText>
        </w:r>
        <w:r>
          <w:rPr>
            <w:webHidden/>
          </w:rPr>
        </w:r>
        <w:r>
          <w:rPr>
            <w:webHidden/>
          </w:rPr>
          <w:fldChar w:fldCharType="separate"/>
        </w:r>
        <w:r w:rsidR="008E2A98">
          <w:rPr>
            <w:webHidden/>
          </w:rPr>
          <w:t>37</w:t>
        </w:r>
        <w:r>
          <w:rPr>
            <w:webHidden/>
          </w:rPr>
          <w:fldChar w:fldCharType="end"/>
        </w:r>
      </w:hyperlink>
    </w:p>
    <w:p w14:paraId="4B9978DD" w14:textId="6355006E" w:rsidR="00E775FC" w:rsidRDefault="00E775FC">
      <w:pPr>
        <w:pStyle w:val="TOC2"/>
        <w:rPr>
          <w:rFonts w:asciiTheme="minorHAnsi" w:eastAsiaTheme="minorEastAsia" w:hAnsiTheme="minorHAnsi" w:cstheme="minorBidi"/>
          <w:kern w:val="2"/>
          <w:sz w:val="24"/>
          <w14:ligatures w14:val="standardContextual"/>
        </w:rPr>
      </w:pPr>
      <w:hyperlink w:anchor="_Toc194569653" w:history="1">
        <w:r w:rsidRPr="00D95ADF">
          <w:rPr>
            <w:rStyle w:val="Hyperlink"/>
          </w:rPr>
          <w:t>Business Benefits</w:t>
        </w:r>
        <w:r>
          <w:rPr>
            <w:webHidden/>
          </w:rPr>
          <w:tab/>
        </w:r>
        <w:r>
          <w:rPr>
            <w:webHidden/>
          </w:rPr>
          <w:fldChar w:fldCharType="begin"/>
        </w:r>
        <w:r>
          <w:rPr>
            <w:webHidden/>
          </w:rPr>
          <w:instrText xml:space="preserve"> PAGEREF _Toc194569653 \h </w:instrText>
        </w:r>
        <w:r>
          <w:rPr>
            <w:webHidden/>
          </w:rPr>
        </w:r>
        <w:r>
          <w:rPr>
            <w:webHidden/>
          </w:rPr>
          <w:fldChar w:fldCharType="separate"/>
        </w:r>
        <w:r w:rsidR="008E2A98">
          <w:rPr>
            <w:webHidden/>
          </w:rPr>
          <w:t>37</w:t>
        </w:r>
        <w:r>
          <w:rPr>
            <w:webHidden/>
          </w:rPr>
          <w:fldChar w:fldCharType="end"/>
        </w:r>
      </w:hyperlink>
    </w:p>
    <w:p w14:paraId="59BE89D5" w14:textId="12EB7492" w:rsidR="00E775FC" w:rsidRDefault="00E775FC">
      <w:pPr>
        <w:pStyle w:val="TOC2"/>
        <w:rPr>
          <w:rFonts w:asciiTheme="minorHAnsi" w:eastAsiaTheme="minorEastAsia" w:hAnsiTheme="minorHAnsi" w:cstheme="minorBidi"/>
          <w:kern w:val="2"/>
          <w:sz w:val="24"/>
          <w14:ligatures w14:val="standardContextual"/>
        </w:rPr>
      </w:pPr>
      <w:hyperlink w:anchor="_Toc194569654" w:history="1">
        <w:r w:rsidRPr="00D95ADF">
          <w:rPr>
            <w:rStyle w:val="Hyperlink"/>
          </w:rPr>
          <w:t>Implementing a strategic approach to providing equal access</w:t>
        </w:r>
        <w:r>
          <w:rPr>
            <w:webHidden/>
          </w:rPr>
          <w:tab/>
        </w:r>
        <w:r>
          <w:rPr>
            <w:webHidden/>
          </w:rPr>
          <w:fldChar w:fldCharType="begin"/>
        </w:r>
        <w:r>
          <w:rPr>
            <w:webHidden/>
          </w:rPr>
          <w:instrText xml:space="preserve"> PAGEREF _Toc194569654 \h </w:instrText>
        </w:r>
        <w:r>
          <w:rPr>
            <w:webHidden/>
          </w:rPr>
        </w:r>
        <w:r>
          <w:rPr>
            <w:webHidden/>
          </w:rPr>
          <w:fldChar w:fldCharType="separate"/>
        </w:r>
        <w:r w:rsidR="008E2A98">
          <w:rPr>
            <w:webHidden/>
          </w:rPr>
          <w:t>39</w:t>
        </w:r>
        <w:r>
          <w:rPr>
            <w:webHidden/>
          </w:rPr>
          <w:fldChar w:fldCharType="end"/>
        </w:r>
      </w:hyperlink>
    </w:p>
    <w:p w14:paraId="7DBA839F" w14:textId="57F0462C" w:rsidR="00E775FC" w:rsidRDefault="00E775FC">
      <w:pPr>
        <w:pStyle w:val="TOC2"/>
        <w:rPr>
          <w:rFonts w:asciiTheme="minorHAnsi" w:eastAsiaTheme="minorEastAsia" w:hAnsiTheme="minorHAnsi" w:cstheme="minorBidi"/>
          <w:kern w:val="2"/>
          <w:sz w:val="24"/>
          <w14:ligatures w14:val="standardContextual"/>
        </w:rPr>
      </w:pPr>
      <w:hyperlink w:anchor="_Toc194569655" w:history="1">
        <w:r w:rsidRPr="00D95ADF">
          <w:rPr>
            <w:rStyle w:val="Hyperlink"/>
          </w:rPr>
          <w:t>Accessibility in the development cycle</w:t>
        </w:r>
        <w:r>
          <w:rPr>
            <w:webHidden/>
          </w:rPr>
          <w:tab/>
        </w:r>
        <w:r>
          <w:rPr>
            <w:webHidden/>
          </w:rPr>
          <w:fldChar w:fldCharType="begin"/>
        </w:r>
        <w:r>
          <w:rPr>
            <w:webHidden/>
          </w:rPr>
          <w:instrText xml:space="preserve"> PAGEREF _Toc194569655 \h </w:instrText>
        </w:r>
        <w:r>
          <w:rPr>
            <w:webHidden/>
          </w:rPr>
        </w:r>
        <w:r>
          <w:rPr>
            <w:webHidden/>
          </w:rPr>
          <w:fldChar w:fldCharType="separate"/>
        </w:r>
        <w:r w:rsidR="008E2A98">
          <w:rPr>
            <w:webHidden/>
          </w:rPr>
          <w:t>41</w:t>
        </w:r>
        <w:r>
          <w:rPr>
            <w:webHidden/>
          </w:rPr>
          <w:fldChar w:fldCharType="end"/>
        </w:r>
      </w:hyperlink>
    </w:p>
    <w:p w14:paraId="77586365" w14:textId="7CC1FA0C" w:rsidR="00E775FC" w:rsidRDefault="00E775FC">
      <w:pPr>
        <w:pStyle w:val="TOC2"/>
        <w:rPr>
          <w:rFonts w:asciiTheme="minorHAnsi" w:eastAsiaTheme="minorEastAsia" w:hAnsiTheme="minorHAnsi" w:cstheme="minorBidi"/>
          <w:kern w:val="2"/>
          <w:sz w:val="24"/>
          <w14:ligatures w14:val="standardContextual"/>
        </w:rPr>
      </w:pPr>
      <w:hyperlink w:anchor="_Toc194569656" w:history="1">
        <w:r w:rsidRPr="00D95ADF">
          <w:rPr>
            <w:rStyle w:val="Hyperlink"/>
          </w:rPr>
          <w:t>Skills development</w:t>
        </w:r>
        <w:r>
          <w:rPr>
            <w:webHidden/>
          </w:rPr>
          <w:tab/>
        </w:r>
        <w:r>
          <w:rPr>
            <w:webHidden/>
          </w:rPr>
          <w:fldChar w:fldCharType="begin"/>
        </w:r>
        <w:r>
          <w:rPr>
            <w:webHidden/>
          </w:rPr>
          <w:instrText xml:space="preserve"> PAGEREF _Toc194569656 \h </w:instrText>
        </w:r>
        <w:r>
          <w:rPr>
            <w:webHidden/>
          </w:rPr>
        </w:r>
        <w:r>
          <w:rPr>
            <w:webHidden/>
          </w:rPr>
          <w:fldChar w:fldCharType="separate"/>
        </w:r>
        <w:r w:rsidR="008E2A98">
          <w:rPr>
            <w:webHidden/>
          </w:rPr>
          <w:t>42</w:t>
        </w:r>
        <w:r>
          <w:rPr>
            <w:webHidden/>
          </w:rPr>
          <w:fldChar w:fldCharType="end"/>
        </w:r>
      </w:hyperlink>
    </w:p>
    <w:p w14:paraId="14EA049E" w14:textId="4F372840" w:rsidR="00E775FC" w:rsidRDefault="00E775FC">
      <w:pPr>
        <w:pStyle w:val="TOC2"/>
        <w:rPr>
          <w:rFonts w:asciiTheme="minorHAnsi" w:eastAsiaTheme="minorEastAsia" w:hAnsiTheme="minorHAnsi" w:cstheme="minorBidi"/>
          <w:kern w:val="2"/>
          <w:sz w:val="24"/>
          <w14:ligatures w14:val="standardContextual"/>
        </w:rPr>
      </w:pPr>
      <w:hyperlink w:anchor="_Toc194569657" w:history="1">
        <w:r w:rsidRPr="00D95ADF">
          <w:rPr>
            <w:rStyle w:val="Hyperlink"/>
          </w:rPr>
          <w:t>Accessibility in the procurement process</w:t>
        </w:r>
        <w:r>
          <w:rPr>
            <w:webHidden/>
          </w:rPr>
          <w:tab/>
        </w:r>
        <w:r>
          <w:rPr>
            <w:webHidden/>
          </w:rPr>
          <w:fldChar w:fldCharType="begin"/>
        </w:r>
        <w:r>
          <w:rPr>
            <w:webHidden/>
          </w:rPr>
          <w:instrText xml:space="preserve"> PAGEREF _Toc194569657 \h </w:instrText>
        </w:r>
        <w:r>
          <w:rPr>
            <w:webHidden/>
          </w:rPr>
        </w:r>
        <w:r>
          <w:rPr>
            <w:webHidden/>
          </w:rPr>
          <w:fldChar w:fldCharType="separate"/>
        </w:r>
        <w:r w:rsidR="008E2A98">
          <w:rPr>
            <w:webHidden/>
          </w:rPr>
          <w:t>43</w:t>
        </w:r>
        <w:r>
          <w:rPr>
            <w:webHidden/>
          </w:rPr>
          <w:fldChar w:fldCharType="end"/>
        </w:r>
      </w:hyperlink>
    </w:p>
    <w:p w14:paraId="70BFDCAA" w14:textId="0D34F21B" w:rsidR="00E775FC" w:rsidRDefault="00E775FC">
      <w:pPr>
        <w:pStyle w:val="TOC2"/>
        <w:rPr>
          <w:rFonts w:asciiTheme="minorHAnsi" w:eastAsiaTheme="minorEastAsia" w:hAnsiTheme="minorHAnsi" w:cstheme="minorBidi"/>
          <w:kern w:val="2"/>
          <w:sz w:val="24"/>
          <w14:ligatures w14:val="standardContextual"/>
        </w:rPr>
      </w:pPr>
      <w:hyperlink w:anchor="_Toc194569658" w:history="1">
        <w:r w:rsidRPr="00D95ADF">
          <w:rPr>
            <w:rStyle w:val="Hyperlink"/>
          </w:rPr>
          <w:t>Accessibility and risk management</w:t>
        </w:r>
        <w:r>
          <w:rPr>
            <w:webHidden/>
          </w:rPr>
          <w:tab/>
        </w:r>
        <w:r>
          <w:rPr>
            <w:webHidden/>
          </w:rPr>
          <w:fldChar w:fldCharType="begin"/>
        </w:r>
        <w:r>
          <w:rPr>
            <w:webHidden/>
          </w:rPr>
          <w:instrText xml:space="preserve"> PAGEREF _Toc194569658 \h </w:instrText>
        </w:r>
        <w:r>
          <w:rPr>
            <w:webHidden/>
          </w:rPr>
        </w:r>
        <w:r>
          <w:rPr>
            <w:webHidden/>
          </w:rPr>
          <w:fldChar w:fldCharType="separate"/>
        </w:r>
        <w:r w:rsidR="008E2A98">
          <w:rPr>
            <w:webHidden/>
          </w:rPr>
          <w:t>46</w:t>
        </w:r>
        <w:r>
          <w:rPr>
            <w:webHidden/>
          </w:rPr>
          <w:fldChar w:fldCharType="end"/>
        </w:r>
      </w:hyperlink>
    </w:p>
    <w:p w14:paraId="0B81599A" w14:textId="6DC65E14" w:rsidR="00E775FC" w:rsidRDefault="00E775FC">
      <w:pPr>
        <w:pStyle w:val="TOC1"/>
        <w:rPr>
          <w:rFonts w:asciiTheme="minorHAnsi" w:eastAsiaTheme="minorEastAsia" w:hAnsiTheme="minorHAnsi" w:cstheme="minorBidi"/>
          <w:b w:val="0"/>
          <w:kern w:val="2"/>
          <w:sz w:val="24"/>
          <w14:ligatures w14:val="standardContextual"/>
        </w:rPr>
      </w:pPr>
      <w:hyperlink w:anchor="_Toc194569659" w:history="1">
        <w:r w:rsidRPr="00D95ADF">
          <w:rPr>
            <w:rStyle w:val="Hyperlink"/>
          </w:rPr>
          <w:t>Chapter 3: Standards and Guidelines on digital accessibility</w:t>
        </w:r>
        <w:r>
          <w:rPr>
            <w:webHidden/>
          </w:rPr>
          <w:tab/>
        </w:r>
        <w:r>
          <w:rPr>
            <w:webHidden/>
          </w:rPr>
          <w:fldChar w:fldCharType="begin"/>
        </w:r>
        <w:r>
          <w:rPr>
            <w:webHidden/>
          </w:rPr>
          <w:instrText xml:space="preserve"> PAGEREF _Toc194569659 \h </w:instrText>
        </w:r>
        <w:r>
          <w:rPr>
            <w:webHidden/>
          </w:rPr>
        </w:r>
        <w:r>
          <w:rPr>
            <w:webHidden/>
          </w:rPr>
          <w:fldChar w:fldCharType="separate"/>
        </w:r>
        <w:r w:rsidR="008E2A98">
          <w:rPr>
            <w:webHidden/>
          </w:rPr>
          <w:t>52</w:t>
        </w:r>
        <w:r>
          <w:rPr>
            <w:webHidden/>
          </w:rPr>
          <w:fldChar w:fldCharType="end"/>
        </w:r>
      </w:hyperlink>
    </w:p>
    <w:p w14:paraId="7C571586" w14:textId="15F11E24" w:rsidR="00E775FC" w:rsidRDefault="00E775FC">
      <w:pPr>
        <w:pStyle w:val="TOC2"/>
        <w:rPr>
          <w:rFonts w:asciiTheme="minorHAnsi" w:eastAsiaTheme="minorEastAsia" w:hAnsiTheme="minorHAnsi" w:cstheme="minorBidi"/>
          <w:kern w:val="2"/>
          <w:sz w:val="24"/>
          <w14:ligatures w14:val="standardContextual"/>
        </w:rPr>
      </w:pPr>
      <w:hyperlink w:anchor="_Toc194569660" w:history="1">
        <w:r w:rsidRPr="00D95ADF">
          <w:rPr>
            <w:rStyle w:val="Hyperlink"/>
          </w:rPr>
          <w:t>Introduction</w:t>
        </w:r>
        <w:r>
          <w:rPr>
            <w:webHidden/>
          </w:rPr>
          <w:tab/>
        </w:r>
        <w:r>
          <w:rPr>
            <w:webHidden/>
          </w:rPr>
          <w:fldChar w:fldCharType="begin"/>
        </w:r>
        <w:r>
          <w:rPr>
            <w:webHidden/>
          </w:rPr>
          <w:instrText xml:space="preserve"> PAGEREF _Toc194569660 \h </w:instrText>
        </w:r>
        <w:r>
          <w:rPr>
            <w:webHidden/>
          </w:rPr>
        </w:r>
        <w:r>
          <w:rPr>
            <w:webHidden/>
          </w:rPr>
          <w:fldChar w:fldCharType="separate"/>
        </w:r>
        <w:r w:rsidR="008E2A98">
          <w:rPr>
            <w:webHidden/>
          </w:rPr>
          <w:t>52</w:t>
        </w:r>
        <w:r>
          <w:rPr>
            <w:webHidden/>
          </w:rPr>
          <w:fldChar w:fldCharType="end"/>
        </w:r>
      </w:hyperlink>
    </w:p>
    <w:p w14:paraId="33E1B8CE" w14:textId="3F0EE705" w:rsidR="00E775FC" w:rsidRDefault="00E775FC">
      <w:pPr>
        <w:pStyle w:val="TOC2"/>
        <w:rPr>
          <w:rFonts w:asciiTheme="minorHAnsi" w:eastAsiaTheme="minorEastAsia" w:hAnsiTheme="minorHAnsi" w:cstheme="minorBidi"/>
          <w:kern w:val="2"/>
          <w:sz w:val="24"/>
          <w14:ligatures w14:val="standardContextual"/>
        </w:rPr>
      </w:pPr>
      <w:hyperlink w:anchor="_Toc194569661" w:history="1">
        <w:r w:rsidRPr="00D95ADF">
          <w:rPr>
            <w:rStyle w:val="Hyperlink"/>
          </w:rPr>
          <w:t>W3C Standards</w:t>
        </w:r>
        <w:r>
          <w:rPr>
            <w:webHidden/>
          </w:rPr>
          <w:tab/>
        </w:r>
        <w:r>
          <w:rPr>
            <w:webHidden/>
          </w:rPr>
          <w:fldChar w:fldCharType="begin"/>
        </w:r>
        <w:r>
          <w:rPr>
            <w:webHidden/>
          </w:rPr>
          <w:instrText xml:space="preserve"> PAGEREF _Toc194569661 \h </w:instrText>
        </w:r>
        <w:r>
          <w:rPr>
            <w:webHidden/>
          </w:rPr>
        </w:r>
        <w:r>
          <w:rPr>
            <w:webHidden/>
          </w:rPr>
          <w:fldChar w:fldCharType="separate"/>
        </w:r>
        <w:r w:rsidR="008E2A98">
          <w:rPr>
            <w:webHidden/>
          </w:rPr>
          <w:t>52</w:t>
        </w:r>
        <w:r>
          <w:rPr>
            <w:webHidden/>
          </w:rPr>
          <w:fldChar w:fldCharType="end"/>
        </w:r>
      </w:hyperlink>
    </w:p>
    <w:p w14:paraId="757B8BE0" w14:textId="4CC95835" w:rsidR="00E775FC" w:rsidRDefault="00E775FC">
      <w:pPr>
        <w:pStyle w:val="TOC2"/>
        <w:rPr>
          <w:rFonts w:asciiTheme="minorHAnsi" w:eastAsiaTheme="minorEastAsia" w:hAnsiTheme="minorHAnsi" w:cstheme="minorBidi"/>
          <w:kern w:val="2"/>
          <w:sz w:val="24"/>
          <w14:ligatures w14:val="standardContextual"/>
        </w:rPr>
      </w:pPr>
      <w:hyperlink w:anchor="_Toc194569662" w:history="1">
        <w:r w:rsidRPr="00D95ADF">
          <w:rPr>
            <w:rStyle w:val="Hyperlink"/>
          </w:rPr>
          <w:t>Australian Standards</w:t>
        </w:r>
        <w:r>
          <w:rPr>
            <w:webHidden/>
          </w:rPr>
          <w:tab/>
        </w:r>
        <w:r>
          <w:rPr>
            <w:webHidden/>
          </w:rPr>
          <w:fldChar w:fldCharType="begin"/>
        </w:r>
        <w:r>
          <w:rPr>
            <w:webHidden/>
          </w:rPr>
          <w:instrText xml:space="preserve"> PAGEREF _Toc194569662 \h </w:instrText>
        </w:r>
        <w:r>
          <w:rPr>
            <w:webHidden/>
          </w:rPr>
        </w:r>
        <w:r>
          <w:rPr>
            <w:webHidden/>
          </w:rPr>
          <w:fldChar w:fldCharType="separate"/>
        </w:r>
        <w:r w:rsidR="008E2A98">
          <w:rPr>
            <w:webHidden/>
          </w:rPr>
          <w:t>58</w:t>
        </w:r>
        <w:r>
          <w:rPr>
            <w:webHidden/>
          </w:rPr>
          <w:fldChar w:fldCharType="end"/>
        </w:r>
      </w:hyperlink>
    </w:p>
    <w:p w14:paraId="1FB216CC" w14:textId="209D3815" w:rsidR="00E775FC" w:rsidRDefault="00E775FC">
      <w:pPr>
        <w:pStyle w:val="TOC2"/>
        <w:rPr>
          <w:rFonts w:asciiTheme="minorHAnsi" w:eastAsiaTheme="minorEastAsia" w:hAnsiTheme="minorHAnsi" w:cstheme="minorBidi"/>
          <w:kern w:val="2"/>
          <w:sz w:val="24"/>
          <w14:ligatures w14:val="standardContextual"/>
        </w:rPr>
      </w:pPr>
      <w:hyperlink w:anchor="_Toc194569663" w:history="1">
        <w:r w:rsidRPr="00D95ADF">
          <w:rPr>
            <w:rStyle w:val="Hyperlink"/>
          </w:rPr>
          <w:t>Australian Government standards</w:t>
        </w:r>
        <w:r>
          <w:rPr>
            <w:webHidden/>
          </w:rPr>
          <w:tab/>
        </w:r>
        <w:r>
          <w:rPr>
            <w:webHidden/>
          </w:rPr>
          <w:fldChar w:fldCharType="begin"/>
        </w:r>
        <w:r>
          <w:rPr>
            <w:webHidden/>
          </w:rPr>
          <w:instrText xml:space="preserve"> PAGEREF _Toc194569663 \h </w:instrText>
        </w:r>
        <w:r>
          <w:rPr>
            <w:webHidden/>
          </w:rPr>
        </w:r>
        <w:r>
          <w:rPr>
            <w:webHidden/>
          </w:rPr>
          <w:fldChar w:fldCharType="separate"/>
        </w:r>
        <w:r w:rsidR="008E2A98">
          <w:rPr>
            <w:webHidden/>
          </w:rPr>
          <w:t>62</w:t>
        </w:r>
        <w:r>
          <w:rPr>
            <w:webHidden/>
          </w:rPr>
          <w:fldChar w:fldCharType="end"/>
        </w:r>
      </w:hyperlink>
    </w:p>
    <w:p w14:paraId="0E2164DB" w14:textId="414759AB" w:rsidR="00E775FC" w:rsidRDefault="00E775FC">
      <w:pPr>
        <w:pStyle w:val="TOC2"/>
        <w:rPr>
          <w:rFonts w:asciiTheme="minorHAnsi" w:eastAsiaTheme="minorEastAsia" w:hAnsiTheme="minorHAnsi" w:cstheme="minorBidi"/>
          <w:kern w:val="2"/>
          <w:sz w:val="24"/>
          <w14:ligatures w14:val="standardContextual"/>
        </w:rPr>
      </w:pPr>
      <w:hyperlink w:anchor="_Toc194569664" w:history="1">
        <w:r w:rsidRPr="00D95ADF">
          <w:rPr>
            <w:rStyle w:val="Hyperlink"/>
          </w:rPr>
          <w:t>State Government requirements</w:t>
        </w:r>
        <w:r>
          <w:rPr>
            <w:webHidden/>
          </w:rPr>
          <w:tab/>
        </w:r>
        <w:r>
          <w:rPr>
            <w:webHidden/>
          </w:rPr>
          <w:fldChar w:fldCharType="begin"/>
        </w:r>
        <w:r>
          <w:rPr>
            <w:webHidden/>
          </w:rPr>
          <w:instrText xml:space="preserve"> PAGEREF _Toc194569664 \h </w:instrText>
        </w:r>
        <w:r>
          <w:rPr>
            <w:webHidden/>
          </w:rPr>
        </w:r>
        <w:r>
          <w:rPr>
            <w:webHidden/>
          </w:rPr>
          <w:fldChar w:fldCharType="separate"/>
        </w:r>
        <w:r w:rsidR="008E2A98">
          <w:rPr>
            <w:webHidden/>
          </w:rPr>
          <w:t>66</w:t>
        </w:r>
        <w:r>
          <w:rPr>
            <w:webHidden/>
          </w:rPr>
          <w:fldChar w:fldCharType="end"/>
        </w:r>
      </w:hyperlink>
    </w:p>
    <w:p w14:paraId="3226E9BF" w14:textId="02FE037E" w:rsidR="00E775FC" w:rsidRDefault="00E775FC">
      <w:pPr>
        <w:pStyle w:val="TOC2"/>
        <w:rPr>
          <w:rFonts w:asciiTheme="minorHAnsi" w:eastAsiaTheme="minorEastAsia" w:hAnsiTheme="minorHAnsi" w:cstheme="minorBidi"/>
          <w:kern w:val="2"/>
          <w:sz w:val="24"/>
          <w14:ligatures w14:val="standardContextual"/>
        </w:rPr>
      </w:pPr>
      <w:hyperlink w:anchor="_Toc194569665" w:history="1">
        <w:r w:rsidRPr="00D95ADF">
          <w:rPr>
            <w:rStyle w:val="Hyperlink"/>
          </w:rPr>
          <w:t>Industry requirements</w:t>
        </w:r>
        <w:r>
          <w:rPr>
            <w:webHidden/>
          </w:rPr>
          <w:tab/>
        </w:r>
        <w:r>
          <w:rPr>
            <w:webHidden/>
          </w:rPr>
          <w:fldChar w:fldCharType="begin"/>
        </w:r>
        <w:r>
          <w:rPr>
            <w:webHidden/>
          </w:rPr>
          <w:instrText xml:space="preserve"> PAGEREF _Toc194569665 \h </w:instrText>
        </w:r>
        <w:r>
          <w:rPr>
            <w:webHidden/>
          </w:rPr>
        </w:r>
        <w:r>
          <w:rPr>
            <w:webHidden/>
          </w:rPr>
          <w:fldChar w:fldCharType="separate"/>
        </w:r>
        <w:r w:rsidR="008E2A98">
          <w:rPr>
            <w:webHidden/>
          </w:rPr>
          <w:t>67</w:t>
        </w:r>
        <w:r>
          <w:rPr>
            <w:webHidden/>
          </w:rPr>
          <w:fldChar w:fldCharType="end"/>
        </w:r>
      </w:hyperlink>
    </w:p>
    <w:p w14:paraId="19E2031B" w14:textId="429A38D7" w:rsidR="00E775FC" w:rsidRDefault="00E775FC">
      <w:pPr>
        <w:pStyle w:val="TOC2"/>
        <w:rPr>
          <w:rFonts w:asciiTheme="minorHAnsi" w:eastAsiaTheme="minorEastAsia" w:hAnsiTheme="minorHAnsi" w:cstheme="minorBidi"/>
          <w:kern w:val="2"/>
          <w:sz w:val="24"/>
          <w14:ligatures w14:val="standardContextual"/>
        </w:rPr>
      </w:pPr>
      <w:hyperlink w:anchor="_Toc194569666" w:history="1">
        <w:r w:rsidRPr="00D95ADF">
          <w:rPr>
            <w:rStyle w:val="Hyperlink"/>
          </w:rPr>
          <w:t>Additional Guidance</w:t>
        </w:r>
        <w:r>
          <w:rPr>
            <w:webHidden/>
          </w:rPr>
          <w:tab/>
        </w:r>
        <w:r>
          <w:rPr>
            <w:webHidden/>
          </w:rPr>
          <w:fldChar w:fldCharType="begin"/>
        </w:r>
        <w:r>
          <w:rPr>
            <w:webHidden/>
          </w:rPr>
          <w:instrText xml:space="preserve"> PAGEREF _Toc194569666 \h </w:instrText>
        </w:r>
        <w:r>
          <w:rPr>
            <w:webHidden/>
          </w:rPr>
        </w:r>
        <w:r>
          <w:rPr>
            <w:webHidden/>
          </w:rPr>
          <w:fldChar w:fldCharType="separate"/>
        </w:r>
        <w:r w:rsidR="008E2A98">
          <w:rPr>
            <w:webHidden/>
          </w:rPr>
          <w:t>68</w:t>
        </w:r>
        <w:r>
          <w:rPr>
            <w:webHidden/>
          </w:rPr>
          <w:fldChar w:fldCharType="end"/>
        </w:r>
      </w:hyperlink>
    </w:p>
    <w:p w14:paraId="0E9DD790" w14:textId="1A44D1EC" w:rsidR="00E775FC" w:rsidRDefault="00E775FC">
      <w:pPr>
        <w:pStyle w:val="TOC1"/>
        <w:rPr>
          <w:rFonts w:asciiTheme="minorHAnsi" w:eastAsiaTheme="minorEastAsia" w:hAnsiTheme="minorHAnsi" w:cstheme="minorBidi"/>
          <w:b w:val="0"/>
          <w:kern w:val="2"/>
          <w:sz w:val="24"/>
          <w14:ligatures w14:val="standardContextual"/>
        </w:rPr>
      </w:pPr>
      <w:hyperlink w:anchor="_Toc194569667" w:history="1">
        <w:r w:rsidRPr="00D95ADF">
          <w:rPr>
            <w:rStyle w:val="Hyperlink"/>
          </w:rPr>
          <w:t>Further reading</w:t>
        </w:r>
        <w:r>
          <w:rPr>
            <w:webHidden/>
          </w:rPr>
          <w:tab/>
        </w:r>
        <w:r>
          <w:rPr>
            <w:webHidden/>
          </w:rPr>
          <w:fldChar w:fldCharType="begin"/>
        </w:r>
        <w:r>
          <w:rPr>
            <w:webHidden/>
          </w:rPr>
          <w:instrText xml:space="preserve"> PAGEREF _Toc194569667 \h </w:instrText>
        </w:r>
        <w:r>
          <w:rPr>
            <w:webHidden/>
          </w:rPr>
        </w:r>
        <w:r>
          <w:rPr>
            <w:webHidden/>
          </w:rPr>
          <w:fldChar w:fldCharType="separate"/>
        </w:r>
        <w:r w:rsidR="008E2A98">
          <w:rPr>
            <w:webHidden/>
          </w:rPr>
          <w:t>71</w:t>
        </w:r>
        <w:r>
          <w:rPr>
            <w:webHidden/>
          </w:rPr>
          <w:fldChar w:fldCharType="end"/>
        </w:r>
      </w:hyperlink>
    </w:p>
    <w:p w14:paraId="58635DFE" w14:textId="7FF25AE9" w:rsidR="00E775FC" w:rsidRDefault="00E775FC">
      <w:pPr>
        <w:pStyle w:val="TOC2"/>
        <w:rPr>
          <w:rFonts w:asciiTheme="minorHAnsi" w:eastAsiaTheme="minorEastAsia" w:hAnsiTheme="minorHAnsi" w:cstheme="minorBidi"/>
          <w:kern w:val="2"/>
          <w:sz w:val="24"/>
          <w14:ligatures w14:val="standardContextual"/>
        </w:rPr>
      </w:pPr>
      <w:hyperlink w:anchor="_Toc194569668" w:history="1">
        <w:r w:rsidRPr="00D95ADF">
          <w:rPr>
            <w:rStyle w:val="Hyperlink"/>
          </w:rPr>
          <w:t>Understanding digital accessibility</w:t>
        </w:r>
        <w:r>
          <w:rPr>
            <w:webHidden/>
          </w:rPr>
          <w:tab/>
        </w:r>
        <w:r>
          <w:rPr>
            <w:webHidden/>
          </w:rPr>
          <w:fldChar w:fldCharType="begin"/>
        </w:r>
        <w:r>
          <w:rPr>
            <w:webHidden/>
          </w:rPr>
          <w:instrText xml:space="preserve"> PAGEREF _Toc194569668 \h </w:instrText>
        </w:r>
        <w:r>
          <w:rPr>
            <w:webHidden/>
          </w:rPr>
        </w:r>
        <w:r>
          <w:rPr>
            <w:webHidden/>
          </w:rPr>
          <w:fldChar w:fldCharType="separate"/>
        </w:r>
        <w:r w:rsidR="008E2A98">
          <w:rPr>
            <w:webHidden/>
          </w:rPr>
          <w:t>71</w:t>
        </w:r>
        <w:r>
          <w:rPr>
            <w:webHidden/>
          </w:rPr>
          <w:fldChar w:fldCharType="end"/>
        </w:r>
      </w:hyperlink>
    </w:p>
    <w:p w14:paraId="7719B954" w14:textId="1D1244ED" w:rsidR="00E775FC" w:rsidRDefault="00E775FC">
      <w:pPr>
        <w:pStyle w:val="TOC2"/>
        <w:rPr>
          <w:rFonts w:asciiTheme="minorHAnsi" w:eastAsiaTheme="minorEastAsia" w:hAnsiTheme="minorHAnsi" w:cstheme="minorBidi"/>
          <w:kern w:val="2"/>
          <w:sz w:val="24"/>
          <w14:ligatures w14:val="standardContextual"/>
        </w:rPr>
      </w:pPr>
      <w:hyperlink w:anchor="_Toc194569669" w:history="1">
        <w:r w:rsidRPr="00D95ADF">
          <w:rPr>
            <w:rStyle w:val="Hyperlink"/>
          </w:rPr>
          <w:t>Posters about accessibility</w:t>
        </w:r>
        <w:r>
          <w:rPr>
            <w:webHidden/>
          </w:rPr>
          <w:tab/>
        </w:r>
        <w:r>
          <w:rPr>
            <w:webHidden/>
          </w:rPr>
          <w:fldChar w:fldCharType="begin"/>
        </w:r>
        <w:r>
          <w:rPr>
            <w:webHidden/>
          </w:rPr>
          <w:instrText xml:space="preserve"> PAGEREF _Toc194569669 \h </w:instrText>
        </w:r>
        <w:r>
          <w:rPr>
            <w:webHidden/>
          </w:rPr>
        </w:r>
        <w:r>
          <w:rPr>
            <w:webHidden/>
          </w:rPr>
          <w:fldChar w:fldCharType="separate"/>
        </w:r>
        <w:r w:rsidR="008E2A98">
          <w:rPr>
            <w:webHidden/>
          </w:rPr>
          <w:t>72</w:t>
        </w:r>
        <w:r>
          <w:rPr>
            <w:webHidden/>
          </w:rPr>
          <w:fldChar w:fldCharType="end"/>
        </w:r>
      </w:hyperlink>
    </w:p>
    <w:p w14:paraId="30E7C679" w14:textId="3410A1E3" w:rsidR="00E775FC" w:rsidRDefault="00E775FC">
      <w:pPr>
        <w:pStyle w:val="TOC2"/>
        <w:rPr>
          <w:rFonts w:asciiTheme="minorHAnsi" w:eastAsiaTheme="minorEastAsia" w:hAnsiTheme="minorHAnsi" w:cstheme="minorBidi"/>
          <w:kern w:val="2"/>
          <w:sz w:val="24"/>
          <w14:ligatures w14:val="standardContextual"/>
        </w:rPr>
      </w:pPr>
      <w:hyperlink w:anchor="_Toc194569670" w:history="1">
        <w:r w:rsidRPr="00D95ADF">
          <w:rPr>
            <w:rStyle w:val="Hyperlink"/>
          </w:rPr>
          <w:t>Inclusive communication and language</w:t>
        </w:r>
        <w:r>
          <w:rPr>
            <w:webHidden/>
          </w:rPr>
          <w:tab/>
        </w:r>
        <w:r>
          <w:rPr>
            <w:webHidden/>
          </w:rPr>
          <w:fldChar w:fldCharType="begin"/>
        </w:r>
        <w:r>
          <w:rPr>
            <w:webHidden/>
          </w:rPr>
          <w:instrText xml:space="preserve"> PAGEREF _Toc194569670 \h </w:instrText>
        </w:r>
        <w:r>
          <w:rPr>
            <w:webHidden/>
          </w:rPr>
        </w:r>
        <w:r>
          <w:rPr>
            <w:webHidden/>
          </w:rPr>
          <w:fldChar w:fldCharType="separate"/>
        </w:r>
        <w:r w:rsidR="008E2A98">
          <w:rPr>
            <w:webHidden/>
          </w:rPr>
          <w:t>72</w:t>
        </w:r>
        <w:r>
          <w:rPr>
            <w:webHidden/>
          </w:rPr>
          <w:fldChar w:fldCharType="end"/>
        </w:r>
      </w:hyperlink>
    </w:p>
    <w:p w14:paraId="46B5ECA5" w14:textId="36DEF26E" w:rsidR="00E775FC" w:rsidRDefault="00E775FC">
      <w:pPr>
        <w:pStyle w:val="TOC2"/>
        <w:rPr>
          <w:rFonts w:asciiTheme="minorHAnsi" w:eastAsiaTheme="minorEastAsia" w:hAnsiTheme="minorHAnsi" w:cstheme="minorBidi"/>
          <w:kern w:val="2"/>
          <w:sz w:val="24"/>
          <w14:ligatures w14:val="standardContextual"/>
        </w:rPr>
      </w:pPr>
      <w:hyperlink w:anchor="_Toc194569671" w:history="1">
        <w:r w:rsidRPr="00D95ADF">
          <w:rPr>
            <w:rStyle w:val="Hyperlink"/>
            <w:lang w:val="en-US"/>
          </w:rPr>
          <w:t>User research</w:t>
        </w:r>
        <w:r>
          <w:rPr>
            <w:webHidden/>
          </w:rPr>
          <w:tab/>
        </w:r>
        <w:r>
          <w:rPr>
            <w:webHidden/>
          </w:rPr>
          <w:fldChar w:fldCharType="begin"/>
        </w:r>
        <w:r>
          <w:rPr>
            <w:webHidden/>
          </w:rPr>
          <w:instrText xml:space="preserve"> PAGEREF _Toc194569671 \h </w:instrText>
        </w:r>
        <w:r>
          <w:rPr>
            <w:webHidden/>
          </w:rPr>
        </w:r>
        <w:r>
          <w:rPr>
            <w:webHidden/>
          </w:rPr>
          <w:fldChar w:fldCharType="separate"/>
        </w:r>
        <w:r w:rsidR="008E2A98">
          <w:rPr>
            <w:webHidden/>
          </w:rPr>
          <w:t>72</w:t>
        </w:r>
        <w:r>
          <w:rPr>
            <w:webHidden/>
          </w:rPr>
          <w:fldChar w:fldCharType="end"/>
        </w:r>
      </w:hyperlink>
    </w:p>
    <w:p w14:paraId="4C4443DE" w14:textId="0C2461C4" w:rsidR="00E775FC" w:rsidRDefault="00E775FC">
      <w:pPr>
        <w:pStyle w:val="TOC2"/>
        <w:rPr>
          <w:rFonts w:asciiTheme="minorHAnsi" w:eastAsiaTheme="minorEastAsia" w:hAnsiTheme="minorHAnsi" w:cstheme="minorBidi"/>
          <w:kern w:val="2"/>
          <w:sz w:val="24"/>
          <w14:ligatures w14:val="standardContextual"/>
        </w:rPr>
      </w:pPr>
      <w:hyperlink w:anchor="_Toc194569672" w:history="1">
        <w:r w:rsidRPr="00D95ADF">
          <w:rPr>
            <w:rStyle w:val="Hyperlink"/>
            <w:lang w:val="en-US"/>
          </w:rPr>
          <w:t>Content</w:t>
        </w:r>
        <w:r>
          <w:rPr>
            <w:webHidden/>
          </w:rPr>
          <w:tab/>
        </w:r>
        <w:r>
          <w:rPr>
            <w:webHidden/>
          </w:rPr>
          <w:fldChar w:fldCharType="begin"/>
        </w:r>
        <w:r>
          <w:rPr>
            <w:webHidden/>
          </w:rPr>
          <w:instrText xml:space="preserve"> PAGEREF _Toc194569672 \h </w:instrText>
        </w:r>
        <w:r>
          <w:rPr>
            <w:webHidden/>
          </w:rPr>
        </w:r>
        <w:r>
          <w:rPr>
            <w:webHidden/>
          </w:rPr>
          <w:fldChar w:fldCharType="separate"/>
        </w:r>
        <w:r w:rsidR="008E2A98">
          <w:rPr>
            <w:webHidden/>
          </w:rPr>
          <w:t>73</w:t>
        </w:r>
        <w:r>
          <w:rPr>
            <w:webHidden/>
          </w:rPr>
          <w:fldChar w:fldCharType="end"/>
        </w:r>
      </w:hyperlink>
    </w:p>
    <w:p w14:paraId="71EC71E3" w14:textId="7E5C3472" w:rsidR="00E775FC" w:rsidRDefault="00E775FC">
      <w:pPr>
        <w:pStyle w:val="TOC2"/>
        <w:rPr>
          <w:rFonts w:asciiTheme="minorHAnsi" w:eastAsiaTheme="minorEastAsia" w:hAnsiTheme="minorHAnsi" w:cstheme="minorBidi"/>
          <w:kern w:val="2"/>
          <w:sz w:val="24"/>
          <w14:ligatures w14:val="standardContextual"/>
        </w:rPr>
      </w:pPr>
      <w:hyperlink w:anchor="_Toc194569673" w:history="1">
        <w:r w:rsidRPr="00D95ADF">
          <w:rPr>
            <w:rStyle w:val="Hyperlink"/>
            <w:lang w:val="en-US"/>
          </w:rPr>
          <w:t>Multimedia – Audio and Video</w:t>
        </w:r>
        <w:r>
          <w:rPr>
            <w:webHidden/>
          </w:rPr>
          <w:tab/>
        </w:r>
        <w:r>
          <w:rPr>
            <w:webHidden/>
          </w:rPr>
          <w:fldChar w:fldCharType="begin"/>
        </w:r>
        <w:r>
          <w:rPr>
            <w:webHidden/>
          </w:rPr>
          <w:instrText xml:space="preserve"> PAGEREF _Toc194569673 \h </w:instrText>
        </w:r>
        <w:r>
          <w:rPr>
            <w:webHidden/>
          </w:rPr>
        </w:r>
        <w:r>
          <w:rPr>
            <w:webHidden/>
          </w:rPr>
          <w:fldChar w:fldCharType="separate"/>
        </w:r>
        <w:r w:rsidR="008E2A98">
          <w:rPr>
            <w:webHidden/>
          </w:rPr>
          <w:t>73</w:t>
        </w:r>
        <w:r>
          <w:rPr>
            <w:webHidden/>
          </w:rPr>
          <w:fldChar w:fldCharType="end"/>
        </w:r>
      </w:hyperlink>
    </w:p>
    <w:p w14:paraId="16DA144B" w14:textId="7E6991A1" w:rsidR="00E775FC" w:rsidRDefault="00E775FC">
      <w:pPr>
        <w:pStyle w:val="TOC2"/>
        <w:rPr>
          <w:rFonts w:asciiTheme="minorHAnsi" w:eastAsiaTheme="minorEastAsia" w:hAnsiTheme="minorHAnsi" w:cstheme="minorBidi"/>
          <w:kern w:val="2"/>
          <w:sz w:val="24"/>
          <w14:ligatures w14:val="standardContextual"/>
        </w:rPr>
      </w:pPr>
      <w:hyperlink w:anchor="_Toc194569674" w:history="1">
        <w:r w:rsidRPr="00D95ADF">
          <w:rPr>
            <w:rStyle w:val="Hyperlink"/>
            <w:lang w:val="en-US"/>
          </w:rPr>
          <w:t>Design</w:t>
        </w:r>
        <w:r>
          <w:rPr>
            <w:webHidden/>
          </w:rPr>
          <w:tab/>
        </w:r>
        <w:r>
          <w:rPr>
            <w:webHidden/>
          </w:rPr>
          <w:fldChar w:fldCharType="begin"/>
        </w:r>
        <w:r>
          <w:rPr>
            <w:webHidden/>
          </w:rPr>
          <w:instrText xml:space="preserve"> PAGEREF _Toc194569674 \h </w:instrText>
        </w:r>
        <w:r>
          <w:rPr>
            <w:webHidden/>
          </w:rPr>
        </w:r>
        <w:r>
          <w:rPr>
            <w:webHidden/>
          </w:rPr>
          <w:fldChar w:fldCharType="separate"/>
        </w:r>
        <w:r w:rsidR="008E2A98">
          <w:rPr>
            <w:webHidden/>
          </w:rPr>
          <w:t>73</w:t>
        </w:r>
        <w:r>
          <w:rPr>
            <w:webHidden/>
          </w:rPr>
          <w:fldChar w:fldCharType="end"/>
        </w:r>
      </w:hyperlink>
    </w:p>
    <w:p w14:paraId="47493A6B" w14:textId="5862877F" w:rsidR="00E775FC" w:rsidRDefault="00E775FC">
      <w:pPr>
        <w:pStyle w:val="TOC2"/>
        <w:rPr>
          <w:rFonts w:asciiTheme="minorHAnsi" w:eastAsiaTheme="minorEastAsia" w:hAnsiTheme="minorHAnsi" w:cstheme="minorBidi"/>
          <w:kern w:val="2"/>
          <w:sz w:val="24"/>
          <w14:ligatures w14:val="standardContextual"/>
        </w:rPr>
      </w:pPr>
      <w:hyperlink w:anchor="_Toc194569675" w:history="1">
        <w:r w:rsidRPr="00D95ADF">
          <w:rPr>
            <w:rStyle w:val="Hyperlink"/>
            <w:lang w:val="en-US"/>
          </w:rPr>
          <w:t>Development</w:t>
        </w:r>
        <w:r>
          <w:rPr>
            <w:webHidden/>
          </w:rPr>
          <w:tab/>
        </w:r>
        <w:r>
          <w:rPr>
            <w:webHidden/>
          </w:rPr>
          <w:fldChar w:fldCharType="begin"/>
        </w:r>
        <w:r>
          <w:rPr>
            <w:webHidden/>
          </w:rPr>
          <w:instrText xml:space="preserve"> PAGEREF _Toc194569675 \h </w:instrText>
        </w:r>
        <w:r>
          <w:rPr>
            <w:webHidden/>
          </w:rPr>
        </w:r>
        <w:r>
          <w:rPr>
            <w:webHidden/>
          </w:rPr>
          <w:fldChar w:fldCharType="separate"/>
        </w:r>
        <w:r w:rsidR="008E2A98">
          <w:rPr>
            <w:webHidden/>
          </w:rPr>
          <w:t>73</w:t>
        </w:r>
        <w:r>
          <w:rPr>
            <w:webHidden/>
          </w:rPr>
          <w:fldChar w:fldCharType="end"/>
        </w:r>
      </w:hyperlink>
    </w:p>
    <w:p w14:paraId="5F52E50C" w14:textId="0CD528C3" w:rsidR="00E775FC" w:rsidRDefault="00E775FC">
      <w:pPr>
        <w:pStyle w:val="TOC2"/>
        <w:rPr>
          <w:rFonts w:asciiTheme="minorHAnsi" w:eastAsiaTheme="minorEastAsia" w:hAnsiTheme="minorHAnsi" w:cstheme="minorBidi"/>
          <w:kern w:val="2"/>
          <w:sz w:val="24"/>
          <w14:ligatures w14:val="standardContextual"/>
        </w:rPr>
      </w:pPr>
      <w:hyperlink w:anchor="_Toc194569676" w:history="1">
        <w:r w:rsidRPr="00D95ADF">
          <w:rPr>
            <w:rStyle w:val="Hyperlink"/>
            <w:lang w:val="en-US"/>
          </w:rPr>
          <w:t>Testing</w:t>
        </w:r>
        <w:r>
          <w:rPr>
            <w:webHidden/>
          </w:rPr>
          <w:tab/>
        </w:r>
        <w:r>
          <w:rPr>
            <w:webHidden/>
          </w:rPr>
          <w:fldChar w:fldCharType="begin"/>
        </w:r>
        <w:r>
          <w:rPr>
            <w:webHidden/>
          </w:rPr>
          <w:instrText xml:space="preserve"> PAGEREF _Toc194569676 \h </w:instrText>
        </w:r>
        <w:r>
          <w:rPr>
            <w:webHidden/>
          </w:rPr>
        </w:r>
        <w:r>
          <w:rPr>
            <w:webHidden/>
          </w:rPr>
          <w:fldChar w:fldCharType="separate"/>
        </w:r>
        <w:r w:rsidR="008E2A98">
          <w:rPr>
            <w:webHidden/>
          </w:rPr>
          <w:t>74</w:t>
        </w:r>
        <w:r>
          <w:rPr>
            <w:webHidden/>
          </w:rPr>
          <w:fldChar w:fldCharType="end"/>
        </w:r>
      </w:hyperlink>
    </w:p>
    <w:p w14:paraId="0A29F6D2" w14:textId="7F50D5CA" w:rsidR="00E775FC" w:rsidRDefault="00E775FC">
      <w:pPr>
        <w:pStyle w:val="TOC2"/>
        <w:rPr>
          <w:rFonts w:asciiTheme="minorHAnsi" w:eastAsiaTheme="minorEastAsia" w:hAnsiTheme="minorHAnsi" w:cstheme="minorBidi"/>
          <w:kern w:val="2"/>
          <w:sz w:val="24"/>
          <w14:ligatures w14:val="standardContextual"/>
        </w:rPr>
      </w:pPr>
      <w:hyperlink w:anchor="_Toc194569677" w:history="1">
        <w:r w:rsidRPr="00D95ADF">
          <w:rPr>
            <w:rStyle w:val="Hyperlink"/>
            <w:lang w:val="en-US"/>
          </w:rPr>
          <w:t>Inclusive publishing</w:t>
        </w:r>
        <w:r>
          <w:rPr>
            <w:webHidden/>
          </w:rPr>
          <w:tab/>
        </w:r>
        <w:r>
          <w:rPr>
            <w:webHidden/>
          </w:rPr>
          <w:fldChar w:fldCharType="begin"/>
        </w:r>
        <w:r>
          <w:rPr>
            <w:webHidden/>
          </w:rPr>
          <w:instrText xml:space="preserve"> PAGEREF _Toc194569677 \h </w:instrText>
        </w:r>
        <w:r>
          <w:rPr>
            <w:webHidden/>
          </w:rPr>
        </w:r>
        <w:r>
          <w:rPr>
            <w:webHidden/>
          </w:rPr>
          <w:fldChar w:fldCharType="separate"/>
        </w:r>
        <w:r w:rsidR="008E2A98">
          <w:rPr>
            <w:webHidden/>
          </w:rPr>
          <w:t>74</w:t>
        </w:r>
        <w:r>
          <w:rPr>
            <w:webHidden/>
          </w:rPr>
          <w:fldChar w:fldCharType="end"/>
        </w:r>
      </w:hyperlink>
    </w:p>
    <w:p w14:paraId="06EE9AA1" w14:textId="72E050AF" w:rsidR="00E775FC" w:rsidRDefault="00E775FC">
      <w:pPr>
        <w:pStyle w:val="TOC2"/>
        <w:rPr>
          <w:rFonts w:asciiTheme="minorHAnsi" w:eastAsiaTheme="minorEastAsia" w:hAnsiTheme="minorHAnsi" w:cstheme="minorBidi"/>
          <w:kern w:val="2"/>
          <w:sz w:val="24"/>
          <w14:ligatures w14:val="standardContextual"/>
        </w:rPr>
      </w:pPr>
      <w:hyperlink w:anchor="_Toc194569678" w:history="1">
        <w:r w:rsidRPr="00D95ADF">
          <w:rPr>
            <w:rStyle w:val="Hyperlink"/>
            <w:lang w:val="en-US"/>
          </w:rPr>
          <w:t>Social media</w:t>
        </w:r>
        <w:r>
          <w:rPr>
            <w:webHidden/>
          </w:rPr>
          <w:tab/>
        </w:r>
        <w:r>
          <w:rPr>
            <w:webHidden/>
          </w:rPr>
          <w:fldChar w:fldCharType="begin"/>
        </w:r>
        <w:r>
          <w:rPr>
            <w:webHidden/>
          </w:rPr>
          <w:instrText xml:space="preserve"> PAGEREF _Toc194569678 \h </w:instrText>
        </w:r>
        <w:r>
          <w:rPr>
            <w:webHidden/>
          </w:rPr>
        </w:r>
        <w:r>
          <w:rPr>
            <w:webHidden/>
          </w:rPr>
          <w:fldChar w:fldCharType="separate"/>
        </w:r>
        <w:r w:rsidR="008E2A98">
          <w:rPr>
            <w:webHidden/>
          </w:rPr>
          <w:t>75</w:t>
        </w:r>
        <w:r>
          <w:rPr>
            <w:webHidden/>
          </w:rPr>
          <w:fldChar w:fldCharType="end"/>
        </w:r>
      </w:hyperlink>
    </w:p>
    <w:p w14:paraId="0AAEB8C8" w14:textId="47B04D62" w:rsidR="00E775FC" w:rsidRDefault="00E775FC">
      <w:pPr>
        <w:pStyle w:val="TOC2"/>
        <w:rPr>
          <w:rFonts w:asciiTheme="minorHAnsi" w:eastAsiaTheme="minorEastAsia" w:hAnsiTheme="minorHAnsi" w:cstheme="minorBidi"/>
          <w:kern w:val="2"/>
          <w:sz w:val="24"/>
          <w14:ligatures w14:val="standardContextual"/>
        </w:rPr>
      </w:pPr>
      <w:hyperlink w:anchor="_Toc194569679" w:history="1">
        <w:r w:rsidRPr="00D95ADF">
          <w:rPr>
            <w:rStyle w:val="Hyperlink"/>
            <w:lang w:val="en-US"/>
          </w:rPr>
          <w:t>Internet of Things</w:t>
        </w:r>
        <w:r>
          <w:rPr>
            <w:webHidden/>
          </w:rPr>
          <w:tab/>
        </w:r>
        <w:r>
          <w:rPr>
            <w:webHidden/>
          </w:rPr>
          <w:fldChar w:fldCharType="begin"/>
        </w:r>
        <w:r>
          <w:rPr>
            <w:webHidden/>
          </w:rPr>
          <w:instrText xml:space="preserve"> PAGEREF _Toc194569679 \h </w:instrText>
        </w:r>
        <w:r>
          <w:rPr>
            <w:webHidden/>
          </w:rPr>
        </w:r>
        <w:r>
          <w:rPr>
            <w:webHidden/>
          </w:rPr>
          <w:fldChar w:fldCharType="separate"/>
        </w:r>
        <w:r w:rsidR="008E2A98">
          <w:rPr>
            <w:webHidden/>
          </w:rPr>
          <w:t>75</w:t>
        </w:r>
        <w:r>
          <w:rPr>
            <w:webHidden/>
          </w:rPr>
          <w:fldChar w:fldCharType="end"/>
        </w:r>
      </w:hyperlink>
    </w:p>
    <w:p w14:paraId="6BF37D29" w14:textId="6F21A193" w:rsidR="00E775FC" w:rsidRDefault="00E775FC">
      <w:pPr>
        <w:pStyle w:val="TOC1"/>
        <w:rPr>
          <w:rFonts w:asciiTheme="minorHAnsi" w:eastAsiaTheme="minorEastAsia" w:hAnsiTheme="minorHAnsi" w:cstheme="minorBidi"/>
          <w:b w:val="0"/>
          <w:kern w:val="2"/>
          <w:sz w:val="24"/>
          <w14:ligatures w14:val="standardContextual"/>
        </w:rPr>
      </w:pPr>
      <w:hyperlink w:anchor="_Toc194569680" w:history="1">
        <w:r w:rsidRPr="00D95ADF">
          <w:rPr>
            <w:rStyle w:val="Hyperlink"/>
          </w:rPr>
          <w:t>Endnotes</w:t>
        </w:r>
        <w:r>
          <w:rPr>
            <w:webHidden/>
          </w:rPr>
          <w:tab/>
        </w:r>
        <w:r>
          <w:rPr>
            <w:webHidden/>
          </w:rPr>
          <w:fldChar w:fldCharType="begin"/>
        </w:r>
        <w:r>
          <w:rPr>
            <w:webHidden/>
          </w:rPr>
          <w:instrText xml:space="preserve"> PAGEREF _Toc194569680 \h </w:instrText>
        </w:r>
        <w:r>
          <w:rPr>
            <w:webHidden/>
          </w:rPr>
        </w:r>
        <w:r>
          <w:rPr>
            <w:webHidden/>
          </w:rPr>
          <w:fldChar w:fldCharType="separate"/>
        </w:r>
        <w:r w:rsidR="008E2A98">
          <w:rPr>
            <w:webHidden/>
          </w:rPr>
          <w:t>76</w:t>
        </w:r>
        <w:r>
          <w:rPr>
            <w:webHidden/>
          </w:rPr>
          <w:fldChar w:fldCharType="end"/>
        </w:r>
      </w:hyperlink>
    </w:p>
    <w:p w14:paraId="19BB6D33" w14:textId="2D369ECD" w:rsidR="00487E91" w:rsidRPr="00E775FC" w:rsidRDefault="00B22B39" w:rsidP="00E775FC">
      <w:pPr>
        <w:pStyle w:val="Heading1"/>
        <w:keepNext w:val="0"/>
        <w:keepLines w:val="0"/>
        <w:jc w:val="both"/>
        <w:rPr>
          <w:rFonts w:cs="Arial"/>
          <w:sz w:val="22"/>
          <w:szCs w:val="22"/>
        </w:rPr>
      </w:pPr>
      <w:r w:rsidRPr="00271BA2">
        <w:rPr>
          <w:rFonts w:cs="Arial"/>
          <w:sz w:val="22"/>
          <w:szCs w:val="22"/>
        </w:rPr>
        <w:fldChar w:fldCharType="end"/>
      </w:r>
    </w:p>
    <w:p w14:paraId="1DAAC551" w14:textId="77777777" w:rsidR="00FF7957" w:rsidRDefault="00FF7957" w:rsidP="00FF7957">
      <w:pPr>
        <w:pStyle w:val="Heading1"/>
        <w:rPr>
          <w:lang w:val="en-GB"/>
        </w:rPr>
      </w:pPr>
      <w:bookmarkStart w:id="9" w:name="_Appendix_B_–"/>
      <w:bookmarkStart w:id="10" w:name="_Toc194569623"/>
      <w:bookmarkEnd w:id="9"/>
      <w:r w:rsidRPr="00FF7957">
        <w:rPr>
          <w:lang w:val="en-GB"/>
        </w:rPr>
        <w:lastRenderedPageBreak/>
        <w:t>Acknowledgements</w:t>
      </w:r>
      <w:bookmarkEnd w:id="10"/>
    </w:p>
    <w:p w14:paraId="09175E7B" w14:textId="38DA3A7D" w:rsidR="00FF7957" w:rsidRDefault="00FF7957" w:rsidP="00FF7957">
      <w:r w:rsidRPr="00FF7957">
        <w:t>The Australian Human Rights Commission thanks its partners, Intopia, and specifically Neil Jarvis: Strategy and Policy Lead, Intopia and Dr Andrew Arch: Principal Digital Accessibility Consultant, Intopia; Chair of Standards Australia’s ICT Accessibility Committee (IT40).</w:t>
      </w:r>
    </w:p>
    <w:p w14:paraId="6A94721E" w14:textId="77777777" w:rsidR="00FF7957" w:rsidRPr="00FF7957" w:rsidRDefault="00FF7957" w:rsidP="00490A8D">
      <w:pPr>
        <w:pStyle w:val="Heading2"/>
      </w:pPr>
      <w:bookmarkStart w:id="11" w:name="_Toc194569624"/>
      <w:r w:rsidRPr="00FF7957">
        <w:t>The Commission thanks</w:t>
      </w:r>
      <w:bookmarkEnd w:id="11"/>
      <w:r w:rsidRPr="00FF7957">
        <w:t xml:space="preserve"> </w:t>
      </w:r>
    </w:p>
    <w:p w14:paraId="5BEAC7AE" w14:textId="77777777" w:rsidR="00FF7957" w:rsidRPr="00FF7957" w:rsidRDefault="00FF7957" w:rsidP="00490A8D">
      <w:pPr>
        <w:pStyle w:val="Heading3"/>
      </w:pPr>
      <w:r w:rsidRPr="00FF7957">
        <w:t xml:space="preserve">Early project panel contributing authors </w:t>
      </w:r>
    </w:p>
    <w:p w14:paraId="58FB55CC" w14:textId="77777777" w:rsidR="00FF7957" w:rsidRPr="00FF7957" w:rsidRDefault="00FF7957" w:rsidP="00F775EA">
      <w:pPr>
        <w:pStyle w:val="Bullet"/>
      </w:pPr>
      <w:r w:rsidRPr="00FF7957">
        <w:rPr>
          <w:rStyle w:val="Strong"/>
        </w:rPr>
        <w:t>Greg Alchin:</w:t>
      </w:r>
      <w:r w:rsidRPr="00FF7957">
        <w:t xml:space="preserve"> Project Chairperson and lead author, Principal Accessibility Specialist, Service NSW, Founder of All Equal</w:t>
      </w:r>
    </w:p>
    <w:p w14:paraId="3D17490D" w14:textId="579BBCD4" w:rsidR="00FF7957" w:rsidRPr="00FF7957" w:rsidRDefault="00FF7957" w:rsidP="00F775EA">
      <w:pPr>
        <w:pStyle w:val="Bullet"/>
      </w:pPr>
      <w:r w:rsidRPr="00FF7957">
        <w:rPr>
          <w:rStyle w:val="Strong"/>
        </w:rPr>
        <w:t>Dr Manish Amin:</w:t>
      </w:r>
      <w:r w:rsidRPr="00FF7957">
        <w:t xml:space="preserve"> Director, Centre for Inclusive Design, OZeWAI committee member</w:t>
      </w:r>
    </w:p>
    <w:p w14:paraId="415A5EAD" w14:textId="77777777" w:rsidR="00FF7957" w:rsidRPr="00FF7957" w:rsidRDefault="00FF7957" w:rsidP="00F775EA">
      <w:pPr>
        <w:pStyle w:val="Bullet"/>
      </w:pPr>
      <w:r w:rsidRPr="00FF7957">
        <w:rPr>
          <w:rStyle w:val="Strong"/>
        </w:rPr>
        <w:t>Cliff Edwards:</w:t>
      </w:r>
      <w:r w:rsidRPr="00FF7957">
        <w:t xml:space="preserve"> Accessibility Specialist, UX Design - Services Australia, Accessibility Special, Sth Australian Government</w:t>
      </w:r>
    </w:p>
    <w:p w14:paraId="42EEDC5A" w14:textId="0CA7E3AA" w:rsidR="00FF7957" w:rsidRPr="00FF7957" w:rsidRDefault="00FF7957" w:rsidP="00F775EA">
      <w:pPr>
        <w:pStyle w:val="Bullet"/>
      </w:pPr>
      <w:r w:rsidRPr="00FF7957">
        <w:rPr>
          <w:rStyle w:val="Strong"/>
        </w:rPr>
        <w:t>Dr Scott Hollier:</w:t>
      </w:r>
      <w:r w:rsidRPr="00FF7957">
        <w:t xml:space="preserve"> Director, Centre for Accessibility</w:t>
      </w:r>
    </w:p>
    <w:p w14:paraId="608849CD" w14:textId="77777777" w:rsidR="00FF7957" w:rsidRPr="00FF7957" w:rsidRDefault="00FF7957" w:rsidP="00F775EA">
      <w:pPr>
        <w:pStyle w:val="Bullet"/>
      </w:pPr>
      <w:r w:rsidRPr="00FF7957">
        <w:rPr>
          <w:rStyle w:val="Strong"/>
        </w:rPr>
        <w:t>Chris Leighton:</w:t>
      </w:r>
      <w:r w:rsidRPr="00FF7957">
        <w:t xml:space="preserve"> UX and Accessibility Designer, University of Western Australia</w:t>
      </w:r>
    </w:p>
    <w:p w14:paraId="678426E5" w14:textId="77777777" w:rsidR="00FF7957" w:rsidRPr="00FF7957" w:rsidRDefault="00FF7957" w:rsidP="00F775EA">
      <w:pPr>
        <w:pStyle w:val="Bullet"/>
      </w:pPr>
      <w:r w:rsidRPr="00FF7957">
        <w:rPr>
          <w:rStyle w:val="Strong"/>
        </w:rPr>
        <w:t>Sean Murphy:</w:t>
      </w:r>
      <w:r w:rsidRPr="00FF7957">
        <w:t xml:space="preserve"> Senior Digital System specialist (Accessibility), Telstra Digital Services, OZeWAI committee member</w:t>
      </w:r>
    </w:p>
    <w:p w14:paraId="53D50ED5" w14:textId="1FD5B1A6" w:rsidR="00FF7957" w:rsidRPr="00FF7957" w:rsidRDefault="00FF7957" w:rsidP="00F775EA">
      <w:pPr>
        <w:pStyle w:val="Bullet"/>
      </w:pPr>
      <w:r w:rsidRPr="00FF7957">
        <w:rPr>
          <w:rStyle w:val="Strong"/>
        </w:rPr>
        <w:t>Sarah Pulis:</w:t>
      </w:r>
      <w:r w:rsidRPr="00FF7957">
        <w:t xml:space="preserve"> Director and Accessibility Specialist, Intopia</w:t>
      </w:r>
    </w:p>
    <w:p w14:paraId="2FA6F3F2" w14:textId="5ED2D669" w:rsidR="00FF7957" w:rsidRPr="00FF7957" w:rsidRDefault="00FF7957" w:rsidP="00F775EA">
      <w:pPr>
        <w:pStyle w:val="Bullet"/>
      </w:pPr>
      <w:r w:rsidRPr="00FF7957">
        <w:rPr>
          <w:rStyle w:val="Strong"/>
        </w:rPr>
        <w:t>Myfanwy Wallwork:</w:t>
      </w:r>
      <w:r w:rsidRPr="00FF7957">
        <w:t xml:space="preserve"> Executive General Manager, Regulatory Compliance Global, LexisNexis Legal &amp; Professional</w:t>
      </w:r>
    </w:p>
    <w:p w14:paraId="32E95A57" w14:textId="77777777" w:rsidR="00FF7957" w:rsidRPr="00FF7957" w:rsidRDefault="00FF7957" w:rsidP="00F775EA">
      <w:pPr>
        <w:pStyle w:val="Bullet"/>
      </w:pPr>
      <w:r w:rsidRPr="00FF7957">
        <w:rPr>
          <w:rStyle w:val="Strong"/>
        </w:rPr>
        <w:t>Dr Andrew Arch:</w:t>
      </w:r>
      <w:r w:rsidRPr="00FF7957">
        <w:t xml:space="preserve"> Principal Digital Accessibility Consultant, Intopia, Chair of Standards Australia’s ICT Accessibility Committee (IT40)</w:t>
      </w:r>
    </w:p>
    <w:p w14:paraId="3D3B83C3" w14:textId="73025542" w:rsidR="00FF7957" w:rsidRPr="00FF7957" w:rsidRDefault="00FF7957" w:rsidP="00F775EA">
      <w:pPr>
        <w:pStyle w:val="Bullet"/>
      </w:pPr>
      <w:r w:rsidRPr="00AF7B7A">
        <w:rPr>
          <w:rStyle w:val="Strong"/>
        </w:rPr>
        <w:lastRenderedPageBreak/>
        <w:t>Suzanne Colbert:</w:t>
      </w:r>
      <w:r w:rsidRPr="00FF7957">
        <w:t xml:space="preserve"> AM, GAICD, Strategic Advisor to Australian Network on Disability (AND) Former Chief Executive of AND</w:t>
      </w:r>
    </w:p>
    <w:p w14:paraId="2F3AA69C" w14:textId="77777777" w:rsidR="00FF7957" w:rsidRPr="00FF7957" w:rsidRDefault="00FF7957" w:rsidP="00F775EA">
      <w:pPr>
        <w:pStyle w:val="Bullet"/>
      </w:pPr>
      <w:r w:rsidRPr="00AF7B7A">
        <w:rPr>
          <w:rStyle w:val="Strong"/>
        </w:rPr>
        <w:t>Matt Hawkins:</w:t>
      </w:r>
      <w:r w:rsidRPr="00FF7957">
        <w:t xml:space="preserve"> Transformation Lead, Group Procurement ANZ Bank, Lead of AND’s Accessible Procurement Taskforce</w:t>
      </w:r>
    </w:p>
    <w:p w14:paraId="78166F2F" w14:textId="3B8DC2DB" w:rsidR="00FF7957" w:rsidRPr="00FF7957" w:rsidRDefault="00FF7957" w:rsidP="00F775EA">
      <w:pPr>
        <w:pStyle w:val="Bullet"/>
      </w:pPr>
      <w:r w:rsidRPr="00AF7B7A">
        <w:rPr>
          <w:rStyle w:val="Strong"/>
        </w:rPr>
        <w:t>Gisele Mesnage:</w:t>
      </w:r>
      <w:r w:rsidRPr="00FF7957">
        <w:t xml:space="preserve"> Founder of The Digital Gap Initiative</w:t>
      </w:r>
    </w:p>
    <w:p w14:paraId="0FB446FA" w14:textId="77777777" w:rsidR="00FF7957" w:rsidRPr="00FF7957" w:rsidRDefault="00FF7957" w:rsidP="00F775EA">
      <w:pPr>
        <w:pStyle w:val="Bullet"/>
      </w:pPr>
      <w:r w:rsidRPr="00AF7B7A">
        <w:rPr>
          <w:rStyle w:val="Strong"/>
        </w:rPr>
        <w:t>Gerry Neustatl:</w:t>
      </w:r>
      <w:r w:rsidRPr="00FF7957">
        <w:t xml:space="preserve"> Digital Accessibility &amp; Inclusive Design Lead, Australian Broadcasting Corporation, OZeWAI committee member</w:t>
      </w:r>
    </w:p>
    <w:p w14:paraId="1213A3B0" w14:textId="6B828161" w:rsidR="00FF7957" w:rsidRPr="00FF7957" w:rsidRDefault="00FF7957" w:rsidP="00F775EA">
      <w:pPr>
        <w:pStyle w:val="Bullet"/>
      </w:pPr>
      <w:r w:rsidRPr="00AF7B7A">
        <w:rPr>
          <w:rStyle w:val="Strong"/>
        </w:rPr>
        <w:t>Brigitta (Bri) Norton:</w:t>
      </w:r>
      <w:r w:rsidRPr="00FF7957">
        <w:t xml:space="preserve"> UX Designer, Accessibility Specialist and Digital Strategist, Co-Chair of OZeWAI.org, the professional association for Australian digital accessibility specialists and organisations</w:t>
      </w:r>
    </w:p>
    <w:p w14:paraId="167B59A0" w14:textId="5DD0EBC4" w:rsidR="00FF7957" w:rsidRPr="00FF7957" w:rsidRDefault="00FF7957" w:rsidP="00F775EA">
      <w:pPr>
        <w:pStyle w:val="Bullet"/>
      </w:pPr>
      <w:r w:rsidRPr="00AF7B7A">
        <w:rPr>
          <w:rStyle w:val="Strong"/>
        </w:rPr>
        <w:t>Gian Wild:</w:t>
      </w:r>
      <w:r w:rsidRPr="00FF7957">
        <w:t xml:space="preserve"> Founder, Owner and CEO of AccessibilityOz</w:t>
      </w:r>
    </w:p>
    <w:p w14:paraId="152A1BEE" w14:textId="77777777" w:rsidR="00FF7957" w:rsidRPr="00FF7957" w:rsidRDefault="00FF7957" w:rsidP="00490A8D">
      <w:pPr>
        <w:pStyle w:val="Heading3"/>
      </w:pPr>
      <w:r w:rsidRPr="00FF7957">
        <w:t>Expert advisory groups members</w:t>
      </w:r>
    </w:p>
    <w:p w14:paraId="0B7E33E9" w14:textId="429422AB" w:rsidR="00FF7957" w:rsidRPr="00FF7957" w:rsidRDefault="00FF7957" w:rsidP="00F775EA">
      <w:pPr>
        <w:pStyle w:val="Bullet"/>
      </w:pPr>
      <w:r w:rsidRPr="00AF7B7A">
        <w:rPr>
          <w:rStyle w:val="Strong"/>
        </w:rPr>
        <w:t>Tim McQueen:</w:t>
      </w:r>
      <w:r w:rsidRPr="00FF7957">
        <w:t xml:space="preserve"> Digital Content Manager, Australian Human Rights Commission</w:t>
      </w:r>
    </w:p>
    <w:p w14:paraId="039A18D6" w14:textId="77777777" w:rsidR="00FF7957" w:rsidRPr="00FF7957" w:rsidRDefault="00FF7957" w:rsidP="00F775EA">
      <w:pPr>
        <w:pStyle w:val="Bullet"/>
      </w:pPr>
      <w:r w:rsidRPr="00AF7B7A">
        <w:rPr>
          <w:rStyle w:val="Strong"/>
        </w:rPr>
        <w:t>Greg Alchin:</w:t>
      </w:r>
      <w:r w:rsidRPr="00FF7957">
        <w:t xml:space="preserve"> Principal Accessibility and Inclusion Specialist, Service NSW</w:t>
      </w:r>
    </w:p>
    <w:p w14:paraId="49B77D25" w14:textId="77777777" w:rsidR="00FF7957" w:rsidRPr="00FF7957" w:rsidRDefault="00FF7957" w:rsidP="00F775EA">
      <w:pPr>
        <w:pStyle w:val="Bullet"/>
      </w:pPr>
      <w:r w:rsidRPr="00AF7B7A">
        <w:rPr>
          <w:rStyle w:val="Strong"/>
        </w:rPr>
        <w:t>Andrew Normand:</w:t>
      </w:r>
      <w:r w:rsidRPr="00FF7957">
        <w:t xml:space="preserve"> Web Accessibility Lead, University of Melbourne</w:t>
      </w:r>
    </w:p>
    <w:p w14:paraId="1F48BF26" w14:textId="0EB935B6" w:rsidR="00FF7957" w:rsidRPr="00FF7957" w:rsidRDefault="00FF7957" w:rsidP="00F775EA">
      <w:pPr>
        <w:pStyle w:val="Bullet"/>
      </w:pPr>
      <w:r w:rsidRPr="00AF7B7A">
        <w:rPr>
          <w:rStyle w:val="Strong"/>
        </w:rPr>
        <w:t>Donna Purcell:</w:t>
      </w:r>
      <w:r w:rsidRPr="00FF7957">
        <w:t xml:space="preserve"> Branch Manager Office of Participant Advocate, </w:t>
      </w:r>
      <w:r w:rsidR="00AF7B7A">
        <w:br/>
      </w:r>
      <w:r w:rsidRPr="00FF7957">
        <w:t>National Disability Insurance Scheme</w:t>
      </w:r>
    </w:p>
    <w:p w14:paraId="44D9CBF4" w14:textId="77777777" w:rsidR="00FF7957" w:rsidRPr="00FF7957" w:rsidRDefault="00FF7957" w:rsidP="00F775EA">
      <w:pPr>
        <w:pStyle w:val="Bullet"/>
      </w:pPr>
      <w:r w:rsidRPr="00D94FCF">
        <w:rPr>
          <w:rStyle w:val="Strong"/>
        </w:rPr>
        <w:t>Brian Hardy:</w:t>
      </w:r>
      <w:r w:rsidRPr="00FF7957">
        <w:t xml:space="preserve"> Independent Member Finance and Risk Committee, </w:t>
      </w:r>
      <w:r w:rsidRPr="00FF7957">
        <w:br/>
        <w:t>Providing All Living Supports Inc</w:t>
      </w:r>
    </w:p>
    <w:p w14:paraId="72721D7D" w14:textId="4802DF03" w:rsidR="00FF7957" w:rsidRPr="00FF7957" w:rsidRDefault="00FF7957" w:rsidP="00F775EA">
      <w:pPr>
        <w:pStyle w:val="Bullet"/>
      </w:pPr>
      <w:r w:rsidRPr="00D94FCF">
        <w:rPr>
          <w:rStyle w:val="Strong"/>
        </w:rPr>
        <w:t>Erin Beel:</w:t>
      </w:r>
      <w:r w:rsidRPr="00FF7957">
        <w:t xml:space="preserve"> Independent Consultant, Erin Beel Design &amp; Accessibility</w:t>
      </w:r>
    </w:p>
    <w:p w14:paraId="1EE23A0D" w14:textId="77777777" w:rsidR="00FF7957" w:rsidRPr="00FF7957" w:rsidRDefault="00FF7957" w:rsidP="00F775EA">
      <w:pPr>
        <w:pStyle w:val="Bullet"/>
      </w:pPr>
      <w:r w:rsidRPr="00D94FCF">
        <w:rPr>
          <w:rStyle w:val="Strong"/>
        </w:rPr>
        <w:t>Lucy Serret:</w:t>
      </w:r>
      <w:r w:rsidRPr="00FF7957">
        <w:t xml:space="preserve"> Head of User Experience and Design, BindiMaps</w:t>
      </w:r>
    </w:p>
    <w:p w14:paraId="67D9BF17" w14:textId="31325301" w:rsidR="00FF7957" w:rsidRPr="00FF7957" w:rsidRDefault="00FF7957" w:rsidP="00F775EA">
      <w:pPr>
        <w:pStyle w:val="Bullet"/>
      </w:pPr>
      <w:r w:rsidRPr="00D94FCF">
        <w:rPr>
          <w:rStyle w:val="Strong"/>
        </w:rPr>
        <w:t>Matt Hawkins:</w:t>
      </w:r>
      <w:r w:rsidRPr="00FF7957">
        <w:t xml:space="preserve"> Director Procurement, University of Melbourne</w:t>
      </w:r>
    </w:p>
    <w:p w14:paraId="2784C24E" w14:textId="77777777" w:rsidR="00FF7957" w:rsidRPr="00FF7957" w:rsidRDefault="00FF7957" w:rsidP="00F775EA">
      <w:pPr>
        <w:pStyle w:val="Bullet"/>
      </w:pPr>
      <w:r w:rsidRPr="00D94FCF">
        <w:rPr>
          <w:rStyle w:val="Strong"/>
        </w:rPr>
        <w:t>Allison Ravenhall:</w:t>
      </w:r>
      <w:r w:rsidRPr="00FF7957">
        <w:t xml:space="preserve"> Principal Accessibility Specialist, Commonwealth Bank of Australia</w:t>
      </w:r>
    </w:p>
    <w:p w14:paraId="2B1EE1DC" w14:textId="77777777" w:rsidR="00FF7957" w:rsidRPr="00FF7957" w:rsidRDefault="00FF7957" w:rsidP="00F775EA">
      <w:pPr>
        <w:pStyle w:val="Bullet"/>
      </w:pPr>
      <w:r w:rsidRPr="00D94FCF">
        <w:rPr>
          <w:rStyle w:val="Strong"/>
        </w:rPr>
        <w:lastRenderedPageBreak/>
        <w:t>Ross Mullen:</w:t>
      </w:r>
      <w:r w:rsidRPr="00FF7957">
        <w:t xml:space="preserve"> Director, CANAXESS</w:t>
      </w:r>
    </w:p>
    <w:p w14:paraId="5ACB7F40" w14:textId="77777777" w:rsidR="00FF7957" w:rsidRPr="00FF7957" w:rsidRDefault="00FF7957" w:rsidP="00F775EA">
      <w:pPr>
        <w:pStyle w:val="Bullet"/>
      </w:pPr>
      <w:r w:rsidRPr="00D94FCF">
        <w:rPr>
          <w:rStyle w:val="Strong"/>
        </w:rPr>
        <w:t>Jack Fitzgerald:</w:t>
      </w:r>
      <w:r w:rsidRPr="00FF7957">
        <w:t xml:space="preserve"> Assistant Director, Service Experience Standards Team, Digital Transformation Agency</w:t>
      </w:r>
    </w:p>
    <w:p w14:paraId="4BDD9B48" w14:textId="72A709D4" w:rsidR="00FF7957" w:rsidRPr="00FF7957" w:rsidRDefault="00FF7957" w:rsidP="00F775EA">
      <w:pPr>
        <w:pStyle w:val="Bullet"/>
      </w:pPr>
      <w:r w:rsidRPr="00D94FCF">
        <w:rPr>
          <w:rStyle w:val="Strong"/>
        </w:rPr>
        <w:t>Stuart Hill:</w:t>
      </w:r>
      <w:r w:rsidRPr="00FF7957">
        <w:t xml:space="preserve"> Assistant Director of web and digital, Australian Public Service Commission</w:t>
      </w:r>
    </w:p>
    <w:p w14:paraId="0F9AFB9E" w14:textId="2AFD93B7" w:rsidR="00FF7957" w:rsidRPr="00FF7957" w:rsidRDefault="00FF7957" w:rsidP="00F775EA">
      <w:pPr>
        <w:pStyle w:val="Bullet"/>
      </w:pPr>
      <w:r w:rsidRPr="00D94FCF">
        <w:rPr>
          <w:rStyle w:val="Strong"/>
        </w:rPr>
        <w:t>Darren Britten:</w:t>
      </w:r>
      <w:r w:rsidRPr="00FF7957">
        <w:t xml:space="preserve"> National Assistive Technology Project Officer, Australia Disability Clearinghouse on Education and Training</w:t>
      </w:r>
    </w:p>
    <w:p w14:paraId="47B38370" w14:textId="77777777" w:rsidR="00FF7957" w:rsidRPr="00FF7957" w:rsidRDefault="00FF7957" w:rsidP="00F775EA">
      <w:pPr>
        <w:pStyle w:val="Bullet"/>
      </w:pPr>
      <w:r w:rsidRPr="00D94FCF">
        <w:rPr>
          <w:rStyle w:val="Strong"/>
        </w:rPr>
        <w:t>David Swayn:</w:t>
      </w:r>
      <w:r w:rsidRPr="00FF7957">
        <w:t xml:space="preserve"> Disability Policy Officer, Australian Communications Consumer Action Network</w:t>
      </w:r>
    </w:p>
    <w:p w14:paraId="4CC62B84" w14:textId="77777777" w:rsidR="00FF7957" w:rsidRPr="00FF7957" w:rsidRDefault="00FF7957" w:rsidP="00F775EA">
      <w:pPr>
        <w:pStyle w:val="Bullet"/>
      </w:pPr>
      <w:r w:rsidRPr="00D94FCF">
        <w:rPr>
          <w:rStyle w:val="Strong"/>
        </w:rPr>
        <w:t>Glenn Mogford:</w:t>
      </w:r>
      <w:r w:rsidRPr="00FF7957">
        <w:t xml:space="preserve"> Executive Design Director Digital, NAB</w:t>
      </w:r>
    </w:p>
    <w:p w14:paraId="698039E6" w14:textId="5D188FDF" w:rsidR="00FF7957" w:rsidRPr="00FF7957" w:rsidRDefault="00FF7957" w:rsidP="00F775EA">
      <w:pPr>
        <w:pStyle w:val="Bullet"/>
      </w:pPr>
      <w:r w:rsidRPr="00D94FCF">
        <w:rPr>
          <w:rStyle w:val="Strong"/>
        </w:rPr>
        <w:t>Carolina Pachioli:</w:t>
      </w:r>
      <w:r w:rsidRPr="00FF7957">
        <w:t xml:space="preserve"> Digital Communications Lead, National Disability Services</w:t>
      </w:r>
    </w:p>
    <w:p w14:paraId="773A0950" w14:textId="1254474A" w:rsidR="00FF7957" w:rsidRPr="00FF7957" w:rsidRDefault="00FF7957" w:rsidP="00F775EA">
      <w:pPr>
        <w:pStyle w:val="Bullet"/>
      </w:pPr>
      <w:r w:rsidRPr="00D94FCF">
        <w:rPr>
          <w:rStyle w:val="Strong"/>
        </w:rPr>
        <w:t>Majella Knobel:</w:t>
      </w:r>
      <w:r w:rsidRPr="00FF7957">
        <w:t xml:space="preserve"> Head of Access and Inclusion, Westpac</w:t>
      </w:r>
    </w:p>
    <w:p w14:paraId="08843D53" w14:textId="77777777" w:rsidR="00FF7957" w:rsidRPr="00FF7957" w:rsidRDefault="00FF7957" w:rsidP="00F775EA">
      <w:pPr>
        <w:pStyle w:val="Bullet"/>
      </w:pPr>
      <w:r w:rsidRPr="00D94FCF">
        <w:rPr>
          <w:rStyle w:val="Strong"/>
        </w:rPr>
        <w:t>Laura Pettenuzzo:</w:t>
      </w:r>
      <w:r w:rsidRPr="00FF7957">
        <w:t xml:space="preserve"> Inclusion Support Coordinator, Children and Young People with Disability Australia</w:t>
      </w:r>
    </w:p>
    <w:p w14:paraId="543144FC" w14:textId="77777777" w:rsidR="00FF7957" w:rsidRPr="00FF7957" w:rsidRDefault="00FF7957" w:rsidP="00F775EA">
      <w:pPr>
        <w:pStyle w:val="Bullet"/>
      </w:pPr>
      <w:r w:rsidRPr="00D94FCF">
        <w:rPr>
          <w:rStyle w:val="Strong"/>
        </w:rPr>
        <w:t>Jess Schulz:</w:t>
      </w:r>
      <w:r w:rsidRPr="00FF7957">
        <w:t xml:space="preserve"> Senior Communications Officer, Disability Advocacy Network Australia.</w:t>
      </w:r>
    </w:p>
    <w:p w14:paraId="01305B5B" w14:textId="77777777" w:rsidR="00FF7957" w:rsidRPr="00FF7957" w:rsidRDefault="00FF7957" w:rsidP="00AF7B7A">
      <w:r w:rsidRPr="00FF7957">
        <w:t>The Commission is grateful to all individuals and organisations that participated by making submissions to the public consultation.</w:t>
      </w:r>
    </w:p>
    <w:p w14:paraId="1D396717" w14:textId="77777777" w:rsidR="00FF7957" w:rsidRPr="00FF7957" w:rsidRDefault="00FF7957" w:rsidP="00FF7957">
      <w:pPr>
        <w:pStyle w:val="ListParagraph"/>
      </w:pPr>
    </w:p>
    <w:p w14:paraId="368F12AB" w14:textId="31261971" w:rsidR="00FF7957" w:rsidRDefault="00FF7957" w:rsidP="00FF7957">
      <w:pPr>
        <w:rPr>
          <w:rFonts w:ascii="Open Sans SemiBold" w:hAnsi="Open Sans SemiBold" w:cs="Arial"/>
          <w:b/>
          <w:bCs/>
          <w:color w:val="1B587C" w:themeColor="accent3"/>
          <w:sz w:val="36"/>
          <w:szCs w:val="28"/>
          <w:lang w:val="en-GB"/>
        </w:rPr>
      </w:pPr>
      <w:r>
        <w:rPr>
          <w:rFonts w:ascii="Open Sans SemiBold" w:hAnsi="Open Sans SemiBold" w:cs="Arial"/>
          <w:b/>
          <w:bCs/>
          <w:color w:val="1B587C" w:themeColor="accent3"/>
          <w:sz w:val="36"/>
          <w:szCs w:val="28"/>
          <w:lang w:val="en-GB"/>
        </w:rPr>
        <w:br w:type="page"/>
      </w:r>
    </w:p>
    <w:p w14:paraId="27725C0F" w14:textId="12083ABB" w:rsidR="002250F0" w:rsidRPr="002250F0" w:rsidRDefault="002250F0" w:rsidP="002250F0">
      <w:pPr>
        <w:pStyle w:val="Heading1"/>
        <w:rPr>
          <w:lang w:val="en-GB"/>
        </w:rPr>
      </w:pPr>
      <w:bookmarkStart w:id="12" w:name="_Toc194569625"/>
      <w:r w:rsidRPr="002250F0">
        <w:rPr>
          <w:lang w:val="en-GB"/>
        </w:rPr>
        <w:lastRenderedPageBreak/>
        <w:t xml:space="preserve">Foreword by Rosemary Kayess, </w:t>
      </w:r>
      <w:r w:rsidRPr="002250F0">
        <w:rPr>
          <w:lang w:val="en-GB"/>
        </w:rPr>
        <w:br/>
        <w:t xml:space="preserve">Disability Discrimination </w:t>
      </w:r>
      <w:r w:rsidR="004C7B9B">
        <w:rPr>
          <w:lang w:val="en-GB"/>
        </w:rPr>
        <w:t>C</w:t>
      </w:r>
      <w:r w:rsidRPr="002250F0">
        <w:rPr>
          <w:lang w:val="en-GB"/>
        </w:rPr>
        <w:t>ommissioner</w:t>
      </w:r>
      <w:bookmarkEnd w:id="12"/>
    </w:p>
    <w:p w14:paraId="5A10BBA1" w14:textId="77777777" w:rsidR="002250F0" w:rsidRPr="002250F0" w:rsidRDefault="002250F0" w:rsidP="002250F0">
      <w:pPr>
        <w:spacing w:after="120" w:line="288" w:lineRule="auto"/>
        <w:rPr>
          <w:rFonts w:cs="Open Sans"/>
        </w:rPr>
      </w:pPr>
      <w:r w:rsidRPr="002250F0">
        <w:rPr>
          <w:rFonts w:cs="Open Sans"/>
        </w:rPr>
        <w:t xml:space="preserve">We are part of the Digital Age, a time of rapid technological advancement and change. This has the ability and potential to be a catalyst for the social and economic inclusion of people with disability. Technology now plays a major role in everyday life in facilitating communication and transactions. </w:t>
      </w:r>
      <w:r w:rsidRPr="002250F0">
        <w:rPr>
          <w:rFonts w:cs="Open Sans"/>
        </w:rPr>
        <w:br/>
        <w:t>If that technology is accessible, then people with disability can be participants in all aspects of community life: civic and political, economic, social and cultural. </w:t>
      </w:r>
    </w:p>
    <w:p w14:paraId="4EFAFD08" w14:textId="77777777" w:rsidR="002250F0" w:rsidRPr="002250F0" w:rsidRDefault="002250F0" w:rsidP="002250F0">
      <w:pPr>
        <w:spacing w:after="120" w:line="288" w:lineRule="auto"/>
        <w:rPr>
          <w:rFonts w:cs="Open Sans"/>
        </w:rPr>
      </w:pPr>
      <w:r w:rsidRPr="002250F0">
        <w:rPr>
          <w:rFonts w:cs="Open Sans"/>
        </w:rPr>
        <w:t>The central role that technology has in everyday life highlights the importance of this update of the Commission’s Guidelines on digital accessibility. The Guidelines reflect developments in contemporary digital environments and practices and encompass digital accessibility across a wide range of platforms beyond websites and web-based content.</w:t>
      </w:r>
    </w:p>
    <w:p w14:paraId="0DCA0B2E" w14:textId="08299EDA" w:rsidR="002250F0" w:rsidRPr="002250F0" w:rsidRDefault="002250F0" w:rsidP="002250F0">
      <w:pPr>
        <w:spacing w:after="120" w:line="288" w:lineRule="auto"/>
        <w:rPr>
          <w:rFonts w:cs="Open Sans"/>
        </w:rPr>
      </w:pPr>
      <w:r w:rsidRPr="002250F0">
        <w:rPr>
          <w:rFonts w:cs="Open Sans"/>
        </w:rPr>
        <w:t>People with disability use a diverse range of smart and alternative communication devices. We rely on accessible websites and screen readers, on voice recognition technology, and on automated captioning, screen-in-screen technology to provide sign language interpretation. For many people with disability these are vital technologies enabling communication with others, learning and getting up-to-date information. In turn, the use of this technology is instrumental in enabling people with disability to participate in political and public life.</w:t>
      </w:r>
    </w:p>
    <w:p w14:paraId="1B1B8D13" w14:textId="77777777" w:rsidR="002250F0" w:rsidRDefault="002250F0" w:rsidP="002250F0">
      <w:pPr>
        <w:spacing w:after="120" w:line="288" w:lineRule="auto"/>
        <w:rPr>
          <w:rFonts w:cs="Open Sans"/>
        </w:rPr>
      </w:pPr>
      <w:r w:rsidRPr="002250F0">
        <w:rPr>
          <w:rFonts w:cs="Open Sans"/>
        </w:rPr>
        <w:t>We all need access to technology; it has become an essential element of how we live, work and interact. It has become central to our communication, economy, education, healthcare, and social dynamics and, as such, facilitates our enjoyment of fundamental human rights. However, we don’t all enjoy access to technology on an equal basis with others.</w:t>
      </w:r>
    </w:p>
    <w:p w14:paraId="0AFFCF92" w14:textId="77777777" w:rsidR="002250F0" w:rsidRPr="002250F0" w:rsidRDefault="002250F0" w:rsidP="002250F0">
      <w:pPr>
        <w:spacing w:after="120" w:line="288" w:lineRule="auto"/>
        <w:rPr>
          <w:rFonts w:cs="Open Sans"/>
        </w:rPr>
      </w:pPr>
      <w:r w:rsidRPr="002250F0">
        <w:rPr>
          <w:rFonts w:cs="Open Sans"/>
        </w:rPr>
        <w:lastRenderedPageBreak/>
        <w:t>Significant barriers arise from the lack of application of universal design principles and lack of focus on the diversity of end users. These barriers include inaccessible technologies that prevent children with disability from learning alongside their classmates, failure to provide accessible ICT at polling booths and essential services information portals that prevent people exercising their civil and political rights and accessing support in times of crisis. For many, their employment opportunities are compromised when the technologies required for work are inaccessible, or the online application processes are rendered inaccessible through use of security tools such as CAPTCHA. Our access to entertainment and cultural life is hindered by television programs, films, theatre not being captioned or audio described.  And the often-prohibitive cost of assistive technology or its lack of availability for people who live in rural and remote areas hold us back.</w:t>
      </w:r>
    </w:p>
    <w:p w14:paraId="12CADA53" w14:textId="77777777" w:rsidR="002250F0" w:rsidRPr="002250F0" w:rsidRDefault="002250F0" w:rsidP="002250F0">
      <w:pPr>
        <w:spacing w:after="120" w:line="288" w:lineRule="auto"/>
        <w:rPr>
          <w:rFonts w:cs="Open Sans"/>
        </w:rPr>
      </w:pPr>
      <w:r w:rsidRPr="002250F0">
        <w:rPr>
          <w:rFonts w:cs="Open Sans"/>
        </w:rPr>
        <w:t>The Disability Discrimination Act prohibits and seeks to eliminate discrimination on the ground of disability in areas of public life. This includes those areas of public life that have a digital component, such as online learning, hybrid working arrangements, and essential services such as banking or grocery shopping. To achieve the promise of the Disability Discrimination Act, all technology needs to be accessible to people with disability. It’s not just about assistive technology or technology to enhance the lives of people with disability - it requires all technology to be designed with people with disability in mind and to be inclusive and responsive to the needs of people with disability so that everyone can enjoy the benefits of technology.</w:t>
      </w:r>
    </w:p>
    <w:p w14:paraId="0B26642B" w14:textId="77777777" w:rsidR="002250F0" w:rsidRPr="002250F0" w:rsidRDefault="002250F0" w:rsidP="002250F0">
      <w:pPr>
        <w:spacing w:after="120" w:line="288" w:lineRule="auto"/>
        <w:rPr>
          <w:rFonts w:cs="Open Sans"/>
        </w:rPr>
      </w:pPr>
      <w:r w:rsidRPr="002250F0">
        <w:rPr>
          <w:rFonts w:cs="Open Sans"/>
          <w:i/>
          <w:iCs/>
        </w:rPr>
        <w:t>The Guidelines on equal access to digital goods and services</w:t>
      </w:r>
      <w:r w:rsidRPr="002250F0">
        <w:rPr>
          <w:rFonts w:cs="Open Sans"/>
        </w:rPr>
        <w:t xml:space="preserve"> assists organisations to meet their obligations under the Disability Discrimination Act. I encourage providers of digital goods and services to understand the reasons for, and the benefits of universal accessibility.</w:t>
      </w:r>
    </w:p>
    <w:p w14:paraId="5ADD7A12" w14:textId="77777777" w:rsidR="002250F0" w:rsidRPr="002250F0" w:rsidRDefault="002250F0" w:rsidP="002250F0">
      <w:pPr>
        <w:spacing w:after="120" w:line="288" w:lineRule="auto"/>
        <w:rPr>
          <w:rFonts w:cs="Open Sans"/>
        </w:rPr>
      </w:pPr>
      <w:r w:rsidRPr="002250F0">
        <w:rPr>
          <w:rFonts w:cs="Open Sans"/>
        </w:rPr>
        <w:t xml:space="preserve">I would like to thank Intopia for contributing expertise and passion to </w:t>
      </w:r>
      <w:r w:rsidRPr="002250F0">
        <w:rPr>
          <w:rFonts w:cs="Open Sans"/>
        </w:rPr>
        <w:br/>
        <w:t>the development of these Guidelines.</w:t>
      </w:r>
    </w:p>
    <w:p w14:paraId="42BB4E17" w14:textId="01C68B8E" w:rsidR="007873C8" w:rsidRPr="002250F0" w:rsidRDefault="002250F0" w:rsidP="002250F0">
      <w:pPr>
        <w:spacing w:before="480" w:line="288" w:lineRule="auto"/>
        <w:rPr>
          <w:b/>
          <w:bCs/>
        </w:rPr>
      </w:pPr>
      <w:r w:rsidRPr="002250F0">
        <w:rPr>
          <w:b/>
          <w:bCs/>
        </w:rPr>
        <w:t>Rosemary Kayess,</w:t>
      </w:r>
      <w:r>
        <w:rPr>
          <w:b/>
          <w:bCs/>
        </w:rPr>
        <w:br/>
      </w:r>
      <w:r w:rsidRPr="002250F0">
        <w:t>Disability Discrimination Commissioner</w:t>
      </w:r>
      <w:r w:rsidRPr="002250F0">
        <w:br/>
        <w:t>Australian Human Rights Commission</w:t>
      </w:r>
    </w:p>
    <w:p w14:paraId="13FB5C00" w14:textId="36A552CC" w:rsidR="00A457B7" w:rsidRPr="00A457B7" w:rsidRDefault="00A457B7" w:rsidP="00A457B7">
      <w:pPr>
        <w:rPr>
          <w:rFonts w:ascii="Open Sans SemiBold" w:hAnsi="Open Sans SemiBold" w:cs="Arial"/>
          <w:b/>
          <w:bCs/>
          <w:color w:val="1B587C" w:themeColor="accent3"/>
          <w:sz w:val="36"/>
          <w:szCs w:val="28"/>
          <w:lang w:val="en-GB"/>
        </w:rPr>
      </w:pPr>
      <w:r w:rsidRPr="00A457B7">
        <w:rPr>
          <w:rFonts w:ascii="Open Sans SemiBold" w:hAnsi="Open Sans SemiBold" w:cs="Arial"/>
          <w:b/>
          <w:bCs/>
          <w:color w:val="1B587C" w:themeColor="accent3"/>
          <w:sz w:val="36"/>
          <w:szCs w:val="28"/>
          <w:lang w:val="en-GB"/>
        </w:rPr>
        <w:lastRenderedPageBreak/>
        <w:t xml:space="preserve">Foreword by Sarah Pulis, </w:t>
      </w:r>
      <w:r w:rsidR="00DB1122">
        <w:rPr>
          <w:rFonts w:ascii="Open Sans SemiBold" w:hAnsi="Open Sans SemiBold" w:cs="Arial"/>
          <w:b/>
          <w:bCs/>
          <w:color w:val="1B587C" w:themeColor="accent3"/>
          <w:sz w:val="36"/>
          <w:szCs w:val="28"/>
          <w:lang w:val="en-GB"/>
        </w:rPr>
        <w:br/>
      </w:r>
      <w:r w:rsidRPr="00A457B7">
        <w:rPr>
          <w:rFonts w:ascii="Open Sans SemiBold" w:hAnsi="Open Sans SemiBold" w:cs="Arial"/>
          <w:b/>
          <w:bCs/>
          <w:color w:val="1B587C" w:themeColor="accent3"/>
          <w:sz w:val="36"/>
          <w:szCs w:val="28"/>
          <w:lang w:val="en-GB"/>
        </w:rPr>
        <w:t>Director and Co-Founder of Intopia</w:t>
      </w:r>
    </w:p>
    <w:p w14:paraId="18900ACE" w14:textId="77777777" w:rsidR="00A457B7" w:rsidRPr="00A457B7" w:rsidRDefault="00A457B7" w:rsidP="00A457B7">
      <w:r w:rsidRPr="00A457B7">
        <w:t xml:space="preserve">In an increasingly digital world, access to digital products and services is not a luxury but a fundamental right. Technology has the power to break down barriers and create opportunities for all. However, without the right approach and guidance, it can also reinforce inequities. </w:t>
      </w:r>
    </w:p>
    <w:p w14:paraId="68FB3F79" w14:textId="77777777" w:rsidR="00A457B7" w:rsidRPr="00A457B7" w:rsidRDefault="00A457B7" w:rsidP="00A457B7">
      <w:r w:rsidRPr="00A457B7">
        <w:t xml:space="preserve">Intopia was honoured to partner with the Australian Human Rights Commission to produce these Guidelines. The Guidelines provide clear and actionable advice that supports organisations to create digital experiences that are truly inclusive. </w:t>
      </w:r>
    </w:p>
    <w:p w14:paraId="09BEFF78" w14:textId="77777777" w:rsidR="00A457B7" w:rsidRPr="00A457B7" w:rsidRDefault="00A457B7" w:rsidP="00A457B7">
      <w:r w:rsidRPr="00A457B7">
        <w:t xml:space="preserve">We recognise that accessibility is an ongoing journey, one that evolves alongside technology and user needs. We want to acknowledge the advisors who generously gave their time and input into the guidelines – people with disabilities, those who will use the guidelines, and technical experts in </w:t>
      </w:r>
      <w:r w:rsidRPr="00A457B7">
        <w:br/>
        <w:t>the field of accessibility.</w:t>
      </w:r>
    </w:p>
    <w:p w14:paraId="7F5B5164" w14:textId="77777777" w:rsidR="00A457B7" w:rsidRPr="00A457B7" w:rsidRDefault="00A457B7" w:rsidP="00A457B7">
      <w:r w:rsidRPr="00A457B7">
        <w:t>The guidance in this document doesn’t just support legal requirements—they represent a commitment to fairness, usability, and dignity. By embedding accessibility into the way organisations operate, they can foster innovation, enhance user engagement, and contribute to a more equitable society.</w:t>
      </w:r>
    </w:p>
    <w:p w14:paraId="2E701799" w14:textId="77777777" w:rsidR="00A457B7" w:rsidRDefault="00A457B7" w:rsidP="00A457B7">
      <w:r w:rsidRPr="00A457B7">
        <w:t xml:space="preserve">We hope that these guidelines serve as a renewed catalyst for meaningful change, ensuring that no one is excluded from the digital world because of barriers that can and should be removed. Together, we can build an inclusive digital world - one that upholds the rights of individuals and strengthens our communities. </w:t>
      </w:r>
    </w:p>
    <w:p w14:paraId="049DE492" w14:textId="3A7756FE" w:rsidR="007873C8" w:rsidRPr="00A457B7" w:rsidRDefault="00A457B7" w:rsidP="00A457B7">
      <w:pPr>
        <w:spacing w:before="480" w:line="288" w:lineRule="auto"/>
      </w:pPr>
      <w:r>
        <w:rPr>
          <w:b/>
          <w:bCs/>
        </w:rPr>
        <w:t>Sarah Pulis</w:t>
      </w:r>
      <w:r w:rsidRPr="002250F0">
        <w:rPr>
          <w:b/>
          <w:bCs/>
        </w:rPr>
        <w:t>,</w:t>
      </w:r>
      <w:r>
        <w:rPr>
          <w:b/>
          <w:bCs/>
        </w:rPr>
        <w:br/>
      </w:r>
      <w:r w:rsidRPr="00A457B7">
        <w:t>Director and Co-Founder</w:t>
      </w:r>
      <w:r>
        <w:br/>
      </w:r>
      <w:r w:rsidRPr="00A457B7">
        <w:t>Intopia</w:t>
      </w:r>
      <w:r w:rsidR="007873C8">
        <w:br w:type="page"/>
      </w:r>
    </w:p>
    <w:p w14:paraId="792342D4" w14:textId="77777777" w:rsidR="00CE2DB6" w:rsidRDefault="00CE2DB6" w:rsidP="00CE2DB6">
      <w:pPr>
        <w:pStyle w:val="Heading1"/>
      </w:pPr>
      <w:bookmarkStart w:id="13" w:name="_Toc791477735"/>
      <w:bookmarkStart w:id="14" w:name="_Toc194569626"/>
      <w:r w:rsidRPr="00CE2DB6">
        <w:lastRenderedPageBreak/>
        <w:t>Executive</w:t>
      </w:r>
      <w:r>
        <w:t xml:space="preserve"> Summary</w:t>
      </w:r>
      <w:bookmarkEnd w:id="13"/>
      <w:bookmarkEnd w:id="14"/>
    </w:p>
    <w:p w14:paraId="58C7C61C" w14:textId="77777777" w:rsidR="00CE2DB6" w:rsidRPr="00927387" w:rsidRDefault="00CE2DB6" w:rsidP="00CE2DB6">
      <w:pPr>
        <w:rPr>
          <w:rFonts w:ascii="Aptos" w:hAnsi="Aptos"/>
        </w:rPr>
      </w:pPr>
      <w:r w:rsidRPr="01678B86">
        <w:rPr>
          <w:rFonts w:ascii="Aptos" w:hAnsi="Aptos"/>
        </w:rPr>
        <w:t xml:space="preserve">The </w:t>
      </w:r>
      <w:r w:rsidRPr="01678B86">
        <w:rPr>
          <w:rFonts w:ascii="Aptos" w:hAnsi="Aptos"/>
          <w:i/>
          <w:iCs/>
        </w:rPr>
        <w:t>Disability Discrimination Act 1992</w:t>
      </w:r>
      <w:r w:rsidRPr="01678B86">
        <w:rPr>
          <w:rFonts w:ascii="Aptos" w:hAnsi="Aptos"/>
        </w:rPr>
        <w:t xml:space="preserve"> (</w:t>
      </w:r>
      <w:proofErr w:type="spellStart"/>
      <w:r w:rsidRPr="01678B86">
        <w:rPr>
          <w:rFonts w:ascii="Aptos" w:hAnsi="Aptos"/>
        </w:rPr>
        <w:t>Cth</w:t>
      </w:r>
      <w:proofErr w:type="spellEnd"/>
      <w:r w:rsidRPr="01678B86">
        <w:rPr>
          <w:rFonts w:ascii="Aptos" w:hAnsi="Aptos"/>
        </w:rPr>
        <w:t>) (Disability Discrimination Act) is a federal law that makes discrimination on the ground of disability unlawful in areas of public life. It aims to eliminate discrimination, as far as possible, against people with disability and to recognise that people with disability have the same fundamental rights as others.</w:t>
      </w:r>
      <w:r w:rsidRPr="01678B86">
        <w:rPr>
          <w:rStyle w:val="EndnoteReference"/>
          <w:rFonts w:ascii="Aptos" w:hAnsi="Aptos"/>
        </w:rPr>
        <w:endnoteReference w:id="2"/>
      </w:r>
    </w:p>
    <w:p w14:paraId="03080D32" w14:textId="77777777" w:rsidR="00CE2DB6" w:rsidRPr="00927387" w:rsidRDefault="00CE2DB6" w:rsidP="00CE2DB6">
      <w:pPr>
        <w:rPr>
          <w:rFonts w:ascii="Aptos" w:hAnsi="Aptos"/>
        </w:rPr>
      </w:pPr>
      <w:r w:rsidRPr="01678B86">
        <w:rPr>
          <w:rFonts w:ascii="Aptos" w:hAnsi="Aptos"/>
        </w:rPr>
        <w:t>These Guidelines will assist organisations to meet their obligations under the Disability Discrimination Act when providing digital goods and services.</w:t>
      </w:r>
    </w:p>
    <w:p w14:paraId="66EEF5A7" w14:textId="77777777" w:rsidR="00CE2DB6" w:rsidRDefault="00CE2DB6" w:rsidP="00CE2DB6">
      <w:pPr>
        <w:rPr>
          <w:rFonts w:ascii="Aptos" w:hAnsi="Aptos"/>
        </w:rPr>
      </w:pPr>
      <w:r>
        <w:rPr>
          <w:rFonts w:ascii="Aptos" w:hAnsi="Aptos"/>
        </w:rPr>
        <w:t xml:space="preserve">While the subject matter is by nature technical, effort has been made to lay out the requirements expected of organisations in simple terms. Links to detailed technical references are included. </w:t>
      </w:r>
    </w:p>
    <w:p w14:paraId="7852F43D" w14:textId="77777777" w:rsidR="00CE2DB6" w:rsidRPr="00E60FEE" w:rsidRDefault="00CE2DB6" w:rsidP="00CE2DB6">
      <w:pPr>
        <w:rPr>
          <w:rFonts w:ascii="Aptos" w:hAnsi="Aptos"/>
        </w:rPr>
      </w:pPr>
      <w:r w:rsidRPr="01678B86">
        <w:rPr>
          <w:rFonts w:ascii="Aptos" w:hAnsi="Aptos"/>
        </w:rPr>
        <w:t>Meeting the standards and guidelines discussed in this document will help organisations to meet their obligations under the Disability Discrimination Act. They are the minimum organisations should aim for. Best practice means that organisations should strive to avoid discrimination by ensuring they provide equal access to digital goods and services to everyone.</w:t>
      </w:r>
    </w:p>
    <w:p w14:paraId="2170C092" w14:textId="77777777" w:rsidR="00CE2DB6" w:rsidRDefault="00CE2DB6" w:rsidP="00490A8D">
      <w:pPr>
        <w:pStyle w:val="Heading2"/>
      </w:pPr>
      <w:bookmarkStart w:id="15" w:name="_Toc194569627"/>
      <w:r>
        <w:t>The Guidelines are organised into 3 Chapters:</w:t>
      </w:r>
      <w:bookmarkEnd w:id="15"/>
    </w:p>
    <w:p w14:paraId="7D9876FA" w14:textId="77777777" w:rsidR="00CE2DB6" w:rsidRPr="00CE2DB6" w:rsidRDefault="00CE2DB6" w:rsidP="002D2B05">
      <w:pPr>
        <w:pStyle w:val="Quotebullets"/>
        <w:numPr>
          <w:ilvl w:val="0"/>
          <w:numId w:val="157"/>
        </w:numPr>
        <w:rPr>
          <w:rStyle w:val="Strong"/>
        </w:rPr>
      </w:pPr>
      <w:r w:rsidRPr="00CE2DB6">
        <w:rPr>
          <w:rStyle w:val="Strong"/>
        </w:rPr>
        <w:t>overview of the Disability Discrimination Act and how it applies to digital goods and services</w:t>
      </w:r>
    </w:p>
    <w:p w14:paraId="5D196222" w14:textId="77777777" w:rsidR="00CE2DB6" w:rsidRPr="00CE2DB6" w:rsidRDefault="00CE2DB6" w:rsidP="002D2B05">
      <w:pPr>
        <w:pStyle w:val="Quotebullets"/>
        <w:numPr>
          <w:ilvl w:val="0"/>
          <w:numId w:val="157"/>
        </w:numPr>
        <w:rPr>
          <w:rStyle w:val="Strong"/>
        </w:rPr>
      </w:pPr>
      <w:r w:rsidRPr="00CE2DB6">
        <w:rPr>
          <w:rStyle w:val="Strong"/>
        </w:rPr>
        <w:t>recommendations for organisations and business on how to provide equal access to digital goods and services</w:t>
      </w:r>
    </w:p>
    <w:p w14:paraId="31D6A25F" w14:textId="77777777" w:rsidR="00CE2DB6" w:rsidRPr="00CE2DB6" w:rsidRDefault="00CE2DB6" w:rsidP="002D2B05">
      <w:pPr>
        <w:pStyle w:val="Quotebullets"/>
        <w:numPr>
          <w:ilvl w:val="0"/>
          <w:numId w:val="157"/>
        </w:numPr>
        <w:rPr>
          <w:rStyle w:val="Strong"/>
        </w:rPr>
      </w:pPr>
      <w:r w:rsidRPr="00CE2DB6">
        <w:rPr>
          <w:rStyle w:val="Strong"/>
        </w:rPr>
        <w:t>standards and guidelines that apply in Australia.</w:t>
      </w:r>
    </w:p>
    <w:p w14:paraId="121FDF32" w14:textId="77777777" w:rsidR="00CE2DB6" w:rsidRDefault="00CE2DB6" w:rsidP="00CE2DB6"/>
    <w:p w14:paraId="6BC23BFB" w14:textId="77777777" w:rsidR="00CE2DB6" w:rsidRDefault="00CE2DB6" w:rsidP="00CE2DB6">
      <w:pPr>
        <w:pStyle w:val="Heading1"/>
      </w:pPr>
      <w:bookmarkStart w:id="16" w:name="_Toc163041639"/>
      <w:bookmarkStart w:id="17" w:name="_Toc1320376879"/>
      <w:bookmarkStart w:id="18" w:name="_Toc194569628"/>
      <w:r>
        <w:lastRenderedPageBreak/>
        <w:t>Glossary and definitions</w:t>
      </w:r>
      <w:bookmarkEnd w:id="16"/>
      <w:bookmarkEnd w:id="17"/>
      <w:bookmarkEnd w:id="18"/>
    </w:p>
    <w:p w14:paraId="44D91B55" w14:textId="77777777" w:rsidR="005324D4" w:rsidRPr="005324D4" w:rsidRDefault="005324D4" w:rsidP="004C7B9B">
      <w:pPr>
        <w:pStyle w:val="Heading2glossary"/>
      </w:pPr>
      <w:bookmarkStart w:id="19" w:name="_Toc194569629"/>
      <w:bookmarkStart w:id="20" w:name="_Toc1116819128"/>
      <w:r w:rsidRPr="005324D4">
        <w:t>Ableism</w:t>
      </w:r>
      <w:bookmarkEnd w:id="19"/>
    </w:p>
    <w:p w14:paraId="57FA730E" w14:textId="77777777" w:rsidR="005324D4" w:rsidRPr="005324D4" w:rsidRDefault="005324D4" w:rsidP="005324D4">
      <w:r w:rsidRPr="005324D4">
        <w:t>Ableism is the basis of how society understands what it means to be human. Disability is viewed as a deficit of the individual who does not meet the bodily, cognitive and mental attributes of ‘normal’ human beings. People with disability are devalued and seen as inherently vulnerable and in need of ‘fixing’ or ‘curing’. Ableism is deeply embedded in legal, policy and practice frameworks and in everyday individual and community attitudes. It results in inequality and discrimination and is the basis for special and segregated settings for the care, treatment and protection of people with disability. The belief that people with disability are incapable of being part of the community becomes self-evident, and the segregation and exclusion of people with disability from community life is unquestioned.</w:t>
      </w:r>
    </w:p>
    <w:p w14:paraId="3E1CBE7F" w14:textId="77777777" w:rsidR="005324D4" w:rsidRPr="005324D4" w:rsidRDefault="005324D4" w:rsidP="004C7B9B">
      <w:pPr>
        <w:pStyle w:val="Heading2glossary"/>
      </w:pPr>
      <w:bookmarkStart w:id="21" w:name="_Toc194569630"/>
      <w:r w:rsidRPr="005324D4">
        <w:t>Assistive Technology</w:t>
      </w:r>
      <w:bookmarkEnd w:id="21"/>
    </w:p>
    <w:p w14:paraId="6FC4E2E1" w14:textId="77777777" w:rsidR="005324D4" w:rsidRPr="005324D4" w:rsidRDefault="005324D4" w:rsidP="005324D4">
      <w:r w:rsidRPr="005324D4">
        <w:t xml:space="preserve">Equipment or devices that increase or maintain the functional capabilities of people with disability. In the context of digital access, it is hardware, software, and peripheral hardware that assist people with disability in accessing computers or other information technologies. Some examples include screen readers and refreshable Braille devices, alternative keyboards and mice, screen magnification, and voice recognition. </w:t>
      </w:r>
    </w:p>
    <w:p w14:paraId="6F40BC49" w14:textId="77777777" w:rsidR="005324D4" w:rsidRPr="005324D4" w:rsidRDefault="005324D4" w:rsidP="004C7B9B">
      <w:pPr>
        <w:pStyle w:val="Heading2glossary"/>
      </w:pPr>
      <w:bookmarkStart w:id="22" w:name="_Toc194569631"/>
      <w:r w:rsidRPr="005324D4">
        <w:t>Convention on the Rights of Persons with Disabilities (CRPD)</w:t>
      </w:r>
      <w:bookmarkEnd w:id="22"/>
    </w:p>
    <w:p w14:paraId="218421C0" w14:textId="77777777" w:rsidR="005324D4" w:rsidRPr="005324D4" w:rsidRDefault="005324D4" w:rsidP="005324D4">
      <w:r w:rsidRPr="005324D4">
        <w:t>An international instrument that codifies the human rights of people with disability. Countries like Australia that have ratified the CRPD should protect these rights in domestic legislation. Australia ratified the CRPD in 2008.</w:t>
      </w:r>
    </w:p>
    <w:p w14:paraId="650F8582" w14:textId="77777777" w:rsidR="005324D4" w:rsidRPr="005324D4" w:rsidRDefault="005324D4" w:rsidP="004C7B9B">
      <w:pPr>
        <w:pStyle w:val="Heading2glossary"/>
      </w:pPr>
      <w:bookmarkStart w:id="23" w:name="_Toc194569632"/>
      <w:r w:rsidRPr="005324D4">
        <w:lastRenderedPageBreak/>
        <w:t>Digital products</w:t>
      </w:r>
      <w:bookmarkEnd w:id="23"/>
    </w:p>
    <w:p w14:paraId="1F81C65D" w14:textId="77777777" w:rsidR="005324D4" w:rsidRPr="005324D4" w:rsidRDefault="005324D4" w:rsidP="005324D4">
      <w:r w:rsidRPr="005324D4">
        <w:t xml:space="preserve">Websites, apps, software, digital documents and any product with a </w:t>
      </w:r>
      <w:r w:rsidRPr="005324D4">
        <w:br/>
        <w:t>digital interface.</w:t>
      </w:r>
    </w:p>
    <w:p w14:paraId="50A3941C" w14:textId="77777777" w:rsidR="005324D4" w:rsidRPr="005324D4" w:rsidRDefault="005324D4" w:rsidP="004C7B9B">
      <w:pPr>
        <w:pStyle w:val="Heading2glossary"/>
      </w:pPr>
      <w:bookmarkStart w:id="24" w:name="_Toc194569633"/>
      <w:r w:rsidRPr="005324D4">
        <w:t>Disability Discrimination Act 1992 (</w:t>
      </w:r>
      <w:proofErr w:type="spellStart"/>
      <w:r w:rsidRPr="005324D4">
        <w:t>Cth</w:t>
      </w:r>
      <w:proofErr w:type="spellEnd"/>
      <w:r w:rsidRPr="005324D4">
        <w:t>)</w:t>
      </w:r>
      <w:bookmarkEnd w:id="24"/>
      <w:r w:rsidRPr="005324D4">
        <w:t xml:space="preserve"> </w:t>
      </w:r>
    </w:p>
    <w:p w14:paraId="2E75C419" w14:textId="77777777" w:rsidR="005324D4" w:rsidRPr="005324D4" w:rsidRDefault="005324D4" w:rsidP="005324D4">
      <w:r w:rsidRPr="005324D4">
        <w:t>A federal law which makes it unlawful to discriminate on the grounds of a person’s disability in defined areas of public life.</w:t>
      </w:r>
    </w:p>
    <w:p w14:paraId="76F0C952" w14:textId="77777777" w:rsidR="005324D4" w:rsidRPr="005324D4" w:rsidRDefault="005324D4" w:rsidP="004C7B9B">
      <w:pPr>
        <w:pStyle w:val="Heading2glossary"/>
      </w:pPr>
      <w:bookmarkStart w:id="25" w:name="_Toc194569634"/>
      <w:r w:rsidRPr="005324D4">
        <w:t>ICT (Information and Communications Technology)</w:t>
      </w:r>
      <w:bookmarkEnd w:id="25"/>
    </w:p>
    <w:p w14:paraId="0E68519E" w14:textId="77777777" w:rsidR="005324D4" w:rsidRPr="005324D4" w:rsidRDefault="005324D4" w:rsidP="005324D4">
      <w:r w:rsidRPr="005324D4">
        <w:t xml:space="preserve">The diverse set of technological tools and resources used to transmit, store, create, share or exchange information. ICT covers all technical means used to handle information and aid communication. This includes both computer and network hardware, as well as their software. </w:t>
      </w:r>
    </w:p>
    <w:p w14:paraId="530FD391" w14:textId="77777777" w:rsidR="005324D4" w:rsidRPr="005324D4" w:rsidRDefault="005324D4" w:rsidP="004C7B9B">
      <w:pPr>
        <w:pStyle w:val="Heading2glossary"/>
      </w:pPr>
      <w:bookmarkStart w:id="26" w:name="_Toc194569635"/>
      <w:r w:rsidRPr="005324D4">
        <w:t>Internet</w:t>
      </w:r>
      <w:bookmarkEnd w:id="26"/>
    </w:p>
    <w:p w14:paraId="21345238" w14:textId="77777777" w:rsidR="005324D4" w:rsidRPr="005324D4" w:rsidRDefault="005324D4" w:rsidP="005324D4">
      <w:r w:rsidRPr="005324D4">
        <w:t>The network that connects computers and devices all over the world. It can run over wires and over radio waves. The Web is one system that uses the internet along with email and mobile apps.</w:t>
      </w:r>
    </w:p>
    <w:p w14:paraId="6F430170" w14:textId="77777777" w:rsidR="005324D4" w:rsidRPr="005324D4" w:rsidRDefault="005324D4" w:rsidP="004C7B9B">
      <w:pPr>
        <w:pStyle w:val="Heading2glossary"/>
      </w:pPr>
      <w:bookmarkStart w:id="27" w:name="_Toc194569636"/>
      <w:r w:rsidRPr="005324D4">
        <w:t>Platform as a Service (PaaS)</w:t>
      </w:r>
      <w:bookmarkEnd w:id="27"/>
    </w:p>
    <w:p w14:paraId="789B1062" w14:textId="77777777" w:rsidR="005324D4" w:rsidRDefault="005324D4" w:rsidP="005324D4">
      <w:r w:rsidRPr="005324D4">
        <w:t xml:space="preserve">A type of cloud-based service where a third-party provider delivers an operating system and coding environments to users over the internet. An example of a PaaS is Google Cloud. </w:t>
      </w:r>
    </w:p>
    <w:p w14:paraId="6FD0729D" w14:textId="77777777" w:rsidR="005324D4" w:rsidRPr="005324D4" w:rsidRDefault="005324D4" w:rsidP="004C7B9B">
      <w:pPr>
        <w:pStyle w:val="Heading2glossary"/>
      </w:pPr>
      <w:bookmarkStart w:id="28" w:name="_Toc194569637"/>
      <w:r w:rsidRPr="005324D4">
        <w:lastRenderedPageBreak/>
        <w:t>Software as a Service (SaaS)</w:t>
      </w:r>
      <w:bookmarkEnd w:id="28"/>
    </w:p>
    <w:p w14:paraId="2AC9EA58" w14:textId="77777777" w:rsidR="005324D4" w:rsidRPr="005324D4" w:rsidRDefault="005324D4" w:rsidP="005324D4">
      <w:r w:rsidRPr="005324D4">
        <w:t>Cloud-based services delivered over the internet providing productivity suites, recruitment and people management, invoicing and financial management, ecommerce, online or remote meetings, digital libraries, streaming services, video, and music authoring as well as simple engagement with social media platforms.</w:t>
      </w:r>
    </w:p>
    <w:p w14:paraId="1F300ECF" w14:textId="77777777" w:rsidR="005324D4" w:rsidRPr="005324D4" w:rsidRDefault="005324D4" w:rsidP="004C7B9B">
      <w:pPr>
        <w:pStyle w:val="Heading2glossary"/>
      </w:pPr>
      <w:bookmarkStart w:id="29" w:name="_Toc194569638"/>
      <w:r w:rsidRPr="005324D4">
        <w:t>Universal design</w:t>
      </w:r>
      <w:bookmarkEnd w:id="29"/>
    </w:p>
    <w:p w14:paraId="11B4D0B4" w14:textId="63902897" w:rsidR="005324D4" w:rsidRPr="005324D4" w:rsidRDefault="005324D4" w:rsidP="005324D4">
      <w:r w:rsidRPr="005324D4">
        <w:t xml:space="preserve">An approach to designing environments in a way that they can be accessed, understood and used to the greatest extent possible by all people, see </w:t>
      </w:r>
      <w:r w:rsidRPr="00EC3357">
        <w:t>Universal Design</w:t>
      </w:r>
      <w:r w:rsidRPr="005324D4">
        <w:t xml:space="preserve"> (</w:t>
      </w:r>
      <w:r w:rsidRPr="00EC3357">
        <w:t xml:space="preserve">page </w:t>
      </w:r>
      <w:r w:rsidR="00EC3357" w:rsidRPr="00EC3357">
        <w:t>33</w:t>
      </w:r>
      <w:r w:rsidRPr="005324D4">
        <w:t>).</w:t>
      </w:r>
    </w:p>
    <w:p w14:paraId="60B73107" w14:textId="77777777" w:rsidR="005324D4" w:rsidRPr="005324D4" w:rsidRDefault="005324D4" w:rsidP="004C7B9B">
      <w:pPr>
        <w:pStyle w:val="Heading2glossary"/>
      </w:pPr>
      <w:bookmarkStart w:id="30" w:name="_Toc194569639"/>
      <w:r w:rsidRPr="005324D4">
        <w:t>Web Content Accessibility Guidelines (WCAG)</w:t>
      </w:r>
      <w:bookmarkEnd w:id="30"/>
    </w:p>
    <w:p w14:paraId="6EE0B6C0" w14:textId="7E731966" w:rsidR="005324D4" w:rsidRDefault="005324D4" w:rsidP="005324D4">
      <w:r w:rsidRPr="005324D4">
        <w:t>The applicable international standard for web accessibility. WCAG are also applicable to non-web documents, apps, software and digital interfaces. WCAG are updated from time-to-</w:t>
      </w:r>
      <w:proofErr w:type="gramStart"/>
      <w:r w:rsidRPr="005324D4">
        <w:t>time</w:t>
      </w:r>
      <w:proofErr w:type="gramEnd"/>
      <w:r w:rsidRPr="005324D4">
        <w:t xml:space="preserve"> and it is important to meet the requirements of the latest published version.</w:t>
      </w:r>
      <w:r>
        <w:br w:type="page"/>
      </w:r>
    </w:p>
    <w:p w14:paraId="205DAA15" w14:textId="294022F6" w:rsidR="00CE2DB6" w:rsidRDefault="00CE2DB6" w:rsidP="005324D4">
      <w:pPr>
        <w:pStyle w:val="Heading1"/>
      </w:pPr>
      <w:bookmarkStart w:id="31" w:name="_Toc194569640"/>
      <w:r>
        <w:lastRenderedPageBreak/>
        <w:t>About the Guidelines</w:t>
      </w:r>
      <w:bookmarkEnd w:id="20"/>
      <w:bookmarkEnd w:id="31"/>
    </w:p>
    <w:p w14:paraId="4452B554" w14:textId="77777777" w:rsidR="00CE2DB6" w:rsidRDefault="00CE2DB6" w:rsidP="00CE2DB6">
      <w:r w:rsidRPr="01678B86">
        <w:t xml:space="preserve">The Australian Human Rights Commission (the Commission) has prepared the Guidelines in the exercise of its function under section 67(1)(k) of the Disability Discrimination Act.  </w:t>
      </w:r>
    </w:p>
    <w:p w14:paraId="34033F38" w14:textId="77777777" w:rsidR="00CE2DB6" w:rsidRDefault="00CE2DB6" w:rsidP="00CE2DB6">
      <w:r w:rsidRPr="01678B86">
        <w:t>The Guidelines are not legally binding and should be read in conjunction with the whole of the Disability Discrimination Act, and state and territory anti-discrimination laws. An organisation or individual may not be protected from a finding of unlawful discrimination if they claim that they conformed with, or relied on, the Guidelines. Organisations or individuals should seek their own independent legal advice if they have concerns regarding their compliance with the Disability Discrimination Act or with relevant state or territory anti-discrimination legislation.</w:t>
      </w:r>
    </w:p>
    <w:p w14:paraId="658C4D1C" w14:textId="77777777" w:rsidR="005324D4" w:rsidRDefault="00CE2DB6" w:rsidP="00CE2DB6">
      <w:r>
        <w:t xml:space="preserve">However, in the view of the Commission, the Guidelines will help organisations act consistently with the Disability Discrimination Act. </w:t>
      </w:r>
    </w:p>
    <w:p w14:paraId="7B9D09CD" w14:textId="0A591AB7" w:rsidR="005324D4" w:rsidRDefault="00B73778" w:rsidP="00CE2DB6">
      <w:r>
        <w:rPr>
          <w:noProof/>
        </w:rPr>
        <w:drawing>
          <wp:inline distT="0" distB="0" distL="0" distR="0" wp14:anchorId="17629F12" wp14:editId="218BED75">
            <wp:extent cx="2619375" cy="3929063"/>
            <wp:effectExtent l="0" t="0" r="0" b="0"/>
            <wp:docPr id="1733094519" name="Picture 2" descr="A woman with down syndrome working in a florist, wearing an apron and looking down at the ipad she is holding in her h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094519" name="Picture 2" descr="A woman with down syndrome working in a florist, wearing an apron and looking down at the ipad she is holding in her hand. "/>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22319" cy="3933479"/>
                    </a:xfrm>
                    <a:prstGeom prst="rect">
                      <a:avLst/>
                    </a:prstGeom>
                  </pic:spPr>
                </pic:pic>
              </a:graphicData>
            </a:graphic>
          </wp:inline>
        </w:drawing>
      </w:r>
      <w:r w:rsidR="005324D4">
        <w:br w:type="page"/>
      </w:r>
    </w:p>
    <w:p w14:paraId="528E0218" w14:textId="77777777" w:rsidR="00CE2DB6" w:rsidRDefault="00CE2DB6" w:rsidP="00CE2DB6">
      <w:pPr>
        <w:pStyle w:val="Heading1"/>
      </w:pPr>
      <w:bookmarkStart w:id="32" w:name="_Toc1882108315"/>
      <w:bookmarkStart w:id="33" w:name="_Toc194569641"/>
      <w:r>
        <w:lastRenderedPageBreak/>
        <w:t>The need for Guidelines</w:t>
      </w:r>
      <w:bookmarkEnd w:id="32"/>
      <w:bookmarkEnd w:id="33"/>
    </w:p>
    <w:p w14:paraId="2CF3400A" w14:textId="77777777" w:rsidR="00CE2DB6" w:rsidRPr="009B4B04" w:rsidRDefault="00CE2DB6" w:rsidP="00CE2DB6">
      <w:r w:rsidRPr="009B4B04">
        <w:t xml:space="preserve">The use of digital technology is required to participate in almost every aspect of individual and community life. Technology now informs how we connect with family and friends, get an education, work, enjoy movies and music, cook a meal, seek medical services, access public services, manage personal finances, pay bills and shop. </w:t>
      </w:r>
    </w:p>
    <w:p w14:paraId="0AEC9A00" w14:textId="77777777" w:rsidR="00CE2DB6" w:rsidRPr="009B4B04" w:rsidRDefault="00CE2DB6" w:rsidP="00CE2DB6">
      <w:r w:rsidRPr="009B4B04">
        <w:t xml:space="preserve">The opportunity to take part in all aspects of everyday life on an equal basis with others can often depend on being able to access and use technology. </w:t>
      </w:r>
    </w:p>
    <w:p w14:paraId="31DCA7BA" w14:textId="77777777" w:rsidR="00CE2DB6" w:rsidRPr="009B4B04" w:rsidRDefault="00CE2DB6" w:rsidP="00CE2DB6">
      <w:r w:rsidRPr="009B4B04">
        <w:t xml:space="preserve">Most people will use a combination of digital and non-digital means to get things done. They might buy a product from an online shop and visit the same business in person. They might order groceries online but interact with a person when receiving the delivery or following up on a problem with the product. </w:t>
      </w:r>
    </w:p>
    <w:p w14:paraId="148C8F95" w14:textId="77777777" w:rsidR="00B73778" w:rsidRPr="009B4B04" w:rsidRDefault="00CE2DB6" w:rsidP="00CE2DB6">
      <w:r w:rsidRPr="009B4B04">
        <w:t>Everyone has a right to be able to access goods and services. They have a legal right not to be discriminated against when they try to do so. This means that a person with disability should be able to complete the full task or enjoy the use of any good using technology that is readily available to them.</w:t>
      </w:r>
    </w:p>
    <w:p w14:paraId="2683F462" w14:textId="33711703" w:rsidR="00CE2DB6" w:rsidRPr="00927387" w:rsidRDefault="00CE2DB6" w:rsidP="00627337">
      <w:pPr>
        <w:pStyle w:val="Heading2"/>
      </w:pPr>
      <w:bookmarkStart w:id="34" w:name="_Toc194569642"/>
      <w:r>
        <w:t>Examples</w:t>
      </w:r>
      <w:bookmarkEnd w:id="34"/>
    </w:p>
    <w:p w14:paraId="2F432D24" w14:textId="77777777" w:rsidR="00CE2DB6" w:rsidRPr="006E0815" w:rsidRDefault="00CE2DB6" w:rsidP="006E0815">
      <w:pPr>
        <w:pStyle w:val="Quotebullets"/>
        <w:rPr>
          <w:rStyle w:val="Strong"/>
          <w:b w:val="0"/>
          <w:bCs w:val="0"/>
        </w:rPr>
      </w:pPr>
      <w:r w:rsidRPr="006E0815">
        <w:rPr>
          <w:rStyle w:val="Strong"/>
        </w:rPr>
        <w:t>A person with disability should be able to utilise all the online services offered by their financial institution</w:t>
      </w:r>
      <w:r w:rsidRPr="006E0815">
        <w:rPr>
          <w:rStyle w:val="Strong"/>
          <w:b w:val="0"/>
          <w:bCs w:val="0"/>
        </w:rPr>
        <w:t xml:space="preserve">, </w:t>
      </w:r>
      <w:proofErr w:type="gramStart"/>
      <w:r w:rsidRPr="006E0815">
        <w:rPr>
          <w:rStyle w:val="Strong"/>
          <w:b w:val="0"/>
          <w:bCs w:val="0"/>
        </w:rPr>
        <w:t>at all times</w:t>
      </w:r>
      <w:proofErr w:type="gramEnd"/>
      <w:r w:rsidRPr="006E0815">
        <w:rPr>
          <w:rStyle w:val="Strong"/>
          <w:b w:val="0"/>
          <w:bCs w:val="0"/>
        </w:rPr>
        <w:t xml:space="preserve"> when it is available to other customers. This includes multi-factor identification requirements, error messages and any </w:t>
      </w:r>
      <w:proofErr w:type="gramStart"/>
      <w:r w:rsidRPr="006E0815">
        <w:rPr>
          <w:rStyle w:val="Strong"/>
          <w:b w:val="0"/>
          <w:bCs w:val="0"/>
        </w:rPr>
        <w:t>particular requirements</w:t>
      </w:r>
      <w:proofErr w:type="gramEnd"/>
      <w:r w:rsidRPr="006E0815">
        <w:rPr>
          <w:rStyle w:val="Strong"/>
          <w:b w:val="0"/>
          <w:bCs w:val="0"/>
        </w:rPr>
        <w:t xml:space="preserve"> for transactions such as needing to speak to a call centre to release a term deposit.</w:t>
      </w:r>
    </w:p>
    <w:p w14:paraId="3F279A3E" w14:textId="77777777" w:rsidR="00CE2DB6" w:rsidRPr="006E0815" w:rsidRDefault="00CE2DB6" w:rsidP="006E0815">
      <w:pPr>
        <w:pStyle w:val="Quotebullets"/>
        <w:rPr>
          <w:rStyle w:val="Strong"/>
          <w:b w:val="0"/>
          <w:bCs w:val="0"/>
        </w:rPr>
      </w:pPr>
      <w:r w:rsidRPr="006E0815">
        <w:rPr>
          <w:rStyle w:val="Strong"/>
        </w:rPr>
        <w:t xml:space="preserve">A person with disability should be able to complete an online purchase </w:t>
      </w:r>
      <w:r w:rsidRPr="006E0815">
        <w:rPr>
          <w:rStyle w:val="Strong"/>
          <w:b w:val="0"/>
          <w:bCs w:val="0"/>
        </w:rPr>
        <w:t>including understanding available products and options, delivery requirements, purchasing and receiving confirmation of purchase and updates on delivery progress.</w:t>
      </w:r>
    </w:p>
    <w:p w14:paraId="6D550008" w14:textId="77777777" w:rsidR="00CE2DB6" w:rsidRPr="009B4B04" w:rsidRDefault="00CE2DB6" w:rsidP="00CE2DB6">
      <w:r w:rsidRPr="009B4B04">
        <w:lastRenderedPageBreak/>
        <w:t>Many people with disability face barriers when using digital technologies due to a lack of universal design. For example, many websites do not contain alternative text information for images or have poorly titled links that are required for navigation. This can make the website inaccessible for people who use screen readers.  These barriers are often the result of ableist assumptions that influence decisions made when designing, developing and/or procuring digital goods and services. The impact of those decisions can exclude and discriminate against people with disability. This can mean a loss of independence and reduced participation in society, which in turn can lead to less choice and opportunity to fulfil other ambitions in life.</w:t>
      </w:r>
    </w:p>
    <w:p w14:paraId="70EF25FE" w14:textId="77777777" w:rsidR="00CE2DB6" w:rsidRPr="009B4B04" w:rsidRDefault="00CE2DB6" w:rsidP="00CE2DB6">
      <w:r w:rsidRPr="009B4B04">
        <w:t>The availability of goods and services via the internet and other digital networks has the potential to provide equal access for people with disability, and to provide access more broadly, more economically and more quickly than is possible using other delivery methods. Equality of access to digital goods and services can enable autonomy and lifestyle choices.  It also leads to greater equality of access to services such as health, education, employment and recreation. However, digital options do not always guarantee accessibility, nor does every new technology provide equal access by default.</w:t>
      </w:r>
    </w:p>
    <w:p w14:paraId="2191817A" w14:textId="77777777" w:rsidR="00CE2DB6" w:rsidRPr="009B4B04" w:rsidRDefault="00CE2DB6" w:rsidP="00CE2DB6">
      <w:r w:rsidRPr="009B4B04">
        <w:t>Technology has evolved since the Disability Discrimination Act was introduced. The ways in which goods and services are accessed and developed has continued to change and we now predominantly operate in a digital environment. Accessibility standards have evolved as well. Irrespective of changes in technology, the fundamental questions under the Disability Discrimination Act are:</w:t>
      </w:r>
    </w:p>
    <w:p w14:paraId="6620F711" w14:textId="77777777" w:rsidR="00CE2DB6" w:rsidRDefault="00CE2DB6" w:rsidP="00CE2DB6">
      <w:pPr>
        <w:pStyle w:val="ListBullet"/>
        <w:keepLines w:val="0"/>
        <w:tabs>
          <w:tab w:val="clear" w:pos="360"/>
        </w:tabs>
        <w:snapToGrid w:val="0"/>
        <w:spacing w:before="120" w:after="120" w:line="360" w:lineRule="auto"/>
        <w:ind w:left="720"/>
        <w:contextualSpacing/>
      </w:pPr>
      <w:r>
        <w:t>Does the way in which the good or service is provided discriminate against people because of disability?</w:t>
      </w:r>
    </w:p>
    <w:p w14:paraId="19B32789" w14:textId="77777777" w:rsidR="00CE2DB6" w:rsidRPr="00B2237A" w:rsidRDefault="00CE2DB6" w:rsidP="00CE2DB6">
      <w:pPr>
        <w:pStyle w:val="ListBullet"/>
        <w:keepLines w:val="0"/>
        <w:tabs>
          <w:tab w:val="clear" w:pos="360"/>
        </w:tabs>
        <w:snapToGrid w:val="0"/>
        <w:spacing w:before="120" w:after="120" w:line="360" w:lineRule="auto"/>
        <w:ind w:left="720"/>
        <w:contextualSpacing/>
      </w:pPr>
      <w:r w:rsidRPr="01678B86">
        <w:t>What actions have been taken to eliminate discrimination?</w:t>
      </w:r>
    </w:p>
    <w:p w14:paraId="09007CE1" w14:textId="77777777" w:rsidR="00CE2DB6" w:rsidRDefault="00CE2DB6" w:rsidP="00CE2DB6">
      <w:r w:rsidRPr="01678B86">
        <w:lastRenderedPageBreak/>
        <w:t xml:space="preserve">These Guidelines will help to answer the above questions in the context of the provision of digital goods and services. They will assist by clarifying the requirements of the Disability Discrimination Act in this area and explain how compliance can be best achieved.  </w:t>
      </w:r>
    </w:p>
    <w:p w14:paraId="76D2B539" w14:textId="77777777" w:rsidR="004D01DD" w:rsidRDefault="004D01DD" w:rsidP="00CE2DB6">
      <w:pPr>
        <w:pStyle w:val="Heading1"/>
      </w:pPr>
      <w:bookmarkStart w:id="35" w:name="_Toc43164241"/>
      <w:r>
        <w:br w:type="page"/>
      </w:r>
    </w:p>
    <w:p w14:paraId="72C36980" w14:textId="580FF263" w:rsidR="00CE2DB6" w:rsidRDefault="00CE2DB6" w:rsidP="00CE2DB6">
      <w:pPr>
        <w:pStyle w:val="Heading1"/>
      </w:pPr>
      <w:bookmarkStart w:id="36" w:name="_Toc194569643"/>
      <w:r w:rsidRPr="00E3670E">
        <w:lastRenderedPageBreak/>
        <w:t>Who should read these guidelines?</w:t>
      </w:r>
      <w:bookmarkEnd w:id="35"/>
      <w:bookmarkEnd w:id="36"/>
    </w:p>
    <w:p w14:paraId="4DB34252" w14:textId="77777777" w:rsidR="00CE2DB6" w:rsidRDefault="00CE2DB6" w:rsidP="00CE2DB6">
      <w:r>
        <w:t>This document is written for a broad audience.</w:t>
      </w:r>
      <w:r w:rsidRPr="00B2237A">
        <w:t xml:space="preserve"> </w:t>
      </w:r>
      <w:r>
        <w:t>The key audience is people in organisations who have obligations under the Disability Discrimination Act to not discriminate against people because of disability when providing digital goods and services.</w:t>
      </w:r>
    </w:p>
    <w:p w14:paraId="71041023" w14:textId="77777777" w:rsidR="00CE2DB6" w:rsidRDefault="00CE2DB6" w:rsidP="00CE2DB6">
      <w:r>
        <w:t>This includes:</w:t>
      </w:r>
      <w:r w:rsidRPr="00B2237A">
        <w:t xml:space="preserve">  </w:t>
      </w:r>
    </w:p>
    <w:p w14:paraId="43EC1270" w14:textId="77777777" w:rsidR="00CE2DB6" w:rsidRPr="00B2237A" w:rsidRDefault="00CE2DB6" w:rsidP="00F775EA">
      <w:pPr>
        <w:pStyle w:val="Bullet"/>
      </w:pPr>
      <w:r w:rsidRPr="00B2237A">
        <w:t>C-suite executives who are accountable for the quality of digital goods and services</w:t>
      </w:r>
    </w:p>
    <w:p w14:paraId="528C391D" w14:textId="77777777" w:rsidR="00CE2DB6" w:rsidRPr="00B2237A" w:rsidRDefault="00CE2DB6" w:rsidP="00F775EA">
      <w:pPr>
        <w:pStyle w:val="Bullet"/>
      </w:pPr>
      <w:r w:rsidRPr="00B2237A">
        <w:t>organisation leaders such as managers, principals, Boards / Directors</w:t>
      </w:r>
    </w:p>
    <w:p w14:paraId="6877F2FC" w14:textId="77777777" w:rsidR="00CE2DB6" w:rsidRDefault="00CE2DB6" w:rsidP="00F775EA">
      <w:pPr>
        <w:pStyle w:val="Bullet"/>
      </w:pPr>
      <w:r w:rsidRPr="01678B86">
        <w:t>creators of digital goods and services such as designers, developers, publishers and educators</w:t>
      </w:r>
    </w:p>
    <w:p w14:paraId="5CB1AB80" w14:textId="77777777" w:rsidR="00CE2DB6" w:rsidRPr="00B2237A" w:rsidRDefault="00CE2DB6" w:rsidP="00F775EA">
      <w:pPr>
        <w:pStyle w:val="Bullet"/>
      </w:pPr>
      <w:r>
        <w:t>operators of u</w:t>
      </w:r>
      <w:r w:rsidRPr="009D4157">
        <w:t>ser content hosts such as social media platforms</w:t>
      </w:r>
    </w:p>
    <w:p w14:paraId="270D344E" w14:textId="77777777" w:rsidR="00CE2DB6" w:rsidRPr="00B2237A" w:rsidRDefault="00CE2DB6" w:rsidP="00F775EA">
      <w:pPr>
        <w:pStyle w:val="Bullet"/>
      </w:pPr>
      <w:r w:rsidRPr="00B2237A">
        <w:t>suppliers or companies who build or sell digital goods and services</w:t>
      </w:r>
    </w:p>
    <w:p w14:paraId="409C4FE7" w14:textId="77777777" w:rsidR="00CE2DB6" w:rsidRDefault="00CE2DB6" w:rsidP="00F775EA">
      <w:pPr>
        <w:pStyle w:val="Bullet"/>
      </w:pPr>
      <w:r w:rsidRPr="00B2237A">
        <w:t>procurers of digital goods and services such as procurement professionals</w:t>
      </w:r>
    </w:p>
    <w:p w14:paraId="47B23A44" w14:textId="77777777" w:rsidR="00CE2DB6" w:rsidRPr="00B2237A" w:rsidRDefault="00CE2DB6" w:rsidP="00F775EA">
      <w:pPr>
        <w:pStyle w:val="Bullet"/>
      </w:pPr>
      <w:r>
        <w:t>employers who deploy digital technologies for use by staff</w:t>
      </w:r>
    </w:p>
    <w:p w14:paraId="1B722B61" w14:textId="77777777" w:rsidR="00CE2DB6" w:rsidRPr="00B2237A" w:rsidRDefault="00CE2DB6" w:rsidP="00F775EA">
      <w:pPr>
        <w:pStyle w:val="Bullet"/>
      </w:pPr>
      <w:r w:rsidRPr="00B2237A">
        <w:t>digital accessibility practitioners</w:t>
      </w:r>
    </w:p>
    <w:p w14:paraId="05F6F891" w14:textId="77777777" w:rsidR="00CE2DB6" w:rsidRDefault="00CE2DB6" w:rsidP="00F775EA">
      <w:pPr>
        <w:pStyle w:val="Bullet"/>
      </w:pPr>
      <w:r>
        <w:t xml:space="preserve">ICT </w:t>
      </w:r>
      <w:r w:rsidRPr="00B2237A">
        <w:t>professionals and leaders</w:t>
      </w:r>
    </w:p>
    <w:p w14:paraId="6EAA7B5C" w14:textId="77777777" w:rsidR="00CE2DB6" w:rsidRDefault="00CE2DB6" w:rsidP="00F775EA">
      <w:pPr>
        <w:pStyle w:val="Bullet"/>
      </w:pPr>
      <w:r w:rsidRPr="00B2237A">
        <w:t xml:space="preserve">compliance professionals </w:t>
      </w:r>
      <w:r>
        <w:t xml:space="preserve">- </w:t>
      </w:r>
      <w:r w:rsidRPr="00B2237A">
        <w:t xml:space="preserve">generalists and specialists such as </w:t>
      </w:r>
      <w:r>
        <w:t xml:space="preserve">those working in </w:t>
      </w:r>
      <w:r w:rsidRPr="00B2237A">
        <w:t>Data Privacy, Corporate Affairs, Information Security and Human Resources</w:t>
      </w:r>
    </w:p>
    <w:p w14:paraId="1D4B6A77" w14:textId="77777777" w:rsidR="00CE2DB6" w:rsidRPr="00B2237A" w:rsidRDefault="00CE2DB6" w:rsidP="00F775EA">
      <w:pPr>
        <w:pStyle w:val="Bullet"/>
      </w:pPr>
      <w:r w:rsidRPr="01678B86">
        <w:t>legal professionals working in or advising organisations.</w:t>
      </w:r>
    </w:p>
    <w:p w14:paraId="3921EFF5" w14:textId="57BC6038" w:rsidR="00A538B3" w:rsidRDefault="00CE2DB6" w:rsidP="00A538B3">
      <w:r w:rsidRPr="01678B86">
        <w:t xml:space="preserve">The audience for these Guidelines also includes people with disability and their representative organisations, disability peak bodies, and advocates. The Guidelines will assist them with understanding and exercising their right to non-discrimination in the digital world. </w:t>
      </w:r>
      <w:bookmarkStart w:id="37" w:name="_Toc191390131"/>
      <w:bookmarkStart w:id="38" w:name="_Toc24569621"/>
      <w:r w:rsidR="00A538B3">
        <w:br w:type="page"/>
      </w:r>
    </w:p>
    <w:p w14:paraId="438DF4E8" w14:textId="3DB3E340" w:rsidR="00CE2DB6" w:rsidRDefault="00CE2DB6" w:rsidP="00CE2DB6">
      <w:pPr>
        <w:pStyle w:val="Heading1"/>
      </w:pPr>
      <w:bookmarkStart w:id="39" w:name="_Toc194569644"/>
      <w:r>
        <w:lastRenderedPageBreak/>
        <w:t>Chapter 1: Legal and human rights obligations</w:t>
      </w:r>
      <w:bookmarkEnd w:id="37"/>
      <w:bookmarkEnd w:id="38"/>
      <w:bookmarkEnd w:id="39"/>
    </w:p>
    <w:p w14:paraId="37F93456" w14:textId="77777777" w:rsidR="00CE2DB6" w:rsidRDefault="00CE2DB6" w:rsidP="00490A8D">
      <w:pPr>
        <w:pStyle w:val="Heading2"/>
      </w:pPr>
      <w:bookmarkStart w:id="40" w:name="_Toc2045204371"/>
      <w:bookmarkStart w:id="41" w:name="_Toc194569645"/>
      <w:r>
        <w:t>What is the Disability Discrimination Act?</w:t>
      </w:r>
      <w:bookmarkEnd w:id="40"/>
      <w:bookmarkEnd w:id="41"/>
    </w:p>
    <w:p w14:paraId="6E5988BA" w14:textId="77777777" w:rsidR="00CE2DB6" w:rsidRPr="00EF1E74" w:rsidRDefault="00CE2DB6" w:rsidP="00CE2DB6">
      <w:r w:rsidRPr="00EF1E74">
        <w:t xml:space="preserve">Anti-discrimination laws in all Australian federal, state and territory jurisdictions prohibit discrimination </w:t>
      </w:r>
      <w:proofErr w:type="gramStart"/>
      <w:r w:rsidRPr="00EF1E74">
        <w:t>on the basis of</w:t>
      </w:r>
      <w:proofErr w:type="gramEnd"/>
      <w:r w:rsidRPr="00EF1E74">
        <w:t xml:space="preserve"> disability across many areas of public life.</w:t>
      </w:r>
    </w:p>
    <w:p w14:paraId="7BDF3E54" w14:textId="77777777" w:rsidR="00CE2DB6" w:rsidRPr="005209D0" w:rsidRDefault="00CE2DB6" w:rsidP="00CE2DB6">
      <w:r w:rsidRPr="01678B86">
        <w:t xml:space="preserve">The Disability Discrimination Act is </w:t>
      </w:r>
      <w:r>
        <w:t>the</w:t>
      </w:r>
      <w:r w:rsidRPr="01678B86">
        <w:t xml:space="preserve"> federal law that makes discrimination on the ground of disability unlawful in defined areas of public life. It aims to eliminate discrimination, as far as possible, against people with disability. </w:t>
      </w:r>
    </w:p>
    <w:p w14:paraId="3E6718F9" w14:textId="77777777" w:rsidR="00CE2DB6" w:rsidRDefault="00CE2DB6" w:rsidP="00CE2DB6">
      <w:r>
        <w:t xml:space="preserve">Under the Disability Discrimination Act, there are two types of unlawful discrimination. </w:t>
      </w:r>
    </w:p>
    <w:p w14:paraId="1435D70F" w14:textId="77777777" w:rsidR="00CE2DB6" w:rsidRDefault="00CE2DB6" w:rsidP="00F775EA">
      <w:pPr>
        <w:pStyle w:val="Bullet"/>
      </w:pPr>
      <w:r w:rsidRPr="01678B86">
        <w:t xml:space="preserve">‘Direct’ </w:t>
      </w:r>
      <w:r w:rsidRPr="00F775EA">
        <w:t>discrimination</w:t>
      </w:r>
      <w:r w:rsidRPr="01678B86">
        <w:t xml:space="preserve"> happens if a person is treated less favourably because of disability.</w:t>
      </w:r>
      <w:r w:rsidRPr="01678B86">
        <w:rPr>
          <w:rStyle w:val="EndnoteReference"/>
        </w:rPr>
        <w:endnoteReference w:id="3"/>
      </w:r>
      <w:r w:rsidRPr="01678B86">
        <w:t xml:space="preserve"> </w:t>
      </w:r>
    </w:p>
    <w:p w14:paraId="708822AD" w14:textId="77777777" w:rsidR="00CE2DB6" w:rsidRDefault="00CE2DB6" w:rsidP="00F775EA">
      <w:pPr>
        <w:pStyle w:val="Bullet"/>
        <w:numPr>
          <w:ilvl w:val="1"/>
          <w:numId w:val="148"/>
        </w:numPr>
      </w:pPr>
      <w:r>
        <w:t xml:space="preserve">For example, a social media platform that refuses membership to any person with disability. </w:t>
      </w:r>
    </w:p>
    <w:p w14:paraId="31A74AF3" w14:textId="77777777" w:rsidR="00CE2DB6" w:rsidRDefault="00CE2DB6" w:rsidP="00F775EA">
      <w:pPr>
        <w:pStyle w:val="Bullet"/>
      </w:pPr>
      <w:r w:rsidRPr="01678B86">
        <w:t xml:space="preserve">‘Indirect’ discrimination happens when a person with disability is required to comply with a </w:t>
      </w:r>
      <w:r w:rsidRPr="00F775EA">
        <w:t>requirement</w:t>
      </w:r>
      <w:r w:rsidRPr="01678B86">
        <w:t xml:space="preserve"> or condition</w:t>
      </w:r>
      <w:r w:rsidRPr="01678B86" w:rsidDel="0053106E">
        <w:t xml:space="preserve"> </w:t>
      </w:r>
      <w:r w:rsidRPr="01678B86">
        <w:t>which they cannot comply with because of their disability</w:t>
      </w:r>
      <w:r>
        <w:t xml:space="preserve"> and the requirement or condition is not reasonable</w:t>
      </w:r>
      <w:r w:rsidRPr="01678B86">
        <w:t>.</w:t>
      </w:r>
      <w:r w:rsidRPr="01678B86">
        <w:rPr>
          <w:rStyle w:val="EndnoteReference"/>
        </w:rPr>
        <w:endnoteReference w:id="4"/>
      </w:r>
      <w:r w:rsidRPr="01678B86">
        <w:t xml:space="preserve"> </w:t>
      </w:r>
    </w:p>
    <w:p w14:paraId="79F308BE" w14:textId="77777777" w:rsidR="00CE2DB6" w:rsidRDefault="00CE2DB6" w:rsidP="00F775EA">
      <w:pPr>
        <w:pStyle w:val="Bullet"/>
        <w:numPr>
          <w:ilvl w:val="1"/>
          <w:numId w:val="148"/>
        </w:numPr>
      </w:pPr>
      <w:r w:rsidRPr="01678B86">
        <w:t xml:space="preserve">For example, a lift selection panel </w:t>
      </w:r>
      <w:r>
        <w:t>in a multi-storey building only provides visual directions to indicate</w:t>
      </w:r>
      <w:r w:rsidRPr="01678B86">
        <w:t xml:space="preserve"> which lift should be used. </w:t>
      </w:r>
    </w:p>
    <w:p w14:paraId="7BA35143" w14:textId="77777777" w:rsidR="00CE2DB6" w:rsidRDefault="00CE2DB6" w:rsidP="00490A8D">
      <w:pPr>
        <w:pStyle w:val="Heading3"/>
      </w:pPr>
      <w:bookmarkStart w:id="42" w:name="_Toc1346067256"/>
      <w:r>
        <w:lastRenderedPageBreak/>
        <w:t>Who is covered under the Disability Discrimination Act?</w:t>
      </w:r>
      <w:bookmarkEnd w:id="42"/>
    </w:p>
    <w:p w14:paraId="43717B70" w14:textId="77777777" w:rsidR="00CE2DB6" w:rsidRPr="00B2237A" w:rsidRDefault="00CE2DB6" w:rsidP="00CE2DB6">
      <w:r w:rsidRPr="01678B86">
        <w:t>The Disability Discrimination Act applies to any disability that a person currently has, once had, may have in future, or is assumed to have.</w:t>
      </w:r>
      <w:r w:rsidRPr="01678B86">
        <w:rPr>
          <w:rStyle w:val="EndnoteReference"/>
        </w:rPr>
        <w:endnoteReference w:id="5"/>
      </w:r>
      <w:r w:rsidRPr="01678B86">
        <w:t xml:space="preserve">  It also covers people with disability who use disability aids or assistance animals or have the support of a </w:t>
      </w:r>
      <w:proofErr w:type="spellStart"/>
      <w:r w:rsidRPr="01678B86">
        <w:t>carer</w:t>
      </w:r>
      <w:proofErr w:type="spellEnd"/>
      <w:r w:rsidRPr="01678B86">
        <w:t>.  The law also extends to associates, such as friends, family, work colleagues, and support people of a person with disability.</w:t>
      </w:r>
      <w:r w:rsidRPr="01678B86">
        <w:rPr>
          <w:rStyle w:val="EndnoteReference"/>
        </w:rPr>
        <w:endnoteReference w:id="6"/>
      </w:r>
    </w:p>
    <w:p w14:paraId="73995A84" w14:textId="77777777" w:rsidR="00CE2DB6" w:rsidRDefault="00CE2DB6" w:rsidP="00490A8D">
      <w:pPr>
        <w:pStyle w:val="Heading3"/>
      </w:pPr>
      <w:bookmarkStart w:id="43" w:name="_Toc184568728"/>
      <w:r>
        <w:t>What is covered by the Disability Discrimination Act?</w:t>
      </w:r>
      <w:bookmarkEnd w:id="43"/>
    </w:p>
    <w:p w14:paraId="5D326A32" w14:textId="77777777" w:rsidR="00CE2DB6" w:rsidRDefault="00CE2DB6" w:rsidP="00CE2DB6">
      <w:r>
        <w:t>Under the Disability Discrimination Act, it is against the law to discriminate against a person because of disability in the areas of:</w:t>
      </w:r>
    </w:p>
    <w:p w14:paraId="7220DDE6" w14:textId="77777777" w:rsidR="00CE2DB6" w:rsidRDefault="00CE2DB6" w:rsidP="00F775EA">
      <w:pPr>
        <w:pStyle w:val="Bullet"/>
      </w:pPr>
      <w:r>
        <w:t>employment</w:t>
      </w:r>
    </w:p>
    <w:p w14:paraId="71EDA34F" w14:textId="77777777" w:rsidR="00CE2DB6" w:rsidRDefault="00CE2DB6" w:rsidP="00F775EA">
      <w:pPr>
        <w:pStyle w:val="Bullet"/>
      </w:pPr>
      <w:r>
        <w:t>education</w:t>
      </w:r>
    </w:p>
    <w:p w14:paraId="449EF720" w14:textId="77777777" w:rsidR="00CE2DB6" w:rsidRDefault="00CE2DB6" w:rsidP="00F775EA">
      <w:pPr>
        <w:pStyle w:val="Bullet"/>
      </w:pPr>
      <w:r>
        <w:t>access to premises used by the public</w:t>
      </w:r>
    </w:p>
    <w:p w14:paraId="217B4FFB" w14:textId="77777777" w:rsidR="00CE2DB6" w:rsidRDefault="00CE2DB6" w:rsidP="00F775EA">
      <w:pPr>
        <w:pStyle w:val="Bullet"/>
      </w:pPr>
      <w:r w:rsidRPr="01678B86">
        <w:t>provision of goods, services and facilities</w:t>
      </w:r>
    </w:p>
    <w:p w14:paraId="12B8235B" w14:textId="77777777" w:rsidR="00CE2DB6" w:rsidRDefault="00CE2DB6" w:rsidP="00F775EA">
      <w:pPr>
        <w:pStyle w:val="Bullet"/>
      </w:pPr>
      <w:r>
        <w:t>accommodation</w:t>
      </w:r>
    </w:p>
    <w:p w14:paraId="3D31255D" w14:textId="77777777" w:rsidR="00CE2DB6" w:rsidRDefault="00CE2DB6" w:rsidP="00F775EA">
      <w:pPr>
        <w:pStyle w:val="Bullet"/>
      </w:pPr>
      <w:r>
        <w:t>buying land</w:t>
      </w:r>
    </w:p>
    <w:p w14:paraId="21732951" w14:textId="77777777" w:rsidR="00CE2DB6" w:rsidRDefault="00CE2DB6" w:rsidP="00F775EA">
      <w:pPr>
        <w:pStyle w:val="Bullet"/>
      </w:pPr>
      <w:r>
        <w:t>activities of clubs and associations</w:t>
      </w:r>
    </w:p>
    <w:p w14:paraId="5A04DBAB" w14:textId="77777777" w:rsidR="00CE2DB6" w:rsidRDefault="00CE2DB6" w:rsidP="00F775EA">
      <w:pPr>
        <w:pStyle w:val="Bullet"/>
      </w:pPr>
      <w:r>
        <w:t>sport</w:t>
      </w:r>
    </w:p>
    <w:p w14:paraId="076C27C2" w14:textId="77777777" w:rsidR="00CE2DB6" w:rsidRDefault="00CE2DB6" w:rsidP="00F775EA">
      <w:pPr>
        <w:pStyle w:val="Bullet"/>
      </w:pPr>
      <w:r>
        <w:t>administration of Commonwealth Government laws and programs.</w:t>
      </w:r>
    </w:p>
    <w:p w14:paraId="5B3E01E2" w14:textId="0B6DC88E" w:rsidR="00CE2DB6" w:rsidRDefault="00CE2DB6" w:rsidP="00490A8D">
      <w:pPr>
        <w:pStyle w:val="Heading3"/>
      </w:pPr>
      <w:bookmarkStart w:id="44" w:name="_Toc1679512252"/>
      <w:r>
        <w:t xml:space="preserve">What </w:t>
      </w:r>
      <w:r w:rsidRPr="00BB6084">
        <w:t>digital</w:t>
      </w:r>
      <w:r>
        <w:t xml:space="preserve"> products are covered by the </w:t>
      </w:r>
      <w:r w:rsidR="00BB6084">
        <w:br/>
      </w:r>
      <w:r>
        <w:t>Disability Discrimination Act?</w:t>
      </w:r>
      <w:bookmarkEnd w:id="44"/>
    </w:p>
    <w:p w14:paraId="74DB3515" w14:textId="77777777" w:rsidR="00CE2DB6" w:rsidRDefault="00CE2DB6" w:rsidP="00CE2DB6">
      <w:pPr>
        <w:pStyle w:val="BodyText"/>
      </w:pPr>
      <w:r>
        <w:t xml:space="preserve">Section 24 of the Disability Discrimination Act specifically relates to the provision of goods, services, and the availability of facilities, whether paid for or free. </w:t>
      </w:r>
    </w:p>
    <w:p w14:paraId="18905BBF" w14:textId="77777777" w:rsidR="00CE2DB6" w:rsidRDefault="00CE2DB6" w:rsidP="00CE2DB6">
      <w:pPr>
        <w:pStyle w:val="BodyText"/>
      </w:pPr>
      <w:r>
        <w:lastRenderedPageBreak/>
        <w:t xml:space="preserve">It also covers the terms and conditions and the way in which goods and services are provided. </w:t>
      </w:r>
    </w:p>
    <w:p w14:paraId="751C5E43" w14:textId="77777777" w:rsidR="00CE2DB6" w:rsidRDefault="00CE2DB6" w:rsidP="00CE2DB6">
      <w:pPr>
        <w:pStyle w:val="BodyText"/>
      </w:pPr>
      <w:r>
        <w:t xml:space="preserve">‘Services’ is defined in the Disability Discrimination Act as including: </w:t>
      </w:r>
    </w:p>
    <w:p w14:paraId="5C59332A" w14:textId="77777777" w:rsidR="00CE2DB6" w:rsidRPr="00C53587" w:rsidRDefault="00CE2DB6" w:rsidP="00327312">
      <w:pPr>
        <w:pStyle w:val="Bullet"/>
      </w:pPr>
      <w:r w:rsidRPr="01678B86">
        <w:t>banking, insurance, superannuation and the provision of grants, loans, credit or finance</w:t>
      </w:r>
    </w:p>
    <w:p w14:paraId="650CB1CA" w14:textId="77777777" w:rsidR="00CE2DB6" w:rsidRPr="00C53587" w:rsidRDefault="00CE2DB6" w:rsidP="00327312">
      <w:pPr>
        <w:pStyle w:val="Bullet"/>
      </w:pPr>
      <w:r w:rsidRPr="01678B86">
        <w:t>entertainment, recreation or refreshment</w:t>
      </w:r>
    </w:p>
    <w:p w14:paraId="330D82ED" w14:textId="77777777" w:rsidR="00CE2DB6" w:rsidRPr="00C53587" w:rsidRDefault="00CE2DB6" w:rsidP="00327312">
      <w:pPr>
        <w:pStyle w:val="Bullet"/>
      </w:pPr>
      <w:r w:rsidRPr="00C53587">
        <w:t>transport or travel</w:t>
      </w:r>
    </w:p>
    <w:p w14:paraId="28649132" w14:textId="77777777" w:rsidR="00CE2DB6" w:rsidRPr="00C53587" w:rsidRDefault="00CE2DB6" w:rsidP="00327312">
      <w:pPr>
        <w:pStyle w:val="Bullet"/>
      </w:pPr>
      <w:r w:rsidRPr="00C53587">
        <w:t>telecommunications</w:t>
      </w:r>
    </w:p>
    <w:p w14:paraId="3522EF80" w14:textId="77777777" w:rsidR="00CE2DB6" w:rsidRPr="00C53587" w:rsidRDefault="00CE2DB6" w:rsidP="00327312">
      <w:pPr>
        <w:pStyle w:val="Bullet"/>
      </w:pPr>
      <w:r w:rsidRPr="00C53587">
        <w:t>services of the kind provided by the members of any profession or trade</w:t>
      </w:r>
    </w:p>
    <w:p w14:paraId="184ACE28" w14:textId="77777777" w:rsidR="00CE2DB6" w:rsidRPr="00C53587" w:rsidRDefault="00CE2DB6" w:rsidP="00327312">
      <w:pPr>
        <w:pStyle w:val="Bullet"/>
      </w:pPr>
      <w:r w:rsidRPr="01678B86">
        <w:t>government services, including those provided by a local government body.</w:t>
      </w:r>
      <w:r w:rsidRPr="01678B86">
        <w:rPr>
          <w:rStyle w:val="EndnoteReference"/>
        </w:rPr>
        <w:endnoteReference w:id="7"/>
      </w:r>
    </w:p>
    <w:p w14:paraId="08D3810B" w14:textId="77777777" w:rsidR="00CE2DB6" w:rsidRPr="00B2237A" w:rsidRDefault="00CE2DB6" w:rsidP="00CE2DB6">
      <w:pPr>
        <w:pStyle w:val="BodyText"/>
      </w:pPr>
      <w:r w:rsidRPr="01678B86">
        <w:t>Any digital good or service created for people to consume, engage with and/or control, should be designed to provide equal access of use by all to reduce the risk of discrimination.  These include:</w:t>
      </w:r>
    </w:p>
    <w:p w14:paraId="350A326D" w14:textId="77777777" w:rsidR="00CE2DB6" w:rsidRPr="00B2237A" w:rsidRDefault="00CE2DB6" w:rsidP="00327312">
      <w:pPr>
        <w:pStyle w:val="Bullet"/>
      </w:pPr>
      <w:r w:rsidRPr="00B2237A">
        <w:t xml:space="preserve">internet-based technologies, non-internet technologies and </w:t>
      </w:r>
      <w:r>
        <w:t xml:space="preserve">systems </w:t>
      </w:r>
      <w:r w:rsidRPr="00B2237A">
        <w:t>that use both</w:t>
      </w:r>
    </w:p>
    <w:p w14:paraId="633D589C" w14:textId="77777777" w:rsidR="00CE2DB6" w:rsidRPr="00B2237A" w:rsidRDefault="00CE2DB6" w:rsidP="00327312">
      <w:pPr>
        <w:pStyle w:val="Bullet"/>
      </w:pPr>
      <w:r w:rsidRPr="01678B86">
        <w:t>digital content, applications, systems, and services, including self-service kiosks and systems required to complete a task at work</w:t>
      </w:r>
    </w:p>
    <w:p w14:paraId="437D50C8" w14:textId="24354DF8" w:rsidR="008E2A98" w:rsidRDefault="00CE2DB6" w:rsidP="00327312">
      <w:pPr>
        <w:pStyle w:val="Bullet"/>
      </w:pPr>
      <w:r>
        <w:t>digital interfaces including physical devices</w:t>
      </w:r>
      <w:r w:rsidRPr="00B37344">
        <w:t xml:space="preserve"> </w:t>
      </w:r>
      <w:r w:rsidRPr="00E80453">
        <w:t>embedded with sensors, software, and other technologies for the purpose of connecting and exchanging data with other devices and systems over the internet</w:t>
      </w:r>
      <w:r w:rsidRPr="00B2237A">
        <w:t>.</w:t>
      </w:r>
      <w:r w:rsidR="008E2A98">
        <w:br w:type="page"/>
      </w:r>
    </w:p>
    <w:p w14:paraId="07480890" w14:textId="26F7D642" w:rsidR="00CE2DB6" w:rsidRPr="00657CEE" w:rsidRDefault="00CE2DB6" w:rsidP="00627337">
      <w:pPr>
        <w:pStyle w:val="H4shaded"/>
      </w:pPr>
      <w:r>
        <w:lastRenderedPageBreak/>
        <w:t>Digital goods and services include but are not limited to the follow</w:t>
      </w:r>
      <w:r w:rsidRPr="00327312">
        <w:t xml:space="preserve">ing </w:t>
      </w:r>
      <w:r>
        <w:t>types of technology: </w:t>
      </w:r>
    </w:p>
    <w:p w14:paraId="717D2213" w14:textId="77777777" w:rsidR="00CE2DB6" w:rsidRPr="00657CEE" w:rsidRDefault="00CE2DB6" w:rsidP="008E2A98">
      <w:pPr>
        <w:pStyle w:val="Quotebullets"/>
      </w:pPr>
      <w:r w:rsidRPr="01678B86">
        <w:t>web sites, including intranets, ecommerce and any service with a browser interface </w:t>
      </w:r>
    </w:p>
    <w:p w14:paraId="689121B8" w14:textId="77777777" w:rsidR="00CE2DB6" w:rsidRPr="00657CEE" w:rsidRDefault="00CE2DB6" w:rsidP="008E2A98">
      <w:pPr>
        <w:pStyle w:val="Quotebullets"/>
      </w:pPr>
      <w:r w:rsidRPr="00657CEE">
        <w:t>digital documents, books, and learning materials  </w:t>
      </w:r>
    </w:p>
    <w:p w14:paraId="22C78290" w14:textId="77777777" w:rsidR="00CE2DB6" w:rsidRPr="00657CEE" w:rsidRDefault="00CE2DB6" w:rsidP="008E2A98">
      <w:pPr>
        <w:pStyle w:val="Quotebullets"/>
      </w:pPr>
      <w:r w:rsidRPr="00657CEE">
        <w:t>emails and attachments to emails </w:t>
      </w:r>
    </w:p>
    <w:p w14:paraId="5AE8854F" w14:textId="77777777" w:rsidR="00CE2DB6" w:rsidRPr="00657CEE" w:rsidRDefault="00CE2DB6" w:rsidP="008E2A98">
      <w:pPr>
        <w:pStyle w:val="Quotebullets"/>
      </w:pPr>
      <w:r>
        <w:t>Software as a Service (SaaS) and Platform as a Service (PaaS) as cloud-based services </w:t>
      </w:r>
    </w:p>
    <w:p w14:paraId="254F0DFA" w14:textId="77777777" w:rsidR="00CE2DB6" w:rsidRPr="00657CEE" w:rsidRDefault="00CE2DB6" w:rsidP="008E2A98">
      <w:pPr>
        <w:pStyle w:val="Quotebullets"/>
      </w:pPr>
      <w:r w:rsidRPr="00657CEE">
        <w:t>software, including mobile applications and games </w:t>
      </w:r>
    </w:p>
    <w:p w14:paraId="64D80756" w14:textId="77777777" w:rsidR="00CE2DB6" w:rsidRPr="00657CEE" w:rsidRDefault="00CE2DB6" w:rsidP="008E2A98">
      <w:pPr>
        <w:pStyle w:val="Quotebullets"/>
      </w:pPr>
      <w:r w:rsidRPr="00657CEE">
        <w:t>artificial intelligence (AI) generated services, including the AI platform itself </w:t>
      </w:r>
    </w:p>
    <w:p w14:paraId="4E9E4E13" w14:textId="77777777" w:rsidR="00CE2DB6" w:rsidRPr="00657CEE" w:rsidRDefault="00CE2DB6" w:rsidP="008E2A98">
      <w:pPr>
        <w:pStyle w:val="Quotebullets"/>
      </w:pPr>
      <w:r w:rsidRPr="00657CEE">
        <w:t>methods including CAPTCHAs and two-factor authentication used to gain access to online services </w:t>
      </w:r>
    </w:p>
    <w:p w14:paraId="2A2614F5" w14:textId="77777777" w:rsidR="00CE2DB6" w:rsidRPr="00657CEE" w:rsidRDefault="00CE2DB6" w:rsidP="008E2A98">
      <w:pPr>
        <w:pStyle w:val="Quotebullets"/>
      </w:pPr>
      <w:r w:rsidRPr="00657CEE">
        <w:t>facial recognition and other biometric technologies used to gain access to services </w:t>
      </w:r>
    </w:p>
    <w:p w14:paraId="11FEBD9E" w14:textId="77777777" w:rsidR="00CE2DB6" w:rsidRPr="00657CEE" w:rsidRDefault="00CE2DB6" w:rsidP="008E2A98">
      <w:pPr>
        <w:pStyle w:val="Quotebullets"/>
      </w:pPr>
      <w:r w:rsidRPr="00657CEE">
        <w:t>Extended Reality (XR) including Virtual and Augmented Reality (VR &amp; AR) </w:t>
      </w:r>
    </w:p>
    <w:p w14:paraId="74BD1C3B" w14:textId="77777777" w:rsidR="00CE2DB6" w:rsidRPr="00657CEE" w:rsidRDefault="00CE2DB6" w:rsidP="008E2A98">
      <w:pPr>
        <w:pStyle w:val="Quotebullets"/>
      </w:pPr>
      <w:r w:rsidRPr="00657CEE">
        <w:t>digital wallets, payment systems and terminals </w:t>
      </w:r>
    </w:p>
    <w:p w14:paraId="15F0E85D" w14:textId="77777777" w:rsidR="00CE2DB6" w:rsidRPr="00657CEE" w:rsidRDefault="00CE2DB6" w:rsidP="008E2A98">
      <w:pPr>
        <w:pStyle w:val="Quotebullets"/>
      </w:pPr>
      <w:r w:rsidRPr="00657CEE">
        <w:t>automated teller machines (ATM), ticket machines and digital kiosks </w:t>
      </w:r>
    </w:p>
    <w:p w14:paraId="560F0509" w14:textId="77777777" w:rsidR="00CE2DB6" w:rsidRPr="00657CEE" w:rsidRDefault="00CE2DB6" w:rsidP="008E2A98">
      <w:pPr>
        <w:pStyle w:val="Quotebullets"/>
      </w:pPr>
      <w:r w:rsidRPr="01678B86">
        <w:t>QR codes and other systems used to scan information, load webpages or provide product help </w:t>
      </w:r>
    </w:p>
    <w:p w14:paraId="19410E87" w14:textId="77777777" w:rsidR="00CE2DB6" w:rsidRPr="00657CEE" w:rsidRDefault="00CE2DB6" w:rsidP="008E2A98">
      <w:pPr>
        <w:pStyle w:val="Quotebullets"/>
      </w:pPr>
      <w:r w:rsidRPr="00657CEE">
        <w:lastRenderedPageBreak/>
        <w:t>digital wayfinding, including mapping applications </w:t>
      </w:r>
    </w:p>
    <w:p w14:paraId="6FD705DD" w14:textId="77777777" w:rsidR="00CE2DB6" w:rsidRPr="00657CEE" w:rsidRDefault="00CE2DB6" w:rsidP="008E2A98">
      <w:pPr>
        <w:pStyle w:val="Quotebullets"/>
      </w:pPr>
      <w:r w:rsidRPr="01678B86">
        <w:t xml:space="preserve">digital interfaces to physical objects including home and office printers, fixed and mobile telephone equipment, routers and modems, musical equipment, household appliances such as washing machines and dryers, </w:t>
      </w:r>
      <w:proofErr w:type="gramStart"/>
      <w:r w:rsidRPr="01678B86">
        <w:t>dish-washers</w:t>
      </w:r>
      <w:proofErr w:type="gramEnd"/>
      <w:r w:rsidRPr="01678B86">
        <w:t>, ovens, TVs and set-top boxes, home medical appliances, environment controls, lift controls and wearables </w:t>
      </w:r>
    </w:p>
    <w:p w14:paraId="2708F1AA" w14:textId="77777777" w:rsidR="00CE2DB6" w:rsidRPr="00657CEE" w:rsidRDefault="00CE2DB6" w:rsidP="008E2A98">
      <w:pPr>
        <w:pStyle w:val="Quotebullets"/>
      </w:pPr>
      <w:r w:rsidRPr="00657CEE">
        <w:t>digital interfaces to the Internet of Things (IoT) including physical objects embedded with sensors, software, and other technologies for the purpose of connecting and exchanging data with other devices and systems over the internet </w:t>
      </w:r>
    </w:p>
    <w:p w14:paraId="1D2BBC56" w14:textId="29AA68DE" w:rsidR="00327312" w:rsidRDefault="00CE2DB6" w:rsidP="008E2A98">
      <w:pPr>
        <w:pStyle w:val="Quotebullets"/>
      </w:pPr>
      <w:r w:rsidRPr="00657CEE">
        <w:t>Chatbots and other automated response systems including the use of AI in recruitment and eCommerce. </w:t>
      </w:r>
      <w:r w:rsidR="00327312">
        <w:br w:type="page"/>
      </w:r>
    </w:p>
    <w:p w14:paraId="31E4DDD9" w14:textId="138526A8" w:rsidR="00CE2DB6" w:rsidRPr="008E2A98" w:rsidRDefault="00CE2DB6" w:rsidP="008E2A98">
      <w:pPr>
        <w:pStyle w:val="H4shaded"/>
      </w:pPr>
      <w:r w:rsidRPr="008E2A98">
        <w:rPr>
          <w:i/>
          <w:iCs w:val="0"/>
        </w:rPr>
        <w:lastRenderedPageBreak/>
        <w:t>Maguire v Sydney Organising Committee for the Olympic Games</w:t>
      </w:r>
      <w:r w:rsidRPr="008E2A98">
        <w:t xml:space="preserve"> </w:t>
      </w:r>
      <w:r w:rsidR="00630B6A" w:rsidRPr="008E2A98">
        <w:br/>
      </w:r>
      <w:r w:rsidRPr="008E2A98">
        <w:t>(No 2) [2000] HREOCA 31 (24 August 2000) (Maguire)</w:t>
      </w:r>
    </w:p>
    <w:p w14:paraId="3D538473" w14:textId="46449121" w:rsidR="00CE2DB6" w:rsidRPr="00EB1AA1" w:rsidRDefault="00CE2DB6" w:rsidP="008E2A98">
      <w:pPr>
        <w:pStyle w:val="Emphasisshaded"/>
      </w:pPr>
      <w:r w:rsidRPr="00EB1AA1">
        <w:t>Maguire is a decision</w:t>
      </w:r>
      <w:r>
        <w:t xml:space="preserve"> made</w:t>
      </w:r>
      <w:r w:rsidRPr="00EB1AA1">
        <w:t xml:space="preserve"> by </w:t>
      </w:r>
      <w:r>
        <w:t xml:space="preserve">the Commission when it was known as the </w:t>
      </w:r>
      <w:r w:rsidRPr="00EB1AA1">
        <w:t>Human Rights and Equal Opportunity Commission</w:t>
      </w:r>
      <w:r>
        <w:t xml:space="preserve"> (HREOC)</w:t>
      </w:r>
      <w:r w:rsidRPr="00EB1AA1">
        <w:t xml:space="preserve">. </w:t>
      </w:r>
    </w:p>
    <w:p w14:paraId="480D0C04" w14:textId="77777777" w:rsidR="00CE2DB6" w:rsidRPr="00EB1AA1" w:rsidRDefault="00CE2DB6" w:rsidP="008E2A98">
      <w:pPr>
        <w:pStyle w:val="Emphasisshaded"/>
      </w:pPr>
      <w:r w:rsidRPr="01678B86">
        <w:t xml:space="preserve">Mr Maguire, who is blind, </w:t>
      </w:r>
      <w:r>
        <w:t xml:space="preserve">complained </w:t>
      </w:r>
      <w:r w:rsidRPr="01678B86">
        <w:t xml:space="preserve">that he was unlawfully discriminated against by the Sydney Organising Committee for the Olympic Games (SOCOG) </w:t>
      </w:r>
      <w:r>
        <w:t>because its</w:t>
      </w:r>
      <w:r w:rsidRPr="01678B86">
        <w:t xml:space="preserve"> website</w:t>
      </w:r>
      <w:r>
        <w:t xml:space="preserve"> </w:t>
      </w:r>
      <w:r w:rsidRPr="01678B86">
        <w:t xml:space="preserve">was </w:t>
      </w:r>
      <w:r>
        <w:t xml:space="preserve">not </w:t>
      </w:r>
      <w:r w:rsidRPr="01678B86">
        <w:t xml:space="preserve">accessible </w:t>
      </w:r>
      <w:r>
        <w:t>him.</w:t>
      </w:r>
      <w:r w:rsidRPr="01678B86" w:rsidDel="00242D3E">
        <w:t xml:space="preserve"> </w:t>
      </w:r>
      <w:r w:rsidRPr="01678B86">
        <w:t xml:space="preserve">SOCOG </w:t>
      </w:r>
      <w:r>
        <w:t xml:space="preserve">argued </w:t>
      </w:r>
      <w:r w:rsidRPr="01678B86">
        <w:t>that to make its website compatible with the World Wide Web Content Accessibility Guidelines (W3C Guidelines) would impose an unjustifiable hardship.</w:t>
      </w:r>
    </w:p>
    <w:p w14:paraId="13D9FC6F" w14:textId="77777777" w:rsidR="00CE2DB6" w:rsidRDefault="00CE2DB6" w:rsidP="008E2A98">
      <w:pPr>
        <w:pStyle w:val="Emphasisshaded"/>
      </w:pPr>
      <w:r>
        <w:t>The Commission</w:t>
      </w:r>
      <w:r w:rsidRPr="01678B86" w:rsidDel="00AC4234">
        <w:t xml:space="preserve"> </w:t>
      </w:r>
      <w:r>
        <w:t>decided</w:t>
      </w:r>
      <w:r w:rsidRPr="01678B86">
        <w:t xml:space="preserve"> that the provision of information on the website is a ‘service’ within the meaning of the Disability Discrimination Act, and that SOCOG had directly discriminated against Mr Maguire. This was due to the </w:t>
      </w:r>
      <w:proofErr w:type="gramStart"/>
      <w:r w:rsidRPr="01678B86">
        <w:t>manner in which</w:t>
      </w:r>
      <w:proofErr w:type="gramEnd"/>
      <w:r w:rsidRPr="01678B86">
        <w:t xml:space="preserve"> SOCOG “used its computer technology” to provide the service, such that the information was made available to sighted persons but unavailable, or only party available, to a blind person because of their disability.</w:t>
      </w:r>
    </w:p>
    <w:p w14:paraId="58B2A67F" w14:textId="77777777" w:rsidR="00CE2DB6" w:rsidRPr="00657CEE" w:rsidRDefault="00CE2DB6" w:rsidP="008E2A98">
      <w:pPr>
        <w:pStyle w:val="Emphasisshaded"/>
      </w:pPr>
      <w:r w:rsidRPr="01678B86">
        <w:t xml:space="preserve">The Commission also considered unjustifiable hardship and found that the provision of an accessible website for Mr Maguire and other vision impaired persons would constitute a very considerable benefit and that the consequently detriment to SOCOG would be modest. Therefore, SOCOG could not avoid liability for its unlawful discrimination by its claim of unjustifiable hardship. </w:t>
      </w:r>
    </w:p>
    <w:p w14:paraId="58AA4148" w14:textId="77777777" w:rsidR="00CE2DB6" w:rsidRDefault="00CE2DB6" w:rsidP="00490A8D">
      <w:pPr>
        <w:pStyle w:val="Heading2"/>
      </w:pPr>
      <w:bookmarkStart w:id="45" w:name="_Toc953683405"/>
      <w:bookmarkStart w:id="46" w:name="_Toc194569646"/>
      <w:r>
        <w:t>Reasonable adjustments</w:t>
      </w:r>
      <w:bookmarkEnd w:id="45"/>
      <w:bookmarkEnd w:id="46"/>
    </w:p>
    <w:p w14:paraId="16975D9F" w14:textId="77777777" w:rsidR="00CE2DB6" w:rsidRDefault="00CE2DB6" w:rsidP="00CE2DB6">
      <w:r w:rsidRPr="01678B86">
        <w:t xml:space="preserve">It is a requirement under the Disability Discrimination Act to make changes to reduce barriers for people with disability. These are known as ‘reasonable </w:t>
      </w:r>
      <w:proofErr w:type="gramStart"/>
      <w:r w:rsidRPr="01678B86">
        <w:t>adjustments’</w:t>
      </w:r>
      <w:proofErr w:type="gramEnd"/>
      <w:r w:rsidRPr="01678B86">
        <w:t xml:space="preserve">. Reasonable adjustments are changes to a process, product or environment that remove barriers for people with disability. This allows people with disability to access goods and services on an equal basis with others. </w:t>
      </w:r>
    </w:p>
    <w:p w14:paraId="47EF56E8" w14:textId="77777777" w:rsidR="00CE2DB6" w:rsidRDefault="00CE2DB6" w:rsidP="00CE2DB6">
      <w:r w:rsidRPr="01678B86">
        <w:lastRenderedPageBreak/>
        <w:t xml:space="preserve">The Disability Discrimination Act says that a failure to provide ‘reasonable adjustments’ to a person with disability may amount to direct or indirect unlawful discrimination. Reasonable adjustments must be provided so that a person with disability can access goods and services, unless it would impose an unjustifiable hardship on the individual or organisation concerned. Adjustments </w:t>
      </w:r>
      <w:proofErr w:type="gramStart"/>
      <w:r w:rsidRPr="01678B86">
        <w:t>have to</w:t>
      </w:r>
      <w:proofErr w:type="gramEnd"/>
      <w:r w:rsidRPr="01678B86">
        <w:t xml:space="preserve"> be made both for consumers of goods and services, and for any employees of an organisation that provides goods and services.</w:t>
      </w:r>
    </w:p>
    <w:p w14:paraId="43E5DA52" w14:textId="77777777" w:rsidR="00CE2DB6" w:rsidRDefault="00CE2DB6" w:rsidP="00CE2DB6">
      <w:r w:rsidRPr="01678B86">
        <w:t xml:space="preserve">The purpose of imposing a duty to make reasonable adjustments is to eliminate discrimination, to the extent possible, by making goods and services safe and accessible for people with disability. The law allows a person with disability to request a reasonable adjustment, as a recognition that not all general accessibility measures will be appropriate for all individuals. </w:t>
      </w:r>
    </w:p>
    <w:p w14:paraId="63F56609" w14:textId="77777777" w:rsidR="00CE2DB6" w:rsidRPr="00F85336" w:rsidRDefault="00CE2DB6" w:rsidP="00CE2DB6">
      <w:r w:rsidRPr="01678B86">
        <w:t>Employers and educational authorities also have an obligation to ensure that they make reasonable adjustments to any digital goods and services they require their staff or students to use. It can create health and safety risks if people with disability are required to use technology that is inaccessible to them. The Australian Government can provide financial assistance for workplace adjustments for people with disability through the Job Access Program.</w:t>
      </w:r>
      <w:r w:rsidRPr="01678B86">
        <w:rPr>
          <w:vertAlign w:val="superscript"/>
        </w:rPr>
        <w:endnoteReference w:id="8"/>
      </w:r>
    </w:p>
    <w:p w14:paraId="585856D6" w14:textId="77777777" w:rsidR="00CE2DB6" w:rsidRDefault="00CE2DB6" w:rsidP="00490A8D">
      <w:pPr>
        <w:pStyle w:val="Heading3"/>
      </w:pPr>
      <w:bookmarkStart w:id="47" w:name="_Toc1982987996"/>
      <w:r>
        <w:t>What is unjustifiable hardship?</w:t>
      </w:r>
      <w:bookmarkEnd w:id="47"/>
    </w:p>
    <w:p w14:paraId="50083B57" w14:textId="77777777" w:rsidR="00CE2DB6" w:rsidRDefault="00CE2DB6" w:rsidP="00CE2DB6">
      <w:r>
        <w:t>In some circumstances, it may be unreasonable for adjustments to be made if it will place an ‘unjustifiable hardship’ on a person or organisation. For example, an adjustment may cause unjustifiable hardship if it would be far too expensive, difficult, time consuming or cause other hardship to the person or organisation. Unjustifiable hardship is based on an assessment of what is fair and reasonable in the circumstances.</w:t>
      </w:r>
    </w:p>
    <w:p w14:paraId="66D94C26" w14:textId="77777777" w:rsidR="00CE2DB6" w:rsidRDefault="00CE2DB6" w:rsidP="00CE2DB6">
      <w:r w:rsidRPr="01678B86">
        <w:t xml:space="preserve">Section 11 of the Disability Discrimination Act provides that all relevant circumstances of a particular case must be </w:t>
      </w:r>
      <w:proofErr w:type="gramStart"/>
      <w:r w:rsidRPr="01678B86">
        <w:t>taken into account</w:t>
      </w:r>
      <w:proofErr w:type="gramEnd"/>
      <w:r w:rsidRPr="01678B86">
        <w:t xml:space="preserve"> in determining whether a hardship that would be imposed on a person or organisation is unjustifiable. These circumstances include:</w:t>
      </w:r>
    </w:p>
    <w:p w14:paraId="394B3BF3" w14:textId="77777777" w:rsidR="00CE2DB6" w:rsidRDefault="00CE2DB6" w:rsidP="008D1805">
      <w:pPr>
        <w:pStyle w:val="Bullet"/>
      </w:pPr>
      <w:r>
        <w:lastRenderedPageBreak/>
        <w:t>the benefit or detriment of the adjustment for the person with disability, for others with the same disability, for the organisation making the adjustment and/or for the community generally</w:t>
      </w:r>
    </w:p>
    <w:p w14:paraId="1647B392" w14:textId="77777777" w:rsidR="00CE2DB6" w:rsidRDefault="00CE2DB6" w:rsidP="008D1805">
      <w:pPr>
        <w:pStyle w:val="Bullet"/>
      </w:pPr>
      <w:r>
        <w:t>the effect of the disability of any person concerned</w:t>
      </w:r>
    </w:p>
    <w:p w14:paraId="57C096CB" w14:textId="77777777" w:rsidR="00CE2DB6" w:rsidRDefault="00CE2DB6" w:rsidP="008D1805">
      <w:pPr>
        <w:pStyle w:val="Bullet"/>
      </w:pPr>
      <w:r>
        <w:t>an estimate of the cost of making the adjustment bearing in mind the person or organisation’s financial circumstances</w:t>
      </w:r>
    </w:p>
    <w:p w14:paraId="1265D0C7" w14:textId="77777777" w:rsidR="00CE2DB6" w:rsidRDefault="00CE2DB6" w:rsidP="008D1805">
      <w:pPr>
        <w:pStyle w:val="Bullet"/>
      </w:pPr>
      <w:r w:rsidRPr="01678B86">
        <w:t>the availability of financial and other assistance to the person or organisation making the adjustment.</w:t>
      </w:r>
    </w:p>
    <w:p w14:paraId="67070C67" w14:textId="77777777" w:rsidR="00CE2DB6" w:rsidRDefault="00CE2DB6" w:rsidP="00CE2DB6">
      <w:r>
        <w:t xml:space="preserve">Examples of other circumstances that can be considered by a person or organisation when deciding whether an adjustment would cause unjustifiable hardship include: </w:t>
      </w:r>
    </w:p>
    <w:p w14:paraId="1473A868" w14:textId="77777777" w:rsidR="00CE2DB6" w:rsidRDefault="00CE2DB6" w:rsidP="008D1805">
      <w:pPr>
        <w:pStyle w:val="Bullet"/>
      </w:pPr>
      <w:r>
        <w:t>a thorough consideration of how an adjustment might be made</w:t>
      </w:r>
    </w:p>
    <w:p w14:paraId="34106138" w14:textId="77777777" w:rsidR="00CE2DB6" w:rsidRDefault="00CE2DB6" w:rsidP="008D1805">
      <w:pPr>
        <w:pStyle w:val="Bullet"/>
      </w:pPr>
      <w:r>
        <w:t>the impact of the disability on a person with that disability if no adjustment is made</w:t>
      </w:r>
    </w:p>
    <w:p w14:paraId="736E6719" w14:textId="77777777" w:rsidR="00CE2DB6" w:rsidRDefault="00CE2DB6" w:rsidP="008D1805">
      <w:pPr>
        <w:pStyle w:val="Bullet"/>
      </w:pPr>
      <w:r>
        <w:t>direct discussion with the person requesting an adjustment</w:t>
      </w:r>
    </w:p>
    <w:p w14:paraId="6D762E67" w14:textId="77777777" w:rsidR="00CE2DB6" w:rsidRDefault="00CE2DB6" w:rsidP="008D1805">
      <w:pPr>
        <w:pStyle w:val="Bullet"/>
      </w:pPr>
      <w:r>
        <w:t>consultation of relevant sources of advice.</w:t>
      </w:r>
    </w:p>
    <w:p w14:paraId="69DF1D3A" w14:textId="77777777" w:rsidR="00CE2DB6" w:rsidRDefault="00CE2DB6" w:rsidP="00CE2DB6">
      <w:r w:rsidRPr="01678B86">
        <w:t xml:space="preserve">It is up to the person or organisation alleging unjustifiable hardship to demonstrate how making the adjustment would result in unjustifiable hardship. </w:t>
      </w:r>
    </w:p>
    <w:p w14:paraId="2F7124FF" w14:textId="77777777" w:rsidR="00CE2DB6" w:rsidRPr="00B2237A" w:rsidRDefault="00CE2DB6" w:rsidP="00CE2DB6">
      <w:r>
        <w:t>The defence of unjustifiable hardship in the provision of digital goods and services could include</w:t>
      </w:r>
      <w:r w:rsidRPr="00B2237A">
        <w:t xml:space="preserve"> factors as:</w:t>
      </w:r>
    </w:p>
    <w:p w14:paraId="22A505D5" w14:textId="77777777" w:rsidR="00CE2DB6" w:rsidRPr="00B2237A" w:rsidRDefault="00CE2DB6" w:rsidP="008D1805">
      <w:pPr>
        <w:pStyle w:val="Bullet"/>
      </w:pPr>
      <w:r w:rsidRPr="00B2237A">
        <w:t xml:space="preserve">the array of national and international standards on </w:t>
      </w:r>
      <w:r>
        <w:t xml:space="preserve">digital </w:t>
      </w:r>
      <w:r w:rsidRPr="00B2237A">
        <w:t xml:space="preserve">accessibility that have </w:t>
      </w:r>
      <w:r>
        <w:t xml:space="preserve">been in place and </w:t>
      </w:r>
      <w:r w:rsidRPr="001A707A">
        <w:t>updated</w:t>
      </w:r>
      <w:r>
        <w:t xml:space="preserve"> since 1999</w:t>
      </w:r>
      <w:r w:rsidRPr="00B2237A">
        <w:t xml:space="preserve"> </w:t>
      </w:r>
    </w:p>
    <w:p w14:paraId="2FDD82E3" w14:textId="77777777" w:rsidR="00CE2DB6" w:rsidRPr="00B2237A" w:rsidRDefault="00CE2DB6" w:rsidP="008D1805">
      <w:pPr>
        <w:pStyle w:val="Bullet"/>
      </w:pPr>
      <w:r w:rsidRPr="01678B86">
        <w:t xml:space="preserve">widespread availability of practical advice from industry experts on creating and or procuring accessible digital goods and services </w:t>
      </w:r>
    </w:p>
    <w:p w14:paraId="5FF31561" w14:textId="77777777" w:rsidR="00CE2DB6" w:rsidRDefault="00CE2DB6" w:rsidP="008D1805">
      <w:pPr>
        <w:pStyle w:val="Bullet"/>
      </w:pPr>
      <w:r w:rsidRPr="01678B86">
        <w:t>growth of mainstream tools that have the capacity to assist in the creation of accessible goods and services</w:t>
      </w:r>
    </w:p>
    <w:p w14:paraId="0B881F0E" w14:textId="77777777" w:rsidR="00CE2DB6" w:rsidRPr="00B2237A" w:rsidRDefault="00CE2DB6" w:rsidP="008D1805">
      <w:pPr>
        <w:pStyle w:val="Bullet"/>
      </w:pPr>
      <w:r>
        <w:lastRenderedPageBreak/>
        <w:t>growth of mainstream devices that include accessibility features as part of the operating system.</w:t>
      </w:r>
    </w:p>
    <w:p w14:paraId="001C1662" w14:textId="77777777" w:rsidR="00CE2DB6" w:rsidRPr="00B2237A" w:rsidRDefault="00CE2DB6" w:rsidP="00CE2DB6">
      <w:r w:rsidRPr="01678B86">
        <w:t>The best way to avoid discrimination remains being inclusive by design and accessible by default. These Guidelines are intended to assist in achieving that objective.</w:t>
      </w:r>
    </w:p>
    <w:p w14:paraId="42D1B8FD" w14:textId="77777777" w:rsidR="00CE2DB6" w:rsidRDefault="00CE2DB6" w:rsidP="00490A8D">
      <w:pPr>
        <w:pStyle w:val="Heading2"/>
      </w:pPr>
      <w:bookmarkStart w:id="48" w:name="Start"/>
      <w:bookmarkStart w:id="49" w:name="Complete"/>
      <w:bookmarkStart w:id="50" w:name="_Toc1582521438"/>
      <w:bookmarkStart w:id="51" w:name="_Toc194569647"/>
      <w:bookmarkEnd w:id="48"/>
      <w:bookmarkEnd w:id="49"/>
      <w:r>
        <w:t>The Convention on the Rights of Persons with Disabilities</w:t>
      </w:r>
      <w:bookmarkEnd w:id="50"/>
      <w:bookmarkEnd w:id="51"/>
    </w:p>
    <w:p w14:paraId="02B29A41" w14:textId="77777777" w:rsidR="00CE2DB6" w:rsidRDefault="00CE2DB6" w:rsidP="00CE2DB6">
      <w:r w:rsidRPr="00D043F8">
        <w:t>T</w:t>
      </w:r>
      <w:r>
        <w:t>he</w:t>
      </w:r>
      <w:r w:rsidRPr="00D043F8">
        <w:t xml:space="preserve"> United Nations </w:t>
      </w:r>
      <w:r w:rsidRPr="00051871">
        <w:rPr>
          <w:i/>
          <w:iCs/>
        </w:rPr>
        <w:t>Convention on the Rights of Persons with Disabilities</w:t>
      </w:r>
      <w:r w:rsidRPr="00D043F8">
        <w:t xml:space="preserve"> (CRPD)</w:t>
      </w:r>
      <w:r w:rsidRPr="00CE25DB">
        <w:t xml:space="preserve"> </w:t>
      </w:r>
      <w:r w:rsidRPr="00D043F8">
        <w:t xml:space="preserve">is </w:t>
      </w:r>
      <w:r>
        <w:t>an</w:t>
      </w:r>
      <w:r w:rsidRPr="00D043F8">
        <w:t xml:space="preserve"> international human rights </w:t>
      </w:r>
      <w:r>
        <w:t>treaty</w:t>
      </w:r>
      <w:r w:rsidRPr="00D043F8">
        <w:t xml:space="preserve"> that explicitly addresses </w:t>
      </w:r>
      <w:r>
        <w:t xml:space="preserve">the rights of persons with </w:t>
      </w:r>
      <w:r w:rsidRPr="00D043F8">
        <w:t>disability.</w:t>
      </w:r>
      <w:r>
        <w:t xml:space="preserve"> </w:t>
      </w:r>
      <w:r w:rsidRPr="006A4FA2">
        <w:t xml:space="preserve">The purpose of the </w:t>
      </w:r>
      <w:r>
        <w:t xml:space="preserve">CRPD </w:t>
      </w:r>
      <w:r w:rsidRPr="006A4FA2">
        <w:t>is to promote, protect and ensure the full and equal enjoyment of all human rights and fundamental freedoms by all persons with disabilities, and to promote respect for their inherent dignity</w:t>
      </w:r>
      <w:r>
        <w:t>.</w:t>
      </w:r>
    </w:p>
    <w:p w14:paraId="18D46903" w14:textId="77777777" w:rsidR="00CE2DB6" w:rsidRDefault="00CE2DB6" w:rsidP="00CE2DB6">
      <w:r w:rsidRPr="00D043F8">
        <w:t xml:space="preserve"> Australia ratified the CRPD in 2008, </w:t>
      </w:r>
      <w:r>
        <w:t>which means that it accepts</w:t>
      </w:r>
      <w:r w:rsidRPr="00D043F8">
        <w:t xml:space="preserve"> the</w:t>
      </w:r>
      <w:r>
        <w:t xml:space="preserve"> obligation to protect and promote the rights of people with disability set out in the CRPD in Australia’s domestic laws and policies. Once a country has ratified the CPRD, they become what is known as a “State Party.” </w:t>
      </w:r>
    </w:p>
    <w:p w14:paraId="27CD50D1" w14:textId="77777777" w:rsidR="00CE2DB6" w:rsidRDefault="00CE2DB6" w:rsidP="00CE2DB6">
      <w:r>
        <w:t xml:space="preserve">One of the general principles of the CRPD is non-discrimination. The rights articulated in the CRPD affirm the right of people with disability to be treated on an equal basis with others. In particular, the CRPD places an obligation on governments to ensure </w:t>
      </w:r>
      <w:r w:rsidRPr="00C30086">
        <w:rPr>
          <w:rFonts w:eastAsiaTheme="minorEastAsia"/>
        </w:rPr>
        <w:t xml:space="preserve">people with disability </w:t>
      </w:r>
      <w:r>
        <w:rPr>
          <w:rFonts w:eastAsiaTheme="minorEastAsia"/>
        </w:rPr>
        <w:t xml:space="preserve">can </w:t>
      </w:r>
      <w:r w:rsidRPr="00C30086">
        <w:rPr>
          <w:rFonts w:eastAsiaTheme="minorEastAsia"/>
        </w:rPr>
        <w:t xml:space="preserve">access </w:t>
      </w:r>
      <w:r>
        <w:rPr>
          <w:rFonts w:eastAsiaTheme="minorEastAsia"/>
        </w:rPr>
        <w:t>digital products and services</w:t>
      </w:r>
      <w:r w:rsidRPr="00C30086">
        <w:rPr>
          <w:rFonts w:eastAsiaTheme="minorEastAsia"/>
        </w:rPr>
        <w:t xml:space="preserve"> on an equal basis with others</w:t>
      </w:r>
      <w:r w:rsidRPr="008270FA">
        <w:t xml:space="preserve">. </w:t>
      </w:r>
    </w:p>
    <w:p w14:paraId="0AA2194D" w14:textId="77777777" w:rsidR="00CE2DB6" w:rsidRDefault="00CE2DB6" w:rsidP="00CE2DB6">
      <w:r w:rsidRPr="01678B86">
        <w:t xml:space="preserve">All levels of Governments are responsible for meeting Australia’s obligations under the CRPD. However, the whole of society has an active role to play in upholding the rights established by the CRPD and the Government is required to ‘urge’ and ‘encourage’ other sectors. </w:t>
      </w:r>
    </w:p>
    <w:p w14:paraId="07B15B5E" w14:textId="77777777" w:rsidR="00CE2DB6" w:rsidRDefault="00CE2DB6" w:rsidP="00CE2DB6">
      <w:pPr>
        <w:spacing w:line="276" w:lineRule="auto"/>
      </w:pPr>
      <w:r w:rsidRPr="001A707A">
        <w:rPr>
          <w:rStyle w:val="Strong"/>
        </w:rPr>
        <w:lastRenderedPageBreak/>
        <w:t>Article 3</w:t>
      </w:r>
      <w:r>
        <w:t xml:space="preserve"> of the CRPD sets out general principles, including non-discrimination and equality of opportunity, and </w:t>
      </w:r>
      <w:r w:rsidRPr="00AF2767">
        <w:rPr>
          <w:rStyle w:val="Strong"/>
        </w:rPr>
        <w:t>Article 4</w:t>
      </w:r>
      <w:r>
        <w:t xml:space="preserve"> sets out general obligations to ‘ensure and promote the full realisation of all human rights and fundamental freedoms without discrimination on the basis of disability’.</w:t>
      </w:r>
      <w:r>
        <w:rPr>
          <w:rStyle w:val="EndnoteReference"/>
        </w:rPr>
        <w:endnoteReference w:id="9"/>
      </w:r>
      <w:r w:rsidRPr="00B2237A">
        <w:t xml:space="preserve"> </w:t>
      </w:r>
      <w:r>
        <w:t xml:space="preserve">The following sub-sections of Article 4 relate to the obligations placed on State Parties to promote the full realisation of rights, in the area of digital accessibility: </w:t>
      </w:r>
    </w:p>
    <w:p w14:paraId="3A0AE80F" w14:textId="77777777" w:rsidR="00CE2DB6" w:rsidRDefault="00CE2DB6" w:rsidP="00CE2DB6">
      <w:pPr>
        <w:pStyle w:val="BodyText"/>
        <w:keepLines w:val="0"/>
        <w:numPr>
          <w:ilvl w:val="0"/>
          <w:numId w:val="37"/>
        </w:numPr>
        <w:snapToGrid w:val="0"/>
        <w:spacing w:before="120" w:line="276" w:lineRule="auto"/>
      </w:pPr>
      <w:r w:rsidRPr="01678B86">
        <w:t xml:space="preserve">To undertake or promote research and development of universally designed goods, services, equipment and facilities, with the minimum possible adaptation and the least </w:t>
      </w:r>
      <w:proofErr w:type="gramStart"/>
      <w:r w:rsidRPr="01678B86">
        <w:t>costs;</w:t>
      </w:r>
      <w:proofErr w:type="gramEnd"/>
    </w:p>
    <w:p w14:paraId="4F756928" w14:textId="77777777" w:rsidR="00CE2DB6" w:rsidRPr="00E520A0" w:rsidRDefault="00CE2DB6" w:rsidP="00CE2DB6">
      <w:pPr>
        <w:pStyle w:val="BodyText"/>
        <w:keepLines w:val="0"/>
        <w:numPr>
          <w:ilvl w:val="0"/>
          <w:numId w:val="37"/>
        </w:numPr>
        <w:snapToGrid w:val="0"/>
        <w:spacing w:before="120" w:line="276" w:lineRule="auto"/>
      </w:pPr>
      <w:r>
        <w:t>T</w:t>
      </w:r>
      <w:r w:rsidRPr="00E520A0">
        <w:t xml:space="preserve">o promote universal design in the development of standards and </w:t>
      </w:r>
      <w:proofErr w:type="gramStart"/>
      <w:r w:rsidRPr="00E520A0">
        <w:t>guidelines;</w:t>
      </w:r>
      <w:proofErr w:type="gramEnd"/>
    </w:p>
    <w:p w14:paraId="664FF7F9" w14:textId="77777777" w:rsidR="00CE2DB6" w:rsidRPr="00E520A0" w:rsidRDefault="00CE2DB6" w:rsidP="00CE2DB6">
      <w:pPr>
        <w:pStyle w:val="BodyText"/>
        <w:keepLines w:val="0"/>
        <w:numPr>
          <w:ilvl w:val="0"/>
          <w:numId w:val="37"/>
        </w:numPr>
        <w:snapToGrid w:val="0"/>
        <w:spacing w:before="120" w:line="276" w:lineRule="auto"/>
      </w:pPr>
      <w:r w:rsidRPr="01678B86">
        <w:t xml:space="preserve">To promote the development, availability, and use of new technologies, including information and communications technologies, mobility aids, devices and assistive technologies, giving priority to technologies at an affordable </w:t>
      </w:r>
      <w:proofErr w:type="gramStart"/>
      <w:r w:rsidRPr="01678B86">
        <w:t>cost;</w:t>
      </w:r>
      <w:proofErr w:type="gramEnd"/>
    </w:p>
    <w:p w14:paraId="24E9007F" w14:textId="77777777" w:rsidR="00CE2DB6" w:rsidRPr="00E520A0" w:rsidRDefault="00CE2DB6" w:rsidP="00CE2DB6">
      <w:pPr>
        <w:pStyle w:val="BodyText"/>
        <w:keepLines w:val="0"/>
        <w:numPr>
          <w:ilvl w:val="0"/>
          <w:numId w:val="37"/>
        </w:numPr>
        <w:snapToGrid w:val="0"/>
        <w:spacing w:before="120" w:line="276" w:lineRule="auto"/>
      </w:pPr>
      <w:r w:rsidRPr="01678B86">
        <w:t>To provide accessible information about mobility aids, devices and assistive technologies, including new technologies, as well as other forms of assistance, support services and facilities.</w:t>
      </w:r>
    </w:p>
    <w:p w14:paraId="19C4D757" w14:textId="77777777" w:rsidR="00CE2DB6" w:rsidRDefault="00CE2DB6" w:rsidP="00CE2DB6">
      <w:r w:rsidRPr="001A707A">
        <w:rPr>
          <w:rStyle w:val="Strong"/>
        </w:rPr>
        <w:t>Article 5</w:t>
      </w:r>
      <w:r w:rsidRPr="01678B86">
        <w:t xml:space="preserve"> requires that State Parties ‘recognise that all persons are equal before and under the law’ and ‘shall prohibit all discrimination on the basis of disability’.</w:t>
      </w:r>
      <w:r w:rsidRPr="01678B86">
        <w:rPr>
          <w:rStyle w:val="EndnoteReference"/>
        </w:rPr>
        <w:endnoteReference w:id="10"/>
      </w:r>
    </w:p>
    <w:p w14:paraId="2F85D7DC" w14:textId="77777777" w:rsidR="00CE2DB6" w:rsidRDefault="00CE2DB6" w:rsidP="00CE2DB6">
      <w:r w:rsidRPr="001A707A">
        <w:rPr>
          <w:rStyle w:val="Strong"/>
        </w:rPr>
        <w:t>Article 9</w:t>
      </w:r>
      <w:r w:rsidRPr="01678B86">
        <w:t xml:space="preserve"> outlines obligations to ensure people with disability have equal access to places, facilities and services provided to the public. It outlines that State Parties that have ratified the CPRD must take appropriate measures to identify and eliminate barriers to people with disability accessing technology, including by implementing minimum accessibility standards, and promoting the design and development of accessible technology.</w:t>
      </w:r>
      <w:r w:rsidRPr="01678B86">
        <w:rPr>
          <w:rStyle w:val="EndnoteReference"/>
        </w:rPr>
        <w:endnoteReference w:id="11"/>
      </w:r>
      <w:r w:rsidRPr="01678B86">
        <w:t xml:space="preserve">  </w:t>
      </w:r>
    </w:p>
    <w:p w14:paraId="3CB6CFB0" w14:textId="77777777" w:rsidR="00CE2DB6" w:rsidRDefault="00CE2DB6" w:rsidP="00CE2DB6">
      <w:r w:rsidRPr="007453DD">
        <w:rPr>
          <w:rStyle w:val="Strong"/>
        </w:rPr>
        <w:lastRenderedPageBreak/>
        <w:t>Article 21</w:t>
      </w:r>
      <w:r w:rsidRPr="01678B86">
        <w:t xml:space="preserve"> requires States Parties to take all appropriate measures to ensure that people with disability can exercise the right to freedom of expression and opinion, including the freedom to seek, receive and impart information and ideas on an equal basis with others and through all forms of communication of their choice.</w:t>
      </w:r>
      <w:bookmarkStart w:id="52" w:name="_Ref167886455"/>
      <w:r w:rsidRPr="01678B86">
        <w:rPr>
          <w:rStyle w:val="EndnoteReference"/>
        </w:rPr>
        <w:endnoteReference w:id="12"/>
      </w:r>
      <w:bookmarkEnd w:id="52"/>
      <w:r w:rsidRPr="01678B86">
        <w:t xml:space="preserve"> This includes:</w:t>
      </w:r>
    </w:p>
    <w:p w14:paraId="4C4A78B1" w14:textId="77777777" w:rsidR="00CE2DB6" w:rsidRDefault="00CE2DB6" w:rsidP="007453DD">
      <w:pPr>
        <w:pStyle w:val="Bullet"/>
      </w:pPr>
      <w:r w:rsidRPr="01678B86">
        <w:t xml:space="preserve">Providing information intended for the </w:t>
      </w:r>
      <w:proofErr w:type="gramStart"/>
      <w:r w:rsidRPr="01678B86">
        <w:t>general public</w:t>
      </w:r>
      <w:proofErr w:type="gramEnd"/>
      <w:r w:rsidRPr="01678B86">
        <w:t xml:space="preserve"> to persons with disabilities in accessible formats and technologies appropriate to different kinds of disabilities in a timely manner and without additional cost</w:t>
      </w:r>
    </w:p>
    <w:p w14:paraId="6004EB66" w14:textId="77777777" w:rsidR="00CE2DB6" w:rsidRDefault="00CE2DB6" w:rsidP="007453DD">
      <w:pPr>
        <w:pStyle w:val="Bullet"/>
      </w:pPr>
      <w:r w:rsidRPr="01678B86">
        <w:t xml:space="preserve">Urging private entities that provide services to the general public, including through the Internet, to provide information and services in accessible and usable formats for persons with </w:t>
      </w:r>
      <w:proofErr w:type="gramStart"/>
      <w:r w:rsidRPr="01678B86">
        <w:t>disabilities;</w:t>
      </w:r>
      <w:proofErr w:type="gramEnd"/>
    </w:p>
    <w:p w14:paraId="37C7A4BC" w14:textId="77777777" w:rsidR="00CE2DB6" w:rsidRDefault="00CE2DB6" w:rsidP="007453DD">
      <w:pPr>
        <w:pStyle w:val="Bullet"/>
      </w:pPr>
      <w:r>
        <w:t>Encouraging the mass media, including providers of information through the Internet, to make their services accessible to persons with disability</w:t>
      </w:r>
    </w:p>
    <w:p w14:paraId="0107A3BB" w14:textId="77777777" w:rsidR="00CE2DB6" w:rsidRDefault="00CE2DB6" w:rsidP="00CE2DB6">
      <w:r>
        <w:t xml:space="preserve">Digital accessibility is an enabler of the realisation of all rights outlined in the CRPD, and critical to the enjoyment of civil, political, economic, social, and cultural rights. </w:t>
      </w:r>
    </w:p>
    <w:p w14:paraId="1D20F1D6" w14:textId="77777777" w:rsidR="00CE2DB6" w:rsidRDefault="00CE2DB6" w:rsidP="00490A8D">
      <w:pPr>
        <w:pStyle w:val="Heading2"/>
      </w:pPr>
      <w:bookmarkStart w:id="53" w:name="_Toc988730005"/>
      <w:bookmarkStart w:id="54" w:name="_Toc194569648"/>
      <w:r>
        <w:t>What is good practice?</w:t>
      </w:r>
      <w:bookmarkEnd w:id="53"/>
      <w:bookmarkEnd w:id="54"/>
    </w:p>
    <w:p w14:paraId="457B92BA" w14:textId="77777777" w:rsidR="00626278" w:rsidRDefault="00CE2DB6" w:rsidP="00CE2DB6">
      <w:r w:rsidRPr="01678B86">
        <w:t>Adopting the principles of Universal Design will help you meet your obligations under the Disability Discrimination Act and the CRPD. Chapter 3 outlines the key technical standards and guidelines which detail the minimum criteria which should be met to avoid the risk of discriminating against people with disability. The following section provides non-technical and general guidance.</w:t>
      </w:r>
    </w:p>
    <w:p w14:paraId="5E15DCF5" w14:textId="233B823F" w:rsidR="00626278" w:rsidRDefault="00626278" w:rsidP="00CE2DB6">
      <w:r>
        <w:rPr>
          <w:noProof/>
        </w:rPr>
        <w:drawing>
          <wp:inline distT="0" distB="0" distL="0" distR="0" wp14:anchorId="533742C2" wp14:editId="110C6BD2">
            <wp:extent cx="2127895" cy="1419225"/>
            <wp:effectExtent l="0" t="0" r="5715" b="0"/>
            <wp:docPr id="698796900" name="Picture 3" descr="A man with dark skin tone, sitting at a desk and having a conversation using sign language on his laptop at ho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796900" name="Picture 3" descr="A man with dark skin tone, sitting at a desk and having a conversation using sign language on his laptop at home "/>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54466" cy="1436947"/>
                    </a:xfrm>
                    <a:prstGeom prst="rect">
                      <a:avLst/>
                    </a:prstGeom>
                  </pic:spPr>
                </pic:pic>
              </a:graphicData>
            </a:graphic>
          </wp:inline>
        </w:drawing>
      </w:r>
      <w:r>
        <w:br w:type="page"/>
      </w:r>
    </w:p>
    <w:p w14:paraId="20BFBBBE" w14:textId="61BB27A1" w:rsidR="00CE2DB6" w:rsidRDefault="00CE2DB6" w:rsidP="00627337">
      <w:pPr>
        <w:pStyle w:val="H3shaded"/>
      </w:pPr>
      <w:bookmarkStart w:id="55" w:name="_Toc1142272502"/>
      <w:r>
        <w:lastRenderedPageBreak/>
        <w:t xml:space="preserve">Advice on meeting the requirements of the law </w:t>
      </w:r>
      <w:r w:rsidR="007453DD">
        <w:br/>
      </w:r>
      <w:r>
        <w:t>and delivering equal access</w:t>
      </w:r>
      <w:bookmarkEnd w:id="55"/>
    </w:p>
    <w:p w14:paraId="769225A6" w14:textId="77777777" w:rsidR="00CE2DB6" w:rsidRDefault="00CE2DB6" w:rsidP="00EF1E74">
      <w:pPr>
        <w:pStyle w:val="Emphasisshaded"/>
        <w:spacing w:before="120" w:after="100" w:afterAutospacing="1"/>
      </w:pPr>
      <w:r>
        <w:t xml:space="preserve">Enabling equal access to digital goods and services looks like: </w:t>
      </w:r>
    </w:p>
    <w:p w14:paraId="5FBB4DA6" w14:textId="77777777" w:rsidR="00CE2DB6" w:rsidRDefault="00CE2DB6" w:rsidP="00627337">
      <w:pPr>
        <w:pStyle w:val="Quotebullets"/>
        <w:numPr>
          <w:ilvl w:val="0"/>
          <w:numId w:val="158"/>
        </w:numPr>
        <w:spacing w:after="360"/>
      </w:pPr>
      <w:r>
        <w:t>Recognising people with disability as part of the audience and users for all digital products or services</w:t>
      </w:r>
    </w:p>
    <w:p w14:paraId="2F9EB099" w14:textId="77777777" w:rsidR="00CE2DB6" w:rsidRDefault="00CE2DB6" w:rsidP="00627337">
      <w:pPr>
        <w:pStyle w:val="Quotebullets"/>
        <w:numPr>
          <w:ilvl w:val="0"/>
          <w:numId w:val="158"/>
        </w:numPr>
      </w:pPr>
      <w:r w:rsidRPr="01678B86">
        <w:t>When procuring a digital product or service, including design and development services, include accessibility in the tender documentation</w:t>
      </w:r>
    </w:p>
    <w:p w14:paraId="75E9A882" w14:textId="77777777" w:rsidR="00CE2DB6" w:rsidRDefault="00CE2DB6" w:rsidP="00627337">
      <w:pPr>
        <w:pStyle w:val="Quotebullets"/>
        <w:numPr>
          <w:ilvl w:val="0"/>
          <w:numId w:val="158"/>
        </w:numPr>
      </w:pPr>
      <w:r>
        <w:t>When developing a digital product or service, include accessibility considerations throughout the project and especially during design (consider co-design with people with disability), development and testing</w:t>
      </w:r>
    </w:p>
    <w:p w14:paraId="1FF275A5" w14:textId="77777777" w:rsidR="00CE2DB6" w:rsidRDefault="00CE2DB6" w:rsidP="00627337">
      <w:pPr>
        <w:pStyle w:val="Quotebullets"/>
        <w:numPr>
          <w:ilvl w:val="0"/>
          <w:numId w:val="158"/>
        </w:numPr>
      </w:pPr>
      <w:r>
        <w:t>Applying the relevant Australian Standards such as the Web Content Accessibility Guidelines or other standards listed in Chapter 3</w:t>
      </w:r>
    </w:p>
    <w:p w14:paraId="3397FC81" w14:textId="77777777" w:rsidR="00CE2DB6" w:rsidRDefault="00CE2DB6" w:rsidP="00627337">
      <w:pPr>
        <w:pStyle w:val="Quotebullets"/>
        <w:numPr>
          <w:ilvl w:val="0"/>
          <w:numId w:val="158"/>
        </w:numPr>
      </w:pPr>
      <w:r>
        <w:t>Testing the digital product or service with a range of people with disability, including people who rely on assistive technologies</w:t>
      </w:r>
    </w:p>
    <w:p w14:paraId="68BEB83A" w14:textId="77777777" w:rsidR="00CE2DB6" w:rsidRDefault="00CE2DB6" w:rsidP="00627337">
      <w:pPr>
        <w:pStyle w:val="Quotebullets"/>
        <w:numPr>
          <w:ilvl w:val="0"/>
          <w:numId w:val="158"/>
        </w:numPr>
      </w:pPr>
      <w:r>
        <w:t>Providing an accessibility statement that explains how standards have been met</w:t>
      </w:r>
    </w:p>
    <w:p w14:paraId="77AE8154" w14:textId="77777777" w:rsidR="00CE2DB6" w:rsidRDefault="00CE2DB6" w:rsidP="00627337">
      <w:pPr>
        <w:pStyle w:val="Quotebullets"/>
        <w:numPr>
          <w:ilvl w:val="0"/>
          <w:numId w:val="158"/>
        </w:numPr>
      </w:pPr>
      <w:r w:rsidRPr="01678B86">
        <w:t>Providing accessible means for people with disability to get in touch with your organisation if they encounter difficulties accessing your digital product or service</w:t>
      </w:r>
    </w:p>
    <w:p w14:paraId="7CA461CF" w14:textId="77777777" w:rsidR="00CE2DB6" w:rsidRDefault="00CE2DB6" w:rsidP="00627337">
      <w:pPr>
        <w:pStyle w:val="Quotebullets"/>
        <w:numPr>
          <w:ilvl w:val="0"/>
          <w:numId w:val="158"/>
        </w:numPr>
      </w:pPr>
      <w:r w:rsidRPr="01678B86">
        <w:t>Ensuring that accessibility is maintained over time within any changes or enhancements to your digital product or service</w:t>
      </w:r>
    </w:p>
    <w:p w14:paraId="49492A6D" w14:textId="77777777" w:rsidR="00CE2DB6" w:rsidRDefault="00CE2DB6" w:rsidP="00627337">
      <w:pPr>
        <w:pStyle w:val="Quotebullets"/>
        <w:numPr>
          <w:ilvl w:val="0"/>
          <w:numId w:val="158"/>
        </w:numPr>
      </w:pPr>
      <w:r>
        <w:t>Developing a Diversity and Inclusion Plan for your organisation and ensuring digital accessibility is part of that plan.</w:t>
      </w:r>
    </w:p>
    <w:p w14:paraId="16ED648D" w14:textId="77777777" w:rsidR="00CE2DB6" w:rsidRDefault="00CE2DB6" w:rsidP="00627337">
      <w:pPr>
        <w:pStyle w:val="Emphasisshaded"/>
      </w:pPr>
      <w:hyperlink r:id="rId23" w:history="1">
        <w:r>
          <w:rPr>
            <w:rStyle w:val="Hyperlink"/>
          </w:rPr>
          <w:t>Chapter</w:t>
        </w:r>
        <w:r w:rsidRPr="00A1056F">
          <w:rPr>
            <w:rStyle w:val="Hyperlink"/>
          </w:rPr>
          <w:t xml:space="preserve"> 2 </w:t>
        </w:r>
        <w:r>
          <w:rPr>
            <w:rStyle w:val="Hyperlink"/>
          </w:rPr>
          <w:t>on</w:t>
        </w:r>
        <w:r w:rsidRPr="00A1056F">
          <w:rPr>
            <w:rStyle w:val="Hyperlink"/>
          </w:rPr>
          <w:t xml:space="preserve"> equitable access</w:t>
        </w:r>
      </w:hyperlink>
      <w:r>
        <w:t xml:space="preserve"> provides detailed information and adds considerations such as the business case for addressing digital accessibility and the need to include accessibility at all stages to avoid discrimination.</w:t>
      </w:r>
    </w:p>
    <w:p w14:paraId="2C373D9B" w14:textId="42091485" w:rsidR="00CE2DB6" w:rsidRPr="007453DD" w:rsidRDefault="00CE2DB6" w:rsidP="00627337">
      <w:pPr>
        <w:pStyle w:val="Emphasisshaded"/>
        <w:rPr>
          <w:rStyle w:val="Strong"/>
        </w:rPr>
      </w:pPr>
      <w:r w:rsidRPr="007453DD">
        <w:rPr>
          <w:rStyle w:val="Strong"/>
        </w:rPr>
        <w:t>Read the W3C Web Accessibility Initiative’s ‘Stories of Web Users’ to learn about how people with disability can be provided with equal access to the web.</w:t>
      </w:r>
      <w:r w:rsidRPr="007453DD">
        <w:rPr>
          <w:rStyle w:val="Strong"/>
        </w:rPr>
        <w:endnoteReference w:id="13"/>
      </w:r>
      <w:r w:rsidRPr="007453DD">
        <w:rPr>
          <w:rStyle w:val="Strong"/>
        </w:rPr>
        <w:t xml:space="preserve"> </w:t>
      </w:r>
    </w:p>
    <w:p w14:paraId="5E43289E" w14:textId="57EF2F3E" w:rsidR="00CE2DB6" w:rsidRDefault="00CE2DB6" w:rsidP="00490A8D">
      <w:pPr>
        <w:pStyle w:val="Heading2"/>
      </w:pPr>
      <w:bookmarkStart w:id="56" w:name="_Toc30813103"/>
      <w:bookmarkStart w:id="57" w:name="_Toc163041638"/>
      <w:bookmarkStart w:id="58" w:name="_Toc194569649"/>
      <w:r>
        <w:t>Universal design</w:t>
      </w:r>
      <w:bookmarkEnd w:id="56"/>
      <w:bookmarkEnd w:id="57"/>
      <w:bookmarkEnd w:id="58"/>
      <w:r>
        <w:t xml:space="preserve"> </w:t>
      </w:r>
    </w:p>
    <w:p w14:paraId="517A0FE9" w14:textId="77777777" w:rsidR="00CE2DB6" w:rsidRDefault="00CE2DB6" w:rsidP="00CE2DB6">
      <w:r w:rsidRPr="01678B86">
        <w:t>Universal Design is about designing products so that they can be accessed, understood, and used to the greatest extent possible by all people. There are seven principles underpinning universal design to guide the design of environments, products and communications. They are:</w:t>
      </w:r>
    </w:p>
    <w:p w14:paraId="52C147AB" w14:textId="480746ED" w:rsidR="00CE2DB6" w:rsidRDefault="00CE2DB6" w:rsidP="00A427B5">
      <w:pPr>
        <w:pStyle w:val="Numberlist"/>
      </w:pPr>
      <w:r w:rsidRPr="007453DD">
        <w:rPr>
          <w:rStyle w:val="Strong"/>
        </w:rPr>
        <w:t xml:space="preserve">Equitable Use </w:t>
      </w:r>
      <w:r w:rsidR="007453DD">
        <w:t xml:space="preserve">– </w:t>
      </w:r>
      <w:r>
        <w:t>the design is useful and marketable to people with diverse abilities</w:t>
      </w:r>
    </w:p>
    <w:p w14:paraId="5BE745C8" w14:textId="508FC0E0" w:rsidR="00CE2DB6" w:rsidRDefault="00CE2DB6" w:rsidP="00A427B5">
      <w:pPr>
        <w:pStyle w:val="Numberlist"/>
      </w:pPr>
      <w:r w:rsidRPr="007453DD">
        <w:rPr>
          <w:rStyle w:val="Strong"/>
        </w:rPr>
        <w:t xml:space="preserve">Flexibility in Use </w:t>
      </w:r>
      <w:r w:rsidR="007453DD">
        <w:t xml:space="preserve">– </w:t>
      </w:r>
      <w:r>
        <w:t xml:space="preserve">the </w:t>
      </w:r>
      <w:r w:rsidRPr="00971180">
        <w:t>design accommodates a wide range of individual preferences and abilities</w:t>
      </w:r>
    </w:p>
    <w:p w14:paraId="526D019E" w14:textId="77777777" w:rsidR="00CE2DB6" w:rsidRDefault="00CE2DB6" w:rsidP="00A427B5">
      <w:pPr>
        <w:pStyle w:val="Numberlist"/>
      </w:pPr>
      <w:r w:rsidRPr="007453DD">
        <w:rPr>
          <w:rStyle w:val="Strong"/>
        </w:rPr>
        <w:t>Simple and Intuitive Use</w:t>
      </w:r>
      <w:r w:rsidRPr="00A77347">
        <w:t xml:space="preserve"> </w:t>
      </w:r>
      <w:r>
        <w:t xml:space="preserve">– use </w:t>
      </w:r>
      <w:r w:rsidRPr="00A77347">
        <w:t>of the design is easy to understand, regardless of the user's experience, knowledge, language skills, or current concentration level</w:t>
      </w:r>
      <w:r>
        <w:t xml:space="preserve"> </w:t>
      </w:r>
    </w:p>
    <w:p w14:paraId="3AE3DCD2" w14:textId="77777777" w:rsidR="00CE2DB6" w:rsidRDefault="00CE2DB6" w:rsidP="00A427B5">
      <w:pPr>
        <w:pStyle w:val="Numberlist"/>
      </w:pPr>
      <w:r w:rsidRPr="007453DD">
        <w:rPr>
          <w:rStyle w:val="Strong"/>
        </w:rPr>
        <w:t>Perceptible Information</w:t>
      </w:r>
      <w:r w:rsidRPr="00AE0B31">
        <w:t xml:space="preserve"> </w:t>
      </w:r>
      <w:r>
        <w:t xml:space="preserve">– the </w:t>
      </w:r>
      <w:r w:rsidRPr="00AE0B31">
        <w:t>design communicates necessary information effectively to the user, regardless of ambient conditions or the user's sensory abilities</w:t>
      </w:r>
    </w:p>
    <w:p w14:paraId="529B36A2" w14:textId="77777777" w:rsidR="00CE2DB6" w:rsidRDefault="00CE2DB6" w:rsidP="00A427B5">
      <w:pPr>
        <w:pStyle w:val="Numberlist"/>
      </w:pPr>
      <w:r w:rsidRPr="007453DD">
        <w:rPr>
          <w:rStyle w:val="Strong"/>
        </w:rPr>
        <w:t>Tolerance for Error</w:t>
      </w:r>
      <w:r w:rsidRPr="00A81FB7">
        <w:t xml:space="preserve"> </w:t>
      </w:r>
      <w:r>
        <w:t>– the d</w:t>
      </w:r>
      <w:r w:rsidRPr="00A81FB7">
        <w:t>esign minimi</w:t>
      </w:r>
      <w:r>
        <w:t>s</w:t>
      </w:r>
      <w:r w:rsidRPr="00A81FB7">
        <w:t>es hazards and the adverse consequences of accidental or unintended actions</w:t>
      </w:r>
    </w:p>
    <w:p w14:paraId="278BD698" w14:textId="77777777" w:rsidR="00CE2DB6" w:rsidRDefault="00CE2DB6" w:rsidP="00A427B5">
      <w:pPr>
        <w:pStyle w:val="Numberlist"/>
      </w:pPr>
      <w:r w:rsidRPr="007453DD">
        <w:rPr>
          <w:rStyle w:val="Strong"/>
        </w:rPr>
        <w:t>Low Physical Effort</w:t>
      </w:r>
      <w:r w:rsidRPr="00B372A0">
        <w:t xml:space="preserve"> </w:t>
      </w:r>
      <w:r>
        <w:t>– the d</w:t>
      </w:r>
      <w:r w:rsidRPr="00B372A0">
        <w:t>esign can be used efficiently and comfortably and with a minimum of fatigue</w:t>
      </w:r>
    </w:p>
    <w:p w14:paraId="3AB454B8" w14:textId="77777777" w:rsidR="00CE2DB6" w:rsidRDefault="00CE2DB6" w:rsidP="00A427B5">
      <w:pPr>
        <w:pStyle w:val="Numberlist"/>
      </w:pPr>
      <w:r w:rsidRPr="007453DD">
        <w:rPr>
          <w:rStyle w:val="Strong"/>
        </w:rPr>
        <w:lastRenderedPageBreak/>
        <w:t>Size and Space for Approach and Use</w:t>
      </w:r>
      <w:r w:rsidRPr="01678B86">
        <w:t xml:space="preserve"> – appropriate size and space is provided for approach, reach, manipulation, and use regardless of user's body size, posture, or mobility.</w:t>
      </w:r>
      <w:r w:rsidRPr="01678B86">
        <w:rPr>
          <w:rStyle w:val="EndnoteReference"/>
        </w:rPr>
        <w:endnoteReference w:id="14"/>
      </w:r>
    </w:p>
    <w:p w14:paraId="3322E5F8" w14:textId="77777777" w:rsidR="00CE2DB6" w:rsidRDefault="00CE2DB6" w:rsidP="00CE2DB6">
      <w:r>
        <w:t xml:space="preserve">These principles overlap with the Web Content Accessibility Guidelines principles, those around use of everyday or plain language, and the Australian Standard for </w:t>
      </w:r>
      <w:r w:rsidRPr="006C2298">
        <w:t>Accessibility Requirements for ICT Products and Services</w:t>
      </w:r>
      <w:r>
        <w:t xml:space="preserve"> (AS EN 301 549) requirements discussed in Chapter 3.</w:t>
      </w:r>
    </w:p>
    <w:p w14:paraId="5CDD2DBD" w14:textId="77777777" w:rsidR="00CE2DB6" w:rsidRDefault="00CE2DB6" w:rsidP="00490A8D">
      <w:pPr>
        <w:pStyle w:val="Heading2"/>
      </w:pPr>
      <w:bookmarkStart w:id="59" w:name="_Toc1645142574"/>
      <w:bookmarkStart w:id="60" w:name="_Toc194569650"/>
      <w:r>
        <w:t>Keeping up with fast-changing technology</w:t>
      </w:r>
      <w:bookmarkEnd w:id="59"/>
      <w:bookmarkEnd w:id="60"/>
      <w:r>
        <w:t xml:space="preserve"> </w:t>
      </w:r>
    </w:p>
    <w:p w14:paraId="2C3092EA" w14:textId="5C76175D" w:rsidR="00CE2DB6" w:rsidRDefault="00CE2DB6" w:rsidP="003B2DED">
      <w:pPr>
        <w:pStyle w:val="H4shaded"/>
      </w:pPr>
      <w:proofErr w:type="spellStart"/>
      <w:r w:rsidRPr="01678B86">
        <w:t>Mattiazzo</w:t>
      </w:r>
      <w:proofErr w:type="spellEnd"/>
      <w:r w:rsidRPr="01678B86">
        <w:t>/Innes vs CBA settlement</w:t>
      </w:r>
    </w:p>
    <w:p w14:paraId="5E80DA05" w14:textId="77777777" w:rsidR="00CE2DB6" w:rsidRDefault="00CE2DB6" w:rsidP="003B2DED">
      <w:pPr>
        <w:pStyle w:val="Emphasisshaded"/>
        <w:spacing w:before="0"/>
      </w:pPr>
      <w:r>
        <w:t xml:space="preserve">Mr Graeme Innes and Ms Nadia </w:t>
      </w:r>
      <w:proofErr w:type="spellStart"/>
      <w:r>
        <w:t>Mattiazzo</w:t>
      </w:r>
      <w:proofErr w:type="spellEnd"/>
      <w:r>
        <w:t xml:space="preserve">, who are vision impaired, made complaints under the Disability Discrimination Act to the Commission about the accessibility of the Commonwealth Bank of Australia’s (CBA) </w:t>
      </w:r>
      <w:proofErr w:type="gramStart"/>
      <w:r>
        <w:t>touch-screen</w:t>
      </w:r>
      <w:proofErr w:type="gramEnd"/>
      <w:r>
        <w:t xml:space="preserve"> ‘Albert’ EFTPOS machine. While the complaints did not settle at the Commission, the matter reached a settlement in the Federal Court. </w:t>
      </w:r>
    </w:p>
    <w:p w14:paraId="1038E8CE" w14:textId="77777777" w:rsidR="00CE2DB6" w:rsidRPr="00C248A8" w:rsidRDefault="00CE2DB6" w:rsidP="003B2DED">
      <w:pPr>
        <w:pStyle w:val="Emphasisshaded"/>
      </w:pPr>
      <w:r>
        <w:t xml:space="preserve">CBA agreed to upgrade Albert’s software to enhance accessibility, provide CBA merchant customers additional training and support about the accessibility feature and its function, and make the training available to card holders who are blind or vision impaired. </w:t>
      </w:r>
      <w:r w:rsidRPr="01678B86">
        <w:t>CBA also endorsed the Accessibility Principles for Banking Services which had recently been launched by the Australian Banking Association</w:t>
      </w:r>
      <w:r>
        <w:t>.</w:t>
      </w:r>
    </w:p>
    <w:p w14:paraId="7247EB65" w14:textId="77777777" w:rsidR="00CE2DB6" w:rsidRDefault="00CE2DB6" w:rsidP="00F5203A">
      <w:r>
        <w:t>Technology is developing at a fast pace, with changes happening more rapidly than legislation can keep up with. Fortunately, many mainstream improvements are also beneficial for people with disability. For example:</w:t>
      </w:r>
    </w:p>
    <w:p w14:paraId="4C1E633F" w14:textId="77777777" w:rsidR="00CE2DB6" w:rsidRDefault="00CE2DB6" w:rsidP="002A05A2">
      <w:pPr>
        <w:pStyle w:val="Bullet"/>
      </w:pPr>
      <w:r>
        <w:t>Improvements built-in such as</w:t>
      </w:r>
    </w:p>
    <w:p w14:paraId="44D254E8" w14:textId="77777777" w:rsidR="00CE2DB6" w:rsidRDefault="00CE2DB6" w:rsidP="002A05A2">
      <w:pPr>
        <w:pStyle w:val="Bullet"/>
        <w:numPr>
          <w:ilvl w:val="1"/>
          <w:numId w:val="148"/>
        </w:numPr>
      </w:pPr>
      <w:r>
        <w:t xml:space="preserve">Text to speech on mobile devices and computers </w:t>
      </w:r>
    </w:p>
    <w:p w14:paraId="54102D22" w14:textId="77777777" w:rsidR="00CE2DB6" w:rsidRDefault="00CE2DB6" w:rsidP="002A05A2">
      <w:pPr>
        <w:pStyle w:val="Bullet"/>
        <w:numPr>
          <w:ilvl w:val="1"/>
          <w:numId w:val="148"/>
        </w:numPr>
      </w:pPr>
      <w:r>
        <w:lastRenderedPageBreak/>
        <w:t xml:space="preserve">Speech recognition mobile devices and computers </w:t>
      </w:r>
    </w:p>
    <w:p w14:paraId="0BA05DED" w14:textId="77777777" w:rsidR="00CE2DB6" w:rsidRDefault="00CE2DB6" w:rsidP="002A05A2">
      <w:pPr>
        <w:pStyle w:val="Bullet"/>
        <w:numPr>
          <w:ilvl w:val="1"/>
          <w:numId w:val="148"/>
        </w:numPr>
      </w:pPr>
      <w:r>
        <w:t>Haptic and audio feedback on mobile devices</w:t>
      </w:r>
    </w:p>
    <w:p w14:paraId="22400825" w14:textId="77777777" w:rsidR="00CE2DB6" w:rsidRDefault="00CE2DB6" w:rsidP="002A05A2">
      <w:pPr>
        <w:pStyle w:val="Bullet"/>
      </w:pPr>
      <w:r>
        <w:t>Dark mode on mobile devices</w:t>
      </w:r>
    </w:p>
    <w:p w14:paraId="0D852C04" w14:textId="77777777" w:rsidR="00CE2DB6" w:rsidRDefault="00CE2DB6" w:rsidP="002A05A2">
      <w:pPr>
        <w:pStyle w:val="Bullet"/>
      </w:pPr>
      <w:r>
        <w:t>Settings to ‘reduce motion’</w:t>
      </w:r>
    </w:p>
    <w:p w14:paraId="48F64E40" w14:textId="77777777" w:rsidR="00CE2DB6" w:rsidRDefault="00CE2DB6" w:rsidP="002A05A2">
      <w:pPr>
        <w:pStyle w:val="Bullet"/>
      </w:pPr>
      <w:r>
        <w:t>More home automation devices and smart speakers that can be controlled through smart phones</w:t>
      </w:r>
    </w:p>
    <w:p w14:paraId="2C24BAF4" w14:textId="77777777" w:rsidR="00CE2DB6" w:rsidRDefault="00CE2DB6" w:rsidP="00CE2DB6">
      <w:r w:rsidRPr="01678B86">
        <w:t xml:space="preserve">On the other hand, the increased use of display screens, </w:t>
      </w:r>
      <w:proofErr w:type="gramStart"/>
      <w:r w:rsidRPr="01678B86">
        <w:t>touch-screens</w:t>
      </w:r>
      <w:proofErr w:type="gramEnd"/>
      <w:r w:rsidRPr="01678B86">
        <w:t xml:space="preserve"> and soft controls on devices and household appliances can introduce challenges to many people with disability if no alternative means of access is provided.</w:t>
      </w:r>
    </w:p>
    <w:p w14:paraId="1824E3FB" w14:textId="247186C8" w:rsidR="00CE2DB6" w:rsidRDefault="00CE2DB6" w:rsidP="00CE2DB6">
      <w:r w:rsidRPr="01678B86">
        <w:t xml:space="preserve">The Australian Human Rights Commission’s 2021 report on </w:t>
      </w:r>
      <w:hyperlink r:id="rId24" w:tooltip="Human Rights and Technology">
        <w:r w:rsidRPr="01678B86">
          <w:rPr>
            <w:rStyle w:val="Hyperlink"/>
          </w:rPr>
          <w:t>Human Rights and Technology</w:t>
        </w:r>
      </w:hyperlink>
      <w:r w:rsidRPr="01678B86">
        <w:t xml:space="preserve"> identified two issues in particular which are becoming significant; artificial intelligence (AI) and biometric data.</w:t>
      </w:r>
    </w:p>
    <w:p w14:paraId="5A4AD6A5" w14:textId="77777777" w:rsidR="00CE2DB6" w:rsidRPr="003D6322" w:rsidRDefault="00CE2DB6" w:rsidP="00490A8D">
      <w:pPr>
        <w:pStyle w:val="Heading3"/>
      </w:pPr>
      <w:r>
        <w:t>Artificial intelligence (AI)</w:t>
      </w:r>
    </w:p>
    <w:p w14:paraId="04195635" w14:textId="77777777" w:rsidR="00CE2DB6" w:rsidRDefault="00CE2DB6" w:rsidP="00CE2DB6">
      <w:r w:rsidRPr="01678B86">
        <w:t>At the time of publication of these Guidelines, AI is a topic of public debate which includes discussions on how AI is impacting people with disability and digital accessibility. AI is widely used</w:t>
      </w:r>
      <w:r>
        <w:t>,</w:t>
      </w:r>
      <w:r w:rsidRPr="01678B86">
        <w:t xml:space="preserve"> from generating image descriptions for people who cannot see the images to web page plug-in overlays that allegedly improve the accessibility for people with disability. However, in </w:t>
      </w:r>
      <w:r>
        <w:t>2025</w:t>
      </w:r>
      <w:r w:rsidRPr="01678B86">
        <w:t xml:space="preserve"> AI applications are not sophisticated enough to be reliable in most situations. It is likely that this will continue to be so in the immediate future, though it is expected that there will be improvements over time. </w:t>
      </w:r>
    </w:p>
    <w:p w14:paraId="5B0CCFB2" w14:textId="77777777" w:rsidR="00CE2DB6" w:rsidRDefault="00CE2DB6" w:rsidP="00CE2DB6">
      <w:r w:rsidRPr="01678B86">
        <w:t>There is a growing recognition that, as in many areas of life, algorithms that underpin technology and AI re-enforce biases and ableist assumptions. This could result in discrimination, for example, when selecting suitable candidates for employment, making equipment purchasing decisions, recommending services, courses of study or participants in any number of community activities.</w:t>
      </w:r>
    </w:p>
    <w:p w14:paraId="1588D275" w14:textId="77777777" w:rsidR="00CE2DB6" w:rsidRDefault="00CE2DB6" w:rsidP="00CE2DB6">
      <w:r>
        <w:lastRenderedPageBreak/>
        <w:t>Algorithms and AI should not be relied upon to enable equal access or to prevent discrimination. It is critical that the data underpinning these systems incorporate data on disability.</w:t>
      </w:r>
    </w:p>
    <w:p w14:paraId="3CFE9078" w14:textId="77777777" w:rsidR="00CE2DB6" w:rsidRPr="003D6322" w:rsidRDefault="00CE2DB6" w:rsidP="00490A8D">
      <w:pPr>
        <w:pStyle w:val="Heading3"/>
      </w:pPr>
      <w:r>
        <w:t>Biometrics</w:t>
      </w:r>
    </w:p>
    <w:p w14:paraId="0CF92DC1" w14:textId="77777777" w:rsidR="00CE2DB6" w:rsidRDefault="00CE2DB6" w:rsidP="00CE2DB6">
      <w:r>
        <w:t>Biometric information is increasingly being used to control access to digital products and services. Examples of biometric methods include the use of fingerprints, eye retinal patterns, and voice and face ID. These methods can have a disproportionate impact on some people with disability, who may not be able to provide such information easily or in some cases at all.</w:t>
      </w:r>
    </w:p>
    <w:p w14:paraId="4E5CF6A4" w14:textId="77777777" w:rsidR="00CE2DB6" w:rsidRDefault="00CE2DB6" w:rsidP="00CE2DB6">
      <w:r>
        <w:t xml:space="preserve">Providers of digital goods and services should ensure that products that use biometric methods also have alternative methods of identification and control available for people with disability who cannot use biometric methods. </w:t>
      </w:r>
    </w:p>
    <w:p w14:paraId="5F6ECDE3" w14:textId="77777777" w:rsidR="00CE2DB6" w:rsidRPr="003D6322" w:rsidRDefault="00CE2DB6" w:rsidP="00490A8D">
      <w:pPr>
        <w:pStyle w:val="Heading3"/>
      </w:pPr>
      <w:r>
        <w:t>Robotics</w:t>
      </w:r>
    </w:p>
    <w:p w14:paraId="38DD7547" w14:textId="77777777" w:rsidR="00CE2DB6" w:rsidRDefault="00CE2DB6" w:rsidP="00CE2DB6">
      <w:r w:rsidRPr="01678B86">
        <w:t>Robotics is another emerging technology which is becoming part of more people’s lives. On the positive side, robot devices are being used in home appliances such as vacuum cleaners and lawn mowers</w:t>
      </w:r>
      <w:r>
        <w:t xml:space="preserve"> and robotics are</w:t>
      </w:r>
      <w:r w:rsidRPr="01678B86">
        <w:t xml:space="preserve"> being built into medical equipment some of which assist people with disability in everyday life.</w:t>
      </w:r>
      <w:r>
        <w:t xml:space="preserve"> There</w:t>
      </w:r>
      <w:r w:rsidRPr="01678B86">
        <w:t xml:space="preserve"> is </w:t>
      </w:r>
      <w:r>
        <w:t xml:space="preserve">also </w:t>
      </w:r>
      <w:r w:rsidRPr="01678B86">
        <w:t>an emergence of robots as companion ‘toys’</w:t>
      </w:r>
      <w:r>
        <w:t xml:space="preserve"> and it</w:t>
      </w:r>
      <w:r w:rsidRPr="01678B86">
        <w:t xml:space="preserve"> is likely that they will soon be a serious option as a guidance and mobility aid. </w:t>
      </w:r>
    </w:p>
    <w:p w14:paraId="22E8E948" w14:textId="77777777" w:rsidR="00CE2DB6" w:rsidRDefault="00CE2DB6" w:rsidP="00CE2DB6">
      <w:r w:rsidRPr="01678B86">
        <w:t>On the other hand, robots are increasingly replacing humans throughout employment and service provision areas. Many people, including people with disability, are at risk of having their livelihoods impacted as a result.</w:t>
      </w:r>
    </w:p>
    <w:p w14:paraId="5C4A2361" w14:textId="77777777" w:rsidR="00CE2DB6" w:rsidRDefault="00CE2DB6" w:rsidP="00CE2DB6">
      <w:r>
        <w:br w:type="page"/>
      </w:r>
    </w:p>
    <w:p w14:paraId="233C313B" w14:textId="1B4208CC" w:rsidR="00CE2DB6" w:rsidRDefault="00CE2DB6" w:rsidP="003C2E8F">
      <w:pPr>
        <w:pStyle w:val="Heading1"/>
      </w:pPr>
      <w:bookmarkStart w:id="61" w:name="_Toc353182605"/>
      <w:bookmarkStart w:id="62" w:name="_Toc194569651"/>
      <w:r>
        <w:lastRenderedPageBreak/>
        <w:t xml:space="preserve">Chapter </w:t>
      </w:r>
      <w:r w:rsidRPr="009F173E">
        <w:t>2</w:t>
      </w:r>
      <w:bookmarkStart w:id="63" w:name="_Toc168414615"/>
      <w:r w:rsidR="003C2E8F">
        <w:t xml:space="preserve">: </w:t>
      </w:r>
      <w:r>
        <w:t xml:space="preserve">How </w:t>
      </w:r>
      <w:r w:rsidRPr="003C2E8F">
        <w:t>to</w:t>
      </w:r>
      <w:r>
        <w:t xml:space="preserve"> provide equal</w:t>
      </w:r>
      <w:r w:rsidRPr="009F173E">
        <w:t xml:space="preserve"> access to digital goods and services</w:t>
      </w:r>
      <w:bookmarkEnd w:id="61"/>
      <w:bookmarkEnd w:id="62"/>
      <w:r>
        <w:t xml:space="preserve"> </w:t>
      </w:r>
      <w:bookmarkEnd w:id="63"/>
    </w:p>
    <w:p w14:paraId="57397AFA" w14:textId="77777777" w:rsidR="00CE2DB6" w:rsidRDefault="00CE2DB6" w:rsidP="00490A8D">
      <w:pPr>
        <w:pStyle w:val="Heading2"/>
      </w:pPr>
      <w:bookmarkStart w:id="64" w:name="_Toc168414616"/>
      <w:bookmarkStart w:id="65" w:name="_Toc1573064558"/>
      <w:bookmarkStart w:id="66" w:name="_Toc194569652"/>
      <w:r>
        <w:t>Introduction</w:t>
      </w:r>
      <w:bookmarkEnd w:id="64"/>
      <w:bookmarkEnd w:id="65"/>
      <w:bookmarkEnd w:id="66"/>
    </w:p>
    <w:p w14:paraId="532F9ACB" w14:textId="77777777" w:rsidR="00CE2DB6" w:rsidRDefault="00CE2DB6" w:rsidP="00CE2DB6">
      <w:pPr>
        <w:pStyle w:val="BodyText"/>
      </w:pPr>
      <w:r>
        <w:t>This Chapter provides further information and adds consideration such as the business case for addressing digital accessibility and the need to include accessibility in a risk register like an organisation does with privacy and security.</w:t>
      </w:r>
    </w:p>
    <w:p w14:paraId="64522CA5" w14:textId="77777777" w:rsidR="00CE2DB6" w:rsidRDefault="00CE2DB6" w:rsidP="00490A8D">
      <w:pPr>
        <w:pStyle w:val="Heading2"/>
      </w:pPr>
      <w:bookmarkStart w:id="67" w:name="_Toc168414617"/>
      <w:bookmarkStart w:id="68" w:name="_Toc1684599459"/>
      <w:bookmarkStart w:id="69" w:name="_Toc194569653"/>
      <w:r>
        <w:t>Business Benefits</w:t>
      </w:r>
      <w:bookmarkEnd w:id="67"/>
      <w:bookmarkEnd w:id="68"/>
      <w:bookmarkEnd w:id="69"/>
      <w:r>
        <w:t xml:space="preserve"> </w:t>
      </w:r>
    </w:p>
    <w:p w14:paraId="3F879A0C" w14:textId="65C7E2D9" w:rsidR="00CE2DB6" w:rsidRPr="00B2237A" w:rsidRDefault="00CE2DB6" w:rsidP="00CE2DB6">
      <w:pPr>
        <w:pStyle w:val="BodyText"/>
      </w:pPr>
      <w:r w:rsidRPr="01678B86">
        <w:t xml:space="preserve">There is a considerable body of international evidence which highlights the economic, social, and personal benefits of providing equal access. The W3C’s </w:t>
      </w:r>
      <w:hyperlink r:id="rId25" w:tooltip="Business Case for Digital Accessibility" w:history="1">
        <w:r w:rsidRPr="01678B86">
          <w:rPr>
            <w:rStyle w:val="Hyperlink"/>
          </w:rPr>
          <w:t>Business Case for Digital Accessibility</w:t>
        </w:r>
      </w:hyperlink>
      <w:r w:rsidRPr="01678B86">
        <w:t xml:space="preserve"> outlines the key benefits, as well as the risks of not addressing accessibility adequately.</w:t>
      </w:r>
      <w:r w:rsidRPr="01678B86">
        <w:rPr>
          <w:rStyle w:val="EndnoteReference"/>
        </w:rPr>
        <w:endnoteReference w:id="15"/>
      </w:r>
      <w:r w:rsidRPr="01678B86">
        <w:t xml:space="preserve"> The key points are supported by industry case studies.</w:t>
      </w:r>
    </w:p>
    <w:p w14:paraId="502D8B9C" w14:textId="1C266867" w:rsidR="00CE2DB6" w:rsidRPr="00B2237A" w:rsidRDefault="00CE2DB6" w:rsidP="00CE2DB6">
      <w:pPr>
        <w:pStyle w:val="BodyText"/>
      </w:pPr>
      <w:r w:rsidRPr="00B2237A">
        <w:t xml:space="preserve">This is reinforced by the Centre for Inclusive Design’s </w:t>
      </w:r>
      <w:r>
        <w:t xml:space="preserve">(CID) </w:t>
      </w:r>
      <w:r w:rsidRPr="00B2237A">
        <w:t>2019 report ‘</w:t>
      </w:r>
      <w:hyperlink r:id="rId26" w:tooltip="The Benefit of Designing for Everyone" w:history="1">
        <w:r w:rsidRPr="00B2237A">
          <w:rPr>
            <w:rStyle w:val="Hyperlink"/>
          </w:rPr>
          <w:t>The Benefit of Designing for Everyone</w:t>
        </w:r>
      </w:hyperlink>
      <w:r w:rsidRPr="00B2237A">
        <w:t>,’</w:t>
      </w:r>
      <w:r w:rsidRPr="00B2237A">
        <w:rPr>
          <w:rStyle w:val="EndnoteReference"/>
        </w:rPr>
        <w:endnoteReference w:id="16"/>
      </w:r>
      <w:r w:rsidRPr="00B2237A">
        <w:t xml:space="preserve"> which states; </w:t>
      </w:r>
    </w:p>
    <w:p w14:paraId="6AC0692D" w14:textId="728FE44C" w:rsidR="00FE2F05" w:rsidRDefault="00CE2DB6" w:rsidP="00FE2F05">
      <w:pPr>
        <w:pStyle w:val="Quote"/>
      </w:pPr>
      <w:r w:rsidRPr="00FE2F05">
        <w:t>Inclusively designed products and services that have edge users in mind, can reach and benefit up to four times the size of the intended audience and enable organisations to increase their revenue by growing the size of their target markets.</w:t>
      </w:r>
      <w:r w:rsidRPr="00FE2F05">
        <w:rPr>
          <w:rStyle w:val="EndnoteReference"/>
          <w:sz w:val="24"/>
        </w:rPr>
        <w:endnoteReference w:id="17"/>
      </w:r>
      <w:r w:rsidRPr="00FE2F05">
        <w:t xml:space="preserve"> </w:t>
      </w:r>
      <w:r w:rsidR="00FE2F05">
        <w:br w:type="page"/>
      </w:r>
    </w:p>
    <w:p w14:paraId="21D6364A" w14:textId="367FE967" w:rsidR="00CE2DB6" w:rsidRPr="00B2237A" w:rsidRDefault="00CE2DB6" w:rsidP="00CE2DB6">
      <w:pPr>
        <w:pStyle w:val="BodyText"/>
      </w:pPr>
      <w:r w:rsidRPr="00B2237A">
        <w:lastRenderedPageBreak/>
        <w:t xml:space="preserve">As noted by then Chief Economist at PwC Australia at the launch of the </w:t>
      </w:r>
      <w:r w:rsidR="0089564B">
        <w:br/>
      </w:r>
      <w:r>
        <w:t xml:space="preserve">CID </w:t>
      </w:r>
      <w:r w:rsidRPr="00B2237A">
        <w:t xml:space="preserve">report. </w:t>
      </w:r>
    </w:p>
    <w:p w14:paraId="31ED6A9C" w14:textId="77777777" w:rsidR="00CE2DB6" w:rsidRPr="00C30086" w:rsidRDefault="00CE2DB6" w:rsidP="00FE2F05">
      <w:pPr>
        <w:pStyle w:val="Quote"/>
        <w:rPr>
          <w:i/>
        </w:rPr>
      </w:pPr>
      <w:r w:rsidRPr="01678B86">
        <w:t>Inclusive design is a no-regrets process that creates significant benefits which are currently being left on the table. It is an overlooked step in maximising the potential of business and ensuring a more productive nation. Designers, companies, and government all have a role to play, by designing, investing, and legislating with difference in mind, so that a design process that is inclusive becomes standard practice.</w:t>
      </w:r>
      <w:r w:rsidRPr="01678B86">
        <w:rPr>
          <w:rStyle w:val="EndnoteReference"/>
        </w:rPr>
        <w:endnoteReference w:id="18"/>
      </w:r>
    </w:p>
    <w:p w14:paraId="7C1F9F36" w14:textId="77777777" w:rsidR="00CE2DB6" w:rsidRPr="00B2237A" w:rsidRDefault="00CE2DB6" w:rsidP="00CE2DB6">
      <w:pPr>
        <w:pStyle w:val="BodyText"/>
      </w:pPr>
      <w:r w:rsidRPr="01678B86">
        <w:t>Advice from the W3C highlights that there are significant benefits in involving people with disability early and throughout different phases of research, designing, building, procuring or implementing digital goods and services.</w:t>
      </w:r>
      <w:r w:rsidRPr="01678B86">
        <w:rPr>
          <w:rStyle w:val="EndnoteReference"/>
        </w:rPr>
        <w:endnoteReference w:id="19"/>
      </w:r>
      <w:r w:rsidRPr="01678B86">
        <w:t xml:space="preserve"> Early involvement of people with disability in the discovery, design, or procurement of a new or upgraded digital good or service:</w:t>
      </w:r>
    </w:p>
    <w:p w14:paraId="642BD1D4" w14:textId="77777777" w:rsidR="00CE2DB6" w:rsidRPr="00B2237A" w:rsidRDefault="00CE2DB6" w:rsidP="00D671B7">
      <w:pPr>
        <w:pStyle w:val="Bullet"/>
      </w:pPr>
      <w:r w:rsidRPr="01678B86">
        <w:t>provides invaluable insights into people’s needs and current barriers they face</w:t>
      </w:r>
    </w:p>
    <w:p w14:paraId="001D8B8F" w14:textId="77777777" w:rsidR="00CE2DB6" w:rsidRDefault="00CE2DB6" w:rsidP="00D671B7">
      <w:pPr>
        <w:pStyle w:val="Bullet"/>
      </w:pPr>
      <w:r w:rsidRPr="00B2237A">
        <w:t>informs thinking about including features that are essential for equal access and useful for all</w:t>
      </w:r>
    </w:p>
    <w:p w14:paraId="087FA2C0" w14:textId="77777777" w:rsidR="00CE2DB6" w:rsidRDefault="00CE2DB6" w:rsidP="00D671B7">
      <w:pPr>
        <w:pStyle w:val="Bullet"/>
      </w:pPr>
      <w:r>
        <w:t>enables organisations to reach a wider audience from the beginning.</w:t>
      </w:r>
    </w:p>
    <w:p w14:paraId="23936344" w14:textId="5A00F191" w:rsidR="00D671B7" w:rsidRDefault="00CE2DB6" w:rsidP="00CE2DB6">
      <w:pPr>
        <w:pStyle w:val="BodyText"/>
      </w:pPr>
      <w:r w:rsidRPr="01678B86">
        <w:t>The National Institute of Standards and Technology (NIST) confirms that it is more costly to repair any defect later in the development life cycle.</w:t>
      </w:r>
      <w:r w:rsidRPr="01678B86">
        <w:rPr>
          <w:rStyle w:val="EndnoteReference"/>
        </w:rPr>
        <w:endnoteReference w:id="20"/>
      </w:r>
      <w:r w:rsidR="00D671B7">
        <w:br w:type="page"/>
      </w:r>
    </w:p>
    <w:p w14:paraId="1F330C7D" w14:textId="77777777" w:rsidR="00D671B7" w:rsidRDefault="00CE2DB6" w:rsidP="00717A7D">
      <w:pPr>
        <w:pStyle w:val="Caption"/>
      </w:pPr>
      <w:r w:rsidRPr="001D0DF2">
        <w:lastRenderedPageBreak/>
        <w:t xml:space="preserve">Table </w:t>
      </w:r>
      <w:fldSimple w:instr=" SEQ Table \* ARABIC ">
        <w:r w:rsidRPr="001D0DF2">
          <w:rPr>
            <w:noProof/>
          </w:rPr>
          <w:t>1</w:t>
        </w:r>
      </w:fldSimple>
      <w:r w:rsidRPr="001D0DF2">
        <w:t xml:space="preserve"> Relative </w:t>
      </w:r>
      <w:r w:rsidRPr="00717A7D">
        <w:t>Cost</w:t>
      </w:r>
      <w:r w:rsidRPr="001D0DF2">
        <w:t xml:space="preserve"> to Repair Defects When Found at Different Stages of Software Development (Example Only) </w:t>
      </w:r>
    </w:p>
    <w:p w14:paraId="6853DC71" w14:textId="70F26C56" w:rsidR="00CE2DB6" w:rsidRDefault="00CE2DB6" w:rsidP="00D671B7">
      <w:r w:rsidRPr="001D0DF2">
        <w:t>X is a normalized unit of cost and can be expressed terms of person-hours, dollars, etc.</w:t>
      </w:r>
    </w:p>
    <w:p w14:paraId="2F10C3BB" w14:textId="1D2965EB" w:rsidR="00340FC6" w:rsidRPr="00823881" w:rsidRDefault="00340FC6" w:rsidP="00D671B7">
      <w:r w:rsidRPr="00340FC6">
        <w:rPr>
          <w:noProof/>
        </w:rPr>
        <w:drawing>
          <wp:inline distT="0" distB="0" distL="0" distR="0" wp14:anchorId="5837B2EC" wp14:editId="316F2B3B">
            <wp:extent cx="5731510" cy="4349115"/>
            <wp:effectExtent l="0" t="0" r="2540" b="0"/>
            <wp:docPr id="520767655" name="Picture 1" descr="A column graph showing the rate at which the cost to repair defects steadily increases over the life of the product. &#10;1X - Requirements Gathering and Analysis/ Architectural Design&#10;2X - Coding/Unit Test&#10;5X - Integration and Component/RAISE System Test (including ‘ease of use’)&#10;15X - Early Customer Feedback/Beta Test Programs and 30X - Post-product 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767655" name="Picture 1" descr="A column graph showing the rate at which the cost to repair defects steadily increases over the life of the product. &#10;1X - Requirements Gathering and Analysis/ Architectural Design&#10;2X - Coding/Unit Test&#10;5X - Integration and Component/RAISE System Test (including ‘ease of use’)&#10;15X - Early Customer Feedback/Beta Test Programs and 30X - Post-product Release"/>
                    <pic:cNvPicPr/>
                  </pic:nvPicPr>
                  <pic:blipFill>
                    <a:blip r:embed="rId27"/>
                    <a:stretch>
                      <a:fillRect/>
                    </a:stretch>
                  </pic:blipFill>
                  <pic:spPr>
                    <a:xfrm>
                      <a:off x="0" y="0"/>
                      <a:ext cx="5731510" cy="4349115"/>
                    </a:xfrm>
                    <a:prstGeom prst="rect">
                      <a:avLst/>
                    </a:prstGeom>
                  </pic:spPr>
                </pic:pic>
              </a:graphicData>
            </a:graphic>
          </wp:inline>
        </w:drawing>
      </w:r>
    </w:p>
    <w:p w14:paraId="13C8EED9" w14:textId="77777777" w:rsidR="00CE2DB6" w:rsidRDefault="00CE2DB6" w:rsidP="00490A8D">
      <w:pPr>
        <w:pStyle w:val="Heading2"/>
      </w:pPr>
      <w:bookmarkStart w:id="70" w:name="_Toc168414618"/>
      <w:bookmarkStart w:id="71" w:name="_Toc652759333"/>
      <w:bookmarkStart w:id="72" w:name="_Toc194569654"/>
      <w:r w:rsidRPr="00A02E48">
        <w:t>I</w:t>
      </w:r>
      <w:r w:rsidRPr="00490A8D">
        <w:t>mplementing a strategic approach to</w:t>
      </w:r>
      <w:r w:rsidRPr="00A02E48">
        <w:t xml:space="preserve"> providing equal access</w:t>
      </w:r>
      <w:bookmarkEnd w:id="70"/>
      <w:bookmarkEnd w:id="71"/>
      <w:bookmarkEnd w:id="72"/>
    </w:p>
    <w:p w14:paraId="1E7FA82B" w14:textId="77777777" w:rsidR="00CE2DB6" w:rsidRDefault="00CE2DB6" w:rsidP="00CE2DB6">
      <w:pPr>
        <w:pStyle w:val="BodyText"/>
      </w:pPr>
      <w:r>
        <w:t xml:space="preserve">It is critical for accessibility to be considered at all stages of the development cycle and/or procurement process if the delivery of </w:t>
      </w:r>
      <w:r w:rsidRPr="00E535B2">
        <w:rPr>
          <w:shd w:val="clear" w:color="auto" w:fill="FFFFFF"/>
        </w:rPr>
        <w:t xml:space="preserve">digital </w:t>
      </w:r>
      <w:r w:rsidRPr="00E535B2">
        <w:t xml:space="preserve">goods and services </w:t>
      </w:r>
      <w:r w:rsidRPr="00E535B2">
        <w:rPr>
          <w:shd w:val="clear" w:color="auto" w:fill="FFFFFF"/>
        </w:rPr>
        <w:t xml:space="preserve">are to </w:t>
      </w:r>
      <w:r>
        <w:rPr>
          <w:shd w:val="clear" w:color="auto" w:fill="FFFFFF"/>
        </w:rPr>
        <w:t>provide</w:t>
      </w:r>
      <w:r w:rsidRPr="00E535B2">
        <w:rPr>
          <w:shd w:val="clear" w:color="auto" w:fill="FFFFFF"/>
        </w:rPr>
        <w:t xml:space="preserve"> equal access of use</w:t>
      </w:r>
      <w:r>
        <w:t xml:space="preserve">. </w:t>
      </w:r>
    </w:p>
    <w:p w14:paraId="226328FA" w14:textId="77777777" w:rsidR="00CE2DB6" w:rsidRPr="00E535B2" w:rsidRDefault="00CE2DB6" w:rsidP="00CE2DB6">
      <w:pPr>
        <w:pStyle w:val="BodyText"/>
      </w:pPr>
      <w:r>
        <w:lastRenderedPageBreak/>
        <w:t xml:space="preserve">Organisations and businesses should examine how their systems intentionally support or unwittingly hinder accessibility. Organisation policies, key business processes, organisational culture, and management structures need to work in a consistent, coherent, repeatable, and measurable fashion for accessibility to become sustainable and seen as business as usual. </w:t>
      </w:r>
    </w:p>
    <w:p w14:paraId="5127D0DE" w14:textId="5AA786C4" w:rsidR="00CE2DB6" w:rsidRPr="000F6661" w:rsidRDefault="00CE2DB6" w:rsidP="00CE2DB6">
      <w:pPr>
        <w:pStyle w:val="BodyText"/>
      </w:pPr>
      <w:r w:rsidRPr="001C2E0D">
        <w:t xml:space="preserve">To intentionally embed </w:t>
      </w:r>
      <w:r>
        <w:t>equal access</w:t>
      </w:r>
      <w:r w:rsidRPr="001C2E0D">
        <w:t>, it is recommended that organisations begin by adopting an accessibility maturity model such as the W3C’s</w:t>
      </w:r>
      <w:r w:rsidRPr="008368C6">
        <w:t> </w:t>
      </w:r>
      <w:hyperlink r:id="rId28" w:tooltip="Accessibility Maturity Model" w:history="1">
        <w:r w:rsidRPr="008D5D13">
          <w:rPr>
            <w:rStyle w:val="Hyperlink"/>
          </w:rPr>
          <w:t>Accessibility Maturity Model</w:t>
        </w:r>
      </w:hyperlink>
      <w:r w:rsidRPr="000F6661">
        <w:t>.</w:t>
      </w:r>
      <w:r>
        <w:rPr>
          <w:rStyle w:val="EndnoteReference"/>
        </w:rPr>
        <w:endnoteReference w:id="21"/>
      </w:r>
      <w:r w:rsidRPr="001C2E0D">
        <w:t xml:space="preserve"> The use of maturity models </w:t>
      </w:r>
      <w:r w:rsidRPr="000F6661">
        <w:t>provides a consistent framework that organisations of any size can utilise to evaluate</w:t>
      </w:r>
      <w:r>
        <w:t>, benchmark,</w:t>
      </w:r>
      <w:r w:rsidRPr="000F6661">
        <w:t xml:space="preserve"> and improve their business processes to produce or procure digital goods and services that are accessible to people with a disability be they staff, visitors or customers. </w:t>
      </w:r>
    </w:p>
    <w:p w14:paraId="7F84AA83" w14:textId="77777777" w:rsidR="00CE2DB6" w:rsidRPr="00E535B2" w:rsidRDefault="00CE2DB6" w:rsidP="00CE2DB6">
      <w:pPr>
        <w:pStyle w:val="BodyText"/>
      </w:pPr>
      <w:r>
        <w:rPr>
          <w:shd w:val="clear" w:color="auto" w:fill="FFFFFF"/>
        </w:rPr>
        <w:t>M</w:t>
      </w:r>
      <w:r w:rsidRPr="00E535B2">
        <w:t>aturity model</w:t>
      </w:r>
      <w:r>
        <w:t>s</w:t>
      </w:r>
      <w:r w:rsidRPr="00E535B2">
        <w:t xml:space="preserve"> align with and </w:t>
      </w:r>
      <w:r>
        <w:t xml:space="preserve">are </w:t>
      </w:r>
      <w:r w:rsidRPr="00E535B2">
        <w:t>support</w:t>
      </w:r>
      <w:r>
        <w:t>ed by</w:t>
      </w:r>
      <w:r w:rsidRPr="00E535B2">
        <w:t xml:space="preserve"> the implementation of</w:t>
      </w:r>
      <w:r>
        <w:t xml:space="preserve"> several Australian and international standards that either relate to accessibility or to organisational governance. These are discussed in full in Chapter 3 and include</w:t>
      </w:r>
      <w:r w:rsidRPr="00E535B2">
        <w:t>:</w:t>
      </w:r>
    </w:p>
    <w:p w14:paraId="1F8E69F0" w14:textId="77777777" w:rsidR="00CE2DB6" w:rsidRDefault="00CE2DB6" w:rsidP="00340FC6">
      <w:pPr>
        <w:pStyle w:val="Bullet"/>
      </w:pPr>
      <w:r>
        <w:t>Web Content Accessibility Guidelines (WCAG</w:t>
      </w:r>
      <w:r>
        <w:rPr>
          <w:rStyle w:val="EndnoteReference"/>
        </w:rPr>
        <w:endnoteReference w:id="22"/>
      </w:r>
      <w:r>
        <w:t>)</w:t>
      </w:r>
    </w:p>
    <w:p w14:paraId="3582E9E4" w14:textId="77777777" w:rsidR="00CE2DB6" w:rsidRDefault="00CE2DB6" w:rsidP="00340FC6">
      <w:pPr>
        <w:pStyle w:val="Bullet"/>
      </w:pPr>
      <w:r w:rsidRPr="01678B86">
        <w:t>AS ISO/IEC 30071.1 (Information technology — Development of user interface accessibility, Part 1: Code of practice for creating accessible ICT products and services)</w:t>
      </w:r>
      <w:r w:rsidRPr="01678B86">
        <w:rPr>
          <w:rStyle w:val="EndnoteReference"/>
        </w:rPr>
        <w:endnoteReference w:id="23"/>
      </w:r>
      <w:r w:rsidRPr="01678B86">
        <w:t xml:space="preserve"> </w:t>
      </w:r>
    </w:p>
    <w:p w14:paraId="7A53912A" w14:textId="77777777" w:rsidR="00CE2DB6" w:rsidRDefault="00CE2DB6" w:rsidP="00340FC6">
      <w:pPr>
        <w:pStyle w:val="Bullet"/>
      </w:pPr>
      <w:r w:rsidRPr="00C30086">
        <w:t>AS EN 301 549</w:t>
      </w:r>
      <w:r>
        <w:t xml:space="preserve"> (Accessibility </w:t>
      </w:r>
      <w:r w:rsidRPr="0043014F">
        <w:t>requirements for ICT products and services</w:t>
      </w:r>
      <w:r>
        <w:t>)</w:t>
      </w:r>
      <w:r>
        <w:rPr>
          <w:rStyle w:val="EndnoteReference"/>
        </w:rPr>
        <w:endnoteReference w:id="24"/>
      </w:r>
    </w:p>
    <w:p w14:paraId="72F4E114" w14:textId="77777777" w:rsidR="00CE2DB6" w:rsidRDefault="00CE2DB6" w:rsidP="00340FC6">
      <w:pPr>
        <w:pStyle w:val="Bullet"/>
      </w:pPr>
      <w:r w:rsidRPr="01678B86">
        <w:t>AS ISO 31000 (Risk management - Guidelines)</w:t>
      </w:r>
      <w:r w:rsidRPr="01678B86">
        <w:rPr>
          <w:rStyle w:val="EndnoteReference"/>
        </w:rPr>
        <w:endnoteReference w:id="25"/>
      </w:r>
    </w:p>
    <w:p w14:paraId="376BC0F7" w14:textId="77777777" w:rsidR="00CE2DB6" w:rsidRPr="00544DCB" w:rsidRDefault="00CE2DB6" w:rsidP="00340FC6">
      <w:pPr>
        <w:pStyle w:val="Bullet"/>
      </w:pPr>
      <w:r w:rsidRPr="01678B86">
        <w:t> AS ISO 37301</w:t>
      </w:r>
      <w:r w:rsidRPr="01678B86" w:rsidDel="00C86AA9">
        <w:t xml:space="preserve"> </w:t>
      </w:r>
      <w:r w:rsidRPr="01678B86">
        <w:t>(Compliance Management Systems - Requirements with guidance for use)</w:t>
      </w:r>
      <w:r w:rsidRPr="01678B86">
        <w:rPr>
          <w:rStyle w:val="EndnoteReference"/>
        </w:rPr>
        <w:endnoteReference w:id="26"/>
      </w:r>
    </w:p>
    <w:p w14:paraId="3BD69195" w14:textId="0FA6A286" w:rsidR="00CE2DB6" w:rsidRDefault="00CE2DB6" w:rsidP="00CE2DB6">
      <w:pPr>
        <w:pStyle w:val="BodyText"/>
      </w:pPr>
      <w:r>
        <w:t xml:space="preserve">The implementation of the W3C Accessibility Maturity Model and Australian Standards could be included as part of an organisation’s Disability Action Plan. See the Commission’s guidance on </w:t>
      </w:r>
      <w:hyperlink r:id="rId29" w:tooltip="developing Disability Action Plans">
        <w:r w:rsidRPr="17B33D67" w:rsidDel="00853BBB">
          <w:rPr>
            <w:rStyle w:val="Hyperlink"/>
          </w:rPr>
          <w:t xml:space="preserve">developing </w:t>
        </w:r>
        <w:r>
          <w:rPr>
            <w:rStyle w:val="Hyperlink"/>
          </w:rPr>
          <w:t>Disability Action Plans</w:t>
        </w:r>
      </w:hyperlink>
      <w:r>
        <w:t xml:space="preserve">. Most importantly, the adoption of these standards supports Disability Action Plans progressing from intentional to deliverables. </w:t>
      </w:r>
    </w:p>
    <w:p w14:paraId="319BD067" w14:textId="77777777" w:rsidR="00CE2DB6" w:rsidRPr="00FD4277" w:rsidRDefault="00CE2DB6" w:rsidP="00490A8D">
      <w:pPr>
        <w:pStyle w:val="Heading3"/>
      </w:pPr>
      <w:bookmarkStart w:id="73" w:name="_Toc168414619"/>
      <w:bookmarkStart w:id="74" w:name="_Toc1909470136"/>
      <w:r>
        <w:lastRenderedPageBreak/>
        <w:t xml:space="preserve">Importance of </w:t>
      </w:r>
      <w:r w:rsidRPr="00340FC6">
        <w:t>seeking</w:t>
      </w:r>
      <w:r>
        <w:t xml:space="preserve"> expert advice</w:t>
      </w:r>
      <w:bookmarkEnd w:id="73"/>
      <w:bookmarkEnd w:id="74"/>
    </w:p>
    <w:p w14:paraId="4196E000" w14:textId="77777777" w:rsidR="00CE2DB6" w:rsidRDefault="00CE2DB6" w:rsidP="00CE2DB6">
      <w:pPr>
        <w:pStyle w:val="BodyText"/>
      </w:pPr>
      <w:r w:rsidRPr="01678B86">
        <w:t xml:space="preserve">As individuals and organisations seek to improve accessibility of the digital goods and services they provide, it is encouraged to seek expert advice and up to date information when: </w:t>
      </w:r>
    </w:p>
    <w:p w14:paraId="541C3F02" w14:textId="77777777" w:rsidR="00CE2DB6" w:rsidRDefault="00CE2DB6" w:rsidP="00340FC6">
      <w:pPr>
        <w:pStyle w:val="Bullet"/>
      </w:pPr>
      <w:r>
        <w:t xml:space="preserve">embedding accessibility within the development cycle. </w:t>
      </w:r>
    </w:p>
    <w:p w14:paraId="5AAA15DA" w14:textId="77777777" w:rsidR="00CE2DB6" w:rsidRDefault="00CE2DB6" w:rsidP="00340FC6">
      <w:pPr>
        <w:pStyle w:val="Bullet"/>
      </w:pPr>
      <w:r>
        <w:t xml:space="preserve">including accessibility within the procurement process. </w:t>
      </w:r>
    </w:p>
    <w:p w14:paraId="4A153C23" w14:textId="77777777" w:rsidR="00CE2DB6" w:rsidRDefault="00CE2DB6" w:rsidP="00340FC6">
      <w:pPr>
        <w:pStyle w:val="Bullet"/>
      </w:pPr>
      <w:r w:rsidRPr="01678B86">
        <w:t xml:space="preserve">developing and implementing a strategic approach to providing equal access.  </w:t>
      </w:r>
    </w:p>
    <w:p w14:paraId="2BB0F2CB" w14:textId="77777777" w:rsidR="00CE2DB6" w:rsidRDefault="00CE2DB6" w:rsidP="00340FC6">
      <w:r>
        <w:t>Such advice can improve agility of adoption and implementation of mindsets and methods that consistently deliver digital goods and services that are inclusive by design and accessible by default. As part of developing policies, goods, services, and review mechanisms, it is recommended to always co-design with the people who are most affected by the work being done: people with disability. The goal is for organisations to have processes and practices that are designed to deliver a consistently accessible and inclusive experience for employees, customers, and stakeholders.</w:t>
      </w:r>
      <w:bookmarkStart w:id="75" w:name="_Toc114226087"/>
      <w:bookmarkStart w:id="76" w:name="_Toc125450132"/>
    </w:p>
    <w:p w14:paraId="3E5F14B0" w14:textId="77777777" w:rsidR="00CE2DB6" w:rsidRDefault="00CE2DB6" w:rsidP="00340FC6">
      <w:r w:rsidRPr="01678B86">
        <w:t>Expertise is available from many consulting firms that can be found through an online search, but also see:</w:t>
      </w:r>
    </w:p>
    <w:p w14:paraId="60A96D97" w14:textId="49AD93AA" w:rsidR="00CE2DB6" w:rsidRDefault="00CE2DB6" w:rsidP="00340FC6">
      <w:pPr>
        <w:pStyle w:val="Bullet"/>
      </w:pPr>
      <w:hyperlink r:id="rId30" w:anchor="!directory" w:tooltip="OZeWAI consultant directory" w:history="1">
        <w:proofErr w:type="spellStart"/>
        <w:r w:rsidRPr="009F73FC">
          <w:rPr>
            <w:rStyle w:val="Hyperlink"/>
          </w:rPr>
          <w:t>OZeWAI</w:t>
        </w:r>
        <w:proofErr w:type="spellEnd"/>
        <w:r w:rsidRPr="009F73FC">
          <w:rPr>
            <w:rStyle w:val="Hyperlink"/>
          </w:rPr>
          <w:t xml:space="preserve"> consultant directory</w:t>
        </w:r>
      </w:hyperlink>
    </w:p>
    <w:p w14:paraId="5EDE28E6" w14:textId="24858D4D" w:rsidR="00CE2DB6" w:rsidRPr="00D646A5" w:rsidRDefault="00CE2DB6" w:rsidP="00340FC6">
      <w:pPr>
        <w:pStyle w:val="Bullet"/>
      </w:pPr>
      <w:hyperlink r:id="rId31" w:tooltip="IAAP organisational directory" w:history="1">
        <w:r w:rsidRPr="001605CE">
          <w:rPr>
            <w:rStyle w:val="Hyperlink"/>
          </w:rPr>
          <w:t>IAAP organisational directory</w:t>
        </w:r>
      </w:hyperlink>
    </w:p>
    <w:p w14:paraId="0BD3E0BD" w14:textId="77777777" w:rsidR="00CE2DB6" w:rsidRDefault="00CE2DB6" w:rsidP="00490A8D">
      <w:pPr>
        <w:pStyle w:val="Heading2"/>
      </w:pPr>
      <w:bookmarkStart w:id="77" w:name="_Toc168414620"/>
      <w:bookmarkStart w:id="78" w:name="_Toc875392182"/>
      <w:bookmarkStart w:id="79" w:name="_Toc194569655"/>
      <w:bookmarkEnd w:id="75"/>
      <w:bookmarkEnd w:id="76"/>
      <w:r>
        <w:t xml:space="preserve">Accessibility in </w:t>
      </w:r>
      <w:r w:rsidRPr="00280D7D">
        <w:t>the</w:t>
      </w:r>
      <w:r>
        <w:t xml:space="preserve"> development cycle</w:t>
      </w:r>
      <w:bookmarkEnd w:id="77"/>
      <w:bookmarkEnd w:id="78"/>
      <w:bookmarkEnd w:id="79"/>
    </w:p>
    <w:p w14:paraId="5A617CB0" w14:textId="77777777" w:rsidR="00CE2DB6" w:rsidRDefault="00CE2DB6" w:rsidP="00CE2DB6">
      <w:pPr>
        <w:pStyle w:val="BodyText"/>
      </w:pPr>
      <w:r>
        <w:t>Design, technical and usability advice on delivering digital goods and services that provide equal access will continue to change due to ongoing technical innovations as well as the evolution of standards such as the</w:t>
      </w:r>
      <w:r w:rsidDel="00671D2E">
        <w:t xml:space="preserve"> </w:t>
      </w:r>
      <w:r>
        <w:t xml:space="preserve">WCAG and AS EN 301 549. </w:t>
      </w:r>
    </w:p>
    <w:p w14:paraId="68F95775" w14:textId="77777777" w:rsidR="00CE2DB6" w:rsidRDefault="00CE2DB6" w:rsidP="00CE2DB6">
      <w:pPr>
        <w:pStyle w:val="BodyText"/>
      </w:pPr>
      <w:r>
        <w:lastRenderedPageBreak/>
        <w:t>As stressed earlier, taking account of accessibility throughout the process, rather than just at the end, is more efficient and cheaper. Consider accessibility and the needs of people with disability during:</w:t>
      </w:r>
    </w:p>
    <w:p w14:paraId="409D1672" w14:textId="77777777" w:rsidR="00CE2DB6" w:rsidRDefault="00CE2DB6" w:rsidP="00280D7D">
      <w:pPr>
        <w:pStyle w:val="Bullet"/>
      </w:pPr>
      <w:r>
        <w:t xml:space="preserve">ideation and specification </w:t>
      </w:r>
    </w:p>
    <w:p w14:paraId="6572DF51" w14:textId="77777777" w:rsidR="00CE2DB6" w:rsidRDefault="00CE2DB6" w:rsidP="00280D7D">
      <w:pPr>
        <w:pStyle w:val="Bullet"/>
      </w:pPr>
      <w:r>
        <w:t>user research</w:t>
      </w:r>
    </w:p>
    <w:p w14:paraId="02EE0058" w14:textId="77777777" w:rsidR="00CE2DB6" w:rsidRDefault="00CE2DB6" w:rsidP="00280D7D">
      <w:pPr>
        <w:pStyle w:val="Bullet"/>
      </w:pPr>
      <w:r>
        <w:t>design</w:t>
      </w:r>
    </w:p>
    <w:p w14:paraId="7F8FE23E" w14:textId="77777777" w:rsidR="00CE2DB6" w:rsidRDefault="00CE2DB6" w:rsidP="00280D7D">
      <w:pPr>
        <w:pStyle w:val="Bullet"/>
      </w:pPr>
      <w:r>
        <w:t>content authoring</w:t>
      </w:r>
    </w:p>
    <w:p w14:paraId="4DE76028" w14:textId="77777777" w:rsidR="00CE2DB6" w:rsidRDefault="00CE2DB6" w:rsidP="00280D7D">
      <w:pPr>
        <w:pStyle w:val="Bullet"/>
      </w:pPr>
      <w:r>
        <w:t>technical development</w:t>
      </w:r>
    </w:p>
    <w:p w14:paraId="4060C436" w14:textId="77777777" w:rsidR="00CE2DB6" w:rsidRDefault="00CE2DB6" w:rsidP="00280D7D">
      <w:pPr>
        <w:pStyle w:val="Bullet"/>
      </w:pPr>
      <w:r>
        <w:t>quality assurance</w:t>
      </w:r>
    </w:p>
    <w:p w14:paraId="5B5411C0" w14:textId="77777777" w:rsidR="00CE2DB6" w:rsidRDefault="00CE2DB6" w:rsidP="00280D7D">
      <w:pPr>
        <w:pStyle w:val="Bullet"/>
      </w:pPr>
      <w:r>
        <w:t>usability testing</w:t>
      </w:r>
    </w:p>
    <w:p w14:paraId="4339CD30" w14:textId="77777777" w:rsidR="00CE2DB6" w:rsidRDefault="00CE2DB6" w:rsidP="00280D7D">
      <w:pPr>
        <w:pStyle w:val="Bullet"/>
      </w:pPr>
      <w:r>
        <w:t xml:space="preserve">maintenance </w:t>
      </w:r>
    </w:p>
    <w:p w14:paraId="1B818D7F" w14:textId="77777777" w:rsidR="00CE2DB6" w:rsidRDefault="00CE2DB6" w:rsidP="00CE2DB6">
      <w:pPr>
        <w:pStyle w:val="BodyText"/>
        <w:contextualSpacing/>
      </w:pPr>
      <w:r w:rsidRPr="01678B86">
        <w:t>AS ISO/IEC 30071.1</w:t>
      </w:r>
      <w:r w:rsidRPr="01678B86">
        <w:rPr>
          <w:rStyle w:val="EndnoteReference"/>
        </w:rPr>
        <w:endnoteReference w:id="27"/>
      </w:r>
      <w:r w:rsidRPr="01678B86">
        <w:t xml:space="preserve"> provides some guidance around this. If there is no in-house expertise to address accessibility during some of these stages, consider bringing expertise in on a casual, short-term, or longer-term basis.</w:t>
      </w:r>
    </w:p>
    <w:p w14:paraId="541DF98F" w14:textId="77777777" w:rsidR="00CE2DB6" w:rsidRDefault="00CE2DB6" w:rsidP="00490A8D">
      <w:pPr>
        <w:pStyle w:val="Heading2"/>
      </w:pPr>
      <w:bookmarkStart w:id="80" w:name="_Toc168414621"/>
      <w:bookmarkStart w:id="81" w:name="_Toc1986754169"/>
      <w:bookmarkStart w:id="82" w:name="_Toc194569656"/>
      <w:r>
        <w:t xml:space="preserve">Skills </w:t>
      </w:r>
      <w:r w:rsidRPr="00280D7D">
        <w:t>development</w:t>
      </w:r>
      <w:bookmarkEnd w:id="80"/>
      <w:bookmarkEnd w:id="81"/>
      <w:bookmarkEnd w:id="82"/>
    </w:p>
    <w:p w14:paraId="1CFBB42D" w14:textId="77777777" w:rsidR="00CE2DB6" w:rsidRPr="00E535B2" w:rsidRDefault="00CE2DB6" w:rsidP="00CE2DB6">
      <w:pPr>
        <w:pStyle w:val="BodyText"/>
      </w:pPr>
      <w:r>
        <w:t xml:space="preserve">Free resources provided by W3C can help individuals, organisations and businesses enhance their skills in this area: </w:t>
      </w:r>
    </w:p>
    <w:p w14:paraId="7F3BD1EC" w14:textId="76ED40AA" w:rsidR="00CE2DB6" w:rsidRPr="00E535B2" w:rsidRDefault="00CE2DB6" w:rsidP="00280D7D">
      <w:pPr>
        <w:pStyle w:val="Bullet"/>
        <w:rPr>
          <w:rStyle w:val="Hyperlink"/>
        </w:rPr>
      </w:pPr>
      <w:hyperlink r:id="rId32" w:tooltip="accessibility fundamentals">
        <w:r w:rsidRPr="01678B86">
          <w:rPr>
            <w:rStyle w:val="Hyperlink"/>
          </w:rPr>
          <w:t>accessibility fundamentals</w:t>
        </w:r>
      </w:hyperlink>
      <w:r w:rsidRPr="01678B86">
        <w:t xml:space="preserve"> and in particular </w:t>
      </w:r>
      <w:hyperlink r:id="rId33" w:tooltip="how people with disability use the web">
        <w:r w:rsidRPr="01678B86">
          <w:rPr>
            <w:rStyle w:val="Hyperlink"/>
          </w:rPr>
          <w:t>how people with disability use the web</w:t>
        </w:r>
      </w:hyperlink>
      <w:r w:rsidRPr="01678B86">
        <w:rPr>
          <w:rStyle w:val="Hyperlink"/>
        </w:rPr>
        <w:t>.</w:t>
      </w:r>
    </w:p>
    <w:p w14:paraId="34F1580D" w14:textId="48F47DF3" w:rsidR="00CE2DB6" w:rsidRPr="00E535B2" w:rsidRDefault="00CE2DB6" w:rsidP="00280D7D">
      <w:pPr>
        <w:pStyle w:val="Bullet"/>
      </w:pPr>
      <w:hyperlink r:id="rId34" w:tooltip="guidance for writing, designing, and developing" w:history="1">
        <w:r w:rsidRPr="00E535B2">
          <w:rPr>
            <w:rStyle w:val="Hyperlink"/>
          </w:rPr>
          <w:t>guidance for writing, designing, and developing</w:t>
        </w:r>
      </w:hyperlink>
      <w:r w:rsidRPr="00E535B2">
        <w:t xml:space="preserve"> for accessibility</w:t>
      </w:r>
      <w:r>
        <w:t>.</w:t>
      </w:r>
    </w:p>
    <w:p w14:paraId="29CBB461" w14:textId="6521530E" w:rsidR="00CE2DB6" w:rsidRPr="00E535B2" w:rsidRDefault="00CE2DB6" w:rsidP="00280D7D">
      <w:pPr>
        <w:pStyle w:val="Bullet"/>
      </w:pPr>
      <w:hyperlink r:id="rId35" w:tooltip="digital accessibility foundations online course" w:history="1">
        <w:r w:rsidRPr="00E535B2">
          <w:rPr>
            <w:rStyle w:val="Hyperlink"/>
          </w:rPr>
          <w:t>digital accessibility foundations online course</w:t>
        </w:r>
      </w:hyperlink>
      <w:r w:rsidRPr="00E535B2">
        <w:t xml:space="preserve"> which builds the foundations needed to make your digital technology accessible</w:t>
      </w:r>
      <w:r>
        <w:t>.</w:t>
      </w:r>
    </w:p>
    <w:p w14:paraId="06D3B5EC" w14:textId="1A491876" w:rsidR="00CE2DB6" w:rsidRPr="00E535B2" w:rsidRDefault="00CE2DB6" w:rsidP="00280D7D">
      <w:pPr>
        <w:pStyle w:val="Bullet"/>
      </w:pPr>
      <w:hyperlink r:id="rId36" w:tooltip="resources to help evaluate accessibility">
        <w:r w:rsidRPr="01678B86">
          <w:rPr>
            <w:rStyle w:val="Hyperlink"/>
          </w:rPr>
          <w:t>resources to help evaluate accessibility</w:t>
        </w:r>
      </w:hyperlink>
      <w:r w:rsidRPr="01678B86">
        <w:t xml:space="preserve"> conformance to determine how well content, applications or services meet accessibility standards.</w:t>
      </w:r>
    </w:p>
    <w:p w14:paraId="02F6D98F" w14:textId="77777777" w:rsidR="00CE2DB6" w:rsidRPr="00E535B2" w:rsidRDefault="00CE2DB6" w:rsidP="00CE2DB6">
      <w:pPr>
        <w:pStyle w:val="BodyText"/>
      </w:pPr>
      <w:r w:rsidRPr="01678B86">
        <w:lastRenderedPageBreak/>
        <w:t xml:space="preserve">The W3C’s guidance can and should be extended upon through establishing personal and organisational accessibility learning pathways that might incorporate: </w:t>
      </w:r>
    </w:p>
    <w:p w14:paraId="5304E69D" w14:textId="77777777" w:rsidR="00CE2DB6" w:rsidRPr="00E535B2" w:rsidRDefault="00CE2DB6" w:rsidP="00BD13DE">
      <w:pPr>
        <w:pStyle w:val="Bullet"/>
      </w:pPr>
      <w:r>
        <w:t xml:space="preserve">joining local digital accessibility community groups </w:t>
      </w:r>
    </w:p>
    <w:p w14:paraId="7E10008E" w14:textId="77777777" w:rsidR="00CE2DB6" w:rsidRPr="00E535B2" w:rsidRDefault="00CE2DB6" w:rsidP="00BD13DE">
      <w:pPr>
        <w:pStyle w:val="Bullet"/>
      </w:pPr>
      <w:r w:rsidRPr="00E535B2">
        <w:t xml:space="preserve">attending </w:t>
      </w:r>
      <w:r>
        <w:t>web and digital accessibility conferences and other</w:t>
      </w:r>
      <w:r w:rsidRPr="00E535B2">
        <w:t xml:space="preserve"> events</w:t>
      </w:r>
    </w:p>
    <w:p w14:paraId="46F25187" w14:textId="77777777" w:rsidR="00CE2DB6" w:rsidRPr="00E535B2" w:rsidRDefault="00CE2DB6" w:rsidP="00BD13DE">
      <w:pPr>
        <w:pStyle w:val="Bullet"/>
      </w:pPr>
      <w:r w:rsidRPr="00E535B2">
        <w:t>following accessibility discussions on social media</w:t>
      </w:r>
    </w:p>
    <w:p w14:paraId="592E9151" w14:textId="77777777" w:rsidR="00CE2DB6" w:rsidRDefault="00CE2DB6" w:rsidP="00BD13DE">
      <w:pPr>
        <w:pStyle w:val="Bullet"/>
      </w:pPr>
      <w:r w:rsidRPr="00E535B2">
        <w:t xml:space="preserve">leveraging the free advice many major technology companies provide on how to </w:t>
      </w:r>
      <w:r>
        <w:t>provide</w:t>
      </w:r>
      <w:r w:rsidRPr="00E535B2">
        <w:t xml:space="preserve"> equal access of use utilising their products</w:t>
      </w:r>
    </w:p>
    <w:p w14:paraId="6A89B221" w14:textId="2E04967E" w:rsidR="00CE2DB6" w:rsidRPr="008D5D13" w:rsidRDefault="00CE2DB6" w:rsidP="00BD13DE">
      <w:pPr>
        <w:pStyle w:val="Bullet"/>
      </w:pPr>
      <w:r>
        <w:t xml:space="preserve">participating in public or in-house role-specific accessibility training – W3C maintains an </w:t>
      </w:r>
      <w:hyperlink r:id="rId37" w:tooltip="accessibility course list" w:history="1">
        <w:r w:rsidRPr="001D66A9">
          <w:rPr>
            <w:rStyle w:val="Hyperlink"/>
          </w:rPr>
          <w:t>accessibility course list</w:t>
        </w:r>
      </w:hyperlink>
      <w:r w:rsidRPr="00E535B2">
        <w:t xml:space="preserve">. </w:t>
      </w:r>
    </w:p>
    <w:p w14:paraId="3F8396CC" w14:textId="77777777" w:rsidR="00CE2DB6" w:rsidRDefault="00CE2DB6" w:rsidP="00490A8D">
      <w:pPr>
        <w:pStyle w:val="Heading2"/>
      </w:pPr>
      <w:bookmarkStart w:id="83" w:name="_Toc168414622"/>
      <w:bookmarkStart w:id="84" w:name="_Toc503974237"/>
      <w:bookmarkStart w:id="85" w:name="_Toc194569657"/>
      <w:r>
        <w:t>Accessibility in the procurement process</w:t>
      </w:r>
      <w:bookmarkEnd w:id="83"/>
      <w:bookmarkEnd w:id="84"/>
      <w:bookmarkEnd w:id="85"/>
    </w:p>
    <w:p w14:paraId="363CDEC9" w14:textId="77777777" w:rsidR="00CE2DB6" w:rsidRDefault="00CE2DB6" w:rsidP="00CE2DB6">
      <w:pPr>
        <w:pStyle w:val="BodyText"/>
      </w:pPr>
      <w:r w:rsidRPr="01678B86">
        <w:t xml:space="preserve">Procurement can be a key enabler of equal access. Whether the digital good or service is created in-house, purchased ‘off the shelf’, or a hybrid combination, it must deliver equal access of use. </w:t>
      </w:r>
    </w:p>
    <w:p w14:paraId="583B9438" w14:textId="77777777" w:rsidR="00CE2DB6" w:rsidRDefault="00CE2DB6" w:rsidP="00CE2DB6">
      <w:pPr>
        <w:pStyle w:val="BodyText"/>
      </w:pPr>
      <w:r w:rsidRPr="01678B86">
        <w:t>Governments around the world recognise this and are striving to achieve their social and economic objectives by ensuring the goods and services purchased are accessible by design, where possible, so that people with disability can use them without adaptation. Many private sector organisations are also recognising the importance of a diversified workplace – accessible ICT supports this.</w:t>
      </w:r>
    </w:p>
    <w:p w14:paraId="00B201F6" w14:textId="1112A4DB" w:rsidR="00CE2DB6" w:rsidRDefault="00CE2DB6" w:rsidP="00CE2DB6">
      <w:pPr>
        <w:pStyle w:val="BodyText"/>
      </w:pPr>
      <w:r w:rsidRPr="01678B86">
        <w:t xml:space="preserve">The Australian Government’s </w:t>
      </w:r>
      <w:r w:rsidRPr="01678B86">
        <w:rPr>
          <w:i/>
          <w:iCs/>
        </w:rPr>
        <w:t xml:space="preserve">Commonwealth Procurement Rules </w:t>
      </w:r>
      <w:r w:rsidRPr="01678B86">
        <w:t xml:space="preserve">require considerations of any applicable Australian Standard. As a result, AS EN 301 </w:t>
      </w:r>
      <w:proofErr w:type="gramStart"/>
      <w:r w:rsidRPr="01678B86">
        <w:t>549,  Accessibility</w:t>
      </w:r>
      <w:proofErr w:type="gramEnd"/>
      <w:r w:rsidRPr="01678B86">
        <w:t xml:space="preserve"> requirements for ICT products and services, should be required for any ICT procurement. Examples of action taken by other governments include U.S. Federal Government’s Section 508</w:t>
      </w:r>
      <w:r w:rsidRPr="01678B86">
        <w:rPr>
          <w:rStyle w:val="EndnoteReference"/>
        </w:rPr>
        <w:endnoteReference w:id="28"/>
      </w:r>
      <w:r w:rsidRPr="01678B86">
        <w:t xml:space="preserve"> and in Europe the European Accessibility Directive</w:t>
      </w:r>
      <w:r w:rsidRPr="01678B86">
        <w:rPr>
          <w:rStyle w:val="EndnoteReference"/>
        </w:rPr>
        <w:endnoteReference w:id="29"/>
      </w:r>
      <w:r w:rsidRPr="01678B86">
        <w:t xml:space="preserve"> and</w:t>
      </w:r>
      <w:hyperlink r:id="rId38" w:history="1">
        <w:r w:rsidRPr="01678B86">
          <w:t xml:space="preserve"> </w:t>
        </w:r>
      </w:hyperlink>
      <w:r w:rsidRPr="01678B86">
        <w:t xml:space="preserve">European Accessibility Act.  </w:t>
      </w:r>
    </w:p>
    <w:p w14:paraId="4801F722" w14:textId="77777777" w:rsidR="00CE2DB6" w:rsidRDefault="00CE2DB6" w:rsidP="00CE2DB6">
      <w:pPr>
        <w:pStyle w:val="BodyText"/>
        <w:keepNext/>
      </w:pPr>
      <w:r>
        <w:lastRenderedPageBreak/>
        <w:t>Comparison of these regulations highlights consistency of global expectations for:</w:t>
      </w:r>
    </w:p>
    <w:p w14:paraId="0E72B91C" w14:textId="77777777" w:rsidR="00CE2DB6" w:rsidRDefault="00CE2DB6" w:rsidP="00395D6B">
      <w:pPr>
        <w:pStyle w:val="Bullet"/>
      </w:pPr>
      <w:r>
        <w:t>vendors to deliver accessibility in their goods and services by default</w:t>
      </w:r>
    </w:p>
    <w:p w14:paraId="6234195F" w14:textId="77777777" w:rsidR="00CE2DB6" w:rsidRDefault="00CE2DB6" w:rsidP="00395D6B">
      <w:pPr>
        <w:pStyle w:val="Bullet"/>
      </w:pPr>
      <w:r w:rsidRPr="01678B86">
        <w:t>organisations procuring digital goods and services, to embed accessibility requirements in the procurement process.</w:t>
      </w:r>
    </w:p>
    <w:p w14:paraId="03BE462E" w14:textId="77777777" w:rsidR="00CE2DB6" w:rsidRDefault="00CE2DB6" w:rsidP="00490A8D">
      <w:pPr>
        <w:pStyle w:val="Heading3"/>
      </w:pPr>
      <w:bookmarkStart w:id="86" w:name="_Toc207951930"/>
      <w:r>
        <w:t>Benefits of accessible procurement</w:t>
      </w:r>
      <w:bookmarkEnd w:id="86"/>
    </w:p>
    <w:p w14:paraId="3596FF12" w14:textId="77777777" w:rsidR="00CE2DB6" w:rsidRDefault="00CE2DB6" w:rsidP="00CE2DB6">
      <w:pPr>
        <w:pStyle w:val="BodyText"/>
      </w:pPr>
      <w:r>
        <w:t>There are significant benefits of embedding accessibility in the procurement process, including:</w:t>
      </w:r>
    </w:p>
    <w:p w14:paraId="7CC41D64" w14:textId="77777777" w:rsidR="00CE2DB6" w:rsidRPr="00395D6B" w:rsidRDefault="00CE2DB6" w:rsidP="00395D6B">
      <w:pPr>
        <w:pStyle w:val="Bullet"/>
      </w:pPr>
      <w:r w:rsidRPr="00910D8C">
        <w:t xml:space="preserve">attracting the best </w:t>
      </w:r>
      <w:r w:rsidRPr="00395D6B">
        <w:t>possible talent from the widest possible field</w:t>
      </w:r>
    </w:p>
    <w:p w14:paraId="0AA88CF4" w14:textId="77777777" w:rsidR="00CE2DB6" w:rsidRPr="00395D6B" w:rsidRDefault="00CE2DB6" w:rsidP="00395D6B">
      <w:pPr>
        <w:pStyle w:val="Bullet"/>
      </w:pPr>
      <w:r w:rsidRPr="00395D6B">
        <w:t>retaining existing staff as their circumstances change with age, illness, or accident</w:t>
      </w:r>
    </w:p>
    <w:p w14:paraId="7F34176C" w14:textId="77777777" w:rsidR="00CE2DB6" w:rsidRPr="00395D6B" w:rsidRDefault="00CE2DB6" w:rsidP="00395D6B">
      <w:pPr>
        <w:pStyle w:val="Bullet"/>
      </w:pPr>
      <w:r w:rsidRPr="00395D6B">
        <w:t xml:space="preserve">minimising and removing barriers to engaging with the customers they wish to reach and serve </w:t>
      </w:r>
    </w:p>
    <w:p w14:paraId="0C737F93" w14:textId="77777777" w:rsidR="00CE2DB6" w:rsidRDefault="00CE2DB6" w:rsidP="00395D6B">
      <w:pPr>
        <w:pStyle w:val="Bullet"/>
      </w:pPr>
      <w:r w:rsidRPr="00395D6B">
        <w:t>managing risks through achieving compliance with obligations under relevant standards and</w:t>
      </w:r>
      <w:r>
        <w:t xml:space="preserve"> legislation.</w:t>
      </w:r>
    </w:p>
    <w:p w14:paraId="45F1EF43" w14:textId="77777777" w:rsidR="00CE2DB6" w:rsidRDefault="00CE2DB6" w:rsidP="00490A8D">
      <w:pPr>
        <w:pStyle w:val="Heading3"/>
      </w:pPr>
      <w:bookmarkStart w:id="87" w:name="_Toc827168927"/>
      <w:r>
        <w:t>Steps in accessible procurement</w:t>
      </w:r>
      <w:bookmarkEnd w:id="87"/>
    </w:p>
    <w:p w14:paraId="6D74B467" w14:textId="77777777" w:rsidR="00CE2DB6" w:rsidRDefault="00CE2DB6" w:rsidP="00CE2DB6">
      <w:pPr>
        <w:pStyle w:val="BodyText"/>
      </w:pPr>
      <w:r>
        <w:t>Organisations are encouraged to include an accessibility requirement as an integral element in all procurements of digital goods or services or when negotiating a renewal of an existing contract. This particularly applies to the procurement of any digital goods and services that have a user interface or control mechanism, as well as digital content. Accessibility requirements should be viewed and addressed at the same level and manner as privacy and security requirements in the procurement process.</w:t>
      </w:r>
    </w:p>
    <w:p w14:paraId="3139D62B" w14:textId="77777777" w:rsidR="00CE2DB6" w:rsidRPr="005E04A3" w:rsidRDefault="00CE2DB6" w:rsidP="00395D6B">
      <w:pPr>
        <w:pStyle w:val="Numberlist"/>
        <w:numPr>
          <w:ilvl w:val="0"/>
          <w:numId w:val="150"/>
        </w:numPr>
      </w:pPr>
      <w:r>
        <w:t xml:space="preserve">Successful </w:t>
      </w:r>
      <w:r w:rsidRPr="00395D6B">
        <w:t>procurement</w:t>
      </w:r>
      <w:r>
        <w:t xml:space="preserve"> processes for digital goods and services exhibit similar features such as: </w:t>
      </w:r>
    </w:p>
    <w:p w14:paraId="12DA081D" w14:textId="77777777" w:rsidR="00CE2DB6" w:rsidRPr="007C29C8" w:rsidRDefault="00CE2DB6" w:rsidP="00395D6B">
      <w:pPr>
        <w:pStyle w:val="Bullet"/>
        <w:numPr>
          <w:ilvl w:val="1"/>
          <w:numId w:val="148"/>
        </w:numPr>
        <w:rPr>
          <w:rStyle w:val="Hyperlink"/>
        </w:rPr>
      </w:pPr>
      <w:r>
        <w:lastRenderedPageBreak/>
        <w:t xml:space="preserve">including accessibility requirements in Requests for Quote/Purchase (RFQ/P) that reflect the </w:t>
      </w:r>
      <w:r w:rsidRPr="00C30086">
        <w:t>function performance statements</w:t>
      </w:r>
      <w:r>
        <w:t xml:space="preserve"> in AS EN 301 549. These statements are outlined in </w:t>
      </w:r>
      <w:r w:rsidRPr="00C30086">
        <w:t>how equal access is defined</w:t>
      </w:r>
    </w:p>
    <w:p w14:paraId="517607DE" w14:textId="77777777" w:rsidR="00CE2DB6" w:rsidRPr="007C29C8" w:rsidRDefault="00CE2DB6" w:rsidP="00395D6B">
      <w:pPr>
        <w:pStyle w:val="Bullet"/>
        <w:numPr>
          <w:ilvl w:val="1"/>
          <w:numId w:val="148"/>
        </w:numPr>
      </w:pPr>
      <w:r w:rsidRPr="00C30086">
        <w:t>collect</w:t>
      </w:r>
      <w:r>
        <w:t>ing</w:t>
      </w:r>
      <w:r w:rsidRPr="00C30086">
        <w:t xml:space="preserve"> and compar</w:t>
      </w:r>
      <w:r>
        <w:t>ing</w:t>
      </w:r>
      <w:r w:rsidRPr="00C30086">
        <w:t xml:space="preserve"> verifiable evidence</w:t>
      </w:r>
      <w:r w:rsidRPr="007C29C8">
        <w:t xml:space="preserve"> about how the digital good or service meets requirements</w:t>
      </w:r>
    </w:p>
    <w:p w14:paraId="3818A67E" w14:textId="77777777" w:rsidR="00CE2DB6" w:rsidRPr="007C29C8" w:rsidRDefault="00CE2DB6" w:rsidP="00395D6B">
      <w:pPr>
        <w:pStyle w:val="Bullet"/>
        <w:numPr>
          <w:ilvl w:val="1"/>
          <w:numId w:val="148"/>
        </w:numPr>
      </w:pPr>
      <w:r w:rsidRPr="01678B86">
        <w:t>removing digital goods or services from the selection process that fail to meet core accessibility requirements. (Similar to removing goods or services that fail to deliver core cybersecurity requirements)</w:t>
      </w:r>
    </w:p>
    <w:p w14:paraId="24B7F742" w14:textId="77777777" w:rsidR="00CE2DB6" w:rsidRDefault="00CE2DB6" w:rsidP="00395D6B">
      <w:pPr>
        <w:pStyle w:val="Bullet"/>
        <w:numPr>
          <w:ilvl w:val="1"/>
          <w:numId w:val="148"/>
        </w:numPr>
      </w:pPr>
      <w:r w:rsidRPr="01678B86">
        <w:t>allocating a weighting or level of importance to accessibility as part of the overall procurement process</w:t>
      </w:r>
    </w:p>
    <w:p w14:paraId="40955D64" w14:textId="77777777" w:rsidR="00CE2DB6" w:rsidRDefault="00CE2DB6" w:rsidP="00395D6B">
      <w:pPr>
        <w:pStyle w:val="Bullet"/>
        <w:numPr>
          <w:ilvl w:val="1"/>
          <w:numId w:val="148"/>
        </w:numPr>
      </w:pPr>
      <w:r>
        <w:t>including end users in the procurement decision making process.</w:t>
      </w:r>
    </w:p>
    <w:p w14:paraId="3D2CAAEE" w14:textId="3D510AEB" w:rsidR="00CE2DB6" w:rsidRDefault="00CE2DB6" w:rsidP="00395D6B">
      <w:pPr>
        <w:pStyle w:val="Bullet"/>
        <w:numPr>
          <w:ilvl w:val="1"/>
          <w:numId w:val="148"/>
        </w:numPr>
      </w:pPr>
      <w:r w:rsidRPr="01678B86">
        <w:t xml:space="preserve">ensuring buyers are aware of their rights under </w:t>
      </w:r>
      <w:hyperlink r:id="rId39" w:tooltip="Australian Consumer law">
        <w:r w:rsidRPr="01678B86">
          <w:rPr>
            <w:rStyle w:val="Hyperlink"/>
          </w:rPr>
          <w:t>Australian Consumer law</w:t>
        </w:r>
      </w:hyperlink>
      <w:r w:rsidRPr="01678B86">
        <w:t xml:space="preserve"> and more broadly, the</w:t>
      </w:r>
      <w:r w:rsidR="00651907">
        <w:t xml:space="preserve"> </w:t>
      </w:r>
      <w:r w:rsidR="00651907" w:rsidRPr="00651907">
        <w:rPr>
          <w:i/>
          <w:iCs/>
        </w:rPr>
        <w:t xml:space="preserve">Competition and Consumer Act 2010 </w:t>
      </w:r>
      <w:r w:rsidR="00651907" w:rsidRPr="00651907">
        <w:t>(</w:t>
      </w:r>
      <w:proofErr w:type="spellStart"/>
      <w:r w:rsidR="00651907" w:rsidRPr="00651907">
        <w:t>Cth</w:t>
      </w:r>
      <w:proofErr w:type="spellEnd"/>
      <w:r w:rsidR="00651907" w:rsidRPr="00651907">
        <w:t>)</w:t>
      </w:r>
      <w:r w:rsidR="00651907">
        <w:t xml:space="preserve"> </w:t>
      </w:r>
      <w:r w:rsidRPr="01678B86">
        <w:t xml:space="preserve">related to goods and services that are either not of acceptable quality, fail to match the provided description, or unfit for purpose. </w:t>
      </w:r>
    </w:p>
    <w:p w14:paraId="75A651FC" w14:textId="77777777" w:rsidR="00CE2DB6" w:rsidRDefault="00CE2DB6" w:rsidP="00395D6B">
      <w:pPr>
        <w:pStyle w:val="Numberlist"/>
      </w:pPr>
      <w:r>
        <w:t>In some situations, the procurement process may identify that none of the digital goods or services being assessed meet all function performance statements from AS EN 301 549. In these situations, a remediation procurement process could be implemented.  This involves:</w:t>
      </w:r>
    </w:p>
    <w:p w14:paraId="08A43579" w14:textId="77777777" w:rsidR="00CE2DB6" w:rsidRPr="006C1FB9" w:rsidRDefault="00CE2DB6" w:rsidP="006C1FB9">
      <w:pPr>
        <w:pStyle w:val="Bullet"/>
        <w:numPr>
          <w:ilvl w:val="1"/>
          <w:numId w:val="148"/>
        </w:numPr>
      </w:pPr>
      <w:r>
        <w:t xml:space="preserve">holding discussions with </w:t>
      </w:r>
      <w:r w:rsidRPr="006C1FB9">
        <w:t>preferred vendors about their roadmap to address the accessibility gaps in the digital good or service.</w:t>
      </w:r>
    </w:p>
    <w:p w14:paraId="1EA41F6D" w14:textId="77777777" w:rsidR="00CE2DB6" w:rsidRPr="006C1FB9" w:rsidRDefault="00CE2DB6" w:rsidP="006C1FB9">
      <w:pPr>
        <w:pStyle w:val="Bullet"/>
        <w:numPr>
          <w:ilvl w:val="1"/>
          <w:numId w:val="148"/>
        </w:numPr>
      </w:pPr>
      <w:r w:rsidRPr="006C1FB9">
        <w:t>identifying a vendor who agrees to resolve the accessibility gaps in their product within agreed timeframes.</w:t>
      </w:r>
    </w:p>
    <w:p w14:paraId="1956627B" w14:textId="77777777" w:rsidR="00CE2DB6" w:rsidRDefault="00CE2DB6" w:rsidP="006C1FB9">
      <w:pPr>
        <w:pStyle w:val="Bullet"/>
        <w:numPr>
          <w:ilvl w:val="1"/>
          <w:numId w:val="148"/>
        </w:numPr>
      </w:pPr>
      <w:r w:rsidRPr="006C1FB9">
        <w:t>implementing a phased paym</w:t>
      </w:r>
      <w:r>
        <w:t>ent schedule where payments are linked to delivery of the missing agreed accessibility features. This approach is like progress payments in the construction industry.</w:t>
      </w:r>
    </w:p>
    <w:p w14:paraId="220CBFE8" w14:textId="77777777" w:rsidR="00CE2DB6" w:rsidRPr="00B41C16" w:rsidRDefault="00CE2DB6" w:rsidP="00CE2DB6">
      <w:pPr>
        <w:pStyle w:val="ListNumber"/>
        <w:numPr>
          <w:ilvl w:val="0"/>
          <w:numId w:val="0"/>
        </w:numPr>
      </w:pPr>
      <w:r>
        <w:lastRenderedPageBreak/>
        <w:t>Major professional bodies and not-for-profits around the world including Australia provide advice on accessible procurement. Some examples include:</w:t>
      </w:r>
    </w:p>
    <w:p w14:paraId="5E2AFC19" w14:textId="77777777" w:rsidR="00CE2DB6" w:rsidRPr="00AA5587" w:rsidRDefault="00CE2DB6" w:rsidP="00AA5587">
      <w:pPr>
        <w:pStyle w:val="Bullet"/>
      </w:pPr>
      <w:r w:rsidRPr="00AA5587">
        <w:t xml:space="preserve">CAUDIT’s </w:t>
      </w:r>
      <w:hyperlink r:id="rId40" w:history="1">
        <w:r w:rsidRPr="00AA5587">
          <w:rPr>
            <w:rStyle w:val="Hyperlink"/>
            <w:color w:val="auto"/>
            <w:u w:val="none"/>
          </w:rPr>
          <w:t>accessible ICT procurement implementation guide</w:t>
        </w:r>
      </w:hyperlink>
      <w:r w:rsidRPr="00AA5587">
        <w:t>. Whilst the guide was originally designed for use in higher education, the guide is highly relevant and applicable to any organisation undertaking ICT procurement</w:t>
      </w:r>
    </w:p>
    <w:p w14:paraId="32163C99" w14:textId="77777777" w:rsidR="00CE2DB6" w:rsidRPr="00AA5587" w:rsidRDefault="00CE2DB6" w:rsidP="00AA5587">
      <w:pPr>
        <w:pStyle w:val="Bullet"/>
        <w:rPr>
          <w:rStyle w:val="Hyperlink"/>
          <w:color w:val="auto"/>
          <w:u w:val="none"/>
        </w:rPr>
      </w:pPr>
      <w:r w:rsidRPr="00AA5587">
        <w:rPr>
          <w:rStyle w:val="Hyperlink"/>
          <w:color w:val="auto"/>
          <w:u w:val="none"/>
        </w:rPr>
        <w:t xml:space="preserve">University of Melbourne’s </w:t>
      </w:r>
      <w:hyperlink r:id="rId41" w:history="1">
        <w:r w:rsidRPr="00AA5587">
          <w:rPr>
            <w:rStyle w:val="Hyperlink"/>
            <w:color w:val="auto"/>
            <w:u w:val="none"/>
          </w:rPr>
          <w:t>Project management – Procurement resource</w:t>
        </w:r>
      </w:hyperlink>
    </w:p>
    <w:p w14:paraId="1A1F9A8B" w14:textId="77777777" w:rsidR="00CE2DB6" w:rsidRPr="00AA5587" w:rsidRDefault="00CE2DB6" w:rsidP="00AA5587">
      <w:pPr>
        <w:pStyle w:val="Bullet"/>
        <w:rPr>
          <w:rStyle w:val="Hyperlink"/>
          <w:color w:val="auto"/>
          <w:u w:val="none"/>
        </w:rPr>
      </w:pPr>
      <w:r w:rsidRPr="00AA5587">
        <w:rPr>
          <w:rStyle w:val="Hyperlink"/>
          <w:color w:val="auto"/>
          <w:u w:val="none"/>
        </w:rPr>
        <w:t xml:space="preserve">Australian Disability Network’s </w:t>
      </w:r>
      <w:hyperlink r:id="rId42" w:history="1">
        <w:r w:rsidRPr="00AA5587">
          <w:rPr>
            <w:rStyle w:val="Hyperlink"/>
            <w:color w:val="auto"/>
            <w:u w:val="none"/>
          </w:rPr>
          <w:t>Procurement resource</w:t>
        </w:r>
      </w:hyperlink>
    </w:p>
    <w:p w14:paraId="49787B9F" w14:textId="77777777" w:rsidR="00CE2DB6" w:rsidRPr="00AA5587" w:rsidRDefault="00CE2DB6" w:rsidP="00AA5587">
      <w:pPr>
        <w:pStyle w:val="Bullet"/>
      </w:pPr>
      <w:r w:rsidRPr="00AA5587">
        <w:rPr>
          <w:rStyle w:val="Hyperlink"/>
          <w:color w:val="auto"/>
          <w:u w:val="none"/>
        </w:rPr>
        <w:t xml:space="preserve">NSW Government’s </w:t>
      </w:r>
      <w:hyperlink r:id="rId43" w:history="1">
        <w:r w:rsidRPr="00AA5587">
          <w:rPr>
            <w:rStyle w:val="Hyperlink"/>
            <w:color w:val="auto"/>
            <w:u w:val="none"/>
          </w:rPr>
          <w:t>Buying accessible digital products and services everyone can use</w:t>
        </w:r>
      </w:hyperlink>
    </w:p>
    <w:p w14:paraId="2E2B5449" w14:textId="77777777" w:rsidR="00CE2DB6" w:rsidRPr="00AA5587" w:rsidRDefault="00CE2DB6" w:rsidP="00AA5587">
      <w:pPr>
        <w:pStyle w:val="Bullet"/>
        <w:rPr>
          <w:rStyle w:val="Hyperlink"/>
          <w:color w:val="auto"/>
          <w:u w:val="none"/>
        </w:rPr>
      </w:pPr>
      <w:r w:rsidRPr="00AA5587">
        <w:t xml:space="preserve">G3ict’s </w:t>
      </w:r>
      <w:hyperlink r:id="rId44" w:history="1">
        <w:r w:rsidRPr="00AA5587">
          <w:rPr>
            <w:rStyle w:val="Hyperlink"/>
            <w:color w:val="auto"/>
            <w:u w:val="none"/>
          </w:rPr>
          <w:t>Buy ICT 4 All Portal</w:t>
        </w:r>
      </w:hyperlink>
    </w:p>
    <w:p w14:paraId="4F4D3FF9" w14:textId="77777777" w:rsidR="00CE2DB6" w:rsidRPr="00AA5587" w:rsidRDefault="00CE2DB6" w:rsidP="00AA5587">
      <w:pPr>
        <w:pStyle w:val="Bullet"/>
      </w:pPr>
      <w:proofErr w:type="spellStart"/>
      <w:proofErr w:type="gramStart"/>
      <w:r w:rsidRPr="00AA5587">
        <w:t>Disability:IN’s</w:t>
      </w:r>
      <w:proofErr w:type="spellEnd"/>
      <w:proofErr w:type="gramEnd"/>
      <w:r w:rsidRPr="00AA5587">
        <w:t xml:space="preserve"> </w:t>
      </w:r>
      <w:hyperlink r:id="rId45">
        <w:r w:rsidRPr="00AA5587">
          <w:rPr>
            <w:rStyle w:val="Hyperlink"/>
            <w:color w:val="auto"/>
            <w:u w:val="none"/>
          </w:rPr>
          <w:t xml:space="preserve">Accessible Procurement Toolkit </w:t>
        </w:r>
      </w:hyperlink>
      <w:r w:rsidRPr="00AA5587">
        <w:t>.</w:t>
      </w:r>
    </w:p>
    <w:p w14:paraId="619C09EC" w14:textId="77777777" w:rsidR="00CE2DB6" w:rsidRPr="00E236C3" w:rsidRDefault="00CE2DB6" w:rsidP="00CE2DB6">
      <w:pPr>
        <w:pStyle w:val="BodyText"/>
      </w:pPr>
      <w:r>
        <w:t xml:space="preserve">Some digital accessibility consultancies can provide accessible procurement support and advice. </w:t>
      </w:r>
    </w:p>
    <w:p w14:paraId="3A35941A" w14:textId="77777777" w:rsidR="00CE2DB6" w:rsidRDefault="00CE2DB6" w:rsidP="00490A8D">
      <w:pPr>
        <w:pStyle w:val="Heading2"/>
      </w:pPr>
      <w:bookmarkStart w:id="88" w:name="_Toc168414623"/>
      <w:bookmarkStart w:id="89" w:name="_Toc1131826937"/>
      <w:bookmarkStart w:id="90" w:name="_Toc194569658"/>
      <w:r>
        <w:t>Accessibility and risk management</w:t>
      </w:r>
      <w:bookmarkEnd w:id="88"/>
      <w:bookmarkEnd w:id="89"/>
      <w:bookmarkEnd w:id="90"/>
    </w:p>
    <w:p w14:paraId="347F7C78" w14:textId="77777777" w:rsidR="00CE2DB6" w:rsidRPr="00E236C3" w:rsidRDefault="00CE2DB6" w:rsidP="00CE2DB6">
      <w:pPr>
        <w:pStyle w:val="BodyText"/>
      </w:pPr>
      <w:r>
        <w:t>Inaccessible ICT is a systemic problem which can be approached by applying the principles of risk management.</w:t>
      </w:r>
    </w:p>
    <w:p w14:paraId="19D6C4F6" w14:textId="77777777" w:rsidR="00CE2DB6" w:rsidRDefault="00CE2DB6" w:rsidP="00CE2DB6">
      <w:pPr>
        <w:pStyle w:val="BodyText"/>
      </w:pPr>
      <w:r w:rsidRPr="01678B86">
        <w:t>AS ISO 31000:2018 ‘Risk management – guidelines’ outlines an organisational approach to dealing with risk. It breaks down risk assessment into a series of steps such as risk identification, analysis, evaluation and treatment. The language and principles of risk management can usually be understood by everyone across an organisation, regardless of whether they have subject matter expertise in accessibility.</w:t>
      </w:r>
    </w:p>
    <w:p w14:paraId="5F4EE223" w14:textId="77777777" w:rsidR="00CE2DB6" w:rsidRPr="00692784" w:rsidRDefault="00CE2DB6" w:rsidP="00490A8D">
      <w:pPr>
        <w:pStyle w:val="Heading3"/>
      </w:pPr>
      <w:bookmarkStart w:id="91" w:name="_Toc521030571"/>
      <w:r w:rsidRPr="00692784">
        <w:lastRenderedPageBreak/>
        <w:t>Essential governance questions for leaders</w:t>
      </w:r>
      <w:bookmarkEnd w:id="91"/>
    </w:p>
    <w:p w14:paraId="70465192" w14:textId="77777777" w:rsidR="00CE2DB6" w:rsidRPr="0058107C" w:rsidRDefault="00CE2DB6" w:rsidP="00CE2DB6">
      <w:pPr>
        <w:pStyle w:val="BodyText"/>
      </w:pPr>
      <w:r w:rsidRPr="01678B86">
        <w:t xml:space="preserve">An essential element of risk management is leaders knowing that they have systems and processes in place to deliver on obligations such as accessibility and knowing that they are </w:t>
      </w:r>
      <w:proofErr w:type="gramStart"/>
      <w:r w:rsidRPr="01678B86">
        <w:t>actually working</w:t>
      </w:r>
      <w:proofErr w:type="gramEnd"/>
      <w:r w:rsidRPr="01678B86">
        <w:t>. Implementing a consistent governance framework is critical. The essence of good governance can be distilled to three fundamental questions.</w:t>
      </w:r>
    </w:p>
    <w:p w14:paraId="54B44DB7" w14:textId="77777777" w:rsidR="00CE2DB6" w:rsidRDefault="00CE2DB6" w:rsidP="00C123CA">
      <w:pPr>
        <w:pStyle w:val="Numberlist"/>
        <w:numPr>
          <w:ilvl w:val="0"/>
          <w:numId w:val="151"/>
        </w:numPr>
      </w:pPr>
      <w:r>
        <w:t xml:space="preserve"> What does ‘good’ (success) look like?</w:t>
      </w:r>
    </w:p>
    <w:p w14:paraId="2416531A" w14:textId="77777777" w:rsidR="00CE2DB6" w:rsidRDefault="00CE2DB6" w:rsidP="00C123CA">
      <w:pPr>
        <w:pStyle w:val="Numberlist"/>
      </w:pPr>
      <w:r>
        <w:t>What systems and processes are in place to consistently deliver ‘good’?</w:t>
      </w:r>
    </w:p>
    <w:p w14:paraId="077EDC53" w14:textId="77777777" w:rsidR="00CE2DB6" w:rsidRPr="00E236C3" w:rsidRDefault="00CE2DB6" w:rsidP="00C123CA">
      <w:pPr>
        <w:pStyle w:val="Numberlist"/>
      </w:pPr>
      <w:r>
        <w:t>How do you know those systems and processes are working? (What metrics do you have?)</w:t>
      </w:r>
    </w:p>
    <w:p w14:paraId="28D70165" w14:textId="77777777" w:rsidR="00CE2DB6" w:rsidRPr="00257F06" w:rsidRDefault="00CE2DB6" w:rsidP="00490A8D">
      <w:pPr>
        <w:pStyle w:val="Heading3"/>
      </w:pPr>
      <w:bookmarkStart w:id="92" w:name="_Toc168414624"/>
      <w:bookmarkStart w:id="93" w:name="_Toc1677306991"/>
      <w:r w:rsidRPr="00257F06">
        <w:t>Context</w:t>
      </w:r>
      <w:bookmarkEnd w:id="92"/>
      <w:bookmarkEnd w:id="93"/>
    </w:p>
    <w:p w14:paraId="5B5D3DBB" w14:textId="77777777" w:rsidR="00CE2DB6" w:rsidRPr="00E236C3" w:rsidRDefault="00CE2DB6" w:rsidP="00CE2DB6">
      <w:pPr>
        <w:pStyle w:val="BodyText"/>
      </w:pPr>
      <w:r>
        <w:t>A good first step in the risk management process is to consider what are the organisation’s key activities and audiences. For an airline, that would be getting passengers safely from A to B. For a bank, that might be allowing customers to deposit, withdraw and transfer funds. For a university it might be teaching, learning and research.</w:t>
      </w:r>
    </w:p>
    <w:p w14:paraId="2316180F" w14:textId="77777777" w:rsidR="00CE2DB6" w:rsidRDefault="00CE2DB6" w:rsidP="00490A8D">
      <w:pPr>
        <w:pStyle w:val="Heading3"/>
      </w:pPr>
      <w:bookmarkStart w:id="94" w:name="_Toc168414625"/>
      <w:bookmarkStart w:id="95" w:name="_Toc2024221016"/>
      <w:r>
        <w:t>Risk Assessment</w:t>
      </w:r>
      <w:bookmarkEnd w:id="94"/>
      <w:bookmarkEnd w:id="95"/>
    </w:p>
    <w:p w14:paraId="21A5CB39" w14:textId="77777777" w:rsidR="00CE2DB6" w:rsidRDefault="00CE2DB6" w:rsidP="00CE2DB6">
      <w:r w:rsidRPr="01678B86">
        <w:t>Risk assessment involves identifying, analysing and evaluating risk.</w:t>
      </w:r>
    </w:p>
    <w:p w14:paraId="70720007" w14:textId="77777777" w:rsidR="00CE2DB6" w:rsidRPr="007A02E3" w:rsidRDefault="00CE2DB6" w:rsidP="00490A8D">
      <w:pPr>
        <w:pStyle w:val="Heading4numbered"/>
      </w:pPr>
      <w:r w:rsidRPr="007A02E3">
        <w:t xml:space="preserve">Risk </w:t>
      </w:r>
      <w:r w:rsidRPr="00C91E9C">
        <w:t>Identification</w:t>
      </w:r>
    </w:p>
    <w:p w14:paraId="607800D4" w14:textId="77777777" w:rsidR="00CE2DB6" w:rsidRPr="007A02E3" w:rsidRDefault="00CE2DB6" w:rsidP="00C91E9C">
      <w:pPr>
        <w:pStyle w:val="Bullet"/>
      </w:pPr>
      <w:r w:rsidRPr="01678B86">
        <w:t>Risk identification involves finding and describing risks that might prevent an organisation achieving its objectives. In the case of ICT, one basic objective is that everyone can access the products and services on offer.</w:t>
      </w:r>
    </w:p>
    <w:p w14:paraId="76C4C19E" w14:textId="0AED2945" w:rsidR="00CE2DB6" w:rsidRPr="007A02E3" w:rsidRDefault="00CE2DB6" w:rsidP="00C91E9C">
      <w:pPr>
        <w:pStyle w:val="Bullet"/>
      </w:pPr>
      <w:r w:rsidRPr="01678B86">
        <w:lastRenderedPageBreak/>
        <w:t xml:space="preserve">Accessibility risks can be identified during procurement by including questions regarding the accessibility of the product, the vendors accessibility capacity and </w:t>
      </w:r>
      <w:proofErr w:type="gramStart"/>
      <w:r w:rsidRPr="01678B86">
        <w:t>future plans</w:t>
      </w:r>
      <w:proofErr w:type="gramEnd"/>
      <w:r w:rsidRPr="01678B86">
        <w:t xml:space="preserve"> in the request for proposal or quote (RFP or/ RFQ). You can seek to obtain a copy of any accessibility audits which have been conducted, often in the form of an Accessibility Conformance Report (ACR)</w:t>
      </w:r>
      <w:r w:rsidR="00717A7D">
        <w:t>.</w:t>
      </w:r>
    </w:p>
    <w:p w14:paraId="7544CD38" w14:textId="77777777" w:rsidR="00CE2DB6" w:rsidRPr="003E502E" w:rsidRDefault="00CE2DB6" w:rsidP="00C91E9C">
      <w:pPr>
        <w:pStyle w:val="Bullet"/>
      </w:pPr>
      <w:r w:rsidRPr="01678B86">
        <w:t>In addition, questions can be asked regarding the vendors processes for testing, logging and remediating accessibility defects, together with their timeline for compliance.</w:t>
      </w:r>
    </w:p>
    <w:p w14:paraId="6B81E33D" w14:textId="77777777" w:rsidR="00CE2DB6" w:rsidRPr="003E502E" w:rsidRDefault="00CE2DB6" w:rsidP="00490A8D">
      <w:pPr>
        <w:pStyle w:val="Heading4numbered"/>
      </w:pPr>
      <w:r w:rsidRPr="007A02E3">
        <w:t xml:space="preserve">Risk analysis </w:t>
      </w:r>
    </w:p>
    <w:p w14:paraId="70F78BC6" w14:textId="77777777" w:rsidR="00CE2DB6" w:rsidRPr="003E502E" w:rsidRDefault="00CE2DB6" w:rsidP="00C91E9C">
      <w:pPr>
        <w:pStyle w:val="Bullet"/>
      </w:pPr>
      <w:r w:rsidRPr="01678B86">
        <w:t xml:space="preserve">Having obtained information from vendors, responses should be reviewed to establish what level of confidence the organisation or business can have in their ability to deliver an accessible product or fix outstanding defects. </w:t>
      </w:r>
    </w:p>
    <w:p w14:paraId="63BA2B6E" w14:textId="77777777" w:rsidR="00CE2DB6" w:rsidRPr="003E502E" w:rsidRDefault="00CE2DB6" w:rsidP="00C91E9C">
      <w:pPr>
        <w:pStyle w:val="Bullet"/>
      </w:pPr>
      <w:r w:rsidRPr="5B959DC1">
        <w:t>An accessibility audit could be conducted, using a standard version of the system or undertake some usability testing with people with disability.</w:t>
      </w:r>
    </w:p>
    <w:p w14:paraId="78210894" w14:textId="77777777" w:rsidR="00CE2DB6" w:rsidRPr="003E502E" w:rsidRDefault="00CE2DB6" w:rsidP="00490A8D">
      <w:pPr>
        <w:pStyle w:val="Heading4numbered"/>
      </w:pPr>
      <w:r w:rsidRPr="007A02E3">
        <w:t xml:space="preserve">Risk evaluation </w:t>
      </w:r>
    </w:p>
    <w:p w14:paraId="26530C01" w14:textId="7D6EB677" w:rsidR="004700A3" w:rsidRDefault="00CE2DB6" w:rsidP="00C91E9C">
      <w:pPr>
        <w:pStyle w:val="Bullet"/>
      </w:pPr>
      <w:r w:rsidRPr="5B959DC1">
        <w:t xml:space="preserve"> The information provided by the vendor and in the analysis should </w:t>
      </w:r>
      <w:r>
        <w:t>inform decision making and recommendations for next steps.</w:t>
      </w:r>
      <w:r w:rsidR="004700A3">
        <w:br w:type="page"/>
      </w:r>
    </w:p>
    <w:p w14:paraId="5B004E1D" w14:textId="49ABBAA0" w:rsidR="00CE2DB6" w:rsidRPr="00A47FCD" w:rsidRDefault="00CE2DB6" w:rsidP="00717A7D">
      <w:pPr>
        <w:pStyle w:val="Caption"/>
      </w:pPr>
      <w:r w:rsidRPr="007A02E3">
        <w:lastRenderedPageBreak/>
        <w:t xml:space="preserve">Table </w:t>
      </w:r>
      <w:fldSimple w:instr=" SEQ Table \* ARABIC ">
        <w:r>
          <w:rPr>
            <w:noProof/>
          </w:rPr>
          <w:t>2</w:t>
        </w:r>
      </w:fldSimple>
      <w:r w:rsidRPr="007A02E3">
        <w:t xml:space="preserve"> </w:t>
      </w:r>
      <w:r>
        <w:t>Risk Assessment Stages</w:t>
      </w:r>
    </w:p>
    <w:tbl>
      <w:tblPr>
        <w:tblStyle w:val="TableGrid"/>
        <w:tblW w:w="9776" w:type="dxa"/>
        <w:tblLayout w:type="fixed"/>
        <w:tblLook w:val="04A0" w:firstRow="1" w:lastRow="0" w:firstColumn="1" w:lastColumn="0" w:noHBand="0" w:noVBand="1"/>
      </w:tblPr>
      <w:tblGrid>
        <w:gridCol w:w="1926"/>
        <w:gridCol w:w="1927"/>
        <w:gridCol w:w="1927"/>
        <w:gridCol w:w="1927"/>
        <w:gridCol w:w="2069"/>
      </w:tblGrid>
      <w:tr w:rsidR="004700A3" w14:paraId="4D8D2C49" w14:textId="77777777" w:rsidTr="004221A4">
        <w:trPr>
          <w:trHeight w:val="1145"/>
          <w:tblHeader/>
        </w:trPr>
        <w:tc>
          <w:tcPr>
            <w:tcW w:w="1926" w:type="dxa"/>
            <w:shd w:val="clear" w:color="auto" w:fill="1B587C" w:themeFill="accent3"/>
          </w:tcPr>
          <w:p w14:paraId="35C1A0E0" w14:textId="77777777" w:rsidR="00CE2DB6" w:rsidRPr="004700A3" w:rsidRDefault="00CE2DB6" w:rsidP="00A40336">
            <w:pPr>
              <w:rPr>
                <w:rFonts w:asciiTheme="minorHAnsi" w:hAnsiTheme="minorHAnsi" w:cstheme="minorHAnsi"/>
                <w:b/>
                <w:bCs/>
                <w:color w:val="FFFFFF" w:themeColor="background1"/>
              </w:rPr>
            </w:pPr>
            <w:r w:rsidRPr="004700A3">
              <w:rPr>
                <w:rFonts w:cstheme="minorHAnsi"/>
                <w:b/>
                <w:bCs/>
                <w:color w:val="FFFFFF" w:themeColor="background1"/>
              </w:rPr>
              <w:t>Establish Context</w:t>
            </w:r>
          </w:p>
        </w:tc>
        <w:tc>
          <w:tcPr>
            <w:tcW w:w="1927" w:type="dxa"/>
            <w:shd w:val="clear" w:color="auto" w:fill="1B587C" w:themeFill="accent3"/>
          </w:tcPr>
          <w:p w14:paraId="60459241" w14:textId="77777777" w:rsidR="00CE2DB6" w:rsidRPr="004700A3" w:rsidRDefault="00CE2DB6" w:rsidP="00A40336">
            <w:pPr>
              <w:rPr>
                <w:rFonts w:asciiTheme="minorHAnsi" w:hAnsiTheme="minorHAnsi" w:cstheme="minorHAnsi"/>
                <w:b/>
                <w:bCs/>
                <w:color w:val="FFFFFF" w:themeColor="background1"/>
              </w:rPr>
            </w:pPr>
            <w:r w:rsidRPr="004700A3">
              <w:rPr>
                <w:rFonts w:cstheme="minorHAnsi"/>
                <w:b/>
                <w:bCs/>
                <w:color w:val="FFFFFF" w:themeColor="background1"/>
              </w:rPr>
              <w:t>Risk Identification</w:t>
            </w:r>
          </w:p>
        </w:tc>
        <w:tc>
          <w:tcPr>
            <w:tcW w:w="1927" w:type="dxa"/>
            <w:shd w:val="clear" w:color="auto" w:fill="1B587C" w:themeFill="accent3"/>
          </w:tcPr>
          <w:p w14:paraId="6808C27E" w14:textId="746C5BAE" w:rsidR="00CE2DB6" w:rsidRPr="004700A3" w:rsidRDefault="00CE2DB6" w:rsidP="00A40336">
            <w:pPr>
              <w:rPr>
                <w:rFonts w:asciiTheme="minorHAnsi" w:hAnsiTheme="minorHAnsi" w:cstheme="minorHAnsi"/>
                <w:b/>
                <w:bCs/>
                <w:color w:val="FFFFFF" w:themeColor="background1"/>
              </w:rPr>
            </w:pPr>
            <w:r w:rsidRPr="004700A3">
              <w:rPr>
                <w:rFonts w:cstheme="minorHAnsi"/>
                <w:b/>
                <w:bCs/>
                <w:color w:val="FFFFFF" w:themeColor="background1"/>
              </w:rPr>
              <w:t xml:space="preserve">Risk </w:t>
            </w:r>
            <w:r w:rsidR="004700A3">
              <w:rPr>
                <w:rFonts w:cstheme="minorHAnsi"/>
                <w:b/>
                <w:bCs/>
                <w:color w:val="FFFFFF" w:themeColor="background1"/>
              </w:rPr>
              <w:br/>
            </w:r>
            <w:r w:rsidRPr="004700A3">
              <w:rPr>
                <w:rFonts w:cstheme="minorHAnsi"/>
                <w:b/>
                <w:bCs/>
                <w:color w:val="FFFFFF" w:themeColor="background1"/>
              </w:rPr>
              <w:t>Analysis</w:t>
            </w:r>
          </w:p>
        </w:tc>
        <w:tc>
          <w:tcPr>
            <w:tcW w:w="1927" w:type="dxa"/>
            <w:shd w:val="clear" w:color="auto" w:fill="1B587C" w:themeFill="accent3"/>
          </w:tcPr>
          <w:p w14:paraId="331A57C8" w14:textId="77777777" w:rsidR="00CE2DB6" w:rsidRPr="004700A3" w:rsidRDefault="00CE2DB6" w:rsidP="00A40336">
            <w:pPr>
              <w:rPr>
                <w:rFonts w:asciiTheme="minorHAnsi" w:hAnsiTheme="minorHAnsi" w:cstheme="minorHAnsi"/>
                <w:b/>
                <w:bCs/>
                <w:color w:val="FFFFFF" w:themeColor="background1"/>
              </w:rPr>
            </w:pPr>
            <w:r w:rsidRPr="004700A3">
              <w:rPr>
                <w:rFonts w:cstheme="minorHAnsi"/>
                <w:b/>
                <w:bCs/>
                <w:color w:val="FFFFFF" w:themeColor="background1"/>
              </w:rPr>
              <w:t>Risk Evaluation</w:t>
            </w:r>
          </w:p>
        </w:tc>
        <w:tc>
          <w:tcPr>
            <w:tcW w:w="2069" w:type="dxa"/>
            <w:shd w:val="clear" w:color="auto" w:fill="1B587C" w:themeFill="accent3"/>
          </w:tcPr>
          <w:p w14:paraId="14A65EBD" w14:textId="72C364D3" w:rsidR="00CE2DB6" w:rsidRPr="004700A3" w:rsidRDefault="00CE2DB6" w:rsidP="00A40336">
            <w:pPr>
              <w:rPr>
                <w:rFonts w:asciiTheme="minorHAnsi" w:hAnsiTheme="minorHAnsi" w:cstheme="minorHAnsi"/>
                <w:b/>
                <w:bCs/>
                <w:color w:val="FFFFFF" w:themeColor="background1"/>
              </w:rPr>
            </w:pPr>
            <w:r w:rsidRPr="004700A3">
              <w:rPr>
                <w:rFonts w:cstheme="minorHAnsi"/>
                <w:b/>
                <w:bCs/>
                <w:color w:val="FFFFFF" w:themeColor="background1"/>
              </w:rPr>
              <w:t xml:space="preserve">Risk </w:t>
            </w:r>
            <w:r w:rsidR="004700A3">
              <w:rPr>
                <w:rFonts w:cstheme="minorHAnsi"/>
                <w:b/>
                <w:bCs/>
                <w:color w:val="FFFFFF" w:themeColor="background1"/>
              </w:rPr>
              <w:br/>
            </w:r>
            <w:r w:rsidRPr="004700A3">
              <w:rPr>
                <w:rFonts w:cstheme="minorHAnsi"/>
                <w:b/>
                <w:bCs/>
                <w:color w:val="FFFFFF" w:themeColor="background1"/>
              </w:rPr>
              <w:t>Treatment</w:t>
            </w:r>
          </w:p>
        </w:tc>
      </w:tr>
      <w:tr w:rsidR="004700A3" w14:paraId="581F51C5" w14:textId="77777777" w:rsidTr="004700A3">
        <w:tc>
          <w:tcPr>
            <w:tcW w:w="1926" w:type="dxa"/>
          </w:tcPr>
          <w:p w14:paraId="3BE8CC21" w14:textId="77777777" w:rsidR="00CE2DB6" w:rsidRPr="004700A3" w:rsidRDefault="00CE2DB6" w:rsidP="004700A3">
            <w:pPr>
              <w:pStyle w:val="Tablebullet"/>
              <w:rPr>
                <w:sz w:val="22"/>
                <w:szCs w:val="22"/>
              </w:rPr>
            </w:pPr>
            <w:r w:rsidRPr="004700A3">
              <w:rPr>
                <w:sz w:val="22"/>
                <w:szCs w:val="22"/>
              </w:rPr>
              <w:t>Project Budget</w:t>
            </w:r>
          </w:p>
          <w:p w14:paraId="6CEBDF22" w14:textId="2E980620" w:rsidR="00CE2DB6" w:rsidRPr="004700A3" w:rsidRDefault="00CE2DB6" w:rsidP="004700A3">
            <w:pPr>
              <w:pStyle w:val="Tablebullet"/>
              <w:rPr>
                <w:sz w:val="22"/>
                <w:szCs w:val="22"/>
              </w:rPr>
            </w:pPr>
            <w:r w:rsidRPr="004700A3">
              <w:rPr>
                <w:sz w:val="22"/>
                <w:szCs w:val="22"/>
              </w:rPr>
              <w:t xml:space="preserve">Number </w:t>
            </w:r>
            <w:r w:rsidR="004700A3" w:rsidRPr="004700A3">
              <w:rPr>
                <w:sz w:val="22"/>
                <w:szCs w:val="22"/>
              </w:rPr>
              <w:br/>
            </w:r>
            <w:r w:rsidRPr="004700A3">
              <w:rPr>
                <w:sz w:val="22"/>
                <w:szCs w:val="22"/>
              </w:rPr>
              <w:t>of users</w:t>
            </w:r>
          </w:p>
          <w:p w14:paraId="2FDC10B1" w14:textId="77777777" w:rsidR="00CE2DB6" w:rsidRPr="004700A3" w:rsidRDefault="00CE2DB6" w:rsidP="004700A3">
            <w:pPr>
              <w:pStyle w:val="Tablebullet"/>
              <w:rPr>
                <w:sz w:val="22"/>
                <w:szCs w:val="22"/>
              </w:rPr>
            </w:pPr>
            <w:r w:rsidRPr="004700A3">
              <w:rPr>
                <w:sz w:val="22"/>
                <w:szCs w:val="22"/>
              </w:rPr>
              <w:t>Frequency of use</w:t>
            </w:r>
          </w:p>
          <w:p w14:paraId="4913CAF6" w14:textId="15B80461" w:rsidR="00CE2DB6" w:rsidRPr="004700A3" w:rsidRDefault="00CE2DB6" w:rsidP="004700A3">
            <w:pPr>
              <w:pStyle w:val="Tablebullet"/>
              <w:rPr>
                <w:sz w:val="22"/>
                <w:szCs w:val="22"/>
              </w:rPr>
            </w:pPr>
            <w:r w:rsidRPr="004700A3">
              <w:rPr>
                <w:sz w:val="22"/>
                <w:szCs w:val="22"/>
              </w:rPr>
              <w:t>Market Scan</w:t>
            </w:r>
          </w:p>
        </w:tc>
        <w:tc>
          <w:tcPr>
            <w:tcW w:w="1927" w:type="dxa"/>
          </w:tcPr>
          <w:p w14:paraId="175E1BC2" w14:textId="77777777" w:rsidR="00CE2DB6" w:rsidRPr="004700A3" w:rsidRDefault="00CE2DB6" w:rsidP="004700A3">
            <w:pPr>
              <w:pStyle w:val="Tablebullet"/>
              <w:rPr>
                <w:rFonts w:asciiTheme="minorHAnsi" w:hAnsiTheme="minorHAnsi"/>
                <w:sz w:val="22"/>
                <w:szCs w:val="22"/>
              </w:rPr>
            </w:pPr>
            <w:r w:rsidRPr="004700A3">
              <w:rPr>
                <w:sz w:val="22"/>
                <w:szCs w:val="22"/>
              </w:rPr>
              <w:t>RFP Questions</w:t>
            </w:r>
          </w:p>
          <w:p w14:paraId="105B9388" w14:textId="77777777" w:rsidR="00CE2DB6" w:rsidRPr="004700A3" w:rsidRDefault="00CE2DB6" w:rsidP="004700A3">
            <w:pPr>
              <w:pStyle w:val="Tablebullet"/>
              <w:rPr>
                <w:rFonts w:asciiTheme="minorHAnsi" w:hAnsiTheme="minorHAnsi"/>
                <w:sz w:val="22"/>
                <w:szCs w:val="22"/>
              </w:rPr>
            </w:pPr>
            <w:r w:rsidRPr="004700A3">
              <w:rPr>
                <w:sz w:val="22"/>
                <w:szCs w:val="22"/>
              </w:rPr>
              <w:t>Accessibility Conformance Report (based on a VPAT)</w:t>
            </w:r>
          </w:p>
          <w:p w14:paraId="243788C6" w14:textId="77777777" w:rsidR="00CE2DB6" w:rsidRPr="004700A3" w:rsidRDefault="00CE2DB6" w:rsidP="004700A3">
            <w:pPr>
              <w:pStyle w:val="Tablebullet"/>
              <w:rPr>
                <w:rFonts w:asciiTheme="minorHAnsi" w:hAnsiTheme="minorHAnsi"/>
                <w:sz w:val="22"/>
                <w:szCs w:val="22"/>
              </w:rPr>
            </w:pPr>
            <w:r w:rsidRPr="004700A3">
              <w:rPr>
                <w:sz w:val="22"/>
                <w:szCs w:val="22"/>
              </w:rPr>
              <w:t>Automated Testing</w:t>
            </w:r>
          </w:p>
        </w:tc>
        <w:tc>
          <w:tcPr>
            <w:tcW w:w="1927" w:type="dxa"/>
          </w:tcPr>
          <w:p w14:paraId="0186C889" w14:textId="77777777" w:rsidR="00CE2DB6" w:rsidRPr="004700A3" w:rsidRDefault="00CE2DB6" w:rsidP="004700A3">
            <w:pPr>
              <w:pStyle w:val="Tablebullet"/>
              <w:rPr>
                <w:rFonts w:asciiTheme="minorHAnsi" w:hAnsiTheme="minorHAnsi"/>
                <w:sz w:val="22"/>
                <w:szCs w:val="22"/>
              </w:rPr>
            </w:pPr>
            <w:r w:rsidRPr="004700A3">
              <w:rPr>
                <w:sz w:val="22"/>
                <w:szCs w:val="22"/>
              </w:rPr>
              <w:t>Review RFP Responses</w:t>
            </w:r>
          </w:p>
          <w:p w14:paraId="2AC7D084" w14:textId="77777777" w:rsidR="00CE2DB6" w:rsidRPr="004700A3" w:rsidRDefault="00CE2DB6" w:rsidP="004700A3">
            <w:pPr>
              <w:pStyle w:val="Tablebullet"/>
              <w:rPr>
                <w:rFonts w:asciiTheme="minorHAnsi" w:hAnsiTheme="minorHAnsi"/>
                <w:sz w:val="22"/>
                <w:szCs w:val="22"/>
              </w:rPr>
            </w:pPr>
            <w:r w:rsidRPr="004700A3">
              <w:rPr>
                <w:sz w:val="22"/>
                <w:szCs w:val="22"/>
              </w:rPr>
              <w:t>Review Conformance Report</w:t>
            </w:r>
          </w:p>
          <w:p w14:paraId="4E9719E4" w14:textId="77777777" w:rsidR="00CE2DB6" w:rsidRPr="004700A3" w:rsidRDefault="00CE2DB6" w:rsidP="004700A3">
            <w:pPr>
              <w:pStyle w:val="Tablebullet"/>
              <w:rPr>
                <w:rFonts w:asciiTheme="minorHAnsi" w:hAnsiTheme="minorHAnsi"/>
                <w:sz w:val="22"/>
                <w:szCs w:val="22"/>
              </w:rPr>
            </w:pPr>
            <w:r w:rsidRPr="004700A3">
              <w:rPr>
                <w:sz w:val="22"/>
                <w:szCs w:val="22"/>
              </w:rPr>
              <w:t>Accessibility Audit</w:t>
            </w:r>
          </w:p>
          <w:p w14:paraId="15C91F2D" w14:textId="77777777" w:rsidR="00CE2DB6" w:rsidRPr="004700A3" w:rsidRDefault="00CE2DB6" w:rsidP="004700A3">
            <w:pPr>
              <w:pStyle w:val="Tablebullet"/>
              <w:rPr>
                <w:rFonts w:asciiTheme="minorHAnsi" w:hAnsiTheme="minorHAnsi"/>
                <w:sz w:val="22"/>
                <w:szCs w:val="22"/>
              </w:rPr>
            </w:pPr>
            <w:r w:rsidRPr="004700A3">
              <w:rPr>
                <w:sz w:val="22"/>
                <w:szCs w:val="22"/>
              </w:rPr>
              <w:t>User Testing</w:t>
            </w:r>
          </w:p>
        </w:tc>
        <w:tc>
          <w:tcPr>
            <w:tcW w:w="1927" w:type="dxa"/>
          </w:tcPr>
          <w:p w14:paraId="5FBDCD53" w14:textId="77777777" w:rsidR="00CE2DB6" w:rsidRPr="004700A3" w:rsidRDefault="00CE2DB6" w:rsidP="004700A3">
            <w:pPr>
              <w:pStyle w:val="Tablebullet"/>
              <w:rPr>
                <w:rFonts w:asciiTheme="minorHAnsi" w:hAnsiTheme="minorHAnsi"/>
                <w:sz w:val="22"/>
                <w:szCs w:val="22"/>
              </w:rPr>
            </w:pPr>
            <w:r w:rsidRPr="004700A3">
              <w:rPr>
                <w:sz w:val="22"/>
                <w:szCs w:val="22"/>
              </w:rPr>
              <w:t>Report and Recommend</w:t>
            </w:r>
          </w:p>
          <w:p w14:paraId="0F7ACA0A" w14:textId="77777777" w:rsidR="00CE2DB6" w:rsidRPr="004700A3" w:rsidRDefault="00CE2DB6" w:rsidP="004700A3">
            <w:pPr>
              <w:pStyle w:val="Tablebullet"/>
              <w:rPr>
                <w:rFonts w:asciiTheme="minorHAnsi" w:hAnsiTheme="minorHAnsi"/>
                <w:sz w:val="22"/>
                <w:szCs w:val="22"/>
              </w:rPr>
            </w:pPr>
            <w:r w:rsidRPr="004700A3">
              <w:rPr>
                <w:sz w:val="22"/>
                <w:szCs w:val="22"/>
              </w:rPr>
              <w:t>Project Steering Committee</w:t>
            </w:r>
          </w:p>
        </w:tc>
        <w:tc>
          <w:tcPr>
            <w:tcW w:w="2069" w:type="dxa"/>
          </w:tcPr>
          <w:p w14:paraId="74A58FC9" w14:textId="77777777" w:rsidR="00CE2DB6" w:rsidRPr="004700A3" w:rsidRDefault="00CE2DB6" w:rsidP="004700A3">
            <w:pPr>
              <w:pStyle w:val="Tablebullet"/>
              <w:rPr>
                <w:rFonts w:asciiTheme="minorHAnsi" w:hAnsiTheme="minorHAnsi"/>
                <w:sz w:val="22"/>
                <w:szCs w:val="22"/>
              </w:rPr>
            </w:pPr>
            <w:r w:rsidRPr="004700A3">
              <w:rPr>
                <w:sz w:val="22"/>
                <w:szCs w:val="22"/>
              </w:rPr>
              <w:t>Avoid Risk</w:t>
            </w:r>
          </w:p>
          <w:p w14:paraId="0E8A0E07" w14:textId="77777777" w:rsidR="00CE2DB6" w:rsidRPr="004700A3" w:rsidRDefault="00CE2DB6" w:rsidP="004700A3">
            <w:pPr>
              <w:pStyle w:val="Tablebullet"/>
              <w:rPr>
                <w:rFonts w:asciiTheme="minorHAnsi" w:hAnsiTheme="minorHAnsi"/>
                <w:sz w:val="22"/>
                <w:szCs w:val="22"/>
              </w:rPr>
            </w:pPr>
            <w:r w:rsidRPr="004700A3">
              <w:rPr>
                <w:sz w:val="22"/>
                <w:szCs w:val="22"/>
              </w:rPr>
              <w:t>Share Risk</w:t>
            </w:r>
          </w:p>
          <w:p w14:paraId="6148EDB2" w14:textId="77777777" w:rsidR="00CE2DB6" w:rsidRPr="004700A3" w:rsidRDefault="00CE2DB6" w:rsidP="004700A3">
            <w:pPr>
              <w:pStyle w:val="Tablebullet"/>
              <w:rPr>
                <w:rFonts w:asciiTheme="minorHAnsi" w:hAnsiTheme="minorHAnsi"/>
                <w:sz w:val="22"/>
                <w:szCs w:val="22"/>
              </w:rPr>
            </w:pPr>
            <w:r w:rsidRPr="004700A3">
              <w:rPr>
                <w:sz w:val="22"/>
                <w:szCs w:val="22"/>
              </w:rPr>
              <w:t>Remove Risk Source</w:t>
            </w:r>
          </w:p>
          <w:p w14:paraId="45D3A69F" w14:textId="77777777" w:rsidR="00CE2DB6" w:rsidRPr="004700A3" w:rsidRDefault="00CE2DB6" w:rsidP="004700A3">
            <w:pPr>
              <w:pStyle w:val="Tablebullet"/>
              <w:rPr>
                <w:rFonts w:asciiTheme="minorHAnsi" w:hAnsiTheme="minorHAnsi"/>
                <w:sz w:val="22"/>
                <w:szCs w:val="22"/>
              </w:rPr>
            </w:pPr>
            <w:r w:rsidRPr="004700A3">
              <w:rPr>
                <w:sz w:val="22"/>
                <w:szCs w:val="22"/>
              </w:rPr>
              <w:t>Change Consequences</w:t>
            </w:r>
          </w:p>
          <w:p w14:paraId="63ABFD3F" w14:textId="77777777" w:rsidR="00CE2DB6" w:rsidRPr="004700A3" w:rsidRDefault="00CE2DB6" w:rsidP="004700A3">
            <w:pPr>
              <w:pStyle w:val="Tablebullet"/>
              <w:rPr>
                <w:rFonts w:asciiTheme="minorHAnsi" w:hAnsiTheme="minorHAnsi"/>
                <w:sz w:val="22"/>
                <w:szCs w:val="22"/>
              </w:rPr>
            </w:pPr>
            <w:r w:rsidRPr="004700A3">
              <w:rPr>
                <w:sz w:val="22"/>
                <w:szCs w:val="22"/>
              </w:rPr>
              <w:t>Retain Risk</w:t>
            </w:r>
          </w:p>
        </w:tc>
      </w:tr>
    </w:tbl>
    <w:p w14:paraId="05965A13" w14:textId="77777777" w:rsidR="00CE2DB6" w:rsidRDefault="00CE2DB6" w:rsidP="00490A8D">
      <w:pPr>
        <w:pStyle w:val="Heading3"/>
      </w:pPr>
      <w:bookmarkStart w:id="96" w:name="_Toc168414626"/>
      <w:bookmarkStart w:id="97" w:name="_Toc757488674"/>
      <w:r>
        <w:t>Risk Treatment</w:t>
      </w:r>
      <w:bookmarkEnd w:id="96"/>
      <w:bookmarkEnd w:id="97"/>
    </w:p>
    <w:p w14:paraId="740A2F8A" w14:textId="77777777" w:rsidR="00CE2DB6" w:rsidRDefault="00CE2DB6" w:rsidP="00CE2DB6">
      <w:r>
        <w:t>It is common for software products to have accessibility defects, and there are a range of approaches to treating risks.</w:t>
      </w:r>
    </w:p>
    <w:p w14:paraId="6D13335A" w14:textId="77777777" w:rsidR="00014886" w:rsidRDefault="00CE2DB6" w:rsidP="00490A8D">
      <w:pPr>
        <w:pStyle w:val="Heading4numbered"/>
        <w:numPr>
          <w:ilvl w:val="0"/>
          <w:numId w:val="153"/>
        </w:numPr>
      </w:pPr>
      <w:r w:rsidRPr="004035B6">
        <w:t>Avoid risk</w:t>
      </w:r>
      <w:r>
        <w:t xml:space="preserve"> </w:t>
      </w:r>
    </w:p>
    <w:p w14:paraId="45CEBA84" w14:textId="745E9F53" w:rsidR="00CE2DB6" w:rsidRPr="003E502E" w:rsidRDefault="00CE2DB6" w:rsidP="007C15A8">
      <w:r>
        <w:t xml:space="preserve">An </w:t>
      </w:r>
      <w:r w:rsidRPr="007A02E3">
        <w:t>organisation can simply refuse to accept any products or services with accessibility defects</w:t>
      </w:r>
      <w:r>
        <w:t>, b</w:t>
      </w:r>
      <w:r w:rsidRPr="007A02E3">
        <w:t xml:space="preserve">ut </w:t>
      </w:r>
      <w:r>
        <w:t xml:space="preserve">it should be recognised that </w:t>
      </w:r>
      <w:r w:rsidRPr="007A02E3">
        <w:t>very few products have no defects.</w:t>
      </w:r>
    </w:p>
    <w:p w14:paraId="7DF69E23" w14:textId="77777777" w:rsidR="00014886" w:rsidRDefault="00CE2DB6" w:rsidP="00490A8D">
      <w:pPr>
        <w:pStyle w:val="Heading4numbered"/>
      </w:pPr>
      <w:r w:rsidRPr="01678B86">
        <w:t xml:space="preserve">Share risk </w:t>
      </w:r>
    </w:p>
    <w:p w14:paraId="26D63DAF" w14:textId="3EB9EE45" w:rsidR="00CE2DB6" w:rsidRPr="007A02E3" w:rsidRDefault="00CE2DB6" w:rsidP="007C15A8">
      <w:r w:rsidRPr="01678B86">
        <w:t>Organisations could include accessibility clauses to the contract with product vendors. Some vendors will be reluctant to make guarantees in relation to accessibility. That should serve as a warning, especially if it contradicts the RFP response regarding accessibility.</w:t>
      </w:r>
    </w:p>
    <w:p w14:paraId="6DBDF65A" w14:textId="77777777" w:rsidR="00014886" w:rsidRPr="00014886" w:rsidRDefault="00CE2DB6" w:rsidP="00490A8D">
      <w:pPr>
        <w:pStyle w:val="Heading4numbered"/>
      </w:pPr>
      <w:r w:rsidRPr="004035B6">
        <w:lastRenderedPageBreak/>
        <w:t>Remove risk source</w:t>
      </w:r>
      <w:r>
        <w:t xml:space="preserve"> </w:t>
      </w:r>
    </w:p>
    <w:p w14:paraId="0409335A" w14:textId="7EA07BE5" w:rsidR="00CE2DB6" w:rsidRPr="007A02E3" w:rsidRDefault="00CE2DB6" w:rsidP="007C15A8">
      <w:r w:rsidRPr="007A02E3">
        <w:t>Organisations may choose to fix the defects in the application, for example by customisation</w:t>
      </w:r>
      <w:r>
        <w:t>, o</w:t>
      </w:r>
      <w:r w:rsidRPr="007A02E3">
        <w:t xml:space="preserve">r they might mitigate the defects, for example by creating guidelines for </w:t>
      </w:r>
      <w:r>
        <w:t xml:space="preserve">web </w:t>
      </w:r>
      <w:r w:rsidRPr="007A02E3">
        <w:t>publishers that minimi</w:t>
      </w:r>
      <w:r>
        <w:t>s</w:t>
      </w:r>
      <w:r w:rsidRPr="007A02E3">
        <w:t>e defects.</w:t>
      </w:r>
    </w:p>
    <w:p w14:paraId="2EC8742A" w14:textId="77777777" w:rsidR="00014886" w:rsidRPr="007C15A8" w:rsidRDefault="00CE2DB6" w:rsidP="00490A8D">
      <w:pPr>
        <w:pStyle w:val="Heading4numbered"/>
      </w:pPr>
      <w:r w:rsidRPr="007C15A8">
        <w:t xml:space="preserve">Change consequences  </w:t>
      </w:r>
    </w:p>
    <w:p w14:paraId="7003AFD3" w14:textId="51CFDFC5" w:rsidR="00CE2DB6" w:rsidRPr="007A02E3" w:rsidRDefault="00CE2DB6" w:rsidP="007C15A8">
      <w:r w:rsidRPr="01678B86">
        <w:t>Access can be provided to individuals via alternate access, or a ‘Plan B’. This might involve producing an Alternate Access Plan which details what will happen when someone is unable to access the system. Adapting to meet the needs of individuals is a reasonable adjustment.</w:t>
      </w:r>
    </w:p>
    <w:p w14:paraId="5656A7B0" w14:textId="77777777" w:rsidR="00014886" w:rsidRPr="007C15A8" w:rsidRDefault="00CE2DB6" w:rsidP="00490A8D">
      <w:pPr>
        <w:pStyle w:val="Heading4numbered"/>
      </w:pPr>
      <w:r w:rsidRPr="007C15A8">
        <w:t xml:space="preserve">Retain risk </w:t>
      </w:r>
    </w:p>
    <w:p w14:paraId="3855DC85" w14:textId="50F99F2D" w:rsidR="00F043D3" w:rsidRDefault="00CE2DB6" w:rsidP="007C15A8">
      <w:r w:rsidRPr="01678B86">
        <w:t>Retaining risk involves deciding that accessibility defects can’t be fixed or waiting for future fixes. Vendor claims that they are working towards accessibility compliance should be accompanied by a remediation roadmap with specific dates. Where risk has been retained, it can be recorded in an accessibility risk register</w:t>
      </w:r>
      <w:r w:rsidR="00F043D3">
        <w:t>.</w:t>
      </w:r>
    </w:p>
    <w:p w14:paraId="5BE88DAB" w14:textId="3CFC2B8B" w:rsidR="009D572C" w:rsidRDefault="00CE2DB6" w:rsidP="009D572C">
      <w:pPr>
        <w:pStyle w:val="Caption"/>
      </w:pPr>
      <w:r w:rsidRPr="007A02E3">
        <w:t xml:space="preserve">Table </w:t>
      </w:r>
      <w:fldSimple w:instr=" SEQ Table \* ARABIC ">
        <w:r>
          <w:rPr>
            <w:noProof/>
          </w:rPr>
          <w:t>2</w:t>
        </w:r>
      </w:fldSimple>
      <w:r w:rsidRPr="007A02E3">
        <w:t xml:space="preserve"> </w:t>
      </w:r>
      <w:r>
        <w:t>Risk Treatment Options</w:t>
      </w:r>
    </w:p>
    <w:tbl>
      <w:tblPr>
        <w:tblStyle w:val="TableGrid"/>
        <w:tblW w:w="9776" w:type="dxa"/>
        <w:tblLayout w:type="fixed"/>
        <w:tblLook w:val="04A0" w:firstRow="1" w:lastRow="0" w:firstColumn="1" w:lastColumn="0" w:noHBand="0" w:noVBand="1"/>
      </w:tblPr>
      <w:tblGrid>
        <w:gridCol w:w="1696"/>
        <w:gridCol w:w="1701"/>
        <w:gridCol w:w="2268"/>
        <w:gridCol w:w="2042"/>
        <w:gridCol w:w="2069"/>
      </w:tblGrid>
      <w:tr w:rsidR="009D572C" w14:paraId="7001BD39" w14:textId="77777777" w:rsidTr="009D572C">
        <w:trPr>
          <w:trHeight w:val="1145"/>
          <w:tblHeader/>
        </w:trPr>
        <w:tc>
          <w:tcPr>
            <w:tcW w:w="1696" w:type="dxa"/>
            <w:shd w:val="clear" w:color="auto" w:fill="1B587C" w:themeFill="accent3"/>
          </w:tcPr>
          <w:p w14:paraId="6CD4F8C4" w14:textId="01E716F8" w:rsidR="009D572C" w:rsidRPr="009D572C" w:rsidRDefault="009D572C" w:rsidP="009D572C">
            <w:pPr>
              <w:rPr>
                <w:rFonts w:asciiTheme="minorHAnsi" w:hAnsiTheme="minorHAnsi" w:cstheme="minorHAnsi"/>
                <w:b/>
                <w:bCs/>
                <w:color w:val="FFFFFF" w:themeColor="background1"/>
              </w:rPr>
            </w:pPr>
            <w:r w:rsidRPr="009D572C">
              <w:rPr>
                <w:b/>
                <w:bCs/>
                <w:color w:val="FFFFFF" w:themeColor="background1"/>
              </w:rPr>
              <w:t>Avoid Risk</w:t>
            </w:r>
          </w:p>
        </w:tc>
        <w:tc>
          <w:tcPr>
            <w:tcW w:w="1701" w:type="dxa"/>
            <w:shd w:val="clear" w:color="auto" w:fill="1B587C" w:themeFill="accent3"/>
          </w:tcPr>
          <w:p w14:paraId="415868DF" w14:textId="6737DC26" w:rsidR="009D572C" w:rsidRPr="009D572C" w:rsidRDefault="009D572C" w:rsidP="009D572C">
            <w:pPr>
              <w:rPr>
                <w:rFonts w:asciiTheme="minorHAnsi" w:hAnsiTheme="minorHAnsi" w:cstheme="minorHAnsi"/>
                <w:b/>
                <w:bCs/>
                <w:color w:val="FFFFFF" w:themeColor="background1"/>
              </w:rPr>
            </w:pPr>
            <w:r w:rsidRPr="009D572C">
              <w:rPr>
                <w:b/>
                <w:bCs/>
                <w:color w:val="FFFFFF" w:themeColor="background1"/>
              </w:rPr>
              <w:t>Share Risk</w:t>
            </w:r>
          </w:p>
        </w:tc>
        <w:tc>
          <w:tcPr>
            <w:tcW w:w="2268" w:type="dxa"/>
            <w:shd w:val="clear" w:color="auto" w:fill="1B587C" w:themeFill="accent3"/>
          </w:tcPr>
          <w:p w14:paraId="77BBFB9D" w14:textId="235D8678" w:rsidR="009D572C" w:rsidRPr="009D572C" w:rsidRDefault="009D572C" w:rsidP="009D572C">
            <w:pPr>
              <w:rPr>
                <w:rFonts w:asciiTheme="minorHAnsi" w:hAnsiTheme="minorHAnsi" w:cstheme="minorHAnsi"/>
                <w:b/>
                <w:bCs/>
                <w:color w:val="FFFFFF" w:themeColor="background1"/>
              </w:rPr>
            </w:pPr>
            <w:r w:rsidRPr="009D572C">
              <w:rPr>
                <w:b/>
                <w:bCs/>
                <w:color w:val="FFFFFF" w:themeColor="background1"/>
              </w:rPr>
              <w:t>Remove Risk Source</w:t>
            </w:r>
          </w:p>
        </w:tc>
        <w:tc>
          <w:tcPr>
            <w:tcW w:w="2042" w:type="dxa"/>
            <w:shd w:val="clear" w:color="auto" w:fill="1B587C" w:themeFill="accent3"/>
          </w:tcPr>
          <w:p w14:paraId="01B0B69E" w14:textId="329385D4" w:rsidR="009D572C" w:rsidRPr="009D572C" w:rsidRDefault="009D572C" w:rsidP="009D572C">
            <w:pPr>
              <w:rPr>
                <w:rFonts w:asciiTheme="minorHAnsi" w:hAnsiTheme="minorHAnsi" w:cstheme="minorHAnsi"/>
                <w:b/>
                <w:bCs/>
                <w:color w:val="FFFFFF" w:themeColor="background1"/>
              </w:rPr>
            </w:pPr>
            <w:r w:rsidRPr="009D572C">
              <w:rPr>
                <w:b/>
                <w:bCs/>
                <w:color w:val="FFFFFF" w:themeColor="background1"/>
              </w:rPr>
              <w:t xml:space="preserve">Change </w:t>
            </w:r>
            <w:r>
              <w:rPr>
                <w:b/>
                <w:bCs/>
                <w:color w:val="FFFFFF" w:themeColor="background1"/>
              </w:rPr>
              <w:br/>
            </w:r>
            <w:r w:rsidRPr="009D572C">
              <w:rPr>
                <w:b/>
                <w:bCs/>
                <w:color w:val="FFFFFF" w:themeColor="background1"/>
              </w:rPr>
              <w:t>Consequences</w:t>
            </w:r>
          </w:p>
        </w:tc>
        <w:tc>
          <w:tcPr>
            <w:tcW w:w="2069" w:type="dxa"/>
            <w:shd w:val="clear" w:color="auto" w:fill="1B587C" w:themeFill="accent3"/>
          </w:tcPr>
          <w:p w14:paraId="735A732F" w14:textId="6490865A" w:rsidR="009D572C" w:rsidRPr="009D572C" w:rsidRDefault="009D572C" w:rsidP="009D572C">
            <w:pPr>
              <w:rPr>
                <w:rFonts w:asciiTheme="minorHAnsi" w:hAnsiTheme="minorHAnsi" w:cstheme="minorHAnsi"/>
                <w:b/>
                <w:bCs/>
                <w:color w:val="FFFFFF" w:themeColor="background1"/>
              </w:rPr>
            </w:pPr>
            <w:r w:rsidRPr="009D572C">
              <w:rPr>
                <w:b/>
                <w:bCs/>
                <w:color w:val="FFFFFF" w:themeColor="background1"/>
              </w:rPr>
              <w:t>Retain Risk</w:t>
            </w:r>
          </w:p>
        </w:tc>
      </w:tr>
      <w:tr w:rsidR="009D572C" w14:paraId="64BBF301" w14:textId="77777777" w:rsidTr="009D572C">
        <w:tc>
          <w:tcPr>
            <w:tcW w:w="1696" w:type="dxa"/>
          </w:tcPr>
          <w:p w14:paraId="01560D52" w14:textId="2AC9877C" w:rsidR="009D572C" w:rsidRPr="004700A3" w:rsidRDefault="009D572C" w:rsidP="009D572C">
            <w:pPr>
              <w:rPr>
                <w:sz w:val="22"/>
                <w:szCs w:val="22"/>
              </w:rPr>
            </w:pPr>
            <w:r w:rsidRPr="00B034F2">
              <w:t>Don’t buy</w:t>
            </w:r>
          </w:p>
        </w:tc>
        <w:tc>
          <w:tcPr>
            <w:tcW w:w="1701" w:type="dxa"/>
          </w:tcPr>
          <w:p w14:paraId="15A304C9" w14:textId="5DD25199" w:rsidR="009D572C" w:rsidRPr="004700A3" w:rsidRDefault="009D572C" w:rsidP="009D572C">
            <w:pPr>
              <w:rPr>
                <w:rFonts w:asciiTheme="minorHAnsi" w:hAnsiTheme="minorHAnsi"/>
                <w:sz w:val="22"/>
                <w:szCs w:val="22"/>
              </w:rPr>
            </w:pPr>
            <w:r w:rsidRPr="00B034F2">
              <w:t xml:space="preserve">Add </w:t>
            </w:r>
            <w:r>
              <w:br/>
            </w:r>
            <w:r w:rsidRPr="00B034F2">
              <w:t>accessibility</w:t>
            </w:r>
            <w:r w:rsidR="00AA5587">
              <w:t xml:space="preserve"> </w:t>
            </w:r>
            <w:r w:rsidRPr="00B034F2">
              <w:t>clauses to contract</w:t>
            </w:r>
          </w:p>
        </w:tc>
        <w:tc>
          <w:tcPr>
            <w:tcW w:w="2268" w:type="dxa"/>
          </w:tcPr>
          <w:p w14:paraId="6AA11AED" w14:textId="77777777" w:rsidR="009D572C" w:rsidRPr="007A02E3" w:rsidRDefault="009D572C" w:rsidP="009D572C">
            <w:pPr>
              <w:pStyle w:val="Tablebullet"/>
              <w:rPr>
                <w:rFonts w:asciiTheme="minorHAnsi" w:hAnsiTheme="minorHAnsi"/>
              </w:rPr>
            </w:pPr>
            <w:r w:rsidRPr="00864C3E">
              <w:t>Fix defects</w:t>
            </w:r>
          </w:p>
          <w:p w14:paraId="4192E48B" w14:textId="77777777" w:rsidR="009D572C" w:rsidRPr="007A02E3" w:rsidRDefault="009D572C" w:rsidP="009D572C">
            <w:pPr>
              <w:pStyle w:val="Tablebullet"/>
              <w:rPr>
                <w:rFonts w:asciiTheme="minorHAnsi" w:hAnsiTheme="minorHAnsi"/>
              </w:rPr>
            </w:pPr>
            <w:r w:rsidRPr="00864C3E">
              <w:t>Customisation</w:t>
            </w:r>
          </w:p>
          <w:p w14:paraId="0C6E747D" w14:textId="3B56784C" w:rsidR="009D572C" w:rsidRPr="004700A3" w:rsidRDefault="009D572C" w:rsidP="009D572C">
            <w:pPr>
              <w:pStyle w:val="Tablebullet"/>
              <w:rPr>
                <w:rFonts w:asciiTheme="minorHAnsi" w:hAnsiTheme="minorHAnsi"/>
                <w:sz w:val="22"/>
                <w:szCs w:val="22"/>
              </w:rPr>
            </w:pPr>
            <w:r w:rsidRPr="00864C3E">
              <w:t>Mitigate defects</w:t>
            </w:r>
          </w:p>
        </w:tc>
        <w:tc>
          <w:tcPr>
            <w:tcW w:w="2042" w:type="dxa"/>
          </w:tcPr>
          <w:p w14:paraId="7CE00263" w14:textId="0909439F" w:rsidR="009D572C" w:rsidRPr="004700A3" w:rsidRDefault="009D572C" w:rsidP="009D572C">
            <w:pPr>
              <w:rPr>
                <w:rFonts w:asciiTheme="minorHAnsi" w:hAnsiTheme="minorHAnsi"/>
                <w:sz w:val="22"/>
                <w:szCs w:val="22"/>
              </w:rPr>
            </w:pPr>
            <w:r w:rsidRPr="00864C3E">
              <w:rPr>
                <w:rFonts w:cstheme="minorHAnsi"/>
              </w:rPr>
              <w:t>Provide reasonable accommodation via alternate access</w:t>
            </w:r>
          </w:p>
        </w:tc>
        <w:tc>
          <w:tcPr>
            <w:tcW w:w="2069" w:type="dxa"/>
          </w:tcPr>
          <w:p w14:paraId="46EE3FA7" w14:textId="77777777" w:rsidR="009D572C" w:rsidRPr="007A02E3" w:rsidRDefault="009D572C" w:rsidP="009D572C">
            <w:pPr>
              <w:pStyle w:val="Tablebullet"/>
              <w:rPr>
                <w:rFonts w:asciiTheme="minorHAnsi" w:hAnsiTheme="minorHAnsi"/>
              </w:rPr>
            </w:pPr>
            <w:r w:rsidRPr="01678B86">
              <w:t>Can’t fix.</w:t>
            </w:r>
          </w:p>
          <w:p w14:paraId="3D0CC202" w14:textId="77777777" w:rsidR="009D572C" w:rsidRPr="00785616" w:rsidRDefault="009D572C" w:rsidP="009D572C">
            <w:pPr>
              <w:pStyle w:val="Tablebullet"/>
              <w:rPr>
                <w:rFonts w:cstheme="minorHAnsi"/>
              </w:rPr>
            </w:pPr>
            <w:r w:rsidRPr="00864C3E">
              <w:rPr>
                <w:rFonts w:cstheme="minorHAnsi"/>
              </w:rPr>
              <w:t>Remediation roadmap</w:t>
            </w:r>
          </w:p>
          <w:p w14:paraId="0EB8DB26" w14:textId="2D7BA67D" w:rsidR="009D572C" w:rsidRPr="004700A3" w:rsidRDefault="009D572C" w:rsidP="009D572C">
            <w:pPr>
              <w:pStyle w:val="Tablebullet"/>
              <w:rPr>
                <w:rFonts w:asciiTheme="minorHAnsi" w:hAnsiTheme="minorHAnsi"/>
                <w:sz w:val="22"/>
                <w:szCs w:val="22"/>
              </w:rPr>
            </w:pPr>
            <w:r w:rsidRPr="00785616">
              <w:rPr>
                <w:rFonts w:cstheme="minorHAnsi"/>
              </w:rPr>
              <w:t>Accessibility Risk Register</w:t>
            </w:r>
          </w:p>
        </w:tc>
      </w:tr>
    </w:tbl>
    <w:p w14:paraId="5768AF38" w14:textId="77777777" w:rsidR="00CE2DB6" w:rsidRDefault="00CE2DB6" w:rsidP="00490A8D">
      <w:pPr>
        <w:pStyle w:val="Heading3"/>
      </w:pPr>
      <w:bookmarkStart w:id="98" w:name="_Toc168414627"/>
      <w:bookmarkStart w:id="99" w:name="_Toc1419919468"/>
      <w:r>
        <w:lastRenderedPageBreak/>
        <w:t>Monitoring and Review</w:t>
      </w:r>
      <w:bookmarkEnd w:id="98"/>
      <w:bookmarkEnd w:id="99"/>
    </w:p>
    <w:p w14:paraId="6616E5F9" w14:textId="77777777" w:rsidR="00CE2DB6" w:rsidRPr="00E236C3" w:rsidRDefault="00CE2DB6" w:rsidP="00CE2DB6">
      <w:pPr>
        <w:pStyle w:val="BodyText"/>
      </w:pPr>
      <w:r w:rsidRPr="01678B86">
        <w:t>An accessibility risk register can assist with monitoring, planning, gathering information, recording and communicating accessibility risks. Ideally, accessibility risks should form part of an organisations overall risk treatment and audit activities.</w:t>
      </w:r>
    </w:p>
    <w:p w14:paraId="178175E6" w14:textId="77777777" w:rsidR="00CE2DB6" w:rsidRPr="00CC422C" w:rsidRDefault="00CE2DB6" w:rsidP="00490A8D">
      <w:pPr>
        <w:pStyle w:val="Heading3"/>
      </w:pPr>
      <w:bookmarkStart w:id="100" w:name="_Toc168414628"/>
      <w:bookmarkStart w:id="101" w:name="_Toc1170079725"/>
      <w:r>
        <w:t>Accessibility and contracts</w:t>
      </w:r>
      <w:bookmarkEnd w:id="100"/>
      <w:bookmarkEnd w:id="101"/>
    </w:p>
    <w:p w14:paraId="5C94B65E" w14:textId="77777777" w:rsidR="00CE2DB6" w:rsidRDefault="00CE2DB6" w:rsidP="00CE2DB6">
      <w:pPr>
        <w:pStyle w:val="BodyText"/>
      </w:pPr>
      <w:r w:rsidRPr="01678B86">
        <w:t xml:space="preserve">This right to equal access exists regardless of whether the digital good or service has been procured from a third party as discussed in the Guideline. In short, organisations can contract out the provision of digital goods or </w:t>
      </w:r>
      <w:proofErr w:type="gramStart"/>
      <w:r w:rsidRPr="01678B86">
        <w:t>services</w:t>
      </w:r>
      <w:proofErr w:type="gramEnd"/>
      <w:r w:rsidRPr="01678B86">
        <w:t xml:space="preserve"> but they cannot contract out their equal access responsibilities. Accordingly, it is key that warranties regarding accessibility are included in the contract of service.</w:t>
      </w:r>
    </w:p>
    <w:p w14:paraId="50252EBB" w14:textId="77777777" w:rsidR="00CE2DB6" w:rsidRDefault="00CE2DB6" w:rsidP="00490A8D">
      <w:pPr>
        <w:pStyle w:val="Heading3"/>
      </w:pPr>
      <w:bookmarkStart w:id="102" w:name="_Toc168414629"/>
      <w:bookmarkStart w:id="103" w:name="_Toc1616930591"/>
      <w:r>
        <w:t>Alternate access</w:t>
      </w:r>
      <w:bookmarkEnd w:id="102"/>
      <w:bookmarkEnd w:id="103"/>
    </w:p>
    <w:p w14:paraId="3D7E9C11" w14:textId="77777777" w:rsidR="00CE2DB6" w:rsidRDefault="00CE2DB6" w:rsidP="00CE2DB6">
      <w:pPr>
        <w:pStyle w:val="BodyText"/>
      </w:pPr>
      <w:r w:rsidRPr="01678B86">
        <w:t>Despite best efforts during the procurement process, there will often be times when ICT is purchased that falls short of required accessibility standards. In these cases, as part of managing risk, it is important that the purpose and limitations of the ICT are clearly articulated, along with alternative means of access for affected users.</w:t>
      </w:r>
    </w:p>
    <w:p w14:paraId="3D3613BD" w14:textId="77777777" w:rsidR="00CE2DB6" w:rsidRPr="00A02E48" w:rsidRDefault="00CE2DB6" w:rsidP="00CE2DB6">
      <w:pPr>
        <w:pStyle w:val="BodyText"/>
      </w:pPr>
      <w:r>
        <w:t>An Alternate Access Plan is a document that describes how information and services will be made available to individuals with disability until they can be made accessible. The plan does not require the person to have an identical experience but should offer an experience that can provide a similar service as that gained by people who do not have disability.</w:t>
      </w:r>
    </w:p>
    <w:p w14:paraId="5EA01226" w14:textId="77777777" w:rsidR="00CE2DB6" w:rsidRDefault="00CE2DB6" w:rsidP="00CE2DB6">
      <w:r>
        <w:br w:type="page"/>
      </w:r>
    </w:p>
    <w:p w14:paraId="1B75EA58" w14:textId="4177CA98" w:rsidR="00CE2DB6" w:rsidRDefault="00CE2DB6" w:rsidP="00CE2DB6">
      <w:pPr>
        <w:pStyle w:val="Heading1"/>
      </w:pPr>
      <w:bookmarkStart w:id="104" w:name="_Toc1006069758"/>
      <w:bookmarkStart w:id="105" w:name="_Toc162962069"/>
      <w:bookmarkStart w:id="106" w:name="_Toc162962176"/>
      <w:bookmarkStart w:id="107" w:name="_Toc163215159"/>
      <w:bookmarkStart w:id="108" w:name="_Toc167891500"/>
      <w:bookmarkStart w:id="109" w:name="_Toc167972344"/>
      <w:bookmarkStart w:id="110" w:name="_Toc168415340"/>
      <w:bookmarkStart w:id="111" w:name="_Toc168415497"/>
      <w:bookmarkStart w:id="112" w:name="_Toc171690231"/>
      <w:bookmarkStart w:id="113" w:name="_Toc171690302"/>
      <w:bookmarkStart w:id="114" w:name="_Toc175839193"/>
      <w:bookmarkStart w:id="115" w:name="_Toc176959473"/>
      <w:bookmarkStart w:id="116" w:name="_Toc190269094"/>
      <w:bookmarkStart w:id="117" w:name="_Toc194569659"/>
      <w:r>
        <w:lastRenderedPageBreak/>
        <w:t>Chapter 3</w:t>
      </w:r>
      <w:bookmarkEnd w:id="104"/>
      <w:r w:rsidR="001041FD">
        <w:t xml:space="preserve">: </w:t>
      </w:r>
      <w:bookmarkStart w:id="118" w:name="_Toc1290517297"/>
      <w:bookmarkEnd w:id="105"/>
      <w:bookmarkEnd w:id="106"/>
      <w:bookmarkEnd w:id="107"/>
      <w:bookmarkEnd w:id="108"/>
      <w:bookmarkEnd w:id="109"/>
      <w:bookmarkEnd w:id="110"/>
      <w:bookmarkEnd w:id="111"/>
      <w:bookmarkEnd w:id="112"/>
      <w:bookmarkEnd w:id="113"/>
      <w:bookmarkEnd w:id="114"/>
      <w:r>
        <w:t xml:space="preserve">Standards and Guidelines </w:t>
      </w:r>
      <w:bookmarkEnd w:id="115"/>
      <w:r>
        <w:t>on digital accessibility</w:t>
      </w:r>
      <w:bookmarkEnd w:id="116"/>
      <w:bookmarkEnd w:id="117"/>
      <w:bookmarkEnd w:id="118"/>
    </w:p>
    <w:p w14:paraId="15ABF974" w14:textId="77777777" w:rsidR="00CE2DB6" w:rsidRDefault="00CE2DB6" w:rsidP="00490A8D">
      <w:pPr>
        <w:pStyle w:val="Heading2"/>
      </w:pPr>
      <w:bookmarkStart w:id="119" w:name="_Toc158385660"/>
      <w:bookmarkStart w:id="120" w:name="_Toc190269095"/>
      <w:bookmarkStart w:id="121" w:name="_Toc49799417"/>
      <w:bookmarkStart w:id="122" w:name="_Toc194569660"/>
      <w:r>
        <w:t>Introduction</w:t>
      </w:r>
      <w:bookmarkEnd w:id="119"/>
      <w:bookmarkEnd w:id="120"/>
      <w:bookmarkEnd w:id="121"/>
      <w:bookmarkEnd w:id="122"/>
    </w:p>
    <w:p w14:paraId="018D958F" w14:textId="77777777" w:rsidR="00CE2DB6" w:rsidRDefault="00CE2DB6" w:rsidP="00CE2DB6">
      <w:r w:rsidRPr="01678B86">
        <w:t>This Chapter includes brief summaries of technical standards and guidance mentioned in the Guidelines. As explained in the Guidelines, the Disability Discrimination Act requires that providers of goods and services do not discriminate against persons with disability. The technical standards and guidance described in this document will assist those developing digital products to meet this requirement.</w:t>
      </w:r>
    </w:p>
    <w:p w14:paraId="2FAF4E31" w14:textId="77777777" w:rsidR="00CE2DB6" w:rsidRDefault="00CE2DB6" w:rsidP="00CE2DB6">
      <w:r>
        <w:t>The versions of the listed standards and guidelines are current as of February 2025; newer versions can be released at any time and should be used when available.</w:t>
      </w:r>
    </w:p>
    <w:p w14:paraId="73576CF7" w14:textId="77777777" w:rsidR="00CE2DB6" w:rsidRPr="00FE0DD4" w:rsidRDefault="00CE2DB6" w:rsidP="00490A8D">
      <w:pPr>
        <w:pStyle w:val="Heading2"/>
      </w:pPr>
      <w:bookmarkStart w:id="123" w:name="_Toc158385663"/>
      <w:bookmarkStart w:id="124" w:name="_Toc190269096"/>
      <w:bookmarkStart w:id="125" w:name="_Toc480619307"/>
      <w:bookmarkStart w:id="126" w:name="_Toc194569661"/>
      <w:r>
        <w:t xml:space="preserve">W3C </w:t>
      </w:r>
      <w:r w:rsidRPr="00FE0DD4">
        <w:t>Standards</w:t>
      </w:r>
      <w:bookmarkEnd w:id="123"/>
      <w:bookmarkEnd w:id="124"/>
      <w:bookmarkEnd w:id="125"/>
      <w:bookmarkEnd w:id="126"/>
    </w:p>
    <w:p w14:paraId="7BFC29CA" w14:textId="77777777" w:rsidR="00CE2DB6" w:rsidRPr="00A464C9" w:rsidRDefault="00CE2DB6" w:rsidP="00CE2DB6">
      <w:r>
        <w:t>The W3C Guidelines and Technical Reports are the international standards for the web and mobile apps.</w:t>
      </w:r>
    </w:p>
    <w:p w14:paraId="13DC1BC1" w14:textId="77777777" w:rsidR="00CE2DB6" w:rsidRDefault="00CE2DB6" w:rsidP="00490A8D">
      <w:pPr>
        <w:pStyle w:val="Heading3"/>
      </w:pPr>
      <w:bookmarkStart w:id="127" w:name="_Toc190269097"/>
      <w:bookmarkStart w:id="128" w:name="_Toc1552694731"/>
      <w:r>
        <w:t>Web Content Accessibility Guidelines (</w:t>
      </w:r>
      <w:hyperlink r:id="rId46">
        <w:r w:rsidRPr="5E70D9E1">
          <w:rPr>
            <w:rStyle w:val="Hyperlink"/>
          </w:rPr>
          <w:t>WCAG</w:t>
        </w:r>
      </w:hyperlink>
      <w:r>
        <w:t>)</w:t>
      </w:r>
      <w:bookmarkEnd w:id="127"/>
      <w:bookmarkEnd w:id="128"/>
    </w:p>
    <w:p w14:paraId="7E2167D8" w14:textId="575FFAE5" w:rsidR="00CE2DB6" w:rsidRDefault="00CE2DB6" w:rsidP="00CE2DB6">
      <w:r>
        <w:t xml:space="preserve">The latest version is </w:t>
      </w:r>
      <w:hyperlink r:id="rId47" w:tooltip="WCAG 2.2" w:history="1">
        <w:r w:rsidRPr="00070CF9">
          <w:rPr>
            <w:rStyle w:val="Hyperlink"/>
          </w:rPr>
          <w:t>WCAG 2.2</w:t>
        </w:r>
      </w:hyperlink>
      <w:r>
        <w:t xml:space="preserve"> (released in October 2023). </w:t>
      </w:r>
    </w:p>
    <w:p w14:paraId="6299B42A" w14:textId="77777777" w:rsidR="00CE2DB6" w:rsidRPr="00CB1E33" w:rsidRDefault="00CE2DB6" w:rsidP="00CB1E33">
      <w:pPr>
        <w:rPr>
          <w:rStyle w:val="Strong"/>
        </w:rPr>
      </w:pPr>
      <w:r w:rsidRPr="00CB1E33">
        <w:rPr>
          <w:rStyle w:val="Strong"/>
        </w:rPr>
        <w:t>Organisations should conform with WCAG 2.2 at a minimum Level AA and consider appropriate Level AAA success criteria such as video transcripts, audio contrast, clear links and section headings.</w:t>
      </w:r>
    </w:p>
    <w:p w14:paraId="3DA1A246" w14:textId="77777777" w:rsidR="00CE2DB6" w:rsidRDefault="00CE2DB6" w:rsidP="00CE2DB6">
      <w:r w:rsidRPr="01678B86">
        <w:t>The Web Content Accessibility Guidelines (WCAG) are an internationally recognised set of recommendations for improving web accessibility. They explain how to make digital services, websites and apps accessible to everyone.</w:t>
      </w:r>
    </w:p>
    <w:p w14:paraId="7CDB2A4C" w14:textId="77777777" w:rsidR="00CE2DB6" w:rsidRDefault="00CE2DB6" w:rsidP="00CE2DB6">
      <w:pPr>
        <w:pStyle w:val="BodyText"/>
        <w:spacing w:line="259" w:lineRule="auto"/>
      </w:pPr>
      <w:r>
        <w:lastRenderedPageBreak/>
        <w:t>Australia has followed the Worldwide Web Consortium (W3C) Web Content Accessibility Guidelines</w:t>
      </w:r>
      <w:r w:rsidDel="00A01CE9">
        <w:t xml:space="preserve"> </w:t>
      </w:r>
      <w:r>
        <w:t>(WCAG)</w:t>
      </w:r>
      <w:r>
        <w:rPr>
          <w:rStyle w:val="EndnoteReference"/>
        </w:rPr>
        <w:endnoteReference w:id="30"/>
      </w:r>
      <w:r>
        <w:t xml:space="preserve"> since the first version was released in 1999. The applicability of WCAG under the Disability Discrimination Act was upheld in the Commission’s decision </w:t>
      </w:r>
      <w:r w:rsidRPr="003E34E1">
        <w:rPr>
          <w:i/>
          <w:iCs/>
        </w:rPr>
        <w:t>Maguire v Sydney Organising Committee for the Olympic Games (No 2)</w:t>
      </w:r>
      <w:r>
        <w:t xml:space="preserve"> [2000] HREOCA 31 (24 August 2000).</w:t>
      </w:r>
    </w:p>
    <w:p w14:paraId="7EF2A1C3" w14:textId="77777777" w:rsidR="00CE2DB6" w:rsidRDefault="00CE2DB6" w:rsidP="00CE2DB6">
      <w:r w:rsidRPr="01678B86">
        <w:t>WCAG is the accepted international standard for web accessibility; it also applies to non-web documents, apps, software and digital interfaces. WCAG has been updated several times since 1999 and is required by government and non-government sectors alike.</w:t>
      </w:r>
    </w:p>
    <w:p w14:paraId="3D34B54B" w14:textId="77777777" w:rsidR="00CE2DB6" w:rsidRDefault="00CE2DB6" w:rsidP="00CE2DB6">
      <w:pPr>
        <w:pStyle w:val="BodyText"/>
        <w:spacing w:line="259" w:lineRule="auto"/>
      </w:pPr>
      <w:r>
        <w:t>WCAG 2.2 has four principles – web services need to be:</w:t>
      </w:r>
    </w:p>
    <w:p w14:paraId="7CEDB0A2" w14:textId="77777777" w:rsidR="00CB1E33" w:rsidRDefault="00CE2DB6" w:rsidP="00CB1E33">
      <w:pPr>
        <w:pStyle w:val="Heading4numbered"/>
        <w:numPr>
          <w:ilvl w:val="0"/>
          <w:numId w:val="154"/>
        </w:numPr>
      </w:pPr>
      <w:r w:rsidRPr="00213A2F">
        <w:t>Perceivable</w:t>
      </w:r>
    </w:p>
    <w:p w14:paraId="2A1BD70A" w14:textId="31755293" w:rsidR="00CE2DB6" w:rsidRDefault="00CE2DB6" w:rsidP="00CB1E33">
      <w:r>
        <w:t>Information and user interface components must be presentable to users in ways they can perceive.</w:t>
      </w:r>
    </w:p>
    <w:p w14:paraId="0915577A" w14:textId="77777777" w:rsidR="00CE2DB6" w:rsidRDefault="00CE2DB6" w:rsidP="00CB1E33">
      <w:pPr>
        <w:pStyle w:val="Bullet"/>
      </w:pPr>
      <w:r w:rsidRPr="01678B86">
        <w:t xml:space="preserve">This means that users must be able to perceive the information being presented (it cannot be invisible to </w:t>
      </w:r>
      <w:proofErr w:type="gramStart"/>
      <w:r w:rsidRPr="01678B86">
        <w:t>all of</w:t>
      </w:r>
      <w:proofErr w:type="gramEnd"/>
      <w:r w:rsidRPr="01678B86">
        <w:t xml:space="preserve"> their senses)</w:t>
      </w:r>
    </w:p>
    <w:p w14:paraId="14A47726" w14:textId="77777777" w:rsidR="00CB1E33" w:rsidRDefault="00CE2DB6" w:rsidP="00CB1E33">
      <w:pPr>
        <w:pStyle w:val="Heading4numbered"/>
      </w:pPr>
      <w:r w:rsidRPr="00213A2F">
        <w:t>Operable</w:t>
      </w:r>
    </w:p>
    <w:p w14:paraId="12C9A9AE" w14:textId="4ECC74AA" w:rsidR="00CE2DB6" w:rsidRDefault="00CE2DB6" w:rsidP="00CB1E33">
      <w:r>
        <w:t>User interface components and navigation must be operable.</w:t>
      </w:r>
    </w:p>
    <w:p w14:paraId="5D7F4131" w14:textId="77777777" w:rsidR="00CE2DB6" w:rsidRDefault="00CE2DB6" w:rsidP="00CB1E33">
      <w:pPr>
        <w:pStyle w:val="Bullet"/>
      </w:pPr>
      <w:r w:rsidRPr="01678B86">
        <w:t>This means that users must be able to operate the interface (the interface cannot require interaction that a user cannot perform).</w:t>
      </w:r>
    </w:p>
    <w:p w14:paraId="320B7836" w14:textId="77777777" w:rsidR="00CB1E33" w:rsidRDefault="00CE2DB6" w:rsidP="00CB1E33">
      <w:pPr>
        <w:pStyle w:val="Heading4numbered"/>
      </w:pPr>
      <w:r w:rsidRPr="00213A2F">
        <w:t>Understandable</w:t>
      </w:r>
    </w:p>
    <w:p w14:paraId="75F4CB7D" w14:textId="16937566" w:rsidR="00CE2DB6" w:rsidRDefault="00CE2DB6" w:rsidP="00CB1E33">
      <w:r>
        <w:t>Information and the operation of user interface must be understandable.</w:t>
      </w:r>
    </w:p>
    <w:p w14:paraId="4B2F80AE" w14:textId="77777777" w:rsidR="00CE2DB6" w:rsidRDefault="00CE2DB6" w:rsidP="00AA5587">
      <w:pPr>
        <w:pStyle w:val="Bullet"/>
      </w:pPr>
      <w:r>
        <w:t xml:space="preserve">This means that users must be able to understand the information as well as the operation of the user interface (the content or operation cannot be beyond their </w:t>
      </w:r>
      <w:r w:rsidRPr="00AA5587">
        <w:t>understanding</w:t>
      </w:r>
      <w:r>
        <w:t>)</w:t>
      </w:r>
    </w:p>
    <w:p w14:paraId="44CF5156" w14:textId="77777777" w:rsidR="00CB1E33" w:rsidRDefault="00CE2DB6" w:rsidP="00CB1E33">
      <w:pPr>
        <w:pStyle w:val="Heading4numbered"/>
      </w:pPr>
      <w:r w:rsidRPr="00213A2F">
        <w:lastRenderedPageBreak/>
        <w:t>Robust</w:t>
      </w:r>
    </w:p>
    <w:p w14:paraId="7868803A" w14:textId="79A18745" w:rsidR="00CE2DB6" w:rsidRDefault="00CE2DB6" w:rsidP="00F20453">
      <w:r>
        <w:t>Content must be robust enough that it can be interpreted reliably by a wide variety of user agents, including assistive technologies.</w:t>
      </w:r>
    </w:p>
    <w:p w14:paraId="5C0C3C49" w14:textId="77777777" w:rsidR="00CE2DB6" w:rsidRDefault="00CE2DB6" w:rsidP="00F20453">
      <w:pPr>
        <w:pStyle w:val="Bullet"/>
      </w:pPr>
      <w:r>
        <w:t>This means that users must be able to access the content as technologies advance and (as technologies and user agents evolve, the content should remain accessible)</w:t>
      </w:r>
    </w:p>
    <w:p w14:paraId="5C71A93D" w14:textId="77777777" w:rsidR="00CE2DB6" w:rsidRDefault="00CE2DB6" w:rsidP="00CE2DB6">
      <w:pPr>
        <w:pStyle w:val="BodyText"/>
        <w:spacing w:line="259" w:lineRule="auto"/>
      </w:pPr>
      <w:r w:rsidRPr="00711220">
        <w:rPr>
          <w:rStyle w:val="Strong"/>
        </w:rPr>
        <w:t xml:space="preserve">Conformance </w:t>
      </w:r>
      <w:r w:rsidRPr="01678B86">
        <w:t xml:space="preserve">with WCAG 2.2 requires that ‘all Web pages in the process conform at the specified level or better’ and that ‘only accessibility-supported ways of using technologies are relied upon to satisfy the success criteria’. </w:t>
      </w:r>
    </w:p>
    <w:p w14:paraId="0F767882" w14:textId="6CE2D58B" w:rsidR="00CE2DB6" w:rsidRDefault="00CE2DB6" w:rsidP="00CE2DB6">
      <w:pPr>
        <w:pStyle w:val="BodyText"/>
        <w:spacing w:line="259" w:lineRule="auto"/>
      </w:pPr>
      <w:r>
        <w:t xml:space="preserve">WCAG has several </w:t>
      </w:r>
      <w:hyperlink r:id="rId48" w:tooltip="WCAG supporting documents" w:history="1">
        <w:r w:rsidRPr="00F863AB">
          <w:rPr>
            <w:rStyle w:val="Hyperlink"/>
          </w:rPr>
          <w:t>supporting documents</w:t>
        </w:r>
      </w:hyperlink>
      <w:r>
        <w:t xml:space="preserve"> to help understand the criteria and apply potential techniques.</w:t>
      </w:r>
    </w:p>
    <w:p w14:paraId="4EF9C38E" w14:textId="48F7E784" w:rsidR="00CE2DB6" w:rsidRDefault="00CE2DB6" w:rsidP="00490A8D">
      <w:pPr>
        <w:pStyle w:val="Heading3"/>
      </w:pPr>
      <w:bookmarkStart w:id="129" w:name="_Toc190269098"/>
      <w:bookmarkStart w:id="130" w:name="_Toc1366437479"/>
      <w:r>
        <w:t>Authoring Tool Accessibility Guidelines (</w:t>
      </w:r>
      <w:hyperlink r:id="rId49" w:tooltip="ATAG">
        <w:r w:rsidRPr="003833B2">
          <w:rPr>
            <w:rStyle w:val="Hyperlink"/>
            <w:rFonts w:cs="Open Sans SemiBold"/>
          </w:rPr>
          <w:t>ATAG</w:t>
        </w:r>
      </w:hyperlink>
      <w:r>
        <w:t>)</w:t>
      </w:r>
      <w:bookmarkEnd w:id="129"/>
      <w:bookmarkEnd w:id="130"/>
    </w:p>
    <w:p w14:paraId="5ECFFE7E" w14:textId="445316FF" w:rsidR="00CE2DB6" w:rsidRDefault="00CE2DB6" w:rsidP="00CE2DB6">
      <w:r>
        <w:t xml:space="preserve">The latest version is </w:t>
      </w:r>
      <w:hyperlink r:id="rId50" w:tooltip="ATAG 2.0" w:history="1">
        <w:r w:rsidRPr="00456ACC">
          <w:rPr>
            <w:rStyle w:val="Hyperlink"/>
          </w:rPr>
          <w:t>ATAG 2.0</w:t>
        </w:r>
      </w:hyperlink>
      <w:r>
        <w:t xml:space="preserve"> (released in September 2015). </w:t>
      </w:r>
    </w:p>
    <w:p w14:paraId="6C6314CB" w14:textId="77777777" w:rsidR="00CE2DB6" w:rsidRPr="00AA5587" w:rsidRDefault="00CE2DB6" w:rsidP="00CE2DB6">
      <w:pPr>
        <w:rPr>
          <w:rStyle w:val="Strong"/>
        </w:rPr>
      </w:pPr>
      <w:r w:rsidRPr="00AA5587">
        <w:rPr>
          <w:rStyle w:val="Strong"/>
        </w:rPr>
        <w:t>Organisations creating tools that allow for user contributions should conform with ATAG 2.0 applying WCAG 2.2 instead of WCAG 2.0 as appropriate.</w:t>
      </w:r>
    </w:p>
    <w:p w14:paraId="3021949A" w14:textId="77777777" w:rsidR="00CE2DB6" w:rsidRDefault="00CE2DB6" w:rsidP="00CE2DB6">
      <w:r w:rsidRPr="00A824A6">
        <w:t xml:space="preserve">Authoring tools are software and services that “authors” (web developers, designers, writers, etc.) use to produce web content (static web pages, dynamic web applications, </w:t>
      </w:r>
      <w:r>
        <w:t xml:space="preserve">social media posts, </w:t>
      </w:r>
      <w:r w:rsidRPr="00A824A6">
        <w:t>etc.)</w:t>
      </w:r>
      <w:r>
        <w:t>. Authoring Tool Accessibility Guidelines (ATAG) explains how to:</w:t>
      </w:r>
    </w:p>
    <w:p w14:paraId="134E9E4E" w14:textId="77777777" w:rsidR="00CE2DB6" w:rsidRDefault="00CE2DB6" w:rsidP="00AA5587">
      <w:pPr>
        <w:pStyle w:val="Bullet"/>
      </w:pPr>
      <w:r>
        <w:t>make the authoring tools themselves accessible, so that people with disability can create web content, and</w:t>
      </w:r>
    </w:p>
    <w:p w14:paraId="4A1BDF51" w14:textId="2A940B5C" w:rsidR="00AA5587" w:rsidRDefault="00CE2DB6" w:rsidP="00AA5587">
      <w:pPr>
        <w:pStyle w:val="Bullet"/>
      </w:pPr>
      <w:r>
        <w:t>help authors create more accessible web content, specifically enable, support, and promote the production of content that conforms to WCAG.</w:t>
      </w:r>
      <w:r w:rsidR="00AA5587">
        <w:br w:type="page"/>
      </w:r>
    </w:p>
    <w:p w14:paraId="2A52FD1F" w14:textId="38F96B3D" w:rsidR="00CE2DB6" w:rsidRDefault="00CE2DB6" w:rsidP="00490A8D">
      <w:pPr>
        <w:pStyle w:val="Heading3"/>
      </w:pPr>
      <w:bookmarkStart w:id="131" w:name="_Toc190269099"/>
      <w:bookmarkStart w:id="132" w:name="_Toc1011049817"/>
      <w:r>
        <w:lastRenderedPageBreak/>
        <w:t>Accessible Rich Internet Applications (</w:t>
      </w:r>
      <w:hyperlink r:id="rId51" w:tooltip="WAI-ARIA">
        <w:r w:rsidRPr="003833B2">
          <w:rPr>
            <w:rStyle w:val="Hyperlink"/>
            <w:rFonts w:cs="Open Sans SemiBold"/>
          </w:rPr>
          <w:t>WAI-ARIA</w:t>
        </w:r>
      </w:hyperlink>
      <w:r>
        <w:t>)</w:t>
      </w:r>
      <w:bookmarkEnd w:id="131"/>
      <w:bookmarkEnd w:id="132"/>
    </w:p>
    <w:p w14:paraId="4CC547CE" w14:textId="21059651" w:rsidR="00CE2DB6" w:rsidRDefault="00CE2DB6" w:rsidP="00CE2DB6">
      <w:r>
        <w:t xml:space="preserve">The latest version is </w:t>
      </w:r>
      <w:hyperlink r:id="rId52" w:tooltip="WAI ARIA 1.2" w:history="1">
        <w:r w:rsidRPr="0041179C">
          <w:rPr>
            <w:rStyle w:val="Hyperlink"/>
          </w:rPr>
          <w:t>WAI ARIA 1.2</w:t>
        </w:r>
      </w:hyperlink>
      <w:r>
        <w:t xml:space="preserve"> (released in June 2023).</w:t>
      </w:r>
    </w:p>
    <w:p w14:paraId="476096DB" w14:textId="77777777" w:rsidR="00CE2DB6" w:rsidRPr="00AA5587" w:rsidRDefault="00CE2DB6" w:rsidP="00CE2DB6">
      <w:pPr>
        <w:rPr>
          <w:rStyle w:val="Strong"/>
        </w:rPr>
      </w:pPr>
      <w:r w:rsidRPr="00AA5587">
        <w:rPr>
          <w:rStyle w:val="Strong"/>
        </w:rPr>
        <w:t>Organisations should use WAI ARIA appropriately for complex web applications.</w:t>
      </w:r>
    </w:p>
    <w:p w14:paraId="5F883469" w14:textId="77777777" w:rsidR="00CE2DB6" w:rsidRDefault="00CE2DB6" w:rsidP="00CE2DB6">
      <w:r w:rsidRPr="00E12405">
        <w:t>WAI-ARIA, the Accessible Rich Internet Applications Suite, defines a way to make web content applications more accessible to people with disabilit</w:t>
      </w:r>
      <w:r>
        <w:t>y</w:t>
      </w:r>
      <w:r w:rsidRPr="00E12405">
        <w:t>. It especially helps with dynamic content and advanced user interface controls developed with HTML, JavaScript, and related technologies. Without WAI-ARIA</w:t>
      </w:r>
      <w:r>
        <w:t>,</w:t>
      </w:r>
      <w:r w:rsidRPr="00E12405">
        <w:t xml:space="preserve"> certain functionality used in Web sites is not available to some users with disabilit</w:t>
      </w:r>
      <w:r>
        <w:t>y</w:t>
      </w:r>
      <w:r w:rsidRPr="00E12405">
        <w:t xml:space="preserve">, especially people who rely on screen readers and people who cannot use a mouse. WAI-ARIA addresses </w:t>
      </w:r>
      <w:r>
        <w:t>this inaccessibility</w:t>
      </w:r>
      <w:r w:rsidRPr="00E12405">
        <w:t>, for example, by defining ways for functionality to be provided to assistive technology. With WAI-ARIA, developers can make advanced Web applications accessible and usable to people with disabilit</w:t>
      </w:r>
      <w:r>
        <w:t>y</w:t>
      </w:r>
      <w:r w:rsidRPr="00E12405">
        <w:t>.</w:t>
      </w:r>
    </w:p>
    <w:p w14:paraId="074F8CB8" w14:textId="7CA8F34C" w:rsidR="00CE2DB6" w:rsidRDefault="00CE2DB6" w:rsidP="00CE2DB6">
      <w:r w:rsidRPr="01678B86">
        <w:t xml:space="preserve">To support WAI ARIA, the W3C have also published the </w:t>
      </w:r>
      <w:hyperlink r:id="rId53" w:tooltip="ARIA Authoring Practices Guide">
        <w:r w:rsidRPr="01678B86">
          <w:rPr>
            <w:rStyle w:val="Hyperlink"/>
          </w:rPr>
          <w:t>ARIA Authoring Practices Guide</w:t>
        </w:r>
      </w:hyperlink>
      <w:r w:rsidRPr="01678B86">
        <w:t xml:space="preserve"> (APG) which recommends approaches to help web application developers make widgets, navigation, and behaviours accessible using WAI-ARIA roles, states, and properties. This guide describes considerations that might not be evident to most authors from the WAI-ARIA specification, which is oriented primarily at user agent implementers.</w:t>
      </w:r>
    </w:p>
    <w:p w14:paraId="11D629E4" w14:textId="6DBBE161" w:rsidR="00CE2DB6" w:rsidRDefault="00CE2DB6" w:rsidP="00CE2DB6">
      <w:r>
        <w:t xml:space="preserve">Furthermore, there are some </w:t>
      </w:r>
      <w:hyperlink r:id="rId54" w:anchor="NOTES" w:tooltip="rules about using WAI ARIA" w:history="1">
        <w:r w:rsidRPr="00E260A0">
          <w:rPr>
            <w:rStyle w:val="Hyperlink"/>
          </w:rPr>
          <w:t>rules about using WAI ARIA</w:t>
        </w:r>
      </w:hyperlink>
      <w:r>
        <w:t>:</w:t>
      </w:r>
    </w:p>
    <w:p w14:paraId="6011C866" w14:textId="77777777" w:rsidR="00CE2DB6" w:rsidRDefault="00CE2DB6" w:rsidP="00AA5587">
      <w:pPr>
        <w:pStyle w:val="Numberlist"/>
        <w:numPr>
          <w:ilvl w:val="0"/>
          <w:numId w:val="155"/>
        </w:numPr>
        <w:ind w:left="426"/>
      </w:pPr>
      <w:r w:rsidRPr="001B3A18">
        <w:t>I</w:t>
      </w:r>
      <w:r>
        <w:t xml:space="preserve">f possible, </w:t>
      </w:r>
      <w:r w:rsidRPr="001B3A18">
        <w:t xml:space="preserve">a native HTML element or attribute with the </w:t>
      </w:r>
      <w:r>
        <w:t xml:space="preserve">required </w:t>
      </w:r>
      <w:r w:rsidRPr="001B3A18">
        <w:t>semantics and behaviour built in</w:t>
      </w:r>
      <w:r>
        <w:t xml:space="preserve"> should be used</w:t>
      </w:r>
      <w:r w:rsidRPr="001B3A18">
        <w:t>.</w:t>
      </w:r>
    </w:p>
    <w:p w14:paraId="2541D037" w14:textId="77777777" w:rsidR="00CE2DB6" w:rsidRDefault="00CE2DB6" w:rsidP="00AA5587">
      <w:pPr>
        <w:pStyle w:val="Numberlist"/>
      </w:pPr>
      <w:r>
        <w:t>N</w:t>
      </w:r>
      <w:r w:rsidRPr="00427EAB">
        <w:t>ative semantics</w:t>
      </w:r>
      <w:r>
        <w:t xml:space="preserve"> should not be changed</w:t>
      </w:r>
      <w:r w:rsidRPr="00427EAB">
        <w:t>, unless</w:t>
      </w:r>
      <w:r>
        <w:t xml:space="preserve"> necessary</w:t>
      </w:r>
      <w:r w:rsidRPr="00427EAB">
        <w:t>.</w:t>
      </w:r>
    </w:p>
    <w:p w14:paraId="68DD9BAE" w14:textId="77777777" w:rsidR="00CE2DB6" w:rsidRDefault="00CE2DB6" w:rsidP="00AA5587">
      <w:pPr>
        <w:pStyle w:val="Numberlist"/>
      </w:pPr>
      <w:r w:rsidRPr="00427EAB">
        <w:t>All interactive ARIA controls must be usable with the keyboard.</w:t>
      </w:r>
    </w:p>
    <w:p w14:paraId="18AA49EA" w14:textId="77777777" w:rsidR="00CE2DB6" w:rsidRPr="00DD5FE1" w:rsidRDefault="00CE2DB6" w:rsidP="00AA5587">
      <w:pPr>
        <w:pStyle w:val="Numberlist"/>
        <w:rPr>
          <w:rFonts w:cstheme="minorHAnsi"/>
        </w:rPr>
      </w:pPr>
      <w:r>
        <w:rPr>
          <w:rFonts w:cstheme="minorHAnsi"/>
        </w:rPr>
        <w:t>The following should not be used on a focusable element: r</w:t>
      </w:r>
      <w:r w:rsidRPr="00DD5FE1">
        <w:rPr>
          <w:rFonts w:cstheme="minorHAnsi"/>
        </w:rPr>
        <w:t>ole="presentation" or aria-hidden="true".</w:t>
      </w:r>
    </w:p>
    <w:p w14:paraId="57E25878" w14:textId="77777777" w:rsidR="00CE2DB6" w:rsidRDefault="00CE2DB6" w:rsidP="00AA5587">
      <w:pPr>
        <w:pStyle w:val="Numberlist"/>
      </w:pPr>
      <w:r w:rsidRPr="002F6038">
        <w:lastRenderedPageBreak/>
        <w:t>All interactive elements must have an accessible name.</w:t>
      </w:r>
    </w:p>
    <w:p w14:paraId="2168D1DB" w14:textId="6243D4C8" w:rsidR="00CE2DB6" w:rsidRDefault="00CE2DB6" w:rsidP="00490A8D">
      <w:pPr>
        <w:pStyle w:val="Heading3"/>
      </w:pPr>
      <w:bookmarkStart w:id="133" w:name="_Toc190269100"/>
      <w:bookmarkStart w:id="134" w:name="_Toc1079661782"/>
      <w:r w:rsidRPr="006C290F">
        <w:t>EPUB Standard for Accessible Digital Documents</w:t>
      </w:r>
      <w:r>
        <w:t xml:space="preserve"> (</w:t>
      </w:r>
      <w:hyperlink r:id="rId55" w:tooltip="EPUB">
        <w:r w:rsidRPr="003833B2">
          <w:rPr>
            <w:rStyle w:val="Hyperlink"/>
            <w:rFonts w:cs="Open Sans SemiBold"/>
          </w:rPr>
          <w:t>EPUB</w:t>
        </w:r>
      </w:hyperlink>
      <w:r>
        <w:t>)</w:t>
      </w:r>
      <w:bookmarkEnd w:id="133"/>
      <w:bookmarkEnd w:id="134"/>
    </w:p>
    <w:p w14:paraId="4D47855E" w14:textId="2D96C800" w:rsidR="00CE2DB6" w:rsidRDefault="00CE2DB6" w:rsidP="00CE2DB6">
      <w:r>
        <w:t xml:space="preserve">The latest version is </w:t>
      </w:r>
      <w:hyperlink r:id="rId56" w:tooltip="EPUB 3.3" w:history="1">
        <w:r w:rsidRPr="004F3231">
          <w:rPr>
            <w:rStyle w:val="Hyperlink"/>
          </w:rPr>
          <w:t>EPUB 3.3</w:t>
        </w:r>
      </w:hyperlink>
      <w:r>
        <w:t xml:space="preserve"> (released in May 2023).</w:t>
      </w:r>
    </w:p>
    <w:p w14:paraId="4BD43393" w14:textId="77777777" w:rsidR="00CE2DB6" w:rsidRDefault="00CE2DB6" w:rsidP="00CE2DB6">
      <w:pPr>
        <w:rPr>
          <w:b/>
          <w:bCs/>
        </w:rPr>
      </w:pPr>
      <w:r w:rsidRPr="7AD8BE6F">
        <w:rPr>
          <w:b/>
          <w:bCs/>
        </w:rPr>
        <w:t>Organisations should consider using EPUB for publishing accessible digital documents; other formats may also be provided.</w:t>
      </w:r>
    </w:p>
    <w:p w14:paraId="26CB72BC" w14:textId="77777777" w:rsidR="00CE2DB6" w:rsidRDefault="00CE2DB6" w:rsidP="00CE2DB6">
      <w:r w:rsidRPr="000D1EE2">
        <w:t>EPUB defines a distribution and interchange format for digital publications and documents. The EPUB format provides a means of representing, packaging, and encoding structured and semantically enhanced web content — including HTML, CSS, SVG, and other resources — for distribution in a single-file container.</w:t>
      </w:r>
    </w:p>
    <w:p w14:paraId="65FD5216" w14:textId="127EC0D5" w:rsidR="00CE2DB6" w:rsidRDefault="00CE2DB6" w:rsidP="00CE2DB6">
      <w:r w:rsidRPr="008976CF">
        <w:t xml:space="preserve">Accessibility of EPUB publications was an essential </w:t>
      </w:r>
      <w:r>
        <w:t>consideration in the development of EPUB 3.3</w:t>
      </w:r>
      <w:r w:rsidRPr="008976CF">
        <w:t xml:space="preserve">. As a result, the </w:t>
      </w:r>
      <w:hyperlink r:id="rId57" w:tooltip="EPUB Accessibility specification" w:history="1">
        <w:r w:rsidRPr="00F7174D">
          <w:rPr>
            <w:rStyle w:val="Hyperlink"/>
          </w:rPr>
          <w:t>EPUB Accessibility specification</w:t>
        </w:r>
      </w:hyperlink>
      <w:r w:rsidRPr="008976CF">
        <w:t xml:space="preserve"> has been updated and</w:t>
      </w:r>
      <w:r>
        <w:t xml:space="preserve"> is now</w:t>
      </w:r>
      <w:r w:rsidRPr="008976CF">
        <w:t xml:space="preserve"> an integral part of the EPUB Standard.</w:t>
      </w:r>
    </w:p>
    <w:p w14:paraId="4243143F" w14:textId="2F5E490E" w:rsidR="00CE2DB6" w:rsidRPr="000E41C2" w:rsidRDefault="00CE2DB6" w:rsidP="00CE2DB6">
      <w:r>
        <w:t>There is also</w:t>
      </w:r>
      <w:r w:rsidRPr="00E349BD">
        <w:t xml:space="preserve"> a comprehensive </w:t>
      </w:r>
      <w:hyperlink r:id="rId58" w:tooltip="test suite" w:history="1">
        <w:r w:rsidRPr="00595779">
          <w:rPr>
            <w:rStyle w:val="Hyperlink"/>
          </w:rPr>
          <w:t>test suite</w:t>
        </w:r>
      </w:hyperlink>
      <w:r w:rsidRPr="00E349BD">
        <w:t xml:space="preserve"> that systematically tests all normative features of the specification. </w:t>
      </w:r>
      <w:r>
        <w:t xml:space="preserve">In conjunction with the release of EPUB 3.3, </w:t>
      </w:r>
      <w:hyperlink r:id="rId59" w:tooltip="EPUBCheck" w:history="1">
        <w:proofErr w:type="spellStart"/>
        <w:r w:rsidRPr="00C204BE">
          <w:rPr>
            <w:rStyle w:val="Hyperlink"/>
          </w:rPr>
          <w:t>EPUBCheck</w:t>
        </w:r>
        <w:proofErr w:type="spellEnd"/>
      </w:hyperlink>
      <w:r>
        <w:t xml:space="preserve"> has been updated to be</w:t>
      </w:r>
      <w:r w:rsidRPr="00E349BD">
        <w:t xml:space="preserve"> fully compatible with EPUB 3.3.</w:t>
      </w:r>
    </w:p>
    <w:p w14:paraId="226C9133" w14:textId="77777777" w:rsidR="00CE2DB6" w:rsidRDefault="00CE2DB6" w:rsidP="00490A8D">
      <w:pPr>
        <w:pStyle w:val="Heading3"/>
      </w:pPr>
      <w:bookmarkStart w:id="135" w:name="_Toc190269101"/>
      <w:bookmarkStart w:id="136" w:name="_Toc64477121"/>
      <w:r w:rsidRPr="01678B86">
        <w:t>Additional W3C guidance</w:t>
      </w:r>
      <w:bookmarkEnd w:id="135"/>
      <w:bookmarkEnd w:id="136"/>
    </w:p>
    <w:p w14:paraId="3A0B22FA" w14:textId="77777777" w:rsidR="00CE2DB6" w:rsidRPr="00F462E3" w:rsidRDefault="00CE2DB6" w:rsidP="00CE2DB6">
      <w:pPr>
        <w:rPr>
          <w:rStyle w:val="Strong"/>
        </w:rPr>
      </w:pPr>
      <w:r w:rsidRPr="00F462E3">
        <w:rPr>
          <w:rStyle w:val="Strong"/>
        </w:rPr>
        <w:t>Organisations should consider the following additional W3C guidance in the development of digital products and services and in the preparation and publishing of digital information.</w:t>
      </w:r>
    </w:p>
    <w:p w14:paraId="5849954E" w14:textId="77777777" w:rsidR="00CE2DB6" w:rsidRDefault="00CE2DB6" w:rsidP="00490A8D">
      <w:pPr>
        <w:pStyle w:val="Heading4"/>
      </w:pPr>
      <w:bookmarkStart w:id="137" w:name="_Toc167972357"/>
      <w:bookmarkStart w:id="138" w:name="_Toc171690239"/>
      <w:bookmarkStart w:id="139" w:name="_Toc171690310"/>
      <w:bookmarkStart w:id="140" w:name="_Toc175839201"/>
      <w:bookmarkStart w:id="141" w:name="_Toc176959481"/>
      <w:bookmarkStart w:id="142" w:name="_Toc190269102"/>
      <w:r w:rsidRPr="00C02FE8">
        <w:t>Applying WCAG to Non-Web</w:t>
      </w:r>
      <w:r>
        <w:t xml:space="preserve"> ICT</w:t>
      </w:r>
      <w:bookmarkEnd w:id="137"/>
      <w:bookmarkEnd w:id="138"/>
      <w:bookmarkEnd w:id="139"/>
      <w:bookmarkEnd w:id="140"/>
      <w:bookmarkEnd w:id="141"/>
      <w:bookmarkEnd w:id="142"/>
    </w:p>
    <w:p w14:paraId="19F1ABED" w14:textId="260469A0" w:rsidR="00CE2DB6" w:rsidRDefault="00CE2DB6" w:rsidP="00CE2DB6">
      <w:r w:rsidRPr="01678B86">
        <w:t>The W3C have written ‘Guidance on Applying WCAG to Non-Web Information and Communications Technologies’ (</w:t>
      </w:r>
      <w:hyperlink r:id="rId60" w:tooltip="WCAG2ICT">
        <w:r w:rsidRPr="01678B86">
          <w:rPr>
            <w:rStyle w:val="Hyperlink"/>
          </w:rPr>
          <w:t>WCAG2ICT</w:t>
        </w:r>
      </w:hyperlink>
      <w:r w:rsidRPr="01678B86">
        <w:t>) to assist organisations to apply WCAG to other ICT products, particularly non-web documents and software.</w:t>
      </w:r>
    </w:p>
    <w:p w14:paraId="675D6DB9" w14:textId="77777777" w:rsidR="00CE2DB6" w:rsidRDefault="00CE2DB6" w:rsidP="00490A8D">
      <w:pPr>
        <w:pStyle w:val="Heading4"/>
      </w:pPr>
      <w:bookmarkStart w:id="143" w:name="_Toc190269103"/>
      <w:bookmarkStart w:id="144" w:name="_Toc167972358"/>
      <w:bookmarkStart w:id="145" w:name="_Toc171690240"/>
      <w:bookmarkStart w:id="146" w:name="_Toc171690311"/>
      <w:bookmarkStart w:id="147" w:name="_Toc175839202"/>
      <w:bookmarkStart w:id="148" w:name="_Toc176959482"/>
      <w:r w:rsidRPr="00B90847">
        <w:lastRenderedPageBreak/>
        <w:t>Collaboration Tools Accessibility User Requirements</w:t>
      </w:r>
      <w:bookmarkEnd w:id="143"/>
      <w:r w:rsidRPr="00B90847">
        <w:t xml:space="preserve"> </w:t>
      </w:r>
    </w:p>
    <w:p w14:paraId="06474F1E" w14:textId="371F4BE2" w:rsidR="00CE2DB6" w:rsidRPr="00385547" w:rsidRDefault="00CE2DB6" w:rsidP="00CE2DB6">
      <w:r>
        <w:t xml:space="preserve">This W3C Note about </w:t>
      </w:r>
      <w:hyperlink r:id="rId61" w:tooltip="accessibility requirements in collaboration tools" w:history="1">
        <w:r w:rsidRPr="006450DC">
          <w:rPr>
            <w:rStyle w:val="Hyperlink"/>
          </w:rPr>
          <w:t>accessibility requirements in collaboration tools</w:t>
        </w:r>
      </w:hyperlink>
      <w:r>
        <w:t xml:space="preserve"> </w:t>
      </w:r>
      <w:r w:rsidRPr="00AF6F43">
        <w:t>outlines various accessibility-related user needs and requirements for both synchronous and asynchronous web-based collaboration tools based on various collaborative engagement scenarios.</w:t>
      </w:r>
      <w:r>
        <w:t xml:space="preserve"> The Note </w:t>
      </w:r>
      <w:r w:rsidRPr="0046091C">
        <w:t xml:space="preserve">is particularly relevant to software developers contributing to the development of collaborative experiences. It addresses various aspects of collaborative tool accessibility including managing complexity, delineation between content creation and collaboration management, </w:t>
      </w:r>
      <w:r>
        <w:t xml:space="preserve">and </w:t>
      </w:r>
      <w:r w:rsidRPr="0046091C">
        <w:t>social considerations.</w:t>
      </w:r>
    </w:p>
    <w:p w14:paraId="78B2DD81" w14:textId="77777777" w:rsidR="00CE2DB6" w:rsidRDefault="00CE2DB6" w:rsidP="00490A8D">
      <w:pPr>
        <w:pStyle w:val="Heading4"/>
      </w:pPr>
      <w:bookmarkStart w:id="149" w:name="_Toc190269104"/>
      <w:r w:rsidRPr="00F81221">
        <w:t xml:space="preserve">Cognitive Accessibility </w:t>
      </w:r>
      <w:r w:rsidRPr="003A47FB">
        <w:t>Guidance</w:t>
      </w:r>
      <w:bookmarkEnd w:id="144"/>
      <w:bookmarkEnd w:id="145"/>
      <w:bookmarkEnd w:id="146"/>
      <w:bookmarkEnd w:id="147"/>
      <w:bookmarkEnd w:id="148"/>
      <w:bookmarkEnd w:id="149"/>
    </w:p>
    <w:p w14:paraId="00E89321" w14:textId="77777777" w:rsidR="00CE2DB6" w:rsidRDefault="00CE2DB6" w:rsidP="00CE2DB6">
      <w:r w:rsidRPr="01678B86">
        <w:t xml:space="preserve">Cognitive impairment can impact how people process information. </w:t>
      </w:r>
    </w:p>
    <w:p w14:paraId="756116CD" w14:textId="77777777" w:rsidR="00CE2DB6" w:rsidRDefault="00CE2DB6" w:rsidP="00CE2DB6">
      <w:r w:rsidRPr="01678B86">
        <w:t>Whilst some of the WCAG Success Criteria do increase accessibility for people with cognitive impairment, this is often more by chance than design. Further guidance is therefore available to assist in the creation of content which will be more accessible to people with cognitive impairment.</w:t>
      </w:r>
    </w:p>
    <w:p w14:paraId="28B4B10F" w14:textId="7B1B7306" w:rsidR="00CE2DB6" w:rsidRDefault="00CE2DB6" w:rsidP="00CE2DB6">
      <w:r w:rsidRPr="01678B86">
        <w:t xml:space="preserve">See </w:t>
      </w:r>
      <w:hyperlink r:id="rId62" w:anchor="about-accessibility-for-people-with-cognitive-and-learning-disabilities" w:tooltip="Cognitive Accessibility at W3C">
        <w:r w:rsidRPr="01678B86">
          <w:rPr>
            <w:rStyle w:val="Hyperlink"/>
          </w:rPr>
          <w:t>Cognitive Accessibility at W3C</w:t>
        </w:r>
      </w:hyperlink>
      <w:r w:rsidRPr="01678B86">
        <w:t xml:space="preserve"> for an overview and also their informative guidance:</w:t>
      </w:r>
    </w:p>
    <w:p w14:paraId="36F951C2" w14:textId="67859308" w:rsidR="00CE2DB6" w:rsidRDefault="00CE2DB6" w:rsidP="00F462E3">
      <w:pPr>
        <w:pStyle w:val="Tablebullet"/>
      </w:pPr>
      <w:hyperlink r:id="rId63" w:anchor="cognitiveaccessibilityguidance" w:tooltip="Cognitive Accessibility Guidance" w:history="1">
        <w:r w:rsidRPr="00D9175B">
          <w:rPr>
            <w:rStyle w:val="Hyperlink"/>
          </w:rPr>
          <w:t>Cognitive Accessibility Guidance</w:t>
        </w:r>
      </w:hyperlink>
      <w:r>
        <w:t xml:space="preserve"> — short design patterns (explained briefly in </w:t>
      </w:r>
      <w:hyperlink r:id="rId64" w:tooltip="About Supplemental Guidance" w:history="1">
        <w:r w:rsidRPr="00D9175B">
          <w:rPr>
            <w:rStyle w:val="Hyperlink"/>
          </w:rPr>
          <w:t>About Supplemental Guidance</w:t>
        </w:r>
      </w:hyperlink>
      <w:r>
        <w:t>)</w:t>
      </w:r>
    </w:p>
    <w:p w14:paraId="15C259FE" w14:textId="2A71F5C3" w:rsidR="00CE2DB6" w:rsidRDefault="00CE2DB6" w:rsidP="00F462E3">
      <w:pPr>
        <w:pStyle w:val="Tablebullet"/>
      </w:pPr>
      <w:hyperlink r:id="rId65" w:tooltip="Making Content Usable for People with Cognitive and Learning Disabilities">
        <w:r w:rsidRPr="01678B86">
          <w:rPr>
            <w:rStyle w:val="Hyperlink"/>
          </w:rPr>
          <w:t>Making Content Usable for People with Cognitive and Learning Disabilities</w:t>
        </w:r>
      </w:hyperlink>
      <w:r w:rsidRPr="01678B86">
        <w:t xml:space="preserve"> — a longer document that covers many different aspects for many different design, development and content creation roles, including a discussion of the importance of </w:t>
      </w:r>
      <w:proofErr w:type="gramStart"/>
      <w:r w:rsidRPr="01678B86">
        <w:t>Easy to Understand</w:t>
      </w:r>
      <w:proofErr w:type="gramEnd"/>
      <w:r w:rsidRPr="01678B86">
        <w:t xml:space="preserve"> language or Easy Read</w:t>
      </w:r>
    </w:p>
    <w:p w14:paraId="5C0328EF" w14:textId="77777777" w:rsidR="00CE2DB6" w:rsidRDefault="00CE2DB6" w:rsidP="00490A8D">
      <w:pPr>
        <w:pStyle w:val="Heading4"/>
      </w:pPr>
      <w:bookmarkStart w:id="150" w:name="_Toc167972359"/>
      <w:bookmarkStart w:id="151" w:name="_Toc171690241"/>
      <w:bookmarkStart w:id="152" w:name="_Toc171690312"/>
      <w:bookmarkStart w:id="153" w:name="_Toc175839203"/>
      <w:bookmarkStart w:id="154" w:name="_Toc176959483"/>
      <w:bookmarkStart w:id="155" w:name="_Toc190269105"/>
      <w:r>
        <w:lastRenderedPageBreak/>
        <w:t>W3C Accessibility Maturity Model</w:t>
      </w:r>
      <w:bookmarkEnd w:id="150"/>
      <w:bookmarkEnd w:id="151"/>
      <w:bookmarkEnd w:id="152"/>
      <w:bookmarkEnd w:id="153"/>
      <w:bookmarkEnd w:id="154"/>
      <w:bookmarkEnd w:id="155"/>
    </w:p>
    <w:p w14:paraId="0046337E" w14:textId="48433406" w:rsidR="00CE2DB6" w:rsidRPr="00AB18C7" w:rsidRDefault="00CE2DB6" w:rsidP="00CE2DB6">
      <w:r w:rsidRPr="01678B86">
        <w:t xml:space="preserve">The </w:t>
      </w:r>
      <w:hyperlink r:id="rId66" w:tooltip="Accessibility Maturity Model">
        <w:r w:rsidRPr="01678B86">
          <w:rPr>
            <w:rStyle w:val="Hyperlink"/>
          </w:rPr>
          <w:t>Accessibility Maturity Model</w:t>
        </w:r>
      </w:hyperlink>
      <w:r w:rsidRPr="01678B86">
        <w:t xml:space="preserve"> is designed to work for any size organisation. From small consultancies and large enterprises to nonprofit/NGOs and government agencies, it provides actionable guides for establishing or improving policies, employee-communication, training, and tools. It also includes a way to measure and document organisational, cultural and technical capabilities.</w:t>
      </w:r>
    </w:p>
    <w:p w14:paraId="20321402" w14:textId="77777777" w:rsidR="00CE2DB6" w:rsidRDefault="00CE2DB6" w:rsidP="00490A8D">
      <w:pPr>
        <w:pStyle w:val="Heading2"/>
      </w:pPr>
      <w:bookmarkStart w:id="156" w:name="_Toc158385665"/>
      <w:bookmarkStart w:id="157" w:name="_Toc190269106"/>
      <w:bookmarkStart w:id="158" w:name="_Toc1845996120"/>
      <w:bookmarkStart w:id="159" w:name="_Toc194569662"/>
      <w:r>
        <w:t>Australian Standards</w:t>
      </w:r>
      <w:bookmarkEnd w:id="156"/>
      <w:bookmarkEnd w:id="157"/>
      <w:bookmarkEnd w:id="158"/>
      <w:bookmarkEnd w:id="159"/>
    </w:p>
    <w:p w14:paraId="3C366326" w14:textId="77777777" w:rsidR="00CE2DB6" w:rsidRPr="00A90B00" w:rsidRDefault="00CE2DB6" w:rsidP="00CE2DB6">
      <w:r>
        <w:t>The following standards have all been published by Standards Australia as direct adoptions of International or European standards.</w:t>
      </w:r>
    </w:p>
    <w:p w14:paraId="0D86898A" w14:textId="3DD6BC06" w:rsidR="00CE2DB6" w:rsidRPr="00E86181" w:rsidRDefault="00CE2DB6" w:rsidP="00490A8D">
      <w:pPr>
        <w:pStyle w:val="Heading3"/>
      </w:pPr>
      <w:bookmarkStart w:id="160" w:name="_Toc190269107"/>
      <w:bookmarkStart w:id="161" w:name="_Toc2027152547"/>
      <w:r>
        <w:t xml:space="preserve">Accessibility Requirements for ICT Products and Services </w:t>
      </w:r>
      <w:r>
        <w:br/>
        <w:t>(</w:t>
      </w:r>
      <w:hyperlink r:id="rId67" w:tooltip="AS EN 301 549:2024">
        <w:r w:rsidRPr="5E70D9E1">
          <w:rPr>
            <w:rStyle w:val="Hyperlink"/>
          </w:rPr>
          <w:t>AS EN 301 549:2024</w:t>
        </w:r>
      </w:hyperlink>
      <w:r>
        <w:t>)</w:t>
      </w:r>
      <w:bookmarkEnd w:id="160"/>
      <w:bookmarkEnd w:id="161"/>
    </w:p>
    <w:p w14:paraId="7D5739B6" w14:textId="77777777" w:rsidR="00CE2DB6" w:rsidRPr="004F3624" w:rsidRDefault="00CE2DB6" w:rsidP="00CE2DB6">
      <w:r w:rsidRPr="00F462E3">
        <w:rPr>
          <w:rStyle w:val="Strong"/>
        </w:rPr>
        <w:t xml:space="preserve">Supersedes </w:t>
      </w:r>
      <w:r w:rsidRPr="004656A2">
        <w:t>AS EN 301 549:20</w:t>
      </w:r>
      <w:r>
        <w:t xml:space="preserve">20 and </w:t>
      </w:r>
      <w:r w:rsidRPr="004656A2">
        <w:t>AS EN 301 549:2016</w:t>
      </w:r>
    </w:p>
    <w:p w14:paraId="164DFF5E" w14:textId="77777777" w:rsidR="00CE2DB6" w:rsidRPr="00F462E3" w:rsidRDefault="00CE2DB6" w:rsidP="00CE2DB6">
      <w:pPr>
        <w:rPr>
          <w:rStyle w:val="Strong"/>
        </w:rPr>
      </w:pPr>
      <w:r w:rsidRPr="00F462E3">
        <w:rPr>
          <w:rStyle w:val="Strong"/>
        </w:rPr>
        <w:t xml:space="preserve">Requirements of AS EN 301 549 should be met for all digital products including hardware. However, as </w:t>
      </w:r>
      <w:proofErr w:type="spellStart"/>
      <w:r w:rsidRPr="00F462E3">
        <w:rPr>
          <w:rStyle w:val="Strong"/>
        </w:rPr>
        <w:t>AS</w:t>
      </w:r>
      <w:proofErr w:type="spellEnd"/>
      <w:r w:rsidRPr="00F462E3">
        <w:rPr>
          <w:rStyle w:val="Strong"/>
        </w:rPr>
        <w:t xml:space="preserve"> EN 301 549 references WCAG 2.1, WCAG 2.2 should be used where appropriate instead. </w:t>
      </w:r>
    </w:p>
    <w:p w14:paraId="494A838D" w14:textId="77777777" w:rsidR="00CE2DB6" w:rsidRDefault="00CE2DB6" w:rsidP="00CE2DB6">
      <w:r w:rsidRPr="01678B86">
        <w:t>This Australian Standard directly adopts EN 301 549:2020 (V3.1.1) from Europe. It specifies the functional accessibility requirements applicable to ICT products and services, together with a description of the test procedures and evaluation methodology for each accessibility requirement. It incorporates WCAG 2.1 but is applicable more broadly than websites. AS EN 301 549 covers:</w:t>
      </w:r>
    </w:p>
    <w:p w14:paraId="4AA5A039" w14:textId="77777777" w:rsidR="00CE2DB6" w:rsidRDefault="00CE2DB6" w:rsidP="00F462E3">
      <w:pPr>
        <w:pStyle w:val="Bullet"/>
      </w:pPr>
      <w:r>
        <w:t>Web</w:t>
      </w:r>
    </w:p>
    <w:p w14:paraId="4F00890B" w14:textId="77777777" w:rsidR="00CE2DB6" w:rsidRDefault="00CE2DB6" w:rsidP="00F462E3">
      <w:pPr>
        <w:pStyle w:val="Bullet"/>
      </w:pPr>
      <w:r>
        <w:t>Non-web documents</w:t>
      </w:r>
    </w:p>
    <w:p w14:paraId="629638C5" w14:textId="77777777" w:rsidR="00CE2DB6" w:rsidRDefault="00CE2DB6" w:rsidP="00F462E3">
      <w:pPr>
        <w:pStyle w:val="Bullet"/>
      </w:pPr>
      <w:r>
        <w:t>Software</w:t>
      </w:r>
    </w:p>
    <w:p w14:paraId="380CCC3C" w14:textId="77777777" w:rsidR="00CE2DB6" w:rsidRDefault="00CE2DB6" w:rsidP="00F462E3">
      <w:pPr>
        <w:pStyle w:val="Bullet"/>
      </w:pPr>
      <w:r>
        <w:t>ICT with two-way voice or with video capabilities</w:t>
      </w:r>
    </w:p>
    <w:p w14:paraId="5E03FE80" w14:textId="77777777" w:rsidR="00CE2DB6" w:rsidRDefault="00CE2DB6" w:rsidP="00F462E3">
      <w:pPr>
        <w:pStyle w:val="Bullet"/>
      </w:pPr>
      <w:r>
        <w:lastRenderedPageBreak/>
        <w:t>Hardware</w:t>
      </w:r>
    </w:p>
    <w:p w14:paraId="5A475322" w14:textId="77777777" w:rsidR="00CE2DB6" w:rsidRDefault="00CE2DB6" w:rsidP="00F462E3">
      <w:pPr>
        <w:pStyle w:val="Bullet"/>
      </w:pPr>
      <w:r>
        <w:t>Documentation and support services</w:t>
      </w:r>
    </w:p>
    <w:p w14:paraId="7D4D28FF" w14:textId="77777777" w:rsidR="00CE2DB6" w:rsidRDefault="00CE2DB6" w:rsidP="00F462E3">
      <w:pPr>
        <w:pStyle w:val="Bullet"/>
      </w:pPr>
      <w:r>
        <w:t>ICT providing relay or emergency service access</w:t>
      </w:r>
    </w:p>
    <w:p w14:paraId="142AC330" w14:textId="77777777" w:rsidR="00CE2DB6" w:rsidRPr="00B2237A" w:rsidRDefault="00CE2DB6" w:rsidP="00CE2DB6">
      <w:pPr>
        <w:pStyle w:val="BodyText"/>
      </w:pPr>
      <w:r>
        <w:t xml:space="preserve">AS EN 301 549 also has </w:t>
      </w:r>
      <w:r w:rsidRPr="00B2237A">
        <w:t xml:space="preserve">two </w:t>
      </w:r>
      <w:r>
        <w:t>overarching</w:t>
      </w:r>
      <w:r w:rsidRPr="00B2237A">
        <w:t xml:space="preserve"> functional performance statements</w:t>
      </w:r>
      <w:r>
        <w:t xml:space="preserve"> to be met.</w:t>
      </w:r>
    </w:p>
    <w:p w14:paraId="478EC85A" w14:textId="77777777" w:rsidR="00CE2DB6" w:rsidRDefault="00CE2DB6" w:rsidP="00F462E3">
      <w:pPr>
        <w:pStyle w:val="Bullet"/>
      </w:pPr>
      <w:r w:rsidRPr="01678B86">
        <w:t xml:space="preserve">The digital product, </w:t>
      </w:r>
      <w:proofErr w:type="gramStart"/>
      <w:r w:rsidRPr="01678B86">
        <w:t>similarly</w:t>
      </w:r>
      <w:proofErr w:type="gramEnd"/>
      <w:r w:rsidRPr="01678B86">
        <w:t xml:space="preserve"> to the WCAG principles, enables users to locate, identify, understand and operate functions in digital technologies.</w:t>
      </w:r>
    </w:p>
    <w:p w14:paraId="4BA8FC36" w14:textId="77777777" w:rsidR="00CE2DB6" w:rsidRPr="00B2237A" w:rsidRDefault="00CE2DB6" w:rsidP="00F462E3">
      <w:pPr>
        <w:pStyle w:val="Bullet"/>
      </w:pPr>
      <w:r w:rsidRPr="01678B86">
        <w:t xml:space="preserve">Any accessibility features within the good or service maintains the privacy of people using those features at the same level as other users. </w:t>
      </w:r>
    </w:p>
    <w:p w14:paraId="2CE08374" w14:textId="77777777" w:rsidR="00CE2DB6" w:rsidRPr="00B2237A" w:rsidRDefault="00CE2DB6" w:rsidP="00CE2DB6">
      <w:pPr>
        <w:pStyle w:val="BodyText"/>
        <w:spacing w:after="40"/>
      </w:pPr>
      <w:r w:rsidRPr="00B2237A">
        <w:t xml:space="preserve">In practical terms, </w:t>
      </w:r>
      <w:r>
        <w:t>AS EN 301 549 requires that digital</w:t>
      </w:r>
      <w:r w:rsidRPr="00B2237A">
        <w:t xml:space="preserve"> good</w:t>
      </w:r>
      <w:r>
        <w:t>s</w:t>
      </w:r>
      <w:r w:rsidRPr="00B2237A">
        <w:t xml:space="preserve"> </w:t>
      </w:r>
      <w:r>
        <w:t>and</w:t>
      </w:r>
      <w:r w:rsidRPr="00B2237A">
        <w:t xml:space="preserve"> service</w:t>
      </w:r>
      <w:r>
        <w:t>s</w:t>
      </w:r>
      <w:r w:rsidRPr="00B2237A">
        <w:t xml:space="preserve"> must be able</w:t>
      </w:r>
      <w:r>
        <w:t xml:space="preserve"> </w:t>
      </w:r>
      <w:r w:rsidRPr="00B2237A">
        <w:t>to be used equally and independently by people:</w:t>
      </w:r>
    </w:p>
    <w:p w14:paraId="3C1FB8D5" w14:textId="77777777" w:rsidR="00CE2DB6" w:rsidRPr="00F462E3" w:rsidRDefault="00CE2DB6" w:rsidP="00F462E3">
      <w:pPr>
        <w:pStyle w:val="Bullet"/>
      </w:pPr>
      <w:r w:rsidRPr="00B2237A">
        <w:t xml:space="preserve">with no or </w:t>
      </w:r>
      <w:r w:rsidRPr="00F462E3">
        <w:t>limited vision</w:t>
      </w:r>
    </w:p>
    <w:p w14:paraId="280285FE" w14:textId="77777777" w:rsidR="00CE2DB6" w:rsidRPr="00F462E3" w:rsidRDefault="00CE2DB6" w:rsidP="00F462E3">
      <w:pPr>
        <w:pStyle w:val="Bullet"/>
      </w:pPr>
      <w:r w:rsidRPr="00F462E3">
        <w:t>with no or limited perception of colour</w:t>
      </w:r>
    </w:p>
    <w:p w14:paraId="03DB271C" w14:textId="77777777" w:rsidR="00CE2DB6" w:rsidRPr="00F462E3" w:rsidRDefault="00CE2DB6" w:rsidP="00F462E3">
      <w:pPr>
        <w:pStyle w:val="Bullet"/>
      </w:pPr>
      <w:r w:rsidRPr="00F462E3">
        <w:t>with no or limited hearing</w:t>
      </w:r>
    </w:p>
    <w:p w14:paraId="09781BBE" w14:textId="77777777" w:rsidR="00CE2DB6" w:rsidRPr="00F462E3" w:rsidRDefault="00CE2DB6" w:rsidP="00F462E3">
      <w:pPr>
        <w:pStyle w:val="Bullet"/>
      </w:pPr>
      <w:r w:rsidRPr="00F462E3">
        <w:t>with no or limited vocal capability</w:t>
      </w:r>
    </w:p>
    <w:p w14:paraId="5FCCEED6" w14:textId="77777777" w:rsidR="00CE2DB6" w:rsidRPr="00F462E3" w:rsidRDefault="00CE2DB6" w:rsidP="00F462E3">
      <w:pPr>
        <w:pStyle w:val="Bullet"/>
      </w:pPr>
      <w:r w:rsidRPr="00F462E3">
        <w:t>with limited manipulation or strength</w:t>
      </w:r>
    </w:p>
    <w:p w14:paraId="53F36507" w14:textId="77777777" w:rsidR="00CE2DB6" w:rsidRPr="00F462E3" w:rsidRDefault="00CE2DB6" w:rsidP="00F462E3">
      <w:pPr>
        <w:pStyle w:val="Bullet"/>
      </w:pPr>
      <w:r w:rsidRPr="00F462E3">
        <w:t>with limited reach</w:t>
      </w:r>
    </w:p>
    <w:p w14:paraId="3B779CDA" w14:textId="77777777" w:rsidR="00CE2DB6" w:rsidRPr="00F462E3" w:rsidRDefault="00CE2DB6" w:rsidP="00F462E3">
      <w:pPr>
        <w:pStyle w:val="Bullet"/>
      </w:pPr>
      <w:r w:rsidRPr="00F462E3">
        <w:t>with photosensitivity seizure triggers</w:t>
      </w:r>
    </w:p>
    <w:p w14:paraId="76C932D4" w14:textId="77777777" w:rsidR="00CE2DB6" w:rsidRDefault="00CE2DB6" w:rsidP="00F462E3">
      <w:pPr>
        <w:pStyle w:val="Bullet"/>
      </w:pPr>
      <w:r w:rsidRPr="00F462E3">
        <w:t>with limited cognition</w:t>
      </w:r>
      <w:r w:rsidRPr="00B2237A">
        <w:t>, language, or learning</w:t>
      </w:r>
      <w:r>
        <w:t>.</w:t>
      </w:r>
    </w:p>
    <w:p w14:paraId="1FAFF4D7" w14:textId="1273B0C1" w:rsidR="00CE2DB6" w:rsidRDefault="00CE2DB6" w:rsidP="00CE2DB6">
      <w:r>
        <w:t xml:space="preserve">An HTML version of EN 301 549 is available from Accessibility Standards Canada as </w:t>
      </w:r>
      <w:hyperlink r:id="rId68" w:tooltip="CAN/ASC - EN 301 549:2024" w:history="1">
        <w:r w:rsidRPr="000C397C">
          <w:rPr>
            <w:rStyle w:val="Hyperlink"/>
          </w:rPr>
          <w:t>CAN/ASC - EN 301 549:2024</w:t>
        </w:r>
      </w:hyperlink>
      <w:r>
        <w:t>.</w:t>
      </w:r>
    </w:p>
    <w:p w14:paraId="3C509F77" w14:textId="7DC4ACE0" w:rsidR="00CE2DB6" w:rsidRDefault="00CE2DB6" w:rsidP="00490A8D">
      <w:pPr>
        <w:pStyle w:val="Heading3"/>
      </w:pPr>
      <w:bookmarkStart w:id="162" w:name="_Toc190269108"/>
      <w:bookmarkStart w:id="163" w:name="_Toc1047551919"/>
      <w:r w:rsidRPr="00816685">
        <w:lastRenderedPageBreak/>
        <w:t>Document management applications — Electronic document file format enhancement for accessibility, Part 1: Use of ISO 32000-1 (PDF/UA-1)</w:t>
      </w:r>
      <w:r>
        <w:t xml:space="preserve">’ </w:t>
      </w:r>
      <w:r>
        <w:br/>
      </w:r>
      <w:r w:rsidRPr="00E86181">
        <w:t>(</w:t>
      </w:r>
      <w:hyperlink r:id="rId69" w:tooltip="AS ISO 14289.1:2017">
        <w:r w:rsidRPr="5E70D9E1">
          <w:rPr>
            <w:rStyle w:val="Hyperlink"/>
          </w:rPr>
          <w:t>AS ISO 14289.1:2017</w:t>
        </w:r>
      </w:hyperlink>
      <w:r w:rsidRPr="00E86181">
        <w:t>)</w:t>
      </w:r>
      <w:bookmarkEnd w:id="162"/>
      <w:bookmarkEnd w:id="163"/>
    </w:p>
    <w:p w14:paraId="7C027D61" w14:textId="77777777" w:rsidR="00CE2DB6" w:rsidRPr="009E6D38" w:rsidRDefault="00CE2DB6" w:rsidP="00CE2DB6">
      <w:pPr>
        <w:rPr>
          <w:rStyle w:val="Strong"/>
        </w:rPr>
      </w:pPr>
      <w:r w:rsidRPr="009E6D38">
        <w:rPr>
          <w:rStyle w:val="Strong"/>
        </w:rPr>
        <w:t>PDF files cannot be made fully accessible, especially on mobile devices. Utilising EPUB can ensure a fully accessible document is provided. Where PDFs are provided, they should meet the requirements of AS ISO 14289.1.</w:t>
      </w:r>
    </w:p>
    <w:p w14:paraId="0690FAB0" w14:textId="77777777" w:rsidR="00CE2DB6" w:rsidRDefault="00CE2DB6" w:rsidP="00CE2DB6">
      <w:r>
        <w:t>This Australian standard a</w:t>
      </w:r>
      <w:r w:rsidRPr="008437F0">
        <w:t>dopts ISO 14289-1:2014, which specifies the use of ISO 32000-1:2008 to produce accessible electronic documents through the inclusion of a variety of semantic information and defining requirements for conforming readers and conforming assistive technology.</w:t>
      </w:r>
      <w:r>
        <w:t xml:space="preserve"> </w:t>
      </w:r>
    </w:p>
    <w:p w14:paraId="02EDDC93" w14:textId="4A8326B3" w:rsidR="00CE2DB6" w:rsidRPr="00823D4C" w:rsidRDefault="00CE2DB6" w:rsidP="00CE2DB6">
      <w:r w:rsidRPr="01678B86">
        <w:t xml:space="preserve">This standard is developed and maintained by the </w:t>
      </w:r>
      <w:hyperlink r:id="rId70" w:tooltip="PDF/UA Foundation">
        <w:r w:rsidRPr="01678B86">
          <w:rPr>
            <w:rStyle w:val="Hyperlink"/>
          </w:rPr>
          <w:t>PDF/UA Foundation</w:t>
        </w:r>
      </w:hyperlink>
      <w:r w:rsidRPr="01678B86">
        <w:t xml:space="preserve">. </w:t>
      </w:r>
      <w:r w:rsidR="009E6D38">
        <w:br/>
      </w:r>
      <w:r w:rsidRPr="01678B86">
        <w:t>The Foundation also provides a PDF accessibility checker (</w:t>
      </w:r>
      <w:hyperlink r:id="rId71" w:tooltip="PAC">
        <w:r w:rsidRPr="01678B86">
          <w:rPr>
            <w:rStyle w:val="Hyperlink"/>
          </w:rPr>
          <w:t>PAC</w:t>
        </w:r>
      </w:hyperlink>
      <w:r w:rsidRPr="01678B86">
        <w:t>).</w:t>
      </w:r>
    </w:p>
    <w:p w14:paraId="7A33B470" w14:textId="7B97B5A6" w:rsidR="00CE2DB6" w:rsidRPr="00844682" w:rsidRDefault="00CE2DB6" w:rsidP="00CE2DB6">
      <w:pPr>
        <w:rPr>
          <w:strike/>
        </w:rPr>
      </w:pPr>
      <w:r w:rsidRPr="00CE63DC">
        <w:t xml:space="preserve">Copies </w:t>
      </w:r>
      <w:r>
        <w:t>of</w:t>
      </w:r>
      <w:r w:rsidRPr="00CE63DC">
        <w:t xml:space="preserve"> ISO 32000-2 (PDF 2.0)</w:t>
      </w:r>
      <w:r>
        <w:t xml:space="preserve"> and </w:t>
      </w:r>
      <w:r w:rsidRPr="00CB543B">
        <w:t>ISO 14289</w:t>
      </w:r>
      <w:r>
        <w:t xml:space="preserve"> (PDF/UA) </w:t>
      </w:r>
      <w:r w:rsidRPr="00CE63DC">
        <w:t xml:space="preserve">standards are available from the </w:t>
      </w:r>
      <w:hyperlink r:id="rId72" w:tooltip="PDF Association for free" w:history="1">
        <w:r w:rsidRPr="007F1667">
          <w:rPr>
            <w:rStyle w:val="Hyperlink"/>
          </w:rPr>
          <w:t>PDF Association for free</w:t>
        </w:r>
      </w:hyperlink>
      <w:r w:rsidRPr="00844682">
        <w:rPr>
          <w:rStyle w:val="Hyperlink"/>
        </w:rPr>
        <w:t>.</w:t>
      </w:r>
    </w:p>
    <w:p w14:paraId="2C9E2002" w14:textId="72D7EDBB" w:rsidR="00CE2DB6" w:rsidRDefault="00CE2DB6" w:rsidP="00490A8D">
      <w:pPr>
        <w:pStyle w:val="Heading3"/>
        <w:rPr>
          <w:rStyle w:val="Hyperlink"/>
        </w:rPr>
      </w:pPr>
      <w:bookmarkStart w:id="164" w:name="_Toc190269109"/>
      <w:bookmarkStart w:id="165" w:name="_Toc58927637"/>
      <w:r>
        <w:t xml:space="preserve">Information Technology – Development of user interface technology, Part 1: Code of practice for creating accessible ICT products and service </w:t>
      </w:r>
      <w:r>
        <w:br/>
      </w:r>
      <w:r w:rsidRPr="00DD3A2F">
        <w:rPr>
          <w:rStyle w:val="Hyperlink"/>
        </w:rPr>
        <w:t>(</w:t>
      </w:r>
      <w:hyperlink r:id="rId73" w:tooltip="AS ISO/IEC 30071.1:2022">
        <w:r w:rsidRPr="5E70D9E1">
          <w:rPr>
            <w:rStyle w:val="Hyperlink"/>
          </w:rPr>
          <w:t>AS ISO/IEC 30071.1:2022</w:t>
        </w:r>
      </w:hyperlink>
      <w:r w:rsidRPr="00DD3A2F">
        <w:rPr>
          <w:rStyle w:val="Hyperlink"/>
        </w:rPr>
        <w:t>)</w:t>
      </w:r>
      <w:bookmarkEnd w:id="164"/>
      <w:bookmarkEnd w:id="165"/>
    </w:p>
    <w:p w14:paraId="493EA5BF" w14:textId="77777777" w:rsidR="00CE2DB6" w:rsidRDefault="00CE2DB6" w:rsidP="00CE2DB6">
      <w:r w:rsidRPr="01678B86">
        <w:t>AS ISO/IEC 30071.1:2022 takes a holistic approach to the accessibility of information and communications technology (ICT) by combining guidance on implementing the accessibility of ICT systems (ICT accessibility) at the organizational and system development levels. This standard is about strategy and policy for accessibility and applies to the adoption of any technical standard.</w:t>
      </w:r>
    </w:p>
    <w:p w14:paraId="036972FF" w14:textId="197028BD" w:rsidR="00CE2DB6" w:rsidRDefault="00CE2DB6" w:rsidP="00490A8D">
      <w:pPr>
        <w:pStyle w:val="Heading3"/>
        <w:rPr>
          <w:rStyle w:val="Hyperlink"/>
        </w:rPr>
      </w:pPr>
      <w:bookmarkStart w:id="166" w:name="_Toc190269110"/>
      <w:bookmarkStart w:id="167" w:name="_Toc276927157"/>
      <w:r>
        <w:lastRenderedPageBreak/>
        <w:t xml:space="preserve">Risk management – Guidelines </w:t>
      </w:r>
      <w:r>
        <w:br/>
      </w:r>
      <w:r w:rsidRPr="5E70D9E1">
        <w:rPr>
          <w:rStyle w:val="Hyperlink"/>
        </w:rPr>
        <w:t>(</w:t>
      </w:r>
      <w:hyperlink r:id="rId74" w:tooltip="AS ISO 31000:2018">
        <w:r w:rsidRPr="5E70D9E1">
          <w:rPr>
            <w:rStyle w:val="Hyperlink"/>
          </w:rPr>
          <w:t>AS ISO 31000:2018</w:t>
        </w:r>
      </w:hyperlink>
      <w:r w:rsidRPr="5E70D9E1">
        <w:rPr>
          <w:rStyle w:val="Hyperlink"/>
        </w:rPr>
        <w:t>)</w:t>
      </w:r>
      <w:bookmarkEnd w:id="166"/>
      <w:bookmarkEnd w:id="167"/>
    </w:p>
    <w:p w14:paraId="7F6D559C" w14:textId="77777777" w:rsidR="00CE2DB6" w:rsidRPr="009E6D38" w:rsidRDefault="00CE2DB6" w:rsidP="009E6D38">
      <w:r w:rsidRPr="009E6D38">
        <w:t xml:space="preserve">Accessibility is often treated as a nice-to-have. However, taking a risk-based perspective prioritises areas where problems are most likely to </w:t>
      </w:r>
      <w:proofErr w:type="gramStart"/>
      <w:r w:rsidRPr="009E6D38">
        <w:t>occur</w:t>
      </w:r>
      <w:proofErr w:type="gramEnd"/>
      <w:r w:rsidRPr="009E6D38">
        <w:t xml:space="preserve"> so they don’t happen.</w:t>
      </w:r>
    </w:p>
    <w:p w14:paraId="207A2B9F" w14:textId="77777777" w:rsidR="00CE2DB6" w:rsidRPr="009E6D38" w:rsidRDefault="00CE2DB6" w:rsidP="009E6D38">
      <w:r w:rsidRPr="009E6D38">
        <w:t>AS ISO 31000:2018 specifies guidelines on managing risk faced by organisations with the application of these guidelines able to be customised to any organisation. As one of the risk management standards, this standard provides a common approach to managing any type of risk and is not industry or sector specific.</w:t>
      </w:r>
    </w:p>
    <w:p w14:paraId="09E8469C" w14:textId="2C679854" w:rsidR="00CE2DB6" w:rsidRDefault="00CE2DB6" w:rsidP="00490A8D">
      <w:pPr>
        <w:pStyle w:val="Heading3"/>
        <w:rPr>
          <w:rStyle w:val="Hyperlink"/>
        </w:rPr>
      </w:pPr>
      <w:bookmarkStart w:id="168" w:name="_Toc190269111"/>
      <w:bookmarkStart w:id="169" w:name="_Toc901815799"/>
      <w:r w:rsidRPr="00B20D5C">
        <w:t>Compliance Management Systems – Requirements with guidance for use</w:t>
      </w:r>
      <w:r>
        <w:rPr>
          <w:rStyle w:val="Hyperlink"/>
        </w:rPr>
        <w:t xml:space="preserve"> </w:t>
      </w:r>
      <w:r>
        <w:br/>
      </w:r>
      <w:r w:rsidRPr="005E08B1">
        <w:rPr>
          <w:rStyle w:val="Hyperlink"/>
        </w:rPr>
        <w:t>(</w:t>
      </w:r>
      <w:hyperlink r:id="rId75" w:tooltip="AS ISO 37301:2023">
        <w:r w:rsidRPr="5E70D9E1">
          <w:rPr>
            <w:rStyle w:val="Hyperlink"/>
          </w:rPr>
          <w:t>AS ISO 37301:2023</w:t>
        </w:r>
      </w:hyperlink>
      <w:r w:rsidRPr="005E08B1">
        <w:rPr>
          <w:rStyle w:val="Hyperlink"/>
        </w:rPr>
        <w:t>)</w:t>
      </w:r>
      <w:bookmarkEnd w:id="168"/>
      <w:bookmarkEnd w:id="169"/>
    </w:p>
    <w:p w14:paraId="2EE98BF7" w14:textId="77777777" w:rsidR="00CE2DB6" w:rsidRPr="009E6D38" w:rsidRDefault="00CE2DB6" w:rsidP="00CE2DB6">
      <w:r w:rsidRPr="009E6D38">
        <w:t>AS ISO 37301:2023 specifies requirements and provides guidelines for establishing, developing, implementing, evaluating, maintaining and improving an effective compliance management system within an organisation. This document is applicable to all types of organisations regardless of the type, size and nature of the activity, as well as whether the organisation is from the public, private or non-profit sector.</w:t>
      </w:r>
    </w:p>
    <w:p w14:paraId="50AB4C89" w14:textId="31F5BD97" w:rsidR="00CE2DB6" w:rsidRDefault="00CE2DB6" w:rsidP="00490A8D">
      <w:pPr>
        <w:pStyle w:val="Heading3"/>
        <w:rPr>
          <w:rStyle w:val="Hyperlink"/>
        </w:rPr>
      </w:pPr>
      <w:bookmarkStart w:id="170" w:name="_Toc190269112"/>
      <w:bookmarkStart w:id="171" w:name="_Toc2067506456"/>
      <w:r>
        <w:t>Plain language, Part 1: Governing principles and guidelines</w:t>
      </w:r>
      <w:r>
        <w:br/>
      </w:r>
      <w:r w:rsidRPr="5E70D9E1">
        <w:rPr>
          <w:rStyle w:val="Hyperlink"/>
        </w:rPr>
        <w:t>(</w:t>
      </w:r>
      <w:hyperlink r:id="rId76" w:tooltip="AS ISO 24495.1:2024">
        <w:r w:rsidRPr="5E70D9E1">
          <w:rPr>
            <w:rStyle w:val="Hyperlink"/>
          </w:rPr>
          <w:t>AS ISO 24495.1:2024</w:t>
        </w:r>
      </w:hyperlink>
      <w:r w:rsidRPr="5E70D9E1">
        <w:rPr>
          <w:rStyle w:val="Hyperlink"/>
        </w:rPr>
        <w:t>)</w:t>
      </w:r>
      <w:bookmarkEnd w:id="170"/>
      <w:bookmarkEnd w:id="171"/>
    </w:p>
    <w:p w14:paraId="56A3FA63" w14:textId="77777777" w:rsidR="00CE2DB6" w:rsidRPr="00005145" w:rsidRDefault="00CE2DB6" w:rsidP="00CE2DB6">
      <w:r w:rsidRPr="01678B86">
        <w:t xml:space="preserve">AS ISO 24495.1:2024 establishes governing principles and guidelines for developing plain language documents. The guidelines detail how the principles are interpreted and applied. This document is for anybody who creates or helps create documents. The widest use of plain language is for documents that are intended for the </w:t>
      </w:r>
      <w:proofErr w:type="gramStart"/>
      <w:r w:rsidRPr="01678B86">
        <w:t>general public</w:t>
      </w:r>
      <w:proofErr w:type="gramEnd"/>
      <w:r w:rsidRPr="01678B86">
        <w:t>. However, it is also applicable, for example, to technical writing, legislative drafting or using controlled languages.</w:t>
      </w:r>
    </w:p>
    <w:p w14:paraId="6BC980E7" w14:textId="77777777" w:rsidR="00CE2DB6" w:rsidRPr="005D46A7" w:rsidRDefault="00CE2DB6" w:rsidP="00CE2DB6">
      <w:r>
        <w:lastRenderedPageBreak/>
        <w:t>Plain language helps people find what they need, understand it, and use it. Thus, plain language focuses on how successfully readers can use a document, rather than on mechanical measures such as readability formulas.</w:t>
      </w:r>
    </w:p>
    <w:p w14:paraId="2C630F10" w14:textId="77777777" w:rsidR="00CE2DB6" w:rsidRDefault="00CE2DB6" w:rsidP="00490A8D">
      <w:pPr>
        <w:pStyle w:val="Heading2"/>
      </w:pPr>
      <w:bookmarkStart w:id="172" w:name="_Toc158385666"/>
      <w:bookmarkStart w:id="173" w:name="_Toc190269113"/>
      <w:bookmarkStart w:id="174" w:name="_Toc2121020007"/>
      <w:bookmarkStart w:id="175" w:name="_Toc194569663"/>
      <w:r>
        <w:t>Australian Government</w:t>
      </w:r>
      <w:bookmarkEnd w:id="172"/>
      <w:r>
        <w:t xml:space="preserve"> standards</w:t>
      </w:r>
      <w:bookmarkEnd w:id="173"/>
      <w:bookmarkEnd w:id="174"/>
      <w:bookmarkEnd w:id="175"/>
    </w:p>
    <w:p w14:paraId="6F459713" w14:textId="77777777" w:rsidR="00CE2DB6" w:rsidRDefault="00CE2DB6" w:rsidP="00490A8D">
      <w:pPr>
        <w:pStyle w:val="Heading3"/>
      </w:pPr>
      <w:bookmarkStart w:id="176" w:name="_Toc190269114"/>
      <w:bookmarkStart w:id="177" w:name="_Toc826189779"/>
      <w:r w:rsidRPr="007741B7">
        <w:t>Digital Sourcing Consider First Policy</w:t>
      </w:r>
      <w:bookmarkEnd w:id="176"/>
      <w:bookmarkEnd w:id="177"/>
    </w:p>
    <w:p w14:paraId="5BC1B1EE" w14:textId="4BAB11F2" w:rsidR="00CE2DB6" w:rsidRDefault="00CE2DB6" w:rsidP="00CE2DB6">
      <w:r w:rsidRPr="01678B86">
        <w:t xml:space="preserve">The </w:t>
      </w:r>
      <w:hyperlink r:id="rId77" w:tooltip="Digital Sourcing Consider First Policy">
        <w:r w:rsidRPr="01678B86">
          <w:rPr>
            <w:rStyle w:val="Hyperlink"/>
          </w:rPr>
          <w:t>Digital Sourcing Consider First Policy</w:t>
        </w:r>
      </w:hyperlink>
      <w:r w:rsidRPr="01678B86">
        <w:t xml:space="preserve"> aims to guide agencies through early consideration of important factors that help investments meet their intended outcomes.</w:t>
      </w:r>
    </w:p>
    <w:p w14:paraId="30D3E562" w14:textId="77777777" w:rsidR="00CE2DB6" w:rsidRDefault="00CE2DB6" w:rsidP="00CE2DB6">
      <w:r>
        <w:t>Principle 5 requires a</w:t>
      </w:r>
      <w:r w:rsidRPr="00AA24B8">
        <w:t>lign</w:t>
      </w:r>
      <w:r>
        <w:t>ment</w:t>
      </w:r>
      <w:r w:rsidRPr="00AA24B8">
        <w:t xml:space="preserve"> with relevant whole-of-government requirements early to ensure that digital investments deliver their outcomes with lower cost and reduced effort.</w:t>
      </w:r>
      <w:r>
        <w:t xml:space="preserve"> Digital investments must be designed for all users, including people with disability, older people, and those who find technology difficult.</w:t>
      </w:r>
    </w:p>
    <w:p w14:paraId="4C13A5FC" w14:textId="69F61D74" w:rsidR="00CE2DB6" w:rsidRPr="007741B7" w:rsidRDefault="00CE2DB6" w:rsidP="00CE2DB6">
      <w:r w:rsidRPr="01678B86">
        <w:t xml:space="preserve">The </w:t>
      </w:r>
      <w:hyperlink r:id="rId78" w:tooltip="Commonwealth Procurement Rules">
        <w:r w:rsidRPr="01678B86">
          <w:rPr>
            <w:rStyle w:val="Hyperlink"/>
          </w:rPr>
          <w:t>Commonwealth Procurement Rules</w:t>
        </w:r>
      </w:hyperlink>
      <w:r w:rsidRPr="01678B86">
        <w:t xml:space="preserve"> contain mandatory requirements for applying Australian Standards, this is relevant to most investments subject to this policy. The Australian Standard for ICT Accessibility (AS EN 301 549:2024) discussed earlier is applicable to most ICT goods or services being procured by government.</w:t>
      </w:r>
    </w:p>
    <w:p w14:paraId="28D39608" w14:textId="77777777" w:rsidR="00CE2DB6" w:rsidRDefault="00CE2DB6" w:rsidP="00490A8D">
      <w:pPr>
        <w:pStyle w:val="Heading3"/>
      </w:pPr>
      <w:bookmarkStart w:id="178" w:name="_Toc190269115"/>
      <w:bookmarkStart w:id="179" w:name="_Toc364058946"/>
      <w:r>
        <w:t>Digital Experience Policy</w:t>
      </w:r>
      <w:bookmarkEnd w:id="178"/>
      <w:bookmarkEnd w:id="179"/>
      <w:r>
        <w:t xml:space="preserve"> </w:t>
      </w:r>
    </w:p>
    <w:p w14:paraId="582F7072" w14:textId="3426F6ED" w:rsidR="00CE2DB6" w:rsidRDefault="00CE2DB6" w:rsidP="00CE2DB6">
      <w:r>
        <w:t xml:space="preserve">The Australian Government released its </w:t>
      </w:r>
      <w:hyperlink r:id="rId79" w:tooltip="Digital Experience Policy" w:history="1">
        <w:r w:rsidRPr="00B02CAF">
          <w:rPr>
            <w:rStyle w:val="Hyperlink"/>
          </w:rPr>
          <w:t>Digital Experience Policy</w:t>
        </w:r>
      </w:hyperlink>
      <w:r>
        <w:t xml:space="preserve"> (DX Policy) in July 2024. This policy requires Australian Government agencies to be more inclusive in their digital offerings. In conjunction it released 3 new standards to complement the existing Digital Service Standard:</w:t>
      </w:r>
    </w:p>
    <w:p w14:paraId="2EF9A074" w14:textId="77777777" w:rsidR="00CE2DB6" w:rsidRDefault="00CE2DB6" w:rsidP="00AA5587">
      <w:pPr>
        <w:pStyle w:val="Bullet"/>
      </w:pPr>
      <w:r>
        <w:t>Digital Inclusion Standard – aims to ensure services are designed to be inclusive, leaving no one behind</w:t>
      </w:r>
    </w:p>
    <w:p w14:paraId="398D5037" w14:textId="77777777" w:rsidR="00CE2DB6" w:rsidRDefault="00CE2DB6" w:rsidP="00AA5587">
      <w:pPr>
        <w:pStyle w:val="Bullet"/>
      </w:pPr>
      <w:r>
        <w:lastRenderedPageBreak/>
        <w:t>Digital Access Standard – aims to improve service discoverability and ease of access points for all users</w:t>
      </w:r>
    </w:p>
    <w:p w14:paraId="7D4B3228" w14:textId="77777777" w:rsidR="00CE2DB6" w:rsidRDefault="00CE2DB6" w:rsidP="00AA5587">
      <w:pPr>
        <w:pStyle w:val="Bullet"/>
      </w:pPr>
      <w:r>
        <w:t>Digital Performance Standard – sets criteria for monitoring and reporting on the performance of digital services</w:t>
      </w:r>
    </w:p>
    <w:p w14:paraId="48D0231D" w14:textId="77777777" w:rsidR="00CE2DB6" w:rsidRPr="004908D4" w:rsidRDefault="00CE2DB6" w:rsidP="00CE2DB6">
      <w:r>
        <w:t>Collectively, the DX Policy and associated standards are designed to improve the experience for people and business interacting digitally with government information and services.</w:t>
      </w:r>
    </w:p>
    <w:p w14:paraId="73DFEFAA" w14:textId="77777777" w:rsidR="00CE2DB6" w:rsidRDefault="00CE2DB6" w:rsidP="00490A8D">
      <w:pPr>
        <w:pStyle w:val="Heading3"/>
      </w:pPr>
      <w:bookmarkStart w:id="180" w:name="_Toc190269116"/>
      <w:bookmarkStart w:id="181" w:name="_Toc2111514921"/>
      <w:r>
        <w:t>Digital Service Standard</w:t>
      </w:r>
      <w:bookmarkEnd w:id="180"/>
      <w:bookmarkEnd w:id="181"/>
    </w:p>
    <w:p w14:paraId="70FA4EAE" w14:textId="1B730922" w:rsidR="00CE2DB6" w:rsidRDefault="00CE2DB6" w:rsidP="00CE2DB6">
      <w:r>
        <w:t xml:space="preserve">The </w:t>
      </w:r>
      <w:hyperlink r:id="rId80" w:tooltip="Digital Service Standard" w:history="1">
        <w:r w:rsidRPr="00E972A8">
          <w:rPr>
            <w:rStyle w:val="Hyperlink"/>
          </w:rPr>
          <w:t>Digital Service Standard</w:t>
        </w:r>
      </w:hyperlink>
      <w:r>
        <w:t xml:space="preserve"> (DSS) is mandatory for digital websites, mobile apps and other digital platforms and services created by Federal Government departments and agencies.</w:t>
      </w:r>
    </w:p>
    <w:p w14:paraId="4DA96837" w14:textId="77777777" w:rsidR="00CE2DB6" w:rsidRDefault="00CE2DB6" w:rsidP="00CE2DB6">
      <w:r w:rsidRPr="01678B86">
        <w:t>People and businesses need to be at the centre of government digital service delivery. The Digital Service Standard sets the requirement for government to create and maintain services that meet the needs of people and business.</w:t>
      </w:r>
    </w:p>
    <w:p w14:paraId="770FDB52" w14:textId="62C1C06A" w:rsidR="00CE2DB6" w:rsidRDefault="00CE2DB6" w:rsidP="00CE2DB6">
      <w:r w:rsidRPr="01678B86">
        <w:t xml:space="preserve">The </w:t>
      </w:r>
      <w:hyperlink r:id="rId81" w:tooltip="DSS Version 2.0">
        <w:r w:rsidRPr="01678B86">
          <w:rPr>
            <w:rStyle w:val="Hyperlink"/>
          </w:rPr>
          <w:t>DSS Version 2.0</w:t>
        </w:r>
      </w:hyperlink>
      <w:r w:rsidRPr="01678B86">
        <w:t xml:space="preserve"> was released in December 2023 and covers informational, transactional and staff-facing services. It requires the application of the latest version of WCAG along with requirements to “know your user” and to “leave no one behind”.</w:t>
      </w:r>
    </w:p>
    <w:p w14:paraId="365DD4B9" w14:textId="77777777" w:rsidR="00CE2DB6" w:rsidRDefault="00CE2DB6" w:rsidP="00CE2DB6">
      <w:r>
        <w:t>Most Australian States have similar requirements – see below.</w:t>
      </w:r>
    </w:p>
    <w:p w14:paraId="48B68177" w14:textId="77777777" w:rsidR="00CE2DB6" w:rsidRDefault="00CE2DB6" w:rsidP="00490A8D">
      <w:pPr>
        <w:pStyle w:val="Heading3"/>
      </w:pPr>
      <w:bookmarkStart w:id="182" w:name="_Toc190269117"/>
      <w:bookmarkStart w:id="183" w:name="_Toc1255480894"/>
      <w:r>
        <w:t>Digital Experience Standard</w:t>
      </w:r>
      <w:bookmarkEnd w:id="182"/>
      <w:bookmarkEnd w:id="183"/>
    </w:p>
    <w:p w14:paraId="1C919E48" w14:textId="5C8862F6" w:rsidR="00CE2DB6" w:rsidRPr="005765BA" w:rsidRDefault="00CE2DB6" w:rsidP="00CE2DB6">
      <w:r w:rsidRPr="01678B86">
        <w:t xml:space="preserve">The </w:t>
      </w:r>
      <w:hyperlink r:id="rId82" w:tooltip="Digital Inclusion Standard">
        <w:r w:rsidRPr="01678B86">
          <w:rPr>
            <w:rStyle w:val="Hyperlink"/>
          </w:rPr>
          <w:t>Digital Inclusion Standard</w:t>
        </w:r>
      </w:hyperlink>
      <w:r w:rsidRPr="01678B86">
        <w:rPr>
          <w:rStyle w:val="Hyperlink"/>
        </w:rPr>
        <w:t xml:space="preserve"> (DIS) </w:t>
      </w:r>
      <w:r w:rsidRPr="01678B86">
        <w:t>sets the requirements for inclusive and accessible digital government experiences. It comes into effect from January 2025 for new services and June 2025 for existing services. Agencies will be required to report on their progress.</w:t>
      </w:r>
    </w:p>
    <w:p w14:paraId="1971E0CA" w14:textId="77777777" w:rsidR="00CE2DB6" w:rsidRPr="00D60770" w:rsidRDefault="00CE2DB6" w:rsidP="00CE2DB6">
      <w:r w:rsidRPr="01678B86">
        <w:lastRenderedPageBreak/>
        <w:t>Picking up on the DSS criteria to “leave no one behind”, the DIS has requirements to “embrace diversity” and to “make it accessible”.</w:t>
      </w:r>
    </w:p>
    <w:p w14:paraId="40C95470" w14:textId="77777777" w:rsidR="00CE2DB6" w:rsidRDefault="00CE2DB6" w:rsidP="00490A8D">
      <w:pPr>
        <w:pStyle w:val="Heading3"/>
      </w:pPr>
      <w:bookmarkStart w:id="184" w:name="_Toc190269118"/>
      <w:bookmarkStart w:id="185" w:name="_Toc1903412824"/>
      <w:r>
        <w:t>Digital Access Standard</w:t>
      </w:r>
      <w:bookmarkEnd w:id="184"/>
      <w:bookmarkEnd w:id="185"/>
    </w:p>
    <w:p w14:paraId="06B9293A" w14:textId="28EFEE8D" w:rsidR="00CE2DB6" w:rsidRPr="00D60770" w:rsidRDefault="00CE2DB6" w:rsidP="00CE2DB6">
      <w:r w:rsidRPr="00683A7F">
        <w:t xml:space="preserve">The </w:t>
      </w:r>
      <w:hyperlink r:id="rId83" w:tooltip="Digital Access Standard" w:history="1">
        <w:r w:rsidRPr="0083702B">
          <w:rPr>
            <w:rStyle w:val="Hyperlink"/>
          </w:rPr>
          <w:t>Digital Access Standard</w:t>
        </w:r>
      </w:hyperlink>
      <w:r w:rsidRPr="00683A7F">
        <w:t xml:space="preserve"> requires agencies to consider how people already access services</w:t>
      </w:r>
      <w:r>
        <w:t xml:space="preserve"> and</w:t>
      </w:r>
      <w:r w:rsidRPr="00683A7F">
        <w:t xml:space="preserve"> the context in which they might access it.</w:t>
      </w:r>
      <w:r>
        <w:t xml:space="preserve"> This should </w:t>
      </w:r>
      <w:r w:rsidRPr="00683A7F">
        <w:t>maximise discoverability of a service</w:t>
      </w:r>
      <w:r>
        <w:t>.</w:t>
      </w:r>
      <w:r w:rsidRPr="00683A7F">
        <w:t xml:space="preserve"> Existing services should be built on in preference to building something new.</w:t>
      </w:r>
    </w:p>
    <w:p w14:paraId="086F5610" w14:textId="77777777" w:rsidR="00CE2DB6" w:rsidRDefault="00CE2DB6" w:rsidP="00490A8D">
      <w:pPr>
        <w:pStyle w:val="Heading3"/>
      </w:pPr>
      <w:bookmarkStart w:id="186" w:name="_Toc190269119"/>
      <w:bookmarkStart w:id="187" w:name="_Toc475555796"/>
      <w:r>
        <w:t>Digital Performance Standard</w:t>
      </w:r>
      <w:bookmarkEnd w:id="186"/>
      <w:bookmarkEnd w:id="187"/>
    </w:p>
    <w:p w14:paraId="32455BEF" w14:textId="7892728C" w:rsidR="00CE2DB6" w:rsidRPr="00D60770" w:rsidRDefault="00CE2DB6" w:rsidP="00CE2DB6">
      <w:r w:rsidRPr="01678B86">
        <w:t xml:space="preserve">The </w:t>
      </w:r>
      <w:hyperlink r:id="rId84" w:tooltip="Digital Performance Standard">
        <w:r w:rsidRPr="01678B86">
          <w:rPr>
            <w:rStyle w:val="Hyperlink"/>
          </w:rPr>
          <w:t>Digital Performance Standard</w:t>
        </w:r>
      </w:hyperlink>
      <w:r w:rsidRPr="01678B86">
        <w:t xml:space="preserve"> requires agencies to establish key performance indicators and to implement a performance monitoring approach that focuses on the end-user experience. Agencies also need to assess the user’s journey across different channels, aiming to make the whole service smoother.</w:t>
      </w:r>
    </w:p>
    <w:p w14:paraId="29E4BB8A" w14:textId="77777777" w:rsidR="00CE2DB6" w:rsidRDefault="00CE2DB6" w:rsidP="00490A8D">
      <w:pPr>
        <w:pStyle w:val="Heading3"/>
      </w:pPr>
      <w:bookmarkStart w:id="188" w:name="_Toc190269120"/>
      <w:bookmarkStart w:id="189" w:name="_Toc1371397807"/>
      <w:r>
        <w:t>Australian Government Architecture</w:t>
      </w:r>
      <w:bookmarkEnd w:id="188"/>
      <w:bookmarkEnd w:id="189"/>
    </w:p>
    <w:p w14:paraId="46FB5D32" w14:textId="408A953D" w:rsidR="00CE2DB6" w:rsidRPr="00685911" w:rsidRDefault="00CE2DB6" w:rsidP="00CE2DB6">
      <w:r>
        <w:t xml:space="preserve">The </w:t>
      </w:r>
      <w:hyperlink r:id="rId85" w:tooltip="Australian Government Architecture" w:history="1">
        <w:r w:rsidRPr="00F05B48">
          <w:rPr>
            <w:rStyle w:val="Hyperlink"/>
          </w:rPr>
          <w:t>Australian Government Architecture</w:t>
        </w:r>
      </w:hyperlink>
      <w:r>
        <w:t xml:space="preserve"> (</w:t>
      </w:r>
      <w:r w:rsidRPr="00685911">
        <w:t>AGA</w:t>
      </w:r>
      <w:r>
        <w:t>)</w:t>
      </w:r>
      <w:r w:rsidRPr="00685911">
        <w:t xml:space="preserve"> </w:t>
      </w:r>
      <w:r>
        <w:t>was developed to help government</w:t>
      </w:r>
      <w:r w:rsidRPr="00685911">
        <w:t xml:space="preserve"> to assess new and existing digital solutions by seeing how they “fit in” with</w:t>
      </w:r>
      <w:r>
        <w:t xml:space="preserve"> existing systems</w:t>
      </w:r>
      <w:r w:rsidRPr="00685911">
        <w:t>, whether a new solution helps “fill a gap,” or whether</w:t>
      </w:r>
      <w:r>
        <w:t xml:space="preserve"> existing system is</w:t>
      </w:r>
      <w:r w:rsidRPr="00685911">
        <w:t xml:space="preserve"> no longer “fit for purpose” and needs to be retired.</w:t>
      </w:r>
    </w:p>
    <w:p w14:paraId="34332C9E" w14:textId="453AB039" w:rsidR="00CE2DB6" w:rsidRDefault="00CE2DB6" w:rsidP="00CE2DB6">
      <w:r>
        <w:t xml:space="preserve">The AGA </w:t>
      </w:r>
      <w:hyperlink r:id="rId86" w:tooltip="Content Management Policy" w:history="1">
        <w:r w:rsidRPr="00FF53F4">
          <w:rPr>
            <w:rStyle w:val="Hyperlink"/>
          </w:rPr>
          <w:t>Content Management Policy</w:t>
        </w:r>
      </w:hyperlink>
      <w:r>
        <w:t xml:space="preserve"> requires government to meet the Web Content Accessibility Guidelines. </w:t>
      </w:r>
    </w:p>
    <w:p w14:paraId="2A4380FE" w14:textId="375590D7" w:rsidR="00CE2DB6" w:rsidRDefault="00CE2DB6" w:rsidP="00CE2DB6">
      <w:r w:rsidRPr="01678B86">
        <w:t xml:space="preserve">The AGA </w:t>
      </w:r>
      <w:hyperlink r:id="rId87" w:tooltip="Complaints and Issue Resolution">
        <w:r w:rsidRPr="01678B86">
          <w:rPr>
            <w:rStyle w:val="Hyperlink"/>
          </w:rPr>
          <w:t>Complaints and Issue Resolution</w:t>
        </w:r>
      </w:hyperlink>
      <w:r w:rsidRPr="01678B86">
        <w:t xml:space="preserve"> section requires “managing the collection of and effective resolution for complaints from individuals about government services and operations”. This should include specific avenues for handling accessibility related complaints.</w:t>
      </w:r>
    </w:p>
    <w:p w14:paraId="7AB850B5" w14:textId="77777777" w:rsidR="00CE2DB6" w:rsidRDefault="00CE2DB6" w:rsidP="00490A8D">
      <w:pPr>
        <w:pStyle w:val="Heading3"/>
      </w:pPr>
      <w:bookmarkStart w:id="190" w:name="_Toc190269121"/>
      <w:bookmarkStart w:id="191" w:name="_Toc1091737745"/>
      <w:r w:rsidRPr="00B20C11">
        <w:lastRenderedPageBreak/>
        <w:t>Data and Digital Government Strategy</w:t>
      </w:r>
      <w:bookmarkEnd w:id="190"/>
      <w:bookmarkEnd w:id="191"/>
    </w:p>
    <w:p w14:paraId="0BFD380D" w14:textId="44DBD41A" w:rsidR="00CE2DB6" w:rsidRDefault="00CE2DB6" w:rsidP="00CE2DB6">
      <w:r>
        <w:t xml:space="preserve">The Australian Government’s </w:t>
      </w:r>
      <w:hyperlink r:id="rId88" w:tooltip="Data and Digital Government Strategy" w:history="1">
        <w:r w:rsidRPr="00887A1C">
          <w:rPr>
            <w:rStyle w:val="Hyperlink"/>
          </w:rPr>
          <w:t>Data and Digital Government Strategy</w:t>
        </w:r>
      </w:hyperlink>
      <w:r>
        <w:t xml:space="preserve"> was developed to help government to </w:t>
      </w:r>
      <w:r w:rsidRPr="00036BA3">
        <w:t>use data and digital technologies to improve our service delivery and decision-making, with a goal of better outcomes for all people and business</w:t>
      </w:r>
      <w:r>
        <w:t>.</w:t>
      </w:r>
    </w:p>
    <w:p w14:paraId="0C5C0DC9" w14:textId="77777777" w:rsidR="00CE2DB6" w:rsidRDefault="00CE2DB6" w:rsidP="00CE2DB6">
      <w:pPr>
        <w:rPr>
          <w:lang w:val="en-NZ"/>
        </w:rPr>
      </w:pPr>
      <w:r>
        <w:rPr>
          <w:lang w:val="en-NZ"/>
        </w:rPr>
        <w:t xml:space="preserve">The Strategy commits the </w:t>
      </w:r>
      <w:r w:rsidRPr="009F22FD">
        <w:rPr>
          <w:lang w:val="en-NZ"/>
        </w:rPr>
        <w:t xml:space="preserve">Australian Government </w:t>
      </w:r>
      <w:r>
        <w:rPr>
          <w:lang w:val="en-NZ"/>
        </w:rPr>
        <w:t>to</w:t>
      </w:r>
      <w:r w:rsidRPr="009F22FD">
        <w:rPr>
          <w:lang w:val="en-NZ"/>
        </w:rPr>
        <w:t xml:space="preserve"> use data and digital technologies to deliver</w:t>
      </w:r>
      <w:r>
        <w:rPr>
          <w:lang w:val="en-NZ"/>
        </w:rPr>
        <w:t xml:space="preserve"> </w:t>
      </w:r>
      <w:r w:rsidRPr="009F22FD">
        <w:rPr>
          <w:lang w:val="en-NZ"/>
        </w:rPr>
        <w:t>connected, accessible services which are centred around the needs of people and business</w:t>
      </w:r>
      <w:r>
        <w:rPr>
          <w:lang w:val="en-NZ"/>
        </w:rPr>
        <w:t xml:space="preserve">. As part of this, agencies are expected to embed co-design and inclusion and accessibility </w:t>
      </w:r>
      <w:r w:rsidRPr="002201F3">
        <w:rPr>
          <w:lang w:val="en-NZ"/>
        </w:rPr>
        <w:t>in its</w:t>
      </w:r>
      <w:r>
        <w:rPr>
          <w:lang w:val="en-NZ"/>
        </w:rPr>
        <w:t xml:space="preserve"> </w:t>
      </w:r>
      <w:r w:rsidRPr="002201F3">
        <w:rPr>
          <w:lang w:val="en-NZ"/>
        </w:rPr>
        <w:t>data collection, use and governance activities</w:t>
      </w:r>
      <w:r>
        <w:rPr>
          <w:lang w:val="en-NZ"/>
        </w:rPr>
        <w:t>. Specifically, government is committed to:</w:t>
      </w:r>
    </w:p>
    <w:p w14:paraId="4289A14D" w14:textId="48663567" w:rsidR="00CE2DB6" w:rsidRPr="00A26E60" w:rsidRDefault="00CE2DB6" w:rsidP="002A4642">
      <w:pPr>
        <w:pStyle w:val="Quote"/>
        <w:rPr>
          <w:lang w:val="en-NZ"/>
        </w:rPr>
      </w:pPr>
      <w:r>
        <w:rPr>
          <w:lang w:val="en-NZ"/>
        </w:rPr>
        <w:t>“</w:t>
      </w:r>
      <w:proofErr w:type="gramStart"/>
      <w:r w:rsidRPr="00A26E60">
        <w:rPr>
          <w:lang w:val="en-NZ"/>
        </w:rPr>
        <w:t>ensure</w:t>
      </w:r>
      <w:proofErr w:type="gramEnd"/>
      <w:r w:rsidRPr="00A26E60">
        <w:rPr>
          <w:lang w:val="en-NZ"/>
        </w:rPr>
        <w:t xml:space="preserve"> all people can access and benefit from its services, </w:t>
      </w:r>
      <w:r w:rsidR="002A4642">
        <w:rPr>
          <w:lang w:val="en-NZ"/>
        </w:rPr>
        <w:br/>
      </w:r>
      <w:r w:rsidRPr="00A26E60">
        <w:rPr>
          <w:lang w:val="en-NZ"/>
        </w:rPr>
        <w:t>the Australian Government commits to:</w:t>
      </w:r>
    </w:p>
    <w:p w14:paraId="34FDD32D" w14:textId="77777777" w:rsidR="00CE2DB6" w:rsidRPr="002A4642" w:rsidRDefault="00CE2DB6" w:rsidP="002A4642">
      <w:pPr>
        <w:pStyle w:val="Quotebullets"/>
      </w:pPr>
      <w:r w:rsidRPr="002A4642">
        <w:t>providing omni-channel service delivery to ensure digitally delivered services are accessible over the phone or face to face</w:t>
      </w:r>
    </w:p>
    <w:p w14:paraId="089B34C6" w14:textId="77777777" w:rsidR="00CE2DB6" w:rsidRPr="002A4642" w:rsidRDefault="00CE2DB6" w:rsidP="002A4642">
      <w:pPr>
        <w:pStyle w:val="Quotebullets"/>
      </w:pPr>
      <w:r w:rsidRPr="002A4642">
        <w:t>ensuring all websites and services meet the latest Web Content Accessibility Guidelines</w:t>
      </w:r>
    </w:p>
    <w:p w14:paraId="45445816" w14:textId="77777777" w:rsidR="00CE2DB6" w:rsidRPr="002A4642" w:rsidRDefault="00CE2DB6" w:rsidP="002A4642">
      <w:pPr>
        <w:pStyle w:val="Quotebullets"/>
      </w:pPr>
      <w:r w:rsidRPr="002A4642">
        <w:t>implementing the Digital Service Standard to embed best-practice service design and accessibility across the Australian Public Service</w:t>
      </w:r>
    </w:p>
    <w:p w14:paraId="69F41AC2" w14:textId="77777777" w:rsidR="00CE2DB6" w:rsidRPr="002A4642" w:rsidRDefault="00CE2DB6" w:rsidP="002A4642">
      <w:pPr>
        <w:pStyle w:val="Quotebullets"/>
      </w:pPr>
      <w:r w:rsidRPr="002A4642">
        <w:t>embracing new technologies and leveraging data and insights to increase empathetic service design (e.g., natural language processing to enhance services for non-English speakers).”</w:t>
      </w:r>
    </w:p>
    <w:p w14:paraId="54B36B5A" w14:textId="12CCF879" w:rsidR="00CE2DB6" w:rsidRDefault="00CE2DB6" w:rsidP="00CE2DB6">
      <w:pPr>
        <w:rPr>
          <w:rStyle w:val="Hyperlink"/>
          <w:lang w:val="en-NZ"/>
        </w:rPr>
      </w:pPr>
      <w:r>
        <w:rPr>
          <w:lang w:val="en-NZ"/>
        </w:rPr>
        <w:t xml:space="preserve">The </w:t>
      </w:r>
      <w:hyperlink r:id="rId89" w:tooltip="Implementation plan" w:history="1">
        <w:r w:rsidRPr="00FF3994">
          <w:rPr>
            <w:rStyle w:val="Hyperlink"/>
            <w:lang w:val="en-NZ"/>
          </w:rPr>
          <w:t>Implementation plan</w:t>
        </w:r>
      </w:hyperlink>
      <w:r>
        <w:rPr>
          <w:lang w:val="en-NZ"/>
        </w:rPr>
        <w:t xml:space="preserve"> </w:t>
      </w:r>
      <w:r w:rsidRPr="00590C4A">
        <w:rPr>
          <w:lang w:val="en-NZ"/>
        </w:rPr>
        <w:t xml:space="preserve">has a </w:t>
      </w:r>
      <w:hyperlink r:id="rId90" w:tooltip="roadmap which also specifically mentions the Digital Service Standard Version 2.0" w:history="1">
        <w:r w:rsidRPr="00724218">
          <w:rPr>
            <w:rStyle w:val="Hyperlink"/>
            <w:lang w:val="en-NZ"/>
          </w:rPr>
          <w:t>roadmap which also specifically mentions the Digital Service Standard Version 2.0</w:t>
        </w:r>
      </w:hyperlink>
      <w:r w:rsidRPr="00590C4A">
        <w:rPr>
          <w:rStyle w:val="Hyperlink"/>
          <w:lang w:val="en-NZ"/>
        </w:rPr>
        <w:t>.</w:t>
      </w:r>
    </w:p>
    <w:p w14:paraId="59F98B82" w14:textId="77777777" w:rsidR="002A4642" w:rsidRDefault="002A4642" w:rsidP="002A4642">
      <w:pPr>
        <w:pStyle w:val="Heading2"/>
      </w:pPr>
      <w:bookmarkStart w:id="192" w:name="_Toc190269122"/>
      <w:bookmarkStart w:id="193" w:name="_Toc936586795"/>
      <w:r>
        <w:br w:type="page"/>
      </w:r>
    </w:p>
    <w:p w14:paraId="022A4499" w14:textId="574700E1" w:rsidR="00CE2DB6" w:rsidRPr="002A4642" w:rsidRDefault="00CE2DB6" w:rsidP="002A4642">
      <w:pPr>
        <w:pStyle w:val="Heading2"/>
      </w:pPr>
      <w:bookmarkStart w:id="194" w:name="_Toc194569664"/>
      <w:r w:rsidRPr="002A4642">
        <w:lastRenderedPageBreak/>
        <w:t>State Government requirements</w:t>
      </w:r>
      <w:bookmarkEnd w:id="192"/>
      <w:bookmarkEnd w:id="193"/>
      <w:bookmarkEnd w:id="194"/>
    </w:p>
    <w:p w14:paraId="2A966073" w14:textId="77777777" w:rsidR="00CE2DB6" w:rsidRPr="00DC6D0E" w:rsidRDefault="00CE2DB6" w:rsidP="00CE2DB6">
      <w:r>
        <w:t>All the Australian State and Territory Governments have made accessibility commitments – most have supporting resources.</w:t>
      </w:r>
    </w:p>
    <w:p w14:paraId="65FEDE77" w14:textId="77777777" w:rsidR="00CE2DB6" w:rsidRDefault="00CE2DB6" w:rsidP="002A4642">
      <w:pPr>
        <w:pStyle w:val="Heading3"/>
      </w:pPr>
      <w:r>
        <w:t>Australian Capital Territory</w:t>
      </w:r>
    </w:p>
    <w:p w14:paraId="7DA95F08" w14:textId="1C153F4D" w:rsidR="00CE2DB6" w:rsidRDefault="00CE2DB6" w:rsidP="002A4642">
      <w:pPr>
        <w:pStyle w:val="Bullet"/>
      </w:pPr>
      <w:hyperlink r:id="rId91" w:anchor="Our-accessibility-standards" w:tooltip="Aims to meet the Digital Service Standard" w:history="1">
        <w:r w:rsidRPr="00771340">
          <w:rPr>
            <w:rStyle w:val="Hyperlink"/>
          </w:rPr>
          <w:t>Aims to meet the Digital Service Standard</w:t>
        </w:r>
      </w:hyperlink>
    </w:p>
    <w:p w14:paraId="65AFB402" w14:textId="77777777" w:rsidR="00CE2DB6" w:rsidRDefault="00CE2DB6" w:rsidP="002A4642">
      <w:pPr>
        <w:pStyle w:val="Heading3"/>
      </w:pPr>
      <w:r>
        <w:t>New South Wales</w:t>
      </w:r>
    </w:p>
    <w:p w14:paraId="2099A58B" w14:textId="18036C8D" w:rsidR="00CE2DB6" w:rsidRPr="00EE3BDE" w:rsidRDefault="00CE2DB6" w:rsidP="002A4642">
      <w:pPr>
        <w:pStyle w:val="Bullet"/>
        <w:rPr>
          <w:rStyle w:val="Hyperlink"/>
        </w:rPr>
      </w:pPr>
      <w:hyperlink r:id="rId92" w:tgtFrame="_blank" w:tooltip="Design Standards" w:history="1">
        <w:r w:rsidRPr="00EE3BDE">
          <w:rPr>
            <w:rStyle w:val="Hyperlink"/>
          </w:rPr>
          <w:t>Design Standards</w:t>
        </w:r>
      </w:hyperlink>
    </w:p>
    <w:p w14:paraId="41707FCA" w14:textId="1F6028AA" w:rsidR="00CE2DB6" w:rsidRPr="00EE3BDE" w:rsidRDefault="00CE2DB6" w:rsidP="002A4642">
      <w:pPr>
        <w:pStyle w:val="Bullet"/>
        <w:rPr>
          <w:rStyle w:val="Hyperlink"/>
        </w:rPr>
      </w:pPr>
      <w:hyperlink r:id="rId93" w:tgtFrame="_blank" w:tooltip="Accessibility resources" w:history="1">
        <w:r w:rsidRPr="00EE3BDE">
          <w:rPr>
            <w:rStyle w:val="Hyperlink"/>
          </w:rPr>
          <w:t>Accessibility resources</w:t>
        </w:r>
      </w:hyperlink>
    </w:p>
    <w:p w14:paraId="13E34E5D" w14:textId="1804FCEC" w:rsidR="00CE2DB6" w:rsidRPr="00EE3BDE" w:rsidRDefault="00CE2DB6" w:rsidP="002A4642">
      <w:pPr>
        <w:pStyle w:val="Bullet"/>
        <w:rPr>
          <w:rStyle w:val="Hyperlink"/>
        </w:rPr>
      </w:pPr>
      <w:hyperlink r:id="rId94" w:tgtFrame="_blank" w:tooltip="Accessibility and Inclusivity Toolkit" w:history="1">
        <w:r w:rsidRPr="00EE3BDE">
          <w:rPr>
            <w:rStyle w:val="Hyperlink"/>
          </w:rPr>
          <w:t>Accessibility and Inclusivity Toolkit</w:t>
        </w:r>
      </w:hyperlink>
    </w:p>
    <w:p w14:paraId="1242016E" w14:textId="77777777" w:rsidR="00CE2DB6" w:rsidRDefault="00CE2DB6" w:rsidP="002A4642">
      <w:pPr>
        <w:pStyle w:val="Heading3"/>
      </w:pPr>
      <w:r>
        <w:t>Northern Territory</w:t>
      </w:r>
    </w:p>
    <w:p w14:paraId="093DA2EB" w14:textId="32A7E281" w:rsidR="00CE2DB6" w:rsidRDefault="00CE2DB6" w:rsidP="002A4642">
      <w:pPr>
        <w:pStyle w:val="Bullet"/>
      </w:pPr>
      <w:hyperlink r:id="rId95" w:tooltip="Endorsed Web Content Accessibility Guidelines 2.0" w:history="1">
        <w:r w:rsidRPr="00417262">
          <w:rPr>
            <w:rStyle w:val="Hyperlink"/>
          </w:rPr>
          <w:t>Endorsed Web Content Accessibility Guidelines 2.0</w:t>
        </w:r>
      </w:hyperlink>
    </w:p>
    <w:p w14:paraId="1C9FCF90" w14:textId="77777777" w:rsidR="00CE2DB6" w:rsidRDefault="00CE2DB6" w:rsidP="002A4642">
      <w:pPr>
        <w:pStyle w:val="Heading3"/>
      </w:pPr>
      <w:r>
        <w:t>Queensland</w:t>
      </w:r>
    </w:p>
    <w:p w14:paraId="39EA9803" w14:textId="66DA9FD2" w:rsidR="00CE2DB6" w:rsidRPr="00EE3BDE" w:rsidRDefault="00CE2DB6" w:rsidP="002A4642">
      <w:pPr>
        <w:pStyle w:val="Bullet"/>
        <w:rPr>
          <w:rStyle w:val="Hyperlink"/>
        </w:rPr>
      </w:pPr>
      <w:hyperlink r:id="rId96" w:tgtFrame="_blank" w:tooltip="Digital service standard" w:history="1">
        <w:r w:rsidRPr="00EE3BDE">
          <w:rPr>
            <w:rStyle w:val="Hyperlink"/>
          </w:rPr>
          <w:t>Digital service standard</w:t>
        </w:r>
      </w:hyperlink>
    </w:p>
    <w:p w14:paraId="77D6769D" w14:textId="182E82E4" w:rsidR="00CE2DB6" w:rsidRPr="00EE3BDE" w:rsidRDefault="00CE2DB6" w:rsidP="002A4642">
      <w:pPr>
        <w:pStyle w:val="Bullet"/>
        <w:rPr>
          <w:rStyle w:val="Hyperlink"/>
        </w:rPr>
      </w:pPr>
      <w:hyperlink r:id="rId97" w:tgtFrame="_blank" w:tooltip="Make digital services accessible" w:history="1">
        <w:r w:rsidRPr="00EE3BDE">
          <w:rPr>
            <w:rStyle w:val="Hyperlink"/>
          </w:rPr>
          <w:t>Make digital services accessible</w:t>
        </w:r>
      </w:hyperlink>
    </w:p>
    <w:p w14:paraId="799168D5" w14:textId="531D2FCD" w:rsidR="00CE2DB6" w:rsidRPr="00EE3BDE" w:rsidRDefault="00CE2DB6" w:rsidP="002A4642">
      <w:pPr>
        <w:pStyle w:val="Bullet"/>
        <w:rPr>
          <w:rStyle w:val="Hyperlink"/>
        </w:rPr>
      </w:pPr>
      <w:hyperlink r:id="rId98" w:tgtFrame="_blank" w:tooltip="Consistent User Experience Standard" w:history="1">
        <w:r w:rsidRPr="00EE3BDE">
          <w:rPr>
            <w:rStyle w:val="Hyperlink"/>
          </w:rPr>
          <w:t>Consistent User Experience Standard</w:t>
        </w:r>
      </w:hyperlink>
    </w:p>
    <w:p w14:paraId="5A6FA0B3" w14:textId="77777777" w:rsidR="00CE2DB6" w:rsidRDefault="00CE2DB6" w:rsidP="002A4642">
      <w:pPr>
        <w:pStyle w:val="Heading3"/>
      </w:pPr>
      <w:r>
        <w:t>South Australia</w:t>
      </w:r>
    </w:p>
    <w:p w14:paraId="0774CD78" w14:textId="19D1B91E" w:rsidR="00CE2DB6" w:rsidRPr="00A55F9E" w:rsidRDefault="00CE2DB6" w:rsidP="002A4642">
      <w:pPr>
        <w:pStyle w:val="Bullet"/>
        <w:rPr>
          <w:rStyle w:val="Hyperlink"/>
        </w:rPr>
      </w:pPr>
      <w:hyperlink r:id="rId99" w:tgtFrame="_blank" w:tooltip="Digital Service Standard Policy" w:history="1">
        <w:r w:rsidRPr="00A55F9E">
          <w:rPr>
            <w:rStyle w:val="Hyperlink"/>
          </w:rPr>
          <w:t>Digital Service Standard Policy</w:t>
        </w:r>
      </w:hyperlink>
    </w:p>
    <w:p w14:paraId="26FB314A" w14:textId="74A5656F" w:rsidR="00CE2DB6" w:rsidRPr="00A55F9E" w:rsidRDefault="00CE2DB6" w:rsidP="002A4642">
      <w:pPr>
        <w:pStyle w:val="Bullet"/>
        <w:rPr>
          <w:rStyle w:val="Hyperlink"/>
        </w:rPr>
      </w:pPr>
      <w:hyperlink r:id="rId100" w:tgtFrame="_blank" w:tooltip="Online Accessibility Toolkit" w:history="1">
        <w:r w:rsidRPr="00A55F9E">
          <w:rPr>
            <w:rStyle w:val="Hyperlink"/>
          </w:rPr>
          <w:t>Online Accessibility Toolkit</w:t>
        </w:r>
      </w:hyperlink>
    </w:p>
    <w:p w14:paraId="0D9E9C4F" w14:textId="77777777" w:rsidR="00CE2DB6" w:rsidRDefault="00CE2DB6" w:rsidP="002A4642">
      <w:pPr>
        <w:pStyle w:val="Heading3"/>
      </w:pPr>
      <w:r>
        <w:lastRenderedPageBreak/>
        <w:t>Tasmania</w:t>
      </w:r>
    </w:p>
    <w:p w14:paraId="18DF2D90" w14:textId="37292A62" w:rsidR="00CE2DB6" w:rsidRDefault="00CE2DB6" w:rsidP="002A4642">
      <w:pPr>
        <w:pStyle w:val="Bullet"/>
      </w:pPr>
      <w:hyperlink r:id="rId101" w:tooltip="Accessibility commitment" w:history="1">
        <w:r w:rsidRPr="00B5538E">
          <w:rPr>
            <w:rStyle w:val="Hyperlink"/>
          </w:rPr>
          <w:t>Accessibility commitment</w:t>
        </w:r>
      </w:hyperlink>
    </w:p>
    <w:p w14:paraId="44E39CE4" w14:textId="1943721F" w:rsidR="00CE2DB6" w:rsidRDefault="00CE2DB6" w:rsidP="002A4642">
      <w:pPr>
        <w:pStyle w:val="Bullet"/>
      </w:pPr>
      <w:hyperlink r:id="rId102" w:tooltip="Accessible and inclusive communications" w:history="1">
        <w:r w:rsidRPr="00114057">
          <w:rPr>
            <w:rStyle w:val="Hyperlink"/>
          </w:rPr>
          <w:t>Accessible and inclusive communications</w:t>
        </w:r>
      </w:hyperlink>
    </w:p>
    <w:p w14:paraId="6B06BDC7" w14:textId="77777777" w:rsidR="00CE2DB6" w:rsidRDefault="00CE2DB6" w:rsidP="002A4642">
      <w:pPr>
        <w:pStyle w:val="Heading3"/>
      </w:pPr>
      <w:r>
        <w:t>Victoria</w:t>
      </w:r>
    </w:p>
    <w:p w14:paraId="7CAB6B28" w14:textId="5B61D0B8" w:rsidR="00CE2DB6" w:rsidRPr="00EE3BDE" w:rsidRDefault="00CE2DB6" w:rsidP="002A4642">
      <w:pPr>
        <w:pStyle w:val="Bullet"/>
        <w:rPr>
          <w:rStyle w:val="Hyperlink"/>
        </w:rPr>
      </w:pPr>
      <w:hyperlink r:id="rId103" w:tgtFrame="_blank" w:tooltip="Digital guides" w:history="1">
        <w:r w:rsidRPr="00EE3BDE">
          <w:rPr>
            <w:rStyle w:val="Hyperlink"/>
          </w:rPr>
          <w:t>Digital guides</w:t>
        </w:r>
      </w:hyperlink>
    </w:p>
    <w:p w14:paraId="573AE513" w14:textId="5502E06D" w:rsidR="00CE2DB6" w:rsidRPr="00EE3BDE" w:rsidRDefault="00CE2DB6" w:rsidP="002A4642">
      <w:pPr>
        <w:pStyle w:val="Bullet"/>
        <w:rPr>
          <w:rStyle w:val="Hyperlink"/>
        </w:rPr>
      </w:pPr>
      <w:hyperlink r:id="rId104" w:tgtFrame="_blank" w:tooltip="Make content accessible" w:history="1">
        <w:r w:rsidRPr="00EE3BDE">
          <w:rPr>
            <w:rStyle w:val="Hyperlink"/>
          </w:rPr>
          <w:t>Make content accessible</w:t>
        </w:r>
      </w:hyperlink>
    </w:p>
    <w:p w14:paraId="0972FA60" w14:textId="77777777" w:rsidR="00CE2DB6" w:rsidRDefault="00CE2DB6" w:rsidP="002A4642">
      <w:pPr>
        <w:pStyle w:val="Heading3"/>
      </w:pPr>
      <w:r>
        <w:t>Western Australia</w:t>
      </w:r>
    </w:p>
    <w:p w14:paraId="1AFBDAA4" w14:textId="77B9DB02" w:rsidR="00CE2DB6" w:rsidRPr="00EE3BDE" w:rsidRDefault="00CE2DB6" w:rsidP="002A4642">
      <w:pPr>
        <w:pStyle w:val="Bullet"/>
        <w:rPr>
          <w:rStyle w:val="Hyperlink"/>
        </w:rPr>
      </w:pPr>
      <w:hyperlink r:id="rId105" w:tgtFrame="_blank" w:tooltip="Digital Services Policy Framework" w:history="1">
        <w:r w:rsidRPr="00EE3BDE">
          <w:rPr>
            <w:rStyle w:val="Hyperlink"/>
          </w:rPr>
          <w:t>Digital Services Policy Framework</w:t>
        </w:r>
      </w:hyperlink>
    </w:p>
    <w:p w14:paraId="4AFF8E09" w14:textId="0F4D5CEE" w:rsidR="00CE2DB6" w:rsidRPr="00EE3BDE" w:rsidRDefault="00CE2DB6" w:rsidP="002A4642">
      <w:pPr>
        <w:pStyle w:val="Bullet"/>
        <w:rPr>
          <w:rStyle w:val="Hyperlink"/>
        </w:rPr>
      </w:pPr>
      <w:hyperlink r:id="rId106" w:tgtFrame="_blank" w:tooltip="Accessibility and Inclusivity Standard" w:history="1">
        <w:r w:rsidRPr="00EE3BDE">
          <w:rPr>
            <w:rStyle w:val="Hyperlink"/>
          </w:rPr>
          <w:t>Accessibility and Inclusivity Standard</w:t>
        </w:r>
      </w:hyperlink>
    </w:p>
    <w:p w14:paraId="093FC041" w14:textId="77777777" w:rsidR="00CE2DB6" w:rsidRDefault="00CE2DB6" w:rsidP="00490A8D">
      <w:pPr>
        <w:pStyle w:val="Heading2"/>
      </w:pPr>
      <w:bookmarkStart w:id="195" w:name="_Toc190269123"/>
      <w:bookmarkStart w:id="196" w:name="_Toc2099702863"/>
      <w:bookmarkStart w:id="197" w:name="_Toc194569665"/>
      <w:r>
        <w:t>Industry requirements</w:t>
      </w:r>
      <w:bookmarkEnd w:id="195"/>
      <w:bookmarkEnd w:id="196"/>
      <w:bookmarkEnd w:id="197"/>
    </w:p>
    <w:p w14:paraId="6DBF41A5" w14:textId="77777777" w:rsidR="00CE2DB6" w:rsidRDefault="00CE2DB6" w:rsidP="00490A8D">
      <w:pPr>
        <w:pStyle w:val="Heading3"/>
      </w:pPr>
      <w:bookmarkStart w:id="198" w:name="_Toc190269124"/>
      <w:bookmarkStart w:id="199" w:name="_Toc554295317"/>
      <w:r>
        <w:t>Banking</w:t>
      </w:r>
      <w:r w:rsidRPr="005A6235">
        <w:t xml:space="preserve"> Inclusivity and Accessibility</w:t>
      </w:r>
      <w:bookmarkEnd w:id="198"/>
      <w:bookmarkEnd w:id="199"/>
    </w:p>
    <w:p w14:paraId="5D465472" w14:textId="6BB92CD0" w:rsidR="00CE2DB6" w:rsidRPr="009B1842" w:rsidRDefault="00CE2DB6" w:rsidP="00CE2DB6">
      <w:r w:rsidRPr="01678B86">
        <w:t xml:space="preserve">The </w:t>
      </w:r>
      <w:hyperlink r:id="rId107" w:tooltip="Accessibility and Inclusion Principles for Banking Services">
        <w:r w:rsidRPr="01678B86">
          <w:rPr>
            <w:rStyle w:val="Hyperlink"/>
          </w:rPr>
          <w:t>Accessibility and Inclusion Principles for Banking Services</w:t>
        </w:r>
      </w:hyperlink>
      <w:r w:rsidRPr="01678B86">
        <w:t xml:space="preserve"> promote equitable access, usability, and inclusivity for customers with disability and their carers to banking services. The Australian banking industry is committed to ensuring the inclusivity and accessibility of all banking products and services for all people, including those with disability and their </w:t>
      </w:r>
      <w:proofErr w:type="spellStart"/>
      <w:r w:rsidRPr="01678B86">
        <w:t>carers</w:t>
      </w:r>
      <w:proofErr w:type="spellEnd"/>
      <w:r w:rsidRPr="01678B86">
        <w:t>. The inclusive and accessible banking services extend beyond just physical branches to digital and telephonic offerings, including websites, mobile apps, phone lines and artificial intelligence (AI) chatbots.</w:t>
      </w:r>
    </w:p>
    <w:p w14:paraId="6E227CD7" w14:textId="77777777" w:rsidR="00CE2DB6" w:rsidRDefault="00CE2DB6" w:rsidP="00490A8D">
      <w:pPr>
        <w:pStyle w:val="Heading3"/>
      </w:pPr>
      <w:bookmarkStart w:id="200" w:name="_Toc190269125"/>
      <w:bookmarkStart w:id="201" w:name="_Toc2082479915"/>
      <w:r w:rsidRPr="002F4922">
        <w:lastRenderedPageBreak/>
        <w:t>Guidelines for Accessibility in PIN Entry on Touchscreen Terminals</w:t>
      </w:r>
      <w:bookmarkEnd w:id="200"/>
      <w:bookmarkEnd w:id="201"/>
    </w:p>
    <w:p w14:paraId="3C1C45BB" w14:textId="3796F18F" w:rsidR="00CE2DB6" w:rsidRPr="00FF711E" w:rsidRDefault="00CE2DB6" w:rsidP="00CE2DB6">
      <w:r w:rsidRPr="00FF711E">
        <w:t xml:space="preserve">The </w:t>
      </w:r>
      <w:hyperlink r:id="rId108" w:tooltip="Guidelines for Accessibility in PIN Entry" w:history="1">
        <w:r w:rsidRPr="007877DB">
          <w:rPr>
            <w:rStyle w:val="Hyperlink"/>
          </w:rPr>
          <w:t>Guidelines for Accessibility in PIN En</w:t>
        </w:r>
        <w:r>
          <w:rPr>
            <w:rStyle w:val="Hyperlink"/>
          </w:rPr>
          <w:t>t</w:t>
        </w:r>
        <w:r w:rsidRPr="007877DB">
          <w:rPr>
            <w:rStyle w:val="Hyperlink"/>
          </w:rPr>
          <w:t>ry</w:t>
        </w:r>
      </w:hyperlink>
      <w:r w:rsidRPr="00FF711E">
        <w:t xml:space="preserve"> are </w:t>
      </w:r>
      <w:r>
        <w:t>designed to</w:t>
      </w:r>
      <w:r w:rsidRPr="00FF711E">
        <w:t xml:space="preserve"> address access to </w:t>
      </w:r>
      <w:r>
        <w:t>point-of-sale (</w:t>
      </w:r>
      <w:r w:rsidRPr="00FF711E">
        <w:t>POS</w:t>
      </w:r>
      <w:r>
        <w:t>)</w:t>
      </w:r>
      <w:r w:rsidRPr="00FF711E">
        <w:t xml:space="preserve"> touchscreen technology </w:t>
      </w:r>
      <w:r>
        <w:t xml:space="preserve">(PIN on glass) </w:t>
      </w:r>
      <w:r w:rsidRPr="00FF711E">
        <w:t>and are a key step in efforts to ensure innovations in payments technology are accessible to the widest population.</w:t>
      </w:r>
    </w:p>
    <w:p w14:paraId="23ABFA11" w14:textId="77777777" w:rsidR="00CE2DB6" w:rsidRDefault="00CE2DB6" w:rsidP="00490A8D">
      <w:pPr>
        <w:pStyle w:val="Heading3"/>
      </w:pPr>
      <w:bookmarkStart w:id="202" w:name="_Toc190269126"/>
      <w:bookmarkStart w:id="203" w:name="_Toc671596722"/>
      <w:r>
        <w:t>Telecommunications Consumer Protection Code</w:t>
      </w:r>
      <w:bookmarkEnd w:id="202"/>
      <w:bookmarkEnd w:id="203"/>
    </w:p>
    <w:p w14:paraId="17A51D91" w14:textId="1299C5B8" w:rsidR="00CE2DB6" w:rsidRDefault="00CE2DB6" w:rsidP="00CE2DB6">
      <w:r w:rsidRPr="01678B86">
        <w:t>The </w:t>
      </w:r>
      <w:hyperlink r:id="rId109" w:tooltip="Telecommunications Consumer Protections (TCP) Code C628:2019">
        <w:r w:rsidRPr="01678B86">
          <w:rPr>
            <w:rStyle w:val="Hyperlink"/>
          </w:rPr>
          <w:t>Telecommunications Consumer Protections (TCP) Code C628:2019</w:t>
        </w:r>
      </w:hyperlink>
      <w:r w:rsidRPr="01678B86">
        <w:t xml:space="preserve"> applies to all Carriers and Carriage Service Providers that provide carriage services to consumers including </w:t>
      </w:r>
      <w:proofErr w:type="spellStart"/>
      <w:r w:rsidRPr="01678B86">
        <w:t>xDSL</w:t>
      </w:r>
      <w:proofErr w:type="spellEnd"/>
      <w:r w:rsidRPr="01678B86">
        <w:t xml:space="preserve"> services, </w:t>
      </w:r>
      <w:proofErr w:type="spellStart"/>
      <w:r w:rsidRPr="01678B86">
        <w:t>wifi</w:t>
      </w:r>
      <w:proofErr w:type="spellEnd"/>
      <w:r w:rsidRPr="01678B86">
        <w:t xml:space="preserve"> and dial-up services, mobile services, fixed line services and VoIP services. </w:t>
      </w:r>
    </w:p>
    <w:p w14:paraId="346C10C7" w14:textId="77777777" w:rsidR="00CE2DB6" w:rsidRPr="00A004F1" w:rsidRDefault="00CE2DB6" w:rsidP="00CE2DB6">
      <w:r w:rsidRPr="01678B86">
        <w:t xml:space="preserve">A telecommunications supplier must ensure that its web content complies with the most recent version of WCAG Level A success criteria. </w:t>
      </w:r>
      <w:r w:rsidRPr="01678B86">
        <w:rPr>
          <w:b/>
          <w:bCs/>
        </w:rPr>
        <w:t>However, the Commission recommends WCAG 2.2 Level AA or higher to minimise discrimination.</w:t>
      </w:r>
    </w:p>
    <w:p w14:paraId="30CC789D" w14:textId="77777777" w:rsidR="00CE2DB6" w:rsidRDefault="00CE2DB6" w:rsidP="00490A8D">
      <w:pPr>
        <w:pStyle w:val="Heading2"/>
      </w:pPr>
      <w:bookmarkStart w:id="204" w:name="_Toc190269127"/>
      <w:bookmarkStart w:id="205" w:name="_Toc486250481"/>
      <w:bookmarkStart w:id="206" w:name="_Toc194569666"/>
      <w:r>
        <w:t>Additional Guidance</w:t>
      </w:r>
      <w:bookmarkEnd w:id="204"/>
      <w:bookmarkEnd w:id="205"/>
      <w:bookmarkEnd w:id="206"/>
      <w:r>
        <w:t xml:space="preserve"> </w:t>
      </w:r>
    </w:p>
    <w:p w14:paraId="2F3BDC1A" w14:textId="77777777" w:rsidR="00CE2DB6" w:rsidRDefault="00CE2DB6" w:rsidP="00490A8D">
      <w:pPr>
        <w:pStyle w:val="Heading3"/>
      </w:pPr>
      <w:bookmarkStart w:id="207" w:name="_Toc190269128"/>
      <w:bookmarkStart w:id="208" w:name="_Toc842331365"/>
      <w:r>
        <w:t>Game Accessibility Guidelines</w:t>
      </w:r>
      <w:bookmarkEnd w:id="207"/>
      <w:bookmarkEnd w:id="208"/>
    </w:p>
    <w:p w14:paraId="2677ACB6" w14:textId="17B41BE4" w:rsidR="00CE2DB6" w:rsidRDefault="00CE2DB6" w:rsidP="00CE2DB6">
      <w:r w:rsidRPr="01678B86">
        <w:t xml:space="preserve">The </w:t>
      </w:r>
      <w:hyperlink r:id="rId110" w:tooltip="Game Accessibility Guidelines">
        <w:r w:rsidRPr="01678B86">
          <w:rPr>
            <w:rStyle w:val="Hyperlink"/>
          </w:rPr>
          <w:t>Game Accessibility Guidelines</w:t>
        </w:r>
      </w:hyperlink>
      <w:r w:rsidRPr="01678B86">
        <w:t xml:space="preserve"> are a collaborative effort between a group of studios, specialists and academics, to produce a straightforward developer friendly reference for ways to avoid unnecessarily excluding players, and ensure that games are just as fun for as wide a range of people as possible. These guidelines do not have a version number as they are continually updated as required.</w:t>
      </w:r>
    </w:p>
    <w:p w14:paraId="58297EBC" w14:textId="77777777" w:rsidR="00CE2DB6" w:rsidRDefault="00CE2DB6" w:rsidP="00490A8D">
      <w:pPr>
        <w:pStyle w:val="Heading3"/>
      </w:pPr>
      <w:bookmarkStart w:id="209" w:name="_Toc190269129"/>
      <w:bookmarkStart w:id="210" w:name="_Toc354929661"/>
      <w:r w:rsidRPr="01678B86">
        <w:lastRenderedPageBreak/>
        <w:t xml:space="preserve">Accessible </w:t>
      </w:r>
      <w:proofErr w:type="spellStart"/>
      <w:r w:rsidRPr="01678B86">
        <w:t>eText</w:t>
      </w:r>
      <w:bookmarkEnd w:id="209"/>
      <w:bookmarkEnd w:id="210"/>
      <w:proofErr w:type="spellEnd"/>
    </w:p>
    <w:p w14:paraId="4AEFCA1D" w14:textId="77777777" w:rsidR="00CE2DB6" w:rsidRDefault="00CE2DB6" w:rsidP="00490A8D">
      <w:pPr>
        <w:pStyle w:val="Heading4"/>
      </w:pPr>
      <w:bookmarkStart w:id="211" w:name="_Toc171690331"/>
      <w:bookmarkStart w:id="212" w:name="_Toc175839227"/>
      <w:bookmarkStart w:id="213" w:name="_Toc176959508"/>
      <w:bookmarkStart w:id="214" w:name="_Toc190269130"/>
      <w:r w:rsidRPr="01678B86">
        <w:t xml:space="preserve">Guidelines for Producing Accessible </w:t>
      </w:r>
      <w:proofErr w:type="spellStart"/>
      <w:r w:rsidRPr="01678B86">
        <w:t>eText</w:t>
      </w:r>
      <w:proofErr w:type="spellEnd"/>
      <w:r w:rsidRPr="01678B86">
        <w:t xml:space="preserve"> (2024)</w:t>
      </w:r>
      <w:bookmarkEnd w:id="211"/>
      <w:bookmarkEnd w:id="212"/>
      <w:bookmarkEnd w:id="213"/>
      <w:bookmarkEnd w:id="214"/>
    </w:p>
    <w:p w14:paraId="6C298FE0" w14:textId="55163060" w:rsidR="00CE2DB6" w:rsidRDefault="00CE2DB6" w:rsidP="00CE2DB6">
      <w:proofErr w:type="spellStart"/>
      <w:r w:rsidRPr="01678B86">
        <w:t>eText</w:t>
      </w:r>
      <w:proofErr w:type="spellEnd"/>
      <w:r w:rsidRPr="01678B86">
        <w:t xml:space="preserve"> is structured electronic text which is accessible to people with a print disability. The </w:t>
      </w:r>
      <w:hyperlink r:id="rId111" w:tooltip="Guidelines for Producing Accessible eText">
        <w:r w:rsidRPr="01678B86">
          <w:rPr>
            <w:rStyle w:val="Hyperlink"/>
          </w:rPr>
          <w:t xml:space="preserve">Guidelines for Producing Accessible </w:t>
        </w:r>
        <w:proofErr w:type="spellStart"/>
        <w:r w:rsidRPr="01678B86">
          <w:rPr>
            <w:rStyle w:val="Hyperlink"/>
          </w:rPr>
          <w:t>eText</w:t>
        </w:r>
        <w:proofErr w:type="spellEnd"/>
      </w:hyperlink>
      <w:r w:rsidRPr="01678B86">
        <w:t xml:space="preserve"> provide document creators with best practice accessibility methods across a variety of electronic formats in common use. </w:t>
      </w:r>
    </w:p>
    <w:p w14:paraId="1181804F" w14:textId="5DCBE4BC" w:rsidR="00CE2DB6" w:rsidRPr="009D650B" w:rsidRDefault="00CE2DB6" w:rsidP="00CE2DB6">
      <w:r>
        <w:t xml:space="preserve">Produced by the </w:t>
      </w:r>
      <w:hyperlink r:id="rId112" w:tooltip="Round Table on Information Access for People with Print Disabilities Inc." w:history="1">
        <w:r w:rsidRPr="00E411D8">
          <w:rPr>
            <w:rStyle w:val="Hyperlink"/>
          </w:rPr>
          <w:t>Round Table on Information Access for People with Print Disabilities Inc.</w:t>
        </w:r>
      </w:hyperlink>
      <w:r>
        <w:t xml:space="preserve">, these updated </w:t>
      </w:r>
      <w:r w:rsidRPr="00F2281E">
        <w:rPr>
          <w:u w:color="F07F09" w:themeColor="accent1"/>
        </w:rPr>
        <w:t>Guidelines</w:t>
      </w:r>
      <w:r>
        <w:t xml:space="preserve"> </w:t>
      </w:r>
      <w:r w:rsidRPr="00314980">
        <w:t>replace the Round Table’s 2018 Guidelines.</w:t>
      </w:r>
    </w:p>
    <w:p w14:paraId="30241AF6" w14:textId="77777777" w:rsidR="00CE2DB6" w:rsidRDefault="00CE2DB6" w:rsidP="00490A8D">
      <w:pPr>
        <w:pStyle w:val="Heading3"/>
      </w:pPr>
      <w:bookmarkStart w:id="215" w:name="_Toc190269131"/>
      <w:bookmarkStart w:id="216" w:name="_Toc969344951"/>
      <w:r>
        <w:t>Plain Language considerations</w:t>
      </w:r>
      <w:bookmarkEnd w:id="215"/>
      <w:bookmarkEnd w:id="216"/>
    </w:p>
    <w:p w14:paraId="742B150C" w14:textId="77777777" w:rsidR="00CE2DB6" w:rsidRDefault="00CE2DB6" w:rsidP="00CE2DB6">
      <w:r w:rsidRPr="01678B86">
        <w:t>Plain language makes it easier for anyone to read, understand, and use government and corporate communications. In addition to AS ISO 24495.1 – Plain language, Part 1 – listed earlier, this section contains additional Australian and international plain language resources.</w:t>
      </w:r>
    </w:p>
    <w:p w14:paraId="33D36AB7" w14:textId="77777777" w:rsidR="00CE2DB6" w:rsidRDefault="00CE2DB6" w:rsidP="00490A8D">
      <w:pPr>
        <w:pStyle w:val="Heading4"/>
      </w:pPr>
      <w:bookmarkStart w:id="217" w:name="_Toc171690333"/>
      <w:bookmarkStart w:id="218" w:name="_Toc175839229"/>
      <w:bookmarkStart w:id="219" w:name="_Toc176959510"/>
      <w:bookmarkStart w:id="220" w:name="_Toc190269132"/>
      <w:r w:rsidRPr="00880F11">
        <w:t>Australian</w:t>
      </w:r>
      <w:r>
        <w:t xml:space="preserve"> Government Style Manual</w:t>
      </w:r>
      <w:bookmarkEnd w:id="217"/>
      <w:bookmarkEnd w:id="218"/>
      <w:bookmarkEnd w:id="219"/>
      <w:bookmarkEnd w:id="220"/>
    </w:p>
    <w:p w14:paraId="50B1C3F9" w14:textId="68EB47A2" w:rsidR="00CE2DB6" w:rsidRPr="005D7BAB" w:rsidRDefault="00CE2DB6" w:rsidP="00CE2DB6">
      <w:r>
        <w:t xml:space="preserve">The </w:t>
      </w:r>
      <w:hyperlink r:id="rId113" w:tooltip="Australian Government Style Manual" w:history="1">
        <w:r w:rsidRPr="00866333">
          <w:rPr>
            <w:rStyle w:val="Hyperlink"/>
          </w:rPr>
          <w:t>Australian Government Style Manual</w:t>
        </w:r>
      </w:hyperlink>
      <w:r>
        <w:t xml:space="preserve"> (Style Manual) is the definitive resource for Australian Government content. It is also widely applicable to any other sector looking for a consistent approach to writing for their audience. </w:t>
      </w:r>
    </w:p>
    <w:p w14:paraId="4EB80AF6" w14:textId="77777777" w:rsidR="00CE2DB6" w:rsidRDefault="00CE2DB6" w:rsidP="00490A8D">
      <w:pPr>
        <w:pStyle w:val="Heading4"/>
      </w:pPr>
      <w:bookmarkStart w:id="221" w:name="_Toc190269135"/>
      <w:bookmarkStart w:id="222" w:name="_Toc176959513"/>
      <w:r w:rsidRPr="000E3F7A">
        <w:t>How to write in plain English</w:t>
      </w:r>
      <w:bookmarkEnd w:id="221"/>
    </w:p>
    <w:p w14:paraId="0589619A" w14:textId="2621F11A" w:rsidR="00CE2DB6" w:rsidRPr="00C02A1E" w:rsidRDefault="00CE2DB6" w:rsidP="00CE2DB6">
      <w:r w:rsidRPr="01678B86">
        <w:t xml:space="preserve">The </w:t>
      </w:r>
      <w:hyperlink r:id="rId114" w:tooltip="How to write in plain English">
        <w:r w:rsidRPr="01678B86">
          <w:rPr>
            <w:rStyle w:val="Hyperlink"/>
          </w:rPr>
          <w:t>How to write in plain English</w:t>
        </w:r>
      </w:hyperlink>
      <w:r w:rsidRPr="01678B86">
        <w:t xml:space="preserve"> guide from the Plain English Campaign, in addition to general guidance and lists of alternative words, contains specific guidance for content such as forms, reports and websites.</w:t>
      </w:r>
    </w:p>
    <w:p w14:paraId="02720972" w14:textId="77777777" w:rsidR="00CE2DB6" w:rsidRDefault="00CE2DB6" w:rsidP="00490A8D">
      <w:pPr>
        <w:pStyle w:val="Heading4"/>
      </w:pPr>
      <w:bookmarkStart w:id="223" w:name="_Toc190269136"/>
      <w:r w:rsidRPr="00B52C8F">
        <w:lastRenderedPageBreak/>
        <w:t>Dyslexia friendly style guide</w:t>
      </w:r>
      <w:bookmarkEnd w:id="222"/>
      <w:bookmarkEnd w:id="223"/>
    </w:p>
    <w:p w14:paraId="6BE10C3D" w14:textId="0AD69B3C" w:rsidR="00CE2DB6" w:rsidRPr="004A18A7" w:rsidRDefault="00CE2DB6" w:rsidP="00CE2DB6">
      <w:r>
        <w:t xml:space="preserve">The </w:t>
      </w:r>
      <w:hyperlink r:id="rId115" w:tooltip="Dyslexia friendly style guide" w:history="1">
        <w:r w:rsidRPr="003E5826">
          <w:rPr>
            <w:rStyle w:val="Hyperlink"/>
          </w:rPr>
          <w:t>Dyslexia friendly style guide</w:t>
        </w:r>
      </w:hyperlink>
      <w:r>
        <w:t xml:space="preserve"> from the British Dyslexia Association </w:t>
      </w:r>
      <w:r w:rsidRPr="003E5826">
        <w:t>provides principles that can help ensure that written material considers the difficulties experienced by some dyslexic people</w:t>
      </w:r>
      <w:r>
        <w:t>.</w:t>
      </w:r>
    </w:p>
    <w:p w14:paraId="339F7859" w14:textId="77777777" w:rsidR="00CE2DB6" w:rsidRDefault="00CE2DB6" w:rsidP="00490A8D">
      <w:pPr>
        <w:pStyle w:val="Heading3"/>
      </w:pPr>
      <w:bookmarkStart w:id="224" w:name="_Toc190269137"/>
      <w:bookmarkStart w:id="225" w:name="_Toc1988318040"/>
      <w:r>
        <w:t>Multimedia (Audio &amp; Visual Media) Guidance</w:t>
      </w:r>
      <w:bookmarkEnd w:id="224"/>
      <w:bookmarkEnd w:id="225"/>
    </w:p>
    <w:p w14:paraId="07D8C660" w14:textId="77777777" w:rsidR="00CE2DB6" w:rsidRPr="00970F30" w:rsidRDefault="00CE2DB6" w:rsidP="00CE2DB6">
      <w:r>
        <w:t xml:space="preserve">With the increasing volume of multimedia, including video and podcasts, on platforms such as YouTube, TikTok and similar as well as provided via streaming services, the accessibility of these forms of communications is imperative. </w:t>
      </w:r>
    </w:p>
    <w:p w14:paraId="223F14C3" w14:textId="77777777" w:rsidR="00CE2DB6" w:rsidRDefault="00CE2DB6" w:rsidP="00490A8D">
      <w:pPr>
        <w:pStyle w:val="Heading4"/>
      </w:pPr>
      <w:bookmarkStart w:id="226" w:name="_Toc171690336"/>
      <w:bookmarkStart w:id="227" w:name="_Toc175839232"/>
      <w:bookmarkStart w:id="228" w:name="_Toc176959515"/>
      <w:bookmarkStart w:id="229" w:name="_Toc190269138"/>
      <w:r>
        <w:t xml:space="preserve">W3C </w:t>
      </w:r>
      <w:r w:rsidRPr="00406827">
        <w:t>Making Audio and Video Media Accessible</w:t>
      </w:r>
      <w:r>
        <w:t xml:space="preserve"> Guide</w:t>
      </w:r>
      <w:bookmarkEnd w:id="226"/>
      <w:bookmarkEnd w:id="227"/>
      <w:bookmarkEnd w:id="228"/>
      <w:bookmarkEnd w:id="229"/>
    </w:p>
    <w:p w14:paraId="690C460B" w14:textId="46049961" w:rsidR="00CE2DB6" w:rsidRPr="00CC4982" w:rsidRDefault="00CE2DB6" w:rsidP="00CE2DB6">
      <w:hyperlink r:id="rId116" w:tooltip="Making Audio and Video Media Accessible">
        <w:r w:rsidRPr="01678B86">
          <w:rPr>
            <w:rStyle w:val="Hyperlink"/>
          </w:rPr>
          <w:t>Making Audio and Video Media Accessible</w:t>
        </w:r>
      </w:hyperlink>
      <w:r w:rsidRPr="01678B86">
        <w:t xml:space="preserve"> explains how to make media accessible, whether it is developed in house or outsourced. It helps identify which accessibility aspects is needed for specific audio or video, provides project management guidance, and includes requirements from the Web Content Accessibility Guidelines (WCAG) standard.</w:t>
      </w:r>
    </w:p>
    <w:p w14:paraId="16E7FF99" w14:textId="77777777" w:rsidR="00CE2DB6" w:rsidRDefault="00CE2DB6" w:rsidP="00CE2DB6">
      <w:r>
        <w:br w:type="page"/>
      </w:r>
    </w:p>
    <w:p w14:paraId="5D453DC3" w14:textId="77777777" w:rsidR="00CE2DB6" w:rsidRDefault="00CE2DB6" w:rsidP="00CE2DB6">
      <w:pPr>
        <w:pStyle w:val="Heading1"/>
      </w:pPr>
      <w:bookmarkStart w:id="230" w:name="_Toc1272819738"/>
      <w:bookmarkStart w:id="231" w:name="_Toc194569667"/>
      <w:r>
        <w:lastRenderedPageBreak/>
        <w:t>Further reading</w:t>
      </w:r>
      <w:bookmarkEnd w:id="230"/>
      <w:bookmarkEnd w:id="231"/>
    </w:p>
    <w:p w14:paraId="445F4FFC" w14:textId="77777777" w:rsidR="00CE2DB6" w:rsidRPr="00357E48" w:rsidRDefault="00CE2DB6" w:rsidP="00CE2DB6">
      <w:r>
        <w:rPr>
          <w:lang w:val="en-NZ"/>
        </w:rPr>
        <w:t>These</w:t>
      </w:r>
      <w:r w:rsidRPr="00357E48">
        <w:rPr>
          <w:lang w:val="en-NZ"/>
        </w:rPr>
        <w:t xml:space="preserve"> additional resources </w:t>
      </w:r>
      <w:r>
        <w:rPr>
          <w:lang w:val="en-NZ"/>
        </w:rPr>
        <w:t>can</w:t>
      </w:r>
      <w:r w:rsidRPr="00357E48">
        <w:rPr>
          <w:lang w:val="en-NZ"/>
        </w:rPr>
        <w:t xml:space="preserve"> assist organisations understand digital accessibility and design, develop, test and deliver more accessibility digital products. New resources are published all the time; the ones provided below were current in </w:t>
      </w:r>
      <w:r>
        <w:rPr>
          <w:lang w:val="en-NZ"/>
        </w:rPr>
        <w:t>February</w:t>
      </w:r>
      <w:r w:rsidRPr="00357E48">
        <w:rPr>
          <w:lang w:val="en-NZ"/>
        </w:rPr>
        <w:t xml:space="preserve"> 2025.</w:t>
      </w:r>
      <w:r w:rsidRPr="00357E48">
        <w:t> </w:t>
      </w:r>
    </w:p>
    <w:p w14:paraId="178C50D7" w14:textId="77777777" w:rsidR="00CE2DB6" w:rsidRPr="00357E48" w:rsidRDefault="00CE2DB6" w:rsidP="004F738F">
      <w:pPr>
        <w:pStyle w:val="Heading2"/>
      </w:pPr>
      <w:bookmarkStart w:id="232" w:name="_Toc194569668"/>
      <w:r w:rsidRPr="00357E48">
        <w:t>Understanding digital accessibility</w:t>
      </w:r>
      <w:bookmarkEnd w:id="232"/>
      <w:r w:rsidRPr="00357E48">
        <w:t> </w:t>
      </w:r>
    </w:p>
    <w:p w14:paraId="7D05F6DB" w14:textId="21BC60A7" w:rsidR="00CE2DB6" w:rsidRPr="00357E48" w:rsidRDefault="00CE2DB6" w:rsidP="004F738F">
      <w:pPr>
        <w:pStyle w:val="Bullet"/>
      </w:pPr>
      <w:hyperlink r:id="rId117" w:tgtFrame="_blank" w:tooltip="Accessibility Fundamentals Overview" w:history="1">
        <w:r w:rsidRPr="00357E48">
          <w:rPr>
            <w:rStyle w:val="Hyperlink"/>
            <w:lang w:val="en-US"/>
          </w:rPr>
          <w:t>Accessibility Fundamentals Overview</w:t>
        </w:r>
      </w:hyperlink>
      <w:r w:rsidRPr="00357E48">
        <w:rPr>
          <w:lang w:val="en-US"/>
        </w:rPr>
        <w:t xml:space="preserve"> (W3C)</w:t>
      </w:r>
      <w:r w:rsidRPr="00357E48">
        <w:t> </w:t>
      </w:r>
    </w:p>
    <w:p w14:paraId="68DC3CF2" w14:textId="6267A589" w:rsidR="00CE2DB6" w:rsidRPr="00357E48" w:rsidRDefault="00CE2DB6" w:rsidP="004F738F">
      <w:pPr>
        <w:pStyle w:val="Bullet"/>
      </w:pPr>
      <w:hyperlink r:id="rId118" w:tgtFrame="_blank" w:tooltip="How People with Disabilities Use the Web" w:history="1">
        <w:r w:rsidRPr="00357E48">
          <w:rPr>
            <w:rStyle w:val="Hyperlink"/>
            <w:lang w:val="en-US"/>
          </w:rPr>
          <w:t>How People with Disabilities Use the Web</w:t>
        </w:r>
      </w:hyperlink>
      <w:r w:rsidRPr="00357E48">
        <w:rPr>
          <w:lang w:val="en-US"/>
        </w:rPr>
        <w:t xml:space="preserve"> (W3C)</w:t>
      </w:r>
      <w:r w:rsidRPr="00357E48">
        <w:t> </w:t>
      </w:r>
    </w:p>
    <w:p w14:paraId="641B06D3" w14:textId="62F4F757" w:rsidR="00CE2DB6" w:rsidRPr="00357E48" w:rsidRDefault="00CE2DB6" w:rsidP="004F738F">
      <w:pPr>
        <w:pStyle w:val="Bullet"/>
      </w:pPr>
      <w:hyperlink r:id="rId119" w:tgtFrame="_blank" w:tooltip="The Business Case for Digital Accessibility" w:history="1">
        <w:r w:rsidRPr="00357E48">
          <w:rPr>
            <w:rStyle w:val="Hyperlink"/>
            <w:lang w:val="en-US"/>
          </w:rPr>
          <w:t>The Business Case for Digital Accessibility</w:t>
        </w:r>
      </w:hyperlink>
      <w:r w:rsidRPr="00357E48">
        <w:rPr>
          <w:lang w:val="en-US"/>
        </w:rPr>
        <w:t xml:space="preserve"> (W3C)</w:t>
      </w:r>
      <w:r w:rsidRPr="00357E48">
        <w:t> </w:t>
      </w:r>
    </w:p>
    <w:p w14:paraId="7BE1B09A" w14:textId="014B59F8" w:rsidR="00CE2DB6" w:rsidRPr="00357E48" w:rsidRDefault="00CE2DB6" w:rsidP="004F738F">
      <w:pPr>
        <w:pStyle w:val="Bullet"/>
      </w:pPr>
      <w:hyperlink r:id="rId120" w:tgtFrame="_blank" w:tooltip="Accessibility matters" w:history="1">
        <w:r w:rsidRPr="00357E48">
          <w:rPr>
            <w:rStyle w:val="Hyperlink"/>
            <w:lang w:val="en-US"/>
          </w:rPr>
          <w:t>Accessibility matters</w:t>
        </w:r>
      </w:hyperlink>
      <w:r w:rsidRPr="00357E48">
        <w:rPr>
          <w:lang w:val="en-US"/>
        </w:rPr>
        <w:t xml:space="preserve"> (Digital NSW)</w:t>
      </w:r>
      <w:r w:rsidRPr="00357E48">
        <w:t> </w:t>
      </w:r>
    </w:p>
    <w:p w14:paraId="1C410FFD" w14:textId="79694F41" w:rsidR="00CE2DB6" w:rsidRPr="00357E48" w:rsidRDefault="00CE2DB6" w:rsidP="004F738F">
      <w:pPr>
        <w:pStyle w:val="Bullet"/>
      </w:pPr>
      <w:hyperlink r:id="rId121" w:tgtFrame="_blank" w:tooltip="Inclusive design" w:history="1">
        <w:r w:rsidRPr="00357E48">
          <w:rPr>
            <w:rStyle w:val="Hyperlink"/>
            <w:lang w:val="en-US"/>
          </w:rPr>
          <w:t>Inclusive design</w:t>
        </w:r>
      </w:hyperlink>
      <w:r w:rsidRPr="00357E48">
        <w:rPr>
          <w:lang w:val="en-US"/>
        </w:rPr>
        <w:t xml:space="preserve"> (Microsoft)</w:t>
      </w:r>
      <w:r w:rsidRPr="00357E48">
        <w:t> </w:t>
      </w:r>
    </w:p>
    <w:p w14:paraId="070F231F" w14:textId="77777777" w:rsidR="00CE2DB6" w:rsidRPr="00357E48" w:rsidRDefault="00CE2DB6" w:rsidP="00D127DF">
      <w:pPr>
        <w:pStyle w:val="Heading2"/>
      </w:pPr>
      <w:proofErr w:type="spellStart"/>
      <w:r w:rsidRPr="00357E48">
        <w:rPr>
          <w:lang w:val="en-NZ"/>
        </w:rPr>
        <w:t>Intopia’s</w:t>
      </w:r>
      <w:proofErr w:type="spellEnd"/>
      <w:r w:rsidRPr="00357E48">
        <w:rPr>
          <w:lang w:val="en-NZ"/>
        </w:rPr>
        <w:t xml:space="preserve"> videos</w:t>
      </w:r>
      <w:r w:rsidRPr="00357E48">
        <w:t> </w:t>
      </w:r>
    </w:p>
    <w:p w14:paraId="6AC3174E" w14:textId="1A605B23" w:rsidR="00CE2DB6" w:rsidRPr="00357E48" w:rsidRDefault="00CE2DB6" w:rsidP="004F738F">
      <w:pPr>
        <w:pStyle w:val="Bullet"/>
      </w:pPr>
      <w:hyperlink r:id="rId122" w:tgtFrame="_blank" w:tooltip="Accessibility Fundamentals: What is digital accessibility?" w:history="1">
        <w:r w:rsidRPr="00357E48">
          <w:rPr>
            <w:rStyle w:val="Hyperlink"/>
            <w:lang w:val="en-US"/>
          </w:rPr>
          <w:t>Accessibility Fundamentals: What is digital accessibility?</w:t>
        </w:r>
      </w:hyperlink>
      <w:r w:rsidRPr="00357E48">
        <w:t> </w:t>
      </w:r>
    </w:p>
    <w:p w14:paraId="5961EA45" w14:textId="45AB515C" w:rsidR="00CE2DB6" w:rsidRPr="00357E48" w:rsidRDefault="00CE2DB6" w:rsidP="004F738F">
      <w:pPr>
        <w:pStyle w:val="Bullet"/>
      </w:pPr>
      <w:hyperlink r:id="rId123" w:tgtFrame="_blank" w:tooltip="Use with … different disabilities videos (6 short videos)" w:history="1">
        <w:r w:rsidRPr="00357E48">
          <w:rPr>
            <w:rStyle w:val="Hyperlink"/>
            <w:lang w:val="en-US"/>
          </w:rPr>
          <w:t>Use with … different disabilities videos (6 short videos)</w:t>
        </w:r>
      </w:hyperlink>
      <w:r w:rsidRPr="00357E48">
        <w:rPr>
          <w:lang w:val="en-US"/>
        </w:rPr>
        <w:t> </w:t>
      </w:r>
      <w:r w:rsidRPr="00357E48">
        <w:t> </w:t>
      </w:r>
    </w:p>
    <w:p w14:paraId="1C65383A" w14:textId="77777777" w:rsidR="00CE2DB6" w:rsidRPr="00357E48" w:rsidRDefault="00CE2DB6" w:rsidP="00D127DF">
      <w:pPr>
        <w:pStyle w:val="Heading2"/>
      </w:pPr>
      <w:proofErr w:type="spellStart"/>
      <w:r w:rsidRPr="00357E48">
        <w:rPr>
          <w:lang w:val="en-NZ"/>
        </w:rPr>
        <w:t>Tetralogical’s</w:t>
      </w:r>
      <w:proofErr w:type="spellEnd"/>
      <w:r w:rsidRPr="00357E48">
        <w:rPr>
          <w:lang w:val="en-NZ"/>
        </w:rPr>
        <w:t xml:space="preserve"> ‘Browsing with … assistive technologies’ series</w:t>
      </w:r>
      <w:r w:rsidRPr="00357E48">
        <w:t> </w:t>
      </w:r>
    </w:p>
    <w:p w14:paraId="722AD6C5" w14:textId="1FD78550" w:rsidR="00CE2DB6" w:rsidRPr="00357E48" w:rsidRDefault="00CE2DB6" w:rsidP="004F738F">
      <w:pPr>
        <w:pStyle w:val="Bullet"/>
      </w:pPr>
      <w:hyperlink r:id="rId124" w:tgtFrame="_blank" w:tooltip="Browsing with speech recognition" w:history="1">
        <w:r w:rsidRPr="00357E48">
          <w:rPr>
            <w:rStyle w:val="Hyperlink"/>
            <w:lang w:val="en-US"/>
          </w:rPr>
          <w:t>Browsing with speech recognition</w:t>
        </w:r>
      </w:hyperlink>
      <w:r w:rsidRPr="00357E48">
        <w:t> </w:t>
      </w:r>
    </w:p>
    <w:p w14:paraId="707E2B44" w14:textId="176BABDE" w:rsidR="00CE2DB6" w:rsidRPr="00357E48" w:rsidRDefault="00CE2DB6" w:rsidP="004F738F">
      <w:pPr>
        <w:pStyle w:val="Bullet"/>
      </w:pPr>
      <w:hyperlink r:id="rId125" w:tgtFrame="_blank" w:tooltip="Browsing with screen magnification" w:history="1">
        <w:r w:rsidRPr="00357E48">
          <w:rPr>
            <w:rStyle w:val="Hyperlink"/>
            <w:lang w:val="en-US"/>
          </w:rPr>
          <w:t>Browsing with screen magnification</w:t>
        </w:r>
      </w:hyperlink>
      <w:r w:rsidRPr="00357E48">
        <w:t> </w:t>
      </w:r>
    </w:p>
    <w:p w14:paraId="334EB887" w14:textId="3F8CE899" w:rsidR="00CE2DB6" w:rsidRPr="00357E48" w:rsidRDefault="00CE2DB6" w:rsidP="004F738F">
      <w:pPr>
        <w:pStyle w:val="Bullet"/>
      </w:pPr>
      <w:hyperlink r:id="rId126" w:tgtFrame="_blank" w:tooltip="Browsing with a keyboard" w:history="1">
        <w:r w:rsidRPr="00357E48">
          <w:rPr>
            <w:rStyle w:val="Hyperlink"/>
            <w:lang w:val="en-US"/>
          </w:rPr>
          <w:t>Browsing with a keyboard</w:t>
        </w:r>
      </w:hyperlink>
      <w:r w:rsidRPr="00357E48">
        <w:t> </w:t>
      </w:r>
    </w:p>
    <w:p w14:paraId="6E09F160" w14:textId="74250B00" w:rsidR="00CE2DB6" w:rsidRPr="00357E48" w:rsidRDefault="00CE2DB6" w:rsidP="004F738F">
      <w:pPr>
        <w:pStyle w:val="Bullet"/>
      </w:pPr>
      <w:hyperlink r:id="rId127" w:tgtFrame="_blank" w:tooltip="Browsing with a mobile screen reader" w:history="1">
        <w:r w:rsidRPr="00357E48">
          <w:rPr>
            <w:rStyle w:val="Hyperlink"/>
            <w:lang w:val="en-US"/>
          </w:rPr>
          <w:t>Browsing with a mobile screen reader</w:t>
        </w:r>
      </w:hyperlink>
      <w:r w:rsidRPr="00357E48">
        <w:t> </w:t>
      </w:r>
    </w:p>
    <w:p w14:paraId="0E7DE404" w14:textId="3EE472E2" w:rsidR="00CE2DB6" w:rsidRPr="00357E48" w:rsidRDefault="00CE2DB6" w:rsidP="004F738F">
      <w:pPr>
        <w:pStyle w:val="Bullet"/>
      </w:pPr>
      <w:hyperlink r:id="rId128" w:tgtFrame="_blank" w:tooltip="Browsing with a desktop screen reader" w:history="1">
        <w:r w:rsidRPr="00357E48">
          <w:rPr>
            <w:rStyle w:val="Hyperlink"/>
            <w:lang w:val="en-US"/>
          </w:rPr>
          <w:t>Browsing with a desktop screen reader</w:t>
        </w:r>
      </w:hyperlink>
      <w:r w:rsidRPr="00357E48">
        <w:t> </w:t>
      </w:r>
    </w:p>
    <w:p w14:paraId="0EA135EA" w14:textId="77777777" w:rsidR="00CE2DB6" w:rsidRPr="00357E48" w:rsidRDefault="00CE2DB6" w:rsidP="004F738F">
      <w:pPr>
        <w:pStyle w:val="Heading2"/>
      </w:pPr>
      <w:bookmarkStart w:id="233" w:name="_Toc194569669"/>
      <w:r w:rsidRPr="00357E48">
        <w:t>Posters about accessibility</w:t>
      </w:r>
      <w:bookmarkEnd w:id="233"/>
      <w:r w:rsidRPr="00357E48">
        <w:t> </w:t>
      </w:r>
    </w:p>
    <w:p w14:paraId="599DF7EC" w14:textId="12E1C0FD" w:rsidR="00CE2DB6" w:rsidRPr="00357E48" w:rsidRDefault="00CE2DB6" w:rsidP="004F738F">
      <w:pPr>
        <w:pStyle w:val="Bullet"/>
      </w:pPr>
      <w:hyperlink r:id="rId129" w:tgtFrame="_blank" w:tooltip="Accessibility Tips for teams V2 (PDF)" w:history="1">
        <w:r w:rsidRPr="00357E48">
          <w:rPr>
            <w:rStyle w:val="Hyperlink"/>
            <w:lang w:val="en-US"/>
          </w:rPr>
          <w:t>Accessibility Tips for teams V2 (PDF)</w:t>
        </w:r>
      </w:hyperlink>
      <w:r w:rsidRPr="00357E48">
        <w:rPr>
          <w:lang w:val="en-US"/>
        </w:rPr>
        <w:t xml:space="preserve"> (ABC)</w:t>
      </w:r>
      <w:r w:rsidRPr="00357E48">
        <w:t> </w:t>
      </w:r>
    </w:p>
    <w:p w14:paraId="1C3CEF21" w14:textId="7DFA26BE" w:rsidR="00CE2DB6" w:rsidRPr="00357E48" w:rsidRDefault="00CE2DB6" w:rsidP="004F738F">
      <w:pPr>
        <w:pStyle w:val="Bullet"/>
      </w:pPr>
      <w:hyperlink r:id="rId130" w:tgtFrame="_blank" w:tooltip="Dos and don'ts on designing for accessibility" w:history="1">
        <w:r w:rsidRPr="00357E48">
          <w:rPr>
            <w:rStyle w:val="Hyperlink"/>
            <w:lang w:val="en-US"/>
          </w:rPr>
          <w:t>Dos and don'ts on designing for accessibility</w:t>
        </w:r>
      </w:hyperlink>
      <w:r w:rsidRPr="00357E48">
        <w:rPr>
          <w:lang w:val="en-US"/>
        </w:rPr>
        <w:t xml:space="preserve"> (UK Govt)</w:t>
      </w:r>
      <w:r w:rsidRPr="00357E48">
        <w:t> </w:t>
      </w:r>
    </w:p>
    <w:p w14:paraId="68AE8905" w14:textId="476B2EF7" w:rsidR="00CE2DB6" w:rsidRPr="00357E48" w:rsidRDefault="00CE2DB6" w:rsidP="004F738F">
      <w:pPr>
        <w:pStyle w:val="Bullet"/>
      </w:pPr>
      <w:hyperlink r:id="rId131" w:tgtFrame="_blank" w:tooltip="Designing for people who struggle with numbers" w:history="1">
        <w:r w:rsidRPr="00357E48">
          <w:rPr>
            <w:rStyle w:val="Hyperlink"/>
            <w:lang w:val="en-US"/>
          </w:rPr>
          <w:t>Designing for people who struggle with numbers</w:t>
        </w:r>
      </w:hyperlink>
      <w:r w:rsidRPr="00357E48">
        <w:rPr>
          <w:lang w:val="en-US"/>
        </w:rPr>
        <w:t xml:space="preserve"> (UK Govt)</w:t>
      </w:r>
      <w:r w:rsidRPr="00357E48">
        <w:t> </w:t>
      </w:r>
    </w:p>
    <w:p w14:paraId="0ACB8253" w14:textId="08995FCE" w:rsidR="00CE2DB6" w:rsidRPr="00357E48" w:rsidRDefault="00CE2DB6" w:rsidP="004F738F">
      <w:pPr>
        <w:pStyle w:val="Bullet"/>
      </w:pPr>
      <w:hyperlink r:id="rId132" w:tgtFrame="_blank" w:tooltip="WCAG 2.2 Map" w:history="1">
        <w:r w:rsidRPr="00357E48">
          <w:rPr>
            <w:rStyle w:val="Hyperlink"/>
            <w:lang w:val="en-NZ"/>
          </w:rPr>
          <w:t>WCAG 2.2 Map</w:t>
        </w:r>
      </w:hyperlink>
      <w:r w:rsidRPr="00357E48">
        <w:rPr>
          <w:lang w:val="en-NZ"/>
        </w:rPr>
        <w:t xml:space="preserve"> (Intopia)</w:t>
      </w:r>
      <w:r w:rsidRPr="00357E48">
        <w:t> </w:t>
      </w:r>
    </w:p>
    <w:p w14:paraId="3C536725" w14:textId="6D8474EC" w:rsidR="00CE2DB6" w:rsidRPr="00357E48" w:rsidRDefault="00CE2DB6" w:rsidP="004F738F">
      <w:pPr>
        <w:pStyle w:val="Bullet"/>
      </w:pPr>
      <w:hyperlink r:id="rId133" w:tgtFrame="_blank" w:tooltip="Accessibility Responsibilities by Project Role" w:history="1">
        <w:r w:rsidRPr="00357E48">
          <w:rPr>
            <w:rStyle w:val="Hyperlink"/>
            <w:lang w:val="en-US"/>
          </w:rPr>
          <w:t>Accessibility Responsibilities by Project Role</w:t>
        </w:r>
      </w:hyperlink>
      <w:r w:rsidRPr="00357E48">
        <w:rPr>
          <w:lang w:val="en-US"/>
        </w:rPr>
        <w:t xml:space="preserve"> (Uni Melbourne)</w:t>
      </w:r>
      <w:r w:rsidRPr="00357E48">
        <w:t> </w:t>
      </w:r>
    </w:p>
    <w:p w14:paraId="66A8CABC" w14:textId="77777777" w:rsidR="00CE2DB6" w:rsidRPr="00357E48" w:rsidRDefault="00CE2DB6" w:rsidP="004F738F">
      <w:pPr>
        <w:pStyle w:val="Heading2"/>
      </w:pPr>
      <w:bookmarkStart w:id="234" w:name="_Toc194569670"/>
      <w:r w:rsidRPr="00357E48">
        <w:t>Inclusive communication and language</w:t>
      </w:r>
      <w:bookmarkEnd w:id="234"/>
      <w:r w:rsidRPr="00357E48">
        <w:t> </w:t>
      </w:r>
    </w:p>
    <w:p w14:paraId="74767565" w14:textId="4A93EE30" w:rsidR="00CE2DB6" w:rsidRPr="00357E48" w:rsidRDefault="00CE2DB6" w:rsidP="004F738F">
      <w:pPr>
        <w:pStyle w:val="Bullet"/>
      </w:pPr>
      <w:hyperlink r:id="rId134" w:tgtFrame="_blank" w:tooltip="Inclusive Communication" w:history="1">
        <w:r w:rsidRPr="00357E48">
          <w:rPr>
            <w:rStyle w:val="Hyperlink"/>
            <w:lang w:val="en-US"/>
          </w:rPr>
          <w:t>Inclusive Communication</w:t>
        </w:r>
      </w:hyperlink>
      <w:r w:rsidRPr="00357E48">
        <w:rPr>
          <w:lang w:val="en-US"/>
        </w:rPr>
        <w:t xml:space="preserve"> (ADCET)</w:t>
      </w:r>
      <w:r w:rsidRPr="00357E48">
        <w:t> </w:t>
      </w:r>
    </w:p>
    <w:p w14:paraId="7F82A17E" w14:textId="392E728E" w:rsidR="00CE2DB6" w:rsidRPr="00357E48" w:rsidRDefault="00CE2DB6" w:rsidP="004F738F">
      <w:pPr>
        <w:pStyle w:val="Bullet"/>
      </w:pPr>
      <w:hyperlink r:id="rId135" w:tgtFrame="_blank" w:tooltip="Style Manual" w:history="1">
        <w:r w:rsidRPr="00357E48">
          <w:rPr>
            <w:rStyle w:val="Hyperlink"/>
            <w:lang w:val="en-NZ"/>
          </w:rPr>
          <w:t>Style Manual</w:t>
        </w:r>
      </w:hyperlink>
      <w:r w:rsidRPr="00357E48">
        <w:rPr>
          <w:lang w:val="en-NZ"/>
        </w:rPr>
        <w:t xml:space="preserve"> (</w:t>
      </w:r>
      <w:proofErr w:type="spellStart"/>
      <w:r w:rsidRPr="00357E48">
        <w:rPr>
          <w:lang w:val="en-NZ"/>
        </w:rPr>
        <w:t>Aust</w:t>
      </w:r>
      <w:proofErr w:type="spellEnd"/>
      <w:r w:rsidRPr="00357E48">
        <w:rPr>
          <w:lang w:val="en-NZ"/>
        </w:rPr>
        <w:t xml:space="preserve"> Government)</w:t>
      </w:r>
      <w:r w:rsidRPr="00357E48">
        <w:t> </w:t>
      </w:r>
    </w:p>
    <w:p w14:paraId="517A5E13" w14:textId="426CB3DE" w:rsidR="00CE2DB6" w:rsidRPr="00357E48" w:rsidRDefault="00CE2DB6" w:rsidP="004F738F">
      <w:pPr>
        <w:pStyle w:val="Bullet"/>
      </w:pPr>
      <w:hyperlink r:id="rId136" w:tgtFrame="_blank" w:tooltip="Language Guide" w:history="1">
        <w:r w:rsidRPr="00357E48">
          <w:rPr>
            <w:rStyle w:val="Hyperlink"/>
            <w:lang w:val="en-US"/>
          </w:rPr>
          <w:t>Language Guide</w:t>
        </w:r>
      </w:hyperlink>
      <w:r w:rsidRPr="00357E48">
        <w:rPr>
          <w:lang w:val="en-US"/>
        </w:rPr>
        <w:t xml:space="preserve"> (PWDA)</w:t>
      </w:r>
      <w:r w:rsidRPr="00357E48">
        <w:t> </w:t>
      </w:r>
    </w:p>
    <w:p w14:paraId="5E77F01E" w14:textId="32A5F7FD" w:rsidR="00CE2DB6" w:rsidRPr="00357E48" w:rsidRDefault="00CE2DB6" w:rsidP="004F738F">
      <w:pPr>
        <w:pStyle w:val="Bullet"/>
      </w:pPr>
      <w:hyperlink r:id="rId137" w:tgtFrame="_blank" w:tooltip="How to write in plain English" w:history="1">
        <w:r w:rsidRPr="00357E48">
          <w:rPr>
            <w:rStyle w:val="Hyperlink"/>
            <w:lang w:val="en-US"/>
          </w:rPr>
          <w:t>How to write in plain English</w:t>
        </w:r>
      </w:hyperlink>
      <w:r w:rsidRPr="00357E48">
        <w:rPr>
          <w:lang w:val="en-US"/>
        </w:rPr>
        <w:t xml:space="preserve"> (Plain English Campaign)</w:t>
      </w:r>
      <w:r w:rsidRPr="00357E48">
        <w:t> </w:t>
      </w:r>
    </w:p>
    <w:p w14:paraId="3A439A59" w14:textId="06C484D1" w:rsidR="00CE2DB6" w:rsidRPr="00357E48" w:rsidRDefault="00CE2DB6" w:rsidP="004F738F">
      <w:pPr>
        <w:pStyle w:val="Bullet"/>
      </w:pPr>
      <w:hyperlink r:id="rId138" w:anchor="toc6" w:tgtFrame="_blank" w:tooltip="Canada.ca Content Style Guide – Plain Language" w:history="1">
        <w:r w:rsidRPr="00357E48">
          <w:rPr>
            <w:rStyle w:val="Hyperlink"/>
            <w:lang w:val="en-US"/>
          </w:rPr>
          <w:t>Canada.ca Content Style Guide – Plain Language</w:t>
        </w:r>
      </w:hyperlink>
      <w:r w:rsidRPr="00357E48">
        <w:rPr>
          <w:lang w:val="en-US"/>
        </w:rPr>
        <w:t xml:space="preserve"> (Government of Canada)</w:t>
      </w:r>
      <w:r w:rsidRPr="00357E48">
        <w:t> </w:t>
      </w:r>
    </w:p>
    <w:p w14:paraId="4E850DF1" w14:textId="07CBDFA8" w:rsidR="00CE2DB6" w:rsidRPr="00357E48" w:rsidRDefault="00CE2DB6" w:rsidP="004F738F">
      <w:pPr>
        <w:pStyle w:val="Bullet"/>
      </w:pPr>
      <w:hyperlink r:id="rId139" w:tgtFrame="_blank" w:tooltip="plainlanguage.gov" w:history="1">
        <w:r w:rsidRPr="00357E48">
          <w:rPr>
            <w:rStyle w:val="Hyperlink"/>
            <w:lang w:val="en-US"/>
          </w:rPr>
          <w:t>plainlanguage.gov</w:t>
        </w:r>
      </w:hyperlink>
      <w:r w:rsidRPr="00357E48">
        <w:rPr>
          <w:lang w:val="en-US"/>
        </w:rPr>
        <w:t xml:space="preserve"> (US Govt)</w:t>
      </w:r>
      <w:r w:rsidRPr="00357E48">
        <w:t> </w:t>
      </w:r>
    </w:p>
    <w:p w14:paraId="6174A693" w14:textId="77777777" w:rsidR="00CE2DB6" w:rsidRPr="00357E48" w:rsidRDefault="00CE2DB6" w:rsidP="004F738F">
      <w:pPr>
        <w:pStyle w:val="Heading2"/>
      </w:pPr>
      <w:bookmarkStart w:id="235" w:name="_Toc194569671"/>
      <w:r w:rsidRPr="00357E48">
        <w:rPr>
          <w:lang w:val="en-US"/>
        </w:rPr>
        <w:t>User research</w:t>
      </w:r>
      <w:bookmarkEnd w:id="235"/>
      <w:r w:rsidRPr="00357E48">
        <w:t> </w:t>
      </w:r>
    </w:p>
    <w:p w14:paraId="53272EF1" w14:textId="5AEFE497" w:rsidR="00CE2DB6" w:rsidRPr="00357E48" w:rsidRDefault="00CE2DB6" w:rsidP="004F738F">
      <w:pPr>
        <w:pStyle w:val="Bullet"/>
      </w:pPr>
      <w:hyperlink r:id="rId140" w:tgtFrame="_blank" w:tooltip="User research" w:history="1">
        <w:r w:rsidRPr="00357E48">
          <w:rPr>
            <w:rStyle w:val="Hyperlink"/>
            <w:lang w:val="en-US"/>
          </w:rPr>
          <w:t>User research</w:t>
        </w:r>
      </w:hyperlink>
      <w:r w:rsidRPr="00357E48">
        <w:rPr>
          <w:lang w:val="en-US"/>
        </w:rPr>
        <w:t xml:space="preserve"> for accessibility (SA Govt)</w:t>
      </w:r>
      <w:r w:rsidRPr="00357E48">
        <w:t> </w:t>
      </w:r>
    </w:p>
    <w:p w14:paraId="2140AFB7" w14:textId="63E6F47F" w:rsidR="00CE2DB6" w:rsidRPr="00357E48" w:rsidRDefault="00CE2DB6" w:rsidP="004F738F">
      <w:pPr>
        <w:pStyle w:val="Bullet"/>
      </w:pPr>
      <w:hyperlink r:id="rId141" w:tgtFrame="_blank" w:tooltip="Running research sessions with disabled people" w:history="1">
        <w:r w:rsidRPr="00357E48">
          <w:rPr>
            <w:rStyle w:val="Hyperlink"/>
            <w:lang w:val="en-US"/>
          </w:rPr>
          <w:t>Running research sessions with disabled people</w:t>
        </w:r>
      </w:hyperlink>
      <w:r w:rsidRPr="00357E48">
        <w:rPr>
          <w:lang w:val="en-US"/>
        </w:rPr>
        <w:t xml:space="preserve"> (UK Govt)</w:t>
      </w:r>
      <w:r w:rsidRPr="00357E48">
        <w:t> </w:t>
      </w:r>
    </w:p>
    <w:p w14:paraId="49A1C2FE" w14:textId="73AC4CC7" w:rsidR="00CE2DB6" w:rsidRPr="00357E48" w:rsidRDefault="00CE2DB6" w:rsidP="004F738F">
      <w:pPr>
        <w:pStyle w:val="Bullet"/>
      </w:pPr>
      <w:hyperlink r:id="rId142" w:tgtFrame="_blank" w:tooltip="The Inclusive Design Guide" w:history="1">
        <w:r w:rsidRPr="00357E48">
          <w:rPr>
            <w:rStyle w:val="Hyperlink"/>
            <w:lang w:val="en-US"/>
          </w:rPr>
          <w:t>The Inclusive Design Guide</w:t>
        </w:r>
      </w:hyperlink>
      <w:r w:rsidRPr="00357E48">
        <w:rPr>
          <w:lang w:val="en-US"/>
        </w:rPr>
        <w:t xml:space="preserve"> (inclusivedesign.ca)</w:t>
      </w:r>
      <w:r w:rsidRPr="00357E48">
        <w:t> </w:t>
      </w:r>
    </w:p>
    <w:p w14:paraId="5DC25700" w14:textId="5A3BAA9F" w:rsidR="00CE2DB6" w:rsidRPr="00357E48" w:rsidRDefault="00CE2DB6" w:rsidP="004F738F">
      <w:pPr>
        <w:pStyle w:val="Bullet"/>
      </w:pPr>
      <w:hyperlink r:id="rId143" w:tgtFrame="_blank" w:tooltip="Community-Led Co-design Kit" w:history="1">
        <w:r w:rsidRPr="00357E48">
          <w:rPr>
            <w:rStyle w:val="Hyperlink"/>
            <w:lang w:val="en-US"/>
          </w:rPr>
          <w:t>Community-Led Co-design Kit</w:t>
        </w:r>
      </w:hyperlink>
      <w:r w:rsidRPr="00357E48">
        <w:rPr>
          <w:lang w:val="en-US"/>
        </w:rPr>
        <w:t xml:space="preserve"> (inclusivedesign.ca)</w:t>
      </w:r>
      <w:r w:rsidRPr="00357E48">
        <w:t> </w:t>
      </w:r>
    </w:p>
    <w:p w14:paraId="039074D8" w14:textId="77777777" w:rsidR="00CE2DB6" w:rsidRPr="00357E48" w:rsidRDefault="00CE2DB6" w:rsidP="004F738F">
      <w:pPr>
        <w:pStyle w:val="Heading2"/>
      </w:pPr>
      <w:bookmarkStart w:id="236" w:name="_Toc194569672"/>
      <w:r w:rsidRPr="00357E48">
        <w:rPr>
          <w:lang w:val="en-US"/>
        </w:rPr>
        <w:lastRenderedPageBreak/>
        <w:t>Content</w:t>
      </w:r>
      <w:bookmarkEnd w:id="236"/>
      <w:r w:rsidRPr="00357E48">
        <w:t> </w:t>
      </w:r>
    </w:p>
    <w:p w14:paraId="57DF2DC7" w14:textId="16D7AE6B" w:rsidR="00CE2DB6" w:rsidRPr="00357E48" w:rsidRDefault="00CE2DB6" w:rsidP="004F738F">
      <w:pPr>
        <w:pStyle w:val="Bullet"/>
      </w:pPr>
      <w:hyperlink r:id="rId144" w:tgtFrame="_blank" w:tooltip="Writing for Web Accessibility Tips" w:history="1">
        <w:r w:rsidRPr="00357E48">
          <w:rPr>
            <w:rStyle w:val="Hyperlink"/>
            <w:lang w:val="en-US"/>
          </w:rPr>
          <w:t>Writing for Web Accessibility Tips</w:t>
        </w:r>
      </w:hyperlink>
      <w:r w:rsidRPr="00357E48">
        <w:rPr>
          <w:lang w:val="en-US"/>
        </w:rPr>
        <w:t xml:space="preserve"> (W3C)</w:t>
      </w:r>
      <w:r w:rsidRPr="00357E48">
        <w:t> </w:t>
      </w:r>
    </w:p>
    <w:p w14:paraId="27EC04AF" w14:textId="4E19A5CD" w:rsidR="00CE2DB6" w:rsidRPr="00357E48" w:rsidRDefault="00CE2DB6" w:rsidP="004F738F">
      <w:pPr>
        <w:pStyle w:val="Bullet"/>
      </w:pPr>
      <w:hyperlink r:id="rId145" w:tgtFrame="_blank" w:tooltip="Readability Guidelines" w:history="1">
        <w:r w:rsidRPr="00357E48">
          <w:rPr>
            <w:rStyle w:val="Hyperlink"/>
            <w:lang w:val="en-US"/>
          </w:rPr>
          <w:t>Readability Guidelines</w:t>
        </w:r>
      </w:hyperlink>
      <w:r w:rsidRPr="00357E48">
        <w:rPr>
          <w:lang w:val="en-US"/>
        </w:rPr>
        <w:t xml:space="preserve"> (Content Design London)</w:t>
      </w:r>
      <w:r w:rsidRPr="00357E48">
        <w:t> </w:t>
      </w:r>
    </w:p>
    <w:p w14:paraId="247C7BCD" w14:textId="03EFF514" w:rsidR="00CE2DB6" w:rsidRPr="00357E48" w:rsidRDefault="00CE2DB6" w:rsidP="004F738F">
      <w:pPr>
        <w:pStyle w:val="Bullet"/>
      </w:pPr>
      <w:hyperlink r:id="rId146" w:anchor="cognitiveaccessibilityguidance" w:tgtFrame="_blank" w:tooltip="Cognitive Accessibility Guidance" w:history="1">
        <w:r w:rsidRPr="00357E48">
          <w:rPr>
            <w:rStyle w:val="Hyperlink"/>
            <w:lang w:val="en-US"/>
          </w:rPr>
          <w:t>Cognitive Accessibility Guidance</w:t>
        </w:r>
      </w:hyperlink>
      <w:r w:rsidRPr="00357E48">
        <w:rPr>
          <w:lang w:val="en-US"/>
        </w:rPr>
        <w:t xml:space="preserve"> (W3C)</w:t>
      </w:r>
      <w:r w:rsidRPr="00357E48">
        <w:t> </w:t>
      </w:r>
    </w:p>
    <w:p w14:paraId="56A63339" w14:textId="1BE617BF" w:rsidR="00CE2DB6" w:rsidRPr="00357E48" w:rsidRDefault="00CE2DB6" w:rsidP="004F738F">
      <w:pPr>
        <w:pStyle w:val="Bullet"/>
      </w:pPr>
      <w:hyperlink r:id="rId147" w:tgtFrame="_blank" w:tooltip="Accessibility for content designers" w:history="1">
        <w:r w:rsidRPr="00357E48">
          <w:rPr>
            <w:rStyle w:val="Hyperlink"/>
            <w:lang w:val="en-US"/>
          </w:rPr>
          <w:t>Accessibility for content designers</w:t>
        </w:r>
      </w:hyperlink>
      <w:r w:rsidRPr="00357E48">
        <w:rPr>
          <w:lang w:val="en-US"/>
        </w:rPr>
        <w:t xml:space="preserve"> (Accessibility for Teams, US Govt)</w:t>
      </w:r>
      <w:r w:rsidRPr="00357E48">
        <w:t> </w:t>
      </w:r>
    </w:p>
    <w:p w14:paraId="4108040C" w14:textId="11B83D54" w:rsidR="00CE2DB6" w:rsidRPr="00357E48" w:rsidRDefault="00CE2DB6" w:rsidP="004F738F">
      <w:pPr>
        <w:pStyle w:val="Bullet"/>
      </w:pPr>
      <w:hyperlink r:id="rId148" w:tgtFrame="_blank" w:tooltip="Microsoft Word" w:history="1">
        <w:r w:rsidRPr="00357E48">
          <w:rPr>
            <w:rStyle w:val="Hyperlink"/>
            <w:lang w:val="en-NZ"/>
          </w:rPr>
          <w:t>Microsoft Word</w:t>
        </w:r>
      </w:hyperlink>
      <w:r w:rsidRPr="00357E48">
        <w:rPr>
          <w:lang w:val="en-NZ"/>
        </w:rPr>
        <w:t xml:space="preserve"> (</w:t>
      </w:r>
      <w:proofErr w:type="spellStart"/>
      <w:r w:rsidRPr="00357E48">
        <w:rPr>
          <w:lang w:val="en-NZ"/>
        </w:rPr>
        <w:t>WebAIM</w:t>
      </w:r>
      <w:proofErr w:type="spellEnd"/>
      <w:r w:rsidRPr="00357E48">
        <w:rPr>
          <w:lang w:val="en-NZ"/>
        </w:rPr>
        <w:t>)</w:t>
      </w:r>
      <w:r w:rsidRPr="00357E48">
        <w:t> </w:t>
      </w:r>
    </w:p>
    <w:p w14:paraId="6B90213D" w14:textId="13E243D5" w:rsidR="00CE2DB6" w:rsidRPr="00357E48" w:rsidRDefault="00CE2DB6" w:rsidP="004F738F">
      <w:pPr>
        <w:pStyle w:val="Bullet"/>
      </w:pPr>
      <w:hyperlink r:id="rId149" w:tgtFrame="_blank" w:tooltip="Make your Word documents accessible" w:history="1">
        <w:r w:rsidRPr="00357E48">
          <w:rPr>
            <w:rStyle w:val="Hyperlink"/>
            <w:lang w:val="en-US"/>
          </w:rPr>
          <w:t>Make your Word documents accessible</w:t>
        </w:r>
      </w:hyperlink>
      <w:r w:rsidRPr="00357E48">
        <w:rPr>
          <w:lang w:val="en-US"/>
        </w:rPr>
        <w:t xml:space="preserve"> (Microsoft)</w:t>
      </w:r>
      <w:r w:rsidRPr="00357E48">
        <w:t> </w:t>
      </w:r>
    </w:p>
    <w:p w14:paraId="13581C0C" w14:textId="77777777" w:rsidR="00CE2DB6" w:rsidRPr="00357E48" w:rsidRDefault="00CE2DB6" w:rsidP="004F738F">
      <w:pPr>
        <w:pStyle w:val="Heading2"/>
      </w:pPr>
      <w:bookmarkStart w:id="237" w:name="_Toc194569673"/>
      <w:r w:rsidRPr="00357E48">
        <w:rPr>
          <w:lang w:val="en-US"/>
        </w:rPr>
        <w:t>Multimedia – Audio and Video</w:t>
      </w:r>
      <w:bookmarkEnd w:id="237"/>
      <w:r w:rsidRPr="00357E48">
        <w:t> </w:t>
      </w:r>
    </w:p>
    <w:p w14:paraId="3638A7A4" w14:textId="1F382D5A" w:rsidR="00CE2DB6" w:rsidRPr="00357E48" w:rsidRDefault="00CE2DB6" w:rsidP="004F738F">
      <w:pPr>
        <w:pStyle w:val="Bullet"/>
      </w:pPr>
      <w:hyperlink r:id="rId150" w:tgtFrame="_blank" w:tooltip="Making Audio and Video Media Accessible" w:history="1">
        <w:r w:rsidRPr="00357E48">
          <w:rPr>
            <w:rStyle w:val="Hyperlink"/>
            <w:lang w:val="en-US"/>
          </w:rPr>
          <w:t>Making Audio and Video Media Accessible</w:t>
        </w:r>
      </w:hyperlink>
      <w:r w:rsidRPr="00357E48">
        <w:rPr>
          <w:lang w:val="en-US"/>
        </w:rPr>
        <w:t xml:space="preserve"> (W3C)</w:t>
      </w:r>
      <w:r w:rsidRPr="00357E48">
        <w:t> </w:t>
      </w:r>
    </w:p>
    <w:p w14:paraId="368409A8" w14:textId="191F9C06" w:rsidR="00CE2DB6" w:rsidRPr="00357E48" w:rsidRDefault="00CE2DB6" w:rsidP="004F738F">
      <w:pPr>
        <w:pStyle w:val="Bullet"/>
      </w:pPr>
      <w:hyperlink r:id="rId151" w:tgtFrame="_blank" w:tooltip="Captions, Transcripts, and Audio Descriptions" w:history="1">
        <w:r w:rsidRPr="00357E48">
          <w:rPr>
            <w:rStyle w:val="Hyperlink"/>
            <w:lang w:val="en-NZ"/>
          </w:rPr>
          <w:t>Captions, Transcripts, and Audio Descriptions</w:t>
        </w:r>
      </w:hyperlink>
      <w:r w:rsidRPr="00357E48">
        <w:rPr>
          <w:lang w:val="en-NZ"/>
        </w:rPr>
        <w:t xml:space="preserve"> (</w:t>
      </w:r>
      <w:proofErr w:type="spellStart"/>
      <w:r w:rsidRPr="00357E48">
        <w:rPr>
          <w:lang w:val="en-NZ"/>
        </w:rPr>
        <w:t>WebAIM</w:t>
      </w:r>
      <w:proofErr w:type="spellEnd"/>
      <w:r w:rsidRPr="00357E48">
        <w:rPr>
          <w:lang w:val="en-NZ"/>
        </w:rPr>
        <w:t>)</w:t>
      </w:r>
      <w:r w:rsidRPr="00357E48">
        <w:t> </w:t>
      </w:r>
    </w:p>
    <w:p w14:paraId="02734C06" w14:textId="77777777" w:rsidR="00CE2DB6" w:rsidRPr="00357E48" w:rsidRDefault="00CE2DB6" w:rsidP="004F738F">
      <w:pPr>
        <w:pStyle w:val="Heading2"/>
      </w:pPr>
      <w:bookmarkStart w:id="238" w:name="_Toc194569674"/>
      <w:r w:rsidRPr="00357E48">
        <w:rPr>
          <w:lang w:val="en-US"/>
        </w:rPr>
        <w:t>Design</w:t>
      </w:r>
      <w:bookmarkEnd w:id="238"/>
      <w:r w:rsidRPr="00357E48">
        <w:t> </w:t>
      </w:r>
    </w:p>
    <w:p w14:paraId="1C383B6D" w14:textId="702DB26B" w:rsidR="00CE2DB6" w:rsidRPr="00357E48" w:rsidRDefault="00CE2DB6" w:rsidP="004F738F">
      <w:pPr>
        <w:pStyle w:val="Bullet"/>
      </w:pPr>
      <w:hyperlink r:id="rId152" w:tgtFrame="_blank" w:tooltip="Designing for Web Accessibility Tips" w:history="1">
        <w:r w:rsidRPr="00357E48">
          <w:rPr>
            <w:rStyle w:val="Hyperlink"/>
            <w:lang w:val="en-US"/>
          </w:rPr>
          <w:t>Designing for Web Accessibility Tips</w:t>
        </w:r>
      </w:hyperlink>
      <w:r w:rsidRPr="00357E48">
        <w:rPr>
          <w:lang w:val="en-US"/>
        </w:rPr>
        <w:t xml:space="preserve"> (W3C)</w:t>
      </w:r>
      <w:r w:rsidRPr="00357E48">
        <w:t> </w:t>
      </w:r>
    </w:p>
    <w:p w14:paraId="344C95C0" w14:textId="39B75C2F" w:rsidR="00CE2DB6" w:rsidRPr="00357E48" w:rsidRDefault="00CE2DB6" w:rsidP="004F738F">
      <w:pPr>
        <w:pStyle w:val="Bullet"/>
      </w:pPr>
      <w:hyperlink r:id="rId153" w:tgtFrame="_blank" w:tooltip="Human Interface Guidelines – Accessibility" w:history="1">
        <w:r w:rsidRPr="00357E48">
          <w:rPr>
            <w:rStyle w:val="Hyperlink"/>
            <w:lang w:val="en-US"/>
          </w:rPr>
          <w:t>Human Interface Guidelines – Accessibility</w:t>
        </w:r>
      </w:hyperlink>
      <w:r w:rsidRPr="00357E48">
        <w:rPr>
          <w:lang w:val="en-US"/>
        </w:rPr>
        <w:t xml:space="preserve"> (Apple)</w:t>
      </w:r>
      <w:r w:rsidRPr="00357E48">
        <w:t> </w:t>
      </w:r>
    </w:p>
    <w:p w14:paraId="7919A65C" w14:textId="63050028" w:rsidR="00CE2DB6" w:rsidRPr="00357E48" w:rsidRDefault="00CE2DB6" w:rsidP="004F738F">
      <w:pPr>
        <w:pStyle w:val="Bullet"/>
      </w:pPr>
      <w:hyperlink r:id="rId154" w:tgtFrame="_blank" w:tooltip="Key inclusive design principles" w:history="1">
        <w:r w:rsidRPr="00357E48">
          <w:rPr>
            <w:rStyle w:val="Hyperlink"/>
            <w:lang w:val="en-US"/>
          </w:rPr>
          <w:t>Key inclusive design principles</w:t>
        </w:r>
      </w:hyperlink>
      <w:r w:rsidRPr="00357E48">
        <w:rPr>
          <w:lang w:val="en-US"/>
        </w:rPr>
        <w:t xml:space="preserve"> (Digital NSW)</w:t>
      </w:r>
      <w:r w:rsidRPr="00357E48">
        <w:t> </w:t>
      </w:r>
    </w:p>
    <w:p w14:paraId="68101FCA" w14:textId="50A4F49C" w:rsidR="00CE2DB6" w:rsidRPr="00357E48" w:rsidRDefault="00CE2DB6" w:rsidP="004F738F">
      <w:pPr>
        <w:pStyle w:val="Bullet"/>
      </w:pPr>
      <w:hyperlink r:id="rId155" w:anchor="content-start" w:tgtFrame="_blank" w:tooltip="UX Design" w:history="1">
        <w:r w:rsidRPr="00357E48">
          <w:rPr>
            <w:rStyle w:val="Hyperlink"/>
            <w:lang w:val="en-US"/>
          </w:rPr>
          <w:t>UX Design</w:t>
        </w:r>
      </w:hyperlink>
      <w:r w:rsidRPr="00357E48">
        <w:t xml:space="preserve"> and </w:t>
      </w:r>
      <w:hyperlink r:id="rId156" w:anchor="content-start" w:tgtFrame="_blank" w:tooltip="Visual Design" w:history="1">
        <w:r w:rsidRPr="00357E48">
          <w:rPr>
            <w:rStyle w:val="Hyperlink"/>
            <w:lang w:val="en-US"/>
          </w:rPr>
          <w:t>Visual Design</w:t>
        </w:r>
      </w:hyperlink>
      <w:r w:rsidRPr="00357E48">
        <w:rPr>
          <w:lang w:val="en-US"/>
        </w:rPr>
        <w:t xml:space="preserve"> (Accessibility for Teams, US Govt)</w:t>
      </w:r>
      <w:r w:rsidRPr="00357E48">
        <w:t> </w:t>
      </w:r>
    </w:p>
    <w:p w14:paraId="4DA078B3" w14:textId="77777777" w:rsidR="00CE2DB6" w:rsidRPr="00357E48" w:rsidRDefault="00CE2DB6" w:rsidP="004F738F">
      <w:pPr>
        <w:pStyle w:val="Heading2"/>
      </w:pPr>
      <w:bookmarkStart w:id="239" w:name="_Toc194569675"/>
      <w:r w:rsidRPr="00357E48">
        <w:rPr>
          <w:lang w:val="en-US"/>
        </w:rPr>
        <w:t>Development</w:t>
      </w:r>
      <w:bookmarkEnd w:id="239"/>
      <w:r w:rsidRPr="00357E48">
        <w:t> </w:t>
      </w:r>
    </w:p>
    <w:p w14:paraId="20434F95" w14:textId="295D2523" w:rsidR="00CE2DB6" w:rsidRPr="00357E48" w:rsidRDefault="00CE2DB6" w:rsidP="004F738F">
      <w:pPr>
        <w:pStyle w:val="Bullet"/>
      </w:pPr>
      <w:hyperlink r:id="rId157" w:tgtFrame="_blank" w:tooltip="Developing for Web Accessibility Tips" w:history="1">
        <w:r w:rsidRPr="00357E48">
          <w:rPr>
            <w:rStyle w:val="Hyperlink"/>
            <w:lang w:val="en-US"/>
          </w:rPr>
          <w:t>Developing for Web Accessibility Tips</w:t>
        </w:r>
      </w:hyperlink>
      <w:r w:rsidRPr="00357E48">
        <w:rPr>
          <w:lang w:val="en-US"/>
        </w:rPr>
        <w:t xml:space="preserve"> (W3C)</w:t>
      </w:r>
      <w:r w:rsidRPr="00357E48">
        <w:t> </w:t>
      </w:r>
    </w:p>
    <w:p w14:paraId="5150D7D3" w14:textId="010C0D74" w:rsidR="00CE2DB6" w:rsidRPr="00357E48" w:rsidRDefault="00CE2DB6" w:rsidP="004F738F">
      <w:pPr>
        <w:pStyle w:val="Bullet"/>
      </w:pPr>
      <w:hyperlink r:id="rId158" w:tgtFrame="_blank" w:tooltip="Mobile Accessibility Guidelines" w:history="1">
        <w:r w:rsidRPr="00357E48">
          <w:rPr>
            <w:rStyle w:val="Hyperlink"/>
            <w:lang w:val="en-US"/>
          </w:rPr>
          <w:t>Mobile Accessibility Guidelines</w:t>
        </w:r>
      </w:hyperlink>
      <w:r w:rsidRPr="00357E48">
        <w:rPr>
          <w:lang w:val="en-US"/>
        </w:rPr>
        <w:t xml:space="preserve"> (BBC)</w:t>
      </w:r>
      <w:r w:rsidRPr="00357E48">
        <w:t> </w:t>
      </w:r>
    </w:p>
    <w:p w14:paraId="2574AB8C" w14:textId="5262EA94" w:rsidR="00CE2DB6" w:rsidRPr="00357E48" w:rsidRDefault="00CE2DB6" w:rsidP="004F738F">
      <w:pPr>
        <w:pStyle w:val="Bullet"/>
      </w:pPr>
      <w:hyperlink r:id="rId159" w:tgtFrame="_blank" w:tooltip="Applying WCAG 2 to Non-Web ICT (WCAG2ICT)" w:history="1">
        <w:r w:rsidRPr="00357E48">
          <w:rPr>
            <w:rStyle w:val="Hyperlink"/>
            <w:lang w:val="en-US"/>
          </w:rPr>
          <w:t>Applying WCAG 2 to Non-Web ICT (WCAG2ICT)</w:t>
        </w:r>
      </w:hyperlink>
      <w:r w:rsidRPr="00357E48">
        <w:rPr>
          <w:lang w:val="en-US"/>
        </w:rPr>
        <w:t xml:space="preserve"> (W3C)</w:t>
      </w:r>
      <w:r w:rsidRPr="00357E48">
        <w:t> </w:t>
      </w:r>
    </w:p>
    <w:p w14:paraId="07E5D0EF" w14:textId="0D013CED" w:rsidR="00CE2DB6" w:rsidRPr="00357E48" w:rsidRDefault="00CE2DB6" w:rsidP="004F738F">
      <w:pPr>
        <w:pStyle w:val="Bullet"/>
      </w:pPr>
      <w:hyperlink r:id="rId160" w:anchor="content-start" w:tgtFrame="_blank" w:tooltip="Accessibility for front-end developers" w:history="1">
        <w:r w:rsidRPr="00357E48">
          <w:rPr>
            <w:rStyle w:val="Hyperlink"/>
            <w:lang w:val="en-US"/>
          </w:rPr>
          <w:t>Accessibility for front-end developers</w:t>
        </w:r>
      </w:hyperlink>
      <w:r w:rsidRPr="00357E48">
        <w:rPr>
          <w:lang w:val="en-US"/>
        </w:rPr>
        <w:t xml:space="preserve"> (Accessibility for Teams, US Govt)</w:t>
      </w:r>
      <w:r w:rsidRPr="00357E48">
        <w:t> </w:t>
      </w:r>
    </w:p>
    <w:p w14:paraId="168D27B6" w14:textId="1F67CEBD" w:rsidR="00CE2DB6" w:rsidRPr="00357E48" w:rsidRDefault="00CE2DB6" w:rsidP="004F738F">
      <w:pPr>
        <w:pStyle w:val="Bullet"/>
      </w:pPr>
      <w:hyperlink r:id="rId161" w:tgtFrame="_blank" w:tooltip="Accessibility foundations" w:history="1">
        <w:r w:rsidRPr="00357E48">
          <w:rPr>
            <w:rStyle w:val="Hyperlink"/>
            <w:lang w:val="en-NZ"/>
          </w:rPr>
          <w:t>Accessibility foundations</w:t>
        </w:r>
      </w:hyperlink>
      <w:r w:rsidRPr="00357E48">
        <w:rPr>
          <w:lang w:val="en-NZ"/>
        </w:rPr>
        <w:t xml:space="preserve"> (</w:t>
      </w:r>
      <w:proofErr w:type="spellStart"/>
      <w:r w:rsidRPr="00357E48">
        <w:rPr>
          <w:lang w:val="en-NZ"/>
        </w:rPr>
        <w:t>Tetralogical</w:t>
      </w:r>
      <w:proofErr w:type="spellEnd"/>
      <w:r w:rsidRPr="00357E48">
        <w:rPr>
          <w:lang w:val="en-NZ"/>
        </w:rPr>
        <w:t>)</w:t>
      </w:r>
      <w:r w:rsidRPr="00357E48">
        <w:t> </w:t>
      </w:r>
    </w:p>
    <w:p w14:paraId="40391E26" w14:textId="1F781F31" w:rsidR="00CE2DB6" w:rsidRPr="00357E48" w:rsidRDefault="00CE2DB6" w:rsidP="004F738F">
      <w:pPr>
        <w:pStyle w:val="Bullet"/>
      </w:pPr>
      <w:hyperlink r:id="rId162" w:tgtFrame="_blank" w:tooltip="Building accessible apps" w:history="1">
        <w:r w:rsidRPr="00357E48">
          <w:rPr>
            <w:rStyle w:val="Hyperlink"/>
            <w:lang w:val="en-US"/>
          </w:rPr>
          <w:t>Building accessible apps</w:t>
        </w:r>
      </w:hyperlink>
      <w:r w:rsidRPr="00357E48">
        <w:rPr>
          <w:lang w:val="en-US"/>
        </w:rPr>
        <w:t xml:space="preserve"> (Apple)</w:t>
      </w:r>
      <w:r w:rsidRPr="00357E48">
        <w:t> </w:t>
      </w:r>
    </w:p>
    <w:p w14:paraId="6A467803" w14:textId="154C7F66" w:rsidR="00CE2DB6" w:rsidRPr="00357E48" w:rsidRDefault="00CE2DB6" w:rsidP="004F738F">
      <w:pPr>
        <w:pStyle w:val="Bullet"/>
      </w:pPr>
      <w:hyperlink r:id="rId163" w:tgtFrame="_blank" w:tooltip="Accessibility fundamentals" w:history="1">
        <w:r w:rsidRPr="00357E48">
          <w:rPr>
            <w:rStyle w:val="Hyperlink"/>
            <w:lang w:val="en-US"/>
          </w:rPr>
          <w:t>Accessibility fundamentals</w:t>
        </w:r>
      </w:hyperlink>
      <w:r w:rsidRPr="00357E48">
        <w:rPr>
          <w:lang w:val="en-US"/>
        </w:rPr>
        <w:t xml:space="preserve"> (Apple Developer Documentation)</w:t>
      </w:r>
      <w:r w:rsidRPr="00357E48">
        <w:t> </w:t>
      </w:r>
    </w:p>
    <w:p w14:paraId="2C76ED9F" w14:textId="03008AA7" w:rsidR="00CE2DB6" w:rsidRPr="00357E48" w:rsidRDefault="00CE2DB6" w:rsidP="004F738F">
      <w:pPr>
        <w:pStyle w:val="Bullet"/>
      </w:pPr>
      <w:hyperlink r:id="rId164" w:tgtFrame="_blank" w:tooltip="Resources for Developers and Publishers" w:history="1">
        <w:r w:rsidRPr="00357E48">
          <w:rPr>
            <w:rStyle w:val="Hyperlink"/>
            <w:lang w:val="en-US"/>
          </w:rPr>
          <w:t>Resources for Developers and Publishers</w:t>
        </w:r>
      </w:hyperlink>
      <w:r w:rsidRPr="00357E48">
        <w:rPr>
          <w:lang w:val="en-US"/>
        </w:rPr>
        <w:t xml:space="preserve"> (Google Accessibility)</w:t>
      </w:r>
      <w:r w:rsidRPr="00357E48">
        <w:t> </w:t>
      </w:r>
    </w:p>
    <w:p w14:paraId="6986C121" w14:textId="77777777" w:rsidR="00CE2DB6" w:rsidRPr="00357E48" w:rsidRDefault="00CE2DB6" w:rsidP="004F738F">
      <w:pPr>
        <w:pStyle w:val="Heading2"/>
      </w:pPr>
      <w:bookmarkStart w:id="240" w:name="_Toc194569676"/>
      <w:r w:rsidRPr="00357E48">
        <w:rPr>
          <w:lang w:val="en-US"/>
        </w:rPr>
        <w:t>Testing</w:t>
      </w:r>
      <w:bookmarkEnd w:id="240"/>
      <w:r w:rsidRPr="00357E48">
        <w:t> </w:t>
      </w:r>
    </w:p>
    <w:p w14:paraId="71ABFD0E" w14:textId="552B2EE8" w:rsidR="00CE2DB6" w:rsidRPr="00357E48" w:rsidRDefault="00CE2DB6" w:rsidP="004F738F">
      <w:pPr>
        <w:pStyle w:val="Bullet"/>
      </w:pPr>
      <w:hyperlink r:id="rId165" w:tgtFrame="_blank" w:tooltip="Easy Checks – A First Review of Web Accessibility" w:history="1">
        <w:r w:rsidRPr="00357E48">
          <w:rPr>
            <w:rStyle w:val="Hyperlink"/>
            <w:lang w:val="en-US"/>
          </w:rPr>
          <w:t>Easy Checks – A First Review of Web Accessibility</w:t>
        </w:r>
      </w:hyperlink>
      <w:r w:rsidRPr="00357E48">
        <w:rPr>
          <w:lang w:val="en-US"/>
        </w:rPr>
        <w:t xml:space="preserve"> (W3C)</w:t>
      </w:r>
      <w:r w:rsidRPr="00357E48">
        <w:t> </w:t>
      </w:r>
    </w:p>
    <w:p w14:paraId="6E17FBC4" w14:textId="423885DF" w:rsidR="00CE2DB6" w:rsidRPr="00357E48" w:rsidRDefault="00CE2DB6" w:rsidP="004F738F">
      <w:pPr>
        <w:pStyle w:val="Bullet"/>
      </w:pPr>
      <w:hyperlink r:id="rId166" w:tgtFrame="_blank" w:tooltip="Involving Users in Evaluating Web Accessibility" w:history="1">
        <w:r w:rsidRPr="00357E48">
          <w:rPr>
            <w:rStyle w:val="Hyperlink"/>
            <w:lang w:val="en-US"/>
          </w:rPr>
          <w:t>Involving Users in Evaluating Web Accessibility</w:t>
        </w:r>
      </w:hyperlink>
      <w:r w:rsidRPr="00357E48">
        <w:rPr>
          <w:lang w:val="en-US"/>
        </w:rPr>
        <w:t xml:space="preserve"> (W3C)</w:t>
      </w:r>
      <w:r w:rsidRPr="00357E48">
        <w:t> </w:t>
      </w:r>
    </w:p>
    <w:p w14:paraId="29228DCF" w14:textId="0A04F9B8" w:rsidR="00CE2DB6" w:rsidRPr="00357E48" w:rsidRDefault="00CE2DB6" w:rsidP="004F738F">
      <w:pPr>
        <w:pStyle w:val="Bullet"/>
      </w:pPr>
      <w:hyperlink r:id="rId167" w:tgtFrame="_blank" w:tooltip="Selecting Web Accessibility Evaluation Tools" w:history="1">
        <w:r w:rsidRPr="00357E48">
          <w:rPr>
            <w:rStyle w:val="Hyperlink"/>
            <w:lang w:val="en-US"/>
          </w:rPr>
          <w:t>Selecting Web Accessibility Evaluation Tools</w:t>
        </w:r>
      </w:hyperlink>
      <w:r w:rsidRPr="00357E48">
        <w:rPr>
          <w:lang w:val="en-US"/>
        </w:rPr>
        <w:t xml:space="preserve"> (W3C)</w:t>
      </w:r>
      <w:r w:rsidRPr="00357E48">
        <w:t> </w:t>
      </w:r>
    </w:p>
    <w:p w14:paraId="2DA6FE90" w14:textId="5CB9EAA9" w:rsidR="00CE2DB6" w:rsidRPr="00357E48" w:rsidRDefault="00CE2DB6" w:rsidP="004F738F">
      <w:pPr>
        <w:pStyle w:val="Bullet"/>
      </w:pPr>
      <w:hyperlink r:id="rId168" w:tgtFrame="_blank" w:tooltip="Accessibility testing" w:history="1">
        <w:r w:rsidRPr="00357E48">
          <w:rPr>
            <w:rStyle w:val="Hyperlink"/>
            <w:lang w:val="en-US"/>
          </w:rPr>
          <w:t>Accessibility testing</w:t>
        </w:r>
      </w:hyperlink>
      <w:r w:rsidRPr="00357E48">
        <w:rPr>
          <w:lang w:val="en-US"/>
        </w:rPr>
        <w:t xml:space="preserve"> (Digital NSW)</w:t>
      </w:r>
      <w:r w:rsidRPr="00357E48">
        <w:t> </w:t>
      </w:r>
    </w:p>
    <w:p w14:paraId="7A80B546" w14:textId="77777777" w:rsidR="00CE2DB6" w:rsidRPr="00357E48" w:rsidRDefault="00CE2DB6" w:rsidP="004F738F">
      <w:pPr>
        <w:pStyle w:val="Heading2"/>
      </w:pPr>
      <w:bookmarkStart w:id="241" w:name="_Toc194569677"/>
      <w:r w:rsidRPr="00357E48">
        <w:rPr>
          <w:lang w:val="en-US"/>
        </w:rPr>
        <w:t>Inclusive publishing</w:t>
      </w:r>
      <w:bookmarkEnd w:id="241"/>
      <w:r w:rsidRPr="00357E48">
        <w:t> </w:t>
      </w:r>
    </w:p>
    <w:p w14:paraId="36B72BE7" w14:textId="3C9591C8" w:rsidR="00CE2DB6" w:rsidRPr="00357E48" w:rsidRDefault="00CE2DB6" w:rsidP="004F738F">
      <w:pPr>
        <w:pStyle w:val="Bullet"/>
      </w:pPr>
      <w:hyperlink r:id="rId169" w:tgtFrame="_blank" w:tooltip="EPUB 3.3" w:history="1">
        <w:r w:rsidRPr="00357E48">
          <w:rPr>
            <w:rStyle w:val="Hyperlink"/>
            <w:lang w:val="en-US"/>
          </w:rPr>
          <w:t>EPUB 3.3</w:t>
        </w:r>
      </w:hyperlink>
      <w:r w:rsidRPr="00357E48">
        <w:rPr>
          <w:lang w:val="en-US"/>
        </w:rPr>
        <w:t xml:space="preserve"> (W3C)</w:t>
      </w:r>
      <w:r w:rsidRPr="00357E48">
        <w:t> </w:t>
      </w:r>
    </w:p>
    <w:p w14:paraId="2C1BFEEE" w14:textId="6441EE39" w:rsidR="00CE2DB6" w:rsidRPr="00357E48" w:rsidRDefault="00CE2DB6" w:rsidP="004F738F">
      <w:pPr>
        <w:pStyle w:val="Bullet"/>
      </w:pPr>
      <w:hyperlink r:id="rId170" w:tgtFrame="_blank" w:tooltip="EPUB Accessibility 1.1" w:history="1">
        <w:r w:rsidRPr="00357E48">
          <w:rPr>
            <w:rStyle w:val="Hyperlink"/>
            <w:lang w:val="en-US"/>
          </w:rPr>
          <w:t>EPUB Accessibility 1.1</w:t>
        </w:r>
      </w:hyperlink>
      <w:r w:rsidRPr="00357E48">
        <w:rPr>
          <w:lang w:val="en-US"/>
        </w:rPr>
        <w:t xml:space="preserve"> (W3C)</w:t>
      </w:r>
      <w:r w:rsidRPr="00357E48">
        <w:t> </w:t>
      </w:r>
    </w:p>
    <w:p w14:paraId="490FCB46" w14:textId="5E4A8725" w:rsidR="00CE2DB6" w:rsidRPr="00357E48" w:rsidRDefault="00CE2DB6" w:rsidP="004F738F">
      <w:pPr>
        <w:pStyle w:val="Bullet"/>
      </w:pPr>
      <w:hyperlink r:id="rId171" w:tgtFrame="_blank" w:tooltip="Accessible Books Consortium" w:history="1">
        <w:r w:rsidRPr="00357E48">
          <w:rPr>
            <w:rStyle w:val="Hyperlink"/>
            <w:lang w:val="en-US"/>
          </w:rPr>
          <w:t>Accessible Books Consortium</w:t>
        </w:r>
      </w:hyperlink>
      <w:r w:rsidRPr="00357E48">
        <w:rPr>
          <w:lang w:val="en-US"/>
        </w:rPr>
        <w:t xml:space="preserve"> (ABC)</w:t>
      </w:r>
      <w:r w:rsidRPr="00357E48">
        <w:t> </w:t>
      </w:r>
    </w:p>
    <w:p w14:paraId="7DF61BF6" w14:textId="2F33C1C3" w:rsidR="00CE2DB6" w:rsidRPr="00357E48" w:rsidRDefault="00CE2DB6" w:rsidP="004F738F">
      <w:pPr>
        <w:pStyle w:val="Bullet"/>
      </w:pPr>
      <w:hyperlink r:id="rId172" w:tgtFrame="_blank" w:tooltip="Inclusive Publishing" w:history="1">
        <w:r w:rsidRPr="00357E48">
          <w:rPr>
            <w:rStyle w:val="Hyperlink"/>
            <w:lang w:val="en-US"/>
          </w:rPr>
          <w:t>Inclusive Publishing</w:t>
        </w:r>
      </w:hyperlink>
      <w:r w:rsidRPr="00357E48">
        <w:rPr>
          <w:lang w:val="en-US"/>
        </w:rPr>
        <w:t xml:space="preserve"> (The DAISY Consortium)</w:t>
      </w:r>
      <w:r w:rsidRPr="00357E48">
        <w:t> </w:t>
      </w:r>
    </w:p>
    <w:p w14:paraId="659B9CE8" w14:textId="5072BEB4" w:rsidR="00CE2DB6" w:rsidRPr="00357E48" w:rsidRDefault="00CE2DB6" w:rsidP="004F738F">
      <w:pPr>
        <w:pStyle w:val="Bullet"/>
      </w:pPr>
      <w:hyperlink r:id="rId173" w:tgtFrame="_blank" w:tooltip="Ace by DAISY, Accessibility Checker for EPUB" w:history="1">
        <w:r w:rsidRPr="00357E48">
          <w:rPr>
            <w:rStyle w:val="Hyperlink"/>
            <w:lang w:val="en-US"/>
          </w:rPr>
          <w:t>Ace by DAISY, Accessibility Checker for EPUB</w:t>
        </w:r>
      </w:hyperlink>
      <w:r w:rsidRPr="00357E48">
        <w:rPr>
          <w:lang w:val="en-US"/>
        </w:rPr>
        <w:t xml:space="preserve"> (Inclusive Publishing)</w:t>
      </w:r>
      <w:r w:rsidRPr="00357E48">
        <w:t> </w:t>
      </w:r>
    </w:p>
    <w:p w14:paraId="1DDF69E4" w14:textId="52FC9B7E" w:rsidR="00CE2DB6" w:rsidRPr="00357E48" w:rsidRDefault="00CE2DB6" w:rsidP="004F738F">
      <w:pPr>
        <w:pStyle w:val="Bullet"/>
      </w:pPr>
      <w:hyperlink r:id="rId174" w:tgtFrame="_blank" w:tooltip="Inclusive Publishing in Australia" w:history="1">
        <w:r w:rsidRPr="00357E48">
          <w:rPr>
            <w:rStyle w:val="Hyperlink"/>
            <w:lang w:val="en-US"/>
          </w:rPr>
          <w:t>Inclusive Publishing in Australia</w:t>
        </w:r>
      </w:hyperlink>
      <w:r w:rsidRPr="00357E48">
        <w:rPr>
          <w:lang w:val="en-US"/>
        </w:rPr>
        <w:t xml:space="preserve"> (Australian Inclusive Publishing Initiative)</w:t>
      </w:r>
      <w:r w:rsidRPr="00357E48">
        <w:t> </w:t>
      </w:r>
    </w:p>
    <w:p w14:paraId="1EEE221A" w14:textId="37B1913B" w:rsidR="00CE2DB6" w:rsidRPr="00357E48" w:rsidRDefault="00CE2DB6" w:rsidP="004F738F">
      <w:pPr>
        <w:pStyle w:val="Bullet"/>
      </w:pPr>
      <w:hyperlink r:id="rId175" w:tgtFrame="_blank" w:tooltip="Making Content Accessible" w:history="1">
        <w:r w:rsidRPr="00357E48">
          <w:rPr>
            <w:rStyle w:val="Hyperlink"/>
            <w:lang w:val="en-US"/>
          </w:rPr>
          <w:t>Making Content Accessible</w:t>
        </w:r>
      </w:hyperlink>
      <w:r w:rsidRPr="00357E48">
        <w:rPr>
          <w:lang w:val="en-US"/>
        </w:rPr>
        <w:t xml:space="preserve"> (Australian Inclusive Publishing Initiative)</w:t>
      </w:r>
      <w:r w:rsidRPr="00357E48">
        <w:t> </w:t>
      </w:r>
    </w:p>
    <w:p w14:paraId="309F03DB" w14:textId="79752984" w:rsidR="00CE2DB6" w:rsidRPr="00357E48" w:rsidRDefault="00CE2DB6" w:rsidP="004F738F">
      <w:pPr>
        <w:pStyle w:val="Bullet"/>
      </w:pPr>
      <w:hyperlink r:id="rId176" w:tgtFrame="_blank" w:tooltip="Accessible Audiobook Workflow Guide: Producing Born Accessible Audiobooks" w:history="1">
        <w:r w:rsidRPr="00357E48">
          <w:rPr>
            <w:rStyle w:val="Hyperlink"/>
            <w:lang w:val="en-US"/>
          </w:rPr>
          <w:t>Accessible Audiobook Workflow Guide: Producing Born Accessible Audiobooks</w:t>
        </w:r>
      </w:hyperlink>
      <w:r w:rsidRPr="00357E48">
        <w:rPr>
          <w:lang w:val="en-US"/>
        </w:rPr>
        <w:t xml:space="preserve"> (Accessible Publishing Learning Network)</w:t>
      </w:r>
      <w:r w:rsidRPr="00357E48">
        <w:t> </w:t>
      </w:r>
    </w:p>
    <w:p w14:paraId="5F63BC2D" w14:textId="77777777" w:rsidR="00CE2DB6" w:rsidRPr="00357E48" w:rsidRDefault="00CE2DB6" w:rsidP="004F738F">
      <w:pPr>
        <w:pStyle w:val="Heading2"/>
      </w:pPr>
      <w:bookmarkStart w:id="242" w:name="_Toc194569678"/>
      <w:r w:rsidRPr="00357E48">
        <w:rPr>
          <w:lang w:val="en-US"/>
        </w:rPr>
        <w:lastRenderedPageBreak/>
        <w:t>Social media</w:t>
      </w:r>
      <w:bookmarkEnd w:id="242"/>
      <w:r w:rsidRPr="00357E48">
        <w:t> </w:t>
      </w:r>
    </w:p>
    <w:p w14:paraId="1036FF77" w14:textId="7C527A5C" w:rsidR="00CE2DB6" w:rsidRPr="00357E48" w:rsidRDefault="00CE2DB6" w:rsidP="004F738F">
      <w:pPr>
        <w:pStyle w:val="Bullet"/>
      </w:pPr>
      <w:hyperlink r:id="rId177" w:tgtFrame="_blank" w:tooltip="Federal Social Media Accessibility Toolkit Hackpad" w:history="1">
        <w:r w:rsidRPr="00357E48">
          <w:rPr>
            <w:rStyle w:val="Hyperlink"/>
            <w:lang w:val="en-US"/>
          </w:rPr>
          <w:t xml:space="preserve">Federal Social Media Accessibility Toolkit </w:t>
        </w:r>
        <w:proofErr w:type="spellStart"/>
        <w:r w:rsidRPr="00357E48">
          <w:rPr>
            <w:rStyle w:val="Hyperlink"/>
            <w:lang w:val="en-US"/>
          </w:rPr>
          <w:t>Hackpad</w:t>
        </w:r>
        <w:proofErr w:type="spellEnd"/>
      </w:hyperlink>
      <w:r w:rsidRPr="00357E48">
        <w:rPr>
          <w:lang w:val="en-US"/>
        </w:rPr>
        <w:t xml:space="preserve"> (Digital.gov)</w:t>
      </w:r>
      <w:r w:rsidRPr="00357E48">
        <w:t> </w:t>
      </w:r>
    </w:p>
    <w:p w14:paraId="28F32809" w14:textId="33124406" w:rsidR="00CE2DB6" w:rsidRPr="00357E48" w:rsidRDefault="00CE2DB6" w:rsidP="004F738F">
      <w:pPr>
        <w:pStyle w:val="Bullet"/>
      </w:pPr>
      <w:hyperlink r:id="rId178" w:tgtFrame="_blank" w:tooltip="Social Media" w:history="1">
        <w:r w:rsidRPr="00357E48">
          <w:rPr>
            <w:rStyle w:val="Hyperlink"/>
            <w:lang w:val="en-US"/>
          </w:rPr>
          <w:t>Social Media</w:t>
        </w:r>
      </w:hyperlink>
      <w:r w:rsidRPr="00357E48">
        <w:rPr>
          <w:lang w:val="en-US"/>
        </w:rPr>
        <w:t xml:space="preserve"> (University of Minnesota)</w:t>
      </w:r>
      <w:r w:rsidRPr="00357E48">
        <w:t> </w:t>
      </w:r>
    </w:p>
    <w:p w14:paraId="1353B6C4" w14:textId="761995BF" w:rsidR="00CE2DB6" w:rsidRPr="00357E48" w:rsidRDefault="00CE2DB6" w:rsidP="004F738F">
      <w:pPr>
        <w:pStyle w:val="Bullet"/>
      </w:pPr>
      <w:hyperlink r:id="rId179" w:tgtFrame="_blank" w:tooltip="Social Media Accessibility" w:history="1">
        <w:r w:rsidRPr="00357E48">
          <w:rPr>
            <w:rStyle w:val="Hyperlink"/>
            <w:lang w:val="en-US"/>
          </w:rPr>
          <w:t>Social Media Accessibility</w:t>
        </w:r>
      </w:hyperlink>
      <w:r w:rsidRPr="00357E48">
        <w:rPr>
          <w:lang w:val="en-US"/>
        </w:rPr>
        <w:t xml:space="preserve"> (University of California, Davis)</w:t>
      </w:r>
      <w:r w:rsidRPr="00357E48">
        <w:t> </w:t>
      </w:r>
    </w:p>
    <w:p w14:paraId="0D973A59" w14:textId="76328FD8" w:rsidR="00CE2DB6" w:rsidRPr="00357E48" w:rsidRDefault="00CE2DB6" w:rsidP="004F738F">
      <w:pPr>
        <w:pStyle w:val="Bullet"/>
      </w:pPr>
      <w:hyperlink r:id="rId180" w:tgtFrame="_blank" w:tooltip="Accessible Social" w:history="1">
        <w:r w:rsidRPr="00357E48">
          <w:rPr>
            <w:rStyle w:val="Hyperlink"/>
            <w:lang w:val="en-US"/>
          </w:rPr>
          <w:t>Accessible Social</w:t>
        </w:r>
      </w:hyperlink>
      <w:r w:rsidRPr="00357E48">
        <w:rPr>
          <w:lang w:val="en-US"/>
        </w:rPr>
        <w:t xml:space="preserve"> (accessiblesocial.com)</w:t>
      </w:r>
      <w:r w:rsidRPr="00357E48">
        <w:t> </w:t>
      </w:r>
    </w:p>
    <w:p w14:paraId="7DA62432" w14:textId="77777777" w:rsidR="00CE2DB6" w:rsidRPr="00357E48" w:rsidRDefault="00CE2DB6" w:rsidP="004F738F">
      <w:pPr>
        <w:pStyle w:val="Heading2"/>
      </w:pPr>
      <w:bookmarkStart w:id="243" w:name="_Toc194569679"/>
      <w:r w:rsidRPr="00357E48">
        <w:rPr>
          <w:lang w:val="en-US"/>
        </w:rPr>
        <w:t>Internet of Things</w:t>
      </w:r>
      <w:bookmarkEnd w:id="243"/>
      <w:r w:rsidRPr="00357E48">
        <w:t> </w:t>
      </w:r>
    </w:p>
    <w:p w14:paraId="69C79762" w14:textId="22EADDE1" w:rsidR="00CE2DB6" w:rsidRPr="00357E48" w:rsidRDefault="00CE2DB6" w:rsidP="004F738F">
      <w:pPr>
        <w:pStyle w:val="Bullet"/>
      </w:pPr>
      <w:hyperlink r:id="rId181" w:tgtFrame="_blank" w:tooltip="Build With Matter | Smart Home Device Solution" w:history="1">
        <w:proofErr w:type="gramStart"/>
        <w:r w:rsidRPr="00357E48">
          <w:rPr>
            <w:rStyle w:val="Hyperlink"/>
            <w:lang w:val="en-US"/>
          </w:rPr>
          <w:t>Build</w:t>
        </w:r>
        <w:proofErr w:type="gramEnd"/>
        <w:r w:rsidRPr="00357E48">
          <w:rPr>
            <w:rStyle w:val="Hyperlink"/>
            <w:lang w:val="en-US"/>
          </w:rPr>
          <w:t xml:space="preserve"> With Matter | Smart Home Device Solution</w:t>
        </w:r>
      </w:hyperlink>
      <w:r w:rsidRPr="00357E48">
        <w:rPr>
          <w:lang w:val="en-US"/>
        </w:rPr>
        <w:t xml:space="preserve"> (CSA-IOT)</w:t>
      </w:r>
      <w:r w:rsidRPr="00357E48">
        <w:t> </w:t>
      </w:r>
    </w:p>
    <w:p w14:paraId="21AD67DF" w14:textId="5D0C13BB" w:rsidR="004F738F" w:rsidRDefault="00CE2DB6" w:rsidP="00CE2DB6">
      <w:pPr>
        <w:pStyle w:val="Bullet"/>
      </w:pPr>
      <w:hyperlink r:id="rId182" w:tgtFrame="_blank" w:tooltip="Discover How Accessible ICT Benefits Smart Cities" w:history="1">
        <w:r w:rsidRPr="00357E48">
          <w:rPr>
            <w:rStyle w:val="Hyperlink"/>
            <w:lang w:val="en-US"/>
          </w:rPr>
          <w:t>Discover How Accessible ICT Benefits Smart Cities</w:t>
        </w:r>
      </w:hyperlink>
      <w:r w:rsidRPr="00357E48">
        <w:rPr>
          <w:lang w:val="en-US"/>
        </w:rPr>
        <w:t xml:space="preserve"> (smartcities4all.org)</w:t>
      </w:r>
      <w:r w:rsidRPr="00357E48">
        <w:t> </w:t>
      </w:r>
      <w:r w:rsidR="004F738F">
        <w:br w:type="page"/>
      </w:r>
    </w:p>
    <w:p w14:paraId="497D2C25" w14:textId="411F118A" w:rsidR="006E67A1" w:rsidRPr="00446A02" w:rsidRDefault="004F738F" w:rsidP="004F738F">
      <w:pPr>
        <w:pStyle w:val="Heading1"/>
      </w:pPr>
      <w:bookmarkStart w:id="244" w:name="_Toc194569680"/>
      <w:r>
        <w:lastRenderedPageBreak/>
        <w:t>Endnotes</w:t>
      </w:r>
      <w:bookmarkEnd w:id="244"/>
    </w:p>
    <w:sectPr w:rsidR="006E67A1" w:rsidRPr="00446A02" w:rsidSect="002250F0">
      <w:headerReference w:type="even" r:id="rId183"/>
      <w:headerReference w:type="default" r:id="rId184"/>
      <w:footerReference w:type="even" r:id="rId185"/>
      <w:footerReference w:type="default" r:id="rId186"/>
      <w:headerReference w:type="first" r:id="rId187"/>
      <w:footerReference w:type="first" r:id="rId188"/>
      <w:endnotePr>
        <w:numFmt w:val="decimal"/>
      </w:endnotePr>
      <w:pgSz w:w="11906" w:h="16838" w:code="9"/>
      <w:pgMar w:top="1077" w:right="1440" w:bottom="1077" w:left="1440" w:header="70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28EBE" w14:textId="77777777" w:rsidR="00590AB3" w:rsidRDefault="00590AB3" w:rsidP="00F14C6D">
      <w:r>
        <w:separator/>
      </w:r>
    </w:p>
  </w:endnote>
  <w:endnote w:type="continuationSeparator" w:id="0">
    <w:p w14:paraId="27A80009" w14:textId="77777777" w:rsidR="00590AB3" w:rsidRDefault="00590AB3" w:rsidP="00F14C6D">
      <w:r>
        <w:continuationSeparator/>
      </w:r>
    </w:p>
  </w:endnote>
  <w:endnote w:type="continuationNotice" w:id="1">
    <w:p w14:paraId="309D656E" w14:textId="77777777" w:rsidR="00590AB3" w:rsidRDefault="00590AB3">
      <w:pPr>
        <w:spacing w:before="0" w:after="0"/>
      </w:pPr>
    </w:p>
  </w:endnote>
  <w:endnote w:id="2">
    <w:p w14:paraId="7054A3EB" w14:textId="7D965F15" w:rsidR="00CE2DB6" w:rsidRDefault="00CE2DB6" w:rsidP="003335AC">
      <w:pPr>
        <w:pStyle w:val="EndnoteText"/>
      </w:pPr>
      <w:r>
        <w:rPr>
          <w:rStyle w:val="EndnoteReference"/>
        </w:rPr>
        <w:endnoteRef/>
      </w:r>
      <w:r>
        <w:t xml:space="preserve"> </w:t>
      </w:r>
      <w:r w:rsidR="003335AC">
        <w:tab/>
      </w:r>
      <w:r w:rsidRPr="00C30086">
        <w:t>Disability Discrimination Act 1992 (Cth)</w:t>
      </w:r>
      <w:r>
        <w:t xml:space="preserve"> </w:t>
      </w:r>
      <w:r w:rsidRPr="003D6322">
        <w:rPr>
          <w:iCs/>
        </w:rPr>
        <w:t>s3</w:t>
      </w:r>
      <w:r>
        <w:t>.</w:t>
      </w:r>
    </w:p>
  </w:endnote>
  <w:endnote w:id="3">
    <w:p w14:paraId="7A215039" w14:textId="2412BAD6" w:rsidR="00CE2DB6" w:rsidRDefault="00CE2DB6" w:rsidP="003335AC">
      <w:pPr>
        <w:pStyle w:val="EndnoteText"/>
      </w:pPr>
      <w:r>
        <w:rPr>
          <w:rStyle w:val="EndnoteReference"/>
        </w:rPr>
        <w:endnoteRef/>
      </w:r>
      <w:r>
        <w:t xml:space="preserve"> </w:t>
      </w:r>
      <w:r w:rsidR="003335AC">
        <w:tab/>
      </w:r>
      <w:r w:rsidRPr="00C30086">
        <w:t>Disability Discrimination Act 1992 (</w:t>
      </w:r>
      <w:r w:rsidRPr="00C30086">
        <w:t>Cth)</w:t>
      </w:r>
      <w:r>
        <w:t xml:space="preserve"> </w:t>
      </w:r>
      <w:r w:rsidRPr="003D6322">
        <w:rPr>
          <w:iCs/>
        </w:rPr>
        <w:t>s5.</w:t>
      </w:r>
    </w:p>
  </w:endnote>
  <w:endnote w:id="4">
    <w:p w14:paraId="6B0FA399" w14:textId="342900DC" w:rsidR="00CE2DB6" w:rsidRDefault="00CE2DB6" w:rsidP="003335AC">
      <w:pPr>
        <w:pStyle w:val="EndnoteText"/>
      </w:pPr>
      <w:r>
        <w:rPr>
          <w:rStyle w:val="EndnoteReference"/>
        </w:rPr>
        <w:endnoteRef/>
      </w:r>
      <w:r>
        <w:t xml:space="preserve"> </w:t>
      </w:r>
      <w:r w:rsidR="003335AC">
        <w:tab/>
      </w:r>
      <w:r w:rsidRPr="00C30086">
        <w:t>Disability Discrimination Act 1992 (</w:t>
      </w:r>
      <w:r w:rsidRPr="00C30086">
        <w:t>Cth)</w:t>
      </w:r>
      <w:r>
        <w:t xml:space="preserve"> </w:t>
      </w:r>
      <w:r w:rsidRPr="003D6322">
        <w:rPr>
          <w:iCs/>
        </w:rPr>
        <w:t>s6.</w:t>
      </w:r>
    </w:p>
  </w:endnote>
  <w:endnote w:id="5">
    <w:p w14:paraId="52041F64" w14:textId="30BF40E3" w:rsidR="00CE2DB6" w:rsidRDefault="00CE2DB6" w:rsidP="003335AC">
      <w:pPr>
        <w:pStyle w:val="EndnoteText"/>
      </w:pPr>
      <w:r>
        <w:rPr>
          <w:rStyle w:val="EndnoteReference"/>
        </w:rPr>
        <w:endnoteRef/>
      </w:r>
      <w:r>
        <w:t xml:space="preserve"> </w:t>
      </w:r>
      <w:r w:rsidR="003335AC">
        <w:tab/>
      </w:r>
      <w:r w:rsidRPr="00C30086">
        <w:t>Disability Discrimination Act 1992 (</w:t>
      </w:r>
      <w:r w:rsidRPr="00C30086">
        <w:t>Cth)</w:t>
      </w:r>
      <w:r>
        <w:t xml:space="preserve"> </w:t>
      </w:r>
      <w:r w:rsidRPr="003D6322">
        <w:rPr>
          <w:iCs/>
        </w:rPr>
        <w:t>s4, see ‘disability’.</w:t>
      </w:r>
    </w:p>
  </w:endnote>
  <w:endnote w:id="6">
    <w:p w14:paraId="03350E15" w14:textId="39B6B15E" w:rsidR="00CE2DB6" w:rsidRDefault="00CE2DB6" w:rsidP="003335AC">
      <w:pPr>
        <w:pStyle w:val="EndnoteText"/>
      </w:pPr>
      <w:r>
        <w:rPr>
          <w:rStyle w:val="EndnoteReference"/>
        </w:rPr>
        <w:endnoteRef/>
      </w:r>
      <w:r>
        <w:t xml:space="preserve"> </w:t>
      </w:r>
      <w:r w:rsidR="003335AC">
        <w:tab/>
      </w:r>
      <w:r w:rsidRPr="00C30086">
        <w:t>Disability Discrimination Act 1992 (</w:t>
      </w:r>
      <w:r w:rsidRPr="00C30086">
        <w:t>Cth)</w:t>
      </w:r>
      <w:r>
        <w:t xml:space="preserve"> </w:t>
      </w:r>
      <w:r w:rsidRPr="003D6322">
        <w:rPr>
          <w:iCs/>
        </w:rPr>
        <w:t>ss7-8.</w:t>
      </w:r>
    </w:p>
  </w:endnote>
  <w:endnote w:id="7">
    <w:p w14:paraId="2569EB6F" w14:textId="47A2557F" w:rsidR="00CE2DB6" w:rsidRDefault="00CE2DB6" w:rsidP="003335AC">
      <w:pPr>
        <w:pStyle w:val="EndnoteText"/>
      </w:pPr>
      <w:r>
        <w:rPr>
          <w:rStyle w:val="EndnoteReference"/>
        </w:rPr>
        <w:endnoteRef/>
      </w:r>
      <w:r>
        <w:t xml:space="preserve"> </w:t>
      </w:r>
      <w:r w:rsidR="003335AC">
        <w:tab/>
      </w:r>
      <w:r w:rsidRPr="00C30086">
        <w:t>Disability Discrimination Act 1992 (</w:t>
      </w:r>
      <w:r w:rsidRPr="00C30086">
        <w:t>Cth)</w:t>
      </w:r>
      <w:r>
        <w:t xml:space="preserve"> </w:t>
      </w:r>
      <w:r w:rsidRPr="003D6322">
        <w:rPr>
          <w:iCs/>
        </w:rPr>
        <w:t>s4, see ‘</w:t>
      </w:r>
      <w:r w:rsidRPr="003D6322">
        <w:rPr>
          <w:iCs/>
        </w:rPr>
        <w:t>services’.</w:t>
      </w:r>
    </w:p>
  </w:endnote>
  <w:endnote w:id="8">
    <w:p w14:paraId="6B79D6D1" w14:textId="1734B6FC" w:rsidR="00CE2DB6" w:rsidRDefault="00CE2DB6" w:rsidP="003335AC">
      <w:pPr>
        <w:pStyle w:val="EndnoteText"/>
      </w:pPr>
      <w:r>
        <w:rPr>
          <w:rStyle w:val="EndnoteReference"/>
        </w:rPr>
        <w:endnoteRef/>
      </w:r>
      <w:r>
        <w:t xml:space="preserve"> </w:t>
      </w:r>
      <w:r w:rsidR="003335AC">
        <w:tab/>
      </w:r>
      <w:r>
        <w:t>See</w:t>
      </w:r>
      <w:r w:rsidR="009E3343">
        <w:t>:</w:t>
      </w:r>
      <w:r>
        <w:t xml:space="preserve"> Australian Government Job Access website </w:t>
      </w:r>
      <w:hyperlink r:id="rId1" w:tooltip="Australian Government Job Access website" w:history="1">
        <w:r w:rsidRPr="009E3343">
          <w:rPr>
            <w:rStyle w:val="Hyperlink"/>
          </w:rPr>
          <w:t>https://www.jobaccess.gov.au</w:t>
        </w:r>
      </w:hyperlink>
    </w:p>
  </w:endnote>
  <w:endnote w:id="9">
    <w:p w14:paraId="3C330A6F" w14:textId="59403234" w:rsidR="00CE2DB6" w:rsidRDefault="00CE2DB6" w:rsidP="003335AC">
      <w:pPr>
        <w:pStyle w:val="EndnoteText"/>
      </w:pPr>
      <w:r>
        <w:rPr>
          <w:rStyle w:val="EndnoteReference"/>
        </w:rPr>
        <w:endnoteRef/>
      </w:r>
      <w:r>
        <w:t xml:space="preserve"> </w:t>
      </w:r>
      <w:r w:rsidR="003335AC">
        <w:tab/>
      </w:r>
      <w:r w:rsidRPr="00C30086">
        <w:rPr>
          <w:i/>
        </w:rPr>
        <w:t>United Nations Convention on the Rights of Persons with Disabilities</w:t>
      </w:r>
      <w:r w:rsidRPr="00DE7C65">
        <w:t xml:space="preserve">, opened for signature 30 March 2007, </w:t>
      </w:r>
      <w:r w:rsidRPr="00DE7C65">
        <w:t xml:space="preserve">2515 UNTS 3 (entered into force 3 May 2008) art </w:t>
      </w:r>
      <w:r>
        <w:t>3 and 4</w:t>
      </w:r>
      <w:r w:rsidRPr="00DE7C65">
        <w:t xml:space="preserve"> (‘CRPD’).</w:t>
      </w:r>
    </w:p>
  </w:endnote>
  <w:endnote w:id="10">
    <w:p w14:paraId="0D241D91" w14:textId="0CCAA371" w:rsidR="00CE2DB6" w:rsidRDefault="00CE2DB6" w:rsidP="003335AC">
      <w:pPr>
        <w:pStyle w:val="EndnoteText"/>
      </w:pPr>
      <w:r>
        <w:rPr>
          <w:rStyle w:val="EndnoteReference"/>
        </w:rPr>
        <w:endnoteRef/>
      </w:r>
      <w:r>
        <w:t xml:space="preserve"> </w:t>
      </w:r>
      <w:r w:rsidR="003335AC">
        <w:tab/>
      </w:r>
      <w:r>
        <w:t>CRPD art 5.</w:t>
      </w:r>
    </w:p>
  </w:endnote>
  <w:endnote w:id="11">
    <w:p w14:paraId="3D8F03F7" w14:textId="54ECCE70" w:rsidR="00CE2DB6" w:rsidRDefault="00CE2DB6" w:rsidP="003335AC">
      <w:pPr>
        <w:pStyle w:val="EndnoteText"/>
      </w:pPr>
      <w:r>
        <w:rPr>
          <w:rStyle w:val="EndnoteReference"/>
        </w:rPr>
        <w:endnoteRef/>
      </w:r>
      <w:r>
        <w:t xml:space="preserve"> </w:t>
      </w:r>
      <w:r w:rsidR="003335AC">
        <w:tab/>
      </w:r>
      <w:r>
        <w:t>CRPD art 9.</w:t>
      </w:r>
    </w:p>
  </w:endnote>
  <w:endnote w:id="12">
    <w:p w14:paraId="3297EEBA" w14:textId="1BB874DC" w:rsidR="00CE2DB6" w:rsidRDefault="00CE2DB6" w:rsidP="003335AC">
      <w:pPr>
        <w:pStyle w:val="EndnoteText"/>
      </w:pPr>
      <w:r>
        <w:rPr>
          <w:rStyle w:val="EndnoteReference"/>
        </w:rPr>
        <w:endnoteRef/>
      </w:r>
      <w:r>
        <w:t xml:space="preserve"> </w:t>
      </w:r>
      <w:r w:rsidR="003335AC">
        <w:tab/>
      </w:r>
      <w:r>
        <w:t>CRPD art 21.</w:t>
      </w:r>
    </w:p>
  </w:endnote>
  <w:endnote w:id="13">
    <w:p w14:paraId="09AE20CD" w14:textId="14A1A1B6" w:rsidR="00CE2DB6" w:rsidRDefault="00CE2DB6" w:rsidP="003335AC">
      <w:pPr>
        <w:pStyle w:val="EndnoteText"/>
      </w:pPr>
      <w:r>
        <w:rPr>
          <w:rStyle w:val="EndnoteReference"/>
        </w:rPr>
        <w:endnoteRef/>
      </w:r>
      <w:r>
        <w:t xml:space="preserve"> </w:t>
      </w:r>
      <w:r w:rsidR="003335AC">
        <w:tab/>
      </w:r>
      <w:r w:rsidR="003335AC" w:rsidRPr="003335AC">
        <w:t xml:space="preserve">Web Accessibility Initiative (13 March 2025), </w:t>
      </w:r>
      <w:r w:rsidR="003335AC" w:rsidRPr="003335AC">
        <w:rPr>
          <w:i/>
          <w:iCs/>
        </w:rPr>
        <w:t xml:space="preserve">Stories of Web Users </w:t>
      </w:r>
      <w:r w:rsidR="003335AC" w:rsidRPr="003335AC">
        <w:t xml:space="preserve">(website) </w:t>
      </w:r>
      <w:hyperlink r:id="rId2" w:tooltip="Stories of Web Users (website) " w:history="1">
        <w:r w:rsidR="003335AC" w:rsidRPr="002A1708">
          <w:rPr>
            <w:rStyle w:val="Hyperlink"/>
          </w:rPr>
          <w:t>https://www.w3.org/WAI/people-use-web/user-stories/</w:t>
        </w:r>
      </w:hyperlink>
    </w:p>
  </w:endnote>
  <w:endnote w:id="14">
    <w:p w14:paraId="782D1A08" w14:textId="13DC64DC" w:rsidR="00CE2DB6" w:rsidRDefault="00CE2DB6" w:rsidP="003335AC">
      <w:pPr>
        <w:pStyle w:val="EndnoteText"/>
      </w:pPr>
      <w:r>
        <w:rPr>
          <w:rStyle w:val="EndnoteReference"/>
        </w:rPr>
        <w:endnoteRef/>
      </w:r>
      <w:r>
        <w:t xml:space="preserve"> </w:t>
      </w:r>
      <w:r w:rsidR="003335AC">
        <w:tab/>
      </w:r>
      <w:r>
        <w:t xml:space="preserve">See: Centre for Universal Design, </w:t>
      </w:r>
      <w:r>
        <w:rPr>
          <w:i/>
          <w:iCs/>
        </w:rPr>
        <w:t xml:space="preserve">The Principles of Universal Design </w:t>
      </w:r>
      <w:r>
        <w:t xml:space="preserve">(1997) </w:t>
      </w:r>
      <w:hyperlink r:id="rId3" w:tooltip="The Principles of Universal Design " w:history="1">
        <w:r w:rsidRPr="00BA129E">
          <w:rPr>
            <w:rStyle w:val="Hyperlink"/>
          </w:rPr>
          <w:t>https://design.ncsu.edu/research/center-for-universal-design/</w:t>
        </w:r>
      </w:hyperlink>
    </w:p>
  </w:endnote>
  <w:endnote w:id="15">
    <w:p w14:paraId="754CA2A2" w14:textId="5CDA6459" w:rsidR="00CE2DB6" w:rsidRPr="00437CB7" w:rsidRDefault="00CE2DB6" w:rsidP="003335AC">
      <w:pPr>
        <w:pStyle w:val="EndnoteText"/>
      </w:pPr>
      <w:r>
        <w:rPr>
          <w:rStyle w:val="EndnoteReference"/>
        </w:rPr>
        <w:endnoteRef/>
      </w:r>
      <w:r>
        <w:t xml:space="preserve"> </w:t>
      </w:r>
      <w:r w:rsidR="003335AC">
        <w:tab/>
      </w:r>
      <w:r>
        <w:t xml:space="preserve">Web Accessibility Initiative, </w:t>
      </w:r>
      <w:r>
        <w:rPr>
          <w:i/>
          <w:iCs/>
        </w:rPr>
        <w:t xml:space="preserve">The Business Case for Digital Accessibility </w:t>
      </w:r>
      <w:r>
        <w:t xml:space="preserve">(9 November 2018) </w:t>
      </w:r>
      <w:hyperlink r:id="rId4" w:tooltip="The Business Case for Digital Accessibility" w:history="1">
        <w:r w:rsidRPr="0057108D">
          <w:rPr>
            <w:rStyle w:val="Hyperlink"/>
          </w:rPr>
          <w:t>https://www.w3.org/WAI/business-case/</w:t>
        </w:r>
      </w:hyperlink>
      <w:r>
        <w:t xml:space="preserve"> </w:t>
      </w:r>
    </w:p>
  </w:endnote>
  <w:endnote w:id="16">
    <w:p w14:paraId="18081944" w14:textId="46ED212E" w:rsidR="00CE2DB6" w:rsidRPr="00DC0C29" w:rsidRDefault="00CE2DB6" w:rsidP="003335AC">
      <w:pPr>
        <w:pStyle w:val="EndnoteText"/>
      </w:pPr>
      <w:r w:rsidRPr="00F36BD8">
        <w:rPr>
          <w:rStyle w:val="FootnoteReference"/>
        </w:rPr>
        <w:endnoteRef/>
      </w:r>
      <w:r w:rsidRPr="00DC0C29">
        <w:t xml:space="preserve"> </w:t>
      </w:r>
      <w:r w:rsidR="003335AC">
        <w:tab/>
      </w:r>
      <w:r w:rsidRPr="00DC0C29">
        <w:t>Centre for Inclusive Design, 2019.</w:t>
      </w:r>
    </w:p>
  </w:endnote>
  <w:endnote w:id="17">
    <w:p w14:paraId="09BDF549" w14:textId="121EBC4D" w:rsidR="00CE2DB6" w:rsidRPr="007C73BF" w:rsidRDefault="00CE2DB6" w:rsidP="003335AC">
      <w:pPr>
        <w:pStyle w:val="EndnoteText"/>
      </w:pPr>
      <w:r>
        <w:rPr>
          <w:rStyle w:val="EndnoteReference"/>
        </w:rPr>
        <w:endnoteRef/>
      </w:r>
      <w:r>
        <w:t xml:space="preserve"> </w:t>
      </w:r>
      <w:r w:rsidR="003335AC">
        <w:tab/>
      </w:r>
      <w:r>
        <w:t xml:space="preserve">Centre for Inclusive Design, </w:t>
      </w:r>
      <w:r>
        <w:rPr>
          <w:i/>
          <w:iCs/>
        </w:rPr>
        <w:t xml:space="preserve">The Benefit of Designing for Everyone </w:t>
      </w:r>
      <w:r>
        <w:t>(May 2019) 1.</w:t>
      </w:r>
    </w:p>
  </w:endnote>
  <w:endnote w:id="18">
    <w:p w14:paraId="5777B21B" w14:textId="5B3F544C" w:rsidR="00CE2DB6" w:rsidRPr="00875007" w:rsidRDefault="00CE2DB6" w:rsidP="003335AC">
      <w:pPr>
        <w:pStyle w:val="EndnoteText"/>
      </w:pPr>
      <w:r w:rsidRPr="00BA6A7C">
        <w:rPr>
          <w:vertAlign w:val="superscript"/>
        </w:rPr>
        <w:endnoteRef/>
      </w:r>
      <w:r w:rsidRPr="00BA6A7C">
        <w:rPr>
          <w:vertAlign w:val="superscript"/>
        </w:rPr>
        <w:t xml:space="preserve"> </w:t>
      </w:r>
      <w:r w:rsidR="003335AC">
        <w:rPr>
          <w:vertAlign w:val="superscript"/>
        </w:rPr>
        <w:tab/>
      </w:r>
      <w:r w:rsidR="003335AC" w:rsidRPr="003335AC">
        <w:rPr>
          <w:rFonts w:ascii="Arial" w:hAnsi="Arial"/>
        </w:rPr>
        <w:t xml:space="preserve">Return on Disability </w:t>
      </w:r>
      <w:r w:rsidR="003335AC" w:rsidRPr="003335AC">
        <w:rPr>
          <w:rFonts w:ascii="Arial" w:hAnsi="Arial"/>
          <w:i/>
          <w:iCs/>
        </w:rPr>
        <w:t>Annual Report 2020</w:t>
      </w:r>
      <w:r w:rsidRPr="00F516EC">
        <w:rPr>
          <w:rStyle w:val="FootnoteTextChar"/>
        </w:rPr>
        <w:t xml:space="preserve">, </w:t>
      </w:r>
      <w:r w:rsidR="003335AC">
        <w:rPr>
          <w:rStyle w:val="FootnoteTextChar"/>
        </w:rPr>
        <w:br/>
      </w:r>
      <w:hyperlink r:id="rId5" w:tooltip="Return on Disability Annual Report 2020" w:history="1">
        <w:r w:rsidR="003335AC" w:rsidRPr="002A1708">
          <w:rPr>
            <w:rStyle w:val="Hyperlink"/>
          </w:rPr>
          <w:t>https://www.rod-group.com/research-insights/annual-report-2020/</w:t>
        </w:r>
      </w:hyperlink>
      <w:r w:rsidRPr="00F516EC">
        <w:rPr>
          <w:rStyle w:val="FootnoteTextChar"/>
          <w:rFonts w:cstheme="minorHAnsi"/>
        </w:rPr>
        <w:t>.</w:t>
      </w:r>
    </w:p>
  </w:endnote>
  <w:endnote w:id="19">
    <w:p w14:paraId="25F8A5AE" w14:textId="24124C43" w:rsidR="00CE2DB6" w:rsidRPr="00901520" w:rsidRDefault="00CE2DB6" w:rsidP="003335AC">
      <w:pPr>
        <w:pStyle w:val="EndnoteText"/>
      </w:pPr>
      <w:r>
        <w:rPr>
          <w:rStyle w:val="EndnoteReference"/>
        </w:rPr>
        <w:endnoteRef/>
      </w:r>
      <w:r>
        <w:t xml:space="preserve"> </w:t>
      </w:r>
      <w:r w:rsidR="003335AC">
        <w:tab/>
      </w:r>
      <w:r>
        <w:t xml:space="preserve">Web Accessibility Initiative </w:t>
      </w:r>
      <w:r>
        <w:rPr>
          <w:i/>
          <w:iCs/>
        </w:rPr>
        <w:t xml:space="preserve">Involving Users in Web Projects for Better, Easier Accessibility </w:t>
      </w:r>
      <w:r>
        <w:t xml:space="preserve">(9 January 2019) </w:t>
      </w:r>
      <w:hyperlink r:id="rId6" w:tooltip="Involving Users in Web Projects for Better, Easier Accessibility" w:history="1">
        <w:r w:rsidRPr="0057108D">
          <w:rPr>
            <w:rStyle w:val="Hyperlink"/>
          </w:rPr>
          <w:t>https://www.w3.org/WAI/planning/involving-users/</w:t>
        </w:r>
      </w:hyperlink>
    </w:p>
  </w:endnote>
  <w:endnote w:id="20">
    <w:p w14:paraId="4EF8BEF4" w14:textId="434C5030" w:rsidR="00CE2DB6" w:rsidRPr="00C85244" w:rsidRDefault="00CE2DB6" w:rsidP="003335AC">
      <w:pPr>
        <w:pStyle w:val="EndnoteText"/>
      </w:pPr>
      <w:r>
        <w:rPr>
          <w:rStyle w:val="EndnoteReference"/>
        </w:rPr>
        <w:endnoteRef/>
      </w:r>
      <w:r>
        <w:t xml:space="preserve"> </w:t>
      </w:r>
      <w:r w:rsidR="003335AC">
        <w:t xml:space="preserve"> </w:t>
      </w:r>
      <w:r w:rsidRPr="003335AC">
        <w:t>National</w:t>
      </w:r>
      <w:r>
        <w:t xml:space="preserve"> Institute of Standards &amp; Technology (Program Office Strategic Planning and Economic Analysis Group) </w:t>
      </w:r>
      <w:r>
        <w:rPr>
          <w:i/>
          <w:iCs/>
        </w:rPr>
        <w:t xml:space="preserve">Planning Report 02-3: The Economic Impacts of Inadequate Infrastructure for Software Testing </w:t>
      </w:r>
      <w:r>
        <w:t>(May 2002).</w:t>
      </w:r>
    </w:p>
  </w:endnote>
  <w:endnote w:id="21">
    <w:p w14:paraId="37C28011" w14:textId="1F8A60B6" w:rsidR="00CE2DB6" w:rsidRPr="00E95EB7" w:rsidRDefault="00CE2DB6" w:rsidP="003335AC">
      <w:pPr>
        <w:pStyle w:val="EndnoteText"/>
      </w:pPr>
      <w:r>
        <w:rPr>
          <w:rStyle w:val="EndnoteReference"/>
        </w:rPr>
        <w:endnoteRef/>
      </w:r>
      <w:r>
        <w:t xml:space="preserve"> </w:t>
      </w:r>
      <w:r w:rsidR="003335AC">
        <w:tab/>
      </w:r>
      <w:r>
        <w:t xml:space="preserve">W3C Editor’s Draft </w:t>
      </w:r>
      <w:r>
        <w:rPr>
          <w:i/>
          <w:iCs/>
        </w:rPr>
        <w:t>Accessibility Maturity Model</w:t>
      </w:r>
      <w:r>
        <w:t xml:space="preserve"> (2024) </w:t>
      </w:r>
      <w:hyperlink r:id="rId7" w:tooltip="W3C Editor’s Draft Accessibility Maturity Model" w:history="1">
        <w:r w:rsidRPr="0057108D">
          <w:rPr>
            <w:rStyle w:val="Hyperlink"/>
          </w:rPr>
          <w:t>https://w3c.github.io/maturity-model/</w:t>
        </w:r>
      </w:hyperlink>
      <w:r>
        <w:t xml:space="preserve"> </w:t>
      </w:r>
    </w:p>
  </w:endnote>
  <w:endnote w:id="22">
    <w:p w14:paraId="3BB7D575" w14:textId="1CB465E0" w:rsidR="00CE2DB6" w:rsidRDefault="00CE2DB6" w:rsidP="003335AC">
      <w:pPr>
        <w:pStyle w:val="EndnoteText"/>
      </w:pPr>
      <w:r>
        <w:rPr>
          <w:rStyle w:val="EndnoteReference"/>
        </w:rPr>
        <w:endnoteRef/>
      </w:r>
      <w:r>
        <w:t xml:space="preserve"> </w:t>
      </w:r>
      <w:r w:rsidR="003335AC">
        <w:tab/>
      </w:r>
      <w:r w:rsidR="003335AC" w:rsidRPr="003335AC">
        <w:t xml:space="preserve">Web Accessibility Initiative (12 December 2024) </w:t>
      </w:r>
      <w:r w:rsidR="003335AC" w:rsidRPr="003335AC">
        <w:rPr>
          <w:i/>
          <w:iCs/>
        </w:rPr>
        <w:t xml:space="preserve">WCAG 2 Overview </w:t>
      </w:r>
      <w:r w:rsidR="003335AC" w:rsidRPr="003335AC">
        <w:t xml:space="preserve">(website) </w:t>
      </w:r>
      <w:hyperlink r:id="rId8" w:tooltip="Web Accessibility Initiative WCAG 2 Overview" w:history="1">
        <w:r w:rsidR="003335AC" w:rsidRPr="002A1708">
          <w:rPr>
            <w:rStyle w:val="Hyperlink"/>
          </w:rPr>
          <w:t>https://www.w3.org/WAI/standards-guidelines/wcag/</w:t>
        </w:r>
      </w:hyperlink>
    </w:p>
  </w:endnote>
  <w:endnote w:id="23">
    <w:p w14:paraId="1684B5B5" w14:textId="67A2D0B7" w:rsidR="00CE2DB6" w:rsidRDefault="00CE2DB6" w:rsidP="003335AC">
      <w:pPr>
        <w:pStyle w:val="EndnoteText"/>
      </w:pPr>
      <w:r>
        <w:rPr>
          <w:rStyle w:val="EndnoteReference"/>
        </w:rPr>
        <w:endnoteRef/>
      </w:r>
      <w:r>
        <w:t xml:space="preserve"> </w:t>
      </w:r>
      <w:r w:rsidR="003335AC">
        <w:tab/>
      </w:r>
      <w:r w:rsidR="003335AC" w:rsidRPr="003335AC">
        <w:t>AS ISO/IEC 30071.1:2022 (Standards Australia)</w:t>
      </w:r>
      <w:r w:rsidR="003335AC">
        <w:t xml:space="preserve"> </w:t>
      </w:r>
      <w:r w:rsidR="003335AC">
        <w:br/>
      </w:r>
      <w:hyperlink r:id="rId9" w:tooltip="AS ISO/IEC 30071.1:2022 (Standards Australia) " w:history="1">
        <w:r w:rsidR="003335AC" w:rsidRPr="002A1708">
          <w:rPr>
            <w:rStyle w:val="Hyperlink"/>
          </w:rPr>
          <w:t>https://store.standards.org.au/reader/as-iso-iec-30071-1-2022?preview=1</w:t>
        </w:r>
      </w:hyperlink>
      <w:r>
        <w:t xml:space="preserve"> </w:t>
      </w:r>
    </w:p>
  </w:endnote>
  <w:endnote w:id="24">
    <w:p w14:paraId="7C3BB02D" w14:textId="0AD99B3F" w:rsidR="00CE2DB6" w:rsidRDefault="00CE2DB6" w:rsidP="003335AC">
      <w:pPr>
        <w:pStyle w:val="EndnoteText"/>
      </w:pPr>
      <w:r>
        <w:rPr>
          <w:rStyle w:val="EndnoteReference"/>
        </w:rPr>
        <w:endnoteRef/>
      </w:r>
      <w:r>
        <w:t xml:space="preserve"> </w:t>
      </w:r>
      <w:r w:rsidR="003335AC">
        <w:tab/>
      </w:r>
      <w:r w:rsidR="003335AC" w:rsidRPr="003335AC">
        <w:t>AS EN 301 549:2020 (Standards Australia)</w:t>
      </w:r>
      <w:r w:rsidR="003335AC">
        <w:t xml:space="preserve"> </w:t>
      </w:r>
      <w:r w:rsidR="003335AC">
        <w:br/>
      </w:r>
      <w:hyperlink r:id="rId10" w:tooltip="AS EN 301 549:2020 (Standards Australia) " w:history="1">
        <w:r w:rsidR="003335AC" w:rsidRPr="002A1708">
          <w:rPr>
            <w:rStyle w:val="Hyperlink"/>
          </w:rPr>
          <w:t>https://store.standards.org.au/product/as-en-301-549-2020</w:t>
        </w:r>
      </w:hyperlink>
      <w:r>
        <w:t xml:space="preserve"> </w:t>
      </w:r>
    </w:p>
  </w:endnote>
  <w:endnote w:id="25">
    <w:p w14:paraId="18E29CDF" w14:textId="3714DEF6" w:rsidR="00CE2DB6" w:rsidRDefault="00CE2DB6" w:rsidP="003335AC">
      <w:pPr>
        <w:pStyle w:val="EndnoteText"/>
      </w:pPr>
      <w:r>
        <w:rPr>
          <w:rStyle w:val="EndnoteReference"/>
        </w:rPr>
        <w:endnoteRef/>
      </w:r>
      <w:r>
        <w:t xml:space="preserve"> </w:t>
      </w:r>
      <w:r w:rsidR="003335AC">
        <w:tab/>
      </w:r>
      <w:r w:rsidR="003335AC" w:rsidRPr="003335AC">
        <w:t>AS ISO 31000:2018 (Standards Australia)</w:t>
      </w:r>
      <w:r w:rsidR="003335AC">
        <w:t xml:space="preserve"> </w:t>
      </w:r>
      <w:hyperlink r:id="rId11" w:tooltip="AS ISO 31000:2018 (Standards Australia) " w:history="1">
        <w:r w:rsidR="003335AC" w:rsidRPr="002A1708">
          <w:rPr>
            <w:rStyle w:val="Hyperlink"/>
          </w:rPr>
          <w:t>https://www.intertekinform.com/en-au/Standards/AS-ISO-31000-2018-1134720_SAIG_AS_AS_2680492/</w:t>
        </w:r>
      </w:hyperlink>
      <w:r>
        <w:t xml:space="preserve"> </w:t>
      </w:r>
    </w:p>
  </w:endnote>
  <w:endnote w:id="26">
    <w:p w14:paraId="48A8C77D" w14:textId="0FE63B8E" w:rsidR="00CE2DB6" w:rsidRDefault="00CE2DB6" w:rsidP="003335AC">
      <w:pPr>
        <w:pStyle w:val="EndnoteText"/>
      </w:pPr>
      <w:r>
        <w:rPr>
          <w:rStyle w:val="EndnoteReference"/>
        </w:rPr>
        <w:endnoteRef/>
      </w:r>
      <w:r>
        <w:t xml:space="preserve"> </w:t>
      </w:r>
      <w:r w:rsidR="003335AC">
        <w:tab/>
      </w:r>
      <w:r w:rsidR="003335AC" w:rsidRPr="003335AC">
        <w:t>AS ISO 37301:2023 (Standards Australia)</w:t>
      </w:r>
      <w:r w:rsidR="003335AC">
        <w:t xml:space="preserve"> </w:t>
      </w:r>
      <w:r w:rsidR="003335AC">
        <w:br/>
      </w:r>
      <w:hyperlink r:id="rId12" w:tooltip="AS ISO 37301:2023 (Standards Australia) " w:history="1">
        <w:r w:rsidR="003335AC" w:rsidRPr="002A1708">
          <w:rPr>
            <w:rStyle w:val="Hyperlink"/>
          </w:rPr>
          <w:t>https://store.standards.org.au/product/as-iso-37301-2023</w:t>
        </w:r>
      </w:hyperlink>
      <w:r>
        <w:t xml:space="preserve"> </w:t>
      </w:r>
    </w:p>
  </w:endnote>
  <w:endnote w:id="27">
    <w:p w14:paraId="0DF9F442" w14:textId="654512BA" w:rsidR="00CE2DB6" w:rsidRDefault="00CE2DB6" w:rsidP="003335AC">
      <w:pPr>
        <w:pStyle w:val="EndnoteText"/>
      </w:pPr>
      <w:r>
        <w:rPr>
          <w:rStyle w:val="EndnoteReference"/>
        </w:rPr>
        <w:endnoteRef/>
      </w:r>
      <w:r>
        <w:t xml:space="preserve"> </w:t>
      </w:r>
      <w:r w:rsidR="003335AC">
        <w:tab/>
      </w:r>
      <w:r w:rsidR="003335AC" w:rsidRPr="003335AC">
        <w:t>AS ISO/IEC 30071.1:2022 (Standards Australia)</w:t>
      </w:r>
      <w:r w:rsidR="003335AC">
        <w:t xml:space="preserve"> </w:t>
      </w:r>
      <w:r w:rsidR="003335AC">
        <w:br/>
      </w:r>
      <w:hyperlink r:id="rId13" w:tooltip="AS ISO/IEC 30071.1:2022 (Standards Australia) " w:history="1">
        <w:r w:rsidR="003335AC" w:rsidRPr="002A1708">
          <w:rPr>
            <w:rStyle w:val="Hyperlink"/>
          </w:rPr>
          <w:t>https://store.standards.org.au/reader/as-iso-iec-30071-1-2022?preview=1</w:t>
        </w:r>
      </w:hyperlink>
      <w:r w:rsidR="003335AC">
        <w:t xml:space="preserve"> </w:t>
      </w:r>
    </w:p>
  </w:endnote>
  <w:endnote w:id="28">
    <w:p w14:paraId="491C4664" w14:textId="6C051D4E" w:rsidR="00CE2DB6" w:rsidRDefault="00CE2DB6" w:rsidP="003335AC">
      <w:pPr>
        <w:pStyle w:val="EndnoteText"/>
      </w:pPr>
      <w:r>
        <w:rPr>
          <w:rStyle w:val="EndnoteReference"/>
        </w:rPr>
        <w:endnoteRef/>
      </w:r>
      <w:r>
        <w:t xml:space="preserve"> </w:t>
      </w:r>
      <w:r w:rsidR="003335AC">
        <w:tab/>
      </w:r>
      <w:r w:rsidR="003335AC" w:rsidRPr="003335AC">
        <w:t xml:space="preserve">US Access Board (March 2025) </w:t>
      </w:r>
      <w:r w:rsidR="003335AC" w:rsidRPr="003335AC">
        <w:rPr>
          <w:i/>
          <w:iCs/>
        </w:rPr>
        <w:t xml:space="preserve">IT Accessibility Laws and Policies </w:t>
      </w:r>
      <w:r w:rsidR="003335AC" w:rsidRPr="003335AC">
        <w:t>(website)</w:t>
      </w:r>
      <w:r w:rsidR="003335AC" w:rsidRPr="003335AC">
        <w:rPr>
          <w:i/>
          <w:iCs/>
        </w:rPr>
        <w:t xml:space="preserve"> </w:t>
      </w:r>
      <w:hyperlink r:id="rId14" w:tooltip="US Access Board IT Accessibility Laws and Policies (website) " w:history="1">
        <w:r w:rsidR="003335AC" w:rsidRPr="002A1708">
          <w:rPr>
            <w:rStyle w:val="Hyperlink"/>
          </w:rPr>
          <w:t>https://www.section508.gov/manage/laws-and-policies/</w:t>
        </w:r>
      </w:hyperlink>
    </w:p>
  </w:endnote>
  <w:endnote w:id="29">
    <w:p w14:paraId="5CC54FEE" w14:textId="6888603C" w:rsidR="00CE2DB6" w:rsidRDefault="00CE2DB6" w:rsidP="003335AC">
      <w:pPr>
        <w:pStyle w:val="EndnoteText"/>
      </w:pPr>
      <w:r>
        <w:rPr>
          <w:rStyle w:val="EndnoteReference"/>
        </w:rPr>
        <w:endnoteRef/>
      </w:r>
      <w:r>
        <w:t xml:space="preserve"> </w:t>
      </w:r>
      <w:r w:rsidR="003335AC">
        <w:tab/>
      </w:r>
      <w:r w:rsidR="003335AC" w:rsidRPr="003335AC">
        <w:t xml:space="preserve">European Commission </w:t>
      </w:r>
      <w:r w:rsidR="003335AC" w:rsidRPr="003335AC">
        <w:rPr>
          <w:i/>
          <w:iCs/>
        </w:rPr>
        <w:t xml:space="preserve">Web accessibility </w:t>
      </w:r>
      <w:r w:rsidR="003335AC" w:rsidRPr="003335AC">
        <w:t xml:space="preserve">(website) </w:t>
      </w:r>
      <w:r w:rsidR="003335AC">
        <w:br/>
      </w:r>
      <w:hyperlink r:id="rId15" w:tooltip="European Commission Web accessibility (website) " w:history="1">
        <w:r w:rsidR="003335AC" w:rsidRPr="002A1708">
          <w:rPr>
            <w:rStyle w:val="Hyperlink"/>
          </w:rPr>
          <w:t>https://digital-strategy.ec.europa.eu/en/policies/web-accessibility</w:t>
        </w:r>
      </w:hyperlink>
    </w:p>
  </w:endnote>
  <w:endnote w:id="30">
    <w:p w14:paraId="244EC279" w14:textId="196E6865" w:rsidR="00CE2DB6" w:rsidRDefault="00CE2DB6" w:rsidP="003335AC">
      <w:pPr>
        <w:pStyle w:val="EndnoteText"/>
      </w:pPr>
      <w:r>
        <w:rPr>
          <w:rStyle w:val="EndnoteReference"/>
        </w:rPr>
        <w:endnoteRef/>
      </w:r>
      <w:r>
        <w:t xml:space="preserve"> </w:t>
      </w:r>
      <w:r w:rsidR="00BA129E">
        <w:tab/>
      </w:r>
      <w:r>
        <w:t>See</w:t>
      </w:r>
      <w:r w:rsidR="00BA129E">
        <w:t>:</w:t>
      </w:r>
      <w:r>
        <w:t xml:space="preserve"> Web Accessibility Initiative, WCAG Overview </w:t>
      </w:r>
      <w:r w:rsidR="00925DCD">
        <w:br/>
      </w:r>
      <w:hyperlink r:id="rId16" w:tooltip="Web Accessibility Initiative, WCAG Overview " w:history="1">
        <w:r w:rsidRPr="00BA129E">
          <w:rPr>
            <w:rStyle w:val="Hyperlink"/>
          </w:rPr>
          <w:t>https://www.w3.org/WAI/standards-guidelines/wcag/</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SemiBold">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Open Sans Light">
    <w:charset w:val="00"/>
    <w:family w:val="swiss"/>
    <w:pitch w:val="variable"/>
    <w:sig w:usb0="E00002EF" w:usb1="4000205B" w:usb2="00000028" w:usb3="00000000" w:csb0="0000019F" w:csb1="00000000"/>
  </w:font>
  <w:font w:name="Public Sans">
    <w:altName w:val="Calibri"/>
    <w:panose1 w:val="00000000000000000000"/>
    <w:charset w:val="4D"/>
    <w:family w:val="auto"/>
    <w:pitch w:val="variable"/>
    <w:sig w:usb0="A00000FF" w:usb1="4000205B" w:usb2="00000000" w:usb3="00000000" w:csb0="00000193"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02B43" w14:textId="77777777" w:rsidR="004E2282" w:rsidRDefault="004E22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33B3" w14:textId="42F05F13" w:rsidR="00506E90" w:rsidRDefault="00506E90" w:rsidP="00F277FA">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ABA21" w14:textId="77777777" w:rsidR="004E2282" w:rsidRDefault="004E22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8446C" w14:textId="77777777" w:rsidR="00590AB3" w:rsidRDefault="00590AB3" w:rsidP="00F14C6D">
      <w:r>
        <w:separator/>
      </w:r>
    </w:p>
  </w:footnote>
  <w:footnote w:type="continuationSeparator" w:id="0">
    <w:p w14:paraId="49DA22C7" w14:textId="77777777" w:rsidR="00590AB3" w:rsidRDefault="00590AB3" w:rsidP="00F14C6D">
      <w:r>
        <w:continuationSeparator/>
      </w:r>
    </w:p>
  </w:footnote>
  <w:footnote w:type="continuationNotice" w:id="1">
    <w:p w14:paraId="359B6AF6" w14:textId="77777777" w:rsidR="00590AB3" w:rsidRDefault="00590AB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982EF" w14:textId="666DA33B" w:rsidR="00506E90" w:rsidRDefault="00506E90">
    <w:pPr>
      <w:pStyle w:val="Header"/>
    </w:pPr>
  </w:p>
  <w:p w14:paraId="77C0B994" w14:textId="77777777" w:rsidR="00506E90" w:rsidRDefault="00506E9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83B5D" w14:textId="23F34ED6" w:rsidR="00F277FA" w:rsidRPr="00F277FA" w:rsidRDefault="00506E90" w:rsidP="00F277FA">
    <w:pPr>
      <w:pStyle w:val="HeadingInternalTitlePage"/>
      <w:jc w:val="right"/>
      <w:rPr>
        <w:i/>
        <w:color w:val="auto"/>
        <w:sz w:val="21"/>
        <w:szCs w:val="21"/>
      </w:rPr>
    </w:pPr>
    <w:r w:rsidRPr="00660587">
      <w:rPr>
        <w:sz w:val="22"/>
        <w:szCs w:val="22"/>
      </w:rPr>
      <w:t>Australian Human Rights Commission</w:t>
    </w:r>
    <w:r w:rsidRPr="00660587">
      <w:rPr>
        <w:sz w:val="22"/>
        <w:szCs w:val="22"/>
      </w:rPr>
      <w:br/>
    </w:r>
    <w:r w:rsidR="004E2282" w:rsidRPr="004E2282">
      <w:rPr>
        <w:sz w:val="21"/>
        <w:szCs w:val="21"/>
      </w:rPr>
      <w:t>Guidelines on equal access to digital goods and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9" w:type="dxa"/>
      <w:tblInd w:w="108" w:type="dxa"/>
      <w:tblLayout w:type="fixed"/>
      <w:tblLook w:val="00A0" w:firstRow="1" w:lastRow="0" w:firstColumn="1" w:lastColumn="0" w:noHBand="0" w:noVBand="0"/>
    </w:tblPr>
    <w:tblGrid>
      <w:gridCol w:w="1508"/>
      <w:gridCol w:w="2688"/>
      <w:gridCol w:w="2302"/>
      <w:gridCol w:w="2130"/>
      <w:gridCol w:w="1721"/>
    </w:tblGrid>
    <w:tr w:rsidR="00506E90" w:rsidRPr="00B85DD4" w14:paraId="1C64B5C8" w14:textId="77777777" w:rsidTr="002B1B65">
      <w:trPr>
        <w:trHeight w:val="1603"/>
      </w:trPr>
      <w:tc>
        <w:tcPr>
          <w:tcW w:w="1508" w:type="dxa"/>
        </w:tcPr>
        <w:p w14:paraId="4B54CC11" w14:textId="77777777" w:rsidR="00506E90" w:rsidRPr="00B85DD4" w:rsidRDefault="00506E90" w:rsidP="00B520BC">
          <w:pPr>
            <w:pStyle w:val="Header"/>
            <w:tabs>
              <w:tab w:val="left" w:pos="4686"/>
              <w:tab w:val="left" w:pos="7088"/>
              <w:tab w:val="left" w:pos="7242"/>
            </w:tabs>
            <w:ind w:left="-108"/>
            <w:rPr>
              <w:rFonts w:cs="ArialMT"/>
              <w:b/>
              <w:spacing w:val="-20"/>
            </w:rPr>
          </w:pPr>
          <w:r>
            <w:rPr>
              <w:noProof/>
            </w:rPr>
            <w:drawing>
              <wp:inline distT="0" distB="0" distL="0" distR="0" wp14:anchorId="53BD16EC" wp14:editId="19386F1B">
                <wp:extent cx="819150" cy="819150"/>
                <wp:effectExtent l="0" t="0" r="0" b="0"/>
                <wp:docPr id="242311368" name="Picture 2" descr="Description: HREOC-Globe_PMS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inline>
            </w:drawing>
          </w:r>
        </w:p>
      </w:tc>
      <w:tc>
        <w:tcPr>
          <w:tcW w:w="2688" w:type="dxa"/>
          <w:vAlign w:val="center"/>
        </w:tcPr>
        <w:p w14:paraId="0F257967" w14:textId="77777777" w:rsidR="00506E90" w:rsidRPr="00D671B7" w:rsidRDefault="00506E90" w:rsidP="002B1B65">
          <w:pPr>
            <w:pStyle w:val="LogoType"/>
            <w:pBdr>
              <w:bottom w:val="single" w:sz="4" w:space="1" w:color="808080"/>
            </w:pBdr>
            <w:spacing w:line="240" w:lineRule="auto"/>
            <w:rPr>
              <w:color w:val="auto"/>
            </w:rPr>
          </w:pPr>
          <w:r w:rsidRPr="00D671B7">
            <w:rPr>
              <w:color w:val="auto"/>
            </w:rPr>
            <w:t>Australian</w:t>
          </w:r>
        </w:p>
        <w:p w14:paraId="2BAF1400" w14:textId="77777777" w:rsidR="00506E90" w:rsidRPr="00D671B7" w:rsidRDefault="00506E90" w:rsidP="002B1B65">
          <w:pPr>
            <w:pStyle w:val="LogoType"/>
            <w:pBdr>
              <w:bottom w:val="single" w:sz="4" w:space="1" w:color="808080"/>
            </w:pBdr>
            <w:spacing w:line="240" w:lineRule="auto"/>
            <w:rPr>
              <w:color w:val="auto"/>
            </w:rPr>
          </w:pPr>
          <w:r w:rsidRPr="00D671B7">
            <w:rPr>
              <w:color w:val="auto"/>
            </w:rPr>
            <w:t>Human Rights</w:t>
          </w:r>
        </w:p>
        <w:p w14:paraId="769F0496" w14:textId="77777777" w:rsidR="00506E90" w:rsidRPr="00D671B7" w:rsidRDefault="00506E90" w:rsidP="002B1B65">
          <w:pPr>
            <w:pStyle w:val="LogoType"/>
            <w:pBdr>
              <w:bottom w:val="single" w:sz="4" w:space="1" w:color="808080"/>
            </w:pBdr>
            <w:spacing w:line="240" w:lineRule="auto"/>
            <w:rPr>
              <w:color w:val="auto"/>
            </w:rPr>
          </w:pPr>
          <w:r w:rsidRPr="00D671B7">
            <w:rPr>
              <w:color w:val="auto"/>
            </w:rPr>
            <w:t>Commission</w:t>
          </w:r>
        </w:p>
        <w:p w14:paraId="4D7FDE5C" w14:textId="77777777" w:rsidR="00506E90" w:rsidRPr="00D671B7" w:rsidRDefault="00506E90" w:rsidP="002B1B65">
          <w:pPr>
            <w:spacing w:before="0" w:after="0"/>
            <w:rPr>
              <w:rFonts w:cs="ArialMT"/>
              <w:i/>
              <w:sz w:val="17"/>
            </w:rPr>
          </w:pPr>
          <w:r w:rsidRPr="00D671B7">
            <w:rPr>
              <w:rFonts w:cs="ArialMT"/>
              <w:i/>
              <w:sz w:val="17"/>
            </w:rPr>
            <w:t>everyone, everywhere, everyday</w:t>
          </w:r>
        </w:p>
      </w:tc>
      <w:tc>
        <w:tcPr>
          <w:tcW w:w="2302" w:type="dxa"/>
        </w:tcPr>
        <w:p w14:paraId="3D82509B" w14:textId="77777777" w:rsidR="00506E90" w:rsidRPr="00B85DD4" w:rsidRDefault="00506E90" w:rsidP="00B520BC">
          <w:pPr>
            <w:pStyle w:val="HeaderFooter"/>
            <w:rPr>
              <w:b/>
              <w:spacing w:val="-20"/>
              <w:sz w:val="40"/>
            </w:rPr>
          </w:pPr>
        </w:p>
      </w:tc>
      <w:tc>
        <w:tcPr>
          <w:tcW w:w="2130" w:type="dxa"/>
        </w:tcPr>
        <w:p w14:paraId="4B5B1456" w14:textId="77777777" w:rsidR="00506E90" w:rsidRPr="00B85DD4" w:rsidRDefault="00506E90" w:rsidP="00B520BC">
          <w:pPr>
            <w:pStyle w:val="HeaderFooter"/>
            <w:rPr>
              <w:b/>
              <w:spacing w:val="-20"/>
              <w:sz w:val="40"/>
            </w:rPr>
          </w:pPr>
        </w:p>
      </w:tc>
      <w:tc>
        <w:tcPr>
          <w:tcW w:w="1721" w:type="dxa"/>
        </w:tcPr>
        <w:p w14:paraId="002812C5" w14:textId="77777777" w:rsidR="00506E90" w:rsidRPr="00B85DD4" w:rsidRDefault="00506E90" w:rsidP="00B520BC">
          <w:pPr>
            <w:pStyle w:val="HeaderFooter"/>
            <w:spacing w:before="227" w:after="340"/>
            <w:rPr>
              <w:b/>
              <w:spacing w:val="-20"/>
              <w:sz w:val="40"/>
            </w:rPr>
          </w:pPr>
        </w:p>
      </w:tc>
    </w:tr>
  </w:tbl>
  <w:p w14:paraId="5E9E858F" w14:textId="185094EA" w:rsidR="00506E90" w:rsidRDefault="00506E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multilevel"/>
    <w:tmpl w:val="6F36045A"/>
    <w:lvl w:ilvl="0">
      <w:start w:val="1"/>
      <w:numFmt w:val="decimal"/>
      <w:pStyle w:val="ListNumber4"/>
      <w:lvlText w:val="%1."/>
      <w:lvlJc w:val="left"/>
      <w:pPr>
        <w:tabs>
          <w:tab w:val="num"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00DF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77A1C"/>
    <w:multiLevelType w:val="hybridMultilevel"/>
    <w:tmpl w:val="93E89A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23D194F"/>
    <w:multiLevelType w:val="hybridMultilevel"/>
    <w:tmpl w:val="3DFEA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A17BF9"/>
    <w:multiLevelType w:val="multilevel"/>
    <w:tmpl w:val="9F228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2AE7EB9"/>
    <w:multiLevelType w:val="multilevel"/>
    <w:tmpl w:val="B7388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35E5AFD"/>
    <w:multiLevelType w:val="multilevel"/>
    <w:tmpl w:val="BE4E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48A5FB5"/>
    <w:multiLevelType w:val="multilevel"/>
    <w:tmpl w:val="E0F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4EF0497"/>
    <w:multiLevelType w:val="multilevel"/>
    <w:tmpl w:val="8A0C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5D15CED"/>
    <w:multiLevelType w:val="multilevel"/>
    <w:tmpl w:val="8BB2B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6FB7EEF"/>
    <w:multiLevelType w:val="hybridMultilevel"/>
    <w:tmpl w:val="BC8CF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8142AF7"/>
    <w:multiLevelType w:val="multilevel"/>
    <w:tmpl w:val="F0AEC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8751410"/>
    <w:multiLevelType w:val="hybridMultilevel"/>
    <w:tmpl w:val="8EEA2C30"/>
    <w:lvl w:ilvl="0" w:tplc="DF72A99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0A9E034D"/>
    <w:multiLevelType w:val="multilevel"/>
    <w:tmpl w:val="9EE06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BAB5762"/>
    <w:multiLevelType w:val="hybridMultilevel"/>
    <w:tmpl w:val="9B5ED3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0C2815F2"/>
    <w:multiLevelType w:val="multilevel"/>
    <w:tmpl w:val="1854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EA20648"/>
    <w:multiLevelType w:val="multilevel"/>
    <w:tmpl w:val="33223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F1436C5"/>
    <w:multiLevelType w:val="multilevel"/>
    <w:tmpl w:val="BB34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F9F0422"/>
    <w:multiLevelType w:val="hybridMultilevel"/>
    <w:tmpl w:val="1766F530"/>
    <w:lvl w:ilvl="0" w:tplc="EB4EB6C6">
      <w:start w:val="1"/>
      <w:numFmt w:val="decimal"/>
      <w:pStyle w:val="Number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145D681C"/>
    <w:multiLevelType w:val="multilevel"/>
    <w:tmpl w:val="93E89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5C42C94"/>
    <w:multiLevelType w:val="multilevel"/>
    <w:tmpl w:val="B3F65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68777FE"/>
    <w:multiLevelType w:val="multilevel"/>
    <w:tmpl w:val="1E8E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6B42520"/>
    <w:multiLevelType w:val="multilevel"/>
    <w:tmpl w:val="CDCCAA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16E46DE5"/>
    <w:multiLevelType w:val="multilevel"/>
    <w:tmpl w:val="6B3A2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72E6F71"/>
    <w:multiLevelType w:val="multilevel"/>
    <w:tmpl w:val="3F72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739115E"/>
    <w:multiLevelType w:val="multilevel"/>
    <w:tmpl w:val="F836D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90C11DD"/>
    <w:multiLevelType w:val="hybridMultilevel"/>
    <w:tmpl w:val="1986B3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1A4C0B56"/>
    <w:multiLevelType w:val="multilevel"/>
    <w:tmpl w:val="143A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C577D94"/>
    <w:multiLevelType w:val="hybridMultilevel"/>
    <w:tmpl w:val="6B38D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1D144FB6"/>
    <w:multiLevelType w:val="multilevel"/>
    <w:tmpl w:val="64546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DCB237C"/>
    <w:multiLevelType w:val="hybridMultilevel"/>
    <w:tmpl w:val="F6E2FC0A"/>
    <w:lvl w:ilvl="0" w:tplc="A32EC982">
      <w:start w:val="1"/>
      <w:numFmt w:val="decimal"/>
      <w:pStyle w:val="SubmissionNor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9" w15:restartNumberingAfterBreak="0">
    <w:nsid w:val="1EA3012A"/>
    <w:multiLevelType w:val="hybridMultilevel"/>
    <w:tmpl w:val="911A0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EC515FF"/>
    <w:multiLevelType w:val="multilevel"/>
    <w:tmpl w:val="39BE9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FCA4D09"/>
    <w:multiLevelType w:val="hybridMultilevel"/>
    <w:tmpl w:val="252690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20104AA2"/>
    <w:multiLevelType w:val="multilevel"/>
    <w:tmpl w:val="F26CC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153263C"/>
    <w:multiLevelType w:val="hybridMultilevel"/>
    <w:tmpl w:val="CBE81F4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15:restartNumberingAfterBreak="0">
    <w:nsid w:val="22054F43"/>
    <w:multiLevelType w:val="hybridMultilevel"/>
    <w:tmpl w:val="F11C7A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6" w15:restartNumberingAfterBreak="0">
    <w:nsid w:val="222110AA"/>
    <w:multiLevelType w:val="hybridMultilevel"/>
    <w:tmpl w:val="0200279E"/>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7" w15:restartNumberingAfterBreak="0">
    <w:nsid w:val="222945D0"/>
    <w:multiLevelType w:val="multilevel"/>
    <w:tmpl w:val="0294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26E7C10"/>
    <w:multiLevelType w:val="multilevel"/>
    <w:tmpl w:val="7FFE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551544E"/>
    <w:multiLevelType w:val="multilevel"/>
    <w:tmpl w:val="080AB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57817A1"/>
    <w:multiLevelType w:val="multilevel"/>
    <w:tmpl w:val="4644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58D52C5"/>
    <w:multiLevelType w:val="hybridMultilevel"/>
    <w:tmpl w:val="4DEA5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66479A4"/>
    <w:multiLevelType w:val="multilevel"/>
    <w:tmpl w:val="BDC4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6F372BC"/>
    <w:multiLevelType w:val="multilevel"/>
    <w:tmpl w:val="F17CC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AFC46AE"/>
    <w:multiLevelType w:val="multilevel"/>
    <w:tmpl w:val="A21A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BEE0809"/>
    <w:multiLevelType w:val="multilevel"/>
    <w:tmpl w:val="D252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C777DCB"/>
    <w:multiLevelType w:val="multilevel"/>
    <w:tmpl w:val="5960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D6F41D2"/>
    <w:multiLevelType w:val="hybridMultilevel"/>
    <w:tmpl w:val="B964B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FDC41AA"/>
    <w:multiLevelType w:val="hybridMultilevel"/>
    <w:tmpl w:val="1F6A6644"/>
    <w:lvl w:ilvl="0" w:tplc="EB4EB6C6">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2FEA5862"/>
    <w:multiLevelType w:val="hybridMultilevel"/>
    <w:tmpl w:val="F0ACA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30E32289"/>
    <w:multiLevelType w:val="hybridMultilevel"/>
    <w:tmpl w:val="C77EAD94"/>
    <w:lvl w:ilvl="0" w:tplc="EB4EB6C6">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310A7C47"/>
    <w:multiLevelType w:val="multilevel"/>
    <w:tmpl w:val="2AD0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1147FCE"/>
    <w:multiLevelType w:val="multilevel"/>
    <w:tmpl w:val="95AED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1651C3B"/>
    <w:multiLevelType w:val="multilevel"/>
    <w:tmpl w:val="921E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1E86008"/>
    <w:multiLevelType w:val="hybridMultilevel"/>
    <w:tmpl w:val="D440539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5" w15:restartNumberingAfterBreak="0">
    <w:nsid w:val="337A06A7"/>
    <w:multiLevelType w:val="multilevel"/>
    <w:tmpl w:val="E67CB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3AE685B"/>
    <w:multiLevelType w:val="multilevel"/>
    <w:tmpl w:val="92263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3BD0E4E"/>
    <w:multiLevelType w:val="hybridMultilevel"/>
    <w:tmpl w:val="2CC4A7B8"/>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354A0CD0"/>
    <w:multiLevelType w:val="multilevel"/>
    <w:tmpl w:val="5F48A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5AE23A9"/>
    <w:multiLevelType w:val="hybridMultilevel"/>
    <w:tmpl w:val="D854B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6867482"/>
    <w:multiLevelType w:val="multilevel"/>
    <w:tmpl w:val="EFA88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691066D"/>
    <w:multiLevelType w:val="multilevel"/>
    <w:tmpl w:val="75744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72D6F9E"/>
    <w:multiLevelType w:val="multilevel"/>
    <w:tmpl w:val="9948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87518CE"/>
    <w:multiLevelType w:val="multilevel"/>
    <w:tmpl w:val="B7DE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89F6E64"/>
    <w:multiLevelType w:val="multilevel"/>
    <w:tmpl w:val="6DEE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91A61BB"/>
    <w:multiLevelType w:val="hybridMultilevel"/>
    <w:tmpl w:val="AFE69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A871CD7"/>
    <w:multiLevelType w:val="multilevel"/>
    <w:tmpl w:val="4672D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A8E1501"/>
    <w:multiLevelType w:val="multilevel"/>
    <w:tmpl w:val="03926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AA34F9E"/>
    <w:multiLevelType w:val="multilevel"/>
    <w:tmpl w:val="4802F9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15:restartNumberingAfterBreak="0">
    <w:nsid w:val="3AF57B3E"/>
    <w:multiLevelType w:val="hybridMultilevel"/>
    <w:tmpl w:val="753AA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3AF62102"/>
    <w:multiLevelType w:val="multilevel"/>
    <w:tmpl w:val="EF3EE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C1D5C15"/>
    <w:multiLevelType w:val="multilevel"/>
    <w:tmpl w:val="9DD438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2" w15:restartNumberingAfterBreak="0">
    <w:nsid w:val="3DE6682B"/>
    <w:multiLevelType w:val="hybridMultilevel"/>
    <w:tmpl w:val="27368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3EC42FE8"/>
    <w:multiLevelType w:val="hybridMultilevel"/>
    <w:tmpl w:val="0C09001D"/>
    <w:styleLink w:val="1ai"/>
    <w:lvl w:ilvl="0" w:tplc="E4006444">
      <w:start w:val="1"/>
      <w:numFmt w:val="decimal"/>
      <w:lvlText w:val="%1)"/>
      <w:lvlJc w:val="left"/>
      <w:pPr>
        <w:tabs>
          <w:tab w:val="num" w:pos="360"/>
        </w:tabs>
        <w:ind w:left="360" w:hanging="360"/>
      </w:pPr>
    </w:lvl>
    <w:lvl w:ilvl="1" w:tplc="EBD26764">
      <w:start w:val="1"/>
      <w:numFmt w:val="lowerLetter"/>
      <w:lvlText w:val="%2)"/>
      <w:lvlJc w:val="left"/>
      <w:pPr>
        <w:tabs>
          <w:tab w:val="num" w:pos="720"/>
        </w:tabs>
        <w:ind w:left="720" w:hanging="360"/>
      </w:pPr>
    </w:lvl>
    <w:lvl w:ilvl="2" w:tplc="F8FEBB66">
      <w:start w:val="1"/>
      <w:numFmt w:val="lowerRoman"/>
      <w:lvlText w:val="%3)"/>
      <w:lvlJc w:val="left"/>
      <w:pPr>
        <w:tabs>
          <w:tab w:val="num" w:pos="1080"/>
        </w:tabs>
        <w:ind w:left="1080" w:hanging="360"/>
      </w:pPr>
    </w:lvl>
    <w:lvl w:ilvl="3" w:tplc="AFC0F562">
      <w:start w:val="1"/>
      <w:numFmt w:val="decimal"/>
      <w:lvlText w:val="(%4)"/>
      <w:lvlJc w:val="left"/>
      <w:pPr>
        <w:tabs>
          <w:tab w:val="num" w:pos="1440"/>
        </w:tabs>
        <w:ind w:left="1440" w:hanging="360"/>
      </w:pPr>
    </w:lvl>
    <w:lvl w:ilvl="4" w:tplc="4E3EF8D8">
      <w:start w:val="1"/>
      <w:numFmt w:val="lowerLetter"/>
      <w:lvlText w:val="(%5)"/>
      <w:lvlJc w:val="left"/>
      <w:pPr>
        <w:tabs>
          <w:tab w:val="num" w:pos="1800"/>
        </w:tabs>
        <w:ind w:left="1800" w:hanging="360"/>
      </w:pPr>
    </w:lvl>
    <w:lvl w:ilvl="5" w:tplc="1DE8CC8C">
      <w:start w:val="1"/>
      <w:numFmt w:val="lowerRoman"/>
      <w:lvlText w:val="(%6)"/>
      <w:lvlJc w:val="left"/>
      <w:pPr>
        <w:tabs>
          <w:tab w:val="num" w:pos="2160"/>
        </w:tabs>
        <w:ind w:left="2160" w:hanging="360"/>
      </w:pPr>
    </w:lvl>
    <w:lvl w:ilvl="6" w:tplc="B2D4E840">
      <w:start w:val="1"/>
      <w:numFmt w:val="decimal"/>
      <w:lvlText w:val="%7."/>
      <w:lvlJc w:val="left"/>
      <w:pPr>
        <w:tabs>
          <w:tab w:val="num" w:pos="2520"/>
        </w:tabs>
        <w:ind w:left="2520" w:hanging="360"/>
      </w:pPr>
    </w:lvl>
    <w:lvl w:ilvl="7" w:tplc="602017A8">
      <w:start w:val="1"/>
      <w:numFmt w:val="lowerLetter"/>
      <w:lvlText w:val="%8."/>
      <w:lvlJc w:val="left"/>
      <w:pPr>
        <w:tabs>
          <w:tab w:val="num" w:pos="2880"/>
        </w:tabs>
        <w:ind w:left="2880" w:hanging="360"/>
      </w:pPr>
    </w:lvl>
    <w:lvl w:ilvl="8" w:tplc="F976DEE0">
      <w:start w:val="1"/>
      <w:numFmt w:val="lowerRoman"/>
      <w:lvlText w:val="%9."/>
      <w:lvlJc w:val="left"/>
      <w:pPr>
        <w:tabs>
          <w:tab w:val="num" w:pos="3240"/>
        </w:tabs>
        <w:ind w:left="3240" w:hanging="360"/>
      </w:pPr>
    </w:lvl>
  </w:abstractNum>
  <w:abstractNum w:abstractNumId="84" w15:restartNumberingAfterBreak="0">
    <w:nsid w:val="403D38B6"/>
    <w:multiLevelType w:val="multilevel"/>
    <w:tmpl w:val="DADA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0C21F57"/>
    <w:multiLevelType w:val="hybridMultilevel"/>
    <w:tmpl w:val="E2DCD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4256132A"/>
    <w:multiLevelType w:val="multilevel"/>
    <w:tmpl w:val="D5C8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2C53DB1"/>
    <w:multiLevelType w:val="multilevel"/>
    <w:tmpl w:val="FB245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55B06C2"/>
    <w:multiLevelType w:val="multilevel"/>
    <w:tmpl w:val="E806DF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9" w15:restartNumberingAfterBreak="0">
    <w:nsid w:val="45645704"/>
    <w:multiLevelType w:val="hybridMultilevel"/>
    <w:tmpl w:val="159437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45C43ED0"/>
    <w:multiLevelType w:val="multilevel"/>
    <w:tmpl w:val="D5E8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6850C90"/>
    <w:multiLevelType w:val="hybridMultilevel"/>
    <w:tmpl w:val="01846A7E"/>
    <w:name w:val="AHRC"/>
    <w:lvl w:ilvl="0" w:tplc="CC8A45C4">
      <w:start w:val="1"/>
      <w:numFmt w:val="decimal"/>
      <w:pStyle w:val="Heading4numbered"/>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2" w15:restartNumberingAfterBreak="0">
    <w:nsid w:val="47E03343"/>
    <w:multiLevelType w:val="multilevel"/>
    <w:tmpl w:val="B274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9DB294A"/>
    <w:multiLevelType w:val="multilevel"/>
    <w:tmpl w:val="53764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49FF7A73"/>
    <w:multiLevelType w:val="multilevel"/>
    <w:tmpl w:val="226A8AA2"/>
    <w:lvl w:ilvl="0">
      <w:start w:val="1"/>
      <w:numFmt w:val="decimal"/>
      <w:lvlText w:val="%1"/>
      <w:lvlJc w:val="left"/>
      <w:pPr>
        <w:ind w:left="851" w:hanging="851"/>
      </w:pPr>
      <w:rPr>
        <w:rFonts w:hint="default"/>
        <w:sz w:val="36"/>
        <w:szCs w:val="28"/>
      </w:rPr>
    </w:lvl>
    <w:lvl w:ilvl="1">
      <w:start w:val="1"/>
      <w:numFmt w:val="decimal"/>
      <w:lvlText w:val="%1.%2"/>
      <w:lvlJc w:val="left"/>
      <w:pPr>
        <w:tabs>
          <w:tab w:val="num" w:pos="1135"/>
        </w:tabs>
        <w:ind w:left="1135" w:hanging="851"/>
      </w:pPr>
      <w:rPr>
        <w:rFonts w:hint="default"/>
      </w:rPr>
    </w:lvl>
    <w:lvl w:ilvl="2">
      <w:start w:val="1"/>
      <w:numFmt w:val="lowerLetter"/>
      <w:lvlText w:val="(%3)"/>
      <w:lvlJc w:val="left"/>
      <w:pPr>
        <w:tabs>
          <w:tab w:val="num" w:pos="1277"/>
        </w:tabs>
        <w:ind w:left="1277" w:hanging="851"/>
      </w:pPr>
      <w:rPr>
        <w:rFonts w:hint="default"/>
        <w:b w:val="0"/>
      </w:rPr>
    </w:lvl>
    <w:lvl w:ilvl="3">
      <w:start w:val="1"/>
      <w:numFmt w:val="lowerRoman"/>
      <w:lvlText w:val="(%4)"/>
      <w:lvlJc w:val="left"/>
      <w:pPr>
        <w:tabs>
          <w:tab w:val="num" w:pos="851"/>
        </w:tabs>
        <w:ind w:left="851" w:hanging="851"/>
      </w:pPr>
      <w:rPr>
        <w:rFonts w:hint="default"/>
        <w:b w:val="0"/>
        <w:bCs/>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95" w15:restartNumberingAfterBreak="0">
    <w:nsid w:val="4A2822A2"/>
    <w:multiLevelType w:val="hybridMultilevel"/>
    <w:tmpl w:val="94D06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4A741040"/>
    <w:multiLevelType w:val="multilevel"/>
    <w:tmpl w:val="5598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4B7E5D40"/>
    <w:multiLevelType w:val="multilevel"/>
    <w:tmpl w:val="6962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C6E5252"/>
    <w:multiLevelType w:val="multilevel"/>
    <w:tmpl w:val="C06A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CD727B8"/>
    <w:multiLevelType w:val="multilevel"/>
    <w:tmpl w:val="E726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E2F1A9A"/>
    <w:multiLevelType w:val="multilevel"/>
    <w:tmpl w:val="54383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2" w15:restartNumberingAfterBreak="0">
    <w:nsid w:val="4E776098"/>
    <w:multiLevelType w:val="multilevel"/>
    <w:tmpl w:val="C492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510865A9"/>
    <w:multiLevelType w:val="hybridMultilevel"/>
    <w:tmpl w:val="A77A9712"/>
    <w:lvl w:ilvl="0" w:tplc="32FC73BA">
      <w:start w:val="1"/>
      <w:numFmt w:val="bullet"/>
      <w:pStyle w:val="Quot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515148FE"/>
    <w:multiLevelType w:val="hybridMultilevel"/>
    <w:tmpl w:val="064CF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20A1983"/>
    <w:multiLevelType w:val="hybridMultilevel"/>
    <w:tmpl w:val="7F7407FE"/>
    <w:lvl w:ilvl="0" w:tplc="08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16A751C">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54325A98"/>
    <w:multiLevelType w:val="hybridMultilevel"/>
    <w:tmpl w:val="B770E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46BF9F4"/>
    <w:multiLevelType w:val="hybridMultilevel"/>
    <w:tmpl w:val="FFFFFFFF"/>
    <w:lvl w:ilvl="0" w:tplc="E26ABB7A">
      <w:start w:val="1"/>
      <w:numFmt w:val="bullet"/>
      <w:lvlText w:val=""/>
      <w:lvlJc w:val="left"/>
      <w:pPr>
        <w:ind w:left="720" w:hanging="360"/>
      </w:pPr>
      <w:rPr>
        <w:rFonts w:ascii="Symbol" w:hAnsi="Symbol" w:hint="default"/>
      </w:rPr>
    </w:lvl>
    <w:lvl w:ilvl="1" w:tplc="D1E49BDA">
      <w:start w:val="1"/>
      <w:numFmt w:val="bullet"/>
      <w:lvlText w:val="o"/>
      <w:lvlJc w:val="left"/>
      <w:pPr>
        <w:ind w:left="1440" w:hanging="360"/>
      </w:pPr>
      <w:rPr>
        <w:rFonts w:ascii="Courier New" w:hAnsi="Courier New" w:hint="default"/>
      </w:rPr>
    </w:lvl>
    <w:lvl w:ilvl="2" w:tplc="81A04CFA">
      <w:start w:val="1"/>
      <w:numFmt w:val="bullet"/>
      <w:lvlText w:val=""/>
      <w:lvlJc w:val="left"/>
      <w:pPr>
        <w:ind w:left="2160" w:hanging="360"/>
      </w:pPr>
      <w:rPr>
        <w:rFonts w:ascii="Wingdings" w:hAnsi="Wingdings" w:hint="default"/>
      </w:rPr>
    </w:lvl>
    <w:lvl w:ilvl="3" w:tplc="87A2D13C">
      <w:start w:val="1"/>
      <w:numFmt w:val="bullet"/>
      <w:lvlText w:val=""/>
      <w:lvlJc w:val="left"/>
      <w:pPr>
        <w:ind w:left="2880" w:hanging="360"/>
      </w:pPr>
      <w:rPr>
        <w:rFonts w:ascii="Symbol" w:hAnsi="Symbol" w:hint="default"/>
      </w:rPr>
    </w:lvl>
    <w:lvl w:ilvl="4" w:tplc="8C4A749E">
      <w:start w:val="1"/>
      <w:numFmt w:val="bullet"/>
      <w:lvlText w:val="o"/>
      <w:lvlJc w:val="left"/>
      <w:pPr>
        <w:ind w:left="3600" w:hanging="360"/>
      </w:pPr>
      <w:rPr>
        <w:rFonts w:ascii="Courier New" w:hAnsi="Courier New" w:hint="default"/>
      </w:rPr>
    </w:lvl>
    <w:lvl w:ilvl="5" w:tplc="5E2C280E">
      <w:start w:val="1"/>
      <w:numFmt w:val="bullet"/>
      <w:lvlText w:val=""/>
      <w:lvlJc w:val="left"/>
      <w:pPr>
        <w:ind w:left="4320" w:hanging="360"/>
      </w:pPr>
      <w:rPr>
        <w:rFonts w:ascii="Wingdings" w:hAnsi="Wingdings" w:hint="default"/>
      </w:rPr>
    </w:lvl>
    <w:lvl w:ilvl="6" w:tplc="10DC0734">
      <w:start w:val="1"/>
      <w:numFmt w:val="bullet"/>
      <w:lvlText w:val=""/>
      <w:lvlJc w:val="left"/>
      <w:pPr>
        <w:ind w:left="5040" w:hanging="360"/>
      </w:pPr>
      <w:rPr>
        <w:rFonts w:ascii="Symbol" w:hAnsi="Symbol" w:hint="default"/>
      </w:rPr>
    </w:lvl>
    <w:lvl w:ilvl="7" w:tplc="A78634FE">
      <w:start w:val="1"/>
      <w:numFmt w:val="bullet"/>
      <w:lvlText w:val="o"/>
      <w:lvlJc w:val="left"/>
      <w:pPr>
        <w:ind w:left="5760" w:hanging="360"/>
      </w:pPr>
      <w:rPr>
        <w:rFonts w:ascii="Courier New" w:hAnsi="Courier New" w:hint="default"/>
      </w:rPr>
    </w:lvl>
    <w:lvl w:ilvl="8" w:tplc="66788182">
      <w:start w:val="1"/>
      <w:numFmt w:val="bullet"/>
      <w:lvlText w:val=""/>
      <w:lvlJc w:val="left"/>
      <w:pPr>
        <w:ind w:left="6480" w:hanging="360"/>
      </w:pPr>
      <w:rPr>
        <w:rFonts w:ascii="Wingdings" w:hAnsi="Wingdings" w:hint="default"/>
      </w:rPr>
    </w:lvl>
  </w:abstractNum>
  <w:abstractNum w:abstractNumId="108" w15:restartNumberingAfterBreak="0">
    <w:nsid w:val="54882A2D"/>
    <w:multiLevelType w:val="multilevel"/>
    <w:tmpl w:val="6D967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59241405"/>
    <w:multiLevelType w:val="multilevel"/>
    <w:tmpl w:val="85D0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A181BCA"/>
    <w:multiLevelType w:val="multilevel"/>
    <w:tmpl w:val="857ED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5CF26BC9"/>
    <w:multiLevelType w:val="hybridMultilevel"/>
    <w:tmpl w:val="9A1E1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D0B31FE"/>
    <w:multiLevelType w:val="hybridMultilevel"/>
    <w:tmpl w:val="4C9EA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D1712A8"/>
    <w:multiLevelType w:val="multilevel"/>
    <w:tmpl w:val="6E08C566"/>
    <w:lvl w:ilvl="0">
      <w:start w:val="1"/>
      <w:numFmt w:val="bullet"/>
      <w:pStyle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4" w15:restartNumberingAfterBreak="0">
    <w:nsid w:val="5E622562"/>
    <w:multiLevelType w:val="multilevel"/>
    <w:tmpl w:val="D8EE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04D3560"/>
    <w:multiLevelType w:val="multilevel"/>
    <w:tmpl w:val="B5EE0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0AE3B5D"/>
    <w:multiLevelType w:val="multilevel"/>
    <w:tmpl w:val="585E6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1971A20"/>
    <w:multiLevelType w:val="hybridMultilevel"/>
    <w:tmpl w:val="E44832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62F52830"/>
    <w:multiLevelType w:val="multilevel"/>
    <w:tmpl w:val="D89211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9" w15:restartNumberingAfterBreak="0">
    <w:nsid w:val="63CC56CD"/>
    <w:multiLevelType w:val="hybridMultilevel"/>
    <w:tmpl w:val="99001A34"/>
    <w:lvl w:ilvl="0" w:tplc="0C09000F">
      <w:start w:val="1"/>
      <w:numFmt w:val="decimal"/>
      <w:lvlText w:val="%1."/>
      <w:lvlJc w:val="left"/>
      <w:pPr>
        <w:ind w:left="770" w:hanging="360"/>
      </w:pPr>
    </w:lvl>
    <w:lvl w:ilvl="1" w:tplc="0C090019" w:tentative="1">
      <w:start w:val="1"/>
      <w:numFmt w:val="lowerLetter"/>
      <w:lvlText w:val="%2."/>
      <w:lvlJc w:val="left"/>
      <w:pPr>
        <w:ind w:left="1490" w:hanging="360"/>
      </w:pPr>
    </w:lvl>
    <w:lvl w:ilvl="2" w:tplc="0C09001B" w:tentative="1">
      <w:start w:val="1"/>
      <w:numFmt w:val="lowerRoman"/>
      <w:lvlText w:val="%3."/>
      <w:lvlJc w:val="right"/>
      <w:pPr>
        <w:ind w:left="2210" w:hanging="180"/>
      </w:pPr>
    </w:lvl>
    <w:lvl w:ilvl="3" w:tplc="0C09000F" w:tentative="1">
      <w:start w:val="1"/>
      <w:numFmt w:val="decimal"/>
      <w:lvlText w:val="%4."/>
      <w:lvlJc w:val="left"/>
      <w:pPr>
        <w:ind w:left="293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abstractNum w:abstractNumId="120" w15:restartNumberingAfterBreak="0">
    <w:nsid w:val="658C054D"/>
    <w:multiLevelType w:val="multilevel"/>
    <w:tmpl w:val="2B70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58F5A9E"/>
    <w:multiLevelType w:val="hybridMultilevel"/>
    <w:tmpl w:val="0EFE79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2" w15:restartNumberingAfterBreak="0">
    <w:nsid w:val="65C6312E"/>
    <w:multiLevelType w:val="multilevel"/>
    <w:tmpl w:val="E930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66621174"/>
    <w:multiLevelType w:val="hybridMultilevel"/>
    <w:tmpl w:val="98683A8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4" w15:restartNumberingAfterBreak="0">
    <w:nsid w:val="66906A0C"/>
    <w:multiLevelType w:val="multilevel"/>
    <w:tmpl w:val="2AAC7F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5" w15:restartNumberingAfterBreak="0">
    <w:nsid w:val="66F62923"/>
    <w:multiLevelType w:val="multilevel"/>
    <w:tmpl w:val="CDA4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7543C7E"/>
    <w:multiLevelType w:val="multilevel"/>
    <w:tmpl w:val="F06E4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8030C4C"/>
    <w:multiLevelType w:val="multilevel"/>
    <w:tmpl w:val="CEBE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68414B28"/>
    <w:multiLevelType w:val="multilevel"/>
    <w:tmpl w:val="0E02ABCA"/>
    <w:lvl w:ilvl="0">
      <w:start w:val="1"/>
      <w:numFmt w:val="decimal"/>
      <w:lvlText w:val="%1"/>
      <w:lvlJc w:val="left"/>
      <w:pPr>
        <w:tabs>
          <w:tab w:val="num" w:pos="851"/>
        </w:tabs>
        <w:ind w:left="851" w:hanging="851"/>
      </w:pPr>
      <w:rPr>
        <w:rFonts w:hint="default"/>
        <w:sz w:val="28"/>
        <w:szCs w:val="28"/>
      </w:rPr>
    </w:lvl>
    <w:lvl w:ilvl="1">
      <w:start w:val="1"/>
      <w:numFmt w:val="decimal"/>
      <w:lvlText w:val="%1.%2"/>
      <w:lvlJc w:val="left"/>
      <w:pPr>
        <w:tabs>
          <w:tab w:val="num" w:pos="1135"/>
        </w:tabs>
        <w:ind w:left="1135" w:hanging="851"/>
      </w:pPr>
      <w:rPr>
        <w:rFonts w:hint="default"/>
      </w:rPr>
    </w:lvl>
    <w:lvl w:ilvl="2">
      <w:start w:val="1"/>
      <w:numFmt w:val="lowerLetter"/>
      <w:lvlText w:val="(%3)"/>
      <w:lvlJc w:val="left"/>
      <w:pPr>
        <w:tabs>
          <w:tab w:val="num" w:pos="1277"/>
        </w:tabs>
        <w:ind w:left="1277" w:hanging="851"/>
      </w:pPr>
      <w:rPr>
        <w:rFonts w:hint="default"/>
        <w:b w:val="0"/>
      </w:rPr>
    </w:lvl>
    <w:lvl w:ilvl="3">
      <w:start w:val="1"/>
      <w:numFmt w:val="lowerRoman"/>
      <w:lvlText w:val="(%4)"/>
      <w:lvlJc w:val="left"/>
      <w:pPr>
        <w:tabs>
          <w:tab w:val="num" w:pos="851"/>
        </w:tabs>
        <w:ind w:left="851" w:hanging="851"/>
      </w:pPr>
      <w:rPr>
        <w:rFonts w:hint="default"/>
        <w:b w:val="0"/>
        <w:bCs/>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29" w15:restartNumberingAfterBreak="0">
    <w:nsid w:val="6C4B4F20"/>
    <w:multiLevelType w:val="hybridMultilevel"/>
    <w:tmpl w:val="FFEC855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6CAE2C7D"/>
    <w:multiLevelType w:val="hybridMultilevel"/>
    <w:tmpl w:val="547EDB66"/>
    <w:lvl w:ilvl="0" w:tplc="D032B606">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6E725DBD"/>
    <w:multiLevelType w:val="hybridMultilevel"/>
    <w:tmpl w:val="D7160048"/>
    <w:lvl w:ilvl="0" w:tplc="A7E0AD14">
      <w:start w:val="1"/>
      <w:numFmt w:val="decimal"/>
      <w:lvlText w:val="%1."/>
      <w:lvlJc w:val="left"/>
      <w:pPr>
        <w:tabs>
          <w:tab w:val="num" w:pos="720"/>
        </w:tabs>
        <w:ind w:left="720" w:hanging="360"/>
      </w:pPr>
    </w:lvl>
    <w:lvl w:ilvl="1" w:tplc="6C66F908" w:tentative="1">
      <w:start w:val="1"/>
      <w:numFmt w:val="decimal"/>
      <w:lvlText w:val="%2."/>
      <w:lvlJc w:val="left"/>
      <w:pPr>
        <w:tabs>
          <w:tab w:val="num" w:pos="1440"/>
        </w:tabs>
        <w:ind w:left="1440" w:hanging="360"/>
      </w:pPr>
    </w:lvl>
    <w:lvl w:ilvl="2" w:tplc="65828374" w:tentative="1">
      <w:start w:val="1"/>
      <w:numFmt w:val="decimal"/>
      <w:lvlText w:val="%3."/>
      <w:lvlJc w:val="left"/>
      <w:pPr>
        <w:tabs>
          <w:tab w:val="num" w:pos="2160"/>
        </w:tabs>
        <w:ind w:left="2160" w:hanging="360"/>
      </w:pPr>
    </w:lvl>
    <w:lvl w:ilvl="3" w:tplc="5BBA6918" w:tentative="1">
      <w:start w:val="1"/>
      <w:numFmt w:val="decimal"/>
      <w:lvlText w:val="%4."/>
      <w:lvlJc w:val="left"/>
      <w:pPr>
        <w:tabs>
          <w:tab w:val="num" w:pos="2880"/>
        </w:tabs>
        <w:ind w:left="2880" w:hanging="360"/>
      </w:pPr>
    </w:lvl>
    <w:lvl w:ilvl="4" w:tplc="5DC854C0" w:tentative="1">
      <w:start w:val="1"/>
      <w:numFmt w:val="decimal"/>
      <w:lvlText w:val="%5."/>
      <w:lvlJc w:val="left"/>
      <w:pPr>
        <w:tabs>
          <w:tab w:val="num" w:pos="3600"/>
        </w:tabs>
        <w:ind w:left="3600" w:hanging="360"/>
      </w:pPr>
    </w:lvl>
    <w:lvl w:ilvl="5" w:tplc="B7327022" w:tentative="1">
      <w:start w:val="1"/>
      <w:numFmt w:val="decimal"/>
      <w:lvlText w:val="%6."/>
      <w:lvlJc w:val="left"/>
      <w:pPr>
        <w:tabs>
          <w:tab w:val="num" w:pos="4320"/>
        </w:tabs>
        <w:ind w:left="4320" w:hanging="360"/>
      </w:pPr>
    </w:lvl>
    <w:lvl w:ilvl="6" w:tplc="3DF43C18" w:tentative="1">
      <w:start w:val="1"/>
      <w:numFmt w:val="decimal"/>
      <w:lvlText w:val="%7."/>
      <w:lvlJc w:val="left"/>
      <w:pPr>
        <w:tabs>
          <w:tab w:val="num" w:pos="5040"/>
        </w:tabs>
        <w:ind w:left="5040" w:hanging="360"/>
      </w:pPr>
    </w:lvl>
    <w:lvl w:ilvl="7" w:tplc="B7FE2570" w:tentative="1">
      <w:start w:val="1"/>
      <w:numFmt w:val="decimal"/>
      <w:lvlText w:val="%8."/>
      <w:lvlJc w:val="left"/>
      <w:pPr>
        <w:tabs>
          <w:tab w:val="num" w:pos="5760"/>
        </w:tabs>
        <w:ind w:left="5760" w:hanging="360"/>
      </w:pPr>
    </w:lvl>
    <w:lvl w:ilvl="8" w:tplc="9F60BB6E" w:tentative="1">
      <w:start w:val="1"/>
      <w:numFmt w:val="decimal"/>
      <w:lvlText w:val="%9."/>
      <w:lvlJc w:val="left"/>
      <w:pPr>
        <w:tabs>
          <w:tab w:val="num" w:pos="6480"/>
        </w:tabs>
        <w:ind w:left="6480" w:hanging="360"/>
      </w:pPr>
    </w:lvl>
  </w:abstractNum>
  <w:abstractNum w:abstractNumId="132" w15:restartNumberingAfterBreak="0">
    <w:nsid w:val="715C19E1"/>
    <w:multiLevelType w:val="multilevel"/>
    <w:tmpl w:val="0A8A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16C0089"/>
    <w:multiLevelType w:val="hybridMultilevel"/>
    <w:tmpl w:val="D0E43F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4" w15:restartNumberingAfterBreak="0">
    <w:nsid w:val="724B78C8"/>
    <w:multiLevelType w:val="multilevel"/>
    <w:tmpl w:val="C1C2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28A6BDA"/>
    <w:multiLevelType w:val="multilevel"/>
    <w:tmpl w:val="CDAA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3473DC9"/>
    <w:multiLevelType w:val="multilevel"/>
    <w:tmpl w:val="0630A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3BB224A"/>
    <w:multiLevelType w:val="multilevel"/>
    <w:tmpl w:val="51D2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4FA6D1D"/>
    <w:multiLevelType w:val="hybridMultilevel"/>
    <w:tmpl w:val="F7644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76FC745A"/>
    <w:multiLevelType w:val="multilevel"/>
    <w:tmpl w:val="D58E2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A36454A"/>
    <w:multiLevelType w:val="hybridMultilevel"/>
    <w:tmpl w:val="CACEC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1" w15:restartNumberingAfterBreak="0">
    <w:nsid w:val="7AFC684C"/>
    <w:multiLevelType w:val="multilevel"/>
    <w:tmpl w:val="FBCC7C5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2" w15:restartNumberingAfterBreak="0">
    <w:nsid w:val="7B3C730A"/>
    <w:multiLevelType w:val="hybridMultilevel"/>
    <w:tmpl w:val="5502A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3" w15:restartNumberingAfterBreak="0">
    <w:nsid w:val="7B6D527A"/>
    <w:multiLevelType w:val="multilevel"/>
    <w:tmpl w:val="BB30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7CE36B6A"/>
    <w:multiLevelType w:val="hybridMultilevel"/>
    <w:tmpl w:val="2A9E370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5" w15:restartNumberingAfterBreak="0">
    <w:nsid w:val="7E3169C4"/>
    <w:multiLevelType w:val="multilevel"/>
    <w:tmpl w:val="818AF6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6" w15:restartNumberingAfterBreak="0">
    <w:nsid w:val="7EAD73B4"/>
    <w:multiLevelType w:val="hybridMultilevel"/>
    <w:tmpl w:val="FFFFFFFF"/>
    <w:lvl w:ilvl="0" w:tplc="0378530A">
      <w:start w:val="1"/>
      <w:numFmt w:val="decimal"/>
      <w:lvlText w:val="%1."/>
      <w:lvlJc w:val="left"/>
      <w:pPr>
        <w:ind w:left="720" w:hanging="360"/>
      </w:pPr>
    </w:lvl>
    <w:lvl w:ilvl="1" w:tplc="18364D38">
      <w:start w:val="1"/>
      <w:numFmt w:val="lowerLetter"/>
      <w:lvlText w:val="%2."/>
      <w:lvlJc w:val="left"/>
      <w:pPr>
        <w:ind w:left="1440" w:hanging="360"/>
      </w:pPr>
    </w:lvl>
    <w:lvl w:ilvl="2" w:tplc="E7346C10">
      <w:start w:val="1"/>
      <w:numFmt w:val="lowerRoman"/>
      <w:lvlText w:val="%3."/>
      <w:lvlJc w:val="right"/>
      <w:pPr>
        <w:ind w:left="2160" w:hanging="180"/>
      </w:pPr>
    </w:lvl>
    <w:lvl w:ilvl="3" w:tplc="34D2A804">
      <w:start w:val="1"/>
      <w:numFmt w:val="decimal"/>
      <w:lvlText w:val="%4."/>
      <w:lvlJc w:val="left"/>
      <w:pPr>
        <w:ind w:left="2880" w:hanging="360"/>
      </w:pPr>
    </w:lvl>
    <w:lvl w:ilvl="4" w:tplc="2B2ED0F2">
      <w:start w:val="1"/>
      <w:numFmt w:val="lowerLetter"/>
      <w:lvlText w:val="%5."/>
      <w:lvlJc w:val="left"/>
      <w:pPr>
        <w:ind w:left="3600" w:hanging="360"/>
      </w:pPr>
    </w:lvl>
    <w:lvl w:ilvl="5" w:tplc="6CDEE428">
      <w:start w:val="1"/>
      <w:numFmt w:val="lowerRoman"/>
      <w:lvlText w:val="%6."/>
      <w:lvlJc w:val="right"/>
      <w:pPr>
        <w:ind w:left="4320" w:hanging="180"/>
      </w:pPr>
    </w:lvl>
    <w:lvl w:ilvl="6" w:tplc="8146E03E">
      <w:start w:val="1"/>
      <w:numFmt w:val="decimal"/>
      <w:lvlText w:val="%7."/>
      <w:lvlJc w:val="left"/>
      <w:pPr>
        <w:ind w:left="5040" w:hanging="360"/>
      </w:pPr>
    </w:lvl>
    <w:lvl w:ilvl="7" w:tplc="66E6E2F0">
      <w:start w:val="1"/>
      <w:numFmt w:val="lowerLetter"/>
      <w:lvlText w:val="%8."/>
      <w:lvlJc w:val="left"/>
      <w:pPr>
        <w:ind w:left="5760" w:hanging="360"/>
      </w:pPr>
    </w:lvl>
    <w:lvl w:ilvl="8" w:tplc="8E12B592">
      <w:start w:val="1"/>
      <w:numFmt w:val="lowerRoman"/>
      <w:lvlText w:val="%9."/>
      <w:lvlJc w:val="right"/>
      <w:pPr>
        <w:ind w:left="6480" w:hanging="180"/>
      </w:pPr>
    </w:lvl>
  </w:abstractNum>
  <w:abstractNum w:abstractNumId="147" w15:restartNumberingAfterBreak="0">
    <w:nsid w:val="7EFE1CB0"/>
    <w:multiLevelType w:val="multilevel"/>
    <w:tmpl w:val="69B0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F3F5623"/>
    <w:multiLevelType w:val="hybridMultilevel"/>
    <w:tmpl w:val="8D601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F983A26"/>
    <w:multiLevelType w:val="hybridMultilevel"/>
    <w:tmpl w:val="489040E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78510822">
    <w:abstractNumId w:val="94"/>
  </w:num>
  <w:num w:numId="2" w16cid:durableId="592010784">
    <w:abstractNumId w:val="9"/>
  </w:num>
  <w:num w:numId="3" w16cid:durableId="256595238">
    <w:abstractNumId w:val="7"/>
  </w:num>
  <w:num w:numId="4" w16cid:durableId="1605697675">
    <w:abstractNumId w:val="6"/>
  </w:num>
  <w:num w:numId="5" w16cid:durableId="1400251202">
    <w:abstractNumId w:val="5"/>
  </w:num>
  <w:num w:numId="6" w16cid:durableId="644119744">
    <w:abstractNumId w:val="4"/>
  </w:num>
  <w:num w:numId="7" w16cid:durableId="1459033735">
    <w:abstractNumId w:val="8"/>
  </w:num>
  <w:num w:numId="8" w16cid:durableId="316736963">
    <w:abstractNumId w:val="1"/>
  </w:num>
  <w:num w:numId="9" w16cid:durableId="958030835">
    <w:abstractNumId w:val="0"/>
  </w:num>
  <w:num w:numId="10" w16cid:durableId="97457470">
    <w:abstractNumId w:val="3"/>
  </w:num>
  <w:num w:numId="11" w16cid:durableId="681274210">
    <w:abstractNumId w:val="2"/>
  </w:num>
  <w:num w:numId="12" w16cid:durableId="660086868">
    <w:abstractNumId w:val="101"/>
  </w:num>
  <w:num w:numId="13" w16cid:durableId="1161894686">
    <w:abstractNumId w:val="83"/>
  </w:num>
  <w:num w:numId="14" w16cid:durableId="1111585010">
    <w:abstractNumId w:val="44"/>
  </w:num>
  <w:num w:numId="15" w16cid:durableId="262881140">
    <w:abstractNumId w:val="38"/>
  </w:num>
  <w:num w:numId="16" w16cid:durableId="1689911515">
    <w:abstractNumId w:val="123"/>
  </w:num>
  <w:num w:numId="17" w16cid:durableId="1426999583">
    <w:abstractNumId w:val="106"/>
  </w:num>
  <w:num w:numId="18" w16cid:durableId="11418549">
    <w:abstractNumId w:val="75"/>
  </w:num>
  <w:num w:numId="19" w16cid:durableId="532690080">
    <w:abstractNumId w:val="46"/>
  </w:num>
  <w:num w:numId="20" w16cid:durableId="1862039239">
    <w:abstractNumId w:val="69"/>
  </w:num>
  <w:num w:numId="21" w16cid:durableId="1178035994">
    <w:abstractNumId w:val="111"/>
  </w:num>
  <w:num w:numId="22" w16cid:durableId="846673637">
    <w:abstractNumId w:val="112"/>
  </w:num>
  <w:num w:numId="23" w16cid:durableId="1171876725">
    <w:abstractNumId w:val="131"/>
  </w:num>
  <w:num w:numId="24" w16cid:durableId="376009232">
    <w:abstractNumId w:val="51"/>
  </w:num>
  <w:num w:numId="25" w16cid:durableId="1547447337">
    <w:abstractNumId w:val="104"/>
  </w:num>
  <w:num w:numId="26" w16cid:durableId="840313172">
    <w:abstractNumId w:val="11"/>
  </w:num>
  <w:num w:numId="27" w16cid:durableId="1934388186">
    <w:abstractNumId w:val="36"/>
  </w:num>
  <w:num w:numId="28" w16cid:durableId="940994736">
    <w:abstractNumId w:val="39"/>
  </w:num>
  <w:num w:numId="29" w16cid:durableId="627391184">
    <w:abstractNumId w:val="45"/>
  </w:num>
  <w:num w:numId="30" w16cid:durableId="231357847">
    <w:abstractNumId w:val="57"/>
  </w:num>
  <w:num w:numId="31" w16cid:durableId="1541166974">
    <w:abstractNumId w:val="144"/>
  </w:num>
  <w:num w:numId="32" w16cid:durableId="1091199290">
    <w:abstractNumId w:val="148"/>
  </w:num>
  <w:num w:numId="33" w16cid:durableId="508369460">
    <w:abstractNumId w:val="128"/>
  </w:num>
  <w:num w:numId="34" w16cid:durableId="1040671587">
    <w:abstractNumId w:val="20"/>
  </w:num>
  <w:num w:numId="35" w16cid:durableId="611668622">
    <w:abstractNumId w:val="130"/>
  </w:num>
  <w:num w:numId="36" w16cid:durableId="1323241586">
    <w:abstractNumId w:val="22"/>
  </w:num>
  <w:num w:numId="37" w16cid:durableId="1158305453">
    <w:abstractNumId w:val="138"/>
  </w:num>
  <w:num w:numId="38" w16cid:durableId="2100908026">
    <w:abstractNumId w:val="149"/>
  </w:num>
  <w:num w:numId="39" w16cid:durableId="293802851">
    <w:abstractNumId w:val="146"/>
  </w:num>
  <w:num w:numId="40" w16cid:durableId="2008551828">
    <w:abstractNumId w:val="107"/>
  </w:num>
  <w:num w:numId="41" w16cid:durableId="228735402">
    <w:abstractNumId w:val="119"/>
  </w:num>
  <w:num w:numId="42" w16cid:durableId="2014602751">
    <w:abstractNumId w:val="59"/>
  </w:num>
  <w:num w:numId="43" w16cid:durableId="1240407837">
    <w:abstractNumId w:val="85"/>
  </w:num>
  <w:num w:numId="44" w16cid:durableId="1151405739">
    <w:abstractNumId w:val="140"/>
  </w:num>
  <w:num w:numId="45" w16cid:durableId="1714307154">
    <w:abstractNumId w:val="89"/>
  </w:num>
  <w:num w:numId="46" w16cid:durableId="2121103565">
    <w:abstractNumId w:val="52"/>
  </w:num>
  <w:num w:numId="47" w16cid:durableId="702899269">
    <w:abstractNumId w:val="135"/>
  </w:num>
  <w:num w:numId="48" w16cid:durableId="748771103">
    <w:abstractNumId w:val="53"/>
  </w:num>
  <w:num w:numId="49" w16cid:durableId="350650230">
    <w:abstractNumId w:val="116"/>
  </w:num>
  <w:num w:numId="50" w16cid:durableId="390231937">
    <w:abstractNumId w:val="66"/>
  </w:num>
  <w:num w:numId="51" w16cid:durableId="1547176241">
    <w:abstractNumId w:val="73"/>
  </w:num>
  <w:num w:numId="52" w16cid:durableId="767433270">
    <w:abstractNumId w:val="122"/>
  </w:num>
  <w:num w:numId="53" w16cid:durableId="137233439">
    <w:abstractNumId w:val="102"/>
  </w:num>
  <w:num w:numId="54" w16cid:durableId="1634016949">
    <w:abstractNumId w:val="42"/>
  </w:num>
  <w:num w:numId="55" w16cid:durableId="521939258">
    <w:abstractNumId w:val="74"/>
  </w:num>
  <w:num w:numId="56" w16cid:durableId="1944024979">
    <w:abstractNumId w:val="86"/>
  </w:num>
  <w:num w:numId="57" w16cid:durableId="782458504">
    <w:abstractNumId w:val="90"/>
  </w:num>
  <w:num w:numId="58" w16cid:durableId="606353894">
    <w:abstractNumId w:val="24"/>
  </w:num>
  <w:num w:numId="59" w16cid:durableId="810561434">
    <w:abstractNumId w:val="56"/>
  </w:num>
  <w:num w:numId="60" w16cid:durableId="1445615521">
    <w:abstractNumId w:val="72"/>
  </w:num>
  <w:num w:numId="61" w16cid:durableId="454909330">
    <w:abstractNumId w:val="142"/>
  </w:num>
  <w:num w:numId="62" w16cid:durableId="2101175547">
    <w:abstractNumId w:val="95"/>
  </w:num>
  <w:num w:numId="63" w16cid:durableId="360396475">
    <w:abstractNumId w:val="43"/>
  </w:num>
  <w:num w:numId="64" w16cid:durableId="1148744815">
    <w:abstractNumId w:val="8"/>
    <w:lvlOverride w:ilvl="0">
      <w:startOverride w:val="1"/>
    </w:lvlOverride>
  </w:num>
  <w:num w:numId="65" w16cid:durableId="2247591">
    <w:abstractNumId w:val="141"/>
  </w:num>
  <w:num w:numId="66" w16cid:durableId="1776250779">
    <w:abstractNumId w:val="105"/>
  </w:num>
  <w:num w:numId="67" w16cid:durableId="938296774">
    <w:abstractNumId w:val="129"/>
  </w:num>
  <w:num w:numId="68" w16cid:durableId="300426384">
    <w:abstractNumId w:val="121"/>
  </w:num>
  <w:num w:numId="69" w16cid:durableId="1288203353">
    <w:abstractNumId w:val="133"/>
  </w:num>
  <w:num w:numId="70" w16cid:durableId="309986118">
    <w:abstractNumId w:val="64"/>
  </w:num>
  <w:num w:numId="71" w16cid:durableId="1920213524">
    <w:abstractNumId w:val="18"/>
  </w:num>
  <w:num w:numId="72" w16cid:durableId="520172138">
    <w:abstractNumId w:val="82"/>
  </w:num>
  <w:num w:numId="73" w16cid:durableId="1156805218">
    <w:abstractNumId w:val="67"/>
  </w:num>
  <w:num w:numId="74" w16cid:durableId="78839864">
    <w:abstractNumId w:val="41"/>
  </w:num>
  <w:num w:numId="75" w16cid:durableId="1012729003">
    <w:abstractNumId w:val="79"/>
  </w:num>
  <w:num w:numId="76" w16cid:durableId="1531381787">
    <w:abstractNumId w:val="34"/>
  </w:num>
  <w:num w:numId="77" w16cid:durableId="446239136">
    <w:abstractNumId w:val="117"/>
  </w:num>
  <w:num w:numId="78" w16cid:durableId="318730053">
    <w:abstractNumId w:val="10"/>
  </w:num>
  <w:num w:numId="79" w16cid:durableId="615061515">
    <w:abstractNumId w:val="132"/>
  </w:num>
  <w:num w:numId="80" w16cid:durableId="967471806">
    <w:abstractNumId w:val="109"/>
  </w:num>
  <w:num w:numId="81" w16cid:durableId="2006931230">
    <w:abstractNumId w:val="110"/>
  </w:num>
  <w:num w:numId="82" w16cid:durableId="1244535756">
    <w:abstractNumId w:val="137"/>
  </w:num>
  <w:num w:numId="83" w16cid:durableId="345711961">
    <w:abstractNumId w:val="115"/>
  </w:num>
  <w:num w:numId="84" w16cid:durableId="287780502">
    <w:abstractNumId w:val="120"/>
  </w:num>
  <w:num w:numId="85" w16cid:durableId="1755861263">
    <w:abstractNumId w:val="88"/>
  </w:num>
  <w:num w:numId="86" w16cid:durableId="1461608932">
    <w:abstractNumId w:val="145"/>
  </w:num>
  <w:num w:numId="87" w16cid:durableId="1308239432">
    <w:abstractNumId w:val="23"/>
  </w:num>
  <w:num w:numId="88" w16cid:durableId="1029449716">
    <w:abstractNumId w:val="81"/>
  </w:num>
  <w:num w:numId="89" w16cid:durableId="2001424006">
    <w:abstractNumId w:val="118"/>
  </w:num>
  <w:num w:numId="90" w16cid:durableId="673264622">
    <w:abstractNumId w:val="124"/>
  </w:num>
  <w:num w:numId="91" w16cid:durableId="386412837">
    <w:abstractNumId w:val="30"/>
  </w:num>
  <w:num w:numId="92" w16cid:durableId="942297390">
    <w:abstractNumId w:val="78"/>
  </w:num>
  <w:num w:numId="93" w16cid:durableId="1018506765">
    <w:abstractNumId w:val="77"/>
  </w:num>
  <w:num w:numId="94" w16cid:durableId="184487355">
    <w:abstractNumId w:val="108"/>
  </w:num>
  <w:num w:numId="95" w16cid:durableId="804589048">
    <w:abstractNumId w:val="93"/>
  </w:num>
  <w:num w:numId="96" w16cid:durableId="1680162137">
    <w:abstractNumId w:val="127"/>
  </w:num>
  <w:num w:numId="97" w16cid:durableId="1935437748">
    <w:abstractNumId w:val="87"/>
  </w:num>
  <w:num w:numId="98" w16cid:durableId="1803234494">
    <w:abstractNumId w:val="50"/>
  </w:num>
  <w:num w:numId="99" w16cid:durableId="380247642">
    <w:abstractNumId w:val="32"/>
  </w:num>
  <w:num w:numId="100" w16cid:durableId="1764498698">
    <w:abstractNumId w:val="15"/>
  </w:num>
  <w:num w:numId="101" w16cid:durableId="1911770545">
    <w:abstractNumId w:val="126"/>
  </w:num>
  <w:num w:numId="102" w16cid:durableId="273632566">
    <w:abstractNumId w:val="114"/>
  </w:num>
  <w:num w:numId="103" w16cid:durableId="1648584638">
    <w:abstractNumId w:val="139"/>
  </w:num>
  <w:num w:numId="104" w16cid:durableId="286201840">
    <w:abstractNumId w:val="98"/>
  </w:num>
  <w:num w:numId="105" w16cid:durableId="1646927298">
    <w:abstractNumId w:val="62"/>
  </w:num>
  <w:num w:numId="106" w16cid:durableId="555824286">
    <w:abstractNumId w:val="147"/>
  </w:num>
  <w:num w:numId="107" w16cid:durableId="79183259">
    <w:abstractNumId w:val="97"/>
  </w:num>
  <w:num w:numId="108" w16cid:durableId="1104305048">
    <w:abstractNumId w:val="96"/>
  </w:num>
  <w:num w:numId="109" w16cid:durableId="2084179998">
    <w:abstractNumId w:val="12"/>
  </w:num>
  <w:num w:numId="110" w16cid:durableId="1172061036">
    <w:abstractNumId w:val="92"/>
  </w:num>
  <w:num w:numId="111" w16cid:durableId="1485466321">
    <w:abstractNumId w:val="99"/>
  </w:num>
  <w:num w:numId="112" w16cid:durableId="1796831067">
    <w:abstractNumId w:val="17"/>
  </w:num>
  <w:num w:numId="113" w16cid:durableId="503134847">
    <w:abstractNumId w:val="76"/>
  </w:num>
  <w:num w:numId="114" w16cid:durableId="1220750622">
    <w:abstractNumId w:val="40"/>
  </w:num>
  <w:num w:numId="115" w16cid:durableId="199754869">
    <w:abstractNumId w:val="13"/>
  </w:num>
  <w:num w:numId="116" w16cid:durableId="1569918183">
    <w:abstractNumId w:val="49"/>
  </w:num>
  <w:num w:numId="117" w16cid:durableId="1305357821">
    <w:abstractNumId w:val="14"/>
  </w:num>
  <w:num w:numId="118" w16cid:durableId="1919364508">
    <w:abstractNumId w:val="134"/>
  </w:num>
  <w:num w:numId="119" w16cid:durableId="1706444459">
    <w:abstractNumId w:val="100"/>
  </w:num>
  <w:num w:numId="120" w16cid:durableId="1509127879">
    <w:abstractNumId w:val="54"/>
  </w:num>
  <w:num w:numId="121" w16cid:durableId="221991441">
    <w:abstractNumId w:val="37"/>
  </w:num>
  <w:num w:numId="122" w16cid:durableId="720177705">
    <w:abstractNumId w:val="65"/>
  </w:num>
  <w:num w:numId="123" w16cid:durableId="1076630886">
    <w:abstractNumId w:val="28"/>
  </w:num>
  <w:num w:numId="124" w16cid:durableId="1981838386">
    <w:abstractNumId w:val="84"/>
  </w:num>
  <w:num w:numId="125" w16cid:durableId="1241713290">
    <w:abstractNumId w:val="47"/>
  </w:num>
  <w:num w:numId="126" w16cid:durableId="473570019">
    <w:abstractNumId w:val="21"/>
  </w:num>
  <w:num w:numId="127" w16cid:durableId="575549662">
    <w:abstractNumId w:val="29"/>
  </w:num>
  <w:num w:numId="128" w16cid:durableId="613175824">
    <w:abstractNumId w:val="80"/>
  </w:num>
  <w:num w:numId="129" w16cid:durableId="964238812">
    <w:abstractNumId w:val="68"/>
  </w:num>
  <w:num w:numId="130" w16cid:durableId="490482671">
    <w:abstractNumId w:val="136"/>
  </w:num>
  <w:num w:numId="131" w16cid:durableId="1436055626">
    <w:abstractNumId w:val="71"/>
  </w:num>
  <w:num w:numId="132" w16cid:durableId="649098053">
    <w:abstractNumId w:val="25"/>
  </w:num>
  <w:num w:numId="133" w16cid:durableId="2107192631">
    <w:abstractNumId w:val="48"/>
  </w:num>
  <w:num w:numId="134" w16cid:durableId="728649762">
    <w:abstractNumId w:val="35"/>
  </w:num>
  <w:num w:numId="135" w16cid:durableId="1399476051">
    <w:abstractNumId w:val="70"/>
  </w:num>
  <w:num w:numId="136" w16cid:durableId="1516185801">
    <w:abstractNumId w:val="63"/>
  </w:num>
  <w:num w:numId="137" w16cid:durableId="2083915189">
    <w:abstractNumId w:val="33"/>
  </w:num>
  <w:num w:numId="138" w16cid:durableId="1524632409">
    <w:abstractNumId w:val="16"/>
  </w:num>
  <w:num w:numId="139" w16cid:durableId="333804258">
    <w:abstractNumId w:val="31"/>
  </w:num>
  <w:num w:numId="140" w16cid:durableId="1290865894">
    <w:abstractNumId w:val="143"/>
  </w:num>
  <w:num w:numId="141" w16cid:durableId="1625041261">
    <w:abstractNumId w:val="125"/>
  </w:num>
  <w:num w:numId="142" w16cid:durableId="2009021064">
    <w:abstractNumId w:val="19"/>
  </w:num>
  <w:num w:numId="143" w16cid:durableId="815923328">
    <w:abstractNumId w:val="55"/>
  </w:num>
  <w:num w:numId="144" w16cid:durableId="1929188000">
    <w:abstractNumId w:val="27"/>
  </w:num>
  <w:num w:numId="145" w16cid:durableId="1970161173">
    <w:abstractNumId w:val="61"/>
  </w:num>
  <w:num w:numId="146" w16cid:durableId="589895821">
    <w:abstractNumId w:val="26"/>
  </w:num>
  <w:num w:numId="147" w16cid:durableId="1976063761">
    <w:abstractNumId w:val="113"/>
  </w:num>
  <w:num w:numId="148" w16cid:durableId="1227179071">
    <w:abstractNumId w:val="113"/>
    <w:lvlOverride w:ilvl="0">
      <w:lvl w:ilvl="0">
        <w:start w:val="1"/>
        <w:numFmt w:val="bullet"/>
        <w:pStyle w:val="Bullet"/>
        <w:lvlText w:val=""/>
        <w:lvlJc w:val="left"/>
        <w:pPr>
          <w:ind w:left="720" w:hanging="720"/>
        </w:pPr>
        <w:rPr>
          <w:rFonts w:ascii="Symbol" w:hAnsi="Symbol" w:hint="default"/>
        </w:rPr>
      </w:lvl>
    </w:lvlOverride>
    <w:lvlOverride w:ilvl="1">
      <w:lvl w:ilvl="1">
        <w:start w:val="1"/>
        <w:numFmt w:val="bullet"/>
        <w:lvlText w:val=""/>
        <w:lvlJc w:val="left"/>
        <w:pPr>
          <w:ind w:left="1440" w:hanging="360"/>
        </w:pPr>
        <w:rPr>
          <w:rFonts w:ascii="Symbol" w:hAnsi="Symbol"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49" w16cid:durableId="86123718">
    <w:abstractNumId w:val="26"/>
    <w:lvlOverride w:ilvl="0">
      <w:startOverride w:val="1"/>
    </w:lvlOverride>
  </w:num>
  <w:num w:numId="150" w16cid:durableId="474952844">
    <w:abstractNumId w:val="26"/>
    <w:lvlOverride w:ilvl="0">
      <w:startOverride w:val="1"/>
    </w:lvlOverride>
  </w:num>
  <w:num w:numId="151" w16cid:durableId="263808642">
    <w:abstractNumId w:val="26"/>
    <w:lvlOverride w:ilvl="0">
      <w:startOverride w:val="1"/>
    </w:lvlOverride>
  </w:num>
  <w:num w:numId="152" w16cid:durableId="436143982">
    <w:abstractNumId w:val="91"/>
  </w:num>
  <w:num w:numId="153" w16cid:durableId="767890998">
    <w:abstractNumId w:val="91"/>
    <w:lvlOverride w:ilvl="0">
      <w:startOverride w:val="1"/>
    </w:lvlOverride>
  </w:num>
  <w:num w:numId="154" w16cid:durableId="887646083">
    <w:abstractNumId w:val="91"/>
    <w:lvlOverride w:ilvl="0">
      <w:startOverride w:val="1"/>
    </w:lvlOverride>
  </w:num>
  <w:num w:numId="155" w16cid:durableId="65300069">
    <w:abstractNumId w:val="26"/>
    <w:lvlOverride w:ilvl="0">
      <w:startOverride w:val="1"/>
    </w:lvlOverride>
  </w:num>
  <w:num w:numId="156" w16cid:durableId="166134915">
    <w:abstractNumId w:val="103"/>
  </w:num>
  <w:num w:numId="157" w16cid:durableId="254364802">
    <w:abstractNumId w:val="60"/>
  </w:num>
  <w:num w:numId="158" w16cid:durableId="1240754213">
    <w:abstractNumId w:val="5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283"/>
  <w:drawingGridHorizontalSpacing w:val="12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6A3"/>
    <w:rsid w:val="000004C9"/>
    <w:rsid w:val="00000DF2"/>
    <w:rsid w:val="00000E21"/>
    <w:rsid w:val="00001471"/>
    <w:rsid w:val="0000168C"/>
    <w:rsid w:val="00001722"/>
    <w:rsid w:val="00001C6E"/>
    <w:rsid w:val="00002EA1"/>
    <w:rsid w:val="00003A77"/>
    <w:rsid w:val="00003B1E"/>
    <w:rsid w:val="00003D5F"/>
    <w:rsid w:val="00005862"/>
    <w:rsid w:val="0000608B"/>
    <w:rsid w:val="000062B6"/>
    <w:rsid w:val="00006872"/>
    <w:rsid w:val="00007077"/>
    <w:rsid w:val="00007206"/>
    <w:rsid w:val="00007868"/>
    <w:rsid w:val="000079E7"/>
    <w:rsid w:val="00010BF2"/>
    <w:rsid w:val="000121BF"/>
    <w:rsid w:val="00012528"/>
    <w:rsid w:val="00012ADB"/>
    <w:rsid w:val="00013918"/>
    <w:rsid w:val="0001411F"/>
    <w:rsid w:val="0001451E"/>
    <w:rsid w:val="00014886"/>
    <w:rsid w:val="0001528B"/>
    <w:rsid w:val="00015915"/>
    <w:rsid w:val="000159A0"/>
    <w:rsid w:val="000159D0"/>
    <w:rsid w:val="00016068"/>
    <w:rsid w:val="00016283"/>
    <w:rsid w:val="00016317"/>
    <w:rsid w:val="00016710"/>
    <w:rsid w:val="000174A8"/>
    <w:rsid w:val="00017941"/>
    <w:rsid w:val="000204B3"/>
    <w:rsid w:val="00020BCA"/>
    <w:rsid w:val="00020E06"/>
    <w:rsid w:val="00021727"/>
    <w:rsid w:val="000219C3"/>
    <w:rsid w:val="00021EC0"/>
    <w:rsid w:val="000223F0"/>
    <w:rsid w:val="000230BA"/>
    <w:rsid w:val="00024324"/>
    <w:rsid w:val="000244C9"/>
    <w:rsid w:val="00025511"/>
    <w:rsid w:val="000256BB"/>
    <w:rsid w:val="0002588F"/>
    <w:rsid w:val="0002607E"/>
    <w:rsid w:val="00026DF0"/>
    <w:rsid w:val="00026EEE"/>
    <w:rsid w:val="00030394"/>
    <w:rsid w:val="0003193D"/>
    <w:rsid w:val="000326E2"/>
    <w:rsid w:val="00034EA2"/>
    <w:rsid w:val="0003580D"/>
    <w:rsid w:val="00035AD2"/>
    <w:rsid w:val="00036237"/>
    <w:rsid w:val="0003714C"/>
    <w:rsid w:val="00037B19"/>
    <w:rsid w:val="00040A9C"/>
    <w:rsid w:val="00040C05"/>
    <w:rsid w:val="00041C46"/>
    <w:rsid w:val="00042C6C"/>
    <w:rsid w:val="000434F8"/>
    <w:rsid w:val="000509AB"/>
    <w:rsid w:val="00050BF4"/>
    <w:rsid w:val="00051A2F"/>
    <w:rsid w:val="000529B6"/>
    <w:rsid w:val="00053119"/>
    <w:rsid w:val="00053F79"/>
    <w:rsid w:val="000542F3"/>
    <w:rsid w:val="0005488C"/>
    <w:rsid w:val="000549A3"/>
    <w:rsid w:val="00054F3D"/>
    <w:rsid w:val="0005538D"/>
    <w:rsid w:val="00056B93"/>
    <w:rsid w:val="00057225"/>
    <w:rsid w:val="000579B1"/>
    <w:rsid w:val="0006113D"/>
    <w:rsid w:val="000613B5"/>
    <w:rsid w:val="00061F96"/>
    <w:rsid w:val="00062120"/>
    <w:rsid w:val="000630E2"/>
    <w:rsid w:val="00063317"/>
    <w:rsid w:val="00063F45"/>
    <w:rsid w:val="00064084"/>
    <w:rsid w:val="00064DE9"/>
    <w:rsid w:val="0006556F"/>
    <w:rsid w:val="00065923"/>
    <w:rsid w:val="000659AE"/>
    <w:rsid w:val="00065F38"/>
    <w:rsid w:val="00070EC4"/>
    <w:rsid w:val="00071195"/>
    <w:rsid w:val="000718F4"/>
    <w:rsid w:val="0007193F"/>
    <w:rsid w:val="00072585"/>
    <w:rsid w:val="00073004"/>
    <w:rsid w:val="0007309D"/>
    <w:rsid w:val="00073DAF"/>
    <w:rsid w:val="000746AB"/>
    <w:rsid w:val="00075022"/>
    <w:rsid w:val="00075FA7"/>
    <w:rsid w:val="00076049"/>
    <w:rsid w:val="00076A0D"/>
    <w:rsid w:val="0007785F"/>
    <w:rsid w:val="0008125C"/>
    <w:rsid w:val="00081962"/>
    <w:rsid w:val="00082C20"/>
    <w:rsid w:val="0008388B"/>
    <w:rsid w:val="00083AAE"/>
    <w:rsid w:val="000851F3"/>
    <w:rsid w:val="000856A4"/>
    <w:rsid w:val="000856C3"/>
    <w:rsid w:val="00087021"/>
    <w:rsid w:val="00087933"/>
    <w:rsid w:val="00087E4E"/>
    <w:rsid w:val="00090A79"/>
    <w:rsid w:val="00090AC2"/>
    <w:rsid w:val="00090FC5"/>
    <w:rsid w:val="00091503"/>
    <w:rsid w:val="00091644"/>
    <w:rsid w:val="00091B8A"/>
    <w:rsid w:val="00091BD0"/>
    <w:rsid w:val="00091C6C"/>
    <w:rsid w:val="000935B9"/>
    <w:rsid w:val="00093745"/>
    <w:rsid w:val="00093886"/>
    <w:rsid w:val="00093D27"/>
    <w:rsid w:val="000953FA"/>
    <w:rsid w:val="00095497"/>
    <w:rsid w:val="000954E0"/>
    <w:rsid w:val="0009618C"/>
    <w:rsid w:val="00097012"/>
    <w:rsid w:val="00097606"/>
    <w:rsid w:val="00097EF3"/>
    <w:rsid w:val="000A0369"/>
    <w:rsid w:val="000A0533"/>
    <w:rsid w:val="000A0F0C"/>
    <w:rsid w:val="000A1317"/>
    <w:rsid w:val="000A1607"/>
    <w:rsid w:val="000A1CD8"/>
    <w:rsid w:val="000A1DB5"/>
    <w:rsid w:val="000A1DB8"/>
    <w:rsid w:val="000A1EB2"/>
    <w:rsid w:val="000A1ED4"/>
    <w:rsid w:val="000A1F03"/>
    <w:rsid w:val="000A2BA7"/>
    <w:rsid w:val="000A2E70"/>
    <w:rsid w:val="000A2EFE"/>
    <w:rsid w:val="000A401B"/>
    <w:rsid w:val="000A48AC"/>
    <w:rsid w:val="000A4D88"/>
    <w:rsid w:val="000A5076"/>
    <w:rsid w:val="000A60F0"/>
    <w:rsid w:val="000A6E71"/>
    <w:rsid w:val="000A77DF"/>
    <w:rsid w:val="000A7B5B"/>
    <w:rsid w:val="000B0088"/>
    <w:rsid w:val="000B055D"/>
    <w:rsid w:val="000B059D"/>
    <w:rsid w:val="000B0A3D"/>
    <w:rsid w:val="000B0A5D"/>
    <w:rsid w:val="000B142E"/>
    <w:rsid w:val="000B18B8"/>
    <w:rsid w:val="000B19D0"/>
    <w:rsid w:val="000B1A18"/>
    <w:rsid w:val="000B2C0F"/>
    <w:rsid w:val="000B3EE4"/>
    <w:rsid w:val="000B6192"/>
    <w:rsid w:val="000B6388"/>
    <w:rsid w:val="000B6880"/>
    <w:rsid w:val="000B7966"/>
    <w:rsid w:val="000B7D77"/>
    <w:rsid w:val="000C00DD"/>
    <w:rsid w:val="000C04E9"/>
    <w:rsid w:val="000C0607"/>
    <w:rsid w:val="000C0E39"/>
    <w:rsid w:val="000C0EE4"/>
    <w:rsid w:val="000C16B4"/>
    <w:rsid w:val="000C1D9D"/>
    <w:rsid w:val="000C1E01"/>
    <w:rsid w:val="000C1FFD"/>
    <w:rsid w:val="000C2264"/>
    <w:rsid w:val="000C23D1"/>
    <w:rsid w:val="000C301E"/>
    <w:rsid w:val="000C31C3"/>
    <w:rsid w:val="000C3F82"/>
    <w:rsid w:val="000C3FB2"/>
    <w:rsid w:val="000C41E0"/>
    <w:rsid w:val="000C4807"/>
    <w:rsid w:val="000C48C2"/>
    <w:rsid w:val="000C7258"/>
    <w:rsid w:val="000D066A"/>
    <w:rsid w:val="000D0726"/>
    <w:rsid w:val="000D1765"/>
    <w:rsid w:val="000D1B2B"/>
    <w:rsid w:val="000D209D"/>
    <w:rsid w:val="000D2579"/>
    <w:rsid w:val="000D2583"/>
    <w:rsid w:val="000D2601"/>
    <w:rsid w:val="000D3442"/>
    <w:rsid w:val="000D5762"/>
    <w:rsid w:val="000D58F8"/>
    <w:rsid w:val="000D6495"/>
    <w:rsid w:val="000D71DE"/>
    <w:rsid w:val="000D72CD"/>
    <w:rsid w:val="000D78C2"/>
    <w:rsid w:val="000D7F8A"/>
    <w:rsid w:val="000D7F9B"/>
    <w:rsid w:val="000E0A61"/>
    <w:rsid w:val="000E130A"/>
    <w:rsid w:val="000E216B"/>
    <w:rsid w:val="000E2C13"/>
    <w:rsid w:val="000E391C"/>
    <w:rsid w:val="000E3D32"/>
    <w:rsid w:val="000E4A0B"/>
    <w:rsid w:val="000E4B91"/>
    <w:rsid w:val="000E52E1"/>
    <w:rsid w:val="000E620F"/>
    <w:rsid w:val="000E7AF5"/>
    <w:rsid w:val="000F0823"/>
    <w:rsid w:val="000F12F9"/>
    <w:rsid w:val="000F2EF7"/>
    <w:rsid w:val="000F306C"/>
    <w:rsid w:val="000F3E48"/>
    <w:rsid w:val="000F50D6"/>
    <w:rsid w:val="000F519A"/>
    <w:rsid w:val="000F5589"/>
    <w:rsid w:val="000F5614"/>
    <w:rsid w:val="000F568F"/>
    <w:rsid w:val="000F61BF"/>
    <w:rsid w:val="000F61EA"/>
    <w:rsid w:val="000F69C9"/>
    <w:rsid w:val="000F7266"/>
    <w:rsid w:val="0010002C"/>
    <w:rsid w:val="00100672"/>
    <w:rsid w:val="001008C1"/>
    <w:rsid w:val="001008CF"/>
    <w:rsid w:val="00100C1F"/>
    <w:rsid w:val="00100D4F"/>
    <w:rsid w:val="00101CEB"/>
    <w:rsid w:val="00102E43"/>
    <w:rsid w:val="001036CD"/>
    <w:rsid w:val="00103B30"/>
    <w:rsid w:val="001041FD"/>
    <w:rsid w:val="00104C9F"/>
    <w:rsid w:val="001059BF"/>
    <w:rsid w:val="00105EE2"/>
    <w:rsid w:val="00106648"/>
    <w:rsid w:val="00106D59"/>
    <w:rsid w:val="001106B9"/>
    <w:rsid w:val="001106D3"/>
    <w:rsid w:val="001111F2"/>
    <w:rsid w:val="001121A2"/>
    <w:rsid w:val="00113B1A"/>
    <w:rsid w:val="00113C35"/>
    <w:rsid w:val="001158EF"/>
    <w:rsid w:val="001158F2"/>
    <w:rsid w:val="00116D8D"/>
    <w:rsid w:val="00116F29"/>
    <w:rsid w:val="0011755D"/>
    <w:rsid w:val="00117727"/>
    <w:rsid w:val="001177A3"/>
    <w:rsid w:val="001177EA"/>
    <w:rsid w:val="00117907"/>
    <w:rsid w:val="00120D30"/>
    <w:rsid w:val="00120FAF"/>
    <w:rsid w:val="001212F0"/>
    <w:rsid w:val="00122100"/>
    <w:rsid w:val="00122EF5"/>
    <w:rsid w:val="001238DC"/>
    <w:rsid w:val="00123D63"/>
    <w:rsid w:val="00123EE2"/>
    <w:rsid w:val="00123F3A"/>
    <w:rsid w:val="001241A5"/>
    <w:rsid w:val="00125932"/>
    <w:rsid w:val="00125A0B"/>
    <w:rsid w:val="00125EEF"/>
    <w:rsid w:val="001263F5"/>
    <w:rsid w:val="00126766"/>
    <w:rsid w:val="00127F6C"/>
    <w:rsid w:val="00130BBB"/>
    <w:rsid w:val="00132785"/>
    <w:rsid w:val="0013299D"/>
    <w:rsid w:val="00133216"/>
    <w:rsid w:val="00133FE9"/>
    <w:rsid w:val="001343D6"/>
    <w:rsid w:val="00134774"/>
    <w:rsid w:val="001350E5"/>
    <w:rsid w:val="0013541E"/>
    <w:rsid w:val="001362FB"/>
    <w:rsid w:val="00136404"/>
    <w:rsid w:val="0013679A"/>
    <w:rsid w:val="00136B8E"/>
    <w:rsid w:val="00137377"/>
    <w:rsid w:val="001374C2"/>
    <w:rsid w:val="00137617"/>
    <w:rsid w:val="00137AD7"/>
    <w:rsid w:val="00137AF0"/>
    <w:rsid w:val="00140274"/>
    <w:rsid w:val="00140DE5"/>
    <w:rsid w:val="00142A2B"/>
    <w:rsid w:val="00143548"/>
    <w:rsid w:val="00143C2D"/>
    <w:rsid w:val="00143FD4"/>
    <w:rsid w:val="001441A4"/>
    <w:rsid w:val="00145092"/>
    <w:rsid w:val="0014511A"/>
    <w:rsid w:val="00145C65"/>
    <w:rsid w:val="0014632B"/>
    <w:rsid w:val="00147D3A"/>
    <w:rsid w:val="00150221"/>
    <w:rsid w:val="001503BE"/>
    <w:rsid w:val="001503E4"/>
    <w:rsid w:val="001504D1"/>
    <w:rsid w:val="001506AB"/>
    <w:rsid w:val="00150827"/>
    <w:rsid w:val="00150A2C"/>
    <w:rsid w:val="00151263"/>
    <w:rsid w:val="001513FA"/>
    <w:rsid w:val="00151DE1"/>
    <w:rsid w:val="001530BB"/>
    <w:rsid w:val="00153782"/>
    <w:rsid w:val="001539F0"/>
    <w:rsid w:val="00153A3F"/>
    <w:rsid w:val="00153F41"/>
    <w:rsid w:val="00154C42"/>
    <w:rsid w:val="00155D42"/>
    <w:rsid w:val="00155DCC"/>
    <w:rsid w:val="00155F01"/>
    <w:rsid w:val="001567A9"/>
    <w:rsid w:val="00156FB9"/>
    <w:rsid w:val="00157284"/>
    <w:rsid w:val="001579A2"/>
    <w:rsid w:val="00157CB9"/>
    <w:rsid w:val="0016096D"/>
    <w:rsid w:val="00160A5A"/>
    <w:rsid w:val="00160BA5"/>
    <w:rsid w:val="00160EFE"/>
    <w:rsid w:val="00161679"/>
    <w:rsid w:val="0016259F"/>
    <w:rsid w:val="00162A8D"/>
    <w:rsid w:val="0016391D"/>
    <w:rsid w:val="00163C91"/>
    <w:rsid w:val="00163D2E"/>
    <w:rsid w:val="001645E9"/>
    <w:rsid w:val="001655AD"/>
    <w:rsid w:val="00165690"/>
    <w:rsid w:val="00165E3C"/>
    <w:rsid w:val="00165FEF"/>
    <w:rsid w:val="0016791C"/>
    <w:rsid w:val="00171741"/>
    <w:rsid w:val="00171BC2"/>
    <w:rsid w:val="00172790"/>
    <w:rsid w:val="00172AA6"/>
    <w:rsid w:val="00173406"/>
    <w:rsid w:val="001737C1"/>
    <w:rsid w:val="00173FB5"/>
    <w:rsid w:val="001742F7"/>
    <w:rsid w:val="00175768"/>
    <w:rsid w:val="00176923"/>
    <w:rsid w:val="0017763F"/>
    <w:rsid w:val="00180872"/>
    <w:rsid w:val="00180EF2"/>
    <w:rsid w:val="001813DE"/>
    <w:rsid w:val="00181407"/>
    <w:rsid w:val="00182D1D"/>
    <w:rsid w:val="00182EDF"/>
    <w:rsid w:val="0018343B"/>
    <w:rsid w:val="00184762"/>
    <w:rsid w:val="0018482B"/>
    <w:rsid w:val="00184863"/>
    <w:rsid w:val="00184A45"/>
    <w:rsid w:val="00184B26"/>
    <w:rsid w:val="00186821"/>
    <w:rsid w:val="00186CF4"/>
    <w:rsid w:val="001870DE"/>
    <w:rsid w:val="001905D9"/>
    <w:rsid w:val="0019099A"/>
    <w:rsid w:val="001916CE"/>
    <w:rsid w:val="00192919"/>
    <w:rsid w:val="001929B3"/>
    <w:rsid w:val="00192BDE"/>
    <w:rsid w:val="0019393B"/>
    <w:rsid w:val="00193BE6"/>
    <w:rsid w:val="00194364"/>
    <w:rsid w:val="0019462E"/>
    <w:rsid w:val="00195141"/>
    <w:rsid w:val="001962D3"/>
    <w:rsid w:val="0019641F"/>
    <w:rsid w:val="00196F12"/>
    <w:rsid w:val="00197B7B"/>
    <w:rsid w:val="00197C77"/>
    <w:rsid w:val="00197D3D"/>
    <w:rsid w:val="001A2322"/>
    <w:rsid w:val="001A2D87"/>
    <w:rsid w:val="001A31AD"/>
    <w:rsid w:val="001A3542"/>
    <w:rsid w:val="001A385B"/>
    <w:rsid w:val="001A3CDB"/>
    <w:rsid w:val="001A3E64"/>
    <w:rsid w:val="001A42E9"/>
    <w:rsid w:val="001A53A3"/>
    <w:rsid w:val="001A5FA4"/>
    <w:rsid w:val="001A67B6"/>
    <w:rsid w:val="001A6D6C"/>
    <w:rsid w:val="001A707A"/>
    <w:rsid w:val="001A7457"/>
    <w:rsid w:val="001B0353"/>
    <w:rsid w:val="001B0428"/>
    <w:rsid w:val="001B04AA"/>
    <w:rsid w:val="001B1324"/>
    <w:rsid w:val="001B15BF"/>
    <w:rsid w:val="001B1FA1"/>
    <w:rsid w:val="001B37FD"/>
    <w:rsid w:val="001B3AE2"/>
    <w:rsid w:val="001B3CB6"/>
    <w:rsid w:val="001B4035"/>
    <w:rsid w:val="001B43F1"/>
    <w:rsid w:val="001B5055"/>
    <w:rsid w:val="001B50E0"/>
    <w:rsid w:val="001B567E"/>
    <w:rsid w:val="001B5C31"/>
    <w:rsid w:val="001B5DDA"/>
    <w:rsid w:val="001B639B"/>
    <w:rsid w:val="001B6C65"/>
    <w:rsid w:val="001B6D4D"/>
    <w:rsid w:val="001B6E44"/>
    <w:rsid w:val="001B7272"/>
    <w:rsid w:val="001B7BB6"/>
    <w:rsid w:val="001C0E96"/>
    <w:rsid w:val="001C0F2D"/>
    <w:rsid w:val="001C11B0"/>
    <w:rsid w:val="001C1494"/>
    <w:rsid w:val="001C1B4E"/>
    <w:rsid w:val="001C1F8B"/>
    <w:rsid w:val="001C3493"/>
    <w:rsid w:val="001C3B51"/>
    <w:rsid w:val="001C471E"/>
    <w:rsid w:val="001C5D40"/>
    <w:rsid w:val="001C61DC"/>
    <w:rsid w:val="001C6556"/>
    <w:rsid w:val="001C71C8"/>
    <w:rsid w:val="001D0251"/>
    <w:rsid w:val="001D0347"/>
    <w:rsid w:val="001D038D"/>
    <w:rsid w:val="001D0710"/>
    <w:rsid w:val="001D1277"/>
    <w:rsid w:val="001D141F"/>
    <w:rsid w:val="001D1B59"/>
    <w:rsid w:val="001D2877"/>
    <w:rsid w:val="001D2884"/>
    <w:rsid w:val="001D2C4F"/>
    <w:rsid w:val="001D2EB0"/>
    <w:rsid w:val="001D303D"/>
    <w:rsid w:val="001D4710"/>
    <w:rsid w:val="001D4884"/>
    <w:rsid w:val="001D4A5A"/>
    <w:rsid w:val="001D782B"/>
    <w:rsid w:val="001D7AB1"/>
    <w:rsid w:val="001E1F72"/>
    <w:rsid w:val="001E2074"/>
    <w:rsid w:val="001E2186"/>
    <w:rsid w:val="001E2345"/>
    <w:rsid w:val="001E2397"/>
    <w:rsid w:val="001E2F09"/>
    <w:rsid w:val="001E2F26"/>
    <w:rsid w:val="001E3EB8"/>
    <w:rsid w:val="001E40BD"/>
    <w:rsid w:val="001E45F1"/>
    <w:rsid w:val="001E4EB3"/>
    <w:rsid w:val="001E52D2"/>
    <w:rsid w:val="001E5676"/>
    <w:rsid w:val="001E5C8D"/>
    <w:rsid w:val="001E66F9"/>
    <w:rsid w:val="001E6879"/>
    <w:rsid w:val="001E7B9D"/>
    <w:rsid w:val="001F0B8A"/>
    <w:rsid w:val="001F0DAB"/>
    <w:rsid w:val="001F1B06"/>
    <w:rsid w:val="001F1BC3"/>
    <w:rsid w:val="001F1C35"/>
    <w:rsid w:val="001F2189"/>
    <w:rsid w:val="001F22BC"/>
    <w:rsid w:val="001F2BBB"/>
    <w:rsid w:val="001F2D6D"/>
    <w:rsid w:val="001F353B"/>
    <w:rsid w:val="001F44AA"/>
    <w:rsid w:val="001F4BAC"/>
    <w:rsid w:val="001F4C51"/>
    <w:rsid w:val="001F54F7"/>
    <w:rsid w:val="001F57D3"/>
    <w:rsid w:val="001F5B22"/>
    <w:rsid w:val="001F5C7D"/>
    <w:rsid w:val="001F6687"/>
    <w:rsid w:val="001F6CB9"/>
    <w:rsid w:val="001F7157"/>
    <w:rsid w:val="001F7496"/>
    <w:rsid w:val="00200677"/>
    <w:rsid w:val="002011CC"/>
    <w:rsid w:val="00201A31"/>
    <w:rsid w:val="00201BAF"/>
    <w:rsid w:val="00202570"/>
    <w:rsid w:val="00202A9E"/>
    <w:rsid w:val="00203270"/>
    <w:rsid w:val="00203A48"/>
    <w:rsid w:val="002042A8"/>
    <w:rsid w:val="002047D5"/>
    <w:rsid w:val="0020547D"/>
    <w:rsid w:val="00206035"/>
    <w:rsid w:val="0020667B"/>
    <w:rsid w:val="002100ED"/>
    <w:rsid w:val="002108CA"/>
    <w:rsid w:val="002117D7"/>
    <w:rsid w:val="00211DF9"/>
    <w:rsid w:val="00212094"/>
    <w:rsid w:val="002122FF"/>
    <w:rsid w:val="00212AD9"/>
    <w:rsid w:val="002133C1"/>
    <w:rsid w:val="002140A4"/>
    <w:rsid w:val="00214CA6"/>
    <w:rsid w:val="00214F3B"/>
    <w:rsid w:val="00215636"/>
    <w:rsid w:val="00215C97"/>
    <w:rsid w:val="002166F5"/>
    <w:rsid w:val="00216EF3"/>
    <w:rsid w:val="00217554"/>
    <w:rsid w:val="00217B74"/>
    <w:rsid w:val="002207B2"/>
    <w:rsid w:val="002209FB"/>
    <w:rsid w:val="00220BDA"/>
    <w:rsid w:val="00220C00"/>
    <w:rsid w:val="00221E6C"/>
    <w:rsid w:val="00221FCA"/>
    <w:rsid w:val="002221BF"/>
    <w:rsid w:val="00222B54"/>
    <w:rsid w:val="00223672"/>
    <w:rsid w:val="00223F9D"/>
    <w:rsid w:val="002250F0"/>
    <w:rsid w:val="00225E68"/>
    <w:rsid w:val="00225EED"/>
    <w:rsid w:val="00226B80"/>
    <w:rsid w:val="00227182"/>
    <w:rsid w:val="0022734A"/>
    <w:rsid w:val="002276D7"/>
    <w:rsid w:val="002306C1"/>
    <w:rsid w:val="00230F05"/>
    <w:rsid w:val="0023164E"/>
    <w:rsid w:val="00231694"/>
    <w:rsid w:val="00231D2D"/>
    <w:rsid w:val="00231ED1"/>
    <w:rsid w:val="00232170"/>
    <w:rsid w:val="002328BB"/>
    <w:rsid w:val="0023314C"/>
    <w:rsid w:val="00233F07"/>
    <w:rsid w:val="0023442F"/>
    <w:rsid w:val="00234860"/>
    <w:rsid w:val="00234A3F"/>
    <w:rsid w:val="00234B46"/>
    <w:rsid w:val="00234F58"/>
    <w:rsid w:val="00235125"/>
    <w:rsid w:val="0023574B"/>
    <w:rsid w:val="00236E6D"/>
    <w:rsid w:val="002401AB"/>
    <w:rsid w:val="00240771"/>
    <w:rsid w:val="00242624"/>
    <w:rsid w:val="002426F6"/>
    <w:rsid w:val="0024274A"/>
    <w:rsid w:val="002428AB"/>
    <w:rsid w:val="00242A76"/>
    <w:rsid w:val="00243B37"/>
    <w:rsid w:val="00243CC2"/>
    <w:rsid w:val="0024450B"/>
    <w:rsid w:val="002446D1"/>
    <w:rsid w:val="00244C13"/>
    <w:rsid w:val="0024557E"/>
    <w:rsid w:val="00247CAE"/>
    <w:rsid w:val="00250695"/>
    <w:rsid w:val="002507B0"/>
    <w:rsid w:val="002513B8"/>
    <w:rsid w:val="00252E6F"/>
    <w:rsid w:val="002537C9"/>
    <w:rsid w:val="00253D4F"/>
    <w:rsid w:val="0025411A"/>
    <w:rsid w:val="00254D21"/>
    <w:rsid w:val="00255184"/>
    <w:rsid w:val="00255632"/>
    <w:rsid w:val="00255FD3"/>
    <w:rsid w:val="00256093"/>
    <w:rsid w:val="002561BC"/>
    <w:rsid w:val="00256204"/>
    <w:rsid w:val="002568A4"/>
    <w:rsid w:val="002574F6"/>
    <w:rsid w:val="0025794E"/>
    <w:rsid w:val="00257B3B"/>
    <w:rsid w:val="00260034"/>
    <w:rsid w:val="0026049B"/>
    <w:rsid w:val="00260A04"/>
    <w:rsid w:val="00260A2F"/>
    <w:rsid w:val="00260AB4"/>
    <w:rsid w:val="00260EE7"/>
    <w:rsid w:val="002615AF"/>
    <w:rsid w:val="00261617"/>
    <w:rsid w:val="00261654"/>
    <w:rsid w:val="00262652"/>
    <w:rsid w:val="00262C14"/>
    <w:rsid w:val="00262C80"/>
    <w:rsid w:val="00263741"/>
    <w:rsid w:val="00263A06"/>
    <w:rsid w:val="0026749A"/>
    <w:rsid w:val="00267E1E"/>
    <w:rsid w:val="00270714"/>
    <w:rsid w:val="00271B3B"/>
    <w:rsid w:val="00271BA2"/>
    <w:rsid w:val="0027274E"/>
    <w:rsid w:val="00272FDC"/>
    <w:rsid w:val="00273029"/>
    <w:rsid w:val="00273052"/>
    <w:rsid w:val="002736FB"/>
    <w:rsid w:val="002737E0"/>
    <w:rsid w:val="00273889"/>
    <w:rsid w:val="0027466F"/>
    <w:rsid w:val="00274948"/>
    <w:rsid w:val="00275457"/>
    <w:rsid w:val="00275E01"/>
    <w:rsid w:val="00276664"/>
    <w:rsid w:val="002771EC"/>
    <w:rsid w:val="00277237"/>
    <w:rsid w:val="0028024C"/>
    <w:rsid w:val="00280D7D"/>
    <w:rsid w:val="00281153"/>
    <w:rsid w:val="00281404"/>
    <w:rsid w:val="00281C40"/>
    <w:rsid w:val="00282E13"/>
    <w:rsid w:val="00282E4A"/>
    <w:rsid w:val="00282F94"/>
    <w:rsid w:val="002838AA"/>
    <w:rsid w:val="00284081"/>
    <w:rsid w:val="0028432E"/>
    <w:rsid w:val="0028448A"/>
    <w:rsid w:val="002857A5"/>
    <w:rsid w:val="00285F48"/>
    <w:rsid w:val="0028617C"/>
    <w:rsid w:val="002863D7"/>
    <w:rsid w:val="002865D5"/>
    <w:rsid w:val="00286FBE"/>
    <w:rsid w:val="002873B4"/>
    <w:rsid w:val="0028778A"/>
    <w:rsid w:val="00290018"/>
    <w:rsid w:val="00290204"/>
    <w:rsid w:val="00290C44"/>
    <w:rsid w:val="00291F56"/>
    <w:rsid w:val="00292777"/>
    <w:rsid w:val="00292F01"/>
    <w:rsid w:val="00293579"/>
    <w:rsid w:val="00293B03"/>
    <w:rsid w:val="00294413"/>
    <w:rsid w:val="00294794"/>
    <w:rsid w:val="002949BC"/>
    <w:rsid w:val="00294AC6"/>
    <w:rsid w:val="002950DD"/>
    <w:rsid w:val="00295355"/>
    <w:rsid w:val="002955EC"/>
    <w:rsid w:val="0029698E"/>
    <w:rsid w:val="002969EB"/>
    <w:rsid w:val="00296B51"/>
    <w:rsid w:val="00296BDF"/>
    <w:rsid w:val="002971AB"/>
    <w:rsid w:val="002A0133"/>
    <w:rsid w:val="002A02B0"/>
    <w:rsid w:val="002A05A2"/>
    <w:rsid w:val="002A2375"/>
    <w:rsid w:val="002A4074"/>
    <w:rsid w:val="002A4642"/>
    <w:rsid w:val="002A4BEF"/>
    <w:rsid w:val="002A559A"/>
    <w:rsid w:val="002A5894"/>
    <w:rsid w:val="002A5C4E"/>
    <w:rsid w:val="002A676B"/>
    <w:rsid w:val="002A76BD"/>
    <w:rsid w:val="002A77B5"/>
    <w:rsid w:val="002A78A7"/>
    <w:rsid w:val="002A78AD"/>
    <w:rsid w:val="002A7AA9"/>
    <w:rsid w:val="002B10DB"/>
    <w:rsid w:val="002B12CF"/>
    <w:rsid w:val="002B1B65"/>
    <w:rsid w:val="002B22DA"/>
    <w:rsid w:val="002B2F78"/>
    <w:rsid w:val="002B400B"/>
    <w:rsid w:val="002B5245"/>
    <w:rsid w:val="002B5C89"/>
    <w:rsid w:val="002B60EA"/>
    <w:rsid w:val="002B6389"/>
    <w:rsid w:val="002B7B4E"/>
    <w:rsid w:val="002C0198"/>
    <w:rsid w:val="002C0844"/>
    <w:rsid w:val="002C0F16"/>
    <w:rsid w:val="002C10AB"/>
    <w:rsid w:val="002C11C2"/>
    <w:rsid w:val="002C1866"/>
    <w:rsid w:val="002C2320"/>
    <w:rsid w:val="002C336D"/>
    <w:rsid w:val="002C35AE"/>
    <w:rsid w:val="002C3858"/>
    <w:rsid w:val="002C3AC7"/>
    <w:rsid w:val="002C4139"/>
    <w:rsid w:val="002C4B37"/>
    <w:rsid w:val="002C4DF9"/>
    <w:rsid w:val="002C4E26"/>
    <w:rsid w:val="002C52B8"/>
    <w:rsid w:val="002C52DD"/>
    <w:rsid w:val="002C54D8"/>
    <w:rsid w:val="002C5523"/>
    <w:rsid w:val="002C6B6B"/>
    <w:rsid w:val="002C6DC2"/>
    <w:rsid w:val="002C740D"/>
    <w:rsid w:val="002C7DE5"/>
    <w:rsid w:val="002C7EE8"/>
    <w:rsid w:val="002D0203"/>
    <w:rsid w:val="002D03AD"/>
    <w:rsid w:val="002D0821"/>
    <w:rsid w:val="002D09E2"/>
    <w:rsid w:val="002D1064"/>
    <w:rsid w:val="002D19A0"/>
    <w:rsid w:val="002D2098"/>
    <w:rsid w:val="002D20B6"/>
    <w:rsid w:val="002D2704"/>
    <w:rsid w:val="002D2B05"/>
    <w:rsid w:val="002D2DD5"/>
    <w:rsid w:val="002D3D89"/>
    <w:rsid w:val="002D406E"/>
    <w:rsid w:val="002D5DB2"/>
    <w:rsid w:val="002D600F"/>
    <w:rsid w:val="002E054A"/>
    <w:rsid w:val="002E1A34"/>
    <w:rsid w:val="002E29DD"/>
    <w:rsid w:val="002E2FAF"/>
    <w:rsid w:val="002E30C4"/>
    <w:rsid w:val="002E3515"/>
    <w:rsid w:val="002E384C"/>
    <w:rsid w:val="002E38F5"/>
    <w:rsid w:val="002E3DA5"/>
    <w:rsid w:val="002E43D3"/>
    <w:rsid w:val="002E5CAA"/>
    <w:rsid w:val="002E6D71"/>
    <w:rsid w:val="002E6DDC"/>
    <w:rsid w:val="002E7695"/>
    <w:rsid w:val="002E7792"/>
    <w:rsid w:val="002E77ED"/>
    <w:rsid w:val="002E790C"/>
    <w:rsid w:val="002F0113"/>
    <w:rsid w:val="002F0312"/>
    <w:rsid w:val="002F0885"/>
    <w:rsid w:val="002F2CC2"/>
    <w:rsid w:val="002F3006"/>
    <w:rsid w:val="002F377E"/>
    <w:rsid w:val="002F3976"/>
    <w:rsid w:val="002F41A8"/>
    <w:rsid w:val="002F427B"/>
    <w:rsid w:val="002F4ACB"/>
    <w:rsid w:val="002F4CE1"/>
    <w:rsid w:val="002F4F55"/>
    <w:rsid w:val="002F5EB7"/>
    <w:rsid w:val="002F70EE"/>
    <w:rsid w:val="002F7387"/>
    <w:rsid w:val="00300937"/>
    <w:rsid w:val="00300F22"/>
    <w:rsid w:val="00302457"/>
    <w:rsid w:val="0030256D"/>
    <w:rsid w:val="00302ED3"/>
    <w:rsid w:val="0030308B"/>
    <w:rsid w:val="003032DB"/>
    <w:rsid w:val="00303301"/>
    <w:rsid w:val="003039DD"/>
    <w:rsid w:val="00304209"/>
    <w:rsid w:val="00304A37"/>
    <w:rsid w:val="003050B7"/>
    <w:rsid w:val="003052BB"/>
    <w:rsid w:val="003059D7"/>
    <w:rsid w:val="00305C1A"/>
    <w:rsid w:val="00305C69"/>
    <w:rsid w:val="00305DF9"/>
    <w:rsid w:val="00307610"/>
    <w:rsid w:val="00307705"/>
    <w:rsid w:val="00307B83"/>
    <w:rsid w:val="00307D85"/>
    <w:rsid w:val="00310DB0"/>
    <w:rsid w:val="00310ED4"/>
    <w:rsid w:val="00311273"/>
    <w:rsid w:val="0031157E"/>
    <w:rsid w:val="00311963"/>
    <w:rsid w:val="00311ED6"/>
    <w:rsid w:val="00312301"/>
    <w:rsid w:val="003131BB"/>
    <w:rsid w:val="003133D7"/>
    <w:rsid w:val="003137F6"/>
    <w:rsid w:val="0031427E"/>
    <w:rsid w:val="0031492A"/>
    <w:rsid w:val="003156E7"/>
    <w:rsid w:val="00315A90"/>
    <w:rsid w:val="00316C1A"/>
    <w:rsid w:val="00317A3B"/>
    <w:rsid w:val="00320BB8"/>
    <w:rsid w:val="00321806"/>
    <w:rsid w:val="00321BD9"/>
    <w:rsid w:val="00322102"/>
    <w:rsid w:val="00322369"/>
    <w:rsid w:val="0032379E"/>
    <w:rsid w:val="00323C73"/>
    <w:rsid w:val="00326004"/>
    <w:rsid w:val="00326D08"/>
    <w:rsid w:val="00327312"/>
    <w:rsid w:val="003274B6"/>
    <w:rsid w:val="0032788A"/>
    <w:rsid w:val="0033068D"/>
    <w:rsid w:val="00330953"/>
    <w:rsid w:val="00330CD6"/>
    <w:rsid w:val="0033110E"/>
    <w:rsid w:val="00331141"/>
    <w:rsid w:val="00331BC4"/>
    <w:rsid w:val="00331CE2"/>
    <w:rsid w:val="0033250A"/>
    <w:rsid w:val="0033297F"/>
    <w:rsid w:val="00332A1D"/>
    <w:rsid w:val="003335AC"/>
    <w:rsid w:val="003339CC"/>
    <w:rsid w:val="00333F02"/>
    <w:rsid w:val="00335250"/>
    <w:rsid w:val="003360E6"/>
    <w:rsid w:val="003363B7"/>
    <w:rsid w:val="003367CD"/>
    <w:rsid w:val="0033758F"/>
    <w:rsid w:val="0034033A"/>
    <w:rsid w:val="00340B33"/>
    <w:rsid w:val="00340FC6"/>
    <w:rsid w:val="00341547"/>
    <w:rsid w:val="00341805"/>
    <w:rsid w:val="00342807"/>
    <w:rsid w:val="00342F21"/>
    <w:rsid w:val="00343CF8"/>
    <w:rsid w:val="00343DBD"/>
    <w:rsid w:val="00343F57"/>
    <w:rsid w:val="00344343"/>
    <w:rsid w:val="00344726"/>
    <w:rsid w:val="0034473F"/>
    <w:rsid w:val="00344758"/>
    <w:rsid w:val="00344FED"/>
    <w:rsid w:val="00345B0E"/>
    <w:rsid w:val="00346274"/>
    <w:rsid w:val="00346382"/>
    <w:rsid w:val="00346BBA"/>
    <w:rsid w:val="00346C2E"/>
    <w:rsid w:val="00347142"/>
    <w:rsid w:val="00347C8B"/>
    <w:rsid w:val="003502D7"/>
    <w:rsid w:val="0035037D"/>
    <w:rsid w:val="0035040D"/>
    <w:rsid w:val="00351230"/>
    <w:rsid w:val="00352209"/>
    <w:rsid w:val="00352A86"/>
    <w:rsid w:val="0035368D"/>
    <w:rsid w:val="00354CD6"/>
    <w:rsid w:val="003553DE"/>
    <w:rsid w:val="00355D2C"/>
    <w:rsid w:val="003565A8"/>
    <w:rsid w:val="003566EA"/>
    <w:rsid w:val="00357037"/>
    <w:rsid w:val="003601D2"/>
    <w:rsid w:val="0036063A"/>
    <w:rsid w:val="003608F1"/>
    <w:rsid w:val="003617EF"/>
    <w:rsid w:val="0036184A"/>
    <w:rsid w:val="00363412"/>
    <w:rsid w:val="0036372A"/>
    <w:rsid w:val="00363985"/>
    <w:rsid w:val="00364537"/>
    <w:rsid w:val="00364DD8"/>
    <w:rsid w:val="00365D8E"/>
    <w:rsid w:val="00365EB0"/>
    <w:rsid w:val="00371599"/>
    <w:rsid w:val="00371951"/>
    <w:rsid w:val="0037261A"/>
    <w:rsid w:val="00372C79"/>
    <w:rsid w:val="003733FB"/>
    <w:rsid w:val="00373BB0"/>
    <w:rsid w:val="003740A6"/>
    <w:rsid w:val="003743E1"/>
    <w:rsid w:val="00374483"/>
    <w:rsid w:val="00374D6B"/>
    <w:rsid w:val="00375048"/>
    <w:rsid w:val="0037524E"/>
    <w:rsid w:val="003752AC"/>
    <w:rsid w:val="00375CE7"/>
    <w:rsid w:val="00375F86"/>
    <w:rsid w:val="00376EFA"/>
    <w:rsid w:val="0037737C"/>
    <w:rsid w:val="00377599"/>
    <w:rsid w:val="00377A6D"/>
    <w:rsid w:val="00377CF5"/>
    <w:rsid w:val="003805BB"/>
    <w:rsid w:val="00380B04"/>
    <w:rsid w:val="0038185C"/>
    <w:rsid w:val="00381A94"/>
    <w:rsid w:val="003833B2"/>
    <w:rsid w:val="00383C28"/>
    <w:rsid w:val="00384F39"/>
    <w:rsid w:val="0038618E"/>
    <w:rsid w:val="0038642A"/>
    <w:rsid w:val="003869B0"/>
    <w:rsid w:val="00386F09"/>
    <w:rsid w:val="00387D69"/>
    <w:rsid w:val="00390AE2"/>
    <w:rsid w:val="00390DCB"/>
    <w:rsid w:val="00391512"/>
    <w:rsid w:val="00391854"/>
    <w:rsid w:val="003918E5"/>
    <w:rsid w:val="003929E6"/>
    <w:rsid w:val="00393577"/>
    <w:rsid w:val="00393DDC"/>
    <w:rsid w:val="0039474B"/>
    <w:rsid w:val="0039475F"/>
    <w:rsid w:val="00395D6B"/>
    <w:rsid w:val="003970BA"/>
    <w:rsid w:val="003A0290"/>
    <w:rsid w:val="003A06AC"/>
    <w:rsid w:val="003A14B8"/>
    <w:rsid w:val="003A164B"/>
    <w:rsid w:val="003A1E3B"/>
    <w:rsid w:val="003A20D5"/>
    <w:rsid w:val="003A24DC"/>
    <w:rsid w:val="003A2FC4"/>
    <w:rsid w:val="003A384A"/>
    <w:rsid w:val="003A3B44"/>
    <w:rsid w:val="003A4BA8"/>
    <w:rsid w:val="003A5C6F"/>
    <w:rsid w:val="003A6A1A"/>
    <w:rsid w:val="003A6D73"/>
    <w:rsid w:val="003B114D"/>
    <w:rsid w:val="003B1920"/>
    <w:rsid w:val="003B22B8"/>
    <w:rsid w:val="003B2DED"/>
    <w:rsid w:val="003B2FAF"/>
    <w:rsid w:val="003B3FFA"/>
    <w:rsid w:val="003B4433"/>
    <w:rsid w:val="003B51B0"/>
    <w:rsid w:val="003B56B5"/>
    <w:rsid w:val="003B575A"/>
    <w:rsid w:val="003B58D1"/>
    <w:rsid w:val="003B6DBA"/>
    <w:rsid w:val="003C0705"/>
    <w:rsid w:val="003C09BD"/>
    <w:rsid w:val="003C0B89"/>
    <w:rsid w:val="003C11B3"/>
    <w:rsid w:val="003C1CED"/>
    <w:rsid w:val="003C2178"/>
    <w:rsid w:val="003C261C"/>
    <w:rsid w:val="003C292A"/>
    <w:rsid w:val="003C2A3F"/>
    <w:rsid w:val="003C2E8F"/>
    <w:rsid w:val="003C31EC"/>
    <w:rsid w:val="003C3DB5"/>
    <w:rsid w:val="003C40A5"/>
    <w:rsid w:val="003C48D9"/>
    <w:rsid w:val="003C528A"/>
    <w:rsid w:val="003C55E3"/>
    <w:rsid w:val="003C6356"/>
    <w:rsid w:val="003C674F"/>
    <w:rsid w:val="003C6942"/>
    <w:rsid w:val="003D09BC"/>
    <w:rsid w:val="003D0A84"/>
    <w:rsid w:val="003D0CD7"/>
    <w:rsid w:val="003D0DF1"/>
    <w:rsid w:val="003D181E"/>
    <w:rsid w:val="003D1DE9"/>
    <w:rsid w:val="003D1E90"/>
    <w:rsid w:val="003D24FE"/>
    <w:rsid w:val="003D3672"/>
    <w:rsid w:val="003D37FE"/>
    <w:rsid w:val="003D38BB"/>
    <w:rsid w:val="003D38CE"/>
    <w:rsid w:val="003D3BA4"/>
    <w:rsid w:val="003D4841"/>
    <w:rsid w:val="003D4AD7"/>
    <w:rsid w:val="003D531E"/>
    <w:rsid w:val="003D67E6"/>
    <w:rsid w:val="003D6CD1"/>
    <w:rsid w:val="003D72AF"/>
    <w:rsid w:val="003D77F7"/>
    <w:rsid w:val="003E04A6"/>
    <w:rsid w:val="003E0871"/>
    <w:rsid w:val="003E1747"/>
    <w:rsid w:val="003E192A"/>
    <w:rsid w:val="003E1F47"/>
    <w:rsid w:val="003E21DA"/>
    <w:rsid w:val="003E2C7D"/>
    <w:rsid w:val="003E2F85"/>
    <w:rsid w:val="003E30A5"/>
    <w:rsid w:val="003E36E0"/>
    <w:rsid w:val="003E3818"/>
    <w:rsid w:val="003E431B"/>
    <w:rsid w:val="003E5113"/>
    <w:rsid w:val="003E5401"/>
    <w:rsid w:val="003E5A33"/>
    <w:rsid w:val="003E76CE"/>
    <w:rsid w:val="003F0583"/>
    <w:rsid w:val="003F11F6"/>
    <w:rsid w:val="003F1ADC"/>
    <w:rsid w:val="003F242E"/>
    <w:rsid w:val="003F2E12"/>
    <w:rsid w:val="003F2FFF"/>
    <w:rsid w:val="003F4188"/>
    <w:rsid w:val="003F4EC3"/>
    <w:rsid w:val="003F5057"/>
    <w:rsid w:val="003F5544"/>
    <w:rsid w:val="003F7A9A"/>
    <w:rsid w:val="004002A3"/>
    <w:rsid w:val="00400C22"/>
    <w:rsid w:val="004013CE"/>
    <w:rsid w:val="004041C3"/>
    <w:rsid w:val="0040422E"/>
    <w:rsid w:val="004042EF"/>
    <w:rsid w:val="00404D95"/>
    <w:rsid w:val="00404DF3"/>
    <w:rsid w:val="004055CD"/>
    <w:rsid w:val="0040621D"/>
    <w:rsid w:val="00406341"/>
    <w:rsid w:val="00406D9B"/>
    <w:rsid w:val="00407892"/>
    <w:rsid w:val="00407F47"/>
    <w:rsid w:val="00411AFF"/>
    <w:rsid w:val="0041210C"/>
    <w:rsid w:val="00412AAB"/>
    <w:rsid w:val="00412D6E"/>
    <w:rsid w:val="0041414C"/>
    <w:rsid w:val="00414298"/>
    <w:rsid w:val="004142F3"/>
    <w:rsid w:val="00414AB9"/>
    <w:rsid w:val="0041607E"/>
    <w:rsid w:val="004162B8"/>
    <w:rsid w:val="00416E3A"/>
    <w:rsid w:val="00417AD6"/>
    <w:rsid w:val="00417D54"/>
    <w:rsid w:val="00420859"/>
    <w:rsid w:val="00420868"/>
    <w:rsid w:val="00420A20"/>
    <w:rsid w:val="00420F72"/>
    <w:rsid w:val="00421066"/>
    <w:rsid w:val="00421540"/>
    <w:rsid w:val="004221A4"/>
    <w:rsid w:val="004222A9"/>
    <w:rsid w:val="00422417"/>
    <w:rsid w:val="00422C33"/>
    <w:rsid w:val="00423675"/>
    <w:rsid w:val="00423A18"/>
    <w:rsid w:val="004241FD"/>
    <w:rsid w:val="00424233"/>
    <w:rsid w:val="0042443A"/>
    <w:rsid w:val="00424616"/>
    <w:rsid w:val="00425073"/>
    <w:rsid w:val="00425173"/>
    <w:rsid w:val="00425D3E"/>
    <w:rsid w:val="00426212"/>
    <w:rsid w:val="00426416"/>
    <w:rsid w:val="004269A9"/>
    <w:rsid w:val="00427183"/>
    <w:rsid w:val="0042738F"/>
    <w:rsid w:val="00430480"/>
    <w:rsid w:val="00430C69"/>
    <w:rsid w:val="00430F39"/>
    <w:rsid w:val="004321CB"/>
    <w:rsid w:val="004327D7"/>
    <w:rsid w:val="004344BA"/>
    <w:rsid w:val="00434968"/>
    <w:rsid w:val="00436167"/>
    <w:rsid w:val="0043652D"/>
    <w:rsid w:val="00436E71"/>
    <w:rsid w:val="00436F55"/>
    <w:rsid w:val="004412A5"/>
    <w:rsid w:val="004427B7"/>
    <w:rsid w:val="00442C73"/>
    <w:rsid w:val="00443719"/>
    <w:rsid w:val="00443C95"/>
    <w:rsid w:val="0044454C"/>
    <w:rsid w:val="004448CF"/>
    <w:rsid w:val="004449B0"/>
    <w:rsid w:val="0044525F"/>
    <w:rsid w:val="00446064"/>
    <w:rsid w:val="004466C0"/>
    <w:rsid w:val="00446941"/>
    <w:rsid w:val="00446A02"/>
    <w:rsid w:val="004502D8"/>
    <w:rsid w:val="00450A56"/>
    <w:rsid w:val="00451065"/>
    <w:rsid w:val="00451EA6"/>
    <w:rsid w:val="00452A3C"/>
    <w:rsid w:val="00452CDF"/>
    <w:rsid w:val="00453C0B"/>
    <w:rsid w:val="00453D61"/>
    <w:rsid w:val="00454337"/>
    <w:rsid w:val="004557C1"/>
    <w:rsid w:val="00455E50"/>
    <w:rsid w:val="00456D97"/>
    <w:rsid w:val="00456E8F"/>
    <w:rsid w:val="00456E95"/>
    <w:rsid w:val="00457D6C"/>
    <w:rsid w:val="004604D2"/>
    <w:rsid w:val="00460AFA"/>
    <w:rsid w:val="00460B22"/>
    <w:rsid w:val="0046190A"/>
    <w:rsid w:val="00462761"/>
    <w:rsid w:val="00462940"/>
    <w:rsid w:val="004633CC"/>
    <w:rsid w:val="0046370F"/>
    <w:rsid w:val="004637F5"/>
    <w:rsid w:val="00463AAC"/>
    <w:rsid w:val="00464A95"/>
    <w:rsid w:val="004652AA"/>
    <w:rsid w:val="00465388"/>
    <w:rsid w:val="00465BCA"/>
    <w:rsid w:val="004664D2"/>
    <w:rsid w:val="00467D22"/>
    <w:rsid w:val="004700A3"/>
    <w:rsid w:val="00470E43"/>
    <w:rsid w:val="00471128"/>
    <w:rsid w:val="004711C4"/>
    <w:rsid w:val="004712FB"/>
    <w:rsid w:val="00471923"/>
    <w:rsid w:val="00471BF3"/>
    <w:rsid w:val="00471F5B"/>
    <w:rsid w:val="0047224D"/>
    <w:rsid w:val="004727FB"/>
    <w:rsid w:val="004728CB"/>
    <w:rsid w:val="00472EFF"/>
    <w:rsid w:val="00474063"/>
    <w:rsid w:val="0047469C"/>
    <w:rsid w:val="00474C06"/>
    <w:rsid w:val="00474F3B"/>
    <w:rsid w:val="00475397"/>
    <w:rsid w:val="00475429"/>
    <w:rsid w:val="004756F5"/>
    <w:rsid w:val="00476620"/>
    <w:rsid w:val="00476793"/>
    <w:rsid w:val="004769C5"/>
    <w:rsid w:val="004769C6"/>
    <w:rsid w:val="004778FF"/>
    <w:rsid w:val="004806A9"/>
    <w:rsid w:val="00480700"/>
    <w:rsid w:val="0048182C"/>
    <w:rsid w:val="0048232D"/>
    <w:rsid w:val="004829AC"/>
    <w:rsid w:val="004830FE"/>
    <w:rsid w:val="00483458"/>
    <w:rsid w:val="0048363F"/>
    <w:rsid w:val="00485283"/>
    <w:rsid w:val="00485E58"/>
    <w:rsid w:val="00485FB8"/>
    <w:rsid w:val="00486352"/>
    <w:rsid w:val="00486930"/>
    <w:rsid w:val="0048714B"/>
    <w:rsid w:val="004876AD"/>
    <w:rsid w:val="004878E2"/>
    <w:rsid w:val="00487E91"/>
    <w:rsid w:val="00490052"/>
    <w:rsid w:val="00490443"/>
    <w:rsid w:val="0049072E"/>
    <w:rsid w:val="00490A8D"/>
    <w:rsid w:val="0049111F"/>
    <w:rsid w:val="004927AB"/>
    <w:rsid w:val="00493350"/>
    <w:rsid w:val="00493503"/>
    <w:rsid w:val="00494365"/>
    <w:rsid w:val="004946A5"/>
    <w:rsid w:val="00495143"/>
    <w:rsid w:val="00495248"/>
    <w:rsid w:val="00495AC8"/>
    <w:rsid w:val="00495FE3"/>
    <w:rsid w:val="004960ED"/>
    <w:rsid w:val="004967BB"/>
    <w:rsid w:val="004A01A7"/>
    <w:rsid w:val="004A0A09"/>
    <w:rsid w:val="004A0E06"/>
    <w:rsid w:val="004A187B"/>
    <w:rsid w:val="004A2464"/>
    <w:rsid w:val="004A2594"/>
    <w:rsid w:val="004A2A53"/>
    <w:rsid w:val="004A2A8C"/>
    <w:rsid w:val="004A2CA6"/>
    <w:rsid w:val="004A2D3C"/>
    <w:rsid w:val="004A31B2"/>
    <w:rsid w:val="004A3BD4"/>
    <w:rsid w:val="004A4D8D"/>
    <w:rsid w:val="004A5147"/>
    <w:rsid w:val="004A583F"/>
    <w:rsid w:val="004A5BA9"/>
    <w:rsid w:val="004A5CA8"/>
    <w:rsid w:val="004A62D2"/>
    <w:rsid w:val="004A646B"/>
    <w:rsid w:val="004A68EF"/>
    <w:rsid w:val="004A6EA8"/>
    <w:rsid w:val="004A6ECD"/>
    <w:rsid w:val="004A77D9"/>
    <w:rsid w:val="004B0B53"/>
    <w:rsid w:val="004B1701"/>
    <w:rsid w:val="004B2048"/>
    <w:rsid w:val="004B2266"/>
    <w:rsid w:val="004B33D6"/>
    <w:rsid w:val="004B36AA"/>
    <w:rsid w:val="004B4930"/>
    <w:rsid w:val="004B4C18"/>
    <w:rsid w:val="004B4FC7"/>
    <w:rsid w:val="004B5062"/>
    <w:rsid w:val="004B592F"/>
    <w:rsid w:val="004B599C"/>
    <w:rsid w:val="004B6544"/>
    <w:rsid w:val="004B752E"/>
    <w:rsid w:val="004B785D"/>
    <w:rsid w:val="004B7FED"/>
    <w:rsid w:val="004C0546"/>
    <w:rsid w:val="004C0834"/>
    <w:rsid w:val="004C0957"/>
    <w:rsid w:val="004C108C"/>
    <w:rsid w:val="004C1CE4"/>
    <w:rsid w:val="004C1F20"/>
    <w:rsid w:val="004C1F8F"/>
    <w:rsid w:val="004C1FB7"/>
    <w:rsid w:val="004C2335"/>
    <w:rsid w:val="004C26DA"/>
    <w:rsid w:val="004C2CE1"/>
    <w:rsid w:val="004C2D0C"/>
    <w:rsid w:val="004C2F14"/>
    <w:rsid w:val="004C2F34"/>
    <w:rsid w:val="004C3041"/>
    <w:rsid w:val="004C33CD"/>
    <w:rsid w:val="004C33F8"/>
    <w:rsid w:val="004C3E3E"/>
    <w:rsid w:val="004C51FD"/>
    <w:rsid w:val="004C5957"/>
    <w:rsid w:val="004C5F22"/>
    <w:rsid w:val="004C6146"/>
    <w:rsid w:val="004C62F7"/>
    <w:rsid w:val="004C6CD4"/>
    <w:rsid w:val="004C6EA8"/>
    <w:rsid w:val="004C7412"/>
    <w:rsid w:val="004C7583"/>
    <w:rsid w:val="004C7647"/>
    <w:rsid w:val="004C7B9B"/>
    <w:rsid w:val="004C7C15"/>
    <w:rsid w:val="004D01DD"/>
    <w:rsid w:val="004D04BF"/>
    <w:rsid w:val="004D1028"/>
    <w:rsid w:val="004D136F"/>
    <w:rsid w:val="004D3910"/>
    <w:rsid w:val="004D3B15"/>
    <w:rsid w:val="004D4AFC"/>
    <w:rsid w:val="004D5003"/>
    <w:rsid w:val="004D58DF"/>
    <w:rsid w:val="004D59CF"/>
    <w:rsid w:val="004D5B83"/>
    <w:rsid w:val="004D5C01"/>
    <w:rsid w:val="004D6D13"/>
    <w:rsid w:val="004D7D38"/>
    <w:rsid w:val="004E062E"/>
    <w:rsid w:val="004E0CC8"/>
    <w:rsid w:val="004E0DF7"/>
    <w:rsid w:val="004E0DF9"/>
    <w:rsid w:val="004E0DFF"/>
    <w:rsid w:val="004E0F23"/>
    <w:rsid w:val="004E1ADA"/>
    <w:rsid w:val="004E1D26"/>
    <w:rsid w:val="004E1F0F"/>
    <w:rsid w:val="004E2282"/>
    <w:rsid w:val="004E2BA5"/>
    <w:rsid w:val="004E306D"/>
    <w:rsid w:val="004E33A7"/>
    <w:rsid w:val="004E35B0"/>
    <w:rsid w:val="004E37BD"/>
    <w:rsid w:val="004E39D4"/>
    <w:rsid w:val="004E3E38"/>
    <w:rsid w:val="004E4DE4"/>
    <w:rsid w:val="004E5132"/>
    <w:rsid w:val="004E6D02"/>
    <w:rsid w:val="004F026A"/>
    <w:rsid w:val="004F1088"/>
    <w:rsid w:val="004F1381"/>
    <w:rsid w:val="004F16DB"/>
    <w:rsid w:val="004F1C7C"/>
    <w:rsid w:val="004F2484"/>
    <w:rsid w:val="004F2521"/>
    <w:rsid w:val="004F2FDB"/>
    <w:rsid w:val="004F313E"/>
    <w:rsid w:val="004F376A"/>
    <w:rsid w:val="004F3C21"/>
    <w:rsid w:val="004F3EF3"/>
    <w:rsid w:val="004F42FA"/>
    <w:rsid w:val="004F43FF"/>
    <w:rsid w:val="004F5544"/>
    <w:rsid w:val="004F5B17"/>
    <w:rsid w:val="004F5B4A"/>
    <w:rsid w:val="004F692A"/>
    <w:rsid w:val="004F6B39"/>
    <w:rsid w:val="004F738F"/>
    <w:rsid w:val="004F768D"/>
    <w:rsid w:val="00500C0B"/>
    <w:rsid w:val="005013A6"/>
    <w:rsid w:val="00501A8E"/>
    <w:rsid w:val="00501CC4"/>
    <w:rsid w:val="00501D51"/>
    <w:rsid w:val="00501EBD"/>
    <w:rsid w:val="00503698"/>
    <w:rsid w:val="005042A7"/>
    <w:rsid w:val="00505220"/>
    <w:rsid w:val="005056A8"/>
    <w:rsid w:val="005059C0"/>
    <w:rsid w:val="00506209"/>
    <w:rsid w:val="00506847"/>
    <w:rsid w:val="00506C22"/>
    <w:rsid w:val="00506C8F"/>
    <w:rsid w:val="00506E90"/>
    <w:rsid w:val="005075BA"/>
    <w:rsid w:val="00507F74"/>
    <w:rsid w:val="00510275"/>
    <w:rsid w:val="005106EF"/>
    <w:rsid w:val="00510C7E"/>
    <w:rsid w:val="00511631"/>
    <w:rsid w:val="00511653"/>
    <w:rsid w:val="005116A4"/>
    <w:rsid w:val="00511D32"/>
    <w:rsid w:val="005123F0"/>
    <w:rsid w:val="00512ADE"/>
    <w:rsid w:val="00513248"/>
    <w:rsid w:val="00513540"/>
    <w:rsid w:val="00513941"/>
    <w:rsid w:val="005148FA"/>
    <w:rsid w:val="00515704"/>
    <w:rsid w:val="005162AF"/>
    <w:rsid w:val="00516A10"/>
    <w:rsid w:val="00516AFC"/>
    <w:rsid w:val="0051705B"/>
    <w:rsid w:val="0051769D"/>
    <w:rsid w:val="00517750"/>
    <w:rsid w:val="00517C11"/>
    <w:rsid w:val="00520122"/>
    <w:rsid w:val="00520459"/>
    <w:rsid w:val="0052056B"/>
    <w:rsid w:val="00520F23"/>
    <w:rsid w:val="00521422"/>
    <w:rsid w:val="00522927"/>
    <w:rsid w:val="00524084"/>
    <w:rsid w:val="005241EC"/>
    <w:rsid w:val="0052436A"/>
    <w:rsid w:val="00526A18"/>
    <w:rsid w:val="00526E41"/>
    <w:rsid w:val="00527029"/>
    <w:rsid w:val="0052750E"/>
    <w:rsid w:val="005277BA"/>
    <w:rsid w:val="00527895"/>
    <w:rsid w:val="0053051D"/>
    <w:rsid w:val="00530FF6"/>
    <w:rsid w:val="00531104"/>
    <w:rsid w:val="00531154"/>
    <w:rsid w:val="005313B5"/>
    <w:rsid w:val="00532396"/>
    <w:rsid w:val="005324D4"/>
    <w:rsid w:val="0053253C"/>
    <w:rsid w:val="00533D6C"/>
    <w:rsid w:val="00535458"/>
    <w:rsid w:val="00536CCF"/>
    <w:rsid w:val="00536EE1"/>
    <w:rsid w:val="005371F0"/>
    <w:rsid w:val="00537E9F"/>
    <w:rsid w:val="00540B78"/>
    <w:rsid w:val="00540D3E"/>
    <w:rsid w:val="00540EA9"/>
    <w:rsid w:val="0054121A"/>
    <w:rsid w:val="00541C28"/>
    <w:rsid w:val="005424FD"/>
    <w:rsid w:val="00542C30"/>
    <w:rsid w:val="005431B4"/>
    <w:rsid w:val="005432C8"/>
    <w:rsid w:val="00543314"/>
    <w:rsid w:val="00543BBF"/>
    <w:rsid w:val="0054424E"/>
    <w:rsid w:val="00544471"/>
    <w:rsid w:val="00545510"/>
    <w:rsid w:val="00545CE8"/>
    <w:rsid w:val="005470CC"/>
    <w:rsid w:val="00547161"/>
    <w:rsid w:val="0054740A"/>
    <w:rsid w:val="00550619"/>
    <w:rsid w:val="00552DEB"/>
    <w:rsid w:val="00552ED1"/>
    <w:rsid w:val="00553340"/>
    <w:rsid w:val="00553C04"/>
    <w:rsid w:val="0055524C"/>
    <w:rsid w:val="0055556C"/>
    <w:rsid w:val="00555C73"/>
    <w:rsid w:val="00556905"/>
    <w:rsid w:val="00557ADE"/>
    <w:rsid w:val="00557EF7"/>
    <w:rsid w:val="00560C6F"/>
    <w:rsid w:val="00560EDA"/>
    <w:rsid w:val="005628D7"/>
    <w:rsid w:val="00562BC9"/>
    <w:rsid w:val="00562E1A"/>
    <w:rsid w:val="00563923"/>
    <w:rsid w:val="00563E21"/>
    <w:rsid w:val="00564208"/>
    <w:rsid w:val="00564C0F"/>
    <w:rsid w:val="00565540"/>
    <w:rsid w:val="0056568C"/>
    <w:rsid w:val="005656B6"/>
    <w:rsid w:val="005661BD"/>
    <w:rsid w:val="00566AB2"/>
    <w:rsid w:val="00566C70"/>
    <w:rsid w:val="00566E94"/>
    <w:rsid w:val="00570275"/>
    <w:rsid w:val="00570371"/>
    <w:rsid w:val="00570DFC"/>
    <w:rsid w:val="005712DA"/>
    <w:rsid w:val="00571568"/>
    <w:rsid w:val="00571CEB"/>
    <w:rsid w:val="0057209A"/>
    <w:rsid w:val="00572264"/>
    <w:rsid w:val="00572928"/>
    <w:rsid w:val="00572FC7"/>
    <w:rsid w:val="00574AC2"/>
    <w:rsid w:val="00574C8C"/>
    <w:rsid w:val="005753EF"/>
    <w:rsid w:val="00575560"/>
    <w:rsid w:val="005755D5"/>
    <w:rsid w:val="00575B0A"/>
    <w:rsid w:val="005768BB"/>
    <w:rsid w:val="00576C68"/>
    <w:rsid w:val="00577B5B"/>
    <w:rsid w:val="00580251"/>
    <w:rsid w:val="00580E92"/>
    <w:rsid w:val="0058179A"/>
    <w:rsid w:val="00581C38"/>
    <w:rsid w:val="00582323"/>
    <w:rsid w:val="00584ACD"/>
    <w:rsid w:val="00584BE9"/>
    <w:rsid w:val="00585CE8"/>
    <w:rsid w:val="00586DFD"/>
    <w:rsid w:val="005901C3"/>
    <w:rsid w:val="00590AB3"/>
    <w:rsid w:val="00590DCC"/>
    <w:rsid w:val="005918F5"/>
    <w:rsid w:val="00591951"/>
    <w:rsid w:val="005919E3"/>
    <w:rsid w:val="005919F8"/>
    <w:rsid w:val="005920E8"/>
    <w:rsid w:val="005933FE"/>
    <w:rsid w:val="005936E1"/>
    <w:rsid w:val="00593874"/>
    <w:rsid w:val="00594B72"/>
    <w:rsid w:val="00595725"/>
    <w:rsid w:val="005966C8"/>
    <w:rsid w:val="005969DB"/>
    <w:rsid w:val="0059783B"/>
    <w:rsid w:val="00597C22"/>
    <w:rsid w:val="00597D35"/>
    <w:rsid w:val="005A0711"/>
    <w:rsid w:val="005A0EC3"/>
    <w:rsid w:val="005A1BD8"/>
    <w:rsid w:val="005A22D1"/>
    <w:rsid w:val="005A2775"/>
    <w:rsid w:val="005A366A"/>
    <w:rsid w:val="005A3695"/>
    <w:rsid w:val="005A53E2"/>
    <w:rsid w:val="005A55BC"/>
    <w:rsid w:val="005A5997"/>
    <w:rsid w:val="005A5FAC"/>
    <w:rsid w:val="005A688F"/>
    <w:rsid w:val="005A7230"/>
    <w:rsid w:val="005A7539"/>
    <w:rsid w:val="005A76E2"/>
    <w:rsid w:val="005B0683"/>
    <w:rsid w:val="005B095A"/>
    <w:rsid w:val="005B1403"/>
    <w:rsid w:val="005B1BAC"/>
    <w:rsid w:val="005B3227"/>
    <w:rsid w:val="005B35E6"/>
    <w:rsid w:val="005B4C91"/>
    <w:rsid w:val="005B5947"/>
    <w:rsid w:val="005C00DE"/>
    <w:rsid w:val="005C0102"/>
    <w:rsid w:val="005C0CFE"/>
    <w:rsid w:val="005C1BB7"/>
    <w:rsid w:val="005C1FFA"/>
    <w:rsid w:val="005C2D49"/>
    <w:rsid w:val="005C352E"/>
    <w:rsid w:val="005C3BF9"/>
    <w:rsid w:val="005C42A6"/>
    <w:rsid w:val="005C43D6"/>
    <w:rsid w:val="005C4D80"/>
    <w:rsid w:val="005C58AA"/>
    <w:rsid w:val="005C5D41"/>
    <w:rsid w:val="005C60CE"/>
    <w:rsid w:val="005C632B"/>
    <w:rsid w:val="005C7507"/>
    <w:rsid w:val="005C7E0E"/>
    <w:rsid w:val="005D0D84"/>
    <w:rsid w:val="005D1451"/>
    <w:rsid w:val="005D1586"/>
    <w:rsid w:val="005D1ADB"/>
    <w:rsid w:val="005D1F34"/>
    <w:rsid w:val="005D255A"/>
    <w:rsid w:val="005D2657"/>
    <w:rsid w:val="005D2D1D"/>
    <w:rsid w:val="005D335B"/>
    <w:rsid w:val="005D383D"/>
    <w:rsid w:val="005D3F3A"/>
    <w:rsid w:val="005D44C3"/>
    <w:rsid w:val="005D458C"/>
    <w:rsid w:val="005D5D1C"/>
    <w:rsid w:val="005D6697"/>
    <w:rsid w:val="005D6A60"/>
    <w:rsid w:val="005E01DD"/>
    <w:rsid w:val="005E0377"/>
    <w:rsid w:val="005E088B"/>
    <w:rsid w:val="005E0907"/>
    <w:rsid w:val="005E0D2A"/>
    <w:rsid w:val="005E0D45"/>
    <w:rsid w:val="005E1314"/>
    <w:rsid w:val="005E18FD"/>
    <w:rsid w:val="005E1C7B"/>
    <w:rsid w:val="005E2F0F"/>
    <w:rsid w:val="005E34C4"/>
    <w:rsid w:val="005E44AE"/>
    <w:rsid w:val="005E543A"/>
    <w:rsid w:val="005E5AE9"/>
    <w:rsid w:val="005F04F6"/>
    <w:rsid w:val="005F1B54"/>
    <w:rsid w:val="005F3738"/>
    <w:rsid w:val="005F4BA0"/>
    <w:rsid w:val="005F4BCB"/>
    <w:rsid w:val="005F4DB7"/>
    <w:rsid w:val="005F4E11"/>
    <w:rsid w:val="005F574C"/>
    <w:rsid w:val="005F5AA2"/>
    <w:rsid w:val="005F5E22"/>
    <w:rsid w:val="005F62FD"/>
    <w:rsid w:val="005F7353"/>
    <w:rsid w:val="00600C96"/>
    <w:rsid w:val="00601608"/>
    <w:rsid w:val="00601A0C"/>
    <w:rsid w:val="00602862"/>
    <w:rsid w:val="006028CA"/>
    <w:rsid w:val="00602908"/>
    <w:rsid w:val="00602CAF"/>
    <w:rsid w:val="0060553B"/>
    <w:rsid w:val="00606946"/>
    <w:rsid w:val="00607455"/>
    <w:rsid w:val="00607F5D"/>
    <w:rsid w:val="0061053C"/>
    <w:rsid w:val="00611B25"/>
    <w:rsid w:val="00613128"/>
    <w:rsid w:val="006136E7"/>
    <w:rsid w:val="00613F4F"/>
    <w:rsid w:val="006140BA"/>
    <w:rsid w:val="00614361"/>
    <w:rsid w:val="00614770"/>
    <w:rsid w:val="00614DBE"/>
    <w:rsid w:val="00615228"/>
    <w:rsid w:val="0061527C"/>
    <w:rsid w:val="00615673"/>
    <w:rsid w:val="006161E0"/>
    <w:rsid w:val="0061679E"/>
    <w:rsid w:val="006177BF"/>
    <w:rsid w:val="00617A4B"/>
    <w:rsid w:val="00617AC4"/>
    <w:rsid w:val="00617C66"/>
    <w:rsid w:val="006215BD"/>
    <w:rsid w:val="00621D9D"/>
    <w:rsid w:val="00621EA1"/>
    <w:rsid w:val="00622011"/>
    <w:rsid w:val="00622095"/>
    <w:rsid w:val="006225C8"/>
    <w:rsid w:val="00623083"/>
    <w:rsid w:val="00623EC1"/>
    <w:rsid w:val="006254E0"/>
    <w:rsid w:val="00625909"/>
    <w:rsid w:val="00625D20"/>
    <w:rsid w:val="00625DBA"/>
    <w:rsid w:val="00626111"/>
    <w:rsid w:val="00626278"/>
    <w:rsid w:val="006267DD"/>
    <w:rsid w:val="00626C8D"/>
    <w:rsid w:val="00627337"/>
    <w:rsid w:val="00627D8D"/>
    <w:rsid w:val="00630686"/>
    <w:rsid w:val="006308F1"/>
    <w:rsid w:val="00630B6A"/>
    <w:rsid w:val="00631592"/>
    <w:rsid w:val="00631A8C"/>
    <w:rsid w:val="00631CFA"/>
    <w:rsid w:val="0063233E"/>
    <w:rsid w:val="00632AEE"/>
    <w:rsid w:val="006330DB"/>
    <w:rsid w:val="00633115"/>
    <w:rsid w:val="00634590"/>
    <w:rsid w:val="006350A0"/>
    <w:rsid w:val="006353EA"/>
    <w:rsid w:val="00635C45"/>
    <w:rsid w:val="00636229"/>
    <w:rsid w:val="00636DC9"/>
    <w:rsid w:val="0063746D"/>
    <w:rsid w:val="006375AB"/>
    <w:rsid w:val="006403FD"/>
    <w:rsid w:val="0064041D"/>
    <w:rsid w:val="0064062B"/>
    <w:rsid w:val="006406E0"/>
    <w:rsid w:val="00641E0F"/>
    <w:rsid w:val="00642851"/>
    <w:rsid w:val="00643463"/>
    <w:rsid w:val="00643670"/>
    <w:rsid w:val="00643BA7"/>
    <w:rsid w:val="0064442E"/>
    <w:rsid w:val="006445D0"/>
    <w:rsid w:val="00644673"/>
    <w:rsid w:val="00644743"/>
    <w:rsid w:val="00644955"/>
    <w:rsid w:val="00644F50"/>
    <w:rsid w:val="006454F2"/>
    <w:rsid w:val="00646366"/>
    <w:rsid w:val="00646EC4"/>
    <w:rsid w:val="006470B2"/>
    <w:rsid w:val="00651778"/>
    <w:rsid w:val="00651907"/>
    <w:rsid w:val="006525BF"/>
    <w:rsid w:val="00652840"/>
    <w:rsid w:val="00653DDF"/>
    <w:rsid w:val="0065475F"/>
    <w:rsid w:val="00654793"/>
    <w:rsid w:val="00654F7A"/>
    <w:rsid w:val="00655284"/>
    <w:rsid w:val="00655459"/>
    <w:rsid w:val="006554F6"/>
    <w:rsid w:val="00655A65"/>
    <w:rsid w:val="0065736C"/>
    <w:rsid w:val="00657CB0"/>
    <w:rsid w:val="00660189"/>
    <w:rsid w:val="0066055B"/>
    <w:rsid w:val="00660587"/>
    <w:rsid w:val="00660596"/>
    <w:rsid w:val="0066285B"/>
    <w:rsid w:val="0066292A"/>
    <w:rsid w:val="0066351B"/>
    <w:rsid w:val="00663572"/>
    <w:rsid w:val="0066420A"/>
    <w:rsid w:val="00664456"/>
    <w:rsid w:val="00665ED7"/>
    <w:rsid w:val="00666072"/>
    <w:rsid w:val="0066675F"/>
    <w:rsid w:val="00667AEE"/>
    <w:rsid w:val="0067093F"/>
    <w:rsid w:val="00671264"/>
    <w:rsid w:val="006724BD"/>
    <w:rsid w:val="0067385D"/>
    <w:rsid w:val="0067402A"/>
    <w:rsid w:val="00674210"/>
    <w:rsid w:val="006748C7"/>
    <w:rsid w:val="00675A51"/>
    <w:rsid w:val="00677054"/>
    <w:rsid w:val="00680898"/>
    <w:rsid w:val="00680E18"/>
    <w:rsid w:val="006814F7"/>
    <w:rsid w:val="0068210E"/>
    <w:rsid w:val="006825BD"/>
    <w:rsid w:val="00682640"/>
    <w:rsid w:val="00682A33"/>
    <w:rsid w:val="006832F4"/>
    <w:rsid w:val="00683EE5"/>
    <w:rsid w:val="0068604B"/>
    <w:rsid w:val="00687C73"/>
    <w:rsid w:val="006902E2"/>
    <w:rsid w:val="006909C4"/>
    <w:rsid w:val="0069153D"/>
    <w:rsid w:val="00692378"/>
    <w:rsid w:val="006928E8"/>
    <w:rsid w:val="00692E16"/>
    <w:rsid w:val="006942BE"/>
    <w:rsid w:val="006947CF"/>
    <w:rsid w:val="00695847"/>
    <w:rsid w:val="00695BDC"/>
    <w:rsid w:val="00695C04"/>
    <w:rsid w:val="006969A8"/>
    <w:rsid w:val="00697FD6"/>
    <w:rsid w:val="006A04CF"/>
    <w:rsid w:val="006A0790"/>
    <w:rsid w:val="006A0927"/>
    <w:rsid w:val="006A1262"/>
    <w:rsid w:val="006A2AAA"/>
    <w:rsid w:val="006A2F69"/>
    <w:rsid w:val="006A3E01"/>
    <w:rsid w:val="006A468C"/>
    <w:rsid w:val="006A4F90"/>
    <w:rsid w:val="006A5111"/>
    <w:rsid w:val="006A51F2"/>
    <w:rsid w:val="006A521C"/>
    <w:rsid w:val="006A5ECB"/>
    <w:rsid w:val="006A6353"/>
    <w:rsid w:val="006A6ABB"/>
    <w:rsid w:val="006A6BB3"/>
    <w:rsid w:val="006A7F0D"/>
    <w:rsid w:val="006B05EF"/>
    <w:rsid w:val="006B1E1A"/>
    <w:rsid w:val="006B1EAF"/>
    <w:rsid w:val="006B218A"/>
    <w:rsid w:val="006B2973"/>
    <w:rsid w:val="006B31D1"/>
    <w:rsid w:val="006B486C"/>
    <w:rsid w:val="006B4BF1"/>
    <w:rsid w:val="006B4D50"/>
    <w:rsid w:val="006B56D7"/>
    <w:rsid w:val="006B5938"/>
    <w:rsid w:val="006B5947"/>
    <w:rsid w:val="006B642F"/>
    <w:rsid w:val="006B7989"/>
    <w:rsid w:val="006B7B2F"/>
    <w:rsid w:val="006B7E1C"/>
    <w:rsid w:val="006C0892"/>
    <w:rsid w:val="006C0DA8"/>
    <w:rsid w:val="006C147C"/>
    <w:rsid w:val="006C1735"/>
    <w:rsid w:val="006C1FB9"/>
    <w:rsid w:val="006C204D"/>
    <w:rsid w:val="006C241C"/>
    <w:rsid w:val="006C2C70"/>
    <w:rsid w:val="006C418A"/>
    <w:rsid w:val="006C46B4"/>
    <w:rsid w:val="006C4841"/>
    <w:rsid w:val="006C49A2"/>
    <w:rsid w:val="006C49CD"/>
    <w:rsid w:val="006C5165"/>
    <w:rsid w:val="006C5870"/>
    <w:rsid w:val="006C59DB"/>
    <w:rsid w:val="006C7539"/>
    <w:rsid w:val="006C7A27"/>
    <w:rsid w:val="006C7E8C"/>
    <w:rsid w:val="006C7F42"/>
    <w:rsid w:val="006D0B73"/>
    <w:rsid w:val="006D102E"/>
    <w:rsid w:val="006D11A7"/>
    <w:rsid w:val="006D1227"/>
    <w:rsid w:val="006D138F"/>
    <w:rsid w:val="006D2C9D"/>
    <w:rsid w:val="006D3571"/>
    <w:rsid w:val="006D3AC6"/>
    <w:rsid w:val="006D3E02"/>
    <w:rsid w:val="006D41BD"/>
    <w:rsid w:val="006D5699"/>
    <w:rsid w:val="006D5EE5"/>
    <w:rsid w:val="006D6121"/>
    <w:rsid w:val="006D7C5D"/>
    <w:rsid w:val="006E06C4"/>
    <w:rsid w:val="006E0815"/>
    <w:rsid w:val="006E1565"/>
    <w:rsid w:val="006E18CD"/>
    <w:rsid w:val="006E1F8B"/>
    <w:rsid w:val="006E2168"/>
    <w:rsid w:val="006E2E9F"/>
    <w:rsid w:val="006E342A"/>
    <w:rsid w:val="006E3D76"/>
    <w:rsid w:val="006E3E4B"/>
    <w:rsid w:val="006E3E87"/>
    <w:rsid w:val="006E457B"/>
    <w:rsid w:val="006E5D32"/>
    <w:rsid w:val="006E67A1"/>
    <w:rsid w:val="006E68B3"/>
    <w:rsid w:val="006E6D3B"/>
    <w:rsid w:val="006E6D57"/>
    <w:rsid w:val="006F1124"/>
    <w:rsid w:val="006F1CFB"/>
    <w:rsid w:val="006F2325"/>
    <w:rsid w:val="006F296F"/>
    <w:rsid w:val="006F315D"/>
    <w:rsid w:val="006F325D"/>
    <w:rsid w:val="006F3BCA"/>
    <w:rsid w:val="006F456B"/>
    <w:rsid w:val="006F4782"/>
    <w:rsid w:val="006F51A4"/>
    <w:rsid w:val="006F5B21"/>
    <w:rsid w:val="006F648A"/>
    <w:rsid w:val="006F78A9"/>
    <w:rsid w:val="006F7E99"/>
    <w:rsid w:val="00700F43"/>
    <w:rsid w:val="00701690"/>
    <w:rsid w:val="00701707"/>
    <w:rsid w:val="00702011"/>
    <w:rsid w:val="0070219C"/>
    <w:rsid w:val="00703696"/>
    <w:rsid w:val="0070397C"/>
    <w:rsid w:val="0070402B"/>
    <w:rsid w:val="00704F97"/>
    <w:rsid w:val="00705063"/>
    <w:rsid w:val="0070537C"/>
    <w:rsid w:val="00705B08"/>
    <w:rsid w:val="00705C0B"/>
    <w:rsid w:val="0070658C"/>
    <w:rsid w:val="00707BA6"/>
    <w:rsid w:val="00711220"/>
    <w:rsid w:val="007118A4"/>
    <w:rsid w:val="007136F2"/>
    <w:rsid w:val="007147CA"/>
    <w:rsid w:val="007152E8"/>
    <w:rsid w:val="0071585E"/>
    <w:rsid w:val="00715AAB"/>
    <w:rsid w:val="00715E66"/>
    <w:rsid w:val="00715F1D"/>
    <w:rsid w:val="007169B9"/>
    <w:rsid w:val="00716D48"/>
    <w:rsid w:val="00716FAF"/>
    <w:rsid w:val="00717769"/>
    <w:rsid w:val="00717A7D"/>
    <w:rsid w:val="00717C38"/>
    <w:rsid w:val="0072058A"/>
    <w:rsid w:val="00720E57"/>
    <w:rsid w:val="00721093"/>
    <w:rsid w:val="007210A6"/>
    <w:rsid w:val="00721149"/>
    <w:rsid w:val="007224FA"/>
    <w:rsid w:val="007227A1"/>
    <w:rsid w:val="00722D13"/>
    <w:rsid w:val="007239AA"/>
    <w:rsid w:val="00723C98"/>
    <w:rsid w:val="00723F30"/>
    <w:rsid w:val="00724218"/>
    <w:rsid w:val="00724231"/>
    <w:rsid w:val="00724F07"/>
    <w:rsid w:val="00724F7E"/>
    <w:rsid w:val="00725280"/>
    <w:rsid w:val="00725327"/>
    <w:rsid w:val="00725937"/>
    <w:rsid w:val="00726864"/>
    <w:rsid w:val="00726C7A"/>
    <w:rsid w:val="007271E7"/>
    <w:rsid w:val="00727E0B"/>
    <w:rsid w:val="00730870"/>
    <w:rsid w:val="007309C2"/>
    <w:rsid w:val="00730BD2"/>
    <w:rsid w:val="0073151A"/>
    <w:rsid w:val="007328BD"/>
    <w:rsid w:val="00732E0F"/>
    <w:rsid w:val="00732F7B"/>
    <w:rsid w:val="00733F71"/>
    <w:rsid w:val="00734062"/>
    <w:rsid w:val="0073427E"/>
    <w:rsid w:val="0073604E"/>
    <w:rsid w:val="00740015"/>
    <w:rsid w:val="0074005C"/>
    <w:rsid w:val="0074085C"/>
    <w:rsid w:val="00740AFB"/>
    <w:rsid w:val="007412B9"/>
    <w:rsid w:val="0074145E"/>
    <w:rsid w:val="00741B85"/>
    <w:rsid w:val="00742284"/>
    <w:rsid w:val="00744A6B"/>
    <w:rsid w:val="007453DD"/>
    <w:rsid w:val="00745A68"/>
    <w:rsid w:val="00746DE6"/>
    <w:rsid w:val="00746E9B"/>
    <w:rsid w:val="00750344"/>
    <w:rsid w:val="00750F0D"/>
    <w:rsid w:val="00751410"/>
    <w:rsid w:val="00751F19"/>
    <w:rsid w:val="007527A6"/>
    <w:rsid w:val="00752DC7"/>
    <w:rsid w:val="00753604"/>
    <w:rsid w:val="00753CD7"/>
    <w:rsid w:val="007540BD"/>
    <w:rsid w:val="007540BF"/>
    <w:rsid w:val="00754425"/>
    <w:rsid w:val="0075497B"/>
    <w:rsid w:val="007553E9"/>
    <w:rsid w:val="00755748"/>
    <w:rsid w:val="00755A65"/>
    <w:rsid w:val="007562B5"/>
    <w:rsid w:val="00756F06"/>
    <w:rsid w:val="00756F0B"/>
    <w:rsid w:val="0075707C"/>
    <w:rsid w:val="0075724F"/>
    <w:rsid w:val="007575E7"/>
    <w:rsid w:val="007579F7"/>
    <w:rsid w:val="00757AC9"/>
    <w:rsid w:val="00757F7A"/>
    <w:rsid w:val="0076086B"/>
    <w:rsid w:val="00760C9A"/>
    <w:rsid w:val="0076127D"/>
    <w:rsid w:val="00761A13"/>
    <w:rsid w:val="00762269"/>
    <w:rsid w:val="0076242A"/>
    <w:rsid w:val="00762A44"/>
    <w:rsid w:val="00764427"/>
    <w:rsid w:val="00764889"/>
    <w:rsid w:val="00765347"/>
    <w:rsid w:val="00765DCC"/>
    <w:rsid w:val="00766184"/>
    <w:rsid w:val="00767D0F"/>
    <w:rsid w:val="00767F47"/>
    <w:rsid w:val="00770DCB"/>
    <w:rsid w:val="00771375"/>
    <w:rsid w:val="00772478"/>
    <w:rsid w:val="00772AE1"/>
    <w:rsid w:val="00772BD6"/>
    <w:rsid w:val="00772D61"/>
    <w:rsid w:val="00773ACC"/>
    <w:rsid w:val="007742B0"/>
    <w:rsid w:val="00775485"/>
    <w:rsid w:val="00776710"/>
    <w:rsid w:val="00776761"/>
    <w:rsid w:val="007767AC"/>
    <w:rsid w:val="00776AB7"/>
    <w:rsid w:val="00780153"/>
    <w:rsid w:val="007825B1"/>
    <w:rsid w:val="00782F2D"/>
    <w:rsid w:val="007832DF"/>
    <w:rsid w:val="0078368F"/>
    <w:rsid w:val="00783BC9"/>
    <w:rsid w:val="00783EFA"/>
    <w:rsid w:val="0078415B"/>
    <w:rsid w:val="007845C7"/>
    <w:rsid w:val="00784E39"/>
    <w:rsid w:val="007851CE"/>
    <w:rsid w:val="007859DF"/>
    <w:rsid w:val="00785BA9"/>
    <w:rsid w:val="00785BEF"/>
    <w:rsid w:val="00785C2A"/>
    <w:rsid w:val="007870F1"/>
    <w:rsid w:val="007873C8"/>
    <w:rsid w:val="007902CD"/>
    <w:rsid w:val="00791617"/>
    <w:rsid w:val="00792B02"/>
    <w:rsid w:val="007939DD"/>
    <w:rsid w:val="00793B4E"/>
    <w:rsid w:val="00793D9F"/>
    <w:rsid w:val="007941DC"/>
    <w:rsid w:val="00795338"/>
    <w:rsid w:val="0079627D"/>
    <w:rsid w:val="00796A35"/>
    <w:rsid w:val="00796D4F"/>
    <w:rsid w:val="0079763B"/>
    <w:rsid w:val="007A063F"/>
    <w:rsid w:val="007A1298"/>
    <w:rsid w:val="007A1491"/>
    <w:rsid w:val="007A253A"/>
    <w:rsid w:val="007A29F6"/>
    <w:rsid w:val="007A32CB"/>
    <w:rsid w:val="007A336A"/>
    <w:rsid w:val="007A37C5"/>
    <w:rsid w:val="007A3C11"/>
    <w:rsid w:val="007A4411"/>
    <w:rsid w:val="007A443E"/>
    <w:rsid w:val="007A45CB"/>
    <w:rsid w:val="007A509B"/>
    <w:rsid w:val="007A57BB"/>
    <w:rsid w:val="007A5A2F"/>
    <w:rsid w:val="007A5D7A"/>
    <w:rsid w:val="007A5EA5"/>
    <w:rsid w:val="007A6CCF"/>
    <w:rsid w:val="007A711D"/>
    <w:rsid w:val="007B0181"/>
    <w:rsid w:val="007B06FB"/>
    <w:rsid w:val="007B12A9"/>
    <w:rsid w:val="007B1306"/>
    <w:rsid w:val="007B160B"/>
    <w:rsid w:val="007B1A6B"/>
    <w:rsid w:val="007B1BB7"/>
    <w:rsid w:val="007B1CC7"/>
    <w:rsid w:val="007B1FC9"/>
    <w:rsid w:val="007B2379"/>
    <w:rsid w:val="007B27E0"/>
    <w:rsid w:val="007B291A"/>
    <w:rsid w:val="007B2BB6"/>
    <w:rsid w:val="007B38B5"/>
    <w:rsid w:val="007B3A7D"/>
    <w:rsid w:val="007B3B63"/>
    <w:rsid w:val="007B3C84"/>
    <w:rsid w:val="007B3E8E"/>
    <w:rsid w:val="007B4A74"/>
    <w:rsid w:val="007B4FE9"/>
    <w:rsid w:val="007B5945"/>
    <w:rsid w:val="007B64C0"/>
    <w:rsid w:val="007B6E0C"/>
    <w:rsid w:val="007B7FE2"/>
    <w:rsid w:val="007C0520"/>
    <w:rsid w:val="007C05A2"/>
    <w:rsid w:val="007C0F1C"/>
    <w:rsid w:val="007C13D3"/>
    <w:rsid w:val="007C15A8"/>
    <w:rsid w:val="007C15F4"/>
    <w:rsid w:val="007C21D3"/>
    <w:rsid w:val="007C2D46"/>
    <w:rsid w:val="007C310B"/>
    <w:rsid w:val="007C34BF"/>
    <w:rsid w:val="007C372B"/>
    <w:rsid w:val="007C3756"/>
    <w:rsid w:val="007C3A9C"/>
    <w:rsid w:val="007C3F1F"/>
    <w:rsid w:val="007C44DA"/>
    <w:rsid w:val="007C520D"/>
    <w:rsid w:val="007C6537"/>
    <w:rsid w:val="007C6888"/>
    <w:rsid w:val="007C7447"/>
    <w:rsid w:val="007C7F97"/>
    <w:rsid w:val="007D00F8"/>
    <w:rsid w:val="007D1259"/>
    <w:rsid w:val="007D1E7C"/>
    <w:rsid w:val="007D2D70"/>
    <w:rsid w:val="007D30A5"/>
    <w:rsid w:val="007D352E"/>
    <w:rsid w:val="007D3673"/>
    <w:rsid w:val="007D39CB"/>
    <w:rsid w:val="007D3B47"/>
    <w:rsid w:val="007D3C91"/>
    <w:rsid w:val="007D4468"/>
    <w:rsid w:val="007D488C"/>
    <w:rsid w:val="007D564A"/>
    <w:rsid w:val="007D57B1"/>
    <w:rsid w:val="007D615D"/>
    <w:rsid w:val="007D6555"/>
    <w:rsid w:val="007D6C49"/>
    <w:rsid w:val="007E0254"/>
    <w:rsid w:val="007E1805"/>
    <w:rsid w:val="007E510B"/>
    <w:rsid w:val="007E5440"/>
    <w:rsid w:val="007E58A3"/>
    <w:rsid w:val="007E5B88"/>
    <w:rsid w:val="007E67A4"/>
    <w:rsid w:val="007E6C38"/>
    <w:rsid w:val="007E7DF3"/>
    <w:rsid w:val="007F0C52"/>
    <w:rsid w:val="007F0D0B"/>
    <w:rsid w:val="007F1280"/>
    <w:rsid w:val="007F1515"/>
    <w:rsid w:val="007F1667"/>
    <w:rsid w:val="007F1DBB"/>
    <w:rsid w:val="007F2E90"/>
    <w:rsid w:val="007F386A"/>
    <w:rsid w:val="007F3D50"/>
    <w:rsid w:val="007F422D"/>
    <w:rsid w:val="007F64AA"/>
    <w:rsid w:val="007F657B"/>
    <w:rsid w:val="007F69FE"/>
    <w:rsid w:val="00800244"/>
    <w:rsid w:val="008007A8"/>
    <w:rsid w:val="008013A5"/>
    <w:rsid w:val="00801CA2"/>
    <w:rsid w:val="008026AD"/>
    <w:rsid w:val="00802D2B"/>
    <w:rsid w:val="00802EAB"/>
    <w:rsid w:val="00803A63"/>
    <w:rsid w:val="008042D9"/>
    <w:rsid w:val="0080493A"/>
    <w:rsid w:val="008049DE"/>
    <w:rsid w:val="00804CEA"/>
    <w:rsid w:val="008055E2"/>
    <w:rsid w:val="00807057"/>
    <w:rsid w:val="00807BB3"/>
    <w:rsid w:val="0081052B"/>
    <w:rsid w:val="00810564"/>
    <w:rsid w:val="00812014"/>
    <w:rsid w:val="008122DF"/>
    <w:rsid w:val="0081268C"/>
    <w:rsid w:val="008135F3"/>
    <w:rsid w:val="008138CC"/>
    <w:rsid w:val="00813A03"/>
    <w:rsid w:val="00814969"/>
    <w:rsid w:val="00814FC0"/>
    <w:rsid w:val="00816A28"/>
    <w:rsid w:val="00816E40"/>
    <w:rsid w:val="00817FFB"/>
    <w:rsid w:val="00820972"/>
    <w:rsid w:val="00822B79"/>
    <w:rsid w:val="00824455"/>
    <w:rsid w:val="00824CE5"/>
    <w:rsid w:val="00824F2A"/>
    <w:rsid w:val="008254D5"/>
    <w:rsid w:val="00827456"/>
    <w:rsid w:val="008302C4"/>
    <w:rsid w:val="00830D49"/>
    <w:rsid w:val="00831B69"/>
    <w:rsid w:val="00831F8A"/>
    <w:rsid w:val="00832D5E"/>
    <w:rsid w:val="008332B1"/>
    <w:rsid w:val="00833D76"/>
    <w:rsid w:val="0083496C"/>
    <w:rsid w:val="00834ED1"/>
    <w:rsid w:val="00834FBF"/>
    <w:rsid w:val="00836348"/>
    <w:rsid w:val="00836F6B"/>
    <w:rsid w:val="008370DF"/>
    <w:rsid w:val="0083762C"/>
    <w:rsid w:val="008403A0"/>
    <w:rsid w:val="008412DB"/>
    <w:rsid w:val="00841610"/>
    <w:rsid w:val="00841E70"/>
    <w:rsid w:val="008429A6"/>
    <w:rsid w:val="00842E69"/>
    <w:rsid w:val="008432A2"/>
    <w:rsid w:val="00844494"/>
    <w:rsid w:val="0084473C"/>
    <w:rsid w:val="00844D62"/>
    <w:rsid w:val="0084605A"/>
    <w:rsid w:val="00846CA4"/>
    <w:rsid w:val="00847F54"/>
    <w:rsid w:val="00850040"/>
    <w:rsid w:val="0085074B"/>
    <w:rsid w:val="00850C5C"/>
    <w:rsid w:val="00850F23"/>
    <w:rsid w:val="008514BB"/>
    <w:rsid w:val="00851A6C"/>
    <w:rsid w:val="00851D66"/>
    <w:rsid w:val="008524A4"/>
    <w:rsid w:val="008526A0"/>
    <w:rsid w:val="00852D70"/>
    <w:rsid w:val="00852DB3"/>
    <w:rsid w:val="00853734"/>
    <w:rsid w:val="00855E62"/>
    <w:rsid w:val="00856111"/>
    <w:rsid w:val="0085642C"/>
    <w:rsid w:val="008564CC"/>
    <w:rsid w:val="00856655"/>
    <w:rsid w:val="00856A48"/>
    <w:rsid w:val="008576DD"/>
    <w:rsid w:val="00857B65"/>
    <w:rsid w:val="008609A7"/>
    <w:rsid w:val="00861CEC"/>
    <w:rsid w:val="00861E5C"/>
    <w:rsid w:val="00863883"/>
    <w:rsid w:val="00863A82"/>
    <w:rsid w:val="008645FD"/>
    <w:rsid w:val="00864B78"/>
    <w:rsid w:val="00864EA4"/>
    <w:rsid w:val="00864F9A"/>
    <w:rsid w:val="00865728"/>
    <w:rsid w:val="00865AC6"/>
    <w:rsid w:val="00866606"/>
    <w:rsid w:val="008668FC"/>
    <w:rsid w:val="00867278"/>
    <w:rsid w:val="00867754"/>
    <w:rsid w:val="00870F94"/>
    <w:rsid w:val="00870FF7"/>
    <w:rsid w:val="008724DE"/>
    <w:rsid w:val="00873147"/>
    <w:rsid w:val="00873848"/>
    <w:rsid w:val="00873CC2"/>
    <w:rsid w:val="00873F4C"/>
    <w:rsid w:val="00874001"/>
    <w:rsid w:val="00874714"/>
    <w:rsid w:val="008748FB"/>
    <w:rsid w:val="00875416"/>
    <w:rsid w:val="00875D43"/>
    <w:rsid w:val="00876182"/>
    <w:rsid w:val="008766C5"/>
    <w:rsid w:val="00876A98"/>
    <w:rsid w:val="00876D9D"/>
    <w:rsid w:val="00877928"/>
    <w:rsid w:val="008809EE"/>
    <w:rsid w:val="0088113E"/>
    <w:rsid w:val="00881344"/>
    <w:rsid w:val="00882A53"/>
    <w:rsid w:val="00883176"/>
    <w:rsid w:val="008839D9"/>
    <w:rsid w:val="00883B57"/>
    <w:rsid w:val="00884239"/>
    <w:rsid w:val="00884349"/>
    <w:rsid w:val="00884A4B"/>
    <w:rsid w:val="00884F7C"/>
    <w:rsid w:val="0088503D"/>
    <w:rsid w:val="008858BC"/>
    <w:rsid w:val="00885C69"/>
    <w:rsid w:val="00885F34"/>
    <w:rsid w:val="00886876"/>
    <w:rsid w:val="00886877"/>
    <w:rsid w:val="00886E70"/>
    <w:rsid w:val="008901EA"/>
    <w:rsid w:val="00890D0B"/>
    <w:rsid w:val="0089124B"/>
    <w:rsid w:val="00891C08"/>
    <w:rsid w:val="00892886"/>
    <w:rsid w:val="00892CB7"/>
    <w:rsid w:val="008932B8"/>
    <w:rsid w:val="008935AE"/>
    <w:rsid w:val="00893F8E"/>
    <w:rsid w:val="0089475D"/>
    <w:rsid w:val="008950C4"/>
    <w:rsid w:val="0089564B"/>
    <w:rsid w:val="00895BB3"/>
    <w:rsid w:val="008967C6"/>
    <w:rsid w:val="008A123B"/>
    <w:rsid w:val="008A1D5E"/>
    <w:rsid w:val="008A2977"/>
    <w:rsid w:val="008A3364"/>
    <w:rsid w:val="008A34C9"/>
    <w:rsid w:val="008A3A23"/>
    <w:rsid w:val="008A3D57"/>
    <w:rsid w:val="008A419C"/>
    <w:rsid w:val="008A4486"/>
    <w:rsid w:val="008A563A"/>
    <w:rsid w:val="008A5A6A"/>
    <w:rsid w:val="008A5DBC"/>
    <w:rsid w:val="008A6774"/>
    <w:rsid w:val="008A6957"/>
    <w:rsid w:val="008B0EFC"/>
    <w:rsid w:val="008B1292"/>
    <w:rsid w:val="008B1325"/>
    <w:rsid w:val="008B13AA"/>
    <w:rsid w:val="008B1AED"/>
    <w:rsid w:val="008B230B"/>
    <w:rsid w:val="008B23BC"/>
    <w:rsid w:val="008B271C"/>
    <w:rsid w:val="008B2E22"/>
    <w:rsid w:val="008B31F8"/>
    <w:rsid w:val="008B40C0"/>
    <w:rsid w:val="008B422C"/>
    <w:rsid w:val="008B4FDC"/>
    <w:rsid w:val="008B564A"/>
    <w:rsid w:val="008B6691"/>
    <w:rsid w:val="008B74E0"/>
    <w:rsid w:val="008B76E0"/>
    <w:rsid w:val="008B78EB"/>
    <w:rsid w:val="008C1876"/>
    <w:rsid w:val="008C1C62"/>
    <w:rsid w:val="008C2526"/>
    <w:rsid w:val="008C30ED"/>
    <w:rsid w:val="008C690D"/>
    <w:rsid w:val="008C6E13"/>
    <w:rsid w:val="008C7F6F"/>
    <w:rsid w:val="008D031F"/>
    <w:rsid w:val="008D09FE"/>
    <w:rsid w:val="008D1805"/>
    <w:rsid w:val="008D249A"/>
    <w:rsid w:val="008D2825"/>
    <w:rsid w:val="008D2E53"/>
    <w:rsid w:val="008D3619"/>
    <w:rsid w:val="008D3CA6"/>
    <w:rsid w:val="008D43AE"/>
    <w:rsid w:val="008D4795"/>
    <w:rsid w:val="008D48C5"/>
    <w:rsid w:val="008D5559"/>
    <w:rsid w:val="008D55FC"/>
    <w:rsid w:val="008D5912"/>
    <w:rsid w:val="008D63D8"/>
    <w:rsid w:val="008D6CA5"/>
    <w:rsid w:val="008E00D8"/>
    <w:rsid w:val="008E0457"/>
    <w:rsid w:val="008E10A0"/>
    <w:rsid w:val="008E23EF"/>
    <w:rsid w:val="008E2A98"/>
    <w:rsid w:val="008E2CD4"/>
    <w:rsid w:val="008E2D37"/>
    <w:rsid w:val="008E339E"/>
    <w:rsid w:val="008E3D60"/>
    <w:rsid w:val="008E3F4C"/>
    <w:rsid w:val="008E4A80"/>
    <w:rsid w:val="008E52BE"/>
    <w:rsid w:val="008E5421"/>
    <w:rsid w:val="008E5E1C"/>
    <w:rsid w:val="008E630B"/>
    <w:rsid w:val="008E633B"/>
    <w:rsid w:val="008E64DC"/>
    <w:rsid w:val="008E6716"/>
    <w:rsid w:val="008E68D0"/>
    <w:rsid w:val="008E6C28"/>
    <w:rsid w:val="008E6C5D"/>
    <w:rsid w:val="008E7141"/>
    <w:rsid w:val="008E73B0"/>
    <w:rsid w:val="008E7A8E"/>
    <w:rsid w:val="008E7B61"/>
    <w:rsid w:val="008F0EF9"/>
    <w:rsid w:val="008F1910"/>
    <w:rsid w:val="008F2864"/>
    <w:rsid w:val="008F4A79"/>
    <w:rsid w:val="008F4EF1"/>
    <w:rsid w:val="008F5612"/>
    <w:rsid w:val="008F5B29"/>
    <w:rsid w:val="008F5E88"/>
    <w:rsid w:val="008F5EBC"/>
    <w:rsid w:val="008F70EE"/>
    <w:rsid w:val="008F75F4"/>
    <w:rsid w:val="008F763A"/>
    <w:rsid w:val="0090003A"/>
    <w:rsid w:val="009001AF"/>
    <w:rsid w:val="009009BD"/>
    <w:rsid w:val="00900EA0"/>
    <w:rsid w:val="0090165F"/>
    <w:rsid w:val="00901B82"/>
    <w:rsid w:val="009022E6"/>
    <w:rsid w:val="00902A16"/>
    <w:rsid w:val="00903090"/>
    <w:rsid w:val="0090328F"/>
    <w:rsid w:val="00903505"/>
    <w:rsid w:val="00903D1D"/>
    <w:rsid w:val="0090439C"/>
    <w:rsid w:val="00904D1B"/>
    <w:rsid w:val="00904F01"/>
    <w:rsid w:val="00905485"/>
    <w:rsid w:val="009055FC"/>
    <w:rsid w:val="00906379"/>
    <w:rsid w:val="00906657"/>
    <w:rsid w:val="00906BD6"/>
    <w:rsid w:val="00906D39"/>
    <w:rsid w:val="00907786"/>
    <w:rsid w:val="00907A23"/>
    <w:rsid w:val="00907DF6"/>
    <w:rsid w:val="009111A2"/>
    <w:rsid w:val="0091181B"/>
    <w:rsid w:val="0091197B"/>
    <w:rsid w:val="00911CA7"/>
    <w:rsid w:val="00912978"/>
    <w:rsid w:val="00912B09"/>
    <w:rsid w:val="0091344B"/>
    <w:rsid w:val="0091393C"/>
    <w:rsid w:val="009141C2"/>
    <w:rsid w:val="00914350"/>
    <w:rsid w:val="00914BC5"/>
    <w:rsid w:val="00915F2D"/>
    <w:rsid w:val="0091614E"/>
    <w:rsid w:val="00917318"/>
    <w:rsid w:val="00917901"/>
    <w:rsid w:val="00917A8E"/>
    <w:rsid w:val="00921278"/>
    <w:rsid w:val="00921D7A"/>
    <w:rsid w:val="00922208"/>
    <w:rsid w:val="0092237E"/>
    <w:rsid w:val="009225E7"/>
    <w:rsid w:val="00922E93"/>
    <w:rsid w:val="00922F34"/>
    <w:rsid w:val="009236B4"/>
    <w:rsid w:val="009238B6"/>
    <w:rsid w:val="00924CDD"/>
    <w:rsid w:val="0092595A"/>
    <w:rsid w:val="00925DCD"/>
    <w:rsid w:val="009262EE"/>
    <w:rsid w:val="0092649A"/>
    <w:rsid w:val="0092669B"/>
    <w:rsid w:val="00926C9E"/>
    <w:rsid w:val="00926FB8"/>
    <w:rsid w:val="00930D82"/>
    <w:rsid w:val="00931091"/>
    <w:rsid w:val="00931873"/>
    <w:rsid w:val="00932329"/>
    <w:rsid w:val="00932676"/>
    <w:rsid w:val="009326CD"/>
    <w:rsid w:val="0093292D"/>
    <w:rsid w:val="009329AD"/>
    <w:rsid w:val="00932FE7"/>
    <w:rsid w:val="00933F7C"/>
    <w:rsid w:val="009341B7"/>
    <w:rsid w:val="0093449C"/>
    <w:rsid w:val="00934A79"/>
    <w:rsid w:val="00934B7B"/>
    <w:rsid w:val="009356C4"/>
    <w:rsid w:val="0093607C"/>
    <w:rsid w:val="00936424"/>
    <w:rsid w:val="009364A8"/>
    <w:rsid w:val="00936C53"/>
    <w:rsid w:val="00936F53"/>
    <w:rsid w:val="00936FF2"/>
    <w:rsid w:val="00937298"/>
    <w:rsid w:val="00937523"/>
    <w:rsid w:val="0094091A"/>
    <w:rsid w:val="00940EE7"/>
    <w:rsid w:val="0094174F"/>
    <w:rsid w:val="00942503"/>
    <w:rsid w:val="00942798"/>
    <w:rsid w:val="0094320B"/>
    <w:rsid w:val="00943781"/>
    <w:rsid w:val="00944297"/>
    <w:rsid w:val="00944C96"/>
    <w:rsid w:val="009452F8"/>
    <w:rsid w:val="00945B57"/>
    <w:rsid w:val="00945BF0"/>
    <w:rsid w:val="0094764E"/>
    <w:rsid w:val="00947787"/>
    <w:rsid w:val="0095086D"/>
    <w:rsid w:val="00950E6C"/>
    <w:rsid w:val="00951320"/>
    <w:rsid w:val="009515AC"/>
    <w:rsid w:val="00951CA4"/>
    <w:rsid w:val="00951DCE"/>
    <w:rsid w:val="00952292"/>
    <w:rsid w:val="00952D2E"/>
    <w:rsid w:val="00953972"/>
    <w:rsid w:val="00953B3C"/>
    <w:rsid w:val="00953B81"/>
    <w:rsid w:val="00955851"/>
    <w:rsid w:val="00957907"/>
    <w:rsid w:val="00957A12"/>
    <w:rsid w:val="0096011C"/>
    <w:rsid w:val="0096298A"/>
    <w:rsid w:val="00962CFF"/>
    <w:rsid w:val="00963277"/>
    <w:rsid w:val="009639D4"/>
    <w:rsid w:val="009644EF"/>
    <w:rsid w:val="0096474D"/>
    <w:rsid w:val="009649FE"/>
    <w:rsid w:val="00964CB0"/>
    <w:rsid w:val="00965D5A"/>
    <w:rsid w:val="00965F6E"/>
    <w:rsid w:val="009668AC"/>
    <w:rsid w:val="00966C2F"/>
    <w:rsid w:val="00967150"/>
    <w:rsid w:val="009678D1"/>
    <w:rsid w:val="00967954"/>
    <w:rsid w:val="009679D5"/>
    <w:rsid w:val="00967E6C"/>
    <w:rsid w:val="009700C6"/>
    <w:rsid w:val="00970338"/>
    <w:rsid w:val="00970369"/>
    <w:rsid w:val="00970633"/>
    <w:rsid w:val="00970A0D"/>
    <w:rsid w:val="0097160A"/>
    <w:rsid w:val="00972D6A"/>
    <w:rsid w:val="00972F20"/>
    <w:rsid w:val="00973A4C"/>
    <w:rsid w:val="0097404D"/>
    <w:rsid w:val="0097512B"/>
    <w:rsid w:val="00975E72"/>
    <w:rsid w:val="00975EA9"/>
    <w:rsid w:val="00976B01"/>
    <w:rsid w:val="0097708E"/>
    <w:rsid w:val="00977137"/>
    <w:rsid w:val="0098077D"/>
    <w:rsid w:val="00980E0E"/>
    <w:rsid w:val="0098154F"/>
    <w:rsid w:val="00981923"/>
    <w:rsid w:val="00981ABF"/>
    <w:rsid w:val="00982354"/>
    <w:rsid w:val="0098300F"/>
    <w:rsid w:val="009830B8"/>
    <w:rsid w:val="00983767"/>
    <w:rsid w:val="00983DA1"/>
    <w:rsid w:val="009842F8"/>
    <w:rsid w:val="00984479"/>
    <w:rsid w:val="00984896"/>
    <w:rsid w:val="00984BF5"/>
    <w:rsid w:val="00984DB1"/>
    <w:rsid w:val="00985A99"/>
    <w:rsid w:val="00985E70"/>
    <w:rsid w:val="009865CD"/>
    <w:rsid w:val="00986D5F"/>
    <w:rsid w:val="00987AE1"/>
    <w:rsid w:val="009907CC"/>
    <w:rsid w:val="00990B75"/>
    <w:rsid w:val="00990B93"/>
    <w:rsid w:val="00990BBE"/>
    <w:rsid w:val="00990E98"/>
    <w:rsid w:val="00991929"/>
    <w:rsid w:val="00991956"/>
    <w:rsid w:val="00991CE8"/>
    <w:rsid w:val="009920F7"/>
    <w:rsid w:val="0099229D"/>
    <w:rsid w:val="009928FB"/>
    <w:rsid w:val="00992FF2"/>
    <w:rsid w:val="00993DE6"/>
    <w:rsid w:val="00994177"/>
    <w:rsid w:val="00994F3D"/>
    <w:rsid w:val="00995DC7"/>
    <w:rsid w:val="0099610D"/>
    <w:rsid w:val="009965E5"/>
    <w:rsid w:val="009977C9"/>
    <w:rsid w:val="00997834"/>
    <w:rsid w:val="009A0170"/>
    <w:rsid w:val="009A017F"/>
    <w:rsid w:val="009A0C57"/>
    <w:rsid w:val="009A145C"/>
    <w:rsid w:val="009A2078"/>
    <w:rsid w:val="009A25DB"/>
    <w:rsid w:val="009A343E"/>
    <w:rsid w:val="009A3EA4"/>
    <w:rsid w:val="009A49F8"/>
    <w:rsid w:val="009A5F77"/>
    <w:rsid w:val="009A67EF"/>
    <w:rsid w:val="009A7DDB"/>
    <w:rsid w:val="009B0BAF"/>
    <w:rsid w:val="009B1B17"/>
    <w:rsid w:val="009B26F0"/>
    <w:rsid w:val="009B2BC6"/>
    <w:rsid w:val="009B3F0C"/>
    <w:rsid w:val="009B3FA5"/>
    <w:rsid w:val="009B455B"/>
    <w:rsid w:val="009B4AC2"/>
    <w:rsid w:val="009B4B04"/>
    <w:rsid w:val="009B4C29"/>
    <w:rsid w:val="009B53D0"/>
    <w:rsid w:val="009B5B6D"/>
    <w:rsid w:val="009B628B"/>
    <w:rsid w:val="009B7B17"/>
    <w:rsid w:val="009C0105"/>
    <w:rsid w:val="009C0498"/>
    <w:rsid w:val="009C09F6"/>
    <w:rsid w:val="009C0FAC"/>
    <w:rsid w:val="009C1C75"/>
    <w:rsid w:val="009C264E"/>
    <w:rsid w:val="009C31CF"/>
    <w:rsid w:val="009C4820"/>
    <w:rsid w:val="009C4E8C"/>
    <w:rsid w:val="009C4F2E"/>
    <w:rsid w:val="009C5412"/>
    <w:rsid w:val="009C6F25"/>
    <w:rsid w:val="009C7B5C"/>
    <w:rsid w:val="009C7F0A"/>
    <w:rsid w:val="009D0510"/>
    <w:rsid w:val="009D056F"/>
    <w:rsid w:val="009D06CA"/>
    <w:rsid w:val="009D2C42"/>
    <w:rsid w:val="009D36D7"/>
    <w:rsid w:val="009D36DF"/>
    <w:rsid w:val="009D3704"/>
    <w:rsid w:val="009D3734"/>
    <w:rsid w:val="009D3D42"/>
    <w:rsid w:val="009D572C"/>
    <w:rsid w:val="009D592B"/>
    <w:rsid w:val="009D5BC1"/>
    <w:rsid w:val="009D5DD4"/>
    <w:rsid w:val="009D6672"/>
    <w:rsid w:val="009D67F6"/>
    <w:rsid w:val="009D6FB0"/>
    <w:rsid w:val="009E0B9C"/>
    <w:rsid w:val="009E0FE1"/>
    <w:rsid w:val="009E18E4"/>
    <w:rsid w:val="009E216D"/>
    <w:rsid w:val="009E3343"/>
    <w:rsid w:val="009E424C"/>
    <w:rsid w:val="009E6D38"/>
    <w:rsid w:val="009E7257"/>
    <w:rsid w:val="009E77F6"/>
    <w:rsid w:val="009E7BC4"/>
    <w:rsid w:val="009F024A"/>
    <w:rsid w:val="009F0E67"/>
    <w:rsid w:val="009F11A1"/>
    <w:rsid w:val="009F2114"/>
    <w:rsid w:val="009F243D"/>
    <w:rsid w:val="009F2764"/>
    <w:rsid w:val="009F27DF"/>
    <w:rsid w:val="009F280E"/>
    <w:rsid w:val="009F2B7F"/>
    <w:rsid w:val="009F30BD"/>
    <w:rsid w:val="009F3A33"/>
    <w:rsid w:val="009F4D41"/>
    <w:rsid w:val="009F534D"/>
    <w:rsid w:val="009F5E85"/>
    <w:rsid w:val="009F6E00"/>
    <w:rsid w:val="009F7282"/>
    <w:rsid w:val="009F78EE"/>
    <w:rsid w:val="009F7E5D"/>
    <w:rsid w:val="00A00025"/>
    <w:rsid w:val="00A00378"/>
    <w:rsid w:val="00A00778"/>
    <w:rsid w:val="00A00B60"/>
    <w:rsid w:val="00A0146F"/>
    <w:rsid w:val="00A02AAD"/>
    <w:rsid w:val="00A038BC"/>
    <w:rsid w:val="00A0406E"/>
    <w:rsid w:val="00A049B0"/>
    <w:rsid w:val="00A04DE7"/>
    <w:rsid w:val="00A04FC0"/>
    <w:rsid w:val="00A05CE0"/>
    <w:rsid w:val="00A05DA3"/>
    <w:rsid w:val="00A062CC"/>
    <w:rsid w:val="00A10D0D"/>
    <w:rsid w:val="00A10ED6"/>
    <w:rsid w:val="00A11307"/>
    <w:rsid w:val="00A11364"/>
    <w:rsid w:val="00A11F24"/>
    <w:rsid w:val="00A11F7A"/>
    <w:rsid w:val="00A124F1"/>
    <w:rsid w:val="00A1264E"/>
    <w:rsid w:val="00A12BEA"/>
    <w:rsid w:val="00A12F11"/>
    <w:rsid w:val="00A13AF3"/>
    <w:rsid w:val="00A13DB5"/>
    <w:rsid w:val="00A153DE"/>
    <w:rsid w:val="00A16AF8"/>
    <w:rsid w:val="00A20145"/>
    <w:rsid w:val="00A20466"/>
    <w:rsid w:val="00A20793"/>
    <w:rsid w:val="00A207E4"/>
    <w:rsid w:val="00A21388"/>
    <w:rsid w:val="00A21C29"/>
    <w:rsid w:val="00A226D1"/>
    <w:rsid w:val="00A230E0"/>
    <w:rsid w:val="00A2383C"/>
    <w:rsid w:val="00A23E31"/>
    <w:rsid w:val="00A24375"/>
    <w:rsid w:val="00A24830"/>
    <w:rsid w:val="00A254B5"/>
    <w:rsid w:val="00A2562F"/>
    <w:rsid w:val="00A2678F"/>
    <w:rsid w:val="00A2702C"/>
    <w:rsid w:val="00A27134"/>
    <w:rsid w:val="00A27366"/>
    <w:rsid w:val="00A275F5"/>
    <w:rsid w:val="00A27791"/>
    <w:rsid w:val="00A3010A"/>
    <w:rsid w:val="00A30EC9"/>
    <w:rsid w:val="00A3102F"/>
    <w:rsid w:val="00A310FA"/>
    <w:rsid w:val="00A31A7A"/>
    <w:rsid w:val="00A31D2E"/>
    <w:rsid w:val="00A3333B"/>
    <w:rsid w:val="00A34208"/>
    <w:rsid w:val="00A346A9"/>
    <w:rsid w:val="00A348DB"/>
    <w:rsid w:val="00A34D1F"/>
    <w:rsid w:val="00A35123"/>
    <w:rsid w:val="00A356AE"/>
    <w:rsid w:val="00A3658C"/>
    <w:rsid w:val="00A37B2B"/>
    <w:rsid w:val="00A37C89"/>
    <w:rsid w:val="00A40A33"/>
    <w:rsid w:val="00A40B2C"/>
    <w:rsid w:val="00A41355"/>
    <w:rsid w:val="00A41867"/>
    <w:rsid w:val="00A41B38"/>
    <w:rsid w:val="00A424AB"/>
    <w:rsid w:val="00A427B5"/>
    <w:rsid w:val="00A43653"/>
    <w:rsid w:val="00A43805"/>
    <w:rsid w:val="00A43915"/>
    <w:rsid w:val="00A43B92"/>
    <w:rsid w:val="00A4417B"/>
    <w:rsid w:val="00A4503D"/>
    <w:rsid w:val="00A457B7"/>
    <w:rsid w:val="00A46915"/>
    <w:rsid w:val="00A478AD"/>
    <w:rsid w:val="00A47D50"/>
    <w:rsid w:val="00A50280"/>
    <w:rsid w:val="00A51836"/>
    <w:rsid w:val="00A528B8"/>
    <w:rsid w:val="00A52A29"/>
    <w:rsid w:val="00A530C9"/>
    <w:rsid w:val="00A538B3"/>
    <w:rsid w:val="00A54251"/>
    <w:rsid w:val="00A54659"/>
    <w:rsid w:val="00A54FA5"/>
    <w:rsid w:val="00A55F16"/>
    <w:rsid w:val="00A560E2"/>
    <w:rsid w:val="00A56984"/>
    <w:rsid w:val="00A56EF7"/>
    <w:rsid w:val="00A57223"/>
    <w:rsid w:val="00A614F0"/>
    <w:rsid w:val="00A6179E"/>
    <w:rsid w:val="00A61D7E"/>
    <w:rsid w:val="00A61D7F"/>
    <w:rsid w:val="00A629B5"/>
    <w:rsid w:val="00A62A30"/>
    <w:rsid w:val="00A62C8A"/>
    <w:rsid w:val="00A63431"/>
    <w:rsid w:val="00A63FA0"/>
    <w:rsid w:val="00A64316"/>
    <w:rsid w:val="00A64757"/>
    <w:rsid w:val="00A66390"/>
    <w:rsid w:val="00A67A4F"/>
    <w:rsid w:val="00A710DD"/>
    <w:rsid w:val="00A711C6"/>
    <w:rsid w:val="00A71380"/>
    <w:rsid w:val="00A716AC"/>
    <w:rsid w:val="00A71A24"/>
    <w:rsid w:val="00A7207A"/>
    <w:rsid w:val="00A726E3"/>
    <w:rsid w:val="00A72B90"/>
    <w:rsid w:val="00A72BED"/>
    <w:rsid w:val="00A732BA"/>
    <w:rsid w:val="00A75004"/>
    <w:rsid w:val="00A7552F"/>
    <w:rsid w:val="00A7592A"/>
    <w:rsid w:val="00A75D7B"/>
    <w:rsid w:val="00A76444"/>
    <w:rsid w:val="00A77F94"/>
    <w:rsid w:val="00A800A1"/>
    <w:rsid w:val="00A804D9"/>
    <w:rsid w:val="00A8103F"/>
    <w:rsid w:val="00A8175A"/>
    <w:rsid w:val="00A81E09"/>
    <w:rsid w:val="00A82177"/>
    <w:rsid w:val="00A82C52"/>
    <w:rsid w:val="00A83E0D"/>
    <w:rsid w:val="00A8451D"/>
    <w:rsid w:val="00A8507E"/>
    <w:rsid w:val="00A85180"/>
    <w:rsid w:val="00A852B4"/>
    <w:rsid w:val="00A85680"/>
    <w:rsid w:val="00A8602E"/>
    <w:rsid w:val="00A864F1"/>
    <w:rsid w:val="00A865BC"/>
    <w:rsid w:val="00A866A8"/>
    <w:rsid w:val="00A8730C"/>
    <w:rsid w:val="00A9083C"/>
    <w:rsid w:val="00A9096F"/>
    <w:rsid w:val="00A90DDC"/>
    <w:rsid w:val="00A91B6D"/>
    <w:rsid w:val="00A92915"/>
    <w:rsid w:val="00A92B88"/>
    <w:rsid w:val="00A92D21"/>
    <w:rsid w:val="00A92F92"/>
    <w:rsid w:val="00A93D73"/>
    <w:rsid w:val="00A9402A"/>
    <w:rsid w:val="00A941CD"/>
    <w:rsid w:val="00A946CE"/>
    <w:rsid w:val="00A94BC1"/>
    <w:rsid w:val="00A95F6A"/>
    <w:rsid w:val="00A96608"/>
    <w:rsid w:val="00A96892"/>
    <w:rsid w:val="00A96A47"/>
    <w:rsid w:val="00A96D45"/>
    <w:rsid w:val="00A9777C"/>
    <w:rsid w:val="00A97EE5"/>
    <w:rsid w:val="00AA0492"/>
    <w:rsid w:val="00AA06F9"/>
    <w:rsid w:val="00AA149F"/>
    <w:rsid w:val="00AA1810"/>
    <w:rsid w:val="00AA1D01"/>
    <w:rsid w:val="00AA2051"/>
    <w:rsid w:val="00AA208C"/>
    <w:rsid w:val="00AA259E"/>
    <w:rsid w:val="00AA3082"/>
    <w:rsid w:val="00AA3E6A"/>
    <w:rsid w:val="00AA3F55"/>
    <w:rsid w:val="00AA42FA"/>
    <w:rsid w:val="00AA4521"/>
    <w:rsid w:val="00AA5587"/>
    <w:rsid w:val="00AA74C5"/>
    <w:rsid w:val="00AA7BEB"/>
    <w:rsid w:val="00AA7C4F"/>
    <w:rsid w:val="00AA7E86"/>
    <w:rsid w:val="00AB0762"/>
    <w:rsid w:val="00AB0B21"/>
    <w:rsid w:val="00AB1330"/>
    <w:rsid w:val="00AB15FA"/>
    <w:rsid w:val="00AB1E3B"/>
    <w:rsid w:val="00AB3D1E"/>
    <w:rsid w:val="00AB3E1A"/>
    <w:rsid w:val="00AB402D"/>
    <w:rsid w:val="00AB40F6"/>
    <w:rsid w:val="00AB4943"/>
    <w:rsid w:val="00AB54F8"/>
    <w:rsid w:val="00AB689D"/>
    <w:rsid w:val="00AB6AF0"/>
    <w:rsid w:val="00AB700B"/>
    <w:rsid w:val="00AB722F"/>
    <w:rsid w:val="00AC0C54"/>
    <w:rsid w:val="00AC3630"/>
    <w:rsid w:val="00AC37D1"/>
    <w:rsid w:val="00AC3992"/>
    <w:rsid w:val="00AC3A93"/>
    <w:rsid w:val="00AC3A9C"/>
    <w:rsid w:val="00AC4FDF"/>
    <w:rsid w:val="00AC5391"/>
    <w:rsid w:val="00AC5420"/>
    <w:rsid w:val="00AC5FEC"/>
    <w:rsid w:val="00AC6B0A"/>
    <w:rsid w:val="00AC70CB"/>
    <w:rsid w:val="00AD0711"/>
    <w:rsid w:val="00AD0879"/>
    <w:rsid w:val="00AD100A"/>
    <w:rsid w:val="00AD131F"/>
    <w:rsid w:val="00AD2661"/>
    <w:rsid w:val="00AD328F"/>
    <w:rsid w:val="00AD4281"/>
    <w:rsid w:val="00AD45B0"/>
    <w:rsid w:val="00AD48DA"/>
    <w:rsid w:val="00AD50CA"/>
    <w:rsid w:val="00AD5BE3"/>
    <w:rsid w:val="00AD5E37"/>
    <w:rsid w:val="00AD5FD1"/>
    <w:rsid w:val="00AD612E"/>
    <w:rsid w:val="00AD69A0"/>
    <w:rsid w:val="00AD7066"/>
    <w:rsid w:val="00AD70E6"/>
    <w:rsid w:val="00AD750D"/>
    <w:rsid w:val="00AD759F"/>
    <w:rsid w:val="00AD7808"/>
    <w:rsid w:val="00AD7C74"/>
    <w:rsid w:val="00AE02A9"/>
    <w:rsid w:val="00AE20D7"/>
    <w:rsid w:val="00AE22ED"/>
    <w:rsid w:val="00AE2790"/>
    <w:rsid w:val="00AE28A4"/>
    <w:rsid w:val="00AE2AEE"/>
    <w:rsid w:val="00AE3BD0"/>
    <w:rsid w:val="00AE3E5D"/>
    <w:rsid w:val="00AE47FD"/>
    <w:rsid w:val="00AE4A44"/>
    <w:rsid w:val="00AE4B22"/>
    <w:rsid w:val="00AE526F"/>
    <w:rsid w:val="00AE5535"/>
    <w:rsid w:val="00AE5A33"/>
    <w:rsid w:val="00AE5FA2"/>
    <w:rsid w:val="00AE65D2"/>
    <w:rsid w:val="00AE694E"/>
    <w:rsid w:val="00AE72D2"/>
    <w:rsid w:val="00AE7699"/>
    <w:rsid w:val="00AE7CCF"/>
    <w:rsid w:val="00AF0835"/>
    <w:rsid w:val="00AF0ECF"/>
    <w:rsid w:val="00AF1435"/>
    <w:rsid w:val="00AF2625"/>
    <w:rsid w:val="00AF2767"/>
    <w:rsid w:val="00AF2900"/>
    <w:rsid w:val="00AF2C31"/>
    <w:rsid w:val="00AF54AC"/>
    <w:rsid w:val="00AF59AE"/>
    <w:rsid w:val="00AF64EF"/>
    <w:rsid w:val="00AF691F"/>
    <w:rsid w:val="00AF6C2B"/>
    <w:rsid w:val="00AF710A"/>
    <w:rsid w:val="00AF7B7A"/>
    <w:rsid w:val="00B001EA"/>
    <w:rsid w:val="00B00AF1"/>
    <w:rsid w:val="00B0173C"/>
    <w:rsid w:val="00B01A04"/>
    <w:rsid w:val="00B01FCC"/>
    <w:rsid w:val="00B0237B"/>
    <w:rsid w:val="00B02680"/>
    <w:rsid w:val="00B026D0"/>
    <w:rsid w:val="00B027FD"/>
    <w:rsid w:val="00B0293E"/>
    <w:rsid w:val="00B02A8C"/>
    <w:rsid w:val="00B02D07"/>
    <w:rsid w:val="00B03244"/>
    <w:rsid w:val="00B03765"/>
    <w:rsid w:val="00B03F21"/>
    <w:rsid w:val="00B04284"/>
    <w:rsid w:val="00B04665"/>
    <w:rsid w:val="00B049B4"/>
    <w:rsid w:val="00B04D6E"/>
    <w:rsid w:val="00B05795"/>
    <w:rsid w:val="00B067A5"/>
    <w:rsid w:val="00B06919"/>
    <w:rsid w:val="00B071C8"/>
    <w:rsid w:val="00B0768C"/>
    <w:rsid w:val="00B07DEC"/>
    <w:rsid w:val="00B1109D"/>
    <w:rsid w:val="00B1260E"/>
    <w:rsid w:val="00B12626"/>
    <w:rsid w:val="00B12744"/>
    <w:rsid w:val="00B1296D"/>
    <w:rsid w:val="00B12AF8"/>
    <w:rsid w:val="00B130B3"/>
    <w:rsid w:val="00B13B12"/>
    <w:rsid w:val="00B1515D"/>
    <w:rsid w:val="00B15BC4"/>
    <w:rsid w:val="00B15E2C"/>
    <w:rsid w:val="00B1698E"/>
    <w:rsid w:val="00B17553"/>
    <w:rsid w:val="00B179B9"/>
    <w:rsid w:val="00B17CA2"/>
    <w:rsid w:val="00B17CEC"/>
    <w:rsid w:val="00B2075B"/>
    <w:rsid w:val="00B21967"/>
    <w:rsid w:val="00B220C3"/>
    <w:rsid w:val="00B224FC"/>
    <w:rsid w:val="00B22A87"/>
    <w:rsid w:val="00B22B39"/>
    <w:rsid w:val="00B22C47"/>
    <w:rsid w:val="00B24B1D"/>
    <w:rsid w:val="00B2547E"/>
    <w:rsid w:val="00B25670"/>
    <w:rsid w:val="00B26E4F"/>
    <w:rsid w:val="00B27278"/>
    <w:rsid w:val="00B2744F"/>
    <w:rsid w:val="00B277E0"/>
    <w:rsid w:val="00B279B2"/>
    <w:rsid w:val="00B3099A"/>
    <w:rsid w:val="00B31AF1"/>
    <w:rsid w:val="00B31DA3"/>
    <w:rsid w:val="00B33DC1"/>
    <w:rsid w:val="00B3462E"/>
    <w:rsid w:val="00B348A0"/>
    <w:rsid w:val="00B34946"/>
    <w:rsid w:val="00B34EB7"/>
    <w:rsid w:val="00B354CF"/>
    <w:rsid w:val="00B359B6"/>
    <w:rsid w:val="00B35A98"/>
    <w:rsid w:val="00B366A3"/>
    <w:rsid w:val="00B36D23"/>
    <w:rsid w:val="00B378AA"/>
    <w:rsid w:val="00B37AE8"/>
    <w:rsid w:val="00B37DF4"/>
    <w:rsid w:val="00B4078B"/>
    <w:rsid w:val="00B40B2E"/>
    <w:rsid w:val="00B41F63"/>
    <w:rsid w:val="00B424CE"/>
    <w:rsid w:val="00B43C5D"/>
    <w:rsid w:val="00B43D98"/>
    <w:rsid w:val="00B44AF9"/>
    <w:rsid w:val="00B45069"/>
    <w:rsid w:val="00B459AE"/>
    <w:rsid w:val="00B469DF"/>
    <w:rsid w:val="00B46C62"/>
    <w:rsid w:val="00B47322"/>
    <w:rsid w:val="00B47D64"/>
    <w:rsid w:val="00B47D83"/>
    <w:rsid w:val="00B47F3D"/>
    <w:rsid w:val="00B50FFA"/>
    <w:rsid w:val="00B514EC"/>
    <w:rsid w:val="00B5150C"/>
    <w:rsid w:val="00B519FD"/>
    <w:rsid w:val="00B520BC"/>
    <w:rsid w:val="00B52A74"/>
    <w:rsid w:val="00B52FDF"/>
    <w:rsid w:val="00B5358C"/>
    <w:rsid w:val="00B5482B"/>
    <w:rsid w:val="00B554E4"/>
    <w:rsid w:val="00B55934"/>
    <w:rsid w:val="00B56214"/>
    <w:rsid w:val="00B57133"/>
    <w:rsid w:val="00B578F1"/>
    <w:rsid w:val="00B600C2"/>
    <w:rsid w:val="00B60834"/>
    <w:rsid w:val="00B6151C"/>
    <w:rsid w:val="00B633B1"/>
    <w:rsid w:val="00B6387D"/>
    <w:rsid w:val="00B63D24"/>
    <w:rsid w:val="00B64BDD"/>
    <w:rsid w:val="00B65DDB"/>
    <w:rsid w:val="00B70942"/>
    <w:rsid w:val="00B70D44"/>
    <w:rsid w:val="00B71194"/>
    <w:rsid w:val="00B716D5"/>
    <w:rsid w:val="00B718FF"/>
    <w:rsid w:val="00B71BEB"/>
    <w:rsid w:val="00B720E7"/>
    <w:rsid w:val="00B72240"/>
    <w:rsid w:val="00B72D07"/>
    <w:rsid w:val="00B72E49"/>
    <w:rsid w:val="00B72EA9"/>
    <w:rsid w:val="00B72F44"/>
    <w:rsid w:val="00B73075"/>
    <w:rsid w:val="00B733FB"/>
    <w:rsid w:val="00B7344D"/>
    <w:rsid w:val="00B73778"/>
    <w:rsid w:val="00B742FA"/>
    <w:rsid w:val="00B7463A"/>
    <w:rsid w:val="00B80789"/>
    <w:rsid w:val="00B8110C"/>
    <w:rsid w:val="00B81F99"/>
    <w:rsid w:val="00B82845"/>
    <w:rsid w:val="00B83154"/>
    <w:rsid w:val="00B8382F"/>
    <w:rsid w:val="00B83870"/>
    <w:rsid w:val="00B83E33"/>
    <w:rsid w:val="00B85465"/>
    <w:rsid w:val="00B85DDF"/>
    <w:rsid w:val="00B862CF"/>
    <w:rsid w:val="00B86315"/>
    <w:rsid w:val="00B86A8A"/>
    <w:rsid w:val="00B87F5A"/>
    <w:rsid w:val="00B91E5C"/>
    <w:rsid w:val="00B91FF1"/>
    <w:rsid w:val="00B924E6"/>
    <w:rsid w:val="00B929AA"/>
    <w:rsid w:val="00B92E62"/>
    <w:rsid w:val="00B9321B"/>
    <w:rsid w:val="00B93638"/>
    <w:rsid w:val="00B9371E"/>
    <w:rsid w:val="00B93D47"/>
    <w:rsid w:val="00B940D9"/>
    <w:rsid w:val="00B945F4"/>
    <w:rsid w:val="00B9489A"/>
    <w:rsid w:val="00B94FC7"/>
    <w:rsid w:val="00B953C2"/>
    <w:rsid w:val="00B95D04"/>
    <w:rsid w:val="00B95D12"/>
    <w:rsid w:val="00B95D92"/>
    <w:rsid w:val="00B96186"/>
    <w:rsid w:val="00B96951"/>
    <w:rsid w:val="00B96D7C"/>
    <w:rsid w:val="00B971D7"/>
    <w:rsid w:val="00B97C76"/>
    <w:rsid w:val="00B97FDD"/>
    <w:rsid w:val="00BA02A9"/>
    <w:rsid w:val="00BA0B26"/>
    <w:rsid w:val="00BA0F62"/>
    <w:rsid w:val="00BA129E"/>
    <w:rsid w:val="00BA179F"/>
    <w:rsid w:val="00BA262D"/>
    <w:rsid w:val="00BA3A77"/>
    <w:rsid w:val="00BA3E02"/>
    <w:rsid w:val="00BA40DD"/>
    <w:rsid w:val="00BA4179"/>
    <w:rsid w:val="00BA4399"/>
    <w:rsid w:val="00BA4BE3"/>
    <w:rsid w:val="00BA4E87"/>
    <w:rsid w:val="00BA5698"/>
    <w:rsid w:val="00BA7141"/>
    <w:rsid w:val="00BA7DE0"/>
    <w:rsid w:val="00BB00EA"/>
    <w:rsid w:val="00BB04EB"/>
    <w:rsid w:val="00BB23F1"/>
    <w:rsid w:val="00BB35BF"/>
    <w:rsid w:val="00BB38E2"/>
    <w:rsid w:val="00BB3A54"/>
    <w:rsid w:val="00BB501A"/>
    <w:rsid w:val="00BB59B6"/>
    <w:rsid w:val="00BB5C85"/>
    <w:rsid w:val="00BB6084"/>
    <w:rsid w:val="00BB6511"/>
    <w:rsid w:val="00BB65E0"/>
    <w:rsid w:val="00BB70B2"/>
    <w:rsid w:val="00BB7148"/>
    <w:rsid w:val="00BB732E"/>
    <w:rsid w:val="00BC05C4"/>
    <w:rsid w:val="00BC08F1"/>
    <w:rsid w:val="00BC12FD"/>
    <w:rsid w:val="00BC1503"/>
    <w:rsid w:val="00BC1EFB"/>
    <w:rsid w:val="00BC25A1"/>
    <w:rsid w:val="00BC307C"/>
    <w:rsid w:val="00BC47EF"/>
    <w:rsid w:val="00BC48FC"/>
    <w:rsid w:val="00BC5AB8"/>
    <w:rsid w:val="00BC6330"/>
    <w:rsid w:val="00BC64C8"/>
    <w:rsid w:val="00BC6A1F"/>
    <w:rsid w:val="00BC6D8C"/>
    <w:rsid w:val="00BC6F2A"/>
    <w:rsid w:val="00BC79EB"/>
    <w:rsid w:val="00BC7C9F"/>
    <w:rsid w:val="00BC7F12"/>
    <w:rsid w:val="00BD01F6"/>
    <w:rsid w:val="00BD0304"/>
    <w:rsid w:val="00BD0979"/>
    <w:rsid w:val="00BD0B46"/>
    <w:rsid w:val="00BD0B6E"/>
    <w:rsid w:val="00BD0C54"/>
    <w:rsid w:val="00BD13DE"/>
    <w:rsid w:val="00BD1B61"/>
    <w:rsid w:val="00BD2D47"/>
    <w:rsid w:val="00BD370F"/>
    <w:rsid w:val="00BD3EFA"/>
    <w:rsid w:val="00BD4CDB"/>
    <w:rsid w:val="00BD4F19"/>
    <w:rsid w:val="00BD5463"/>
    <w:rsid w:val="00BD5752"/>
    <w:rsid w:val="00BD6ED8"/>
    <w:rsid w:val="00BD7BA0"/>
    <w:rsid w:val="00BD7FCF"/>
    <w:rsid w:val="00BE0894"/>
    <w:rsid w:val="00BE0ABE"/>
    <w:rsid w:val="00BE0C06"/>
    <w:rsid w:val="00BE266A"/>
    <w:rsid w:val="00BE3BEA"/>
    <w:rsid w:val="00BE3E36"/>
    <w:rsid w:val="00BE4071"/>
    <w:rsid w:val="00BE41BD"/>
    <w:rsid w:val="00BE4706"/>
    <w:rsid w:val="00BE4CED"/>
    <w:rsid w:val="00BE63C0"/>
    <w:rsid w:val="00BE7403"/>
    <w:rsid w:val="00BE76BE"/>
    <w:rsid w:val="00BF0637"/>
    <w:rsid w:val="00BF08DF"/>
    <w:rsid w:val="00BF1251"/>
    <w:rsid w:val="00BF14D4"/>
    <w:rsid w:val="00BF1B4A"/>
    <w:rsid w:val="00BF1E0D"/>
    <w:rsid w:val="00BF210D"/>
    <w:rsid w:val="00BF4702"/>
    <w:rsid w:val="00BF4796"/>
    <w:rsid w:val="00BF5053"/>
    <w:rsid w:val="00BF523D"/>
    <w:rsid w:val="00BF553F"/>
    <w:rsid w:val="00BF5617"/>
    <w:rsid w:val="00BF74C8"/>
    <w:rsid w:val="00BF7D88"/>
    <w:rsid w:val="00C00158"/>
    <w:rsid w:val="00C0082B"/>
    <w:rsid w:val="00C02373"/>
    <w:rsid w:val="00C02A70"/>
    <w:rsid w:val="00C045B3"/>
    <w:rsid w:val="00C04864"/>
    <w:rsid w:val="00C05705"/>
    <w:rsid w:val="00C061B2"/>
    <w:rsid w:val="00C064DC"/>
    <w:rsid w:val="00C06BD7"/>
    <w:rsid w:val="00C077F8"/>
    <w:rsid w:val="00C10EC6"/>
    <w:rsid w:val="00C12376"/>
    <w:rsid w:val="00C123CA"/>
    <w:rsid w:val="00C13692"/>
    <w:rsid w:val="00C14CA3"/>
    <w:rsid w:val="00C15180"/>
    <w:rsid w:val="00C15F29"/>
    <w:rsid w:val="00C166F1"/>
    <w:rsid w:val="00C16843"/>
    <w:rsid w:val="00C17262"/>
    <w:rsid w:val="00C17436"/>
    <w:rsid w:val="00C17802"/>
    <w:rsid w:val="00C20151"/>
    <w:rsid w:val="00C202BB"/>
    <w:rsid w:val="00C20A6D"/>
    <w:rsid w:val="00C20C3E"/>
    <w:rsid w:val="00C21638"/>
    <w:rsid w:val="00C22879"/>
    <w:rsid w:val="00C22EFD"/>
    <w:rsid w:val="00C23528"/>
    <w:rsid w:val="00C23FF6"/>
    <w:rsid w:val="00C2489C"/>
    <w:rsid w:val="00C25500"/>
    <w:rsid w:val="00C257DE"/>
    <w:rsid w:val="00C25BDA"/>
    <w:rsid w:val="00C26CB0"/>
    <w:rsid w:val="00C27BB6"/>
    <w:rsid w:val="00C27E86"/>
    <w:rsid w:val="00C30437"/>
    <w:rsid w:val="00C30E9C"/>
    <w:rsid w:val="00C31D85"/>
    <w:rsid w:val="00C326FF"/>
    <w:rsid w:val="00C32BFA"/>
    <w:rsid w:val="00C33104"/>
    <w:rsid w:val="00C332D4"/>
    <w:rsid w:val="00C348C2"/>
    <w:rsid w:val="00C35345"/>
    <w:rsid w:val="00C353A5"/>
    <w:rsid w:val="00C364F0"/>
    <w:rsid w:val="00C368AE"/>
    <w:rsid w:val="00C37421"/>
    <w:rsid w:val="00C40650"/>
    <w:rsid w:val="00C416A2"/>
    <w:rsid w:val="00C42C36"/>
    <w:rsid w:val="00C42FD3"/>
    <w:rsid w:val="00C4322A"/>
    <w:rsid w:val="00C43521"/>
    <w:rsid w:val="00C435E3"/>
    <w:rsid w:val="00C4488B"/>
    <w:rsid w:val="00C44AEC"/>
    <w:rsid w:val="00C450B9"/>
    <w:rsid w:val="00C460F2"/>
    <w:rsid w:val="00C4617C"/>
    <w:rsid w:val="00C46BD8"/>
    <w:rsid w:val="00C46ECD"/>
    <w:rsid w:val="00C47B78"/>
    <w:rsid w:val="00C50600"/>
    <w:rsid w:val="00C5136F"/>
    <w:rsid w:val="00C516FF"/>
    <w:rsid w:val="00C51A96"/>
    <w:rsid w:val="00C51C1F"/>
    <w:rsid w:val="00C52C00"/>
    <w:rsid w:val="00C54AAE"/>
    <w:rsid w:val="00C55137"/>
    <w:rsid w:val="00C560DB"/>
    <w:rsid w:val="00C561D5"/>
    <w:rsid w:val="00C562FC"/>
    <w:rsid w:val="00C5706E"/>
    <w:rsid w:val="00C5710E"/>
    <w:rsid w:val="00C601B2"/>
    <w:rsid w:val="00C60F7B"/>
    <w:rsid w:val="00C6140C"/>
    <w:rsid w:val="00C6237D"/>
    <w:rsid w:val="00C6277E"/>
    <w:rsid w:val="00C63909"/>
    <w:rsid w:val="00C643DA"/>
    <w:rsid w:val="00C649AF"/>
    <w:rsid w:val="00C64D06"/>
    <w:rsid w:val="00C66BC3"/>
    <w:rsid w:val="00C66D1C"/>
    <w:rsid w:val="00C678DC"/>
    <w:rsid w:val="00C67FAC"/>
    <w:rsid w:val="00C70297"/>
    <w:rsid w:val="00C7158E"/>
    <w:rsid w:val="00C71E63"/>
    <w:rsid w:val="00C72D01"/>
    <w:rsid w:val="00C73738"/>
    <w:rsid w:val="00C73875"/>
    <w:rsid w:val="00C74389"/>
    <w:rsid w:val="00C74639"/>
    <w:rsid w:val="00C7492C"/>
    <w:rsid w:val="00C75ED2"/>
    <w:rsid w:val="00C7683C"/>
    <w:rsid w:val="00C76A1F"/>
    <w:rsid w:val="00C779A0"/>
    <w:rsid w:val="00C80F02"/>
    <w:rsid w:val="00C812C6"/>
    <w:rsid w:val="00C8169B"/>
    <w:rsid w:val="00C8176F"/>
    <w:rsid w:val="00C81D6B"/>
    <w:rsid w:val="00C81FA4"/>
    <w:rsid w:val="00C82266"/>
    <w:rsid w:val="00C82F6B"/>
    <w:rsid w:val="00C84450"/>
    <w:rsid w:val="00C854D4"/>
    <w:rsid w:val="00C8585B"/>
    <w:rsid w:val="00C85BF8"/>
    <w:rsid w:val="00C87C4E"/>
    <w:rsid w:val="00C87FB1"/>
    <w:rsid w:val="00C901DE"/>
    <w:rsid w:val="00C90556"/>
    <w:rsid w:val="00C912E1"/>
    <w:rsid w:val="00C91E9C"/>
    <w:rsid w:val="00C92B35"/>
    <w:rsid w:val="00C93F4B"/>
    <w:rsid w:val="00C94194"/>
    <w:rsid w:val="00C9581A"/>
    <w:rsid w:val="00C96CC1"/>
    <w:rsid w:val="00C97A37"/>
    <w:rsid w:val="00C97D6A"/>
    <w:rsid w:val="00CA07AA"/>
    <w:rsid w:val="00CA0986"/>
    <w:rsid w:val="00CA0D78"/>
    <w:rsid w:val="00CA116F"/>
    <w:rsid w:val="00CA15A3"/>
    <w:rsid w:val="00CA3853"/>
    <w:rsid w:val="00CA3F73"/>
    <w:rsid w:val="00CA4855"/>
    <w:rsid w:val="00CA5653"/>
    <w:rsid w:val="00CA57FD"/>
    <w:rsid w:val="00CA6BA3"/>
    <w:rsid w:val="00CA73F5"/>
    <w:rsid w:val="00CB093E"/>
    <w:rsid w:val="00CB0CA5"/>
    <w:rsid w:val="00CB0FCE"/>
    <w:rsid w:val="00CB12B4"/>
    <w:rsid w:val="00CB1644"/>
    <w:rsid w:val="00CB1E33"/>
    <w:rsid w:val="00CB215D"/>
    <w:rsid w:val="00CB24FE"/>
    <w:rsid w:val="00CB31B9"/>
    <w:rsid w:val="00CB3B4C"/>
    <w:rsid w:val="00CB3D97"/>
    <w:rsid w:val="00CB43B9"/>
    <w:rsid w:val="00CB4DF9"/>
    <w:rsid w:val="00CB589F"/>
    <w:rsid w:val="00CB5E69"/>
    <w:rsid w:val="00CB6C0D"/>
    <w:rsid w:val="00CB6E07"/>
    <w:rsid w:val="00CB6FDD"/>
    <w:rsid w:val="00CB7256"/>
    <w:rsid w:val="00CB7478"/>
    <w:rsid w:val="00CC0401"/>
    <w:rsid w:val="00CC0483"/>
    <w:rsid w:val="00CC0883"/>
    <w:rsid w:val="00CC0B7D"/>
    <w:rsid w:val="00CC1743"/>
    <w:rsid w:val="00CC34BC"/>
    <w:rsid w:val="00CC378B"/>
    <w:rsid w:val="00CC3860"/>
    <w:rsid w:val="00CC3CC9"/>
    <w:rsid w:val="00CC41A5"/>
    <w:rsid w:val="00CC45D9"/>
    <w:rsid w:val="00CC4EE6"/>
    <w:rsid w:val="00CC5D98"/>
    <w:rsid w:val="00CC6BF0"/>
    <w:rsid w:val="00CC7592"/>
    <w:rsid w:val="00CC7671"/>
    <w:rsid w:val="00CD013A"/>
    <w:rsid w:val="00CD08AF"/>
    <w:rsid w:val="00CD1E08"/>
    <w:rsid w:val="00CD26B0"/>
    <w:rsid w:val="00CD2AA9"/>
    <w:rsid w:val="00CD330D"/>
    <w:rsid w:val="00CD3716"/>
    <w:rsid w:val="00CD3759"/>
    <w:rsid w:val="00CD3F2E"/>
    <w:rsid w:val="00CD4677"/>
    <w:rsid w:val="00CD49E1"/>
    <w:rsid w:val="00CD58FD"/>
    <w:rsid w:val="00CD6200"/>
    <w:rsid w:val="00CD64B3"/>
    <w:rsid w:val="00CD6DB4"/>
    <w:rsid w:val="00CD751D"/>
    <w:rsid w:val="00CD7B92"/>
    <w:rsid w:val="00CD7DF3"/>
    <w:rsid w:val="00CD7F1B"/>
    <w:rsid w:val="00CE013F"/>
    <w:rsid w:val="00CE08DC"/>
    <w:rsid w:val="00CE0A84"/>
    <w:rsid w:val="00CE14CD"/>
    <w:rsid w:val="00CE1531"/>
    <w:rsid w:val="00CE2170"/>
    <w:rsid w:val="00CE23D1"/>
    <w:rsid w:val="00CE244A"/>
    <w:rsid w:val="00CE2AD5"/>
    <w:rsid w:val="00CE2DB6"/>
    <w:rsid w:val="00CE2FF1"/>
    <w:rsid w:val="00CE3C34"/>
    <w:rsid w:val="00CE3EC6"/>
    <w:rsid w:val="00CE4765"/>
    <w:rsid w:val="00CE5F0C"/>
    <w:rsid w:val="00CE64D5"/>
    <w:rsid w:val="00CE6DD9"/>
    <w:rsid w:val="00CF0143"/>
    <w:rsid w:val="00CF02D4"/>
    <w:rsid w:val="00CF0994"/>
    <w:rsid w:val="00CF0CE1"/>
    <w:rsid w:val="00CF1D69"/>
    <w:rsid w:val="00CF23D8"/>
    <w:rsid w:val="00CF2B16"/>
    <w:rsid w:val="00CF2C8E"/>
    <w:rsid w:val="00CF4972"/>
    <w:rsid w:val="00CF4A95"/>
    <w:rsid w:val="00CF606D"/>
    <w:rsid w:val="00CF622A"/>
    <w:rsid w:val="00CF6457"/>
    <w:rsid w:val="00CF6E45"/>
    <w:rsid w:val="00CF72C8"/>
    <w:rsid w:val="00D007B6"/>
    <w:rsid w:val="00D00AA9"/>
    <w:rsid w:val="00D00B15"/>
    <w:rsid w:val="00D00B98"/>
    <w:rsid w:val="00D0106E"/>
    <w:rsid w:val="00D02FCE"/>
    <w:rsid w:val="00D031DE"/>
    <w:rsid w:val="00D04807"/>
    <w:rsid w:val="00D04C76"/>
    <w:rsid w:val="00D062CC"/>
    <w:rsid w:val="00D06BCD"/>
    <w:rsid w:val="00D113B7"/>
    <w:rsid w:val="00D11598"/>
    <w:rsid w:val="00D11758"/>
    <w:rsid w:val="00D119CF"/>
    <w:rsid w:val="00D1215B"/>
    <w:rsid w:val="00D127BE"/>
    <w:rsid w:val="00D127DF"/>
    <w:rsid w:val="00D12AEB"/>
    <w:rsid w:val="00D12AEE"/>
    <w:rsid w:val="00D12C01"/>
    <w:rsid w:val="00D147BB"/>
    <w:rsid w:val="00D14A48"/>
    <w:rsid w:val="00D14C49"/>
    <w:rsid w:val="00D14F82"/>
    <w:rsid w:val="00D15117"/>
    <w:rsid w:val="00D16399"/>
    <w:rsid w:val="00D170AD"/>
    <w:rsid w:val="00D17558"/>
    <w:rsid w:val="00D176AA"/>
    <w:rsid w:val="00D2029D"/>
    <w:rsid w:val="00D210DC"/>
    <w:rsid w:val="00D21EB1"/>
    <w:rsid w:val="00D22434"/>
    <w:rsid w:val="00D232B9"/>
    <w:rsid w:val="00D23977"/>
    <w:rsid w:val="00D2466D"/>
    <w:rsid w:val="00D25641"/>
    <w:rsid w:val="00D25E94"/>
    <w:rsid w:val="00D27B61"/>
    <w:rsid w:val="00D27CC2"/>
    <w:rsid w:val="00D30795"/>
    <w:rsid w:val="00D319C4"/>
    <w:rsid w:val="00D31A08"/>
    <w:rsid w:val="00D31CB4"/>
    <w:rsid w:val="00D31CFB"/>
    <w:rsid w:val="00D31F2B"/>
    <w:rsid w:val="00D327E2"/>
    <w:rsid w:val="00D329BF"/>
    <w:rsid w:val="00D34351"/>
    <w:rsid w:val="00D343FA"/>
    <w:rsid w:val="00D349C8"/>
    <w:rsid w:val="00D35DF5"/>
    <w:rsid w:val="00D35FDA"/>
    <w:rsid w:val="00D36117"/>
    <w:rsid w:val="00D36598"/>
    <w:rsid w:val="00D36F1B"/>
    <w:rsid w:val="00D40CB9"/>
    <w:rsid w:val="00D41515"/>
    <w:rsid w:val="00D418FF"/>
    <w:rsid w:val="00D41A0F"/>
    <w:rsid w:val="00D4304C"/>
    <w:rsid w:val="00D43479"/>
    <w:rsid w:val="00D437AA"/>
    <w:rsid w:val="00D43E95"/>
    <w:rsid w:val="00D442F1"/>
    <w:rsid w:val="00D444D0"/>
    <w:rsid w:val="00D44880"/>
    <w:rsid w:val="00D4592F"/>
    <w:rsid w:val="00D46190"/>
    <w:rsid w:val="00D4637B"/>
    <w:rsid w:val="00D464E4"/>
    <w:rsid w:val="00D4663A"/>
    <w:rsid w:val="00D4688C"/>
    <w:rsid w:val="00D47231"/>
    <w:rsid w:val="00D47AC4"/>
    <w:rsid w:val="00D47C35"/>
    <w:rsid w:val="00D47D68"/>
    <w:rsid w:val="00D50376"/>
    <w:rsid w:val="00D5083F"/>
    <w:rsid w:val="00D50B07"/>
    <w:rsid w:val="00D50E0F"/>
    <w:rsid w:val="00D51233"/>
    <w:rsid w:val="00D51411"/>
    <w:rsid w:val="00D51669"/>
    <w:rsid w:val="00D51E53"/>
    <w:rsid w:val="00D52EF7"/>
    <w:rsid w:val="00D53453"/>
    <w:rsid w:val="00D53FBA"/>
    <w:rsid w:val="00D5499E"/>
    <w:rsid w:val="00D54CD7"/>
    <w:rsid w:val="00D55717"/>
    <w:rsid w:val="00D55A86"/>
    <w:rsid w:val="00D55FEA"/>
    <w:rsid w:val="00D56564"/>
    <w:rsid w:val="00D57897"/>
    <w:rsid w:val="00D60BD5"/>
    <w:rsid w:val="00D60C14"/>
    <w:rsid w:val="00D612F2"/>
    <w:rsid w:val="00D61F78"/>
    <w:rsid w:val="00D628A0"/>
    <w:rsid w:val="00D6330C"/>
    <w:rsid w:val="00D640BE"/>
    <w:rsid w:val="00D648FA"/>
    <w:rsid w:val="00D65C76"/>
    <w:rsid w:val="00D66074"/>
    <w:rsid w:val="00D671B7"/>
    <w:rsid w:val="00D671DE"/>
    <w:rsid w:val="00D67E10"/>
    <w:rsid w:val="00D7054A"/>
    <w:rsid w:val="00D70CE0"/>
    <w:rsid w:val="00D70E0F"/>
    <w:rsid w:val="00D70F88"/>
    <w:rsid w:val="00D713B6"/>
    <w:rsid w:val="00D71411"/>
    <w:rsid w:val="00D71847"/>
    <w:rsid w:val="00D72FC3"/>
    <w:rsid w:val="00D73015"/>
    <w:rsid w:val="00D73170"/>
    <w:rsid w:val="00D734C7"/>
    <w:rsid w:val="00D73B2D"/>
    <w:rsid w:val="00D73FA4"/>
    <w:rsid w:val="00D746D3"/>
    <w:rsid w:val="00D749EA"/>
    <w:rsid w:val="00D76839"/>
    <w:rsid w:val="00D76C98"/>
    <w:rsid w:val="00D77730"/>
    <w:rsid w:val="00D77A2C"/>
    <w:rsid w:val="00D8009E"/>
    <w:rsid w:val="00D80719"/>
    <w:rsid w:val="00D81175"/>
    <w:rsid w:val="00D81A67"/>
    <w:rsid w:val="00D81C7D"/>
    <w:rsid w:val="00D82298"/>
    <w:rsid w:val="00D824C4"/>
    <w:rsid w:val="00D8283B"/>
    <w:rsid w:val="00D8305F"/>
    <w:rsid w:val="00D835E9"/>
    <w:rsid w:val="00D83DC9"/>
    <w:rsid w:val="00D84735"/>
    <w:rsid w:val="00D8557F"/>
    <w:rsid w:val="00D860E3"/>
    <w:rsid w:val="00D8633C"/>
    <w:rsid w:val="00D86D3D"/>
    <w:rsid w:val="00D8729A"/>
    <w:rsid w:val="00D877C0"/>
    <w:rsid w:val="00D91C43"/>
    <w:rsid w:val="00D92DC7"/>
    <w:rsid w:val="00D94B5A"/>
    <w:rsid w:val="00D94FC9"/>
    <w:rsid w:val="00D94FCF"/>
    <w:rsid w:val="00D95A99"/>
    <w:rsid w:val="00D95BEF"/>
    <w:rsid w:val="00D96732"/>
    <w:rsid w:val="00D96F2C"/>
    <w:rsid w:val="00DA059C"/>
    <w:rsid w:val="00DA092C"/>
    <w:rsid w:val="00DA0DBB"/>
    <w:rsid w:val="00DA1430"/>
    <w:rsid w:val="00DA23C5"/>
    <w:rsid w:val="00DA284F"/>
    <w:rsid w:val="00DA2F73"/>
    <w:rsid w:val="00DA352A"/>
    <w:rsid w:val="00DA65DE"/>
    <w:rsid w:val="00DA79CB"/>
    <w:rsid w:val="00DA7F76"/>
    <w:rsid w:val="00DB0E9B"/>
    <w:rsid w:val="00DB0F33"/>
    <w:rsid w:val="00DB1122"/>
    <w:rsid w:val="00DB1507"/>
    <w:rsid w:val="00DB17F8"/>
    <w:rsid w:val="00DB1926"/>
    <w:rsid w:val="00DB1DE3"/>
    <w:rsid w:val="00DB1FAF"/>
    <w:rsid w:val="00DB21A7"/>
    <w:rsid w:val="00DB21F1"/>
    <w:rsid w:val="00DB3282"/>
    <w:rsid w:val="00DB3B3C"/>
    <w:rsid w:val="00DB3DB9"/>
    <w:rsid w:val="00DB53AC"/>
    <w:rsid w:val="00DB553D"/>
    <w:rsid w:val="00DB5F11"/>
    <w:rsid w:val="00DB6D6F"/>
    <w:rsid w:val="00DB7ED9"/>
    <w:rsid w:val="00DC137A"/>
    <w:rsid w:val="00DC20B9"/>
    <w:rsid w:val="00DC2229"/>
    <w:rsid w:val="00DC26F4"/>
    <w:rsid w:val="00DC462F"/>
    <w:rsid w:val="00DC51FC"/>
    <w:rsid w:val="00DC5456"/>
    <w:rsid w:val="00DC555C"/>
    <w:rsid w:val="00DC637F"/>
    <w:rsid w:val="00DC6578"/>
    <w:rsid w:val="00DC7235"/>
    <w:rsid w:val="00DC76E5"/>
    <w:rsid w:val="00DC7BD3"/>
    <w:rsid w:val="00DD17D4"/>
    <w:rsid w:val="00DD1CFA"/>
    <w:rsid w:val="00DD28A0"/>
    <w:rsid w:val="00DD28C1"/>
    <w:rsid w:val="00DD291E"/>
    <w:rsid w:val="00DD2D65"/>
    <w:rsid w:val="00DD3363"/>
    <w:rsid w:val="00DD3CA4"/>
    <w:rsid w:val="00DD47A4"/>
    <w:rsid w:val="00DD61ED"/>
    <w:rsid w:val="00DD6A21"/>
    <w:rsid w:val="00DD79AE"/>
    <w:rsid w:val="00DD7C8D"/>
    <w:rsid w:val="00DD7DB0"/>
    <w:rsid w:val="00DE0424"/>
    <w:rsid w:val="00DE06B4"/>
    <w:rsid w:val="00DE0C78"/>
    <w:rsid w:val="00DE0EB0"/>
    <w:rsid w:val="00DE198C"/>
    <w:rsid w:val="00DE2396"/>
    <w:rsid w:val="00DE2727"/>
    <w:rsid w:val="00DE2E33"/>
    <w:rsid w:val="00DE3660"/>
    <w:rsid w:val="00DE3A01"/>
    <w:rsid w:val="00DE3D00"/>
    <w:rsid w:val="00DE498B"/>
    <w:rsid w:val="00DE4D3E"/>
    <w:rsid w:val="00DE538E"/>
    <w:rsid w:val="00DE54D4"/>
    <w:rsid w:val="00DE57B3"/>
    <w:rsid w:val="00DE5A67"/>
    <w:rsid w:val="00DE5F6C"/>
    <w:rsid w:val="00DE60CA"/>
    <w:rsid w:val="00DE62DF"/>
    <w:rsid w:val="00DE7787"/>
    <w:rsid w:val="00DE77AD"/>
    <w:rsid w:val="00DE7B1D"/>
    <w:rsid w:val="00DF0155"/>
    <w:rsid w:val="00DF03CE"/>
    <w:rsid w:val="00DF0808"/>
    <w:rsid w:val="00DF0A2B"/>
    <w:rsid w:val="00DF13C2"/>
    <w:rsid w:val="00DF1D29"/>
    <w:rsid w:val="00DF3A23"/>
    <w:rsid w:val="00DF3C89"/>
    <w:rsid w:val="00DF4030"/>
    <w:rsid w:val="00DF41EE"/>
    <w:rsid w:val="00DF4D55"/>
    <w:rsid w:val="00DF4E18"/>
    <w:rsid w:val="00DF53CC"/>
    <w:rsid w:val="00DF5C78"/>
    <w:rsid w:val="00DF5DF9"/>
    <w:rsid w:val="00DF5EBD"/>
    <w:rsid w:val="00DF614C"/>
    <w:rsid w:val="00DF6291"/>
    <w:rsid w:val="00DF6635"/>
    <w:rsid w:val="00DF69F4"/>
    <w:rsid w:val="00DF7309"/>
    <w:rsid w:val="00E006AC"/>
    <w:rsid w:val="00E00956"/>
    <w:rsid w:val="00E009EF"/>
    <w:rsid w:val="00E00FCF"/>
    <w:rsid w:val="00E00FE8"/>
    <w:rsid w:val="00E01076"/>
    <w:rsid w:val="00E0138E"/>
    <w:rsid w:val="00E013CE"/>
    <w:rsid w:val="00E0181F"/>
    <w:rsid w:val="00E02181"/>
    <w:rsid w:val="00E021A2"/>
    <w:rsid w:val="00E02585"/>
    <w:rsid w:val="00E02C96"/>
    <w:rsid w:val="00E02DF7"/>
    <w:rsid w:val="00E0481C"/>
    <w:rsid w:val="00E0568A"/>
    <w:rsid w:val="00E0575C"/>
    <w:rsid w:val="00E07737"/>
    <w:rsid w:val="00E115B2"/>
    <w:rsid w:val="00E118BB"/>
    <w:rsid w:val="00E11AB2"/>
    <w:rsid w:val="00E12258"/>
    <w:rsid w:val="00E12398"/>
    <w:rsid w:val="00E12601"/>
    <w:rsid w:val="00E132FD"/>
    <w:rsid w:val="00E13E69"/>
    <w:rsid w:val="00E140FE"/>
    <w:rsid w:val="00E14214"/>
    <w:rsid w:val="00E143A9"/>
    <w:rsid w:val="00E15069"/>
    <w:rsid w:val="00E1591C"/>
    <w:rsid w:val="00E15E45"/>
    <w:rsid w:val="00E15F56"/>
    <w:rsid w:val="00E16F8E"/>
    <w:rsid w:val="00E17266"/>
    <w:rsid w:val="00E20834"/>
    <w:rsid w:val="00E20890"/>
    <w:rsid w:val="00E20AB9"/>
    <w:rsid w:val="00E2119A"/>
    <w:rsid w:val="00E220BE"/>
    <w:rsid w:val="00E22D7A"/>
    <w:rsid w:val="00E23F8B"/>
    <w:rsid w:val="00E2444B"/>
    <w:rsid w:val="00E24FA3"/>
    <w:rsid w:val="00E2548A"/>
    <w:rsid w:val="00E25AEE"/>
    <w:rsid w:val="00E25EBE"/>
    <w:rsid w:val="00E26360"/>
    <w:rsid w:val="00E26390"/>
    <w:rsid w:val="00E26B28"/>
    <w:rsid w:val="00E26C0E"/>
    <w:rsid w:val="00E27164"/>
    <w:rsid w:val="00E2777E"/>
    <w:rsid w:val="00E3075F"/>
    <w:rsid w:val="00E31043"/>
    <w:rsid w:val="00E31465"/>
    <w:rsid w:val="00E31EF4"/>
    <w:rsid w:val="00E3262F"/>
    <w:rsid w:val="00E328CD"/>
    <w:rsid w:val="00E32904"/>
    <w:rsid w:val="00E32BA2"/>
    <w:rsid w:val="00E32EF6"/>
    <w:rsid w:val="00E33E5F"/>
    <w:rsid w:val="00E3486B"/>
    <w:rsid w:val="00E34FD8"/>
    <w:rsid w:val="00E350D7"/>
    <w:rsid w:val="00E365D9"/>
    <w:rsid w:val="00E36B95"/>
    <w:rsid w:val="00E36C64"/>
    <w:rsid w:val="00E373D1"/>
    <w:rsid w:val="00E375EF"/>
    <w:rsid w:val="00E37D3E"/>
    <w:rsid w:val="00E4003F"/>
    <w:rsid w:val="00E41F42"/>
    <w:rsid w:val="00E422DA"/>
    <w:rsid w:val="00E42658"/>
    <w:rsid w:val="00E44F6C"/>
    <w:rsid w:val="00E44F96"/>
    <w:rsid w:val="00E45223"/>
    <w:rsid w:val="00E45413"/>
    <w:rsid w:val="00E458F6"/>
    <w:rsid w:val="00E45954"/>
    <w:rsid w:val="00E459A1"/>
    <w:rsid w:val="00E45B8C"/>
    <w:rsid w:val="00E463CC"/>
    <w:rsid w:val="00E46756"/>
    <w:rsid w:val="00E4725F"/>
    <w:rsid w:val="00E47395"/>
    <w:rsid w:val="00E501CE"/>
    <w:rsid w:val="00E50BC4"/>
    <w:rsid w:val="00E50D6B"/>
    <w:rsid w:val="00E514AF"/>
    <w:rsid w:val="00E51729"/>
    <w:rsid w:val="00E51BB4"/>
    <w:rsid w:val="00E52B92"/>
    <w:rsid w:val="00E531C8"/>
    <w:rsid w:val="00E53692"/>
    <w:rsid w:val="00E53C53"/>
    <w:rsid w:val="00E54587"/>
    <w:rsid w:val="00E545AE"/>
    <w:rsid w:val="00E54700"/>
    <w:rsid w:val="00E55DB3"/>
    <w:rsid w:val="00E56B09"/>
    <w:rsid w:val="00E56ED3"/>
    <w:rsid w:val="00E57375"/>
    <w:rsid w:val="00E57412"/>
    <w:rsid w:val="00E57B00"/>
    <w:rsid w:val="00E6019A"/>
    <w:rsid w:val="00E60790"/>
    <w:rsid w:val="00E60F7A"/>
    <w:rsid w:val="00E60FEA"/>
    <w:rsid w:val="00E61BEF"/>
    <w:rsid w:val="00E62A66"/>
    <w:rsid w:val="00E63219"/>
    <w:rsid w:val="00E63469"/>
    <w:rsid w:val="00E640F5"/>
    <w:rsid w:val="00E64661"/>
    <w:rsid w:val="00E65184"/>
    <w:rsid w:val="00E65843"/>
    <w:rsid w:val="00E65D6F"/>
    <w:rsid w:val="00E6792C"/>
    <w:rsid w:val="00E67EC0"/>
    <w:rsid w:val="00E67F8E"/>
    <w:rsid w:val="00E70B57"/>
    <w:rsid w:val="00E7154C"/>
    <w:rsid w:val="00E718F5"/>
    <w:rsid w:val="00E71A07"/>
    <w:rsid w:val="00E72506"/>
    <w:rsid w:val="00E7272E"/>
    <w:rsid w:val="00E72B2C"/>
    <w:rsid w:val="00E730ED"/>
    <w:rsid w:val="00E73A02"/>
    <w:rsid w:val="00E74297"/>
    <w:rsid w:val="00E7439D"/>
    <w:rsid w:val="00E74C01"/>
    <w:rsid w:val="00E7684B"/>
    <w:rsid w:val="00E7685F"/>
    <w:rsid w:val="00E76B8B"/>
    <w:rsid w:val="00E76CE2"/>
    <w:rsid w:val="00E775FC"/>
    <w:rsid w:val="00E7775D"/>
    <w:rsid w:val="00E777A1"/>
    <w:rsid w:val="00E77DD9"/>
    <w:rsid w:val="00E80850"/>
    <w:rsid w:val="00E80F92"/>
    <w:rsid w:val="00E81D77"/>
    <w:rsid w:val="00E81DD5"/>
    <w:rsid w:val="00E81DE0"/>
    <w:rsid w:val="00E81E92"/>
    <w:rsid w:val="00E8205B"/>
    <w:rsid w:val="00E8260B"/>
    <w:rsid w:val="00E82CAE"/>
    <w:rsid w:val="00E84899"/>
    <w:rsid w:val="00E84D6A"/>
    <w:rsid w:val="00E85066"/>
    <w:rsid w:val="00E862B9"/>
    <w:rsid w:val="00E8715B"/>
    <w:rsid w:val="00E90E2E"/>
    <w:rsid w:val="00E91759"/>
    <w:rsid w:val="00E922B7"/>
    <w:rsid w:val="00E93710"/>
    <w:rsid w:val="00E9384E"/>
    <w:rsid w:val="00E93B05"/>
    <w:rsid w:val="00E93E3D"/>
    <w:rsid w:val="00E9400E"/>
    <w:rsid w:val="00E9430C"/>
    <w:rsid w:val="00E948F7"/>
    <w:rsid w:val="00E959CC"/>
    <w:rsid w:val="00E967AB"/>
    <w:rsid w:val="00EA0374"/>
    <w:rsid w:val="00EA0391"/>
    <w:rsid w:val="00EA0F30"/>
    <w:rsid w:val="00EA147B"/>
    <w:rsid w:val="00EA1AF0"/>
    <w:rsid w:val="00EA1F78"/>
    <w:rsid w:val="00EA34B8"/>
    <w:rsid w:val="00EA3D78"/>
    <w:rsid w:val="00EA3F95"/>
    <w:rsid w:val="00EA4077"/>
    <w:rsid w:val="00EA44D9"/>
    <w:rsid w:val="00EA4C2B"/>
    <w:rsid w:val="00EA5359"/>
    <w:rsid w:val="00EA55AA"/>
    <w:rsid w:val="00EA5D47"/>
    <w:rsid w:val="00EA6748"/>
    <w:rsid w:val="00EA713E"/>
    <w:rsid w:val="00EA71BC"/>
    <w:rsid w:val="00EA760B"/>
    <w:rsid w:val="00EB28B3"/>
    <w:rsid w:val="00EB3114"/>
    <w:rsid w:val="00EB365A"/>
    <w:rsid w:val="00EB3D07"/>
    <w:rsid w:val="00EB4606"/>
    <w:rsid w:val="00EB588A"/>
    <w:rsid w:val="00EB59B4"/>
    <w:rsid w:val="00EB5DF8"/>
    <w:rsid w:val="00EB6A76"/>
    <w:rsid w:val="00EC0B96"/>
    <w:rsid w:val="00EC1332"/>
    <w:rsid w:val="00EC2BB9"/>
    <w:rsid w:val="00EC3357"/>
    <w:rsid w:val="00EC489F"/>
    <w:rsid w:val="00EC4956"/>
    <w:rsid w:val="00EC49FB"/>
    <w:rsid w:val="00EC4F68"/>
    <w:rsid w:val="00EC56F9"/>
    <w:rsid w:val="00EC58BB"/>
    <w:rsid w:val="00EC6CD6"/>
    <w:rsid w:val="00EC6F01"/>
    <w:rsid w:val="00EC71EC"/>
    <w:rsid w:val="00EC72E1"/>
    <w:rsid w:val="00EC75EF"/>
    <w:rsid w:val="00ED0713"/>
    <w:rsid w:val="00ED14D2"/>
    <w:rsid w:val="00ED1BF5"/>
    <w:rsid w:val="00ED4101"/>
    <w:rsid w:val="00ED4946"/>
    <w:rsid w:val="00ED53A2"/>
    <w:rsid w:val="00ED5D26"/>
    <w:rsid w:val="00ED784D"/>
    <w:rsid w:val="00ED7CC6"/>
    <w:rsid w:val="00EE042A"/>
    <w:rsid w:val="00EE0B74"/>
    <w:rsid w:val="00EE1F8B"/>
    <w:rsid w:val="00EE2192"/>
    <w:rsid w:val="00EE2894"/>
    <w:rsid w:val="00EE30A9"/>
    <w:rsid w:val="00EE38E6"/>
    <w:rsid w:val="00EE3E49"/>
    <w:rsid w:val="00EE3E5A"/>
    <w:rsid w:val="00EE42CB"/>
    <w:rsid w:val="00EE449F"/>
    <w:rsid w:val="00EE458B"/>
    <w:rsid w:val="00EE4841"/>
    <w:rsid w:val="00EE4BAA"/>
    <w:rsid w:val="00EE7244"/>
    <w:rsid w:val="00EF0003"/>
    <w:rsid w:val="00EF0281"/>
    <w:rsid w:val="00EF0373"/>
    <w:rsid w:val="00EF0A63"/>
    <w:rsid w:val="00EF0B90"/>
    <w:rsid w:val="00EF0EFF"/>
    <w:rsid w:val="00EF0FA3"/>
    <w:rsid w:val="00EF0FBB"/>
    <w:rsid w:val="00EF1435"/>
    <w:rsid w:val="00EF16A5"/>
    <w:rsid w:val="00EF1BE3"/>
    <w:rsid w:val="00EF1E74"/>
    <w:rsid w:val="00EF1E83"/>
    <w:rsid w:val="00EF2A48"/>
    <w:rsid w:val="00EF36D3"/>
    <w:rsid w:val="00EF3811"/>
    <w:rsid w:val="00EF3BE2"/>
    <w:rsid w:val="00EF4E61"/>
    <w:rsid w:val="00EF5F23"/>
    <w:rsid w:val="00EF6306"/>
    <w:rsid w:val="00EF65BF"/>
    <w:rsid w:val="00EF6D6D"/>
    <w:rsid w:val="00F00772"/>
    <w:rsid w:val="00F012A1"/>
    <w:rsid w:val="00F018B2"/>
    <w:rsid w:val="00F01ABC"/>
    <w:rsid w:val="00F026F7"/>
    <w:rsid w:val="00F0325B"/>
    <w:rsid w:val="00F043D3"/>
    <w:rsid w:val="00F04A18"/>
    <w:rsid w:val="00F04C5C"/>
    <w:rsid w:val="00F050F0"/>
    <w:rsid w:val="00F05B4F"/>
    <w:rsid w:val="00F06D83"/>
    <w:rsid w:val="00F06F7C"/>
    <w:rsid w:val="00F07181"/>
    <w:rsid w:val="00F07860"/>
    <w:rsid w:val="00F07F96"/>
    <w:rsid w:val="00F100D9"/>
    <w:rsid w:val="00F1115A"/>
    <w:rsid w:val="00F125BB"/>
    <w:rsid w:val="00F128C8"/>
    <w:rsid w:val="00F13446"/>
    <w:rsid w:val="00F13A0F"/>
    <w:rsid w:val="00F14B11"/>
    <w:rsid w:val="00F14C6D"/>
    <w:rsid w:val="00F15B74"/>
    <w:rsid w:val="00F15C99"/>
    <w:rsid w:val="00F15F14"/>
    <w:rsid w:val="00F15F85"/>
    <w:rsid w:val="00F16098"/>
    <w:rsid w:val="00F16110"/>
    <w:rsid w:val="00F16FC1"/>
    <w:rsid w:val="00F17783"/>
    <w:rsid w:val="00F20453"/>
    <w:rsid w:val="00F2099E"/>
    <w:rsid w:val="00F20DD1"/>
    <w:rsid w:val="00F21358"/>
    <w:rsid w:val="00F21E2F"/>
    <w:rsid w:val="00F21F55"/>
    <w:rsid w:val="00F2256B"/>
    <w:rsid w:val="00F22722"/>
    <w:rsid w:val="00F22F4B"/>
    <w:rsid w:val="00F23EBA"/>
    <w:rsid w:val="00F25587"/>
    <w:rsid w:val="00F25845"/>
    <w:rsid w:val="00F25F1B"/>
    <w:rsid w:val="00F26CB3"/>
    <w:rsid w:val="00F2719C"/>
    <w:rsid w:val="00F277FA"/>
    <w:rsid w:val="00F3044C"/>
    <w:rsid w:val="00F32F2C"/>
    <w:rsid w:val="00F34BC9"/>
    <w:rsid w:val="00F35087"/>
    <w:rsid w:val="00F35221"/>
    <w:rsid w:val="00F35584"/>
    <w:rsid w:val="00F36476"/>
    <w:rsid w:val="00F3743C"/>
    <w:rsid w:val="00F37CC4"/>
    <w:rsid w:val="00F425BD"/>
    <w:rsid w:val="00F42B27"/>
    <w:rsid w:val="00F42F28"/>
    <w:rsid w:val="00F42F2E"/>
    <w:rsid w:val="00F43915"/>
    <w:rsid w:val="00F439E0"/>
    <w:rsid w:val="00F43C67"/>
    <w:rsid w:val="00F43DF0"/>
    <w:rsid w:val="00F441A6"/>
    <w:rsid w:val="00F44624"/>
    <w:rsid w:val="00F46025"/>
    <w:rsid w:val="00F46042"/>
    <w:rsid w:val="00F462E3"/>
    <w:rsid w:val="00F4722D"/>
    <w:rsid w:val="00F4784E"/>
    <w:rsid w:val="00F47A34"/>
    <w:rsid w:val="00F47CEB"/>
    <w:rsid w:val="00F47F3C"/>
    <w:rsid w:val="00F50C3E"/>
    <w:rsid w:val="00F51779"/>
    <w:rsid w:val="00F5203A"/>
    <w:rsid w:val="00F52774"/>
    <w:rsid w:val="00F52AA5"/>
    <w:rsid w:val="00F53B86"/>
    <w:rsid w:val="00F54E76"/>
    <w:rsid w:val="00F54E86"/>
    <w:rsid w:val="00F55E0E"/>
    <w:rsid w:val="00F604FD"/>
    <w:rsid w:val="00F607A5"/>
    <w:rsid w:val="00F60DB2"/>
    <w:rsid w:val="00F62B99"/>
    <w:rsid w:val="00F62D3C"/>
    <w:rsid w:val="00F63B3C"/>
    <w:rsid w:val="00F6523F"/>
    <w:rsid w:val="00F65AE1"/>
    <w:rsid w:val="00F65C15"/>
    <w:rsid w:val="00F664F4"/>
    <w:rsid w:val="00F66A5A"/>
    <w:rsid w:val="00F67112"/>
    <w:rsid w:val="00F67DA4"/>
    <w:rsid w:val="00F703C1"/>
    <w:rsid w:val="00F70CB5"/>
    <w:rsid w:val="00F70D57"/>
    <w:rsid w:val="00F70DD6"/>
    <w:rsid w:val="00F71282"/>
    <w:rsid w:val="00F713EB"/>
    <w:rsid w:val="00F71CF4"/>
    <w:rsid w:val="00F720BE"/>
    <w:rsid w:val="00F72F4B"/>
    <w:rsid w:val="00F73DFC"/>
    <w:rsid w:val="00F7413D"/>
    <w:rsid w:val="00F74260"/>
    <w:rsid w:val="00F74F27"/>
    <w:rsid w:val="00F753C1"/>
    <w:rsid w:val="00F7595E"/>
    <w:rsid w:val="00F75CF9"/>
    <w:rsid w:val="00F762BE"/>
    <w:rsid w:val="00F768B1"/>
    <w:rsid w:val="00F76968"/>
    <w:rsid w:val="00F7756A"/>
    <w:rsid w:val="00F7757C"/>
    <w:rsid w:val="00F775EA"/>
    <w:rsid w:val="00F77D3D"/>
    <w:rsid w:val="00F800F3"/>
    <w:rsid w:val="00F80303"/>
    <w:rsid w:val="00F804B0"/>
    <w:rsid w:val="00F80943"/>
    <w:rsid w:val="00F81250"/>
    <w:rsid w:val="00F815AD"/>
    <w:rsid w:val="00F81F87"/>
    <w:rsid w:val="00F81FF4"/>
    <w:rsid w:val="00F823E2"/>
    <w:rsid w:val="00F8266D"/>
    <w:rsid w:val="00F82AD7"/>
    <w:rsid w:val="00F8302E"/>
    <w:rsid w:val="00F83331"/>
    <w:rsid w:val="00F834A2"/>
    <w:rsid w:val="00F835D8"/>
    <w:rsid w:val="00F840FF"/>
    <w:rsid w:val="00F84541"/>
    <w:rsid w:val="00F852E2"/>
    <w:rsid w:val="00F85D82"/>
    <w:rsid w:val="00F86884"/>
    <w:rsid w:val="00F86A52"/>
    <w:rsid w:val="00F86B6A"/>
    <w:rsid w:val="00F90303"/>
    <w:rsid w:val="00F91BAC"/>
    <w:rsid w:val="00F91BF4"/>
    <w:rsid w:val="00F91DED"/>
    <w:rsid w:val="00F93C98"/>
    <w:rsid w:val="00F9461D"/>
    <w:rsid w:val="00F95E42"/>
    <w:rsid w:val="00F964CB"/>
    <w:rsid w:val="00F96605"/>
    <w:rsid w:val="00F96672"/>
    <w:rsid w:val="00F9668F"/>
    <w:rsid w:val="00F9682F"/>
    <w:rsid w:val="00F96B80"/>
    <w:rsid w:val="00F97589"/>
    <w:rsid w:val="00F97997"/>
    <w:rsid w:val="00F97B9C"/>
    <w:rsid w:val="00FA0143"/>
    <w:rsid w:val="00FA0F34"/>
    <w:rsid w:val="00FA0F5A"/>
    <w:rsid w:val="00FA13DF"/>
    <w:rsid w:val="00FA1490"/>
    <w:rsid w:val="00FA20C6"/>
    <w:rsid w:val="00FA3BA8"/>
    <w:rsid w:val="00FA3F83"/>
    <w:rsid w:val="00FA3FC7"/>
    <w:rsid w:val="00FA4804"/>
    <w:rsid w:val="00FA4916"/>
    <w:rsid w:val="00FA4FFD"/>
    <w:rsid w:val="00FA5139"/>
    <w:rsid w:val="00FA5F6D"/>
    <w:rsid w:val="00FA6F79"/>
    <w:rsid w:val="00FA79DA"/>
    <w:rsid w:val="00FB003C"/>
    <w:rsid w:val="00FB1457"/>
    <w:rsid w:val="00FB1CE3"/>
    <w:rsid w:val="00FB1D1A"/>
    <w:rsid w:val="00FB23F1"/>
    <w:rsid w:val="00FB24EA"/>
    <w:rsid w:val="00FB2685"/>
    <w:rsid w:val="00FB2E25"/>
    <w:rsid w:val="00FB2E85"/>
    <w:rsid w:val="00FB3247"/>
    <w:rsid w:val="00FB33AF"/>
    <w:rsid w:val="00FB39FE"/>
    <w:rsid w:val="00FB5055"/>
    <w:rsid w:val="00FB5417"/>
    <w:rsid w:val="00FB5CF6"/>
    <w:rsid w:val="00FB5E00"/>
    <w:rsid w:val="00FB67F7"/>
    <w:rsid w:val="00FB6842"/>
    <w:rsid w:val="00FC0261"/>
    <w:rsid w:val="00FC0438"/>
    <w:rsid w:val="00FC07F1"/>
    <w:rsid w:val="00FC0E11"/>
    <w:rsid w:val="00FC1185"/>
    <w:rsid w:val="00FC2BC0"/>
    <w:rsid w:val="00FC2D2B"/>
    <w:rsid w:val="00FC3419"/>
    <w:rsid w:val="00FC5516"/>
    <w:rsid w:val="00FC599F"/>
    <w:rsid w:val="00FC5A53"/>
    <w:rsid w:val="00FC623F"/>
    <w:rsid w:val="00FC667F"/>
    <w:rsid w:val="00FC6C68"/>
    <w:rsid w:val="00FC6F27"/>
    <w:rsid w:val="00FC77D6"/>
    <w:rsid w:val="00FD0169"/>
    <w:rsid w:val="00FD01B5"/>
    <w:rsid w:val="00FD12CF"/>
    <w:rsid w:val="00FD17AD"/>
    <w:rsid w:val="00FD2BB9"/>
    <w:rsid w:val="00FD2F48"/>
    <w:rsid w:val="00FD3257"/>
    <w:rsid w:val="00FD3709"/>
    <w:rsid w:val="00FD498B"/>
    <w:rsid w:val="00FD4A13"/>
    <w:rsid w:val="00FD5471"/>
    <w:rsid w:val="00FD5CE0"/>
    <w:rsid w:val="00FD628E"/>
    <w:rsid w:val="00FD6483"/>
    <w:rsid w:val="00FD655F"/>
    <w:rsid w:val="00FD66CB"/>
    <w:rsid w:val="00FD77AE"/>
    <w:rsid w:val="00FE0876"/>
    <w:rsid w:val="00FE1642"/>
    <w:rsid w:val="00FE2CEF"/>
    <w:rsid w:val="00FE2E1C"/>
    <w:rsid w:val="00FE2F05"/>
    <w:rsid w:val="00FE3169"/>
    <w:rsid w:val="00FE417A"/>
    <w:rsid w:val="00FE43BA"/>
    <w:rsid w:val="00FE4EFA"/>
    <w:rsid w:val="00FE55D5"/>
    <w:rsid w:val="00FE6805"/>
    <w:rsid w:val="00FE6F68"/>
    <w:rsid w:val="00FF1129"/>
    <w:rsid w:val="00FF165B"/>
    <w:rsid w:val="00FF2935"/>
    <w:rsid w:val="00FF295E"/>
    <w:rsid w:val="00FF2E24"/>
    <w:rsid w:val="00FF312A"/>
    <w:rsid w:val="00FF3982"/>
    <w:rsid w:val="00FF51E7"/>
    <w:rsid w:val="00FF521C"/>
    <w:rsid w:val="00FF54D9"/>
    <w:rsid w:val="00FF5F4F"/>
    <w:rsid w:val="00FF5FF8"/>
    <w:rsid w:val="00FF650C"/>
    <w:rsid w:val="00FF66DC"/>
    <w:rsid w:val="00FF6C4F"/>
    <w:rsid w:val="00FF6F13"/>
    <w:rsid w:val="00FF783F"/>
    <w:rsid w:val="00FF7957"/>
    <w:rsid w:val="037EBEF5"/>
    <w:rsid w:val="0429F18C"/>
    <w:rsid w:val="065C624B"/>
    <w:rsid w:val="073B51D2"/>
    <w:rsid w:val="07CA5E0B"/>
    <w:rsid w:val="094919B0"/>
    <w:rsid w:val="0A7F6B1A"/>
    <w:rsid w:val="0B2E5F98"/>
    <w:rsid w:val="0B878B2B"/>
    <w:rsid w:val="138CE26E"/>
    <w:rsid w:val="13AE4D52"/>
    <w:rsid w:val="146E9BFE"/>
    <w:rsid w:val="1478C03D"/>
    <w:rsid w:val="15CE81B6"/>
    <w:rsid w:val="178FD967"/>
    <w:rsid w:val="18FDBEDC"/>
    <w:rsid w:val="19D61AEF"/>
    <w:rsid w:val="1A6035BD"/>
    <w:rsid w:val="1B3D0485"/>
    <w:rsid w:val="1BD7E532"/>
    <w:rsid w:val="1C6C9C18"/>
    <w:rsid w:val="1E393067"/>
    <w:rsid w:val="1E8EF58A"/>
    <w:rsid w:val="1FA83ED4"/>
    <w:rsid w:val="244335DF"/>
    <w:rsid w:val="251FA5EE"/>
    <w:rsid w:val="266EB2F9"/>
    <w:rsid w:val="266F90B3"/>
    <w:rsid w:val="27247035"/>
    <w:rsid w:val="29872D40"/>
    <w:rsid w:val="2AB08CD1"/>
    <w:rsid w:val="2C3DDCE9"/>
    <w:rsid w:val="2DEC6CB7"/>
    <w:rsid w:val="30093963"/>
    <w:rsid w:val="33700C5E"/>
    <w:rsid w:val="33CEB8C1"/>
    <w:rsid w:val="35EA20FD"/>
    <w:rsid w:val="38974E63"/>
    <w:rsid w:val="39AF6C4E"/>
    <w:rsid w:val="3AA94752"/>
    <w:rsid w:val="3B4C4B7F"/>
    <w:rsid w:val="3D18C4C4"/>
    <w:rsid w:val="3D8DB790"/>
    <w:rsid w:val="3EF9B193"/>
    <w:rsid w:val="40A59B00"/>
    <w:rsid w:val="42602B85"/>
    <w:rsid w:val="428A533F"/>
    <w:rsid w:val="42A2386C"/>
    <w:rsid w:val="442CD970"/>
    <w:rsid w:val="44EA9F41"/>
    <w:rsid w:val="49DBAA17"/>
    <w:rsid w:val="4BDF1F41"/>
    <w:rsid w:val="4DDE21B9"/>
    <w:rsid w:val="4FF57B45"/>
    <w:rsid w:val="53DC3644"/>
    <w:rsid w:val="57E7A910"/>
    <w:rsid w:val="593091CA"/>
    <w:rsid w:val="59BEADA6"/>
    <w:rsid w:val="5A24D67A"/>
    <w:rsid w:val="5A578465"/>
    <w:rsid w:val="5AD4ED75"/>
    <w:rsid w:val="5B483279"/>
    <w:rsid w:val="5DC5AA2B"/>
    <w:rsid w:val="5DEDF35A"/>
    <w:rsid w:val="5E118D10"/>
    <w:rsid w:val="5EFD7C95"/>
    <w:rsid w:val="5FEF6C86"/>
    <w:rsid w:val="5FFA31F0"/>
    <w:rsid w:val="604CE693"/>
    <w:rsid w:val="610FFCFB"/>
    <w:rsid w:val="62656783"/>
    <w:rsid w:val="641ACA49"/>
    <w:rsid w:val="65FCA979"/>
    <w:rsid w:val="687D7077"/>
    <w:rsid w:val="68FBFAF8"/>
    <w:rsid w:val="6B8C07E3"/>
    <w:rsid w:val="6DA83273"/>
    <w:rsid w:val="6E54426C"/>
    <w:rsid w:val="6E95E4B6"/>
    <w:rsid w:val="6F2AC574"/>
    <w:rsid w:val="70767DAE"/>
    <w:rsid w:val="70DC9867"/>
    <w:rsid w:val="723E4DD8"/>
    <w:rsid w:val="728834BB"/>
    <w:rsid w:val="72B8BF0D"/>
    <w:rsid w:val="7490EA14"/>
    <w:rsid w:val="752671FA"/>
    <w:rsid w:val="77AE2610"/>
    <w:rsid w:val="794A3EF5"/>
    <w:rsid w:val="79AA8ACC"/>
    <w:rsid w:val="7A62EABF"/>
    <w:rsid w:val="7DDE409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39CA00"/>
  <w15:chartTrackingRefBased/>
  <w15:docId w15:val="{AB1041B6-3E76-4216-B0F4-4DADCC9A2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footnote text" w:uiPriority="99"/>
    <w:lsdException w:name="annotation text" w:locked="1" w:uiPriority="99"/>
    <w:lsdException w:name="header" w:uiPriority="99"/>
    <w:lsdException w:name="footer" w:uiPriority="99"/>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uiPriority="99"/>
    <w:lsdException w:name="annotation reference" w:locked="1" w:uiPriority="99"/>
    <w:lsdException w:name="line number" w:locked="1"/>
    <w:lsdException w:name="page number" w:locked="1"/>
    <w:lsdException w:name="endnote reference" w:qFormat="1"/>
    <w:lsdException w:name="endnote text" w:uiPriority="99" w:qFormat="1"/>
    <w:lsdException w:name="table of authorities" w:locked="1"/>
    <w:lsdException w:name="macro" w:locked="1"/>
    <w:lsdException w:name="toa heading" w:locked="1"/>
    <w:lsdException w:name="List" w:locked="1"/>
    <w:lsdException w:name="List Bullet" w:locked="1" w:uiPriority="99"/>
    <w:lsdException w:name="List Number" w:locked="1" w:uiPriority="99"/>
    <w:lsdException w:name="List 2" w:locked="1"/>
    <w:lsdException w:name="List 3" w:locked="1"/>
    <w:lsdException w:name="List 4" w:locked="1"/>
    <w:lsdException w:name="List 5" w:locked="1"/>
    <w:lsdException w:name="List Bullet 2" w:locked="1" w:uiPriority="99"/>
    <w:lsdException w:name="List Bullet 3" w:locked="1"/>
    <w:lsdException w:name="List Bullet 4" w:locked="1"/>
    <w:lsdException w:name="List Bullet 5" w:locked="1"/>
    <w:lsdException w:name="List Number 2" w:locked="1" w:uiPriority="99"/>
    <w:lsdException w:name="List Number 3" w:locked="1"/>
    <w:lsdException w:name="List Number 4" w:locked="1"/>
    <w:lsdException w:name="List Number 5" w:locked="1"/>
    <w:lsdException w:name="Title" w:locked="1" w:uiPriority="10" w:qFormat="1"/>
    <w:lsdException w:name="Closing" w:locked="1"/>
    <w:lsdException w:name="Signature" w:locked="1"/>
    <w:lsdException w:name="Body Text" w:locked="1" w:uiPriority="99" w:qFormat="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uiPriority="1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uiPriority="99"/>
    <w:lsdException w:name="Strong" w:uiPriority="22" w:qFormat="1"/>
    <w:lsdException w:name="Emphasis" w:locked="1" w:uiPriority="20" w:qFormat="1"/>
    <w:lsdException w:name="Document Map" w:locked="1"/>
    <w:lsdException w:name="Plain Text" w:locked="1"/>
    <w:lsdException w:name="E-mail Signature" w:locked="1"/>
    <w:lsdException w:name="Normal (Web)" w:locked="1" w:uiPriority="99"/>
    <w:lsdException w:name="HTML Acronym" w:locked="1"/>
    <w:lsdException w:name="HTML Address" w:locked="1"/>
    <w:lsdException w:name="HTML Cite" w:locked="1"/>
    <w:lsdException w:name="HTML Code" w:locked="1"/>
    <w:lsdException w:name="HTML Definition" w:locked="1" w:semiHidden="1" w:unhideWhenUsed="1"/>
    <w:lsdException w:name="HTML Keyboard" w:locked="1" w:semiHidden="1" w:unhideWhenUsed="1"/>
    <w:lsdException w:name="HTML Preformatted" w:locked="1" w:semiHidden="1" w:uiPriority="99" w:unhideWhenUsed="1"/>
    <w:lsdException w:name="HTML Sample" w:locked="1" w:uiPriority="99"/>
    <w:lsdException w:name="HTML Typewriter" w:locked="1"/>
    <w:lsdException w:name="HTML Variable" w:locked="1" w:semiHidden="1" w:unhideWhenUsed="1"/>
    <w:lsdException w:name="Normal Table" w:semiHidden="1" w:unhideWhenUsed="1"/>
    <w:lsdException w:name="annotation subject" w:locked="1" w:semiHidden="1" w:uiPriority="99"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39"/>
    <w:lsdException w:name="Table Theme" w:locked="1"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2282"/>
    <w:pPr>
      <w:keepLines/>
      <w:spacing w:before="240" w:after="240" w:line="312" w:lineRule="auto"/>
    </w:pPr>
    <w:rPr>
      <w:rFonts w:ascii="Open Sans" w:eastAsia="MS Mincho" w:hAnsi="Open Sans"/>
      <w:sz w:val="24"/>
      <w:szCs w:val="24"/>
    </w:rPr>
  </w:style>
  <w:style w:type="paragraph" w:styleId="Heading1">
    <w:name w:val="heading 1"/>
    <w:basedOn w:val="Normal"/>
    <w:next w:val="Normal"/>
    <w:link w:val="Heading1Char"/>
    <w:uiPriority w:val="9"/>
    <w:qFormat/>
    <w:rsid w:val="00AA5587"/>
    <w:pPr>
      <w:keepNext/>
      <w:spacing w:before="360" w:line="264" w:lineRule="auto"/>
      <w:outlineLvl w:val="0"/>
    </w:pPr>
    <w:rPr>
      <w:rFonts w:ascii="Open Sans SemiBold" w:hAnsi="Open Sans SemiBold"/>
      <w:b/>
      <w:bCs/>
      <w:color w:val="1B587C" w:themeColor="accent3"/>
      <w:sz w:val="48"/>
      <w:szCs w:val="28"/>
    </w:rPr>
  </w:style>
  <w:style w:type="paragraph" w:styleId="Heading2">
    <w:name w:val="heading 2"/>
    <w:basedOn w:val="Heading1"/>
    <w:next w:val="Normal"/>
    <w:link w:val="Heading2Char"/>
    <w:uiPriority w:val="9"/>
    <w:qFormat/>
    <w:rsid w:val="002A4642"/>
    <w:pPr>
      <w:numPr>
        <w:ilvl w:val="1"/>
      </w:numPr>
      <w:spacing w:before="480"/>
      <w:ind w:hanging="11"/>
      <w:outlineLvl w:val="1"/>
    </w:pPr>
    <w:rPr>
      <w:bCs w:val="0"/>
      <w:sz w:val="40"/>
      <w:szCs w:val="26"/>
    </w:rPr>
  </w:style>
  <w:style w:type="paragraph" w:styleId="Heading3">
    <w:name w:val="heading 3"/>
    <w:basedOn w:val="Heading2"/>
    <w:next w:val="Normal"/>
    <w:link w:val="Heading3Char"/>
    <w:uiPriority w:val="9"/>
    <w:qFormat/>
    <w:rsid w:val="00490A8D"/>
    <w:pPr>
      <w:numPr>
        <w:ilvl w:val="0"/>
      </w:numPr>
      <w:ind w:hanging="11"/>
      <w:outlineLvl w:val="2"/>
    </w:pPr>
    <w:rPr>
      <w:b w:val="0"/>
      <w:bCs/>
      <w:sz w:val="32"/>
      <w:szCs w:val="32"/>
    </w:rPr>
  </w:style>
  <w:style w:type="paragraph" w:styleId="Heading4">
    <w:name w:val="heading 4"/>
    <w:basedOn w:val="Heading3"/>
    <w:next w:val="Normal"/>
    <w:link w:val="Heading4Char"/>
    <w:uiPriority w:val="9"/>
    <w:qFormat/>
    <w:rsid w:val="00490A8D"/>
    <w:pPr>
      <w:numPr>
        <w:ilvl w:val="3"/>
      </w:numPr>
      <w:ind w:hanging="11"/>
      <w:outlineLvl w:val="3"/>
    </w:pPr>
    <w:rPr>
      <w:rFonts w:ascii="Open Sans" w:hAnsi="Open Sans"/>
      <w:bCs w:val="0"/>
      <w:iCs/>
      <w:sz w:val="28"/>
    </w:rPr>
  </w:style>
  <w:style w:type="paragraph" w:styleId="Heading5">
    <w:name w:val="heading 5"/>
    <w:basedOn w:val="Normal"/>
    <w:next w:val="Normal"/>
    <w:link w:val="Heading5Char"/>
    <w:uiPriority w:val="9"/>
    <w:locked/>
    <w:rsid w:val="007152E8"/>
    <w:pPr>
      <w:keepNext/>
      <w:numPr>
        <w:ilvl w:val="4"/>
        <w:numId w:val="1"/>
      </w:numPr>
      <w:spacing w:before="200"/>
      <w:outlineLvl w:val="4"/>
    </w:pPr>
    <w:rPr>
      <w:rFonts w:ascii="Cambria" w:hAnsi="Cambria"/>
      <w:color w:val="243F60"/>
    </w:rPr>
  </w:style>
  <w:style w:type="paragraph" w:styleId="Heading6">
    <w:name w:val="heading 6"/>
    <w:basedOn w:val="Normal"/>
    <w:next w:val="Normal"/>
    <w:link w:val="Heading6Char"/>
    <w:uiPriority w:val="9"/>
    <w:locked/>
    <w:rsid w:val="007152E8"/>
    <w:pPr>
      <w:keepNext/>
      <w:numPr>
        <w:ilvl w:val="5"/>
        <w:numId w:val="1"/>
      </w:numPr>
      <w:spacing w:before="200"/>
      <w:outlineLvl w:val="5"/>
    </w:pPr>
    <w:rPr>
      <w:rFonts w:ascii="Cambria" w:hAnsi="Cambria"/>
      <w:i/>
      <w:iCs/>
      <w:color w:val="243F60"/>
    </w:rPr>
  </w:style>
  <w:style w:type="paragraph" w:styleId="Heading7">
    <w:name w:val="heading 7"/>
    <w:basedOn w:val="Normal"/>
    <w:next w:val="Normal"/>
    <w:link w:val="Heading7Char"/>
    <w:uiPriority w:val="9"/>
    <w:locked/>
    <w:rsid w:val="007152E8"/>
    <w:pPr>
      <w:keepNext/>
      <w:numPr>
        <w:ilvl w:val="6"/>
        <w:numId w:val="1"/>
      </w:numPr>
      <w:spacing w:before="200"/>
      <w:outlineLvl w:val="6"/>
    </w:pPr>
    <w:rPr>
      <w:rFonts w:ascii="Cambria" w:hAnsi="Cambria"/>
      <w:i/>
      <w:iCs/>
      <w:color w:val="404040"/>
    </w:rPr>
  </w:style>
  <w:style w:type="paragraph" w:styleId="Heading8">
    <w:name w:val="heading 8"/>
    <w:basedOn w:val="Normal"/>
    <w:next w:val="Normal"/>
    <w:link w:val="Heading8Char"/>
    <w:uiPriority w:val="9"/>
    <w:locked/>
    <w:rsid w:val="007152E8"/>
    <w:pPr>
      <w:keepNext/>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
    <w:locked/>
    <w:rsid w:val="007152E8"/>
    <w:pPr>
      <w:keepNext/>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A5587"/>
    <w:rPr>
      <w:rFonts w:ascii="Open Sans SemiBold" w:eastAsia="MS Mincho" w:hAnsi="Open Sans SemiBold"/>
      <w:b/>
      <w:bCs/>
      <w:color w:val="1B587C" w:themeColor="accent3"/>
      <w:sz w:val="48"/>
      <w:szCs w:val="28"/>
    </w:rPr>
  </w:style>
  <w:style w:type="character" w:customStyle="1" w:styleId="Heading2Char">
    <w:name w:val="Heading 2 Char"/>
    <w:link w:val="Heading2"/>
    <w:uiPriority w:val="9"/>
    <w:rsid w:val="002A4642"/>
    <w:rPr>
      <w:rFonts w:ascii="Open Sans SemiBold" w:eastAsia="MS Mincho" w:hAnsi="Open Sans SemiBold"/>
      <w:b/>
      <w:color w:val="1B587C" w:themeColor="accent3"/>
      <w:sz w:val="40"/>
      <w:szCs w:val="26"/>
    </w:rPr>
  </w:style>
  <w:style w:type="character" w:customStyle="1" w:styleId="Heading3Char">
    <w:name w:val="Heading 3 Char"/>
    <w:link w:val="Heading3"/>
    <w:uiPriority w:val="9"/>
    <w:rsid w:val="00490A8D"/>
    <w:rPr>
      <w:rFonts w:ascii="Open Sans SemiBold" w:eastAsia="MS Mincho" w:hAnsi="Open Sans SemiBold"/>
      <w:bCs/>
      <w:color w:val="1B587C" w:themeColor="accent3"/>
      <w:sz w:val="32"/>
      <w:szCs w:val="32"/>
    </w:rPr>
  </w:style>
  <w:style w:type="character" w:customStyle="1" w:styleId="Heading4Char">
    <w:name w:val="Heading 4 Char"/>
    <w:link w:val="Heading4"/>
    <w:uiPriority w:val="9"/>
    <w:rsid w:val="00490A8D"/>
    <w:rPr>
      <w:rFonts w:ascii="Open Sans" w:eastAsia="MS Mincho" w:hAnsi="Open Sans"/>
      <w:iCs/>
      <w:color w:val="1B587C" w:themeColor="accent3"/>
      <w:sz w:val="28"/>
      <w:szCs w:val="32"/>
    </w:rPr>
  </w:style>
  <w:style w:type="character" w:styleId="Strong">
    <w:name w:val="Strong"/>
    <w:uiPriority w:val="22"/>
    <w:qFormat/>
    <w:locked/>
    <w:rsid w:val="00CE2DB6"/>
    <w:rPr>
      <w:b/>
      <w:bCs/>
      <w:color w:val="1B587C" w:themeColor="accent3"/>
    </w:rPr>
  </w:style>
  <w:style w:type="character" w:customStyle="1" w:styleId="Heading5Char">
    <w:name w:val="Heading 5 Char"/>
    <w:link w:val="Heading5"/>
    <w:uiPriority w:val="9"/>
    <w:rsid w:val="008007A8"/>
    <w:rPr>
      <w:rFonts w:ascii="Cambria" w:eastAsia="MS Mincho" w:hAnsi="Cambria"/>
      <w:color w:val="243F60"/>
      <w:sz w:val="24"/>
      <w:szCs w:val="24"/>
    </w:rPr>
  </w:style>
  <w:style w:type="character" w:customStyle="1" w:styleId="Heading6Char">
    <w:name w:val="Heading 6 Char"/>
    <w:link w:val="Heading6"/>
    <w:uiPriority w:val="9"/>
    <w:rsid w:val="008007A8"/>
    <w:rPr>
      <w:rFonts w:ascii="Cambria" w:eastAsia="MS Mincho" w:hAnsi="Cambria"/>
      <w:i/>
      <w:iCs/>
      <w:color w:val="243F60"/>
      <w:sz w:val="24"/>
      <w:szCs w:val="24"/>
    </w:rPr>
  </w:style>
  <w:style w:type="character" w:customStyle="1" w:styleId="Heading7Char">
    <w:name w:val="Heading 7 Char"/>
    <w:link w:val="Heading7"/>
    <w:uiPriority w:val="9"/>
    <w:rsid w:val="008007A8"/>
    <w:rPr>
      <w:rFonts w:ascii="Cambria" w:eastAsia="MS Mincho" w:hAnsi="Cambria"/>
      <w:i/>
      <w:iCs/>
      <w:color w:val="404040"/>
      <w:sz w:val="24"/>
      <w:szCs w:val="24"/>
    </w:rPr>
  </w:style>
  <w:style w:type="character" w:customStyle="1" w:styleId="Heading8Char">
    <w:name w:val="Heading 8 Char"/>
    <w:link w:val="Heading8"/>
    <w:uiPriority w:val="9"/>
    <w:rsid w:val="008007A8"/>
    <w:rPr>
      <w:rFonts w:ascii="Cambria" w:eastAsia="MS Mincho" w:hAnsi="Cambria"/>
      <w:color w:val="404040"/>
    </w:rPr>
  </w:style>
  <w:style w:type="character" w:customStyle="1" w:styleId="Heading9Char">
    <w:name w:val="Heading 9 Char"/>
    <w:link w:val="Heading9"/>
    <w:uiPriority w:val="9"/>
    <w:rsid w:val="008007A8"/>
    <w:rPr>
      <w:rFonts w:ascii="Cambria" w:eastAsia="MS Mincho" w:hAnsi="Cambria"/>
      <w:i/>
      <w:iCs/>
      <w:color w:val="404040"/>
    </w:rPr>
  </w:style>
  <w:style w:type="paragraph" w:styleId="Header">
    <w:name w:val="header"/>
    <w:basedOn w:val="Normal"/>
    <w:link w:val="HeaderChar"/>
    <w:uiPriority w:val="99"/>
    <w:rsid w:val="0090165F"/>
    <w:pPr>
      <w:tabs>
        <w:tab w:val="center" w:pos="4513"/>
        <w:tab w:val="right" w:pos="9026"/>
      </w:tabs>
      <w:spacing w:after="0"/>
    </w:pPr>
    <w:rPr>
      <w:sz w:val="22"/>
    </w:rPr>
  </w:style>
  <w:style w:type="character" w:customStyle="1" w:styleId="HeaderChar">
    <w:name w:val="Header Char"/>
    <w:link w:val="Header"/>
    <w:uiPriority w:val="99"/>
    <w:rsid w:val="0090165F"/>
    <w:rPr>
      <w:rFonts w:ascii="Arial" w:hAnsi="Arial"/>
      <w:sz w:val="22"/>
      <w:szCs w:val="24"/>
      <w:lang w:val="en-AU" w:eastAsia="en-AU" w:bidi="ar-SA"/>
    </w:rPr>
  </w:style>
  <w:style w:type="paragraph" w:styleId="Footer">
    <w:name w:val="footer"/>
    <w:basedOn w:val="Normal"/>
    <w:link w:val="FooterChar"/>
    <w:uiPriority w:val="99"/>
    <w:rsid w:val="00B34946"/>
    <w:pPr>
      <w:tabs>
        <w:tab w:val="right" w:pos="2835"/>
        <w:tab w:val="right" w:pos="5670"/>
      </w:tabs>
      <w:spacing w:before="0" w:after="60"/>
    </w:pPr>
    <w:rPr>
      <w:color w:val="404040"/>
      <w:sz w:val="16"/>
    </w:rPr>
  </w:style>
  <w:style w:type="character" w:customStyle="1" w:styleId="FooterChar">
    <w:name w:val="Footer Char"/>
    <w:link w:val="Footer"/>
    <w:uiPriority w:val="99"/>
    <w:rsid w:val="00B34946"/>
    <w:rPr>
      <w:rFonts w:ascii="Arial" w:eastAsia="MS Mincho" w:hAnsi="Arial"/>
      <w:color w:val="404040"/>
      <w:sz w:val="16"/>
      <w:szCs w:val="24"/>
    </w:rPr>
  </w:style>
  <w:style w:type="paragraph" w:styleId="TOC3">
    <w:name w:val="toc 3"/>
    <w:basedOn w:val="Normal"/>
    <w:next w:val="Normal"/>
    <w:autoRedefine/>
    <w:uiPriority w:val="39"/>
    <w:qFormat/>
    <w:locked/>
    <w:rsid w:val="00A92F92"/>
    <w:pPr>
      <w:tabs>
        <w:tab w:val="left" w:pos="1202"/>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2"/>
      </w:numPr>
    </w:pPr>
  </w:style>
  <w:style w:type="paragraph" w:styleId="TOC1">
    <w:name w:val="toc 1"/>
    <w:basedOn w:val="Normal"/>
    <w:next w:val="Normal"/>
    <w:autoRedefine/>
    <w:uiPriority w:val="39"/>
    <w:qFormat/>
    <w:locked/>
    <w:rsid w:val="00C460F2"/>
    <w:pPr>
      <w:tabs>
        <w:tab w:val="right" w:leader="dot" w:pos="9060"/>
      </w:tabs>
      <w:spacing w:after="0"/>
      <w:ind w:left="720" w:hanging="720"/>
    </w:pPr>
    <w:rPr>
      <w:b/>
      <w:noProof/>
      <w:sz w:val="22"/>
    </w:rPr>
  </w:style>
  <w:style w:type="paragraph" w:styleId="TOC2">
    <w:name w:val="toc 2"/>
    <w:basedOn w:val="Normal"/>
    <w:next w:val="Normal"/>
    <w:autoRedefine/>
    <w:uiPriority w:val="39"/>
    <w:qFormat/>
    <w:locked/>
    <w:rsid w:val="00487E91"/>
    <w:pPr>
      <w:tabs>
        <w:tab w:val="right" w:leader="dot" w:pos="9060"/>
      </w:tabs>
      <w:spacing w:before="0" w:after="0"/>
      <w:ind w:left="1440" w:hanging="720"/>
    </w:pPr>
    <w:rPr>
      <w:noProof/>
      <w:sz w:val="22"/>
    </w:rPr>
  </w:style>
  <w:style w:type="paragraph" w:styleId="TOC4">
    <w:name w:val="toc 4"/>
    <w:basedOn w:val="Normal"/>
    <w:next w:val="Normal"/>
    <w:autoRedefine/>
    <w:uiPriority w:val="39"/>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locked/>
    <w:rsid w:val="007453DD"/>
    <w:rPr>
      <w:color w:val="1B587C" w:themeColor="accent3"/>
      <w:u w:val="single"/>
    </w:rPr>
  </w:style>
  <w:style w:type="paragraph" w:styleId="TOCHeading">
    <w:name w:val="TOC Heading"/>
    <w:basedOn w:val="Normal"/>
    <w:next w:val="Normal"/>
    <w:uiPriority w:val="39"/>
    <w:qFormat/>
    <w:locked/>
    <w:rsid w:val="007540BF"/>
    <w:pPr>
      <w:spacing w:before="0" w:after="360"/>
    </w:pPr>
    <w:rPr>
      <w:b/>
      <w:color w:val="000000"/>
      <w:lang w:val="en-US" w:eastAsia="en-US"/>
    </w:rPr>
  </w:style>
  <w:style w:type="paragraph" w:styleId="EndnoteText">
    <w:name w:val="endnote text"/>
    <w:basedOn w:val="Normal"/>
    <w:link w:val="EndnoteTextChar1"/>
    <w:uiPriority w:val="99"/>
    <w:qFormat/>
    <w:rsid w:val="003335AC"/>
    <w:pPr>
      <w:spacing w:before="0" w:after="0"/>
      <w:ind w:left="284" w:hanging="284"/>
    </w:pPr>
    <w:rPr>
      <w:sz w:val="20"/>
      <w:szCs w:val="20"/>
    </w:rPr>
  </w:style>
  <w:style w:type="character" w:customStyle="1" w:styleId="EndnoteTextChar1">
    <w:name w:val="Endnote Text Char1"/>
    <w:link w:val="EndnoteText"/>
    <w:uiPriority w:val="99"/>
    <w:rsid w:val="003335AC"/>
    <w:rPr>
      <w:rFonts w:ascii="Open Sans" w:eastAsia="MS Mincho" w:hAnsi="Open Sans"/>
    </w:rPr>
  </w:style>
  <w:style w:type="character" w:styleId="EndnoteReference">
    <w:name w:val="endnote reference"/>
    <w:qFormat/>
    <w:rsid w:val="00506E90"/>
    <w:rPr>
      <w:rFonts w:ascii="Open Sans" w:hAnsi="Open Sans"/>
      <w:b w:val="0"/>
      <w:i w:val="0"/>
      <w:sz w:val="20"/>
      <w:vertAlign w:val="superscript"/>
    </w:rPr>
  </w:style>
  <w:style w:type="numbering" w:styleId="1ai">
    <w:name w:val="Outline List 1"/>
    <w:basedOn w:val="NoList"/>
    <w:semiHidden/>
    <w:locked/>
    <w:rsid w:val="00E45954"/>
    <w:pPr>
      <w:numPr>
        <w:numId w:val="13"/>
      </w:numPr>
    </w:pPr>
  </w:style>
  <w:style w:type="numbering" w:styleId="ArticleSection">
    <w:name w:val="Outline List 3"/>
    <w:basedOn w:val="NoList"/>
    <w:semiHidden/>
    <w:locked/>
    <w:rsid w:val="00E45954"/>
    <w:pPr>
      <w:numPr>
        <w:numId w:val="14"/>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link w:val="BodyTextChar"/>
    <w:uiPriority w:val="99"/>
    <w:qFormat/>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link w:val="DateChar"/>
    <w:semiHidden/>
    <w:locked/>
    <w:rsid w:val="00C33104"/>
    <w:pPr>
      <w:spacing w:before="120" w:after="120"/>
      <w:jc w:val="right"/>
    </w:pPr>
    <w:rPr>
      <w:color w:val="595959"/>
      <w:sz w:val="26"/>
    </w:rPr>
  </w:style>
  <w:style w:type="paragraph" w:styleId="E-mailSignature">
    <w:name w:val="E-mail Signature"/>
    <w:basedOn w:val="Normal"/>
    <w:link w:val="E-mailSignatureChar"/>
    <w:semiHidden/>
    <w:locked/>
    <w:rsid w:val="00E45954"/>
  </w:style>
  <w:style w:type="character" w:styleId="Emphasis">
    <w:name w:val="Emphasis"/>
    <w:uiPriority w:val="20"/>
    <w:qFormat/>
    <w:locked/>
    <w:rsid w:val="002C4B37"/>
    <w:rPr>
      <w:rFonts w:ascii="Open Sans SemiBold" w:hAnsi="Open Sans SemiBold" w:cs="Open Sans SemiBold"/>
      <w:color w:val="1B587C" w:themeColor="accent3"/>
    </w:rPr>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uiPriority w:val="99"/>
    <w:rsid w:val="000A1DB8"/>
    <w:rPr>
      <w:rFonts w:ascii="Arial" w:hAnsi="Arial"/>
      <w:sz w:val="20"/>
      <w:vertAlign w:val="superscript"/>
    </w:rPr>
  </w:style>
  <w:style w:type="paragraph" w:styleId="FootnoteText">
    <w:name w:val="footnote text"/>
    <w:basedOn w:val="Normal"/>
    <w:link w:val="FootnoteTextChar"/>
    <w:uiPriority w:val="99"/>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link w:val="HTMLPreformattedChar"/>
    <w:uiPriority w:val="99"/>
    <w:locked/>
    <w:rsid w:val="00E45954"/>
    <w:rPr>
      <w:rFonts w:ascii="Courier New" w:hAnsi="Courier New" w:cs="Courier New"/>
      <w:sz w:val="20"/>
      <w:szCs w:val="20"/>
    </w:rPr>
  </w:style>
  <w:style w:type="character" w:styleId="HTMLSample">
    <w:name w:val="HTML Sample"/>
    <w:uiPriority w:val="99"/>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uiPriority w:val="99"/>
    <w:locked/>
    <w:rsid w:val="00E45954"/>
    <w:pPr>
      <w:numPr>
        <w:numId w:val="2"/>
      </w:numPr>
    </w:pPr>
  </w:style>
  <w:style w:type="paragraph" w:styleId="ListBullet2">
    <w:name w:val="List Bullet 2"/>
    <w:basedOn w:val="Normal"/>
    <w:uiPriority w:val="99"/>
    <w:semiHidden/>
    <w:locked/>
    <w:rsid w:val="00E45954"/>
    <w:pPr>
      <w:numPr>
        <w:numId w:val="3"/>
      </w:numPr>
    </w:pPr>
  </w:style>
  <w:style w:type="paragraph" w:styleId="ListBullet3">
    <w:name w:val="List Bullet 3"/>
    <w:basedOn w:val="Normal"/>
    <w:semiHidden/>
    <w:locked/>
    <w:rsid w:val="00E45954"/>
    <w:pPr>
      <w:numPr>
        <w:numId w:val="4"/>
      </w:numPr>
    </w:pPr>
  </w:style>
  <w:style w:type="paragraph" w:styleId="ListBullet4">
    <w:name w:val="List Bullet 4"/>
    <w:basedOn w:val="Normal"/>
    <w:semiHidden/>
    <w:locked/>
    <w:rsid w:val="00E45954"/>
    <w:pPr>
      <w:numPr>
        <w:numId w:val="5"/>
      </w:numPr>
    </w:pPr>
  </w:style>
  <w:style w:type="paragraph" w:styleId="ListBullet5">
    <w:name w:val="List Bullet 5"/>
    <w:basedOn w:val="Normal"/>
    <w:semiHidden/>
    <w:locked/>
    <w:rsid w:val="00E45954"/>
    <w:pPr>
      <w:numPr>
        <w:numId w:val="6"/>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uiPriority w:val="99"/>
    <w:locked/>
    <w:rsid w:val="00E45954"/>
    <w:pPr>
      <w:numPr>
        <w:numId w:val="7"/>
      </w:numPr>
    </w:pPr>
  </w:style>
  <w:style w:type="paragraph" w:styleId="ListNumber2">
    <w:name w:val="List Number 2"/>
    <w:basedOn w:val="Normal"/>
    <w:uiPriority w:val="99"/>
    <w:locked/>
    <w:rsid w:val="00E45954"/>
    <w:pPr>
      <w:numPr>
        <w:numId w:val="10"/>
      </w:numPr>
    </w:pPr>
  </w:style>
  <w:style w:type="paragraph" w:styleId="ListNumber3">
    <w:name w:val="List Number 3"/>
    <w:basedOn w:val="Normal"/>
    <w:semiHidden/>
    <w:locked/>
    <w:rsid w:val="00E45954"/>
    <w:pPr>
      <w:numPr>
        <w:numId w:val="11"/>
      </w:numPr>
    </w:pPr>
  </w:style>
  <w:style w:type="paragraph" w:styleId="ListNumber4">
    <w:name w:val="List Number 4"/>
    <w:basedOn w:val="Normal"/>
    <w:semiHidden/>
    <w:locked/>
    <w:rsid w:val="00E45954"/>
    <w:pPr>
      <w:numPr>
        <w:numId w:val="8"/>
      </w:numPr>
    </w:pPr>
  </w:style>
  <w:style w:type="paragraph" w:styleId="ListNumber5">
    <w:name w:val="List Number 5"/>
    <w:basedOn w:val="Normal"/>
    <w:semiHidden/>
    <w:locked/>
    <w:rsid w:val="00E45954"/>
    <w:pPr>
      <w:numPr>
        <w:numId w:val="9"/>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uiPriority w:val="99"/>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link w:val="SubtitleChar"/>
    <w:uiPriority w:val="11"/>
    <w:qFormat/>
    <w:locked/>
    <w:rsid w:val="00323C73"/>
    <w:pPr>
      <w:spacing w:before="40" w:after="0"/>
      <w:jc w:val="right"/>
      <w:outlineLvl w:val="1"/>
    </w:pPr>
    <w:rPr>
      <w:rFonts w:cs="Arial"/>
      <w:b/>
      <w:caps/>
      <w:sz w:val="26"/>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0"/>
    <w:qFormat/>
    <w:locked/>
    <w:rsid w:val="00E45954"/>
    <w:pPr>
      <w:spacing w:after="60"/>
      <w:jc w:val="center"/>
      <w:outlineLvl w:val="0"/>
    </w:pPr>
    <w:rPr>
      <w:rFonts w:cs="Arial"/>
      <w:b/>
      <w:bCs/>
      <w:kern w:val="28"/>
      <w:sz w:val="32"/>
      <w:szCs w:val="32"/>
    </w:rPr>
  </w:style>
  <w:style w:type="character" w:styleId="FollowedHyperlink">
    <w:name w:val="FollowedHyperlink"/>
    <w:uiPriority w:val="99"/>
    <w:semiHidden/>
    <w:locked/>
    <w:rsid w:val="00E45954"/>
    <w:rPr>
      <w:color w:val="800080"/>
      <w:u w:val="single"/>
    </w:rPr>
  </w:style>
  <w:style w:type="paragraph" w:customStyle="1" w:styleId="MainTitle">
    <w:name w:val="Main Title"/>
    <w:semiHidden/>
    <w:qFormat/>
    <w:rsid w:val="00FD01B5"/>
    <w:pPr>
      <w:spacing w:line="740" w:lineRule="exact"/>
      <w:contextualSpacing/>
      <w:jc w:val="right"/>
    </w:pPr>
    <w:rPr>
      <w:rFonts w:ascii="Arial" w:hAnsi="Arial"/>
      <w:bCs/>
      <w:color w:val="237BBC"/>
      <w:kern w:val="32"/>
      <w:sz w:val="56"/>
      <w:szCs w:val="32"/>
    </w:rPr>
  </w:style>
  <w:style w:type="paragraph" w:customStyle="1" w:styleId="HeaderFooter">
    <w:name w:val="Header &amp; Footer"/>
    <w:basedOn w:val="Normal"/>
    <w:semiHidden/>
    <w:rsid w:val="00591951"/>
    <w:pPr>
      <w:spacing w:line="200" w:lineRule="exact"/>
      <w:jc w:val="both"/>
    </w:pPr>
    <w:rPr>
      <w:rFonts w:eastAsia="Times New Roman"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uiPriority w:val="99"/>
    <w:semiHidden/>
    <w:locked/>
    <w:rsid w:val="00A96892"/>
    <w:pPr>
      <w:spacing w:before="0" w:after="0"/>
    </w:pPr>
    <w:rPr>
      <w:rFonts w:ascii="Tahoma" w:hAnsi="Tahoma" w:cs="Tahoma"/>
      <w:sz w:val="16"/>
      <w:szCs w:val="16"/>
    </w:rPr>
  </w:style>
  <w:style w:type="character" w:customStyle="1" w:styleId="BalloonTextChar">
    <w:name w:val="Balloon Text Char"/>
    <w:link w:val="BalloonText"/>
    <w:uiPriority w:val="99"/>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uiPriority w:val="99"/>
    <w:locked/>
    <w:rsid w:val="00EB6A76"/>
    <w:rPr>
      <w:rFonts w:ascii="Arial" w:hAnsi="Arial"/>
      <w:lang w:bidi="ar-SA"/>
    </w:rPr>
  </w:style>
  <w:style w:type="character" w:customStyle="1" w:styleId="SubtitleChar">
    <w:name w:val="Subtitle Char"/>
    <w:link w:val="Subtitle"/>
    <w:uiPriority w:val="11"/>
    <w:rsid w:val="00323C73"/>
    <w:rPr>
      <w:rFonts w:ascii="Arial" w:eastAsia="MS Mincho" w:hAnsi="Arial" w:cs="Arial"/>
      <w:b/>
      <w:caps/>
      <w:sz w:val="26"/>
      <w:szCs w:val="24"/>
    </w:rPr>
  </w:style>
  <w:style w:type="paragraph" w:customStyle="1" w:styleId="SubmissionNormal">
    <w:name w:val="Submission Normal"/>
    <w:basedOn w:val="Normal"/>
    <w:link w:val="SubmissionNormalChar"/>
    <w:rsid w:val="00B34946"/>
    <w:pPr>
      <w:numPr>
        <w:numId w:val="15"/>
      </w:numPr>
      <w:tabs>
        <w:tab w:val="clear" w:pos="720"/>
      </w:tabs>
      <w:ind w:hanging="720"/>
    </w:pPr>
    <w:rPr>
      <w:rFonts w:eastAsia="Times New Roman"/>
    </w:rPr>
  </w:style>
  <w:style w:type="character" w:customStyle="1" w:styleId="SubmissionNormalChar">
    <w:name w:val="Submission Normal Char"/>
    <w:link w:val="SubmissionNormal"/>
    <w:rsid w:val="00B34946"/>
    <w:rPr>
      <w:rFonts w:ascii="Arial" w:hAnsi="Arial"/>
      <w:sz w:val="24"/>
      <w:szCs w:val="24"/>
    </w:rPr>
  </w:style>
  <w:style w:type="paragraph" w:customStyle="1" w:styleId="coveraddresses">
    <w:name w:val="cover addresses"/>
    <w:basedOn w:val="Footer"/>
    <w:qFormat/>
    <w:rsid w:val="00730BD2"/>
    <w:pPr>
      <w:spacing w:after="40"/>
    </w:pPr>
    <w:rPr>
      <w:szCs w:val="16"/>
    </w:rPr>
  </w:style>
  <w:style w:type="paragraph" w:customStyle="1" w:styleId="coveraddress">
    <w:name w:val="cover address"/>
    <w:basedOn w:val="coveraddresses"/>
    <w:qFormat/>
    <w:rsid w:val="00730BD2"/>
  </w:style>
  <w:style w:type="paragraph" w:styleId="ListParagraph">
    <w:name w:val="List Paragraph"/>
    <w:aliases w:val="L,List Paragraph1,List Paragraph11,Recommendation,EOT List Paragraph,Bullet point,List Paragraph Number,#List Paragraph,Number,List Paragraph111,F5 List Paragraph,Dot pt,CV text,Table text,Medium Grid 1 - Accent 21,Numbered Paragraph"/>
    <w:basedOn w:val="Normal"/>
    <w:link w:val="ListParagraphChar"/>
    <w:uiPriority w:val="34"/>
    <w:rsid w:val="00485E58"/>
    <w:pPr>
      <w:ind w:left="720"/>
      <w:contextualSpacing/>
    </w:pPr>
  </w:style>
  <w:style w:type="table" w:styleId="GridTable2-Accent1">
    <w:name w:val="Grid Table 2 Accent 1"/>
    <w:basedOn w:val="TableNormal"/>
    <w:uiPriority w:val="47"/>
    <w:rsid w:val="00163C91"/>
    <w:tblPr>
      <w:tblStyleRowBandSize w:val="1"/>
      <w:tblStyleColBandSize w:val="1"/>
      <w:tblBorders>
        <w:top w:val="single" w:sz="2" w:space="0" w:color="F9B268" w:themeColor="accent1" w:themeTint="99"/>
        <w:bottom w:val="single" w:sz="2" w:space="0" w:color="F9B268" w:themeColor="accent1" w:themeTint="99"/>
        <w:insideH w:val="single" w:sz="2" w:space="0" w:color="F9B268" w:themeColor="accent1" w:themeTint="99"/>
        <w:insideV w:val="single" w:sz="2" w:space="0" w:color="F9B268" w:themeColor="accent1" w:themeTint="99"/>
      </w:tblBorders>
    </w:tblPr>
    <w:tblStylePr w:type="firstRow">
      <w:rPr>
        <w:b/>
        <w:bCs/>
      </w:rPr>
      <w:tblPr/>
      <w:tcPr>
        <w:tcBorders>
          <w:top w:val="nil"/>
          <w:bottom w:val="single" w:sz="12" w:space="0" w:color="F9B268" w:themeColor="accent1" w:themeTint="99"/>
          <w:insideH w:val="nil"/>
          <w:insideV w:val="nil"/>
        </w:tcBorders>
        <w:shd w:val="clear" w:color="auto" w:fill="FFFFFF" w:themeFill="background1"/>
      </w:tcPr>
    </w:tblStylePr>
    <w:tblStylePr w:type="lastRow">
      <w:rPr>
        <w:b/>
        <w:bCs/>
      </w:rPr>
      <w:tblPr/>
      <w:tcPr>
        <w:tcBorders>
          <w:top w:val="double" w:sz="2" w:space="0" w:color="F9B26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LightGrid-Accent1">
    <w:name w:val="Light Grid Accent 1"/>
    <w:basedOn w:val="TableNormal"/>
    <w:uiPriority w:val="62"/>
    <w:rsid w:val="00B86A8A"/>
    <w:tblPr>
      <w:tblStyleRowBandSize w:val="1"/>
      <w:tblStyleColBandSize w:val="1"/>
      <w:tblBorders>
        <w:top w:val="single" w:sz="8" w:space="0" w:color="F07F09" w:themeColor="accent1"/>
        <w:left w:val="single" w:sz="8" w:space="0" w:color="F07F09" w:themeColor="accent1"/>
        <w:bottom w:val="single" w:sz="8" w:space="0" w:color="F07F09" w:themeColor="accent1"/>
        <w:right w:val="single" w:sz="8" w:space="0" w:color="F07F09" w:themeColor="accent1"/>
        <w:insideH w:val="single" w:sz="8" w:space="0" w:color="F07F09" w:themeColor="accent1"/>
        <w:insideV w:val="single" w:sz="8" w:space="0" w:color="F07F0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7F09" w:themeColor="accent1"/>
          <w:left w:val="single" w:sz="8" w:space="0" w:color="F07F09" w:themeColor="accent1"/>
          <w:bottom w:val="single" w:sz="18" w:space="0" w:color="F07F09" w:themeColor="accent1"/>
          <w:right w:val="single" w:sz="8" w:space="0" w:color="F07F09" w:themeColor="accent1"/>
          <w:insideH w:val="nil"/>
          <w:insideV w:val="single" w:sz="8" w:space="0" w:color="F07F0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7F09" w:themeColor="accent1"/>
          <w:left w:val="single" w:sz="8" w:space="0" w:color="F07F09" w:themeColor="accent1"/>
          <w:bottom w:val="single" w:sz="8" w:space="0" w:color="F07F09" w:themeColor="accent1"/>
          <w:right w:val="single" w:sz="8" w:space="0" w:color="F07F09" w:themeColor="accent1"/>
          <w:insideH w:val="nil"/>
          <w:insideV w:val="single" w:sz="8" w:space="0" w:color="F07F0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7F09" w:themeColor="accent1"/>
          <w:left w:val="single" w:sz="8" w:space="0" w:color="F07F09" w:themeColor="accent1"/>
          <w:bottom w:val="single" w:sz="8" w:space="0" w:color="F07F09" w:themeColor="accent1"/>
          <w:right w:val="single" w:sz="8" w:space="0" w:color="F07F09" w:themeColor="accent1"/>
        </w:tcBorders>
      </w:tcPr>
    </w:tblStylePr>
    <w:tblStylePr w:type="band1Vert">
      <w:tblPr/>
      <w:tcPr>
        <w:tcBorders>
          <w:top w:val="single" w:sz="8" w:space="0" w:color="F07F09" w:themeColor="accent1"/>
          <w:left w:val="single" w:sz="8" w:space="0" w:color="F07F09" w:themeColor="accent1"/>
          <w:bottom w:val="single" w:sz="8" w:space="0" w:color="F07F09" w:themeColor="accent1"/>
          <w:right w:val="single" w:sz="8" w:space="0" w:color="F07F09" w:themeColor="accent1"/>
        </w:tcBorders>
        <w:shd w:val="clear" w:color="auto" w:fill="FCDFC0" w:themeFill="accent1" w:themeFillTint="3F"/>
      </w:tcPr>
    </w:tblStylePr>
    <w:tblStylePr w:type="band1Horz">
      <w:tblPr/>
      <w:tcPr>
        <w:tcBorders>
          <w:top w:val="single" w:sz="8" w:space="0" w:color="F07F09" w:themeColor="accent1"/>
          <w:left w:val="single" w:sz="8" w:space="0" w:color="F07F09" w:themeColor="accent1"/>
          <w:bottom w:val="single" w:sz="8" w:space="0" w:color="F07F09" w:themeColor="accent1"/>
          <w:right w:val="single" w:sz="8" w:space="0" w:color="F07F09" w:themeColor="accent1"/>
          <w:insideV w:val="single" w:sz="8" w:space="0" w:color="F07F09" w:themeColor="accent1"/>
        </w:tcBorders>
        <w:shd w:val="clear" w:color="auto" w:fill="FCDFC0" w:themeFill="accent1" w:themeFillTint="3F"/>
      </w:tcPr>
    </w:tblStylePr>
    <w:tblStylePr w:type="band2Horz">
      <w:tblPr/>
      <w:tcPr>
        <w:tcBorders>
          <w:top w:val="single" w:sz="8" w:space="0" w:color="F07F09" w:themeColor="accent1"/>
          <w:left w:val="single" w:sz="8" w:space="0" w:color="F07F09" w:themeColor="accent1"/>
          <w:bottom w:val="single" w:sz="8" w:space="0" w:color="F07F09" w:themeColor="accent1"/>
          <w:right w:val="single" w:sz="8" w:space="0" w:color="F07F09" w:themeColor="accent1"/>
          <w:insideV w:val="single" w:sz="8" w:space="0" w:color="F07F09" w:themeColor="accent1"/>
        </w:tcBorders>
      </w:tcPr>
    </w:tblStylePr>
  </w:style>
  <w:style w:type="character" w:customStyle="1" w:styleId="DateChar">
    <w:name w:val="Date Char"/>
    <w:link w:val="Date"/>
    <w:semiHidden/>
    <w:rsid w:val="00343DBD"/>
    <w:rPr>
      <w:rFonts w:ascii="Arial" w:eastAsia="MS Mincho" w:hAnsi="Arial"/>
      <w:color w:val="595959"/>
      <w:sz w:val="26"/>
      <w:szCs w:val="24"/>
    </w:rPr>
  </w:style>
  <w:style w:type="character" w:customStyle="1" w:styleId="ListParagraphChar">
    <w:name w:val="List Paragraph Char"/>
    <w:aliases w:val="L Char,List Paragraph1 Char,List Paragraph11 Char,Recommendation Char,EOT List Paragraph Char,Bullet point Char,List Paragraph Number Char,#List Paragraph Char,Number Char,List Paragraph111 Char,F5 List Paragraph Char,Dot pt Char"/>
    <w:link w:val="ListParagraph"/>
    <w:uiPriority w:val="34"/>
    <w:qFormat/>
    <w:rsid w:val="00343DBD"/>
    <w:rPr>
      <w:rFonts w:ascii="Arial" w:eastAsia="MS Mincho" w:hAnsi="Arial"/>
      <w:sz w:val="24"/>
      <w:szCs w:val="24"/>
    </w:rPr>
  </w:style>
  <w:style w:type="table" w:styleId="GridTable6Colorful-Accent1">
    <w:name w:val="Grid Table 6 Colorful Accent 1"/>
    <w:basedOn w:val="TableNormal"/>
    <w:uiPriority w:val="51"/>
    <w:rsid w:val="00343DBD"/>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MediumGrid1-Accent1">
    <w:name w:val="Medium Grid 1 Accent 1"/>
    <w:basedOn w:val="TableNormal"/>
    <w:uiPriority w:val="67"/>
    <w:rsid w:val="00F32F2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dTable1Light-Accent1">
    <w:name w:val="Grid Table 1 Light Accent 1"/>
    <w:basedOn w:val="TableNormal"/>
    <w:uiPriority w:val="46"/>
    <w:rsid w:val="0000168C"/>
    <w:tblPr>
      <w:tblStyleRowBandSize w:val="1"/>
      <w:tblStyleColBandSize w:val="1"/>
      <w:tblBorders>
        <w:top w:val="single" w:sz="4" w:space="0" w:color="FBCB9A" w:themeColor="accent1" w:themeTint="66"/>
        <w:left w:val="single" w:sz="4" w:space="0" w:color="FBCB9A" w:themeColor="accent1" w:themeTint="66"/>
        <w:bottom w:val="single" w:sz="4" w:space="0" w:color="FBCB9A" w:themeColor="accent1" w:themeTint="66"/>
        <w:right w:val="single" w:sz="4" w:space="0" w:color="FBCB9A" w:themeColor="accent1" w:themeTint="66"/>
        <w:insideH w:val="single" w:sz="4" w:space="0" w:color="FBCB9A" w:themeColor="accent1" w:themeTint="66"/>
        <w:insideV w:val="single" w:sz="4" w:space="0" w:color="FBCB9A" w:themeColor="accent1" w:themeTint="66"/>
      </w:tblBorders>
    </w:tblPr>
    <w:tblStylePr w:type="firstRow">
      <w:rPr>
        <w:b/>
        <w:bCs/>
      </w:rPr>
      <w:tblPr/>
      <w:tcPr>
        <w:tcBorders>
          <w:bottom w:val="single" w:sz="12" w:space="0" w:color="F9B268" w:themeColor="accent1" w:themeTint="99"/>
        </w:tcBorders>
      </w:tcPr>
    </w:tblStylePr>
    <w:tblStylePr w:type="lastRow">
      <w:rPr>
        <w:b/>
        <w:bCs/>
      </w:rPr>
      <w:tblPr/>
      <w:tcPr>
        <w:tcBorders>
          <w:top w:val="double" w:sz="2" w:space="0" w:color="F9B268" w:themeColor="accent1"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601A0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otnoteTextChar">
    <w:name w:val="Footnote Text Char"/>
    <w:link w:val="FootnoteText"/>
    <w:uiPriority w:val="99"/>
    <w:rsid w:val="00705B08"/>
    <w:rPr>
      <w:rFonts w:ascii="Arial" w:eastAsia="MS Mincho" w:hAnsi="Arial"/>
    </w:rPr>
  </w:style>
  <w:style w:type="table" w:styleId="GridTable6Colorful-Accent5">
    <w:name w:val="Grid Table 6 Colorful Accent 5"/>
    <w:basedOn w:val="TableNormal"/>
    <w:uiPriority w:val="51"/>
    <w:rsid w:val="00BA7141"/>
    <w:rPr>
      <w:color w:val="473659" w:themeColor="accent5" w:themeShade="BF"/>
    </w:rPr>
    <w:tblPr>
      <w:tblStyleRowBandSize w:val="1"/>
      <w:tblStyleColBandSize w:val="1"/>
      <w:tblBorders>
        <w:top w:val="single" w:sz="4" w:space="0" w:color="9F87B7" w:themeColor="accent5" w:themeTint="99"/>
        <w:left w:val="single" w:sz="4" w:space="0" w:color="9F87B7" w:themeColor="accent5" w:themeTint="99"/>
        <w:bottom w:val="single" w:sz="4" w:space="0" w:color="9F87B7" w:themeColor="accent5" w:themeTint="99"/>
        <w:right w:val="single" w:sz="4" w:space="0" w:color="9F87B7" w:themeColor="accent5" w:themeTint="99"/>
        <w:insideH w:val="single" w:sz="4" w:space="0" w:color="9F87B7" w:themeColor="accent5" w:themeTint="99"/>
        <w:insideV w:val="single" w:sz="4" w:space="0" w:color="9F87B7" w:themeColor="accent5" w:themeTint="99"/>
      </w:tblBorders>
    </w:tblPr>
    <w:tblStylePr w:type="firstRow">
      <w:rPr>
        <w:b/>
        <w:bCs/>
      </w:rPr>
      <w:tblPr/>
      <w:tcPr>
        <w:tcBorders>
          <w:bottom w:val="single" w:sz="12" w:space="0" w:color="9F87B7" w:themeColor="accent5" w:themeTint="99"/>
        </w:tcBorders>
      </w:tcPr>
    </w:tblStylePr>
    <w:tblStylePr w:type="lastRow">
      <w:rPr>
        <w:b/>
        <w:bCs/>
      </w:rPr>
      <w:tblPr/>
      <w:tcPr>
        <w:tcBorders>
          <w:top w:val="double" w:sz="4" w:space="0" w:color="9F87B7" w:themeColor="accent5" w:themeTint="99"/>
        </w:tcBorders>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styleId="GridTable7Colorful-Accent5">
    <w:name w:val="Grid Table 7 Colorful Accent 5"/>
    <w:basedOn w:val="TableNormal"/>
    <w:uiPriority w:val="52"/>
    <w:rsid w:val="00BA7141"/>
    <w:rPr>
      <w:color w:val="473659" w:themeColor="accent5" w:themeShade="BF"/>
    </w:rPr>
    <w:tblPr>
      <w:tblStyleRowBandSize w:val="1"/>
      <w:tblStyleColBandSize w:val="1"/>
      <w:tblBorders>
        <w:top w:val="single" w:sz="4" w:space="0" w:color="9F87B7" w:themeColor="accent5" w:themeTint="99"/>
        <w:left w:val="single" w:sz="4" w:space="0" w:color="9F87B7" w:themeColor="accent5" w:themeTint="99"/>
        <w:bottom w:val="single" w:sz="4" w:space="0" w:color="9F87B7" w:themeColor="accent5" w:themeTint="99"/>
        <w:right w:val="single" w:sz="4" w:space="0" w:color="9F87B7" w:themeColor="accent5" w:themeTint="99"/>
        <w:insideH w:val="single" w:sz="4" w:space="0" w:color="9F87B7" w:themeColor="accent5" w:themeTint="99"/>
        <w:insideV w:val="single" w:sz="4" w:space="0" w:color="9F87B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7E7" w:themeFill="accent5" w:themeFillTint="33"/>
      </w:tcPr>
    </w:tblStylePr>
    <w:tblStylePr w:type="band1Horz">
      <w:tblPr/>
      <w:tcPr>
        <w:shd w:val="clear" w:color="auto" w:fill="DFD7E7" w:themeFill="accent5" w:themeFillTint="33"/>
      </w:tcPr>
    </w:tblStylePr>
    <w:tblStylePr w:type="neCell">
      <w:tblPr/>
      <w:tcPr>
        <w:tcBorders>
          <w:bottom w:val="single" w:sz="4" w:space="0" w:color="9F87B7" w:themeColor="accent5" w:themeTint="99"/>
        </w:tcBorders>
      </w:tcPr>
    </w:tblStylePr>
    <w:tblStylePr w:type="nwCell">
      <w:tblPr/>
      <w:tcPr>
        <w:tcBorders>
          <w:bottom w:val="single" w:sz="4" w:space="0" w:color="9F87B7" w:themeColor="accent5" w:themeTint="99"/>
        </w:tcBorders>
      </w:tcPr>
    </w:tblStylePr>
    <w:tblStylePr w:type="seCell">
      <w:tblPr/>
      <w:tcPr>
        <w:tcBorders>
          <w:top w:val="single" w:sz="4" w:space="0" w:color="9F87B7" w:themeColor="accent5" w:themeTint="99"/>
        </w:tcBorders>
      </w:tcPr>
    </w:tblStylePr>
    <w:tblStylePr w:type="swCell">
      <w:tblPr/>
      <w:tcPr>
        <w:tcBorders>
          <w:top w:val="single" w:sz="4" w:space="0" w:color="9F87B7" w:themeColor="accent5" w:themeTint="99"/>
        </w:tcBorders>
      </w:tcPr>
    </w:tblStylePr>
  </w:style>
  <w:style w:type="character" w:customStyle="1" w:styleId="E-mailSignatureChar">
    <w:name w:val="E-mail Signature Char"/>
    <w:link w:val="E-mailSignature"/>
    <w:semiHidden/>
    <w:rsid w:val="006353EA"/>
    <w:rPr>
      <w:rFonts w:ascii="Arial" w:eastAsia="MS Mincho" w:hAnsi="Arial"/>
      <w:sz w:val="24"/>
      <w:szCs w:val="24"/>
    </w:rPr>
  </w:style>
  <w:style w:type="character" w:customStyle="1" w:styleId="TitleChar">
    <w:name w:val="Title Char"/>
    <w:link w:val="Title"/>
    <w:uiPriority w:val="10"/>
    <w:rsid w:val="006353EA"/>
    <w:rPr>
      <w:rFonts w:ascii="Arial" w:eastAsia="MS Mincho" w:hAnsi="Arial" w:cs="Arial"/>
      <w:b/>
      <w:bCs/>
      <w:kern w:val="28"/>
      <w:sz w:val="32"/>
      <w:szCs w:val="32"/>
    </w:rPr>
  </w:style>
  <w:style w:type="table" w:styleId="MediumGrid3-Accent1">
    <w:name w:val="Medium Grid 3 Accent 1"/>
    <w:basedOn w:val="TableNormal"/>
    <w:uiPriority w:val="69"/>
    <w:rsid w:val="006353E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3">
    <w:name w:val="Medium Grid 3 Accent 3"/>
    <w:basedOn w:val="TableNormal"/>
    <w:uiPriority w:val="69"/>
    <w:rsid w:val="006353E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2">
    <w:name w:val="Medium Grid 3 Accent 2"/>
    <w:basedOn w:val="TableNormal"/>
    <w:uiPriority w:val="69"/>
    <w:rsid w:val="006353E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dTable5Dark-Accent4">
    <w:name w:val="Grid Table 5 Dark Accent 4"/>
    <w:basedOn w:val="TableNormal"/>
    <w:uiPriority w:val="50"/>
    <w:rsid w:val="006C49C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paragraph" w:customStyle="1" w:styleId="BoxText">
    <w:name w:val="Box Text"/>
    <w:basedOn w:val="Normal"/>
    <w:rsid w:val="006969A8"/>
    <w:pPr>
      <w:spacing w:before="60" w:after="60"/>
    </w:pPr>
    <w:rPr>
      <w:rFonts w:ascii="Calibri" w:eastAsia="Times New Roman" w:hAnsi="Calibri"/>
      <w:color w:val="000000"/>
      <w:sz w:val="16"/>
      <w:szCs w:val="20"/>
    </w:rPr>
  </w:style>
  <w:style w:type="character" w:styleId="CommentReference">
    <w:name w:val="annotation reference"/>
    <w:basedOn w:val="DefaultParagraphFont"/>
    <w:uiPriority w:val="99"/>
    <w:locked/>
    <w:rsid w:val="00260AB4"/>
    <w:rPr>
      <w:sz w:val="16"/>
      <w:szCs w:val="16"/>
    </w:rPr>
  </w:style>
  <w:style w:type="paragraph" w:styleId="CommentText">
    <w:name w:val="annotation text"/>
    <w:basedOn w:val="Normal"/>
    <w:link w:val="CommentTextChar"/>
    <w:uiPriority w:val="99"/>
    <w:locked/>
    <w:rsid w:val="00260AB4"/>
    <w:rPr>
      <w:sz w:val="20"/>
      <w:szCs w:val="20"/>
    </w:rPr>
  </w:style>
  <w:style w:type="character" w:customStyle="1" w:styleId="CommentTextChar">
    <w:name w:val="Comment Text Char"/>
    <w:basedOn w:val="DefaultParagraphFont"/>
    <w:link w:val="CommentText"/>
    <w:uiPriority w:val="99"/>
    <w:rsid w:val="00260AB4"/>
    <w:rPr>
      <w:rFonts w:ascii="Arial" w:eastAsia="MS Mincho" w:hAnsi="Arial"/>
    </w:rPr>
  </w:style>
  <w:style w:type="paragraph" w:styleId="CommentSubject">
    <w:name w:val="annotation subject"/>
    <w:basedOn w:val="CommentText"/>
    <w:next w:val="CommentText"/>
    <w:link w:val="CommentSubjectChar"/>
    <w:uiPriority w:val="99"/>
    <w:locked/>
    <w:rsid w:val="00260AB4"/>
    <w:rPr>
      <w:b/>
      <w:bCs/>
    </w:rPr>
  </w:style>
  <w:style w:type="character" w:customStyle="1" w:styleId="CommentSubjectChar">
    <w:name w:val="Comment Subject Char"/>
    <w:basedOn w:val="CommentTextChar"/>
    <w:link w:val="CommentSubject"/>
    <w:uiPriority w:val="99"/>
    <w:rsid w:val="00260AB4"/>
    <w:rPr>
      <w:rFonts w:ascii="Arial" w:eastAsia="MS Mincho" w:hAnsi="Arial"/>
      <w:b/>
      <w:bCs/>
    </w:rPr>
  </w:style>
  <w:style w:type="paragraph" w:customStyle="1" w:styleId="subsection">
    <w:name w:val="subsection"/>
    <w:basedOn w:val="Normal"/>
    <w:rsid w:val="004960ED"/>
    <w:pPr>
      <w:spacing w:before="100" w:beforeAutospacing="1" w:after="100" w:afterAutospacing="1"/>
    </w:pPr>
    <w:rPr>
      <w:rFonts w:ascii="Times New Roman" w:eastAsia="Times New Roman" w:hAnsi="Times New Roman"/>
    </w:rPr>
  </w:style>
  <w:style w:type="paragraph" w:customStyle="1" w:styleId="paragraph">
    <w:name w:val="paragraph"/>
    <w:aliases w:val="a"/>
    <w:basedOn w:val="Normal"/>
    <w:link w:val="paragraphChar"/>
    <w:rsid w:val="004960ED"/>
    <w:pPr>
      <w:spacing w:before="100" w:beforeAutospacing="1" w:after="100" w:afterAutospacing="1"/>
    </w:pPr>
    <w:rPr>
      <w:rFonts w:ascii="Times New Roman" w:eastAsia="Times New Roman" w:hAnsi="Times New Roman"/>
    </w:rPr>
  </w:style>
  <w:style w:type="paragraph" w:customStyle="1" w:styleId="subsection2">
    <w:name w:val="subsection2"/>
    <w:basedOn w:val="Normal"/>
    <w:rsid w:val="004960ED"/>
    <w:pPr>
      <w:spacing w:before="100" w:beforeAutospacing="1" w:after="100" w:afterAutospacing="1"/>
    </w:pPr>
    <w:rPr>
      <w:rFonts w:ascii="Times New Roman" w:eastAsia="Times New Roman" w:hAnsi="Times New Roman"/>
    </w:rPr>
  </w:style>
  <w:style w:type="paragraph" w:customStyle="1" w:styleId="acthead5">
    <w:name w:val="acthead5"/>
    <w:basedOn w:val="Normal"/>
    <w:rsid w:val="00F80943"/>
    <w:pPr>
      <w:spacing w:before="100" w:beforeAutospacing="1" w:after="100" w:afterAutospacing="1"/>
    </w:pPr>
    <w:rPr>
      <w:rFonts w:ascii="Times New Roman" w:eastAsia="Times New Roman" w:hAnsi="Times New Roman"/>
    </w:rPr>
  </w:style>
  <w:style w:type="character" w:customStyle="1" w:styleId="charsectno">
    <w:name w:val="charsectno"/>
    <w:basedOn w:val="DefaultParagraphFont"/>
    <w:rsid w:val="00F80943"/>
  </w:style>
  <w:style w:type="paragraph" w:customStyle="1" w:styleId="paragraphsub">
    <w:name w:val="paragraphsub"/>
    <w:basedOn w:val="Normal"/>
    <w:rsid w:val="0035037D"/>
    <w:pPr>
      <w:spacing w:before="100" w:beforeAutospacing="1" w:after="100" w:afterAutospacing="1"/>
    </w:pPr>
    <w:rPr>
      <w:rFonts w:ascii="Times New Roman" w:eastAsia="Times New Roman" w:hAnsi="Times New Roman"/>
    </w:rPr>
  </w:style>
  <w:style w:type="paragraph" w:customStyle="1" w:styleId="definition">
    <w:name w:val="definition"/>
    <w:basedOn w:val="Normal"/>
    <w:rsid w:val="00B359B6"/>
    <w:pPr>
      <w:spacing w:before="100" w:beforeAutospacing="1" w:after="100" w:afterAutospacing="1"/>
    </w:pPr>
    <w:rPr>
      <w:rFonts w:ascii="Times New Roman" w:eastAsia="Times New Roman" w:hAnsi="Times New Roman"/>
    </w:rPr>
  </w:style>
  <w:style w:type="paragraph" w:styleId="Revision">
    <w:name w:val="Revision"/>
    <w:hidden/>
    <w:uiPriority w:val="99"/>
    <w:semiHidden/>
    <w:rsid w:val="00A254B5"/>
    <w:rPr>
      <w:rFonts w:ascii="Arial" w:eastAsia="MS Mincho" w:hAnsi="Arial"/>
      <w:sz w:val="24"/>
      <w:szCs w:val="24"/>
    </w:rPr>
  </w:style>
  <w:style w:type="character" w:customStyle="1" w:styleId="VEOHRCItalics">
    <w:name w:val="VEOHRC Italics"/>
    <w:uiPriority w:val="99"/>
    <w:rsid w:val="00393DDC"/>
    <w:rPr>
      <w:rFonts w:ascii="Arial" w:hAnsi="Arial"/>
      <w:i/>
      <w:iCs/>
    </w:rPr>
  </w:style>
  <w:style w:type="character" w:customStyle="1" w:styleId="apple-converted-space">
    <w:name w:val="apple-converted-space"/>
    <w:basedOn w:val="DefaultParagraphFont"/>
    <w:rsid w:val="00274948"/>
  </w:style>
  <w:style w:type="character" w:customStyle="1" w:styleId="UnresolvedMention1">
    <w:name w:val="Unresolved Mention1"/>
    <w:basedOn w:val="DefaultParagraphFont"/>
    <w:uiPriority w:val="99"/>
    <w:semiHidden/>
    <w:unhideWhenUsed/>
    <w:rsid w:val="00294413"/>
    <w:rPr>
      <w:color w:val="605E5C"/>
      <w:shd w:val="clear" w:color="auto" w:fill="E1DFDD"/>
    </w:rPr>
  </w:style>
  <w:style w:type="paragraph" w:styleId="NoSpacing">
    <w:name w:val="No Spacing"/>
    <w:link w:val="NoSpacingChar"/>
    <w:uiPriority w:val="1"/>
    <w:rsid w:val="00DA284F"/>
    <w:rPr>
      <w:rFonts w:ascii="Open Sans" w:hAnsi="Open Sans"/>
      <w:sz w:val="24"/>
      <w:szCs w:val="24"/>
    </w:rPr>
  </w:style>
  <w:style w:type="character" w:customStyle="1" w:styleId="UnresolvedMention2">
    <w:name w:val="Unresolved Mention2"/>
    <w:basedOn w:val="DefaultParagraphFont"/>
    <w:uiPriority w:val="99"/>
    <w:semiHidden/>
    <w:unhideWhenUsed/>
    <w:rsid w:val="00730870"/>
    <w:rPr>
      <w:color w:val="605E5C"/>
      <w:shd w:val="clear" w:color="auto" w:fill="E1DFDD"/>
    </w:rPr>
  </w:style>
  <w:style w:type="character" w:customStyle="1" w:styleId="article-title-and-info">
    <w:name w:val="article-title-and-info"/>
    <w:basedOn w:val="DefaultParagraphFont"/>
    <w:rsid w:val="003B114D"/>
  </w:style>
  <w:style w:type="character" w:customStyle="1" w:styleId="UnresolvedMention3">
    <w:name w:val="Unresolved Mention3"/>
    <w:basedOn w:val="DefaultParagraphFont"/>
    <w:uiPriority w:val="99"/>
    <w:semiHidden/>
    <w:unhideWhenUsed/>
    <w:rsid w:val="00664456"/>
    <w:rPr>
      <w:color w:val="605E5C"/>
      <w:shd w:val="clear" w:color="auto" w:fill="E1DFDD"/>
    </w:rPr>
  </w:style>
  <w:style w:type="character" w:styleId="UnresolvedMention">
    <w:name w:val="Unresolved Mention"/>
    <w:basedOn w:val="DefaultParagraphFont"/>
    <w:uiPriority w:val="99"/>
    <w:semiHidden/>
    <w:unhideWhenUsed/>
    <w:rsid w:val="00CC0883"/>
    <w:rPr>
      <w:color w:val="605E5C"/>
      <w:shd w:val="clear" w:color="auto" w:fill="E1DFDD"/>
    </w:rPr>
  </w:style>
  <w:style w:type="paragraph" w:customStyle="1" w:styleId="CopyrightText">
    <w:name w:val="Copyright Text"/>
    <w:basedOn w:val="Normal"/>
    <w:uiPriority w:val="99"/>
    <w:rsid w:val="003E36E0"/>
    <w:pPr>
      <w:tabs>
        <w:tab w:val="left" w:pos="567"/>
      </w:tabs>
      <w:suppressAutoHyphens/>
      <w:autoSpaceDE w:val="0"/>
      <w:autoSpaceDN w:val="0"/>
      <w:adjustRightInd w:val="0"/>
      <w:spacing w:before="0" w:after="57" w:line="288" w:lineRule="auto"/>
      <w:textAlignment w:val="center"/>
    </w:pPr>
    <w:rPr>
      <w:rFonts w:eastAsia="Times New Roman" w:cs="Open Sans"/>
      <w:color w:val="FFFFFF"/>
      <w:sz w:val="16"/>
      <w:szCs w:val="16"/>
      <w:u w:color="000000"/>
    </w:rPr>
  </w:style>
  <w:style w:type="character" w:customStyle="1" w:styleId="Bold">
    <w:name w:val="Bold"/>
    <w:uiPriority w:val="99"/>
    <w:rsid w:val="003E36E0"/>
    <w:rPr>
      <w:rFonts w:ascii="Open Sans" w:hAnsi="Open Sans" w:cs="Open Sans"/>
      <w:b/>
      <w:bCs/>
    </w:rPr>
  </w:style>
  <w:style w:type="paragraph" w:customStyle="1" w:styleId="HeadingInternalTitlePage">
    <w:name w:val="Heading Internal Title Page"/>
    <w:basedOn w:val="Normal"/>
    <w:uiPriority w:val="99"/>
    <w:rsid w:val="00C31D85"/>
    <w:pPr>
      <w:suppressAutoHyphens/>
      <w:autoSpaceDE w:val="0"/>
      <w:autoSpaceDN w:val="0"/>
      <w:adjustRightInd w:val="0"/>
      <w:spacing w:before="0" w:after="567" w:line="288" w:lineRule="auto"/>
      <w:jc w:val="center"/>
      <w:textAlignment w:val="center"/>
    </w:pPr>
    <w:rPr>
      <w:rFonts w:eastAsia="Times New Roman" w:cs="Open Sans"/>
      <w:color w:val="6D6E70"/>
      <w:sz w:val="52"/>
      <w:szCs w:val="52"/>
      <w:lang w:val="en-US"/>
    </w:rPr>
  </w:style>
  <w:style w:type="paragraph" w:customStyle="1" w:styleId="HeadingOrange">
    <w:name w:val="Heading Orange"/>
    <w:basedOn w:val="Normal"/>
    <w:rsid w:val="00F277FA"/>
    <w:pPr>
      <w:spacing w:before="0"/>
      <w:jc w:val="both"/>
    </w:pPr>
    <w:rPr>
      <w:rFonts w:ascii="Open Sans SemiBold" w:hAnsi="Open Sans SemiBold" w:cs="Open Sans"/>
      <w:b/>
      <w:bCs/>
      <w:color w:val="F06F1B"/>
      <w:sz w:val="28"/>
    </w:rPr>
  </w:style>
  <w:style w:type="paragraph" w:customStyle="1" w:styleId="Paragrafobase">
    <w:name w:val="[Paragrafo base]"/>
    <w:basedOn w:val="Normal"/>
    <w:uiPriority w:val="99"/>
    <w:rsid w:val="007873C8"/>
    <w:pPr>
      <w:suppressAutoHyphens/>
      <w:autoSpaceDE w:val="0"/>
      <w:autoSpaceDN w:val="0"/>
      <w:adjustRightInd w:val="0"/>
      <w:spacing w:before="0" w:after="170" w:line="288" w:lineRule="auto"/>
      <w:textAlignment w:val="center"/>
    </w:pPr>
    <w:rPr>
      <w:rFonts w:eastAsia="Times New Roman" w:cs="Open Sans"/>
      <w:color w:val="000000"/>
      <w:sz w:val="20"/>
      <w:szCs w:val="20"/>
      <w:lang w:val="en-US"/>
    </w:rPr>
  </w:style>
  <w:style w:type="paragraph" w:customStyle="1" w:styleId="Quote14ptWhite">
    <w:name w:val="Quote 14pt White"/>
    <w:basedOn w:val="Normal"/>
    <w:rsid w:val="00506E90"/>
    <w:rPr>
      <w:rFonts w:ascii="Open Sans Light" w:hAnsi="Open Sans Light"/>
      <w:i/>
      <w:iCs/>
      <w:color w:val="FFFFFF" w:themeColor="background1"/>
      <w:sz w:val="28"/>
      <w:szCs w:val="28"/>
    </w:rPr>
  </w:style>
  <w:style w:type="paragraph" w:customStyle="1" w:styleId="CommissionersTitle">
    <w:name w:val="Commissioners Title"/>
    <w:basedOn w:val="Normal"/>
    <w:uiPriority w:val="99"/>
    <w:rsid w:val="007873C8"/>
    <w:pPr>
      <w:suppressAutoHyphens/>
      <w:autoSpaceDE w:val="0"/>
      <w:autoSpaceDN w:val="0"/>
      <w:adjustRightInd w:val="0"/>
      <w:spacing w:before="0" w:after="113" w:line="288" w:lineRule="auto"/>
      <w:jc w:val="right"/>
      <w:textAlignment w:val="center"/>
    </w:pPr>
    <w:rPr>
      <w:rFonts w:ascii="Open Sans Light" w:eastAsia="Times New Roman" w:hAnsi="Open Sans Light" w:cs="Open Sans Light"/>
      <w:i/>
      <w:iCs/>
      <w:color w:val="000000"/>
      <w:sz w:val="21"/>
      <w:szCs w:val="21"/>
      <w:lang w:val="en-US"/>
    </w:rPr>
  </w:style>
  <w:style w:type="character" w:customStyle="1" w:styleId="StyleHyperlink9pt">
    <w:name w:val="Style Hyperlink + 9 pt"/>
    <w:basedOn w:val="Hyperlink"/>
    <w:rsid w:val="004E2282"/>
    <w:rPr>
      <w:color w:val="1B587C" w:themeColor="accent3"/>
      <w:sz w:val="18"/>
      <w:u w:val="single"/>
    </w:rPr>
  </w:style>
  <w:style w:type="paragraph" w:customStyle="1" w:styleId="Bullet">
    <w:name w:val="Bullet"/>
    <w:basedOn w:val="Normal"/>
    <w:link w:val="BulletChar"/>
    <w:qFormat/>
    <w:rsid w:val="00AA5587"/>
    <w:pPr>
      <w:numPr>
        <w:numId w:val="148"/>
      </w:numPr>
      <w:spacing w:after="120" w:line="288" w:lineRule="auto"/>
      <w:ind w:left="426" w:hanging="437"/>
    </w:pPr>
  </w:style>
  <w:style w:type="character" w:customStyle="1" w:styleId="BulletChar">
    <w:name w:val="Bullet Char"/>
    <w:basedOn w:val="DefaultParagraphFont"/>
    <w:link w:val="Bullet"/>
    <w:rsid w:val="00AA5587"/>
    <w:rPr>
      <w:rFonts w:ascii="Open Sans" w:eastAsia="MS Mincho" w:hAnsi="Open Sans"/>
      <w:sz w:val="24"/>
      <w:szCs w:val="24"/>
    </w:rPr>
  </w:style>
  <w:style w:type="paragraph" w:styleId="Quote">
    <w:name w:val="Quote"/>
    <w:basedOn w:val="Normal"/>
    <w:next w:val="Normal"/>
    <w:link w:val="QuoteChar"/>
    <w:uiPriority w:val="29"/>
    <w:qFormat/>
    <w:rsid w:val="00FE2F05"/>
    <w:pPr>
      <w:keepLines w:val="0"/>
      <w:pBdr>
        <w:left w:val="single" w:sz="12" w:space="5" w:color="1B587C" w:themeColor="accent3"/>
      </w:pBdr>
      <w:shd w:val="clear" w:color="auto" w:fill="C3E0F2" w:themeFill="accent3" w:themeFillTint="33"/>
      <w:spacing w:before="360" w:after="360"/>
    </w:pPr>
    <w:rPr>
      <w:rFonts w:eastAsiaTheme="minorHAnsi" w:cstheme="minorBidi"/>
      <w:color w:val="1B587C" w:themeColor="accent3"/>
      <w:kern w:val="2"/>
      <w:lang w:eastAsia="en-US"/>
      <w14:ligatures w14:val="standardContextual"/>
    </w:rPr>
  </w:style>
  <w:style w:type="character" w:customStyle="1" w:styleId="QuoteChar">
    <w:name w:val="Quote Char"/>
    <w:basedOn w:val="DefaultParagraphFont"/>
    <w:link w:val="Quote"/>
    <w:uiPriority w:val="29"/>
    <w:rsid w:val="00FE2F05"/>
    <w:rPr>
      <w:rFonts w:ascii="Open Sans" w:eastAsiaTheme="minorHAnsi" w:hAnsi="Open Sans" w:cstheme="minorBidi"/>
      <w:color w:val="1B587C" w:themeColor="accent3"/>
      <w:kern w:val="2"/>
      <w:sz w:val="24"/>
      <w:szCs w:val="24"/>
      <w:shd w:val="clear" w:color="auto" w:fill="C3E0F2" w:themeFill="accent3" w:themeFillTint="33"/>
      <w:lang w:eastAsia="en-US"/>
      <w14:ligatures w14:val="standardContextual"/>
    </w:rPr>
  </w:style>
  <w:style w:type="character" w:styleId="IntenseEmphasis">
    <w:name w:val="Intense Emphasis"/>
    <w:basedOn w:val="DefaultParagraphFont"/>
    <w:uiPriority w:val="21"/>
    <w:rsid w:val="00CE2DB6"/>
    <w:rPr>
      <w:i/>
      <w:iCs/>
      <w:color w:val="B35E06" w:themeColor="accent1" w:themeShade="BF"/>
    </w:rPr>
  </w:style>
  <w:style w:type="paragraph" w:styleId="IntenseQuote">
    <w:name w:val="Intense Quote"/>
    <w:basedOn w:val="Normal"/>
    <w:next w:val="Normal"/>
    <w:link w:val="IntenseQuoteChar"/>
    <w:uiPriority w:val="30"/>
    <w:rsid w:val="00CE2DB6"/>
    <w:pPr>
      <w:keepLines w:val="0"/>
      <w:pBdr>
        <w:top w:val="single" w:sz="4" w:space="10" w:color="B35E06" w:themeColor="accent1" w:themeShade="BF"/>
        <w:bottom w:val="single" w:sz="4" w:space="10" w:color="B35E06" w:themeColor="accent1" w:themeShade="BF"/>
      </w:pBdr>
      <w:spacing w:before="360" w:after="360" w:line="278" w:lineRule="auto"/>
      <w:ind w:left="864" w:right="864"/>
      <w:jc w:val="center"/>
    </w:pPr>
    <w:rPr>
      <w:rFonts w:asciiTheme="minorHAnsi" w:eastAsiaTheme="minorHAnsi" w:hAnsiTheme="minorHAnsi" w:cstheme="minorBidi"/>
      <w:i/>
      <w:iCs/>
      <w:color w:val="B35E0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CE2DB6"/>
    <w:rPr>
      <w:rFonts w:asciiTheme="minorHAnsi" w:eastAsiaTheme="minorHAnsi" w:hAnsiTheme="minorHAnsi" w:cstheme="minorBidi"/>
      <w:i/>
      <w:iCs/>
      <w:color w:val="B35E06" w:themeColor="accent1" w:themeShade="BF"/>
      <w:kern w:val="2"/>
      <w:sz w:val="24"/>
      <w:szCs w:val="24"/>
      <w:lang w:eastAsia="en-US"/>
      <w14:ligatures w14:val="standardContextual"/>
    </w:rPr>
  </w:style>
  <w:style w:type="character" w:styleId="IntenseReference">
    <w:name w:val="Intense Reference"/>
    <w:basedOn w:val="DefaultParagraphFont"/>
    <w:uiPriority w:val="32"/>
    <w:rsid w:val="00CE2DB6"/>
    <w:rPr>
      <w:b/>
      <w:bCs/>
      <w:smallCaps/>
      <w:color w:val="B35E06" w:themeColor="accent1" w:themeShade="BF"/>
      <w:spacing w:val="5"/>
    </w:rPr>
  </w:style>
  <w:style w:type="character" w:customStyle="1" w:styleId="BodyTextChar">
    <w:name w:val="Body Text Char"/>
    <w:basedOn w:val="DefaultParagraphFont"/>
    <w:link w:val="BodyText"/>
    <w:uiPriority w:val="99"/>
    <w:rsid w:val="00CE2DB6"/>
    <w:rPr>
      <w:rFonts w:ascii="Open Sans" w:eastAsia="MS Mincho" w:hAnsi="Open Sans"/>
      <w:sz w:val="24"/>
      <w:szCs w:val="24"/>
    </w:rPr>
  </w:style>
  <w:style w:type="character" w:styleId="Mention">
    <w:name w:val="Mention"/>
    <w:basedOn w:val="DefaultParagraphFont"/>
    <w:uiPriority w:val="99"/>
    <w:unhideWhenUsed/>
    <w:rsid w:val="00CE2DB6"/>
    <w:rPr>
      <w:color w:val="2B579A"/>
      <w:shd w:val="clear" w:color="auto" w:fill="E1DFDD"/>
    </w:rPr>
  </w:style>
  <w:style w:type="paragraph" w:customStyle="1" w:styleId="BodyCallout">
    <w:name w:val="Body Callout"/>
    <w:basedOn w:val="BodyText"/>
    <w:rsid w:val="00CE2DB6"/>
    <w:pPr>
      <w:keepLines w:val="0"/>
      <w:pBdr>
        <w:top w:val="single" w:sz="4" w:space="1" w:color="auto"/>
        <w:left w:val="single" w:sz="4" w:space="4" w:color="auto"/>
        <w:bottom w:val="single" w:sz="4" w:space="1" w:color="auto"/>
        <w:right w:val="single" w:sz="4" w:space="4" w:color="auto"/>
      </w:pBdr>
      <w:shd w:val="clear" w:color="auto" w:fill="F2F2F2" w:themeFill="background1" w:themeFillShade="F2"/>
      <w:snapToGrid w:val="0"/>
      <w:spacing w:before="120" w:after="0" w:line="360" w:lineRule="auto"/>
    </w:pPr>
    <w:rPr>
      <w:rFonts w:asciiTheme="minorHAnsi" w:eastAsia="Public Sans" w:hAnsiTheme="minorHAnsi" w:cs="Public Sans"/>
      <w:lang w:val="en-GB" w:eastAsia="en-GB"/>
    </w:rPr>
  </w:style>
  <w:style w:type="character" w:customStyle="1" w:styleId="paragraphChar">
    <w:name w:val="paragraph Char"/>
    <w:aliases w:val="a Char"/>
    <w:link w:val="paragraph"/>
    <w:rsid w:val="00CE2DB6"/>
    <w:rPr>
      <w:sz w:val="24"/>
      <w:szCs w:val="24"/>
    </w:rPr>
  </w:style>
  <w:style w:type="character" w:customStyle="1" w:styleId="normaltextrun">
    <w:name w:val="normaltextrun"/>
    <w:basedOn w:val="DefaultParagraphFont"/>
    <w:rsid w:val="00CE2DB6"/>
  </w:style>
  <w:style w:type="character" w:customStyle="1" w:styleId="eop">
    <w:name w:val="eop"/>
    <w:basedOn w:val="DefaultParagraphFont"/>
    <w:rsid w:val="00CE2DB6"/>
  </w:style>
  <w:style w:type="paragraph" w:customStyle="1" w:styleId="BodyQuote">
    <w:name w:val="BodyQuote"/>
    <w:basedOn w:val="BodyText"/>
    <w:next w:val="BodyText"/>
    <w:rsid w:val="00CE2DB6"/>
    <w:pPr>
      <w:keepLines w:val="0"/>
      <w:snapToGrid w:val="0"/>
      <w:spacing w:before="120" w:line="360" w:lineRule="auto"/>
      <w:ind w:left="567" w:right="567"/>
      <w:mirrorIndents/>
    </w:pPr>
    <w:rPr>
      <w:rFonts w:asciiTheme="minorHAnsi" w:eastAsiaTheme="minorHAnsi" w:hAnsiTheme="minorHAnsi" w:cstheme="minorBidi"/>
      <w:i/>
      <w:lang w:eastAsia="en-US"/>
    </w:rPr>
  </w:style>
  <w:style w:type="paragraph" w:styleId="Caption">
    <w:name w:val="caption"/>
    <w:basedOn w:val="Normal"/>
    <w:next w:val="Normal"/>
    <w:uiPriority w:val="35"/>
    <w:unhideWhenUsed/>
    <w:qFormat/>
    <w:locked/>
    <w:rsid w:val="00717A7D"/>
    <w:pPr>
      <w:keepLines w:val="0"/>
      <w:snapToGrid w:val="0"/>
      <w:spacing w:before="360" w:after="200"/>
    </w:pPr>
    <w:rPr>
      <w:rFonts w:ascii="Open Sans SemiBold" w:eastAsiaTheme="minorHAnsi" w:hAnsi="Open Sans SemiBold" w:cstheme="minorBidi"/>
      <w:iCs/>
      <w:color w:val="323232" w:themeColor="text2"/>
      <w:szCs w:val="18"/>
      <w:lang w:eastAsia="en-US"/>
    </w:rPr>
  </w:style>
  <w:style w:type="character" w:styleId="SubtleEmphasis">
    <w:name w:val="Subtle Emphasis"/>
    <w:basedOn w:val="DefaultParagraphFont"/>
    <w:uiPriority w:val="19"/>
    <w:qFormat/>
    <w:rsid w:val="00630B6A"/>
    <w:rPr>
      <w:rFonts w:ascii="Open Sans" w:hAnsi="Open Sans"/>
      <w:i/>
      <w:iCs/>
      <w:color w:val="1B587C" w:themeColor="accent3"/>
    </w:rPr>
  </w:style>
  <w:style w:type="character" w:styleId="SubtleReference">
    <w:name w:val="Subtle Reference"/>
    <w:basedOn w:val="DefaultParagraphFont"/>
    <w:uiPriority w:val="31"/>
    <w:rsid w:val="00CE2DB6"/>
    <w:rPr>
      <w:rFonts w:asciiTheme="majorHAnsi" w:hAnsiTheme="majorHAnsi"/>
      <w:spacing w:val="10"/>
      <w:u w:color="7F7F7F" w:themeColor="text1" w:themeTint="80"/>
    </w:rPr>
  </w:style>
  <w:style w:type="character" w:styleId="BookTitle">
    <w:name w:val="Book Title"/>
    <w:basedOn w:val="DefaultParagraphFont"/>
    <w:uiPriority w:val="33"/>
    <w:unhideWhenUsed/>
    <w:qFormat/>
    <w:rsid w:val="00CE2DB6"/>
    <w:rPr>
      <w:b/>
      <w:bCs/>
      <w:smallCaps/>
      <w:spacing w:val="10"/>
    </w:rPr>
  </w:style>
  <w:style w:type="character" w:customStyle="1" w:styleId="HTMLPreformattedChar">
    <w:name w:val="HTML Preformatted Char"/>
    <w:basedOn w:val="DefaultParagraphFont"/>
    <w:link w:val="HTMLPreformatted"/>
    <w:uiPriority w:val="99"/>
    <w:rsid w:val="00CE2DB6"/>
    <w:rPr>
      <w:rFonts w:ascii="Courier New" w:eastAsia="MS Mincho" w:hAnsi="Courier New" w:cs="Courier New"/>
    </w:rPr>
  </w:style>
  <w:style w:type="character" w:customStyle="1" w:styleId="NoSpacingChar">
    <w:name w:val="No Spacing Char"/>
    <w:basedOn w:val="DefaultParagraphFont"/>
    <w:link w:val="NoSpacing"/>
    <w:uiPriority w:val="1"/>
    <w:rsid w:val="00CE2DB6"/>
    <w:rPr>
      <w:rFonts w:ascii="Open Sans" w:hAnsi="Open Sans"/>
      <w:sz w:val="24"/>
      <w:szCs w:val="24"/>
    </w:rPr>
  </w:style>
  <w:style w:type="table" w:styleId="TableGridLight">
    <w:name w:val="Grid Table Light"/>
    <w:basedOn w:val="TableNormal"/>
    <w:uiPriority w:val="40"/>
    <w:rsid w:val="00CE2DB6"/>
    <w:pPr>
      <w:spacing w:before="40" w:after="40"/>
    </w:pPr>
    <w:rPr>
      <w:rFonts w:asciiTheme="minorHAnsi" w:eastAsiaTheme="minorEastAsia"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4">
    <w:name w:val="Grid Table 1 Light Accent 4"/>
    <w:basedOn w:val="TableNormal"/>
    <w:uiPriority w:val="46"/>
    <w:rsid w:val="00CE2DB6"/>
    <w:pPr>
      <w:spacing w:before="40" w:after="40"/>
    </w:pPr>
    <w:rPr>
      <w:rFonts w:asciiTheme="minorHAnsi" w:eastAsiaTheme="minorEastAsia" w:hAnsiTheme="minorHAnsi" w:cstheme="minorBidi"/>
      <w:sz w:val="24"/>
      <w:szCs w:val="24"/>
      <w:lang w:eastAsia="en-US"/>
    </w:rPr>
    <w:tblPr>
      <w:tblStyleRowBandSize w:val="1"/>
      <w:tblStyleColBandSize w:val="1"/>
      <w:tblBorders>
        <w:top w:val="single" w:sz="4" w:space="0" w:color="B3D5AB" w:themeColor="accent4" w:themeTint="66"/>
        <w:left w:val="single" w:sz="4" w:space="0" w:color="B3D5AB" w:themeColor="accent4" w:themeTint="66"/>
        <w:bottom w:val="single" w:sz="4" w:space="0" w:color="B3D5AB" w:themeColor="accent4" w:themeTint="66"/>
        <w:right w:val="single" w:sz="4" w:space="0" w:color="B3D5AB" w:themeColor="accent4" w:themeTint="66"/>
        <w:insideH w:val="single" w:sz="4" w:space="0" w:color="B3D5AB" w:themeColor="accent4" w:themeTint="66"/>
        <w:insideV w:val="single" w:sz="4" w:space="0" w:color="B3D5AB" w:themeColor="accent4" w:themeTint="66"/>
      </w:tblBorders>
    </w:tblPr>
    <w:tcPr>
      <w:vAlign w:val="center"/>
    </w:tcPr>
    <w:tblStylePr w:type="firstRow">
      <w:rPr>
        <w:b/>
        <w:bCs/>
      </w:rPr>
      <w:tblPr/>
      <w:tcPr>
        <w:tcBorders>
          <w:bottom w:val="single" w:sz="12" w:space="0" w:color="8DC182" w:themeColor="accent4" w:themeTint="99"/>
        </w:tcBorders>
      </w:tcPr>
    </w:tblStylePr>
    <w:tblStylePr w:type="lastRow">
      <w:rPr>
        <w:b/>
        <w:bCs/>
      </w:rPr>
      <w:tblPr/>
      <w:tcPr>
        <w:tcBorders>
          <w:top w:val="double" w:sz="2" w:space="0" w:color="8DC182" w:themeColor="accent4" w:themeTint="99"/>
        </w:tcBorders>
      </w:tcPr>
    </w:tblStylePr>
    <w:tblStylePr w:type="firstCol">
      <w:rPr>
        <w:b/>
        <w:bCs/>
      </w:rPr>
    </w:tblStylePr>
    <w:tblStylePr w:type="lastCol">
      <w:rPr>
        <w:b/>
        <w:bCs/>
      </w:rPr>
    </w:tblStylePr>
  </w:style>
  <w:style w:type="paragraph" w:customStyle="1" w:styleId="Largeparagraph">
    <w:name w:val="Large paragraph"/>
    <w:basedOn w:val="Normal"/>
    <w:link w:val="LargeparagraphChar"/>
    <w:rsid w:val="00CE2DB6"/>
    <w:pPr>
      <w:keepLines w:val="0"/>
      <w:spacing w:before="0" w:after="160" w:line="259" w:lineRule="auto"/>
    </w:pPr>
    <w:rPr>
      <w:rFonts w:asciiTheme="minorHAnsi" w:eastAsiaTheme="minorHAnsi" w:hAnsiTheme="minorHAnsi" w:cstheme="minorBidi"/>
      <w:sz w:val="28"/>
      <w:szCs w:val="22"/>
      <w:lang w:eastAsia="en-US"/>
    </w:rPr>
  </w:style>
  <w:style w:type="character" w:customStyle="1" w:styleId="LargeparagraphChar">
    <w:name w:val="Large paragraph Char"/>
    <w:basedOn w:val="DefaultParagraphFont"/>
    <w:link w:val="Largeparagraph"/>
    <w:rsid w:val="00CE2DB6"/>
    <w:rPr>
      <w:rFonts w:asciiTheme="minorHAnsi" w:eastAsiaTheme="minorHAnsi" w:hAnsiTheme="minorHAnsi" w:cstheme="minorBidi"/>
      <w:sz w:val="28"/>
      <w:szCs w:val="22"/>
      <w:lang w:eastAsia="en-US"/>
    </w:rPr>
  </w:style>
  <w:style w:type="table" w:styleId="GridTable1Light">
    <w:name w:val="Grid Table 1 Light"/>
    <w:basedOn w:val="TableNormal"/>
    <w:uiPriority w:val="46"/>
    <w:rsid w:val="00CE2DB6"/>
    <w:pPr>
      <w:spacing w:before="40" w:after="40"/>
    </w:pPr>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tblStylePr w:type="band2Horz">
      <w:tblPr/>
      <w:tcPr>
        <w:shd w:val="clear" w:color="auto" w:fill="E3DED1" w:themeFill="background2"/>
      </w:tcPr>
    </w:tblStylePr>
  </w:style>
  <w:style w:type="table" w:styleId="GridTable2">
    <w:name w:val="Grid Table 2"/>
    <w:basedOn w:val="TableNormal"/>
    <w:uiPriority w:val="47"/>
    <w:rsid w:val="00CE2DB6"/>
    <w:rPr>
      <w:rFonts w:asciiTheme="minorHAnsi" w:eastAsiaTheme="minorEastAsia" w:hAnsiTheme="minorHAnsi" w:cstheme="minorBidi"/>
      <w:sz w:val="24"/>
      <w:szCs w:val="24"/>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IntenseQuoteAuthor">
    <w:name w:val="Intense Quote Author"/>
    <w:basedOn w:val="IntenseQuote"/>
    <w:next w:val="Normal"/>
    <w:rsid w:val="00CE2DB6"/>
    <w:pPr>
      <w:pBdr>
        <w:top w:val="none" w:sz="0" w:space="0" w:color="auto"/>
        <w:bottom w:val="single" w:sz="12" w:space="4" w:color="4E8542" w:themeColor="accent4"/>
      </w:pBdr>
      <w:spacing w:before="120" w:after="240" w:line="240" w:lineRule="auto"/>
      <w:ind w:left="720" w:right="720"/>
    </w:pPr>
    <w:rPr>
      <w:rFonts w:asciiTheme="majorHAnsi" w:eastAsiaTheme="majorEastAsia" w:hAnsiTheme="majorHAnsi" w:cstheme="majorBidi"/>
      <w:i w:val="0"/>
      <w:iCs w:val="0"/>
      <w:color w:val="000000" w:themeColor="text1"/>
      <w:spacing w:val="-6"/>
      <w:kern w:val="0"/>
      <w:sz w:val="28"/>
      <w:szCs w:val="28"/>
      <w14:ligatures w14:val="none"/>
    </w:rPr>
  </w:style>
  <w:style w:type="paragraph" w:customStyle="1" w:styleId="IntenseQuoteNoAuthor">
    <w:name w:val="Intense Quote No Author"/>
    <w:basedOn w:val="IntenseQuote"/>
    <w:rsid w:val="00CE2DB6"/>
    <w:pPr>
      <w:pBdr>
        <w:top w:val="single" w:sz="12" w:space="6" w:color="4E8542" w:themeColor="accent4"/>
        <w:bottom w:val="single" w:sz="12" w:space="6" w:color="4E8542" w:themeColor="accent4"/>
      </w:pBdr>
      <w:spacing w:before="120" w:after="240" w:line="240" w:lineRule="auto"/>
      <w:ind w:left="720" w:right="720"/>
    </w:pPr>
    <w:rPr>
      <w:rFonts w:asciiTheme="majorHAnsi" w:eastAsiaTheme="majorEastAsia" w:hAnsiTheme="majorHAnsi" w:cstheme="majorBidi"/>
      <w:i w:val="0"/>
      <w:iCs w:val="0"/>
      <w:color w:val="4E8542" w:themeColor="accent4"/>
      <w:spacing w:val="-6"/>
      <w:kern w:val="0"/>
      <w:sz w:val="32"/>
      <w:szCs w:val="32"/>
      <w14:ligatures w14:val="none"/>
    </w:rPr>
  </w:style>
  <w:style w:type="character" w:customStyle="1" w:styleId="cf01">
    <w:name w:val="cf01"/>
    <w:basedOn w:val="DefaultParagraphFont"/>
    <w:rsid w:val="00CE2DB6"/>
    <w:rPr>
      <w:rFonts w:ascii="Segoe UI" w:hAnsi="Segoe UI" w:cs="Segoe UI" w:hint="default"/>
      <w:sz w:val="18"/>
      <w:szCs w:val="18"/>
      <w:shd w:val="clear" w:color="auto" w:fill="FFFFFF"/>
    </w:rPr>
  </w:style>
  <w:style w:type="character" w:customStyle="1" w:styleId="cf11">
    <w:name w:val="cf11"/>
    <w:basedOn w:val="DefaultParagraphFont"/>
    <w:rsid w:val="00CE2DB6"/>
    <w:rPr>
      <w:rFonts w:ascii="Segoe UI" w:hAnsi="Segoe UI" w:cs="Segoe UI" w:hint="default"/>
      <w:sz w:val="18"/>
      <w:szCs w:val="18"/>
    </w:rPr>
  </w:style>
  <w:style w:type="paragraph" w:customStyle="1" w:styleId="Numberlist">
    <w:name w:val="Number list"/>
    <w:basedOn w:val="Bullet"/>
    <w:link w:val="NumberlistChar"/>
    <w:qFormat/>
    <w:rsid w:val="00395D6B"/>
    <w:pPr>
      <w:numPr>
        <w:numId w:val="146"/>
      </w:numPr>
      <w:ind w:left="426"/>
    </w:pPr>
  </w:style>
  <w:style w:type="character" w:customStyle="1" w:styleId="NumberlistChar">
    <w:name w:val="Number list Char"/>
    <w:basedOn w:val="BulletChar"/>
    <w:link w:val="Numberlist"/>
    <w:rsid w:val="00395D6B"/>
    <w:rPr>
      <w:rFonts w:ascii="Open Sans" w:eastAsia="MS Mincho" w:hAnsi="Open Sans"/>
      <w:sz w:val="24"/>
      <w:szCs w:val="24"/>
    </w:rPr>
  </w:style>
  <w:style w:type="paragraph" w:customStyle="1" w:styleId="StyleCaption12pt">
    <w:name w:val="Style Caption + 12 pt"/>
    <w:basedOn w:val="Caption"/>
    <w:rsid w:val="00D671B7"/>
    <w:rPr>
      <w:i/>
    </w:rPr>
  </w:style>
  <w:style w:type="paragraph" w:customStyle="1" w:styleId="Heading4numbered">
    <w:name w:val="Heading 4 numbered"/>
    <w:basedOn w:val="Heading4"/>
    <w:link w:val="Heading4numberedChar"/>
    <w:qFormat/>
    <w:rsid w:val="00C91E9C"/>
    <w:pPr>
      <w:numPr>
        <w:ilvl w:val="0"/>
        <w:numId w:val="152"/>
      </w:numPr>
      <w:ind w:left="284"/>
    </w:pPr>
  </w:style>
  <w:style w:type="character" w:customStyle="1" w:styleId="Heading4numberedChar">
    <w:name w:val="Heading 4 numbered Char"/>
    <w:basedOn w:val="Heading4Char"/>
    <w:link w:val="Heading4numbered"/>
    <w:rsid w:val="00C91E9C"/>
    <w:rPr>
      <w:rFonts w:ascii="Open Sans" w:eastAsia="MS Mincho" w:hAnsi="Open Sans"/>
      <w:iCs/>
      <w:color w:val="1B587C" w:themeColor="accent3"/>
      <w:sz w:val="28"/>
      <w:szCs w:val="32"/>
    </w:rPr>
  </w:style>
  <w:style w:type="paragraph" w:customStyle="1" w:styleId="Tablebullet">
    <w:name w:val="Table bullet"/>
    <w:basedOn w:val="Bullet"/>
    <w:link w:val="TablebulletChar"/>
    <w:rsid w:val="004700A3"/>
    <w:pPr>
      <w:spacing w:line="264" w:lineRule="auto"/>
      <w:ind w:left="306" w:hanging="261"/>
    </w:pPr>
  </w:style>
  <w:style w:type="character" w:customStyle="1" w:styleId="TablebulletChar">
    <w:name w:val="Table bullet Char"/>
    <w:basedOn w:val="BulletChar"/>
    <w:link w:val="Tablebullet"/>
    <w:rsid w:val="004700A3"/>
    <w:rPr>
      <w:rFonts w:ascii="Open Sans" w:eastAsia="MS Mincho" w:hAnsi="Open Sans"/>
      <w:sz w:val="24"/>
      <w:szCs w:val="24"/>
    </w:rPr>
  </w:style>
  <w:style w:type="paragraph" w:customStyle="1" w:styleId="Heading2glossary">
    <w:name w:val="Heading 2 glossary"/>
    <w:basedOn w:val="Heading2"/>
    <w:link w:val="Heading2glossaryChar"/>
    <w:qFormat/>
    <w:rsid w:val="004C7B9B"/>
    <w:rPr>
      <w:sz w:val="32"/>
      <w:lang w:val="en-GB"/>
    </w:rPr>
  </w:style>
  <w:style w:type="character" w:customStyle="1" w:styleId="Heading2glossaryChar">
    <w:name w:val="Heading 2 glossary Char"/>
    <w:basedOn w:val="Heading2Char"/>
    <w:link w:val="Heading2glossary"/>
    <w:rsid w:val="004C7B9B"/>
    <w:rPr>
      <w:rFonts w:ascii="Open Sans SemiBold" w:eastAsia="MS Mincho" w:hAnsi="Open Sans SemiBold"/>
      <w:b/>
      <w:color w:val="1B587C" w:themeColor="accent3"/>
      <w:sz w:val="32"/>
      <w:szCs w:val="26"/>
      <w:lang w:val="en-GB"/>
    </w:rPr>
  </w:style>
  <w:style w:type="paragraph" w:customStyle="1" w:styleId="Quotebullets">
    <w:name w:val="Quote bullets"/>
    <w:basedOn w:val="Quote"/>
    <w:link w:val="QuotebulletsChar"/>
    <w:qFormat/>
    <w:rsid w:val="002A4642"/>
    <w:pPr>
      <w:numPr>
        <w:numId w:val="156"/>
      </w:numPr>
      <w:spacing w:before="0" w:after="480" w:line="288" w:lineRule="auto"/>
      <w:ind w:left="357" w:hanging="357"/>
    </w:pPr>
    <w:rPr>
      <w:lang w:val="en-NZ"/>
    </w:rPr>
  </w:style>
  <w:style w:type="character" w:customStyle="1" w:styleId="QuotebulletsChar">
    <w:name w:val="Quote bullets Char"/>
    <w:basedOn w:val="QuoteChar"/>
    <w:link w:val="Quotebullets"/>
    <w:rsid w:val="002A4642"/>
    <w:rPr>
      <w:rFonts w:ascii="Open Sans" w:eastAsiaTheme="minorHAnsi" w:hAnsi="Open Sans" w:cstheme="minorBidi"/>
      <w:color w:val="1B587C" w:themeColor="accent3"/>
      <w:kern w:val="2"/>
      <w:sz w:val="24"/>
      <w:szCs w:val="24"/>
      <w:shd w:val="clear" w:color="auto" w:fill="C3E0F2" w:themeFill="accent3" w:themeFillTint="33"/>
      <w:lang w:val="en-NZ" w:eastAsia="en-US"/>
      <w14:ligatures w14:val="standardContextual"/>
    </w:rPr>
  </w:style>
  <w:style w:type="paragraph" w:customStyle="1" w:styleId="Imprint">
    <w:name w:val="Imprint"/>
    <w:basedOn w:val="Normal"/>
    <w:link w:val="ImprintChar"/>
    <w:qFormat/>
    <w:rsid w:val="007F657B"/>
    <w:pPr>
      <w:spacing w:before="120" w:after="120" w:line="288" w:lineRule="auto"/>
    </w:pPr>
    <w:rPr>
      <w:sz w:val="20"/>
    </w:rPr>
  </w:style>
  <w:style w:type="character" w:customStyle="1" w:styleId="ImprintChar">
    <w:name w:val="Imprint Char"/>
    <w:basedOn w:val="DefaultParagraphFont"/>
    <w:link w:val="Imprint"/>
    <w:rsid w:val="007F657B"/>
    <w:rPr>
      <w:rFonts w:ascii="Open Sans" w:eastAsia="MS Mincho" w:hAnsi="Open Sans"/>
      <w:szCs w:val="24"/>
    </w:rPr>
  </w:style>
  <w:style w:type="paragraph" w:customStyle="1" w:styleId="H1Imprint">
    <w:name w:val="H1 Imprint"/>
    <w:basedOn w:val="Heading1"/>
    <w:link w:val="H1ImprintChar"/>
    <w:qFormat/>
    <w:rsid w:val="00B31DA3"/>
    <w:rPr>
      <w:sz w:val="24"/>
    </w:rPr>
  </w:style>
  <w:style w:type="character" w:customStyle="1" w:styleId="H1ImprintChar">
    <w:name w:val="H1 Imprint Char"/>
    <w:basedOn w:val="Heading1Char"/>
    <w:link w:val="H1Imprint"/>
    <w:rsid w:val="00B31DA3"/>
    <w:rPr>
      <w:rFonts w:ascii="Open Sans SemiBold" w:eastAsia="MS Mincho" w:hAnsi="Open Sans SemiBold"/>
      <w:b/>
      <w:bCs/>
      <w:color w:val="1B587C" w:themeColor="accent3"/>
      <w:sz w:val="24"/>
      <w:szCs w:val="28"/>
    </w:rPr>
  </w:style>
  <w:style w:type="paragraph" w:customStyle="1" w:styleId="ImprintH2">
    <w:name w:val="Imprint H2"/>
    <w:basedOn w:val="Heading2glossary"/>
    <w:link w:val="ImprintH2Char"/>
    <w:qFormat/>
    <w:rsid w:val="007F657B"/>
    <w:pPr>
      <w:spacing w:before="240" w:after="0"/>
    </w:pPr>
    <w:rPr>
      <w:sz w:val="24"/>
    </w:rPr>
  </w:style>
  <w:style w:type="character" w:customStyle="1" w:styleId="ImprintH2Char">
    <w:name w:val="Imprint H2 Char"/>
    <w:basedOn w:val="Heading2glossaryChar"/>
    <w:link w:val="ImprintH2"/>
    <w:rsid w:val="007F657B"/>
    <w:rPr>
      <w:rFonts w:ascii="Open Sans SemiBold" w:eastAsia="MS Mincho" w:hAnsi="Open Sans SemiBold"/>
      <w:b/>
      <w:color w:val="1B587C" w:themeColor="accent3"/>
      <w:sz w:val="24"/>
      <w:szCs w:val="26"/>
      <w:lang w:val="en-GB"/>
    </w:rPr>
  </w:style>
  <w:style w:type="paragraph" w:customStyle="1" w:styleId="Emphasisshaded">
    <w:name w:val="Emphasis shaded"/>
    <w:basedOn w:val="Normal"/>
    <w:link w:val="EmphasisshadedChar"/>
    <w:qFormat/>
    <w:rsid w:val="005116A4"/>
    <w:pPr>
      <w:pBdr>
        <w:top w:val="single" w:sz="24" w:space="1" w:color="C3E0F2" w:themeColor="accent3" w:themeTint="33"/>
        <w:left w:val="single" w:sz="24" w:space="4" w:color="C3E0F2" w:themeColor="accent3" w:themeTint="33"/>
        <w:bottom w:val="single" w:sz="24" w:space="1" w:color="C3E0F2" w:themeColor="accent3" w:themeTint="33"/>
        <w:right w:val="single" w:sz="24" w:space="4" w:color="C3E0F2" w:themeColor="accent3" w:themeTint="33"/>
      </w:pBdr>
      <w:shd w:val="clear" w:color="auto" w:fill="C3E0F2" w:themeFill="accent3" w:themeFillTint="33"/>
    </w:pPr>
  </w:style>
  <w:style w:type="character" w:customStyle="1" w:styleId="EmphasisshadedChar">
    <w:name w:val="Emphasis shaded Char"/>
    <w:basedOn w:val="DefaultParagraphFont"/>
    <w:link w:val="Emphasisshaded"/>
    <w:rsid w:val="005116A4"/>
    <w:rPr>
      <w:rFonts w:ascii="Open Sans" w:eastAsia="MS Mincho" w:hAnsi="Open Sans"/>
      <w:sz w:val="24"/>
      <w:szCs w:val="24"/>
      <w:shd w:val="clear" w:color="auto" w:fill="C3E0F2" w:themeFill="accent3" w:themeFillTint="33"/>
    </w:rPr>
  </w:style>
  <w:style w:type="paragraph" w:customStyle="1" w:styleId="H4shaded">
    <w:name w:val="H4 shaded"/>
    <w:basedOn w:val="Heading4"/>
    <w:link w:val="H4shadedChar"/>
    <w:qFormat/>
    <w:rsid w:val="008E2A98"/>
    <w:pPr>
      <w:pBdr>
        <w:top w:val="single" w:sz="24" w:space="1" w:color="C3E0F2" w:themeColor="accent3" w:themeTint="33"/>
        <w:left w:val="single" w:sz="24" w:space="4" w:color="C3E0F2" w:themeColor="accent3" w:themeTint="33"/>
        <w:bottom w:val="single" w:sz="24" w:space="1" w:color="C3E0F2" w:themeColor="accent3" w:themeTint="33"/>
        <w:right w:val="single" w:sz="24" w:space="4" w:color="C3E0F2" w:themeColor="accent3" w:themeTint="33"/>
      </w:pBdr>
      <w:shd w:val="clear" w:color="auto" w:fill="C3E0F2" w:themeFill="accent3" w:themeFillTint="33"/>
    </w:pPr>
    <w:rPr>
      <w:rFonts w:ascii="Open Sans SemiBold" w:hAnsi="Open Sans SemiBold"/>
    </w:rPr>
  </w:style>
  <w:style w:type="character" w:customStyle="1" w:styleId="H4shadedChar">
    <w:name w:val="H4 shaded Char"/>
    <w:basedOn w:val="Heading4Char"/>
    <w:link w:val="H4shaded"/>
    <w:rsid w:val="008E2A98"/>
    <w:rPr>
      <w:rFonts w:ascii="Open Sans SemiBold" w:eastAsia="MS Mincho" w:hAnsi="Open Sans SemiBold"/>
      <w:iCs/>
      <w:color w:val="1B587C" w:themeColor="accent3"/>
      <w:sz w:val="28"/>
      <w:szCs w:val="32"/>
      <w:shd w:val="clear" w:color="auto" w:fill="C3E0F2" w:themeFill="accent3" w:themeFillTint="33"/>
    </w:rPr>
  </w:style>
  <w:style w:type="paragraph" w:customStyle="1" w:styleId="H2shaded">
    <w:name w:val="H2 shaded"/>
    <w:basedOn w:val="Heading2"/>
    <w:link w:val="H2shadedChar"/>
    <w:qFormat/>
    <w:rsid w:val="00627337"/>
    <w:pPr>
      <w:pBdr>
        <w:top w:val="single" w:sz="24" w:space="1" w:color="C3E0F2" w:themeColor="accent3" w:themeTint="33"/>
        <w:left w:val="single" w:sz="24" w:space="4" w:color="C3E0F2" w:themeColor="accent3" w:themeTint="33"/>
        <w:bottom w:val="single" w:sz="24" w:space="1" w:color="C3E0F2" w:themeColor="accent3" w:themeTint="33"/>
        <w:right w:val="single" w:sz="24" w:space="4" w:color="C3E0F2" w:themeColor="accent3" w:themeTint="33"/>
      </w:pBdr>
      <w:shd w:val="clear" w:color="auto" w:fill="C3E0F2" w:themeFill="accent3" w:themeFillTint="33"/>
    </w:pPr>
  </w:style>
  <w:style w:type="character" w:customStyle="1" w:styleId="H2shadedChar">
    <w:name w:val="H2 shaded Char"/>
    <w:basedOn w:val="Heading2Char"/>
    <w:link w:val="H2shaded"/>
    <w:rsid w:val="00627337"/>
    <w:rPr>
      <w:rFonts w:ascii="Open Sans SemiBold" w:eastAsia="MS Mincho" w:hAnsi="Open Sans SemiBold"/>
      <w:b/>
      <w:color w:val="1B587C" w:themeColor="accent3"/>
      <w:sz w:val="40"/>
      <w:szCs w:val="26"/>
      <w:shd w:val="clear" w:color="auto" w:fill="C3E0F2" w:themeFill="accent3" w:themeFillTint="33"/>
    </w:rPr>
  </w:style>
  <w:style w:type="paragraph" w:customStyle="1" w:styleId="H3shaded">
    <w:name w:val="H3 shaded"/>
    <w:basedOn w:val="Heading3"/>
    <w:link w:val="H3shadedChar"/>
    <w:qFormat/>
    <w:rsid w:val="00627337"/>
    <w:pPr>
      <w:pBdr>
        <w:top w:val="single" w:sz="24" w:space="1" w:color="C3E0F2" w:themeColor="accent3" w:themeTint="33"/>
        <w:left w:val="single" w:sz="24" w:space="4" w:color="C3E0F2" w:themeColor="accent3" w:themeTint="33"/>
        <w:bottom w:val="single" w:sz="24" w:space="1" w:color="C3E0F2" w:themeColor="accent3" w:themeTint="33"/>
        <w:right w:val="single" w:sz="24" w:space="4" w:color="C3E0F2" w:themeColor="accent3" w:themeTint="33"/>
      </w:pBdr>
      <w:shd w:val="clear" w:color="auto" w:fill="C3E0F2" w:themeFill="accent3" w:themeFillTint="33"/>
    </w:pPr>
  </w:style>
  <w:style w:type="character" w:customStyle="1" w:styleId="H3shadedChar">
    <w:name w:val="H3 shaded Char"/>
    <w:basedOn w:val="Heading3Char"/>
    <w:link w:val="H3shaded"/>
    <w:rsid w:val="00627337"/>
    <w:rPr>
      <w:rFonts w:ascii="Open Sans SemiBold" w:eastAsia="MS Mincho" w:hAnsi="Open Sans SemiBold"/>
      <w:bCs/>
      <w:color w:val="1B587C" w:themeColor="accent3"/>
      <w:sz w:val="32"/>
      <w:szCs w:val="32"/>
      <w:shd w:val="clear" w:color="auto" w:fill="C3E0F2" w:themeFill="accent3"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4057">
      <w:bodyDiv w:val="1"/>
      <w:marLeft w:val="0"/>
      <w:marRight w:val="0"/>
      <w:marTop w:val="0"/>
      <w:marBottom w:val="0"/>
      <w:divBdr>
        <w:top w:val="none" w:sz="0" w:space="0" w:color="auto"/>
        <w:left w:val="none" w:sz="0" w:space="0" w:color="auto"/>
        <w:bottom w:val="none" w:sz="0" w:space="0" w:color="auto"/>
        <w:right w:val="none" w:sz="0" w:space="0" w:color="auto"/>
      </w:divBdr>
    </w:div>
    <w:div w:id="17433900">
      <w:bodyDiv w:val="1"/>
      <w:marLeft w:val="0"/>
      <w:marRight w:val="0"/>
      <w:marTop w:val="0"/>
      <w:marBottom w:val="0"/>
      <w:divBdr>
        <w:top w:val="none" w:sz="0" w:space="0" w:color="auto"/>
        <w:left w:val="none" w:sz="0" w:space="0" w:color="auto"/>
        <w:bottom w:val="none" w:sz="0" w:space="0" w:color="auto"/>
        <w:right w:val="none" w:sz="0" w:space="0" w:color="auto"/>
      </w:divBdr>
    </w:div>
    <w:div w:id="58215926">
      <w:bodyDiv w:val="1"/>
      <w:marLeft w:val="0"/>
      <w:marRight w:val="0"/>
      <w:marTop w:val="0"/>
      <w:marBottom w:val="0"/>
      <w:divBdr>
        <w:top w:val="none" w:sz="0" w:space="0" w:color="auto"/>
        <w:left w:val="none" w:sz="0" w:space="0" w:color="auto"/>
        <w:bottom w:val="none" w:sz="0" w:space="0" w:color="auto"/>
        <w:right w:val="none" w:sz="0" w:space="0" w:color="auto"/>
      </w:divBdr>
    </w:div>
    <w:div w:id="66652007">
      <w:bodyDiv w:val="1"/>
      <w:marLeft w:val="0"/>
      <w:marRight w:val="0"/>
      <w:marTop w:val="0"/>
      <w:marBottom w:val="0"/>
      <w:divBdr>
        <w:top w:val="none" w:sz="0" w:space="0" w:color="auto"/>
        <w:left w:val="none" w:sz="0" w:space="0" w:color="auto"/>
        <w:bottom w:val="none" w:sz="0" w:space="0" w:color="auto"/>
        <w:right w:val="none" w:sz="0" w:space="0" w:color="auto"/>
      </w:divBdr>
    </w:div>
    <w:div w:id="73210055">
      <w:bodyDiv w:val="1"/>
      <w:marLeft w:val="0"/>
      <w:marRight w:val="0"/>
      <w:marTop w:val="0"/>
      <w:marBottom w:val="0"/>
      <w:divBdr>
        <w:top w:val="none" w:sz="0" w:space="0" w:color="auto"/>
        <w:left w:val="none" w:sz="0" w:space="0" w:color="auto"/>
        <w:bottom w:val="none" w:sz="0" w:space="0" w:color="auto"/>
        <w:right w:val="none" w:sz="0" w:space="0" w:color="auto"/>
      </w:divBdr>
    </w:div>
    <w:div w:id="112410511">
      <w:bodyDiv w:val="1"/>
      <w:marLeft w:val="0"/>
      <w:marRight w:val="0"/>
      <w:marTop w:val="0"/>
      <w:marBottom w:val="0"/>
      <w:divBdr>
        <w:top w:val="none" w:sz="0" w:space="0" w:color="auto"/>
        <w:left w:val="none" w:sz="0" w:space="0" w:color="auto"/>
        <w:bottom w:val="none" w:sz="0" w:space="0" w:color="auto"/>
        <w:right w:val="none" w:sz="0" w:space="0" w:color="auto"/>
      </w:divBdr>
    </w:div>
    <w:div w:id="157811096">
      <w:bodyDiv w:val="1"/>
      <w:marLeft w:val="0"/>
      <w:marRight w:val="0"/>
      <w:marTop w:val="0"/>
      <w:marBottom w:val="0"/>
      <w:divBdr>
        <w:top w:val="none" w:sz="0" w:space="0" w:color="auto"/>
        <w:left w:val="none" w:sz="0" w:space="0" w:color="auto"/>
        <w:bottom w:val="none" w:sz="0" w:space="0" w:color="auto"/>
        <w:right w:val="none" w:sz="0" w:space="0" w:color="auto"/>
      </w:divBdr>
    </w:div>
    <w:div w:id="198469563">
      <w:bodyDiv w:val="1"/>
      <w:marLeft w:val="0"/>
      <w:marRight w:val="0"/>
      <w:marTop w:val="0"/>
      <w:marBottom w:val="0"/>
      <w:divBdr>
        <w:top w:val="none" w:sz="0" w:space="0" w:color="auto"/>
        <w:left w:val="none" w:sz="0" w:space="0" w:color="auto"/>
        <w:bottom w:val="none" w:sz="0" w:space="0" w:color="auto"/>
        <w:right w:val="none" w:sz="0" w:space="0" w:color="auto"/>
      </w:divBdr>
    </w:div>
    <w:div w:id="240145196">
      <w:bodyDiv w:val="1"/>
      <w:marLeft w:val="0"/>
      <w:marRight w:val="0"/>
      <w:marTop w:val="0"/>
      <w:marBottom w:val="0"/>
      <w:divBdr>
        <w:top w:val="none" w:sz="0" w:space="0" w:color="auto"/>
        <w:left w:val="none" w:sz="0" w:space="0" w:color="auto"/>
        <w:bottom w:val="none" w:sz="0" w:space="0" w:color="auto"/>
        <w:right w:val="none" w:sz="0" w:space="0" w:color="auto"/>
      </w:divBdr>
    </w:div>
    <w:div w:id="349766896">
      <w:bodyDiv w:val="1"/>
      <w:marLeft w:val="0"/>
      <w:marRight w:val="0"/>
      <w:marTop w:val="0"/>
      <w:marBottom w:val="0"/>
      <w:divBdr>
        <w:top w:val="none" w:sz="0" w:space="0" w:color="auto"/>
        <w:left w:val="none" w:sz="0" w:space="0" w:color="auto"/>
        <w:bottom w:val="none" w:sz="0" w:space="0" w:color="auto"/>
        <w:right w:val="none" w:sz="0" w:space="0" w:color="auto"/>
      </w:divBdr>
    </w:div>
    <w:div w:id="352877282">
      <w:bodyDiv w:val="1"/>
      <w:marLeft w:val="0"/>
      <w:marRight w:val="0"/>
      <w:marTop w:val="0"/>
      <w:marBottom w:val="0"/>
      <w:divBdr>
        <w:top w:val="none" w:sz="0" w:space="0" w:color="auto"/>
        <w:left w:val="none" w:sz="0" w:space="0" w:color="auto"/>
        <w:bottom w:val="none" w:sz="0" w:space="0" w:color="auto"/>
        <w:right w:val="none" w:sz="0" w:space="0" w:color="auto"/>
      </w:divBdr>
    </w:div>
    <w:div w:id="454718531">
      <w:bodyDiv w:val="1"/>
      <w:marLeft w:val="0"/>
      <w:marRight w:val="0"/>
      <w:marTop w:val="0"/>
      <w:marBottom w:val="0"/>
      <w:divBdr>
        <w:top w:val="none" w:sz="0" w:space="0" w:color="auto"/>
        <w:left w:val="none" w:sz="0" w:space="0" w:color="auto"/>
        <w:bottom w:val="none" w:sz="0" w:space="0" w:color="auto"/>
        <w:right w:val="none" w:sz="0" w:space="0" w:color="auto"/>
      </w:divBdr>
      <w:divsChild>
        <w:div w:id="1263222512">
          <w:marLeft w:val="547"/>
          <w:marRight w:val="0"/>
          <w:marTop w:val="0"/>
          <w:marBottom w:val="0"/>
          <w:divBdr>
            <w:top w:val="none" w:sz="0" w:space="0" w:color="auto"/>
            <w:left w:val="none" w:sz="0" w:space="0" w:color="auto"/>
            <w:bottom w:val="none" w:sz="0" w:space="0" w:color="auto"/>
            <w:right w:val="none" w:sz="0" w:space="0" w:color="auto"/>
          </w:divBdr>
        </w:div>
      </w:divsChild>
    </w:div>
    <w:div w:id="460459718">
      <w:bodyDiv w:val="1"/>
      <w:marLeft w:val="0"/>
      <w:marRight w:val="0"/>
      <w:marTop w:val="0"/>
      <w:marBottom w:val="0"/>
      <w:divBdr>
        <w:top w:val="none" w:sz="0" w:space="0" w:color="auto"/>
        <w:left w:val="none" w:sz="0" w:space="0" w:color="auto"/>
        <w:bottom w:val="none" w:sz="0" w:space="0" w:color="auto"/>
        <w:right w:val="none" w:sz="0" w:space="0" w:color="auto"/>
      </w:divBdr>
      <w:divsChild>
        <w:div w:id="26299820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76146527">
      <w:bodyDiv w:val="1"/>
      <w:marLeft w:val="0"/>
      <w:marRight w:val="0"/>
      <w:marTop w:val="0"/>
      <w:marBottom w:val="0"/>
      <w:divBdr>
        <w:top w:val="none" w:sz="0" w:space="0" w:color="auto"/>
        <w:left w:val="none" w:sz="0" w:space="0" w:color="auto"/>
        <w:bottom w:val="none" w:sz="0" w:space="0" w:color="auto"/>
        <w:right w:val="none" w:sz="0" w:space="0" w:color="auto"/>
      </w:divBdr>
    </w:div>
    <w:div w:id="480270437">
      <w:bodyDiv w:val="1"/>
      <w:marLeft w:val="0"/>
      <w:marRight w:val="0"/>
      <w:marTop w:val="0"/>
      <w:marBottom w:val="0"/>
      <w:divBdr>
        <w:top w:val="none" w:sz="0" w:space="0" w:color="auto"/>
        <w:left w:val="none" w:sz="0" w:space="0" w:color="auto"/>
        <w:bottom w:val="none" w:sz="0" w:space="0" w:color="auto"/>
        <w:right w:val="none" w:sz="0" w:space="0" w:color="auto"/>
      </w:divBdr>
    </w:div>
    <w:div w:id="497506112">
      <w:bodyDiv w:val="1"/>
      <w:marLeft w:val="0"/>
      <w:marRight w:val="0"/>
      <w:marTop w:val="0"/>
      <w:marBottom w:val="0"/>
      <w:divBdr>
        <w:top w:val="none" w:sz="0" w:space="0" w:color="auto"/>
        <w:left w:val="none" w:sz="0" w:space="0" w:color="auto"/>
        <w:bottom w:val="none" w:sz="0" w:space="0" w:color="auto"/>
        <w:right w:val="none" w:sz="0" w:space="0" w:color="auto"/>
      </w:divBdr>
    </w:div>
    <w:div w:id="585919036">
      <w:bodyDiv w:val="1"/>
      <w:marLeft w:val="0"/>
      <w:marRight w:val="0"/>
      <w:marTop w:val="0"/>
      <w:marBottom w:val="0"/>
      <w:divBdr>
        <w:top w:val="none" w:sz="0" w:space="0" w:color="auto"/>
        <w:left w:val="none" w:sz="0" w:space="0" w:color="auto"/>
        <w:bottom w:val="none" w:sz="0" w:space="0" w:color="auto"/>
        <w:right w:val="none" w:sz="0" w:space="0" w:color="auto"/>
      </w:divBdr>
    </w:div>
    <w:div w:id="602496418">
      <w:bodyDiv w:val="1"/>
      <w:marLeft w:val="0"/>
      <w:marRight w:val="0"/>
      <w:marTop w:val="0"/>
      <w:marBottom w:val="0"/>
      <w:divBdr>
        <w:top w:val="none" w:sz="0" w:space="0" w:color="auto"/>
        <w:left w:val="none" w:sz="0" w:space="0" w:color="auto"/>
        <w:bottom w:val="none" w:sz="0" w:space="0" w:color="auto"/>
        <w:right w:val="none" w:sz="0" w:space="0" w:color="auto"/>
      </w:divBdr>
    </w:div>
    <w:div w:id="629672346">
      <w:bodyDiv w:val="1"/>
      <w:marLeft w:val="0"/>
      <w:marRight w:val="0"/>
      <w:marTop w:val="0"/>
      <w:marBottom w:val="0"/>
      <w:divBdr>
        <w:top w:val="none" w:sz="0" w:space="0" w:color="auto"/>
        <w:left w:val="none" w:sz="0" w:space="0" w:color="auto"/>
        <w:bottom w:val="none" w:sz="0" w:space="0" w:color="auto"/>
        <w:right w:val="none" w:sz="0" w:space="0" w:color="auto"/>
      </w:divBdr>
    </w:div>
    <w:div w:id="670064670">
      <w:bodyDiv w:val="1"/>
      <w:marLeft w:val="0"/>
      <w:marRight w:val="0"/>
      <w:marTop w:val="0"/>
      <w:marBottom w:val="0"/>
      <w:divBdr>
        <w:top w:val="none" w:sz="0" w:space="0" w:color="auto"/>
        <w:left w:val="none" w:sz="0" w:space="0" w:color="auto"/>
        <w:bottom w:val="none" w:sz="0" w:space="0" w:color="auto"/>
        <w:right w:val="none" w:sz="0" w:space="0" w:color="auto"/>
      </w:divBdr>
      <w:divsChild>
        <w:div w:id="308826225">
          <w:marLeft w:val="547"/>
          <w:marRight w:val="0"/>
          <w:marTop w:val="0"/>
          <w:marBottom w:val="0"/>
          <w:divBdr>
            <w:top w:val="none" w:sz="0" w:space="0" w:color="auto"/>
            <w:left w:val="none" w:sz="0" w:space="0" w:color="auto"/>
            <w:bottom w:val="none" w:sz="0" w:space="0" w:color="auto"/>
            <w:right w:val="none" w:sz="0" w:space="0" w:color="auto"/>
          </w:divBdr>
        </w:div>
      </w:divsChild>
    </w:div>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797991121">
      <w:bodyDiv w:val="1"/>
      <w:marLeft w:val="0"/>
      <w:marRight w:val="0"/>
      <w:marTop w:val="0"/>
      <w:marBottom w:val="0"/>
      <w:divBdr>
        <w:top w:val="none" w:sz="0" w:space="0" w:color="auto"/>
        <w:left w:val="none" w:sz="0" w:space="0" w:color="auto"/>
        <w:bottom w:val="none" w:sz="0" w:space="0" w:color="auto"/>
        <w:right w:val="none" w:sz="0" w:space="0" w:color="auto"/>
      </w:divBdr>
      <w:divsChild>
        <w:div w:id="78872159">
          <w:marLeft w:val="0"/>
          <w:marRight w:val="0"/>
          <w:marTop w:val="0"/>
          <w:marBottom w:val="0"/>
          <w:divBdr>
            <w:top w:val="none" w:sz="0" w:space="0" w:color="auto"/>
            <w:left w:val="none" w:sz="0" w:space="0" w:color="auto"/>
            <w:bottom w:val="none" w:sz="0" w:space="0" w:color="auto"/>
            <w:right w:val="none" w:sz="0" w:space="0" w:color="auto"/>
          </w:divBdr>
          <w:divsChild>
            <w:div w:id="1533109008">
              <w:marLeft w:val="0"/>
              <w:marRight w:val="0"/>
              <w:marTop w:val="0"/>
              <w:marBottom w:val="0"/>
              <w:divBdr>
                <w:top w:val="none" w:sz="0" w:space="0" w:color="auto"/>
                <w:left w:val="none" w:sz="0" w:space="0" w:color="auto"/>
                <w:bottom w:val="none" w:sz="0" w:space="0" w:color="auto"/>
                <w:right w:val="none" w:sz="0" w:space="0" w:color="auto"/>
              </w:divBdr>
              <w:divsChild>
                <w:div w:id="747192353">
                  <w:marLeft w:val="0"/>
                  <w:marRight w:val="0"/>
                  <w:marTop w:val="0"/>
                  <w:marBottom w:val="0"/>
                  <w:divBdr>
                    <w:top w:val="none" w:sz="0" w:space="0" w:color="auto"/>
                    <w:left w:val="none" w:sz="0" w:space="0" w:color="auto"/>
                    <w:bottom w:val="none" w:sz="0" w:space="0" w:color="auto"/>
                    <w:right w:val="none" w:sz="0" w:space="0" w:color="auto"/>
                  </w:divBdr>
                  <w:divsChild>
                    <w:div w:id="60994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376832">
      <w:bodyDiv w:val="1"/>
      <w:marLeft w:val="0"/>
      <w:marRight w:val="0"/>
      <w:marTop w:val="0"/>
      <w:marBottom w:val="0"/>
      <w:divBdr>
        <w:top w:val="none" w:sz="0" w:space="0" w:color="auto"/>
        <w:left w:val="none" w:sz="0" w:space="0" w:color="auto"/>
        <w:bottom w:val="none" w:sz="0" w:space="0" w:color="auto"/>
        <w:right w:val="none" w:sz="0" w:space="0" w:color="auto"/>
      </w:divBdr>
    </w:div>
    <w:div w:id="876889909">
      <w:bodyDiv w:val="1"/>
      <w:marLeft w:val="0"/>
      <w:marRight w:val="0"/>
      <w:marTop w:val="0"/>
      <w:marBottom w:val="0"/>
      <w:divBdr>
        <w:top w:val="none" w:sz="0" w:space="0" w:color="auto"/>
        <w:left w:val="none" w:sz="0" w:space="0" w:color="auto"/>
        <w:bottom w:val="none" w:sz="0" w:space="0" w:color="auto"/>
        <w:right w:val="none" w:sz="0" w:space="0" w:color="auto"/>
      </w:divBdr>
    </w:div>
    <w:div w:id="967782475">
      <w:bodyDiv w:val="1"/>
      <w:marLeft w:val="0"/>
      <w:marRight w:val="0"/>
      <w:marTop w:val="0"/>
      <w:marBottom w:val="0"/>
      <w:divBdr>
        <w:top w:val="none" w:sz="0" w:space="0" w:color="auto"/>
        <w:left w:val="none" w:sz="0" w:space="0" w:color="auto"/>
        <w:bottom w:val="none" w:sz="0" w:space="0" w:color="auto"/>
        <w:right w:val="none" w:sz="0" w:space="0" w:color="auto"/>
      </w:divBdr>
      <w:divsChild>
        <w:div w:id="343242465">
          <w:marLeft w:val="0"/>
          <w:marRight w:val="0"/>
          <w:marTop w:val="0"/>
          <w:marBottom w:val="0"/>
          <w:divBdr>
            <w:top w:val="none" w:sz="0" w:space="0" w:color="auto"/>
            <w:left w:val="none" w:sz="0" w:space="0" w:color="auto"/>
            <w:bottom w:val="none" w:sz="0" w:space="0" w:color="auto"/>
            <w:right w:val="none" w:sz="0" w:space="0" w:color="auto"/>
          </w:divBdr>
          <w:divsChild>
            <w:div w:id="1135676704">
              <w:marLeft w:val="0"/>
              <w:marRight w:val="0"/>
              <w:marTop w:val="0"/>
              <w:marBottom w:val="0"/>
              <w:divBdr>
                <w:top w:val="none" w:sz="0" w:space="0" w:color="auto"/>
                <w:left w:val="none" w:sz="0" w:space="0" w:color="auto"/>
                <w:bottom w:val="none" w:sz="0" w:space="0" w:color="auto"/>
                <w:right w:val="none" w:sz="0" w:space="0" w:color="auto"/>
              </w:divBdr>
              <w:divsChild>
                <w:div w:id="905266696">
                  <w:marLeft w:val="0"/>
                  <w:marRight w:val="0"/>
                  <w:marTop w:val="0"/>
                  <w:marBottom w:val="0"/>
                  <w:divBdr>
                    <w:top w:val="none" w:sz="0" w:space="0" w:color="auto"/>
                    <w:left w:val="none" w:sz="0" w:space="0" w:color="auto"/>
                    <w:bottom w:val="none" w:sz="0" w:space="0" w:color="auto"/>
                    <w:right w:val="none" w:sz="0" w:space="0" w:color="auto"/>
                  </w:divBdr>
                  <w:divsChild>
                    <w:div w:id="52429692">
                      <w:marLeft w:val="0"/>
                      <w:marRight w:val="0"/>
                      <w:marTop w:val="0"/>
                      <w:marBottom w:val="0"/>
                      <w:divBdr>
                        <w:top w:val="none" w:sz="0" w:space="0" w:color="auto"/>
                        <w:left w:val="none" w:sz="0" w:space="0" w:color="auto"/>
                        <w:bottom w:val="none" w:sz="0" w:space="0" w:color="auto"/>
                        <w:right w:val="none" w:sz="0" w:space="0" w:color="auto"/>
                      </w:divBdr>
                      <w:divsChild>
                        <w:div w:id="1712073377">
                          <w:marLeft w:val="0"/>
                          <w:marRight w:val="0"/>
                          <w:marTop w:val="0"/>
                          <w:marBottom w:val="0"/>
                          <w:divBdr>
                            <w:top w:val="none" w:sz="0" w:space="0" w:color="auto"/>
                            <w:left w:val="none" w:sz="0" w:space="0" w:color="auto"/>
                            <w:bottom w:val="none" w:sz="0" w:space="0" w:color="auto"/>
                            <w:right w:val="none" w:sz="0" w:space="0" w:color="auto"/>
                          </w:divBdr>
                          <w:divsChild>
                            <w:div w:id="1295866932">
                              <w:marLeft w:val="0"/>
                              <w:marRight w:val="0"/>
                              <w:marTop w:val="0"/>
                              <w:marBottom w:val="0"/>
                              <w:divBdr>
                                <w:top w:val="none" w:sz="0" w:space="0" w:color="auto"/>
                                <w:left w:val="none" w:sz="0" w:space="0" w:color="auto"/>
                                <w:bottom w:val="none" w:sz="0" w:space="0" w:color="auto"/>
                                <w:right w:val="none" w:sz="0" w:space="0" w:color="auto"/>
                              </w:divBdr>
                              <w:divsChild>
                                <w:div w:id="92048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 w:id="986782156">
      <w:bodyDiv w:val="1"/>
      <w:marLeft w:val="0"/>
      <w:marRight w:val="0"/>
      <w:marTop w:val="0"/>
      <w:marBottom w:val="0"/>
      <w:divBdr>
        <w:top w:val="none" w:sz="0" w:space="0" w:color="auto"/>
        <w:left w:val="none" w:sz="0" w:space="0" w:color="auto"/>
        <w:bottom w:val="none" w:sz="0" w:space="0" w:color="auto"/>
        <w:right w:val="none" w:sz="0" w:space="0" w:color="auto"/>
      </w:divBdr>
    </w:div>
    <w:div w:id="992492211">
      <w:bodyDiv w:val="1"/>
      <w:marLeft w:val="0"/>
      <w:marRight w:val="0"/>
      <w:marTop w:val="0"/>
      <w:marBottom w:val="0"/>
      <w:divBdr>
        <w:top w:val="none" w:sz="0" w:space="0" w:color="auto"/>
        <w:left w:val="none" w:sz="0" w:space="0" w:color="auto"/>
        <w:bottom w:val="none" w:sz="0" w:space="0" w:color="auto"/>
        <w:right w:val="none" w:sz="0" w:space="0" w:color="auto"/>
      </w:divBdr>
    </w:div>
    <w:div w:id="1021736300">
      <w:bodyDiv w:val="1"/>
      <w:marLeft w:val="0"/>
      <w:marRight w:val="0"/>
      <w:marTop w:val="0"/>
      <w:marBottom w:val="0"/>
      <w:divBdr>
        <w:top w:val="none" w:sz="0" w:space="0" w:color="auto"/>
        <w:left w:val="none" w:sz="0" w:space="0" w:color="auto"/>
        <w:bottom w:val="none" w:sz="0" w:space="0" w:color="auto"/>
        <w:right w:val="none" w:sz="0" w:space="0" w:color="auto"/>
      </w:divBdr>
    </w:div>
    <w:div w:id="1038776932">
      <w:bodyDiv w:val="1"/>
      <w:marLeft w:val="0"/>
      <w:marRight w:val="0"/>
      <w:marTop w:val="0"/>
      <w:marBottom w:val="0"/>
      <w:divBdr>
        <w:top w:val="none" w:sz="0" w:space="0" w:color="auto"/>
        <w:left w:val="none" w:sz="0" w:space="0" w:color="auto"/>
        <w:bottom w:val="none" w:sz="0" w:space="0" w:color="auto"/>
        <w:right w:val="none" w:sz="0" w:space="0" w:color="auto"/>
      </w:divBdr>
    </w:div>
    <w:div w:id="1048652950">
      <w:bodyDiv w:val="1"/>
      <w:marLeft w:val="0"/>
      <w:marRight w:val="0"/>
      <w:marTop w:val="0"/>
      <w:marBottom w:val="0"/>
      <w:divBdr>
        <w:top w:val="none" w:sz="0" w:space="0" w:color="auto"/>
        <w:left w:val="none" w:sz="0" w:space="0" w:color="auto"/>
        <w:bottom w:val="none" w:sz="0" w:space="0" w:color="auto"/>
        <w:right w:val="none" w:sz="0" w:space="0" w:color="auto"/>
      </w:divBdr>
    </w:div>
    <w:div w:id="1079253845">
      <w:bodyDiv w:val="1"/>
      <w:marLeft w:val="0"/>
      <w:marRight w:val="0"/>
      <w:marTop w:val="0"/>
      <w:marBottom w:val="0"/>
      <w:divBdr>
        <w:top w:val="none" w:sz="0" w:space="0" w:color="auto"/>
        <w:left w:val="none" w:sz="0" w:space="0" w:color="auto"/>
        <w:bottom w:val="none" w:sz="0" w:space="0" w:color="auto"/>
        <w:right w:val="none" w:sz="0" w:space="0" w:color="auto"/>
      </w:divBdr>
    </w:div>
    <w:div w:id="1163356432">
      <w:bodyDiv w:val="1"/>
      <w:marLeft w:val="0"/>
      <w:marRight w:val="0"/>
      <w:marTop w:val="0"/>
      <w:marBottom w:val="0"/>
      <w:divBdr>
        <w:top w:val="none" w:sz="0" w:space="0" w:color="auto"/>
        <w:left w:val="none" w:sz="0" w:space="0" w:color="auto"/>
        <w:bottom w:val="none" w:sz="0" w:space="0" w:color="auto"/>
        <w:right w:val="none" w:sz="0" w:space="0" w:color="auto"/>
      </w:divBdr>
    </w:div>
    <w:div w:id="1193688883">
      <w:bodyDiv w:val="1"/>
      <w:marLeft w:val="0"/>
      <w:marRight w:val="0"/>
      <w:marTop w:val="0"/>
      <w:marBottom w:val="0"/>
      <w:divBdr>
        <w:top w:val="none" w:sz="0" w:space="0" w:color="auto"/>
        <w:left w:val="none" w:sz="0" w:space="0" w:color="auto"/>
        <w:bottom w:val="none" w:sz="0" w:space="0" w:color="auto"/>
        <w:right w:val="none" w:sz="0" w:space="0" w:color="auto"/>
      </w:divBdr>
    </w:div>
    <w:div w:id="1223909817">
      <w:bodyDiv w:val="1"/>
      <w:marLeft w:val="0"/>
      <w:marRight w:val="0"/>
      <w:marTop w:val="0"/>
      <w:marBottom w:val="0"/>
      <w:divBdr>
        <w:top w:val="none" w:sz="0" w:space="0" w:color="auto"/>
        <w:left w:val="none" w:sz="0" w:space="0" w:color="auto"/>
        <w:bottom w:val="none" w:sz="0" w:space="0" w:color="auto"/>
        <w:right w:val="none" w:sz="0" w:space="0" w:color="auto"/>
      </w:divBdr>
    </w:div>
    <w:div w:id="1314406367">
      <w:bodyDiv w:val="1"/>
      <w:marLeft w:val="0"/>
      <w:marRight w:val="0"/>
      <w:marTop w:val="0"/>
      <w:marBottom w:val="0"/>
      <w:divBdr>
        <w:top w:val="none" w:sz="0" w:space="0" w:color="auto"/>
        <w:left w:val="none" w:sz="0" w:space="0" w:color="auto"/>
        <w:bottom w:val="none" w:sz="0" w:space="0" w:color="auto"/>
        <w:right w:val="none" w:sz="0" w:space="0" w:color="auto"/>
      </w:divBdr>
    </w:div>
    <w:div w:id="1324507505">
      <w:bodyDiv w:val="1"/>
      <w:marLeft w:val="0"/>
      <w:marRight w:val="0"/>
      <w:marTop w:val="0"/>
      <w:marBottom w:val="0"/>
      <w:divBdr>
        <w:top w:val="none" w:sz="0" w:space="0" w:color="auto"/>
        <w:left w:val="none" w:sz="0" w:space="0" w:color="auto"/>
        <w:bottom w:val="none" w:sz="0" w:space="0" w:color="auto"/>
        <w:right w:val="none" w:sz="0" w:space="0" w:color="auto"/>
      </w:divBdr>
    </w:div>
    <w:div w:id="1342390280">
      <w:bodyDiv w:val="1"/>
      <w:marLeft w:val="0"/>
      <w:marRight w:val="0"/>
      <w:marTop w:val="0"/>
      <w:marBottom w:val="0"/>
      <w:divBdr>
        <w:top w:val="none" w:sz="0" w:space="0" w:color="auto"/>
        <w:left w:val="none" w:sz="0" w:space="0" w:color="auto"/>
        <w:bottom w:val="none" w:sz="0" w:space="0" w:color="auto"/>
        <w:right w:val="none" w:sz="0" w:space="0" w:color="auto"/>
      </w:divBdr>
    </w:div>
    <w:div w:id="1383866437">
      <w:bodyDiv w:val="1"/>
      <w:marLeft w:val="0"/>
      <w:marRight w:val="0"/>
      <w:marTop w:val="0"/>
      <w:marBottom w:val="0"/>
      <w:divBdr>
        <w:top w:val="none" w:sz="0" w:space="0" w:color="auto"/>
        <w:left w:val="none" w:sz="0" w:space="0" w:color="auto"/>
        <w:bottom w:val="none" w:sz="0" w:space="0" w:color="auto"/>
        <w:right w:val="none" w:sz="0" w:space="0" w:color="auto"/>
      </w:divBdr>
    </w:div>
    <w:div w:id="1438983594">
      <w:bodyDiv w:val="1"/>
      <w:marLeft w:val="0"/>
      <w:marRight w:val="0"/>
      <w:marTop w:val="0"/>
      <w:marBottom w:val="0"/>
      <w:divBdr>
        <w:top w:val="none" w:sz="0" w:space="0" w:color="auto"/>
        <w:left w:val="none" w:sz="0" w:space="0" w:color="auto"/>
        <w:bottom w:val="none" w:sz="0" w:space="0" w:color="auto"/>
        <w:right w:val="none" w:sz="0" w:space="0" w:color="auto"/>
      </w:divBdr>
    </w:div>
    <w:div w:id="1502165158">
      <w:bodyDiv w:val="1"/>
      <w:marLeft w:val="0"/>
      <w:marRight w:val="0"/>
      <w:marTop w:val="0"/>
      <w:marBottom w:val="0"/>
      <w:divBdr>
        <w:top w:val="none" w:sz="0" w:space="0" w:color="auto"/>
        <w:left w:val="none" w:sz="0" w:space="0" w:color="auto"/>
        <w:bottom w:val="none" w:sz="0" w:space="0" w:color="auto"/>
        <w:right w:val="none" w:sz="0" w:space="0" w:color="auto"/>
      </w:divBdr>
    </w:div>
    <w:div w:id="1505390118">
      <w:bodyDiv w:val="1"/>
      <w:marLeft w:val="0"/>
      <w:marRight w:val="0"/>
      <w:marTop w:val="0"/>
      <w:marBottom w:val="0"/>
      <w:divBdr>
        <w:top w:val="none" w:sz="0" w:space="0" w:color="auto"/>
        <w:left w:val="none" w:sz="0" w:space="0" w:color="auto"/>
        <w:bottom w:val="none" w:sz="0" w:space="0" w:color="auto"/>
        <w:right w:val="none" w:sz="0" w:space="0" w:color="auto"/>
      </w:divBdr>
    </w:div>
    <w:div w:id="1533349017">
      <w:bodyDiv w:val="1"/>
      <w:marLeft w:val="0"/>
      <w:marRight w:val="0"/>
      <w:marTop w:val="0"/>
      <w:marBottom w:val="0"/>
      <w:divBdr>
        <w:top w:val="none" w:sz="0" w:space="0" w:color="auto"/>
        <w:left w:val="none" w:sz="0" w:space="0" w:color="auto"/>
        <w:bottom w:val="none" w:sz="0" w:space="0" w:color="auto"/>
        <w:right w:val="none" w:sz="0" w:space="0" w:color="auto"/>
      </w:divBdr>
    </w:div>
    <w:div w:id="1562132660">
      <w:bodyDiv w:val="1"/>
      <w:marLeft w:val="0"/>
      <w:marRight w:val="0"/>
      <w:marTop w:val="0"/>
      <w:marBottom w:val="0"/>
      <w:divBdr>
        <w:top w:val="none" w:sz="0" w:space="0" w:color="auto"/>
        <w:left w:val="none" w:sz="0" w:space="0" w:color="auto"/>
        <w:bottom w:val="none" w:sz="0" w:space="0" w:color="auto"/>
        <w:right w:val="none" w:sz="0" w:space="0" w:color="auto"/>
      </w:divBdr>
    </w:div>
    <w:div w:id="1567448529">
      <w:bodyDiv w:val="1"/>
      <w:marLeft w:val="0"/>
      <w:marRight w:val="0"/>
      <w:marTop w:val="0"/>
      <w:marBottom w:val="0"/>
      <w:divBdr>
        <w:top w:val="none" w:sz="0" w:space="0" w:color="auto"/>
        <w:left w:val="none" w:sz="0" w:space="0" w:color="auto"/>
        <w:bottom w:val="none" w:sz="0" w:space="0" w:color="auto"/>
        <w:right w:val="none" w:sz="0" w:space="0" w:color="auto"/>
      </w:divBdr>
    </w:div>
    <w:div w:id="1570337538">
      <w:bodyDiv w:val="1"/>
      <w:marLeft w:val="0"/>
      <w:marRight w:val="0"/>
      <w:marTop w:val="0"/>
      <w:marBottom w:val="0"/>
      <w:divBdr>
        <w:top w:val="none" w:sz="0" w:space="0" w:color="auto"/>
        <w:left w:val="none" w:sz="0" w:space="0" w:color="auto"/>
        <w:bottom w:val="none" w:sz="0" w:space="0" w:color="auto"/>
        <w:right w:val="none" w:sz="0" w:space="0" w:color="auto"/>
      </w:divBdr>
    </w:div>
    <w:div w:id="1619726999">
      <w:bodyDiv w:val="1"/>
      <w:marLeft w:val="0"/>
      <w:marRight w:val="0"/>
      <w:marTop w:val="0"/>
      <w:marBottom w:val="0"/>
      <w:divBdr>
        <w:top w:val="none" w:sz="0" w:space="0" w:color="auto"/>
        <w:left w:val="none" w:sz="0" w:space="0" w:color="auto"/>
        <w:bottom w:val="none" w:sz="0" w:space="0" w:color="auto"/>
        <w:right w:val="none" w:sz="0" w:space="0" w:color="auto"/>
      </w:divBdr>
    </w:div>
    <w:div w:id="1640305579">
      <w:bodyDiv w:val="1"/>
      <w:marLeft w:val="0"/>
      <w:marRight w:val="0"/>
      <w:marTop w:val="0"/>
      <w:marBottom w:val="0"/>
      <w:divBdr>
        <w:top w:val="none" w:sz="0" w:space="0" w:color="auto"/>
        <w:left w:val="none" w:sz="0" w:space="0" w:color="auto"/>
        <w:bottom w:val="none" w:sz="0" w:space="0" w:color="auto"/>
        <w:right w:val="none" w:sz="0" w:space="0" w:color="auto"/>
      </w:divBdr>
    </w:div>
    <w:div w:id="1670669697">
      <w:bodyDiv w:val="1"/>
      <w:marLeft w:val="0"/>
      <w:marRight w:val="0"/>
      <w:marTop w:val="0"/>
      <w:marBottom w:val="0"/>
      <w:divBdr>
        <w:top w:val="none" w:sz="0" w:space="0" w:color="auto"/>
        <w:left w:val="none" w:sz="0" w:space="0" w:color="auto"/>
        <w:bottom w:val="none" w:sz="0" w:space="0" w:color="auto"/>
        <w:right w:val="none" w:sz="0" w:space="0" w:color="auto"/>
      </w:divBdr>
    </w:div>
    <w:div w:id="1703358535">
      <w:bodyDiv w:val="1"/>
      <w:marLeft w:val="0"/>
      <w:marRight w:val="0"/>
      <w:marTop w:val="0"/>
      <w:marBottom w:val="0"/>
      <w:divBdr>
        <w:top w:val="none" w:sz="0" w:space="0" w:color="auto"/>
        <w:left w:val="none" w:sz="0" w:space="0" w:color="auto"/>
        <w:bottom w:val="none" w:sz="0" w:space="0" w:color="auto"/>
        <w:right w:val="none" w:sz="0" w:space="0" w:color="auto"/>
      </w:divBdr>
    </w:div>
    <w:div w:id="1740594808">
      <w:bodyDiv w:val="1"/>
      <w:marLeft w:val="0"/>
      <w:marRight w:val="0"/>
      <w:marTop w:val="0"/>
      <w:marBottom w:val="0"/>
      <w:divBdr>
        <w:top w:val="none" w:sz="0" w:space="0" w:color="auto"/>
        <w:left w:val="none" w:sz="0" w:space="0" w:color="auto"/>
        <w:bottom w:val="none" w:sz="0" w:space="0" w:color="auto"/>
        <w:right w:val="none" w:sz="0" w:space="0" w:color="auto"/>
      </w:divBdr>
    </w:div>
    <w:div w:id="1856797617">
      <w:bodyDiv w:val="1"/>
      <w:marLeft w:val="0"/>
      <w:marRight w:val="0"/>
      <w:marTop w:val="0"/>
      <w:marBottom w:val="0"/>
      <w:divBdr>
        <w:top w:val="none" w:sz="0" w:space="0" w:color="auto"/>
        <w:left w:val="none" w:sz="0" w:space="0" w:color="auto"/>
        <w:bottom w:val="none" w:sz="0" w:space="0" w:color="auto"/>
        <w:right w:val="none" w:sz="0" w:space="0" w:color="auto"/>
      </w:divBdr>
    </w:div>
    <w:div w:id="1951626037">
      <w:bodyDiv w:val="1"/>
      <w:marLeft w:val="0"/>
      <w:marRight w:val="0"/>
      <w:marTop w:val="0"/>
      <w:marBottom w:val="0"/>
      <w:divBdr>
        <w:top w:val="none" w:sz="0" w:space="0" w:color="auto"/>
        <w:left w:val="none" w:sz="0" w:space="0" w:color="auto"/>
        <w:bottom w:val="none" w:sz="0" w:space="0" w:color="auto"/>
        <w:right w:val="none" w:sz="0" w:space="0" w:color="auto"/>
      </w:divBdr>
    </w:div>
    <w:div w:id="1981183319">
      <w:bodyDiv w:val="1"/>
      <w:marLeft w:val="0"/>
      <w:marRight w:val="0"/>
      <w:marTop w:val="0"/>
      <w:marBottom w:val="0"/>
      <w:divBdr>
        <w:top w:val="none" w:sz="0" w:space="0" w:color="auto"/>
        <w:left w:val="none" w:sz="0" w:space="0" w:color="auto"/>
        <w:bottom w:val="none" w:sz="0" w:space="0" w:color="auto"/>
        <w:right w:val="none" w:sz="0" w:space="0" w:color="auto"/>
      </w:divBdr>
    </w:div>
    <w:div w:id="1989893287">
      <w:bodyDiv w:val="1"/>
      <w:marLeft w:val="0"/>
      <w:marRight w:val="0"/>
      <w:marTop w:val="0"/>
      <w:marBottom w:val="0"/>
      <w:divBdr>
        <w:top w:val="none" w:sz="0" w:space="0" w:color="auto"/>
        <w:left w:val="none" w:sz="0" w:space="0" w:color="auto"/>
        <w:bottom w:val="none" w:sz="0" w:space="0" w:color="auto"/>
        <w:right w:val="none" w:sz="0" w:space="0" w:color="auto"/>
      </w:divBdr>
    </w:div>
    <w:div w:id="2026710654">
      <w:bodyDiv w:val="1"/>
      <w:marLeft w:val="0"/>
      <w:marRight w:val="0"/>
      <w:marTop w:val="0"/>
      <w:marBottom w:val="0"/>
      <w:divBdr>
        <w:top w:val="none" w:sz="0" w:space="0" w:color="auto"/>
        <w:left w:val="none" w:sz="0" w:space="0" w:color="auto"/>
        <w:bottom w:val="none" w:sz="0" w:space="0" w:color="auto"/>
        <w:right w:val="none" w:sz="0" w:space="0" w:color="auto"/>
      </w:divBdr>
      <w:divsChild>
        <w:div w:id="936793307">
          <w:marLeft w:val="0"/>
          <w:marRight w:val="0"/>
          <w:marTop w:val="0"/>
          <w:marBottom w:val="0"/>
          <w:divBdr>
            <w:top w:val="none" w:sz="0" w:space="0" w:color="auto"/>
            <w:left w:val="none" w:sz="0" w:space="0" w:color="auto"/>
            <w:bottom w:val="none" w:sz="0" w:space="0" w:color="auto"/>
            <w:right w:val="none" w:sz="0" w:space="0" w:color="auto"/>
          </w:divBdr>
          <w:divsChild>
            <w:div w:id="460151939">
              <w:marLeft w:val="0"/>
              <w:marRight w:val="0"/>
              <w:marTop w:val="0"/>
              <w:marBottom w:val="0"/>
              <w:divBdr>
                <w:top w:val="none" w:sz="0" w:space="0" w:color="auto"/>
                <w:left w:val="none" w:sz="0" w:space="0" w:color="auto"/>
                <w:bottom w:val="none" w:sz="0" w:space="0" w:color="auto"/>
                <w:right w:val="none" w:sz="0" w:space="0" w:color="auto"/>
              </w:divBdr>
              <w:divsChild>
                <w:div w:id="1997681088">
                  <w:marLeft w:val="0"/>
                  <w:marRight w:val="0"/>
                  <w:marTop w:val="0"/>
                  <w:marBottom w:val="0"/>
                  <w:divBdr>
                    <w:top w:val="none" w:sz="0" w:space="0" w:color="auto"/>
                    <w:left w:val="none" w:sz="0" w:space="0" w:color="auto"/>
                    <w:bottom w:val="none" w:sz="0" w:space="0" w:color="auto"/>
                    <w:right w:val="none" w:sz="0" w:space="0" w:color="auto"/>
                  </w:divBdr>
                  <w:divsChild>
                    <w:div w:id="197637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w3.org/WAI/fundamentals/" TargetMode="External"/><Relationship Id="rId21" Type="http://schemas.openxmlformats.org/officeDocument/2006/relationships/image" Target="media/image4.jpeg"/><Relationship Id="rId42" Type="http://schemas.openxmlformats.org/officeDocument/2006/relationships/hyperlink" Target="https://australiandisabilitynetwork.org.au/resources/suppliers-and-partners-accessible-procurement/" TargetMode="External"/><Relationship Id="rId63" Type="http://schemas.openxmlformats.org/officeDocument/2006/relationships/hyperlink" Target="https://www.w3.org/WAI/WCAG2/supplemental/" TargetMode="External"/><Relationship Id="rId84" Type="http://schemas.openxmlformats.org/officeDocument/2006/relationships/hyperlink" Target="https://www.digital.gov.au/policy/digital-experience/digital-performance-standard" TargetMode="External"/><Relationship Id="rId138" Type="http://schemas.openxmlformats.org/officeDocument/2006/relationships/hyperlink" Target="https://design.canada.ca/style-guide/" TargetMode="External"/><Relationship Id="rId159" Type="http://schemas.openxmlformats.org/officeDocument/2006/relationships/hyperlink" Target="https://www.w3.org/WAI/standards-guidelines/wcag/non-web-ict/" TargetMode="External"/><Relationship Id="rId170" Type="http://schemas.openxmlformats.org/officeDocument/2006/relationships/hyperlink" Target="https://www.w3.org/TR/epub-a11y-11/" TargetMode="External"/><Relationship Id="rId107" Type="http://schemas.openxmlformats.org/officeDocument/2006/relationships/hyperlink" Target="https://www.ausbanking.org.au/priorities/accessibility/" TargetMode="External"/><Relationship Id="rId11" Type="http://schemas.openxmlformats.org/officeDocument/2006/relationships/webSettings" Target="webSettings.xml"/><Relationship Id="rId32" Type="http://schemas.openxmlformats.org/officeDocument/2006/relationships/hyperlink" Target="https://www.w3.org/WAI/fundamentals/" TargetMode="External"/><Relationship Id="rId53" Type="http://schemas.openxmlformats.org/officeDocument/2006/relationships/hyperlink" Target="https://www.w3.org/WAI/ARIA/apg" TargetMode="External"/><Relationship Id="rId74" Type="http://schemas.openxmlformats.org/officeDocument/2006/relationships/hyperlink" Target="https://store.standards.org.au/reader/as-iso-31000-2018?preview=1" TargetMode="External"/><Relationship Id="rId128" Type="http://schemas.openxmlformats.org/officeDocument/2006/relationships/hyperlink" Target="https://tetralogical.com/blog/2021/09/29/browsing-with-a-desktop-screen-reader/" TargetMode="External"/><Relationship Id="rId149" Type="http://schemas.openxmlformats.org/officeDocument/2006/relationships/hyperlink" Target="https://support.microsoft.com/en-au/office/make-your-word-documents-accessible-to-people-with-disabilities-d9bf3683-87ac-47ea-b91a-78dcacb3c66d" TargetMode="External"/><Relationship Id="rId5" Type="http://schemas.openxmlformats.org/officeDocument/2006/relationships/customXml" Target="../customXml/item5.xml"/><Relationship Id="rId95" Type="http://schemas.openxmlformats.org/officeDocument/2006/relationships/hyperlink" Target="https://nt.gov.au/page/accessibility" TargetMode="External"/><Relationship Id="rId160" Type="http://schemas.openxmlformats.org/officeDocument/2006/relationships/hyperlink" Target="https://digital.gov/guides/accessibility-for-teams/front-end-development/" TargetMode="External"/><Relationship Id="rId181" Type="http://schemas.openxmlformats.org/officeDocument/2006/relationships/hyperlink" Target="https://csa-iot.org/all-solutions/matter/" TargetMode="External"/><Relationship Id="rId22" Type="http://schemas.openxmlformats.org/officeDocument/2006/relationships/image" Target="media/image5.jpeg"/><Relationship Id="rId43" Type="http://schemas.openxmlformats.org/officeDocument/2006/relationships/hyperlink" Target="https://www.info.buy.nsw.gov.au/resources/buying-accessible-products" TargetMode="External"/><Relationship Id="rId64" Type="http://schemas.openxmlformats.org/officeDocument/2006/relationships/hyperlink" Target="https://www.w3.org/WAI/WCAG2/supplemental/about/" TargetMode="External"/><Relationship Id="rId118" Type="http://schemas.openxmlformats.org/officeDocument/2006/relationships/hyperlink" Target="https://www.w3.org/WAI/people-use-web/" TargetMode="External"/><Relationship Id="rId139" Type="http://schemas.openxmlformats.org/officeDocument/2006/relationships/hyperlink" Target="https://www.plainlanguage.gov/" TargetMode="External"/><Relationship Id="rId85" Type="http://schemas.openxmlformats.org/officeDocument/2006/relationships/hyperlink" Target="https://architecture.digital.gov.au/complaints-and-issues-resolution-individual" TargetMode="External"/><Relationship Id="rId150" Type="http://schemas.openxmlformats.org/officeDocument/2006/relationships/hyperlink" Target="https://www.w3.org/WAI/media/av/" TargetMode="External"/><Relationship Id="rId171" Type="http://schemas.openxmlformats.org/officeDocument/2006/relationships/hyperlink" Target="https://www.accessiblebooksconsortium.org/" TargetMode="External"/><Relationship Id="rId12" Type="http://schemas.openxmlformats.org/officeDocument/2006/relationships/footnotes" Target="footnotes.xml"/><Relationship Id="rId33" Type="http://schemas.openxmlformats.org/officeDocument/2006/relationships/hyperlink" Target="https://www.w3.org/WAI/people-use-web/" TargetMode="External"/><Relationship Id="rId108" Type="http://schemas.openxmlformats.org/officeDocument/2006/relationships/hyperlink" Target="https://www.auspaynet.com.au/accessibility" TargetMode="External"/><Relationship Id="rId129" Type="http://schemas.openxmlformats.org/officeDocument/2006/relationships/hyperlink" Target="https://live-production.wcms.abc-cdn.net.au/b52a0f4e705957e28784097fcc48696b" TargetMode="External"/><Relationship Id="rId54" Type="http://schemas.openxmlformats.org/officeDocument/2006/relationships/hyperlink" Target="https://www.w3.org/TR/using-aria/" TargetMode="External"/><Relationship Id="rId75" Type="http://schemas.openxmlformats.org/officeDocument/2006/relationships/hyperlink" Target="https://store.standards.org.au/reader/as-iso-37301-2023?preview=1" TargetMode="External"/><Relationship Id="rId96" Type="http://schemas.openxmlformats.org/officeDocument/2006/relationships/hyperlink" Target="https://www.forgov.qld.gov.au/information-and-communication-technology/qgea-policies-standards-and-guidelines/digital-service-standard" TargetMode="External"/><Relationship Id="rId140" Type="http://schemas.openxmlformats.org/officeDocument/2006/relationships/hyperlink" Target="https://www.accessibility.sa.gov.au/introduction/user-research" TargetMode="External"/><Relationship Id="rId161" Type="http://schemas.openxmlformats.org/officeDocument/2006/relationships/hyperlink" Target="https://tetralogical.com/blog/2024/03/18/accessbility-foundations/" TargetMode="External"/><Relationship Id="rId182" Type="http://schemas.openxmlformats.org/officeDocument/2006/relationships/hyperlink" Target="https://smartcities4all.org/" TargetMode="External"/><Relationship Id="rId6" Type="http://schemas.openxmlformats.org/officeDocument/2006/relationships/customXml" Target="../customXml/item6.xml"/><Relationship Id="rId23" Type="http://schemas.openxmlformats.org/officeDocument/2006/relationships/hyperlink" Target="https://australianhrc.sharepoint.com/:w:/s/DisabilityRights/ERwRGXB7Er1HpKkkWvw68-wBdIUqiVpROm6kjldWSBmucg?e=iYJCmN" TargetMode="External"/><Relationship Id="rId119" Type="http://schemas.openxmlformats.org/officeDocument/2006/relationships/hyperlink" Target="https://www.w3.org/WAI/business-case/" TargetMode="External"/><Relationship Id="rId44" Type="http://schemas.openxmlformats.org/officeDocument/2006/relationships/hyperlink" Target="https://buyict4all.org/" TargetMode="External"/><Relationship Id="rId65" Type="http://schemas.openxmlformats.org/officeDocument/2006/relationships/hyperlink" Target="https://www.w3.org/TR/coga-usable/" TargetMode="External"/><Relationship Id="rId86" Type="http://schemas.openxmlformats.org/officeDocument/2006/relationships/hyperlink" Target="https://architecture.digital.gov.au/content-management-policy-position" TargetMode="External"/><Relationship Id="rId130" Type="http://schemas.openxmlformats.org/officeDocument/2006/relationships/hyperlink" Target="https://accessibility.blog.gov.uk/2016/09/02/dos-and-donts-on-designing-for-accessibility/" TargetMode="External"/><Relationship Id="rId151" Type="http://schemas.openxmlformats.org/officeDocument/2006/relationships/hyperlink" Target="https://webaim.org/techniques/captions/" TargetMode="External"/><Relationship Id="rId172" Type="http://schemas.openxmlformats.org/officeDocument/2006/relationships/hyperlink" Target="https://inclusivepublishing.org/" TargetMode="External"/><Relationship Id="rId13" Type="http://schemas.openxmlformats.org/officeDocument/2006/relationships/endnotes" Target="endnotes.xml"/><Relationship Id="rId18" Type="http://schemas.openxmlformats.org/officeDocument/2006/relationships/hyperlink" Target="mailto:communications@humanrights.gov.au" TargetMode="External"/><Relationship Id="rId39" Type="http://schemas.openxmlformats.org/officeDocument/2006/relationships/hyperlink" Target="https://business.gov.au/products-and-services/fair-trading/australian-consumer-law" TargetMode="External"/><Relationship Id="rId109" Type="http://schemas.openxmlformats.org/officeDocument/2006/relationships/hyperlink" Target="https://www.commsalliance.com.au/Documents/all/codes/c628" TargetMode="External"/><Relationship Id="rId34" Type="http://schemas.openxmlformats.org/officeDocument/2006/relationships/hyperlink" Target="https://www.w3.org/WAI/design-develop/" TargetMode="External"/><Relationship Id="rId50" Type="http://schemas.openxmlformats.org/officeDocument/2006/relationships/hyperlink" Target="https://www.w3.org/TR/IMPLEMENTING-ATAG20/" TargetMode="External"/><Relationship Id="rId55" Type="http://schemas.openxmlformats.org/officeDocument/2006/relationships/hyperlink" Target="https://www.w3.org/press-releases/2023/epub33-rec/" TargetMode="External"/><Relationship Id="rId76" Type="http://schemas.openxmlformats.org/officeDocument/2006/relationships/hyperlink" Target="https://store.standards.org.au/product/as-iso-24495-1-2024" TargetMode="External"/><Relationship Id="rId97" Type="http://schemas.openxmlformats.org/officeDocument/2006/relationships/hyperlink" Target="https://www.forgov.qld.gov.au/information-and-communication-technology/qgea-policies-standards-and-guidelines/digital-service-standard/make-digital-services-accessible" TargetMode="External"/><Relationship Id="rId104" Type="http://schemas.openxmlformats.org/officeDocument/2006/relationships/hyperlink" Target="https://www.vic.gov.au/make-content-accessible" TargetMode="External"/><Relationship Id="rId120" Type="http://schemas.openxmlformats.org/officeDocument/2006/relationships/hyperlink" Target="https://www.digital.nsw.gov.au/delivery/accessibility-and-inclusivity-toolkit/accessibility-matters" TargetMode="External"/><Relationship Id="rId125" Type="http://schemas.openxmlformats.org/officeDocument/2006/relationships/hyperlink" Target="https://tetralogical.com/blog/2021/11/10/browsing-with-screen-magnification/" TargetMode="External"/><Relationship Id="rId141" Type="http://schemas.openxmlformats.org/officeDocument/2006/relationships/hyperlink" Target="https://www.gov.uk/service-manual/user-research/running-research-sessions-with-people-with-disabilities" TargetMode="External"/><Relationship Id="rId146" Type="http://schemas.openxmlformats.org/officeDocument/2006/relationships/hyperlink" Target="https://www.w3.org/WAI/WCAG2/supplemental/" TargetMode="External"/><Relationship Id="rId167" Type="http://schemas.openxmlformats.org/officeDocument/2006/relationships/hyperlink" Target="https://www.w3.org/WAI/test-evaluate/tools/selecting/" TargetMode="External"/><Relationship Id="rId188" Type="http://schemas.openxmlformats.org/officeDocument/2006/relationships/footer" Target="footer3.xml"/><Relationship Id="rId7" Type="http://schemas.openxmlformats.org/officeDocument/2006/relationships/customXml" Target="../customXml/item7.xml"/><Relationship Id="rId71" Type="http://schemas.openxmlformats.org/officeDocument/2006/relationships/hyperlink" Target="https://pac.pdf-accessibility.org/en/history" TargetMode="External"/><Relationship Id="rId92" Type="http://schemas.openxmlformats.org/officeDocument/2006/relationships/hyperlink" Target="https://www.digital.nsw.gov.au/delivery/digital-service-toolkit/design-standards" TargetMode="External"/><Relationship Id="rId162" Type="http://schemas.openxmlformats.org/officeDocument/2006/relationships/hyperlink" Target="https://developer.apple.com/accessibility/" TargetMode="External"/><Relationship Id="rId183"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https://humanrights.gov.au/our-work/disability-rights/action-plans-and-action-plan-guides" TargetMode="External"/><Relationship Id="rId24" Type="http://schemas.openxmlformats.org/officeDocument/2006/relationships/hyperlink" Target="https://humanrights.gov.au/our-work/technology-and-human-rights/projects/final-report-human-rights-and-technology" TargetMode="External"/><Relationship Id="rId40" Type="http://schemas.openxmlformats.org/officeDocument/2006/relationships/hyperlink" Target="https://caudit.edu.au/accessible-it-procurement/" TargetMode="External"/><Relationship Id="rId45" Type="http://schemas.openxmlformats.org/officeDocument/2006/relationships/hyperlink" Target="https://disabilityin.org/procurementtoolkit/" TargetMode="External"/><Relationship Id="rId66" Type="http://schemas.openxmlformats.org/officeDocument/2006/relationships/hyperlink" Target="https://www.w3.org/TR/maturity-model/" TargetMode="External"/><Relationship Id="rId87" Type="http://schemas.openxmlformats.org/officeDocument/2006/relationships/hyperlink" Target="https://architecture.digital.gov.au/complaints-and-issues-resolution-individual" TargetMode="External"/><Relationship Id="rId110" Type="http://schemas.openxmlformats.org/officeDocument/2006/relationships/hyperlink" Target="https://gameaccessibilityguidelines.com/why-and-how/" TargetMode="External"/><Relationship Id="rId115" Type="http://schemas.openxmlformats.org/officeDocument/2006/relationships/hyperlink" Target="https://www.bdadyslexia.org.uk/advice/employers/creating-a-dyslexia-friendly-workplace/dyslexia-friendly-style-guide" TargetMode="External"/><Relationship Id="rId131" Type="http://schemas.openxmlformats.org/officeDocument/2006/relationships/hyperlink" Target="https://designnotes.blog.gov.uk/2022/11/28/designing-for-people-with-dyscalculia-and-low-numeracy/" TargetMode="External"/><Relationship Id="rId136" Type="http://schemas.openxmlformats.org/officeDocument/2006/relationships/hyperlink" Target="https://pwd.org.au/resources/language-guide/" TargetMode="External"/><Relationship Id="rId157" Type="http://schemas.openxmlformats.org/officeDocument/2006/relationships/hyperlink" Target="https://www.w3.org/WAI/tips/developing/" TargetMode="External"/><Relationship Id="rId178" Type="http://schemas.openxmlformats.org/officeDocument/2006/relationships/hyperlink" Target="https://accessibility.umn.edu/what-you-can-do/extend-core-skills/provide-accessible-content-events/social-media" TargetMode="External"/><Relationship Id="rId61" Type="http://schemas.openxmlformats.org/officeDocument/2006/relationships/hyperlink" Target="https://www.w3.org/TR/ctaur/" TargetMode="External"/><Relationship Id="rId82" Type="http://schemas.openxmlformats.org/officeDocument/2006/relationships/hyperlink" Target="https://www.digital.gov.au/policy/digital-experience/digital-inclusion-standard" TargetMode="External"/><Relationship Id="rId152" Type="http://schemas.openxmlformats.org/officeDocument/2006/relationships/hyperlink" Target="https://www.w3.org/WAI/tips/designing/" TargetMode="External"/><Relationship Id="rId173" Type="http://schemas.openxmlformats.org/officeDocument/2006/relationships/hyperlink" Target="https://inclusivepublishing.org/toolbox/accessibility-checker/" TargetMode="External"/><Relationship Id="rId19" Type="http://schemas.openxmlformats.org/officeDocument/2006/relationships/hyperlink" Target="humanrights.gov.au" TargetMode="External"/><Relationship Id="rId14" Type="http://schemas.openxmlformats.org/officeDocument/2006/relationships/image" Target="media/image1.jpeg"/><Relationship Id="rId30" Type="http://schemas.openxmlformats.org/officeDocument/2006/relationships/hyperlink" Target="https://ozewai.org/resources/consultant-directory/" TargetMode="External"/><Relationship Id="rId35" Type="http://schemas.openxmlformats.org/officeDocument/2006/relationships/hyperlink" Target="https://www.w3.org/WAI/fundamentals/foundations-course/" TargetMode="External"/><Relationship Id="rId56" Type="http://schemas.openxmlformats.org/officeDocument/2006/relationships/hyperlink" Target="https://www.w3.org/TR/epub-33/" TargetMode="External"/><Relationship Id="rId77" Type="http://schemas.openxmlformats.org/officeDocument/2006/relationships/hyperlink" Target="https://www.buyict.gov.au/sp?id=resources_and_policies&amp;kb=KB0010637" TargetMode="External"/><Relationship Id="rId100" Type="http://schemas.openxmlformats.org/officeDocument/2006/relationships/hyperlink" Target="https://www.dpc.sa.gov.au/responsibilities/ict-digital-cyber-security/policies-and-guidelines/digital" TargetMode="External"/><Relationship Id="rId105" Type="http://schemas.openxmlformats.org/officeDocument/2006/relationships/hyperlink" Target="https://www.wa.gov.au/government/document-collections/digital-services-policy-framework" TargetMode="External"/><Relationship Id="rId126" Type="http://schemas.openxmlformats.org/officeDocument/2006/relationships/hyperlink" Target="https://tetralogical.com/blog/2021/10/26/browsing-with-a-keyboard/" TargetMode="External"/><Relationship Id="rId147" Type="http://schemas.openxmlformats.org/officeDocument/2006/relationships/hyperlink" Target="https://digital.gov/guides/accessibility-for-teams/content-design/" TargetMode="External"/><Relationship Id="rId168" Type="http://schemas.openxmlformats.org/officeDocument/2006/relationships/hyperlink" Target="https://www.digital.nsw.gov.au/delivery/accessibility-and-inclusivity-toolkit/testing" TargetMode="External"/><Relationship Id="rId8" Type="http://schemas.openxmlformats.org/officeDocument/2006/relationships/numbering" Target="numbering.xml"/><Relationship Id="rId51" Type="http://schemas.openxmlformats.org/officeDocument/2006/relationships/hyperlink" Target="https://www.w3.org/WAI/standards-guidelines/aria/" TargetMode="External"/><Relationship Id="rId72" Type="http://schemas.openxmlformats.org/officeDocument/2006/relationships/hyperlink" Target="https://pdfa.org/sponsored-standards/" TargetMode="External"/><Relationship Id="rId93" Type="http://schemas.openxmlformats.org/officeDocument/2006/relationships/hyperlink" Target="https://www.digital.nsw.gov.au/delivery/digital-service-toolkit/resources/accessibility-resources" TargetMode="External"/><Relationship Id="rId98" Type="http://schemas.openxmlformats.org/officeDocument/2006/relationships/hyperlink" Target="https://www.forgov.qld.gov.au/information-and-communication-technology/communication-and-publishing/website-and-digital-publishing/website-standards-guidelines-and-templates/consistent-user-experience-standard" TargetMode="External"/><Relationship Id="rId121" Type="http://schemas.openxmlformats.org/officeDocument/2006/relationships/hyperlink" Target="https://inclusive.microsoft.design/" TargetMode="External"/><Relationship Id="rId142" Type="http://schemas.openxmlformats.org/officeDocument/2006/relationships/hyperlink" Target="https://guide.inclusivedesign.ca/" TargetMode="External"/><Relationship Id="rId163" Type="http://schemas.openxmlformats.org/officeDocument/2006/relationships/hyperlink" Target="https://developer.apple.com/documentation/swiftui/accessibility-fundamentals" TargetMode="External"/><Relationship Id="rId184" Type="http://schemas.openxmlformats.org/officeDocument/2006/relationships/header" Target="header2.xml"/><Relationship Id="rId189"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www.w3.org/WAI/business-case/" TargetMode="External"/><Relationship Id="rId46" Type="http://schemas.openxmlformats.org/officeDocument/2006/relationships/hyperlink" Target="https://www.w3.org/WAI/standards-guidelines/wcag/" TargetMode="External"/><Relationship Id="rId67" Type="http://schemas.openxmlformats.org/officeDocument/2006/relationships/hyperlink" Target="https://store.standards.org.au/product/AS-EN-301-549-2024" TargetMode="External"/><Relationship Id="rId116" Type="http://schemas.openxmlformats.org/officeDocument/2006/relationships/hyperlink" Target="https://www.w3.org/WAI/media/av/" TargetMode="External"/><Relationship Id="rId137" Type="http://schemas.openxmlformats.org/officeDocument/2006/relationships/hyperlink" Target="http://www.plainenglish.co.uk/how-to-write-in-plain-english.html" TargetMode="External"/><Relationship Id="rId158" Type="http://schemas.openxmlformats.org/officeDocument/2006/relationships/hyperlink" Target="https://www.bbc.co.uk/accessibility/forproducts/guides/mobile/" TargetMode="External"/><Relationship Id="rId20" Type="http://schemas.openxmlformats.org/officeDocument/2006/relationships/image" Target="media/image3.jpeg"/><Relationship Id="rId41" Type="http://schemas.openxmlformats.org/officeDocument/2006/relationships/hyperlink" Target="https://www.info.buy.nsw.gov.au/resources/buying-accessible-products" TargetMode="External"/><Relationship Id="rId62" Type="http://schemas.openxmlformats.org/officeDocument/2006/relationships/hyperlink" Target="https://www.w3.org/WAI/cognitive/" TargetMode="External"/><Relationship Id="rId83" Type="http://schemas.openxmlformats.org/officeDocument/2006/relationships/hyperlink" Target="https://www.digital.gov.au/policy/digital-experience/digital-access-standard" TargetMode="External"/><Relationship Id="rId88" Type="http://schemas.openxmlformats.org/officeDocument/2006/relationships/hyperlink" Target="https://www.dataanddigital.gov.au/" TargetMode="External"/><Relationship Id="rId111" Type="http://schemas.openxmlformats.org/officeDocument/2006/relationships/hyperlink" Target="https://printdisability.org/guidelines/guidelines-for-producing-accessible-etext-2024/" TargetMode="External"/><Relationship Id="rId132" Type="http://schemas.openxmlformats.org/officeDocument/2006/relationships/hyperlink" Target="https://intopia.digital/articles/intopia-launches-wcag-2-2-map/" TargetMode="External"/><Relationship Id="rId153" Type="http://schemas.openxmlformats.org/officeDocument/2006/relationships/hyperlink" Target="https://developer.apple.com/design/human-interface-guidelines/accessibility" TargetMode="External"/><Relationship Id="rId174" Type="http://schemas.openxmlformats.org/officeDocument/2006/relationships/hyperlink" Target="https://aipi.com.au/inclusive-publishing-in-australia/" TargetMode="External"/><Relationship Id="rId179" Type="http://schemas.openxmlformats.org/officeDocument/2006/relationships/hyperlink" Target="https://communicationsguide.ucdavis.edu/departments/social-media/best-practices/accessibility" TargetMode="External"/><Relationship Id="rId190" Type="http://schemas.openxmlformats.org/officeDocument/2006/relationships/theme" Target="theme/theme1.xml"/><Relationship Id="rId15" Type="http://schemas.openxmlformats.org/officeDocument/2006/relationships/hyperlink" Target="http://creativecommons.org/licenses/by/4.0/legalcode" TargetMode="External"/><Relationship Id="rId36" Type="http://schemas.openxmlformats.org/officeDocument/2006/relationships/hyperlink" Target="https://www.w3.org/WAI/test-evaluate/" TargetMode="External"/><Relationship Id="rId57" Type="http://schemas.openxmlformats.org/officeDocument/2006/relationships/hyperlink" Target="https://www.w3.org/TR/2023/REC-epub-a11y-11-20230525/" TargetMode="External"/><Relationship Id="rId106" Type="http://schemas.openxmlformats.org/officeDocument/2006/relationships/hyperlink" Target="https://www.wa.gov.au/government/publications/accessibility-and-inclusivity-standard" TargetMode="External"/><Relationship Id="rId127" Type="http://schemas.openxmlformats.org/officeDocument/2006/relationships/hyperlink" Target="https://tetralogical.com/blog/2021/10/05/browsing-with-a-mobile-screen-reader/" TargetMode="External"/><Relationship Id="rId10" Type="http://schemas.openxmlformats.org/officeDocument/2006/relationships/settings" Target="settings.xml"/><Relationship Id="rId31" Type="http://schemas.openxmlformats.org/officeDocument/2006/relationships/hyperlink" Target="https://www.accessibilityassociation.org/s/organizational-directory-in-alphabetical" TargetMode="External"/><Relationship Id="rId52" Type="http://schemas.openxmlformats.org/officeDocument/2006/relationships/hyperlink" Target="https://www.w3.org/TR/wai-aria-1.2/" TargetMode="External"/><Relationship Id="rId73" Type="http://schemas.openxmlformats.org/officeDocument/2006/relationships/hyperlink" Target="https://store.standards.org.au/reader/as-iso-iec-30071-1-2022?preview=1" TargetMode="External"/><Relationship Id="rId78" Type="http://schemas.openxmlformats.org/officeDocument/2006/relationships/hyperlink" Target="https://www.finance.gov.au/commonwealth-procurement-rules/" TargetMode="External"/><Relationship Id="rId94" Type="http://schemas.openxmlformats.org/officeDocument/2006/relationships/hyperlink" Target="https://www.digital.nsw.gov.au/delivery/accessibility-and-inclusivity-toolkit" TargetMode="External"/><Relationship Id="rId99" Type="http://schemas.openxmlformats.org/officeDocument/2006/relationships/hyperlink" Target="https://www.dpc.sa.gov.au/responsibilities/ict-digital-cyber-security/policies-and-guidelines/digital" TargetMode="External"/><Relationship Id="rId101" Type="http://schemas.openxmlformats.org/officeDocument/2006/relationships/hyperlink" Target="https://www.dpac.tas.gov.au/accessibility" TargetMode="External"/><Relationship Id="rId122" Type="http://schemas.openxmlformats.org/officeDocument/2006/relationships/hyperlink" Target="https://www.youtube.com/watch?v=5xcjKMvQQNo&amp;list=PLwDZg2kBRS1xLhZ699RmikeCv-nQykGzK" TargetMode="External"/><Relationship Id="rId143" Type="http://schemas.openxmlformats.org/officeDocument/2006/relationships/hyperlink" Target="https://co-design.inclusivedesign.ca/" TargetMode="External"/><Relationship Id="rId148" Type="http://schemas.openxmlformats.org/officeDocument/2006/relationships/hyperlink" Target="https://webaim.org/techniques/word/" TargetMode="External"/><Relationship Id="rId164" Type="http://schemas.openxmlformats.org/officeDocument/2006/relationships/hyperlink" Target="https://www.google.com/intl/en_au/accessibility/for-developers/" TargetMode="External"/><Relationship Id="rId169" Type="http://schemas.openxmlformats.org/officeDocument/2006/relationships/hyperlink" Target="https://www.w3.org/publishing/epub33/" TargetMode="External"/><Relationship Id="rId18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80" Type="http://schemas.openxmlformats.org/officeDocument/2006/relationships/hyperlink" Target="https://www.accessible-social.com/quick-guide" TargetMode="External"/><Relationship Id="rId26" Type="http://schemas.openxmlformats.org/officeDocument/2006/relationships/hyperlink" Target="https://centreforinclusivedesign.org.au/index.php/the-benefits-of-designing-for-everyone-report/" TargetMode="External"/><Relationship Id="rId47" Type="http://schemas.openxmlformats.org/officeDocument/2006/relationships/hyperlink" Target="https://www.w3.org/WAI/standards-guidelines/wcag/" TargetMode="External"/><Relationship Id="rId68" Type="http://schemas.openxmlformats.org/officeDocument/2006/relationships/hyperlink" Target="https://accessible.canada.ca/en-301-549-accessibility-requirements-ict-products-and-services" TargetMode="External"/><Relationship Id="rId89" Type="http://schemas.openxmlformats.org/officeDocument/2006/relationships/hyperlink" Target="https://www.dataanddigital.gov.au/plan" TargetMode="External"/><Relationship Id="rId112" Type="http://schemas.openxmlformats.org/officeDocument/2006/relationships/hyperlink" Target="https://printdisability.org/" TargetMode="External"/><Relationship Id="rId133" Type="http://schemas.openxmlformats.org/officeDocument/2006/relationships/hyperlink" Target="https://www.unimelb.edu.au/accessibility/project-management/responsibility-breakdown/print-version?utm_source=meetup&amp;utm_medium=social&amp;utm_campaign=may_a11ybytes" TargetMode="External"/><Relationship Id="rId154" Type="http://schemas.openxmlformats.org/officeDocument/2006/relationships/hyperlink" Target="https://www.digital.nsw.gov.au/delivery/accessibility-and-inclusivity-toolkit/design" TargetMode="External"/><Relationship Id="rId175" Type="http://schemas.openxmlformats.org/officeDocument/2006/relationships/hyperlink" Target="https://aipi.com.au/making-content-accessible/" TargetMode="External"/><Relationship Id="rId16" Type="http://schemas.openxmlformats.org/officeDocument/2006/relationships/image" Target="media/image2.png"/><Relationship Id="rId37" Type="http://schemas.openxmlformats.org/officeDocument/2006/relationships/hyperlink" Target="https://www.w3.org/WAI/courses/list/" TargetMode="External"/><Relationship Id="rId58" Type="http://schemas.openxmlformats.org/officeDocument/2006/relationships/hyperlink" Target="https://w3c.github.io/epub-tests/index.html" TargetMode="External"/><Relationship Id="rId79" Type="http://schemas.openxmlformats.org/officeDocument/2006/relationships/hyperlink" Target="https://www.digital.gov.au/policy/digital-experience/" TargetMode="External"/><Relationship Id="rId102" Type="http://schemas.openxmlformats.org/officeDocument/2006/relationships/hyperlink" Target="https://www.tas.gov.au/communications/accessibility-and-inclusivity" TargetMode="External"/><Relationship Id="rId123" Type="http://schemas.openxmlformats.org/officeDocument/2006/relationships/hyperlink" Target="https://www.youtube.com/playlist?list=PLlWro0jl6KEjV4MzWQTM9euqAKZ9nwWHn" TargetMode="External"/><Relationship Id="rId144" Type="http://schemas.openxmlformats.org/officeDocument/2006/relationships/hyperlink" Target="https://www.w3.org/WAI/tips/writing/" TargetMode="External"/><Relationship Id="rId90" Type="http://schemas.openxmlformats.org/officeDocument/2006/relationships/hyperlink" Target="https://www.dataanddigital.gov.au/plan/roadmap" TargetMode="External"/><Relationship Id="rId165" Type="http://schemas.openxmlformats.org/officeDocument/2006/relationships/hyperlink" Target="https://www.w3.org/WAI/test-evaluate/easy-checks/" TargetMode="External"/><Relationship Id="rId186" Type="http://schemas.openxmlformats.org/officeDocument/2006/relationships/footer" Target="footer2.xml"/><Relationship Id="rId27" Type="http://schemas.openxmlformats.org/officeDocument/2006/relationships/image" Target="media/image6.png"/><Relationship Id="rId48" Type="http://schemas.openxmlformats.org/officeDocument/2006/relationships/hyperlink" Target="https://www.w3.org/WAI/standards-guidelines/wcag/docs/" TargetMode="External"/><Relationship Id="rId69" Type="http://schemas.openxmlformats.org/officeDocument/2006/relationships/hyperlink" Target="https://store.standards.org.au/product/as-iso-14289-1-2017" TargetMode="External"/><Relationship Id="rId113" Type="http://schemas.openxmlformats.org/officeDocument/2006/relationships/hyperlink" Target="https://www.stylemanual.gov.au/" TargetMode="External"/><Relationship Id="rId134" Type="http://schemas.openxmlformats.org/officeDocument/2006/relationships/hyperlink" Target="https://www.adcet.edu.au/resources/inclusive-communication" TargetMode="External"/><Relationship Id="rId80" Type="http://schemas.openxmlformats.org/officeDocument/2006/relationships/hyperlink" Target="https://www.dta.gov.au/DigitalServiceStandard" TargetMode="External"/><Relationship Id="rId155" Type="http://schemas.openxmlformats.org/officeDocument/2006/relationships/hyperlink" Target="https://digital.gov/guides/accessibility-for-teams/ux-design/" TargetMode="External"/><Relationship Id="rId176" Type="http://schemas.openxmlformats.org/officeDocument/2006/relationships/hyperlink" Target="https://apln.ca/accessible-audiobook-workflow-guide-producing-born-accessible-audiobooks/" TargetMode="External"/><Relationship Id="rId17" Type="http://schemas.openxmlformats.org/officeDocument/2006/relationships/hyperlink" Target="https://humanrights.gov.au/our-work/publications" TargetMode="External"/><Relationship Id="rId38" Type="http://schemas.openxmlformats.org/officeDocument/2006/relationships/hyperlink" Target="https://European" TargetMode="External"/><Relationship Id="rId59" Type="http://schemas.openxmlformats.org/officeDocument/2006/relationships/hyperlink" Target="https://www.w3.org/publishing/epubcheck/" TargetMode="External"/><Relationship Id="rId103" Type="http://schemas.openxmlformats.org/officeDocument/2006/relationships/hyperlink" Target="https://www.vic.gov.au/digital-guides" TargetMode="External"/><Relationship Id="rId124" Type="http://schemas.openxmlformats.org/officeDocument/2006/relationships/hyperlink" Target="https://tetralogical.com/blog/2021/11/15/browsing-with-speech-recognition/" TargetMode="External"/><Relationship Id="rId70" Type="http://schemas.openxmlformats.org/officeDocument/2006/relationships/hyperlink" Target="https://pdfua.foundation/en/" TargetMode="External"/><Relationship Id="rId91" Type="http://schemas.openxmlformats.org/officeDocument/2006/relationships/hyperlink" Target="https://www.act.gov.au/accessibility" TargetMode="External"/><Relationship Id="rId145" Type="http://schemas.openxmlformats.org/officeDocument/2006/relationships/hyperlink" Target="https://readabilityguidelines.co.uk/" TargetMode="External"/><Relationship Id="rId166" Type="http://schemas.openxmlformats.org/officeDocument/2006/relationships/hyperlink" Target="https://www.w3.org/WAI/test-evaluate/involving-users/" TargetMode="External"/><Relationship Id="rId187" Type="http://schemas.openxmlformats.org/officeDocument/2006/relationships/header" Target="header3.xml"/><Relationship Id="rId1" Type="http://schemas.openxmlformats.org/officeDocument/2006/relationships/customXml" Target="../customXml/item1.xml"/><Relationship Id="rId28" Type="http://schemas.openxmlformats.org/officeDocument/2006/relationships/hyperlink" Target="https://www.w3.org/TR/maturity-model/" TargetMode="External"/><Relationship Id="rId49" Type="http://schemas.openxmlformats.org/officeDocument/2006/relationships/hyperlink" Target="https://www.w3.org/WAI/standards-guidelines/atag/" TargetMode="External"/><Relationship Id="rId114" Type="http://schemas.openxmlformats.org/officeDocument/2006/relationships/hyperlink" Target="https://www.plainenglish.co.uk/how-to-write-in-plain-english.html" TargetMode="External"/><Relationship Id="rId60" Type="http://schemas.openxmlformats.org/officeDocument/2006/relationships/hyperlink" Target="https://www.w3.org/WAI/standards-guidelines/wcag/non-web-ict/" TargetMode="External"/><Relationship Id="rId81" Type="http://schemas.openxmlformats.org/officeDocument/2006/relationships/hyperlink" Target="https://architecture.digital.gov.au/digital-service-standard-v2" TargetMode="External"/><Relationship Id="rId135" Type="http://schemas.openxmlformats.org/officeDocument/2006/relationships/hyperlink" Target="https://www.stylemanual.gov.au/" TargetMode="External"/><Relationship Id="rId156" Type="http://schemas.openxmlformats.org/officeDocument/2006/relationships/hyperlink" Target="https://digital.gov/guides/accessibility-for-teams/visual-design/" TargetMode="External"/><Relationship Id="rId177" Type="http://schemas.openxmlformats.org/officeDocument/2006/relationships/hyperlink" Target="https://digital.gov/resources/federal-social-media-accessibility-toolkit-hackpad/"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www.w3.org/WAI/standards-guidelines/wcag/" TargetMode="External"/><Relationship Id="rId13" Type="http://schemas.openxmlformats.org/officeDocument/2006/relationships/hyperlink" Target="https://store.standards.org.au/reader/as-iso-iec-30071-1-2022?preview=1" TargetMode="External"/><Relationship Id="rId3" Type="http://schemas.openxmlformats.org/officeDocument/2006/relationships/hyperlink" Target="https://design.ncsu.edu/research/center-for-universal-design/" TargetMode="External"/><Relationship Id="rId7" Type="http://schemas.openxmlformats.org/officeDocument/2006/relationships/hyperlink" Target="https://w3c.github.io/maturity-model/" TargetMode="External"/><Relationship Id="rId12" Type="http://schemas.openxmlformats.org/officeDocument/2006/relationships/hyperlink" Target="https://store.standards.org.au/product/as-iso-37301-2023" TargetMode="External"/><Relationship Id="rId2" Type="http://schemas.openxmlformats.org/officeDocument/2006/relationships/hyperlink" Target="https://www.w3.org/WAI/people-use-web/user-stories/" TargetMode="External"/><Relationship Id="rId16" Type="http://schemas.openxmlformats.org/officeDocument/2006/relationships/hyperlink" Target="https://www.w3.org/WAI/standards-guidelines/wcag/%20" TargetMode="External"/><Relationship Id="rId1" Type="http://schemas.openxmlformats.org/officeDocument/2006/relationships/hyperlink" Target="https://www.jobaccess.gov.au" TargetMode="External"/><Relationship Id="rId6" Type="http://schemas.openxmlformats.org/officeDocument/2006/relationships/hyperlink" Target="https://www.w3.org/WAI/planning/involving-users/" TargetMode="External"/><Relationship Id="rId11" Type="http://schemas.openxmlformats.org/officeDocument/2006/relationships/hyperlink" Target="https://www.intertekinform.com/en-au/Standards/AS-ISO-31000-2018-1134720_SAIG_AS_AS_2680492/" TargetMode="External"/><Relationship Id="rId5" Type="http://schemas.openxmlformats.org/officeDocument/2006/relationships/hyperlink" Target="https://www.rod-group.com/research-insights/annual-report-2020/" TargetMode="External"/><Relationship Id="rId15" Type="http://schemas.openxmlformats.org/officeDocument/2006/relationships/hyperlink" Target="https://digital-strategy.ec.europa.eu/en/policies/web-accessibility" TargetMode="External"/><Relationship Id="rId10" Type="http://schemas.openxmlformats.org/officeDocument/2006/relationships/hyperlink" Target="https://store.standards.org.au/product/as-en-301-549-2020" TargetMode="External"/><Relationship Id="rId4" Type="http://schemas.openxmlformats.org/officeDocument/2006/relationships/hyperlink" Target="https://www.w3.org/WAI/business-case/" TargetMode="External"/><Relationship Id="rId9" Type="http://schemas.openxmlformats.org/officeDocument/2006/relationships/hyperlink" Target="https://store.standards.org.au/reader/as-iso-iec-30071-1-2022?preview=1" TargetMode="External"/><Relationship Id="rId14" Type="http://schemas.openxmlformats.org/officeDocument/2006/relationships/hyperlink" Target="https://www.section508.gov/manage/laws-and-policie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Astro">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cument" ma:contentTypeID="0x010100F8B9AFCE1FC68949B005428227857A4C" ma:contentTypeVersion="59" ma:contentTypeDescription="Create a new document." ma:contentTypeScope="" ma:versionID="7c661f6cabcf3a5179729f12170ee77a">
  <xsd:schema xmlns:xsd="http://www.w3.org/2001/XMLSchema" xmlns:xs="http://www.w3.org/2001/XMLSchema" xmlns:p="http://schemas.microsoft.com/office/2006/metadata/properties" xmlns:ns2="6500fe01-343b-4fb9-a1b0-68ac19d62e01" xmlns:ns3="f38bc97f-71db-45c8-93e4-332747d752e1" xmlns:ns4="459cae25-a7c3-4f2b-8996-0803c9c578c8" targetNamespace="http://schemas.microsoft.com/office/2006/metadata/properties" ma:root="true" ma:fieldsID="24322dd325bb6337b9109cf5c07d0449" ns2:_="" ns3:_="" ns4:_="">
    <xsd:import namespace="6500fe01-343b-4fb9-a1b0-68ac19d62e01"/>
    <xsd:import namespace="f38bc97f-71db-45c8-93e4-332747d752e1"/>
    <xsd:import namespace="459cae25-a7c3-4f2b-8996-0803c9c578c8"/>
    <xsd:element name="properties">
      <xsd:complexType>
        <xsd:sequence>
          <xsd:element name="documentManagement">
            <xsd:complexType>
              <xsd:all>
                <xsd:element ref="ns2:TaxKeywordTaxHTField" minOccurs="0"/>
                <xsd:element ref="ns2:TaxCatchAll" minOccurs="0"/>
                <xsd:element ref="ns2:TaxCatchAllLabel" minOccurs="0"/>
                <xsd:element ref="ns2:Divider" minOccurs="0"/>
                <xsd:element ref="ns2:_dlc_DocId" minOccurs="0"/>
                <xsd:element ref="ns2:_dlc_DocIdUrl" minOccurs="0"/>
                <xsd:element ref="ns2:_dlc_DocIdPersistId" minOccurs="0"/>
                <xsd:element ref="ns3:Subdivider" minOccurs="0"/>
                <xsd:element ref="ns3:fbe8333e833142b1aa4e528d7d71931d" minOccurs="0"/>
                <xsd:element ref="ns3:From1" minOccurs="0"/>
                <xsd:element ref="ns3:Has_x0020_Attachments" minOccurs="0"/>
                <xsd:element ref="ns3:Received_x002f_Sent" minOccurs="0"/>
                <xsd:element ref="ns3:To" minOccurs="0"/>
                <xsd:element ref="ns3:Download" minOccurs="0"/>
                <xsd:element ref="ns3:Open_x0020_in_x0020_Outlook"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abab14b-d755-459c-8f5c-ac356589ffea}" ma:internalName="TaxCatchAll" ma:showField="CatchAllData"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abab14b-d755-459c-8f5c-ac356589ffea}" ma:internalName="TaxCatchAllLabel" ma:readOnly="true" ma:showField="CatchAllDataLabel"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Divider" ma:index="12" nillable="true" ma:displayName="Divider" ma:indexed="true" ma:internalName="Divider">
      <xsd:simpleType>
        <xsd:restriction base="dms:Text">
          <xsd:maxLength value="255"/>
        </xsd:restriction>
      </xsd:simpleType>
    </xsd:element>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8bc97f-71db-45c8-93e4-332747d752e1" elementFormDefault="qualified">
    <xsd:import namespace="http://schemas.microsoft.com/office/2006/documentManagement/types"/>
    <xsd:import namespace="http://schemas.microsoft.com/office/infopath/2007/PartnerControls"/>
    <xsd:element name="Subdivider" ma:index="18" nillable="true" ma:displayName="Subdivider" ma:indexed="true" ma:internalName="Subdivider">
      <xsd:simpleType>
        <xsd:restriction base="dms:Text">
          <xsd:maxLength value="255"/>
        </xsd:restriction>
      </xsd:simpleType>
    </xsd:element>
    <xsd:element name="fbe8333e833142b1aa4e528d7d71931d" ma:index="19" nillable="true" ma:taxonomy="true" ma:internalName="fbe8333e833142b1aa4e528d7d71931d" ma:taxonomyFieldName="Document_x0020_Type" ma:displayName="Document Type" ma:indexed="true" ma:default="" ma:fieldId="{fbe8333e-8331-42b1-aa4e-528d7d71931d}"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20" nillable="true" ma:displayName="From" ma:hidden="true" ma:indexed="true" ma:internalName="From1" ma:readOnly="false">
      <xsd:simpleType>
        <xsd:restriction base="dms:Text">
          <xsd:maxLength value="255"/>
        </xsd:restriction>
      </xsd:simpleType>
    </xsd:element>
    <xsd:element name="Has_x0020_Attachments" ma:index="21" nillable="true" ma:displayName="Has Attachments" ma:hidden="true" ma:indexed="true" ma:internalName="Has_x0020_Attachments" ma:readOnly="false">
      <xsd:simpleType>
        <xsd:restriction base="dms:Text">
          <xsd:maxLength value="255"/>
        </xsd:restriction>
      </xsd:simpleType>
    </xsd:element>
    <xsd:element name="Received_x002f_Sent" ma:index="22" nillable="true" ma:displayName="Received/Sent" ma:format="DateOnly" ma:hidden="true" ma:indexed="true" ma:internalName="Received_x002F_Sent" ma:readOnly="false">
      <xsd:simpleType>
        <xsd:restriction base="dms:DateTime"/>
      </xsd:simpleType>
    </xsd:element>
    <xsd:element name="To" ma:index="23" nillable="true" ma:displayName="To" ma:hidden="true" ma:indexed="true" ma:internalName="To" ma:readOnly="false">
      <xsd:simpleType>
        <xsd:restriction base="dms:Text">
          <xsd:maxLength value="255"/>
        </xsd:restriction>
      </xsd:simpleType>
    </xsd:element>
    <xsd:element name="Download" ma:index="24" nillable="true" ma:displayName="Download" ma:hidden="true" ma:indexed="true" ma:internalName="Download" ma:readOnly="false">
      <xsd:simpleType>
        <xsd:restriction base="dms:Text">
          <xsd:maxLength value="255"/>
        </xsd:restriction>
      </xsd:simpleType>
    </xsd:element>
    <xsd:element name="Open_x0020_in_x0020_Outlook" ma:index="25" nillable="true" ma:displayName="Open in Outlook" ma:hidden="true" ma:indexed="true" ma:internalName="Open_x0020_in_x0020_Outlook"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9cae25-a7c3-4f2b-8996-0803c9c578c8"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documentManagement>
    <Divider xmlns="6500fe01-343b-4fb9-a1b0-68ac19d62e01" xsi:nil="true"/>
    <TaxCatchAll xmlns="6500fe01-343b-4fb9-a1b0-68ac19d62e01"/>
    <_dlc_DocId xmlns="6500fe01-343b-4fb9-a1b0-68ac19d62e01">RUUPY3S2X5Q7-1593504575-65</_dlc_DocId>
    <_dlc_DocIdUrl xmlns="6500fe01-343b-4fb9-a1b0-68ac19d62e01">
      <Url>https://australianhrc.sharepoint.com/sites/PolicyExternalProjects/_layouts/15/DocIdRedir.aspx?ID=RUUPY3S2X5Q7-1593504575-65</Url>
      <Description>RUUPY3S2X5Q7-1593504575-65</Description>
    </_dlc_DocIdUrl>
    <TaxKeywordTaxHTField xmlns="6500fe01-343b-4fb9-a1b0-68ac19d62e01">
      <Terms xmlns="http://schemas.microsoft.com/office/infopath/2007/PartnerControls"/>
    </TaxKeywordTaxHTField>
    <fbe8333e833142b1aa4e528d7d71931d xmlns="f38bc97f-71db-45c8-93e4-332747d752e1">
      <Terms xmlns="http://schemas.microsoft.com/office/infopath/2007/PartnerControls"/>
    </fbe8333e833142b1aa4e528d7d71931d>
    <To xmlns="f38bc97f-71db-45c8-93e4-332747d752e1" xsi:nil="true"/>
    <Has_x0020_Attachments xmlns="f38bc97f-71db-45c8-93e4-332747d752e1" xsi:nil="true"/>
    <Subdivider xmlns="f38bc97f-71db-45c8-93e4-332747d752e1" xsi:nil="true"/>
    <Download xmlns="f38bc97f-71db-45c8-93e4-332747d752e1" xsi:nil="true"/>
    <Received_x002f_Sent xmlns="f38bc97f-71db-45c8-93e4-332747d752e1" xsi:nil="true"/>
    <Open_x0020_in_x0020_Outlook xmlns="f38bc97f-71db-45c8-93e4-332747d752e1" xsi:nil="true"/>
    <From1 xmlns="f38bc97f-71db-45c8-93e4-332747d752e1" xsi:nil="true"/>
  </documentManagement>
</p:properties>
</file>

<file path=customXml/item7.xml><?xml version="1.0" encoding="utf-8"?>
<?mso-contentType ?>
<SharedContentType xmlns="Microsoft.SharePoint.Taxonomy.ContentTypeSync" SourceId="975c5ac6-a0cc-43ed-b850-4a2ae59237b6" ContentTypeId="0x0101" PreviousValue="false"/>
</file>

<file path=customXml/itemProps1.xml><?xml version="1.0" encoding="utf-8"?>
<ds:datastoreItem xmlns:ds="http://schemas.openxmlformats.org/officeDocument/2006/customXml" ds:itemID="{6DFA833C-3AC5-450A-82B4-9CB8DBEF66E3}">
  <ds:schemaRefs>
    <ds:schemaRef ds:uri="http://schemas.openxmlformats.org/officeDocument/2006/bibliography"/>
  </ds:schemaRefs>
</ds:datastoreItem>
</file>

<file path=customXml/itemProps2.xml><?xml version="1.0" encoding="utf-8"?>
<ds:datastoreItem xmlns:ds="http://schemas.openxmlformats.org/officeDocument/2006/customXml" ds:itemID="{FE1272D1-F624-4DFF-B412-9F03E3163DF9}">
  <ds:schemaRefs>
    <ds:schemaRef ds:uri="http://schemas.microsoft.com/sharepoint/v3/contenttype/forms"/>
  </ds:schemaRefs>
</ds:datastoreItem>
</file>

<file path=customXml/itemProps3.xml><?xml version="1.0" encoding="utf-8"?>
<ds:datastoreItem xmlns:ds="http://schemas.openxmlformats.org/officeDocument/2006/customXml" ds:itemID="{4E3958AE-29B7-4595-A8D0-0AF285D920F3}">
  <ds:schemaRefs>
    <ds:schemaRef ds:uri="http://schemas.microsoft.com/sharepoint/events"/>
  </ds:schemaRefs>
</ds:datastoreItem>
</file>

<file path=customXml/itemProps4.xml><?xml version="1.0" encoding="utf-8"?>
<ds:datastoreItem xmlns:ds="http://schemas.openxmlformats.org/officeDocument/2006/customXml" ds:itemID="{2426A7C8-8BCA-45A5-9075-A1E514F65362}">
  <ds:schemaRefs>
    <ds:schemaRef ds:uri="http://schemas.microsoft.com/office/2006/metadata/customXsn"/>
  </ds:schemaRefs>
</ds:datastoreItem>
</file>

<file path=customXml/itemProps5.xml><?xml version="1.0" encoding="utf-8"?>
<ds:datastoreItem xmlns:ds="http://schemas.openxmlformats.org/officeDocument/2006/customXml" ds:itemID="{D90F6DC6-627F-43E9-B3CA-C96981832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0fe01-343b-4fb9-a1b0-68ac19d62e01"/>
    <ds:schemaRef ds:uri="f38bc97f-71db-45c8-93e4-332747d752e1"/>
    <ds:schemaRef ds:uri="459cae25-a7c3-4f2b-8996-0803c9c578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0EBF5FD-0819-4872-8496-320B530989BF}">
  <ds:schemaRefs>
    <ds:schemaRef ds:uri="http://schemas.microsoft.com/office/2006/metadata/properties"/>
    <ds:schemaRef ds:uri="6500fe01-343b-4fb9-a1b0-68ac19d62e01"/>
    <ds:schemaRef ds:uri="http://schemas.microsoft.com/office/infopath/2007/PartnerControls"/>
    <ds:schemaRef ds:uri="f38bc97f-71db-45c8-93e4-332747d752e1"/>
  </ds:schemaRefs>
</ds:datastoreItem>
</file>

<file path=customXml/itemProps7.xml><?xml version="1.0" encoding="utf-8"?>
<ds:datastoreItem xmlns:ds="http://schemas.openxmlformats.org/officeDocument/2006/customXml" ds:itemID="{9FF4F63A-D246-437E-B705-28CB39B228F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77</Pages>
  <Words>17061</Words>
  <Characters>101347</Characters>
  <Application>Microsoft Office Word</Application>
  <DocSecurity>0</DocSecurity>
  <Lines>2156</Lines>
  <Paragraphs>1160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Human Rights and Equal Opportunity Commission</Company>
  <LinksUpToDate>false</LinksUpToDate>
  <CharactersWithSpaces>117248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on equal access to digital goods and services</dc:title>
  <dc:subject/>
  <dc:creator>Afton Fife</dc:creator>
  <cp:keywords/>
  <dc:description/>
  <cp:lastModifiedBy>Kathryn Collins</cp:lastModifiedBy>
  <cp:revision>110</cp:revision>
  <cp:lastPrinted>2020-07-25T10:47:00Z</cp:lastPrinted>
  <dcterms:created xsi:type="dcterms:W3CDTF">2020-08-19T20:18:00Z</dcterms:created>
  <dcterms:modified xsi:type="dcterms:W3CDTF">2025-04-03T01:21:00Z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0x010100F8B9AFCE1FC68949B005428227857A4C</vt:lpwstr>
  </property>
  <property fmtid="{D5CDD505-2E9C-101B-9397-08002B2CF9AE}" pid="3" name="_DocHome">
    <vt:i4>87286831</vt:i4>
  </property>
  <property fmtid="{D5CDD505-2E9C-101B-9397-08002B2CF9AE}" pid="4" name="ZOTERO_PREF_1">
    <vt:lpwstr>&lt;data data-version="3" zotero-version="5.0.66"&gt;&lt;session id="cmfivSW6"/&gt;&lt;style id="http://www.zotero.org/styles/ahrc-australian-guide-to-legal-citation" hasBibliography="1" bibliographyStyleHasBeenSet="0"/&gt;&lt;prefs&gt;&lt;pref name="fieldType" value="Field"/&gt;&lt;pref</vt:lpwstr>
  </property>
  <property fmtid="{D5CDD505-2E9C-101B-9397-08002B2CF9AE}" pid="5" name="ZOTERO_PREF_2">
    <vt:lpwstr> name="automaticJournalAbbreviations" value="true"/&gt;&lt;pref name="noteType" value="2"/&gt;&lt;/prefs&gt;&lt;/data&gt;</vt:lpwstr>
  </property>
  <property fmtid="{D5CDD505-2E9C-101B-9397-08002B2CF9AE}" pid="6" name="TaxKeyword">
    <vt:lpwstr/>
  </property>
  <property fmtid="{D5CDD505-2E9C-101B-9397-08002B2CF9AE}" pid="7" name="TaxKeywordTaxHTField">
    <vt:lpwstr/>
  </property>
  <property fmtid="{D5CDD505-2E9C-101B-9397-08002B2CF9AE}" pid="8" name="Document Type">
    <vt:lpwstr/>
  </property>
  <property fmtid="{D5CDD505-2E9C-101B-9397-08002B2CF9AE}" pid="9" name="_dlc_DocIdItemGuid">
    <vt:lpwstr>13198d5d-e4d7-4510-afb6-9b7c502e8602</vt:lpwstr>
  </property>
  <property fmtid="{D5CDD505-2E9C-101B-9397-08002B2CF9AE}" pid="10" name="GrammarlyDocumentId">
    <vt:lpwstr>0374c9737ca96d4f945351536a0bc4ee5d7ff0f7088b73245fa9a5643576aff9</vt:lpwstr>
  </property>
</Properties>
</file>