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882F733" w14:textId="77777777" w:rsidR="00B924E6" w:rsidRPr="00F12219" w:rsidRDefault="00DA55C0" w:rsidP="00F12219">
      <w:pPr>
        <w:tabs>
          <w:tab w:val="left" w:pos="3014"/>
        </w:tabs>
        <w:spacing w:after="3000"/>
        <w:rPr>
          <w:sz w:val="20"/>
          <w:vertAlign w:val="superscript"/>
        </w:rPr>
        <w:sectPr w:rsidR="00B924E6" w:rsidRPr="00F12219" w:rsidSect="00B24B1D">
          <w:headerReference w:type="even" r:id="rId9"/>
          <w:headerReference w:type="default" r:id="rId10"/>
          <w:footerReference w:type="default" r:id="rId11"/>
          <w:headerReference w:type="first" r:id="rId12"/>
          <w:footerReference w:type="first" r:id="rId13"/>
          <w:type w:val="continuous"/>
          <w:pgSz w:w="11906" w:h="16838" w:code="9"/>
          <w:pgMar w:top="228" w:right="1700" w:bottom="1134" w:left="1418" w:header="277" w:footer="415" w:gutter="0"/>
          <w:cols w:space="708"/>
          <w:titlePg/>
          <w:docGrid w:linePitch="360"/>
        </w:sectPr>
      </w:pPr>
      <w:r>
        <w:rPr>
          <w:noProof/>
        </w:rPr>
        <mc:AlternateContent>
          <mc:Choice Requires="wps">
            <w:drawing>
              <wp:anchor distT="0" distB="0" distL="114300" distR="114300" simplePos="0" relativeHeight="251656704" behindDoc="0" locked="0" layoutInCell="1" allowOverlap="1" wp14:anchorId="33EAD187" wp14:editId="52750541">
                <wp:simplePos x="0" y="0"/>
                <wp:positionH relativeFrom="column">
                  <wp:posOffset>1134745</wp:posOffset>
                </wp:positionH>
                <wp:positionV relativeFrom="paragraph">
                  <wp:posOffset>-43180</wp:posOffset>
                </wp:positionV>
                <wp:extent cx="4603750" cy="16097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750" cy="1609725"/>
                        </a:xfrm>
                        <a:prstGeom prst="rect">
                          <a:avLst/>
                        </a:prstGeom>
                        <a:noFill/>
                        <a:ln w="6350">
                          <a:noFill/>
                        </a:ln>
                        <a:effectLst/>
                      </wps:spPr>
                      <wps:txbx>
                        <w:txbxContent>
                          <w:p w14:paraId="25FB798E" w14:textId="77777777" w:rsidR="00643212" w:rsidRDefault="00643212" w:rsidP="00FD01B5">
                            <w:pPr>
                              <w:pStyle w:val="MainTitle"/>
                            </w:pPr>
                            <w:r>
                              <w:t>Stronger Futures in the Northern Territory Bill 2011 and two related Bills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9.35pt;margin-top:-3.4pt;width:362.5pt;height:12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uwOwIAAHkEAAAOAAAAZHJzL2Uyb0RvYy54bWysVEtv2zAMvg/YfxB0X2zn2RpxiqxFhgFB&#10;WyAZelZkOTZmiZqkxM5+/SjZeazbadhFpshPfH2k5w+trMlRGFuBymgyiCkRikNeqX1Gv21Xn+4o&#10;sY6pnNWgREZPwtKHxccP80anYggl1LkwBJ0omzY6o6VzOo0iy0shmR2AFgqNBRjJHF7NPsoNa9C7&#10;rKNhHE+jBkyuDXBhLWqfOiNdBP9FIbh7KQorHKkzirm5cJpw7vwZLeYs3Rumy4r3abB/yEKySmHQ&#10;i6sn5hg5mOoPV7LiBiwUbsBBRlAUFRehBqwmid9VsymZFqEWbI7VlzbZ/+eWPx9fDanyjI4oUUwi&#10;RVvROvIZWpL47jTapgjaaIS5FtXIcqjU6jXw7xYh0Q2me2AR7bvRFkb6L9ZJ8CEScLo03UfhqBxP&#10;49FsgiaOtmQa38+GEx84uj7XxrovAiTxQkYNshpSYMe1dR30DPHRFKyqukY9S2tFmoxOR+j/Nws6&#10;r5XXiDAjvRtfR5e6l1y7a9GJF3eQn7B+A938WM1XFaayZta9MoMDg+njErgXPIoaMCT0EiUlmJ9/&#10;03s88ohWShocwIzaHwdmBCX1V4UM3yfjsZ/YcBlPZkO8mFvL7taiDvIRcMYTXDfNg+jxrj6LhQH5&#10;hruy9FHRxBTH2Bl1Z/HRdWuBu8bFchlAOKOaubXaaH6m3Td6274xo3s2HBL5DOdRZek7Ujps1/zl&#10;wUFRBcauXe3nB+c7cN7vol+g23tAXf8Yi18AAAD//wMAUEsDBBQABgAIAAAAIQDqYd4r3wAAAAoB&#10;AAAPAAAAZHJzL2Rvd25yZXYueG1sTI/BTsMwEETvSPyDtUjcWoeCkjSNU1UILkgIUSohbtvYxIF4&#10;HWy3DX/PcoLjzD7NztTryQ3iaELsPSm4mmcgDLVe99Qp2L3cz0oQMSFpHDwZBd8mwro5P6ux0v5E&#10;z+a4TZ3gEIoVKrApjZWUsbXGYZz70RDf3n1wmFiGTuqAJw53g1xkWS4d9sQfLI7m1pr2c3twCory&#10;TduP8DDtXh83X/ZplMMdSqUuL6bNCkQyU/qD4bc+V4eGO+39gXQUA+uiLBhVMMt5AgPL7JqNvYLF&#10;TV6AbGr5f0LzAwAA//8DAFBLAQItABQABgAIAAAAIQC2gziS/gAAAOEBAAATAAAAAAAAAAAAAAAA&#10;AAAAAABbQ29udGVudF9UeXBlc10ueG1sUEsBAi0AFAAGAAgAAAAhADj9If/WAAAAlAEAAAsAAAAA&#10;AAAAAAAAAAAALwEAAF9yZWxzLy5yZWxzUEsBAi0AFAAGAAgAAAAhANtCW7A7AgAAeQQAAA4AAAAA&#10;AAAAAAAAAAAALgIAAGRycy9lMm9Eb2MueG1sUEsBAi0AFAAGAAgAAAAhAOph3ivfAAAACgEAAA8A&#10;AAAAAAAAAAAAAAAAlQQAAGRycy9kb3ducmV2LnhtbFBLBQYAAAAABAAEAPMAAAChBQAAAAA=&#10;" filled="f" stroked="f" strokeweight=".5pt">
                <v:path arrowok="t"/>
                <v:textbox>
                  <w:txbxContent>
                    <w:p w14:paraId="25FB798E" w14:textId="77777777" w:rsidR="00EB0278" w:rsidRDefault="00EB0278" w:rsidP="00FD01B5">
                      <w:pPr>
                        <w:pStyle w:val="MainTitle"/>
                      </w:pPr>
                      <w:r>
                        <w:t>Stronger Futures in the Northern Territory Bill 2011 and two related Bills</w:t>
                      </w:r>
                    </w:p>
                  </w:txbxContent>
                </v:textbox>
              </v:shape>
            </w:pict>
          </mc:Fallback>
        </mc:AlternateContent>
      </w:r>
      <w:r w:rsidR="00212FF0">
        <w:rPr>
          <w:noProof/>
        </w:rPr>
        <mc:AlternateContent>
          <mc:Choice Requires="wps">
            <w:drawing>
              <wp:anchor distT="0" distB="0" distL="114300" distR="114300" simplePos="0" relativeHeight="251658752" behindDoc="0" locked="0" layoutInCell="1" allowOverlap="1" wp14:anchorId="6E5766F4" wp14:editId="2A157E67">
                <wp:simplePos x="0" y="0"/>
                <wp:positionH relativeFrom="column">
                  <wp:posOffset>2054860</wp:posOffset>
                </wp:positionH>
                <wp:positionV relativeFrom="paragraph">
                  <wp:posOffset>1994535</wp:posOffset>
                </wp:positionV>
                <wp:extent cx="3775075" cy="36131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361315"/>
                        </a:xfrm>
                        <a:prstGeom prst="rect">
                          <a:avLst/>
                        </a:prstGeom>
                        <a:noFill/>
                        <a:ln w="6350">
                          <a:noFill/>
                        </a:ln>
                        <a:effectLst/>
                      </wps:spPr>
                      <wps:txbx>
                        <w:txbxContent>
                          <w:p w14:paraId="46280830" w14:textId="77777777" w:rsidR="00643212" w:rsidRDefault="00643212" w:rsidP="00F12219">
                            <w:pPr>
                              <w:pStyle w:val="Date1"/>
                              <w:rPr>
                                <w:rFonts w:ascii="Times New Roman" w:eastAsia="Times New Roman" w:hAnsi="Times New Roman"/>
                                <w:color w:val="auto"/>
                                <w:sz w:val="20"/>
                                <w:lang w:eastAsia="en-AU" w:bidi="x-none"/>
                              </w:rPr>
                            </w:pPr>
                            <w:r>
                              <w:t>6 February 2012</w:t>
                            </w:r>
                          </w:p>
                          <w:p w14:paraId="08CEF2FB" w14:textId="77777777" w:rsidR="00643212" w:rsidRPr="00B74219" w:rsidRDefault="00643212" w:rsidP="002863D7">
                            <w:pPr>
                              <w:pStyle w:val="Date"/>
                            </w:pPr>
                            <w:r w:rsidRPr="002863D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61.8pt;margin-top:157.05pt;width:297.2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7QAIAAH8EAAAOAAAAZHJzL2Uyb0RvYy54bWysVEtv2zAMvg/YfxB0X2zn2RlxiqxFhgFB&#10;WyAZelZkOTYmi5qkxM5+/SjZToNup2EXmSI/8fWRXt63tSRnYWwFKqPJKKZEKA55pY4Z/b7ffLqj&#10;xDqmciZBiYxehKX3q48flo1OxRhKkLkwBJ0omzY6o6VzOo0iy0tRMzsCLRQaCzA1c3g1xyg3rEHv&#10;tYzGcTyPGjC5NsCFtah97Ix0FfwXheDuuSiscERmFHNz4TThPPgzWi1ZejRMlxXv02D/kEXNKoVB&#10;r64emWPkZKo/XNUVN2ChcCMOdQRFUXERasBqkvhdNbuSaRFqweZYfW2T/X9u+dP5xZAqz+iUEsVq&#10;pGgvWke+QEumvjuNtimCdhphrkU1shwqtXoL/IdFSHSD6R5YRPtutIWp/RfrJPgQCbhcm+6jcFRO&#10;FotZvJhRwtE2mSeTZObjRm+vtbHuq4CaeCGjBkkNGbDz1roOOkB8MAWbSkrUs1Qq0mR0PpnF4cHV&#10;gs6l8gARRqR348voMveSaw9taEwytOEA+QW7YKCbIqv5psKMtsy6F2ZwbLA+XAX3jEchASNDL1FS&#10;gvn1N73HI5topaTBMcyo/XliRlAivynk+XMynfq5DZfpbDHGi7m1HG4t6lQ/AE56gkuneRA93slB&#10;LAzUr7gxax8VTUxxjJ1RN4gPrlsO3Dgu1usAwknVzG3VTvOBfN/vffvKjO5JcUjnEwwDy9J33HTY&#10;jp31yUFRBeJ8n7uu9lOEUx6o7zfSr9HtPaDe/hur3wAAAP//AwBQSwMEFAAGAAgAAAAhAFCCFnLh&#10;AAAACwEAAA8AAABkcnMvZG93bnJldi54bWxMj81OwzAQhO9IvIO1SNyo4xa1aYhTVQguSAi1VEK9&#10;bWMTB/wTbLcNb89ygtvszmj223o1OstOOqY+eAliUgDTvg2q952E3evjTQksZfQKbfBawrdOsGou&#10;L2qsVDj7jT5tc8eoxKcKJZich4rz1BrtME3CoD157yE6zDTGjquIZyp3lk+LYs4d9p4uGBz0vdHt&#10;5/boJCzKvTIf8WncvT2vv8zLwO0Dcimvr8b1HbCsx/wXhl98QoeGmA7h6FViVsJsOptTlIS4FcAo&#10;sRQliQNtFqIA3tT8/w/NDwAAAP//AwBQSwECLQAUAAYACAAAACEAtoM4kv4AAADhAQAAEwAAAAAA&#10;AAAAAAAAAAAAAAAAW0NvbnRlbnRfVHlwZXNdLnhtbFBLAQItABQABgAIAAAAIQA4/SH/1gAAAJQB&#10;AAALAAAAAAAAAAAAAAAAAC8BAABfcmVscy8ucmVsc1BLAQItABQABgAIAAAAIQD+wew7QAIAAH8E&#10;AAAOAAAAAAAAAAAAAAAAAC4CAABkcnMvZTJvRG9jLnhtbFBLAQItABQABgAIAAAAIQBQghZy4QAA&#10;AAsBAAAPAAAAAAAAAAAAAAAAAJoEAABkcnMvZG93bnJldi54bWxQSwUGAAAAAAQABADzAAAAqAUA&#10;AAAA&#10;" filled="f" stroked="f" strokeweight=".5pt">
                <v:path arrowok="t"/>
                <v:textbox>
                  <w:txbxContent>
                    <w:p w14:paraId="46280830" w14:textId="77777777" w:rsidR="00EB0278" w:rsidRDefault="00EB0278" w:rsidP="00F12219">
                      <w:pPr>
                        <w:pStyle w:val="Date1"/>
                        <w:rPr>
                          <w:rFonts w:ascii="Times New Roman" w:eastAsia="Times New Roman" w:hAnsi="Times New Roman"/>
                          <w:color w:val="auto"/>
                          <w:sz w:val="20"/>
                          <w:lang w:eastAsia="en-AU" w:bidi="x-none"/>
                        </w:rPr>
                      </w:pPr>
                      <w:r>
                        <w:t>6 February 2012</w:t>
                      </w:r>
                    </w:p>
                    <w:p w14:paraId="08CEF2FB" w14:textId="77777777" w:rsidR="00EB0278" w:rsidRPr="00B74219" w:rsidRDefault="00EB0278" w:rsidP="002863D7">
                      <w:pPr>
                        <w:pStyle w:val="Date"/>
                      </w:pPr>
                      <w:r w:rsidRPr="002863D7">
                        <w:t>]</w:t>
                      </w:r>
                    </w:p>
                  </w:txbxContent>
                </v:textbox>
              </v:shape>
            </w:pict>
          </mc:Fallback>
        </mc:AlternateContent>
      </w:r>
      <w:r w:rsidR="00AE2A70">
        <w:rPr>
          <w:noProof/>
        </w:rPr>
        <mc:AlternateContent>
          <mc:Choice Requires="wps">
            <w:drawing>
              <wp:anchor distT="0" distB="0" distL="114300" distR="114300" simplePos="0" relativeHeight="251657728" behindDoc="0" locked="0" layoutInCell="1" allowOverlap="1" wp14:anchorId="159EEE4B" wp14:editId="0D28618E">
                <wp:simplePos x="0" y="0"/>
                <wp:positionH relativeFrom="column">
                  <wp:posOffset>-443230</wp:posOffset>
                </wp:positionH>
                <wp:positionV relativeFrom="paragraph">
                  <wp:posOffset>1472565</wp:posOffset>
                </wp:positionV>
                <wp:extent cx="6349365" cy="71437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9365" cy="714375"/>
                        </a:xfrm>
                        <a:prstGeom prst="rect">
                          <a:avLst/>
                        </a:prstGeom>
                        <a:noFill/>
                        <a:ln w="6350">
                          <a:noFill/>
                        </a:ln>
                        <a:effectLst/>
                      </wps:spPr>
                      <wps:txbx>
                        <w:txbxContent>
                          <w:p w14:paraId="35CC530F" w14:textId="77777777" w:rsidR="00643212" w:rsidRDefault="00643212" w:rsidP="00AE2A70">
                            <w:pPr>
                              <w:pStyle w:val="Subtitle1"/>
                            </w:pPr>
                            <w:r>
                              <w:t xml:space="preserve">Australian Human Rights Commission – Submission to </w:t>
                            </w:r>
                          </w:p>
                          <w:p w14:paraId="7A9B332C" w14:textId="77777777" w:rsidR="00643212" w:rsidRDefault="00643212" w:rsidP="00AE2A70">
                            <w:pPr>
                              <w:pStyle w:val="Subtitle1"/>
                              <w:rPr>
                                <w:rFonts w:ascii="Times New Roman" w:eastAsia="Times New Roman" w:hAnsi="Times New Roman"/>
                                <w:caps w:val="0"/>
                                <w:color w:val="auto"/>
                                <w:sz w:val="20"/>
                                <w:lang w:eastAsia="en-AU" w:bidi="x-none"/>
                              </w:rPr>
                            </w:pPr>
                            <w:bookmarkStart w:id="1" w:name="_Toc315880363"/>
                            <w:bookmarkStart w:id="2" w:name="_Toc316042336"/>
                            <w:r>
                              <w:t>the SENATE COMMUNITY AFFAIRS LEGISLATION COMMITTEE</w:t>
                            </w:r>
                            <w:bookmarkEnd w:id="1"/>
                            <w:bookmarkEnd w:id="2"/>
                          </w:p>
                          <w:p w14:paraId="2F071F30" w14:textId="77777777" w:rsidR="00643212" w:rsidRPr="00B74219" w:rsidRDefault="00643212" w:rsidP="00A11307">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34.9pt;margin-top:115.95pt;width:499.95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pbPgIAAH8EAAAOAAAAZHJzL2Uyb0RvYy54bWysVEtv2zAMvg/YfxB0X5x3ViNOkbXIMCBo&#10;CyRDz4osx8YkUZOU2NmvHyXbadDtNOwiU+Qnvj7Sy/tGSXIW1lWgMzoaDCkRmkNe6WNGv+83nz5T&#10;4jzTOZOgRUYvwtH71ccPy9qkYgwlyFxYgk60S2uT0dJ7kyaJ46VQzA3ACI3GAqxiHq/2mOSW1ehd&#10;yWQ8HM6TGmxuLHDhHGofWyNdRf9FIbh/LgonPJEZxdx8PG08D+FMVkuWHi0zZcW7NNg/ZKFYpTHo&#10;1dUj84ycbPWHK1VxCw4KP+CgEiiKiotYA1YzGr6rZlcyI2It2Bxnrm1y/88tfzq/WFLlGZ1RoplC&#10;ivai8eQLNGQSulMblyJoZxDmG1Qjy7FSZ7bAfziEJDeY9oFDdOhGU1gVvlgnwYdIwOXa9BCFo3I+&#10;md5N5hido20xmk4WsxA3eXttrPNfBSgShIxaJDVmwM5b51toDwnBNGwqKVHPUqlJHSLMhvHB1YLO&#10;pQ4AEUekcxPKaDMPkm8OTWzMuG/DAfILdsFCO0XO8E2FGW2Z8y/M4thgfbgK/hmPQgJGhk6ipAT7&#10;62/6gEc20UpJjWOYUffzxKygRH7TyPPdaDoNcxsv09lijBd7azncWvRJPQBO+giXzvAoBryXvVhY&#10;UK+4MesQFU1Mc4ydUd+LD75dDtw4LtbrCMJJNcxv9c7wnvzQ733zyqzpSPFI5xP0A8vSd9y02Jad&#10;9clDUUXiQp/brnZThFMeqe82MqzR7T2i3v4bq98AAAD//wMAUEsDBBQABgAIAAAAIQCU1CDD4gAA&#10;AAsBAAAPAAAAZHJzL2Rvd25yZXYueG1sTI9PS8NAFMTvgt9heYK3dpMm1CZmU4roRRBpLYi31+wz&#10;G90/cXfbxm/vetLjMMPMb5r1ZDQ7kQ+DswLyeQaMbOfkYHsB+5eH2QpYiGglamdJwDcFWLeXFw3W&#10;0p3tlk672LNUYkONAlSMY8156BQZDHM3kk3eu/MGY5K+59LjOZUbzRdZtuQGB5sWFI50p6j73B2N&#10;gJvVm1Qf/nHavz5tvtTzyPU9ciGur6bNLbBIU/wLwy9+Qoc2MR3c0crAtIDZskroUcCiyCtgKVEV&#10;WQ7sIKAoyxJ42/D/H9ofAAAA//8DAFBLAQItABQABgAIAAAAIQC2gziS/gAAAOEBAAATAAAAAAAA&#10;AAAAAAAAAAAAAABbQ29udGVudF9UeXBlc10ueG1sUEsBAi0AFAAGAAgAAAAhADj9If/WAAAAlAEA&#10;AAsAAAAAAAAAAAAAAAAALwEAAF9yZWxzLy5yZWxzUEsBAi0AFAAGAAgAAAAhAKVQils+AgAAfwQA&#10;AA4AAAAAAAAAAAAAAAAALgIAAGRycy9lMm9Eb2MueG1sUEsBAi0AFAAGAAgAAAAhAJTUIMPiAAAA&#10;CwEAAA8AAAAAAAAAAAAAAAAAmAQAAGRycy9kb3ducmV2LnhtbFBLBQYAAAAABAAEAPMAAACnBQAA&#10;AAA=&#10;" filled="f" stroked="f" strokeweight=".5pt">
                <v:path arrowok="t"/>
                <v:textbox>
                  <w:txbxContent>
                    <w:p w14:paraId="35CC530F" w14:textId="77777777" w:rsidR="00EB0278" w:rsidRDefault="00EB0278" w:rsidP="00AE2A70">
                      <w:pPr>
                        <w:pStyle w:val="Subtitle1"/>
                      </w:pPr>
                      <w:r>
                        <w:t xml:space="preserve">Australian Human Rights Commission – Submission to </w:t>
                      </w:r>
                    </w:p>
                    <w:p w14:paraId="7A9B332C" w14:textId="77777777" w:rsidR="00EB0278" w:rsidRDefault="00EB0278" w:rsidP="00AE2A70">
                      <w:pPr>
                        <w:pStyle w:val="Subtitle1"/>
                        <w:rPr>
                          <w:rFonts w:ascii="Times New Roman" w:eastAsia="Times New Roman" w:hAnsi="Times New Roman"/>
                          <w:caps w:val="0"/>
                          <w:color w:val="auto"/>
                          <w:sz w:val="20"/>
                          <w:lang w:eastAsia="en-AU" w:bidi="x-none"/>
                        </w:rPr>
                      </w:pPr>
                      <w:bookmarkStart w:id="2" w:name="_Toc315880363"/>
                      <w:bookmarkStart w:id="3" w:name="_Toc316042336"/>
                      <w:r>
                        <w:t>the SENATE COMMUNITY AFFAIRS LEGISLATION COMMITTEE</w:t>
                      </w:r>
                      <w:bookmarkEnd w:id="2"/>
                      <w:bookmarkEnd w:id="3"/>
                    </w:p>
                    <w:p w14:paraId="2F071F30" w14:textId="77777777" w:rsidR="00EB0278" w:rsidRPr="00B74219" w:rsidRDefault="00EB0278" w:rsidP="00A11307">
                      <w:pPr>
                        <w:pStyle w:val="Subtitle"/>
                      </w:pPr>
                    </w:p>
                  </w:txbxContent>
                </v:textbox>
              </v:shape>
            </w:pict>
          </mc:Fallback>
        </mc:AlternateContent>
      </w:r>
      <w:bookmarkStart w:id="3" w:name="_Toc209316062"/>
      <w:bookmarkEnd w:id="3"/>
    </w:p>
    <w:sdt>
      <w:sdtPr>
        <w:rPr>
          <w:b w:val="0"/>
          <w:color w:val="auto"/>
          <w:lang w:val="en-AU" w:eastAsia="en-AU"/>
        </w:rPr>
        <w:id w:val="-235011753"/>
        <w:docPartObj>
          <w:docPartGallery w:val="Table of Contents"/>
          <w:docPartUnique/>
        </w:docPartObj>
      </w:sdtPr>
      <w:sdtEndPr>
        <w:rPr>
          <w:bCs/>
          <w:noProof/>
        </w:rPr>
      </w:sdtEndPr>
      <w:sdtContent>
        <w:p w14:paraId="03524E93" w14:textId="77777777" w:rsidR="00940E18" w:rsidRPr="003515E5" w:rsidRDefault="00EA39E8" w:rsidP="00611D78">
          <w:pPr>
            <w:pStyle w:val="TOCHeading"/>
            <w:rPr>
              <w:noProof/>
              <w:sz w:val="22"/>
              <w:szCs w:val="22"/>
            </w:rPr>
          </w:pPr>
          <w:r>
            <w:t>Contents</w:t>
          </w:r>
          <w:r>
            <w:fldChar w:fldCharType="begin"/>
          </w:r>
          <w:r>
            <w:instrText xml:space="preserve"> TOC \o "1-3" \h \z \u </w:instrText>
          </w:r>
          <w:r>
            <w:fldChar w:fldCharType="separate"/>
          </w:r>
        </w:p>
        <w:p w14:paraId="079D183A" w14:textId="77777777" w:rsidR="00940E18" w:rsidRPr="003515E5" w:rsidRDefault="00311507">
          <w:pPr>
            <w:pStyle w:val="TOC1"/>
            <w:rPr>
              <w:rFonts w:asciiTheme="minorHAnsi" w:eastAsiaTheme="minorEastAsia" w:hAnsiTheme="minorHAnsi" w:cstheme="minorBidi"/>
              <w:b w:val="0"/>
              <w:szCs w:val="22"/>
            </w:rPr>
          </w:pPr>
          <w:hyperlink w:anchor="_Toc316042337" w:history="1">
            <w:r w:rsidR="00940E18" w:rsidRPr="003515E5">
              <w:rPr>
                <w:rStyle w:val="Hyperlink"/>
                <w:szCs w:val="22"/>
              </w:rPr>
              <w:t>1</w:t>
            </w:r>
            <w:r w:rsidR="00940E18" w:rsidRPr="003515E5">
              <w:rPr>
                <w:rFonts w:asciiTheme="minorHAnsi" w:eastAsiaTheme="minorEastAsia" w:hAnsiTheme="minorHAnsi" w:cstheme="minorBidi"/>
                <w:b w:val="0"/>
                <w:szCs w:val="22"/>
              </w:rPr>
              <w:tab/>
            </w:r>
            <w:r w:rsidR="00940E18" w:rsidRPr="003515E5">
              <w:rPr>
                <w:rStyle w:val="Hyperlink"/>
                <w:szCs w:val="22"/>
              </w:rPr>
              <w:t>Introduction</w:t>
            </w:r>
            <w:r w:rsidR="00940E18" w:rsidRPr="003515E5">
              <w:rPr>
                <w:webHidden/>
                <w:szCs w:val="22"/>
              </w:rPr>
              <w:tab/>
            </w:r>
            <w:r w:rsidR="00940E18" w:rsidRPr="003515E5">
              <w:rPr>
                <w:webHidden/>
                <w:szCs w:val="22"/>
              </w:rPr>
              <w:fldChar w:fldCharType="begin"/>
            </w:r>
            <w:r w:rsidR="00940E18" w:rsidRPr="003515E5">
              <w:rPr>
                <w:webHidden/>
                <w:szCs w:val="22"/>
              </w:rPr>
              <w:instrText xml:space="preserve"> PAGEREF _Toc316042337 \h </w:instrText>
            </w:r>
            <w:r w:rsidR="00940E18" w:rsidRPr="003515E5">
              <w:rPr>
                <w:webHidden/>
                <w:szCs w:val="22"/>
              </w:rPr>
            </w:r>
            <w:r w:rsidR="00940E18" w:rsidRPr="003515E5">
              <w:rPr>
                <w:webHidden/>
                <w:szCs w:val="22"/>
              </w:rPr>
              <w:fldChar w:fldCharType="separate"/>
            </w:r>
            <w:r w:rsidR="00643212">
              <w:rPr>
                <w:webHidden/>
                <w:szCs w:val="22"/>
              </w:rPr>
              <w:t>4</w:t>
            </w:r>
            <w:r w:rsidR="00940E18" w:rsidRPr="003515E5">
              <w:rPr>
                <w:webHidden/>
                <w:szCs w:val="22"/>
              </w:rPr>
              <w:fldChar w:fldCharType="end"/>
            </w:r>
          </w:hyperlink>
        </w:p>
        <w:p w14:paraId="30B70CBD" w14:textId="77777777" w:rsidR="00940E18" w:rsidRPr="003515E5" w:rsidRDefault="00311507">
          <w:pPr>
            <w:pStyle w:val="TOC1"/>
            <w:rPr>
              <w:rFonts w:asciiTheme="minorHAnsi" w:eastAsiaTheme="minorEastAsia" w:hAnsiTheme="minorHAnsi" w:cstheme="minorBidi"/>
              <w:b w:val="0"/>
              <w:szCs w:val="22"/>
            </w:rPr>
          </w:pPr>
          <w:hyperlink w:anchor="_Toc316042338" w:history="1">
            <w:r w:rsidR="00940E18" w:rsidRPr="003515E5">
              <w:rPr>
                <w:rStyle w:val="Hyperlink"/>
                <w:szCs w:val="22"/>
              </w:rPr>
              <w:t>2</w:t>
            </w:r>
            <w:r w:rsidR="00940E18" w:rsidRPr="003515E5">
              <w:rPr>
                <w:rFonts w:asciiTheme="minorHAnsi" w:eastAsiaTheme="minorEastAsia" w:hAnsiTheme="minorHAnsi" w:cstheme="minorBidi"/>
                <w:b w:val="0"/>
                <w:szCs w:val="22"/>
              </w:rPr>
              <w:tab/>
            </w:r>
            <w:r w:rsidR="00940E18" w:rsidRPr="003515E5">
              <w:rPr>
                <w:rStyle w:val="Hyperlink"/>
                <w:szCs w:val="22"/>
              </w:rPr>
              <w:t>Summary and recommendations</w:t>
            </w:r>
            <w:r w:rsidR="00940E18" w:rsidRPr="003515E5">
              <w:rPr>
                <w:webHidden/>
                <w:szCs w:val="22"/>
              </w:rPr>
              <w:tab/>
            </w:r>
            <w:r w:rsidR="00940E18" w:rsidRPr="003515E5">
              <w:rPr>
                <w:webHidden/>
                <w:szCs w:val="22"/>
              </w:rPr>
              <w:fldChar w:fldCharType="begin"/>
            </w:r>
            <w:r w:rsidR="00940E18" w:rsidRPr="003515E5">
              <w:rPr>
                <w:webHidden/>
                <w:szCs w:val="22"/>
              </w:rPr>
              <w:instrText xml:space="preserve"> PAGEREF _Toc316042338 \h </w:instrText>
            </w:r>
            <w:r w:rsidR="00940E18" w:rsidRPr="003515E5">
              <w:rPr>
                <w:webHidden/>
                <w:szCs w:val="22"/>
              </w:rPr>
            </w:r>
            <w:r w:rsidR="00940E18" w:rsidRPr="003515E5">
              <w:rPr>
                <w:webHidden/>
                <w:szCs w:val="22"/>
              </w:rPr>
              <w:fldChar w:fldCharType="separate"/>
            </w:r>
            <w:r w:rsidR="00643212">
              <w:rPr>
                <w:webHidden/>
                <w:szCs w:val="22"/>
              </w:rPr>
              <w:t>6</w:t>
            </w:r>
            <w:r w:rsidR="00940E18" w:rsidRPr="003515E5">
              <w:rPr>
                <w:webHidden/>
                <w:szCs w:val="22"/>
              </w:rPr>
              <w:fldChar w:fldCharType="end"/>
            </w:r>
          </w:hyperlink>
        </w:p>
        <w:p w14:paraId="79708ACF" w14:textId="77777777" w:rsidR="00940E18" w:rsidRPr="003515E5" w:rsidRDefault="00311507">
          <w:pPr>
            <w:pStyle w:val="TOC2"/>
            <w:rPr>
              <w:rFonts w:asciiTheme="minorHAnsi" w:eastAsiaTheme="minorEastAsia" w:hAnsiTheme="minorHAnsi" w:cstheme="minorBidi"/>
              <w:b w:val="0"/>
              <w:i w:val="0"/>
              <w:sz w:val="22"/>
              <w:szCs w:val="22"/>
            </w:rPr>
          </w:pPr>
          <w:hyperlink w:anchor="_Toc316042339" w:history="1">
            <w:r w:rsidR="00940E18" w:rsidRPr="003515E5">
              <w:rPr>
                <w:rStyle w:val="Hyperlink"/>
                <w:sz w:val="22"/>
                <w:szCs w:val="22"/>
              </w:rPr>
              <w:t>2.1</w:t>
            </w:r>
            <w:r w:rsidR="00940E18" w:rsidRPr="003515E5">
              <w:rPr>
                <w:rFonts w:asciiTheme="minorHAnsi" w:eastAsiaTheme="minorEastAsia" w:hAnsiTheme="minorHAnsi" w:cstheme="minorBidi"/>
                <w:b w:val="0"/>
                <w:i w:val="0"/>
                <w:sz w:val="22"/>
                <w:szCs w:val="22"/>
              </w:rPr>
              <w:tab/>
            </w:r>
            <w:r w:rsidR="00940E18" w:rsidRPr="003515E5">
              <w:rPr>
                <w:rStyle w:val="Hyperlink"/>
                <w:sz w:val="22"/>
                <w:szCs w:val="22"/>
              </w:rPr>
              <w:t>Recommendations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_Toc316042339 \h </w:instrText>
            </w:r>
            <w:r w:rsidR="00940E18" w:rsidRPr="003515E5">
              <w:rPr>
                <w:webHidden/>
                <w:sz w:val="22"/>
                <w:szCs w:val="22"/>
              </w:rPr>
            </w:r>
            <w:r w:rsidR="00940E18" w:rsidRPr="003515E5">
              <w:rPr>
                <w:webHidden/>
                <w:sz w:val="22"/>
                <w:szCs w:val="22"/>
              </w:rPr>
              <w:fldChar w:fldCharType="separate"/>
            </w:r>
            <w:r w:rsidR="00643212">
              <w:rPr>
                <w:webHidden/>
                <w:sz w:val="22"/>
                <w:szCs w:val="22"/>
              </w:rPr>
              <w:t>7</w:t>
            </w:r>
            <w:r w:rsidR="00940E18" w:rsidRPr="003515E5">
              <w:rPr>
                <w:webHidden/>
                <w:sz w:val="22"/>
                <w:szCs w:val="22"/>
              </w:rPr>
              <w:fldChar w:fldCharType="end"/>
            </w:r>
          </w:hyperlink>
        </w:p>
        <w:p w14:paraId="6D8A2830" w14:textId="77777777" w:rsidR="00940E18" w:rsidRPr="003515E5" w:rsidRDefault="00311507">
          <w:pPr>
            <w:pStyle w:val="TOC3"/>
            <w:rPr>
              <w:rFonts w:asciiTheme="minorHAnsi" w:eastAsiaTheme="minorEastAsia" w:hAnsiTheme="minorHAnsi" w:cstheme="minorBidi"/>
              <w:i w:val="0"/>
              <w:sz w:val="22"/>
              <w:szCs w:val="22"/>
            </w:rPr>
          </w:pPr>
          <w:hyperlink w:anchor="_Toc316042340" w:history="1">
            <w:r w:rsidR="00940E18" w:rsidRPr="003515E5">
              <w:rPr>
                <w:rStyle w:val="Hyperlink"/>
                <w:sz w:val="22"/>
                <w:szCs w:val="22"/>
              </w:rPr>
              <w:t>(a)</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Consultation and Engagement</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_Toc316042340 \h </w:instrText>
            </w:r>
            <w:r w:rsidR="00940E18" w:rsidRPr="003515E5">
              <w:rPr>
                <w:webHidden/>
                <w:sz w:val="22"/>
                <w:szCs w:val="22"/>
              </w:rPr>
            </w:r>
            <w:r w:rsidR="00940E18" w:rsidRPr="003515E5">
              <w:rPr>
                <w:webHidden/>
                <w:sz w:val="22"/>
                <w:szCs w:val="22"/>
              </w:rPr>
              <w:fldChar w:fldCharType="separate"/>
            </w:r>
            <w:r w:rsidR="00643212">
              <w:rPr>
                <w:webHidden/>
                <w:sz w:val="22"/>
                <w:szCs w:val="22"/>
              </w:rPr>
              <w:t>7</w:t>
            </w:r>
            <w:r w:rsidR="00940E18" w:rsidRPr="003515E5">
              <w:rPr>
                <w:webHidden/>
                <w:sz w:val="22"/>
                <w:szCs w:val="22"/>
              </w:rPr>
              <w:fldChar w:fldCharType="end"/>
            </w:r>
          </w:hyperlink>
        </w:p>
        <w:p w14:paraId="68349AC4" w14:textId="77777777" w:rsidR="00940E18" w:rsidRPr="003515E5" w:rsidRDefault="00311507">
          <w:pPr>
            <w:pStyle w:val="TOC3"/>
            <w:rPr>
              <w:rFonts w:asciiTheme="minorHAnsi" w:eastAsiaTheme="minorEastAsia" w:hAnsiTheme="minorHAnsi" w:cstheme="minorBidi"/>
              <w:i w:val="0"/>
              <w:sz w:val="22"/>
              <w:szCs w:val="22"/>
            </w:rPr>
          </w:pPr>
          <w:hyperlink w:anchor="_Toc316042341" w:history="1">
            <w:r w:rsidR="00940E18" w:rsidRPr="003515E5">
              <w:rPr>
                <w:rStyle w:val="Hyperlink"/>
                <w:sz w:val="22"/>
                <w:szCs w:val="22"/>
              </w:rPr>
              <w:t>(b)</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Community Governance</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_Toc316042341 \h </w:instrText>
            </w:r>
            <w:r w:rsidR="00940E18" w:rsidRPr="003515E5">
              <w:rPr>
                <w:webHidden/>
                <w:sz w:val="22"/>
                <w:szCs w:val="22"/>
              </w:rPr>
            </w:r>
            <w:r w:rsidR="00940E18" w:rsidRPr="003515E5">
              <w:rPr>
                <w:webHidden/>
                <w:sz w:val="22"/>
                <w:szCs w:val="22"/>
              </w:rPr>
              <w:fldChar w:fldCharType="separate"/>
            </w:r>
            <w:r w:rsidR="00643212">
              <w:rPr>
                <w:webHidden/>
                <w:sz w:val="22"/>
                <w:szCs w:val="22"/>
              </w:rPr>
              <w:t>7</w:t>
            </w:r>
            <w:r w:rsidR="00940E18" w:rsidRPr="003515E5">
              <w:rPr>
                <w:webHidden/>
                <w:sz w:val="22"/>
                <w:szCs w:val="22"/>
              </w:rPr>
              <w:fldChar w:fldCharType="end"/>
            </w:r>
          </w:hyperlink>
        </w:p>
        <w:p w14:paraId="45224F9B" w14:textId="77777777" w:rsidR="00940E18" w:rsidRPr="003515E5" w:rsidRDefault="00311507">
          <w:pPr>
            <w:pStyle w:val="TOC3"/>
            <w:rPr>
              <w:rFonts w:asciiTheme="minorHAnsi" w:eastAsiaTheme="minorEastAsia" w:hAnsiTheme="minorHAnsi" w:cstheme="minorBidi"/>
              <w:i w:val="0"/>
              <w:sz w:val="22"/>
              <w:szCs w:val="22"/>
            </w:rPr>
          </w:pPr>
          <w:hyperlink w:anchor="_Toc316042342" w:history="1">
            <w:r w:rsidR="00940E18" w:rsidRPr="003515E5">
              <w:rPr>
                <w:rStyle w:val="Hyperlink"/>
                <w:sz w:val="22"/>
                <w:szCs w:val="22"/>
              </w:rPr>
              <w:t>(c)</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Cultural Competency</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_Toc316042342 \h </w:instrText>
            </w:r>
            <w:r w:rsidR="00940E18" w:rsidRPr="003515E5">
              <w:rPr>
                <w:webHidden/>
                <w:sz w:val="22"/>
                <w:szCs w:val="22"/>
              </w:rPr>
            </w:r>
            <w:r w:rsidR="00940E18" w:rsidRPr="003515E5">
              <w:rPr>
                <w:webHidden/>
                <w:sz w:val="22"/>
                <w:szCs w:val="22"/>
              </w:rPr>
              <w:fldChar w:fldCharType="separate"/>
            </w:r>
            <w:r w:rsidR="00643212">
              <w:rPr>
                <w:webHidden/>
                <w:sz w:val="22"/>
                <w:szCs w:val="22"/>
              </w:rPr>
              <w:t>8</w:t>
            </w:r>
            <w:r w:rsidR="00940E18" w:rsidRPr="003515E5">
              <w:rPr>
                <w:webHidden/>
                <w:sz w:val="22"/>
                <w:szCs w:val="22"/>
              </w:rPr>
              <w:fldChar w:fldCharType="end"/>
            </w:r>
          </w:hyperlink>
        </w:p>
        <w:p w14:paraId="5054D78E" w14:textId="77777777" w:rsidR="00940E18" w:rsidRPr="003515E5" w:rsidRDefault="00311507">
          <w:pPr>
            <w:pStyle w:val="TOC3"/>
            <w:rPr>
              <w:rFonts w:asciiTheme="minorHAnsi" w:eastAsiaTheme="minorEastAsia" w:hAnsiTheme="minorHAnsi" w:cstheme="minorBidi"/>
              <w:i w:val="0"/>
              <w:sz w:val="22"/>
              <w:szCs w:val="22"/>
            </w:rPr>
          </w:pPr>
          <w:hyperlink w:anchor="_Toc316042343" w:history="1">
            <w:r w:rsidR="00940E18" w:rsidRPr="003515E5">
              <w:rPr>
                <w:rStyle w:val="Hyperlink"/>
                <w:sz w:val="22"/>
                <w:szCs w:val="22"/>
              </w:rPr>
              <w:t>(d)</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Compliance with the Racial Discrimination Act</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_Toc316042343 \h </w:instrText>
            </w:r>
            <w:r w:rsidR="00940E18" w:rsidRPr="003515E5">
              <w:rPr>
                <w:webHidden/>
                <w:sz w:val="22"/>
                <w:szCs w:val="22"/>
              </w:rPr>
            </w:r>
            <w:r w:rsidR="00940E18" w:rsidRPr="003515E5">
              <w:rPr>
                <w:webHidden/>
                <w:sz w:val="22"/>
                <w:szCs w:val="22"/>
              </w:rPr>
              <w:fldChar w:fldCharType="separate"/>
            </w:r>
            <w:r w:rsidR="00643212">
              <w:rPr>
                <w:webHidden/>
                <w:sz w:val="22"/>
                <w:szCs w:val="22"/>
              </w:rPr>
              <w:t>8</w:t>
            </w:r>
            <w:r w:rsidR="00940E18" w:rsidRPr="003515E5">
              <w:rPr>
                <w:webHidden/>
                <w:sz w:val="22"/>
                <w:szCs w:val="22"/>
              </w:rPr>
              <w:fldChar w:fldCharType="end"/>
            </w:r>
          </w:hyperlink>
        </w:p>
        <w:p w14:paraId="61DE5227" w14:textId="77777777" w:rsidR="00940E18" w:rsidRPr="003515E5" w:rsidRDefault="00311507">
          <w:pPr>
            <w:pStyle w:val="TOC3"/>
            <w:rPr>
              <w:rFonts w:asciiTheme="minorHAnsi" w:eastAsiaTheme="minorEastAsia" w:hAnsiTheme="minorHAnsi" w:cstheme="minorBidi"/>
              <w:i w:val="0"/>
              <w:sz w:val="22"/>
              <w:szCs w:val="22"/>
            </w:rPr>
          </w:pPr>
          <w:hyperlink w:anchor="_Toc316042344" w:history="1">
            <w:r w:rsidR="00940E18" w:rsidRPr="003515E5">
              <w:rPr>
                <w:rStyle w:val="Hyperlink"/>
                <w:sz w:val="22"/>
                <w:szCs w:val="22"/>
              </w:rPr>
              <w:t>(e)</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Income Management</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_Toc316042344 \h </w:instrText>
            </w:r>
            <w:r w:rsidR="00940E18" w:rsidRPr="003515E5">
              <w:rPr>
                <w:webHidden/>
                <w:sz w:val="22"/>
                <w:szCs w:val="22"/>
              </w:rPr>
            </w:r>
            <w:r w:rsidR="00940E18" w:rsidRPr="003515E5">
              <w:rPr>
                <w:webHidden/>
                <w:sz w:val="22"/>
                <w:szCs w:val="22"/>
              </w:rPr>
              <w:fldChar w:fldCharType="separate"/>
            </w:r>
            <w:r w:rsidR="00643212">
              <w:rPr>
                <w:webHidden/>
                <w:sz w:val="22"/>
                <w:szCs w:val="22"/>
              </w:rPr>
              <w:t>8</w:t>
            </w:r>
            <w:r w:rsidR="00940E18" w:rsidRPr="003515E5">
              <w:rPr>
                <w:webHidden/>
                <w:sz w:val="22"/>
                <w:szCs w:val="22"/>
              </w:rPr>
              <w:fldChar w:fldCharType="end"/>
            </w:r>
          </w:hyperlink>
        </w:p>
        <w:p w14:paraId="29028DC4" w14:textId="77777777" w:rsidR="00940E18" w:rsidRPr="003515E5" w:rsidRDefault="00311507">
          <w:pPr>
            <w:pStyle w:val="TOC3"/>
            <w:rPr>
              <w:rFonts w:asciiTheme="minorHAnsi" w:eastAsiaTheme="minorEastAsia" w:hAnsiTheme="minorHAnsi" w:cstheme="minorBidi"/>
              <w:i w:val="0"/>
              <w:sz w:val="22"/>
              <w:szCs w:val="22"/>
            </w:rPr>
          </w:pPr>
          <w:hyperlink w:anchor="_Toc316042345" w:history="1">
            <w:r w:rsidR="00940E18" w:rsidRPr="003515E5">
              <w:rPr>
                <w:rStyle w:val="Hyperlink"/>
                <w:sz w:val="22"/>
                <w:szCs w:val="22"/>
              </w:rPr>
              <w:t>(f)</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School Enrolment and Attendance through Welfare Reform Measure</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_Toc316042345 \h </w:instrText>
            </w:r>
            <w:r w:rsidR="00940E18" w:rsidRPr="003515E5">
              <w:rPr>
                <w:webHidden/>
                <w:sz w:val="22"/>
                <w:szCs w:val="22"/>
              </w:rPr>
            </w:r>
            <w:r w:rsidR="00940E18" w:rsidRPr="003515E5">
              <w:rPr>
                <w:webHidden/>
                <w:sz w:val="22"/>
                <w:szCs w:val="22"/>
              </w:rPr>
              <w:fldChar w:fldCharType="separate"/>
            </w:r>
            <w:r w:rsidR="00643212">
              <w:rPr>
                <w:webHidden/>
                <w:sz w:val="22"/>
                <w:szCs w:val="22"/>
              </w:rPr>
              <w:t>9</w:t>
            </w:r>
            <w:r w:rsidR="00940E18" w:rsidRPr="003515E5">
              <w:rPr>
                <w:webHidden/>
                <w:sz w:val="22"/>
                <w:szCs w:val="22"/>
              </w:rPr>
              <w:fldChar w:fldCharType="end"/>
            </w:r>
          </w:hyperlink>
        </w:p>
        <w:p w14:paraId="62056BBF" w14:textId="77777777" w:rsidR="00940E18" w:rsidRPr="003515E5" w:rsidRDefault="00311507">
          <w:pPr>
            <w:pStyle w:val="TOC3"/>
            <w:rPr>
              <w:rFonts w:asciiTheme="minorHAnsi" w:eastAsiaTheme="minorEastAsia" w:hAnsiTheme="minorHAnsi" w:cstheme="minorBidi"/>
              <w:i w:val="0"/>
              <w:sz w:val="22"/>
              <w:szCs w:val="22"/>
            </w:rPr>
          </w:pPr>
          <w:hyperlink w:anchor="_Toc316042346" w:history="1">
            <w:r w:rsidR="00940E18" w:rsidRPr="003515E5">
              <w:rPr>
                <w:rStyle w:val="Hyperlink"/>
                <w:sz w:val="22"/>
                <w:szCs w:val="22"/>
              </w:rPr>
              <w:t>(g)</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Tackling Alcohol Abuse</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_Toc316042346 \h </w:instrText>
            </w:r>
            <w:r w:rsidR="00940E18" w:rsidRPr="003515E5">
              <w:rPr>
                <w:webHidden/>
                <w:sz w:val="22"/>
                <w:szCs w:val="22"/>
              </w:rPr>
            </w:r>
            <w:r w:rsidR="00940E18" w:rsidRPr="003515E5">
              <w:rPr>
                <w:webHidden/>
                <w:sz w:val="22"/>
                <w:szCs w:val="22"/>
              </w:rPr>
              <w:fldChar w:fldCharType="separate"/>
            </w:r>
            <w:r w:rsidR="00643212">
              <w:rPr>
                <w:webHidden/>
                <w:sz w:val="22"/>
                <w:szCs w:val="22"/>
              </w:rPr>
              <w:t>10</w:t>
            </w:r>
            <w:r w:rsidR="00940E18" w:rsidRPr="003515E5">
              <w:rPr>
                <w:webHidden/>
                <w:sz w:val="22"/>
                <w:szCs w:val="22"/>
              </w:rPr>
              <w:fldChar w:fldCharType="end"/>
            </w:r>
          </w:hyperlink>
        </w:p>
        <w:p w14:paraId="05036C89" w14:textId="77777777" w:rsidR="00940E18" w:rsidRPr="003515E5" w:rsidRDefault="00311507">
          <w:pPr>
            <w:pStyle w:val="TOC3"/>
            <w:rPr>
              <w:rFonts w:asciiTheme="minorHAnsi" w:eastAsiaTheme="minorEastAsia" w:hAnsiTheme="minorHAnsi" w:cstheme="minorBidi"/>
              <w:i w:val="0"/>
              <w:sz w:val="22"/>
              <w:szCs w:val="22"/>
            </w:rPr>
          </w:pPr>
          <w:hyperlink w:anchor="_Toc316042347" w:history="1">
            <w:r w:rsidR="00940E18" w:rsidRPr="003515E5">
              <w:rPr>
                <w:rStyle w:val="Hyperlink"/>
                <w:sz w:val="22"/>
                <w:szCs w:val="22"/>
              </w:rPr>
              <w:t>(h)</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Land Reform Measures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_Toc316042347 \h </w:instrText>
            </w:r>
            <w:r w:rsidR="00940E18" w:rsidRPr="003515E5">
              <w:rPr>
                <w:webHidden/>
                <w:sz w:val="22"/>
                <w:szCs w:val="22"/>
              </w:rPr>
            </w:r>
            <w:r w:rsidR="00940E18" w:rsidRPr="003515E5">
              <w:rPr>
                <w:webHidden/>
                <w:sz w:val="22"/>
                <w:szCs w:val="22"/>
              </w:rPr>
              <w:fldChar w:fldCharType="separate"/>
            </w:r>
            <w:r w:rsidR="00643212">
              <w:rPr>
                <w:webHidden/>
                <w:sz w:val="22"/>
                <w:szCs w:val="22"/>
              </w:rPr>
              <w:t>12</w:t>
            </w:r>
            <w:r w:rsidR="00940E18" w:rsidRPr="003515E5">
              <w:rPr>
                <w:webHidden/>
                <w:sz w:val="22"/>
                <w:szCs w:val="22"/>
              </w:rPr>
              <w:fldChar w:fldCharType="end"/>
            </w:r>
          </w:hyperlink>
        </w:p>
        <w:p w14:paraId="6F6777B1" w14:textId="77777777" w:rsidR="00940E18" w:rsidRPr="003515E5" w:rsidRDefault="00311507">
          <w:pPr>
            <w:pStyle w:val="TOC3"/>
            <w:rPr>
              <w:rFonts w:asciiTheme="minorHAnsi" w:eastAsiaTheme="minorEastAsia" w:hAnsiTheme="minorHAnsi" w:cstheme="minorBidi"/>
              <w:i w:val="0"/>
              <w:sz w:val="22"/>
              <w:szCs w:val="22"/>
            </w:rPr>
          </w:pPr>
          <w:hyperlink w:anchor="_Toc316042348" w:history="1">
            <w:r w:rsidR="00940E18" w:rsidRPr="003515E5">
              <w:rPr>
                <w:rStyle w:val="Hyperlink"/>
                <w:sz w:val="22"/>
                <w:szCs w:val="22"/>
              </w:rPr>
              <w:t>(i)</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Community Safety</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_Toc316042348 \h </w:instrText>
            </w:r>
            <w:r w:rsidR="00940E18" w:rsidRPr="003515E5">
              <w:rPr>
                <w:webHidden/>
                <w:sz w:val="22"/>
                <w:szCs w:val="22"/>
              </w:rPr>
            </w:r>
            <w:r w:rsidR="00940E18" w:rsidRPr="003515E5">
              <w:rPr>
                <w:webHidden/>
                <w:sz w:val="22"/>
                <w:szCs w:val="22"/>
              </w:rPr>
              <w:fldChar w:fldCharType="separate"/>
            </w:r>
            <w:r w:rsidR="00643212">
              <w:rPr>
                <w:webHidden/>
                <w:sz w:val="22"/>
                <w:szCs w:val="22"/>
              </w:rPr>
              <w:t>12</w:t>
            </w:r>
            <w:r w:rsidR="00940E18" w:rsidRPr="003515E5">
              <w:rPr>
                <w:webHidden/>
                <w:sz w:val="22"/>
                <w:szCs w:val="22"/>
              </w:rPr>
              <w:fldChar w:fldCharType="end"/>
            </w:r>
          </w:hyperlink>
        </w:p>
        <w:p w14:paraId="6F67BCC8" w14:textId="77777777" w:rsidR="00940E18" w:rsidRPr="003515E5" w:rsidRDefault="00311507">
          <w:pPr>
            <w:pStyle w:val="TOC1"/>
            <w:rPr>
              <w:rFonts w:asciiTheme="minorHAnsi" w:eastAsiaTheme="minorEastAsia" w:hAnsiTheme="minorHAnsi" w:cstheme="minorBidi"/>
              <w:b w:val="0"/>
              <w:szCs w:val="22"/>
            </w:rPr>
          </w:pPr>
          <w:hyperlink w:anchor="_Toc316042349" w:history="1">
            <w:r w:rsidR="00940E18" w:rsidRPr="003515E5">
              <w:rPr>
                <w:rStyle w:val="Hyperlink"/>
                <w:szCs w:val="22"/>
              </w:rPr>
              <w:t>3</w:t>
            </w:r>
            <w:r w:rsidR="00940E18" w:rsidRPr="003515E5">
              <w:rPr>
                <w:rFonts w:asciiTheme="minorHAnsi" w:eastAsiaTheme="minorEastAsia" w:hAnsiTheme="minorHAnsi" w:cstheme="minorBidi"/>
                <w:b w:val="0"/>
                <w:szCs w:val="22"/>
              </w:rPr>
              <w:tab/>
            </w:r>
            <w:r w:rsidR="00940E18" w:rsidRPr="003515E5">
              <w:rPr>
                <w:rStyle w:val="Hyperlink"/>
                <w:szCs w:val="22"/>
              </w:rPr>
              <w:t>Context – over-arching issues relating to the Stronger Futures Bills</w:t>
            </w:r>
            <w:r w:rsidR="00940E18" w:rsidRPr="003515E5">
              <w:rPr>
                <w:webHidden/>
                <w:szCs w:val="22"/>
              </w:rPr>
              <w:tab/>
            </w:r>
            <w:r w:rsidR="00940E18" w:rsidRPr="003515E5">
              <w:rPr>
                <w:webHidden/>
                <w:szCs w:val="22"/>
              </w:rPr>
              <w:fldChar w:fldCharType="begin"/>
            </w:r>
            <w:r w:rsidR="00940E18" w:rsidRPr="003515E5">
              <w:rPr>
                <w:webHidden/>
                <w:szCs w:val="22"/>
              </w:rPr>
              <w:instrText xml:space="preserve"> PAGEREF _Toc316042349 \h </w:instrText>
            </w:r>
            <w:r w:rsidR="00940E18" w:rsidRPr="003515E5">
              <w:rPr>
                <w:webHidden/>
                <w:szCs w:val="22"/>
              </w:rPr>
            </w:r>
            <w:r w:rsidR="00940E18" w:rsidRPr="003515E5">
              <w:rPr>
                <w:webHidden/>
                <w:szCs w:val="22"/>
              </w:rPr>
              <w:fldChar w:fldCharType="separate"/>
            </w:r>
            <w:r w:rsidR="00643212">
              <w:rPr>
                <w:webHidden/>
                <w:szCs w:val="22"/>
              </w:rPr>
              <w:t>13</w:t>
            </w:r>
            <w:r w:rsidR="00940E18" w:rsidRPr="003515E5">
              <w:rPr>
                <w:webHidden/>
                <w:szCs w:val="22"/>
              </w:rPr>
              <w:fldChar w:fldCharType="end"/>
            </w:r>
          </w:hyperlink>
        </w:p>
        <w:p w14:paraId="79C22BAE" w14:textId="77777777" w:rsidR="00940E18" w:rsidRPr="003515E5" w:rsidRDefault="00311507">
          <w:pPr>
            <w:pStyle w:val="TOC2"/>
            <w:rPr>
              <w:rFonts w:asciiTheme="minorHAnsi" w:eastAsiaTheme="minorEastAsia" w:hAnsiTheme="minorHAnsi" w:cstheme="minorBidi"/>
              <w:b w:val="0"/>
              <w:i w:val="0"/>
              <w:sz w:val="22"/>
              <w:szCs w:val="22"/>
            </w:rPr>
          </w:pPr>
          <w:hyperlink w:anchor="_Toc316042350" w:history="1">
            <w:r w:rsidR="00940E18" w:rsidRPr="003515E5">
              <w:rPr>
                <w:rStyle w:val="Hyperlink"/>
                <w:sz w:val="22"/>
                <w:szCs w:val="22"/>
              </w:rPr>
              <w:t>3.1</w:t>
            </w:r>
            <w:r w:rsidR="00940E18" w:rsidRPr="003515E5">
              <w:rPr>
                <w:rFonts w:asciiTheme="minorHAnsi" w:eastAsiaTheme="minorEastAsia" w:hAnsiTheme="minorHAnsi" w:cstheme="minorBidi"/>
                <w:b w:val="0"/>
                <w:i w:val="0"/>
                <w:sz w:val="22"/>
                <w:szCs w:val="22"/>
              </w:rPr>
              <w:tab/>
            </w:r>
            <w:r w:rsidR="00940E18" w:rsidRPr="003515E5">
              <w:rPr>
                <w:rStyle w:val="Hyperlink"/>
                <w:sz w:val="22"/>
                <w:szCs w:val="22"/>
              </w:rPr>
              <w:t>The Stronger Futures consultation process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_Toc316042350 \h </w:instrText>
            </w:r>
            <w:r w:rsidR="00940E18" w:rsidRPr="003515E5">
              <w:rPr>
                <w:webHidden/>
                <w:sz w:val="22"/>
                <w:szCs w:val="22"/>
              </w:rPr>
            </w:r>
            <w:r w:rsidR="00940E18" w:rsidRPr="003515E5">
              <w:rPr>
                <w:webHidden/>
                <w:sz w:val="22"/>
                <w:szCs w:val="22"/>
              </w:rPr>
              <w:fldChar w:fldCharType="separate"/>
            </w:r>
            <w:r w:rsidR="00643212">
              <w:rPr>
                <w:webHidden/>
                <w:sz w:val="22"/>
                <w:szCs w:val="22"/>
              </w:rPr>
              <w:t>13</w:t>
            </w:r>
            <w:r w:rsidR="00940E18" w:rsidRPr="003515E5">
              <w:rPr>
                <w:webHidden/>
                <w:sz w:val="22"/>
                <w:szCs w:val="22"/>
              </w:rPr>
              <w:fldChar w:fldCharType="end"/>
            </w:r>
          </w:hyperlink>
        </w:p>
        <w:p w14:paraId="2912A920" w14:textId="77777777" w:rsidR="00940E18" w:rsidRPr="003515E5" w:rsidRDefault="00311507">
          <w:pPr>
            <w:pStyle w:val="TOC2"/>
            <w:rPr>
              <w:rFonts w:asciiTheme="minorHAnsi" w:eastAsiaTheme="minorEastAsia" w:hAnsiTheme="minorHAnsi" w:cstheme="minorBidi"/>
              <w:b w:val="0"/>
              <w:i w:val="0"/>
              <w:sz w:val="22"/>
              <w:szCs w:val="22"/>
            </w:rPr>
          </w:pPr>
          <w:hyperlink w:anchor="_Toc316042351" w:history="1">
            <w:r w:rsidR="00940E18" w:rsidRPr="003515E5">
              <w:rPr>
                <w:rStyle w:val="Hyperlink"/>
                <w:sz w:val="22"/>
                <w:szCs w:val="22"/>
              </w:rPr>
              <w:t>3.2</w:t>
            </w:r>
            <w:r w:rsidR="00940E18" w:rsidRPr="003515E5">
              <w:rPr>
                <w:rFonts w:asciiTheme="minorHAnsi" w:eastAsiaTheme="minorEastAsia" w:hAnsiTheme="minorHAnsi" w:cstheme="minorBidi"/>
                <w:b w:val="0"/>
                <w:i w:val="0"/>
                <w:sz w:val="22"/>
                <w:szCs w:val="22"/>
              </w:rPr>
              <w:tab/>
            </w:r>
            <w:r w:rsidR="00940E18" w:rsidRPr="003515E5">
              <w:rPr>
                <w:rStyle w:val="Hyperlink"/>
                <w:sz w:val="22"/>
                <w:szCs w:val="22"/>
              </w:rPr>
              <w:t>Aboriginal community governance in the Northern Territory</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_Toc316042351 \h </w:instrText>
            </w:r>
            <w:r w:rsidR="00940E18" w:rsidRPr="003515E5">
              <w:rPr>
                <w:webHidden/>
                <w:sz w:val="22"/>
                <w:szCs w:val="22"/>
              </w:rPr>
            </w:r>
            <w:r w:rsidR="00940E18" w:rsidRPr="003515E5">
              <w:rPr>
                <w:webHidden/>
                <w:sz w:val="22"/>
                <w:szCs w:val="22"/>
              </w:rPr>
              <w:fldChar w:fldCharType="separate"/>
            </w:r>
            <w:r w:rsidR="00643212">
              <w:rPr>
                <w:webHidden/>
                <w:sz w:val="22"/>
                <w:szCs w:val="22"/>
              </w:rPr>
              <w:t>16</w:t>
            </w:r>
            <w:r w:rsidR="00940E18" w:rsidRPr="003515E5">
              <w:rPr>
                <w:webHidden/>
                <w:sz w:val="22"/>
                <w:szCs w:val="22"/>
              </w:rPr>
              <w:fldChar w:fldCharType="end"/>
            </w:r>
          </w:hyperlink>
        </w:p>
        <w:p w14:paraId="4BEEEE4A" w14:textId="77777777" w:rsidR="00940E18" w:rsidRPr="003515E5" w:rsidRDefault="00311507">
          <w:pPr>
            <w:pStyle w:val="TOC3"/>
            <w:rPr>
              <w:rFonts w:asciiTheme="minorHAnsi" w:eastAsiaTheme="minorEastAsia" w:hAnsiTheme="minorHAnsi" w:cstheme="minorBidi"/>
              <w:i w:val="0"/>
              <w:sz w:val="22"/>
              <w:szCs w:val="22"/>
            </w:rPr>
          </w:pPr>
          <w:hyperlink w:anchor="_Toc316042352" w:history="1">
            <w:r w:rsidR="00940E18" w:rsidRPr="003515E5">
              <w:rPr>
                <w:rStyle w:val="Hyperlink"/>
                <w:sz w:val="22"/>
                <w:szCs w:val="22"/>
              </w:rPr>
              <w:t>(a)</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Regional Shire Councils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_Toc316042352 \h </w:instrText>
            </w:r>
            <w:r w:rsidR="00940E18" w:rsidRPr="003515E5">
              <w:rPr>
                <w:webHidden/>
                <w:sz w:val="22"/>
                <w:szCs w:val="22"/>
              </w:rPr>
            </w:r>
            <w:r w:rsidR="00940E18" w:rsidRPr="003515E5">
              <w:rPr>
                <w:webHidden/>
                <w:sz w:val="22"/>
                <w:szCs w:val="22"/>
              </w:rPr>
              <w:fldChar w:fldCharType="separate"/>
            </w:r>
            <w:r w:rsidR="00643212">
              <w:rPr>
                <w:webHidden/>
                <w:sz w:val="22"/>
                <w:szCs w:val="22"/>
              </w:rPr>
              <w:t>17</w:t>
            </w:r>
            <w:r w:rsidR="00940E18" w:rsidRPr="003515E5">
              <w:rPr>
                <w:webHidden/>
                <w:sz w:val="22"/>
                <w:szCs w:val="22"/>
              </w:rPr>
              <w:fldChar w:fldCharType="end"/>
            </w:r>
          </w:hyperlink>
        </w:p>
        <w:p w14:paraId="28387988" w14:textId="77777777" w:rsidR="00940E18" w:rsidRPr="003515E5" w:rsidRDefault="00311507">
          <w:pPr>
            <w:pStyle w:val="TOC3"/>
            <w:rPr>
              <w:rFonts w:asciiTheme="minorHAnsi" w:eastAsiaTheme="minorEastAsia" w:hAnsiTheme="minorHAnsi" w:cstheme="minorBidi"/>
              <w:i w:val="0"/>
              <w:sz w:val="22"/>
              <w:szCs w:val="22"/>
            </w:rPr>
          </w:pPr>
          <w:hyperlink w:anchor="_Toc316042353" w:history="1">
            <w:r w:rsidR="00940E18" w:rsidRPr="003515E5">
              <w:rPr>
                <w:rStyle w:val="Hyperlink"/>
                <w:sz w:val="22"/>
                <w:szCs w:val="22"/>
              </w:rPr>
              <w:t>(b)</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Government services and programs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_Toc316042353 \h </w:instrText>
            </w:r>
            <w:r w:rsidR="00940E18" w:rsidRPr="003515E5">
              <w:rPr>
                <w:webHidden/>
                <w:sz w:val="22"/>
                <w:szCs w:val="22"/>
              </w:rPr>
            </w:r>
            <w:r w:rsidR="00940E18" w:rsidRPr="003515E5">
              <w:rPr>
                <w:webHidden/>
                <w:sz w:val="22"/>
                <w:szCs w:val="22"/>
              </w:rPr>
              <w:fldChar w:fldCharType="separate"/>
            </w:r>
            <w:r w:rsidR="00643212">
              <w:rPr>
                <w:webHidden/>
                <w:sz w:val="22"/>
                <w:szCs w:val="22"/>
              </w:rPr>
              <w:t>17</w:t>
            </w:r>
            <w:r w:rsidR="00940E18" w:rsidRPr="003515E5">
              <w:rPr>
                <w:webHidden/>
                <w:sz w:val="22"/>
                <w:szCs w:val="22"/>
              </w:rPr>
              <w:fldChar w:fldCharType="end"/>
            </w:r>
          </w:hyperlink>
        </w:p>
        <w:p w14:paraId="199B186C" w14:textId="77777777" w:rsidR="00940E18" w:rsidRPr="003515E5" w:rsidRDefault="00311507">
          <w:pPr>
            <w:pStyle w:val="TOC2"/>
            <w:rPr>
              <w:rFonts w:asciiTheme="minorHAnsi" w:eastAsiaTheme="minorEastAsia" w:hAnsiTheme="minorHAnsi" w:cstheme="minorBidi"/>
              <w:b w:val="0"/>
              <w:i w:val="0"/>
              <w:sz w:val="22"/>
              <w:szCs w:val="22"/>
            </w:rPr>
          </w:pPr>
          <w:hyperlink w:anchor="_Toc316042354" w:history="1">
            <w:r w:rsidR="00940E18" w:rsidRPr="003515E5">
              <w:rPr>
                <w:rStyle w:val="Hyperlink"/>
                <w:sz w:val="22"/>
                <w:szCs w:val="22"/>
              </w:rPr>
              <w:t>3.3</w:t>
            </w:r>
            <w:r w:rsidR="00940E18" w:rsidRPr="003515E5">
              <w:rPr>
                <w:rFonts w:asciiTheme="minorHAnsi" w:eastAsiaTheme="minorEastAsia" w:hAnsiTheme="minorHAnsi" w:cstheme="minorBidi"/>
                <w:b w:val="0"/>
                <w:i w:val="0"/>
                <w:sz w:val="22"/>
                <w:szCs w:val="22"/>
              </w:rPr>
              <w:tab/>
            </w:r>
            <w:r w:rsidR="00940E18" w:rsidRPr="003515E5">
              <w:rPr>
                <w:rStyle w:val="Hyperlink"/>
                <w:sz w:val="22"/>
                <w:szCs w:val="22"/>
              </w:rPr>
              <w:t>Government capacity and cultural competency to implement the Stronger Futures measures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_Toc316042354 \h </w:instrText>
            </w:r>
            <w:r w:rsidR="00940E18" w:rsidRPr="003515E5">
              <w:rPr>
                <w:webHidden/>
                <w:sz w:val="22"/>
                <w:szCs w:val="22"/>
              </w:rPr>
            </w:r>
            <w:r w:rsidR="00940E18" w:rsidRPr="003515E5">
              <w:rPr>
                <w:webHidden/>
                <w:sz w:val="22"/>
                <w:szCs w:val="22"/>
              </w:rPr>
              <w:fldChar w:fldCharType="separate"/>
            </w:r>
            <w:r w:rsidR="00643212">
              <w:rPr>
                <w:webHidden/>
                <w:sz w:val="22"/>
                <w:szCs w:val="22"/>
              </w:rPr>
              <w:t>18</w:t>
            </w:r>
            <w:r w:rsidR="00940E18" w:rsidRPr="003515E5">
              <w:rPr>
                <w:webHidden/>
                <w:sz w:val="22"/>
                <w:szCs w:val="22"/>
              </w:rPr>
              <w:fldChar w:fldCharType="end"/>
            </w:r>
          </w:hyperlink>
        </w:p>
        <w:p w14:paraId="6E049BAF" w14:textId="77777777" w:rsidR="00940E18" w:rsidRPr="003515E5" w:rsidRDefault="00311507">
          <w:pPr>
            <w:pStyle w:val="TOC3"/>
            <w:rPr>
              <w:rFonts w:asciiTheme="minorHAnsi" w:eastAsiaTheme="minorEastAsia" w:hAnsiTheme="minorHAnsi" w:cstheme="minorBidi"/>
              <w:i w:val="0"/>
              <w:sz w:val="22"/>
              <w:szCs w:val="22"/>
            </w:rPr>
          </w:pPr>
          <w:hyperlink w:anchor="_Toc316042355" w:history="1">
            <w:r w:rsidR="00940E18" w:rsidRPr="003515E5">
              <w:rPr>
                <w:rStyle w:val="Hyperlink"/>
                <w:sz w:val="22"/>
                <w:szCs w:val="22"/>
              </w:rPr>
              <w:t>(a)</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Cultural safety and security</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_Toc316042355 \h </w:instrText>
            </w:r>
            <w:r w:rsidR="00940E18" w:rsidRPr="003515E5">
              <w:rPr>
                <w:webHidden/>
                <w:sz w:val="22"/>
                <w:szCs w:val="22"/>
              </w:rPr>
            </w:r>
            <w:r w:rsidR="00940E18" w:rsidRPr="003515E5">
              <w:rPr>
                <w:webHidden/>
                <w:sz w:val="22"/>
                <w:szCs w:val="22"/>
              </w:rPr>
              <w:fldChar w:fldCharType="separate"/>
            </w:r>
            <w:r w:rsidR="00643212">
              <w:rPr>
                <w:webHidden/>
                <w:sz w:val="22"/>
                <w:szCs w:val="22"/>
              </w:rPr>
              <w:t>20</w:t>
            </w:r>
            <w:r w:rsidR="00940E18" w:rsidRPr="003515E5">
              <w:rPr>
                <w:webHidden/>
                <w:sz w:val="22"/>
                <w:szCs w:val="22"/>
              </w:rPr>
              <w:fldChar w:fldCharType="end"/>
            </w:r>
          </w:hyperlink>
        </w:p>
        <w:p w14:paraId="41D5681C" w14:textId="77777777" w:rsidR="00940E18" w:rsidRPr="003515E5" w:rsidRDefault="00311507">
          <w:pPr>
            <w:pStyle w:val="TOC3"/>
            <w:rPr>
              <w:rFonts w:asciiTheme="minorHAnsi" w:eastAsiaTheme="minorEastAsia" w:hAnsiTheme="minorHAnsi" w:cstheme="minorBidi"/>
              <w:i w:val="0"/>
              <w:sz w:val="22"/>
              <w:szCs w:val="22"/>
            </w:rPr>
          </w:pPr>
          <w:hyperlink w:anchor="_Toc316042356" w:history="1">
            <w:r w:rsidR="00940E18" w:rsidRPr="003515E5">
              <w:rPr>
                <w:rStyle w:val="Hyperlink"/>
                <w:sz w:val="22"/>
                <w:szCs w:val="22"/>
              </w:rPr>
              <w:t>(b)</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Recommendations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_Toc316042356 \h </w:instrText>
            </w:r>
            <w:r w:rsidR="00940E18" w:rsidRPr="003515E5">
              <w:rPr>
                <w:webHidden/>
                <w:sz w:val="22"/>
                <w:szCs w:val="22"/>
              </w:rPr>
            </w:r>
            <w:r w:rsidR="00940E18" w:rsidRPr="003515E5">
              <w:rPr>
                <w:webHidden/>
                <w:sz w:val="22"/>
                <w:szCs w:val="22"/>
              </w:rPr>
              <w:fldChar w:fldCharType="separate"/>
            </w:r>
            <w:r w:rsidR="00643212">
              <w:rPr>
                <w:webHidden/>
                <w:sz w:val="22"/>
                <w:szCs w:val="22"/>
              </w:rPr>
              <w:t>22</w:t>
            </w:r>
            <w:r w:rsidR="00940E18" w:rsidRPr="003515E5">
              <w:rPr>
                <w:webHidden/>
                <w:sz w:val="22"/>
                <w:szCs w:val="22"/>
              </w:rPr>
              <w:fldChar w:fldCharType="end"/>
            </w:r>
          </w:hyperlink>
        </w:p>
        <w:p w14:paraId="3307C46D" w14:textId="77777777" w:rsidR="00940E18" w:rsidRPr="003515E5" w:rsidRDefault="00311507">
          <w:pPr>
            <w:pStyle w:val="TOC1"/>
            <w:rPr>
              <w:rFonts w:asciiTheme="minorHAnsi" w:eastAsiaTheme="minorEastAsia" w:hAnsiTheme="minorHAnsi" w:cstheme="minorBidi"/>
              <w:b w:val="0"/>
              <w:szCs w:val="22"/>
            </w:rPr>
          </w:pPr>
          <w:hyperlink w:anchor="_Toc316042357" w:history="1">
            <w:r w:rsidR="00940E18" w:rsidRPr="003515E5">
              <w:rPr>
                <w:rStyle w:val="Hyperlink"/>
                <w:szCs w:val="22"/>
              </w:rPr>
              <w:t>4</w:t>
            </w:r>
            <w:r w:rsidR="00940E18" w:rsidRPr="003515E5">
              <w:rPr>
                <w:rFonts w:asciiTheme="minorHAnsi" w:eastAsiaTheme="minorEastAsia" w:hAnsiTheme="minorHAnsi" w:cstheme="minorBidi"/>
                <w:b w:val="0"/>
                <w:szCs w:val="22"/>
              </w:rPr>
              <w:tab/>
            </w:r>
            <w:r w:rsidR="00940E18" w:rsidRPr="003515E5">
              <w:rPr>
                <w:rStyle w:val="Hyperlink"/>
                <w:szCs w:val="22"/>
              </w:rPr>
              <w:t>Human rights implications of the Stronger Futures Bills</w:t>
            </w:r>
            <w:r w:rsidR="00940E18" w:rsidRPr="003515E5">
              <w:rPr>
                <w:webHidden/>
                <w:szCs w:val="22"/>
              </w:rPr>
              <w:tab/>
            </w:r>
            <w:r w:rsidR="00940E18" w:rsidRPr="003515E5">
              <w:rPr>
                <w:webHidden/>
                <w:szCs w:val="22"/>
              </w:rPr>
              <w:fldChar w:fldCharType="begin"/>
            </w:r>
            <w:r w:rsidR="00940E18" w:rsidRPr="003515E5">
              <w:rPr>
                <w:webHidden/>
                <w:szCs w:val="22"/>
              </w:rPr>
              <w:instrText xml:space="preserve"> PAGEREF _Toc316042357 \h </w:instrText>
            </w:r>
            <w:r w:rsidR="00940E18" w:rsidRPr="003515E5">
              <w:rPr>
                <w:webHidden/>
                <w:szCs w:val="22"/>
              </w:rPr>
            </w:r>
            <w:r w:rsidR="00940E18" w:rsidRPr="003515E5">
              <w:rPr>
                <w:webHidden/>
                <w:szCs w:val="22"/>
              </w:rPr>
              <w:fldChar w:fldCharType="separate"/>
            </w:r>
            <w:r w:rsidR="00643212">
              <w:rPr>
                <w:webHidden/>
                <w:szCs w:val="22"/>
              </w:rPr>
              <w:t>23</w:t>
            </w:r>
            <w:r w:rsidR="00940E18" w:rsidRPr="003515E5">
              <w:rPr>
                <w:webHidden/>
                <w:szCs w:val="22"/>
              </w:rPr>
              <w:fldChar w:fldCharType="end"/>
            </w:r>
          </w:hyperlink>
        </w:p>
        <w:p w14:paraId="4C0763A9" w14:textId="77777777" w:rsidR="00940E18" w:rsidRPr="003515E5" w:rsidRDefault="00311507">
          <w:pPr>
            <w:pStyle w:val="TOC2"/>
            <w:rPr>
              <w:rFonts w:asciiTheme="minorHAnsi" w:eastAsiaTheme="minorEastAsia" w:hAnsiTheme="minorHAnsi" w:cstheme="minorBidi"/>
              <w:b w:val="0"/>
              <w:i w:val="0"/>
              <w:sz w:val="22"/>
              <w:szCs w:val="22"/>
            </w:rPr>
          </w:pPr>
          <w:hyperlink w:anchor="_Toc316042358" w:history="1">
            <w:r w:rsidR="00940E18" w:rsidRPr="003515E5">
              <w:rPr>
                <w:rStyle w:val="Hyperlink"/>
                <w:sz w:val="22"/>
                <w:szCs w:val="22"/>
              </w:rPr>
              <w:t>4.1</w:t>
            </w:r>
            <w:r w:rsidR="00940E18" w:rsidRPr="003515E5">
              <w:rPr>
                <w:rFonts w:asciiTheme="minorHAnsi" w:eastAsiaTheme="minorEastAsia" w:hAnsiTheme="minorHAnsi" w:cstheme="minorBidi"/>
                <w:b w:val="0"/>
                <w:i w:val="0"/>
                <w:sz w:val="22"/>
                <w:szCs w:val="22"/>
              </w:rPr>
              <w:tab/>
            </w:r>
            <w:r w:rsidR="00940E18" w:rsidRPr="003515E5">
              <w:rPr>
                <w:rStyle w:val="Hyperlink"/>
                <w:sz w:val="22"/>
                <w:szCs w:val="22"/>
              </w:rPr>
              <w:t>Compliance with the Racial Discrimination Act 1975</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_Toc316042358 \h </w:instrText>
            </w:r>
            <w:r w:rsidR="00940E18" w:rsidRPr="003515E5">
              <w:rPr>
                <w:webHidden/>
                <w:sz w:val="22"/>
                <w:szCs w:val="22"/>
              </w:rPr>
            </w:r>
            <w:r w:rsidR="00940E18" w:rsidRPr="003515E5">
              <w:rPr>
                <w:webHidden/>
                <w:sz w:val="22"/>
                <w:szCs w:val="22"/>
              </w:rPr>
              <w:fldChar w:fldCharType="separate"/>
            </w:r>
            <w:r w:rsidR="00643212">
              <w:rPr>
                <w:webHidden/>
                <w:sz w:val="22"/>
                <w:szCs w:val="22"/>
              </w:rPr>
              <w:t>23</w:t>
            </w:r>
            <w:r w:rsidR="00940E18" w:rsidRPr="003515E5">
              <w:rPr>
                <w:webHidden/>
                <w:sz w:val="22"/>
                <w:szCs w:val="22"/>
              </w:rPr>
              <w:fldChar w:fldCharType="end"/>
            </w:r>
          </w:hyperlink>
        </w:p>
        <w:p w14:paraId="528730F8" w14:textId="77777777" w:rsidR="00940E18" w:rsidRPr="003515E5" w:rsidRDefault="00311507">
          <w:pPr>
            <w:pStyle w:val="TOC3"/>
            <w:rPr>
              <w:rFonts w:asciiTheme="minorHAnsi" w:eastAsiaTheme="minorEastAsia" w:hAnsiTheme="minorHAnsi" w:cstheme="minorBidi"/>
              <w:i w:val="0"/>
              <w:sz w:val="22"/>
              <w:szCs w:val="22"/>
            </w:rPr>
          </w:pPr>
          <w:hyperlink w:anchor="_Toc316042359" w:history="1">
            <w:r w:rsidR="00940E18" w:rsidRPr="003515E5">
              <w:rPr>
                <w:rStyle w:val="Hyperlink"/>
                <w:sz w:val="22"/>
                <w:szCs w:val="22"/>
              </w:rPr>
              <w:t>(a)</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What does the RDA protect?</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_Toc316042359 \h </w:instrText>
            </w:r>
            <w:r w:rsidR="00940E18" w:rsidRPr="003515E5">
              <w:rPr>
                <w:webHidden/>
                <w:sz w:val="22"/>
                <w:szCs w:val="22"/>
              </w:rPr>
            </w:r>
            <w:r w:rsidR="00940E18" w:rsidRPr="003515E5">
              <w:rPr>
                <w:webHidden/>
                <w:sz w:val="22"/>
                <w:szCs w:val="22"/>
              </w:rPr>
              <w:fldChar w:fldCharType="separate"/>
            </w:r>
            <w:r w:rsidR="00643212">
              <w:rPr>
                <w:webHidden/>
                <w:sz w:val="22"/>
                <w:szCs w:val="22"/>
              </w:rPr>
              <w:t>23</w:t>
            </w:r>
            <w:r w:rsidR="00940E18" w:rsidRPr="003515E5">
              <w:rPr>
                <w:webHidden/>
                <w:sz w:val="22"/>
                <w:szCs w:val="22"/>
              </w:rPr>
              <w:fldChar w:fldCharType="end"/>
            </w:r>
          </w:hyperlink>
        </w:p>
        <w:p w14:paraId="276E8D7C" w14:textId="77777777" w:rsidR="00940E18" w:rsidRPr="003515E5" w:rsidRDefault="00311507">
          <w:pPr>
            <w:pStyle w:val="TOC3"/>
            <w:rPr>
              <w:rFonts w:asciiTheme="minorHAnsi" w:eastAsiaTheme="minorEastAsia" w:hAnsiTheme="minorHAnsi" w:cstheme="minorBidi"/>
              <w:i w:val="0"/>
              <w:sz w:val="22"/>
              <w:szCs w:val="22"/>
            </w:rPr>
          </w:pPr>
          <w:hyperlink w:anchor="_Toc316042360" w:history="1">
            <w:r w:rsidR="00940E18" w:rsidRPr="003515E5">
              <w:rPr>
                <w:rStyle w:val="Hyperlink"/>
                <w:sz w:val="22"/>
                <w:szCs w:val="22"/>
              </w:rPr>
              <w:t>(b)</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Background and current measures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_Toc316042360 \h </w:instrText>
            </w:r>
            <w:r w:rsidR="00940E18" w:rsidRPr="003515E5">
              <w:rPr>
                <w:webHidden/>
                <w:sz w:val="22"/>
                <w:szCs w:val="22"/>
              </w:rPr>
            </w:r>
            <w:r w:rsidR="00940E18" w:rsidRPr="003515E5">
              <w:rPr>
                <w:webHidden/>
                <w:sz w:val="22"/>
                <w:szCs w:val="22"/>
              </w:rPr>
              <w:fldChar w:fldCharType="separate"/>
            </w:r>
            <w:r w:rsidR="00643212">
              <w:rPr>
                <w:webHidden/>
                <w:sz w:val="22"/>
                <w:szCs w:val="22"/>
              </w:rPr>
              <w:t>24</w:t>
            </w:r>
            <w:r w:rsidR="00940E18" w:rsidRPr="003515E5">
              <w:rPr>
                <w:webHidden/>
                <w:sz w:val="22"/>
                <w:szCs w:val="22"/>
              </w:rPr>
              <w:fldChar w:fldCharType="end"/>
            </w:r>
          </w:hyperlink>
        </w:p>
        <w:p w14:paraId="57369D65" w14:textId="77777777" w:rsidR="00940E18" w:rsidRPr="003515E5" w:rsidRDefault="00311507">
          <w:pPr>
            <w:pStyle w:val="TOC3"/>
            <w:rPr>
              <w:rFonts w:asciiTheme="minorHAnsi" w:eastAsiaTheme="minorEastAsia" w:hAnsiTheme="minorHAnsi" w:cstheme="minorBidi"/>
              <w:i w:val="0"/>
              <w:sz w:val="22"/>
              <w:szCs w:val="22"/>
            </w:rPr>
          </w:pPr>
          <w:hyperlink w:anchor="_Toc316042361" w:history="1">
            <w:r w:rsidR="00940E18" w:rsidRPr="003515E5">
              <w:rPr>
                <w:rStyle w:val="Hyperlink"/>
                <w:sz w:val="22"/>
                <w:szCs w:val="22"/>
              </w:rPr>
              <w:t>(c)</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Recommendations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_Toc316042361 \h </w:instrText>
            </w:r>
            <w:r w:rsidR="00940E18" w:rsidRPr="003515E5">
              <w:rPr>
                <w:webHidden/>
                <w:sz w:val="22"/>
                <w:szCs w:val="22"/>
              </w:rPr>
            </w:r>
            <w:r w:rsidR="00940E18" w:rsidRPr="003515E5">
              <w:rPr>
                <w:webHidden/>
                <w:sz w:val="22"/>
                <w:szCs w:val="22"/>
              </w:rPr>
              <w:fldChar w:fldCharType="separate"/>
            </w:r>
            <w:r w:rsidR="00643212">
              <w:rPr>
                <w:webHidden/>
                <w:sz w:val="22"/>
                <w:szCs w:val="22"/>
              </w:rPr>
              <w:t>27</w:t>
            </w:r>
            <w:r w:rsidR="00940E18" w:rsidRPr="003515E5">
              <w:rPr>
                <w:webHidden/>
                <w:sz w:val="22"/>
                <w:szCs w:val="22"/>
              </w:rPr>
              <w:fldChar w:fldCharType="end"/>
            </w:r>
          </w:hyperlink>
        </w:p>
        <w:p w14:paraId="6541133E" w14:textId="77777777" w:rsidR="00940E18" w:rsidRPr="003515E5" w:rsidRDefault="00311507">
          <w:pPr>
            <w:pStyle w:val="TOC1"/>
            <w:rPr>
              <w:rFonts w:asciiTheme="minorHAnsi" w:eastAsiaTheme="minorEastAsia" w:hAnsiTheme="minorHAnsi" w:cstheme="minorBidi"/>
              <w:b w:val="0"/>
              <w:szCs w:val="22"/>
            </w:rPr>
          </w:pPr>
          <w:hyperlink w:anchor="_Toc316042362" w:history="1">
            <w:r w:rsidR="00940E18" w:rsidRPr="003515E5">
              <w:rPr>
                <w:rStyle w:val="Hyperlink"/>
                <w:szCs w:val="22"/>
              </w:rPr>
              <w:t>5</w:t>
            </w:r>
            <w:r w:rsidR="00940E18" w:rsidRPr="003515E5">
              <w:rPr>
                <w:rFonts w:asciiTheme="minorHAnsi" w:eastAsiaTheme="minorEastAsia" w:hAnsiTheme="minorHAnsi" w:cstheme="minorBidi"/>
                <w:b w:val="0"/>
                <w:szCs w:val="22"/>
              </w:rPr>
              <w:tab/>
            </w:r>
            <w:r w:rsidR="00940E18" w:rsidRPr="003515E5">
              <w:rPr>
                <w:rStyle w:val="Hyperlink"/>
                <w:szCs w:val="22"/>
              </w:rPr>
              <w:t>Income management</w:t>
            </w:r>
            <w:r w:rsidR="00940E18" w:rsidRPr="003515E5">
              <w:rPr>
                <w:webHidden/>
                <w:szCs w:val="22"/>
              </w:rPr>
              <w:tab/>
            </w:r>
            <w:r w:rsidR="00940E18" w:rsidRPr="003515E5">
              <w:rPr>
                <w:webHidden/>
                <w:szCs w:val="22"/>
              </w:rPr>
              <w:fldChar w:fldCharType="begin"/>
            </w:r>
            <w:r w:rsidR="00940E18" w:rsidRPr="003515E5">
              <w:rPr>
                <w:webHidden/>
                <w:szCs w:val="22"/>
              </w:rPr>
              <w:instrText xml:space="preserve"> PAGEREF _Toc316042362 \h </w:instrText>
            </w:r>
            <w:r w:rsidR="00940E18" w:rsidRPr="003515E5">
              <w:rPr>
                <w:webHidden/>
                <w:szCs w:val="22"/>
              </w:rPr>
            </w:r>
            <w:r w:rsidR="00940E18" w:rsidRPr="003515E5">
              <w:rPr>
                <w:webHidden/>
                <w:szCs w:val="22"/>
              </w:rPr>
              <w:fldChar w:fldCharType="separate"/>
            </w:r>
            <w:r w:rsidR="00643212">
              <w:rPr>
                <w:webHidden/>
                <w:szCs w:val="22"/>
              </w:rPr>
              <w:t>27</w:t>
            </w:r>
            <w:r w:rsidR="00940E18" w:rsidRPr="003515E5">
              <w:rPr>
                <w:webHidden/>
                <w:szCs w:val="22"/>
              </w:rPr>
              <w:fldChar w:fldCharType="end"/>
            </w:r>
          </w:hyperlink>
        </w:p>
        <w:p w14:paraId="0C8C0C6A" w14:textId="77777777" w:rsidR="00940E18" w:rsidRPr="003515E5" w:rsidRDefault="00311507">
          <w:pPr>
            <w:pStyle w:val="TOC3"/>
            <w:rPr>
              <w:rFonts w:asciiTheme="minorHAnsi" w:eastAsiaTheme="minorEastAsia" w:hAnsiTheme="minorHAnsi" w:cstheme="minorBidi"/>
              <w:i w:val="0"/>
              <w:sz w:val="22"/>
              <w:szCs w:val="22"/>
            </w:rPr>
          </w:pPr>
          <w:hyperlink w:anchor="_Toc316042363" w:history="1">
            <w:r w:rsidR="00940E18" w:rsidRPr="003515E5">
              <w:rPr>
                <w:rStyle w:val="Hyperlink"/>
                <w:sz w:val="22"/>
                <w:szCs w:val="22"/>
              </w:rPr>
              <w:t>(a)</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Background and current measures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_Toc316042363 \h </w:instrText>
            </w:r>
            <w:r w:rsidR="00940E18" w:rsidRPr="003515E5">
              <w:rPr>
                <w:webHidden/>
                <w:sz w:val="22"/>
                <w:szCs w:val="22"/>
              </w:rPr>
            </w:r>
            <w:r w:rsidR="00940E18" w:rsidRPr="003515E5">
              <w:rPr>
                <w:webHidden/>
                <w:sz w:val="22"/>
                <w:szCs w:val="22"/>
              </w:rPr>
              <w:fldChar w:fldCharType="separate"/>
            </w:r>
            <w:r w:rsidR="00643212">
              <w:rPr>
                <w:webHidden/>
                <w:sz w:val="22"/>
                <w:szCs w:val="22"/>
              </w:rPr>
              <w:t>28</w:t>
            </w:r>
            <w:r w:rsidR="00940E18" w:rsidRPr="003515E5">
              <w:rPr>
                <w:webHidden/>
                <w:sz w:val="22"/>
                <w:szCs w:val="22"/>
              </w:rPr>
              <w:fldChar w:fldCharType="end"/>
            </w:r>
          </w:hyperlink>
        </w:p>
        <w:p w14:paraId="73C4FEA5" w14:textId="77777777" w:rsidR="00940E18" w:rsidRPr="003515E5" w:rsidRDefault="00311507">
          <w:pPr>
            <w:pStyle w:val="TOC3"/>
            <w:rPr>
              <w:rFonts w:asciiTheme="minorHAnsi" w:eastAsiaTheme="minorEastAsia" w:hAnsiTheme="minorHAnsi" w:cstheme="minorBidi"/>
              <w:i w:val="0"/>
              <w:sz w:val="22"/>
              <w:szCs w:val="22"/>
            </w:rPr>
          </w:pPr>
          <w:hyperlink w:anchor="_Toc316042364" w:history="1">
            <w:r w:rsidR="00940E18" w:rsidRPr="003515E5">
              <w:rPr>
                <w:rStyle w:val="Hyperlink"/>
                <w:sz w:val="22"/>
                <w:szCs w:val="22"/>
              </w:rPr>
              <w:t>(b)</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Proposed measures – Stronger Futures Bills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_Toc316042364 \h </w:instrText>
            </w:r>
            <w:r w:rsidR="00940E18" w:rsidRPr="003515E5">
              <w:rPr>
                <w:webHidden/>
                <w:sz w:val="22"/>
                <w:szCs w:val="22"/>
              </w:rPr>
            </w:r>
            <w:r w:rsidR="00940E18" w:rsidRPr="003515E5">
              <w:rPr>
                <w:webHidden/>
                <w:sz w:val="22"/>
                <w:szCs w:val="22"/>
              </w:rPr>
              <w:fldChar w:fldCharType="separate"/>
            </w:r>
            <w:r w:rsidR="00643212">
              <w:rPr>
                <w:webHidden/>
                <w:sz w:val="22"/>
                <w:szCs w:val="22"/>
              </w:rPr>
              <w:t>28</w:t>
            </w:r>
            <w:r w:rsidR="00940E18" w:rsidRPr="003515E5">
              <w:rPr>
                <w:webHidden/>
                <w:sz w:val="22"/>
                <w:szCs w:val="22"/>
              </w:rPr>
              <w:fldChar w:fldCharType="end"/>
            </w:r>
          </w:hyperlink>
        </w:p>
        <w:p w14:paraId="6769EC5C" w14:textId="77777777" w:rsidR="00940E18" w:rsidRPr="003515E5" w:rsidRDefault="00311507">
          <w:pPr>
            <w:pStyle w:val="TOC3"/>
            <w:rPr>
              <w:rFonts w:asciiTheme="minorHAnsi" w:eastAsiaTheme="minorEastAsia" w:hAnsiTheme="minorHAnsi" w:cstheme="minorBidi"/>
              <w:i w:val="0"/>
              <w:sz w:val="22"/>
              <w:szCs w:val="22"/>
            </w:rPr>
          </w:pPr>
          <w:hyperlink w:anchor="_Toc316042365" w:history="1">
            <w:r w:rsidR="00940E18" w:rsidRPr="003515E5">
              <w:rPr>
                <w:rStyle w:val="Hyperlink"/>
                <w:sz w:val="22"/>
                <w:szCs w:val="22"/>
              </w:rPr>
              <w:t>(c)</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Possible implications under the Racial Discrimination Act</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_Toc316042365 \h </w:instrText>
            </w:r>
            <w:r w:rsidR="00940E18" w:rsidRPr="003515E5">
              <w:rPr>
                <w:webHidden/>
                <w:sz w:val="22"/>
                <w:szCs w:val="22"/>
              </w:rPr>
            </w:r>
            <w:r w:rsidR="00940E18" w:rsidRPr="003515E5">
              <w:rPr>
                <w:webHidden/>
                <w:sz w:val="22"/>
                <w:szCs w:val="22"/>
              </w:rPr>
              <w:fldChar w:fldCharType="separate"/>
            </w:r>
            <w:r w:rsidR="00643212">
              <w:rPr>
                <w:webHidden/>
                <w:sz w:val="22"/>
                <w:szCs w:val="22"/>
              </w:rPr>
              <w:t>31</w:t>
            </w:r>
            <w:r w:rsidR="00940E18" w:rsidRPr="003515E5">
              <w:rPr>
                <w:webHidden/>
                <w:sz w:val="22"/>
                <w:szCs w:val="22"/>
              </w:rPr>
              <w:fldChar w:fldCharType="end"/>
            </w:r>
          </w:hyperlink>
        </w:p>
        <w:p w14:paraId="659D7F54" w14:textId="77777777" w:rsidR="00940E18" w:rsidRPr="003515E5" w:rsidRDefault="00311507">
          <w:pPr>
            <w:pStyle w:val="TOC3"/>
            <w:rPr>
              <w:rFonts w:asciiTheme="minorHAnsi" w:eastAsiaTheme="minorEastAsia" w:hAnsiTheme="minorHAnsi" w:cstheme="minorBidi"/>
              <w:i w:val="0"/>
              <w:sz w:val="22"/>
              <w:szCs w:val="22"/>
            </w:rPr>
          </w:pPr>
          <w:hyperlink w:anchor="_Toc316042366" w:history="1">
            <w:r w:rsidR="00940E18" w:rsidRPr="003515E5">
              <w:rPr>
                <w:rStyle w:val="Hyperlink"/>
                <w:sz w:val="22"/>
                <w:szCs w:val="22"/>
              </w:rPr>
              <w:t>(d)</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Recommendations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_Toc316042366 \h </w:instrText>
            </w:r>
            <w:r w:rsidR="00940E18" w:rsidRPr="003515E5">
              <w:rPr>
                <w:webHidden/>
                <w:sz w:val="22"/>
                <w:szCs w:val="22"/>
              </w:rPr>
            </w:r>
            <w:r w:rsidR="00940E18" w:rsidRPr="003515E5">
              <w:rPr>
                <w:webHidden/>
                <w:sz w:val="22"/>
                <w:szCs w:val="22"/>
              </w:rPr>
              <w:fldChar w:fldCharType="separate"/>
            </w:r>
            <w:r w:rsidR="00643212">
              <w:rPr>
                <w:webHidden/>
                <w:sz w:val="22"/>
                <w:szCs w:val="22"/>
              </w:rPr>
              <w:t>31</w:t>
            </w:r>
            <w:r w:rsidR="00940E18" w:rsidRPr="003515E5">
              <w:rPr>
                <w:webHidden/>
                <w:sz w:val="22"/>
                <w:szCs w:val="22"/>
              </w:rPr>
              <w:fldChar w:fldCharType="end"/>
            </w:r>
          </w:hyperlink>
        </w:p>
        <w:p w14:paraId="662AA7A9" w14:textId="77777777" w:rsidR="00940E18" w:rsidRPr="003515E5" w:rsidRDefault="00311507">
          <w:pPr>
            <w:pStyle w:val="TOC1"/>
            <w:rPr>
              <w:rFonts w:asciiTheme="minorHAnsi" w:eastAsiaTheme="minorEastAsia" w:hAnsiTheme="minorHAnsi" w:cstheme="minorBidi"/>
              <w:b w:val="0"/>
              <w:szCs w:val="22"/>
            </w:rPr>
          </w:pPr>
          <w:hyperlink w:anchor="_Toc316042367" w:history="1">
            <w:r w:rsidR="00940E18" w:rsidRPr="003515E5">
              <w:rPr>
                <w:rStyle w:val="Hyperlink"/>
                <w:szCs w:val="22"/>
              </w:rPr>
              <w:t>6</w:t>
            </w:r>
            <w:r w:rsidR="00940E18" w:rsidRPr="003515E5">
              <w:rPr>
                <w:rFonts w:asciiTheme="minorHAnsi" w:eastAsiaTheme="minorEastAsia" w:hAnsiTheme="minorHAnsi" w:cstheme="minorBidi"/>
                <w:b w:val="0"/>
                <w:szCs w:val="22"/>
              </w:rPr>
              <w:tab/>
            </w:r>
            <w:r w:rsidR="00940E18" w:rsidRPr="003515E5">
              <w:rPr>
                <w:rStyle w:val="Hyperlink"/>
                <w:szCs w:val="22"/>
              </w:rPr>
              <w:t>School Enrolment and Attendance through Welfare Reform Measure (SEAM)</w:t>
            </w:r>
            <w:r w:rsidR="00940E18" w:rsidRPr="003515E5">
              <w:rPr>
                <w:webHidden/>
                <w:szCs w:val="22"/>
              </w:rPr>
              <w:tab/>
            </w:r>
            <w:r w:rsidR="00940E18" w:rsidRPr="003515E5">
              <w:rPr>
                <w:webHidden/>
                <w:szCs w:val="22"/>
              </w:rPr>
              <w:fldChar w:fldCharType="begin"/>
            </w:r>
            <w:r w:rsidR="00940E18" w:rsidRPr="003515E5">
              <w:rPr>
                <w:webHidden/>
                <w:szCs w:val="22"/>
              </w:rPr>
              <w:instrText xml:space="preserve"> PAGEREF _Toc316042367 \h </w:instrText>
            </w:r>
            <w:r w:rsidR="00940E18" w:rsidRPr="003515E5">
              <w:rPr>
                <w:webHidden/>
                <w:szCs w:val="22"/>
              </w:rPr>
            </w:r>
            <w:r w:rsidR="00940E18" w:rsidRPr="003515E5">
              <w:rPr>
                <w:webHidden/>
                <w:szCs w:val="22"/>
              </w:rPr>
              <w:fldChar w:fldCharType="separate"/>
            </w:r>
            <w:r w:rsidR="00643212">
              <w:rPr>
                <w:webHidden/>
                <w:szCs w:val="22"/>
              </w:rPr>
              <w:t>32</w:t>
            </w:r>
            <w:r w:rsidR="00940E18" w:rsidRPr="003515E5">
              <w:rPr>
                <w:webHidden/>
                <w:szCs w:val="22"/>
              </w:rPr>
              <w:fldChar w:fldCharType="end"/>
            </w:r>
          </w:hyperlink>
        </w:p>
        <w:p w14:paraId="0D6ED8B0" w14:textId="77777777" w:rsidR="00940E18" w:rsidRPr="003515E5" w:rsidRDefault="00311507">
          <w:pPr>
            <w:pStyle w:val="TOC3"/>
            <w:rPr>
              <w:rFonts w:asciiTheme="minorHAnsi" w:eastAsiaTheme="minorEastAsia" w:hAnsiTheme="minorHAnsi" w:cstheme="minorBidi"/>
              <w:i w:val="0"/>
              <w:sz w:val="22"/>
              <w:szCs w:val="22"/>
            </w:rPr>
          </w:pPr>
          <w:hyperlink w:anchor="_Toc316042368" w:history="1">
            <w:r w:rsidR="00940E18" w:rsidRPr="003515E5">
              <w:rPr>
                <w:rStyle w:val="Hyperlink"/>
                <w:sz w:val="22"/>
                <w:szCs w:val="22"/>
              </w:rPr>
              <w:t>(a)</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Evidence-based approaches to school attendance</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_Toc316042368 \h </w:instrText>
            </w:r>
            <w:r w:rsidR="00940E18" w:rsidRPr="003515E5">
              <w:rPr>
                <w:webHidden/>
                <w:sz w:val="22"/>
                <w:szCs w:val="22"/>
              </w:rPr>
            </w:r>
            <w:r w:rsidR="00940E18" w:rsidRPr="003515E5">
              <w:rPr>
                <w:webHidden/>
                <w:sz w:val="22"/>
                <w:szCs w:val="22"/>
              </w:rPr>
              <w:fldChar w:fldCharType="separate"/>
            </w:r>
            <w:r w:rsidR="00643212">
              <w:rPr>
                <w:webHidden/>
                <w:sz w:val="22"/>
                <w:szCs w:val="22"/>
              </w:rPr>
              <w:t>33</w:t>
            </w:r>
            <w:r w:rsidR="00940E18" w:rsidRPr="003515E5">
              <w:rPr>
                <w:webHidden/>
                <w:sz w:val="22"/>
                <w:szCs w:val="22"/>
              </w:rPr>
              <w:fldChar w:fldCharType="end"/>
            </w:r>
          </w:hyperlink>
        </w:p>
        <w:p w14:paraId="707B86B1" w14:textId="77777777" w:rsidR="00940E18" w:rsidRPr="003515E5" w:rsidRDefault="00311507">
          <w:pPr>
            <w:pStyle w:val="TOC3"/>
            <w:rPr>
              <w:rFonts w:asciiTheme="minorHAnsi" w:eastAsiaTheme="minorEastAsia" w:hAnsiTheme="minorHAnsi" w:cstheme="minorBidi"/>
              <w:i w:val="0"/>
              <w:sz w:val="22"/>
              <w:szCs w:val="22"/>
            </w:rPr>
          </w:pPr>
          <w:hyperlink w:anchor="_Toc316042369" w:history="1">
            <w:r w:rsidR="00940E18" w:rsidRPr="003515E5">
              <w:rPr>
                <w:rStyle w:val="Hyperlink"/>
                <w:sz w:val="22"/>
                <w:szCs w:val="22"/>
              </w:rPr>
              <w:t>(b)</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The Commission’s view on SEAM</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_Toc316042369 \h </w:instrText>
            </w:r>
            <w:r w:rsidR="00940E18" w:rsidRPr="003515E5">
              <w:rPr>
                <w:webHidden/>
                <w:sz w:val="22"/>
                <w:szCs w:val="22"/>
              </w:rPr>
            </w:r>
            <w:r w:rsidR="00940E18" w:rsidRPr="003515E5">
              <w:rPr>
                <w:webHidden/>
                <w:sz w:val="22"/>
                <w:szCs w:val="22"/>
              </w:rPr>
              <w:fldChar w:fldCharType="separate"/>
            </w:r>
            <w:r w:rsidR="00643212">
              <w:rPr>
                <w:webHidden/>
                <w:sz w:val="22"/>
                <w:szCs w:val="22"/>
              </w:rPr>
              <w:t>34</w:t>
            </w:r>
            <w:r w:rsidR="00940E18" w:rsidRPr="003515E5">
              <w:rPr>
                <w:webHidden/>
                <w:sz w:val="22"/>
                <w:szCs w:val="22"/>
              </w:rPr>
              <w:fldChar w:fldCharType="end"/>
            </w:r>
          </w:hyperlink>
        </w:p>
        <w:p w14:paraId="4DEB1B54" w14:textId="77777777" w:rsidR="00940E18" w:rsidRPr="003515E5" w:rsidRDefault="00311507">
          <w:pPr>
            <w:pStyle w:val="TOC3"/>
            <w:rPr>
              <w:rFonts w:asciiTheme="minorHAnsi" w:eastAsiaTheme="minorEastAsia" w:hAnsiTheme="minorHAnsi" w:cstheme="minorBidi"/>
              <w:i w:val="0"/>
              <w:sz w:val="22"/>
              <w:szCs w:val="22"/>
            </w:rPr>
          </w:pPr>
          <w:hyperlink w:anchor="_Toc316042370" w:history="1">
            <w:r w:rsidR="00940E18" w:rsidRPr="003515E5">
              <w:rPr>
                <w:rStyle w:val="Hyperlink"/>
                <w:sz w:val="22"/>
                <w:szCs w:val="22"/>
              </w:rPr>
              <w:t>(c)</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Ongoing engagement and participation of Aboriginal people in the SEAM program’s implementation</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_Toc316042370 \h </w:instrText>
            </w:r>
            <w:r w:rsidR="00940E18" w:rsidRPr="003515E5">
              <w:rPr>
                <w:webHidden/>
                <w:sz w:val="22"/>
                <w:szCs w:val="22"/>
              </w:rPr>
            </w:r>
            <w:r w:rsidR="00940E18" w:rsidRPr="003515E5">
              <w:rPr>
                <w:webHidden/>
                <w:sz w:val="22"/>
                <w:szCs w:val="22"/>
              </w:rPr>
              <w:fldChar w:fldCharType="separate"/>
            </w:r>
            <w:r w:rsidR="00643212">
              <w:rPr>
                <w:webHidden/>
                <w:sz w:val="22"/>
                <w:szCs w:val="22"/>
              </w:rPr>
              <w:t>37</w:t>
            </w:r>
            <w:r w:rsidR="00940E18" w:rsidRPr="003515E5">
              <w:rPr>
                <w:webHidden/>
                <w:sz w:val="22"/>
                <w:szCs w:val="22"/>
              </w:rPr>
              <w:fldChar w:fldCharType="end"/>
            </w:r>
          </w:hyperlink>
        </w:p>
        <w:p w14:paraId="4F843610" w14:textId="77777777" w:rsidR="00940E18" w:rsidRPr="003515E5" w:rsidRDefault="00311507">
          <w:pPr>
            <w:pStyle w:val="TOC3"/>
            <w:rPr>
              <w:rFonts w:asciiTheme="minorHAnsi" w:eastAsiaTheme="minorEastAsia" w:hAnsiTheme="minorHAnsi" w:cstheme="minorBidi"/>
              <w:i w:val="0"/>
              <w:sz w:val="22"/>
              <w:szCs w:val="22"/>
            </w:rPr>
          </w:pPr>
          <w:hyperlink w:anchor="_Toc316042371" w:history="1">
            <w:r w:rsidR="00940E18" w:rsidRPr="003515E5">
              <w:rPr>
                <w:rStyle w:val="Hyperlink"/>
                <w:sz w:val="22"/>
                <w:szCs w:val="22"/>
              </w:rPr>
              <w:t>(d)</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Drafting issues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_Toc316042371 \h </w:instrText>
            </w:r>
            <w:r w:rsidR="00940E18" w:rsidRPr="003515E5">
              <w:rPr>
                <w:webHidden/>
                <w:sz w:val="22"/>
                <w:szCs w:val="22"/>
              </w:rPr>
            </w:r>
            <w:r w:rsidR="00940E18" w:rsidRPr="003515E5">
              <w:rPr>
                <w:webHidden/>
                <w:sz w:val="22"/>
                <w:szCs w:val="22"/>
              </w:rPr>
              <w:fldChar w:fldCharType="separate"/>
            </w:r>
            <w:r w:rsidR="00643212">
              <w:rPr>
                <w:webHidden/>
                <w:sz w:val="22"/>
                <w:szCs w:val="22"/>
              </w:rPr>
              <w:t>38</w:t>
            </w:r>
            <w:r w:rsidR="00940E18" w:rsidRPr="003515E5">
              <w:rPr>
                <w:webHidden/>
                <w:sz w:val="22"/>
                <w:szCs w:val="22"/>
              </w:rPr>
              <w:fldChar w:fldCharType="end"/>
            </w:r>
          </w:hyperlink>
        </w:p>
        <w:p w14:paraId="1E1AE7C5" w14:textId="77777777" w:rsidR="00940E18" w:rsidRPr="003515E5" w:rsidRDefault="00311507">
          <w:pPr>
            <w:pStyle w:val="TOC3"/>
            <w:rPr>
              <w:rFonts w:asciiTheme="minorHAnsi" w:eastAsiaTheme="minorEastAsia" w:hAnsiTheme="minorHAnsi" w:cstheme="minorBidi"/>
              <w:i w:val="0"/>
              <w:sz w:val="22"/>
              <w:szCs w:val="22"/>
            </w:rPr>
          </w:pPr>
          <w:hyperlink w:anchor="_Toc316042372" w:history="1">
            <w:r w:rsidR="00940E18" w:rsidRPr="003515E5">
              <w:rPr>
                <w:rStyle w:val="Hyperlink"/>
                <w:sz w:val="22"/>
                <w:szCs w:val="22"/>
              </w:rPr>
              <w:t>(e)</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Recommendations: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_Toc316042372 \h </w:instrText>
            </w:r>
            <w:r w:rsidR="00940E18" w:rsidRPr="003515E5">
              <w:rPr>
                <w:webHidden/>
                <w:sz w:val="22"/>
                <w:szCs w:val="22"/>
              </w:rPr>
            </w:r>
            <w:r w:rsidR="00940E18" w:rsidRPr="003515E5">
              <w:rPr>
                <w:webHidden/>
                <w:sz w:val="22"/>
                <w:szCs w:val="22"/>
              </w:rPr>
              <w:fldChar w:fldCharType="separate"/>
            </w:r>
            <w:r w:rsidR="00643212">
              <w:rPr>
                <w:webHidden/>
                <w:sz w:val="22"/>
                <w:szCs w:val="22"/>
              </w:rPr>
              <w:t>39</w:t>
            </w:r>
            <w:r w:rsidR="00940E18" w:rsidRPr="003515E5">
              <w:rPr>
                <w:webHidden/>
                <w:sz w:val="22"/>
                <w:szCs w:val="22"/>
              </w:rPr>
              <w:fldChar w:fldCharType="end"/>
            </w:r>
          </w:hyperlink>
        </w:p>
        <w:p w14:paraId="093A2FE2" w14:textId="77777777" w:rsidR="00940E18" w:rsidRPr="003515E5" w:rsidRDefault="00311507">
          <w:pPr>
            <w:pStyle w:val="TOC1"/>
            <w:rPr>
              <w:rFonts w:asciiTheme="minorHAnsi" w:eastAsiaTheme="minorEastAsia" w:hAnsiTheme="minorHAnsi" w:cstheme="minorBidi"/>
              <w:b w:val="0"/>
              <w:szCs w:val="22"/>
            </w:rPr>
          </w:pPr>
          <w:hyperlink w:anchor="_Toc316042373" w:history="1">
            <w:r w:rsidR="00940E18" w:rsidRPr="003515E5">
              <w:rPr>
                <w:rStyle w:val="Hyperlink"/>
                <w:szCs w:val="22"/>
              </w:rPr>
              <w:t>7</w:t>
            </w:r>
            <w:r w:rsidR="00940E18" w:rsidRPr="003515E5">
              <w:rPr>
                <w:rFonts w:asciiTheme="minorHAnsi" w:eastAsiaTheme="minorEastAsia" w:hAnsiTheme="minorHAnsi" w:cstheme="minorBidi"/>
                <w:b w:val="0"/>
                <w:szCs w:val="22"/>
              </w:rPr>
              <w:tab/>
            </w:r>
            <w:r w:rsidR="00940E18" w:rsidRPr="003515E5">
              <w:rPr>
                <w:rStyle w:val="Hyperlink"/>
                <w:szCs w:val="22"/>
              </w:rPr>
              <w:t>Tackling alcohol abuse</w:t>
            </w:r>
            <w:r w:rsidR="00940E18" w:rsidRPr="003515E5">
              <w:rPr>
                <w:webHidden/>
                <w:szCs w:val="22"/>
              </w:rPr>
              <w:tab/>
            </w:r>
            <w:r w:rsidR="00940E18" w:rsidRPr="003515E5">
              <w:rPr>
                <w:webHidden/>
                <w:szCs w:val="22"/>
              </w:rPr>
              <w:fldChar w:fldCharType="begin"/>
            </w:r>
            <w:r w:rsidR="00940E18" w:rsidRPr="003515E5">
              <w:rPr>
                <w:webHidden/>
                <w:szCs w:val="22"/>
              </w:rPr>
              <w:instrText xml:space="preserve"> PAGEREF _Toc316042373 \h </w:instrText>
            </w:r>
            <w:r w:rsidR="00940E18" w:rsidRPr="003515E5">
              <w:rPr>
                <w:webHidden/>
                <w:szCs w:val="22"/>
              </w:rPr>
            </w:r>
            <w:r w:rsidR="00940E18" w:rsidRPr="003515E5">
              <w:rPr>
                <w:webHidden/>
                <w:szCs w:val="22"/>
              </w:rPr>
              <w:fldChar w:fldCharType="separate"/>
            </w:r>
            <w:r w:rsidR="00643212">
              <w:rPr>
                <w:webHidden/>
                <w:szCs w:val="22"/>
              </w:rPr>
              <w:t>40</w:t>
            </w:r>
            <w:r w:rsidR="00940E18" w:rsidRPr="003515E5">
              <w:rPr>
                <w:webHidden/>
                <w:szCs w:val="22"/>
              </w:rPr>
              <w:fldChar w:fldCharType="end"/>
            </w:r>
          </w:hyperlink>
        </w:p>
        <w:p w14:paraId="184BB73D" w14:textId="77777777" w:rsidR="00940E18" w:rsidRPr="003515E5" w:rsidRDefault="00311507">
          <w:pPr>
            <w:pStyle w:val="TOC3"/>
            <w:rPr>
              <w:rFonts w:asciiTheme="minorHAnsi" w:eastAsiaTheme="minorEastAsia" w:hAnsiTheme="minorHAnsi" w:cstheme="minorBidi"/>
              <w:i w:val="0"/>
              <w:sz w:val="22"/>
              <w:szCs w:val="22"/>
            </w:rPr>
          </w:pPr>
          <w:hyperlink w:anchor="_Toc316042374" w:history="1">
            <w:r w:rsidR="00940E18" w:rsidRPr="003515E5">
              <w:rPr>
                <w:rStyle w:val="Hyperlink"/>
                <w:sz w:val="22"/>
                <w:szCs w:val="22"/>
              </w:rPr>
              <w:t>(a)</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Background and current measures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_Toc316042374 \h </w:instrText>
            </w:r>
            <w:r w:rsidR="00940E18" w:rsidRPr="003515E5">
              <w:rPr>
                <w:webHidden/>
                <w:sz w:val="22"/>
                <w:szCs w:val="22"/>
              </w:rPr>
            </w:r>
            <w:r w:rsidR="00940E18" w:rsidRPr="003515E5">
              <w:rPr>
                <w:webHidden/>
                <w:sz w:val="22"/>
                <w:szCs w:val="22"/>
              </w:rPr>
              <w:fldChar w:fldCharType="separate"/>
            </w:r>
            <w:r w:rsidR="00643212">
              <w:rPr>
                <w:webHidden/>
                <w:sz w:val="22"/>
                <w:szCs w:val="22"/>
              </w:rPr>
              <w:t>42</w:t>
            </w:r>
            <w:r w:rsidR="00940E18" w:rsidRPr="003515E5">
              <w:rPr>
                <w:webHidden/>
                <w:sz w:val="22"/>
                <w:szCs w:val="22"/>
              </w:rPr>
              <w:fldChar w:fldCharType="end"/>
            </w:r>
          </w:hyperlink>
        </w:p>
        <w:p w14:paraId="2BC1533D" w14:textId="77777777" w:rsidR="00940E18" w:rsidRPr="003515E5" w:rsidRDefault="00311507">
          <w:pPr>
            <w:pStyle w:val="TOC3"/>
            <w:rPr>
              <w:rFonts w:asciiTheme="minorHAnsi" w:eastAsiaTheme="minorEastAsia" w:hAnsiTheme="minorHAnsi" w:cstheme="minorBidi"/>
              <w:i w:val="0"/>
              <w:sz w:val="22"/>
              <w:szCs w:val="22"/>
            </w:rPr>
          </w:pPr>
          <w:hyperlink w:anchor="_Toc316042375" w:history="1">
            <w:r w:rsidR="00940E18" w:rsidRPr="003515E5">
              <w:rPr>
                <w:rStyle w:val="Hyperlink"/>
                <w:sz w:val="22"/>
                <w:szCs w:val="22"/>
              </w:rPr>
              <w:t>(b)</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Inadequate focus in the Stronger Futures Bills on transitioning to community led alcohol management plans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_Toc316042375 \h </w:instrText>
            </w:r>
            <w:r w:rsidR="00940E18" w:rsidRPr="003515E5">
              <w:rPr>
                <w:webHidden/>
                <w:sz w:val="22"/>
                <w:szCs w:val="22"/>
              </w:rPr>
            </w:r>
            <w:r w:rsidR="00940E18" w:rsidRPr="003515E5">
              <w:rPr>
                <w:webHidden/>
                <w:sz w:val="22"/>
                <w:szCs w:val="22"/>
              </w:rPr>
              <w:fldChar w:fldCharType="separate"/>
            </w:r>
            <w:r w:rsidR="00643212">
              <w:rPr>
                <w:webHidden/>
                <w:sz w:val="22"/>
                <w:szCs w:val="22"/>
              </w:rPr>
              <w:t>44</w:t>
            </w:r>
            <w:r w:rsidR="00940E18" w:rsidRPr="003515E5">
              <w:rPr>
                <w:webHidden/>
                <w:sz w:val="22"/>
                <w:szCs w:val="22"/>
              </w:rPr>
              <w:fldChar w:fldCharType="end"/>
            </w:r>
          </w:hyperlink>
        </w:p>
        <w:p w14:paraId="32A307DA" w14:textId="77777777" w:rsidR="00940E18" w:rsidRPr="003515E5" w:rsidRDefault="00311507">
          <w:pPr>
            <w:pStyle w:val="TOC3"/>
            <w:rPr>
              <w:rFonts w:asciiTheme="minorHAnsi" w:eastAsiaTheme="minorEastAsia" w:hAnsiTheme="minorHAnsi" w:cstheme="minorBidi"/>
              <w:i w:val="0"/>
              <w:sz w:val="22"/>
              <w:szCs w:val="22"/>
            </w:rPr>
          </w:pPr>
          <w:hyperlink w:anchor="_Toc316042376" w:history="1">
            <w:r w:rsidR="00940E18" w:rsidRPr="003515E5">
              <w:rPr>
                <w:rStyle w:val="Hyperlink"/>
                <w:sz w:val="22"/>
                <w:szCs w:val="22"/>
              </w:rPr>
              <w:t>(c)</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Technical matters about alcohol related measures in the Stronger Futures Bills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_Toc316042376 \h </w:instrText>
            </w:r>
            <w:r w:rsidR="00940E18" w:rsidRPr="003515E5">
              <w:rPr>
                <w:webHidden/>
                <w:sz w:val="22"/>
                <w:szCs w:val="22"/>
              </w:rPr>
            </w:r>
            <w:r w:rsidR="00940E18" w:rsidRPr="003515E5">
              <w:rPr>
                <w:webHidden/>
                <w:sz w:val="22"/>
                <w:szCs w:val="22"/>
              </w:rPr>
              <w:fldChar w:fldCharType="separate"/>
            </w:r>
            <w:r w:rsidR="00643212">
              <w:rPr>
                <w:webHidden/>
                <w:sz w:val="22"/>
                <w:szCs w:val="22"/>
              </w:rPr>
              <w:t>46</w:t>
            </w:r>
            <w:r w:rsidR="00940E18" w:rsidRPr="003515E5">
              <w:rPr>
                <w:webHidden/>
                <w:sz w:val="22"/>
                <w:szCs w:val="22"/>
              </w:rPr>
              <w:fldChar w:fldCharType="end"/>
            </w:r>
          </w:hyperlink>
        </w:p>
        <w:p w14:paraId="337114FB" w14:textId="77777777" w:rsidR="00940E18" w:rsidRPr="003515E5" w:rsidRDefault="00311507">
          <w:pPr>
            <w:pStyle w:val="TOC3"/>
            <w:rPr>
              <w:rFonts w:asciiTheme="minorHAnsi" w:eastAsiaTheme="minorEastAsia" w:hAnsiTheme="minorHAnsi" w:cstheme="minorBidi"/>
              <w:i w:val="0"/>
              <w:sz w:val="22"/>
              <w:szCs w:val="22"/>
            </w:rPr>
          </w:pPr>
          <w:hyperlink w:anchor="_Toc316042377" w:history="1">
            <w:r w:rsidR="00940E18" w:rsidRPr="003515E5">
              <w:rPr>
                <w:rStyle w:val="Hyperlink"/>
                <w:sz w:val="22"/>
                <w:szCs w:val="22"/>
              </w:rPr>
              <w:t>(d)</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Assessments of licenced premises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_Toc316042377 \h </w:instrText>
            </w:r>
            <w:r w:rsidR="00940E18" w:rsidRPr="003515E5">
              <w:rPr>
                <w:webHidden/>
                <w:sz w:val="22"/>
                <w:szCs w:val="22"/>
              </w:rPr>
            </w:r>
            <w:r w:rsidR="00940E18" w:rsidRPr="003515E5">
              <w:rPr>
                <w:webHidden/>
                <w:sz w:val="22"/>
                <w:szCs w:val="22"/>
              </w:rPr>
              <w:fldChar w:fldCharType="separate"/>
            </w:r>
            <w:r w:rsidR="00643212">
              <w:rPr>
                <w:webHidden/>
                <w:sz w:val="22"/>
                <w:szCs w:val="22"/>
              </w:rPr>
              <w:t>48</w:t>
            </w:r>
            <w:r w:rsidR="00940E18" w:rsidRPr="003515E5">
              <w:rPr>
                <w:webHidden/>
                <w:sz w:val="22"/>
                <w:szCs w:val="22"/>
              </w:rPr>
              <w:fldChar w:fldCharType="end"/>
            </w:r>
          </w:hyperlink>
        </w:p>
        <w:p w14:paraId="143EB269" w14:textId="77777777" w:rsidR="00940E18" w:rsidRPr="003515E5" w:rsidRDefault="00311507">
          <w:pPr>
            <w:pStyle w:val="TOC3"/>
            <w:rPr>
              <w:rFonts w:asciiTheme="minorHAnsi" w:eastAsiaTheme="minorEastAsia" w:hAnsiTheme="minorHAnsi" w:cstheme="minorBidi"/>
              <w:i w:val="0"/>
              <w:sz w:val="22"/>
              <w:szCs w:val="22"/>
            </w:rPr>
          </w:pPr>
          <w:hyperlink w:anchor="_Toc316042378" w:history="1">
            <w:r w:rsidR="00940E18" w:rsidRPr="003515E5">
              <w:rPr>
                <w:rStyle w:val="Hyperlink"/>
                <w:sz w:val="22"/>
                <w:szCs w:val="22"/>
              </w:rPr>
              <w:t>(e)</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Criminal justice issues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_Toc316042378 \h </w:instrText>
            </w:r>
            <w:r w:rsidR="00940E18" w:rsidRPr="003515E5">
              <w:rPr>
                <w:webHidden/>
                <w:sz w:val="22"/>
                <w:szCs w:val="22"/>
              </w:rPr>
            </w:r>
            <w:r w:rsidR="00940E18" w:rsidRPr="003515E5">
              <w:rPr>
                <w:webHidden/>
                <w:sz w:val="22"/>
                <w:szCs w:val="22"/>
              </w:rPr>
              <w:fldChar w:fldCharType="separate"/>
            </w:r>
            <w:r w:rsidR="00643212">
              <w:rPr>
                <w:webHidden/>
                <w:sz w:val="22"/>
                <w:szCs w:val="22"/>
              </w:rPr>
              <w:t>49</w:t>
            </w:r>
            <w:r w:rsidR="00940E18" w:rsidRPr="003515E5">
              <w:rPr>
                <w:webHidden/>
                <w:sz w:val="22"/>
                <w:szCs w:val="22"/>
              </w:rPr>
              <w:fldChar w:fldCharType="end"/>
            </w:r>
          </w:hyperlink>
        </w:p>
        <w:p w14:paraId="444F15B9" w14:textId="77777777" w:rsidR="00940E18" w:rsidRPr="003515E5" w:rsidRDefault="00311507">
          <w:pPr>
            <w:pStyle w:val="TOC3"/>
            <w:rPr>
              <w:rFonts w:asciiTheme="minorHAnsi" w:eastAsiaTheme="minorEastAsia" w:hAnsiTheme="minorHAnsi" w:cstheme="minorBidi"/>
              <w:i w:val="0"/>
              <w:sz w:val="22"/>
              <w:szCs w:val="22"/>
            </w:rPr>
          </w:pPr>
          <w:hyperlink w:anchor="_Toc316042379" w:history="1">
            <w:r w:rsidR="00940E18" w:rsidRPr="003515E5">
              <w:rPr>
                <w:rStyle w:val="Hyperlink"/>
                <w:sz w:val="22"/>
                <w:szCs w:val="22"/>
              </w:rPr>
              <w:t>(f)</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Floor price</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_Toc316042379 \h </w:instrText>
            </w:r>
            <w:r w:rsidR="00940E18" w:rsidRPr="003515E5">
              <w:rPr>
                <w:webHidden/>
                <w:sz w:val="22"/>
                <w:szCs w:val="22"/>
              </w:rPr>
            </w:r>
            <w:r w:rsidR="00940E18" w:rsidRPr="003515E5">
              <w:rPr>
                <w:webHidden/>
                <w:sz w:val="22"/>
                <w:szCs w:val="22"/>
              </w:rPr>
              <w:fldChar w:fldCharType="separate"/>
            </w:r>
            <w:r w:rsidR="00643212">
              <w:rPr>
                <w:webHidden/>
                <w:sz w:val="22"/>
                <w:szCs w:val="22"/>
              </w:rPr>
              <w:t>50</w:t>
            </w:r>
            <w:r w:rsidR="00940E18" w:rsidRPr="003515E5">
              <w:rPr>
                <w:webHidden/>
                <w:sz w:val="22"/>
                <w:szCs w:val="22"/>
              </w:rPr>
              <w:fldChar w:fldCharType="end"/>
            </w:r>
          </w:hyperlink>
        </w:p>
        <w:p w14:paraId="29014129" w14:textId="77777777" w:rsidR="00940E18" w:rsidRPr="003515E5" w:rsidRDefault="00311507">
          <w:pPr>
            <w:pStyle w:val="TOC3"/>
            <w:rPr>
              <w:rFonts w:asciiTheme="minorHAnsi" w:eastAsiaTheme="minorEastAsia" w:hAnsiTheme="minorHAnsi" w:cstheme="minorBidi"/>
              <w:i w:val="0"/>
              <w:sz w:val="22"/>
              <w:szCs w:val="22"/>
            </w:rPr>
          </w:pPr>
          <w:hyperlink w:anchor="_Toc316042380" w:history="1">
            <w:r w:rsidR="00940E18" w:rsidRPr="003515E5">
              <w:rPr>
                <w:rStyle w:val="Hyperlink"/>
                <w:sz w:val="22"/>
                <w:szCs w:val="22"/>
              </w:rPr>
              <w:t>(g)</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Recommendations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_Toc316042380 \h </w:instrText>
            </w:r>
            <w:r w:rsidR="00940E18" w:rsidRPr="003515E5">
              <w:rPr>
                <w:webHidden/>
                <w:sz w:val="22"/>
                <w:szCs w:val="22"/>
              </w:rPr>
            </w:r>
            <w:r w:rsidR="00940E18" w:rsidRPr="003515E5">
              <w:rPr>
                <w:webHidden/>
                <w:sz w:val="22"/>
                <w:szCs w:val="22"/>
              </w:rPr>
              <w:fldChar w:fldCharType="separate"/>
            </w:r>
            <w:r w:rsidR="00643212">
              <w:rPr>
                <w:webHidden/>
                <w:sz w:val="22"/>
                <w:szCs w:val="22"/>
              </w:rPr>
              <w:t>50</w:t>
            </w:r>
            <w:r w:rsidR="00940E18" w:rsidRPr="003515E5">
              <w:rPr>
                <w:webHidden/>
                <w:sz w:val="22"/>
                <w:szCs w:val="22"/>
              </w:rPr>
              <w:fldChar w:fldCharType="end"/>
            </w:r>
          </w:hyperlink>
        </w:p>
        <w:p w14:paraId="302D8B67" w14:textId="77777777" w:rsidR="00940E18" w:rsidRPr="003515E5" w:rsidRDefault="00311507">
          <w:pPr>
            <w:pStyle w:val="TOC1"/>
            <w:rPr>
              <w:rFonts w:asciiTheme="minorHAnsi" w:eastAsiaTheme="minorEastAsia" w:hAnsiTheme="minorHAnsi" w:cstheme="minorBidi"/>
              <w:b w:val="0"/>
              <w:szCs w:val="22"/>
            </w:rPr>
          </w:pPr>
          <w:hyperlink w:anchor="_Toc316042381" w:history="1">
            <w:r w:rsidR="00940E18" w:rsidRPr="003515E5">
              <w:rPr>
                <w:rStyle w:val="Hyperlink"/>
                <w:szCs w:val="22"/>
              </w:rPr>
              <w:t>8</w:t>
            </w:r>
            <w:r w:rsidR="00940E18" w:rsidRPr="003515E5">
              <w:rPr>
                <w:rFonts w:asciiTheme="minorHAnsi" w:eastAsiaTheme="minorEastAsia" w:hAnsiTheme="minorHAnsi" w:cstheme="minorBidi"/>
                <w:b w:val="0"/>
                <w:szCs w:val="22"/>
              </w:rPr>
              <w:tab/>
            </w:r>
            <w:r w:rsidR="00940E18" w:rsidRPr="003515E5">
              <w:rPr>
                <w:rStyle w:val="Hyperlink"/>
                <w:szCs w:val="22"/>
              </w:rPr>
              <w:t>Land reform measures</w:t>
            </w:r>
            <w:r w:rsidR="00940E18" w:rsidRPr="003515E5">
              <w:rPr>
                <w:webHidden/>
                <w:szCs w:val="22"/>
              </w:rPr>
              <w:tab/>
            </w:r>
            <w:r w:rsidR="00940E18" w:rsidRPr="003515E5">
              <w:rPr>
                <w:webHidden/>
                <w:szCs w:val="22"/>
              </w:rPr>
              <w:fldChar w:fldCharType="begin"/>
            </w:r>
            <w:r w:rsidR="00940E18" w:rsidRPr="003515E5">
              <w:rPr>
                <w:webHidden/>
                <w:szCs w:val="22"/>
              </w:rPr>
              <w:instrText xml:space="preserve"> PAGEREF _Toc316042381 \h </w:instrText>
            </w:r>
            <w:r w:rsidR="00940E18" w:rsidRPr="003515E5">
              <w:rPr>
                <w:webHidden/>
                <w:szCs w:val="22"/>
              </w:rPr>
            </w:r>
            <w:r w:rsidR="00940E18" w:rsidRPr="003515E5">
              <w:rPr>
                <w:webHidden/>
                <w:szCs w:val="22"/>
              </w:rPr>
              <w:fldChar w:fldCharType="separate"/>
            </w:r>
            <w:r w:rsidR="00643212">
              <w:rPr>
                <w:webHidden/>
                <w:szCs w:val="22"/>
              </w:rPr>
              <w:t>52</w:t>
            </w:r>
            <w:r w:rsidR="00940E18" w:rsidRPr="003515E5">
              <w:rPr>
                <w:webHidden/>
                <w:szCs w:val="22"/>
              </w:rPr>
              <w:fldChar w:fldCharType="end"/>
            </w:r>
          </w:hyperlink>
        </w:p>
        <w:p w14:paraId="5E49A929" w14:textId="77777777" w:rsidR="00940E18" w:rsidRPr="003515E5" w:rsidRDefault="00311507">
          <w:pPr>
            <w:pStyle w:val="TOC3"/>
            <w:rPr>
              <w:rFonts w:asciiTheme="minorHAnsi" w:eastAsiaTheme="minorEastAsia" w:hAnsiTheme="minorHAnsi" w:cstheme="minorBidi"/>
              <w:i w:val="0"/>
              <w:sz w:val="22"/>
              <w:szCs w:val="22"/>
            </w:rPr>
          </w:pPr>
          <w:hyperlink w:anchor="_Toc316042382" w:history="1">
            <w:r w:rsidR="00940E18" w:rsidRPr="003515E5">
              <w:rPr>
                <w:rStyle w:val="Hyperlink"/>
                <w:sz w:val="22"/>
                <w:szCs w:val="22"/>
              </w:rPr>
              <w:t>(a)</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Repeal of five-year leases and statutory powers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_Toc316042382 \h </w:instrText>
            </w:r>
            <w:r w:rsidR="00940E18" w:rsidRPr="003515E5">
              <w:rPr>
                <w:webHidden/>
                <w:sz w:val="22"/>
                <w:szCs w:val="22"/>
              </w:rPr>
            </w:r>
            <w:r w:rsidR="00940E18" w:rsidRPr="003515E5">
              <w:rPr>
                <w:webHidden/>
                <w:sz w:val="22"/>
                <w:szCs w:val="22"/>
              </w:rPr>
              <w:fldChar w:fldCharType="separate"/>
            </w:r>
            <w:r w:rsidR="00643212">
              <w:rPr>
                <w:webHidden/>
                <w:sz w:val="22"/>
                <w:szCs w:val="22"/>
              </w:rPr>
              <w:t>52</w:t>
            </w:r>
            <w:r w:rsidR="00940E18" w:rsidRPr="003515E5">
              <w:rPr>
                <w:webHidden/>
                <w:sz w:val="22"/>
                <w:szCs w:val="22"/>
              </w:rPr>
              <w:fldChar w:fldCharType="end"/>
            </w:r>
          </w:hyperlink>
        </w:p>
        <w:p w14:paraId="4AEB7351" w14:textId="77777777" w:rsidR="00940E18" w:rsidRPr="003515E5" w:rsidRDefault="00311507">
          <w:pPr>
            <w:pStyle w:val="TOC3"/>
            <w:rPr>
              <w:rFonts w:asciiTheme="minorHAnsi" w:eastAsiaTheme="minorEastAsia" w:hAnsiTheme="minorHAnsi" w:cstheme="minorBidi"/>
              <w:i w:val="0"/>
              <w:sz w:val="22"/>
              <w:szCs w:val="22"/>
            </w:rPr>
          </w:pPr>
          <w:hyperlink w:anchor="_Toc316042383" w:history="1">
            <w:r w:rsidR="00940E18" w:rsidRPr="003515E5">
              <w:rPr>
                <w:rStyle w:val="Hyperlink"/>
                <w:sz w:val="22"/>
                <w:szCs w:val="22"/>
              </w:rPr>
              <w:t>(b)</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The Commission’s view on land reform measures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_Toc316042383 \h </w:instrText>
            </w:r>
            <w:r w:rsidR="00940E18" w:rsidRPr="003515E5">
              <w:rPr>
                <w:webHidden/>
                <w:sz w:val="22"/>
                <w:szCs w:val="22"/>
              </w:rPr>
            </w:r>
            <w:r w:rsidR="00940E18" w:rsidRPr="003515E5">
              <w:rPr>
                <w:webHidden/>
                <w:sz w:val="22"/>
                <w:szCs w:val="22"/>
              </w:rPr>
              <w:fldChar w:fldCharType="separate"/>
            </w:r>
            <w:r w:rsidR="00643212">
              <w:rPr>
                <w:webHidden/>
                <w:sz w:val="22"/>
                <w:szCs w:val="22"/>
              </w:rPr>
              <w:t>54</w:t>
            </w:r>
            <w:r w:rsidR="00940E18" w:rsidRPr="003515E5">
              <w:rPr>
                <w:webHidden/>
                <w:sz w:val="22"/>
                <w:szCs w:val="22"/>
              </w:rPr>
              <w:fldChar w:fldCharType="end"/>
            </w:r>
          </w:hyperlink>
        </w:p>
        <w:p w14:paraId="45B3DA12" w14:textId="77777777" w:rsidR="00940E18" w:rsidRPr="003515E5" w:rsidRDefault="00311507">
          <w:pPr>
            <w:pStyle w:val="TOC3"/>
            <w:rPr>
              <w:rFonts w:asciiTheme="minorHAnsi" w:eastAsiaTheme="minorEastAsia" w:hAnsiTheme="minorHAnsi" w:cstheme="minorBidi"/>
              <w:i w:val="0"/>
              <w:sz w:val="22"/>
              <w:szCs w:val="22"/>
            </w:rPr>
          </w:pPr>
          <w:hyperlink w:anchor="_Toc316042384" w:history="1">
            <w:r w:rsidR="00940E18" w:rsidRPr="003515E5">
              <w:rPr>
                <w:rStyle w:val="Hyperlink"/>
                <w:sz w:val="22"/>
                <w:szCs w:val="22"/>
              </w:rPr>
              <w:t>(c)</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Drafting issues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_Toc316042384 \h </w:instrText>
            </w:r>
            <w:r w:rsidR="00940E18" w:rsidRPr="003515E5">
              <w:rPr>
                <w:webHidden/>
                <w:sz w:val="22"/>
                <w:szCs w:val="22"/>
              </w:rPr>
            </w:r>
            <w:r w:rsidR="00940E18" w:rsidRPr="003515E5">
              <w:rPr>
                <w:webHidden/>
                <w:sz w:val="22"/>
                <w:szCs w:val="22"/>
              </w:rPr>
              <w:fldChar w:fldCharType="separate"/>
            </w:r>
            <w:r w:rsidR="00643212">
              <w:rPr>
                <w:webHidden/>
                <w:sz w:val="22"/>
                <w:szCs w:val="22"/>
              </w:rPr>
              <w:t>55</w:t>
            </w:r>
            <w:r w:rsidR="00940E18" w:rsidRPr="003515E5">
              <w:rPr>
                <w:webHidden/>
                <w:sz w:val="22"/>
                <w:szCs w:val="22"/>
              </w:rPr>
              <w:fldChar w:fldCharType="end"/>
            </w:r>
          </w:hyperlink>
        </w:p>
        <w:p w14:paraId="1FC1B0BE" w14:textId="77777777" w:rsidR="00940E18" w:rsidRPr="003515E5" w:rsidRDefault="00311507">
          <w:pPr>
            <w:pStyle w:val="TOC3"/>
            <w:rPr>
              <w:rFonts w:asciiTheme="minorHAnsi" w:eastAsiaTheme="minorEastAsia" w:hAnsiTheme="minorHAnsi" w:cstheme="minorBidi"/>
              <w:i w:val="0"/>
              <w:sz w:val="22"/>
              <w:szCs w:val="22"/>
            </w:rPr>
          </w:pPr>
          <w:hyperlink w:anchor="_Toc316042385" w:history="1">
            <w:r w:rsidR="00940E18" w:rsidRPr="003515E5">
              <w:rPr>
                <w:rStyle w:val="Hyperlink"/>
                <w:sz w:val="22"/>
                <w:szCs w:val="22"/>
              </w:rPr>
              <w:t>(d)</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Recommendations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_Toc316042385 \h </w:instrText>
            </w:r>
            <w:r w:rsidR="00940E18" w:rsidRPr="003515E5">
              <w:rPr>
                <w:webHidden/>
                <w:sz w:val="22"/>
                <w:szCs w:val="22"/>
              </w:rPr>
            </w:r>
            <w:r w:rsidR="00940E18" w:rsidRPr="003515E5">
              <w:rPr>
                <w:webHidden/>
                <w:sz w:val="22"/>
                <w:szCs w:val="22"/>
              </w:rPr>
              <w:fldChar w:fldCharType="separate"/>
            </w:r>
            <w:r w:rsidR="00643212">
              <w:rPr>
                <w:webHidden/>
                <w:sz w:val="22"/>
                <w:szCs w:val="22"/>
              </w:rPr>
              <w:t>56</w:t>
            </w:r>
            <w:r w:rsidR="00940E18" w:rsidRPr="003515E5">
              <w:rPr>
                <w:webHidden/>
                <w:sz w:val="22"/>
                <w:szCs w:val="22"/>
              </w:rPr>
              <w:fldChar w:fldCharType="end"/>
            </w:r>
          </w:hyperlink>
        </w:p>
        <w:p w14:paraId="64A63872" w14:textId="77777777" w:rsidR="00940E18" w:rsidRPr="003515E5" w:rsidRDefault="00311507">
          <w:pPr>
            <w:pStyle w:val="TOC1"/>
            <w:rPr>
              <w:rFonts w:asciiTheme="minorHAnsi" w:eastAsiaTheme="minorEastAsia" w:hAnsiTheme="minorHAnsi" w:cstheme="minorBidi"/>
              <w:b w:val="0"/>
              <w:szCs w:val="22"/>
            </w:rPr>
          </w:pPr>
          <w:hyperlink w:anchor="_Toc316042386" w:history="1">
            <w:r w:rsidR="00940E18" w:rsidRPr="003515E5">
              <w:rPr>
                <w:rStyle w:val="Hyperlink"/>
                <w:szCs w:val="22"/>
              </w:rPr>
              <w:t>9</w:t>
            </w:r>
            <w:r w:rsidR="00940E18" w:rsidRPr="003515E5">
              <w:rPr>
                <w:rFonts w:asciiTheme="minorHAnsi" w:eastAsiaTheme="minorEastAsia" w:hAnsiTheme="minorHAnsi" w:cstheme="minorBidi"/>
                <w:b w:val="0"/>
                <w:szCs w:val="22"/>
              </w:rPr>
              <w:tab/>
            </w:r>
            <w:r w:rsidR="00940E18" w:rsidRPr="003515E5">
              <w:rPr>
                <w:rStyle w:val="Hyperlink"/>
                <w:szCs w:val="22"/>
              </w:rPr>
              <w:t>Community stores and food security</w:t>
            </w:r>
            <w:r w:rsidR="00940E18" w:rsidRPr="003515E5">
              <w:rPr>
                <w:webHidden/>
                <w:szCs w:val="22"/>
              </w:rPr>
              <w:tab/>
            </w:r>
            <w:r w:rsidR="00940E18" w:rsidRPr="003515E5">
              <w:rPr>
                <w:webHidden/>
                <w:szCs w:val="22"/>
              </w:rPr>
              <w:fldChar w:fldCharType="begin"/>
            </w:r>
            <w:r w:rsidR="00940E18" w:rsidRPr="003515E5">
              <w:rPr>
                <w:webHidden/>
                <w:szCs w:val="22"/>
              </w:rPr>
              <w:instrText xml:space="preserve"> PAGEREF _Toc316042386 \h </w:instrText>
            </w:r>
            <w:r w:rsidR="00940E18" w:rsidRPr="003515E5">
              <w:rPr>
                <w:webHidden/>
                <w:szCs w:val="22"/>
              </w:rPr>
            </w:r>
            <w:r w:rsidR="00940E18" w:rsidRPr="003515E5">
              <w:rPr>
                <w:webHidden/>
                <w:szCs w:val="22"/>
              </w:rPr>
              <w:fldChar w:fldCharType="separate"/>
            </w:r>
            <w:r w:rsidR="00643212">
              <w:rPr>
                <w:webHidden/>
                <w:szCs w:val="22"/>
              </w:rPr>
              <w:t>56</w:t>
            </w:r>
            <w:r w:rsidR="00940E18" w:rsidRPr="003515E5">
              <w:rPr>
                <w:webHidden/>
                <w:szCs w:val="22"/>
              </w:rPr>
              <w:fldChar w:fldCharType="end"/>
            </w:r>
          </w:hyperlink>
        </w:p>
        <w:p w14:paraId="57D05BEF" w14:textId="77777777" w:rsidR="00940E18" w:rsidRPr="003515E5" w:rsidRDefault="00311507">
          <w:pPr>
            <w:pStyle w:val="TOC3"/>
            <w:rPr>
              <w:rFonts w:asciiTheme="minorHAnsi" w:eastAsiaTheme="minorEastAsia" w:hAnsiTheme="minorHAnsi" w:cstheme="minorBidi"/>
              <w:i w:val="0"/>
              <w:sz w:val="22"/>
              <w:szCs w:val="22"/>
            </w:rPr>
          </w:pPr>
          <w:hyperlink w:anchor="_Toc316042387" w:history="1">
            <w:r w:rsidR="00940E18" w:rsidRPr="003515E5">
              <w:rPr>
                <w:rStyle w:val="Hyperlink"/>
                <w:sz w:val="22"/>
                <w:szCs w:val="22"/>
              </w:rPr>
              <w:t>(a)</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The Commission’s view on community stores and food security</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_Toc316042387 \h </w:instrText>
            </w:r>
            <w:r w:rsidR="00940E18" w:rsidRPr="003515E5">
              <w:rPr>
                <w:webHidden/>
                <w:sz w:val="22"/>
                <w:szCs w:val="22"/>
              </w:rPr>
            </w:r>
            <w:r w:rsidR="00940E18" w:rsidRPr="003515E5">
              <w:rPr>
                <w:webHidden/>
                <w:sz w:val="22"/>
                <w:szCs w:val="22"/>
              </w:rPr>
              <w:fldChar w:fldCharType="separate"/>
            </w:r>
            <w:r w:rsidR="00643212">
              <w:rPr>
                <w:webHidden/>
                <w:sz w:val="22"/>
                <w:szCs w:val="22"/>
              </w:rPr>
              <w:t>56</w:t>
            </w:r>
            <w:r w:rsidR="00940E18" w:rsidRPr="003515E5">
              <w:rPr>
                <w:webHidden/>
                <w:sz w:val="22"/>
                <w:szCs w:val="22"/>
              </w:rPr>
              <w:fldChar w:fldCharType="end"/>
            </w:r>
          </w:hyperlink>
        </w:p>
        <w:p w14:paraId="6F63B697" w14:textId="77777777" w:rsidR="00940E18" w:rsidRPr="003515E5" w:rsidRDefault="00311507">
          <w:pPr>
            <w:pStyle w:val="TOC3"/>
            <w:rPr>
              <w:rFonts w:asciiTheme="minorHAnsi" w:eastAsiaTheme="minorEastAsia" w:hAnsiTheme="minorHAnsi" w:cstheme="minorBidi"/>
              <w:i w:val="0"/>
              <w:sz w:val="22"/>
              <w:szCs w:val="22"/>
            </w:rPr>
          </w:pPr>
          <w:hyperlink w:anchor="_Toc316042388" w:history="1">
            <w:r w:rsidR="00940E18" w:rsidRPr="003515E5">
              <w:rPr>
                <w:rStyle w:val="Hyperlink"/>
                <w:sz w:val="22"/>
                <w:szCs w:val="22"/>
              </w:rPr>
              <w:t>(b)</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Background and current measures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_Toc316042388 \h </w:instrText>
            </w:r>
            <w:r w:rsidR="00940E18" w:rsidRPr="003515E5">
              <w:rPr>
                <w:webHidden/>
                <w:sz w:val="22"/>
                <w:szCs w:val="22"/>
              </w:rPr>
            </w:r>
            <w:r w:rsidR="00940E18" w:rsidRPr="003515E5">
              <w:rPr>
                <w:webHidden/>
                <w:sz w:val="22"/>
                <w:szCs w:val="22"/>
              </w:rPr>
              <w:fldChar w:fldCharType="separate"/>
            </w:r>
            <w:r w:rsidR="00643212">
              <w:rPr>
                <w:webHidden/>
                <w:sz w:val="22"/>
                <w:szCs w:val="22"/>
              </w:rPr>
              <w:t>57</w:t>
            </w:r>
            <w:r w:rsidR="00940E18" w:rsidRPr="003515E5">
              <w:rPr>
                <w:webHidden/>
                <w:sz w:val="22"/>
                <w:szCs w:val="22"/>
              </w:rPr>
              <w:fldChar w:fldCharType="end"/>
            </w:r>
          </w:hyperlink>
        </w:p>
        <w:p w14:paraId="5F60A5BB" w14:textId="77777777" w:rsidR="00940E18" w:rsidRPr="003515E5" w:rsidRDefault="00311507">
          <w:pPr>
            <w:pStyle w:val="TOC3"/>
            <w:rPr>
              <w:rFonts w:asciiTheme="minorHAnsi" w:eastAsiaTheme="minorEastAsia" w:hAnsiTheme="minorHAnsi" w:cstheme="minorBidi"/>
              <w:i w:val="0"/>
              <w:sz w:val="22"/>
              <w:szCs w:val="22"/>
            </w:rPr>
          </w:pPr>
          <w:hyperlink w:anchor="_Toc316042389" w:history="1">
            <w:r w:rsidR="00940E18" w:rsidRPr="003515E5">
              <w:rPr>
                <w:rStyle w:val="Hyperlink"/>
                <w:sz w:val="22"/>
                <w:szCs w:val="22"/>
              </w:rPr>
              <w:t>(c)</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The Commission’s view of the proposed measures – Stronger Futures Bills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_Toc316042389 \h </w:instrText>
            </w:r>
            <w:r w:rsidR="00940E18" w:rsidRPr="003515E5">
              <w:rPr>
                <w:webHidden/>
                <w:sz w:val="22"/>
                <w:szCs w:val="22"/>
              </w:rPr>
            </w:r>
            <w:r w:rsidR="00940E18" w:rsidRPr="003515E5">
              <w:rPr>
                <w:webHidden/>
                <w:sz w:val="22"/>
                <w:szCs w:val="22"/>
              </w:rPr>
              <w:fldChar w:fldCharType="separate"/>
            </w:r>
            <w:r w:rsidR="00643212">
              <w:rPr>
                <w:webHidden/>
                <w:sz w:val="22"/>
                <w:szCs w:val="22"/>
              </w:rPr>
              <w:t>57</w:t>
            </w:r>
            <w:r w:rsidR="00940E18" w:rsidRPr="003515E5">
              <w:rPr>
                <w:webHidden/>
                <w:sz w:val="22"/>
                <w:szCs w:val="22"/>
              </w:rPr>
              <w:fldChar w:fldCharType="end"/>
            </w:r>
          </w:hyperlink>
        </w:p>
        <w:p w14:paraId="19C2DFE9" w14:textId="77777777" w:rsidR="00940E18" w:rsidRPr="003515E5" w:rsidRDefault="00311507">
          <w:pPr>
            <w:pStyle w:val="TOC1"/>
            <w:rPr>
              <w:rFonts w:asciiTheme="minorHAnsi" w:eastAsiaTheme="minorEastAsia" w:hAnsiTheme="minorHAnsi" w:cstheme="minorBidi"/>
              <w:b w:val="0"/>
              <w:szCs w:val="22"/>
            </w:rPr>
          </w:pPr>
          <w:hyperlink w:anchor="_Toc316042390" w:history="1">
            <w:r w:rsidR="00940E18" w:rsidRPr="003515E5">
              <w:rPr>
                <w:rStyle w:val="Hyperlink"/>
                <w:szCs w:val="22"/>
              </w:rPr>
              <w:t>10</w:t>
            </w:r>
            <w:r w:rsidR="00940E18" w:rsidRPr="003515E5">
              <w:rPr>
                <w:rFonts w:asciiTheme="minorHAnsi" w:eastAsiaTheme="minorEastAsia" w:hAnsiTheme="minorHAnsi" w:cstheme="minorBidi"/>
                <w:b w:val="0"/>
                <w:szCs w:val="22"/>
              </w:rPr>
              <w:tab/>
            </w:r>
            <w:r w:rsidR="00940E18" w:rsidRPr="003515E5">
              <w:rPr>
                <w:rStyle w:val="Hyperlink"/>
                <w:szCs w:val="22"/>
              </w:rPr>
              <w:t>Community safety</w:t>
            </w:r>
            <w:r w:rsidR="00940E18" w:rsidRPr="003515E5">
              <w:rPr>
                <w:webHidden/>
                <w:szCs w:val="22"/>
              </w:rPr>
              <w:tab/>
            </w:r>
            <w:r w:rsidR="00940E18" w:rsidRPr="003515E5">
              <w:rPr>
                <w:webHidden/>
                <w:szCs w:val="22"/>
              </w:rPr>
              <w:fldChar w:fldCharType="begin"/>
            </w:r>
            <w:r w:rsidR="00940E18" w:rsidRPr="003515E5">
              <w:rPr>
                <w:webHidden/>
                <w:szCs w:val="22"/>
              </w:rPr>
              <w:instrText xml:space="preserve"> PAGEREF _Toc316042390 \h </w:instrText>
            </w:r>
            <w:r w:rsidR="00940E18" w:rsidRPr="003515E5">
              <w:rPr>
                <w:webHidden/>
                <w:szCs w:val="22"/>
              </w:rPr>
            </w:r>
            <w:r w:rsidR="00940E18" w:rsidRPr="003515E5">
              <w:rPr>
                <w:webHidden/>
                <w:szCs w:val="22"/>
              </w:rPr>
              <w:fldChar w:fldCharType="separate"/>
            </w:r>
            <w:r w:rsidR="00643212">
              <w:rPr>
                <w:webHidden/>
                <w:szCs w:val="22"/>
              </w:rPr>
              <w:t>59</w:t>
            </w:r>
            <w:r w:rsidR="00940E18" w:rsidRPr="003515E5">
              <w:rPr>
                <w:webHidden/>
                <w:szCs w:val="22"/>
              </w:rPr>
              <w:fldChar w:fldCharType="end"/>
            </w:r>
          </w:hyperlink>
        </w:p>
        <w:p w14:paraId="6414B37A" w14:textId="77777777" w:rsidR="00940E18" w:rsidRPr="003515E5" w:rsidRDefault="00311507">
          <w:pPr>
            <w:pStyle w:val="TOC3"/>
            <w:rPr>
              <w:rFonts w:asciiTheme="minorHAnsi" w:eastAsiaTheme="minorEastAsia" w:hAnsiTheme="minorHAnsi" w:cstheme="minorBidi"/>
              <w:i w:val="0"/>
              <w:sz w:val="22"/>
              <w:szCs w:val="22"/>
            </w:rPr>
          </w:pPr>
          <w:hyperlink w:anchor="_Toc316042391" w:history="1">
            <w:r w:rsidR="00940E18" w:rsidRPr="003515E5">
              <w:rPr>
                <w:rStyle w:val="Hyperlink"/>
                <w:sz w:val="22"/>
                <w:szCs w:val="22"/>
              </w:rPr>
              <w:t>(a)</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The Commission’s view on community safety</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_Toc316042391 \h </w:instrText>
            </w:r>
            <w:r w:rsidR="00940E18" w:rsidRPr="003515E5">
              <w:rPr>
                <w:webHidden/>
                <w:sz w:val="22"/>
                <w:szCs w:val="22"/>
              </w:rPr>
            </w:r>
            <w:r w:rsidR="00940E18" w:rsidRPr="003515E5">
              <w:rPr>
                <w:webHidden/>
                <w:sz w:val="22"/>
                <w:szCs w:val="22"/>
              </w:rPr>
              <w:fldChar w:fldCharType="separate"/>
            </w:r>
            <w:r w:rsidR="00643212">
              <w:rPr>
                <w:webHidden/>
                <w:sz w:val="22"/>
                <w:szCs w:val="22"/>
              </w:rPr>
              <w:t>59</w:t>
            </w:r>
            <w:r w:rsidR="00940E18" w:rsidRPr="003515E5">
              <w:rPr>
                <w:webHidden/>
                <w:sz w:val="22"/>
                <w:szCs w:val="22"/>
              </w:rPr>
              <w:fldChar w:fldCharType="end"/>
            </w:r>
          </w:hyperlink>
        </w:p>
        <w:p w14:paraId="09363441" w14:textId="77777777" w:rsidR="00940E18" w:rsidRPr="003515E5" w:rsidRDefault="00311507">
          <w:pPr>
            <w:pStyle w:val="TOC3"/>
            <w:rPr>
              <w:rFonts w:asciiTheme="minorHAnsi" w:eastAsiaTheme="minorEastAsia" w:hAnsiTheme="minorHAnsi" w:cstheme="minorBidi"/>
              <w:i w:val="0"/>
              <w:sz w:val="22"/>
              <w:szCs w:val="22"/>
            </w:rPr>
          </w:pPr>
          <w:hyperlink w:anchor="_Toc316042392" w:history="1">
            <w:r w:rsidR="00940E18" w:rsidRPr="003515E5">
              <w:rPr>
                <w:rStyle w:val="Hyperlink"/>
                <w:sz w:val="22"/>
                <w:szCs w:val="22"/>
              </w:rPr>
              <w:t>(b)</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Background and current measures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_Toc316042392 \h </w:instrText>
            </w:r>
            <w:r w:rsidR="00940E18" w:rsidRPr="003515E5">
              <w:rPr>
                <w:webHidden/>
                <w:sz w:val="22"/>
                <w:szCs w:val="22"/>
              </w:rPr>
            </w:r>
            <w:r w:rsidR="00940E18" w:rsidRPr="003515E5">
              <w:rPr>
                <w:webHidden/>
                <w:sz w:val="22"/>
                <w:szCs w:val="22"/>
              </w:rPr>
              <w:fldChar w:fldCharType="separate"/>
            </w:r>
            <w:r w:rsidR="00643212">
              <w:rPr>
                <w:webHidden/>
                <w:sz w:val="22"/>
                <w:szCs w:val="22"/>
              </w:rPr>
              <w:t>59</w:t>
            </w:r>
            <w:r w:rsidR="00940E18" w:rsidRPr="003515E5">
              <w:rPr>
                <w:webHidden/>
                <w:sz w:val="22"/>
                <w:szCs w:val="22"/>
              </w:rPr>
              <w:fldChar w:fldCharType="end"/>
            </w:r>
          </w:hyperlink>
        </w:p>
        <w:p w14:paraId="7F7F486C" w14:textId="77777777" w:rsidR="00940E18" w:rsidRPr="003515E5" w:rsidRDefault="00311507">
          <w:pPr>
            <w:pStyle w:val="TOC3"/>
            <w:rPr>
              <w:rFonts w:asciiTheme="minorHAnsi" w:eastAsiaTheme="minorEastAsia" w:hAnsiTheme="minorHAnsi" w:cstheme="minorBidi"/>
              <w:i w:val="0"/>
              <w:sz w:val="22"/>
              <w:szCs w:val="22"/>
            </w:rPr>
          </w:pPr>
          <w:hyperlink w:anchor="_Toc316042393" w:history="1">
            <w:r w:rsidR="00940E18" w:rsidRPr="003515E5">
              <w:rPr>
                <w:rStyle w:val="Hyperlink"/>
                <w:sz w:val="22"/>
                <w:szCs w:val="22"/>
              </w:rPr>
              <w:t>(c)</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Proposed measures – Stronger Futures Bills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_Toc316042393 \h </w:instrText>
            </w:r>
            <w:r w:rsidR="00940E18" w:rsidRPr="003515E5">
              <w:rPr>
                <w:webHidden/>
                <w:sz w:val="22"/>
                <w:szCs w:val="22"/>
              </w:rPr>
            </w:r>
            <w:r w:rsidR="00940E18" w:rsidRPr="003515E5">
              <w:rPr>
                <w:webHidden/>
                <w:sz w:val="22"/>
                <w:szCs w:val="22"/>
              </w:rPr>
              <w:fldChar w:fldCharType="separate"/>
            </w:r>
            <w:r w:rsidR="00643212">
              <w:rPr>
                <w:webHidden/>
                <w:sz w:val="22"/>
                <w:szCs w:val="22"/>
              </w:rPr>
              <w:t>60</w:t>
            </w:r>
            <w:r w:rsidR="00940E18" w:rsidRPr="003515E5">
              <w:rPr>
                <w:webHidden/>
                <w:sz w:val="22"/>
                <w:szCs w:val="22"/>
              </w:rPr>
              <w:fldChar w:fldCharType="end"/>
            </w:r>
          </w:hyperlink>
        </w:p>
        <w:p w14:paraId="510A5AE2" w14:textId="77777777" w:rsidR="00940E18" w:rsidRPr="003515E5" w:rsidRDefault="00311507">
          <w:pPr>
            <w:pStyle w:val="TOC3"/>
            <w:rPr>
              <w:rFonts w:asciiTheme="minorHAnsi" w:eastAsiaTheme="minorEastAsia" w:hAnsiTheme="minorHAnsi" w:cstheme="minorBidi"/>
              <w:i w:val="0"/>
              <w:sz w:val="22"/>
              <w:szCs w:val="22"/>
            </w:rPr>
          </w:pPr>
          <w:hyperlink w:anchor="_Toc316042394" w:history="1">
            <w:r w:rsidR="00940E18" w:rsidRPr="003515E5">
              <w:rPr>
                <w:rStyle w:val="Hyperlink"/>
                <w:sz w:val="22"/>
                <w:szCs w:val="22"/>
              </w:rPr>
              <w:t>(d)</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Prohibition of pornography</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_Toc316042394 \h </w:instrText>
            </w:r>
            <w:r w:rsidR="00940E18" w:rsidRPr="003515E5">
              <w:rPr>
                <w:webHidden/>
                <w:sz w:val="22"/>
                <w:szCs w:val="22"/>
              </w:rPr>
            </w:r>
            <w:r w:rsidR="00940E18" w:rsidRPr="003515E5">
              <w:rPr>
                <w:webHidden/>
                <w:sz w:val="22"/>
                <w:szCs w:val="22"/>
              </w:rPr>
              <w:fldChar w:fldCharType="separate"/>
            </w:r>
            <w:r w:rsidR="00643212">
              <w:rPr>
                <w:webHidden/>
                <w:sz w:val="22"/>
                <w:szCs w:val="22"/>
              </w:rPr>
              <w:t>61</w:t>
            </w:r>
            <w:r w:rsidR="00940E18" w:rsidRPr="003515E5">
              <w:rPr>
                <w:webHidden/>
                <w:sz w:val="22"/>
                <w:szCs w:val="22"/>
              </w:rPr>
              <w:fldChar w:fldCharType="end"/>
            </w:r>
          </w:hyperlink>
        </w:p>
        <w:p w14:paraId="154D6F7D" w14:textId="77777777" w:rsidR="00940E18" w:rsidRPr="003515E5" w:rsidRDefault="00311507">
          <w:pPr>
            <w:pStyle w:val="TOC3"/>
            <w:rPr>
              <w:rFonts w:asciiTheme="minorHAnsi" w:eastAsiaTheme="minorEastAsia" w:hAnsiTheme="minorHAnsi" w:cstheme="minorBidi"/>
              <w:i w:val="0"/>
              <w:sz w:val="22"/>
              <w:szCs w:val="22"/>
            </w:rPr>
          </w:pPr>
          <w:hyperlink w:anchor="_Toc316042395" w:history="1">
            <w:r w:rsidR="00940E18" w:rsidRPr="003515E5">
              <w:rPr>
                <w:rStyle w:val="Hyperlink"/>
                <w:sz w:val="22"/>
                <w:szCs w:val="22"/>
              </w:rPr>
              <w:t>(e)</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Customary law and cultural practice</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_Toc316042395 \h </w:instrText>
            </w:r>
            <w:r w:rsidR="00940E18" w:rsidRPr="003515E5">
              <w:rPr>
                <w:webHidden/>
                <w:sz w:val="22"/>
                <w:szCs w:val="22"/>
              </w:rPr>
            </w:r>
            <w:r w:rsidR="00940E18" w:rsidRPr="003515E5">
              <w:rPr>
                <w:webHidden/>
                <w:sz w:val="22"/>
                <w:szCs w:val="22"/>
              </w:rPr>
              <w:fldChar w:fldCharType="separate"/>
            </w:r>
            <w:r w:rsidR="00643212">
              <w:rPr>
                <w:webHidden/>
                <w:sz w:val="22"/>
                <w:szCs w:val="22"/>
              </w:rPr>
              <w:t>62</w:t>
            </w:r>
            <w:r w:rsidR="00940E18" w:rsidRPr="003515E5">
              <w:rPr>
                <w:webHidden/>
                <w:sz w:val="22"/>
                <w:szCs w:val="22"/>
              </w:rPr>
              <w:fldChar w:fldCharType="end"/>
            </w:r>
          </w:hyperlink>
        </w:p>
        <w:p w14:paraId="56BACAA7" w14:textId="77777777" w:rsidR="00940E18" w:rsidRPr="003515E5" w:rsidRDefault="00311507">
          <w:pPr>
            <w:pStyle w:val="TOC3"/>
            <w:rPr>
              <w:rFonts w:asciiTheme="minorHAnsi" w:eastAsiaTheme="minorEastAsia" w:hAnsiTheme="minorHAnsi" w:cstheme="minorBidi"/>
              <w:i w:val="0"/>
              <w:sz w:val="22"/>
              <w:szCs w:val="22"/>
            </w:rPr>
          </w:pPr>
          <w:hyperlink w:anchor="_Toc316042396" w:history="1">
            <w:r w:rsidR="00940E18" w:rsidRPr="003515E5">
              <w:rPr>
                <w:rStyle w:val="Hyperlink"/>
                <w:sz w:val="22"/>
                <w:szCs w:val="22"/>
              </w:rPr>
              <w:t>(f)</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Increased contact with the criminal justice system</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_Toc316042396 \h </w:instrText>
            </w:r>
            <w:r w:rsidR="00940E18" w:rsidRPr="003515E5">
              <w:rPr>
                <w:webHidden/>
                <w:sz w:val="22"/>
                <w:szCs w:val="22"/>
              </w:rPr>
            </w:r>
            <w:r w:rsidR="00940E18" w:rsidRPr="003515E5">
              <w:rPr>
                <w:webHidden/>
                <w:sz w:val="22"/>
                <w:szCs w:val="22"/>
              </w:rPr>
              <w:fldChar w:fldCharType="separate"/>
            </w:r>
            <w:r w:rsidR="00643212">
              <w:rPr>
                <w:webHidden/>
                <w:sz w:val="22"/>
                <w:szCs w:val="22"/>
              </w:rPr>
              <w:t>62</w:t>
            </w:r>
            <w:r w:rsidR="00940E18" w:rsidRPr="003515E5">
              <w:rPr>
                <w:webHidden/>
                <w:sz w:val="22"/>
                <w:szCs w:val="22"/>
              </w:rPr>
              <w:fldChar w:fldCharType="end"/>
            </w:r>
          </w:hyperlink>
        </w:p>
        <w:p w14:paraId="56FD4401" w14:textId="77777777" w:rsidR="00940E18" w:rsidRPr="003515E5" w:rsidRDefault="00311507">
          <w:pPr>
            <w:pStyle w:val="TOC3"/>
            <w:rPr>
              <w:rFonts w:asciiTheme="minorHAnsi" w:eastAsiaTheme="minorEastAsia" w:hAnsiTheme="minorHAnsi" w:cstheme="minorBidi"/>
              <w:i w:val="0"/>
              <w:sz w:val="22"/>
              <w:szCs w:val="22"/>
            </w:rPr>
          </w:pPr>
          <w:hyperlink w:anchor="_Toc316042397" w:history="1">
            <w:r w:rsidR="00940E18" w:rsidRPr="003515E5">
              <w:rPr>
                <w:rStyle w:val="Hyperlink"/>
                <w:sz w:val="22"/>
                <w:szCs w:val="22"/>
              </w:rPr>
              <w:t>(g)</w:t>
            </w:r>
            <w:r w:rsidR="00940E18" w:rsidRPr="003515E5">
              <w:rPr>
                <w:rFonts w:asciiTheme="minorHAnsi" w:eastAsiaTheme="minorEastAsia" w:hAnsiTheme="minorHAnsi" w:cstheme="minorBidi"/>
                <w:i w:val="0"/>
                <w:sz w:val="22"/>
                <w:szCs w:val="22"/>
              </w:rPr>
              <w:tab/>
            </w:r>
            <w:r w:rsidR="00940E18" w:rsidRPr="003515E5">
              <w:rPr>
                <w:rStyle w:val="Hyperlink"/>
                <w:sz w:val="22"/>
                <w:szCs w:val="22"/>
              </w:rPr>
              <w:t>Recommendations</w:t>
            </w:r>
            <w:r w:rsidR="00940E18" w:rsidRPr="003515E5">
              <w:rPr>
                <w:webHidden/>
                <w:sz w:val="22"/>
                <w:szCs w:val="22"/>
              </w:rPr>
              <w:tab/>
            </w:r>
            <w:r w:rsidR="00940E18" w:rsidRPr="003515E5">
              <w:rPr>
                <w:webHidden/>
                <w:sz w:val="22"/>
                <w:szCs w:val="22"/>
              </w:rPr>
              <w:fldChar w:fldCharType="begin"/>
            </w:r>
            <w:r w:rsidR="00940E18" w:rsidRPr="003515E5">
              <w:rPr>
                <w:webHidden/>
                <w:sz w:val="22"/>
                <w:szCs w:val="22"/>
              </w:rPr>
              <w:instrText xml:space="preserve"> PAGEREF _Toc316042397 \h </w:instrText>
            </w:r>
            <w:r w:rsidR="00940E18" w:rsidRPr="003515E5">
              <w:rPr>
                <w:webHidden/>
                <w:sz w:val="22"/>
                <w:szCs w:val="22"/>
              </w:rPr>
            </w:r>
            <w:r w:rsidR="00940E18" w:rsidRPr="003515E5">
              <w:rPr>
                <w:webHidden/>
                <w:sz w:val="22"/>
                <w:szCs w:val="22"/>
              </w:rPr>
              <w:fldChar w:fldCharType="separate"/>
            </w:r>
            <w:r w:rsidR="00643212">
              <w:rPr>
                <w:webHidden/>
                <w:sz w:val="22"/>
                <w:szCs w:val="22"/>
              </w:rPr>
              <w:t>64</w:t>
            </w:r>
            <w:r w:rsidR="00940E18" w:rsidRPr="003515E5">
              <w:rPr>
                <w:webHidden/>
                <w:sz w:val="22"/>
                <w:szCs w:val="22"/>
              </w:rPr>
              <w:fldChar w:fldCharType="end"/>
            </w:r>
          </w:hyperlink>
        </w:p>
        <w:p w14:paraId="4D26C450" w14:textId="77777777" w:rsidR="00940E18" w:rsidRPr="003515E5" w:rsidRDefault="00311507">
          <w:pPr>
            <w:pStyle w:val="TOC1"/>
            <w:rPr>
              <w:rFonts w:asciiTheme="minorHAnsi" w:eastAsiaTheme="minorEastAsia" w:hAnsiTheme="minorHAnsi" w:cstheme="minorBidi"/>
              <w:b w:val="0"/>
              <w:szCs w:val="22"/>
            </w:rPr>
          </w:pPr>
          <w:hyperlink w:anchor="_Toc316042398" w:history="1">
            <w:r w:rsidR="00940E18" w:rsidRPr="003515E5">
              <w:rPr>
                <w:rStyle w:val="Hyperlink"/>
                <w:szCs w:val="22"/>
              </w:rPr>
              <w:t>4</w:t>
            </w:r>
            <w:r w:rsidR="00940E18" w:rsidRPr="003515E5">
              <w:rPr>
                <w:rFonts w:asciiTheme="minorHAnsi" w:eastAsiaTheme="minorEastAsia" w:hAnsiTheme="minorHAnsi" w:cstheme="minorBidi"/>
                <w:b w:val="0"/>
                <w:szCs w:val="22"/>
              </w:rPr>
              <w:tab/>
            </w:r>
            <w:r w:rsidR="00940E18" w:rsidRPr="003515E5">
              <w:rPr>
                <w:rStyle w:val="Hyperlink"/>
                <w:szCs w:val="22"/>
              </w:rPr>
              <w:t>Appendix 1: Chronology of the Northern Territory Emergency Response and the Stronger Futures Bills</w:t>
            </w:r>
            <w:r w:rsidR="00940E18" w:rsidRPr="003515E5">
              <w:rPr>
                <w:webHidden/>
                <w:szCs w:val="22"/>
              </w:rPr>
              <w:tab/>
            </w:r>
            <w:r w:rsidR="00940E18" w:rsidRPr="003515E5">
              <w:rPr>
                <w:webHidden/>
                <w:szCs w:val="22"/>
              </w:rPr>
              <w:fldChar w:fldCharType="begin"/>
            </w:r>
            <w:r w:rsidR="00940E18" w:rsidRPr="003515E5">
              <w:rPr>
                <w:webHidden/>
                <w:szCs w:val="22"/>
              </w:rPr>
              <w:instrText xml:space="preserve"> PAGEREF _Toc316042398 \h </w:instrText>
            </w:r>
            <w:r w:rsidR="00940E18" w:rsidRPr="003515E5">
              <w:rPr>
                <w:webHidden/>
                <w:szCs w:val="22"/>
              </w:rPr>
            </w:r>
            <w:r w:rsidR="00940E18" w:rsidRPr="003515E5">
              <w:rPr>
                <w:webHidden/>
                <w:szCs w:val="22"/>
              </w:rPr>
              <w:fldChar w:fldCharType="separate"/>
            </w:r>
            <w:r w:rsidR="00643212">
              <w:rPr>
                <w:webHidden/>
                <w:szCs w:val="22"/>
              </w:rPr>
              <w:t>65</w:t>
            </w:r>
            <w:r w:rsidR="00940E18" w:rsidRPr="003515E5">
              <w:rPr>
                <w:webHidden/>
                <w:szCs w:val="22"/>
              </w:rPr>
              <w:fldChar w:fldCharType="end"/>
            </w:r>
          </w:hyperlink>
        </w:p>
        <w:p w14:paraId="634604C1" w14:textId="77777777" w:rsidR="00940E18" w:rsidRPr="003515E5" w:rsidRDefault="00311507">
          <w:pPr>
            <w:pStyle w:val="TOC1"/>
            <w:rPr>
              <w:rFonts w:asciiTheme="minorHAnsi" w:eastAsiaTheme="minorEastAsia" w:hAnsiTheme="minorHAnsi" w:cstheme="minorBidi"/>
              <w:b w:val="0"/>
              <w:szCs w:val="22"/>
            </w:rPr>
          </w:pPr>
          <w:hyperlink w:anchor="_Toc316042399" w:history="1">
            <w:r w:rsidR="00940E18" w:rsidRPr="003515E5">
              <w:rPr>
                <w:rStyle w:val="Hyperlink"/>
                <w:szCs w:val="22"/>
              </w:rPr>
              <w:t>5</w:t>
            </w:r>
            <w:r w:rsidR="00940E18" w:rsidRPr="003515E5">
              <w:rPr>
                <w:rFonts w:asciiTheme="minorHAnsi" w:eastAsiaTheme="minorEastAsia" w:hAnsiTheme="minorHAnsi" w:cstheme="minorBidi"/>
                <w:b w:val="0"/>
                <w:szCs w:val="22"/>
              </w:rPr>
              <w:tab/>
            </w:r>
            <w:r w:rsidR="00940E18" w:rsidRPr="003515E5">
              <w:rPr>
                <w:rStyle w:val="Hyperlink"/>
                <w:szCs w:val="22"/>
              </w:rPr>
              <w:t>Appendix 2: Features of a meaningful and effective consultation process</w:t>
            </w:r>
            <w:r w:rsidR="00940E18" w:rsidRPr="003515E5">
              <w:rPr>
                <w:webHidden/>
                <w:szCs w:val="22"/>
              </w:rPr>
              <w:tab/>
            </w:r>
            <w:r w:rsidR="00940E18" w:rsidRPr="003515E5">
              <w:rPr>
                <w:webHidden/>
                <w:szCs w:val="22"/>
              </w:rPr>
              <w:fldChar w:fldCharType="begin"/>
            </w:r>
            <w:r w:rsidR="00940E18" w:rsidRPr="003515E5">
              <w:rPr>
                <w:webHidden/>
                <w:szCs w:val="22"/>
              </w:rPr>
              <w:instrText xml:space="preserve"> PAGEREF _Toc316042399 \h </w:instrText>
            </w:r>
            <w:r w:rsidR="00940E18" w:rsidRPr="003515E5">
              <w:rPr>
                <w:webHidden/>
                <w:szCs w:val="22"/>
              </w:rPr>
            </w:r>
            <w:r w:rsidR="00940E18" w:rsidRPr="003515E5">
              <w:rPr>
                <w:webHidden/>
                <w:szCs w:val="22"/>
              </w:rPr>
              <w:fldChar w:fldCharType="separate"/>
            </w:r>
            <w:r w:rsidR="00643212">
              <w:rPr>
                <w:webHidden/>
                <w:szCs w:val="22"/>
              </w:rPr>
              <w:t>65</w:t>
            </w:r>
            <w:r w:rsidR="00940E18" w:rsidRPr="003515E5">
              <w:rPr>
                <w:webHidden/>
                <w:szCs w:val="22"/>
              </w:rPr>
              <w:fldChar w:fldCharType="end"/>
            </w:r>
          </w:hyperlink>
        </w:p>
        <w:p w14:paraId="10315C33" w14:textId="77777777" w:rsidR="00940E18" w:rsidRDefault="00311507">
          <w:pPr>
            <w:pStyle w:val="TOC1"/>
            <w:rPr>
              <w:rFonts w:asciiTheme="minorHAnsi" w:eastAsiaTheme="minorEastAsia" w:hAnsiTheme="minorHAnsi" w:cstheme="minorBidi"/>
              <w:b w:val="0"/>
              <w:szCs w:val="22"/>
            </w:rPr>
          </w:pPr>
          <w:hyperlink w:anchor="_Toc316042400" w:history="1">
            <w:r w:rsidR="00940E18" w:rsidRPr="003515E5">
              <w:rPr>
                <w:rStyle w:val="Hyperlink"/>
                <w:szCs w:val="22"/>
              </w:rPr>
              <w:t>6</w:t>
            </w:r>
            <w:r w:rsidR="00940E18" w:rsidRPr="003515E5">
              <w:rPr>
                <w:rFonts w:asciiTheme="minorHAnsi" w:eastAsiaTheme="minorEastAsia" w:hAnsiTheme="minorHAnsi" w:cstheme="minorBidi"/>
                <w:b w:val="0"/>
                <w:szCs w:val="22"/>
              </w:rPr>
              <w:tab/>
            </w:r>
            <w:r w:rsidR="00940E18" w:rsidRPr="003515E5">
              <w:rPr>
                <w:rStyle w:val="Hyperlink"/>
                <w:szCs w:val="22"/>
              </w:rPr>
              <w:t>Appendix 3: Creating cultural competency</w:t>
            </w:r>
            <w:r w:rsidR="00940E18" w:rsidRPr="003515E5">
              <w:rPr>
                <w:webHidden/>
                <w:szCs w:val="22"/>
              </w:rPr>
              <w:tab/>
            </w:r>
            <w:r w:rsidR="00940E18" w:rsidRPr="003515E5">
              <w:rPr>
                <w:webHidden/>
                <w:szCs w:val="22"/>
              </w:rPr>
              <w:fldChar w:fldCharType="begin"/>
            </w:r>
            <w:r w:rsidR="00940E18" w:rsidRPr="003515E5">
              <w:rPr>
                <w:webHidden/>
                <w:szCs w:val="22"/>
              </w:rPr>
              <w:instrText xml:space="preserve"> PAGEREF _Toc316042400 \h </w:instrText>
            </w:r>
            <w:r w:rsidR="00940E18" w:rsidRPr="003515E5">
              <w:rPr>
                <w:webHidden/>
                <w:szCs w:val="22"/>
              </w:rPr>
            </w:r>
            <w:r w:rsidR="00940E18" w:rsidRPr="003515E5">
              <w:rPr>
                <w:webHidden/>
                <w:szCs w:val="22"/>
              </w:rPr>
              <w:fldChar w:fldCharType="separate"/>
            </w:r>
            <w:r w:rsidR="00643212">
              <w:rPr>
                <w:webHidden/>
                <w:szCs w:val="22"/>
              </w:rPr>
              <w:t>65</w:t>
            </w:r>
            <w:r w:rsidR="00940E18" w:rsidRPr="003515E5">
              <w:rPr>
                <w:webHidden/>
                <w:szCs w:val="22"/>
              </w:rPr>
              <w:fldChar w:fldCharType="end"/>
            </w:r>
          </w:hyperlink>
        </w:p>
        <w:p w14:paraId="50AABC36" w14:textId="77777777" w:rsidR="00EA39E8" w:rsidRDefault="00EA39E8">
          <w:r>
            <w:rPr>
              <w:b/>
              <w:bCs/>
              <w:noProof/>
            </w:rPr>
            <w:fldChar w:fldCharType="end"/>
          </w:r>
        </w:p>
      </w:sdtContent>
    </w:sdt>
    <w:bookmarkStart w:id="4" w:name="_Toc315880362" w:displacedByCustomXml="prev"/>
    <w:bookmarkStart w:id="5" w:name="_Toc316042335" w:displacedByCustomXml="prev"/>
    <w:p w14:paraId="4103397C" w14:textId="77777777" w:rsidR="00F12219" w:rsidRDefault="00F12219" w:rsidP="00F12219">
      <w:pPr>
        <w:pStyle w:val="TOC81"/>
        <w:tabs>
          <w:tab w:val="clear" w:pos="9060"/>
          <w:tab w:val="right" w:leader="dot" w:pos="9044"/>
        </w:tabs>
      </w:pPr>
    </w:p>
    <w:p w14:paraId="33C12A08" w14:textId="77777777" w:rsidR="00F12219" w:rsidRDefault="00F12219" w:rsidP="00F12219"/>
    <w:p w14:paraId="14764289" w14:textId="77777777" w:rsidR="00F12219" w:rsidRDefault="00F12219" w:rsidP="00F12219">
      <w:pPr>
        <w:pStyle w:val="FreeForm"/>
        <w:rPr>
          <w:sz w:val="24"/>
        </w:rPr>
      </w:pPr>
      <w:r>
        <w:br w:type="page"/>
      </w:r>
    </w:p>
    <w:p w14:paraId="17E33C24" w14:textId="77777777" w:rsidR="00F12219" w:rsidRPr="00B7707C" w:rsidRDefault="00F12219" w:rsidP="00B7707C">
      <w:pPr>
        <w:pStyle w:val="Heading1"/>
      </w:pPr>
      <w:bookmarkStart w:id="6" w:name="_TOC3805"/>
      <w:bookmarkStart w:id="7" w:name="TOC209578266"/>
      <w:bookmarkStart w:id="8" w:name="_Toc315865045"/>
      <w:bookmarkStart w:id="9" w:name="_Toc316042337"/>
      <w:bookmarkEnd w:id="6"/>
      <w:bookmarkEnd w:id="7"/>
      <w:r w:rsidRPr="00B7707C">
        <w:lastRenderedPageBreak/>
        <w:t>Introduction</w:t>
      </w:r>
      <w:bookmarkEnd w:id="8"/>
      <w:bookmarkEnd w:id="9"/>
    </w:p>
    <w:p w14:paraId="0386F7AA" w14:textId="77777777" w:rsidR="00F12219" w:rsidRDefault="00F12219" w:rsidP="000974C4">
      <w:pPr>
        <w:pStyle w:val="SubmissionNormal"/>
        <w:numPr>
          <w:ilvl w:val="0"/>
          <w:numId w:val="41"/>
        </w:numPr>
        <w:tabs>
          <w:tab w:val="left" w:pos="709"/>
        </w:tabs>
        <w:ind w:hanging="709"/>
      </w:pPr>
      <w:r>
        <w:t xml:space="preserve">On 23 November 2011, the Stronger Futures in the Northern Territory Bill 2011 (Cth) (Stronger Futures Bill), the Stronger Futures in the Northern Territory (Consequential and Transitional Provisions) Bill 2011 (Cth) (Consequential and Transitional Provisions Bill) and the Social Security Legislation Amendment Bill 2011 (Cth) (Social Security Bill) (collectively referred to in this submission as the Stronger Futures Bills) were introduced into Parliament. </w:t>
      </w:r>
    </w:p>
    <w:p w14:paraId="6BD7EC47" w14:textId="77777777" w:rsidR="00821224" w:rsidRDefault="00F12219" w:rsidP="000974C4">
      <w:pPr>
        <w:pStyle w:val="SubmissionNormal"/>
        <w:numPr>
          <w:ilvl w:val="0"/>
          <w:numId w:val="41"/>
        </w:numPr>
        <w:tabs>
          <w:tab w:val="left" w:pos="709"/>
        </w:tabs>
        <w:ind w:hanging="709"/>
      </w:pPr>
      <w:r>
        <w:t xml:space="preserve">The Stronger Futures Bills set the parameters for the operation and modification of measures originally introduced in the </w:t>
      </w:r>
      <w:r>
        <w:rPr>
          <w:rFonts w:ascii="Arial Italic" w:hAnsi="Arial Italic"/>
        </w:rPr>
        <w:t xml:space="preserve">Northern Territory National Emergency Response Act 2007 </w:t>
      </w:r>
      <w:r>
        <w:t>(Cth) (NTNER Act). Many of these measures are due to sunset in August 2012,</w:t>
      </w:r>
      <w:r w:rsidR="00821224" w:rsidRPr="00212FF0">
        <w:rPr>
          <w:rStyle w:val="EndnoteReference1"/>
          <w:szCs w:val="20"/>
        </w:rPr>
        <w:endnoteReference w:id="1"/>
      </w:r>
      <w:r w:rsidR="00821224">
        <w:t xml:space="preserve"> with budget measures currently continuing until 30 June 2012.</w:t>
      </w:r>
      <w:r w:rsidR="00821224" w:rsidRPr="00212FF0">
        <w:rPr>
          <w:rStyle w:val="EndnoteReference1"/>
          <w:szCs w:val="20"/>
        </w:rPr>
        <w:endnoteReference w:id="2"/>
      </w:r>
      <w:r w:rsidR="00821224">
        <w:t xml:space="preserve"> </w:t>
      </w:r>
    </w:p>
    <w:p w14:paraId="5590507C" w14:textId="77777777" w:rsidR="00821224" w:rsidRDefault="00821224" w:rsidP="000974C4">
      <w:pPr>
        <w:pStyle w:val="SubmissionNormal"/>
        <w:numPr>
          <w:ilvl w:val="0"/>
          <w:numId w:val="41"/>
        </w:numPr>
        <w:tabs>
          <w:tab w:val="left" w:pos="709"/>
        </w:tabs>
        <w:ind w:hanging="709"/>
      </w:pPr>
      <w:r>
        <w:t>On 25 November 2011, the Senate jointly referred the Stronger Futures Bills to the Senate Community Affairs Legislation Committee for inquiry and report.</w:t>
      </w:r>
    </w:p>
    <w:p w14:paraId="1C6C8615" w14:textId="77777777" w:rsidR="00821224" w:rsidRDefault="00821224" w:rsidP="000974C4">
      <w:pPr>
        <w:pStyle w:val="SubmissionNormal"/>
        <w:numPr>
          <w:ilvl w:val="0"/>
          <w:numId w:val="41"/>
        </w:numPr>
        <w:tabs>
          <w:tab w:val="left" w:pos="709"/>
        </w:tabs>
        <w:ind w:hanging="709"/>
      </w:pPr>
      <w:r>
        <w:t>The Australian Human Rights Commission makes this submission to the Committee for its Inquiry. The submission assesses how the measures in the Stronger Futures Bills comply with Australia’s human rights obligations.</w:t>
      </w:r>
    </w:p>
    <w:p w14:paraId="0A608FBA" w14:textId="77777777" w:rsidR="00821224" w:rsidRDefault="00821224" w:rsidP="000974C4">
      <w:pPr>
        <w:pStyle w:val="SubmissionNormal"/>
        <w:numPr>
          <w:ilvl w:val="0"/>
          <w:numId w:val="41"/>
        </w:numPr>
        <w:tabs>
          <w:tab w:val="left" w:pos="709"/>
        </w:tabs>
        <w:ind w:hanging="709"/>
      </w:pPr>
      <w:r>
        <w:t>In summary, the Stronger Futures Bills contain the following provisions:</w:t>
      </w:r>
    </w:p>
    <w:p w14:paraId="3576799C" w14:textId="77777777" w:rsidR="00821224" w:rsidRDefault="00821224" w:rsidP="000974C4">
      <w:pPr>
        <w:pStyle w:val="SubmissionNormal"/>
        <w:numPr>
          <w:ilvl w:val="0"/>
          <w:numId w:val="28"/>
        </w:numPr>
        <w:rPr>
          <w:rFonts w:ascii="Lucida Grande" w:hAnsi="Symbol"/>
        </w:rPr>
      </w:pPr>
      <w:r>
        <w:t>The Stronger Futures Bill:</w:t>
      </w:r>
    </w:p>
    <w:p w14:paraId="1D242180" w14:textId="77777777" w:rsidR="00821224" w:rsidRDefault="00821224" w:rsidP="000974C4">
      <w:pPr>
        <w:pStyle w:val="SubmissionNormal"/>
        <w:numPr>
          <w:ilvl w:val="0"/>
          <w:numId w:val="43"/>
        </w:numPr>
      </w:pPr>
      <w:r>
        <w:t>introduces alcohol management plans in prescribed Northern Territory communities and amends laws relating to alcohol abuse measures</w:t>
      </w:r>
    </w:p>
    <w:p w14:paraId="0E25FE73" w14:textId="77777777" w:rsidR="00821224" w:rsidRDefault="00821224" w:rsidP="000974C4">
      <w:pPr>
        <w:pStyle w:val="SubmissionNormal"/>
        <w:numPr>
          <w:ilvl w:val="0"/>
          <w:numId w:val="43"/>
        </w:numPr>
      </w:pPr>
      <w:r>
        <w:t>introduces measures to allow the Commonwealth to amend Northern Territory legislation relating to leasing in Community Living Areas and Town Camps in the Northern Territory</w:t>
      </w:r>
    </w:p>
    <w:p w14:paraId="629F382C" w14:textId="77777777" w:rsidR="00821224" w:rsidRDefault="00821224" w:rsidP="000974C4">
      <w:pPr>
        <w:pStyle w:val="SubmissionNormal"/>
        <w:numPr>
          <w:ilvl w:val="0"/>
          <w:numId w:val="43"/>
        </w:numPr>
      </w:pPr>
      <w:r>
        <w:t>amends the licensing regime for community stores.</w:t>
      </w:r>
    </w:p>
    <w:p w14:paraId="113AEB3F" w14:textId="77777777" w:rsidR="00821224" w:rsidRDefault="00821224" w:rsidP="000974C4">
      <w:pPr>
        <w:pStyle w:val="SubmissionNormal"/>
        <w:numPr>
          <w:ilvl w:val="0"/>
          <w:numId w:val="28"/>
        </w:numPr>
        <w:rPr>
          <w:rFonts w:ascii="Lucida Grande" w:hAnsi="Symbol"/>
        </w:rPr>
      </w:pPr>
      <w:r>
        <w:t>The Consequential and Transitional Provisions Bill:</w:t>
      </w:r>
    </w:p>
    <w:p w14:paraId="1C5F7BA6" w14:textId="77777777" w:rsidR="00821224" w:rsidRDefault="00821224" w:rsidP="000974C4">
      <w:pPr>
        <w:pStyle w:val="SubmissionNormal"/>
        <w:numPr>
          <w:ilvl w:val="0"/>
          <w:numId w:val="42"/>
        </w:numPr>
      </w:pPr>
      <w:r>
        <w:t>repeals the NTNER Act</w:t>
      </w:r>
    </w:p>
    <w:p w14:paraId="161745C8" w14:textId="77777777" w:rsidR="00821224" w:rsidRDefault="00821224" w:rsidP="000974C4">
      <w:pPr>
        <w:pStyle w:val="SubmissionNormal"/>
        <w:numPr>
          <w:ilvl w:val="0"/>
          <w:numId w:val="42"/>
        </w:numPr>
      </w:pPr>
      <w:r>
        <w:t>contains certain savings provisions and transitional provisions relating to leasing, alcohol management, permit system and community stores</w:t>
      </w:r>
    </w:p>
    <w:p w14:paraId="15DCBF28" w14:textId="77777777" w:rsidR="00821224" w:rsidRDefault="00821224" w:rsidP="000974C4">
      <w:pPr>
        <w:pStyle w:val="SubmissionNormal"/>
        <w:numPr>
          <w:ilvl w:val="0"/>
          <w:numId w:val="42"/>
        </w:numPr>
      </w:pPr>
      <w:r>
        <w:t xml:space="preserve">contains consequential amendments relating to the </w:t>
      </w:r>
      <w:r>
        <w:rPr>
          <w:rFonts w:ascii="Arial Italic" w:hAnsi="Arial Italic"/>
        </w:rPr>
        <w:t xml:space="preserve">Aboriginal Land Rights (Northern Territory) Act 1976 </w:t>
      </w:r>
      <w:r>
        <w:t>(Cth) (ALRA)</w:t>
      </w:r>
    </w:p>
    <w:p w14:paraId="509E2F88" w14:textId="77777777" w:rsidR="00821224" w:rsidRDefault="00821224" w:rsidP="000974C4">
      <w:pPr>
        <w:pStyle w:val="SubmissionNormal"/>
        <w:numPr>
          <w:ilvl w:val="0"/>
          <w:numId w:val="42"/>
        </w:numPr>
      </w:pPr>
      <w:r>
        <w:t xml:space="preserve">amends the </w:t>
      </w:r>
      <w:r>
        <w:rPr>
          <w:rFonts w:ascii="Arial Italic" w:hAnsi="Arial Italic"/>
        </w:rPr>
        <w:t xml:space="preserve">Classification (Publications, Films and Computer Games) Act 1995 </w:t>
      </w:r>
      <w:r>
        <w:t>(Cth) (Classification Act)</w:t>
      </w:r>
    </w:p>
    <w:p w14:paraId="5F92519E" w14:textId="77777777" w:rsidR="00821224" w:rsidRDefault="00821224" w:rsidP="000974C4">
      <w:pPr>
        <w:pStyle w:val="SubmissionNormal"/>
        <w:numPr>
          <w:ilvl w:val="0"/>
          <w:numId w:val="42"/>
        </w:numPr>
      </w:pPr>
      <w:r>
        <w:t xml:space="preserve">amends the </w:t>
      </w:r>
      <w:r>
        <w:rPr>
          <w:rFonts w:ascii="Arial Italic" w:hAnsi="Arial Italic"/>
        </w:rPr>
        <w:t>Crimes Act 1914</w:t>
      </w:r>
      <w:r>
        <w:t xml:space="preserve"> (Cth) (Crimes Act) to introduce exceptions to the rule preventing consideration of customary law </w:t>
      </w:r>
      <w:r>
        <w:lastRenderedPageBreak/>
        <w:t>or cultural practice in bail and sentencing for certain offences (cultural heritage).</w:t>
      </w:r>
    </w:p>
    <w:p w14:paraId="0B51F2BE" w14:textId="77777777" w:rsidR="00821224" w:rsidRDefault="00821224" w:rsidP="000974C4">
      <w:pPr>
        <w:pStyle w:val="SubmissionNormal"/>
        <w:numPr>
          <w:ilvl w:val="0"/>
          <w:numId w:val="28"/>
        </w:numPr>
        <w:rPr>
          <w:rFonts w:ascii="Lucida Grande" w:hAnsi="Symbol"/>
        </w:rPr>
      </w:pPr>
      <w:r>
        <w:t>The Social Security Bill:</w:t>
      </w:r>
    </w:p>
    <w:p w14:paraId="61DA1C6B" w14:textId="77777777" w:rsidR="00821224" w:rsidRDefault="00821224" w:rsidP="000974C4">
      <w:pPr>
        <w:pStyle w:val="SubmissionNormal"/>
        <w:numPr>
          <w:ilvl w:val="0"/>
          <w:numId w:val="44"/>
        </w:numPr>
      </w:pPr>
      <w:r>
        <w:t>amends the operation of the income management scheme</w:t>
      </w:r>
    </w:p>
    <w:p w14:paraId="078113F5" w14:textId="77777777" w:rsidR="00821224" w:rsidRDefault="00821224" w:rsidP="000974C4">
      <w:pPr>
        <w:pStyle w:val="SubmissionNormal"/>
        <w:numPr>
          <w:ilvl w:val="0"/>
          <w:numId w:val="44"/>
        </w:numPr>
      </w:pPr>
      <w:r>
        <w:t>amends sections of social security legislation which enable the suspension of welfare payments in cases of school non-attendance.</w:t>
      </w:r>
    </w:p>
    <w:p w14:paraId="7DE764BC" w14:textId="77777777" w:rsidR="00821224" w:rsidRDefault="00821224" w:rsidP="000974C4">
      <w:pPr>
        <w:pStyle w:val="SubmissionNormal"/>
        <w:numPr>
          <w:ilvl w:val="0"/>
          <w:numId w:val="41"/>
        </w:numPr>
        <w:tabs>
          <w:tab w:val="left" w:pos="709"/>
        </w:tabs>
        <w:ind w:hanging="709"/>
      </w:pPr>
      <w:r>
        <w:t xml:space="preserve">A chronology of the Northern Territory Emergency Response (NTER) and Stronger Futures Bills is contained at Appendix 1 of this submission. This provides a more detailed history of the measures and the context within which they were introduced. </w:t>
      </w:r>
    </w:p>
    <w:p w14:paraId="31106C1F" w14:textId="77777777" w:rsidR="00821224" w:rsidRDefault="00821224" w:rsidP="000974C4">
      <w:pPr>
        <w:pStyle w:val="SubmissionNormal"/>
        <w:numPr>
          <w:ilvl w:val="0"/>
          <w:numId w:val="41"/>
        </w:numPr>
        <w:tabs>
          <w:tab w:val="left" w:pos="709"/>
        </w:tabs>
        <w:ind w:hanging="709"/>
      </w:pPr>
      <w:r>
        <w:t xml:space="preserve">In order to assess the compliance of the proposed Stronger Futures measures with human rights standards, the Commission has given particular consideration to the following of Australia’s binding human rights obligations: </w:t>
      </w:r>
    </w:p>
    <w:p w14:paraId="5E10A36C" w14:textId="77777777" w:rsidR="00821224" w:rsidRDefault="00821224" w:rsidP="000974C4">
      <w:pPr>
        <w:pStyle w:val="SubmissionNormal"/>
        <w:numPr>
          <w:ilvl w:val="0"/>
          <w:numId w:val="28"/>
        </w:numPr>
        <w:rPr>
          <w:rFonts w:ascii="Lucida Grande" w:hAnsi="Symbol"/>
        </w:rPr>
      </w:pPr>
      <w:r>
        <w:rPr>
          <w:rFonts w:ascii="Arial Italic" w:hAnsi="Arial Italic"/>
        </w:rPr>
        <w:t>The International Covenant on Civil and Political Rights</w:t>
      </w:r>
      <w:r>
        <w:t xml:space="preserve"> (ICCPR)</w:t>
      </w:r>
    </w:p>
    <w:p w14:paraId="3F5A4EFC" w14:textId="77777777" w:rsidR="00821224" w:rsidRDefault="00821224" w:rsidP="000974C4">
      <w:pPr>
        <w:pStyle w:val="SubmissionNormal"/>
        <w:numPr>
          <w:ilvl w:val="0"/>
          <w:numId w:val="28"/>
        </w:numPr>
        <w:rPr>
          <w:rFonts w:ascii="Lucida Grande" w:hAnsi="Symbol"/>
        </w:rPr>
      </w:pPr>
      <w:r>
        <w:rPr>
          <w:rFonts w:ascii="Arial Italic" w:hAnsi="Arial Italic"/>
        </w:rPr>
        <w:t>The International Covenant on Economic, Social and Cultural Rights</w:t>
      </w:r>
      <w:r>
        <w:t xml:space="preserve"> (ICESCR)</w:t>
      </w:r>
    </w:p>
    <w:p w14:paraId="0694F0D8" w14:textId="77777777" w:rsidR="00821224" w:rsidRDefault="00821224" w:rsidP="000974C4">
      <w:pPr>
        <w:pStyle w:val="SubmissionNormal"/>
        <w:numPr>
          <w:ilvl w:val="0"/>
          <w:numId w:val="28"/>
        </w:numPr>
        <w:rPr>
          <w:rFonts w:ascii="Lucida Grande" w:hAnsi="Symbol"/>
        </w:rPr>
      </w:pPr>
      <w:r>
        <w:rPr>
          <w:rFonts w:ascii="Arial Italic" w:hAnsi="Arial Italic"/>
        </w:rPr>
        <w:t>The International Convention on the Elimination of all forms of Racial Discrimination</w:t>
      </w:r>
      <w:r>
        <w:t xml:space="preserve"> (ICERD)</w:t>
      </w:r>
    </w:p>
    <w:p w14:paraId="1AE83309" w14:textId="77777777" w:rsidR="00821224" w:rsidRDefault="00821224" w:rsidP="000974C4">
      <w:pPr>
        <w:pStyle w:val="SubmissionNormal"/>
        <w:numPr>
          <w:ilvl w:val="0"/>
          <w:numId w:val="28"/>
        </w:numPr>
        <w:rPr>
          <w:rFonts w:ascii="Lucida Grande" w:hAnsi="Symbol"/>
        </w:rPr>
      </w:pPr>
      <w:r>
        <w:rPr>
          <w:rFonts w:ascii="Arial Italic" w:hAnsi="Arial Italic"/>
        </w:rPr>
        <w:t>The Convention on the Elimination of all forms of Discrimination Against Women</w:t>
      </w:r>
      <w:r>
        <w:t xml:space="preserve"> (CEDAW)</w:t>
      </w:r>
    </w:p>
    <w:p w14:paraId="58FAAC52" w14:textId="77777777" w:rsidR="00821224" w:rsidRDefault="00821224" w:rsidP="000974C4">
      <w:pPr>
        <w:pStyle w:val="SubmissionNormal"/>
        <w:numPr>
          <w:ilvl w:val="0"/>
          <w:numId w:val="28"/>
        </w:numPr>
        <w:rPr>
          <w:rFonts w:ascii="Lucida Grande" w:hAnsi="Symbol"/>
        </w:rPr>
      </w:pPr>
      <w:r>
        <w:rPr>
          <w:rFonts w:ascii="Arial Italic" w:hAnsi="Arial Italic"/>
        </w:rPr>
        <w:t>The Convention on the Rights of the Child</w:t>
      </w:r>
      <w:r>
        <w:t xml:space="preserve"> (CRC)</w:t>
      </w:r>
    </w:p>
    <w:p w14:paraId="23B1ADA4" w14:textId="77777777" w:rsidR="00821224" w:rsidRPr="00F35756" w:rsidRDefault="00821224" w:rsidP="000974C4">
      <w:pPr>
        <w:pStyle w:val="SubmissionNormal"/>
        <w:numPr>
          <w:ilvl w:val="0"/>
          <w:numId w:val="28"/>
        </w:numPr>
        <w:rPr>
          <w:rFonts w:ascii="Lucida Grande" w:hAnsi="Symbol"/>
        </w:rPr>
      </w:pPr>
      <w:r>
        <w:rPr>
          <w:rFonts w:ascii="Arial Italic" w:hAnsi="Arial Italic"/>
        </w:rPr>
        <w:t>The Convention on the Rights of Persons with Disabilities</w:t>
      </w:r>
      <w:r>
        <w:t xml:space="preserve"> (CRPD)</w:t>
      </w:r>
    </w:p>
    <w:p w14:paraId="725F3CF9" w14:textId="77777777" w:rsidR="00821224" w:rsidRPr="00F35756" w:rsidRDefault="00821224" w:rsidP="000974C4">
      <w:pPr>
        <w:pStyle w:val="SubmissionNormal"/>
        <w:numPr>
          <w:ilvl w:val="0"/>
          <w:numId w:val="28"/>
        </w:numPr>
        <w:rPr>
          <w:rFonts w:ascii="Lucida Grande" w:hAnsi="Symbol"/>
          <w:i/>
        </w:rPr>
      </w:pPr>
      <w:r w:rsidRPr="00F35756">
        <w:rPr>
          <w:i/>
        </w:rPr>
        <w:t>The Convention Against Torture and oth</w:t>
      </w:r>
      <w:r>
        <w:rPr>
          <w:i/>
        </w:rPr>
        <w:t>er Cruel, Inhuman or Degrading Treatment and P</w:t>
      </w:r>
      <w:r w:rsidRPr="00F35756">
        <w:rPr>
          <w:i/>
        </w:rPr>
        <w:t xml:space="preserve">unishment </w:t>
      </w:r>
      <w:r w:rsidRPr="00212FF0">
        <w:t>(CAT).</w:t>
      </w:r>
    </w:p>
    <w:p w14:paraId="4AB318D6" w14:textId="55FA30C8" w:rsidR="00821224" w:rsidRDefault="00821224" w:rsidP="000974C4">
      <w:pPr>
        <w:pStyle w:val="SubmissionNormal"/>
        <w:numPr>
          <w:ilvl w:val="0"/>
          <w:numId w:val="41"/>
        </w:numPr>
        <w:tabs>
          <w:tab w:val="left" w:pos="709"/>
        </w:tabs>
        <w:ind w:hanging="709"/>
      </w:pPr>
      <w:r>
        <w:t xml:space="preserve">The Commission has also considered </w:t>
      </w:r>
      <w:r w:rsidR="00ED1298">
        <w:t>the extent to which</w:t>
      </w:r>
      <w:r>
        <w:t xml:space="preserve"> the measures are consistent with the </w:t>
      </w:r>
      <w:r>
        <w:rPr>
          <w:rFonts w:ascii="Arial Italic" w:hAnsi="Arial Italic"/>
        </w:rPr>
        <w:t>Declaration on the Rights of Indigenous Peoples</w:t>
      </w:r>
      <w:r>
        <w:t xml:space="preserve"> (the Declaration). While of itself not a binding instrument, the Declaration sets out how the human rights principles in the above listed treaties apply to Indigenous peoples. Accordingly, it provides a comprehensive elaboration of relevant human rights standards against which to analyse the Stronger Futures Bills. These principles include:</w:t>
      </w:r>
    </w:p>
    <w:p w14:paraId="53CCB7A9" w14:textId="77777777" w:rsidR="00821224" w:rsidRDefault="00821224" w:rsidP="000974C4">
      <w:pPr>
        <w:pStyle w:val="SubmissionNormal"/>
        <w:numPr>
          <w:ilvl w:val="0"/>
          <w:numId w:val="24"/>
        </w:numPr>
        <w:rPr>
          <w:rFonts w:ascii="Lucida Grande" w:hAnsi="Symbol"/>
        </w:rPr>
      </w:pPr>
      <w:r>
        <w:t>self-determination</w:t>
      </w:r>
    </w:p>
    <w:p w14:paraId="6FAEBA24" w14:textId="77777777" w:rsidR="00821224" w:rsidRDefault="00821224" w:rsidP="000974C4">
      <w:pPr>
        <w:pStyle w:val="SubmissionNormal"/>
        <w:numPr>
          <w:ilvl w:val="0"/>
          <w:numId w:val="24"/>
        </w:numPr>
        <w:rPr>
          <w:rFonts w:ascii="Lucida Grande" w:hAnsi="Symbol"/>
        </w:rPr>
      </w:pPr>
      <w:r>
        <w:t>participation in decision-making and free, prior and informed consent</w:t>
      </w:r>
    </w:p>
    <w:p w14:paraId="1D27D890" w14:textId="77777777" w:rsidR="00821224" w:rsidRPr="00FB2607" w:rsidRDefault="00821224" w:rsidP="000974C4">
      <w:pPr>
        <w:pStyle w:val="SubmissionNormal"/>
        <w:numPr>
          <w:ilvl w:val="0"/>
          <w:numId w:val="24"/>
        </w:numPr>
        <w:rPr>
          <w:rFonts w:ascii="Lucida Grande" w:hAnsi="Symbol"/>
        </w:rPr>
      </w:pPr>
      <w:r>
        <w:t>non-discrimination and equality</w:t>
      </w:r>
    </w:p>
    <w:p w14:paraId="1CABCBEE" w14:textId="77777777" w:rsidR="00821224" w:rsidRPr="00FB2607" w:rsidRDefault="00821224" w:rsidP="000974C4">
      <w:pPr>
        <w:pStyle w:val="SubmissionNormal"/>
        <w:numPr>
          <w:ilvl w:val="0"/>
          <w:numId w:val="24"/>
        </w:numPr>
        <w:rPr>
          <w:rStyle w:val="EndnoteReference1"/>
          <w:rFonts w:ascii="Lucida Grande" w:eastAsia="Times New Roman" w:hAnsi="Symbol"/>
          <w:color w:val="auto"/>
          <w:sz w:val="24"/>
          <w:vertAlign w:val="baseline"/>
        </w:rPr>
      </w:pPr>
      <w:r>
        <w:t>respect for and protection of culture.</w:t>
      </w:r>
      <w:r w:rsidRPr="00212FF0">
        <w:rPr>
          <w:rStyle w:val="EndnoteReference1"/>
          <w:szCs w:val="20"/>
        </w:rPr>
        <w:endnoteReference w:id="3"/>
      </w:r>
    </w:p>
    <w:p w14:paraId="05BB251C" w14:textId="6CCECA10" w:rsidR="00821224" w:rsidRDefault="00821224" w:rsidP="00ED1298">
      <w:pPr>
        <w:pStyle w:val="SubmissionNormal"/>
        <w:numPr>
          <w:ilvl w:val="0"/>
          <w:numId w:val="41"/>
        </w:numPr>
        <w:tabs>
          <w:tab w:val="left" w:pos="709"/>
        </w:tabs>
        <w:ind w:hanging="709"/>
      </w:pPr>
      <w:r>
        <w:lastRenderedPageBreak/>
        <w:t>To be consistent with these principles</w:t>
      </w:r>
      <w:r w:rsidR="00ED1298">
        <w:t>,</w:t>
      </w:r>
      <w:r>
        <w:t xml:space="preserve"> the Commission submits that laws and policies should promote Aboriginal and Torres Strait Islander peoples’ choice, participation and control. Aboriginal and Torres Strait Islander peoples should be actively involved in the making of policy and legislative decisions, and actively engaged in the implementation and delivery of the mechanisms that arise from the legislative changes. Policies and legislation should be non-discriminatory. Where disadvantage exists, laws and policies should be targeted at alleviating that disadvantage and promoting substantive equality.</w:t>
      </w:r>
      <w:r w:rsidR="0040484A">
        <w:t xml:space="preserve"> </w:t>
      </w:r>
      <w:r w:rsidR="0040484A">
        <w:rPr>
          <w:lang w:val="en"/>
        </w:rPr>
        <w:t>Substantive equality allows different groups to be treated differently so that they can, in the end, enjoy their human rights equally.</w:t>
      </w:r>
      <w:r>
        <w:t xml:space="preserve"> Access to financial and technical assistance</w:t>
      </w:r>
      <w:r w:rsidR="0040484A">
        <w:t xml:space="preserve"> for Aboriginal and Torres Strait Islander </w:t>
      </w:r>
      <w:r w:rsidR="003515E5">
        <w:t>c</w:t>
      </w:r>
      <w:r w:rsidR="0040484A">
        <w:t>ommunities</w:t>
      </w:r>
      <w:r w:rsidR="00AC28FE">
        <w:t xml:space="preserve"> </w:t>
      </w:r>
      <w:r>
        <w:t>from governments should also be available to facilitate the exercise and enjoyment of the rights contained in the Declaration.</w:t>
      </w:r>
      <w:r w:rsidRPr="00821224">
        <w:rPr>
          <w:sz w:val="20"/>
          <w:szCs w:val="20"/>
          <w:vertAlign w:val="superscript"/>
        </w:rPr>
        <w:endnoteReference w:id="4"/>
      </w:r>
      <w:r>
        <w:t xml:space="preserve"> Finally, laws and policies should reflect, promote and value the cultures of Aboriginal and Torres Strait Islander peoples.</w:t>
      </w:r>
    </w:p>
    <w:p w14:paraId="778B46C2" w14:textId="77777777" w:rsidR="00821224" w:rsidRDefault="00821224" w:rsidP="000974C4">
      <w:pPr>
        <w:pStyle w:val="SubmissionNormal"/>
        <w:numPr>
          <w:ilvl w:val="0"/>
          <w:numId w:val="41"/>
        </w:numPr>
        <w:tabs>
          <w:tab w:val="left" w:pos="709"/>
        </w:tabs>
        <w:ind w:hanging="709"/>
      </w:pPr>
      <w:r>
        <w:t>This approach not only reflects Australia’s human rights obligations as they apply to Aboriginal and Torres Strait Islander peoples but is also consistent with the evidence base on what works to overcome Indigenous disadvantage.</w:t>
      </w:r>
      <w:r w:rsidRPr="00212FF0">
        <w:rPr>
          <w:rStyle w:val="EndnoteReference1"/>
          <w:szCs w:val="20"/>
        </w:rPr>
        <w:endnoteReference w:id="5"/>
      </w:r>
    </w:p>
    <w:p w14:paraId="35268B65" w14:textId="77777777" w:rsidR="00821224" w:rsidRPr="007C6E06" w:rsidRDefault="00821224" w:rsidP="007C6E06">
      <w:pPr>
        <w:pStyle w:val="Heading1"/>
      </w:pPr>
      <w:bookmarkStart w:id="10" w:name="_TOC8806"/>
      <w:bookmarkStart w:id="11" w:name="TOC209578267"/>
      <w:bookmarkStart w:id="12" w:name="_Toc315865046"/>
      <w:bookmarkStart w:id="13" w:name="_Toc316042338"/>
      <w:bookmarkEnd w:id="10"/>
      <w:bookmarkEnd w:id="11"/>
      <w:r w:rsidRPr="007C6E06">
        <w:t>Summary and recommendations</w:t>
      </w:r>
      <w:bookmarkEnd w:id="12"/>
      <w:bookmarkEnd w:id="13"/>
    </w:p>
    <w:p w14:paraId="22BE728B" w14:textId="77777777" w:rsidR="00821224" w:rsidRDefault="00821224" w:rsidP="000974C4">
      <w:pPr>
        <w:pStyle w:val="SubmissionNormal"/>
        <w:numPr>
          <w:ilvl w:val="0"/>
          <w:numId w:val="41"/>
        </w:numPr>
        <w:tabs>
          <w:tab w:val="left" w:pos="709"/>
        </w:tabs>
        <w:ind w:hanging="709"/>
      </w:pPr>
      <w:r>
        <w:t>The Commission welcomes the intent of the Australian Government to address the critical situation facing Aboriginal peoples in the Northern Territory and supports the Government’s objective to improve the quality of life for Aboriginal peoples living in the Northern Territory.</w:t>
      </w:r>
    </w:p>
    <w:p w14:paraId="7F3CF198" w14:textId="603E94BE" w:rsidR="00821224" w:rsidRDefault="00821224" w:rsidP="000974C4">
      <w:pPr>
        <w:pStyle w:val="SubmissionNormal"/>
        <w:numPr>
          <w:ilvl w:val="0"/>
          <w:numId w:val="41"/>
        </w:numPr>
        <w:tabs>
          <w:tab w:val="left" w:pos="709"/>
        </w:tabs>
        <w:ind w:hanging="709"/>
      </w:pPr>
      <w:r>
        <w:t xml:space="preserve">In order to achieve Aboriginal people’s social, cultural and economic goals, it is the Commission’s view that the proposed Stronger Futures legislation requires the ongoing engagement of the people affected by these measures to ensure that they are able to address the challenges they face and own the solutions. This requires </w:t>
      </w:r>
      <w:r w:rsidR="00ED1298">
        <w:t xml:space="preserve">their </w:t>
      </w:r>
      <w:r>
        <w:t>engagement at all stages of design, development, implementation, monitoring and review of policy, legislation and programs.</w:t>
      </w:r>
    </w:p>
    <w:p w14:paraId="600D4FC6" w14:textId="467E2D6B" w:rsidR="00821224" w:rsidRDefault="00821224" w:rsidP="000974C4">
      <w:pPr>
        <w:pStyle w:val="SubmissionNormal"/>
        <w:numPr>
          <w:ilvl w:val="0"/>
          <w:numId w:val="41"/>
        </w:numPr>
        <w:tabs>
          <w:tab w:val="left" w:pos="709"/>
        </w:tabs>
        <w:ind w:hanging="709"/>
      </w:pPr>
      <w:r>
        <w:t xml:space="preserve">While the Commission supports the intent of the Stronger Futures Bills, the Commission is of the view that the measures contained within the Stronger Futures Bills are intrusive and limiting of individual freedoms and human rights. </w:t>
      </w:r>
      <w:r w:rsidR="00A168E1">
        <w:t>Where it is deemed appropriate to design interventions which infringe on individuals’ human rights, then that intervention must be the least restrictive on the rights of individuals whilst trying to meet the purpose of the intervention.</w:t>
      </w:r>
    </w:p>
    <w:p w14:paraId="79BA4CFF" w14:textId="77777777" w:rsidR="00821224" w:rsidRDefault="00821224" w:rsidP="000974C4">
      <w:pPr>
        <w:pStyle w:val="SubmissionNormal"/>
        <w:numPr>
          <w:ilvl w:val="0"/>
          <w:numId w:val="41"/>
        </w:numPr>
        <w:tabs>
          <w:tab w:val="left" w:pos="709"/>
        </w:tabs>
        <w:ind w:hanging="709"/>
      </w:pPr>
      <w:r>
        <w:t xml:space="preserve">As such, the Commission’s support for the passage of the Stronger Futures Bills is contingent upon the adoption of the recommendations outlined below at section 2.1.  </w:t>
      </w:r>
    </w:p>
    <w:p w14:paraId="7B28CC51" w14:textId="77777777" w:rsidR="00821224" w:rsidRDefault="00821224" w:rsidP="000974C4">
      <w:pPr>
        <w:pStyle w:val="SubmissionNormal"/>
        <w:numPr>
          <w:ilvl w:val="0"/>
          <w:numId w:val="41"/>
        </w:numPr>
        <w:tabs>
          <w:tab w:val="left" w:pos="709"/>
        </w:tabs>
        <w:ind w:hanging="709"/>
      </w:pPr>
      <w:r>
        <w:t xml:space="preserve">This submission assesses the implications of the measures outlined in the Stronger Futures Bills in terms of their compliance with Australia’s human rights obligations and makes suggestions about further developing the Bills to ensure their compliance and effectiveness. </w:t>
      </w:r>
    </w:p>
    <w:p w14:paraId="67333F07" w14:textId="77777777" w:rsidR="00821224" w:rsidRDefault="00821224" w:rsidP="000974C4">
      <w:pPr>
        <w:pStyle w:val="SubmissionNormal"/>
        <w:numPr>
          <w:ilvl w:val="0"/>
          <w:numId w:val="41"/>
        </w:numPr>
        <w:tabs>
          <w:tab w:val="left" w:pos="709"/>
        </w:tabs>
        <w:ind w:hanging="709"/>
      </w:pPr>
      <w:r>
        <w:t>In this submission, the Commission makes the following key points:</w:t>
      </w:r>
    </w:p>
    <w:p w14:paraId="3405D645" w14:textId="77777777" w:rsidR="00821224" w:rsidRDefault="00821224" w:rsidP="000974C4">
      <w:pPr>
        <w:pStyle w:val="SubmissionNormal"/>
        <w:numPr>
          <w:ilvl w:val="0"/>
          <w:numId w:val="24"/>
        </w:numPr>
      </w:pPr>
      <w:r>
        <w:lastRenderedPageBreak/>
        <w:t xml:space="preserve">The Stronger Futures Bills must be implemented in accordance with human rights standards. This includes ensuring that the Stronger Futures Bills are consistent with the </w:t>
      </w:r>
      <w:r w:rsidRPr="003E72E6">
        <w:rPr>
          <w:i/>
        </w:rPr>
        <w:t>Racial Discrimination Act 1975</w:t>
      </w:r>
      <w:r>
        <w:t xml:space="preserve"> (Cth).</w:t>
      </w:r>
    </w:p>
    <w:p w14:paraId="5EF9F007" w14:textId="71A13E1B" w:rsidR="00821224" w:rsidRDefault="00821224" w:rsidP="000974C4">
      <w:pPr>
        <w:pStyle w:val="SubmissionNormal"/>
        <w:numPr>
          <w:ilvl w:val="0"/>
          <w:numId w:val="24"/>
        </w:numPr>
      </w:pPr>
      <w:r>
        <w:t xml:space="preserve">The Government is strongly encouraged to adopt the Commission’s approach to effective consultation and engagement with Aboriginal peoples in relation to further developing and implementing the Stronger Futures Bills, and </w:t>
      </w:r>
      <w:r w:rsidR="00B34DAA">
        <w:t xml:space="preserve">to </w:t>
      </w:r>
      <w:r>
        <w:t>commit to working with Aboriginal communities in the Northern Territory to develop appropriate responses that meet the identified needs of individual communities.</w:t>
      </w:r>
    </w:p>
    <w:p w14:paraId="357A2A04" w14:textId="77777777" w:rsidR="00821224" w:rsidRDefault="00821224" w:rsidP="000974C4">
      <w:pPr>
        <w:pStyle w:val="SubmissionNormal"/>
        <w:numPr>
          <w:ilvl w:val="0"/>
          <w:numId w:val="24"/>
        </w:numPr>
      </w:pPr>
      <w:r>
        <w:t>A key priority for the Government should be to resource the development of community governance structures to enable Aboriginal peoples to engage with and control decision-making about their own development goals, particularly those pertaining to the Stronger Futures priority areas.</w:t>
      </w:r>
    </w:p>
    <w:p w14:paraId="2AAA9D64" w14:textId="2D8B5C63" w:rsidR="00821224" w:rsidRDefault="00821224" w:rsidP="000974C4">
      <w:pPr>
        <w:pStyle w:val="SubmissionNormal"/>
        <w:numPr>
          <w:ilvl w:val="0"/>
          <w:numId w:val="24"/>
        </w:numPr>
      </w:pPr>
      <w:r>
        <w:t xml:space="preserve">The Government </w:t>
      </w:r>
      <w:r w:rsidR="00B34DAA">
        <w:t xml:space="preserve">should </w:t>
      </w:r>
      <w:r>
        <w:t>review and reform</w:t>
      </w:r>
      <w:r w:rsidR="00B34DAA">
        <w:t xml:space="preserve"> its</w:t>
      </w:r>
      <w:r>
        <w:t xml:space="preserve"> internal structures and workforce to ensure cultural competency, cultural safety and cultural security.</w:t>
      </w:r>
    </w:p>
    <w:p w14:paraId="6E64D92C" w14:textId="4A20CA76" w:rsidR="00821224" w:rsidRDefault="00821224" w:rsidP="000974C4">
      <w:pPr>
        <w:pStyle w:val="SubmissionNormal"/>
        <w:numPr>
          <w:ilvl w:val="0"/>
          <w:numId w:val="41"/>
        </w:numPr>
        <w:tabs>
          <w:tab w:val="left" w:pos="709"/>
        </w:tabs>
        <w:ind w:hanging="709"/>
      </w:pPr>
      <w:r>
        <w:t xml:space="preserve">The Commission is concerned </w:t>
      </w:r>
      <w:r w:rsidR="00A168E1">
        <w:t xml:space="preserve">that without these crucial amendments to the </w:t>
      </w:r>
      <w:r w:rsidR="00AC28FE">
        <w:t>Stronger Futures Bills</w:t>
      </w:r>
      <w:r w:rsidR="00A168E1">
        <w:t>,</w:t>
      </w:r>
      <w:r w:rsidR="00AC28FE">
        <w:t xml:space="preserve"> </w:t>
      </w:r>
      <w:r w:rsidR="00A168E1">
        <w:t xml:space="preserve">the </w:t>
      </w:r>
      <w:r>
        <w:t>Government’s intention to improve the life outcomes for Aboriginal peoples in the Northern Territory</w:t>
      </w:r>
      <w:r w:rsidR="00A168E1">
        <w:t xml:space="preserve"> will not be realised</w:t>
      </w:r>
      <w:r>
        <w:t>.</w:t>
      </w:r>
    </w:p>
    <w:p w14:paraId="2DEC50A4" w14:textId="77777777" w:rsidR="00821224" w:rsidRPr="00D9119E" w:rsidRDefault="00821224" w:rsidP="007C6E06">
      <w:pPr>
        <w:pStyle w:val="Heading2"/>
      </w:pPr>
      <w:bookmarkStart w:id="14" w:name="_Toc315865047"/>
      <w:bookmarkStart w:id="15" w:name="_Toc316042339"/>
      <w:r w:rsidRPr="00D9119E">
        <w:t>Recommendations</w:t>
      </w:r>
      <w:bookmarkEnd w:id="14"/>
      <w:bookmarkEnd w:id="15"/>
    </w:p>
    <w:p w14:paraId="5DDE6D88" w14:textId="77777777" w:rsidR="00821224" w:rsidRDefault="00821224" w:rsidP="007C6E06">
      <w:pPr>
        <w:pStyle w:val="Heading3"/>
      </w:pPr>
      <w:bookmarkStart w:id="16" w:name="_Toc315865048"/>
      <w:bookmarkStart w:id="17" w:name="_Toc316042340"/>
      <w:r>
        <w:t>Consultation and Engagement</w:t>
      </w:r>
      <w:bookmarkEnd w:id="16"/>
      <w:bookmarkEnd w:id="17"/>
    </w:p>
    <w:p w14:paraId="391CDEF6" w14:textId="542AAA58" w:rsidR="00821224" w:rsidRPr="00C90CB8" w:rsidRDefault="00821224" w:rsidP="000974C4">
      <w:pPr>
        <w:pStyle w:val="SubmissionNormal"/>
        <w:numPr>
          <w:ilvl w:val="0"/>
          <w:numId w:val="41"/>
        </w:numPr>
        <w:tabs>
          <w:tab w:val="left" w:pos="709"/>
        </w:tabs>
        <w:ind w:hanging="709"/>
        <w:rPr>
          <w:b/>
        </w:rPr>
      </w:pPr>
      <w:r w:rsidRPr="00ED017C">
        <w:t xml:space="preserve">The Commission recommends that the proposed s 4 of the Stronger Futures in the Northern Territory Bill 2011 (Cth) be amended so that the object of the Act is </w:t>
      </w:r>
      <w:r w:rsidR="005D3BC5">
        <w:t xml:space="preserve">also </w:t>
      </w:r>
      <w:r w:rsidRPr="00ED017C">
        <w:t xml:space="preserve">to ensure the effective participation and engagement of Aboriginal and Torres Strait Islander peoples in matters </w:t>
      </w:r>
      <w:r w:rsidR="004A52FE">
        <w:t>a</w:t>
      </w:r>
      <w:r w:rsidRPr="00ED017C">
        <w:t xml:space="preserve">ffecting them </w:t>
      </w:r>
      <w:r w:rsidR="00A27A1A">
        <w:rPr>
          <w:b/>
        </w:rPr>
        <w:t xml:space="preserve">[Recommendation </w:t>
      </w:r>
      <w:r w:rsidR="003515E5">
        <w:rPr>
          <w:b/>
        </w:rPr>
        <w:t xml:space="preserve">no. </w:t>
      </w:r>
      <w:r w:rsidR="00A27A1A">
        <w:rPr>
          <w:b/>
        </w:rPr>
        <w:t>1</w:t>
      </w:r>
      <w:r w:rsidRPr="00C90CB8">
        <w:rPr>
          <w:b/>
        </w:rPr>
        <w:t>].</w:t>
      </w:r>
    </w:p>
    <w:p w14:paraId="23A25411" w14:textId="46CC9D46" w:rsidR="00821224" w:rsidRDefault="00821224" w:rsidP="000974C4">
      <w:pPr>
        <w:pStyle w:val="SubmissionNormal"/>
        <w:numPr>
          <w:ilvl w:val="0"/>
          <w:numId w:val="41"/>
        </w:numPr>
        <w:ind w:hanging="709"/>
        <w:rPr>
          <w:b/>
        </w:rPr>
      </w:pPr>
      <w:r w:rsidRPr="00ED017C">
        <w:t xml:space="preserve">The Commission recommends that the Stronger Futures Bills </w:t>
      </w:r>
      <w:r w:rsidR="003515E5">
        <w:t>ar</w:t>
      </w:r>
      <w:r w:rsidR="00B34DAA">
        <w:t>e</w:t>
      </w:r>
      <w:r w:rsidRPr="00ED017C">
        <w:t xml:space="preserve"> amended so that the definition of ‘consultation’ adopts the Commission’s criteria for meaningful and effective consultation set </w:t>
      </w:r>
      <w:r w:rsidR="00CC6261">
        <w:t xml:space="preserve">out at paragraph 63 and appendix 2 </w:t>
      </w:r>
      <w:r>
        <w:rPr>
          <w:b/>
        </w:rPr>
        <w:t xml:space="preserve"> </w:t>
      </w:r>
      <w:r w:rsidRPr="00A73150">
        <w:rPr>
          <w:b/>
        </w:rPr>
        <w:t>[Rec</w:t>
      </w:r>
      <w:r w:rsidR="00A27A1A">
        <w:rPr>
          <w:b/>
        </w:rPr>
        <w:t xml:space="preserve">ommendation </w:t>
      </w:r>
      <w:r w:rsidR="003515E5">
        <w:rPr>
          <w:b/>
        </w:rPr>
        <w:t xml:space="preserve">no. </w:t>
      </w:r>
      <w:r w:rsidR="00A27A1A">
        <w:rPr>
          <w:b/>
        </w:rPr>
        <w:t>2</w:t>
      </w:r>
      <w:r w:rsidRPr="00A73150">
        <w:rPr>
          <w:b/>
        </w:rPr>
        <w:t xml:space="preserve">]. </w:t>
      </w:r>
    </w:p>
    <w:p w14:paraId="257FDBB5" w14:textId="77777777" w:rsidR="00821224" w:rsidRDefault="00821224" w:rsidP="007C6E06">
      <w:pPr>
        <w:pStyle w:val="Heading3"/>
      </w:pPr>
      <w:bookmarkStart w:id="18" w:name="_Toc315865049"/>
      <w:bookmarkStart w:id="19" w:name="_Toc316042341"/>
      <w:r>
        <w:t>Community Governance</w:t>
      </w:r>
      <w:bookmarkEnd w:id="18"/>
      <w:bookmarkEnd w:id="19"/>
    </w:p>
    <w:p w14:paraId="351C65D4" w14:textId="77777777" w:rsidR="00821224" w:rsidRPr="00ED017C" w:rsidRDefault="00821224" w:rsidP="000974C4">
      <w:pPr>
        <w:pStyle w:val="SubmissionNormal"/>
        <w:numPr>
          <w:ilvl w:val="0"/>
          <w:numId w:val="41"/>
        </w:numPr>
        <w:ind w:hanging="709"/>
      </w:pPr>
      <w:r w:rsidRPr="00ED017C">
        <w:t>The Commission recommends the Australian and Northern Territory Governments commit to:</w:t>
      </w:r>
    </w:p>
    <w:p w14:paraId="1D7B3CE6" w14:textId="5190B39B" w:rsidR="00821224" w:rsidRPr="00ED017C" w:rsidRDefault="00821224" w:rsidP="000974C4">
      <w:pPr>
        <w:pStyle w:val="SubmissionNormal"/>
        <w:numPr>
          <w:ilvl w:val="0"/>
          <w:numId w:val="24"/>
        </w:numPr>
      </w:pPr>
      <w:r w:rsidRPr="00ED017C">
        <w:t>appropriately resource (including financial and technical assistance), and prioritise programs that facilitate the development of community governance structures which enable and empower Aboriginal communities to engage with and control decision-making about their cultural, political, economic and social development goals</w:t>
      </w:r>
    </w:p>
    <w:p w14:paraId="1BDC16F4" w14:textId="77777777" w:rsidR="00821224" w:rsidRDefault="00821224" w:rsidP="000974C4">
      <w:pPr>
        <w:pStyle w:val="SubmissionNormal"/>
        <w:numPr>
          <w:ilvl w:val="0"/>
          <w:numId w:val="24"/>
        </w:numPr>
      </w:pPr>
      <w:r w:rsidRPr="00ED017C">
        <w:t xml:space="preserve">develop and implement a holistic and coordinated approach to address the eight priority areas identified in the </w:t>
      </w:r>
      <w:r w:rsidRPr="00ED017C">
        <w:rPr>
          <w:i/>
        </w:rPr>
        <w:t xml:space="preserve">Stronger Futures </w:t>
      </w:r>
      <w:r>
        <w:rPr>
          <w:i/>
        </w:rPr>
        <w:t xml:space="preserve">in the Northern </w:t>
      </w:r>
      <w:r>
        <w:rPr>
          <w:i/>
        </w:rPr>
        <w:lastRenderedPageBreak/>
        <w:t xml:space="preserve">Territory </w:t>
      </w:r>
      <w:r w:rsidRPr="00ED017C">
        <w:rPr>
          <w:i/>
        </w:rPr>
        <w:t xml:space="preserve">Discussion Paper </w:t>
      </w:r>
      <w:r w:rsidRPr="00ED017C">
        <w:t xml:space="preserve">and </w:t>
      </w:r>
      <w:r w:rsidRPr="00ED017C">
        <w:rPr>
          <w:i/>
        </w:rPr>
        <w:t>Consultations Report</w:t>
      </w:r>
      <w:r w:rsidRPr="00ED017C">
        <w:t xml:space="preserve"> </w:t>
      </w:r>
      <w:r>
        <w:t>[</w:t>
      </w:r>
      <w:r>
        <w:rPr>
          <w:rFonts w:ascii="Arial Bold" w:hAnsi="Arial Bold"/>
        </w:rPr>
        <w:t xml:space="preserve">Recommendation no. </w:t>
      </w:r>
      <w:r w:rsidR="00A27A1A">
        <w:rPr>
          <w:rFonts w:ascii="Arial Bold" w:hAnsi="Arial Bold"/>
        </w:rPr>
        <w:t>3</w:t>
      </w:r>
      <w:r>
        <w:t>].</w:t>
      </w:r>
    </w:p>
    <w:p w14:paraId="6569487C" w14:textId="77777777" w:rsidR="00821224" w:rsidRDefault="00821224" w:rsidP="00681BEB">
      <w:pPr>
        <w:pStyle w:val="Heading3"/>
      </w:pPr>
      <w:bookmarkStart w:id="20" w:name="_Toc315865050"/>
      <w:bookmarkStart w:id="21" w:name="_Toc316042342"/>
      <w:r>
        <w:t>Cultural Competency</w:t>
      </w:r>
      <w:bookmarkEnd w:id="20"/>
      <w:bookmarkEnd w:id="21"/>
    </w:p>
    <w:p w14:paraId="130E9F95" w14:textId="77777777" w:rsidR="00821224" w:rsidRPr="00ED017C" w:rsidRDefault="00821224" w:rsidP="000974C4">
      <w:pPr>
        <w:pStyle w:val="SubmissionNormal"/>
        <w:numPr>
          <w:ilvl w:val="0"/>
          <w:numId w:val="41"/>
        </w:numPr>
        <w:ind w:hanging="709"/>
      </w:pPr>
      <w:r w:rsidRPr="00ED017C">
        <w:t>The Commission recommends that the Australian and Northern Territory Governments implement the Stronger Futures measures in a cultural</w:t>
      </w:r>
      <w:r>
        <w:t>ly safe</w:t>
      </w:r>
      <w:r w:rsidRPr="00ED017C">
        <w:t xml:space="preserve"> and competent manner. This </w:t>
      </w:r>
      <w:r>
        <w:t>requires the Government to ensure</w:t>
      </w:r>
      <w:r w:rsidRPr="00ED017C">
        <w:t xml:space="preserve">: </w:t>
      </w:r>
    </w:p>
    <w:p w14:paraId="330CC523" w14:textId="77777777" w:rsidR="00821224" w:rsidRPr="00ED017C" w:rsidRDefault="00821224" w:rsidP="000974C4">
      <w:pPr>
        <w:pStyle w:val="SubmissionNormal"/>
        <w:numPr>
          <w:ilvl w:val="0"/>
          <w:numId w:val="24"/>
        </w:numPr>
      </w:pPr>
      <w:r w:rsidRPr="00ED017C">
        <w:t xml:space="preserve">the mandatory use of Identified Positions/Criteria for all positions in the public service that have any involvement with the Stronger Futures measures, and the requirement for relevant officers to have the appropriate skills and cultural competency to work with Aboriginal and Torres Strait Islander peoples and communities </w:t>
      </w:r>
    </w:p>
    <w:p w14:paraId="0BF3976D" w14:textId="77777777" w:rsidR="00821224" w:rsidRPr="00ED017C" w:rsidRDefault="00821224" w:rsidP="000974C4">
      <w:pPr>
        <w:pStyle w:val="SubmissionNormal"/>
        <w:numPr>
          <w:ilvl w:val="0"/>
          <w:numId w:val="24"/>
        </w:numPr>
      </w:pPr>
      <w:r w:rsidRPr="00ED017C">
        <w:t xml:space="preserve">the development of targeted education and training programs with accredited training providers to facilitate the development of appropriate skills and cultural competency </w:t>
      </w:r>
    </w:p>
    <w:p w14:paraId="1B04DD8F" w14:textId="77777777" w:rsidR="00821224" w:rsidRDefault="00821224" w:rsidP="000974C4">
      <w:pPr>
        <w:pStyle w:val="SubmissionNormal"/>
        <w:numPr>
          <w:ilvl w:val="0"/>
          <w:numId w:val="24"/>
        </w:numPr>
      </w:pPr>
      <w:r w:rsidRPr="00ED017C">
        <w:t>increasing the capacity of G</w:t>
      </w:r>
      <w:r>
        <w:t xml:space="preserve">overnment </w:t>
      </w:r>
      <w:r w:rsidRPr="00ED017C">
        <w:t>B</w:t>
      </w:r>
      <w:r>
        <w:t xml:space="preserve">usiness </w:t>
      </w:r>
      <w:r w:rsidRPr="00ED017C">
        <w:t>M</w:t>
      </w:r>
      <w:r>
        <w:t>anager</w:t>
      </w:r>
      <w:r w:rsidRPr="00ED017C">
        <w:t>s and I</w:t>
      </w:r>
      <w:r>
        <w:t xml:space="preserve">ndigenous </w:t>
      </w:r>
      <w:r w:rsidRPr="00ED017C">
        <w:t>E</w:t>
      </w:r>
      <w:r>
        <w:t xml:space="preserve">ngagement </w:t>
      </w:r>
      <w:r w:rsidRPr="00ED017C">
        <w:t>O</w:t>
      </w:r>
      <w:r>
        <w:t>fficer</w:t>
      </w:r>
      <w:r w:rsidRPr="00ED017C">
        <w:t>s to work with communities and build community engagement processes with a view to improving community engagement on the key issues facing communities</w:t>
      </w:r>
      <w:r>
        <w:t xml:space="preserve"> [</w:t>
      </w:r>
      <w:r>
        <w:rPr>
          <w:rFonts w:ascii="Arial Bold" w:hAnsi="Arial Bold"/>
        </w:rPr>
        <w:t>Recommendation no.</w:t>
      </w:r>
      <w:r w:rsidR="00A27A1A">
        <w:rPr>
          <w:rFonts w:ascii="Arial Bold" w:hAnsi="Arial Bold"/>
        </w:rPr>
        <w:t xml:space="preserve"> 4</w:t>
      </w:r>
      <w:r>
        <w:t>].</w:t>
      </w:r>
    </w:p>
    <w:p w14:paraId="24B469D4" w14:textId="77777777" w:rsidR="00821224" w:rsidRDefault="00821224" w:rsidP="000974C4">
      <w:pPr>
        <w:pStyle w:val="SubmissionNormal"/>
        <w:numPr>
          <w:ilvl w:val="0"/>
          <w:numId w:val="41"/>
        </w:numPr>
        <w:ind w:hanging="709"/>
        <w:rPr>
          <w:b/>
        </w:rPr>
      </w:pPr>
      <w:r w:rsidRPr="00ED017C">
        <w:t xml:space="preserve">Given the potential of some measures to raise human rights concerns as they are developed, the Commission recommends that </w:t>
      </w:r>
      <w:r w:rsidRPr="00DB695D">
        <w:t>th</w:t>
      </w:r>
      <w:r>
        <w:t>e</w:t>
      </w:r>
      <w:r w:rsidRPr="00ED017C">
        <w:t xml:space="preserve"> </w:t>
      </w:r>
      <w:r>
        <w:t xml:space="preserve">Senate Community Affairs Legislation Committee </w:t>
      </w:r>
      <w:r w:rsidRPr="00ED017C">
        <w:t>conduct a follow up inquiry in three years’ time into progress in improving Indigenous governance arrangements, cultural security, and progress in developing community led initiatives such as alcohol management plans</w:t>
      </w:r>
      <w:r>
        <w:rPr>
          <w:b/>
        </w:rPr>
        <w:t xml:space="preserve"> </w:t>
      </w:r>
      <w:r>
        <w:t>[</w:t>
      </w:r>
      <w:r>
        <w:rPr>
          <w:rFonts w:ascii="Arial Bold" w:hAnsi="Arial Bold"/>
        </w:rPr>
        <w:t>Recommendation no.</w:t>
      </w:r>
      <w:r w:rsidR="00A27A1A">
        <w:rPr>
          <w:rFonts w:ascii="Arial Bold" w:hAnsi="Arial Bold"/>
        </w:rPr>
        <w:t xml:space="preserve"> 5</w:t>
      </w:r>
      <w:r>
        <w:t>]</w:t>
      </w:r>
      <w:r>
        <w:rPr>
          <w:b/>
        </w:rPr>
        <w:t>.</w:t>
      </w:r>
    </w:p>
    <w:p w14:paraId="384CAA4E" w14:textId="77777777" w:rsidR="00821224" w:rsidRPr="00DB695D" w:rsidRDefault="00821224" w:rsidP="00DB695D">
      <w:pPr>
        <w:pStyle w:val="Heading3"/>
      </w:pPr>
      <w:bookmarkStart w:id="22" w:name="_Toc315865051"/>
      <w:bookmarkStart w:id="23" w:name="_Toc316042343"/>
      <w:r w:rsidRPr="00DB695D">
        <w:t>Compliance with the Racial Discrimination Act</w:t>
      </w:r>
      <w:bookmarkEnd w:id="22"/>
      <w:bookmarkEnd w:id="23"/>
    </w:p>
    <w:p w14:paraId="702E4654" w14:textId="32BA600C" w:rsidR="00821224" w:rsidRPr="005C190B" w:rsidRDefault="00821224" w:rsidP="000974C4">
      <w:pPr>
        <w:pStyle w:val="SubmissionNormal"/>
        <w:numPr>
          <w:ilvl w:val="0"/>
          <w:numId w:val="41"/>
        </w:numPr>
        <w:ind w:hanging="709"/>
      </w:pPr>
      <w:r w:rsidRPr="00ED017C">
        <w:rPr>
          <w:rFonts w:cs="Arial"/>
        </w:rPr>
        <w:t xml:space="preserve">The Commission recommends that the Stronger Futures Bills be amended to include </w:t>
      </w:r>
      <w:r w:rsidR="00844196">
        <w:rPr>
          <w:rFonts w:cs="Arial"/>
        </w:rPr>
        <w:t>‘</w:t>
      </w:r>
      <w:r w:rsidRPr="00ED017C">
        <w:rPr>
          <w:rFonts w:cs="Arial"/>
        </w:rPr>
        <w:t>notwithstanding</w:t>
      </w:r>
      <w:r w:rsidR="00844196">
        <w:rPr>
          <w:rFonts w:cs="Arial"/>
        </w:rPr>
        <w:t>’</w:t>
      </w:r>
      <w:r w:rsidRPr="00ED017C">
        <w:rPr>
          <w:rFonts w:cs="Arial"/>
        </w:rPr>
        <w:t xml:space="preserve"> clauses that specify that in the event of ambiguity</w:t>
      </w:r>
      <w:r w:rsidR="00844196">
        <w:rPr>
          <w:rFonts w:cs="Arial"/>
        </w:rPr>
        <w:t>,</w:t>
      </w:r>
      <w:r w:rsidRPr="00ED017C">
        <w:rPr>
          <w:rFonts w:cs="Arial"/>
        </w:rPr>
        <w:t xml:space="preserve"> the provisions of the RDA are intended to prevail over the provisions of the Stronger Futures legislation and that the Stronger Futures legislation does not authorise conduct that is inconsistent with the provisions of the RDA</w:t>
      </w:r>
      <w:r>
        <w:t xml:space="preserve"> </w:t>
      </w:r>
      <w:r w:rsidR="00F1177B">
        <w:rPr>
          <w:rFonts w:ascii="Arial Bold" w:hAnsi="Arial Bold"/>
        </w:rPr>
        <w:t xml:space="preserve">[Recommendation </w:t>
      </w:r>
      <w:r w:rsidR="003515E5">
        <w:rPr>
          <w:rFonts w:ascii="Arial Bold" w:hAnsi="Arial Bold"/>
        </w:rPr>
        <w:t xml:space="preserve">no. </w:t>
      </w:r>
      <w:r w:rsidR="00A27A1A">
        <w:rPr>
          <w:rFonts w:ascii="Arial Bold" w:hAnsi="Arial Bold"/>
        </w:rPr>
        <w:t>6</w:t>
      </w:r>
      <w:r>
        <w:rPr>
          <w:rFonts w:ascii="Arial Bold" w:hAnsi="Arial Bold"/>
        </w:rPr>
        <w:t>].</w:t>
      </w:r>
    </w:p>
    <w:p w14:paraId="3A4CF61C" w14:textId="77777777" w:rsidR="00821224" w:rsidRDefault="00821224" w:rsidP="00C92799">
      <w:pPr>
        <w:pStyle w:val="Heading3"/>
      </w:pPr>
      <w:bookmarkStart w:id="24" w:name="_Toc315865052"/>
      <w:bookmarkStart w:id="25" w:name="_Toc316042344"/>
      <w:r>
        <w:t>Income Management</w:t>
      </w:r>
      <w:bookmarkEnd w:id="24"/>
      <w:bookmarkEnd w:id="25"/>
    </w:p>
    <w:p w14:paraId="358A51BC" w14:textId="77777777" w:rsidR="00821224" w:rsidRPr="00857615" w:rsidRDefault="00821224" w:rsidP="000974C4">
      <w:pPr>
        <w:pStyle w:val="SubmissionNormal"/>
        <w:numPr>
          <w:ilvl w:val="0"/>
          <w:numId w:val="41"/>
        </w:numPr>
        <w:ind w:hanging="709"/>
        <w:rPr>
          <w:b/>
        </w:rPr>
      </w:pPr>
      <w:r w:rsidRPr="00ED017C">
        <w:t>The Commission recommends that the Social Security Legislation Amendment Bill 2011 (Cth) be amended to require the Minister to consult with and take into account the views of the affected community prior to determining a</w:t>
      </w:r>
      <w:r>
        <w:t>n area to be a ‘specified area’</w:t>
      </w:r>
      <w:r w:rsidRPr="00857615">
        <w:rPr>
          <w:b/>
        </w:rPr>
        <w:t xml:space="preserve"> [Recommendation no.</w:t>
      </w:r>
      <w:r w:rsidR="00F1177B">
        <w:rPr>
          <w:b/>
        </w:rPr>
        <w:t xml:space="preserve"> </w:t>
      </w:r>
      <w:r w:rsidR="00A27A1A">
        <w:rPr>
          <w:b/>
        </w:rPr>
        <w:t>7</w:t>
      </w:r>
      <w:r w:rsidRPr="00857615">
        <w:rPr>
          <w:b/>
        </w:rPr>
        <w:t>].</w:t>
      </w:r>
    </w:p>
    <w:p w14:paraId="166E70AB" w14:textId="13A2107A" w:rsidR="00821224" w:rsidRPr="0049337E" w:rsidRDefault="00821224" w:rsidP="000974C4">
      <w:pPr>
        <w:pStyle w:val="SubmissionNormal"/>
        <w:numPr>
          <w:ilvl w:val="0"/>
          <w:numId w:val="41"/>
        </w:numPr>
        <w:ind w:hanging="709"/>
        <w:rPr>
          <w:b/>
        </w:rPr>
      </w:pPr>
      <w:r w:rsidRPr="00ED017C">
        <w:t xml:space="preserve">The Commission recommends that the Social Security Legislation Amendment Bill 2011 (Cth) </w:t>
      </w:r>
      <w:r w:rsidR="00540625">
        <w:t>provide for</w:t>
      </w:r>
      <w:r w:rsidR="00FA4B6C">
        <w:t xml:space="preserve"> </w:t>
      </w:r>
      <w:r w:rsidRPr="00ED017C">
        <w:t xml:space="preserve">criteria in the </w:t>
      </w:r>
      <w:r w:rsidRPr="0049337E">
        <w:rPr>
          <w:i/>
        </w:rPr>
        <w:t>Social Security (Administration) Act 1999</w:t>
      </w:r>
      <w:r w:rsidRPr="00ED017C">
        <w:t xml:space="preserve"> (Cth) which must be considered by the Minister when determining the type of agency</w:t>
      </w:r>
      <w:r w:rsidR="0049337E">
        <w:t xml:space="preserve"> which can</w:t>
      </w:r>
      <w:r w:rsidR="00FA4B6C">
        <w:t>,</w:t>
      </w:r>
      <w:r w:rsidRPr="00ED017C">
        <w:t xml:space="preserve"> or whether a particular agency</w:t>
      </w:r>
      <w:r w:rsidR="00FA4B6C">
        <w:t xml:space="preserve"> will,</w:t>
      </w:r>
      <w:r w:rsidRPr="00ED017C">
        <w:t xml:space="preserve"> be authorised to give notices requiring individuals to </w:t>
      </w:r>
      <w:r>
        <w:t>be subject to income management</w:t>
      </w:r>
      <w:r w:rsidR="00FA4B6C">
        <w:t xml:space="preserve">. Such </w:t>
      </w:r>
      <w:r w:rsidR="00FA4B6C">
        <w:lastRenderedPageBreak/>
        <w:t xml:space="preserve">criteria should </w:t>
      </w:r>
      <w:r w:rsidR="0049337E">
        <w:t xml:space="preserve">require </w:t>
      </w:r>
      <w:r w:rsidR="00FA4B6C">
        <w:t xml:space="preserve">agencies </w:t>
      </w:r>
      <w:r w:rsidR="0049337E">
        <w:t>to</w:t>
      </w:r>
      <w:r w:rsidR="00FA4B6C">
        <w:t xml:space="preserve"> have a relevant connection to promoting the welfare and wellbeing of childr</w:t>
      </w:r>
      <w:r w:rsidR="0049337E">
        <w:t>en.</w:t>
      </w:r>
      <w:r w:rsidRPr="0049337E">
        <w:rPr>
          <w:b/>
        </w:rPr>
        <w:t xml:space="preserve"> [Recommendation no.</w:t>
      </w:r>
      <w:r w:rsidR="00F1177B" w:rsidRPr="0049337E">
        <w:rPr>
          <w:b/>
        </w:rPr>
        <w:t xml:space="preserve"> </w:t>
      </w:r>
      <w:r w:rsidR="00A27A1A" w:rsidRPr="0049337E">
        <w:rPr>
          <w:b/>
        </w:rPr>
        <w:t>8</w:t>
      </w:r>
      <w:r w:rsidRPr="0049337E">
        <w:rPr>
          <w:b/>
        </w:rPr>
        <w:t>].</w:t>
      </w:r>
    </w:p>
    <w:p w14:paraId="25E4FBA8" w14:textId="77777777" w:rsidR="00821224" w:rsidRPr="00857615" w:rsidRDefault="00821224" w:rsidP="000974C4">
      <w:pPr>
        <w:pStyle w:val="SubmissionNormal"/>
        <w:numPr>
          <w:ilvl w:val="0"/>
          <w:numId w:val="41"/>
        </w:numPr>
        <w:ind w:hanging="709"/>
        <w:rPr>
          <w:b/>
        </w:rPr>
      </w:pPr>
      <w:r w:rsidRPr="00ED017C">
        <w:t>The Commission recommends that the power of an agency to make external referrals, and the factors that can be considered when making the decision to refer, should be clearly stated and defined in t</w:t>
      </w:r>
      <w:r>
        <w:t>he primary legislation</w:t>
      </w:r>
      <w:r w:rsidRPr="00857615">
        <w:rPr>
          <w:b/>
        </w:rPr>
        <w:t xml:space="preserve"> [Recommendation no. </w:t>
      </w:r>
      <w:r w:rsidR="00A27A1A">
        <w:rPr>
          <w:b/>
        </w:rPr>
        <w:t>9</w:t>
      </w:r>
      <w:r w:rsidRPr="00857615">
        <w:rPr>
          <w:b/>
        </w:rPr>
        <w:t>].</w:t>
      </w:r>
    </w:p>
    <w:p w14:paraId="5C9723F6" w14:textId="77777777" w:rsidR="00821224" w:rsidRDefault="00821224" w:rsidP="000974C4">
      <w:pPr>
        <w:pStyle w:val="SubmissionNormal"/>
        <w:numPr>
          <w:ilvl w:val="0"/>
          <w:numId w:val="41"/>
        </w:numPr>
        <w:ind w:hanging="709"/>
        <w:rPr>
          <w:b/>
        </w:rPr>
      </w:pPr>
      <w:r w:rsidRPr="00ED017C">
        <w:t>The Commission recommends that Schedule 1 of the Social Security Legislation Amendment Bill 2011 (Cth) be amended so that proposed external referral mechanism allows Centrelink to make its own determination of whether to place a referred individual onto an income management program after considering the</w:t>
      </w:r>
      <w:r>
        <w:t xml:space="preserve"> merits of a particular referral</w:t>
      </w:r>
      <w:r w:rsidRPr="00857615">
        <w:rPr>
          <w:b/>
        </w:rPr>
        <w:t xml:space="preserve"> [</w:t>
      </w:r>
      <w:r w:rsidRPr="00857615">
        <w:rPr>
          <w:rFonts w:ascii="Arial Bold" w:hAnsi="Arial Bold"/>
          <w:b/>
        </w:rPr>
        <w:t xml:space="preserve">Recommendation no. </w:t>
      </w:r>
      <w:r w:rsidR="00A27A1A">
        <w:rPr>
          <w:rFonts w:ascii="Arial Bold" w:hAnsi="Arial Bold"/>
          <w:b/>
        </w:rPr>
        <w:t>10</w:t>
      </w:r>
      <w:r w:rsidRPr="00857615">
        <w:rPr>
          <w:b/>
        </w:rPr>
        <w:t>].</w:t>
      </w:r>
    </w:p>
    <w:p w14:paraId="2D4B7C98" w14:textId="77777777" w:rsidR="00821224" w:rsidRPr="00857615" w:rsidRDefault="00821224" w:rsidP="00C92799">
      <w:pPr>
        <w:pStyle w:val="Heading3"/>
      </w:pPr>
      <w:bookmarkStart w:id="26" w:name="_Toc315865053"/>
      <w:bookmarkStart w:id="27" w:name="_Toc316042345"/>
      <w:r>
        <w:t>School Enrolment and Attendance through Welfare Reform Measure</w:t>
      </w:r>
      <w:bookmarkEnd w:id="26"/>
      <w:bookmarkEnd w:id="27"/>
    </w:p>
    <w:p w14:paraId="43F7A018" w14:textId="77777777" w:rsidR="00821224" w:rsidRPr="00ED017C" w:rsidRDefault="00821224" w:rsidP="000974C4">
      <w:pPr>
        <w:pStyle w:val="SubmissionNormal"/>
        <w:numPr>
          <w:ilvl w:val="0"/>
          <w:numId w:val="41"/>
        </w:numPr>
        <w:ind w:hanging="709"/>
      </w:pPr>
      <w:r w:rsidRPr="00ED017C">
        <w:t>The Commission recommends that the Government address the issue of school attendance through a rights-based and non-discriminatory approach which should include:</w:t>
      </w:r>
    </w:p>
    <w:p w14:paraId="0DC5A07F" w14:textId="77777777" w:rsidR="00821224" w:rsidRPr="00ED017C" w:rsidRDefault="00821224" w:rsidP="000974C4">
      <w:pPr>
        <w:pStyle w:val="SubmissionNormal"/>
        <w:numPr>
          <w:ilvl w:val="0"/>
          <w:numId w:val="24"/>
        </w:numPr>
      </w:pPr>
      <w:r w:rsidRPr="00ED017C">
        <w:t>increasing the provision of education infrastructure and resources, particularly for Aboriginal and Torres Strait Islander communities in rural and remote areas</w:t>
      </w:r>
    </w:p>
    <w:p w14:paraId="71AAF190" w14:textId="08F94390" w:rsidR="00821224" w:rsidRPr="00ED017C" w:rsidRDefault="00821224" w:rsidP="000974C4">
      <w:pPr>
        <w:pStyle w:val="SubmissionNormal"/>
        <w:numPr>
          <w:ilvl w:val="0"/>
          <w:numId w:val="24"/>
        </w:numPr>
      </w:pPr>
      <w:r w:rsidRPr="00ED017C">
        <w:t xml:space="preserve">increasing engagement with </w:t>
      </w:r>
      <w:r w:rsidR="00844196">
        <w:t xml:space="preserve">all </w:t>
      </w:r>
      <w:r w:rsidRPr="00ED017C">
        <w:t>parents and communities</w:t>
      </w:r>
    </w:p>
    <w:p w14:paraId="460221D1" w14:textId="77777777" w:rsidR="00821224" w:rsidRPr="00ED017C" w:rsidRDefault="00821224" w:rsidP="000974C4">
      <w:pPr>
        <w:pStyle w:val="SubmissionNormal"/>
        <w:numPr>
          <w:ilvl w:val="0"/>
          <w:numId w:val="24"/>
        </w:numPr>
      </w:pPr>
      <w:r w:rsidRPr="00ED017C">
        <w:t>improving the quality of education, placing an emphasis on providing children with incentives to learn and developing methods of teaching that resonate with Aboriginal and Torres Strait Islander students</w:t>
      </w:r>
    </w:p>
    <w:p w14:paraId="5AD8162E" w14:textId="77777777" w:rsidR="00821224" w:rsidRPr="00B748B2" w:rsidRDefault="00821224" w:rsidP="000974C4">
      <w:pPr>
        <w:pStyle w:val="SubmissionNormal"/>
        <w:numPr>
          <w:ilvl w:val="0"/>
          <w:numId w:val="24"/>
        </w:numPr>
        <w:rPr>
          <w:b/>
        </w:rPr>
      </w:pPr>
      <w:r w:rsidRPr="00ED017C">
        <w:t>supporting education programs that have proven to increase school attendance</w:t>
      </w:r>
      <w:r w:rsidRPr="00B748B2">
        <w:rPr>
          <w:b/>
        </w:rPr>
        <w:t xml:space="preserve"> [Recommendation no. </w:t>
      </w:r>
      <w:r w:rsidR="00A27A1A">
        <w:rPr>
          <w:b/>
        </w:rPr>
        <w:t>11</w:t>
      </w:r>
      <w:r w:rsidRPr="00B748B2">
        <w:rPr>
          <w:b/>
        </w:rPr>
        <w:t>].</w:t>
      </w:r>
    </w:p>
    <w:p w14:paraId="2ED7D8F3" w14:textId="77777777" w:rsidR="00821224" w:rsidRPr="00BB7A3F" w:rsidRDefault="00821224" w:rsidP="000974C4">
      <w:pPr>
        <w:pStyle w:val="SubmissionNormal"/>
        <w:numPr>
          <w:ilvl w:val="0"/>
          <w:numId w:val="41"/>
        </w:numPr>
        <w:ind w:hanging="709"/>
        <w:rPr>
          <w:b/>
        </w:rPr>
      </w:pPr>
      <w:r w:rsidRPr="00ED017C">
        <w:t xml:space="preserve">The Commission recommends that Government Business Managers work with the Northern Territory Department of Education to conduct an audit </w:t>
      </w:r>
      <w:r>
        <w:t xml:space="preserve">of and publicly report on </w:t>
      </w:r>
      <w:r w:rsidRPr="00ED017C">
        <w:t>schooling facilities in Aboriginal communities in the Northern Territory to ensure that there are adequate learning facilities for all Aboriginal children</w:t>
      </w:r>
      <w:r w:rsidRPr="00BB7A3F">
        <w:rPr>
          <w:b/>
        </w:rPr>
        <w:t xml:space="preserve"> [Recommendation no. </w:t>
      </w:r>
      <w:r w:rsidR="00F1177B">
        <w:rPr>
          <w:b/>
        </w:rPr>
        <w:t>1</w:t>
      </w:r>
      <w:r w:rsidR="00A27A1A">
        <w:rPr>
          <w:b/>
        </w:rPr>
        <w:t>2</w:t>
      </w:r>
      <w:r w:rsidRPr="00BB7A3F">
        <w:rPr>
          <w:b/>
        </w:rPr>
        <w:t>].</w:t>
      </w:r>
    </w:p>
    <w:p w14:paraId="29AAADE2" w14:textId="7A011456" w:rsidR="00821224" w:rsidRPr="00BB7A3F" w:rsidRDefault="00821224" w:rsidP="000974C4">
      <w:pPr>
        <w:pStyle w:val="SubmissionNormal"/>
        <w:numPr>
          <w:ilvl w:val="0"/>
          <w:numId w:val="41"/>
        </w:numPr>
        <w:ind w:hanging="709"/>
        <w:rPr>
          <w:b/>
        </w:rPr>
      </w:pPr>
      <w:r w:rsidRPr="00ED017C">
        <w:t xml:space="preserve">The Commission recommends that if the SEAM program is to be extended, it be altered to ensure the full participation of Aboriginal communities in its implementation. This should include provisions that require the Government to establish community advisory mechanisms for the implementation of the scheme, and to provide options for </w:t>
      </w:r>
      <w:r w:rsidR="003515E5">
        <w:t>communities to voluntarily ‘opt-</w:t>
      </w:r>
      <w:r w:rsidRPr="00ED017C">
        <w:t>in’ to the scheme</w:t>
      </w:r>
      <w:r w:rsidRPr="00BB7A3F">
        <w:rPr>
          <w:b/>
        </w:rPr>
        <w:t xml:space="preserve"> [Recommendation no. </w:t>
      </w:r>
      <w:r w:rsidR="00F1177B">
        <w:rPr>
          <w:b/>
        </w:rPr>
        <w:t>1</w:t>
      </w:r>
      <w:r w:rsidR="00A27A1A">
        <w:rPr>
          <w:b/>
        </w:rPr>
        <w:t>3</w:t>
      </w:r>
      <w:r w:rsidRPr="00BB7A3F">
        <w:rPr>
          <w:b/>
        </w:rPr>
        <w:t xml:space="preserve">]. </w:t>
      </w:r>
    </w:p>
    <w:p w14:paraId="13DD7525" w14:textId="4B00B16A" w:rsidR="00821224" w:rsidRPr="00ED017C" w:rsidRDefault="00821224" w:rsidP="000974C4">
      <w:pPr>
        <w:pStyle w:val="SubmissionNormal"/>
        <w:numPr>
          <w:ilvl w:val="0"/>
          <w:numId w:val="41"/>
        </w:numPr>
        <w:ind w:hanging="709"/>
      </w:pPr>
      <w:r w:rsidRPr="00ED017C">
        <w:t>If the Government retains the welfare consequence of SEAM, the Commission recommends that it only be employed as a last resort. Further, the Commission recommends that the Social Security Legislation Amendment Bill 2011 (Cth) be amended:</w:t>
      </w:r>
    </w:p>
    <w:p w14:paraId="31E3CF34" w14:textId="77777777" w:rsidR="00821224" w:rsidRPr="00ED017C" w:rsidRDefault="00821224" w:rsidP="000974C4">
      <w:pPr>
        <w:pStyle w:val="SubmissionNormal"/>
        <w:numPr>
          <w:ilvl w:val="0"/>
          <w:numId w:val="24"/>
        </w:numPr>
      </w:pPr>
      <w:r w:rsidRPr="00ED017C">
        <w:t>to remove proposed s 124A(2)</w:t>
      </w:r>
    </w:p>
    <w:p w14:paraId="0B90D1AA" w14:textId="77777777" w:rsidR="00821224" w:rsidRPr="00ED017C" w:rsidRDefault="00821224" w:rsidP="000974C4">
      <w:pPr>
        <w:pStyle w:val="SubmissionNormal"/>
        <w:numPr>
          <w:ilvl w:val="0"/>
          <w:numId w:val="24"/>
        </w:numPr>
      </w:pPr>
      <w:r w:rsidRPr="00ED017C">
        <w:lastRenderedPageBreak/>
        <w:t>to remove proposed ss 124ND(1)(a) and (b)</w:t>
      </w:r>
    </w:p>
    <w:p w14:paraId="4DC81D15" w14:textId="77777777" w:rsidR="00821224" w:rsidRPr="00ED017C" w:rsidRDefault="00821224" w:rsidP="000974C4">
      <w:pPr>
        <w:pStyle w:val="SubmissionNormal"/>
        <w:numPr>
          <w:ilvl w:val="0"/>
          <w:numId w:val="24"/>
        </w:numPr>
      </w:pPr>
      <w:r w:rsidRPr="00ED017C">
        <w:t xml:space="preserve">so that ss 124NE and 124NF afford a discretionary power to suspend or cancel a ‘schooling requirement payment’. In particular, these provisions should provide that on non-compliance with a compliance notice the school </w:t>
      </w:r>
      <w:r w:rsidRPr="00ED017C">
        <w:rPr>
          <w:i/>
        </w:rPr>
        <w:t>may</w:t>
      </w:r>
      <w:r w:rsidRPr="00ED017C">
        <w:t xml:space="preserve"> refer the matter to the Secretary for assessment by the Secretary as to whether to suspend or cancel a ‘schooling requirement payment’ in accordance with specified criteria </w:t>
      </w:r>
    </w:p>
    <w:p w14:paraId="11107C8F" w14:textId="77777777" w:rsidR="00821224" w:rsidRPr="00ED017C" w:rsidRDefault="00821224" w:rsidP="000974C4">
      <w:pPr>
        <w:pStyle w:val="SubmissionNormal"/>
        <w:numPr>
          <w:ilvl w:val="0"/>
          <w:numId w:val="24"/>
        </w:numPr>
      </w:pPr>
      <w:r w:rsidRPr="00ED017C">
        <w:t>to provide that the Secretary, in making an assessment as to whether to suspend or cancel a ‘schooling requirement payment’, must give consideration to certain criteria, for example:</w:t>
      </w:r>
    </w:p>
    <w:p w14:paraId="408729D4" w14:textId="77777777" w:rsidR="00821224" w:rsidRPr="00ED017C" w:rsidRDefault="00821224" w:rsidP="000974C4">
      <w:pPr>
        <w:pStyle w:val="SubmissionNormal"/>
        <w:numPr>
          <w:ilvl w:val="1"/>
          <w:numId w:val="45"/>
        </w:numPr>
      </w:pPr>
      <w:r w:rsidRPr="00ED017C">
        <w:t>whether non-compliance is only of a trivial or technical nature</w:t>
      </w:r>
    </w:p>
    <w:p w14:paraId="1C5C867B" w14:textId="77777777" w:rsidR="00821224" w:rsidRPr="00ED017C" w:rsidRDefault="00821224" w:rsidP="000974C4">
      <w:pPr>
        <w:pStyle w:val="SubmissionNormal"/>
        <w:numPr>
          <w:ilvl w:val="1"/>
          <w:numId w:val="45"/>
        </w:numPr>
      </w:pPr>
      <w:r w:rsidRPr="00ED017C">
        <w:t>the number of school attendance plans that have previously been entered into</w:t>
      </w:r>
    </w:p>
    <w:p w14:paraId="249FD5B5" w14:textId="1C45879E" w:rsidR="00821224" w:rsidRPr="00ED017C" w:rsidRDefault="00821224" w:rsidP="000974C4">
      <w:pPr>
        <w:pStyle w:val="SubmissionNormal"/>
        <w:numPr>
          <w:ilvl w:val="1"/>
          <w:numId w:val="45"/>
        </w:numPr>
      </w:pPr>
      <w:r w:rsidRPr="00ED017C">
        <w:t>whether case-management and Government assistance has been provided to the person to assist in addressing barriers to attendance</w:t>
      </w:r>
    </w:p>
    <w:p w14:paraId="22D63D00" w14:textId="7FAA9C8F" w:rsidR="00821224" w:rsidRPr="00ED017C" w:rsidRDefault="00A22E3C" w:rsidP="000974C4">
      <w:pPr>
        <w:pStyle w:val="SubmissionNormal"/>
        <w:numPr>
          <w:ilvl w:val="1"/>
          <w:numId w:val="45"/>
        </w:numPr>
      </w:pPr>
      <w:r>
        <w:t>the extent to which the</w:t>
      </w:r>
      <w:r w:rsidR="00821224" w:rsidRPr="00ED017C">
        <w:t xml:space="preserve"> suspension or cancellation </w:t>
      </w:r>
      <w:r>
        <w:t xml:space="preserve">will </w:t>
      </w:r>
      <w:r w:rsidR="00821224" w:rsidRPr="00ED017C">
        <w:t>have a detrimental impact on the person and/or their family</w:t>
      </w:r>
    </w:p>
    <w:p w14:paraId="0FEEDDFA" w14:textId="77777777" w:rsidR="00821224" w:rsidRPr="00ED017C" w:rsidRDefault="00821224" w:rsidP="000974C4">
      <w:pPr>
        <w:pStyle w:val="SubmissionNormal"/>
        <w:numPr>
          <w:ilvl w:val="1"/>
          <w:numId w:val="45"/>
        </w:numPr>
      </w:pPr>
      <w:r w:rsidRPr="00ED017C">
        <w:t>whether suspension or cancellation is likely to impact on the school attendance of the person’s child</w:t>
      </w:r>
    </w:p>
    <w:p w14:paraId="59C68368" w14:textId="77777777" w:rsidR="00821224" w:rsidRPr="00ED017C" w:rsidRDefault="00821224" w:rsidP="000974C4">
      <w:pPr>
        <w:pStyle w:val="SubmissionNormal"/>
        <w:numPr>
          <w:ilvl w:val="0"/>
          <w:numId w:val="24"/>
        </w:numPr>
      </w:pPr>
      <w:r w:rsidRPr="00ED017C">
        <w:t xml:space="preserve">to require the Secretary to ‘reconsider’ his or her decision regarding suspension or cancellation of a ‘schooling requirement payment’ within 7 days of receiving an application for review under s 129 of the </w:t>
      </w:r>
      <w:r w:rsidRPr="00ED017C">
        <w:rPr>
          <w:i/>
        </w:rPr>
        <w:t xml:space="preserve">Social Security (Administration) Act 1999 </w:t>
      </w:r>
      <w:r w:rsidRPr="00ED017C">
        <w:t>(Cth)</w:t>
      </w:r>
    </w:p>
    <w:p w14:paraId="2FAC007A" w14:textId="77777777" w:rsidR="00821224" w:rsidRDefault="00821224" w:rsidP="000974C4">
      <w:pPr>
        <w:pStyle w:val="SubmissionNormal"/>
        <w:numPr>
          <w:ilvl w:val="0"/>
          <w:numId w:val="24"/>
        </w:numPr>
        <w:rPr>
          <w:b/>
        </w:rPr>
      </w:pPr>
      <w:r w:rsidRPr="00ED017C">
        <w:t xml:space="preserve">to require the arrears of a suspended ‘schooling requirement payment’ to be paid to the ‘schooling requirement person’ (under proposed s 124NG </w:t>
      </w:r>
      <w:r w:rsidRPr="00ED017C">
        <w:rPr>
          <w:i/>
        </w:rPr>
        <w:t xml:space="preserve">Social Security (Administration) Act 1999 </w:t>
      </w:r>
      <w:r w:rsidRPr="00ED017C">
        <w:t xml:space="preserve">(Cth)) within as short a time as is practicable, but no more than 14 days, following the Secretary’s decision under s 129 of the </w:t>
      </w:r>
      <w:r w:rsidRPr="00ED017C">
        <w:rPr>
          <w:i/>
        </w:rPr>
        <w:t xml:space="preserve">Social Security (Administration) Act 1999 </w:t>
      </w:r>
      <w:r w:rsidRPr="00ED017C">
        <w:t>(Cth)</w:t>
      </w:r>
      <w:r w:rsidRPr="00162244">
        <w:rPr>
          <w:b/>
        </w:rPr>
        <w:t xml:space="preserve"> [Recommendation no. </w:t>
      </w:r>
      <w:r w:rsidR="00F1177B">
        <w:rPr>
          <w:b/>
        </w:rPr>
        <w:t>1</w:t>
      </w:r>
      <w:r w:rsidR="00A27A1A">
        <w:rPr>
          <w:b/>
        </w:rPr>
        <w:t>4</w:t>
      </w:r>
      <w:r w:rsidRPr="00162244">
        <w:rPr>
          <w:b/>
        </w:rPr>
        <w:t>].</w:t>
      </w:r>
    </w:p>
    <w:p w14:paraId="749B1E09" w14:textId="77777777" w:rsidR="00821224" w:rsidRPr="00162244" w:rsidRDefault="00821224" w:rsidP="00C92799">
      <w:pPr>
        <w:pStyle w:val="Heading3"/>
      </w:pPr>
      <w:bookmarkStart w:id="28" w:name="_Toc315865054"/>
      <w:bookmarkStart w:id="29" w:name="_Toc316042346"/>
      <w:r>
        <w:t>Tackling Alcohol Abuse</w:t>
      </w:r>
      <w:bookmarkEnd w:id="28"/>
      <w:bookmarkEnd w:id="29"/>
    </w:p>
    <w:p w14:paraId="7DDC37AD" w14:textId="77777777" w:rsidR="00821224" w:rsidRDefault="00821224" w:rsidP="000974C4">
      <w:pPr>
        <w:pStyle w:val="SubmissionNormal"/>
        <w:numPr>
          <w:ilvl w:val="0"/>
          <w:numId w:val="41"/>
        </w:numPr>
        <w:ind w:hanging="709"/>
      </w:pPr>
      <w:r w:rsidRPr="00ED017C">
        <w:t xml:space="preserve">The Commission reiterates its recommendation from the </w:t>
      </w:r>
      <w:r w:rsidRPr="00ED017C">
        <w:rPr>
          <w:i/>
        </w:rPr>
        <w:t>Social Justice Report 2007</w:t>
      </w:r>
      <w:r w:rsidRPr="00ED017C">
        <w:t xml:space="preserve"> for the Australian Government to ensure alcohol restrictions are supplemented by investment in infrastructure in the health and mental health sectors (including culturally appropriate detoxification facilities) and investment in culturally appropriate community education programs delivered by Indigenous staff</w:t>
      </w:r>
      <w:r w:rsidRPr="00CA1705">
        <w:t xml:space="preserve"> </w:t>
      </w:r>
      <w:r w:rsidRPr="00285744">
        <w:t>[</w:t>
      </w:r>
      <w:r w:rsidRPr="0009496D">
        <w:rPr>
          <w:b/>
        </w:rPr>
        <w:t>Recommendation no.</w:t>
      </w:r>
      <w:r w:rsidR="00F1177B">
        <w:rPr>
          <w:b/>
        </w:rPr>
        <w:t xml:space="preserve"> 1</w:t>
      </w:r>
      <w:r w:rsidR="00A27A1A">
        <w:rPr>
          <w:b/>
        </w:rPr>
        <w:t>5</w:t>
      </w:r>
      <w:r w:rsidRPr="00285744">
        <w:t>]</w:t>
      </w:r>
      <w:r w:rsidRPr="00FD76AF">
        <w:t>.</w:t>
      </w:r>
    </w:p>
    <w:p w14:paraId="0450E428" w14:textId="77777777" w:rsidR="00821224" w:rsidRPr="0072617A" w:rsidRDefault="00821224" w:rsidP="000974C4">
      <w:pPr>
        <w:pStyle w:val="SubmissionNormal"/>
        <w:numPr>
          <w:ilvl w:val="0"/>
          <w:numId w:val="41"/>
        </w:numPr>
        <w:ind w:hanging="709"/>
      </w:pPr>
      <w:r w:rsidRPr="00ED017C">
        <w:t>The Commission recommends that the blanket alcohol bans pr</w:t>
      </w:r>
      <w:r w:rsidR="007102BE">
        <w:t>oposed be limited to a further three</w:t>
      </w:r>
      <w:r w:rsidRPr="00ED017C">
        <w:t xml:space="preserve"> year period to enable the transition to community developed alcohol management plans</w:t>
      </w:r>
      <w:r>
        <w:rPr>
          <w:b/>
        </w:rPr>
        <w:t xml:space="preserve"> </w:t>
      </w:r>
      <w:r w:rsidRPr="00285744">
        <w:t>[</w:t>
      </w:r>
      <w:r w:rsidRPr="0009496D">
        <w:rPr>
          <w:b/>
        </w:rPr>
        <w:t>Recommendation no.</w:t>
      </w:r>
      <w:r w:rsidR="00F1177B">
        <w:rPr>
          <w:b/>
        </w:rPr>
        <w:t xml:space="preserve"> 1</w:t>
      </w:r>
      <w:r w:rsidR="00A27A1A">
        <w:rPr>
          <w:b/>
        </w:rPr>
        <w:t>6</w:t>
      </w:r>
      <w:r w:rsidRPr="00285744">
        <w:t>]</w:t>
      </w:r>
      <w:r>
        <w:rPr>
          <w:b/>
        </w:rPr>
        <w:t xml:space="preserve">. </w:t>
      </w:r>
    </w:p>
    <w:p w14:paraId="2E4D9332" w14:textId="77777777" w:rsidR="00821224" w:rsidRDefault="00821224" w:rsidP="000974C4">
      <w:pPr>
        <w:pStyle w:val="SubmissionNormal"/>
        <w:numPr>
          <w:ilvl w:val="0"/>
          <w:numId w:val="41"/>
        </w:numPr>
        <w:ind w:hanging="709"/>
        <w:rPr>
          <w:b/>
        </w:rPr>
      </w:pPr>
      <w:r w:rsidRPr="00ED017C">
        <w:lastRenderedPageBreak/>
        <w:t>The Commission recommends that Division 6 of the Stronger Futures in the Northern Territory Bill 2011 (Cth) be amended to explicitly include consultation requirements for the development of rules that prescribe the minimum standards in relation to alcohol management plans</w:t>
      </w:r>
      <w:r w:rsidRPr="00891F71">
        <w:rPr>
          <w:b/>
        </w:rPr>
        <w:t xml:space="preserve"> [Recommendation no.</w:t>
      </w:r>
      <w:r w:rsidR="00F1177B">
        <w:rPr>
          <w:b/>
        </w:rPr>
        <w:t xml:space="preserve"> 1</w:t>
      </w:r>
      <w:r w:rsidR="00A27A1A">
        <w:rPr>
          <w:b/>
        </w:rPr>
        <w:t>7</w:t>
      </w:r>
      <w:r w:rsidRPr="00891F71">
        <w:rPr>
          <w:b/>
        </w:rPr>
        <w:t>].</w:t>
      </w:r>
    </w:p>
    <w:p w14:paraId="7114B5A2" w14:textId="77777777" w:rsidR="00821224" w:rsidRPr="00274388" w:rsidRDefault="00821224" w:rsidP="000974C4">
      <w:pPr>
        <w:pStyle w:val="SubmissionNormal"/>
        <w:numPr>
          <w:ilvl w:val="0"/>
          <w:numId w:val="41"/>
        </w:numPr>
        <w:ind w:hanging="709"/>
        <w:rPr>
          <w:b/>
        </w:rPr>
      </w:pPr>
      <w:r>
        <w:t>The Commission recommends that p</w:t>
      </w:r>
      <w:r w:rsidRPr="00ED017C">
        <w:t>roposed ss 17 and 23 of the Stronger Futures in the Northern Territory Bill 2011 (Cth) be amended to ensu</w:t>
      </w:r>
      <w:r>
        <w:t xml:space="preserve">re that </w:t>
      </w:r>
      <w:r w:rsidRPr="00ED017C">
        <w:t>the Minister is required to take into account the outcomes of consultations with affected communities about the introduction of alcohol management plans</w:t>
      </w:r>
      <w:r>
        <w:t xml:space="preserve"> </w:t>
      </w:r>
      <w:r w:rsidRPr="005C7C85">
        <w:rPr>
          <w:b/>
        </w:rPr>
        <w:t>[Recommendation no.</w:t>
      </w:r>
      <w:r w:rsidR="00F1177B">
        <w:rPr>
          <w:b/>
        </w:rPr>
        <w:t xml:space="preserve"> 1</w:t>
      </w:r>
      <w:r w:rsidR="00A27A1A">
        <w:rPr>
          <w:b/>
        </w:rPr>
        <w:t>8</w:t>
      </w:r>
      <w:r w:rsidRPr="005C7C85">
        <w:rPr>
          <w:b/>
        </w:rPr>
        <w:t>]</w:t>
      </w:r>
      <w:r w:rsidRPr="00ED017C">
        <w:t>.</w:t>
      </w:r>
    </w:p>
    <w:p w14:paraId="42890B33" w14:textId="77777777" w:rsidR="00821224" w:rsidRPr="00773587" w:rsidRDefault="00821224" w:rsidP="000974C4">
      <w:pPr>
        <w:pStyle w:val="SubmissionNormal"/>
        <w:numPr>
          <w:ilvl w:val="0"/>
          <w:numId w:val="41"/>
        </w:numPr>
        <w:ind w:hanging="709"/>
        <w:rPr>
          <w:b/>
        </w:rPr>
      </w:pPr>
      <w:r w:rsidRPr="005C7C85">
        <w:t>The Commission recommends that s 23(2) of the Stronger Futures in the Northern Territory Bill 2011 (Cth) be amended to include that the Minister must have regard to the circumstances and views of the people living in the area when making a decision to approve a variation to an alcohol management plan</w:t>
      </w:r>
      <w:r w:rsidRPr="00773587">
        <w:rPr>
          <w:b/>
        </w:rPr>
        <w:t xml:space="preserve"> [Recommendation no.</w:t>
      </w:r>
      <w:r w:rsidR="00F1177B">
        <w:rPr>
          <w:b/>
        </w:rPr>
        <w:t xml:space="preserve"> 1</w:t>
      </w:r>
      <w:r w:rsidR="00A27A1A">
        <w:rPr>
          <w:b/>
        </w:rPr>
        <w:t>9</w:t>
      </w:r>
      <w:r w:rsidRPr="00773587">
        <w:rPr>
          <w:b/>
        </w:rPr>
        <w:t>].</w:t>
      </w:r>
    </w:p>
    <w:p w14:paraId="1E7F8D67" w14:textId="77777777" w:rsidR="00821224" w:rsidRPr="00773587" w:rsidRDefault="00821224" w:rsidP="000974C4">
      <w:pPr>
        <w:pStyle w:val="SubmissionNormal"/>
        <w:numPr>
          <w:ilvl w:val="0"/>
          <w:numId w:val="41"/>
        </w:numPr>
        <w:ind w:hanging="709"/>
        <w:rPr>
          <w:b/>
        </w:rPr>
      </w:pPr>
      <w:r w:rsidRPr="005C7C85">
        <w:t>The Commission recommends that financial, technical and other assistance be provided to communities to facilitate the development of alcohol management plans that are tailored to the needs of their communities and contain the least restrictive measures</w:t>
      </w:r>
      <w:r w:rsidRPr="00773587">
        <w:rPr>
          <w:b/>
        </w:rPr>
        <w:t xml:space="preserve"> [Recommendation no.</w:t>
      </w:r>
      <w:r w:rsidR="00F1177B">
        <w:rPr>
          <w:b/>
        </w:rPr>
        <w:t xml:space="preserve"> </w:t>
      </w:r>
      <w:r w:rsidR="00A27A1A">
        <w:rPr>
          <w:b/>
        </w:rPr>
        <w:t>20</w:t>
      </w:r>
      <w:r w:rsidRPr="00773587">
        <w:rPr>
          <w:b/>
        </w:rPr>
        <w:t>].</w:t>
      </w:r>
    </w:p>
    <w:p w14:paraId="1E607526" w14:textId="77777777" w:rsidR="00821224" w:rsidRPr="005C7C85" w:rsidRDefault="00821224" w:rsidP="000974C4">
      <w:pPr>
        <w:pStyle w:val="SubmissionNormal"/>
        <w:numPr>
          <w:ilvl w:val="0"/>
          <w:numId w:val="41"/>
        </w:numPr>
        <w:ind w:hanging="709"/>
      </w:pPr>
      <w:r w:rsidRPr="005C7C85">
        <w:rPr>
          <w:rFonts w:cs="Arial"/>
        </w:rPr>
        <w:t>The Commission recommends that s 15(5) of the Stronger Futures in the Northern Territory Bill 2011 (Cth) be amended so that:</w:t>
      </w:r>
    </w:p>
    <w:p w14:paraId="757AE647" w14:textId="77777777" w:rsidR="00821224" w:rsidRPr="005C7C85" w:rsidRDefault="00821224" w:rsidP="000974C4">
      <w:pPr>
        <w:pStyle w:val="SubmissionNormal"/>
        <w:numPr>
          <w:ilvl w:val="0"/>
          <w:numId w:val="24"/>
        </w:numPr>
      </w:pPr>
      <w:r w:rsidRPr="005C7C85">
        <w:rPr>
          <w:rFonts w:cs="Arial"/>
        </w:rPr>
        <w:t>‘undue financial burden’ is replaced with ‘excessive financial burden’</w:t>
      </w:r>
    </w:p>
    <w:p w14:paraId="06E129D5" w14:textId="77777777" w:rsidR="00821224" w:rsidRPr="00773587" w:rsidRDefault="00821224" w:rsidP="000974C4">
      <w:pPr>
        <w:pStyle w:val="SubmissionNormal"/>
        <w:numPr>
          <w:ilvl w:val="0"/>
          <w:numId w:val="24"/>
        </w:numPr>
        <w:rPr>
          <w:b/>
        </w:rPr>
      </w:pPr>
      <w:r w:rsidRPr="005C7C85">
        <w:t>‘would otherwise be inappropriate’ be removed or replaced with more targeted language detailing the kind of circumstances or situations where it would be reasonable to refuse such a request</w:t>
      </w:r>
      <w:r w:rsidRPr="00773587">
        <w:rPr>
          <w:b/>
        </w:rPr>
        <w:t xml:space="preserve"> [Recommendation no.</w:t>
      </w:r>
      <w:r w:rsidR="00F1177B">
        <w:rPr>
          <w:b/>
        </w:rPr>
        <w:t xml:space="preserve"> </w:t>
      </w:r>
      <w:r w:rsidR="00A27A1A">
        <w:rPr>
          <w:b/>
        </w:rPr>
        <w:t>21</w:t>
      </w:r>
      <w:r w:rsidRPr="00773587">
        <w:rPr>
          <w:b/>
        </w:rPr>
        <w:t>].</w:t>
      </w:r>
    </w:p>
    <w:p w14:paraId="070E838F" w14:textId="77777777" w:rsidR="00821224" w:rsidRPr="00773587" w:rsidRDefault="00821224" w:rsidP="000974C4">
      <w:pPr>
        <w:pStyle w:val="SubmissionNormal"/>
        <w:numPr>
          <w:ilvl w:val="0"/>
          <w:numId w:val="41"/>
        </w:numPr>
        <w:ind w:hanging="709"/>
        <w:rPr>
          <w:b/>
        </w:rPr>
      </w:pPr>
      <w:r w:rsidRPr="005C7C85">
        <w:t xml:space="preserve">The Commission </w:t>
      </w:r>
      <w:r w:rsidRPr="005C7C85">
        <w:rPr>
          <w:rFonts w:cs="Arial"/>
        </w:rPr>
        <w:t>recommends</w:t>
      </w:r>
      <w:r w:rsidRPr="005C7C85">
        <w:t xml:space="preserve"> that the Australian Government ensure sufficient financial resources are made available to the Northern Territory Government to be able to effectively carry out requests to assess licenced premises</w:t>
      </w:r>
      <w:r w:rsidRPr="00773587">
        <w:rPr>
          <w:b/>
        </w:rPr>
        <w:t xml:space="preserve"> [Recommendation no.</w:t>
      </w:r>
      <w:r w:rsidR="00F1177B">
        <w:rPr>
          <w:b/>
        </w:rPr>
        <w:t xml:space="preserve"> 2</w:t>
      </w:r>
      <w:r w:rsidR="00A27A1A">
        <w:rPr>
          <w:b/>
        </w:rPr>
        <w:t>2</w:t>
      </w:r>
      <w:r w:rsidRPr="00773587">
        <w:rPr>
          <w:b/>
        </w:rPr>
        <w:t>].</w:t>
      </w:r>
    </w:p>
    <w:p w14:paraId="52D9BABF" w14:textId="77777777" w:rsidR="00821224" w:rsidRDefault="00821224" w:rsidP="000974C4">
      <w:pPr>
        <w:pStyle w:val="SubmissionNormal"/>
        <w:numPr>
          <w:ilvl w:val="0"/>
          <w:numId w:val="41"/>
        </w:numPr>
        <w:ind w:hanging="709"/>
        <w:rPr>
          <w:b/>
        </w:rPr>
      </w:pPr>
      <w:r w:rsidRPr="005C7C85">
        <w:t xml:space="preserve">The Commission recommends that a definition of ‘alcohol’ be inserted into the dictionary in proposed s 75A(1) of the </w:t>
      </w:r>
      <w:r w:rsidRPr="005C7C85">
        <w:rPr>
          <w:i/>
        </w:rPr>
        <w:t>Liquor Act</w:t>
      </w:r>
      <w:r w:rsidRPr="005C7C85">
        <w:t xml:space="preserve"> (N</w:t>
      </w:r>
      <w:r>
        <w:t xml:space="preserve">orthern </w:t>
      </w:r>
      <w:r w:rsidRPr="005C7C85">
        <w:t>T</w:t>
      </w:r>
      <w:r>
        <w:t>erritory</w:t>
      </w:r>
      <w:r w:rsidRPr="005C7C85">
        <w:t>) which clarifies that ‘alcohol’ in proposed s 75(C)(7) means pure alcohol or ‘Ethyl Alcohol with no other additives or denaturants’</w:t>
      </w:r>
      <w:r>
        <w:t xml:space="preserve"> </w:t>
      </w:r>
      <w:r w:rsidRPr="00773587">
        <w:rPr>
          <w:b/>
        </w:rPr>
        <w:t>[Recommendation no.</w:t>
      </w:r>
      <w:r w:rsidR="00F1177B">
        <w:rPr>
          <w:b/>
        </w:rPr>
        <w:t xml:space="preserve"> 2</w:t>
      </w:r>
      <w:r w:rsidR="00A27A1A">
        <w:rPr>
          <w:b/>
        </w:rPr>
        <w:t>3</w:t>
      </w:r>
      <w:r w:rsidRPr="00773587">
        <w:rPr>
          <w:b/>
        </w:rPr>
        <w:t>]</w:t>
      </w:r>
      <w:r w:rsidRPr="00B33874">
        <w:rPr>
          <w:b/>
        </w:rPr>
        <w:t>.</w:t>
      </w:r>
    </w:p>
    <w:p w14:paraId="05DE1B44" w14:textId="77777777" w:rsidR="00821224" w:rsidRDefault="00821224" w:rsidP="000974C4">
      <w:pPr>
        <w:pStyle w:val="SubmissionNormal"/>
        <w:numPr>
          <w:ilvl w:val="0"/>
          <w:numId w:val="41"/>
        </w:numPr>
        <w:ind w:hanging="709"/>
        <w:rPr>
          <w:b/>
        </w:rPr>
      </w:pPr>
      <w:r w:rsidRPr="005C7C85">
        <w:t xml:space="preserve">The Commission recommends that the Stronger Futures in the Northern Territory Bill 2011 (Cth) insert into Division 1AA into the </w:t>
      </w:r>
      <w:r w:rsidRPr="005C7C85">
        <w:rPr>
          <w:i/>
        </w:rPr>
        <w:t>Liquor Act</w:t>
      </w:r>
      <w:r w:rsidRPr="005C7C85">
        <w:t xml:space="preserve"> (N</w:t>
      </w:r>
      <w:r>
        <w:t xml:space="preserve">orthern </w:t>
      </w:r>
      <w:r w:rsidRPr="005C7C85">
        <w:t>T</w:t>
      </w:r>
      <w:r>
        <w:t>erritory</w:t>
      </w:r>
      <w:r w:rsidRPr="005C7C85">
        <w:t>) a note setting out that these alternatives are the preferable way to manage possession and consumption of alc</w:t>
      </w:r>
      <w:r>
        <w:t>ohol in alcohol protected areas</w:t>
      </w:r>
      <w:r w:rsidRPr="00B33874">
        <w:rPr>
          <w:b/>
        </w:rPr>
        <w:t xml:space="preserve"> [Recommendation no.</w:t>
      </w:r>
      <w:r w:rsidR="00F1177B">
        <w:rPr>
          <w:b/>
        </w:rPr>
        <w:t xml:space="preserve"> 2</w:t>
      </w:r>
      <w:r w:rsidR="00A27A1A">
        <w:rPr>
          <w:b/>
        </w:rPr>
        <w:t>4</w:t>
      </w:r>
      <w:r w:rsidRPr="00B33874">
        <w:rPr>
          <w:b/>
        </w:rPr>
        <w:t xml:space="preserve">]. </w:t>
      </w:r>
    </w:p>
    <w:p w14:paraId="34C8A611" w14:textId="77777777" w:rsidR="00821224" w:rsidRDefault="00821224" w:rsidP="000974C4">
      <w:pPr>
        <w:pStyle w:val="SubmissionNormal"/>
        <w:numPr>
          <w:ilvl w:val="0"/>
          <w:numId w:val="41"/>
        </w:numPr>
        <w:ind w:hanging="709"/>
        <w:rPr>
          <w:b/>
        </w:rPr>
      </w:pPr>
      <w:r w:rsidRPr="005C7C85">
        <w:t>The Commission recommends that the Stronger Futures Bills be amended to include a mandated floor price for alcohol across the Northern Territory</w:t>
      </w:r>
      <w:r w:rsidRPr="005F7452">
        <w:rPr>
          <w:b/>
        </w:rPr>
        <w:t xml:space="preserve"> [Recommendation no.</w:t>
      </w:r>
      <w:r w:rsidR="00F1177B">
        <w:rPr>
          <w:b/>
        </w:rPr>
        <w:t xml:space="preserve"> 2</w:t>
      </w:r>
      <w:r w:rsidR="00A27A1A">
        <w:rPr>
          <w:b/>
        </w:rPr>
        <w:t>5</w:t>
      </w:r>
      <w:r w:rsidRPr="005F7452">
        <w:rPr>
          <w:b/>
        </w:rPr>
        <w:t>].</w:t>
      </w:r>
    </w:p>
    <w:p w14:paraId="1097B405" w14:textId="77777777" w:rsidR="00821224" w:rsidRPr="005F7452" w:rsidRDefault="00821224" w:rsidP="00C92799">
      <w:pPr>
        <w:pStyle w:val="Heading3"/>
      </w:pPr>
      <w:bookmarkStart w:id="30" w:name="_Toc315865055"/>
      <w:bookmarkStart w:id="31" w:name="_Toc316042347"/>
      <w:r>
        <w:lastRenderedPageBreak/>
        <w:t>Land Reform Measures</w:t>
      </w:r>
      <w:bookmarkEnd w:id="30"/>
      <w:bookmarkEnd w:id="31"/>
    </w:p>
    <w:p w14:paraId="26E1CF20" w14:textId="77777777" w:rsidR="00821224" w:rsidRPr="005F7452" w:rsidRDefault="00821224" w:rsidP="000974C4">
      <w:pPr>
        <w:pStyle w:val="SubmissionNormal"/>
        <w:numPr>
          <w:ilvl w:val="0"/>
          <w:numId w:val="41"/>
        </w:numPr>
        <w:ind w:hanging="709"/>
        <w:rPr>
          <w:b/>
        </w:rPr>
      </w:pPr>
      <w:r w:rsidRPr="005C7C85">
        <w:t xml:space="preserve">The Commission recommends that the provisions of the Stronger Futures in the Northern Territory (Consequential and Transitional Provisions) Bill 2011 repealing the sections dealing with the compulsory acquisition of five-year leases, and repealing Part IIB of the </w:t>
      </w:r>
      <w:r w:rsidRPr="005C7C85">
        <w:rPr>
          <w:rFonts w:ascii="Arial Italic" w:hAnsi="Arial Italic"/>
        </w:rPr>
        <w:t>Aboriginal Land Rights Act (Northern Territory) 1976</w:t>
      </w:r>
      <w:r w:rsidRPr="005C7C85">
        <w:t xml:space="preserve"> (Cth)</w:t>
      </w:r>
      <w:r w:rsidRPr="005C7C85">
        <w:rPr>
          <w:rFonts w:ascii="Arial Italic" w:hAnsi="Arial Italic"/>
        </w:rPr>
        <w:t xml:space="preserve">, </w:t>
      </w:r>
      <w:r w:rsidRPr="005C7C85">
        <w:t>be passed</w:t>
      </w:r>
      <w:r w:rsidRPr="005F7452">
        <w:rPr>
          <w:b/>
        </w:rPr>
        <w:t xml:space="preserve"> [</w:t>
      </w:r>
      <w:r w:rsidRPr="005F7452">
        <w:rPr>
          <w:rFonts w:ascii="Arial Bold" w:hAnsi="Arial Bold"/>
          <w:b/>
        </w:rPr>
        <w:t>Recommendation no.</w:t>
      </w:r>
      <w:r w:rsidR="00F1177B">
        <w:rPr>
          <w:rFonts w:ascii="Arial Bold" w:hAnsi="Arial Bold"/>
          <w:b/>
        </w:rPr>
        <w:t xml:space="preserve"> 2</w:t>
      </w:r>
      <w:r w:rsidR="00A27A1A">
        <w:rPr>
          <w:rFonts w:ascii="Arial Bold" w:hAnsi="Arial Bold"/>
          <w:b/>
        </w:rPr>
        <w:t>6</w:t>
      </w:r>
      <w:r w:rsidRPr="005F7452">
        <w:rPr>
          <w:b/>
        </w:rPr>
        <w:t>]</w:t>
      </w:r>
      <w:r>
        <w:rPr>
          <w:b/>
        </w:rPr>
        <w:t>.</w:t>
      </w:r>
    </w:p>
    <w:p w14:paraId="3FD3D804" w14:textId="77777777" w:rsidR="00821224" w:rsidRPr="005F7452" w:rsidRDefault="00821224" w:rsidP="000974C4">
      <w:pPr>
        <w:pStyle w:val="SubmissionNormal"/>
        <w:numPr>
          <w:ilvl w:val="0"/>
          <w:numId w:val="41"/>
        </w:numPr>
        <w:ind w:hanging="709"/>
        <w:rPr>
          <w:b/>
        </w:rPr>
      </w:pPr>
      <w:r w:rsidRPr="005C7C85">
        <w:t xml:space="preserve">The Commission recommends that the Australian Government ensure Northern Territory Land Councils are adequately resourced to provide support to the owners of community living area land in relation to any dealings on the land as envisaged by proposed s 23(1)(ea) of the </w:t>
      </w:r>
      <w:r w:rsidRPr="005C7C85">
        <w:rPr>
          <w:rFonts w:ascii="Arial Italic" w:hAnsi="Arial Italic"/>
        </w:rPr>
        <w:t>Aboriginal Land Rights (Northern Territory) Act 1976</w:t>
      </w:r>
      <w:r w:rsidRPr="005C7C85">
        <w:t xml:space="preserve"> (Cth). In addition, the Australian Government should ensure town camp councils also have access to sufficient financial and technical assistance to enable them to utilise any new provisions affecting town camp leasing for their benefit</w:t>
      </w:r>
      <w:r w:rsidRPr="005F7452">
        <w:rPr>
          <w:b/>
        </w:rPr>
        <w:t xml:space="preserve"> [</w:t>
      </w:r>
      <w:r w:rsidRPr="005F7452">
        <w:rPr>
          <w:rFonts w:ascii="Arial Bold" w:hAnsi="Arial Bold"/>
          <w:b/>
        </w:rPr>
        <w:t>Recommendation no.</w:t>
      </w:r>
      <w:r w:rsidR="00F1177B">
        <w:rPr>
          <w:rFonts w:ascii="Arial Bold" w:hAnsi="Arial Bold"/>
          <w:b/>
        </w:rPr>
        <w:t xml:space="preserve"> 2</w:t>
      </w:r>
      <w:r w:rsidR="00A27A1A">
        <w:rPr>
          <w:rFonts w:ascii="Arial Bold" w:hAnsi="Arial Bold"/>
          <w:b/>
        </w:rPr>
        <w:t>7</w:t>
      </w:r>
      <w:r w:rsidRPr="005F7452">
        <w:rPr>
          <w:b/>
        </w:rPr>
        <w:t>].</w:t>
      </w:r>
    </w:p>
    <w:p w14:paraId="3D12DFAE" w14:textId="77777777" w:rsidR="00821224" w:rsidRPr="005F7452" w:rsidRDefault="00821224" w:rsidP="000974C4">
      <w:pPr>
        <w:pStyle w:val="SubmissionNormal"/>
        <w:numPr>
          <w:ilvl w:val="0"/>
          <w:numId w:val="41"/>
        </w:numPr>
        <w:ind w:hanging="709"/>
        <w:rPr>
          <w:b/>
        </w:rPr>
      </w:pPr>
      <w:r w:rsidRPr="005C7C85">
        <w:t xml:space="preserve">The Commission recommends that the Australian Government include the amendments to Northern Territory laws and/or leases, as envisaged by Part 3 of the Stronger Futures in the Northern Territory Bill 2011 (Cth), in the Bill to enable analysis and debate prior to the passage of the Bill. Alternatively, that the Government provide an exposure draft of the proposed Regulations in conjunction with the Stronger Futures in the Northern Territory Bill 2011 (Cth) for comment prior to the passage of the Bill </w:t>
      </w:r>
      <w:r w:rsidRPr="005F7452">
        <w:rPr>
          <w:b/>
        </w:rPr>
        <w:t>[</w:t>
      </w:r>
      <w:r w:rsidRPr="005F7452">
        <w:rPr>
          <w:rFonts w:ascii="Arial Bold" w:hAnsi="Arial Bold"/>
          <w:b/>
        </w:rPr>
        <w:t>Recommendation no.</w:t>
      </w:r>
      <w:r w:rsidR="00F1177B">
        <w:rPr>
          <w:rFonts w:ascii="Arial Bold" w:hAnsi="Arial Bold"/>
          <w:b/>
        </w:rPr>
        <w:t xml:space="preserve"> 2</w:t>
      </w:r>
      <w:r w:rsidR="00A27A1A">
        <w:rPr>
          <w:rFonts w:ascii="Arial Bold" w:hAnsi="Arial Bold"/>
          <w:b/>
        </w:rPr>
        <w:t>8</w:t>
      </w:r>
      <w:r w:rsidRPr="005F7452">
        <w:rPr>
          <w:b/>
        </w:rPr>
        <w:t>].</w:t>
      </w:r>
    </w:p>
    <w:p w14:paraId="181BE1F7" w14:textId="77777777" w:rsidR="00821224" w:rsidRDefault="00821224" w:rsidP="000974C4">
      <w:pPr>
        <w:pStyle w:val="SubmissionNormal"/>
        <w:numPr>
          <w:ilvl w:val="0"/>
          <w:numId w:val="41"/>
        </w:numPr>
        <w:ind w:hanging="709"/>
        <w:rPr>
          <w:b/>
        </w:rPr>
      </w:pPr>
      <w:r w:rsidRPr="005C7C85">
        <w:t>The Commission recommends that sections 34(1)(e) and 35(1)(e) of the Stronger Futures in the Northern Territory Bill 2011 (Cth) be amended to read that Regulations may modify any law of the Northern Territory relating to ‘any  matter which enables  the objects of this Part’</w:t>
      </w:r>
      <w:r w:rsidRPr="005F7452">
        <w:rPr>
          <w:b/>
        </w:rPr>
        <w:t xml:space="preserve"> [</w:t>
      </w:r>
      <w:r w:rsidRPr="005F7452">
        <w:rPr>
          <w:rFonts w:ascii="Arial Bold" w:hAnsi="Arial Bold"/>
          <w:b/>
        </w:rPr>
        <w:t>Recommendation no.</w:t>
      </w:r>
      <w:r w:rsidR="00F1177B">
        <w:rPr>
          <w:rFonts w:ascii="Arial Bold" w:hAnsi="Arial Bold"/>
          <w:b/>
        </w:rPr>
        <w:t xml:space="preserve"> 2</w:t>
      </w:r>
      <w:r w:rsidR="00A27A1A">
        <w:rPr>
          <w:rFonts w:ascii="Arial Bold" w:hAnsi="Arial Bold"/>
          <w:b/>
        </w:rPr>
        <w:t>9</w:t>
      </w:r>
      <w:r w:rsidRPr="005F7452">
        <w:rPr>
          <w:b/>
        </w:rPr>
        <w:t>].</w:t>
      </w:r>
    </w:p>
    <w:p w14:paraId="00B88CB6" w14:textId="2A3CAE27" w:rsidR="00821224" w:rsidRPr="00330C37" w:rsidRDefault="00821224" w:rsidP="00330C37">
      <w:pPr>
        <w:pStyle w:val="SubmissionNormal"/>
        <w:numPr>
          <w:ilvl w:val="0"/>
          <w:numId w:val="41"/>
        </w:numPr>
        <w:ind w:hanging="709"/>
        <w:rPr>
          <w:b/>
          <w:bCs/>
        </w:rPr>
      </w:pPr>
      <w:r>
        <w:t>The Commission recommends that any Regulations developed under proposed ss 34 or 35 of the Stronger Futures in the Northern Territory Bill 2011 be developed in partnership with affected Aboriginal communities</w:t>
      </w:r>
      <w:r w:rsidR="009F70D9">
        <w:t>.</w:t>
      </w:r>
      <w:r>
        <w:t xml:space="preserve"> </w:t>
      </w:r>
      <w:r w:rsidRPr="00C52261">
        <w:rPr>
          <w:b/>
          <w:bCs/>
        </w:rPr>
        <w:t>[Recommendation no.</w:t>
      </w:r>
      <w:r w:rsidR="00F1177B">
        <w:rPr>
          <w:b/>
          <w:bCs/>
        </w:rPr>
        <w:t xml:space="preserve"> </w:t>
      </w:r>
      <w:r w:rsidR="00A27A1A">
        <w:rPr>
          <w:b/>
          <w:bCs/>
        </w:rPr>
        <w:t>30</w:t>
      </w:r>
      <w:r w:rsidRPr="00045A18">
        <w:rPr>
          <w:b/>
          <w:bCs/>
        </w:rPr>
        <w:t>].</w:t>
      </w:r>
    </w:p>
    <w:p w14:paraId="42FADCA3" w14:textId="77777777" w:rsidR="00821224" w:rsidRDefault="00821224" w:rsidP="00C92799">
      <w:pPr>
        <w:pStyle w:val="Heading3"/>
      </w:pPr>
      <w:bookmarkStart w:id="32" w:name="_Toc315865056"/>
      <w:bookmarkStart w:id="33" w:name="_Toc316042348"/>
      <w:r>
        <w:t>Community Safety</w:t>
      </w:r>
      <w:bookmarkEnd w:id="32"/>
      <w:bookmarkEnd w:id="33"/>
    </w:p>
    <w:p w14:paraId="2CEF2DBD" w14:textId="7176FE7F" w:rsidR="00821224" w:rsidRPr="00D77E79" w:rsidRDefault="00821224" w:rsidP="000974C4">
      <w:pPr>
        <w:pStyle w:val="SubmissionNormal"/>
        <w:numPr>
          <w:ilvl w:val="0"/>
          <w:numId w:val="41"/>
        </w:numPr>
        <w:ind w:hanging="709"/>
        <w:rPr>
          <w:b/>
        </w:rPr>
      </w:pPr>
      <w:r>
        <w:t>The Commission</w:t>
      </w:r>
      <w:r w:rsidRPr="00E54675">
        <w:t xml:space="preserve"> recommends that the Stronger Futures in the Northern Territory (Consequential and Transitional Provisions) Bill 2011 (Cth)</w:t>
      </w:r>
      <w:r>
        <w:t xml:space="preserve"> be amended so that proposed s </w:t>
      </w:r>
      <w:r w:rsidRPr="00E54675">
        <w:t xml:space="preserve">100A(6) and s 115(5) of the </w:t>
      </w:r>
      <w:r w:rsidRPr="00E54675">
        <w:rPr>
          <w:rFonts w:ascii="Arial Italic" w:hAnsi="Arial Italic"/>
        </w:rPr>
        <w:t>Classification (Publications, Films and Computer Games) Act 1995</w:t>
      </w:r>
      <w:r w:rsidRPr="00E54675">
        <w:t xml:space="preserve"> (Cth) include as an additional factor the views and concerns raised during consultation</w:t>
      </w:r>
      <w:r w:rsidRPr="00D77E79">
        <w:rPr>
          <w:b/>
        </w:rPr>
        <w:t xml:space="preserve"> [</w:t>
      </w:r>
      <w:r w:rsidRPr="00D77E79">
        <w:rPr>
          <w:rFonts w:ascii="Arial Bold" w:hAnsi="Arial Bold"/>
          <w:b/>
        </w:rPr>
        <w:t>Recommendation no.</w:t>
      </w:r>
      <w:r w:rsidR="00F1177B">
        <w:rPr>
          <w:rFonts w:ascii="Arial Bold" w:hAnsi="Arial Bold"/>
          <w:b/>
        </w:rPr>
        <w:t xml:space="preserve"> </w:t>
      </w:r>
      <w:r w:rsidR="00A27A1A">
        <w:rPr>
          <w:rFonts w:ascii="Arial Bold" w:hAnsi="Arial Bold"/>
          <w:b/>
        </w:rPr>
        <w:t>31</w:t>
      </w:r>
      <w:r w:rsidRPr="00D77E79">
        <w:rPr>
          <w:b/>
        </w:rPr>
        <w:t>].</w:t>
      </w:r>
    </w:p>
    <w:p w14:paraId="6EBA6667" w14:textId="77777777" w:rsidR="00821224" w:rsidRDefault="00821224" w:rsidP="000974C4">
      <w:pPr>
        <w:pStyle w:val="SubmissionNormal"/>
        <w:numPr>
          <w:ilvl w:val="0"/>
          <w:numId w:val="41"/>
        </w:numPr>
        <w:ind w:hanging="709"/>
        <w:rPr>
          <w:b/>
        </w:rPr>
      </w:pPr>
      <w:r w:rsidRPr="00E54675">
        <w:t>The Commission recommends that the Stronger Futures in the Northern Territory (Consequential and Transitional Provisions) Bill 2011 (Cth) be amended to remove Item 15 of Schedule 3 which automatically transitions pre-existing prescribed areas to prohibited materials areas</w:t>
      </w:r>
      <w:r w:rsidRPr="002B5A8A">
        <w:rPr>
          <w:b/>
        </w:rPr>
        <w:t xml:space="preserve"> [</w:t>
      </w:r>
      <w:r w:rsidRPr="002B5A8A">
        <w:rPr>
          <w:rFonts w:ascii="Arial Bold" w:hAnsi="Arial Bold"/>
          <w:b/>
        </w:rPr>
        <w:t>Recommendation no.</w:t>
      </w:r>
      <w:r w:rsidR="00F1177B">
        <w:rPr>
          <w:rFonts w:ascii="Arial Bold" w:hAnsi="Arial Bold"/>
          <w:b/>
        </w:rPr>
        <w:t xml:space="preserve"> 3</w:t>
      </w:r>
      <w:r w:rsidR="00A27A1A">
        <w:rPr>
          <w:rFonts w:ascii="Arial Bold" w:hAnsi="Arial Bold"/>
          <w:b/>
        </w:rPr>
        <w:t>2</w:t>
      </w:r>
      <w:r w:rsidRPr="002B5A8A">
        <w:rPr>
          <w:b/>
        </w:rPr>
        <w:t>].</w:t>
      </w:r>
    </w:p>
    <w:p w14:paraId="7FF766D7" w14:textId="7D0E54C8" w:rsidR="00821224" w:rsidRPr="002B5A8A" w:rsidRDefault="00821224" w:rsidP="000974C4">
      <w:pPr>
        <w:pStyle w:val="SubmissionNormal"/>
        <w:numPr>
          <w:ilvl w:val="0"/>
          <w:numId w:val="41"/>
        </w:numPr>
        <w:ind w:hanging="709"/>
        <w:rPr>
          <w:b/>
        </w:rPr>
      </w:pPr>
      <w:r w:rsidRPr="00E54675">
        <w:t>The Commission recommends that the Stronger Futures in the Northern Territory (Consequential and Transitional Provisions) Bill 2011 (Cth) be a</w:t>
      </w:r>
      <w:r w:rsidR="007102BE">
        <w:t>mended so that it amends</w:t>
      </w:r>
      <w:r w:rsidRPr="00E54675">
        <w:t xml:space="preserve"> the </w:t>
      </w:r>
      <w:r w:rsidRPr="00E54675">
        <w:rPr>
          <w:rFonts w:ascii="Arial Italic" w:hAnsi="Arial Italic"/>
        </w:rPr>
        <w:t>Crimes Act 1914</w:t>
      </w:r>
      <w:r w:rsidRPr="00E54675">
        <w:t xml:space="preserve"> (Cth) so that customary law </w:t>
      </w:r>
      <w:r w:rsidRPr="00E54675">
        <w:lastRenderedPageBreak/>
        <w:t xml:space="preserve">or cultural practices </w:t>
      </w:r>
      <w:r w:rsidR="000B5F0A">
        <w:t>are</w:t>
      </w:r>
      <w:r w:rsidRPr="00E54675">
        <w:t xml:space="preserve"> only excluded from consideration in bail and sentencing decisions for offences that involve violence or sexual abuse</w:t>
      </w:r>
      <w:r w:rsidRPr="002B5A8A">
        <w:rPr>
          <w:b/>
        </w:rPr>
        <w:t xml:space="preserve"> [</w:t>
      </w:r>
      <w:r w:rsidRPr="002B5A8A">
        <w:rPr>
          <w:rFonts w:ascii="Arial Bold" w:hAnsi="Arial Bold"/>
          <w:b/>
        </w:rPr>
        <w:t>Recommendation no.</w:t>
      </w:r>
      <w:r w:rsidR="00F1177B">
        <w:rPr>
          <w:rFonts w:ascii="Arial Bold" w:hAnsi="Arial Bold"/>
          <w:b/>
        </w:rPr>
        <w:t xml:space="preserve"> 3</w:t>
      </w:r>
      <w:r w:rsidR="00A27A1A">
        <w:rPr>
          <w:rFonts w:ascii="Arial Bold" w:hAnsi="Arial Bold"/>
          <w:b/>
        </w:rPr>
        <w:t>3</w:t>
      </w:r>
      <w:r w:rsidRPr="002B5A8A">
        <w:rPr>
          <w:b/>
        </w:rPr>
        <w:t>].</w:t>
      </w:r>
    </w:p>
    <w:p w14:paraId="513135D3" w14:textId="77777777" w:rsidR="00821224" w:rsidRPr="00531463" w:rsidRDefault="00821224" w:rsidP="00531463">
      <w:pPr>
        <w:pStyle w:val="Heading1"/>
      </w:pPr>
      <w:bookmarkStart w:id="34" w:name="_TOC9143"/>
      <w:bookmarkStart w:id="35" w:name="_Toc315865057"/>
      <w:bookmarkStart w:id="36" w:name="_Toc316042349"/>
      <w:bookmarkEnd w:id="34"/>
      <w:r w:rsidRPr="00531463">
        <w:t xml:space="preserve">Context </w:t>
      </w:r>
      <w:r>
        <w:t>–</w:t>
      </w:r>
      <w:r w:rsidRPr="00531463">
        <w:t xml:space="preserve"> over-arching issues relating to the Stronger Futures Bills</w:t>
      </w:r>
      <w:bookmarkEnd w:id="35"/>
      <w:bookmarkEnd w:id="36"/>
    </w:p>
    <w:p w14:paraId="67EAB2E5" w14:textId="77777777" w:rsidR="00821224" w:rsidRDefault="00821224" w:rsidP="000974C4">
      <w:pPr>
        <w:pStyle w:val="SubmissionNormal"/>
        <w:numPr>
          <w:ilvl w:val="0"/>
          <w:numId w:val="41"/>
        </w:numPr>
        <w:ind w:hanging="709"/>
      </w:pPr>
      <w:r>
        <w:t>Before discussing the specific measures contained in the Stronger Futures Bills, the Commission notes the following over-arching issues about the context within which the Bills will apply:</w:t>
      </w:r>
    </w:p>
    <w:p w14:paraId="31DDF3D4" w14:textId="77777777" w:rsidR="00821224" w:rsidRDefault="00821224" w:rsidP="000974C4">
      <w:pPr>
        <w:pStyle w:val="SubmissionNormal"/>
        <w:numPr>
          <w:ilvl w:val="0"/>
          <w:numId w:val="24"/>
        </w:numPr>
        <w:rPr>
          <w:rFonts w:ascii="Lucida Grande" w:hAnsi="Symbol"/>
        </w:rPr>
      </w:pPr>
      <w:r>
        <w:t>consultation and engagement with Aboriginal and Torres Strait Islander peoples in the formulation of the Bills and implementation of NTER measures</w:t>
      </w:r>
    </w:p>
    <w:p w14:paraId="2ADFD06D" w14:textId="77777777" w:rsidR="00821224" w:rsidRDefault="00821224" w:rsidP="000974C4">
      <w:pPr>
        <w:pStyle w:val="SubmissionNormal"/>
        <w:numPr>
          <w:ilvl w:val="0"/>
          <w:numId w:val="24"/>
        </w:numPr>
        <w:rPr>
          <w:rFonts w:ascii="Lucida Grande" w:hAnsi="Symbol"/>
        </w:rPr>
      </w:pPr>
      <w:r>
        <w:t>governance arrangements in Aboriginal communities in the Northern Territory</w:t>
      </w:r>
    </w:p>
    <w:p w14:paraId="674BB937" w14:textId="77777777" w:rsidR="00821224" w:rsidRDefault="00821224" w:rsidP="000974C4">
      <w:pPr>
        <w:pStyle w:val="SubmissionNormal"/>
        <w:numPr>
          <w:ilvl w:val="0"/>
          <w:numId w:val="24"/>
        </w:numPr>
        <w:rPr>
          <w:rFonts w:ascii="Lucida Grande" w:hAnsi="Symbol"/>
        </w:rPr>
      </w:pPr>
      <w:r>
        <w:t>government capacity and cultural competency to implement the Stronger Futures measures.</w:t>
      </w:r>
    </w:p>
    <w:p w14:paraId="5F0D6818" w14:textId="77777777" w:rsidR="00821224" w:rsidRDefault="00821224" w:rsidP="00F12219">
      <w:pPr>
        <w:pStyle w:val="Heading2"/>
      </w:pPr>
      <w:bookmarkStart w:id="37" w:name="_TOC9685"/>
      <w:bookmarkStart w:id="38" w:name="_Toc315865058"/>
      <w:bookmarkStart w:id="39" w:name="_Toc316042350"/>
      <w:bookmarkEnd w:id="37"/>
      <w:r>
        <w:t>The Stronger Futures consultation process</w:t>
      </w:r>
      <w:bookmarkEnd w:id="38"/>
      <w:bookmarkEnd w:id="39"/>
    </w:p>
    <w:p w14:paraId="205F36E3" w14:textId="77777777" w:rsidR="00821224" w:rsidRDefault="00821224" w:rsidP="000974C4">
      <w:pPr>
        <w:pStyle w:val="SubmissionNormal"/>
        <w:numPr>
          <w:ilvl w:val="0"/>
          <w:numId w:val="41"/>
        </w:numPr>
        <w:ind w:hanging="709"/>
      </w:pPr>
      <w:bookmarkStart w:id="40" w:name="_TOC17508"/>
      <w:bookmarkEnd w:id="40"/>
      <w:r>
        <w:t xml:space="preserve">On 22 June 2011, the Australian Government released the </w:t>
      </w:r>
      <w:r w:rsidRPr="005F15CA">
        <w:rPr>
          <w:i/>
        </w:rPr>
        <w:t xml:space="preserve">Stronger Futures </w:t>
      </w:r>
      <w:r>
        <w:rPr>
          <w:i/>
        </w:rPr>
        <w:t xml:space="preserve">in the Northern Territory Discussion </w:t>
      </w:r>
      <w:r w:rsidRPr="002C02F7">
        <w:rPr>
          <w:i/>
        </w:rPr>
        <w:t>Paper</w:t>
      </w:r>
      <w:r>
        <w:rPr>
          <w:i/>
        </w:rPr>
        <w:t xml:space="preserve"> </w:t>
      </w:r>
      <w:r>
        <w:t xml:space="preserve">(the </w:t>
      </w:r>
      <w:r w:rsidRPr="00676E61">
        <w:rPr>
          <w:i/>
        </w:rPr>
        <w:t>Stronger Futures Discussion Paper</w:t>
      </w:r>
      <w:r>
        <w:t>) and outlined its intended consultation process to discuss the future of the NTER.</w:t>
      </w:r>
      <w:r>
        <w:rPr>
          <w:rStyle w:val="EndnoteReference"/>
        </w:rPr>
        <w:endnoteReference w:id="6"/>
      </w:r>
      <w:r>
        <w:t xml:space="preserve"> There</w:t>
      </w:r>
      <w:r w:rsidRPr="00720106">
        <w:t xml:space="preserve"> was </w:t>
      </w:r>
      <w:r>
        <w:t>a</w:t>
      </w:r>
      <w:r w:rsidRPr="00720106">
        <w:t xml:space="preserve"> six</w:t>
      </w:r>
      <w:r>
        <w:t xml:space="preserve"> </w:t>
      </w:r>
      <w:r w:rsidRPr="00720106">
        <w:t>week</w:t>
      </w:r>
      <w:r>
        <w:t xml:space="preserve"> period for</w:t>
      </w:r>
      <w:r w:rsidRPr="00720106">
        <w:t xml:space="preserve"> consultation</w:t>
      </w:r>
      <w:r>
        <w:t xml:space="preserve">s. </w:t>
      </w:r>
    </w:p>
    <w:p w14:paraId="7FC977F4" w14:textId="4D4CF82A" w:rsidR="00821224" w:rsidRDefault="00821224" w:rsidP="000974C4">
      <w:pPr>
        <w:pStyle w:val="SubmissionNormal"/>
        <w:numPr>
          <w:ilvl w:val="0"/>
          <w:numId w:val="41"/>
        </w:numPr>
        <w:ind w:hanging="709"/>
      </w:pPr>
      <w:r>
        <w:t xml:space="preserve">The Commission </w:t>
      </w:r>
      <w:r w:rsidR="00DF1902">
        <w:t>has previously brought these concerns to the attention of the government in relation to the inadequacy of the consultation process as outlined below:</w:t>
      </w:r>
    </w:p>
    <w:p w14:paraId="6F0BD582" w14:textId="77777777" w:rsidR="00821224" w:rsidRDefault="00821224" w:rsidP="000974C4">
      <w:pPr>
        <w:pStyle w:val="SubmissionNormal"/>
        <w:numPr>
          <w:ilvl w:val="0"/>
          <w:numId w:val="24"/>
        </w:numPr>
      </w:pPr>
      <w:r>
        <w:t>the</w:t>
      </w:r>
      <w:r w:rsidRPr="00720106">
        <w:t xml:space="preserve"> timeframe </w:t>
      </w:r>
      <w:r>
        <w:t xml:space="preserve">for consultations </w:t>
      </w:r>
      <w:r w:rsidRPr="00720106">
        <w:t xml:space="preserve">was inadequate given the scope </w:t>
      </w:r>
      <w:r>
        <w:t xml:space="preserve">and depth </w:t>
      </w:r>
      <w:r w:rsidRPr="00720106">
        <w:t xml:space="preserve">of the issues raised in the </w:t>
      </w:r>
      <w:r w:rsidRPr="00676E61">
        <w:rPr>
          <w:i/>
        </w:rPr>
        <w:t>Stronger Futures Discussion Paper</w:t>
      </w:r>
    </w:p>
    <w:p w14:paraId="340ABE75" w14:textId="77777777" w:rsidR="00821224" w:rsidRDefault="00821224" w:rsidP="000974C4">
      <w:pPr>
        <w:pStyle w:val="SubmissionNormal"/>
        <w:numPr>
          <w:ilvl w:val="0"/>
          <w:numId w:val="24"/>
        </w:numPr>
      </w:pPr>
      <w:r>
        <w:t>significant measures such as income management were not listed for discussion during the Stronger Futures consultation process</w:t>
      </w:r>
    </w:p>
    <w:p w14:paraId="1B396D71" w14:textId="77777777" w:rsidR="00821224" w:rsidRDefault="00821224" w:rsidP="000974C4">
      <w:pPr>
        <w:pStyle w:val="SubmissionNormal"/>
        <w:numPr>
          <w:ilvl w:val="0"/>
          <w:numId w:val="24"/>
        </w:numPr>
      </w:pPr>
      <w:r w:rsidRPr="00720106">
        <w:t>despite the Australian Government’s efforts to work with the Aboriginal Interpreter Service (AIS), there was n</w:t>
      </w:r>
      <w:r>
        <w:t xml:space="preserve">either </w:t>
      </w:r>
      <w:r w:rsidRPr="00720106">
        <w:t xml:space="preserve">sufficient time to translate the paper into the languages of Northern Territory communities </w:t>
      </w:r>
      <w:r>
        <w:t>n</w:t>
      </w:r>
      <w:r w:rsidRPr="00720106">
        <w:t xml:space="preserve">or </w:t>
      </w:r>
      <w:r>
        <w:t xml:space="preserve">to provide the </w:t>
      </w:r>
      <w:r w:rsidRPr="00274388">
        <w:rPr>
          <w:i/>
        </w:rPr>
        <w:t>Stronger Futures Discussion Paper</w:t>
      </w:r>
      <w:r w:rsidRPr="00720106">
        <w:t xml:space="preserve"> to the interpr</w:t>
      </w:r>
      <w:r>
        <w:t>eters sufficiently in advance of the consultations.</w:t>
      </w:r>
    </w:p>
    <w:p w14:paraId="052840DA" w14:textId="77777777" w:rsidR="00821224" w:rsidRDefault="00821224" w:rsidP="000974C4">
      <w:pPr>
        <w:pStyle w:val="SubmissionNormal"/>
        <w:numPr>
          <w:ilvl w:val="0"/>
          <w:numId w:val="41"/>
        </w:numPr>
        <w:ind w:hanging="709"/>
      </w:pPr>
      <w:r>
        <w:t xml:space="preserve">These concerns were consistently raised with the Commission during visits to Aboriginal communities in the Northern Territory in late 2011. </w:t>
      </w:r>
    </w:p>
    <w:p w14:paraId="744C9288" w14:textId="77777777" w:rsidR="00821224" w:rsidRDefault="00821224" w:rsidP="000974C4">
      <w:pPr>
        <w:pStyle w:val="SubmissionNormal"/>
        <w:numPr>
          <w:ilvl w:val="0"/>
          <w:numId w:val="41"/>
        </w:numPr>
        <w:ind w:hanging="709"/>
      </w:pPr>
      <w:r>
        <w:t xml:space="preserve">The Commission also highlights consistent feedback provided during visits to Aboriginal communities in late 2011 that a ‘one size fits all’ approach to implementing Stronger Futures will not work. </w:t>
      </w:r>
    </w:p>
    <w:p w14:paraId="389E531C" w14:textId="2061D66D" w:rsidR="00821224" w:rsidRDefault="00DF1902" w:rsidP="000974C4">
      <w:pPr>
        <w:pStyle w:val="SubmissionNormal"/>
        <w:numPr>
          <w:ilvl w:val="0"/>
          <w:numId w:val="41"/>
        </w:numPr>
        <w:ind w:hanging="709"/>
      </w:pPr>
      <w:r>
        <w:lastRenderedPageBreak/>
        <w:t>In order to ensure the success of the intended o</w:t>
      </w:r>
      <w:r w:rsidR="003515E5">
        <w:t>utcome of the Stronger Futures B</w:t>
      </w:r>
      <w:r>
        <w:t>ills, there must be</w:t>
      </w:r>
      <w:r w:rsidR="00821224">
        <w:t xml:space="preserve"> established avenues for communication, consultation and feedback between governments and communities. Further, the Commission views the issues of governance that are addressed in the following section as critical to deal with the different experiences, needs and processes of Aboriginal communities depending on whether they are town camps, traditional owners and/or homeland communities.</w:t>
      </w:r>
    </w:p>
    <w:p w14:paraId="2CE71BA2" w14:textId="578C0112" w:rsidR="00821224" w:rsidRPr="00771A6E" w:rsidRDefault="00821224" w:rsidP="000974C4">
      <w:pPr>
        <w:pStyle w:val="SubmissionNormal"/>
        <w:numPr>
          <w:ilvl w:val="0"/>
          <w:numId w:val="41"/>
        </w:numPr>
        <w:ind w:hanging="709"/>
      </w:pPr>
      <w:r w:rsidRPr="00771A6E">
        <w:t xml:space="preserve">The Commission </w:t>
      </w:r>
      <w:r>
        <w:t>emphasises</w:t>
      </w:r>
      <w:r w:rsidRPr="00771A6E">
        <w:t xml:space="preserve"> that</w:t>
      </w:r>
      <w:r>
        <w:t xml:space="preserve"> while</w:t>
      </w:r>
      <w:r w:rsidRPr="00771A6E">
        <w:t xml:space="preserve"> the review </w:t>
      </w:r>
      <w:r>
        <w:t>of the Stronger Futures Bills</w:t>
      </w:r>
      <w:r w:rsidRPr="00771A6E">
        <w:t xml:space="preserve"> through the Senate Committee process </w:t>
      </w:r>
      <w:r>
        <w:t xml:space="preserve">can be considered </w:t>
      </w:r>
      <w:r w:rsidRPr="00771A6E">
        <w:t>appropriate for organisations and professional stakeholders</w:t>
      </w:r>
      <w:r>
        <w:t>, it is not considered an appropriate means of consultation for Aboriginal peoples</w:t>
      </w:r>
      <w:r w:rsidRPr="00771A6E">
        <w:t xml:space="preserve">. </w:t>
      </w:r>
      <w:r>
        <w:t>F</w:t>
      </w:r>
      <w:r w:rsidRPr="00771A6E">
        <w:t xml:space="preserve">or the Government to obtain an accurate reflection of how Aboriginal communities feel they will be affected by the proposed Stronger Futures Bills, face-to-face consultations with Aboriginal communities must be undertaken </w:t>
      </w:r>
      <w:r>
        <w:t xml:space="preserve">with the intent </w:t>
      </w:r>
      <w:r w:rsidRPr="00771A6E">
        <w:t>to secure information for the purpose of drafting legislation that responds to the needs identified by communities.</w:t>
      </w:r>
      <w:r w:rsidR="00E05338">
        <w:t xml:space="preserve">  Such a process will also provide the different community perspectives to be highlighted, in order to ensure a legislative framework which is clear in its intent, but which accom</w:t>
      </w:r>
      <w:r w:rsidR="00F07E8B">
        <w:t>m</w:t>
      </w:r>
      <w:r w:rsidR="00E05338">
        <w:t>odates the need for localised implementation strategies and processes.</w:t>
      </w:r>
    </w:p>
    <w:p w14:paraId="391BF41D" w14:textId="77777777" w:rsidR="00821224" w:rsidRPr="005346D2" w:rsidRDefault="00821224" w:rsidP="000974C4">
      <w:pPr>
        <w:pStyle w:val="SubmissionNormal"/>
        <w:numPr>
          <w:ilvl w:val="0"/>
          <w:numId w:val="41"/>
        </w:numPr>
        <w:ind w:hanging="709"/>
      </w:pPr>
      <w:r>
        <w:t>The need for meaningful and effective consultation with Aboriginal peoples is particularly important given the length of time these measures will be in place: the Stronger Futures Bills are proposed to expire in ten years with a review to be undertaken seven years after the legislation commences.</w:t>
      </w:r>
    </w:p>
    <w:p w14:paraId="0070C359" w14:textId="60BC10D4" w:rsidR="00821224" w:rsidRPr="00BD4886" w:rsidRDefault="00E05338" w:rsidP="000974C4">
      <w:pPr>
        <w:pStyle w:val="SubmissionNormal"/>
        <w:numPr>
          <w:ilvl w:val="0"/>
          <w:numId w:val="41"/>
        </w:numPr>
        <w:ind w:hanging="709"/>
      </w:pPr>
      <w:r>
        <w:t xml:space="preserve">In order to derive the evidence of how to improve consultative practices in the future, the Commission also </w:t>
      </w:r>
      <w:r w:rsidR="00821224">
        <w:t xml:space="preserve">notes that the Australian Government contracted the </w:t>
      </w:r>
      <w:r w:rsidR="00821224" w:rsidRPr="00BD4886">
        <w:t>Cultural and Indigenous Researc</w:t>
      </w:r>
      <w:r w:rsidR="00821224">
        <w:t>h Centre Australia (CIRCA) to ‘review the consultation and communication strategy for the Stronger Futures consultations’</w:t>
      </w:r>
      <w:r w:rsidR="00821224">
        <w:rPr>
          <w:rStyle w:val="EndnoteReference"/>
        </w:rPr>
        <w:endnoteReference w:id="7"/>
      </w:r>
      <w:r w:rsidR="00821224">
        <w:t xml:space="preserve"> and </w:t>
      </w:r>
      <w:r w:rsidR="00821224" w:rsidRPr="00BD4886">
        <w:t>assess ‘the extent to which the consultations took place in accordance with the consultation and communication strategy’ and the ‘conduct of the consultations, training, use of interpreters, communication products and reporting’.</w:t>
      </w:r>
      <w:r w:rsidR="00821224" w:rsidRPr="00BD4886">
        <w:rPr>
          <w:sz w:val="20"/>
          <w:vertAlign w:val="superscript"/>
        </w:rPr>
        <w:endnoteReference w:id="8"/>
      </w:r>
    </w:p>
    <w:p w14:paraId="0102D366" w14:textId="77777777" w:rsidR="00821224" w:rsidRDefault="00821224" w:rsidP="000974C4">
      <w:pPr>
        <w:pStyle w:val="SubmissionNormal"/>
        <w:numPr>
          <w:ilvl w:val="0"/>
          <w:numId w:val="41"/>
        </w:numPr>
        <w:ind w:hanging="709"/>
      </w:pPr>
      <w:r>
        <w:t>The Commission’s view is that the assessment of the consultation process by CIRCA was inadequate because:</w:t>
      </w:r>
    </w:p>
    <w:p w14:paraId="6474AE05" w14:textId="77777777" w:rsidR="00821224" w:rsidRDefault="00821224" w:rsidP="000974C4">
      <w:pPr>
        <w:pStyle w:val="SubmissionNormal"/>
        <w:numPr>
          <w:ilvl w:val="0"/>
          <w:numId w:val="24"/>
        </w:numPr>
      </w:pPr>
      <w:r>
        <w:t xml:space="preserve">CIRCA only </w:t>
      </w:r>
      <w:r w:rsidRPr="00BD4886">
        <w:t xml:space="preserve">monitored ten ‘Tier 2’ </w:t>
      </w:r>
      <w:r>
        <w:t xml:space="preserve">whole-of-community meetings, </w:t>
      </w:r>
      <w:r w:rsidRPr="00BD4886">
        <w:t>two public meetings</w:t>
      </w:r>
      <w:r>
        <w:t xml:space="preserve"> and no ‘Tier 1’ small community group meetings. This cannot be considered a representative sample given the Government claims that the Stronger Futures Bills have been informed by 371 ‘Tier 1’ meetings and 101 ‘Tier 2’ meetings.</w:t>
      </w:r>
      <w:r>
        <w:rPr>
          <w:rStyle w:val="EndnoteReference"/>
        </w:rPr>
        <w:endnoteReference w:id="9"/>
      </w:r>
    </w:p>
    <w:p w14:paraId="6B44E378" w14:textId="77777777" w:rsidR="00821224" w:rsidRPr="00DA22E5" w:rsidRDefault="00821224" w:rsidP="000974C4">
      <w:pPr>
        <w:pStyle w:val="SubmissionNormal"/>
        <w:numPr>
          <w:ilvl w:val="0"/>
          <w:numId w:val="24"/>
        </w:numPr>
      </w:pPr>
      <w:r w:rsidRPr="00DA22E5">
        <w:t xml:space="preserve">CIRCA only assessed these twelve meetings in accordance with the limited terms of reference outlined above in paragraph </w:t>
      </w:r>
      <w:r w:rsidR="00574937">
        <w:t>59</w:t>
      </w:r>
      <w:r w:rsidRPr="00DA22E5">
        <w:t xml:space="preserve"> and did not evaluate the Stronger Futures consultation process against ‘best practice’ consultation processes.</w:t>
      </w:r>
    </w:p>
    <w:p w14:paraId="4CD76888" w14:textId="77777777" w:rsidR="00821224" w:rsidRDefault="00821224" w:rsidP="000974C4">
      <w:pPr>
        <w:pStyle w:val="SubmissionNormal"/>
        <w:numPr>
          <w:ilvl w:val="0"/>
          <w:numId w:val="41"/>
        </w:numPr>
        <w:ind w:hanging="709"/>
      </w:pPr>
      <w:r>
        <w:t xml:space="preserve">The Commission refers the Committee to the </w:t>
      </w:r>
      <w:r w:rsidRPr="005170F8">
        <w:rPr>
          <w:i/>
        </w:rPr>
        <w:t>Social Justice Report 2011</w:t>
      </w:r>
      <w:r>
        <w:t xml:space="preserve"> for further comments on the Stronger Futures consultation process.</w:t>
      </w:r>
      <w:r>
        <w:rPr>
          <w:rStyle w:val="EndnoteReference"/>
        </w:rPr>
        <w:endnoteReference w:id="10"/>
      </w:r>
    </w:p>
    <w:p w14:paraId="7ED1FFA5" w14:textId="77777777" w:rsidR="00821224" w:rsidRDefault="00821224" w:rsidP="000974C4">
      <w:pPr>
        <w:pStyle w:val="SubmissionNormal"/>
        <w:numPr>
          <w:ilvl w:val="0"/>
          <w:numId w:val="41"/>
        </w:numPr>
        <w:ind w:hanging="709"/>
      </w:pPr>
      <w:r>
        <w:lastRenderedPageBreak/>
        <w:t xml:space="preserve">The </w:t>
      </w:r>
      <w:r w:rsidRPr="00720106">
        <w:t xml:space="preserve">Commission encourages the Government to ensure that Aboriginal and Torres Strait Islander peoples can meaningfully participate in all stages of </w:t>
      </w:r>
      <w:r>
        <w:t>p</w:t>
      </w:r>
      <w:r w:rsidRPr="00720106">
        <w:t xml:space="preserve">olicy </w:t>
      </w:r>
      <w:r>
        <w:t xml:space="preserve">and legislation </w:t>
      </w:r>
      <w:r w:rsidRPr="00720106">
        <w:t>development by providing complete and accurate information to communities in an accessible, culturally appropriate and timely manner.</w:t>
      </w:r>
    </w:p>
    <w:p w14:paraId="59495FC4" w14:textId="77777777" w:rsidR="00821224" w:rsidRDefault="00821224" w:rsidP="000974C4">
      <w:pPr>
        <w:pStyle w:val="SubmissionNormal"/>
        <w:numPr>
          <w:ilvl w:val="0"/>
          <w:numId w:val="41"/>
        </w:numPr>
        <w:ind w:hanging="709"/>
      </w:pPr>
      <w:r>
        <w:t>Based on international ‘best practice’ standards, t</w:t>
      </w:r>
      <w:r w:rsidRPr="00AB2AB8">
        <w:t xml:space="preserve">he </w:t>
      </w:r>
      <w:r>
        <w:t xml:space="preserve">Aboriginal and Torres Strait Islander Social Justice </w:t>
      </w:r>
      <w:r w:rsidRPr="00AB2AB8">
        <w:t>Commission</w:t>
      </w:r>
      <w:r>
        <w:t>er</w:t>
      </w:r>
      <w:r w:rsidRPr="00AB2AB8">
        <w:t xml:space="preserve"> </w:t>
      </w:r>
      <w:r>
        <w:t xml:space="preserve">has developed the following criteria for </w:t>
      </w:r>
      <w:r w:rsidRPr="00AB2AB8">
        <w:t>a meaningful and effective consultation process</w:t>
      </w:r>
      <w:r>
        <w:t>:</w:t>
      </w:r>
    </w:p>
    <w:p w14:paraId="6EEBC1BC" w14:textId="77777777" w:rsidR="00821224" w:rsidRPr="005E68E7" w:rsidRDefault="00821224" w:rsidP="000974C4">
      <w:pPr>
        <w:pStyle w:val="SubmissionNormal"/>
        <w:numPr>
          <w:ilvl w:val="0"/>
          <w:numId w:val="24"/>
        </w:numPr>
      </w:pPr>
      <w:r>
        <w:t>The objective of consultations should be to obtain the consent or agreement of the Aboriginal and Torres Strait Islander peoples affected by a proposed measure, not simply to outline what is proposed. Consultation is a two way process, which includes listening to community’s views and using this feedback to influence and develop proposals from government.</w:t>
      </w:r>
    </w:p>
    <w:p w14:paraId="657439D6" w14:textId="77777777" w:rsidR="00821224" w:rsidRPr="005E68E7" w:rsidRDefault="00821224" w:rsidP="000974C4">
      <w:pPr>
        <w:pStyle w:val="SubmissionNormal"/>
        <w:numPr>
          <w:ilvl w:val="0"/>
          <w:numId w:val="25"/>
        </w:numPr>
      </w:pPr>
      <w:r w:rsidRPr="005E68E7">
        <w:t>Consultation processes should be products of consensus</w:t>
      </w:r>
      <w:r>
        <w:t>.</w:t>
      </w:r>
    </w:p>
    <w:p w14:paraId="36DBC05A" w14:textId="77777777" w:rsidR="00821224" w:rsidRPr="005E68E7" w:rsidRDefault="00821224" w:rsidP="000974C4">
      <w:pPr>
        <w:pStyle w:val="SubmissionNormal"/>
        <w:numPr>
          <w:ilvl w:val="0"/>
          <w:numId w:val="25"/>
        </w:numPr>
      </w:pPr>
      <w:r w:rsidRPr="005E68E7">
        <w:t>Consultations should be in the nature of negotiations</w:t>
      </w:r>
      <w:r>
        <w:t>.</w:t>
      </w:r>
    </w:p>
    <w:p w14:paraId="276F0EF8" w14:textId="77777777" w:rsidR="00821224" w:rsidRDefault="00821224" w:rsidP="000974C4">
      <w:pPr>
        <w:pStyle w:val="SubmissionNormal"/>
        <w:numPr>
          <w:ilvl w:val="0"/>
          <w:numId w:val="25"/>
        </w:numPr>
      </w:pPr>
      <w:r>
        <w:t xml:space="preserve">Consultations need to begin early and should, where necessary, be ongoing. </w:t>
      </w:r>
    </w:p>
    <w:p w14:paraId="6A9E0480" w14:textId="77777777" w:rsidR="00821224" w:rsidRDefault="00821224" w:rsidP="000974C4">
      <w:pPr>
        <w:pStyle w:val="SubmissionNormal"/>
        <w:numPr>
          <w:ilvl w:val="0"/>
          <w:numId w:val="25"/>
        </w:numPr>
      </w:pPr>
      <w:r>
        <w:t xml:space="preserve">Aboriginal and Torres Strait Islander peoples must have access to financial, technical and other assistance. </w:t>
      </w:r>
    </w:p>
    <w:p w14:paraId="4B1F9C7C" w14:textId="77777777" w:rsidR="00821224" w:rsidRDefault="00821224" w:rsidP="000974C4">
      <w:pPr>
        <w:pStyle w:val="SubmissionNormal"/>
        <w:numPr>
          <w:ilvl w:val="0"/>
          <w:numId w:val="25"/>
        </w:numPr>
      </w:pPr>
      <w:r>
        <w:t>Aboriginal and Torres Strait Islander peoples must not be pressured into making a decision.</w:t>
      </w:r>
    </w:p>
    <w:p w14:paraId="16C30FCD" w14:textId="77777777" w:rsidR="00821224" w:rsidRPr="005E68E7" w:rsidRDefault="00821224" w:rsidP="000974C4">
      <w:pPr>
        <w:pStyle w:val="SubmissionNormal"/>
        <w:numPr>
          <w:ilvl w:val="0"/>
          <w:numId w:val="25"/>
        </w:numPr>
      </w:pPr>
      <w:r w:rsidRPr="005E68E7">
        <w:t>Adequate timeframes should be built into consultation processes</w:t>
      </w:r>
      <w:r>
        <w:t>.</w:t>
      </w:r>
    </w:p>
    <w:p w14:paraId="5441DB47" w14:textId="77777777" w:rsidR="00821224" w:rsidRPr="005E68E7" w:rsidRDefault="00821224" w:rsidP="000974C4">
      <w:pPr>
        <w:pStyle w:val="SubmissionNormal"/>
        <w:numPr>
          <w:ilvl w:val="0"/>
          <w:numId w:val="25"/>
        </w:numPr>
      </w:pPr>
      <w:r w:rsidRPr="005E68E7">
        <w:t>Consultation processes should be coordinated across government departments</w:t>
      </w:r>
      <w:r>
        <w:t>.</w:t>
      </w:r>
      <w:r w:rsidRPr="005E68E7">
        <w:t xml:space="preserve"> </w:t>
      </w:r>
    </w:p>
    <w:p w14:paraId="7D860848" w14:textId="77777777" w:rsidR="00821224" w:rsidRPr="005E68E7" w:rsidRDefault="00821224" w:rsidP="000974C4">
      <w:pPr>
        <w:pStyle w:val="SubmissionNormal"/>
        <w:numPr>
          <w:ilvl w:val="0"/>
          <w:numId w:val="25"/>
        </w:numPr>
      </w:pPr>
      <w:r w:rsidRPr="005E68E7">
        <w:t>Consultation processes need to reach the affected communities</w:t>
      </w:r>
      <w:r>
        <w:t>.</w:t>
      </w:r>
    </w:p>
    <w:p w14:paraId="19F8BC07" w14:textId="77777777" w:rsidR="00821224" w:rsidRPr="005E68E7" w:rsidRDefault="00821224" w:rsidP="000974C4">
      <w:pPr>
        <w:pStyle w:val="SubmissionNormal"/>
        <w:numPr>
          <w:ilvl w:val="0"/>
          <w:numId w:val="25"/>
        </w:numPr>
      </w:pPr>
      <w:r>
        <w:t>Consultation processes need to respect representative and decision-making structures.</w:t>
      </w:r>
    </w:p>
    <w:p w14:paraId="76521468" w14:textId="77777777" w:rsidR="00821224" w:rsidRDefault="00821224" w:rsidP="000974C4">
      <w:pPr>
        <w:pStyle w:val="SubmissionNormal"/>
        <w:numPr>
          <w:ilvl w:val="0"/>
          <w:numId w:val="25"/>
        </w:numPr>
      </w:pPr>
      <w:r>
        <w:t>Governments must provide all relevant information and do so in an accessible way.</w:t>
      </w:r>
      <w:r w:rsidRPr="00AB2AB8">
        <w:rPr>
          <w:rStyle w:val="EndnoteReference"/>
        </w:rPr>
        <w:endnoteReference w:id="11"/>
      </w:r>
    </w:p>
    <w:p w14:paraId="45E5DF01" w14:textId="29DE80C4" w:rsidR="00821224" w:rsidRPr="00AB2AB8" w:rsidRDefault="00821224" w:rsidP="00FB2607">
      <w:pPr>
        <w:pStyle w:val="SubmissionNormal"/>
        <w:numPr>
          <w:ilvl w:val="0"/>
          <w:numId w:val="0"/>
        </w:numPr>
        <w:ind w:left="709"/>
      </w:pPr>
      <w:r>
        <w:t>Appendix 2 provides further details about each of these criteri</w:t>
      </w:r>
      <w:r w:rsidR="006C00B4">
        <w:t>on</w:t>
      </w:r>
      <w:r>
        <w:t>.</w:t>
      </w:r>
    </w:p>
    <w:p w14:paraId="1EA901B5" w14:textId="5AECD85F" w:rsidR="00821224" w:rsidRPr="00C90CB8" w:rsidRDefault="00111B88" w:rsidP="000974C4">
      <w:pPr>
        <w:pStyle w:val="SubmissionNormal"/>
        <w:numPr>
          <w:ilvl w:val="0"/>
          <w:numId w:val="41"/>
        </w:numPr>
        <w:ind w:hanging="709"/>
        <w:rPr>
          <w:b/>
        </w:rPr>
      </w:pPr>
      <w:r w:rsidRPr="00ED017C">
        <w:t xml:space="preserve">The Commission recommends that the proposed s 4 of the Stronger Futures in the Northern Territory Bill 2011 (Cth) be amended so that the object of the Act is </w:t>
      </w:r>
      <w:r>
        <w:t xml:space="preserve">also </w:t>
      </w:r>
      <w:r w:rsidRPr="00ED017C">
        <w:t xml:space="preserve">to ensure the effective participation and engagement of Aboriginal and Torres Strait Islander peoples in matters </w:t>
      </w:r>
      <w:r>
        <w:t>a</w:t>
      </w:r>
      <w:r w:rsidRPr="00ED017C">
        <w:t xml:space="preserve">ffecting them </w:t>
      </w:r>
      <w:r w:rsidR="00821224" w:rsidRPr="00C90CB8">
        <w:rPr>
          <w:b/>
        </w:rPr>
        <w:t xml:space="preserve">[Recommendation </w:t>
      </w:r>
      <w:r w:rsidR="003515E5">
        <w:rPr>
          <w:b/>
        </w:rPr>
        <w:t xml:space="preserve">no. </w:t>
      </w:r>
      <w:r w:rsidR="007A09E1">
        <w:rPr>
          <w:b/>
        </w:rPr>
        <w:t>1</w:t>
      </w:r>
      <w:r w:rsidR="00821224" w:rsidRPr="00C90CB8">
        <w:rPr>
          <w:b/>
        </w:rPr>
        <w:t>].</w:t>
      </w:r>
    </w:p>
    <w:p w14:paraId="54B33626" w14:textId="1AD43B1F" w:rsidR="00821224" w:rsidRDefault="00821224" w:rsidP="000974C4">
      <w:pPr>
        <w:pStyle w:val="SubmissionNormal"/>
        <w:numPr>
          <w:ilvl w:val="0"/>
          <w:numId w:val="41"/>
        </w:numPr>
        <w:ind w:hanging="709"/>
        <w:rPr>
          <w:b/>
        </w:rPr>
      </w:pPr>
      <w:r w:rsidRPr="00E24086">
        <w:t xml:space="preserve">The Commission recommends that the Stronger Futures Bills are amended so that the definition of ‘consultation’ adopts the Commission’s criteria for </w:t>
      </w:r>
      <w:r w:rsidRPr="00E24086">
        <w:lastRenderedPageBreak/>
        <w:t xml:space="preserve">meaningful and effective consultation set out at paragraph </w:t>
      </w:r>
      <w:r w:rsidR="0087708D">
        <w:t>63 and appendix 2.</w:t>
      </w:r>
      <w:r>
        <w:rPr>
          <w:b/>
        </w:rPr>
        <w:t xml:space="preserve"> </w:t>
      </w:r>
      <w:r w:rsidRPr="00A73150">
        <w:rPr>
          <w:b/>
        </w:rPr>
        <w:t xml:space="preserve">[Recommendation </w:t>
      </w:r>
      <w:r w:rsidR="003515E5">
        <w:rPr>
          <w:b/>
        </w:rPr>
        <w:t xml:space="preserve">no. </w:t>
      </w:r>
      <w:r w:rsidR="007A09E1">
        <w:rPr>
          <w:b/>
        </w:rPr>
        <w:t>2</w:t>
      </w:r>
      <w:r w:rsidRPr="00A73150">
        <w:rPr>
          <w:b/>
        </w:rPr>
        <w:t xml:space="preserve">]. </w:t>
      </w:r>
    </w:p>
    <w:p w14:paraId="7A312EE3" w14:textId="77777777" w:rsidR="00821224" w:rsidRDefault="00821224" w:rsidP="00F12219">
      <w:pPr>
        <w:pStyle w:val="Heading2"/>
      </w:pPr>
      <w:bookmarkStart w:id="41" w:name="_Toc315865059"/>
      <w:bookmarkStart w:id="42" w:name="_Toc316042351"/>
      <w:r>
        <w:t>Aboriginal community governance in the Northern Territory</w:t>
      </w:r>
      <w:bookmarkEnd w:id="41"/>
      <w:bookmarkEnd w:id="42"/>
    </w:p>
    <w:p w14:paraId="4BE0A78F" w14:textId="77777777" w:rsidR="00821224" w:rsidRDefault="00821224" w:rsidP="000974C4">
      <w:pPr>
        <w:pStyle w:val="SubmissionNormal"/>
        <w:numPr>
          <w:ilvl w:val="0"/>
          <w:numId w:val="41"/>
        </w:numPr>
        <w:ind w:hanging="709"/>
      </w:pPr>
      <w:r>
        <w:t>Governance is described as the:</w:t>
      </w:r>
    </w:p>
    <w:p w14:paraId="048904C6" w14:textId="77777777" w:rsidR="00821224" w:rsidRDefault="00821224" w:rsidP="00E24086">
      <w:pPr>
        <w:pStyle w:val="SubmissionNormal"/>
        <w:numPr>
          <w:ilvl w:val="0"/>
          <w:numId w:val="0"/>
        </w:numPr>
        <w:ind w:left="720" w:firstLine="720"/>
        <w:rPr>
          <w:sz w:val="22"/>
        </w:rPr>
      </w:pPr>
      <w:r>
        <w:rPr>
          <w:sz w:val="22"/>
        </w:rPr>
        <w:t>processes, structures and institutions (formal</w:t>
      </w:r>
      <w:r w:rsidR="007102BE">
        <w:rPr>
          <w:sz w:val="22"/>
        </w:rPr>
        <w:t xml:space="preserve"> and informal) through which a</w:t>
      </w:r>
      <w:r w:rsidR="007102BE">
        <w:rPr>
          <w:sz w:val="22"/>
        </w:rPr>
        <w:tab/>
      </w:r>
      <w:r>
        <w:rPr>
          <w:sz w:val="22"/>
        </w:rPr>
        <w:t xml:space="preserve">group, community or society makes decisions, distributes and exercises </w:t>
      </w:r>
      <w:r>
        <w:rPr>
          <w:sz w:val="22"/>
        </w:rPr>
        <w:tab/>
        <w:t xml:space="preserve">authority and power, determines strategic goals, organises corporate, group </w:t>
      </w:r>
      <w:r>
        <w:rPr>
          <w:sz w:val="22"/>
        </w:rPr>
        <w:tab/>
        <w:t>and individual behaviour, develops rules and assigns responsibility.</w:t>
      </w:r>
      <w:r w:rsidRPr="00212FF0">
        <w:rPr>
          <w:rStyle w:val="EndnoteReference1"/>
          <w:szCs w:val="20"/>
        </w:rPr>
        <w:endnoteReference w:id="12"/>
      </w:r>
    </w:p>
    <w:p w14:paraId="1788E205" w14:textId="77777777" w:rsidR="00821224" w:rsidRDefault="00821224" w:rsidP="000974C4">
      <w:pPr>
        <w:pStyle w:val="SubmissionNormal"/>
        <w:numPr>
          <w:ilvl w:val="0"/>
          <w:numId w:val="41"/>
        </w:numPr>
        <w:ind w:hanging="709"/>
      </w:pPr>
      <w:r>
        <w:t>The Commission agrees with and supports the extensive body of research and evidence that shows Aboriginal community governance is a key factor for the sustainable development of Aboriginal communities.</w:t>
      </w:r>
      <w:r w:rsidRPr="00212FF0">
        <w:rPr>
          <w:rStyle w:val="EndnoteReference1"/>
          <w:szCs w:val="20"/>
        </w:rPr>
        <w:endnoteReference w:id="13"/>
      </w:r>
      <w:r w:rsidRPr="00212FF0">
        <w:rPr>
          <w:rStyle w:val="EndnoteReference1"/>
          <w:szCs w:val="20"/>
        </w:rPr>
        <w:t xml:space="preserve"> </w:t>
      </w:r>
      <w:r>
        <w:t xml:space="preserve">The </w:t>
      </w:r>
      <w:r>
        <w:rPr>
          <w:rFonts w:ascii="Arial Italic" w:hAnsi="Arial Italic"/>
        </w:rPr>
        <w:t>NTER Review Board Report</w:t>
      </w:r>
      <w:r>
        <w:t xml:space="preserve"> stated in 2008:</w:t>
      </w:r>
    </w:p>
    <w:p w14:paraId="7953953B" w14:textId="77777777" w:rsidR="00821224" w:rsidRPr="00212FF0" w:rsidRDefault="00821224" w:rsidP="00E24086">
      <w:pPr>
        <w:pStyle w:val="SubmissionNormal"/>
        <w:numPr>
          <w:ilvl w:val="0"/>
          <w:numId w:val="0"/>
        </w:numPr>
        <w:ind w:left="1440"/>
        <w:rPr>
          <w:rStyle w:val="EndnoteReference1"/>
          <w:szCs w:val="20"/>
        </w:rPr>
      </w:pPr>
      <w:r>
        <w:rPr>
          <w:sz w:val="22"/>
        </w:rPr>
        <w:t>The robust evidence over four years from the Indigenous Community Governance Project indicates that practical, capable, culturally legitimate governance is needed to ensure that communities achieve and sustain their cultural, political, economic and social development goals.</w:t>
      </w:r>
      <w:r w:rsidRPr="00212FF0">
        <w:rPr>
          <w:rStyle w:val="EndnoteReference1"/>
          <w:szCs w:val="20"/>
        </w:rPr>
        <w:endnoteReference w:id="14"/>
      </w:r>
    </w:p>
    <w:p w14:paraId="1690FA36" w14:textId="77777777" w:rsidR="00821224" w:rsidRDefault="00821224" w:rsidP="000974C4">
      <w:pPr>
        <w:pStyle w:val="SubmissionNormal"/>
        <w:numPr>
          <w:ilvl w:val="0"/>
          <w:numId w:val="41"/>
        </w:numPr>
        <w:ind w:hanging="709"/>
      </w:pPr>
      <w:r>
        <w:t>This is supported by research from the Harvard Project on American Indian Economic Development, which demonstrates that when Indigenous communities:</w:t>
      </w:r>
    </w:p>
    <w:p w14:paraId="52DBB42C" w14:textId="77777777" w:rsidR="00821224" w:rsidRDefault="00821224" w:rsidP="00E24086">
      <w:pPr>
        <w:pStyle w:val="SubmissionNormal"/>
        <w:numPr>
          <w:ilvl w:val="0"/>
          <w:numId w:val="0"/>
        </w:numPr>
        <w:ind w:left="1440"/>
        <w:rPr>
          <w:sz w:val="22"/>
        </w:rPr>
      </w:pPr>
      <w:r>
        <w:rPr>
          <w:sz w:val="22"/>
        </w:rPr>
        <w:t>make their own decisions about what development approaches to take, they consistently out-perform external decision makers on matters as diverse as governmental form, natural resource management, economic development, health care, and social service provision.</w:t>
      </w:r>
      <w:r w:rsidRPr="00212FF0">
        <w:rPr>
          <w:rStyle w:val="EndnoteReference1"/>
          <w:szCs w:val="20"/>
        </w:rPr>
        <w:endnoteReference w:id="15"/>
      </w:r>
    </w:p>
    <w:p w14:paraId="519BCB8F" w14:textId="77777777" w:rsidR="00821224" w:rsidRDefault="00821224" w:rsidP="000974C4">
      <w:pPr>
        <w:pStyle w:val="SubmissionNormal"/>
        <w:numPr>
          <w:ilvl w:val="0"/>
          <w:numId w:val="41"/>
        </w:numPr>
        <w:ind w:hanging="709"/>
      </w:pPr>
      <w:r>
        <w:t>The Declaration</w:t>
      </w:r>
      <w:r w:rsidRPr="00212FF0">
        <w:rPr>
          <w:rStyle w:val="EndnoteReference1"/>
          <w:szCs w:val="20"/>
        </w:rPr>
        <w:endnoteReference w:id="16"/>
      </w:r>
      <w:r>
        <w:t xml:space="preserve"> and the Expert Mechanism of the Rights of Indigenous Peoples</w:t>
      </w:r>
      <w:r w:rsidRPr="00212FF0">
        <w:rPr>
          <w:rStyle w:val="EndnoteReference1"/>
          <w:szCs w:val="20"/>
        </w:rPr>
        <w:endnoteReference w:id="17"/>
      </w:r>
      <w:r>
        <w:t xml:space="preserve"> also affirms that participation in decision-making determines Aboriginal peoples’ enjoyment of other human rights.</w:t>
      </w:r>
    </w:p>
    <w:p w14:paraId="60DD030A" w14:textId="77777777" w:rsidR="00821224" w:rsidRPr="00212FF0" w:rsidRDefault="00821224" w:rsidP="000974C4">
      <w:pPr>
        <w:pStyle w:val="SubmissionNormal"/>
        <w:numPr>
          <w:ilvl w:val="0"/>
          <w:numId w:val="41"/>
        </w:numPr>
        <w:ind w:hanging="709"/>
        <w:rPr>
          <w:rStyle w:val="EndnoteReference1"/>
          <w:szCs w:val="20"/>
        </w:rPr>
      </w:pPr>
      <w:r>
        <w:t>The Commission is concerned that the NTER and related policies and legislation have caused an erosion of community governance and the disempowerment of Aboriginal communities in the Northern Territory.</w:t>
      </w:r>
      <w:r w:rsidRPr="00212FF0">
        <w:rPr>
          <w:rStyle w:val="EndnoteReference1"/>
          <w:szCs w:val="20"/>
        </w:rPr>
        <w:endnoteReference w:id="18"/>
      </w:r>
    </w:p>
    <w:p w14:paraId="19CA8B86" w14:textId="77777777" w:rsidR="00821224" w:rsidRDefault="00821224" w:rsidP="000974C4">
      <w:pPr>
        <w:pStyle w:val="SubmissionNormal"/>
        <w:numPr>
          <w:ilvl w:val="0"/>
          <w:numId w:val="41"/>
        </w:numPr>
        <w:ind w:hanging="709"/>
      </w:pPr>
      <w:r>
        <w:t>Issues that are particularly contributing to this disempowerment of Aboriginal communities include:</w:t>
      </w:r>
    </w:p>
    <w:p w14:paraId="0A5754F2" w14:textId="77777777" w:rsidR="00821224" w:rsidRDefault="00821224" w:rsidP="000974C4">
      <w:pPr>
        <w:pStyle w:val="SubmissionNormal"/>
        <w:numPr>
          <w:ilvl w:val="0"/>
          <w:numId w:val="29"/>
        </w:numPr>
        <w:rPr>
          <w:rFonts w:ascii="Lucida Grande" w:hAnsi="Symbol"/>
        </w:rPr>
      </w:pPr>
      <w:r>
        <w:t>the abolition of Aboriginal Community Councils and the subsequent roles of the amalgamated Regional Shire Councils and their ongoing interaction with local Aboriginal communities</w:t>
      </w:r>
    </w:p>
    <w:p w14:paraId="53628368" w14:textId="77777777" w:rsidR="00821224" w:rsidRDefault="00821224" w:rsidP="000974C4">
      <w:pPr>
        <w:pStyle w:val="SubmissionNormal"/>
        <w:numPr>
          <w:ilvl w:val="0"/>
          <w:numId w:val="29"/>
        </w:numPr>
        <w:rPr>
          <w:rFonts w:ascii="Lucida Grande" w:hAnsi="Symbol"/>
        </w:rPr>
      </w:pPr>
      <w:r>
        <w:t>the manner in which Federal, Territory and Local government services and programs engage with Aboriginal communities</w:t>
      </w:r>
    </w:p>
    <w:p w14:paraId="05580F2A" w14:textId="77777777" w:rsidR="00821224" w:rsidRDefault="00821224" w:rsidP="000974C4">
      <w:pPr>
        <w:pStyle w:val="SubmissionNormal"/>
        <w:numPr>
          <w:ilvl w:val="0"/>
          <w:numId w:val="29"/>
        </w:numPr>
        <w:rPr>
          <w:rFonts w:ascii="Lucida Grande" w:hAnsi="Symbol"/>
        </w:rPr>
      </w:pPr>
      <w:r>
        <w:t>the current ‘top down’ implementation of the NTER measures.</w:t>
      </w:r>
    </w:p>
    <w:p w14:paraId="1E4A84B1" w14:textId="77777777" w:rsidR="00821224" w:rsidRDefault="00821224" w:rsidP="00F12219">
      <w:pPr>
        <w:pStyle w:val="Heading3"/>
      </w:pPr>
      <w:bookmarkStart w:id="43" w:name="_TOC19662"/>
      <w:bookmarkStart w:id="44" w:name="_Toc315865060"/>
      <w:bookmarkStart w:id="45" w:name="_Toc316042352"/>
      <w:bookmarkEnd w:id="43"/>
      <w:r>
        <w:lastRenderedPageBreak/>
        <w:t>Regional Shire Councils</w:t>
      </w:r>
      <w:bookmarkEnd w:id="44"/>
      <w:bookmarkEnd w:id="45"/>
    </w:p>
    <w:p w14:paraId="2BD14A40" w14:textId="77777777" w:rsidR="00821224" w:rsidRPr="00212FF0" w:rsidRDefault="00821224" w:rsidP="000974C4">
      <w:pPr>
        <w:pStyle w:val="SubmissionNormal"/>
        <w:numPr>
          <w:ilvl w:val="0"/>
          <w:numId w:val="41"/>
        </w:numPr>
        <w:ind w:hanging="709"/>
        <w:rPr>
          <w:rStyle w:val="EndnoteReference1"/>
          <w:szCs w:val="20"/>
        </w:rPr>
      </w:pPr>
      <w:r>
        <w:t>In 2008, local government reforms in the Northern Territory disbanded 61 local government bodies, which included 54 Aboriginal Community Councils, and established eight Regional Shire Councils to predominantly service remote Aboriginal communities.</w:t>
      </w:r>
      <w:r w:rsidRPr="00212FF0">
        <w:rPr>
          <w:rStyle w:val="EndnoteReference1"/>
          <w:szCs w:val="20"/>
        </w:rPr>
        <w:endnoteReference w:id="19"/>
      </w:r>
    </w:p>
    <w:p w14:paraId="171A4BD3" w14:textId="77777777" w:rsidR="00821224" w:rsidRPr="00212FF0" w:rsidRDefault="00821224" w:rsidP="000974C4">
      <w:pPr>
        <w:pStyle w:val="SubmissionNormal"/>
        <w:numPr>
          <w:ilvl w:val="0"/>
          <w:numId w:val="41"/>
        </w:numPr>
        <w:ind w:hanging="709"/>
        <w:rPr>
          <w:rStyle w:val="EndnoteReference1"/>
          <w:szCs w:val="20"/>
        </w:rPr>
      </w:pPr>
      <w:r>
        <w:t>Although these reforms occurred separately to the NTER, they were implemented at a similar time. The Commission agrees with the observation by Australians for Native Title and Reconciliation (ANTaR) that the effect of and interrelationship between parallel reforms to housing, the Community Development Employment Projects (CDEP), remote service delivery, homelands and local government has ‘reduced control at the community level and increased centralisation of decision-making’.</w:t>
      </w:r>
      <w:r w:rsidRPr="00212FF0">
        <w:rPr>
          <w:rStyle w:val="EndnoteReference1"/>
          <w:szCs w:val="20"/>
        </w:rPr>
        <w:endnoteReference w:id="20"/>
      </w:r>
    </w:p>
    <w:p w14:paraId="66DB9792" w14:textId="77777777" w:rsidR="00821224" w:rsidRDefault="00821224" w:rsidP="000974C4">
      <w:pPr>
        <w:pStyle w:val="SubmissionNormal"/>
        <w:numPr>
          <w:ilvl w:val="0"/>
          <w:numId w:val="41"/>
        </w:numPr>
        <w:ind w:hanging="709"/>
      </w:pPr>
      <w:r>
        <w:t>The Commission also supports the following observations by the Aboriginal Peak Organisations Northern Territory (APO NT):</w:t>
      </w:r>
    </w:p>
    <w:p w14:paraId="1152A58B" w14:textId="77777777" w:rsidR="00821224" w:rsidRDefault="00821224" w:rsidP="00C14468">
      <w:pPr>
        <w:pStyle w:val="SubmissionNormal"/>
        <w:numPr>
          <w:ilvl w:val="0"/>
          <w:numId w:val="0"/>
        </w:numPr>
        <w:ind w:left="1440"/>
        <w:rPr>
          <w:sz w:val="22"/>
        </w:rPr>
      </w:pPr>
      <w:r>
        <w:rPr>
          <w:sz w:val="22"/>
        </w:rPr>
        <w:t>The cumulative impacts of recent policies of the NT and Commonwealth Governments have denied opportunities for community leaders to govern their own communities. There are, currently, few clear processes for community decision making about planning for the future. Community members are being left out of decisions made about their community and ‘consulted’ at the end of the process at a time where there is little scope to influence decisions. …</w:t>
      </w:r>
    </w:p>
    <w:p w14:paraId="2AA56F62" w14:textId="77777777" w:rsidR="00821224" w:rsidRDefault="00821224" w:rsidP="00C14468">
      <w:pPr>
        <w:pStyle w:val="SubmissionNormal"/>
        <w:numPr>
          <w:ilvl w:val="0"/>
          <w:numId w:val="0"/>
        </w:numPr>
        <w:ind w:left="1440"/>
      </w:pPr>
      <w:r>
        <w:rPr>
          <w:sz w:val="22"/>
        </w:rPr>
        <w:t>Community members are hurt and disappointed by the top-down approach by the government which determines ‘how, when and on what the community’ is consulted and lament the loss of their community councils.</w:t>
      </w:r>
      <w:r w:rsidRPr="00212FF0">
        <w:rPr>
          <w:rStyle w:val="EndnoteReference1"/>
          <w:szCs w:val="20"/>
        </w:rPr>
        <w:endnoteReference w:id="21"/>
      </w:r>
      <w:r>
        <w:t xml:space="preserve"> </w:t>
      </w:r>
    </w:p>
    <w:p w14:paraId="27AECAAF" w14:textId="77777777" w:rsidR="00821224" w:rsidRPr="00212FF0" w:rsidRDefault="00821224" w:rsidP="000974C4">
      <w:pPr>
        <w:pStyle w:val="SubmissionNormal"/>
        <w:numPr>
          <w:ilvl w:val="0"/>
          <w:numId w:val="41"/>
        </w:numPr>
        <w:ind w:hanging="709"/>
        <w:rPr>
          <w:rStyle w:val="EndnoteReference1"/>
          <w:szCs w:val="20"/>
        </w:rPr>
      </w:pPr>
      <w:r>
        <w:t xml:space="preserve">The </w:t>
      </w:r>
      <w:r>
        <w:rPr>
          <w:rFonts w:ascii="Arial Italic" w:hAnsi="Arial Italic"/>
        </w:rPr>
        <w:t>Northern Territory Emergency Response Evaluation Report</w:t>
      </w:r>
      <w:r>
        <w:t xml:space="preserve"> (</w:t>
      </w:r>
      <w:r>
        <w:rPr>
          <w:rFonts w:ascii="Arial Italic" w:hAnsi="Arial Italic"/>
        </w:rPr>
        <w:t>NTER Evaluation Report</w:t>
      </w:r>
      <w:r>
        <w:t>) released by the Australian Government in November 2011 acknowledges that the abolition of responsive and representative Aboriginal Community Councils as part of the 2008 local government reforms has left ‘a gap in local governance arrangements’.</w:t>
      </w:r>
      <w:r w:rsidRPr="00212FF0">
        <w:rPr>
          <w:rStyle w:val="EndnoteReference1"/>
          <w:szCs w:val="20"/>
        </w:rPr>
        <w:endnoteReference w:id="22"/>
      </w:r>
    </w:p>
    <w:p w14:paraId="77A26B5F" w14:textId="77777777" w:rsidR="00821224" w:rsidRDefault="00821224" w:rsidP="000974C4">
      <w:pPr>
        <w:pStyle w:val="SubmissionNormal"/>
        <w:numPr>
          <w:ilvl w:val="0"/>
          <w:numId w:val="41"/>
        </w:numPr>
        <w:ind w:hanging="709"/>
      </w:pPr>
      <w:r>
        <w:t>These observations align with feedback consistently provided to the Commission during visits to Aboriginal communities in the Northern Territory in late 2011.</w:t>
      </w:r>
    </w:p>
    <w:p w14:paraId="2CFE0683" w14:textId="77777777" w:rsidR="00821224" w:rsidRPr="00212FF0" w:rsidRDefault="00821224" w:rsidP="000974C4">
      <w:pPr>
        <w:pStyle w:val="SubmissionNormal"/>
        <w:numPr>
          <w:ilvl w:val="0"/>
          <w:numId w:val="41"/>
        </w:numPr>
        <w:ind w:hanging="709"/>
        <w:rPr>
          <w:rStyle w:val="EndnoteReference1"/>
          <w:szCs w:val="20"/>
        </w:rPr>
      </w:pPr>
      <w:r>
        <w:t>It is the Commission’s view that the centralisation and control of Regional Shire Councils over local Aboriginal communities has contributed to deteriorating Aboriginal community governance, and has paralysed the ability of many Aboriginal peoples and communities to make decisions about their futures and to deal with local issues as they arise, rather than allowing them to escalate.</w:t>
      </w:r>
      <w:r w:rsidRPr="00212FF0">
        <w:rPr>
          <w:rStyle w:val="EndnoteReference1"/>
          <w:szCs w:val="20"/>
        </w:rPr>
        <w:endnoteReference w:id="23"/>
      </w:r>
    </w:p>
    <w:p w14:paraId="284C91C1" w14:textId="77777777" w:rsidR="00821224" w:rsidRDefault="00821224" w:rsidP="00F12219">
      <w:pPr>
        <w:pStyle w:val="Heading3"/>
      </w:pPr>
      <w:bookmarkStart w:id="46" w:name="_TOC22078"/>
      <w:bookmarkStart w:id="47" w:name="_Toc315865061"/>
      <w:bookmarkStart w:id="48" w:name="_Toc316042353"/>
      <w:bookmarkEnd w:id="46"/>
      <w:r>
        <w:t>Government services and programs</w:t>
      </w:r>
      <w:bookmarkEnd w:id="47"/>
      <w:bookmarkEnd w:id="48"/>
    </w:p>
    <w:p w14:paraId="1C805B81" w14:textId="77777777" w:rsidR="00821224" w:rsidRDefault="00821224" w:rsidP="000974C4">
      <w:pPr>
        <w:pStyle w:val="SubmissionNormal"/>
        <w:numPr>
          <w:ilvl w:val="0"/>
          <w:numId w:val="41"/>
        </w:numPr>
        <w:ind w:hanging="709"/>
      </w:pPr>
      <w:r>
        <w:t xml:space="preserve">The </w:t>
      </w:r>
      <w:r>
        <w:rPr>
          <w:rFonts w:ascii="Arial Italic" w:hAnsi="Arial Italic"/>
        </w:rPr>
        <w:t>Stronger Futures Consultations Report</w:t>
      </w:r>
      <w:r>
        <w:rPr>
          <w:rStyle w:val="EndnoteReference"/>
        </w:rPr>
        <w:endnoteReference w:id="24"/>
      </w:r>
      <w:r>
        <w:t xml:space="preserve"> and </w:t>
      </w:r>
      <w:r>
        <w:rPr>
          <w:rFonts w:ascii="Arial Italic" w:hAnsi="Arial Italic"/>
        </w:rPr>
        <w:t>NTER Evaluation Report</w:t>
      </w:r>
      <w:r>
        <w:rPr>
          <w:rStyle w:val="EndnoteReference"/>
        </w:rPr>
        <w:endnoteReference w:id="25"/>
      </w:r>
      <w:r>
        <w:t xml:space="preserve"> identify problems with the way in which Federal, Territory and Local governments coordinate their services and programs and engage with Aboriginal communities in the Northern Territory.</w:t>
      </w:r>
    </w:p>
    <w:p w14:paraId="034314CC" w14:textId="77777777" w:rsidR="00821224" w:rsidRDefault="00821224" w:rsidP="000974C4">
      <w:pPr>
        <w:pStyle w:val="SubmissionNormal"/>
        <w:numPr>
          <w:ilvl w:val="0"/>
          <w:numId w:val="41"/>
        </w:numPr>
        <w:ind w:hanging="709"/>
      </w:pPr>
      <w:r>
        <w:lastRenderedPageBreak/>
        <w:t>The Commission welcomes the Australian Government’s statement that it is ‘considering options to develop stronger engagement processes with communities … [and] to better support communities to address entrenched social issues’.</w:t>
      </w:r>
      <w:r w:rsidRPr="00212FF0">
        <w:rPr>
          <w:rStyle w:val="EndnoteReference1"/>
          <w:szCs w:val="20"/>
        </w:rPr>
        <w:endnoteReference w:id="26"/>
      </w:r>
      <w:r>
        <w:t xml:space="preserve"> </w:t>
      </w:r>
    </w:p>
    <w:p w14:paraId="3F817AAD" w14:textId="35FDE270" w:rsidR="00821224" w:rsidRPr="00212FF0" w:rsidRDefault="00821224" w:rsidP="000974C4">
      <w:pPr>
        <w:pStyle w:val="SubmissionNormal"/>
        <w:numPr>
          <w:ilvl w:val="0"/>
          <w:numId w:val="41"/>
        </w:numPr>
        <w:ind w:hanging="709"/>
        <w:rPr>
          <w:rStyle w:val="EndnoteReference1"/>
          <w:szCs w:val="20"/>
        </w:rPr>
      </w:pPr>
      <w:r>
        <w:t>However, the Commission is concerned that these options will solely focus on employing more Government Business Managers (GBMs) and Indigenous Engagement Officers (IEOs) in communities, rather than facilitating community controlled and directed development. The</w:t>
      </w:r>
      <w:r w:rsidR="009D307B">
        <w:t>re have been</w:t>
      </w:r>
      <w:r>
        <w:t xml:space="preserve"> mixed outcomes </w:t>
      </w:r>
      <w:r w:rsidR="009D307B">
        <w:t>in different</w:t>
      </w:r>
      <w:r>
        <w:t xml:space="preserve"> Aboriginal communities</w:t>
      </w:r>
      <w:r w:rsidR="009D307B">
        <w:t xml:space="preserve"> since 2007</w:t>
      </w:r>
      <w:r>
        <w:t>. Doubts remain as to whether GBMs provide an effective liaison and consultation point between governments and communities.</w:t>
      </w:r>
      <w:r w:rsidRPr="00212FF0">
        <w:rPr>
          <w:rStyle w:val="EndnoteReference1"/>
          <w:szCs w:val="20"/>
        </w:rPr>
        <w:endnoteReference w:id="27"/>
      </w:r>
      <w:r>
        <w:t xml:space="preserve"> The Commission particularly notes its comments about cultural competency in the next section of this submission as being of particular importance in relation to GMBs and IEOs. </w:t>
      </w:r>
    </w:p>
    <w:p w14:paraId="654C0AE6" w14:textId="77777777" w:rsidR="00821224" w:rsidRDefault="00821224" w:rsidP="000974C4">
      <w:pPr>
        <w:pStyle w:val="SubmissionNormal"/>
        <w:numPr>
          <w:ilvl w:val="0"/>
          <w:numId w:val="41"/>
        </w:numPr>
        <w:ind w:hanging="709"/>
      </w:pPr>
      <w:r>
        <w:t xml:space="preserve">Almost five years after their introduction, GBMs have yet to be proven as an effective way to involve communities in decision-making and assist in service delivery. </w:t>
      </w:r>
    </w:p>
    <w:p w14:paraId="314B1869" w14:textId="77777777" w:rsidR="00821224" w:rsidRDefault="00821224" w:rsidP="000974C4">
      <w:pPr>
        <w:pStyle w:val="SubmissionNormal"/>
        <w:numPr>
          <w:ilvl w:val="0"/>
          <w:numId w:val="41"/>
        </w:numPr>
        <w:ind w:hanging="709"/>
      </w:pPr>
      <w:r>
        <w:t xml:space="preserve">It is acknowledged that it takes time to develop strong and constructive relationships with communities. The Commission believes that there remains a worrying shortfall in community governance in remote communities. The feelings of disempowerment affecting these communities are symptomatic of a lack of control over issues directly affecting groups. The Commission is concerned that after almost five years of the GBM program there is still a significant need for further efforts to facilitate community governance and foster partnerships between communities and government. </w:t>
      </w:r>
    </w:p>
    <w:p w14:paraId="28F43B7A" w14:textId="77777777" w:rsidR="00821224" w:rsidRPr="00212FF0" w:rsidRDefault="00821224" w:rsidP="000974C4">
      <w:pPr>
        <w:pStyle w:val="SubmissionNormal"/>
        <w:numPr>
          <w:ilvl w:val="0"/>
          <w:numId w:val="41"/>
        </w:numPr>
        <w:ind w:hanging="709"/>
        <w:rPr>
          <w:rStyle w:val="EndnoteReference1"/>
          <w:szCs w:val="20"/>
        </w:rPr>
      </w:pPr>
      <w:r>
        <w:t>The Commission acknowledges that the National Partnership Agreement on Remote Service Delivery is working to change both the ways in which governments work together and the ways that governments and communities work with each other.</w:t>
      </w:r>
      <w:r w:rsidRPr="00212FF0">
        <w:rPr>
          <w:rStyle w:val="EndnoteReference1"/>
          <w:szCs w:val="20"/>
        </w:rPr>
        <w:endnoteReference w:id="28"/>
      </w:r>
    </w:p>
    <w:p w14:paraId="3C9A8E2A" w14:textId="77777777" w:rsidR="00821224" w:rsidRDefault="00821224" w:rsidP="000974C4">
      <w:pPr>
        <w:pStyle w:val="SubmissionNormal"/>
        <w:numPr>
          <w:ilvl w:val="0"/>
          <w:numId w:val="41"/>
        </w:numPr>
        <w:ind w:hanging="709"/>
      </w:pPr>
      <w:r>
        <w:t xml:space="preserve">However, the Commission considers that the Australian and Northern Territory Governments need to take more significant steps to address the extreme levels of disempowerment currently being experienced by Aboriginal peoples in the Northern Territory. Local governance processes and infrastructure which meet the principles of self-determination for Aboriginal peoples must be revisited. This includes the development of a culturally competent workforce and an environment that is culturally safe and secure where Aboriginal peoples and communities can be empowered to take control of their destinies. This is explored in more depth at </w:t>
      </w:r>
      <w:r w:rsidR="00CC6261">
        <w:t>section 3.3</w:t>
      </w:r>
      <w:r>
        <w:t xml:space="preserve"> below.</w:t>
      </w:r>
    </w:p>
    <w:p w14:paraId="104CA8BE" w14:textId="77777777" w:rsidR="00821224" w:rsidRDefault="00821224" w:rsidP="00F12219">
      <w:pPr>
        <w:pStyle w:val="Heading2"/>
      </w:pPr>
      <w:bookmarkStart w:id="49" w:name="_TOC24720"/>
      <w:bookmarkStart w:id="50" w:name="_TOC25473"/>
      <w:bookmarkStart w:id="51" w:name="_Toc315865062"/>
      <w:bookmarkStart w:id="52" w:name="_Toc316042354"/>
      <w:bookmarkEnd w:id="49"/>
      <w:bookmarkEnd w:id="50"/>
      <w:r>
        <w:t>Government capacity and cultural competency to implement the Stronger Futures measures</w:t>
      </w:r>
      <w:bookmarkEnd w:id="51"/>
      <w:bookmarkEnd w:id="52"/>
    </w:p>
    <w:p w14:paraId="67F23F70" w14:textId="77777777" w:rsidR="00821224" w:rsidRDefault="00821224" w:rsidP="000974C4">
      <w:pPr>
        <w:pStyle w:val="SubmissionNormal"/>
        <w:numPr>
          <w:ilvl w:val="0"/>
          <w:numId w:val="41"/>
        </w:numPr>
        <w:ind w:hanging="709"/>
      </w:pPr>
      <w:r>
        <w:t xml:space="preserve">The Commission is concerned that despite five years of effort under the NTER, both the Northern Territory and Australian Governments continue to lack the capacity and cultural competency to effectively implement the measures in the NTER (as redesigned through the proposed Stronger Futures Bills). </w:t>
      </w:r>
    </w:p>
    <w:p w14:paraId="5378914A" w14:textId="18607F1C" w:rsidR="00821224" w:rsidRDefault="00821224" w:rsidP="000974C4">
      <w:pPr>
        <w:pStyle w:val="SubmissionNormal"/>
        <w:numPr>
          <w:ilvl w:val="0"/>
          <w:numId w:val="41"/>
        </w:numPr>
        <w:ind w:hanging="709"/>
      </w:pPr>
      <w:r>
        <w:lastRenderedPageBreak/>
        <w:t>The Commission notes that the original NTER was intended to go through various stages, from an initial ‘crisis’ management approach to a more sustainable ‘normalisation’ approach. As noted above, there has not been an appreciable improvement in the community governance arrangements in affected communities that would contribute to sustainable outcomes into the long term.</w:t>
      </w:r>
      <w:r w:rsidR="00E34D3A">
        <w:t xml:space="preserve"> </w:t>
      </w:r>
    </w:p>
    <w:p w14:paraId="536AA969" w14:textId="77777777" w:rsidR="00821224" w:rsidRDefault="00821224" w:rsidP="000974C4">
      <w:pPr>
        <w:pStyle w:val="SubmissionNormal"/>
        <w:numPr>
          <w:ilvl w:val="0"/>
          <w:numId w:val="41"/>
        </w:numPr>
        <w:ind w:hanging="709"/>
      </w:pPr>
      <w:r>
        <w:t>The Commission is also concerned that the Stronger Futures Bills do not provide a comprehensive framework for advancing the well-being of communities. It is not sufficiently holistic or appropriately resourced.</w:t>
      </w:r>
    </w:p>
    <w:p w14:paraId="3DF1FFB4" w14:textId="77777777" w:rsidR="00821224" w:rsidRDefault="00821224" w:rsidP="000974C4">
      <w:pPr>
        <w:pStyle w:val="SubmissionNormal"/>
        <w:numPr>
          <w:ilvl w:val="0"/>
          <w:numId w:val="41"/>
        </w:numPr>
        <w:ind w:hanging="709"/>
      </w:pPr>
      <w:r>
        <w:t xml:space="preserve">As an indication of the narrowness of the approach currently being implemented, the Commission notes that the </w:t>
      </w:r>
      <w:r>
        <w:rPr>
          <w:rFonts w:ascii="Arial Italic" w:hAnsi="Arial Italic"/>
        </w:rPr>
        <w:t xml:space="preserve">Stronger Futures Discussion Paper </w:t>
      </w:r>
      <w:r>
        <w:t xml:space="preserve">and </w:t>
      </w:r>
      <w:r>
        <w:rPr>
          <w:rFonts w:ascii="Arial Italic" w:hAnsi="Arial Italic"/>
        </w:rPr>
        <w:t>Consultations Report</w:t>
      </w:r>
      <w:r>
        <w:t xml:space="preserve"> outlined the following eight key priority areas for action:</w:t>
      </w:r>
    </w:p>
    <w:p w14:paraId="07EB7F13" w14:textId="77777777" w:rsidR="00821224" w:rsidRDefault="00821224" w:rsidP="000974C4">
      <w:pPr>
        <w:pStyle w:val="SubmissionNormal"/>
        <w:numPr>
          <w:ilvl w:val="0"/>
          <w:numId w:val="29"/>
        </w:numPr>
        <w:rPr>
          <w:rFonts w:ascii="Lucida Grande" w:hAnsi="Symbol"/>
        </w:rPr>
      </w:pPr>
      <w:r>
        <w:t>school attendance and educational achievement</w:t>
      </w:r>
    </w:p>
    <w:p w14:paraId="7076B7D8" w14:textId="77777777" w:rsidR="00821224" w:rsidRDefault="00821224" w:rsidP="000974C4">
      <w:pPr>
        <w:pStyle w:val="SubmissionNormal"/>
        <w:numPr>
          <w:ilvl w:val="0"/>
          <w:numId w:val="29"/>
        </w:numPr>
        <w:rPr>
          <w:rFonts w:ascii="Lucida Grande" w:hAnsi="Symbol"/>
        </w:rPr>
      </w:pPr>
      <w:r>
        <w:t>economic development and employment</w:t>
      </w:r>
    </w:p>
    <w:p w14:paraId="1577BF4D" w14:textId="77777777" w:rsidR="00821224" w:rsidRDefault="00821224" w:rsidP="000974C4">
      <w:pPr>
        <w:pStyle w:val="SubmissionNormal"/>
        <w:numPr>
          <w:ilvl w:val="0"/>
          <w:numId w:val="29"/>
        </w:numPr>
        <w:rPr>
          <w:rFonts w:ascii="Lucida Grande" w:hAnsi="Symbol"/>
        </w:rPr>
      </w:pPr>
      <w:r>
        <w:t xml:space="preserve">tackling alcohol abuse </w:t>
      </w:r>
    </w:p>
    <w:p w14:paraId="2DF29AC1" w14:textId="77777777" w:rsidR="00821224" w:rsidRDefault="00821224" w:rsidP="000974C4">
      <w:pPr>
        <w:pStyle w:val="SubmissionNormal"/>
        <w:numPr>
          <w:ilvl w:val="0"/>
          <w:numId w:val="29"/>
        </w:numPr>
        <w:rPr>
          <w:rFonts w:ascii="Lucida Grande" w:hAnsi="Symbol"/>
        </w:rPr>
      </w:pPr>
      <w:r>
        <w:t>community safety and protection of children</w:t>
      </w:r>
    </w:p>
    <w:p w14:paraId="4F27B747" w14:textId="77777777" w:rsidR="00821224" w:rsidRDefault="00821224" w:rsidP="000974C4">
      <w:pPr>
        <w:pStyle w:val="SubmissionNormal"/>
        <w:numPr>
          <w:ilvl w:val="0"/>
          <w:numId w:val="29"/>
        </w:numPr>
        <w:rPr>
          <w:rFonts w:ascii="Lucida Grande" w:hAnsi="Symbol"/>
        </w:rPr>
      </w:pPr>
      <w:r>
        <w:t>health</w:t>
      </w:r>
    </w:p>
    <w:p w14:paraId="41AEFE7A" w14:textId="77777777" w:rsidR="00821224" w:rsidRDefault="00821224" w:rsidP="000974C4">
      <w:pPr>
        <w:pStyle w:val="SubmissionNormal"/>
        <w:numPr>
          <w:ilvl w:val="0"/>
          <w:numId w:val="29"/>
        </w:numPr>
        <w:rPr>
          <w:rFonts w:ascii="Lucida Grande" w:hAnsi="Symbol"/>
        </w:rPr>
      </w:pPr>
      <w:r>
        <w:t>food security</w:t>
      </w:r>
    </w:p>
    <w:p w14:paraId="7165666F" w14:textId="77777777" w:rsidR="00821224" w:rsidRDefault="00821224" w:rsidP="000974C4">
      <w:pPr>
        <w:pStyle w:val="SubmissionNormal"/>
        <w:numPr>
          <w:ilvl w:val="0"/>
          <w:numId w:val="29"/>
        </w:numPr>
      </w:pPr>
      <w:r>
        <w:t>housing</w:t>
      </w:r>
    </w:p>
    <w:p w14:paraId="5A17A18A" w14:textId="77777777" w:rsidR="00821224" w:rsidRPr="00C14468" w:rsidRDefault="00821224" w:rsidP="000974C4">
      <w:pPr>
        <w:pStyle w:val="SubmissionNormal"/>
        <w:numPr>
          <w:ilvl w:val="0"/>
          <w:numId w:val="29"/>
        </w:numPr>
        <w:rPr>
          <w:rStyle w:val="EndnoteReference1"/>
          <w:rFonts w:eastAsia="Times New Roman"/>
          <w:color w:val="auto"/>
          <w:sz w:val="24"/>
          <w:vertAlign w:val="baseline"/>
        </w:rPr>
      </w:pPr>
      <w:r>
        <w:t>governance.</w:t>
      </w:r>
      <w:r w:rsidRPr="00212FF0">
        <w:rPr>
          <w:rStyle w:val="EndnoteReference1"/>
          <w:szCs w:val="20"/>
        </w:rPr>
        <w:endnoteReference w:id="29"/>
      </w:r>
    </w:p>
    <w:p w14:paraId="579D16A7" w14:textId="77777777" w:rsidR="00821224" w:rsidRDefault="00821224" w:rsidP="000974C4">
      <w:pPr>
        <w:pStyle w:val="SubmissionNormal"/>
        <w:numPr>
          <w:ilvl w:val="0"/>
          <w:numId w:val="41"/>
        </w:numPr>
        <w:ind w:hanging="709"/>
      </w:pPr>
      <w:r>
        <w:t>Despite this, the Stronger Futures Bills do not include measures that address the identified priority areas of employment, housing, health or governance. The Commission is encouraged by the Australian Government’s announcement about providing job opportunities for Aboriginal people in the Northern Territory</w:t>
      </w:r>
      <w:r w:rsidRPr="00212FF0">
        <w:rPr>
          <w:rStyle w:val="EndnoteReference1"/>
          <w:szCs w:val="20"/>
        </w:rPr>
        <w:endnoteReference w:id="30"/>
      </w:r>
      <w:r>
        <w:t xml:space="preserve"> and looks forward to working with the Government to develop a holistic approach to progressing all of these key priority areas.</w:t>
      </w:r>
    </w:p>
    <w:p w14:paraId="407AF79C" w14:textId="77777777" w:rsidR="00821224" w:rsidRDefault="00821224" w:rsidP="000974C4">
      <w:pPr>
        <w:pStyle w:val="SubmissionNormal"/>
        <w:numPr>
          <w:ilvl w:val="0"/>
          <w:numId w:val="41"/>
        </w:numPr>
        <w:ind w:hanging="709"/>
      </w:pPr>
      <w:r>
        <w:t xml:space="preserve">The Social Justice Commissioner has also previously raised concerns about the cultural competency of the bureaucracy in the </w:t>
      </w:r>
      <w:r>
        <w:rPr>
          <w:rFonts w:ascii="Arial Italic" w:hAnsi="Arial Italic"/>
        </w:rPr>
        <w:t>Social Justice Report 2010</w:t>
      </w:r>
      <w:r>
        <w:t xml:space="preserve"> and </w:t>
      </w:r>
      <w:r>
        <w:rPr>
          <w:rFonts w:ascii="Arial Italic" w:hAnsi="Arial Italic"/>
        </w:rPr>
        <w:t>Social Justice Report 2011</w:t>
      </w:r>
      <w:r>
        <w:t>.</w:t>
      </w:r>
      <w:r w:rsidRPr="00212FF0">
        <w:rPr>
          <w:rStyle w:val="EndnoteReference1"/>
          <w:szCs w:val="20"/>
        </w:rPr>
        <w:endnoteReference w:id="31"/>
      </w:r>
    </w:p>
    <w:p w14:paraId="4879E793" w14:textId="77777777" w:rsidR="00821224" w:rsidRPr="00212FF0" w:rsidRDefault="00821224" w:rsidP="000974C4">
      <w:pPr>
        <w:pStyle w:val="SubmissionNormal"/>
        <w:numPr>
          <w:ilvl w:val="0"/>
          <w:numId w:val="41"/>
        </w:numPr>
        <w:ind w:hanging="709"/>
        <w:rPr>
          <w:rStyle w:val="EndnoteReference1"/>
          <w:szCs w:val="20"/>
        </w:rPr>
      </w:pPr>
      <w:r>
        <w:t>The Stronger Futures engagement mechanisms and consultation processes will be ineffective unless they are supported by a skilled and culturally competent government workforce. The NTER Review Board found that new attitudes must be developed to redefine the relationship between the bureaucracy and Aboriginal and Torres Strait Islander peoples including a greater understanding of Indigenous cultures and world views.</w:t>
      </w:r>
      <w:r w:rsidRPr="00212FF0">
        <w:rPr>
          <w:rStyle w:val="EndnoteReference1"/>
          <w:szCs w:val="20"/>
        </w:rPr>
        <w:endnoteReference w:id="32"/>
      </w:r>
    </w:p>
    <w:p w14:paraId="07B5CC52" w14:textId="77777777" w:rsidR="00821224" w:rsidRDefault="00821224" w:rsidP="000974C4">
      <w:pPr>
        <w:pStyle w:val="SubmissionNormal"/>
        <w:numPr>
          <w:ilvl w:val="0"/>
          <w:numId w:val="41"/>
        </w:numPr>
        <w:ind w:hanging="709"/>
      </w:pPr>
      <w:r>
        <w:t xml:space="preserve">The capacity of government officials working with Aboriginal and Torres Strait Islander peoples must be developed to ensure engagement with local communities is effective. Therefore, it is suggested that government officials </w:t>
      </w:r>
      <w:r>
        <w:lastRenderedPageBreak/>
        <w:t>working with Aboriginal and Torres Strait Islander peoples must be supported with professional development training from nationally accredited training providers.</w:t>
      </w:r>
      <w:r w:rsidRPr="00212FF0">
        <w:rPr>
          <w:rStyle w:val="EndnoteReference1"/>
          <w:szCs w:val="20"/>
        </w:rPr>
        <w:endnoteReference w:id="33"/>
      </w:r>
      <w:r>
        <w:t xml:space="preserve"> </w:t>
      </w:r>
    </w:p>
    <w:p w14:paraId="646C1810" w14:textId="77777777" w:rsidR="00821224" w:rsidRDefault="00821224" w:rsidP="000974C4">
      <w:pPr>
        <w:pStyle w:val="SubmissionNormal"/>
        <w:numPr>
          <w:ilvl w:val="0"/>
          <w:numId w:val="41"/>
        </w:numPr>
        <w:ind w:hanging="709"/>
      </w:pPr>
      <w:r>
        <w:t>Evidence indicates that Aboriginal and Torres Strait Islander peoples are best placed to address the issues confronting their own communities.</w:t>
      </w:r>
      <w:r w:rsidRPr="00212FF0">
        <w:rPr>
          <w:rStyle w:val="EndnoteReference1"/>
          <w:szCs w:val="20"/>
        </w:rPr>
        <w:endnoteReference w:id="34"/>
      </w:r>
      <w:r>
        <w:t xml:space="preserve"> In implementing Stronger Futures measures, the Government should target the maximum possible employment of local Aboriginal and Torres Strait Islander peoples to manage and work on local programs and services for each community.</w:t>
      </w:r>
    </w:p>
    <w:p w14:paraId="21E41972" w14:textId="6D80CCE6" w:rsidR="00821224" w:rsidRDefault="00821224" w:rsidP="000974C4">
      <w:pPr>
        <w:pStyle w:val="SubmissionNormal"/>
        <w:numPr>
          <w:ilvl w:val="0"/>
          <w:numId w:val="41"/>
        </w:numPr>
        <w:ind w:hanging="709"/>
      </w:pPr>
      <w:r>
        <w:t>In addition, the Commission is of the view that the Government should identify cultural competency as an essential skill required from its workforce. One way of doing this is by ensuring that identified criteria are used for all positions. This usually requires applicants for positions to establish that they meet the following two skills criteria:</w:t>
      </w:r>
    </w:p>
    <w:p w14:paraId="46B0F904" w14:textId="77777777" w:rsidR="00821224" w:rsidRDefault="00821224" w:rsidP="000974C4">
      <w:pPr>
        <w:pStyle w:val="SubmissionNormal"/>
        <w:numPr>
          <w:ilvl w:val="0"/>
          <w:numId w:val="29"/>
        </w:numPr>
        <w:rPr>
          <w:rFonts w:ascii="Lucida Grande" w:hAnsi="Symbol"/>
        </w:rPr>
      </w:pPr>
      <w:r>
        <w:t>an understanding of the issues affecting Aboriginal and/or Torres Strait Islander peoples</w:t>
      </w:r>
    </w:p>
    <w:p w14:paraId="0E4DD6B0" w14:textId="77777777" w:rsidR="00821224" w:rsidRDefault="00821224" w:rsidP="000974C4">
      <w:pPr>
        <w:pStyle w:val="SubmissionNormal"/>
        <w:numPr>
          <w:ilvl w:val="0"/>
          <w:numId w:val="29"/>
        </w:numPr>
        <w:rPr>
          <w:rFonts w:ascii="Lucida Grande" w:hAnsi="Symbol"/>
        </w:rPr>
      </w:pPr>
      <w:r>
        <w:t>an ability to communicate sensitively with Aboriginal and/or Torres Strait Islander peoples.</w:t>
      </w:r>
    </w:p>
    <w:p w14:paraId="5B31D54F" w14:textId="77777777" w:rsidR="00821224" w:rsidRDefault="00821224" w:rsidP="000974C4">
      <w:pPr>
        <w:pStyle w:val="SubmissionNormal"/>
        <w:numPr>
          <w:ilvl w:val="0"/>
          <w:numId w:val="41"/>
        </w:numPr>
        <w:ind w:hanging="709"/>
      </w:pPr>
      <w:r>
        <w:t xml:space="preserve">Currently, departments and agencies are only encouraged to use Identified Positions/Criteria. The Commission believes that these criteria must be mandatory and used by all levels of the public service that are involved in the Stronger Futures measures to improve the quality of engagement and skills of the public service in implementing sensitive measures in the distinct environments of Aboriginal communities. </w:t>
      </w:r>
    </w:p>
    <w:p w14:paraId="21D11A75" w14:textId="77777777" w:rsidR="00821224" w:rsidRDefault="00821224" w:rsidP="00F12219">
      <w:pPr>
        <w:pStyle w:val="Heading3"/>
      </w:pPr>
      <w:bookmarkStart w:id="53" w:name="_TOC29589"/>
      <w:bookmarkStart w:id="54" w:name="_Toc315865063"/>
      <w:bookmarkStart w:id="55" w:name="_Toc316042355"/>
      <w:bookmarkEnd w:id="53"/>
      <w:r>
        <w:t>Cultural safety and security</w:t>
      </w:r>
      <w:bookmarkEnd w:id="54"/>
      <w:bookmarkEnd w:id="55"/>
      <w:r>
        <w:t xml:space="preserve"> </w:t>
      </w:r>
    </w:p>
    <w:p w14:paraId="6DF0BD6A" w14:textId="77777777" w:rsidR="00821224" w:rsidRDefault="00821224" w:rsidP="000974C4">
      <w:pPr>
        <w:pStyle w:val="SubmissionNormal"/>
        <w:numPr>
          <w:ilvl w:val="0"/>
          <w:numId w:val="41"/>
        </w:numPr>
        <w:ind w:hanging="709"/>
      </w:pPr>
      <w:r>
        <w:t xml:space="preserve">The </w:t>
      </w:r>
      <w:r>
        <w:rPr>
          <w:rFonts w:ascii="Arial Italic" w:hAnsi="Arial Italic"/>
        </w:rPr>
        <w:t>Social Justice Report 2011</w:t>
      </w:r>
      <w:r>
        <w:t xml:space="preserve"> examines how the strength and vitality of Aboriginal and Torres Strait Islander communities are being undermined by lateral violence.</w:t>
      </w:r>
      <w:r w:rsidRPr="00212FF0">
        <w:rPr>
          <w:rStyle w:val="EndnoteReference1"/>
          <w:szCs w:val="20"/>
        </w:rPr>
        <w:endnoteReference w:id="35"/>
      </w:r>
      <w:r>
        <w:t xml:space="preserve"> The Report considers the role of governments in creating conditions of lateral violence in Aboriginal and Torres Strait Islander communities. The Report also identifies cultural safety and security as essential to building strong communities with strong governance.</w:t>
      </w:r>
    </w:p>
    <w:p w14:paraId="479F6D37" w14:textId="77777777" w:rsidR="00821224" w:rsidRDefault="00821224" w:rsidP="000974C4">
      <w:pPr>
        <w:pStyle w:val="SubmissionNormal"/>
        <w:numPr>
          <w:ilvl w:val="0"/>
          <w:numId w:val="41"/>
        </w:numPr>
        <w:ind w:hanging="709"/>
      </w:pPr>
      <w:r>
        <w:t>Cultural safety has been defined by Muriel Bamblett, CEO of the Victorian Aboriginal Child Care Agency as:</w:t>
      </w:r>
    </w:p>
    <w:p w14:paraId="4A2DAB6D" w14:textId="77777777" w:rsidR="00821224" w:rsidRDefault="00821224" w:rsidP="005B09EB">
      <w:pPr>
        <w:pStyle w:val="SubmissionNormal"/>
        <w:numPr>
          <w:ilvl w:val="0"/>
          <w:numId w:val="0"/>
        </w:numPr>
        <w:ind w:left="1440"/>
        <w:rPr>
          <w:sz w:val="22"/>
        </w:rPr>
      </w:pPr>
      <w:r>
        <w:rPr>
          <w:sz w:val="22"/>
        </w:rPr>
        <w:t>a place where you feel safe to identify, to be yourself, to say you are Aboriginal. It’s about seeing the positives in Aboriginal people. It’s about hearing the positives about your people, rather than being portrayed constantly as negative.</w:t>
      </w:r>
      <w:r w:rsidRPr="00212FF0">
        <w:rPr>
          <w:rStyle w:val="EndnoteReference1"/>
          <w:szCs w:val="20"/>
        </w:rPr>
        <w:endnoteReference w:id="36"/>
      </w:r>
    </w:p>
    <w:p w14:paraId="55164345" w14:textId="77777777" w:rsidR="00821224" w:rsidRDefault="00821224" w:rsidP="000974C4">
      <w:pPr>
        <w:pStyle w:val="SubmissionNormal"/>
        <w:numPr>
          <w:ilvl w:val="0"/>
          <w:numId w:val="41"/>
        </w:numPr>
        <w:ind w:hanging="709"/>
      </w:pPr>
      <w:r>
        <w:t>It is a place or a process that enables a community to debate, to grapple and ultimately to resolve issues and challenges without fear or coercion.</w:t>
      </w:r>
      <w:r w:rsidRPr="00212FF0">
        <w:rPr>
          <w:rStyle w:val="EndnoteReference1"/>
          <w:szCs w:val="20"/>
        </w:rPr>
        <w:endnoteReference w:id="37"/>
      </w:r>
      <w:r>
        <w:t xml:space="preserve"> </w:t>
      </w:r>
    </w:p>
    <w:p w14:paraId="521FA3A1" w14:textId="77777777" w:rsidR="00821224" w:rsidRDefault="00821224" w:rsidP="000974C4">
      <w:pPr>
        <w:pStyle w:val="SubmissionNormal"/>
        <w:numPr>
          <w:ilvl w:val="0"/>
          <w:numId w:val="41"/>
        </w:numPr>
        <w:ind w:hanging="709"/>
      </w:pPr>
      <w:r>
        <w:t xml:space="preserve">To achieve cultural safety and security, the </w:t>
      </w:r>
      <w:r w:rsidRPr="007954A7">
        <w:rPr>
          <w:i/>
        </w:rPr>
        <w:t>Social Justice Report 2011</w:t>
      </w:r>
      <w:r>
        <w:t xml:space="preserve"> emphasises the need to create:</w:t>
      </w:r>
    </w:p>
    <w:p w14:paraId="22D5311B" w14:textId="77777777" w:rsidR="00821224" w:rsidRDefault="00821224" w:rsidP="000974C4">
      <w:pPr>
        <w:pStyle w:val="SubmissionNormal"/>
        <w:numPr>
          <w:ilvl w:val="0"/>
          <w:numId w:val="29"/>
        </w:numPr>
        <w:rPr>
          <w:rFonts w:ascii="Lucida Grande" w:hAnsi="Symbol"/>
        </w:rPr>
      </w:pPr>
      <w:r>
        <w:lastRenderedPageBreak/>
        <w:t>environments of cultural resilience within Aboriginal and Torres Strait Islander communities</w:t>
      </w:r>
    </w:p>
    <w:p w14:paraId="67C99593" w14:textId="77777777" w:rsidR="00821224" w:rsidRPr="0072343F" w:rsidRDefault="00821224" w:rsidP="000974C4">
      <w:pPr>
        <w:pStyle w:val="SubmissionNormal"/>
        <w:numPr>
          <w:ilvl w:val="0"/>
          <w:numId w:val="29"/>
        </w:numPr>
        <w:rPr>
          <w:rFonts w:ascii="Lucida Grande" w:hAnsi="Symbol"/>
        </w:rPr>
      </w:pPr>
      <w:r>
        <w:t>cultural competency by those who engage with Aboriginal and Torres Strait Islander communities.</w:t>
      </w:r>
      <w:r w:rsidRPr="00212FF0">
        <w:rPr>
          <w:rStyle w:val="EndnoteReference1"/>
          <w:szCs w:val="20"/>
        </w:rPr>
        <w:endnoteReference w:id="38"/>
      </w:r>
      <w:r>
        <w:t xml:space="preserve"> </w:t>
      </w:r>
    </w:p>
    <w:p w14:paraId="3B7C0E28" w14:textId="77777777" w:rsidR="00821224" w:rsidRDefault="00821224" w:rsidP="000974C4">
      <w:pPr>
        <w:pStyle w:val="SubmissionNormal"/>
        <w:numPr>
          <w:ilvl w:val="0"/>
          <w:numId w:val="41"/>
        </w:numPr>
        <w:ind w:hanging="709"/>
        <w:rPr>
          <w:rFonts w:ascii="Lucida Grande" w:hAnsi="Symbol"/>
        </w:rPr>
      </w:pPr>
      <w:r>
        <w:t>The Commission suggests that the implementation of the Stronger Futures measures should foster strong communities, where community members feel safe and draw strength in their identity, culture and community.</w:t>
      </w:r>
    </w:p>
    <w:p w14:paraId="2137E1A2" w14:textId="77777777" w:rsidR="00821224" w:rsidRDefault="00821224" w:rsidP="000974C4">
      <w:pPr>
        <w:pStyle w:val="SubmissionNormal"/>
        <w:numPr>
          <w:ilvl w:val="0"/>
          <w:numId w:val="41"/>
        </w:numPr>
        <w:ind w:hanging="709"/>
      </w:pPr>
      <w:r>
        <w:t xml:space="preserve">Similar to other communities, Aboriginal and Torres Strait Islander communities will always be shaped and informed by external influences. These influences can either empower and support communities to develop safe environments or undermine such efforts. </w:t>
      </w:r>
    </w:p>
    <w:p w14:paraId="77D7DA2A" w14:textId="77777777" w:rsidR="00821224" w:rsidRDefault="00821224" w:rsidP="000974C4">
      <w:pPr>
        <w:pStyle w:val="SubmissionNormal"/>
        <w:numPr>
          <w:ilvl w:val="0"/>
          <w:numId w:val="41"/>
        </w:numPr>
        <w:ind w:hanging="709"/>
      </w:pPr>
      <w:r>
        <w:t xml:space="preserve">Consequently, the cultural competency of those who are implementing the Stronger Futures measures will play an important role in facilitating and enabling affected communities to take control of their challenges and develop safe environments. </w:t>
      </w:r>
    </w:p>
    <w:p w14:paraId="2ED9870D" w14:textId="77777777" w:rsidR="00821224" w:rsidRDefault="00821224" w:rsidP="000974C4">
      <w:pPr>
        <w:pStyle w:val="SubmissionNormal"/>
        <w:numPr>
          <w:ilvl w:val="0"/>
          <w:numId w:val="41"/>
        </w:numPr>
        <w:ind w:hanging="709"/>
      </w:pPr>
      <w:r>
        <w:t>Cultural competency is what is required of those that work with Aboriginal and Torres Strait Islander peoples, to ensure that their engagement helps build and develop cultural safety within Aboriginal and Torres Strait Islander communities. External processes should build cohesion within communities and strengthen community decision-making processes.</w:t>
      </w:r>
    </w:p>
    <w:p w14:paraId="6A1ED90F" w14:textId="77777777" w:rsidR="00821224" w:rsidRDefault="00821224" w:rsidP="000974C4">
      <w:pPr>
        <w:pStyle w:val="SubmissionNormal"/>
        <w:numPr>
          <w:ilvl w:val="0"/>
          <w:numId w:val="41"/>
        </w:numPr>
        <w:ind w:hanging="709"/>
      </w:pPr>
      <w:r>
        <w:t>To engage effectively with Aboriginal and Torres Strait Islander communities, external stakeholders have responsibilities to:</w:t>
      </w:r>
    </w:p>
    <w:p w14:paraId="3C79FE66" w14:textId="77777777" w:rsidR="00821224" w:rsidRDefault="00821224" w:rsidP="000974C4">
      <w:pPr>
        <w:pStyle w:val="SubmissionNormal"/>
        <w:numPr>
          <w:ilvl w:val="0"/>
          <w:numId w:val="29"/>
        </w:numPr>
        <w:rPr>
          <w:rFonts w:ascii="Lucida Grande" w:hAnsi="Symbol"/>
        </w:rPr>
      </w:pPr>
      <w:r>
        <w:t>remove the road blocks that inhibit Aboriginal and Torres Strait Islander peoples from taking control</w:t>
      </w:r>
    </w:p>
    <w:p w14:paraId="2F2162C0" w14:textId="77777777" w:rsidR="00821224" w:rsidRDefault="00821224" w:rsidP="000974C4">
      <w:pPr>
        <w:pStyle w:val="SubmissionNormal"/>
        <w:numPr>
          <w:ilvl w:val="0"/>
          <w:numId w:val="26"/>
        </w:numPr>
        <w:rPr>
          <w:rFonts w:ascii="Lucida Grande" w:hAnsi="Symbol"/>
        </w:rPr>
      </w:pPr>
      <w:r>
        <w:t>refrain from actions and processes that divide Aboriginal and Torres Strait Islander peoples</w:t>
      </w:r>
    </w:p>
    <w:p w14:paraId="2ED63578" w14:textId="77777777" w:rsidR="00821224" w:rsidRDefault="00821224" w:rsidP="000974C4">
      <w:pPr>
        <w:pStyle w:val="SubmissionNormal"/>
        <w:numPr>
          <w:ilvl w:val="0"/>
          <w:numId w:val="26"/>
        </w:numPr>
        <w:rPr>
          <w:rFonts w:ascii="Lucida Grande" w:hAnsi="Symbol"/>
        </w:rPr>
      </w:pPr>
      <w:r>
        <w:t>create environments where Aboriginal and Torres Strait Islander peoples’ cultural difference is respected and nurtured</w:t>
      </w:r>
    </w:p>
    <w:p w14:paraId="6ACE0EA3" w14:textId="77777777" w:rsidR="00821224" w:rsidRDefault="00821224" w:rsidP="000974C4">
      <w:pPr>
        <w:pStyle w:val="SubmissionNormal"/>
        <w:numPr>
          <w:ilvl w:val="0"/>
          <w:numId w:val="26"/>
        </w:numPr>
        <w:rPr>
          <w:rFonts w:ascii="Lucida Grande" w:hAnsi="Symbol"/>
        </w:rPr>
      </w:pPr>
      <w:r>
        <w:t xml:space="preserve">remove the structural impediments to healthy relationships in Aboriginal and Torres Strait Islander communities. </w:t>
      </w:r>
    </w:p>
    <w:p w14:paraId="7E147F71" w14:textId="77777777" w:rsidR="00821224" w:rsidRDefault="00821224" w:rsidP="000974C4">
      <w:pPr>
        <w:pStyle w:val="SubmissionNormal"/>
        <w:numPr>
          <w:ilvl w:val="0"/>
          <w:numId w:val="41"/>
        </w:numPr>
        <w:ind w:hanging="709"/>
      </w:pPr>
      <w:r>
        <w:t>To meet these responsibilities external stakeholders must be sufficiently culturally competent. This requires more than an awareness of cultural differences and incorporates systems level change so that an organisation:</w:t>
      </w:r>
    </w:p>
    <w:p w14:paraId="736A188B" w14:textId="77777777" w:rsidR="00821224" w:rsidRDefault="00821224" w:rsidP="000974C4">
      <w:pPr>
        <w:pStyle w:val="SubmissionNormal"/>
        <w:numPr>
          <w:ilvl w:val="0"/>
          <w:numId w:val="27"/>
        </w:numPr>
        <w:rPr>
          <w:rFonts w:ascii="Lucida Grande" w:hAnsi="Symbol"/>
        </w:rPr>
      </w:pPr>
      <w:r>
        <w:t>values diversity</w:t>
      </w:r>
    </w:p>
    <w:p w14:paraId="483C8E7F" w14:textId="77777777" w:rsidR="00821224" w:rsidRDefault="00821224" w:rsidP="000974C4">
      <w:pPr>
        <w:pStyle w:val="SubmissionNormal"/>
        <w:numPr>
          <w:ilvl w:val="0"/>
          <w:numId w:val="27"/>
        </w:numPr>
        <w:rPr>
          <w:rFonts w:ascii="Lucida Grande" w:hAnsi="Symbol"/>
        </w:rPr>
      </w:pPr>
      <w:r>
        <w:t>has the capacity for cultural self-assessment</w:t>
      </w:r>
    </w:p>
    <w:p w14:paraId="56337DAB" w14:textId="77777777" w:rsidR="00821224" w:rsidRDefault="00821224" w:rsidP="000974C4">
      <w:pPr>
        <w:pStyle w:val="SubmissionNormal"/>
        <w:numPr>
          <w:ilvl w:val="0"/>
          <w:numId w:val="27"/>
        </w:numPr>
        <w:rPr>
          <w:rFonts w:ascii="Lucida Grande" w:hAnsi="Symbol"/>
        </w:rPr>
      </w:pPr>
      <w:r>
        <w:t>is conscious of the dynamics that occur when cultures interact</w:t>
      </w:r>
    </w:p>
    <w:p w14:paraId="1068F9AB" w14:textId="77777777" w:rsidR="00821224" w:rsidRDefault="00821224" w:rsidP="000974C4">
      <w:pPr>
        <w:pStyle w:val="SubmissionNormal"/>
        <w:numPr>
          <w:ilvl w:val="0"/>
          <w:numId w:val="27"/>
        </w:numPr>
        <w:rPr>
          <w:rFonts w:ascii="Lucida Grande" w:hAnsi="Symbol"/>
        </w:rPr>
      </w:pPr>
      <w:r>
        <w:t>institutionalises cultural knowledge</w:t>
      </w:r>
    </w:p>
    <w:p w14:paraId="263EC1DB" w14:textId="77777777" w:rsidR="00821224" w:rsidRPr="005B09EB" w:rsidRDefault="00821224" w:rsidP="000974C4">
      <w:pPr>
        <w:pStyle w:val="SubmissionNormal"/>
        <w:numPr>
          <w:ilvl w:val="0"/>
          <w:numId w:val="27"/>
        </w:numPr>
        <w:rPr>
          <w:rFonts w:ascii="Lucida Grande" w:hAnsi="Symbol"/>
        </w:rPr>
      </w:pPr>
      <w:r>
        <w:lastRenderedPageBreak/>
        <w:t>adapts service delivery so that it reflects an understanding of the diversity between and within cultures.</w:t>
      </w:r>
      <w:r w:rsidRPr="00212FF0">
        <w:rPr>
          <w:rStyle w:val="EndnoteReference1"/>
          <w:szCs w:val="20"/>
        </w:rPr>
        <w:endnoteReference w:id="39"/>
      </w:r>
    </w:p>
    <w:p w14:paraId="509FB2E4" w14:textId="77777777" w:rsidR="00821224" w:rsidRDefault="00821224" w:rsidP="000974C4">
      <w:pPr>
        <w:pStyle w:val="SubmissionNormal"/>
        <w:numPr>
          <w:ilvl w:val="0"/>
          <w:numId w:val="41"/>
        </w:numPr>
        <w:ind w:hanging="709"/>
      </w:pPr>
      <w:r>
        <w:t xml:space="preserve">The Commission notes that cultural competency is not something that is achieved formulaically. The approach, though tailored, must be considered and deliberate, allowing for capacity building over time in partnership with communities. </w:t>
      </w:r>
    </w:p>
    <w:p w14:paraId="199EC7D9" w14:textId="01418E84" w:rsidR="00821224" w:rsidRDefault="00821224" w:rsidP="000974C4">
      <w:pPr>
        <w:pStyle w:val="SubmissionNormal"/>
        <w:numPr>
          <w:ilvl w:val="0"/>
          <w:numId w:val="41"/>
        </w:numPr>
        <w:ind w:hanging="709"/>
      </w:pPr>
      <w:r>
        <w:t xml:space="preserve">The </w:t>
      </w:r>
      <w:r>
        <w:rPr>
          <w:rFonts w:ascii="Arial Italic" w:hAnsi="Arial Italic"/>
        </w:rPr>
        <w:t>Social Justice Report 2011</w:t>
      </w:r>
      <w:r>
        <w:t xml:space="preserve"> thoroughly investigates important princip</w:t>
      </w:r>
      <w:r w:rsidR="007E40FA">
        <w:t>le</w:t>
      </w:r>
      <w:r>
        <w:t>s and methods required to address issues of cultural competency.</w:t>
      </w:r>
      <w:r w:rsidRPr="00212FF0">
        <w:rPr>
          <w:rStyle w:val="EndnoteReference1"/>
          <w:szCs w:val="20"/>
        </w:rPr>
        <w:endnoteReference w:id="40"/>
      </w:r>
      <w:r>
        <w:t xml:space="preserve"> The concept of brokerage is discussed, and protocols are identified to facilitate cultural competency.</w:t>
      </w:r>
      <w:r w:rsidRPr="00212FF0">
        <w:rPr>
          <w:rStyle w:val="EndnoteReference1"/>
          <w:szCs w:val="20"/>
        </w:rPr>
        <w:endnoteReference w:id="41"/>
      </w:r>
      <w:r>
        <w:t xml:space="preserve"> Brokerage stresses the crucial nature of engagement with communities and the importance of developing relationships, and involving communities in decision-making. Protocols assist to guide this brokerage, to formalise consultation in service delivery as well as institutionalising culturally informed practices.</w:t>
      </w:r>
    </w:p>
    <w:p w14:paraId="7B657C56" w14:textId="30EC1D0D" w:rsidR="00821224" w:rsidRDefault="00821224" w:rsidP="000974C4">
      <w:pPr>
        <w:pStyle w:val="SubmissionNormal"/>
        <w:numPr>
          <w:ilvl w:val="0"/>
          <w:numId w:val="41"/>
        </w:numPr>
        <w:ind w:hanging="709"/>
      </w:pPr>
      <w:r>
        <w:t xml:space="preserve">The Commission strongly believes that a culturally competent implementation of the Stronger Futures policy agenda is required for it to be consistent with human rights standards detailed above at </w:t>
      </w:r>
      <w:r w:rsidR="00346145">
        <w:t>paragraph 7</w:t>
      </w:r>
      <w:r>
        <w:t xml:space="preserve">. This is particularly important for policies and programs to build respect for and protect Aboriginal and Torres Strait Islander peoples’ culture. </w:t>
      </w:r>
    </w:p>
    <w:p w14:paraId="7F5FEB65" w14:textId="77777777" w:rsidR="00821224" w:rsidRDefault="00821224" w:rsidP="000974C4">
      <w:pPr>
        <w:pStyle w:val="SubmissionNormal"/>
        <w:numPr>
          <w:ilvl w:val="0"/>
          <w:numId w:val="41"/>
        </w:numPr>
        <w:ind w:hanging="709"/>
      </w:pPr>
      <w:r>
        <w:t xml:space="preserve">The Commission invites the Committee and the Australian Government to engage with the Aboriginal and Torres Strait Islander Social Justice Commissioner and the Race Discrimination Commissioner to ensure Stronger Futures processes, policy and legislation are culturally competent. </w:t>
      </w:r>
      <w:bookmarkStart w:id="56" w:name="_TOC34260"/>
      <w:bookmarkEnd w:id="56"/>
    </w:p>
    <w:p w14:paraId="1DD68126" w14:textId="77777777" w:rsidR="00821224" w:rsidRDefault="00821224" w:rsidP="00F12219">
      <w:pPr>
        <w:pStyle w:val="Heading3"/>
      </w:pPr>
      <w:bookmarkStart w:id="57" w:name="_Toc315865064"/>
      <w:bookmarkStart w:id="58" w:name="_Toc316042356"/>
      <w:r>
        <w:t>Recommendations</w:t>
      </w:r>
      <w:bookmarkEnd w:id="57"/>
      <w:bookmarkEnd w:id="58"/>
    </w:p>
    <w:p w14:paraId="4925413B" w14:textId="77777777" w:rsidR="00821224" w:rsidRPr="005B09EB" w:rsidRDefault="00821224" w:rsidP="000974C4">
      <w:pPr>
        <w:pStyle w:val="SubmissionNormal"/>
        <w:numPr>
          <w:ilvl w:val="0"/>
          <w:numId w:val="41"/>
        </w:numPr>
        <w:ind w:hanging="709"/>
      </w:pPr>
      <w:bookmarkStart w:id="59" w:name="_TOC35526"/>
      <w:bookmarkEnd w:id="59"/>
      <w:r w:rsidRPr="005B09EB">
        <w:t>The Commission recommends the Australian and Northern Territory Governments commit to:</w:t>
      </w:r>
    </w:p>
    <w:p w14:paraId="354457A4" w14:textId="77777777" w:rsidR="00821224" w:rsidRPr="005B09EB" w:rsidRDefault="00821224" w:rsidP="000974C4">
      <w:pPr>
        <w:pStyle w:val="SubmissionNormal"/>
        <w:numPr>
          <w:ilvl w:val="0"/>
          <w:numId w:val="27"/>
        </w:numPr>
      </w:pPr>
      <w:r w:rsidRPr="005B09EB">
        <w:t>appropriately resource (including financial and technical assistance), and prioritise programs that facilitate the development of community governance structures which enable and empower those Aboriginal communities to engage with and control decision-making about their cultural, political, economic and social development goals</w:t>
      </w:r>
    </w:p>
    <w:p w14:paraId="19E2F4F0" w14:textId="77777777" w:rsidR="00821224" w:rsidRDefault="00821224" w:rsidP="000974C4">
      <w:pPr>
        <w:pStyle w:val="SubmissionNormal"/>
        <w:numPr>
          <w:ilvl w:val="0"/>
          <w:numId w:val="27"/>
        </w:numPr>
      </w:pPr>
      <w:r w:rsidRPr="005B09EB">
        <w:t xml:space="preserve">develop and implement a holistic and coordinated approach to address the eight priority areas identified in the </w:t>
      </w:r>
      <w:r w:rsidRPr="005B09EB">
        <w:rPr>
          <w:i/>
        </w:rPr>
        <w:t xml:space="preserve">Stronger Futures </w:t>
      </w:r>
      <w:r>
        <w:rPr>
          <w:i/>
        </w:rPr>
        <w:t xml:space="preserve">in the Northern Territory </w:t>
      </w:r>
      <w:r w:rsidRPr="005B09EB">
        <w:rPr>
          <w:i/>
        </w:rPr>
        <w:t xml:space="preserve">Discussion Paper </w:t>
      </w:r>
      <w:r w:rsidRPr="005B09EB">
        <w:t xml:space="preserve">and </w:t>
      </w:r>
      <w:r w:rsidRPr="005B09EB">
        <w:rPr>
          <w:i/>
        </w:rPr>
        <w:t>Consultations Report</w:t>
      </w:r>
      <w:r>
        <w:t xml:space="preserve"> [</w:t>
      </w:r>
      <w:r>
        <w:rPr>
          <w:rFonts w:ascii="Arial Bold" w:hAnsi="Arial Bold"/>
        </w:rPr>
        <w:t xml:space="preserve">Recommendation no. </w:t>
      </w:r>
      <w:r w:rsidR="007A09E1">
        <w:rPr>
          <w:rFonts w:ascii="Arial Bold" w:hAnsi="Arial Bold"/>
        </w:rPr>
        <w:t>3</w:t>
      </w:r>
      <w:r>
        <w:t>].</w:t>
      </w:r>
    </w:p>
    <w:p w14:paraId="32DB642B" w14:textId="4B051447" w:rsidR="00821224" w:rsidRPr="005B09EB" w:rsidRDefault="00821224" w:rsidP="000974C4">
      <w:pPr>
        <w:pStyle w:val="SubmissionNormal"/>
        <w:numPr>
          <w:ilvl w:val="0"/>
          <w:numId w:val="41"/>
        </w:numPr>
        <w:ind w:hanging="709"/>
      </w:pPr>
      <w:r w:rsidRPr="005B09EB">
        <w:t>The Commission recommends that the Australian and Northern Territory Governments implement the Stronger Futures measures in a cultural</w:t>
      </w:r>
      <w:r w:rsidR="006B1923">
        <w:t>ly</w:t>
      </w:r>
      <w:r w:rsidRPr="005B09EB">
        <w:t xml:space="preserve"> safe and competent manner. This </w:t>
      </w:r>
      <w:r>
        <w:t>requires the Government to ensure</w:t>
      </w:r>
      <w:r w:rsidRPr="005B09EB">
        <w:t xml:space="preserve">: </w:t>
      </w:r>
    </w:p>
    <w:p w14:paraId="259E9C51" w14:textId="77777777" w:rsidR="00821224" w:rsidRPr="005B09EB" w:rsidRDefault="00821224" w:rsidP="000974C4">
      <w:pPr>
        <w:pStyle w:val="SubmissionNormal"/>
        <w:numPr>
          <w:ilvl w:val="0"/>
          <w:numId w:val="27"/>
        </w:numPr>
      </w:pPr>
      <w:r w:rsidRPr="005B09EB">
        <w:t xml:space="preserve">the mandatory use of Identified Positions/Criteria for all positions in the public service that have any involvement with the Stronger Futures measures, and the requirement for relevant officers to have the appropriate skills and cultural competency to work with Aboriginal and Torres Strait Islander peoples and communities </w:t>
      </w:r>
    </w:p>
    <w:p w14:paraId="50DF88F8" w14:textId="77777777" w:rsidR="00821224" w:rsidRPr="005B09EB" w:rsidRDefault="00821224" w:rsidP="000974C4">
      <w:pPr>
        <w:pStyle w:val="SubmissionNormal"/>
        <w:numPr>
          <w:ilvl w:val="0"/>
          <w:numId w:val="27"/>
        </w:numPr>
      </w:pPr>
      <w:r w:rsidRPr="005B09EB">
        <w:lastRenderedPageBreak/>
        <w:t xml:space="preserve">the development of targeted education and training programs with accredited training providers to facilitate the development of appropriate skills and cultural competency </w:t>
      </w:r>
    </w:p>
    <w:p w14:paraId="2A967F1E" w14:textId="77777777" w:rsidR="00821224" w:rsidRDefault="00821224" w:rsidP="000974C4">
      <w:pPr>
        <w:pStyle w:val="SubmissionNormal"/>
        <w:numPr>
          <w:ilvl w:val="0"/>
          <w:numId w:val="27"/>
        </w:numPr>
      </w:pPr>
      <w:r w:rsidRPr="005B09EB">
        <w:t>increasing the capacity of G</w:t>
      </w:r>
      <w:r>
        <w:t xml:space="preserve">overnment </w:t>
      </w:r>
      <w:r w:rsidRPr="005B09EB">
        <w:t>B</w:t>
      </w:r>
      <w:r>
        <w:t xml:space="preserve">usiness </w:t>
      </w:r>
      <w:r w:rsidRPr="005B09EB">
        <w:t>M</w:t>
      </w:r>
      <w:r>
        <w:t>anager</w:t>
      </w:r>
      <w:r w:rsidRPr="005B09EB">
        <w:t>s and I</w:t>
      </w:r>
      <w:r>
        <w:t xml:space="preserve">ndigenous </w:t>
      </w:r>
      <w:r w:rsidRPr="005B09EB">
        <w:t>E</w:t>
      </w:r>
      <w:r>
        <w:t xml:space="preserve">ngagement </w:t>
      </w:r>
      <w:r w:rsidRPr="005B09EB">
        <w:t>O</w:t>
      </w:r>
      <w:r>
        <w:t>fficer</w:t>
      </w:r>
      <w:r w:rsidRPr="005B09EB">
        <w:t>s to work with communities and build community engagement processes with a view to improving community engagement on the key issues facing communities</w:t>
      </w:r>
      <w:r>
        <w:t xml:space="preserve"> [</w:t>
      </w:r>
      <w:r>
        <w:rPr>
          <w:rFonts w:ascii="Arial Bold" w:hAnsi="Arial Bold"/>
        </w:rPr>
        <w:t xml:space="preserve">Recommendation no. </w:t>
      </w:r>
      <w:r w:rsidR="007A09E1">
        <w:rPr>
          <w:rFonts w:ascii="Arial Bold" w:hAnsi="Arial Bold"/>
        </w:rPr>
        <w:t>4</w:t>
      </w:r>
      <w:r>
        <w:t>].</w:t>
      </w:r>
    </w:p>
    <w:p w14:paraId="6A976063" w14:textId="1CE7B5B9" w:rsidR="00821224" w:rsidRPr="002A6D74" w:rsidRDefault="00821224" w:rsidP="000974C4">
      <w:pPr>
        <w:pStyle w:val="SubmissionNormal"/>
        <w:numPr>
          <w:ilvl w:val="0"/>
          <w:numId w:val="41"/>
        </w:numPr>
        <w:ind w:hanging="709"/>
        <w:rPr>
          <w:b/>
        </w:rPr>
      </w:pPr>
      <w:r w:rsidRPr="005B09EB">
        <w:t xml:space="preserve">Given the potential of some measures to raise human rights concerns as they are developed, </w:t>
      </w:r>
      <w:r w:rsidR="007E40FA">
        <w:t>t</w:t>
      </w:r>
      <w:r w:rsidRPr="005B09EB">
        <w:t xml:space="preserve">he Commission recommends that </w:t>
      </w:r>
      <w:r w:rsidRPr="00EA564B">
        <w:t>th</w:t>
      </w:r>
      <w:r>
        <w:t>e</w:t>
      </w:r>
      <w:r w:rsidRPr="005B09EB">
        <w:t xml:space="preserve"> Committee conduct a follow up inquiry in three years’ time into progress in improving Indigenous governance arrangements, cultural security, and progress in developing community led initiatives such as alcohol management plans</w:t>
      </w:r>
      <w:r>
        <w:rPr>
          <w:b/>
        </w:rPr>
        <w:t xml:space="preserve"> </w:t>
      </w:r>
      <w:r>
        <w:t>[</w:t>
      </w:r>
      <w:r w:rsidR="007A09E1">
        <w:rPr>
          <w:rFonts w:ascii="Arial Bold" w:hAnsi="Arial Bold"/>
        </w:rPr>
        <w:t>Recommendation no. 5</w:t>
      </w:r>
      <w:r>
        <w:t>]</w:t>
      </w:r>
      <w:r>
        <w:rPr>
          <w:b/>
        </w:rPr>
        <w:t>.</w:t>
      </w:r>
    </w:p>
    <w:p w14:paraId="4C59A289" w14:textId="77777777" w:rsidR="00821224" w:rsidRPr="00D00DEC" w:rsidRDefault="00821224" w:rsidP="00F12219">
      <w:pPr>
        <w:pStyle w:val="Heading1"/>
      </w:pPr>
      <w:bookmarkStart w:id="60" w:name="_Toc315865065"/>
      <w:bookmarkStart w:id="61" w:name="_Toc316042357"/>
      <w:r>
        <w:t>Human rights implications of the Stronger Futures Bills</w:t>
      </w:r>
      <w:bookmarkEnd w:id="60"/>
      <w:bookmarkEnd w:id="61"/>
      <w:r>
        <w:t xml:space="preserve"> </w:t>
      </w:r>
    </w:p>
    <w:p w14:paraId="25BD432E" w14:textId="77777777" w:rsidR="00821224" w:rsidRDefault="00821224" w:rsidP="002A6D74">
      <w:pPr>
        <w:pStyle w:val="Heading2"/>
      </w:pPr>
      <w:bookmarkStart w:id="62" w:name="_TOC35583"/>
      <w:bookmarkStart w:id="63" w:name="_Toc315865066"/>
      <w:bookmarkStart w:id="64" w:name="_Toc316042358"/>
      <w:bookmarkEnd w:id="62"/>
      <w:r>
        <w:t>Compliance with the Racial Discrimination Act 1975</w:t>
      </w:r>
      <w:bookmarkEnd w:id="63"/>
      <w:bookmarkEnd w:id="64"/>
    </w:p>
    <w:p w14:paraId="68C6F448" w14:textId="77777777" w:rsidR="00821224" w:rsidRDefault="00821224" w:rsidP="000974C4">
      <w:pPr>
        <w:pStyle w:val="SubmissionNormal"/>
        <w:numPr>
          <w:ilvl w:val="0"/>
          <w:numId w:val="41"/>
        </w:numPr>
        <w:ind w:hanging="709"/>
      </w:pPr>
      <w:r>
        <w:t xml:space="preserve">A persistent criticism that has been made since the introduction of the original NTER measures is the compliance of these measures with the </w:t>
      </w:r>
      <w:r>
        <w:rPr>
          <w:rFonts w:ascii="Arial Italic" w:hAnsi="Arial Italic"/>
        </w:rPr>
        <w:t xml:space="preserve">Racial Discrimination Act 1975 </w:t>
      </w:r>
      <w:r>
        <w:t xml:space="preserve">(Cth) (RDA) and Australia’s international obligations under the </w:t>
      </w:r>
      <w:r>
        <w:rPr>
          <w:rFonts w:ascii="Arial Italic" w:hAnsi="Arial Italic"/>
        </w:rPr>
        <w:t xml:space="preserve">International Convention on the Elimination of All Forms of Racial Discrimination </w:t>
      </w:r>
      <w:r>
        <w:t xml:space="preserve">(ICERD). </w:t>
      </w:r>
    </w:p>
    <w:p w14:paraId="33964D51" w14:textId="77777777" w:rsidR="00821224" w:rsidRDefault="00821224" w:rsidP="000974C4">
      <w:pPr>
        <w:pStyle w:val="SubmissionNormal"/>
        <w:numPr>
          <w:ilvl w:val="0"/>
          <w:numId w:val="41"/>
        </w:numPr>
        <w:ind w:hanging="709"/>
      </w:pPr>
      <w:r>
        <w:t>The RDA was Australia’s first law to protect human rights and remains a cornerstone of human rights protection in Australia. Upholding the values of the RDA and ICERD is vital to ensure community respect for government action and to maintain Australia’s reputation as a nation committed to equality.</w:t>
      </w:r>
    </w:p>
    <w:p w14:paraId="2820EA21" w14:textId="77777777" w:rsidR="00821224" w:rsidRDefault="00821224" w:rsidP="00F12219">
      <w:pPr>
        <w:pStyle w:val="Heading3"/>
      </w:pPr>
      <w:bookmarkStart w:id="65" w:name="_TOC36265"/>
      <w:bookmarkStart w:id="66" w:name="a"/>
      <w:bookmarkEnd w:id="65"/>
      <w:r>
        <w:t xml:space="preserve"> </w:t>
      </w:r>
      <w:bookmarkStart w:id="67" w:name="_Toc315865067"/>
      <w:bookmarkStart w:id="68" w:name="_Toc316042359"/>
      <w:bookmarkEnd w:id="66"/>
      <w:r>
        <w:t>What does the RDA protect?</w:t>
      </w:r>
      <w:bookmarkEnd w:id="67"/>
      <w:bookmarkEnd w:id="68"/>
    </w:p>
    <w:p w14:paraId="11C2B554" w14:textId="0033358E" w:rsidR="00821224" w:rsidRDefault="00821224" w:rsidP="000974C4">
      <w:pPr>
        <w:pStyle w:val="SubmissionNormal"/>
        <w:numPr>
          <w:ilvl w:val="0"/>
          <w:numId w:val="41"/>
        </w:numPr>
        <w:ind w:hanging="709"/>
      </w:pPr>
      <w:r>
        <w:t xml:space="preserve">Sections 9(1) and 9(1A) of the RDA proscribe racial discrimination. The right to equality before the law is also protected in section 10. </w:t>
      </w:r>
    </w:p>
    <w:p w14:paraId="75B319F9" w14:textId="77777777" w:rsidR="00821224" w:rsidRDefault="00821224" w:rsidP="000974C4">
      <w:pPr>
        <w:pStyle w:val="SubmissionNormal"/>
        <w:numPr>
          <w:ilvl w:val="0"/>
          <w:numId w:val="41"/>
        </w:numPr>
        <w:ind w:hanging="709"/>
      </w:pPr>
      <w:r>
        <w:t xml:space="preserve">Section 9 is relevant to an allegation that an act or conduct of a person is discriminatory. The making of laws by the Commonwealth and State and Territory legislatures or delegated lawmakers cannot be challenged as an act under s 9. Instead, the resulting law or delegated legislation can only be challenged under s 10. </w:t>
      </w:r>
    </w:p>
    <w:p w14:paraId="72F86A14" w14:textId="77777777" w:rsidR="00821224" w:rsidRDefault="00821224" w:rsidP="000974C4">
      <w:pPr>
        <w:pStyle w:val="SubmissionNormal"/>
        <w:numPr>
          <w:ilvl w:val="0"/>
          <w:numId w:val="41"/>
        </w:numPr>
        <w:ind w:hanging="709"/>
      </w:pPr>
      <w:r>
        <w:t>Section 10 is relevant to an allegation that a law is discriminatory in its terms or its practical effect. To make a successful claim under s 10 of the RDA, the complainant must be able to show that the discrimination complained of arises by reason of a statutory provision and that:</w:t>
      </w:r>
    </w:p>
    <w:p w14:paraId="3F0A6E96" w14:textId="77777777" w:rsidR="00821224" w:rsidRDefault="00821224" w:rsidP="00EA564B">
      <w:pPr>
        <w:pStyle w:val="SubmissionNormal"/>
        <w:numPr>
          <w:ilvl w:val="0"/>
          <w:numId w:val="0"/>
        </w:numPr>
        <w:ind w:left="709"/>
      </w:pPr>
      <w:r>
        <w:t xml:space="preserve">(1) persons of a particular race, colour or national or ethnic origin do not enjoy a right that is enjoyed by persons of another race; or </w:t>
      </w:r>
    </w:p>
    <w:p w14:paraId="0E414AEF" w14:textId="77777777" w:rsidR="00821224" w:rsidRDefault="00821224" w:rsidP="00EA564B">
      <w:pPr>
        <w:pStyle w:val="SubmissionNormal"/>
        <w:numPr>
          <w:ilvl w:val="0"/>
          <w:numId w:val="0"/>
        </w:numPr>
        <w:ind w:left="709"/>
      </w:pPr>
      <w:r>
        <w:t xml:space="preserve">(2) persons of a particular race, colour or national or ethnic origin enjoy a right to a more limited extent than persons of another race. </w:t>
      </w:r>
    </w:p>
    <w:p w14:paraId="79E46F83" w14:textId="77777777" w:rsidR="00821224" w:rsidRDefault="00821224" w:rsidP="000974C4">
      <w:pPr>
        <w:pStyle w:val="SubmissionNormal"/>
        <w:numPr>
          <w:ilvl w:val="0"/>
          <w:numId w:val="41"/>
        </w:numPr>
        <w:ind w:hanging="709"/>
      </w:pPr>
      <w:r>
        <w:lastRenderedPageBreak/>
        <w:t>Section 8(1) of the RDA provides that actions that can be described as ‘special measures’ do not amount to discrimination under the RDA.</w:t>
      </w:r>
      <w:r w:rsidRPr="00212FF0">
        <w:rPr>
          <w:rStyle w:val="EndnoteReference1"/>
          <w:szCs w:val="20"/>
        </w:rPr>
        <w:endnoteReference w:id="42"/>
      </w:r>
    </w:p>
    <w:p w14:paraId="4B96F9BD" w14:textId="77777777" w:rsidR="00821224" w:rsidRPr="00212FF0" w:rsidRDefault="00821224" w:rsidP="000974C4">
      <w:pPr>
        <w:pStyle w:val="SubmissionNormal"/>
        <w:numPr>
          <w:ilvl w:val="0"/>
          <w:numId w:val="41"/>
        </w:numPr>
        <w:ind w:hanging="709"/>
        <w:rPr>
          <w:rStyle w:val="EndnoteReference1"/>
          <w:szCs w:val="20"/>
        </w:rPr>
      </w:pPr>
      <w:r>
        <w:t>The term ‘special measures’ is generally understood to apply to positive measures taken to redress the disadvantage, and secure the ‘full and equal enjoyment of human rights and fundamental freedoms’, of a particular racial group.</w:t>
      </w:r>
      <w:r w:rsidRPr="00212FF0">
        <w:rPr>
          <w:rStyle w:val="EndnoteReference1"/>
          <w:szCs w:val="20"/>
        </w:rPr>
        <w:endnoteReference w:id="43"/>
      </w:r>
    </w:p>
    <w:p w14:paraId="79F798F4" w14:textId="77777777" w:rsidR="00821224" w:rsidRDefault="00821224" w:rsidP="000974C4">
      <w:pPr>
        <w:pStyle w:val="SubmissionNormal"/>
        <w:numPr>
          <w:ilvl w:val="0"/>
          <w:numId w:val="41"/>
        </w:numPr>
        <w:ind w:hanging="709"/>
      </w:pPr>
      <w:r>
        <w:t>The ICERD</w:t>
      </w:r>
      <w:r w:rsidRPr="00212FF0">
        <w:rPr>
          <w:rStyle w:val="EndnoteReference1"/>
          <w:szCs w:val="20"/>
        </w:rPr>
        <w:endnoteReference w:id="44"/>
      </w:r>
      <w:r>
        <w:t xml:space="preserve"> recognises that different treatment designed to ensure the equal enjoyment of rights is not discriminatory. Special measures undertaken for this purpose are essential to achieving substantive equality, advancing human dignity and eliminating racial discrimination.</w:t>
      </w:r>
      <w:r w:rsidRPr="00212FF0">
        <w:rPr>
          <w:rStyle w:val="EndnoteReference1"/>
          <w:szCs w:val="20"/>
        </w:rPr>
        <w:endnoteReference w:id="45"/>
      </w:r>
    </w:p>
    <w:p w14:paraId="2AB3CBEB" w14:textId="77777777" w:rsidR="00821224" w:rsidRDefault="00821224" w:rsidP="000974C4">
      <w:pPr>
        <w:pStyle w:val="SubmissionNormal"/>
        <w:numPr>
          <w:ilvl w:val="0"/>
          <w:numId w:val="41"/>
        </w:numPr>
        <w:ind w:hanging="709"/>
      </w:pPr>
      <w:r>
        <w:t>According to the High Court, to meet the requirements of a ‘special measure’, a measure must comply with the following criteria:</w:t>
      </w:r>
    </w:p>
    <w:p w14:paraId="4EA2B2D6" w14:textId="77777777" w:rsidR="00821224" w:rsidRDefault="00821224" w:rsidP="000974C4">
      <w:pPr>
        <w:pStyle w:val="SubmissionNormal"/>
        <w:numPr>
          <w:ilvl w:val="0"/>
          <w:numId w:val="30"/>
        </w:numPr>
        <w:rPr>
          <w:rFonts w:ascii="Lucida Grande" w:hAnsi="Symbol"/>
        </w:rPr>
      </w:pPr>
      <w:r>
        <w:t>the measure must confer a benefit on some or all members of a class of people</w:t>
      </w:r>
    </w:p>
    <w:p w14:paraId="52B3ABFC" w14:textId="77777777" w:rsidR="00821224" w:rsidRDefault="00821224" w:rsidP="000974C4">
      <w:pPr>
        <w:pStyle w:val="SubmissionNormal"/>
        <w:numPr>
          <w:ilvl w:val="0"/>
          <w:numId w:val="30"/>
        </w:numPr>
        <w:rPr>
          <w:rFonts w:ascii="Lucida Grande" w:hAnsi="Symbol"/>
        </w:rPr>
      </w:pPr>
      <w:r>
        <w:t>the membership of this class must be based on race, colour, descent, or national or ethnic origin</w:t>
      </w:r>
    </w:p>
    <w:p w14:paraId="51D9C022" w14:textId="77777777" w:rsidR="00821224" w:rsidRDefault="00821224" w:rsidP="000974C4">
      <w:pPr>
        <w:pStyle w:val="SubmissionNormal"/>
        <w:numPr>
          <w:ilvl w:val="0"/>
          <w:numId w:val="30"/>
        </w:numPr>
        <w:rPr>
          <w:rFonts w:ascii="Lucida Grande" w:hAnsi="Symbol"/>
        </w:rPr>
      </w:pPr>
      <w:r>
        <w:t>the sole purpose of the measure must be to secure adequate advancement of the beneficiaries so they may equally enjoy and exercise their human rights and fundamental freedoms</w:t>
      </w:r>
    </w:p>
    <w:p w14:paraId="29ACAD2C" w14:textId="77777777" w:rsidR="00821224" w:rsidRDefault="00821224" w:rsidP="000974C4">
      <w:pPr>
        <w:pStyle w:val="SubmissionNormal"/>
        <w:numPr>
          <w:ilvl w:val="0"/>
          <w:numId w:val="30"/>
        </w:numPr>
        <w:rPr>
          <w:rFonts w:ascii="Lucida Grande" w:hAnsi="Symbol"/>
        </w:rPr>
      </w:pPr>
      <w:r>
        <w:t>the protection given to the beneficiaries by the measure must be necessary for them to enjoy and exercise their human rights equally with others</w:t>
      </w:r>
    </w:p>
    <w:p w14:paraId="607C3C23" w14:textId="77777777" w:rsidR="00821224" w:rsidRDefault="00821224" w:rsidP="000974C4">
      <w:pPr>
        <w:pStyle w:val="SubmissionNormal"/>
        <w:numPr>
          <w:ilvl w:val="0"/>
          <w:numId w:val="30"/>
        </w:numPr>
        <w:rPr>
          <w:rFonts w:ascii="Lucida Grande" w:hAnsi="Symbol"/>
        </w:rPr>
      </w:pPr>
      <w:r>
        <w:t>the measure must not have already achieved its objectives.</w:t>
      </w:r>
      <w:r w:rsidRPr="00212FF0">
        <w:rPr>
          <w:rStyle w:val="EndnoteReference1"/>
          <w:szCs w:val="20"/>
        </w:rPr>
        <w:endnoteReference w:id="46"/>
      </w:r>
      <w:r>
        <w:t xml:space="preserve"> </w:t>
      </w:r>
    </w:p>
    <w:p w14:paraId="191BEBAD" w14:textId="77777777" w:rsidR="00821224" w:rsidRDefault="00821224" w:rsidP="000974C4">
      <w:pPr>
        <w:pStyle w:val="SubmissionNormal"/>
        <w:numPr>
          <w:ilvl w:val="0"/>
          <w:numId w:val="41"/>
        </w:numPr>
        <w:ind w:hanging="709"/>
      </w:pPr>
      <w:r>
        <w:t>This view of the requirements of a special measure is supported by the Committee on the Elimination of Racial Discrimination (CERD). In its General Recommendation 23, the CERD explains that:</w:t>
      </w:r>
    </w:p>
    <w:p w14:paraId="5F2D00F8" w14:textId="77777777" w:rsidR="00821224" w:rsidRDefault="00821224" w:rsidP="001E4B38">
      <w:pPr>
        <w:spacing w:after="0"/>
        <w:ind w:left="1440"/>
      </w:pPr>
      <w:r>
        <w:rPr>
          <w:sz w:val="22"/>
        </w:rPr>
        <w:t>Special measures should be appropriate to the situation to be remedied, be legitimate, necessary in a democratic society, respect the principles of fairness and proportionality, and be temporary. The measures should be designed and implemented on the basis of need, grounded in a realistic appraisal of the current situation of the individuals and communities concerned</w:t>
      </w:r>
      <w:r>
        <w:t>.</w:t>
      </w:r>
      <w:r w:rsidRPr="00212FF0">
        <w:rPr>
          <w:rStyle w:val="EndnoteReference1"/>
          <w:szCs w:val="20"/>
        </w:rPr>
        <w:endnoteReference w:id="47"/>
      </w:r>
      <w:r>
        <w:t xml:space="preserve"> </w:t>
      </w:r>
    </w:p>
    <w:p w14:paraId="5C8B21FA" w14:textId="77777777" w:rsidR="00821224" w:rsidRPr="00D00DEC" w:rsidRDefault="00821224" w:rsidP="00F12219">
      <w:pPr>
        <w:pStyle w:val="Heading3"/>
      </w:pPr>
      <w:bookmarkStart w:id="69" w:name="_TOC39235"/>
      <w:bookmarkStart w:id="70" w:name="TOC314574117"/>
      <w:bookmarkStart w:id="71" w:name="_Toc315865068"/>
      <w:bookmarkStart w:id="72" w:name="_Toc316042360"/>
      <w:bookmarkEnd w:id="69"/>
      <w:bookmarkEnd w:id="70"/>
      <w:r>
        <w:t>Background and current measures</w:t>
      </w:r>
      <w:bookmarkEnd w:id="71"/>
      <w:bookmarkEnd w:id="72"/>
    </w:p>
    <w:p w14:paraId="60A365A2" w14:textId="77777777" w:rsidR="00821224" w:rsidRDefault="00821224" w:rsidP="00F12219">
      <w:pPr>
        <w:pStyle w:val="Heading4"/>
      </w:pPr>
      <w:bookmarkStart w:id="73" w:name="_TOC39267"/>
      <w:bookmarkStart w:id="74" w:name="TOC314574118"/>
      <w:bookmarkStart w:id="75" w:name="_Toc315865069"/>
      <w:bookmarkEnd w:id="73"/>
      <w:bookmarkEnd w:id="74"/>
      <w:r>
        <w:t>Original NTER measures</w:t>
      </w:r>
      <w:bookmarkEnd w:id="75"/>
    </w:p>
    <w:p w14:paraId="777EF4AE" w14:textId="77777777" w:rsidR="00821224" w:rsidRDefault="00821224" w:rsidP="000974C4">
      <w:pPr>
        <w:pStyle w:val="SubmissionNormal"/>
        <w:numPr>
          <w:ilvl w:val="0"/>
          <w:numId w:val="41"/>
        </w:numPr>
        <w:ind w:hanging="709"/>
      </w:pPr>
      <w:r>
        <w:t>The original NTER legislation was developed with limited consultation and without the free, prior and informed consent of the Aboriginal peoples affected.</w:t>
      </w:r>
      <w:r w:rsidRPr="00212FF0">
        <w:rPr>
          <w:rStyle w:val="EndnoteReference1"/>
          <w:szCs w:val="20"/>
        </w:rPr>
        <w:endnoteReference w:id="48"/>
      </w:r>
      <w:r>
        <w:t xml:space="preserve"> </w:t>
      </w:r>
    </w:p>
    <w:p w14:paraId="5C7DA893" w14:textId="479A36AB" w:rsidR="00821224" w:rsidRDefault="00821224" w:rsidP="000974C4">
      <w:pPr>
        <w:pStyle w:val="SubmissionNormal"/>
        <w:numPr>
          <w:ilvl w:val="0"/>
          <w:numId w:val="41"/>
        </w:numPr>
        <w:ind w:hanging="709"/>
      </w:pPr>
      <w:bookmarkStart w:id="76" w:name="Heading454"/>
      <w:bookmarkEnd w:id="76"/>
      <w:r>
        <w:t>In relation to the operation of the RDA, the original NTER legislation deemed all NTER measures, and any actions taken under or for the purposes of those measures, to be ‘special measures’ for the purposes of s 8 of the RDA</w:t>
      </w:r>
      <w:r w:rsidRPr="00212FF0">
        <w:rPr>
          <w:rStyle w:val="EndnoteReference1"/>
          <w:szCs w:val="20"/>
        </w:rPr>
        <w:endnoteReference w:id="49"/>
      </w:r>
      <w:r>
        <w:t xml:space="preserve"> – in </w:t>
      </w:r>
      <w:r>
        <w:lastRenderedPageBreak/>
        <w:t xml:space="preserve">other words, they were ‘deemed’ to be consistent with the RDA. Deeming that the measures are special measures in practical terms amounted to nothing more than the Government expressing the view that the measures were non-discriminatory. It is </w:t>
      </w:r>
      <w:r w:rsidR="006C00B4">
        <w:t>possible</w:t>
      </w:r>
      <w:r>
        <w:t xml:space="preserve"> that such deeming would be of no legal effect.</w:t>
      </w:r>
    </w:p>
    <w:p w14:paraId="5BB908DC" w14:textId="77777777" w:rsidR="00821224" w:rsidRPr="00212FF0" w:rsidRDefault="00821224" w:rsidP="000974C4">
      <w:pPr>
        <w:pStyle w:val="SubmissionNormal"/>
        <w:numPr>
          <w:ilvl w:val="0"/>
          <w:numId w:val="41"/>
        </w:numPr>
        <w:ind w:hanging="709"/>
        <w:rPr>
          <w:rStyle w:val="EndnoteReference1"/>
          <w:szCs w:val="20"/>
        </w:rPr>
      </w:pPr>
      <w:r>
        <w:t>Accordingly, the original NTER legislation also suspended the operation of Part II of the RDA (prohibition on racial discrimination) in relation to the provisions of the NTER legislation and in relation to any actions done under or for the purposes of the provisions in that legislation.</w:t>
      </w:r>
      <w:r w:rsidRPr="00212FF0">
        <w:rPr>
          <w:rStyle w:val="EndnoteReference1"/>
          <w:szCs w:val="20"/>
        </w:rPr>
        <w:endnoteReference w:id="50"/>
      </w:r>
      <w:r>
        <w:t xml:space="preserve"> This removed any opportunity to challenge the validity of the measures and to determine whether, in fact, they were racially discriminatory or not.</w:t>
      </w:r>
    </w:p>
    <w:p w14:paraId="6495CA9E" w14:textId="77777777" w:rsidR="00821224" w:rsidRDefault="00821224" w:rsidP="000974C4">
      <w:pPr>
        <w:pStyle w:val="SubmissionNormal"/>
        <w:numPr>
          <w:ilvl w:val="0"/>
          <w:numId w:val="41"/>
        </w:numPr>
        <w:ind w:hanging="709"/>
      </w:pPr>
      <w:r>
        <w:t>This had the practical effect of authorising racially discriminatory practices through the NTER measures. It also had a very significant symbolic impact on the dignity of Aboriginal people in the Northern Territory.</w:t>
      </w:r>
    </w:p>
    <w:p w14:paraId="618B0269" w14:textId="77777777" w:rsidR="00821224" w:rsidRPr="00212FF0" w:rsidRDefault="00821224" w:rsidP="000974C4">
      <w:pPr>
        <w:pStyle w:val="SubmissionNormal"/>
        <w:numPr>
          <w:ilvl w:val="0"/>
          <w:numId w:val="41"/>
        </w:numPr>
        <w:ind w:hanging="709"/>
        <w:rPr>
          <w:rStyle w:val="EndnoteReference1"/>
          <w:szCs w:val="20"/>
        </w:rPr>
      </w:pPr>
      <w:r>
        <w:t xml:space="preserve"> At the time, the Commission urged the Government and Parliament to adopt an approach that was consistent with Australia’s international human rights obligations and particularly with the RDA.</w:t>
      </w:r>
      <w:r w:rsidRPr="00212FF0">
        <w:rPr>
          <w:rStyle w:val="EndnoteReference1"/>
          <w:szCs w:val="20"/>
        </w:rPr>
        <w:endnoteReference w:id="51"/>
      </w:r>
    </w:p>
    <w:p w14:paraId="2CE86F61" w14:textId="77777777" w:rsidR="00821224" w:rsidRDefault="00821224" w:rsidP="000974C4">
      <w:pPr>
        <w:pStyle w:val="SubmissionNormal"/>
        <w:numPr>
          <w:ilvl w:val="0"/>
          <w:numId w:val="41"/>
        </w:numPr>
        <w:ind w:hanging="709"/>
      </w:pPr>
      <w:r>
        <w:t>The Commission did not support the NTER measures being exempt from the RDA.</w:t>
      </w:r>
      <w:r w:rsidRPr="00212FF0">
        <w:rPr>
          <w:rStyle w:val="EndnoteReference1"/>
          <w:szCs w:val="20"/>
        </w:rPr>
        <w:endnoteReference w:id="52"/>
      </w:r>
      <w:r>
        <w:t xml:space="preserve"> The Commission stated that the NTER measures:</w:t>
      </w:r>
    </w:p>
    <w:p w14:paraId="6C05B207" w14:textId="77777777" w:rsidR="00821224" w:rsidRDefault="00821224" w:rsidP="00F12219">
      <w:pPr>
        <w:spacing w:before="100" w:after="100"/>
        <w:ind w:left="1440"/>
      </w:pPr>
      <w:r>
        <w:rPr>
          <w:sz w:val="22"/>
        </w:rPr>
        <w:t>clearly have a number of significant actual and potential negative impacts upon the rights of Indigenous people which are discriminatory. The laws generally must therefore be justifiable as a ‘special measure’ taken for the advancement of Indigenous people to be consistent with human rights principles. If the NTNER measures are not ‘special measures’, they should not be enacted.</w:t>
      </w:r>
      <w:r w:rsidRPr="00212FF0">
        <w:rPr>
          <w:rStyle w:val="EndnoteReference1"/>
          <w:szCs w:val="20"/>
        </w:rPr>
        <w:endnoteReference w:id="53"/>
      </w:r>
      <w:r>
        <w:t xml:space="preserve"> </w:t>
      </w:r>
    </w:p>
    <w:p w14:paraId="318BB5EC" w14:textId="77777777" w:rsidR="00821224" w:rsidRPr="00212FF0" w:rsidRDefault="00821224" w:rsidP="000974C4">
      <w:pPr>
        <w:pStyle w:val="SubmissionNormal"/>
        <w:numPr>
          <w:ilvl w:val="0"/>
          <w:numId w:val="41"/>
        </w:numPr>
        <w:ind w:hanging="709"/>
        <w:rPr>
          <w:rStyle w:val="EndnoteReference1"/>
          <w:szCs w:val="20"/>
        </w:rPr>
      </w:pPr>
      <w:r>
        <w:t xml:space="preserve">The Social Justice Commissioner considered the implications of the suspension of the RDA in the </w:t>
      </w:r>
      <w:bookmarkStart w:id="77" w:name="fnB120"/>
      <w:r>
        <w:rPr>
          <w:rFonts w:ascii="Arial Italic" w:hAnsi="Arial Italic"/>
        </w:rPr>
        <w:t>Social Justice Report 2007</w:t>
      </w:r>
      <w:bookmarkEnd w:id="77"/>
      <w:r>
        <w:t>.</w:t>
      </w:r>
      <w:r w:rsidRPr="00212FF0">
        <w:rPr>
          <w:rStyle w:val="EndnoteReference1"/>
          <w:szCs w:val="20"/>
        </w:rPr>
        <w:endnoteReference w:id="54"/>
      </w:r>
    </w:p>
    <w:p w14:paraId="57CEF07B" w14:textId="77777777" w:rsidR="00821224" w:rsidRDefault="00821224" w:rsidP="00F12219">
      <w:pPr>
        <w:pStyle w:val="Heading4"/>
      </w:pPr>
      <w:bookmarkStart w:id="78" w:name="_TOC41466"/>
      <w:bookmarkStart w:id="79" w:name="TOC314574119"/>
      <w:bookmarkStart w:id="80" w:name="_Toc315865070"/>
      <w:bookmarkEnd w:id="78"/>
      <w:bookmarkEnd w:id="79"/>
      <w:r>
        <w:t>2010 NTER redesign measures</w:t>
      </w:r>
      <w:bookmarkEnd w:id="80"/>
    </w:p>
    <w:p w14:paraId="38EC7F0B" w14:textId="77777777" w:rsidR="00821224" w:rsidRDefault="00821224" w:rsidP="000974C4">
      <w:pPr>
        <w:pStyle w:val="SubmissionNormal"/>
        <w:numPr>
          <w:ilvl w:val="0"/>
          <w:numId w:val="41"/>
        </w:numPr>
        <w:ind w:hanging="709"/>
      </w:pPr>
      <w:r>
        <w:t xml:space="preserve">As part of the 2010 redesign measures, the </w:t>
      </w:r>
      <w:r>
        <w:rPr>
          <w:rFonts w:ascii="Arial Italic" w:hAnsi="Arial Italic"/>
        </w:rPr>
        <w:t xml:space="preserve">Social Security and Other Legislation Amendment (Welfare Reform and Reinstatement of Racial Discrimination Act) Act 2010 </w:t>
      </w:r>
      <w:r>
        <w:t xml:space="preserve">(Cth) (NTNER Amendment Act) repealed those provisions which had suspended the operation of the RDA with respect to the NTER legislation, and actions under it, with effect from 31 December 2010. </w:t>
      </w:r>
    </w:p>
    <w:p w14:paraId="63D29319" w14:textId="77777777" w:rsidR="00821224" w:rsidRDefault="00821224" w:rsidP="000974C4">
      <w:pPr>
        <w:pStyle w:val="SubmissionNormal"/>
        <w:numPr>
          <w:ilvl w:val="0"/>
          <w:numId w:val="41"/>
        </w:numPr>
        <w:ind w:hanging="709"/>
      </w:pPr>
      <w:r>
        <w:t>The NTNER Amendment Act also provided for the removal of those provisions that deemed the legislation and actions done under it to be special measures.</w:t>
      </w:r>
      <w:r w:rsidRPr="00212FF0">
        <w:rPr>
          <w:rStyle w:val="EndnoteReference1"/>
          <w:szCs w:val="20"/>
        </w:rPr>
        <w:endnoteReference w:id="55"/>
      </w:r>
      <w:r>
        <w:t xml:space="preserve"> In their place, the NTNER Amendment Act inserted objects clauses in relation to four Parts of the NTER legislation,  stating that the object of the Part was ‘to enable special measures to be taken’ for particular purposes.</w:t>
      </w:r>
      <w:r w:rsidRPr="00212FF0">
        <w:rPr>
          <w:rStyle w:val="EndnoteReference1"/>
          <w:szCs w:val="20"/>
        </w:rPr>
        <w:endnoteReference w:id="56"/>
      </w:r>
      <w:r>
        <w:t xml:space="preserve"> </w:t>
      </w:r>
    </w:p>
    <w:p w14:paraId="20621893" w14:textId="77777777" w:rsidR="00821224" w:rsidRDefault="00821224" w:rsidP="000974C4">
      <w:pPr>
        <w:pStyle w:val="SubmissionNormal"/>
        <w:numPr>
          <w:ilvl w:val="0"/>
          <w:numId w:val="41"/>
        </w:numPr>
        <w:ind w:hanging="709"/>
      </w:pPr>
      <w:r>
        <w:t xml:space="preserve">The Commission welcomed these amendments. However, it also noted that the provisions were not fully effective in reinstating the protections of the RDA as the legislation also authorised the continuation of some measures that had a discriminatory and negative impact upon the rights of Aboriginal and Torres Strait Islander peoples. </w:t>
      </w:r>
    </w:p>
    <w:p w14:paraId="6E5587DB" w14:textId="77777777" w:rsidR="00821224" w:rsidRDefault="00821224" w:rsidP="000974C4">
      <w:pPr>
        <w:pStyle w:val="SubmissionNormal"/>
        <w:numPr>
          <w:ilvl w:val="0"/>
          <w:numId w:val="41"/>
        </w:numPr>
        <w:ind w:hanging="709"/>
      </w:pPr>
      <w:r>
        <w:lastRenderedPageBreak/>
        <w:t>To overcome this, and ensure the unequivocal and effective reinstatement of the RDA, the Commission recommended the inclusion of a clause that expressly states that in the event of any conflict between the NTER legislation and the RDA, the RDA would prevail. This would practically place a limit on the NTER measures so that they would not be valid measures if they were applied in a racially discriminatory manner.</w:t>
      </w:r>
    </w:p>
    <w:p w14:paraId="6249CF32" w14:textId="77777777" w:rsidR="00821224" w:rsidRDefault="00821224" w:rsidP="000974C4">
      <w:pPr>
        <w:pStyle w:val="SubmissionNormal"/>
        <w:numPr>
          <w:ilvl w:val="0"/>
          <w:numId w:val="41"/>
        </w:numPr>
        <w:ind w:hanging="709"/>
      </w:pPr>
      <w:r>
        <w:t xml:space="preserve">The Commission refers the Committee to the following paper that it released in December 2011, </w:t>
      </w:r>
      <w:r>
        <w:rPr>
          <w:rFonts w:ascii="Arial Italic" w:hAnsi="Arial Italic"/>
        </w:rPr>
        <w:t>The Suspension and Reinstatement of the RDA and Special Measures in the NTER</w:t>
      </w:r>
      <w:r>
        <w:t>,</w:t>
      </w:r>
      <w:r w:rsidRPr="00212FF0">
        <w:rPr>
          <w:rStyle w:val="EndnoteReference1"/>
          <w:szCs w:val="20"/>
        </w:rPr>
        <w:t xml:space="preserve"> </w:t>
      </w:r>
      <w:r w:rsidRPr="00212FF0">
        <w:rPr>
          <w:rStyle w:val="EndnoteReference1"/>
          <w:szCs w:val="20"/>
        </w:rPr>
        <w:endnoteReference w:id="57"/>
      </w:r>
      <w:r>
        <w:t xml:space="preserve"> which considers the impact of the NTER legislation, and subsequent redesign, on the suspension and re-instatement of the RDA and on the characterisation of the intervention Acts as special measures. </w:t>
      </w:r>
      <w:r>
        <w:tab/>
      </w:r>
    </w:p>
    <w:p w14:paraId="449EAE12" w14:textId="77777777" w:rsidR="00821224" w:rsidRDefault="00821224" w:rsidP="00F12219">
      <w:pPr>
        <w:pStyle w:val="Heading4"/>
      </w:pPr>
      <w:bookmarkStart w:id="81" w:name="_TOC43342"/>
      <w:bookmarkStart w:id="82" w:name="TOC314574120"/>
      <w:bookmarkStart w:id="83" w:name="_Toc315865071"/>
      <w:bookmarkEnd w:id="81"/>
      <w:bookmarkEnd w:id="82"/>
      <w:r>
        <w:t>Proposed measures – Stronger Futures Bills</w:t>
      </w:r>
      <w:bookmarkEnd w:id="83"/>
    </w:p>
    <w:p w14:paraId="1688BA83" w14:textId="77777777" w:rsidR="00821224" w:rsidRDefault="00821224" w:rsidP="000974C4">
      <w:pPr>
        <w:pStyle w:val="SubmissionNormal"/>
        <w:numPr>
          <w:ilvl w:val="0"/>
          <w:numId w:val="41"/>
        </w:numPr>
        <w:ind w:hanging="709"/>
      </w:pPr>
      <w:r>
        <w:t>The Government has stated that it considers that the measures contained in the Stronger Futures Bills comply with the RDA. The Minister outlined in the Second Reading Speech to the Stronger Futures in the Northern Territory Bill 2011 (Cth) (Stronger Futures Bill) that:</w:t>
      </w:r>
    </w:p>
    <w:p w14:paraId="1668027E" w14:textId="77777777" w:rsidR="00821224" w:rsidRPr="00212FF0" w:rsidRDefault="00821224" w:rsidP="00F12219">
      <w:pPr>
        <w:spacing w:after="0"/>
        <w:ind w:left="1429"/>
        <w:rPr>
          <w:rStyle w:val="EndnoteReference1"/>
          <w:szCs w:val="20"/>
        </w:rPr>
      </w:pPr>
      <w:r>
        <w:rPr>
          <w:sz w:val="22"/>
        </w:rPr>
        <w:t>All of the measures in this bill have been designed to comply with the Racial Discrimination Act 1975</w:t>
      </w:r>
      <w:r>
        <w:t>.</w:t>
      </w:r>
      <w:r w:rsidRPr="00212FF0">
        <w:rPr>
          <w:rStyle w:val="EndnoteReference1"/>
          <w:szCs w:val="20"/>
        </w:rPr>
        <w:endnoteReference w:id="58"/>
      </w:r>
    </w:p>
    <w:p w14:paraId="2F345984" w14:textId="77777777" w:rsidR="00821224" w:rsidRDefault="00821224" w:rsidP="000974C4">
      <w:pPr>
        <w:pStyle w:val="SubmissionNormal"/>
        <w:numPr>
          <w:ilvl w:val="0"/>
          <w:numId w:val="41"/>
        </w:numPr>
        <w:ind w:hanging="709"/>
      </w:pPr>
      <w:r>
        <w:t>Further, the Government has indicated that it considers that the three measures in the Stronger Futures Bill – the tackling alcohol abuse, land reform and food security measures – and amendments relating to pornography restrictions in the Consequential and Transitional Provisions Bill are special measures within the meaning of s 8(1) of the RDA.</w:t>
      </w:r>
      <w:r w:rsidRPr="00212FF0">
        <w:rPr>
          <w:rStyle w:val="EndnoteReference1"/>
          <w:szCs w:val="20"/>
        </w:rPr>
        <w:endnoteReference w:id="59"/>
      </w:r>
      <w:r>
        <w:t xml:space="preserve"> </w:t>
      </w:r>
    </w:p>
    <w:p w14:paraId="065AEA35" w14:textId="77777777" w:rsidR="00821224" w:rsidRDefault="00821224" w:rsidP="000974C4">
      <w:pPr>
        <w:pStyle w:val="SubmissionNormal"/>
        <w:numPr>
          <w:ilvl w:val="0"/>
          <w:numId w:val="41"/>
        </w:numPr>
        <w:ind w:hanging="709"/>
      </w:pPr>
      <w:r>
        <w:t>The Commission commends the Government for ensuring that the RDA applies to the implementation of the Stronger Futures measures. This means that sections 9 and 9A of the RDA can be utilised to challenge the discretionary actions of government officials in implementing the measures.</w:t>
      </w:r>
    </w:p>
    <w:p w14:paraId="68D7B124" w14:textId="4263452C" w:rsidR="00821224" w:rsidRDefault="00821224" w:rsidP="000974C4">
      <w:pPr>
        <w:pStyle w:val="SubmissionNormal"/>
        <w:numPr>
          <w:ilvl w:val="0"/>
          <w:numId w:val="41"/>
        </w:numPr>
        <w:ind w:hanging="709"/>
      </w:pPr>
      <w:r>
        <w:t>However, the Commission notes that a similar concern remains in relation to the current Bills as to the 2010 NTER redesign measures. Namely, in the absence of a ‘notwithstanding</w:t>
      </w:r>
      <w:r w:rsidR="00463D30">
        <w:t>’</w:t>
      </w:r>
      <w:r>
        <w:t xml:space="preserve"> clause in the current bills, any provision in the Stronger Futures Bills that has a discriminatory impact will continue to be valid. </w:t>
      </w:r>
    </w:p>
    <w:p w14:paraId="35B3B3A1" w14:textId="7E4CBC97" w:rsidR="00821224" w:rsidRDefault="00821224" w:rsidP="000974C4">
      <w:pPr>
        <w:pStyle w:val="SubmissionNormal"/>
        <w:numPr>
          <w:ilvl w:val="0"/>
          <w:numId w:val="41"/>
        </w:numPr>
        <w:ind w:hanging="709"/>
      </w:pPr>
      <w:r>
        <w:t xml:space="preserve">A legislative provision that makes it unequivocal that all measures in the Stronger Futures Bills must be implemented in a non-discriminatory manner would greatly contribute to the acceptance and workability of the legislation. This is particularly </w:t>
      </w:r>
      <w:r w:rsidR="006C00B4">
        <w:t xml:space="preserve">so </w:t>
      </w:r>
      <w:r>
        <w:t xml:space="preserve">in light of the level of distrust that has existed throughout the life of the NTER due to the initial suspension of the protections of the RDA and given also that it is the clearly stated intention of the Government that </w:t>
      </w:r>
      <w:r w:rsidR="006C00B4">
        <w:t>no measures w</w:t>
      </w:r>
      <w:r w:rsidR="003A5897">
        <w:t>ill be racially discriminatory.</w:t>
      </w:r>
    </w:p>
    <w:p w14:paraId="49FF0380" w14:textId="77777777" w:rsidR="00821224" w:rsidRPr="00857615" w:rsidRDefault="00821224" w:rsidP="000974C4">
      <w:pPr>
        <w:pStyle w:val="SubmissionNormal"/>
        <w:numPr>
          <w:ilvl w:val="0"/>
          <w:numId w:val="41"/>
        </w:numPr>
        <w:ind w:hanging="709"/>
        <w:rPr>
          <w:rFonts w:ascii="Lucida Grande" w:hAnsi="Symbol"/>
        </w:rPr>
      </w:pPr>
      <w:r>
        <w:t xml:space="preserve">Whether individual measures contained in the Stronger Futures Bills are appropriately characterised as special measures is discussed further below. </w:t>
      </w:r>
    </w:p>
    <w:p w14:paraId="57362170" w14:textId="77777777" w:rsidR="00821224" w:rsidRPr="00857615" w:rsidRDefault="00821224" w:rsidP="007C1705">
      <w:pPr>
        <w:pStyle w:val="Heading3"/>
      </w:pPr>
      <w:bookmarkStart w:id="84" w:name="_Toc315865072"/>
      <w:bookmarkStart w:id="85" w:name="_Toc316042361"/>
      <w:r w:rsidRPr="00857615">
        <w:lastRenderedPageBreak/>
        <w:t>Recommendations</w:t>
      </w:r>
      <w:bookmarkEnd w:id="84"/>
      <w:bookmarkEnd w:id="85"/>
    </w:p>
    <w:p w14:paraId="52AD9AA8" w14:textId="6D234A78" w:rsidR="00821224" w:rsidRPr="001F7ADE" w:rsidRDefault="00821224" w:rsidP="000974C4">
      <w:pPr>
        <w:pStyle w:val="SubmissionNormal"/>
        <w:numPr>
          <w:ilvl w:val="0"/>
          <w:numId w:val="41"/>
        </w:numPr>
        <w:ind w:hanging="709"/>
      </w:pPr>
      <w:r w:rsidRPr="001F7ADE">
        <w:t xml:space="preserve">The Commission recommends that the Stronger Futures Bills be amended to include </w:t>
      </w:r>
      <w:r w:rsidR="006C00B4">
        <w:t>‘</w:t>
      </w:r>
      <w:r w:rsidRPr="001F7ADE">
        <w:t>notwithstanding</w:t>
      </w:r>
      <w:r w:rsidR="006C00B4">
        <w:t>’</w:t>
      </w:r>
      <w:r w:rsidRPr="001F7ADE">
        <w:t xml:space="preserve"> clauses that specify that in the event of ambiguity the provisions of the RDA are intended to prevail over the provisions of the Stronger Futures legislation and that the Stronger Futures legislation does not authorise conduct that is inconsistent with the provisions of the RDA</w:t>
      </w:r>
      <w:r>
        <w:t xml:space="preserve"> </w:t>
      </w:r>
      <w:r>
        <w:rPr>
          <w:rFonts w:ascii="Arial Bold" w:hAnsi="Arial Bold"/>
        </w:rPr>
        <w:t xml:space="preserve">[Recommendation </w:t>
      </w:r>
      <w:r w:rsidR="00346145">
        <w:rPr>
          <w:rFonts w:ascii="Arial Bold" w:hAnsi="Arial Bold"/>
        </w:rPr>
        <w:t xml:space="preserve">no. </w:t>
      </w:r>
      <w:r w:rsidR="007A09E1">
        <w:rPr>
          <w:rFonts w:ascii="Arial Bold" w:hAnsi="Arial Bold"/>
        </w:rPr>
        <w:t>6</w:t>
      </w:r>
      <w:r>
        <w:rPr>
          <w:rFonts w:ascii="Arial Bold" w:hAnsi="Arial Bold"/>
        </w:rPr>
        <w:t>].</w:t>
      </w:r>
    </w:p>
    <w:p w14:paraId="6912F81E" w14:textId="77777777" w:rsidR="00821224" w:rsidRPr="00580A89" w:rsidRDefault="00821224" w:rsidP="00580A89">
      <w:pPr>
        <w:pStyle w:val="Heading1"/>
      </w:pPr>
      <w:bookmarkStart w:id="86" w:name="_TOC46008"/>
      <w:bookmarkStart w:id="87" w:name="TOC209941766"/>
      <w:bookmarkStart w:id="88" w:name="_Toc315865073"/>
      <w:bookmarkStart w:id="89" w:name="_Toc316042362"/>
      <w:bookmarkEnd w:id="86"/>
      <w:bookmarkEnd w:id="87"/>
      <w:r w:rsidRPr="00580A89">
        <w:t>Income management</w:t>
      </w:r>
      <w:bookmarkEnd w:id="88"/>
      <w:bookmarkEnd w:id="89"/>
      <w:r w:rsidRPr="00580A89">
        <w:t xml:space="preserve">  </w:t>
      </w:r>
    </w:p>
    <w:p w14:paraId="17C595FB" w14:textId="77777777" w:rsidR="00821224" w:rsidRDefault="00821224" w:rsidP="000974C4">
      <w:pPr>
        <w:pStyle w:val="SubmissionNormal"/>
        <w:numPr>
          <w:ilvl w:val="0"/>
          <w:numId w:val="41"/>
        </w:numPr>
        <w:ind w:hanging="709"/>
      </w:pPr>
      <w:bookmarkStart w:id="90" w:name="_TOC46032"/>
      <w:bookmarkEnd w:id="90"/>
      <w:r>
        <w:t>Income management involves directing a portion of a person’s welfare payments for the purchase of priority items including food, clothing and rent.</w:t>
      </w:r>
    </w:p>
    <w:p w14:paraId="1217740F" w14:textId="77777777" w:rsidR="00821224" w:rsidRDefault="00821224" w:rsidP="000974C4">
      <w:pPr>
        <w:pStyle w:val="SubmissionNormal"/>
        <w:numPr>
          <w:ilvl w:val="0"/>
          <w:numId w:val="41"/>
        </w:numPr>
        <w:ind w:hanging="709"/>
      </w:pPr>
      <w:r>
        <w:t>The Commission notes that there has been significant debate about whether income management is an effective policy tool for supporting the welfare of disadvantaged individuals and families, and in particular, Aboriginal and Torres Strait Islander peoples.</w:t>
      </w:r>
    </w:p>
    <w:p w14:paraId="28CC2DEE" w14:textId="77777777" w:rsidR="00821224" w:rsidRDefault="00821224" w:rsidP="000974C4">
      <w:pPr>
        <w:pStyle w:val="SubmissionNormal"/>
        <w:numPr>
          <w:ilvl w:val="0"/>
          <w:numId w:val="41"/>
        </w:numPr>
        <w:ind w:hanging="709"/>
      </w:pPr>
      <w:r>
        <w:t>The Commission has previously expressed concern about the NTER measures for income management as they are too broadly applied, and have not been sufficiently targeted according to need. The Commission has stated that its preferred features of an income management measure are:</w:t>
      </w:r>
    </w:p>
    <w:p w14:paraId="3C0ACC11" w14:textId="77777777" w:rsidR="00821224" w:rsidRDefault="00821224" w:rsidP="000974C4">
      <w:pPr>
        <w:numPr>
          <w:ilvl w:val="0"/>
          <w:numId w:val="37"/>
        </w:numPr>
        <w:rPr>
          <w:rFonts w:ascii="Lucida Grande" w:hAnsi="Symbol" w:hint="eastAsia"/>
          <w:lang w:val="en-US"/>
        </w:rPr>
      </w:pPr>
      <w:r>
        <w:t xml:space="preserve">an approach that enables participants to voluntarily </w:t>
      </w:r>
      <w:r>
        <w:rPr>
          <w:lang w:val="en-US"/>
        </w:rPr>
        <w:t>opt-in, rather than an automatic quarantining model (which then relies upon individual applications for exemptions)</w:t>
      </w:r>
    </w:p>
    <w:p w14:paraId="05438265" w14:textId="77777777" w:rsidR="00821224" w:rsidRPr="00D35839" w:rsidRDefault="00821224" w:rsidP="000974C4">
      <w:pPr>
        <w:numPr>
          <w:ilvl w:val="0"/>
          <w:numId w:val="37"/>
        </w:numPr>
        <w:rPr>
          <w:rFonts w:ascii="Lucida Grande" w:hAnsi="Symbol" w:hint="eastAsia"/>
          <w:lang w:val="en-US"/>
        </w:rPr>
      </w:pPr>
      <w:r>
        <w:rPr>
          <w:lang w:val="en-US"/>
        </w:rPr>
        <w:t>an approach that utilises income management as a ‘last resort’ for targeted risk areas such as child protection (that is supported by case management and support services), similar to the Family Responsibilities Commission model in Queensland</w:t>
      </w:r>
    </w:p>
    <w:p w14:paraId="09EE047B" w14:textId="77777777" w:rsidR="00821224" w:rsidRPr="00D35839" w:rsidRDefault="00821224" w:rsidP="000974C4">
      <w:pPr>
        <w:numPr>
          <w:ilvl w:val="0"/>
          <w:numId w:val="37"/>
        </w:numPr>
        <w:rPr>
          <w:rStyle w:val="EndnoteReference1"/>
          <w:rFonts w:ascii="Lucida Grande" w:eastAsia="MS Mincho" w:hAnsi="Symbol" w:hint="eastAsia"/>
          <w:color w:val="auto"/>
          <w:sz w:val="24"/>
          <w:vertAlign w:val="baseline"/>
          <w:lang w:val="en-US"/>
        </w:rPr>
      </w:pPr>
      <w:r w:rsidRPr="00D35839">
        <w:rPr>
          <w:lang w:val="en-US"/>
        </w:rPr>
        <w:t>measures that are applied for a defined period and in a manner proportionate to the context.</w:t>
      </w:r>
      <w:r w:rsidRPr="00212FF0">
        <w:rPr>
          <w:rStyle w:val="EndnoteReference1"/>
          <w:szCs w:val="20"/>
          <w:lang w:val="en-US"/>
        </w:rPr>
        <w:endnoteReference w:id="60"/>
      </w:r>
    </w:p>
    <w:p w14:paraId="0B2EA779" w14:textId="77777777" w:rsidR="00821224" w:rsidRDefault="00821224" w:rsidP="000974C4">
      <w:pPr>
        <w:pStyle w:val="SubmissionNormal"/>
        <w:numPr>
          <w:ilvl w:val="0"/>
          <w:numId w:val="41"/>
        </w:numPr>
        <w:ind w:hanging="709"/>
        <w:rPr>
          <w:sz w:val="22"/>
        </w:rPr>
      </w:pPr>
      <w:r>
        <w:rPr>
          <w:lang w:val="en-US"/>
        </w:rPr>
        <w:t xml:space="preserve">An income management measure with these features can be justified as consistent with international human rights standards. </w:t>
      </w:r>
    </w:p>
    <w:p w14:paraId="17DB76B2" w14:textId="77777777" w:rsidR="00821224" w:rsidRDefault="00821224" w:rsidP="000974C4">
      <w:pPr>
        <w:pStyle w:val="SubmissionNormal"/>
        <w:numPr>
          <w:ilvl w:val="0"/>
          <w:numId w:val="41"/>
        </w:numPr>
        <w:ind w:hanging="709"/>
      </w:pPr>
      <w:r w:rsidRPr="003D2BEB">
        <w:t xml:space="preserve">The </w:t>
      </w:r>
      <w:r w:rsidRPr="00D35839">
        <w:rPr>
          <w:i/>
        </w:rPr>
        <w:t>International Covenant on Economic, Social and Cultural Rights</w:t>
      </w:r>
      <w:r>
        <w:t xml:space="preserve"> (ICESCR) provides for a right to social security. This right has been interpreted as placing on governments an obligation to guarantee that the right to social security is enjoyed without discrimination, and equally between men and women.</w:t>
      </w:r>
      <w:r w:rsidRPr="00212FF0">
        <w:rPr>
          <w:rStyle w:val="EndnoteReference1"/>
          <w:szCs w:val="20"/>
        </w:rPr>
        <w:endnoteReference w:id="61"/>
      </w:r>
      <w:r>
        <w:t xml:space="preserve"> The ICESCR prohibits any discrimination on the grounds of race or other grounds which has the intention or effect of nullifying or impairing the equal enjoyment or exercise of the right to social security.</w:t>
      </w:r>
    </w:p>
    <w:p w14:paraId="596544CF" w14:textId="60EBE291" w:rsidR="00821224" w:rsidRPr="00212FF0" w:rsidRDefault="00821224" w:rsidP="000974C4">
      <w:pPr>
        <w:pStyle w:val="SubmissionNormal"/>
        <w:numPr>
          <w:ilvl w:val="0"/>
          <w:numId w:val="41"/>
        </w:numPr>
        <w:ind w:hanging="709"/>
        <w:rPr>
          <w:rStyle w:val="EndnoteReference1"/>
          <w:szCs w:val="20"/>
        </w:rPr>
      </w:pPr>
      <w:r>
        <w:t>Further, the right to social security has been interpreted as requiring that eligibility conditions for unemployment benefits are reasonable and proportionate and the benefit is not provided in a form that is onerous or undignified. The withdrawal, reduction or suspension of benefits should be circumscribed, must be based on grounds that are reasonable and proportionate, and be provided for in national law.</w:t>
      </w:r>
      <w:r w:rsidRPr="00212FF0">
        <w:rPr>
          <w:rStyle w:val="EndnoteReference1"/>
          <w:szCs w:val="20"/>
        </w:rPr>
        <w:endnoteReference w:id="62"/>
      </w:r>
    </w:p>
    <w:p w14:paraId="1D0D913E" w14:textId="77777777" w:rsidR="00821224" w:rsidRPr="00763155" w:rsidRDefault="00821224" w:rsidP="007C1705">
      <w:pPr>
        <w:pStyle w:val="Heading3"/>
      </w:pPr>
      <w:bookmarkStart w:id="91" w:name="_TOC48774"/>
      <w:bookmarkStart w:id="92" w:name="_Toc315865074"/>
      <w:bookmarkStart w:id="93" w:name="_Toc316042363"/>
      <w:bookmarkEnd w:id="91"/>
      <w:r w:rsidRPr="00763155">
        <w:lastRenderedPageBreak/>
        <w:t>Background and current measures</w:t>
      </w:r>
      <w:bookmarkEnd w:id="92"/>
      <w:bookmarkEnd w:id="93"/>
    </w:p>
    <w:p w14:paraId="2C89BB69" w14:textId="77777777" w:rsidR="00821224" w:rsidRDefault="00821224" w:rsidP="007C1705">
      <w:pPr>
        <w:pStyle w:val="Heading4"/>
      </w:pPr>
      <w:bookmarkStart w:id="94" w:name="_TOC48806"/>
      <w:bookmarkStart w:id="95" w:name="_Toc315865075"/>
      <w:bookmarkEnd w:id="94"/>
      <w:r>
        <w:t>Original 2007 NTER measures</w:t>
      </w:r>
      <w:bookmarkEnd w:id="95"/>
    </w:p>
    <w:p w14:paraId="3AE7745A" w14:textId="77777777" w:rsidR="00821224" w:rsidRDefault="00821224" w:rsidP="000974C4">
      <w:pPr>
        <w:pStyle w:val="SubmissionNormal"/>
        <w:numPr>
          <w:ilvl w:val="0"/>
          <w:numId w:val="41"/>
        </w:numPr>
        <w:ind w:hanging="709"/>
      </w:pPr>
      <w:r>
        <w:t>Under the original 2007 NTER measures income management applied to most welfare payment recipients in ‘prescribed areas’ (that is, prescribed Aboriginal lands and communities) in the Northern Territory.</w:t>
      </w:r>
      <w:r>
        <w:rPr>
          <w:sz w:val="20"/>
          <w:vertAlign w:val="superscript"/>
        </w:rPr>
        <w:endnoteReference w:id="63"/>
      </w:r>
      <w:r>
        <w:t xml:space="preserve"> </w:t>
      </w:r>
    </w:p>
    <w:p w14:paraId="5C6765ED" w14:textId="77777777" w:rsidR="00821224" w:rsidRDefault="00821224" w:rsidP="000974C4">
      <w:pPr>
        <w:pStyle w:val="SubmissionNormal"/>
        <w:numPr>
          <w:ilvl w:val="0"/>
          <w:numId w:val="41"/>
        </w:numPr>
        <w:ind w:hanging="709"/>
        <w:rPr>
          <w:sz w:val="20"/>
        </w:rPr>
      </w:pPr>
      <w:r>
        <w:t>The Commission expressed concern that these income management measures were racially discriminatory, breached the right to social security and denied procedural fairness to those to whom the measures applied.</w:t>
      </w:r>
      <w:r>
        <w:rPr>
          <w:sz w:val="20"/>
          <w:vertAlign w:val="superscript"/>
        </w:rPr>
        <w:endnoteReference w:id="64"/>
      </w:r>
      <w:r>
        <w:rPr>
          <w:sz w:val="20"/>
        </w:rPr>
        <w:t xml:space="preserve">   </w:t>
      </w:r>
    </w:p>
    <w:p w14:paraId="05BE2F03" w14:textId="77777777" w:rsidR="00821224" w:rsidRDefault="00821224" w:rsidP="007C1705">
      <w:pPr>
        <w:pStyle w:val="Heading4"/>
      </w:pPr>
      <w:bookmarkStart w:id="96" w:name="_TOC49252"/>
      <w:bookmarkStart w:id="97" w:name="_Toc315865076"/>
      <w:bookmarkEnd w:id="96"/>
      <w:r>
        <w:t>2010 NTER redesign measures</w:t>
      </w:r>
      <w:bookmarkEnd w:id="97"/>
    </w:p>
    <w:p w14:paraId="6C1E2781" w14:textId="77777777" w:rsidR="00821224" w:rsidRDefault="00821224" w:rsidP="000974C4">
      <w:pPr>
        <w:pStyle w:val="SubmissionNormal"/>
        <w:numPr>
          <w:ilvl w:val="0"/>
          <w:numId w:val="41"/>
        </w:numPr>
        <w:ind w:hanging="709"/>
      </w:pPr>
      <w:r>
        <w:t>Instead of the blanket approach based on race, the 2010 redesigned income management measures applied more generally and were targeted towards the following three groups:</w:t>
      </w:r>
    </w:p>
    <w:p w14:paraId="5BDE8084" w14:textId="77777777" w:rsidR="00821224" w:rsidRDefault="00821224" w:rsidP="000974C4">
      <w:pPr>
        <w:numPr>
          <w:ilvl w:val="0"/>
          <w:numId w:val="37"/>
        </w:numPr>
        <w:rPr>
          <w:rFonts w:ascii="Lucida Grande" w:hAnsi="Symbol" w:hint="eastAsia"/>
        </w:rPr>
      </w:pPr>
      <w:r>
        <w:t>disengaged youth</w:t>
      </w:r>
    </w:p>
    <w:p w14:paraId="01F51D27" w14:textId="77777777" w:rsidR="00821224" w:rsidRDefault="00821224" w:rsidP="000974C4">
      <w:pPr>
        <w:numPr>
          <w:ilvl w:val="0"/>
          <w:numId w:val="37"/>
        </w:numPr>
        <w:rPr>
          <w:rFonts w:ascii="Lucida Grande" w:hAnsi="Symbol" w:hint="eastAsia"/>
        </w:rPr>
      </w:pPr>
      <w:r>
        <w:t>long-term welfare payment recipients</w:t>
      </w:r>
    </w:p>
    <w:p w14:paraId="336C0270" w14:textId="77777777" w:rsidR="00821224" w:rsidRDefault="00821224" w:rsidP="000974C4">
      <w:pPr>
        <w:numPr>
          <w:ilvl w:val="0"/>
          <w:numId w:val="37"/>
        </w:numPr>
        <w:rPr>
          <w:rFonts w:ascii="Lucida Grande" w:hAnsi="Symbol" w:hint="eastAsia"/>
        </w:rPr>
      </w:pPr>
      <w:r>
        <w:t>persons assessed as vulnerable.</w:t>
      </w:r>
      <w:r w:rsidRPr="00212FF0">
        <w:rPr>
          <w:rStyle w:val="EndnoteReference1"/>
          <w:szCs w:val="20"/>
        </w:rPr>
        <w:endnoteReference w:id="65"/>
      </w:r>
    </w:p>
    <w:p w14:paraId="51A64F0B" w14:textId="77777777" w:rsidR="00821224" w:rsidRPr="00212FF0" w:rsidRDefault="00821224" w:rsidP="000974C4">
      <w:pPr>
        <w:pStyle w:val="SubmissionNormal"/>
        <w:numPr>
          <w:ilvl w:val="0"/>
          <w:numId w:val="41"/>
        </w:numPr>
        <w:ind w:hanging="709"/>
        <w:rPr>
          <w:rStyle w:val="EndnoteReference1"/>
          <w:szCs w:val="20"/>
        </w:rPr>
      </w:pPr>
      <w:r>
        <w:t>Individuals falling outside these categories are able to voluntarily opt-in to the income management program.</w:t>
      </w:r>
      <w:r w:rsidRPr="00212FF0">
        <w:rPr>
          <w:rStyle w:val="EndnoteReference1"/>
          <w:szCs w:val="20"/>
        </w:rPr>
        <w:endnoteReference w:id="66"/>
      </w:r>
    </w:p>
    <w:p w14:paraId="743326FE" w14:textId="77777777" w:rsidR="00821224" w:rsidRPr="002D72D0" w:rsidRDefault="00821224" w:rsidP="000974C4">
      <w:pPr>
        <w:pStyle w:val="SubmissionNormal"/>
        <w:numPr>
          <w:ilvl w:val="0"/>
          <w:numId w:val="41"/>
        </w:numPr>
        <w:ind w:hanging="709"/>
      </w:pPr>
      <w:r>
        <w:t xml:space="preserve">The Commission welcomed the redesign of income management measures so that they no longer raised issues of direct racial discrimination. However, the Commission remained concerned that the scheme may raise issues of indirect discrimination due to the combination of the broad reach of some categories of the redesigned income management measures (which may not be reasonable or proportionate) and their application predominately to Aboriginal peoples (with a resultant disproportionate racial impact). </w:t>
      </w:r>
    </w:p>
    <w:p w14:paraId="696BE1D8" w14:textId="77777777" w:rsidR="00821224" w:rsidRPr="00212FF0" w:rsidRDefault="00821224" w:rsidP="000974C4">
      <w:pPr>
        <w:pStyle w:val="SubmissionNormal"/>
        <w:numPr>
          <w:ilvl w:val="0"/>
          <w:numId w:val="41"/>
        </w:numPr>
        <w:ind w:hanging="709"/>
        <w:rPr>
          <w:rStyle w:val="EndnoteReference1"/>
          <w:szCs w:val="20"/>
        </w:rPr>
      </w:pPr>
      <w:r>
        <w:t>The Commission outlined a range of other issues and recommendations in its submission regarding the 2010 NTER redesign measures which continue to have relevance to the current measures.</w:t>
      </w:r>
      <w:r w:rsidRPr="00212FF0">
        <w:rPr>
          <w:rStyle w:val="EndnoteReference1"/>
          <w:szCs w:val="20"/>
        </w:rPr>
        <w:endnoteReference w:id="67"/>
      </w:r>
    </w:p>
    <w:p w14:paraId="6AC41A2C" w14:textId="77777777" w:rsidR="00821224" w:rsidRDefault="00821224" w:rsidP="007C1705">
      <w:pPr>
        <w:pStyle w:val="Heading3"/>
      </w:pPr>
      <w:bookmarkStart w:id="98" w:name="_TOC50356"/>
      <w:bookmarkStart w:id="99" w:name="_Toc315865077"/>
      <w:bookmarkStart w:id="100" w:name="_Toc316042364"/>
      <w:bookmarkEnd w:id="98"/>
      <w:r>
        <w:t>Proposed measures – Stronger Futures Bills</w:t>
      </w:r>
      <w:bookmarkEnd w:id="99"/>
      <w:bookmarkEnd w:id="100"/>
    </w:p>
    <w:p w14:paraId="002CE9BF" w14:textId="298E3F7E" w:rsidR="00821224" w:rsidRDefault="00821224" w:rsidP="000974C4">
      <w:pPr>
        <w:pStyle w:val="SubmissionNormal"/>
        <w:numPr>
          <w:ilvl w:val="0"/>
          <w:numId w:val="41"/>
        </w:numPr>
        <w:ind w:hanging="709"/>
      </w:pPr>
      <w:r>
        <w:t>The Social Security Bill retains the 2010 NTER redesign</w:t>
      </w:r>
      <w:r w:rsidR="006540A2">
        <w:t>ed</w:t>
      </w:r>
      <w:r>
        <w:t xml:space="preserve"> income management measures and also proposes to amend the </w:t>
      </w:r>
      <w:r w:rsidRPr="00D322CD">
        <w:rPr>
          <w:i/>
        </w:rPr>
        <w:t>Social Security (Administration) Act 1999</w:t>
      </w:r>
      <w:r>
        <w:t xml:space="preserve"> (Cth) (SSA Act) to:</w:t>
      </w:r>
    </w:p>
    <w:p w14:paraId="560FFD1B" w14:textId="77777777" w:rsidR="00821224" w:rsidRDefault="00821224" w:rsidP="000974C4">
      <w:pPr>
        <w:numPr>
          <w:ilvl w:val="0"/>
          <w:numId w:val="37"/>
        </w:numPr>
      </w:pPr>
      <w:r>
        <w:t xml:space="preserve">create a new external referral process from recognised state/territory authorities </w:t>
      </w:r>
      <w:r w:rsidRPr="00212FF0">
        <w:rPr>
          <w:rStyle w:val="EndnoteReference1"/>
          <w:szCs w:val="20"/>
        </w:rPr>
        <w:endnoteReference w:id="68"/>
      </w:r>
      <w:r>
        <w:t xml:space="preserve">    </w:t>
      </w:r>
    </w:p>
    <w:p w14:paraId="3E6DE1E8" w14:textId="77777777" w:rsidR="00821224" w:rsidRDefault="00821224" w:rsidP="000974C4">
      <w:pPr>
        <w:numPr>
          <w:ilvl w:val="0"/>
          <w:numId w:val="37"/>
        </w:numPr>
      </w:pPr>
      <w:r>
        <w:t>enable the roll out of income management into new regions.</w:t>
      </w:r>
      <w:r w:rsidRPr="00212FF0">
        <w:rPr>
          <w:rStyle w:val="EndnoteReference1"/>
          <w:szCs w:val="20"/>
        </w:rPr>
        <w:t xml:space="preserve"> </w:t>
      </w:r>
      <w:r w:rsidRPr="00212FF0">
        <w:rPr>
          <w:rStyle w:val="EndnoteReference1"/>
          <w:szCs w:val="20"/>
        </w:rPr>
        <w:endnoteReference w:id="69"/>
      </w:r>
      <w:r>
        <w:t xml:space="preserve"> </w:t>
      </w:r>
    </w:p>
    <w:p w14:paraId="18805521" w14:textId="77777777" w:rsidR="00821224" w:rsidRDefault="00821224" w:rsidP="000974C4">
      <w:pPr>
        <w:pStyle w:val="SubmissionNormal"/>
        <w:numPr>
          <w:ilvl w:val="0"/>
          <w:numId w:val="41"/>
        </w:numPr>
        <w:ind w:hanging="709"/>
      </w:pPr>
      <w:r>
        <w:t xml:space="preserve">The Bill also decouples the vulnerable income management measures, allowing declarations regarding income management areas to be made under </w:t>
      </w:r>
      <w:r>
        <w:lastRenderedPageBreak/>
        <w:t>either the category of vulnerable, long-term welfare payment recipients or disengaged youth.</w:t>
      </w:r>
      <w:r w:rsidRPr="00212FF0">
        <w:rPr>
          <w:rStyle w:val="EndnoteReference1"/>
          <w:szCs w:val="20"/>
        </w:rPr>
        <w:t xml:space="preserve"> </w:t>
      </w:r>
      <w:r w:rsidRPr="00212FF0">
        <w:rPr>
          <w:rStyle w:val="EndnoteReference1"/>
          <w:szCs w:val="20"/>
        </w:rPr>
        <w:endnoteReference w:id="70"/>
      </w:r>
      <w:r>
        <w:t xml:space="preserve">  Therefore, making a declaration on one ground no longer automatically includes the other ground. The Bill also proposes to allow income management to continue despite change of residence.</w:t>
      </w:r>
      <w:r w:rsidRPr="00212FF0">
        <w:rPr>
          <w:rStyle w:val="EndnoteReference1"/>
          <w:szCs w:val="20"/>
        </w:rPr>
        <w:t xml:space="preserve"> </w:t>
      </w:r>
      <w:r w:rsidRPr="00212FF0">
        <w:rPr>
          <w:rStyle w:val="EndnoteReference1"/>
          <w:szCs w:val="20"/>
        </w:rPr>
        <w:endnoteReference w:id="71"/>
      </w:r>
      <w:r>
        <w:t xml:space="preserve">  </w:t>
      </w:r>
    </w:p>
    <w:p w14:paraId="0E4E9048" w14:textId="1F27C80F" w:rsidR="00821224" w:rsidRDefault="00CF54C9" w:rsidP="000974C4">
      <w:pPr>
        <w:pStyle w:val="SubmissionNormal"/>
        <w:numPr>
          <w:ilvl w:val="0"/>
          <w:numId w:val="41"/>
        </w:numPr>
        <w:ind w:hanging="709"/>
      </w:pPr>
      <w:r>
        <w:t>The Commission notes with concern</w:t>
      </w:r>
      <w:r w:rsidR="00821224">
        <w:t xml:space="preserve"> that these further changes to income management through the Bill were not identified as issues for consideration during the Stronger Futures consultation process.</w:t>
      </w:r>
    </w:p>
    <w:p w14:paraId="7701E3F5" w14:textId="77777777" w:rsidR="00821224" w:rsidRDefault="00821224" w:rsidP="007C1705">
      <w:pPr>
        <w:pStyle w:val="Heading4"/>
      </w:pPr>
      <w:bookmarkStart w:id="101" w:name="_TOC51303"/>
      <w:bookmarkStart w:id="102" w:name="_Toc315865078"/>
      <w:bookmarkEnd w:id="101"/>
      <w:r>
        <w:t>Roll out to five new communities</w:t>
      </w:r>
      <w:bookmarkEnd w:id="102"/>
      <w:r>
        <w:t xml:space="preserve"> </w:t>
      </w:r>
    </w:p>
    <w:p w14:paraId="1E932AFD" w14:textId="77777777" w:rsidR="00821224" w:rsidRDefault="00821224" w:rsidP="000974C4">
      <w:pPr>
        <w:pStyle w:val="SubmissionNormal"/>
        <w:numPr>
          <w:ilvl w:val="0"/>
          <w:numId w:val="41"/>
        </w:numPr>
        <w:ind w:hanging="709"/>
      </w:pPr>
      <w:r>
        <w:t>The Social Security Bill enables the roll-out of income management to five new regions – namely Playford (South Australia), Bankstown (New South Wales), Shepparton (Victoria), Rockhampton and Logan (Queensland) – by empowering the Minister by legislative instrument to specify any State, Territory or area to be a ‘specified area’ for the purposes of income management.</w:t>
      </w:r>
      <w:r w:rsidRPr="00212FF0">
        <w:rPr>
          <w:rStyle w:val="EndnoteReference1"/>
          <w:szCs w:val="20"/>
        </w:rPr>
        <w:endnoteReference w:id="72"/>
      </w:r>
      <w:r>
        <w:t xml:space="preserve"> </w:t>
      </w:r>
      <w:bookmarkStart w:id="103" w:name="GoBack"/>
      <w:bookmarkEnd w:id="103"/>
    </w:p>
    <w:p w14:paraId="0EE4DE7D" w14:textId="77C7B7D3" w:rsidR="00821224" w:rsidRPr="00212FF0" w:rsidRDefault="00821224" w:rsidP="000974C4">
      <w:pPr>
        <w:pStyle w:val="SubmissionNormal"/>
        <w:numPr>
          <w:ilvl w:val="0"/>
          <w:numId w:val="41"/>
        </w:numPr>
        <w:ind w:hanging="709"/>
        <w:rPr>
          <w:rStyle w:val="EndnoteReference1"/>
          <w:szCs w:val="20"/>
        </w:rPr>
      </w:pPr>
      <w:r>
        <w:t>The Commission is concerned by the breadth of the Minister’s discretion, which allows income management to be introduced across the country without consultation with the affected communities.</w:t>
      </w:r>
      <w:r w:rsidRPr="00212FF0">
        <w:rPr>
          <w:rStyle w:val="EndnoteReference1"/>
          <w:szCs w:val="20"/>
        </w:rPr>
        <w:endnoteReference w:id="73"/>
      </w:r>
      <w:r>
        <w:t xml:space="preserve"> Indeed, there is no evidence that</w:t>
      </w:r>
      <w:r w:rsidR="006C00B4">
        <w:t xml:space="preserve"> the communities in</w:t>
      </w:r>
      <w:r>
        <w:t xml:space="preserve"> the five targeted areas were consulted prior to the Budget announcement or the introduction of the Social Security Bill.</w:t>
      </w:r>
      <w:r w:rsidRPr="00212FF0">
        <w:rPr>
          <w:rStyle w:val="EndnoteReference1"/>
          <w:szCs w:val="20"/>
        </w:rPr>
        <w:endnoteReference w:id="74"/>
      </w:r>
    </w:p>
    <w:p w14:paraId="7D382C2F" w14:textId="77777777" w:rsidR="00821224" w:rsidRDefault="00821224" w:rsidP="000974C4">
      <w:pPr>
        <w:pStyle w:val="SubmissionNormal"/>
        <w:numPr>
          <w:ilvl w:val="0"/>
          <w:numId w:val="41"/>
        </w:numPr>
        <w:ind w:hanging="709"/>
      </w:pPr>
      <w:r>
        <w:t>The Commission highlights the importance of ensuring the participation of affected people in all aspects of the design, delivery and monitoring of the income management measures. A process of consultation would enable the Government to respond to the specific circumstances of individual people and communities. It would also allow for individuals and communities to decide on the most appropriate measures to meet their particular needs.</w:t>
      </w:r>
    </w:p>
    <w:p w14:paraId="6F0411EA" w14:textId="77777777" w:rsidR="00821224" w:rsidRDefault="00821224" w:rsidP="007C1705">
      <w:pPr>
        <w:pStyle w:val="Heading4"/>
      </w:pPr>
      <w:bookmarkStart w:id="104" w:name="_TOC53047"/>
      <w:bookmarkStart w:id="105" w:name="_Toc315865079"/>
      <w:bookmarkEnd w:id="104"/>
      <w:r>
        <w:t>External referral</w:t>
      </w:r>
      <w:bookmarkEnd w:id="105"/>
    </w:p>
    <w:p w14:paraId="0A302E2E" w14:textId="77777777" w:rsidR="00821224" w:rsidRDefault="00821224" w:rsidP="000974C4">
      <w:pPr>
        <w:pStyle w:val="SubmissionNormal"/>
        <w:numPr>
          <w:ilvl w:val="0"/>
          <w:numId w:val="41"/>
        </w:numPr>
        <w:ind w:hanging="709"/>
      </w:pPr>
      <w:r>
        <w:t xml:space="preserve">The Social Security Bill includes provisions that will enable the Minister to authorise state and territory authorities to refer individuals to the Commonwealth to consider including them within the income management scheme. </w:t>
      </w:r>
    </w:p>
    <w:p w14:paraId="75684B09" w14:textId="77777777" w:rsidR="00821224" w:rsidRDefault="00821224" w:rsidP="000974C4">
      <w:pPr>
        <w:pStyle w:val="SubmissionNormal"/>
        <w:numPr>
          <w:ilvl w:val="0"/>
          <w:numId w:val="41"/>
        </w:numPr>
        <w:ind w:hanging="709"/>
      </w:pPr>
      <w:r>
        <w:t>The Minister may, by legislative instrument, determine the following to be a recognised state/territory authority for the purposes of income management referral:</w:t>
      </w:r>
    </w:p>
    <w:p w14:paraId="3D139E8B" w14:textId="77777777" w:rsidR="00821224" w:rsidRDefault="00821224" w:rsidP="000974C4">
      <w:pPr>
        <w:pStyle w:val="SubmissionNormal"/>
        <w:numPr>
          <w:ilvl w:val="0"/>
          <w:numId w:val="38"/>
        </w:numPr>
        <w:rPr>
          <w:rFonts w:ascii="Lucida Grande" w:hAnsi="Symbol"/>
        </w:rPr>
      </w:pPr>
      <w:r>
        <w:t>a specified department; or a specified part of a department, of a state or territory</w:t>
      </w:r>
    </w:p>
    <w:p w14:paraId="34B60128" w14:textId="77777777" w:rsidR="00821224" w:rsidRPr="00D322CD" w:rsidRDefault="00821224" w:rsidP="000974C4">
      <w:pPr>
        <w:pStyle w:val="SubmissionNormal"/>
        <w:numPr>
          <w:ilvl w:val="0"/>
          <w:numId w:val="38"/>
        </w:numPr>
        <w:rPr>
          <w:rFonts w:ascii="Lucida Grande" w:hAnsi="Symbol"/>
        </w:rPr>
      </w:pPr>
      <w:r>
        <w:t>a specified body of a state or territory</w:t>
      </w:r>
    </w:p>
    <w:p w14:paraId="45571A05" w14:textId="77777777" w:rsidR="00821224" w:rsidRPr="00D322CD" w:rsidRDefault="00821224" w:rsidP="000974C4">
      <w:pPr>
        <w:pStyle w:val="SubmissionNormal"/>
        <w:numPr>
          <w:ilvl w:val="0"/>
          <w:numId w:val="38"/>
        </w:numPr>
        <w:rPr>
          <w:rStyle w:val="EndnoteReference1"/>
          <w:rFonts w:ascii="Lucida Grande" w:eastAsia="Times New Roman" w:hAnsi="Symbol"/>
          <w:color w:val="auto"/>
          <w:sz w:val="24"/>
          <w:vertAlign w:val="baseline"/>
        </w:rPr>
      </w:pPr>
      <w:r>
        <w:t>a specified agency of a state or territory.</w:t>
      </w:r>
      <w:r w:rsidRPr="00212FF0">
        <w:rPr>
          <w:rStyle w:val="EndnoteReference1"/>
          <w:szCs w:val="20"/>
        </w:rPr>
        <w:endnoteReference w:id="75"/>
      </w:r>
    </w:p>
    <w:p w14:paraId="398E1E63" w14:textId="77777777" w:rsidR="00821224" w:rsidRDefault="00821224" w:rsidP="000974C4">
      <w:pPr>
        <w:pStyle w:val="SubmissionNormal"/>
        <w:numPr>
          <w:ilvl w:val="0"/>
          <w:numId w:val="41"/>
        </w:numPr>
        <w:ind w:hanging="709"/>
      </w:pPr>
      <w:r>
        <w:t xml:space="preserve">The Explanatory Memorandum indicates that the provisions are intended to empower the Northern Territory Alcohol and Other Drug Tribunal to make </w:t>
      </w:r>
      <w:r>
        <w:lastRenderedPageBreak/>
        <w:t>referrals.</w:t>
      </w:r>
      <w:r w:rsidRPr="00212FF0">
        <w:rPr>
          <w:rStyle w:val="EndnoteReference1"/>
          <w:szCs w:val="20"/>
        </w:rPr>
        <w:endnoteReference w:id="76"/>
      </w:r>
      <w:r>
        <w:t xml:space="preserve"> However, the Commission is concerned that the potential scope of agencies that can be authorised to make referrals is too broad. </w:t>
      </w:r>
    </w:p>
    <w:p w14:paraId="1C309D60" w14:textId="77777777" w:rsidR="00821224" w:rsidRDefault="00821224" w:rsidP="000974C4">
      <w:pPr>
        <w:pStyle w:val="SubmissionNormal"/>
        <w:numPr>
          <w:ilvl w:val="0"/>
          <w:numId w:val="41"/>
        </w:numPr>
        <w:ind w:hanging="709"/>
      </w:pPr>
      <w:r>
        <w:t xml:space="preserve">For example, it is not clear whether a referral could be made by an agent of a state department, such as a consultant, job network provider or child care provider. Such agents may not be sufficiently equipped, culturally competent, or adequately accountable for such decision making. Similarly, agencies such as a roads and transport agency could feasibly be made a referral agency under the scheme as proposed, and may have an interest in seeking to refer individuals who have issues relating to traffic offences. The legislation provides no safeguards against an extension of the use of the external referral procedures outside the purposes of the program. </w:t>
      </w:r>
    </w:p>
    <w:p w14:paraId="10122473" w14:textId="77777777" w:rsidR="00821224" w:rsidRPr="0027443B" w:rsidRDefault="00821224" w:rsidP="000974C4">
      <w:pPr>
        <w:pStyle w:val="SubmissionNormal"/>
        <w:numPr>
          <w:ilvl w:val="0"/>
          <w:numId w:val="41"/>
        </w:numPr>
        <w:ind w:hanging="709"/>
        <w:rPr>
          <w:i/>
        </w:rPr>
      </w:pPr>
      <w:r>
        <w:t xml:space="preserve">The Commission is of the view that the referral powers should be limited to agencies and departments that have a relevant connection to promoting the welfare and wellbeing of children – which is a primary purpose of the income management scheme. </w:t>
      </w:r>
      <w:bookmarkStart w:id="106" w:name="_TOC55703"/>
      <w:bookmarkEnd w:id="106"/>
    </w:p>
    <w:p w14:paraId="230D0893" w14:textId="77777777" w:rsidR="00821224" w:rsidRPr="00EA72EB" w:rsidRDefault="00821224" w:rsidP="007C1705">
      <w:pPr>
        <w:pStyle w:val="Heading4"/>
      </w:pPr>
      <w:bookmarkStart w:id="107" w:name="_Toc315865080"/>
      <w:r w:rsidRPr="00EA72EB">
        <w:t>Triggers under the external referral mechanism</w:t>
      </w:r>
      <w:bookmarkEnd w:id="107"/>
    </w:p>
    <w:p w14:paraId="460EBD1A" w14:textId="77777777" w:rsidR="00821224" w:rsidRDefault="00821224" w:rsidP="000974C4">
      <w:pPr>
        <w:pStyle w:val="SubmissionNormal"/>
        <w:numPr>
          <w:ilvl w:val="0"/>
          <w:numId w:val="41"/>
        </w:numPr>
        <w:ind w:hanging="709"/>
      </w:pPr>
      <w:r>
        <w:t>Proposed s 123UFAA of the SSA Act sets out the actions that may trigger mandated income management under the new external referral mechanism. A key trigger is whether an officer or employee of a recognised state/territory authority gives the Secretary written notice requiring that the person be subject to income management. The notice may be given ‘under a law in a State or Territory or in the exercise of the executive power of a State or Territory’.</w:t>
      </w:r>
    </w:p>
    <w:p w14:paraId="3E797626" w14:textId="77777777" w:rsidR="00821224" w:rsidRDefault="00821224" w:rsidP="000974C4">
      <w:pPr>
        <w:pStyle w:val="SubmissionNormal"/>
        <w:numPr>
          <w:ilvl w:val="0"/>
          <w:numId w:val="41"/>
        </w:numPr>
        <w:ind w:hanging="709"/>
      </w:pPr>
      <w:r>
        <w:t xml:space="preserve">Neither the proposed amendments nor the Explanatory Memorandum explain the criteria for writing a notice, where this is not contained in a state or territory law. The Commission considers that this could allow for broad discretion if exercised under the executive power of the state or territory. Further, there is no explanation of what state or territory laws already contain these triggers or will be amended to include such triggers. In the Commission’s view, </w:t>
      </w:r>
      <w:r w:rsidRPr="000559F1">
        <w:t>the decision to make a referral for income management should be guided by a defined, legislated process</w:t>
      </w:r>
      <w:r>
        <w:t>.</w:t>
      </w:r>
      <w:r w:rsidRPr="000559F1">
        <w:t xml:space="preserve"> </w:t>
      </w:r>
    </w:p>
    <w:p w14:paraId="54B65244" w14:textId="77777777" w:rsidR="00821224" w:rsidRDefault="00821224" w:rsidP="007C1705">
      <w:pPr>
        <w:pStyle w:val="Heading4"/>
      </w:pPr>
      <w:bookmarkStart w:id="108" w:name="_TOC57656"/>
      <w:bookmarkStart w:id="109" w:name="_Toc315865081"/>
      <w:bookmarkEnd w:id="108"/>
      <w:r>
        <w:t>Availability of avenues of review and appeal</w:t>
      </w:r>
      <w:bookmarkEnd w:id="109"/>
      <w:r>
        <w:t xml:space="preserve"> </w:t>
      </w:r>
    </w:p>
    <w:p w14:paraId="717ED8F6" w14:textId="37C6903B" w:rsidR="00821224" w:rsidRDefault="00821224" w:rsidP="000974C4">
      <w:pPr>
        <w:pStyle w:val="SubmissionNormal"/>
        <w:numPr>
          <w:ilvl w:val="0"/>
          <w:numId w:val="41"/>
        </w:numPr>
        <w:ind w:hanging="709"/>
      </w:pPr>
      <w:r>
        <w:t>The Commission submits that the decision-making powers of the external referring agency are too broad. Once the agency makes a ‘referral’, Centrelink does not have the discretion or the authority to consider its merits. Individuals are therefore not afforded the established review and appeal process built into the administration of the social security law.</w:t>
      </w:r>
    </w:p>
    <w:p w14:paraId="2A56428A" w14:textId="77777777" w:rsidR="00821224" w:rsidRDefault="00821224" w:rsidP="000974C4">
      <w:pPr>
        <w:pStyle w:val="SubmissionNormal"/>
        <w:numPr>
          <w:ilvl w:val="0"/>
          <w:numId w:val="41"/>
        </w:numPr>
        <w:ind w:hanging="709"/>
      </w:pPr>
      <w:r>
        <w:t xml:space="preserve">Further, the normal avenues of review and appeal of Centrelink decisions will not be available in externally referred cases. Consequently, any externally referred individual would need to seek review through the agency from which the external referral has been made. This may place the individual at a disadvantage as they are required to operate within the internal review mechanisms that exist at the external referring agency. </w:t>
      </w:r>
    </w:p>
    <w:p w14:paraId="4A4374A2" w14:textId="77777777" w:rsidR="00821224" w:rsidRDefault="00821224" w:rsidP="000974C4">
      <w:pPr>
        <w:pStyle w:val="SubmissionNormal"/>
        <w:numPr>
          <w:ilvl w:val="0"/>
          <w:numId w:val="41"/>
        </w:numPr>
        <w:ind w:hanging="709"/>
      </w:pPr>
      <w:r>
        <w:lastRenderedPageBreak/>
        <w:t>The Commission is concerned that some external referral agencies may not have review processes, and that individuals placed on income management through external referral will be denied access to the well-established and accessible Centrelink review and appeal processes.</w:t>
      </w:r>
    </w:p>
    <w:p w14:paraId="18DE5627" w14:textId="77777777" w:rsidR="00821224" w:rsidRDefault="00821224" w:rsidP="000974C4">
      <w:pPr>
        <w:pStyle w:val="SubmissionNormal"/>
        <w:numPr>
          <w:ilvl w:val="0"/>
          <w:numId w:val="41"/>
        </w:numPr>
        <w:ind w:hanging="709"/>
      </w:pPr>
      <w:r>
        <w:t>The Commission contends that all decisions affecting individuals should be subject to merits review to ensure natural justice, due process, and effective administrative decision-making.</w:t>
      </w:r>
    </w:p>
    <w:p w14:paraId="249BCDD7" w14:textId="77777777" w:rsidR="00821224" w:rsidRDefault="00821224" w:rsidP="00BC42EA">
      <w:pPr>
        <w:pStyle w:val="Heading3"/>
      </w:pPr>
      <w:bookmarkStart w:id="110" w:name="_Toc315865082"/>
      <w:bookmarkStart w:id="111" w:name="_Toc316042365"/>
      <w:r>
        <w:t>Possible implications under the Racial Discrimination Act</w:t>
      </w:r>
      <w:bookmarkEnd w:id="110"/>
      <w:bookmarkEnd w:id="111"/>
    </w:p>
    <w:p w14:paraId="08348960" w14:textId="77777777" w:rsidR="00821224" w:rsidRDefault="00821224" w:rsidP="000974C4">
      <w:pPr>
        <w:pStyle w:val="SubmissionNormal"/>
        <w:numPr>
          <w:ilvl w:val="0"/>
          <w:numId w:val="41"/>
        </w:numPr>
        <w:ind w:hanging="709"/>
      </w:pPr>
      <w:r>
        <w:t>Due to its general application, the income management measure is not expressed to be intended to operate as a special measure under the RDA and does not raise issues of direct discrimination. In order to be consistent with the RDA, it only remains to identify whether it raises concerns of indirect discrimination.</w:t>
      </w:r>
    </w:p>
    <w:p w14:paraId="6286DA4D" w14:textId="77777777" w:rsidR="00821224" w:rsidRPr="00212FF0" w:rsidRDefault="00821224" w:rsidP="000974C4">
      <w:pPr>
        <w:pStyle w:val="SubmissionNormal"/>
        <w:numPr>
          <w:ilvl w:val="0"/>
          <w:numId w:val="41"/>
        </w:numPr>
        <w:ind w:hanging="709"/>
        <w:rPr>
          <w:rStyle w:val="EndnoteReference1"/>
          <w:szCs w:val="20"/>
        </w:rPr>
      </w:pPr>
      <w:r>
        <w:t>The income management scheme has a disproportionate effect on Aboriginal peoples in the Northern Territory. According to the Government’s own statistics, 94.2% of people on income management in the Northern Territory are ‘Indigenous’,</w:t>
      </w:r>
      <w:r>
        <w:rPr>
          <w:sz w:val="20"/>
          <w:vertAlign w:val="superscript"/>
        </w:rPr>
        <w:endnoteReference w:id="77"/>
      </w:r>
      <w:r>
        <w:t xml:space="preserve"> as compared with Indigenous peoples making up to 30% of the Northern Territory population.</w:t>
      </w:r>
      <w:r w:rsidRPr="00212FF0">
        <w:rPr>
          <w:rStyle w:val="EndnoteReference1"/>
          <w:szCs w:val="20"/>
        </w:rPr>
        <w:endnoteReference w:id="78"/>
      </w:r>
    </w:p>
    <w:p w14:paraId="6A719F2D" w14:textId="64C49B1F" w:rsidR="00821224" w:rsidRDefault="00821224" w:rsidP="000974C4">
      <w:pPr>
        <w:pStyle w:val="SubmissionNormal"/>
        <w:numPr>
          <w:ilvl w:val="0"/>
          <w:numId w:val="41"/>
        </w:numPr>
        <w:ind w:hanging="709"/>
      </w:pPr>
      <w:r>
        <w:t>The Commission also notes with concern that the five disadvantaged communities, which will be subject to the income management scheme from 1 July 2012, have high culturally and linguistically diverse communities. According to 2006 Census data, people born overseas accounted for 23.8% of the total population of Playford (South Australia).</w:t>
      </w:r>
      <w:r w:rsidRPr="00212FF0">
        <w:rPr>
          <w:rStyle w:val="EndnoteReference1"/>
          <w:szCs w:val="20"/>
        </w:rPr>
        <w:endnoteReference w:id="79"/>
      </w:r>
      <w:r>
        <w:t xml:space="preserve"> In Bankstown (NSW), 38.7% of the total population were born overseas and 53.7% of the population spoke a language other than English at home.</w:t>
      </w:r>
      <w:r w:rsidRPr="00212FF0">
        <w:rPr>
          <w:rStyle w:val="EndnoteReference1"/>
          <w:szCs w:val="20"/>
        </w:rPr>
        <w:endnoteReference w:id="80"/>
      </w:r>
      <w:r>
        <w:t xml:space="preserve"> The Commission further understands that the communities of Shepparton and Logan have experienced very high migrant settlement in recent years, particularly humanitarian settlement.</w:t>
      </w:r>
    </w:p>
    <w:p w14:paraId="1E51D79F" w14:textId="4913C871" w:rsidR="00FA4B6C" w:rsidRPr="005E32FE" w:rsidRDefault="00821224" w:rsidP="00FA4B6C">
      <w:pPr>
        <w:pStyle w:val="SubmissionNormal"/>
        <w:numPr>
          <w:ilvl w:val="0"/>
          <w:numId w:val="41"/>
        </w:numPr>
        <w:ind w:hanging="709"/>
        <w:rPr>
          <w:b/>
        </w:rPr>
      </w:pPr>
      <w:r w:rsidRPr="005E32FE">
        <w:t xml:space="preserve">The overrepresentation of Aboriginal and Torres Strait Islander peoples and culturally and linguistically diverse communities in the trialling of income management is of significant concern to the Commission. Measures that disproportionately impact upon the ability of a particular racial group to enjoy their rights (such as the right to social security) may raise issues of indirect discrimination, particularly where the scheme is applied too broadly. </w:t>
      </w:r>
    </w:p>
    <w:p w14:paraId="732F7184" w14:textId="77777777" w:rsidR="00821224" w:rsidRPr="003D1246" w:rsidRDefault="00821224" w:rsidP="00BC42EA">
      <w:pPr>
        <w:pStyle w:val="Heading3"/>
      </w:pPr>
      <w:bookmarkStart w:id="112" w:name="_Toc315865083"/>
      <w:bookmarkStart w:id="113" w:name="_Toc316042366"/>
      <w:r w:rsidRPr="003D1246">
        <w:t>Recommendations</w:t>
      </w:r>
      <w:bookmarkEnd w:id="112"/>
      <w:bookmarkEnd w:id="113"/>
    </w:p>
    <w:p w14:paraId="7E22D201" w14:textId="77777777" w:rsidR="00821224" w:rsidRPr="00857615" w:rsidRDefault="00821224" w:rsidP="000974C4">
      <w:pPr>
        <w:pStyle w:val="SubmissionNormal"/>
        <w:numPr>
          <w:ilvl w:val="0"/>
          <w:numId w:val="41"/>
        </w:numPr>
        <w:ind w:hanging="709"/>
        <w:rPr>
          <w:b/>
        </w:rPr>
      </w:pPr>
      <w:r w:rsidRPr="001F7ADE">
        <w:t>The Commission recommends that the Social Security Legislation Amendment Bill 2011 (Cth) be amended to require the Minister to consult with and take into account the views of the affected community prior to determining a</w:t>
      </w:r>
      <w:r>
        <w:t>n area to be a ‘specified area’</w:t>
      </w:r>
      <w:r w:rsidRPr="001F7ADE">
        <w:t xml:space="preserve"> </w:t>
      </w:r>
      <w:r w:rsidRPr="00857615">
        <w:rPr>
          <w:b/>
        </w:rPr>
        <w:t>[Recommendation no.</w:t>
      </w:r>
      <w:r w:rsidR="00102BA7">
        <w:rPr>
          <w:b/>
        </w:rPr>
        <w:t xml:space="preserve"> 7</w:t>
      </w:r>
      <w:r w:rsidRPr="00857615">
        <w:rPr>
          <w:b/>
        </w:rPr>
        <w:t>].</w:t>
      </w:r>
    </w:p>
    <w:p w14:paraId="18DF76B6" w14:textId="50444A79" w:rsidR="00821224" w:rsidRPr="00857615" w:rsidRDefault="0007128D" w:rsidP="000974C4">
      <w:pPr>
        <w:pStyle w:val="SubmissionNormal"/>
        <w:numPr>
          <w:ilvl w:val="0"/>
          <w:numId w:val="41"/>
        </w:numPr>
        <w:ind w:hanging="709"/>
        <w:rPr>
          <w:b/>
        </w:rPr>
      </w:pPr>
      <w:r w:rsidRPr="00ED017C">
        <w:t xml:space="preserve">The Commission recommends that the Social Security Legislation Amendment Bill 2011 (Cth) </w:t>
      </w:r>
      <w:r>
        <w:t xml:space="preserve">provide for </w:t>
      </w:r>
      <w:r w:rsidRPr="00ED017C">
        <w:t xml:space="preserve">criteria in the </w:t>
      </w:r>
      <w:r w:rsidRPr="0049337E">
        <w:rPr>
          <w:i/>
        </w:rPr>
        <w:t>Social Security (Administration) Act 1999</w:t>
      </w:r>
      <w:r w:rsidRPr="00ED017C">
        <w:t xml:space="preserve"> (Cth) which must be considered by the Minister when determining the type of agency</w:t>
      </w:r>
      <w:r>
        <w:t xml:space="preserve"> which can,</w:t>
      </w:r>
      <w:r w:rsidRPr="00ED017C">
        <w:t xml:space="preserve"> or whether a particular agency</w:t>
      </w:r>
      <w:r>
        <w:t xml:space="preserve"> will,</w:t>
      </w:r>
      <w:r w:rsidRPr="00ED017C">
        <w:t xml:space="preserve"> be authorised to </w:t>
      </w:r>
      <w:r w:rsidRPr="00ED017C">
        <w:lastRenderedPageBreak/>
        <w:t xml:space="preserve">give notices requiring individuals to </w:t>
      </w:r>
      <w:r>
        <w:t>be subject to income management. Such criteria should require agencies to have a relevant connection to promoting the welfare and wellbeing of children</w:t>
      </w:r>
      <w:r w:rsidRPr="0049337E">
        <w:rPr>
          <w:b/>
        </w:rPr>
        <w:t xml:space="preserve"> </w:t>
      </w:r>
      <w:r w:rsidR="00821224" w:rsidRPr="00857615">
        <w:rPr>
          <w:b/>
        </w:rPr>
        <w:t>[Recommendation no.</w:t>
      </w:r>
      <w:r w:rsidR="00102BA7">
        <w:rPr>
          <w:b/>
        </w:rPr>
        <w:t xml:space="preserve"> 8</w:t>
      </w:r>
      <w:r w:rsidR="00821224" w:rsidRPr="00857615">
        <w:rPr>
          <w:b/>
        </w:rPr>
        <w:t>].</w:t>
      </w:r>
    </w:p>
    <w:p w14:paraId="4FD9F1D1" w14:textId="77777777" w:rsidR="00821224" w:rsidRPr="00857615" w:rsidRDefault="00821224" w:rsidP="000974C4">
      <w:pPr>
        <w:pStyle w:val="SubmissionNormal"/>
        <w:numPr>
          <w:ilvl w:val="0"/>
          <w:numId w:val="41"/>
        </w:numPr>
        <w:ind w:hanging="709"/>
        <w:rPr>
          <w:b/>
        </w:rPr>
      </w:pPr>
      <w:r w:rsidRPr="001F7ADE">
        <w:t>The Commission recommends that the power of an agency to make external referrals, and the factors that can be considered when making the decision to refer, should be clearly stated and def</w:t>
      </w:r>
      <w:r>
        <w:t xml:space="preserve">ined in the primary legislation </w:t>
      </w:r>
      <w:r w:rsidRPr="00857615">
        <w:rPr>
          <w:b/>
        </w:rPr>
        <w:t>[Recommendation no.</w:t>
      </w:r>
      <w:r w:rsidR="00102BA7">
        <w:rPr>
          <w:b/>
        </w:rPr>
        <w:t xml:space="preserve"> 9</w:t>
      </w:r>
      <w:r w:rsidRPr="00857615">
        <w:rPr>
          <w:b/>
        </w:rPr>
        <w:t>].</w:t>
      </w:r>
    </w:p>
    <w:p w14:paraId="771EC6A0" w14:textId="1A2E3899" w:rsidR="00821224" w:rsidRPr="00BC42EA" w:rsidRDefault="00821224" w:rsidP="000974C4">
      <w:pPr>
        <w:pStyle w:val="SubmissionNormal"/>
        <w:numPr>
          <w:ilvl w:val="0"/>
          <w:numId w:val="41"/>
        </w:numPr>
        <w:ind w:hanging="709"/>
        <w:rPr>
          <w:b/>
        </w:rPr>
      </w:pPr>
      <w:r w:rsidRPr="001F7ADE">
        <w:t>The Commission recommends that Schedule 1 of the Social Security Legislation Amendment Bill 2011 (Cth) be amended so that</w:t>
      </w:r>
      <w:r w:rsidR="002A11AF">
        <w:t xml:space="preserve"> the</w:t>
      </w:r>
      <w:r w:rsidRPr="001F7ADE">
        <w:t xml:space="preserve"> proposed external referral mechanism allows Centrelink to make its own determination of whether to place a referred individual onto an income management program after considering the merit</w:t>
      </w:r>
      <w:r>
        <w:t>s of a particular referral</w:t>
      </w:r>
      <w:r w:rsidRPr="00857615">
        <w:rPr>
          <w:b/>
        </w:rPr>
        <w:t xml:space="preserve"> [</w:t>
      </w:r>
      <w:r w:rsidRPr="00857615">
        <w:rPr>
          <w:rFonts w:ascii="Arial Bold" w:hAnsi="Arial Bold"/>
          <w:b/>
        </w:rPr>
        <w:t>Recommendation no.</w:t>
      </w:r>
      <w:r w:rsidR="00281EBE">
        <w:rPr>
          <w:rFonts w:ascii="Arial Bold" w:hAnsi="Arial Bold"/>
          <w:b/>
        </w:rPr>
        <w:t xml:space="preserve"> 10</w:t>
      </w:r>
      <w:r w:rsidRPr="00857615">
        <w:rPr>
          <w:b/>
        </w:rPr>
        <w:t>].</w:t>
      </w:r>
    </w:p>
    <w:p w14:paraId="72B6D0F2" w14:textId="77777777" w:rsidR="00821224" w:rsidRDefault="00821224" w:rsidP="00F12219">
      <w:pPr>
        <w:pStyle w:val="Heading1"/>
      </w:pPr>
      <w:bookmarkStart w:id="114" w:name="_TOC61838"/>
      <w:bookmarkStart w:id="115" w:name="_Toc315865084"/>
      <w:bookmarkStart w:id="116" w:name="_Toc316042367"/>
      <w:bookmarkEnd w:id="114"/>
      <w:r>
        <w:t>School Enrolment and Attendance through Welfare Reform Measure (SEAM)</w:t>
      </w:r>
      <w:bookmarkEnd w:id="115"/>
      <w:bookmarkEnd w:id="116"/>
      <w:r>
        <w:t xml:space="preserve"> </w:t>
      </w:r>
    </w:p>
    <w:p w14:paraId="6A7AD89C" w14:textId="77777777" w:rsidR="00821224" w:rsidRDefault="00821224" w:rsidP="000974C4">
      <w:pPr>
        <w:pStyle w:val="SubmissionNormal"/>
        <w:numPr>
          <w:ilvl w:val="0"/>
          <w:numId w:val="41"/>
        </w:numPr>
        <w:ind w:hanging="709"/>
      </w:pPr>
      <w:bookmarkStart w:id="117" w:name="_TOC61908"/>
      <w:bookmarkStart w:id="118" w:name="TOC314492812"/>
      <w:bookmarkEnd w:id="117"/>
      <w:bookmarkEnd w:id="118"/>
      <w:r w:rsidRPr="006C11CE">
        <w:t xml:space="preserve">School Enrolment and Attendance through Welfare Reform Measure (SEAM) was implemented by the </w:t>
      </w:r>
      <w:r w:rsidRPr="006C11CE">
        <w:rPr>
          <w:i/>
        </w:rPr>
        <w:t xml:space="preserve">Social Security and Veterans’ Entitlement Legislation Amendment (Schooling Requirements) Act 2008 </w:t>
      </w:r>
      <w:r w:rsidRPr="006C11CE">
        <w:t>(Cth) (Schooling Requirements Act)</w:t>
      </w:r>
      <w:r w:rsidRPr="006C11CE">
        <w:rPr>
          <w:i/>
        </w:rPr>
        <w:t xml:space="preserve">. </w:t>
      </w:r>
      <w:r w:rsidRPr="006C11CE">
        <w:t xml:space="preserve">The Schooling Requirements Act amended the </w:t>
      </w:r>
      <w:r w:rsidRPr="006C11CE">
        <w:rPr>
          <w:i/>
        </w:rPr>
        <w:t xml:space="preserve">Social Security (Administration) Act 1999 </w:t>
      </w:r>
      <w:r w:rsidRPr="006C11CE">
        <w:t>(Cth) (SSA Act)</w:t>
      </w:r>
      <w:r w:rsidRPr="00D322CD">
        <w:rPr>
          <w:sz w:val="20"/>
          <w:szCs w:val="20"/>
          <w:vertAlign w:val="superscript"/>
        </w:rPr>
        <w:endnoteReference w:id="81"/>
      </w:r>
      <w:r w:rsidRPr="006C11CE">
        <w:t xml:space="preserve"> to provide for the suspension or cancellation of certain welfare payments where a person in receipt of these payments does not comply with a notice relating to the school enrolment or attendance of their child.</w:t>
      </w:r>
      <w:r w:rsidRPr="00D322CD">
        <w:rPr>
          <w:sz w:val="20"/>
          <w:szCs w:val="20"/>
          <w:vertAlign w:val="superscript"/>
        </w:rPr>
        <w:endnoteReference w:id="82"/>
      </w:r>
      <w:r w:rsidRPr="006C11CE">
        <w:t xml:space="preserve"> These provisions are outlined in Division 3 of the SSA Act.</w:t>
      </w:r>
    </w:p>
    <w:p w14:paraId="05D4CCE4" w14:textId="77777777" w:rsidR="00821224" w:rsidRPr="006C11CE" w:rsidRDefault="00821224" w:rsidP="000974C4">
      <w:pPr>
        <w:pStyle w:val="SubmissionNormal"/>
        <w:numPr>
          <w:ilvl w:val="0"/>
          <w:numId w:val="41"/>
        </w:numPr>
        <w:ind w:hanging="709"/>
      </w:pPr>
      <w:r w:rsidRPr="006C11CE">
        <w:t>The Social Security Bill inserts a new Division 3A into the SSA Act. This sets out an alternative process for dealing with unsatisfactory non-attendance at school.</w:t>
      </w:r>
      <w:r w:rsidRPr="00D322CD">
        <w:rPr>
          <w:sz w:val="20"/>
          <w:szCs w:val="20"/>
          <w:vertAlign w:val="superscript"/>
        </w:rPr>
        <w:endnoteReference w:id="83"/>
      </w:r>
    </w:p>
    <w:p w14:paraId="4FC4EFBD" w14:textId="77777777" w:rsidR="00821224" w:rsidRPr="006C11CE" w:rsidRDefault="00821224" w:rsidP="000974C4">
      <w:pPr>
        <w:pStyle w:val="SubmissionNormal"/>
        <w:numPr>
          <w:ilvl w:val="0"/>
          <w:numId w:val="41"/>
        </w:numPr>
        <w:ind w:hanging="709"/>
      </w:pPr>
      <w:r w:rsidRPr="006C11CE">
        <w:t>After the person responsible for the operation of a school notifies the Secretary</w:t>
      </w:r>
      <w:r w:rsidRPr="00D322CD">
        <w:rPr>
          <w:sz w:val="20"/>
          <w:szCs w:val="20"/>
          <w:vertAlign w:val="superscript"/>
        </w:rPr>
        <w:endnoteReference w:id="84"/>
      </w:r>
      <w:r w:rsidRPr="006C11CE">
        <w:t xml:space="preserve"> of unsatisfactory non-attendance, the Secretary or Principal may issue a ‘conference notice’ which requires the attendance of the parent at a conference to discuss a compulsory school attendance plan.</w:t>
      </w:r>
      <w:r w:rsidRPr="00D322CD">
        <w:rPr>
          <w:sz w:val="20"/>
          <w:szCs w:val="20"/>
          <w:vertAlign w:val="superscript"/>
        </w:rPr>
        <w:endnoteReference w:id="85"/>
      </w:r>
      <w:r w:rsidRPr="006C11CE">
        <w:t xml:space="preserve"> </w:t>
      </w:r>
    </w:p>
    <w:p w14:paraId="512E063E" w14:textId="77777777" w:rsidR="00821224" w:rsidRPr="006C11CE" w:rsidRDefault="00821224" w:rsidP="000974C4">
      <w:pPr>
        <w:pStyle w:val="SubmissionNormal"/>
        <w:numPr>
          <w:ilvl w:val="0"/>
          <w:numId w:val="41"/>
        </w:numPr>
        <w:ind w:hanging="709"/>
      </w:pPr>
      <w:r w:rsidRPr="006C11CE">
        <w:t>A ‘compliance notice’ may be issued where a person fails to attend a conference; fails to enter into or agree to amend a school attendance plan; or fails to comply with a school attendance plan entered into after the conference.</w:t>
      </w:r>
      <w:r w:rsidRPr="00D322CD">
        <w:rPr>
          <w:sz w:val="20"/>
          <w:szCs w:val="20"/>
          <w:vertAlign w:val="superscript"/>
        </w:rPr>
        <w:endnoteReference w:id="86"/>
      </w:r>
      <w:r w:rsidRPr="006C11CE">
        <w:t xml:space="preserve"> If a person fails to comply with the ‘compliance notice’, then a ‘schooling requirement payment’ is not payable unless certain conditions exist.</w:t>
      </w:r>
      <w:r w:rsidRPr="00D322CD">
        <w:rPr>
          <w:sz w:val="20"/>
          <w:szCs w:val="20"/>
          <w:vertAlign w:val="superscript"/>
        </w:rPr>
        <w:endnoteReference w:id="87"/>
      </w:r>
    </w:p>
    <w:p w14:paraId="6DB25788" w14:textId="77777777" w:rsidR="00821224" w:rsidRPr="006C11CE" w:rsidRDefault="00821224" w:rsidP="000974C4">
      <w:pPr>
        <w:pStyle w:val="SubmissionNormal"/>
        <w:numPr>
          <w:ilvl w:val="0"/>
          <w:numId w:val="41"/>
        </w:numPr>
        <w:ind w:hanging="709"/>
      </w:pPr>
      <w:r w:rsidRPr="006C11CE">
        <w:t xml:space="preserve">A ‘schooling requirement payment’ includes a social security benefit, pension, or a payment under the </w:t>
      </w:r>
      <w:r w:rsidRPr="006C11CE">
        <w:rPr>
          <w:i/>
        </w:rPr>
        <w:t>Veterans’ Entitlement Act 1986</w:t>
      </w:r>
      <w:r w:rsidRPr="006C11CE">
        <w:t xml:space="preserve"> (Cth).</w:t>
      </w:r>
      <w:r w:rsidRPr="00D322CD">
        <w:rPr>
          <w:sz w:val="20"/>
          <w:szCs w:val="20"/>
          <w:vertAlign w:val="superscript"/>
        </w:rPr>
        <w:endnoteReference w:id="88"/>
      </w:r>
    </w:p>
    <w:p w14:paraId="6DD4E288" w14:textId="00C3D008" w:rsidR="00821224" w:rsidRPr="006C11CE" w:rsidRDefault="00821224" w:rsidP="000974C4">
      <w:pPr>
        <w:pStyle w:val="SubmissionNormal"/>
        <w:numPr>
          <w:ilvl w:val="0"/>
          <w:numId w:val="41"/>
        </w:numPr>
        <w:ind w:hanging="709"/>
      </w:pPr>
      <w:r w:rsidRPr="006C11CE">
        <w:t>The Secretary must then determine to suspend or cancel a ‘schooling requirement payment’ that becomes non-payable under these provisions.</w:t>
      </w:r>
      <w:r w:rsidRPr="00D322CD">
        <w:rPr>
          <w:sz w:val="20"/>
          <w:szCs w:val="20"/>
          <w:vertAlign w:val="superscript"/>
        </w:rPr>
        <w:endnoteReference w:id="89"/>
      </w:r>
      <w:r w:rsidRPr="006C11CE">
        <w:t xml:space="preserve"> However, the Secretary may ‘reconsider’ a decision to suspend payment either on application or on his or her own initiative such as in cases where the person is complying with the attendance plan. After reconsideration, the </w:t>
      </w:r>
      <w:r w:rsidR="005E32FE">
        <w:lastRenderedPageBreak/>
        <w:t>Secretary may</w:t>
      </w:r>
      <w:r w:rsidRPr="006C11CE">
        <w:t xml:space="preserve"> determine that the ‘schooling requirement payment’ is payable and that any arrears are to be paid.</w:t>
      </w:r>
      <w:r w:rsidRPr="00D322CD">
        <w:rPr>
          <w:sz w:val="20"/>
          <w:szCs w:val="20"/>
          <w:vertAlign w:val="superscript"/>
        </w:rPr>
        <w:endnoteReference w:id="90"/>
      </w:r>
    </w:p>
    <w:p w14:paraId="1B036B6D" w14:textId="77777777" w:rsidR="00821224" w:rsidRPr="006C11CE" w:rsidRDefault="00821224" w:rsidP="00BC42EA">
      <w:pPr>
        <w:pStyle w:val="Heading3"/>
      </w:pPr>
      <w:bookmarkStart w:id="119" w:name="_Toc315865085"/>
      <w:bookmarkStart w:id="120" w:name="_Toc316042368"/>
      <w:r w:rsidRPr="006C11CE">
        <w:t>Evidence-based approaches to school attendance</w:t>
      </w:r>
      <w:bookmarkEnd w:id="119"/>
      <w:bookmarkEnd w:id="120"/>
    </w:p>
    <w:p w14:paraId="6D3CFD5A" w14:textId="77777777" w:rsidR="00821224" w:rsidRDefault="00821224" w:rsidP="000974C4">
      <w:pPr>
        <w:pStyle w:val="SubmissionNormal"/>
        <w:numPr>
          <w:ilvl w:val="0"/>
          <w:numId w:val="41"/>
        </w:numPr>
        <w:ind w:hanging="709"/>
      </w:pPr>
      <w:r>
        <w:t>The Commission has long expressed concerns about low school attendance rates nationally among Aboriginal and Torres Strait Islander children.</w:t>
      </w:r>
      <w:r>
        <w:rPr>
          <w:rStyle w:val="EndnoteReference"/>
        </w:rPr>
        <w:endnoteReference w:id="91"/>
      </w:r>
    </w:p>
    <w:p w14:paraId="57D04DD8" w14:textId="73107721" w:rsidR="00821224" w:rsidRDefault="00821224" w:rsidP="000974C4">
      <w:pPr>
        <w:pStyle w:val="SubmissionNormal"/>
        <w:numPr>
          <w:ilvl w:val="0"/>
          <w:numId w:val="41"/>
        </w:numPr>
        <w:ind w:hanging="709"/>
      </w:pPr>
      <w:r w:rsidRPr="006C11CE">
        <w:t xml:space="preserve">The </w:t>
      </w:r>
      <w:r w:rsidRPr="006C11CE">
        <w:rPr>
          <w:i/>
        </w:rPr>
        <w:t>NTER Evaluation Report</w:t>
      </w:r>
      <w:r w:rsidRPr="006C11CE">
        <w:t xml:space="preserve"> reported that there has been no observable improvement in school attendance rates between 2006 and 2010. Further, there </w:t>
      </w:r>
      <w:r w:rsidR="00F97665">
        <w:t>was</w:t>
      </w:r>
      <w:r w:rsidRPr="006C11CE">
        <w:t xml:space="preserve"> a decline in attendance rates in 2010.</w:t>
      </w:r>
      <w:r w:rsidRPr="00D322CD">
        <w:rPr>
          <w:sz w:val="20"/>
          <w:szCs w:val="20"/>
          <w:vertAlign w:val="superscript"/>
        </w:rPr>
        <w:endnoteReference w:id="92"/>
      </w:r>
      <w:r>
        <w:t xml:space="preserve"> </w:t>
      </w:r>
    </w:p>
    <w:p w14:paraId="6D4743E3" w14:textId="77777777" w:rsidR="00821224" w:rsidRDefault="00821224" w:rsidP="000974C4">
      <w:pPr>
        <w:pStyle w:val="SubmissionNormal"/>
        <w:numPr>
          <w:ilvl w:val="0"/>
          <w:numId w:val="41"/>
        </w:numPr>
        <w:ind w:hanging="709"/>
      </w:pPr>
      <w:r>
        <w:t>There is a need to prioritise measures to improve outcomes for Aboriginal children in education, particularly if we are to meet proposed targets to close the gap within the next generation. The Commission notes that the Australian Government has introduced a range of measures in recent years to increase Indigenous attendance and participation in schooling.</w:t>
      </w:r>
    </w:p>
    <w:p w14:paraId="6204554C" w14:textId="1F920AC2" w:rsidR="00821224" w:rsidRPr="006431C9" w:rsidRDefault="00821224" w:rsidP="000974C4">
      <w:pPr>
        <w:pStyle w:val="SubmissionNormal"/>
        <w:numPr>
          <w:ilvl w:val="0"/>
          <w:numId w:val="41"/>
        </w:numPr>
        <w:ind w:hanging="709"/>
      </w:pPr>
      <w:r w:rsidRPr="006431C9">
        <w:t xml:space="preserve">For some time, though, concern has been expressed that infrastructure to deliver education in Aboriginal communities has been </w:t>
      </w:r>
      <w:r w:rsidR="002716F4">
        <w:t xml:space="preserve">seriously </w:t>
      </w:r>
      <w:r w:rsidRPr="006431C9">
        <w:t xml:space="preserve">inadequate and that the Northern Territory government has not directed sufficient funding into this purpose (despite the receipt of additional funding through special purpose payments and the formulas applied by the Commonwealth Grants Commission that provide a greater funding weight for addressing Indigenous disadvantage and remoteness). As was noted in the </w:t>
      </w:r>
      <w:r w:rsidRPr="004D2822">
        <w:rPr>
          <w:i/>
        </w:rPr>
        <w:t>Social Justice Report 2008,</w:t>
      </w:r>
      <w:r w:rsidRPr="006431C9">
        <w:t xml:space="preserve"> information about the level of services and facilities of schools in remote Aboriginal communities in the Northern Territory is notoriously lacking.</w:t>
      </w:r>
      <w:r w:rsidRPr="006431C9">
        <w:rPr>
          <w:rStyle w:val="EndnoteReference"/>
        </w:rPr>
        <w:endnoteReference w:id="93"/>
      </w:r>
      <w:r w:rsidRPr="006431C9">
        <w:t xml:space="preserve"> This mitigates against appropriate planning which would ensure that adequate resources are allocated for schooling facilities. </w:t>
      </w:r>
    </w:p>
    <w:p w14:paraId="5B492BEF" w14:textId="77777777" w:rsidR="00821224" w:rsidRDefault="00821224" w:rsidP="000974C4">
      <w:pPr>
        <w:pStyle w:val="SubmissionNormal"/>
        <w:numPr>
          <w:ilvl w:val="0"/>
          <w:numId w:val="41"/>
        </w:numPr>
        <w:ind w:hanging="709"/>
      </w:pPr>
      <w:r>
        <w:t xml:space="preserve">It is known that issues that contribute to improved attendance include: </w:t>
      </w:r>
    </w:p>
    <w:p w14:paraId="21275C2C" w14:textId="3F63B8AF" w:rsidR="00821224" w:rsidRDefault="00821224" w:rsidP="000974C4">
      <w:pPr>
        <w:pStyle w:val="SubmissionNormal"/>
        <w:numPr>
          <w:ilvl w:val="0"/>
          <w:numId w:val="36"/>
        </w:numPr>
      </w:pPr>
      <w:r>
        <w:t>Cultural appropriateness of the school setting – including through</w:t>
      </w:r>
      <w:r w:rsidR="00F97665">
        <w:t xml:space="preserve"> the involvement of</w:t>
      </w:r>
      <w:r>
        <w:t xml:space="preserve"> Aboriginal teaching personnel, parents and community members in all aspects of the schooling process from initial planning to implementation and delivery of programs; recognising the importance of Indigenous discourse.</w:t>
      </w:r>
      <w:r>
        <w:rPr>
          <w:rStyle w:val="EndnoteReference"/>
        </w:rPr>
        <w:endnoteReference w:id="94"/>
      </w:r>
    </w:p>
    <w:p w14:paraId="7E07D07C" w14:textId="77777777" w:rsidR="00821224" w:rsidRPr="00B851CB" w:rsidRDefault="00821224" w:rsidP="000974C4">
      <w:pPr>
        <w:pStyle w:val="SubmissionNormal"/>
        <w:numPr>
          <w:ilvl w:val="0"/>
          <w:numId w:val="36"/>
        </w:numPr>
      </w:pPr>
      <w:r>
        <w:t>S</w:t>
      </w:r>
      <w:r w:rsidRPr="006C11CE">
        <w:t>upportive ‘culture’ in the school that actively addresses bullying and harassment of Indigenous students.</w:t>
      </w:r>
      <w:r w:rsidRPr="00D322CD">
        <w:rPr>
          <w:sz w:val="20"/>
          <w:szCs w:val="20"/>
          <w:vertAlign w:val="superscript"/>
        </w:rPr>
        <w:endnoteReference w:id="95"/>
      </w:r>
    </w:p>
    <w:p w14:paraId="0CD61059" w14:textId="6FB0F3BA" w:rsidR="00821224" w:rsidRPr="001A4AF0" w:rsidRDefault="00821224" w:rsidP="000974C4">
      <w:pPr>
        <w:pStyle w:val="SubmissionNormal"/>
        <w:numPr>
          <w:ilvl w:val="0"/>
          <w:numId w:val="36"/>
        </w:numPr>
        <w:rPr>
          <w:rFonts w:cs="Arial"/>
        </w:rPr>
      </w:pPr>
      <w:r w:rsidRPr="001A4AF0">
        <w:rPr>
          <w:rFonts w:cs="Arial"/>
        </w:rPr>
        <w:t xml:space="preserve">Sport and motivational techniques - </w:t>
      </w:r>
      <w:r>
        <w:rPr>
          <w:rFonts w:cs="Arial"/>
        </w:rPr>
        <w:t>f</w:t>
      </w:r>
      <w:r w:rsidRPr="001A4AF0">
        <w:rPr>
          <w:rFonts w:cs="Arial"/>
        </w:rPr>
        <w:t>or example, the Clontarf program in Alice Springs has increased attendance rates up to 92% by using sport and motivational techniques to motivate students to stay at school. Other success stories include Cherbourg in Queensland, as well as Yir</w:t>
      </w:r>
      <w:r w:rsidR="00F97665">
        <w:rPr>
          <w:rFonts w:cs="Arial"/>
        </w:rPr>
        <w:t>r</w:t>
      </w:r>
      <w:r w:rsidRPr="001A4AF0">
        <w:rPr>
          <w:rFonts w:cs="Arial"/>
        </w:rPr>
        <w:t>kala, Yipirinya and Barunga in the Northern Territory.</w:t>
      </w:r>
      <w:r w:rsidRPr="006D7C60">
        <w:rPr>
          <w:rStyle w:val="EndnoteReference"/>
          <w:rFonts w:cs="Arial"/>
        </w:rPr>
        <w:endnoteReference w:id="96"/>
      </w:r>
    </w:p>
    <w:p w14:paraId="0B3DDE02" w14:textId="77777777" w:rsidR="00821224" w:rsidRDefault="00821224" w:rsidP="000974C4">
      <w:pPr>
        <w:pStyle w:val="SubmissionNormal"/>
        <w:numPr>
          <w:ilvl w:val="0"/>
          <w:numId w:val="36"/>
        </w:numPr>
      </w:pPr>
      <w:r>
        <w:t>High quality</w:t>
      </w:r>
      <w:r w:rsidRPr="006C11CE">
        <w:t xml:space="preserve"> teachers who create a stimulating learning env</w:t>
      </w:r>
      <w:r>
        <w:t>ironment in the classroom.</w:t>
      </w:r>
      <w:r w:rsidRPr="00D322CD">
        <w:rPr>
          <w:sz w:val="20"/>
          <w:szCs w:val="20"/>
          <w:vertAlign w:val="superscript"/>
        </w:rPr>
        <w:endnoteReference w:id="97"/>
      </w:r>
    </w:p>
    <w:p w14:paraId="5F7AA4A1" w14:textId="77777777" w:rsidR="00821224" w:rsidRDefault="00821224" w:rsidP="000974C4">
      <w:pPr>
        <w:pStyle w:val="SubmissionNormal"/>
        <w:numPr>
          <w:ilvl w:val="0"/>
          <w:numId w:val="41"/>
        </w:numPr>
        <w:ind w:hanging="709"/>
      </w:pPr>
      <w:r w:rsidRPr="006C11CE">
        <w:t xml:space="preserve">Research has </w:t>
      </w:r>
      <w:r>
        <w:t xml:space="preserve">also </w:t>
      </w:r>
      <w:r w:rsidRPr="006C11CE">
        <w:t xml:space="preserve">stressed the importance of taking a holistic, long term approach to attendance, addressing issues at all levels including at school, at home and within the community. </w:t>
      </w:r>
      <w:r>
        <w:t xml:space="preserve">It is critical that such measures continue to </w:t>
      </w:r>
      <w:r>
        <w:lastRenderedPageBreak/>
        <w:t xml:space="preserve">be the primary focus of government effort if we are to see lasting improvements in schooling outcomes. </w:t>
      </w:r>
    </w:p>
    <w:p w14:paraId="7F0A8D46" w14:textId="77777777" w:rsidR="00821224" w:rsidRPr="006C11CE" w:rsidRDefault="00821224" w:rsidP="00BC42EA">
      <w:pPr>
        <w:pStyle w:val="Heading3"/>
      </w:pPr>
      <w:bookmarkStart w:id="121" w:name="_Toc315865086"/>
      <w:bookmarkStart w:id="122" w:name="_Toc316042369"/>
      <w:r w:rsidRPr="006C11CE">
        <w:t>The Commission’s view on SEAM</w:t>
      </w:r>
      <w:bookmarkEnd w:id="121"/>
      <w:bookmarkEnd w:id="122"/>
    </w:p>
    <w:p w14:paraId="52DABFFF" w14:textId="419E7FA9" w:rsidR="00821224" w:rsidRDefault="00821224" w:rsidP="000974C4">
      <w:pPr>
        <w:pStyle w:val="SubmissionNormal"/>
        <w:numPr>
          <w:ilvl w:val="0"/>
          <w:numId w:val="41"/>
        </w:numPr>
        <w:ind w:hanging="709"/>
      </w:pPr>
      <w:bookmarkStart w:id="123" w:name="_Toc314492812"/>
      <w:bookmarkStart w:id="124" w:name="_Toc314833588"/>
      <w:r>
        <w:t>The Commission is concerned that there has not yet been sufficient evidence to suggest that SEAM</w:t>
      </w:r>
      <w:r w:rsidR="002C7964">
        <w:t xml:space="preserve"> in its current form</w:t>
      </w:r>
      <w:r>
        <w:t xml:space="preserve"> is an effective approach to addressing issues of low school attendance, or that it is an appropriately targeted way of meeting the obligations of the government to ensure that all children receive a minimum level of education. </w:t>
      </w:r>
    </w:p>
    <w:p w14:paraId="2D04865C" w14:textId="77777777" w:rsidR="00821224" w:rsidRPr="006C11CE" w:rsidRDefault="00821224" w:rsidP="000974C4">
      <w:pPr>
        <w:pStyle w:val="SubmissionNormal"/>
        <w:numPr>
          <w:ilvl w:val="0"/>
          <w:numId w:val="41"/>
        </w:numPr>
        <w:ind w:hanging="709"/>
      </w:pPr>
      <w:r>
        <w:t>Notably, t</w:t>
      </w:r>
      <w:r w:rsidRPr="006C11CE">
        <w:t>he recently released evaluation of the SEAM trial for 2007−2009 found that ‘there was no demonstrable effect of SEAM on improving the attendance rates of SEAM children in 2009 and no changes in unauthorised absenteeism behaviour among SEAM children during 2007−2009’.</w:t>
      </w:r>
      <w:r w:rsidRPr="00D322CD">
        <w:rPr>
          <w:sz w:val="20"/>
          <w:szCs w:val="20"/>
          <w:vertAlign w:val="superscript"/>
        </w:rPr>
        <w:endnoteReference w:id="98"/>
      </w:r>
      <w:r w:rsidRPr="006C11CE">
        <w:t xml:space="preserve"> This is consistent with the trial in one school in Halls Creek, Western Australia, which found that linking payments to attendance found no increase in attendance as a result of the trial.</w:t>
      </w:r>
      <w:r w:rsidRPr="00D322CD">
        <w:rPr>
          <w:sz w:val="20"/>
          <w:szCs w:val="20"/>
          <w:vertAlign w:val="superscript"/>
        </w:rPr>
        <w:endnoteReference w:id="99"/>
      </w:r>
    </w:p>
    <w:p w14:paraId="21A34067" w14:textId="77777777" w:rsidR="00821224" w:rsidRPr="006C11CE" w:rsidRDefault="00821224" w:rsidP="000974C4">
      <w:pPr>
        <w:pStyle w:val="SubmissionNormal"/>
        <w:numPr>
          <w:ilvl w:val="0"/>
          <w:numId w:val="41"/>
        </w:numPr>
        <w:ind w:hanging="709"/>
      </w:pPr>
      <w:r w:rsidRPr="006C11CE">
        <w:t xml:space="preserve">The </w:t>
      </w:r>
      <w:r w:rsidRPr="006C11CE">
        <w:rPr>
          <w:i/>
        </w:rPr>
        <w:t>SEAM Evaluation Report</w:t>
      </w:r>
      <w:r w:rsidRPr="006C11CE">
        <w:t xml:space="preserve"> also found that:</w:t>
      </w:r>
    </w:p>
    <w:p w14:paraId="0EEA861D" w14:textId="77777777" w:rsidR="00821224" w:rsidRDefault="00821224" w:rsidP="001F7ADE">
      <w:pPr>
        <w:pStyle w:val="SubmissionNormal"/>
        <w:numPr>
          <w:ilvl w:val="0"/>
          <w:numId w:val="0"/>
        </w:numPr>
        <w:ind w:left="1440"/>
      </w:pPr>
      <w:r w:rsidRPr="006C11CE">
        <w:rPr>
          <w:sz w:val="22"/>
          <w:szCs w:val="22"/>
        </w:rPr>
        <w:t>School attendance was seen to be affected by many factors and barriers … Some of these were cultural obligations and issues, clan conflict and violence, transport issues, health problems and schooling languages. Tailored case management was considered to be the most critical factor in addressing issues behind school absenteeism</w:t>
      </w:r>
      <w:r w:rsidRPr="006C11CE">
        <w:t>.</w:t>
      </w:r>
      <w:r w:rsidRPr="00D322CD">
        <w:rPr>
          <w:sz w:val="20"/>
          <w:szCs w:val="20"/>
          <w:vertAlign w:val="superscript"/>
        </w:rPr>
        <w:endnoteReference w:id="100"/>
      </w:r>
    </w:p>
    <w:p w14:paraId="5627C014" w14:textId="7A3E0844" w:rsidR="00821224" w:rsidRDefault="00936D3A" w:rsidP="000974C4">
      <w:pPr>
        <w:pStyle w:val="SubmissionNormal"/>
        <w:numPr>
          <w:ilvl w:val="0"/>
          <w:numId w:val="41"/>
        </w:numPr>
        <w:ind w:hanging="709"/>
      </w:pPr>
      <w:r>
        <w:t>In the final stages of drafting the Government released a further evaluation report of SEAM for 2010.</w:t>
      </w:r>
      <w:r w:rsidR="005E78A0">
        <w:rPr>
          <w:rStyle w:val="EndnoteReference"/>
        </w:rPr>
        <w:endnoteReference w:id="101"/>
      </w:r>
      <w:r w:rsidR="005E78A0">
        <w:t xml:space="preserve"> While </w:t>
      </w:r>
      <w:r w:rsidR="003E16A4">
        <w:t>this report has suggested ‘SEAM is starting to have a positive impact on SEAM student attendance in both the NT and QLD…these results are tempered somewhat by evidence suggesting that a relapse after the compliance period is common, with an associated increase in unauthorised absences’.</w:t>
      </w:r>
      <w:r w:rsidR="003E16A4">
        <w:rPr>
          <w:rStyle w:val="EndnoteReference"/>
        </w:rPr>
        <w:endnoteReference w:id="102"/>
      </w:r>
      <w:r w:rsidR="003E16A4">
        <w:t xml:space="preserve"> </w:t>
      </w:r>
      <w:r>
        <w:t xml:space="preserve"> </w:t>
      </w:r>
      <w:r w:rsidR="00821224">
        <w:t xml:space="preserve"> </w:t>
      </w:r>
      <w:r w:rsidR="003E16A4">
        <w:t xml:space="preserve">Given the variations in </w:t>
      </w:r>
      <w:r w:rsidR="006130EF">
        <w:t>reports on SEAM’s effectiveness, the</w:t>
      </w:r>
      <w:r w:rsidR="00821224">
        <w:t xml:space="preserve"> program should continue to be subject to regular review </w:t>
      </w:r>
      <w:r w:rsidR="002C7964">
        <w:t xml:space="preserve">and revision </w:t>
      </w:r>
      <w:r w:rsidR="00821224">
        <w:t>to establish its efficacy as an approach over several years.</w:t>
      </w:r>
      <w:r w:rsidR="006130EF">
        <w:t xml:space="preserve"> At present there is still insufficient evidence to suggest the</w:t>
      </w:r>
      <w:r w:rsidR="00963311">
        <w:t xml:space="preserve"> welfare consequences in SEAM are</w:t>
      </w:r>
      <w:r w:rsidR="006130EF">
        <w:t xml:space="preserve"> an effective approach to improving school attendance.</w:t>
      </w:r>
    </w:p>
    <w:p w14:paraId="4E00AC49" w14:textId="77777777" w:rsidR="00821224" w:rsidRPr="006C11CE" w:rsidRDefault="00821224" w:rsidP="000974C4">
      <w:pPr>
        <w:pStyle w:val="SubmissionNormal"/>
        <w:numPr>
          <w:ilvl w:val="0"/>
          <w:numId w:val="41"/>
        </w:numPr>
        <w:ind w:hanging="709"/>
      </w:pPr>
      <w:r w:rsidRPr="006C11CE">
        <w:t xml:space="preserve">The Commission </w:t>
      </w:r>
      <w:bookmarkEnd w:id="123"/>
      <w:bookmarkEnd w:id="124"/>
      <w:r>
        <w:t>outlines the following concerns about how the SEAM process is set out in the Stronger Futures Bills.</w:t>
      </w:r>
      <w:r w:rsidRPr="006C11CE">
        <w:t xml:space="preserve"> </w:t>
      </w:r>
    </w:p>
    <w:p w14:paraId="0ADE5160" w14:textId="77777777" w:rsidR="00821224" w:rsidRPr="006C11CE" w:rsidRDefault="00821224" w:rsidP="00BC42EA">
      <w:pPr>
        <w:pStyle w:val="Heading4"/>
      </w:pPr>
      <w:bookmarkStart w:id="125" w:name="_Toc315865087"/>
      <w:r w:rsidRPr="006C11CE">
        <w:t>Suspension or cancellation of welfare payments</w:t>
      </w:r>
      <w:bookmarkEnd w:id="125"/>
    </w:p>
    <w:p w14:paraId="0DE49616" w14:textId="77777777" w:rsidR="00821224" w:rsidRPr="006C11CE" w:rsidRDefault="00821224" w:rsidP="000974C4">
      <w:pPr>
        <w:pStyle w:val="SubmissionNormal"/>
        <w:numPr>
          <w:ilvl w:val="0"/>
          <w:numId w:val="41"/>
        </w:numPr>
        <w:ind w:hanging="709"/>
      </w:pPr>
      <w:r w:rsidRPr="006C11CE">
        <w:t xml:space="preserve">The </w:t>
      </w:r>
      <w:r w:rsidRPr="006C11CE">
        <w:rPr>
          <w:i/>
        </w:rPr>
        <w:t xml:space="preserve">International Covenant on Economic, Social and Cultural Rights </w:t>
      </w:r>
      <w:r w:rsidRPr="006C11CE">
        <w:t>(ICESCR) recognises that everyone has the right to education and that primary education shall be compulsory.</w:t>
      </w:r>
      <w:r w:rsidRPr="00D322CD">
        <w:rPr>
          <w:sz w:val="20"/>
          <w:szCs w:val="20"/>
          <w:vertAlign w:val="superscript"/>
        </w:rPr>
        <w:endnoteReference w:id="103"/>
      </w:r>
      <w:r w:rsidRPr="006C11CE">
        <w:t xml:space="preserve"> The </w:t>
      </w:r>
      <w:r w:rsidRPr="006C11CE">
        <w:rPr>
          <w:i/>
        </w:rPr>
        <w:t>Convention on the Rights of the Child</w:t>
      </w:r>
      <w:r w:rsidRPr="006C11CE">
        <w:t xml:space="preserve"> (CRC) also requires State Parties to ‘take measures to encourage regular attendance at schools and the reduction of drop-out rates’.</w:t>
      </w:r>
      <w:r w:rsidRPr="00D322CD">
        <w:rPr>
          <w:sz w:val="20"/>
          <w:szCs w:val="20"/>
          <w:vertAlign w:val="superscript"/>
        </w:rPr>
        <w:endnoteReference w:id="104"/>
      </w:r>
      <w:r w:rsidRPr="006C11CE">
        <w:t xml:space="preserve"> </w:t>
      </w:r>
    </w:p>
    <w:p w14:paraId="155E850A" w14:textId="77777777" w:rsidR="00821224" w:rsidRPr="006C11CE" w:rsidRDefault="00821224" w:rsidP="000974C4">
      <w:pPr>
        <w:pStyle w:val="SubmissionNormal"/>
        <w:numPr>
          <w:ilvl w:val="0"/>
          <w:numId w:val="41"/>
        </w:numPr>
        <w:ind w:hanging="709"/>
      </w:pPr>
      <w:r w:rsidRPr="006C11CE">
        <w:t xml:space="preserve">The Commission agrees that measures must be implemented to improve attendance rates in order to realise the right to education. </w:t>
      </w:r>
      <w:r>
        <w:t xml:space="preserve">The question remains whether SEAM is an appropriate measure or whether it unduly </w:t>
      </w:r>
      <w:r>
        <w:lastRenderedPageBreak/>
        <w:t>diminishes related</w:t>
      </w:r>
      <w:r w:rsidRPr="006C11CE">
        <w:t xml:space="preserve"> rights of children and their families, </w:t>
      </w:r>
      <w:r>
        <w:t>such as a</w:t>
      </w:r>
      <w:r w:rsidRPr="006C11CE">
        <w:t xml:space="preserve"> child’s right to benefit from social security under Article 26 of the CRC.</w:t>
      </w:r>
      <w:r w:rsidRPr="00D322CD">
        <w:rPr>
          <w:sz w:val="20"/>
          <w:szCs w:val="20"/>
          <w:vertAlign w:val="superscript"/>
        </w:rPr>
        <w:endnoteReference w:id="105"/>
      </w:r>
      <w:r w:rsidRPr="006C11CE">
        <w:t xml:space="preserve"> </w:t>
      </w:r>
    </w:p>
    <w:p w14:paraId="66228934" w14:textId="77777777" w:rsidR="00821224" w:rsidRDefault="00821224" w:rsidP="000974C4">
      <w:pPr>
        <w:pStyle w:val="SubmissionNormal"/>
        <w:numPr>
          <w:ilvl w:val="0"/>
          <w:numId w:val="41"/>
        </w:numPr>
        <w:ind w:hanging="709"/>
      </w:pPr>
      <w:r w:rsidRPr="006C11CE">
        <w:t xml:space="preserve">In situations where welfare payments are suspended or cancelled, there is likely to be no income available for the period of the suspension, or in the case of the cancellation, for the period until a new application is completed. </w:t>
      </w:r>
      <w:r>
        <w:t>This will likely have a severe impact on the well-being of children.</w:t>
      </w:r>
    </w:p>
    <w:p w14:paraId="55F66F0C" w14:textId="77777777" w:rsidR="00821224" w:rsidRPr="006C11CE" w:rsidRDefault="00821224" w:rsidP="000974C4">
      <w:pPr>
        <w:pStyle w:val="SubmissionNormal"/>
        <w:numPr>
          <w:ilvl w:val="0"/>
          <w:numId w:val="41"/>
        </w:numPr>
        <w:ind w:hanging="709"/>
      </w:pPr>
      <w:r w:rsidRPr="006C11CE">
        <w:t>During this period children and families may not have the means to access necessary food, clothing, housing, and medical care. Denying the means to access these goods and services does not promote the best interests of the child nor protect the rights of the child, necessary for their development.</w:t>
      </w:r>
      <w:r w:rsidRPr="00D322CD">
        <w:rPr>
          <w:sz w:val="20"/>
          <w:szCs w:val="20"/>
          <w:vertAlign w:val="superscript"/>
        </w:rPr>
        <w:endnoteReference w:id="106"/>
      </w:r>
      <w:r w:rsidRPr="006C11CE">
        <w:t xml:space="preserve"> This can also further entrench problems of poverty, ill health and overcrowded housing in the fa</w:t>
      </w:r>
      <w:r>
        <w:t xml:space="preserve">mily, which </w:t>
      </w:r>
      <w:r w:rsidRPr="006C11CE">
        <w:t>research shows are factors that contribute to school absence.</w:t>
      </w:r>
      <w:r w:rsidRPr="00D322CD">
        <w:rPr>
          <w:sz w:val="20"/>
          <w:szCs w:val="20"/>
          <w:vertAlign w:val="superscript"/>
        </w:rPr>
        <w:endnoteReference w:id="107"/>
      </w:r>
      <w:r w:rsidRPr="006C11CE">
        <w:t xml:space="preserve"> </w:t>
      </w:r>
    </w:p>
    <w:p w14:paraId="6A0F136C" w14:textId="77777777" w:rsidR="00821224" w:rsidRDefault="00821224" w:rsidP="000974C4">
      <w:pPr>
        <w:pStyle w:val="SubmissionNormal"/>
        <w:numPr>
          <w:ilvl w:val="0"/>
          <w:numId w:val="41"/>
        </w:numPr>
        <w:ind w:hanging="709"/>
      </w:pPr>
      <w:r w:rsidRPr="006C11CE">
        <w:t xml:space="preserve">This approach may also have the unintended consequence of having a disproportionately negative impact on women. This may arise in the context of women still predominantly fulfilling the role of carer in many Australian families.  </w:t>
      </w:r>
    </w:p>
    <w:p w14:paraId="5F68FDEF" w14:textId="77777777" w:rsidR="00821224" w:rsidRDefault="00821224" w:rsidP="000974C4">
      <w:pPr>
        <w:pStyle w:val="SubmissionNormal"/>
        <w:numPr>
          <w:ilvl w:val="0"/>
          <w:numId w:val="41"/>
        </w:numPr>
        <w:ind w:hanging="709"/>
      </w:pPr>
      <w:r>
        <w:t>In addition, the current trial sites illustrates that SEAM’s initial application substantially affects Aboriginal and Torres Strait Islander children and families. Of the six identified trial sites in the Northern Territory, five of them are discrete Indigenous communities.  In the sixth site, Katherine, 23% of the population is Indigenous, of which 44% are under the age of 18 years.</w:t>
      </w:r>
      <w:r>
        <w:rPr>
          <w:sz w:val="20"/>
          <w:vertAlign w:val="superscript"/>
        </w:rPr>
        <w:endnoteReference w:id="108"/>
      </w:r>
      <w:r>
        <w:t xml:space="preserve"> </w:t>
      </w:r>
    </w:p>
    <w:p w14:paraId="59E2A2A6" w14:textId="6685148F" w:rsidR="00821224" w:rsidRDefault="00F97665" w:rsidP="00616521">
      <w:pPr>
        <w:pStyle w:val="SubmissionNormal"/>
        <w:numPr>
          <w:ilvl w:val="0"/>
          <w:numId w:val="41"/>
        </w:numPr>
        <w:ind w:hanging="709"/>
      </w:pPr>
      <w:r>
        <w:t>Contravention of t</w:t>
      </w:r>
      <w:r w:rsidR="00821224">
        <w:t>he ‘rights to equality before the law’ provision in s 10(1) of the RDA does not require that the relevant law, or an act authorised by that law, make a distinction based on race. Section 10(1) is directed at the ‘practical operation and effect’ of the impugned legislation and is ‘concerned not merely with matters of form but with matters of substance. Further, as noted above,</w:t>
      </w:r>
      <w:r w:rsidR="00F32EC7">
        <w:t xml:space="preserve"> </w:t>
      </w:r>
      <w:r w:rsidR="00821224" w:rsidRPr="003E08D6">
        <w:t>s</w:t>
      </w:r>
      <w:r w:rsidR="00821224">
        <w:t xml:space="preserve"> 9(1A) of the RDA prohibits indirect discrimination in the exercise of statutory discretion. </w:t>
      </w:r>
    </w:p>
    <w:p w14:paraId="66869890" w14:textId="77777777" w:rsidR="00821224" w:rsidRDefault="00821224" w:rsidP="00616521">
      <w:pPr>
        <w:pStyle w:val="SubmissionNormal"/>
        <w:numPr>
          <w:ilvl w:val="0"/>
          <w:numId w:val="41"/>
        </w:numPr>
        <w:ind w:hanging="709"/>
      </w:pPr>
      <w:r>
        <w:t>The Commission notes that the operation of SEAM is likely to have a substantial impact upon Aboriginal and Torres Strait Islander peoples as school attendance and enrolment is a more significant issue for Aboriginal and Torres Strait Islander peoples in these communities.</w:t>
      </w:r>
      <w:r>
        <w:rPr>
          <w:rStyle w:val="EndnoteReference"/>
        </w:rPr>
        <w:endnoteReference w:id="109"/>
      </w:r>
      <w:r>
        <w:t xml:space="preserve"> Aboriginal and Torres Strait Islander peoples may be more likely to be subject to SEAM and have their right to social security limited as a result.</w:t>
      </w:r>
      <w:r>
        <w:rPr>
          <w:sz w:val="20"/>
          <w:vertAlign w:val="superscript"/>
        </w:rPr>
        <w:endnoteReference w:id="110"/>
      </w:r>
    </w:p>
    <w:p w14:paraId="5497B97B" w14:textId="77777777" w:rsidR="00821224" w:rsidRPr="006C11CE" w:rsidRDefault="00821224" w:rsidP="000974C4">
      <w:pPr>
        <w:pStyle w:val="SubmissionNormal"/>
        <w:numPr>
          <w:ilvl w:val="0"/>
          <w:numId w:val="41"/>
        </w:numPr>
        <w:ind w:hanging="709"/>
      </w:pPr>
      <w:r>
        <w:t>The Commission therefore encourages ongoing monitoring and review of the practical operation and effect of SEAM to ensure that it does not apply in a racial discriminatory way.</w:t>
      </w:r>
    </w:p>
    <w:p w14:paraId="5BB39679" w14:textId="77777777" w:rsidR="00821224" w:rsidRPr="006C11CE" w:rsidRDefault="00821224" w:rsidP="000974C4">
      <w:pPr>
        <w:pStyle w:val="SubmissionNormal"/>
        <w:numPr>
          <w:ilvl w:val="0"/>
          <w:numId w:val="41"/>
        </w:numPr>
        <w:ind w:hanging="709"/>
      </w:pPr>
      <w:r>
        <w:t xml:space="preserve">The ICESCR has identified the following relevant factors in setting out key features of the right to social security. Where </w:t>
      </w:r>
      <w:r w:rsidRPr="006C11CE">
        <w:t xml:space="preserve">retrogressive measures </w:t>
      </w:r>
      <w:r>
        <w:t xml:space="preserve">are </w:t>
      </w:r>
      <w:r w:rsidRPr="006C11CE">
        <w:t xml:space="preserve">taken in relation to the right to social security (such as suspension or cancellation of welfare payments), the </w:t>
      </w:r>
      <w:r>
        <w:t>Government</w:t>
      </w:r>
      <w:r w:rsidRPr="006C11CE">
        <w:t xml:space="preserve"> has the burden of proving that they have been introduced after the most careful consideration of all alternatives and that they are duly justified by reference to the totality of the rights provided for the ICESCR in the context of the full use of the State party’s </w:t>
      </w:r>
      <w:r>
        <w:t xml:space="preserve">                </w:t>
      </w:r>
      <w:r w:rsidRPr="006C11CE">
        <w:lastRenderedPageBreak/>
        <w:t xml:space="preserve">maximum available resources. </w:t>
      </w:r>
      <w:r>
        <w:t>Factors for consideration in establishing this include whether</w:t>
      </w:r>
      <w:r w:rsidRPr="006C11CE">
        <w:t>:</w:t>
      </w:r>
    </w:p>
    <w:p w14:paraId="13A0844A" w14:textId="77777777" w:rsidR="00821224" w:rsidRPr="006C11CE" w:rsidRDefault="00821224" w:rsidP="000974C4">
      <w:pPr>
        <w:pStyle w:val="SubmissionNormal"/>
        <w:numPr>
          <w:ilvl w:val="0"/>
          <w:numId w:val="33"/>
        </w:numPr>
      </w:pPr>
      <w:r w:rsidRPr="006C11CE">
        <w:t>alternatives were comprehensively examined</w:t>
      </w:r>
    </w:p>
    <w:p w14:paraId="0FFFC6AE" w14:textId="77777777" w:rsidR="00821224" w:rsidRPr="006C11CE" w:rsidRDefault="00821224" w:rsidP="000974C4">
      <w:pPr>
        <w:pStyle w:val="SubmissionNormal"/>
        <w:numPr>
          <w:ilvl w:val="0"/>
          <w:numId w:val="33"/>
        </w:numPr>
      </w:pPr>
      <w:r w:rsidRPr="006C11CE">
        <w:t>there was genuine participation of affected groups in examining proposed measures and alternatives that threaten their existing human right to social security protections</w:t>
      </w:r>
    </w:p>
    <w:p w14:paraId="6275B2BD" w14:textId="77777777" w:rsidR="00821224" w:rsidRPr="006C11CE" w:rsidRDefault="00821224" w:rsidP="000974C4">
      <w:pPr>
        <w:pStyle w:val="SubmissionNormal"/>
        <w:numPr>
          <w:ilvl w:val="0"/>
          <w:numId w:val="33"/>
        </w:numPr>
      </w:pPr>
      <w:r w:rsidRPr="006C11CE">
        <w:t>the measures were directly or indirectly discriminatory</w:t>
      </w:r>
    </w:p>
    <w:p w14:paraId="5856D8F8" w14:textId="77777777" w:rsidR="00821224" w:rsidRPr="006C11CE" w:rsidRDefault="00821224" w:rsidP="000974C4">
      <w:pPr>
        <w:pStyle w:val="SubmissionNormal"/>
        <w:numPr>
          <w:ilvl w:val="0"/>
          <w:numId w:val="33"/>
        </w:numPr>
      </w:pPr>
      <w:r w:rsidRPr="006C11CE">
        <w:t>the measures will have a sustained impact on the realisation of the right to social security</w:t>
      </w:r>
    </w:p>
    <w:p w14:paraId="16CE99E8" w14:textId="77777777" w:rsidR="00821224" w:rsidRPr="006C11CE" w:rsidRDefault="00821224" w:rsidP="000974C4">
      <w:pPr>
        <w:pStyle w:val="SubmissionNormal"/>
        <w:numPr>
          <w:ilvl w:val="0"/>
          <w:numId w:val="33"/>
        </w:numPr>
      </w:pPr>
      <w:r w:rsidRPr="006C11CE">
        <w:t>the individual is deprived of access to the minimum essential level of social security unless all maximum available resources have been used</w:t>
      </w:r>
    </w:p>
    <w:p w14:paraId="0EF31DC5" w14:textId="77777777" w:rsidR="00821224" w:rsidRPr="006C11CE" w:rsidRDefault="00821224" w:rsidP="000974C4">
      <w:pPr>
        <w:pStyle w:val="SubmissionNormal"/>
        <w:numPr>
          <w:ilvl w:val="0"/>
          <w:numId w:val="33"/>
        </w:numPr>
      </w:pPr>
      <w:r w:rsidRPr="006C11CE">
        <w:t>review procedures at the national level have examined the reforms.</w:t>
      </w:r>
      <w:r w:rsidRPr="00D322CD">
        <w:rPr>
          <w:sz w:val="20"/>
          <w:szCs w:val="20"/>
          <w:vertAlign w:val="superscript"/>
        </w:rPr>
        <w:endnoteReference w:id="111"/>
      </w:r>
    </w:p>
    <w:p w14:paraId="1FC9C2CB" w14:textId="77777777" w:rsidR="00821224" w:rsidRPr="00414428" w:rsidRDefault="00821224" w:rsidP="002765AF">
      <w:pPr>
        <w:pStyle w:val="Heading4"/>
      </w:pPr>
      <w:bookmarkStart w:id="126" w:name="_Toc315865088"/>
      <w:r w:rsidRPr="00414428">
        <w:t>Community consultation</w:t>
      </w:r>
      <w:bookmarkEnd w:id="126"/>
    </w:p>
    <w:p w14:paraId="1A42B061" w14:textId="77777777" w:rsidR="00821224" w:rsidRDefault="00821224" w:rsidP="000974C4">
      <w:pPr>
        <w:pStyle w:val="SubmissionNormal"/>
        <w:numPr>
          <w:ilvl w:val="0"/>
          <w:numId w:val="41"/>
        </w:numPr>
        <w:ind w:hanging="709"/>
      </w:pPr>
      <w:r w:rsidRPr="006C11CE">
        <w:t>The Commission is not satisfied that there was meaningful participation of affected communities on the continuation of SEAM</w:t>
      </w:r>
      <w:r>
        <w:t xml:space="preserve"> or in exploring alternative options</w:t>
      </w:r>
      <w:r w:rsidRPr="006C11CE">
        <w:t xml:space="preserve">. </w:t>
      </w:r>
    </w:p>
    <w:p w14:paraId="0B75296C" w14:textId="77777777" w:rsidR="00821224" w:rsidRPr="006C11CE" w:rsidRDefault="00821224" w:rsidP="000974C4">
      <w:pPr>
        <w:pStyle w:val="SubmissionNormal"/>
        <w:numPr>
          <w:ilvl w:val="0"/>
          <w:numId w:val="41"/>
        </w:numPr>
        <w:ind w:hanging="709"/>
      </w:pPr>
      <w:r w:rsidRPr="006C11CE">
        <w:t xml:space="preserve">In particular the Commission queries whether complete information about SEAM and ‘linking school attendance to parents’ welfare payments’ was provided in an accessible way to communities. Both the detailed </w:t>
      </w:r>
      <w:r w:rsidRPr="006C11CE">
        <w:rPr>
          <w:i/>
        </w:rPr>
        <w:t xml:space="preserve">Stronger Futures Discussion Paper </w:t>
      </w:r>
      <w:r w:rsidRPr="006C11CE">
        <w:t>and the shorter version provided at community consultations fail to refer to the suspension or cancellation of welfare payments under SEAM as a consequence.</w:t>
      </w:r>
    </w:p>
    <w:p w14:paraId="28C2BFD8" w14:textId="77777777" w:rsidR="00821224" w:rsidRPr="006C11CE" w:rsidRDefault="00821224" w:rsidP="000974C4">
      <w:pPr>
        <w:pStyle w:val="SubmissionNormal"/>
        <w:numPr>
          <w:ilvl w:val="0"/>
          <w:numId w:val="41"/>
        </w:numPr>
        <w:ind w:hanging="709"/>
      </w:pPr>
      <w:r w:rsidRPr="006C11CE">
        <w:t xml:space="preserve">Further the </w:t>
      </w:r>
      <w:r w:rsidRPr="006C11CE">
        <w:rPr>
          <w:i/>
        </w:rPr>
        <w:t xml:space="preserve">Stronger Futures Discussion Paper </w:t>
      </w:r>
      <w:r w:rsidRPr="006C11CE">
        <w:t>outlined that ‘initial advice shows that [SEAM] is having a positive impact on parents ensuring their children are enrolled and regularly attending school’.</w:t>
      </w:r>
      <w:r w:rsidRPr="00D322CD">
        <w:rPr>
          <w:sz w:val="20"/>
          <w:szCs w:val="20"/>
          <w:vertAlign w:val="superscript"/>
        </w:rPr>
        <w:endnoteReference w:id="112"/>
      </w:r>
      <w:r w:rsidRPr="006C11CE">
        <w:t xml:space="preserve"> This information is inconsistent with the evaluation of SEAM recently released by the Government which suggests that SEAM has had no demonstrable effect on attendance rates.</w:t>
      </w:r>
      <w:r w:rsidRPr="00D322CD">
        <w:rPr>
          <w:sz w:val="20"/>
          <w:szCs w:val="20"/>
          <w:vertAlign w:val="superscript"/>
        </w:rPr>
        <w:endnoteReference w:id="113"/>
      </w:r>
    </w:p>
    <w:p w14:paraId="5246905E" w14:textId="6D16CDED" w:rsidR="00821224" w:rsidRPr="006C11CE" w:rsidRDefault="00821224" w:rsidP="000974C4">
      <w:pPr>
        <w:pStyle w:val="SubmissionNormal"/>
        <w:numPr>
          <w:ilvl w:val="0"/>
          <w:numId w:val="41"/>
        </w:numPr>
        <w:ind w:hanging="709"/>
      </w:pPr>
      <w:r w:rsidRPr="006C11CE">
        <w:t xml:space="preserve">The </w:t>
      </w:r>
      <w:r w:rsidRPr="006C11CE">
        <w:rPr>
          <w:i/>
        </w:rPr>
        <w:t>Stronger Futures Consultation Report</w:t>
      </w:r>
      <w:r w:rsidRPr="006C11CE">
        <w:t xml:space="preserve"> does not demonstrate overwhelming support for the SEAM program. The Government has suggested that during the consultations ‘[r]espondents commented relatively frequently that parents should have part of their welfare or Centrelink payments withheld or their payments reduced if they did not send their children to school’</w:t>
      </w:r>
      <w:r w:rsidRPr="00D322CD">
        <w:rPr>
          <w:sz w:val="20"/>
          <w:szCs w:val="20"/>
          <w:vertAlign w:val="superscript"/>
        </w:rPr>
        <w:endnoteReference w:id="114"/>
      </w:r>
      <w:r w:rsidRPr="006C11CE">
        <w:t xml:space="preserve"> and reports that there were a smaller number of comments expressing concern with this approach.</w:t>
      </w:r>
      <w:r w:rsidRPr="00D322CD">
        <w:rPr>
          <w:sz w:val="20"/>
          <w:szCs w:val="20"/>
          <w:vertAlign w:val="superscript"/>
        </w:rPr>
        <w:endnoteReference w:id="115"/>
      </w:r>
      <w:r w:rsidRPr="006C11CE">
        <w:t xml:space="preserve"> A Concerned Australians</w:t>
      </w:r>
      <w:r w:rsidR="00E06BC8">
        <w:t>’</w:t>
      </w:r>
      <w:r w:rsidRPr="006C11CE">
        <w:t xml:space="preserve"> </w:t>
      </w:r>
      <w:r w:rsidR="00E06BC8">
        <w:t>r</w:t>
      </w:r>
      <w:r w:rsidRPr="006C11CE">
        <w:t>eport suggests that there was not a sense that participants wanted school absenteeism solved by welfare cuts and fines.</w:t>
      </w:r>
      <w:r w:rsidRPr="00D322CD">
        <w:rPr>
          <w:sz w:val="20"/>
          <w:szCs w:val="20"/>
          <w:vertAlign w:val="superscript"/>
        </w:rPr>
        <w:endnoteReference w:id="116"/>
      </w:r>
    </w:p>
    <w:p w14:paraId="781D4A40" w14:textId="77777777" w:rsidR="00821224" w:rsidRPr="006C11CE" w:rsidRDefault="00821224" w:rsidP="000974C4">
      <w:pPr>
        <w:pStyle w:val="SubmissionNormal"/>
        <w:numPr>
          <w:ilvl w:val="0"/>
          <w:numId w:val="41"/>
        </w:numPr>
        <w:ind w:hanging="709"/>
      </w:pPr>
      <w:r w:rsidRPr="006C11CE">
        <w:t>The Governm</w:t>
      </w:r>
      <w:r>
        <w:t>ent also commented that</w:t>
      </w:r>
      <w:r w:rsidRPr="006C11CE">
        <w:t xml:space="preserve"> a range of factors were suggested in consultations as key factors in children not attending school. These included parental encouragement, housing, no high school in the community, length of stay of teachers, bullying and transport.</w:t>
      </w:r>
      <w:r w:rsidRPr="00D322CD">
        <w:rPr>
          <w:sz w:val="20"/>
          <w:szCs w:val="20"/>
          <w:vertAlign w:val="superscript"/>
        </w:rPr>
        <w:endnoteReference w:id="117"/>
      </w:r>
      <w:r w:rsidRPr="006C11CE">
        <w:t xml:space="preserve"> </w:t>
      </w:r>
    </w:p>
    <w:p w14:paraId="16B66CDE" w14:textId="7BA58EC9" w:rsidR="00821224" w:rsidRDefault="00821224" w:rsidP="000974C4">
      <w:pPr>
        <w:pStyle w:val="SubmissionNormal"/>
        <w:numPr>
          <w:ilvl w:val="0"/>
          <w:numId w:val="41"/>
        </w:numPr>
        <w:ind w:hanging="709"/>
      </w:pPr>
      <w:r w:rsidRPr="006C11CE">
        <w:lastRenderedPageBreak/>
        <w:t>Community members also made suggestions which highlighted the need to create a more culturally safe environment for Aboriginal children to attend school.  These included incorporating Indigenous culture in the school curriculum</w:t>
      </w:r>
      <w:r w:rsidRPr="00D322CD">
        <w:rPr>
          <w:sz w:val="20"/>
          <w:szCs w:val="20"/>
          <w:vertAlign w:val="superscript"/>
        </w:rPr>
        <w:endnoteReference w:id="118"/>
      </w:r>
      <w:r w:rsidRPr="00D322CD">
        <w:rPr>
          <w:sz w:val="20"/>
          <w:szCs w:val="20"/>
        </w:rPr>
        <w:t xml:space="preserve"> </w:t>
      </w:r>
      <w:r w:rsidRPr="006C11CE">
        <w:t>and the need for teachers to have cultural awareness training.</w:t>
      </w:r>
      <w:r w:rsidRPr="00D322CD">
        <w:rPr>
          <w:sz w:val="20"/>
          <w:szCs w:val="20"/>
          <w:vertAlign w:val="superscript"/>
        </w:rPr>
        <w:endnoteReference w:id="119"/>
      </w:r>
      <w:r w:rsidRPr="006C11CE">
        <w:t xml:space="preserve"> The Commission suggests that bilingual education in schools could be another option for nurturing this cultural</w:t>
      </w:r>
      <w:r w:rsidR="00504F86">
        <w:t>ly</w:t>
      </w:r>
      <w:r w:rsidRPr="006C11CE">
        <w:t xml:space="preserve"> supportive environment.</w:t>
      </w:r>
      <w:r w:rsidRPr="00D322CD">
        <w:rPr>
          <w:sz w:val="20"/>
          <w:szCs w:val="20"/>
          <w:vertAlign w:val="superscript"/>
        </w:rPr>
        <w:endnoteReference w:id="120"/>
      </w:r>
    </w:p>
    <w:p w14:paraId="6F7B3E9D" w14:textId="77777777" w:rsidR="00821224" w:rsidRPr="001B2726" w:rsidRDefault="00821224" w:rsidP="00E425E9">
      <w:pPr>
        <w:pStyle w:val="Heading3"/>
      </w:pPr>
      <w:bookmarkStart w:id="127" w:name="_Toc315865089"/>
      <w:bookmarkStart w:id="128" w:name="_Toc316042370"/>
      <w:r>
        <w:t>Ongoing engagement and participation of Aboriginal people in the SEAM program’s implementation</w:t>
      </w:r>
      <w:bookmarkEnd w:id="127"/>
      <w:bookmarkEnd w:id="128"/>
    </w:p>
    <w:p w14:paraId="661DEF30" w14:textId="77777777" w:rsidR="00821224" w:rsidRDefault="00821224" w:rsidP="000974C4">
      <w:pPr>
        <w:pStyle w:val="SubmissionNormal"/>
        <w:numPr>
          <w:ilvl w:val="0"/>
          <w:numId w:val="41"/>
        </w:numPr>
        <w:ind w:hanging="709"/>
      </w:pPr>
      <w:r>
        <w:t xml:space="preserve">Perhaps more significantly, the Commission is concerned that there is not sufficient involvement of Indigenous communities in the implementation of the SEAM process. Similar to the reasoning above in relation to income management, it is feasible that SEAM measures could be implemented through processes that are driven at the community level and with the consent of Aboriginal and Torres Strait Islander peoples. </w:t>
      </w:r>
    </w:p>
    <w:p w14:paraId="256E02D8" w14:textId="77777777" w:rsidR="00821224" w:rsidRDefault="00821224" w:rsidP="000974C4">
      <w:pPr>
        <w:pStyle w:val="SubmissionNormal"/>
        <w:numPr>
          <w:ilvl w:val="0"/>
          <w:numId w:val="41"/>
        </w:numPr>
        <w:ind w:hanging="709"/>
      </w:pPr>
      <w:r>
        <w:t>Modification of the scheme to ensure that the community is fully engaged in its implementation would go a long way to addressing concerns about its appropriateness from a human rights perspective. Such engagement should be required in the legislation. It could take a number of forms, such as a Family Responsibility Commission style approach as adopted in relation to welfare reforms in the Cape York region.</w:t>
      </w:r>
    </w:p>
    <w:p w14:paraId="086FDC5C" w14:textId="78620569" w:rsidR="00821224" w:rsidRPr="006C11CE" w:rsidRDefault="00821224" w:rsidP="000974C4">
      <w:pPr>
        <w:pStyle w:val="SubmissionNormal"/>
        <w:numPr>
          <w:ilvl w:val="0"/>
          <w:numId w:val="41"/>
        </w:numPr>
        <w:ind w:hanging="709"/>
      </w:pPr>
      <w:r>
        <w:t>The Commission does not have a preferred model and considers that should the SEAM program be extended, further consultation should be undertaken to explore community led options for its implementation</w:t>
      </w:r>
      <w:r w:rsidR="00EB21C1">
        <w:t>, which will reflect the local priorities and challenges of individual communities</w:t>
      </w:r>
      <w:r w:rsidR="00F32EC7">
        <w:t>.</w:t>
      </w:r>
    </w:p>
    <w:p w14:paraId="46655843" w14:textId="77777777" w:rsidR="00821224" w:rsidRPr="006C11CE" w:rsidRDefault="00821224" w:rsidP="000974C4">
      <w:pPr>
        <w:pStyle w:val="SubmissionNormal"/>
        <w:numPr>
          <w:ilvl w:val="0"/>
          <w:numId w:val="41"/>
        </w:numPr>
        <w:ind w:hanging="709"/>
      </w:pPr>
      <w:r w:rsidRPr="006C11CE">
        <w:t xml:space="preserve">The </w:t>
      </w:r>
      <w:r>
        <w:t xml:space="preserve">Commission notes that the </w:t>
      </w:r>
      <w:r w:rsidRPr="006C11CE">
        <w:t>proposed amendments to require parents to enter in</w:t>
      </w:r>
      <w:r>
        <w:t xml:space="preserve">to a school attendance plan may also </w:t>
      </w:r>
      <w:r w:rsidRPr="006C11CE">
        <w:t xml:space="preserve">provide an opportunity for better engagement between schools, parents and communities to help identify and address obstacles to school attendance. </w:t>
      </w:r>
    </w:p>
    <w:p w14:paraId="38F7EDF0" w14:textId="77777777" w:rsidR="00821224" w:rsidRPr="006C11CE" w:rsidRDefault="00821224" w:rsidP="000974C4">
      <w:pPr>
        <w:pStyle w:val="SubmissionNormal"/>
        <w:numPr>
          <w:ilvl w:val="0"/>
          <w:numId w:val="41"/>
        </w:numPr>
        <w:ind w:hanging="709"/>
      </w:pPr>
      <w:r w:rsidRPr="006C11CE">
        <w:t>Parents who are required to attend a school attendance conference may have previously had limited, or no, engagement with the school system. This interaction could present a potential power imbalance if not addressed. The school should consider options such as encouraging a supp</w:t>
      </w:r>
      <w:r>
        <w:t>ort person from the community to be</w:t>
      </w:r>
      <w:r w:rsidRPr="006C11CE">
        <w:t xml:space="preserve"> in attendance and interpreters should be provided where necessary and/or beneficial.</w:t>
      </w:r>
    </w:p>
    <w:p w14:paraId="1A6FE3BC" w14:textId="77777777" w:rsidR="00821224" w:rsidRPr="006C11CE" w:rsidRDefault="00821224" w:rsidP="000974C4">
      <w:pPr>
        <w:pStyle w:val="SubmissionNormal"/>
        <w:numPr>
          <w:ilvl w:val="0"/>
          <w:numId w:val="41"/>
        </w:numPr>
        <w:ind w:hanging="709"/>
      </w:pPr>
      <w:r w:rsidRPr="006C11CE">
        <w:t>School attendance plans should be developed in full consultation with the parents and child. This means a platform should be provided for the school and parents to identify the obstacles to school attendance and both the school and parents are aware of their responsibilities under the proposed plan. The plan should identify where the school and/or the Department can address specific issues to encourage the child’s attendance, not just the responsibilities of the parents.</w:t>
      </w:r>
    </w:p>
    <w:p w14:paraId="51806B14" w14:textId="77777777" w:rsidR="00821224" w:rsidRPr="006C11CE" w:rsidRDefault="00821224" w:rsidP="000974C4">
      <w:pPr>
        <w:pStyle w:val="SubmissionNormal"/>
        <w:numPr>
          <w:ilvl w:val="0"/>
          <w:numId w:val="41"/>
        </w:numPr>
        <w:ind w:hanging="709"/>
      </w:pPr>
      <w:r w:rsidRPr="006C11CE">
        <w:t xml:space="preserve">The school should provide information in an accessible way, including the consequences for failing to adhere to the plan. Aboriginal and Torres Strait Islander peoples must not be pressured into making a decision and adequate </w:t>
      </w:r>
      <w:r w:rsidRPr="006C11CE">
        <w:lastRenderedPageBreak/>
        <w:t>timeframes should be built into the process. This may mean multiple conferences are necessary for the parents to make a fully informed decision.</w:t>
      </w:r>
    </w:p>
    <w:p w14:paraId="4698B88E" w14:textId="77777777" w:rsidR="00821224" w:rsidRPr="006C11CE" w:rsidRDefault="00821224" w:rsidP="00E425E9">
      <w:pPr>
        <w:pStyle w:val="Heading3"/>
      </w:pPr>
      <w:bookmarkStart w:id="129" w:name="_Toc314492816"/>
      <w:bookmarkStart w:id="130" w:name="_Toc314151425"/>
      <w:bookmarkStart w:id="131" w:name="_Toc314833595"/>
      <w:bookmarkStart w:id="132" w:name="_Toc315865090"/>
      <w:bookmarkStart w:id="133" w:name="_Toc316042371"/>
      <w:r w:rsidRPr="006C11CE">
        <w:t>Drafting issues</w:t>
      </w:r>
      <w:bookmarkEnd w:id="129"/>
      <w:bookmarkEnd w:id="130"/>
      <w:bookmarkEnd w:id="131"/>
      <w:bookmarkEnd w:id="132"/>
      <w:bookmarkEnd w:id="133"/>
    </w:p>
    <w:p w14:paraId="6BECF4B4" w14:textId="77777777" w:rsidR="00821224" w:rsidRPr="006C11CE" w:rsidRDefault="00821224" w:rsidP="000974C4">
      <w:pPr>
        <w:pStyle w:val="SubmissionNormal"/>
        <w:numPr>
          <w:ilvl w:val="0"/>
          <w:numId w:val="41"/>
        </w:numPr>
        <w:ind w:hanging="709"/>
      </w:pPr>
      <w:r>
        <w:t xml:space="preserve">The Commission also provides the following proposals to further </w:t>
      </w:r>
      <w:r w:rsidRPr="006C11CE">
        <w:t xml:space="preserve">improve the drafting of the proposed SEAM provisions. </w:t>
      </w:r>
    </w:p>
    <w:p w14:paraId="7C74846A" w14:textId="77777777" w:rsidR="00821224" w:rsidRPr="006C11CE" w:rsidRDefault="00821224" w:rsidP="000974C4">
      <w:pPr>
        <w:pStyle w:val="SubmissionNormal"/>
        <w:numPr>
          <w:ilvl w:val="0"/>
          <w:numId w:val="41"/>
        </w:numPr>
        <w:ind w:hanging="709"/>
      </w:pPr>
      <w:r w:rsidRPr="006C11CE">
        <w:t>Proposed subsection 124A(2) of the SSA Act provides that the Commonwealth Minister for Indigenous Affairs (the Minister) may, by legislative instrument, specify a class of persons for the purpose of issuing conference and compliance notices. The Government anticipates that this person could be a school’s truancy officer ‘so that there is no need to involve other people responsible for the operation of a school in the giving of notices’.</w:t>
      </w:r>
      <w:r w:rsidRPr="00D322CD">
        <w:rPr>
          <w:sz w:val="20"/>
          <w:szCs w:val="20"/>
          <w:vertAlign w:val="superscript"/>
        </w:rPr>
        <w:endnoteReference w:id="121"/>
      </w:r>
      <w:r w:rsidRPr="00D322CD">
        <w:rPr>
          <w:sz w:val="20"/>
          <w:szCs w:val="20"/>
        </w:rPr>
        <w:t xml:space="preserve"> </w:t>
      </w:r>
    </w:p>
    <w:p w14:paraId="1D08CD6C" w14:textId="77777777" w:rsidR="00821224" w:rsidRPr="006C11CE" w:rsidRDefault="00821224" w:rsidP="000974C4">
      <w:pPr>
        <w:pStyle w:val="SubmissionNormal"/>
        <w:numPr>
          <w:ilvl w:val="0"/>
          <w:numId w:val="41"/>
        </w:numPr>
        <w:ind w:hanging="709"/>
      </w:pPr>
      <w:r w:rsidRPr="006C11CE">
        <w:t xml:space="preserve">As discussed above, failing to comply with a ‘compliance notice’ results in the suspension of a ‘schooling requirement payment’. Proposed s 124NE(1) of the SSA Act provides that a ‘schooling requirement payment is not payable to a schooling requirement person if the person fails to comply with a compliance notice’. Section 124F(2) says that if s 124NE(1) applies then the Secretary </w:t>
      </w:r>
      <w:r w:rsidRPr="006C11CE">
        <w:rPr>
          <w:i/>
        </w:rPr>
        <w:t xml:space="preserve">must </w:t>
      </w:r>
      <w:r w:rsidRPr="006C11CE">
        <w:t>determine that the payment is suspended or cancelled. The limited discretion available to the Secretary to determine that s 124NE(1) does not apply is only in the case where special circumstances apply.</w:t>
      </w:r>
      <w:r w:rsidRPr="00D322CD">
        <w:rPr>
          <w:sz w:val="20"/>
          <w:szCs w:val="20"/>
          <w:vertAlign w:val="superscript"/>
        </w:rPr>
        <w:endnoteReference w:id="122"/>
      </w:r>
      <w:r w:rsidRPr="006C11CE">
        <w:t xml:space="preserve"> </w:t>
      </w:r>
    </w:p>
    <w:p w14:paraId="75BD65E6" w14:textId="1EE6E7DF" w:rsidR="00821224" w:rsidRPr="006C11CE" w:rsidRDefault="00821224" w:rsidP="000974C4">
      <w:pPr>
        <w:pStyle w:val="SubmissionNormal"/>
        <w:numPr>
          <w:ilvl w:val="0"/>
          <w:numId w:val="41"/>
        </w:numPr>
        <w:ind w:hanging="709"/>
      </w:pPr>
      <w:r w:rsidRPr="006C11CE">
        <w:t xml:space="preserve">Effectively, in combination with s 124A(2), this gives decision-making power to a truancy officer regarding whether a welfare payment should be suspended as once he/she issues a compliance notice, suspension of payment automatically follows from non-compliance. This significant delegation of power is </w:t>
      </w:r>
      <w:r>
        <w:t>of concern</w:t>
      </w:r>
      <w:r w:rsidRPr="006C11CE">
        <w:t xml:space="preserve"> given the </w:t>
      </w:r>
      <w:r>
        <w:t xml:space="preserve">importance of the </w:t>
      </w:r>
      <w:r w:rsidRPr="006C11CE">
        <w:t>ramifications for the parent and family as a result of non-compliance. It is also concerning that the assessment to issue a compliance notice, which in turn may result in suspension, is not made by a Centrelink employee who possess</w:t>
      </w:r>
      <w:r w:rsidR="00E06BC8">
        <w:t>es</w:t>
      </w:r>
      <w:r w:rsidRPr="006C11CE">
        <w:t xml:space="preserve"> the necessary expertise and whose decisions are subject to review under the SSA Act.</w:t>
      </w:r>
    </w:p>
    <w:p w14:paraId="7DFB1533" w14:textId="77777777" w:rsidR="00821224" w:rsidRPr="006C11CE" w:rsidRDefault="00821224" w:rsidP="000974C4">
      <w:pPr>
        <w:pStyle w:val="SubmissionNormal"/>
        <w:numPr>
          <w:ilvl w:val="0"/>
          <w:numId w:val="41"/>
        </w:numPr>
        <w:ind w:hanging="709"/>
      </w:pPr>
      <w:r w:rsidRPr="006C11CE">
        <w:t xml:space="preserve">The Commission is further concerned that linking the suspension of a welfare payment to non-compliance with a compliance notice could penalise parents for simply failing to attend a conference or entering into a plan. The Commission notes that this suspension automatically follows a trivial act. </w:t>
      </w:r>
      <w:r>
        <w:t>The Commission is concerned that it is not specified in the Bills or accompanying documents that the suspension or cancellation of welfare payments is applied strictly as a ‘last resort’.</w:t>
      </w:r>
    </w:p>
    <w:p w14:paraId="24692E0E" w14:textId="77777777" w:rsidR="00821224" w:rsidRPr="006C11CE" w:rsidRDefault="00821224" w:rsidP="000974C4">
      <w:pPr>
        <w:pStyle w:val="SubmissionNormal"/>
        <w:numPr>
          <w:ilvl w:val="0"/>
          <w:numId w:val="41"/>
        </w:numPr>
        <w:ind w:hanging="709"/>
      </w:pPr>
      <w:r w:rsidRPr="006C11CE">
        <w:t>Finally, the Secretary may ‘reconsider’ a decision to suspend payment either on application or on his or her own initiative such as in cases where the person is complying with the plan.</w:t>
      </w:r>
      <w:r w:rsidRPr="00D322CD">
        <w:rPr>
          <w:sz w:val="20"/>
          <w:szCs w:val="20"/>
          <w:vertAlign w:val="superscript"/>
        </w:rPr>
        <w:endnoteReference w:id="123"/>
      </w:r>
      <w:r w:rsidRPr="006C11CE">
        <w:t xml:space="preserve"> A person may make such an application under s 129 of the SSA Act. The Commission notes that there are no specified timeframes in which the Secretary must ‘reconsider’ a decision on application, or timeframes within which any arrears are to be paid to the person. Given a family could be without support funds during this period, prompt response times are essential. </w:t>
      </w:r>
    </w:p>
    <w:p w14:paraId="7218918B" w14:textId="7048097A" w:rsidR="00821224" w:rsidRPr="006C11CE" w:rsidRDefault="00821224" w:rsidP="00E425E9">
      <w:pPr>
        <w:pStyle w:val="Heading3"/>
      </w:pPr>
      <w:bookmarkStart w:id="134" w:name="_Toc315865091"/>
      <w:bookmarkStart w:id="135" w:name="_Toc316042372"/>
      <w:r w:rsidRPr="006C11CE">
        <w:lastRenderedPageBreak/>
        <w:t>Recommendations</w:t>
      </w:r>
      <w:bookmarkEnd w:id="134"/>
      <w:bookmarkEnd w:id="135"/>
    </w:p>
    <w:p w14:paraId="3394861F" w14:textId="77777777" w:rsidR="00821224" w:rsidRPr="00456272" w:rsidRDefault="00821224" w:rsidP="000974C4">
      <w:pPr>
        <w:pStyle w:val="SubmissionNormal"/>
        <w:numPr>
          <w:ilvl w:val="0"/>
          <w:numId w:val="41"/>
        </w:numPr>
        <w:ind w:hanging="709"/>
      </w:pPr>
      <w:r w:rsidRPr="00456272">
        <w:t>The Commission recommends that the Government address the issue of school attendance through a rights-based and non-discriminatory approach which should include:</w:t>
      </w:r>
    </w:p>
    <w:p w14:paraId="63EA1A38" w14:textId="77777777" w:rsidR="00821224" w:rsidRPr="00456272" w:rsidRDefault="00821224" w:rsidP="000974C4">
      <w:pPr>
        <w:pStyle w:val="SubmissionNormal"/>
        <w:numPr>
          <w:ilvl w:val="0"/>
          <w:numId w:val="34"/>
        </w:numPr>
      </w:pPr>
      <w:r w:rsidRPr="00456272">
        <w:t>increasing the provision of education infrastructure and resources, particularly for Aboriginal and Torres Strait Islander communities in rural and remote areas</w:t>
      </w:r>
    </w:p>
    <w:p w14:paraId="26FCB0B6" w14:textId="77777777" w:rsidR="00821224" w:rsidRPr="00456272" w:rsidRDefault="00821224" w:rsidP="000974C4">
      <w:pPr>
        <w:pStyle w:val="SubmissionNormal"/>
        <w:numPr>
          <w:ilvl w:val="0"/>
          <w:numId w:val="34"/>
        </w:numPr>
      </w:pPr>
      <w:r w:rsidRPr="00456272">
        <w:t>increasing engagement with parents and communities</w:t>
      </w:r>
    </w:p>
    <w:p w14:paraId="4713EBD7" w14:textId="77777777" w:rsidR="00821224" w:rsidRPr="00456272" w:rsidRDefault="00821224" w:rsidP="000974C4">
      <w:pPr>
        <w:pStyle w:val="SubmissionNormal"/>
        <w:numPr>
          <w:ilvl w:val="0"/>
          <w:numId w:val="34"/>
        </w:numPr>
      </w:pPr>
      <w:r w:rsidRPr="00456272">
        <w:t>improving the quality of education, placing an emphasis on providing children with incentives to learn and developing methods of teaching that resonate with Aboriginal and Torres Strait Islander students</w:t>
      </w:r>
    </w:p>
    <w:p w14:paraId="624B7A02" w14:textId="77777777" w:rsidR="00821224" w:rsidRPr="00B748B2" w:rsidRDefault="00821224" w:rsidP="000974C4">
      <w:pPr>
        <w:pStyle w:val="SubmissionNormal"/>
        <w:numPr>
          <w:ilvl w:val="0"/>
          <w:numId w:val="34"/>
        </w:numPr>
        <w:rPr>
          <w:b/>
        </w:rPr>
      </w:pPr>
      <w:r w:rsidRPr="00456272">
        <w:t>supporting education programs that have proven to increase school attendance</w:t>
      </w:r>
      <w:r w:rsidRPr="00B748B2">
        <w:rPr>
          <w:b/>
        </w:rPr>
        <w:t xml:space="preserve"> [Recommendation no.</w:t>
      </w:r>
      <w:r w:rsidR="00281EBE">
        <w:rPr>
          <w:b/>
        </w:rPr>
        <w:t xml:space="preserve"> 11</w:t>
      </w:r>
      <w:r w:rsidRPr="00B748B2">
        <w:rPr>
          <w:b/>
        </w:rPr>
        <w:t>].</w:t>
      </w:r>
    </w:p>
    <w:p w14:paraId="049495F1" w14:textId="77777777" w:rsidR="00821224" w:rsidRPr="00BB7A3F" w:rsidRDefault="00821224" w:rsidP="000974C4">
      <w:pPr>
        <w:pStyle w:val="SubmissionNormal"/>
        <w:numPr>
          <w:ilvl w:val="0"/>
          <w:numId w:val="41"/>
        </w:numPr>
        <w:ind w:hanging="709"/>
        <w:rPr>
          <w:b/>
        </w:rPr>
      </w:pPr>
      <w:r w:rsidRPr="00456272">
        <w:t>The Commission recommends that Government Business Managers work with the Northern Territo</w:t>
      </w:r>
      <w:r>
        <w:t xml:space="preserve">ry Department of Education to conduct an </w:t>
      </w:r>
      <w:r w:rsidRPr="00456272">
        <w:t>audit of</w:t>
      </w:r>
      <w:r>
        <w:t xml:space="preserve"> and report on</w:t>
      </w:r>
      <w:r w:rsidRPr="00456272">
        <w:t xml:space="preserve"> schooling facilities in Aboriginal communities in the Northern Territory to ensure that there are adequate learning facilities for all Aboriginal children</w:t>
      </w:r>
      <w:r w:rsidRPr="00BB7A3F">
        <w:rPr>
          <w:b/>
        </w:rPr>
        <w:t xml:space="preserve"> [Recommendation no.</w:t>
      </w:r>
      <w:r w:rsidR="00281EBE">
        <w:rPr>
          <w:b/>
        </w:rPr>
        <w:t xml:space="preserve"> 12</w:t>
      </w:r>
      <w:r w:rsidRPr="00BB7A3F">
        <w:rPr>
          <w:b/>
        </w:rPr>
        <w:t>].</w:t>
      </w:r>
    </w:p>
    <w:p w14:paraId="5348F1A7" w14:textId="77777777" w:rsidR="00821224" w:rsidRPr="00BB7A3F" w:rsidRDefault="00821224" w:rsidP="000974C4">
      <w:pPr>
        <w:pStyle w:val="SubmissionNormal"/>
        <w:numPr>
          <w:ilvl w:val="0"/>
          <w:numId w:val="41"/>
        </w:numPr>
        <w:ind w:hanging="709"/>
        <w:rPr>
          <w:b/>
        </w:rPr>
      </w:pPr>
      <w:r w:rsidRPr="00456272">
        <w:t>The Commission recommends that if the SEAM program is to be extended, it must be altered to ensure the full participation of Aboriginal communities in its implementation. This should include provisions that require the Government to establish community advisory mechanisms for the implementation of the scheme, and to provide options for communities to voluntarily ‘opt</w:t>
      </w:r>
      <w:r>
        <w:t>-</w:t>
      </w:r>
      <w:r w:rsidRPr="00456272">
        <w:t>in’ to the scheme</w:t>
      </w:r>
      <w:r w:rsidRPr="00BB7A3F">
        <w:rPr>
          <w:b/>
        </w:rPr>
        <w:t xml:space="preserve"> [Recommendation no.</w:t>
      </w:r>
      <w:r w:rsidR="00281EBE">
        <w:rPr>
          <w:b/>
        </w:rPr>
        <w:t xml:space="preserve"> 13</w:t>
      </w:r>
      <w:r w:rsidRPr="00BB7A3F">
        <w:rPr>
          <w:b/>
        </w:rPr>
        <w:t xml:space="preserve">]. </w:t>
      </w:r>
    </w:p>
    <w:p w14:paraId="306B68DD" w14:textId="77777777" w:rsidR="00821224" w:rsidRPr="00456272" w:rsidRDefault="00821224" w:rsidP="000974C4">
      <w:pPr>
        <w:pStyle w:val="SubmissionNormal"/>
        <w:numPr>
          <w:ilvl w:val="0"/>
          <w:numId w:val="41"/>
        </w:numPr>
        <w:ind w:hanging="709"/>
      </w:pPr>
      <w:r w:rsidRPr="00456272">
        <w:t>If the Government retains the welfare consequence of SEAM, the Commission recommends that it should only be employed as a last resort. Further, the Commission recommends that the Social Security Legislation Amendment Bill 2011 (Cth) be amended:</w:t>
      </w:r>
    </w:p>
    <w:p w14:paraId="23A2ADEB" w14:textId="77777777" w:rsidR="00821224" w:rsidRPr="00456272" w:rsidRDefault="00821224" w:rsidP="000974C4">
      <w:pPr>
        <w:pStyle w:val="SubmissionNormal"/>
        <w:numPr>
          <w:ilvl w:val="0"/>
          <w:numId w:val="35"/>
        </w:numPr>
      </w:pPr>
      <w:r w:rsidRPr="00456272">
        <w:t>to remove proposed s 124A(2)</w:t>
      </w:r>
    </w:p>
    <w:p w14:paraId="32F6DCB9" w14:textId="77777777" w:rsidR="00821224" w:rsidRPr="00456272" w:rsidRDefault="00821224" w:rsidP="000974C4">
      <w:pPr>
        <w:pStyle w:val="SubmissionNormal"/>
        <w:numPr>
          <w:ilvl w:val="0"/>
          <w:numId w:val="35"/>
        </w:numPr>
      </w:pPr>
      <w:r w:rsidRPr="00456272">
        <w:t>to remove proposed ss 124ND(1)(a) and (b)</w:t>
      </w:r>
    </w:p>
    <w:p w14:paraId="437E8291" w14:textId="77777777" w:rsidR="00821224" w:rsidRPr="00456272" w:rsidRDefault="00821224" w:rsidP="000974C4">
      <w:pPr>
        <w:pStyle w:val="SubmissionNormal"/>
        <w:numPr>
          <w:ilvl w:val="0"/>
          <w:numId w:val="35"/>
        </w:numPr>
      </w:pPr>
      <w:r w:rsidRPr="00456272">
        <w:t xml:space="preserve">so that ss 124NE and 124NF afford a discretionary power to suspend or cancel a ‘schooling requirement payment’. In particular, these provisions should provide that on non-compliance with a compliance notice the school </w:t>
      </w:r>
      <w:r w:rsidRPr="00456272">
        <w:rPr>
          <w:i/>
        </w:rPr>
        <w:t>may</w:t>
      </w:r>
      <w:r w:rsidRPr="00456272">
        <w:t xml:space="preserve"> refer the matter to the Secretary for assessment by the Secretary as to whether to suspend or cancel a ‘schooling requirement payment’ in accordance with specified criteria </w:t>
      </w:r>
    </w:p>
    <w:p w14:paraId="6763DAF3" w14:textId="77777777" w:rsidR="00821224" w:rsidRPr="00456272" w:rsidRDefault="00821224" w:rsidP="000974C4">
      <w:pPr>
        <w:pStyle w:val="SubmissionNormal"/>
        <w:numPr>
          <w:ilvl w:val="0"/>
          <w:numId w:val="35"/>
        </w:numPr>
      </w:pPr>
      <w:r w:rsidRPr="00456272">
        <w:t>to provide that the Secretary, in making an assessment as to whether to suspend or cancel a ‘schooling requirement payment’, must give consideration to certain criteria, for example:</w:t>
      </w:r>
    </w:p>
    <w:p w14:paraId="7CD39A27" w14:textId="77777777" w:rsidR="00821224" w:rsidRPr="00456272" w:rsidRDefault="00821224" w:rsidP="000974C4">
      <w:pPr>
        <w:pStyle w:val="SubmissionNormal"/>
        <w:numPr>
          <w:ilvl w:val="1"/>
          <w:numId w:val="35"/>
        </w:numPr>
      </w:pPr>
      <w:r w:rsidRPr="00456272">
        <w:t>whether non-compliance is only of a trivial or technical nature</w:t>
      </w:r>
    </w:p>
    <w:p w14:paraId="5CCDD05D" w14:textId="77777777" w:rsidR="00821224" w:rsidRPr="00456272" w:rsidRDefault="00821224" w:rsidP="000974C4">
      <w:pPr>
        <w:pStyle w:val="SubmissionNormal"/>
        <w:numPr>
          <w:ilvl w:val="1"/>
          <w:numId w:val="35"/>
        </w:numPr>
      </w:pPr>
      <w:r w:rsidRPr="00456272">
        <w:lastRenderedPageBreak/>
        <w:t>the number of school attendance plans that have previously been entered into</w:t>
      </w:r>
    </w:p>
    <w:p w14:paraId="5EBF65E9" w14:textId="6E8ECA4E" w:rsidR="00821224" w:rsidRPr="00456272" w:rsidRDefault="00821224" w:rsidP="000974C4">
      <w:pPr>
        <w:pStyle w:val="SubmissionNormal"/>
        <w:numPr>
          <w:ilvl w:val="1"/>
          <w:numId w:val="35"/>
        </w:numPr>
      </w:pPr>
      <w:r w:rsidRPr="00456272">
        <w:t>whether case-management and Government assistance has been provided to the person to assist in addressing barriers to attendance</w:t>
      </w:r>
    </w:p>
    <w:p w14:paraId="308B0865" w14:textId="77777777" w:rsidR="00F32EC7" w:rsidRPr="00ED017C" w:rsidRDefault="00F32EC7" w:rsidP="00F32EC7">
      <w:pPr>
        <w:pStyle w:val="SubmissionNormal"/>
        <w:numPr>
          <w:ilvl w:val="1"/>
          <w:numId w:val="35"/>
        </w:numPr>
      </w:pPr>
      <w:r>
        <w:t>the extent to which the</w:t>
      </w:r>
      <w:r w:rsidRPr="00ED017C">
        <w:t xml:space="preserve"> suspension or cancellation </w:t>
      </w:r>
      <w:r>
        <w:t xml:space="preserve">will </w:t>
      </w:r>
      <w:r w:rsidRPr="00ED017C">
        <w:t>have a detrimental impact on the person and/or their family</w:t>
      </w:r>
    </w:p>
    <w:p w14:paraId="22B8E192" w14:textId="77777777" w:rsidR="00821224" w:rsidRPr="00456272" w:rsidRDefault="00821224" w:rsidP="000974C4">
      <w:pPr>
        <w:pStyle w:val="SubmissionNormal"/>
        <w:numPr>
          <w:ilvl w:val="1"/>
          <w:numId w:val="35"/>
        </w:numPr>
      </w:pPr>
      <w:r w:rsidRPr="00456272">
        <w:t>whether suspension or cancellation is likely to impact on the school attendance of the person’s child</w:t>
      </w:r>
    </w:p>
    <w:p w14:paraId="29B25D0E" w14:textId="77777777" w:rsidR="00821224" w:rsidRPr="00456272" w:rsidRDefault="00821224" w:rsidP="000974C4">
      <w:pPr>
        <w:pStyle w:val="SubmissionNormal"/>
        <w:numPr>
          <w:ilvl w:val="0"/>
          <w:numId w:val="35"/>
        </w:numPr>
      </w:pPr>
      <w:r w:rsidRPr="00456272">
        <w:t xml:space="preserve">to require the Secretary to ‘reconsider’ his or her decision regarding suspension or cancellation of a ‘schooling requirement payment’ within 7 days of receiving an application for review under s 129 of the </w:t>
      </w:r>
      <w:r w:rsidRPr="00456272">
        <w:rPr>
          <w:i/>
        </w:rPr>
        <w:t xml:space="preserve">Social Security (Administration) Act 1999 </w:t>
      </w:r>
      <w:r w:rsidRPr="00456272">
        <w:t>(Cth)</w:t>
      </w:r>
    </w:p>
    <w:p w14:paraId="3AA8B2B6" w14:textId="77777777" w:rsidR="00821224" w:rsidRPr="00162244" w:rsidRDefault="00821224" w:rsidP="000974C4">
      <w:pPr>
        <w:pStyle w:val="SubmissionNormal"/>
        <w:numPr>
          <w:ilvl w:val="0"/>
          <w:numId w:val="35"/>
        </w:numPr>
        <w:rPr>
          <w:b/>
        </w:rPr>
      </w:pPr>
      <w:r w:rsidRPr="00456272">
        <w:t xml:space="preserve">to require the arrears of a suspended ‘schooling requirement payment’ to be paid to the ‘schooling requirement person’ (under proposed s 124NG </w:t>
      </w:r>
      <w:r w:rsidRPr="00456272">
        <w:rPr>
          <w:i/>
        </w:rPr>
        <w:t xml:space="preserve">Social Security (Administration) Act 1999 </w:t>
      </w:r>
      <w:r w:rsidRPr="00456272">
        <w:t xml:space="preserve">(Cth)) within as short a time as is practicable, but no more than 14 days, following the Secretary’s decision under s 129 of the </w:t>
      </w:r>
      <w:r w:rsidRPr="00456272">
        <w:rPr>
          <w:i/>
        </w:rPr>
        <w:t xml:space="preserve">Social Security (Administration) Act 1999 </w:t>
      </w:r>
      <w:r w:rsidRPr="00456272">
        <w:t>(Cth)</w:t>
      </w:r>
      <w:r w:rsidRPr="00162244">
        <w:rPr>
          <w:b/>
        </w:rPr>
        <w:t xml:space="preserve"> [Recommendation no.</w:t>
      </w:r>
      <w:r w:rsidR="00281EBE">
        <w:rPr>
          <w:b/>
        </w:rPr>
        <w:t xml:space="preserve"> 14</w:t>
      </w:r>
      <w:r w:rsidRPr="00162244">
        <w:rPr>
          <w:b/>
        </w:rPr>
        <w:t>].</w:t>
      </w:r>
    </w:p>
    <w:p w14:paraId="74DCB4AC" w14:textId="77777777" w:rsidR="00821224" w:rsidRPr="00E425E9" w:rsidRDefault="00821224" w:rsidP="00E425E9">
      <w:pPr>
        <w:pStyle w:val="Heading1"/>
      </w:pPr>
      <w:bookmarkStart w:id="136" w:name="_TOC62247"/>
      <w:bookmarkStart w:id="137" w:name="_TOC78151"/>
      <w:bookmarkStart w:id="138" w:name="TOC314147477"/>
      <w:bookmarkStart w:id="139" w:name="_Toc314147477"/>
      <w:bookmarkStart w:id="140" w:name="_Toc314833597"/>
      <w:bookmarkStart w:id="141" w:name="_Toc315865092"/>
      <w:bookmarkStart w:id="142" w:name="_Toc316042373"/>
      <w:bookmarkEnd w:id="136"/>
      <w:bookmarkEnd w:id="137"/>
      <w:bookmarkEnd w:id="138"/>
      <w:r w:rsidRPr="00E425E9">
        <w:t>Tackling alcohol abuse</w:t>
      </w:r>
      <w:bookmarkEnd w:id="139"/>
      <w:bookmarkEnd w:id="140"/>
      <w:bookmarkEnd w:id="141"/>
      <w:bookmarkEnd w:id="142"/>
    </w:p>
    <w:p w14:paraId="520C3267" w14:textId="77777777" w:rsidR="00821224" w:rsidRDefault="00821224" w:rsidP="000974C4">
      <w:pPr>
        <w:pStyle w:val="SubmissionNormal"/>
        <w:numPr>
          <w:ilvl w:val="0"/>
          <w:numId w:val="41"/>
        </w:numPr>
        <w:ind w:hanging="709"/>
      </w:pPr>
      <w:r>
        <w:t>The Commission supports the Government’s aim of reducing alcohol-related harm in the Northern Territory. The Commission strongly urges the Government to adopt a holistic approach to addressing alcohol abuse as it is a complex multi-causal phenomenon that requires a comprehensive approach, including addressing the underlying social determinants.</w:t>
      </w:r>
    </w:p>
    <w:p w14:paraId="38F68670" w14:textId="77777777" w:rsidR="00821224" w:rsidRDefault="00821224" w:rsidP="000974C4">
      <w:pPr>
        <w:pStyle w:val="SubmissionNormal"/>
        <w:numPr>
          <w:ilvl w:val="0"/>
          <w:numId w:val="41"/>
        </w:numPr>
        <w:ind w:hanging="709"/>
      </w:pPr>
      <w:r>
        <w:t>The Commission notes that c</w:t>
      </w:r>
      <w:r w:rsidRPr="00C20E57">
        <w:t>ommunity control, adequate resourcing and comprehensive interventions are all key factors that facilitate effective alcohol abuse services</w:t>
      </w:r>
      <w:r>
        <w:t xml:space="preserve"> and harm reduction strategies</w:t>
      </w:r>
      <w:r w:rsidRPr="00C20E57">
        <w:t>.</w:t>
      </w:r>
      <w:r w:rsidRPr="00C20E57">
        <w:rPr>
          <w:sz w:val="20"/>
          <w:vertAlign w:val="superscript"/>
        </w:rPr>
        <w:endnoteReference w:id="124"/>
      </w:r>
      <w:r w:rsidRPr="00C20E57">
        <w:t xml:space="preserve"> Evidence indicates that interventions imposed without community control or culturally appropriate adaption a</w:t>
      </w:r>
      <w:r>
        <w:t>nd which stigmatise alcohol users</w:t>
      </w:r>
      <w:r w:rsidRPr="00C20E57">
        <w:t xml:space="preserve"> do not work and can be counter-productive.</w:t>
      </w:r>
      <w:r w:rsidRPr="00C20E57">
        <w:rPr>
          <w:sz w:val="20"/>
          <w:vertAlign w:val="superscript"/>
        </w:rPr>
        <w:endnoteReference w:id="125"/>
      </w:r>
    </w:p>
    <w:p w14:paraId="64905B8A" w14:textId="77777777" w:rsidR="00821224" w:rsidRDefault="00821224" w:rsidP="00F025F8">
      <w:pPr>
        <w:pStyle w:val="SubmissionNormal"/>
        <w:numPr>
          <w:ilvl w:val="0"/>
          <w:numId w:val="41"/>
        </w:numPr>
        <w:ind w:hanging="709"/>
      </w:pPr>
      <w:r>
        <w:t xml:space="preserve">Protecting individuals from alcohol-fuelled violence is a legitimate goal and is consistent with the right to security of person and protection by the State against bodily harm’ under Article 5(b) of the </w:t>
      </w:r>
      <w:r w:rsidRPr="00F025F8">
        <w:rPr>
          <w:i/>
        </w:rPr>
        <w:t>International Convention on the Elimination of all forms of Racial Discrimination</w:t>
      </w:r>
      <w:r w:rsidRPr="0091315C">
        <w:t xml:space="preserve"> </w:t>
      </w:r>
      <w:r>
        <w:t>(ICERD).</w:t>
      </w:r>
    </w:p>
    <w:p w14:paraId="60BF3FCC" w14:textId="14C97346" w:rsidR="00821224" w:rsidRPr="00EB0278" w:rsidRDefault="00821224" w:rsidP="00EB0278">
      <w:pPr>
        <w:pStyle w:val="SubmissionNormal"/>
        <w:numPr>
          <w:ilvl w:val="0"/>
          <w:numId w:val="41"/>
        </w:numPr>
        <w:ind w:hanging="709"/>
        <w:rPr>
          <w:rFonts w:ascii="GalliardStd-Italic" w:hAnsi="GalliardStd-Italic" w:cs="GalliardStd-Italic"/>
          <w:i/>
          <w:iCs/>
          <w:sz w:val="20"/>
          <w:szCs w:val="20"/>
        </w:rPr>
      </w:pPr>
      <w:r>
        <w:t>F</w:t>
      </w:r>
      <w:r w:rsidR="00F32EC7">
        <w:t xml:space="preserve">urther article 22(1) of the </w:t>
      </w:r>
      <w:r>
        <w:t xml:space="preserve">Declaration states that: </w:t>
      </w:r>
    </w:p>
    <w:p w14:paraId="23FF540C" w14:textId="77777777" w:rsidR="00821224" w:rsidRPr="007B0419" w:rsidRDefault="00821224" w:rsidP="00EB0278">
      <w:pPr>
        <w:pStyle w:val="SubmissionNormal"/>
        <w:numPr>
          <w:ilvl w:val="0"/>
          <w:numId w:val="0"/>
        </w:numPr>
        <w:ind w:left="1440"/>
        <w:rPr>
          <w:rFonts w:cs="Arial"/>
          <w:sz w:val="22"/>
          <w:szCs w:val="22"/>
        </w:rPr>
      </w:pPr>
      <w:r w:rsidRPr="00EB0278">
        <w:rPr>
          <w:sz w:val="22"/>
          <w:szCs w:val="22"/>
        </w:rPr>
        <w:t>Particular</w:t>
      </w:r>
      <w:r w:rsidRPr="007B0419">
        <w:rPr>
          <w:rFonts w:cs="Arial"/>
          <w:sz w:val="22"/>
          <w:szCs w:val="22"/>
        </w:rPr>
        <w:t xml:space="preserve"> attention shall be paid to the rights and special needs of indigenous elders, women, youth, children and persons with disabilities in the implementation of this Declaration. </w:t>
      </w:r>
    </w:p>
    <w:p w14:paraId="15480928" w14:textId="77777777" w:rsidR="00821224" w:rsidRDefault="00821224" w:rsidP="009178D7">
      <w:pPr>
        <w:pStyle w:val="SubmissionNormal"/>
        <w:numPr>
          <w:ilvl w:val="0"/>
          <w:numId w:val="41"/>
        </w:numPr>
        <w:ind w:hanging="709"/>
      </w:pPr>
      <w:r>
        <w:t xml:space="preserve">Importantly, however, article 22(2) of the Declaration states that such measures are to be taken </w:t>
      </w:r>
      <w:r w:rsidRPr="004A3AA8">
        <w:rPr>
          <w:i/>
        </w:rPr>
        <w:t>in conjunction with</w:t>
      </w:r>
      <w:r>
        <w:t xml:space="preserve"> Indigenous peoples. The measures to tackle alcohol abuse introduced by the 2007 NTER measures </w:t>
      </w:r>
      <w:r>
        <w:lastRenderedPageBreak/>
        <w:t xml:space="preserve">and continued by the Stronger Futures Bill restrict the possession and consumption of alcohol in communities overwhelmingly inhabited by Aboriginals. </w:t>
      </w:r>
    </w:p>
    <w:p w14:paraId="0794113C" w14:textId="77777777" w:rsidR="00821224" w:rsidRDefault="00821224" w:rsidP="00442113">
      <w:pPr>
        <w:pStyle w:val="SubmissionNormal"/>
        <w:numPr>
          <w:ilvl w:val="0"/>
          <w:numId w:val="41"/>
        </w:numPr>
        <w:ind w:hanging="709"/>
      </w:pPr>
      <w:r>
        <w:t>A recent Queensland Court of Appeal decision has found that similar legislative provisions in Queensland do not contravene s 10 of the RDA on the basis that no ‘right’ within the ambit of s 10 of the RDA was restricted by the impugned provisions. In the Commission’s view, the reasoning of the majority on the construction of s 10 and the identification of the relevant right is susceptible to challenge. The Commission prefers the view of McMurdo P in holding that the provisions restrict the ‘right to equal protection against discrimination from the practical effect of substantive law’.</w:t>
      </w:r>
      <w:r>
        <w:rPr>
          <w:rStyle w:val="EndnoteReference"/>
        </w:rPr>
        <w:endnoteReference w:id="126"/>
      </w:r>
      <w:r>
        <w:t xml:space="preserve"> </w:t>
      </w:r>
    </w:p>
    <w:p w14:paraId="5665EC22" w14:textId="77777777" w:rsidR="00821224" w:rsidRDefault="00821224" w:rsidP="00B77A67">
      <w:pPr>
        <w:pStyle w:val="SubmissionNormal"/>
        <w:numPr>
          <w:ilvl w:val="0"/>
          <w:numId w:val="41"/>
        </w:numPr>
        <w:ind w:hanging="709"/>
      </w:pPr>
      <w:r>
        <w:t xml:space="preserve">Further, in the Commission’s view legislative prohibitions on the possession and consumption of alcohol, that apply only in communities overwhelmingly inhabited by Aboriginals are inconsistent with the ‘guarantee of the right of everyone, without distinction as to race, to equality before the law’ protected by Article 5 of the ICERD. </w:t>
      </w:r>
    </w:p>
    <w:p w14:paraId="1F20BD2E" w14:textId="32707E4F" w:rsidR="00821224" w:rsidRDefault="00821224" w:rsidP="00C746F3">
      <w:pPr>
        <w:pStyle w:val="SubmissionNormal"/>
        <w:numPr>
          <w:ilvl w:val="0"/>
          <w:numId w:val="41"/>
        </w:numPr>
        <w:ind w:hanging="709"/>
      </w:pPr>
      <w:r>
        <w:t>The Commission also notes that where an action is intended to qualify as a ‘special measure’ under s 8 of the RDA,</w:t>
      </w:r>
      <w:r w:rsidR="00E06BC8">
        <w:t xml:space="preserve"> </w:t>
      </w:r>
      <w:r>
        <w:t xml:space="preserve">the wishes of the </w:t>
      </w:r>
      <w:r w:rsidRPr="00C746F3">
        <w:t>beneficiaries for the measure are of great importance (perhaps essential) in determining whether a measure is taken for the sole purpose of securing their advancement’.</w:t>
      </w:r>
      <w:r>
        <w:rPr>
          <w:rStyle w:val="EndnoteReference"/>
        </w:rPr>
        <w:endnoteReference w:id="127"/>
      </w:r>
    </w:p>
    <w:p w14:paraId="4606459B" w14:textId="3FFA01AE" w:rsidR="00821224" w:rsidRDefault="00821224" w:rsidP="000974C4">
      <w:pPr>
        <w:pStyle w:val="SubmissionNormal"/>
        <w:numPr>
          <w:ilvl w:val="0"/>
          <w:numId w:val="41"/>
        </w:numPr>
        <w:ind w:hanging="709"/>
      </w:pPr>
      <w:r>
        <w:t>In the Commission’s view, the consent of the affected group, or at least the beneficiaries, i</w:t>
      </w:r>
      <w:r w:rsidR="0021130A">
        <w:t>s of paramount concern where pun</w:t>
      </w:r>
      <w:r w:rsidR="0071275B">
        <w:t>i</w:t>
      </w:r>
      <w:r>
        <w:t xml:space="preserve">tive special measures operate by limiting certain rights of some, or all, of the affected group. </w:t>
      </w:r>
      <w:r>
        <w:rPr>
          <w:rStyle w:val="EndnoteReference"/>
        </w:rPr>
        <w:endnoteReference w:id="128"/>
      </w:r>
      <w:r>
        <w:t xml:space="preserve"> As Brennan J considered in </w:t>
      </w:r>
      <w:r>
        <w:rPr>
          <w:i/>
        </w:rPr>
        <w:t xml:space="preserve">Gerhardy v </w:t>
      </w:r>
      <w:r w:rsidRPr="00C60A8E">
        <w:rPr>
          <w:i/>
        </w:rPr>
        <w:t>Brown</w:t>
      </w:r>
      <w:r>
        <w:t>, ‘t</w:t>
      </w:r>
      <w:r w:rsidRPr="001E37D6">
        <w:t>he</w:t>
      </w:r>
      <w:r w:rsidRPr="006B196C">
        <w:t xml:space="preserve"> dignity of the beneficiaries is impaired and they are not advanced by having an unwanted material benefit foisted on them</w:t>
      </w:r>
      <w:r>
        <w:t>’.</w:t>
      </w:r>
      <w:r>
        <w:rPr>
          <w:rStyle w:val="EndnoteReference"/>
        </w:rPr>
        <w:endnoteReference w:id="129"/>
      </w:r>
      <w:r>
        <w:t xml:space="preserve"> </w:t>
      </w:r>
    </w:p>
    <w:p w14:paraId="79A9387A" w14:textId="77777777" w:rsidR="00821224" w:rsidRDefault="00821224" w:rsidP="000974C4">
      <w:pPr>
        <w:pStyle w:val="SubmissionNormal"/>
        <w:numPr>
          <w:ilvl w:val="0"/>
          <w:numId w:val="41"/>
        </w:numPr>
        <w:ind w:hanging="709"/>
      </w:pPr>
      <w:r>
        <w:t xml:space="preserve">Further, CERD Committee has interpreted ‘special measures’ under article 1(4) of the ICERD as requiring </w:t>
      </w:r>
      <w:r w:rsidRPr="004F2168">
        <w:t>that</w:t>
      </w:r>
      <w:r>
        <w:t xml:space="preserve"> they be</w:t>
      </w:r>
      <w:r w:rsidRPr="004F2168">
        <w:t xml:space="preserve"> designed and implemented on the</w:t>
      </w:r>
      <w:r>
        <w:t xml:space="preserve"> </w:t>
      </w:r>
      <w:r w:rsidRPr="004F2168">
        <w:t xml:space="preserve">basis of </w:t>
      </w:r>
      <w:r>
        <w:t>‘</w:t>
      </w:r>
      <w:r w:rsidRPr="004F2168">
        <w:t>prior consultation</w:t>
      </w:r>
      <w:r>
        <w:t>’</w:t>
      </w:r>
      <w:r w:rsidRPr="004F2168">
        <w:t xml:space="preserve"> with affected communities and the </w:t>
      </w:r>
      <w:r>
        <w:t>‘</w:t>
      </w:r>
      <w:r w:rsidRPr="004F2168">
        <w:t>active participation</w:t>
      </w:r>
      <w:r>
        <w:t>’</w:t>
      </w:r>
      <w:r w:rsidRPr="004F2168">
        <w:t xml:space="preserve"> of such</w:t>
      </w:r>
      <w:r>
        <w:t xml:space="preserve"> communities. </w:t>
      </w:r>
    </w:p>
    <w:p w14:paraId="6BE8931C" w14:textId="77777777" w:rsidR="00821224" w:rsidRDefault="00821224" w:rsidP="000974C4">
      <w:pPr>
        <w:pStyle w:val="SubmissionNormal"/>
        <w:numPr>
          <w:ilvl w:val="0"/>
          <w:numId w:val="41"/>
        </w:numPr>
        <w:ind w:hanging="709"/>
      </w:pPr>
      <w:r>
        <w:t>The Commission notes further that Article 19 of the Declaration states that:</w:t>
      </w:r>
    </w:p>
    <w:p w14:paraId="54607D80" w14:textId="77777777" w:rsidR="00821224" w:rsidRPr="00C60A8E" w:rsidRDefault="00821224" w:rsidP="00EB0278">
      <w:pPr>
        <w:pStyle w:val="SubmissionNormal"/>
        <w:numPr>
          <w:ilvl w:val="0"/>
          <w:numId w:val="0"/>
        </w:numPr>
        <w:ind w:left="1440"/>
        <w:rPr>
          <w:sz w:val="22"/>
          <w:szCs w:val="22"/>
        </w:rPr>
      </w:pPr>
      <w:r w:rsidRPr="00C60A8E">
        <w:rPr>
          <w:sz w:val="22"/>
          <w:szCs w:val="22"/>
        </w:rPr>
        <w:t xml:space="preserve">States shall consult and cooperate in good faith with the indigenous peoples </w:t>
      </w:r>
      <w:r w:rsidRPr="00EB0278">
        <w:rPr>
          <w:rFonts w:cs="Arial"/>
          <w:sz w:val="22"/>
          <w:szCs w:val="22"/>
        </w:rPr>
        <w:t>concerned</w:t>
      </w:r>
      <w:r w:rsidRPr="00C60A8E">
        <w:rPr>
          <w:sz w:val="22"/>
          <w:szCs w:val="22"/>
        </w:rPr>
        <w:t xml:space="preserve"> through their own representative institutions in order to obtain their free, prior and informed consent before adopting</w:t>
      </w:r>
      <w:r>
        <w:rPr>
          <w:sz w:val="22"/>
          <w:szCs w:val="22"/>
        </w:rPr>
        <w:t xml:space="preserve"> </w:t>
      </w:r>
      <w:r w:rsidRPr="00C60A8E">
        <w:rPr>
          <w:sz w:val="22"/>
          <w:szCs w:val="22"/>
        </w:rPr>
        <w:t>and implementing legislative or administrative measures that may affect them.</w:t>
      </w:r>
    </w:p>
    <w:p w14:paraId="14BB79BC" w14:textId="77777777" w:rsidR="00821224" w:rsidRDefault="00821224" w:rsidP="000974C4">
      <w:pPr>
        <w:pStyle w:val="SubmissionNormal"/>
        <w:numPr>
          <w:ilvl w:val="0"/>
          <w:numId w:val="41"/>
        </w:numPr>
        <w:ind w:hanging="709"/>
      </w:pPr>
      <w:r w:rsidRPr="00AB7C41">
        <w:t>Consequently</w:t>
      </w:r>
      <w:r>
        <w:rPr>
          <w:rFonts w:cs="Arial"/>
          <w:bCs/>
        </w:rPr>
        <w:t>, t</w:t>
      </w:r>
      <w:r w:rsidRPr="00BB5F31">
        <w:t>he Commission support</w:t>
      </w:r>
      <w:r>
        <w:t>s</w:t>
      </w:r>
      <w:r w:rsidRPr="00BB5F31">
        <w:t xml:space="preserve"> the introduction of alcohol restrictions </w:t>
      </w:r>
      <w:r>
        <w:t>to address the impact of alcohol abuse within communities where such restrictions have community support.</w:t>
      </w:r>
      <w:r>
        <w:rPr>
          <w:rStyle w:val="EndnoteReference"/>
        </w:rPr>
        <w:endnoteReference w:id="130"/>
      </w:r>
      <w:r>
        <w:t xml:space="preserve"> </w:t>
      </w:r>
    </w:p>
    <w:p w14:paraId="7739D9CA" w14:textId="77777777" w:rsidR="00821224" w:rsidRDefault="00821224" w:rsidP="000974C4">
      <w:pPr>
        <w:pStyle w:val="SubmissionNormal"/>
        <w:numPr>
          <w:ilvl w:val="0"/>
          <w:numId w:val="41"/>
        </w:numPr>
        <w:ind w:hanging="709"/>
      </w:pPr>
      <w:r>
        <w:t>The Commission is not convinced that the alcohol restrictions introduced as part of the 2007 NTER measures enjoyed a sufficient level of support within all of the communities affected. As stated above, the Commission is also concerned by the inadequacy of the consultations that occurred prior to introducing the Stronger Futures Bills into Parliament regarding the continuation of these measures.</w:t>
      </w:r>
    </w:p>
    <w:p w14:paraId="016518F1" w14:textId="77777777" w:rsidR="00821224" w:rsidRDefault="00821224" w:rsidP="000974C4">
      <w:pPr>
        <w:pStyle w:val="SubmissionNormal"/>
        <w:numPr>
          <w:ilvl w:val="0"/>
          <w:numId w:val="41"/>
        </w:numPr>
        <w:ind w:hanging="709"/>
      </w:pPr>
      <w:r>
        <w:lastRenderedPageBreak/>
        <w:t>The Commission has previously argued that the evidence indicates that blanket alcohol bans such as those imposed through the ‘prescribed area’ regime are not effective except when driven by communities.</w:t>
      </w:r>
      <w:r>
        <w:rPr>
          <w:rStyle w:val="EndnoteReference"/>
        </w:rPr>
        <w:endnoteReference w:id="131"/>
      </w:r>
      <w:r>
        <w:t xml:space="preserve"> Unintended consequences of blanket alcohol bans include:</w:t>
      </w:r>
    </w:p>
    <w:p w14:paraId="1E7A8116" w14:textId="77777777" w:rsidR="00821224" w:rsidRDefault="00821224" w:rsidP="000974C4">
      <w:pPr>
        <w:pStyle w:val="SubmissionNormal"/>
        <w:numPr>
          <w:ilvl w:val="0"/>
          <w:numId w:val="32"/>
        </w:numPr>
      </w:pPr>
      <w:r>
        <w:t>displacement from communities into larger towns where alcohol is available</w:t>
      </w:r>
    </w:p>
    <w:p w14:paraId="5CB6F0EC" w14:textId="77777777" w:rsidR="00821224" w:rsidRDefault="00821224" w:rsidP="000974C4">
      <w:pPr>
        <w:pStyle w:val="SubmissionNormal"/>
        <w:numPr>
          <w:ilvl w:val="0"/>
          <w:numId w:val="32"/>
        </w:numPr>
      </w:pPr>
      <w:r>
        <w:t>increased drinking in unsafe environments</w:t>
      </w:r>
    </w:p>
    <w:p w14:paraId="71458175" w14:textId="77777777" w:rsidR="00821224" w:rsidRDefault="00821224" w:rsidP="000974C4">
      <w:pPr>
        <w:pStyle w:val="SubmissionNormal"/>
        <w:numPr>
          <w:ilvl w:val="0"/>
          <w:numId w:val="32"/>
        </w:numPr>
      </w:pPr>
      <w:r>
        <w:t>criminalising behaviour that is not subject to criminalisation in non-prescribed areas.</w:t>
      </w:r>
      <w:r>
        <w:rPr>
          <w:rStyle w:val="EndnoteReference"/>
        </w:rPr>
        <w:endnoteReference w:id="132"/>
      </w:r>
      <w:r>
        <w:t xml:space="preserve"> </w:t>
      </w:r>
    </w:p>
    <w:p w14:paraId="1284676F" w14:textId="77777777" w:rsidR="00821224" w:rsidRPr="008E70C0" w:rsidRDefault="00821224" w:rsidP="000974C4">
      <w:pPr>
        <w:pStyle w:val="SubmissionNormal"/>
        <w:numPr>
          <w:ilvl w:val="0"/>
          <w:numId w:val="41"/>
        </w:numPr>
        <w:ind w:hanging="709"/>
      </w:pPr>
      <w:r w:rsidRPr="00E83D81">
        <w:t>The</w:t>
      </w:r>
      <w:r w:rsidRPr="008441FA">
        <w:t xml:space="preserve"> Commission </w:t>
      </w:r>
      <w:r>
        <w:t>also highlights</w:t>
      </w:r>
      <w:r w:rsidRPr="008441FA">
        <w:t xml:space="preserve"> the comparative success of community-based alcohol management plans over blanket alcohol bans.</w:t>
      </w:r>
      <w:r w:rsidRPr="00E36336">
        <w:rPr>
          <w:rStyle w:val="EndnoteReference"/>
        </w:rPr>
        <w:t xml:space="preserve"> </w:t>
      </w:r>
      <w:r>
        <w:rPr>
          <w:rStyle w:val="EndnoteReference"/>
        </w:rPr>
        <w:endnoteReference w:id="133"/>
      </w:r>
    </w:p>
    <w:p w14:paraId="7C80BF99" w14:textId="77777777" w:rsidR="00821224" w:rsidRPr="00C20E57" w:rsidRDefault="00821224" w:rsidP="000974C4">
      <w:pPr>
        <w:pStyle w:val="SubmissionNormal"/>
        <w:numPr>
          <w:ilvl w:val="0"/>
          <w:numId w:val="41"/>
        </w:numPr>
        <w:ind w:hanging="709"/>
      </w:pPr>
      <w:r w:rsidRPr="00C20E57">
        <w:t xml:space="preserve">Evidence indicates that effective ‘interventions’ </w:t>
      </w:r>
      <w:r>
        <w:t>to address alcohol abuse are</w:t>
      </w:r>
      <w:r w:rsidRPr="00C20E57">
        <w:t>:</w:t>
      </w:r>
    </w:p>
    <w:p w14:paraId="72434C36" w14:textId="77777777" w:rsidR="00821224" w:rsidRDefault="00821224" w:rsidP="000974C4">
      <w:pPr>
        <w:pStyle w:val="SubmissionNormal"/>
        <w:numPr>
          <w:ilvl w:val="0"/>
          <w:numId w:val="32"/>
        </w:numPr>
      </w:pPr>
      <w:r>
        <w:t xml:space="preserve">supported and </w:t>
      </w:r>
      <w:r w:rsidRPr="00C20E57">
        <w:t>controlled</w:t>
      </w:r>
      <w:r>
        <w:t xml:space="preserve"> by</w:t>
      </w:r>
      <w:r w:rsidRPr="00C20E57">
        <w:t xml:space="preserve"> </w:t>
      </w:r>
      <w:r>
        <w:t>affected communities</w:t>
      </w:r>
    </w:p>
    <w:p w14:paraId="1ACFA8BC" w14:textId="77777777" w:rsidR="00821224" w:rsidRDefault="00821224" w:rsidP="000974C4">
      <w:pPr>
        <w:pStyle w:val="SubmissionNormal"/>
        <w:numPr>
          <w:ilvl w:val="0"/>
          <w:numId w:val="32"/>
        </w:numPr>
      </w:pPr>
      <w:r>
        <w:t xml:space="preserve">designed and tailored to the specific needs of particular communities </w:t>
      </w:r>
      <w:r w:rsidRPr="00C20E57">
        <w:t>and subgroups within them</w:t>
      </w:r>
    </w:p>
    <w:p w14:paraId="2B88E42D" w14:textId="77777777" w:rsidR="00821224" w:rsidRDefault="00821224" w:rsidP="000974C4">
      <w:pPr>
        <w:pStyle w:val="SubmissionNormal"/>
        <w:numPr>
          <w:ilvl w:val="0"/>
          <w:numId w:val="32"/>
        </w:numPr>
      </w:pPr>
      <w:r w:rsidRPr="00C20E57">
        <w:t xml:space="preserve">culturally sensitive and appropriate </w:t>
      </w:r>
    </w:p>
    <w:p w14:paraId="3DA66ECF" w14:textId="77777777" w:rsidR="00821224" w:rsidRDefault="00821224" w:rsidP="000974C4">
      <w:pPr>
        <w:pStyle w:val="SubmissionNormal"/>
        <w:numPr>
          <w:ilvl w:val="0"/>
          <w:numId w:val="32"/>
        </w:numPr>
      </w:pPr>
      <w:r>
        <w:t xml:space="preserve">adequately </w:t>
      </w:r>
      <w:r w:rsidRPr="00C20E57">
        <w:t>resourc</w:t>
      </w:r>
      <w:r>
        <w:t>ed</w:t>
      </w:r>
      <w:r w:rsidRPr="00C20E57">
        <w:t xml:space="preserve"> and support</w:t>
      </w:r>
      <w:r>
        <w:t xml:space="preserve">ed, including to </w:t>
      </w:r>
      <w:r w:rsidRPr="00C20E57">
        <w:t>cater for clients with</w:t>
      </w:r>
      <w:r>
        <w:t xml:space="preserve"> complex needs</w:t>
      </w:r>
    </w:p>
    <w:p w14:paraId="34F5DA95" w14:textId="77777777" w:rsidR="00821224" w:rsidRDefault="00821224" w:rsidP="000974C4">
      <w:pPr>
        <w:pStyle w:val="SubmissionNormal"/>
        <w:numPr>
          <w:ilvl w:val="0"/>
          <w:numId w:val="32"/>
        </w:numPr>
      </w:pPr>
      <w:r>
        <w:t>provide a mix of</w:t>
      </w:r>
      <w:r w:rsidRPr="00C20E57">
        <w:t xml:space="preserve"> broad-based and substance specific services </w:t>
      </w:r>
    </w:p>
    <w:p w14:paraId="56CF68BC" w14:textId="77777777" w:rsidR="00821224" w:rsidRPr="00C20E57" w:rsidRDefault="00821224" w:rsidP="000974C4">
      <w:pPr>
        <w:pStyle w:val="SubmissionNormal"/>
        <w:numPr>
          <w:ilvl w:val="0"/>
          <w:numId w:val="32"/>
        </w:numPr>
      </w:pPr>
      <w:r w:rsidRPr="00C20E57">
        <w:t>planned</w:t>
      </w:r>
      <w:r>
        <w:t xml:space="preserve"> and</w:t>
      </w:r>
      <w:r w:rsidRPr="00C20E57">
        <w:t xml:space="preserve"> integrated</w:t>
      </w:r>
      <w:r>
        <w:t xml:space="preserve"> as a suite</w:t>
      </w:r>
      <w:r w:rsidRPr="00C20E57">
        <w:t xml:space="preserve"> of interventions.</w:t>
      </w:r>
      <w:r w:rsidRPr="00C20E57">
        <w:rPr>
          <w:sz w:val="20"/>
          <w:vertAlign w:val="superscript"/>
        </w:rPr>
        <w:endnoteReference w:id="134"/>
      </w:r>
    </w:p>
    <w:p w14:paraId="6DF1CFA2" w14:textId="77777777" w:rsidR="00821224" w:rsidRPr="009344B5" w:rsidRDefault="00821224" w:rsidP="00861560">
      <w:pPr>
        <w:pStyle w:val="Heading3"/>
      </w:pPr>
      <w:bookmarkStart w:id="143" w:name="_Toc314147480"/>
      <w:bookmarkStart w:id="144" w:name="_Toc314833599"/>
      <w:bookmarkStart w:id="145" w:name="_Toc315692723"/>
      <w:bookmarkStart w:id="146" w:name="_Toc315865093"/>
      <w:bookmarkStart w:id="147" w:name="_Toc316042374"/>
      <w:r w:rsidRPr="009344B5">
        <w:t>Background and current measures</w:t>
      </w:r>
      <w:bookmarkEnd w:id="143"/>
      <w:bookmarkEnd w:id="144"/>
      <w:bookmarkEnd w:id="145"/>
      <w:bookmarkEnd w:id="146"/>
      <w:bookmarkEnd w:id="147"/>
    </w:p>
    <w:p w14:paraId="70B763CC" w14:textId="77777777" w:rsidR="00821224" w:rsidRDefault="00821224" w:rsidP="000974C4">
      <w:pPr>
        <w:pStyle w:val="SubmissionNormal"/>
        <w:numPr>
          <w:ilvl w:val="0"/>
          <w:numId w:val="41"/>
        </w:numPr>
        <w:ind w:hanging="709"/>
      </w:pPr>
      <w:r w:rsidRPr="00D47352">
        <w:t xml:space="preserve">The </w:t>
      </w:r>
      <w:r w:rsidRPr="00AB7C41">
        <w:t>original</w:t>
      </w:r>
      <w:r w:rsidRPr="00D47352">
        <w:t xml:space="preserve"> </w:t>
      </w:r>
      <w:r>
        <w:t xml:space="preserve">2007 </w:t>
      </w:r>
      <w:r w:rsidRPr="00D47352">
        <w:t xml:space="preserve">NTER measures issued a ban on drinking, possessing, supplying or transporting liquor in prescribed areas, but allowed for the continued operation of licensed premises and individual permits issued under the </w:t>
      </w:r>
      <w:r w:rsidRPr="00D47352">
        <w:rPr>
          <w:i/>
          <w:iCs/>
        </w:rPr>
        <w:t>Liquor Act</w:t>
      </w:r>
      <w:r w:rsidRPr="00D47352">
        <w:t xml:space="preserve"> </w:t>
      </w:r>
      <w:r>
        <w:t xml:space="preserve">(NT) (Liquor Act) </w:t>
      </w:r>
      <w:r w:rsidRPr="00D47352">
        <w:t>and for some recreational, tourism and commercial fishing activities.</w:t>
      </w:r>
      <w:r w:rsidRPr="00D47352">
        <w:rPr>
          <w:sz w:val="20"/>
          <w:vertAlign w:val="superscript"/>
        </w:rPr>
        <w:endnoteReference w:id="135"/>
      </w:r>
      <w:r w:rsidRPr="00D47352">
        <w:t xml:space="preserve"> </w:t>
      </w:r>
      <w:r>
        <w:t>The measures</w:t>
      </w:r>
      <w:r w:rsidRPr="00D47352">
        <w:t xml:space="preserve"> also</w:t>
      </w:r>
      <w:r>
        <w:t xml:space="preserve"> established mechanisms to</w:t>
      </w:r>
      <w:r w:rsidRPr="00D47352">
        <w:t xml:space="preserve"> monitor takeaway sales across the whole of the Northern Territory.</w:t>
      </w:r>
      <w:r w:rsidRPr="00D47352">
        <w:rPr>
          <w:sz w:val="20"/>
          <w:vertAlign w:val="superscript"/>
        </w:rPr>
        <w:endnoteReference w:id="136"/>
      </w:r>
      <w:r w:rsidRPr="00D47352">
        <w:t xml:space="preserve"> Under the </w:t>
      </w:r>
      <w:r>
        <w:t xml:space="preserve">original </w:t>
      </w:r>
      <w:r w:rsidRPr="00D47352">
        <w:t xml:space="preserve">NTER measures, road signs were erected in prescribed </w:t>
      </w:r>
      <w:r>
        <w:t>areas</w:t>
      </w:r>
      <w:r w:rsidRPr="00D47352">
        <w:t xml:space="preserve"> notifying the restrictions on alcohol and prohibited materials. Police were also provided with powers to enter private residences in prescribed areas as if they were public places</w:t>
      </w:r>
      <w:r>
        <w:t>. At the time, the Commission expressed concern that these measures would be ineffective because they undermined community control in addressing alcohol-related harm.</w:t>
      </w:r>
      <w:r>
        <w:rPr>
          <w:rStyle w:val="EndnoteReference"/>
        </w:rPr>
        <w:endnoteReference w:id="137"/>
      </w:r>
    </w:p>
    <w:p w14:paraId="467C8351" w14:textId="77777777" w:rsidR="00821224" w:rsidRDefault="00821224" w:rsidP="000974C4">
      <w:pPr>
        <w:pStyle w:val="SubmissionNormal"/>
        <w:numPr>
          <w:ilvl w:val="0"/>
          <w:numId w:val="41"/>
        </w:numPr>
        <w:ind w:hanging="709"/>
      </w:pPr>
      <w:r>
        <w:t>The 2010 NTER redesign measures made a number of amendments to the operation of the alcohol measures.</w:t>
      </w:r>
      <w:r>
        <w:rPr>
          <w:rStyle w:val="EndnoteReference"/>
        </w:rPr>
        <w:endnoteReference w:id="138"/>
      </w:r>
      <w:r>
        <w:t xml:space="preserve"> The Commission welcomed aspects of the redesigned measures including:</w:t>
      </w:r>
    </w:p>
    <w:p w14:paraId="31C69E28" w14:textId="77777777" w:rsidR="00821224" w:rsidRDefault="00821224" w:rsidP="000974C4">
      <w:pPr>
        <w:pStyle w:val="SubmissionNormal"/>
        <w:numPr>
          <w:ilvl w:val="0"/>
          <w:numId w:val="32"/>
        </w:numPr>
      </w:pPr>
      <w:r>
        <w:t>the provision of greater discretion in placing appropriate signage and publishing notices</w:t>
      </w:r>
    </w:p>
    <w:p w14:paraId="2BAE354E" w14:textId="77777777" w:rsidR="00821224" w:rsidRDefault="00821224" w:rsidP="000974C4">
      <w:pPr>
        <w:pStyle w:val="SubmissionNormal"/>
        <w:numPr>
          <w:ilvl w:val="0"/>
          <w:numId w:val="32"/>
        </w:numPr>
      </w:pPr>
      <w:r>
        <w:lastRenderedPageBreak/>
        <w:t>a more consultative scheme regarding entry by police into private residences</w:t>
      </w:r>
      <w:r>
        <w:rPr>
          <w:rStyle w:val="EndnoteReference"/>
        </w:rPr>
        <w:endnoteReference w:id="139"/>
      </w:r>
    </w:p>
    <w:p w14:paraId="553FC3D5" w14:textId="20AA623C" w:rsidR="00821224" w:rsidRDefault="00821224" w:rsidP="000974C4">
      <w:pPr>
        <w:pStyle w:val="SubmissionNormal"/>
        <w:numPr>
          <w:ilvl w:val="0"/>
          <w:numId w:val="32"/>
        </w:numPr>
      </w:pPr>
      <w:r>
        <w:t>provisions that enable communities to introduce voluntary alcohol management arrangements and apply to be exempted from blanket alcohol bans.</w:t>
      </w:r>
      <w:r w:rsidRPr="003A508F">
        <w:rPr>
          <w:rStyle w:val="EndnoteReference"/>
        </w:rPr>
        <w:t xml:space="preserve"> </w:t>
      </w:r>
      <w:r>
        <w:rPr>
          <w:rStyle w:val="EndnoteReference"/>
        </w:rPr>
        <w:endnoteReference w:id="140"/>
      </w:r>
    </w:p>
    <w:p w14:paraId="0A489BB2" w14:textId="77777777" w:rsidR="00821224" w:rsidRDefault="00821224" w:rsidP="000974C4">
      <w:pPr>
        <w:pStyle w:val="SubmissionNormal"/>
        <w:numPr>
          <w:ilvl w:val="0"/>
          <w:numId w:val="41"/>
        </w:numPr>
        <w:ind w:hanging="709"/>
      </w:pPr>
      <w:r>
        <w:t>However, the Commission also expressed concerns regarding features of the alcohol measures as part of the 2010 NTER redesign.</w:t>
      </w:r>
      <w:r>
        <w:rPr>
          <w:rStyle w:val="EndnoteReference"/>
        </w:rPr>
        <w:endnoteReference w:id="141"/>
      </w:r>
      <w:r>
        <w:t xml:space="preserve"> The Commission particularly considered that the measures were not developed with adequate community consultation.</w:t>
      </w:r>
      <w:r>
        <w:rPr>
          <w:rStyle w:val="EndnoteReference"/>
        </w:rPr>
        <w:endnoteReference w:id="142"/>
      </w:r>
    </w:p>
    <w:p w14:paraId="1E89C2EC" w14:textId="77777777" w:rsidR="00821224" w:rsidRDefault="00821224" w:rsidP="000974C4">
      <w:pPr>
        <w:pStyle w:val="SubmissionNormal"/>
        <w:numPr>
          <w:ilvl w:val="0"/>
          <w:numId w:val="41"/>
        </w:numPr>
        <w:ind w:hanging="709"/>
      </w:pPr>
      <w:r w:rsidRPr="002B62E1">
        <w:t>The current NTER alcohol restrictions in prescribed areas in the Northern Territory are due to sunset in August 2012.</w:t>
      </w:r>
      <w:r w:rsidRPr="00456E4D">
        <w:rPr>
          <w:sz w:val="20"/>
          <w:vertAlign w:val="superscript"/>
        </w:rPr>
        <w:endnoteReference w:id="143"/>
      </w:r>
    </w:p>
    <w:p w14:paraId="2607A79C" w14:textId="77777777" w:rsidR="00821224" w:rsidRDefault="00821224" w:rsidP="000974C4">
      <w:pPr>
        <w:pStyle w:val="SubmissionNormal"/>
        <w:numPr>
          <w:ilvl w:val="0"/>
          <w:numId w:val="41"/>
        </w:numPr>
        <w:ind w:hanging="709"/>
      </w:pPr>
      <w:r>
        <w:t>T</w:t>
      </w:r>
      <w:r w:rsidRPr="002B62E1">
        <w:t>he proposed</w:t>
      </w:r>
      <w:r>
        <w:t xml:space="preserve"> measures</w:t>
      </w:r>
      <w:r w:rsidRPr="002B62E1">
        <w:t xml:space="preserve"> </w:t>
      </w:r>
      <w:r>
        <w:t xml:space="preserve">relating to </w:t>
      </w:r>
      <w:r w:rsidRPr="002B62E1">
        <w:t xml:space="preserve">tackling alcohol abuse </w:t>
      </w:r>
      <w:r>
        <w:t xml:space="preserve">are contained </w:t>
      </w:r>
      <w:r w:rsidRPr="002B62E1">
        <w:t xml:space="preserve">in Part 2 of the </w:t>
      </w:r>
      <w:r>
        <w:t xml:space="preserve">Stronger Futures Bill. They </w:t>
      </w:r>
      <w:r w:rsidRPr="002B62E1">
        <w:t xml:space="preserve">preserve the area-based alcohol restrictions currently in place under the </w:t>
      </w:r>
      <w:r>
        <w:t>NTNER Act as redesigned in 2010</w:t>
      </w:r>
      <w:r w:rsidRPr="002B62E1">
        <w:t xml:space="preserve">. </w:t>
      </w:r>
    </w:p>
    <w:p w14:paraId="0EB5D747" w14:textId="77777777" w:rsidR="00821224" w:rsidRPr="002B62E1" w:rsidRDefault="00821224" w:rsidP="000974C4">
      <w:pPr>
        <w:pStyle w:val="SubmissionNormal"/>
        <w:numPr>
          <w:ilvl w:val="0"/>
          <w:numId w:val="41"/>
        </w:numPr>
        <w:ind w:hanging="709"/>
      </w:pPr>
      <w:r>
        <w:t>The object of the proposed Part 2 is to ‘enable special measures to be taken to reduce alcohol-related harm to Aboriginal people in the Northern Territory’.</w:t>
      </w:r>
      <w:r>
        <w:rPr>
          <w:rStyle w:val="EndnoteReference"/>
        </w:rPr>
        <w:endnoteReference w:id="144"/>
      </w:r>
      <w:r>
        <w:t xml:space="preserve"> </w:t>
      </w:r>
      <w:r w:rsidRPr="002B62E1">
        <w:t xml:space="preserve">The primary measures </w:t>
      </w:r>
      <w:r>
        <w:t>in the Stronger Futures Bill</w:t>
      </w:r>
      <w:r w:rsidRPr="002B62E1">
        <w:t>:</w:t>
      </w:r>
    </w:p>
    <w:p w14:paraId="71107CD5" w14:textId="77777777" w:rsidR="00821224" w:rsidRDefault="00821224" w:rsidP="000974C4">
      <w:pPr>
        <w:pStyle w:val="SubmissionNormal"/>
        <w:numPr>
          <w:ilvl w:val="0"/>
          <w:numId w:val="32"/>
        </w:numPr>
      </w:pPr>
      <w:r w:rsidRPr="002B62E1">
        <w:t>Continu</w:t>
      </w:r>
      <w:r>
        <w:t>e</w:t>
      </w:r>
      <w:r w:rsidRPr="002B62E1">
        <w:t xml:space="preserve"> alcohol restrictions already in place including offences</w:t>
      </w:r>
      <w:r>
        <w:t xml:space="preserve"> through alcohol protected areas.</w:t>
      </w:r>
    </w:p>
    <w:p w14:paraId="2091E081" w14:textId="77777777" w:rsidR="00821224" w:rsidRDefault="00821224" w:rsidP="000974C4">
      <w:pPr>
        <w:pStyle w:val="SubmissionNormal"/>
        <w:numPr>
          <w:ilvl w:val="0"/>
          <w:numId w:val="32"/>
        </w:numPr>
      </w:pPr>
      <w:r>
        <w:t>Create a process for the Commonwealth Minister for Indigenous Affairs (the Minister) to approve alcohol management plans in consultation with communities.</w:t>
      </w:r>
    </w:p>
    <w:p w14:paraId="175E88B6" w14:textId="41C4371E" w:rsidR="00821224" w:rsidRDefault="00821224" w:rsidP="000974C4">
      <w:pPr>
        <w:pStyle w:val="SubmissionNormal"/>
        <w:numPr>
          <w:ilvl w:val="0"/>
          <w:numId w:val="32"/>
        </w:numPr>
      </w:pPr>
      <w:r>
        <w:t xml:space="preserve">Appoint licensing assessors to assess premises that sell, or </w:t>
      </w:r>
      <w:r w:rsidRPr="002B62E1">
        <w:t>allow for</w:t>
      </w:r>
      <w:r>
        <w:t xml:space="preserve"> </w:t>
      </w:r>
      <w:r w:rsidRPr="002B62E1">
        <w:t>the consumption of</w:t>
      </w:r>
      <w:r w:rsidR="00E06BC8">
        <w:t>,</w:t>
      </w:r>
      <w:r w:rsidR="009A5411">
        <w:t xml:space="preserve"> alcohol</w:t>
      </w:r>
      <w:r w:rsidRPr="002B62E1">
        <w:t xml:space="preserve"> where there is concern that they are</w:t>
      </w:r>
      <w:r>
        <w:t xml:space="preserve"> </w:t>
      </w:r>
      <w:r w:rsidRPr="002B62E1">
        <w:t>contributing to alcohol-related harm to Aboriginal people</w:t>
      </w:r>
      <w:r>
        <w:t>.</w:t>
      </w:r>
    </w:p>
    <w:p w14:paraId="20AF6B69" w14:textId="77777777" w:rsidR="00821224" w:rsidRPr="002B62E1" w:rsidRDefault="00821224" w:rsidP="000974C4">
      <w:pPr>
        <w:pStyle w:val="SubmissionNormal"/>
        <w:numPr>
          <w:ilvl w:val="0"/>
          <w:numId w:val="32"/>
        </w:numPr>
      </w:pPr>
      <w:r>
        <w:t>Provide for an independent review within two</w:t>
      </w:r>
      <w:r w:rsidRPr="002B62E1">
        <w:t xml:space="preserve"> ye</w:t>
      </w:r>
      <w:r>
        <w:t>ars of commencement of the Bill.</w:t>
      </w:r>
    </w:p>
    <w:p w14:paraId="04B864F4" w14:textId="32371DD5" w:rsidR="00821224" w:rsidRDefault="00821224" w:rsidP="000974C4">
      <w:pPr>
        <w:pStyle w:val="SubmissionNormal"/>
        <w:numPr>
          <w:ilvl w:val="0"/>
          <w:numId w:val="41"/>
        </w:numPr>
        <w:ind w:hanging="709"/>
      </w:pPr>
      <w:r w:rsidRPr="004E103D">
        <w:t>Proposed s 27</w:t>
      </w:r>
      <w:r>
        <w:t xml:space="preserve"> of the Stronger Futures Bill allows the </w:t>
      </w:r>
      <w:r w:rsidRPr="00B50830">
        <w:t>Minister</w:t>
      </w:r>
      <w:r>
        <w:t xml:space="preserve"> to prescribe in the rules that a new area in the Northern Territory is to be an ‘alcohol protected area’. It is an offence to bring</w:t>
      </w:r>
      <w:r w:rsidR="00455846">
        <w:t xml:space="preserve"> into</w:t>
      </w:r>
      <w:r>
        <w:t>, possess, control, consume, supply and transport liquor in alcohol protected areas.</w:t>
      </w:r>
      <w:r>
        <w:rPr>
          <w:rStyle w:val="EndnoteReference"/>
        </w:rPr>
        <w:endnoteReference w:id="145"/>
      </w:r>
    </w:p>
    <w:p w14:paraId="310594E5" w14:textId="77777777" w:rsidR="00821224" w:rsidRDefault="00821224" w:rsidP="000974C4">
      <w:pPr>
        <w:pStyle w:val="SubmissionNormal"/>
        <w:numPr>
          <w:ilvl w:val="0"/>
          <w:numId w:val="41"/>
        </w:numPr>
        <w:ind w:hanging="709"/>
      </w:pPr>
      <w:r>
        <w:t>The Commission commends both the requirement for community consultation</w:t>
      </w:r>
      <w:r>
        <w:rPr>
          <w:rStyle w:val="EndnoteReference"/>
        </w:rPr>
        <w:endnoteReference w:id="146"/>
      </w:r>
      <w:r>
        <w:t xml:space="preserve"> to precede the Minister making, revoking</w:t>
      </w:r>
      <w:r>
        <w:rPr>
          <w:rStyle w:val="EndnoteReference"/>
        </w:rPr>
        <w:endnoteReference w:id="147"/>
      </w:r>
      <w:r>
        <w:t xml:space="preserve"> or varying a rule prescribing an area to be an ‘alcohol protected area’ and the requirement for the Minister to have regard to submissions received during consultations prior to making such a determination.</w:t>
      </w:r>
      <w:r>
        <w:rPr>
          <w:rStyle w:val="EndnoteReference"/>
        </w:rPr>
        <w:endnoteReference w:id="148"/>
      </w:r>
    </w:p>
    <w:p w14:paraId="3E2DEE22" w14:textId="77777777" w:rsidR="00821224" w:rsidRDefault="00821224" w:rsidP="000974C4">
      <w:pPr>
        <w:pStyle w:val="SubmissionNormal"/>
        <w:numPr>
          <w:ilvl w:val="0"/>
          <w:numId w:val="41"/>
        </w:numPr>
        <w:ind w:hanging="709"/>
      </w:pPr>
      <w:r>
        <w:t>However, the Commission is concerned that the Consequential and Transitional Provisions Bill automatically transitions prescribed areas under the 2007 NTER into ‘alcohol protected areas’. Existing licences and permits are also transitioned.</w:t>
      </w:r>
      <w:r>
        <w:rPr>
          <w:rStyle w:val="EndnoteReference"/>
        </w:rPr>
        <w:endnoteReference w:id="149"/>
      </w:r>
      <w:r w:rsidRPr="009E65BE">
        <w:t xml:space="preserve"> </w:t>
      </w:r>
      <w:r>
        <w:t>Accordingly, the</w:t>
      </w:r>
      <w:r w:rsidRPr="00D80FC1">
        <w:t xml:space="preserve"> </w:t>
      </w:r>
      <w:r>
        <w:t xml:space="preserve">Consequential and Transitional Provisions Bill will continue to impose alcohol restrictions on communities </w:t>
      </w:r>
      <w:r>
        <w:lastRenderedPageBreak/>
        <w:t>previously determined to be ‘prescribed areas’ without the need for the proposed consultation processes to be complied with.</w:t>
      </w:r>
    </w:p>
    <w:p w14:paraId="03155922" w14:textId="77777777" w:rsidR="00821224" w:rsidRPr="00197FB6" w:rsidRDefault="00821224" w:rsidP="000974C4">
      <w:pPr>
        <w:pStyle w:val="SubmissionNormal"/>
        <w:numPr>
          <w:ilvl w:val="0"/>
          <w:numId w:val="41"/>
        </w:numPr>
        <w:ind w:hanging="709"/>
      </w:pPr>
      <w:r>
        <w:t>It is noted that rules prescribing an area as an ‘alcohol protected area’ may be revoked if the area becomes subject to an alcohol management plan. Practically, where alcohol management plans are negotiated with communities, the blanket ban over prescribed areas will not be applicable.</w:t>
      </w:r>
    </w:p>
    <w:p w14:paraId="65092B77" w14:textId="77777777" w:rsidR="00821224" w:rsidRPr="003346C9" w:rsidRDefault="00821224" w:rsidP="00861560">
      <w:pPr>
        <w:pStyle w:val="Heading3"/>
      </w:pPr>
      <w:bookmarkStart w:id="148" w:name="_Toc315865094"/>
      <w:bookmarkStart w:id="149" w:name="_Toc316042375"/>
      <w:r w:rsidRPr="003346C9">
        <w:t xml:space="preserve">Inadequate focus in the </w:t>
      </w:r>
      <w:r>
        <w:t>Stronger Futures B</w:t>
      </w:r>
      <w:r w:rsidRPr="003346C9">
        <w:t>ills on transitioning to community led alcohol management plans</w:t>
      </w:r>
      <w:bookmarkEnd w:id="148"/>
      <w:bookmarkEnd w:id="149"/>
    </w:p>
    <w:p w14:paraId="2BD56454" w14:textId="1D6D8595" w:rsidR="00821224" w:rsidRDefault="00821224" w:rsidP="000974C4">
      <w:pPr>
        <w:pStyle w:val="SubmissionNormal"/>
        <w:numPr>
          <w:ilvl w:val="0"/>
          <w:numId w:val="41"/>
        </w:numPr>
        <w:ind w:hanging="709"/>
      </w:pPr>
      <w:r w:rsidRPr="00691CDE">
        <w:t>The Commission welcomes the Australian Government</w:t>
      </w:r>
      <w:r>
        <w:t>’s intention</w:t>
      </w:r>
      <w:r w:rsidRPr="00691CDE">
        <w:t xml:space="preserve"> that the </w:t>
      </w:r>
      <w:r>
        <w:t>Stronger Futures B</w:t>
      </w:r>
      <w:r w:rsidRPr="00691CDE">
        <w:t xml:space="preserve">ill </w:t>
      </w:r>
      <w:r w:rsidR="00F97665">
        <w:t>be</w:t>
      </w:r>
      <w:r w:rsidRPr="00691CDE">
        <w:t xml:space="preserve"> drafted to strengthen the ability of communities to take control of alcohol abuse and ‘forge their own path’ in developing responses to alcohol related harm.</w:t>
      </w:r>
      <w:r>
        <w:rPr>
          <w:rStyle w:val="EndnoteReference"/>
        </w:rPr>
        <w:endnoteReference w:id="150"/>
      </w:r>
      <w:r w:rsidRPr="00691CDE">
        <w:t xml:space="preserve"> </w:t>
      </w:r>
    </w:p>
    <w:p w14:paraId="3476AACE" w14:textId="77777777" w:rsidR="00821224" w:rsidRPr="008A0D02" w:rsidRDefault="00821224" w:rsidP="000974C4">
      <w:pPr>
        <w:pStyle w:val="SubmissionNormal"/>
        <w:numPr>
          <w:ilvl w:val="0"/>
          <w:numId w:val="41"/>
        </w:numPr>
        <w:ind w:hanging="709"/>
      </w:pPr>
      <w:r>
        <w:t>The Commission commends the following features of the proposed measures tacklin</w:t>
      </w:r>
      <w:r w:rsidRPr="008A0D02">
        <w:t>g alcohol abuse:</w:t>
      </w:r>
    </w:p>
    <w:p w14:paraId="478374D5" w14:textId="77777777" w:rsidR="00821224" w:rsidRPr="008A0D02" w:rsidRDefault="008A0D02" w:rsidP="008A0D02">
      <w:pPr>
        <w:pStyle w:val="SubmissionNormal"/>
        <w:numPr>
          <w:ilvl w:val="0"/>
          <w:numId w:val="32"/>
        </w:numPr>
      </w:pPr>
      <w:r w:rsidRPr="008A0D02">
        <w:t>The repeal of the police power to enter private residences within prescribed areas as if they were a public place.</w:t>
      </w:r>
      <w:r w:rsidRPr="008A0D02">
        <w:rPr>
          <w:sz w:val="20"/>
          <w:szCs w:val="20"/>
          <w:vertAlign w:val="superscript"/>
        </w:rPr>
        <w:endnoteReference w:id="151"/>
      </w:r>
      <w:r w:rsidRPr="008A0D02">
        <w:t xml:space="preserve"> </w:t>
      </w:r>
    </w:p>
    <w:p w14:paraId="1925DA9C" w14:textId="77777777" w:rsidR="00821224" w:rsidRPr="00CB0C2B" w:rsidRDefault="00821224" w:rsidP="000974C4">
      <w:pPr>
        <w:pStyle w:val="SubmissionNormal"/>
        <w:numPr>
          <w:ilvl w:val="0"/>
          <w:numId w:val="32"/>
        </w:numPr>
      </w:pPr>
      <w:r w:rsidRPr="008A0D02">
        <w:t>Modifying</w:t>
      </w:r>
      <w:r>
        <w:t xml:space="preserve"> the seizure of vehicle provisions under the Northern Territory Liquor Act to provide that in deciding whether to seize a </w:t>
      </w:r>
      <w:r w:rsidRPr="008A4058">
        <w:t>vehicle, an inspector must have regard to (a) whether</w:t>
      </w:r>
      <w:r>
        <w:t xml:space="preserve"> the main use of the vehicle is </w:t>
      </w:r>
      <w:r w:rsidRPr="008A4058">
        <w:t>for the benefit of a community as a whole; and (b) the hardship that might be caused to the community i</w:t>
      </w:r>
      <w:r>
        <w:t>f</w:t>
      </w:r>
      <w:r w:rsidRPr="008A4058">
        <w:t xml:space="preserve"> the vehicle were seized.</w:t>
      </w:r>
      <w:r w:rsidRPr="008A0D02">
        <w:rPr>
          <w:sz w:val="20"/>
          <w:szCs w:val="20"/>
          <w:vertAlign w:val="superscript"/>
        </w:rPr>
        <w:endnoteReference w:id="152"/>
      </w:r>
      <w:r>
        <w:t xml:space="preserve"> The Explanatory Memorandum states that the types of vehicles covered by this measure include night patrol vehicles and community buses.</w:t>
      </w:r>
      <w:r w:rsidRPr="008A0D02">
        <w:rPr>
          <w:sz w:val="20"/>
          <w:szCs w:val="20"/>
          <w:vertAlign w:val="superscript"/>
        </w:rPr>
        <w:endnoteReference w:id="153"/>
      </w:r>
    </w:p>
    <w:p w14:paraId="5C40543C" w14:textId="77777777" w:rsidR="00821224" w:rsidRDefault="00821224" w:rsidP="000974C4">
      <w:pPr>
        <w:pStyle w:val="SubmissionNormal"/>
        <w:numPr>
          <w:ilvl w:val="0"/>
          <w:numId w:val="41"/>
        </w:numPr>
        <w:ind w:hanging="709"/>
      </w:pPr>
      <w:r>
        <w:t>The Commission also welcomes:</w:t>
      </w:r>
    </w:p>
    <w:p w14:paraId="2AEC592A" w14:textId="77777777" w:rsidR="00821224" w:rsidRDefault="00821224" w:rsidP="000974C4">
      <w:pPr>
        <w:pStyle w:val="SubmissionNormal"/>
        <w:numPr>
          <w:ilvl w:val="0"/>
          <w:numId w:val="32"/>
        </w:numPr>
      </w:pPr>
      <w:r>
        <w:t xml:space="preserve">The community consultation processes required to be undertaken before the </w:t>
      </w:r>
      <w:r w:rsidRPr="00B50830">
        <w:t>Minister</w:t>
      </w:r>
      <w:r>
        <w:t xml:space="preserve"> can make, vary or revoke a rule to prescribe an area an alcohol protected area.</w:t>
      </w:r>
    </w:p>
    <w:p w14:paraId="48257227" w14:textId="77777777" w:rsidR="00821224" w:rsidRPr="002B62E1" w:rsidRDefault="00821224" w:rsidP="000974C4">
      <w:pPr>
        <w:pStyle w:val="SubmissionNormal"/>
        <w:numPr>
          <w:ilvl w:val="0"/>
          <w:numId w:val="32"/>
        </w:numPr>
      </w:pPr>
      <w:r>
        <w:t>The p</w:t>
      </w:r>
      <w:r w:rsidRPr="002B62E1">
        <w:t>rocess for</w:t>
      </w:r>
      <w:r>
        <w:t xml:space="preserve"> the</w:t>
      </w:r>
      <w:r w:rsidRPr="002B62E1">
        <w:t xml:space="preserve"> </w:t>
      </w:r>
      <w:r w:rsidRPr="00B50830">
        <w:t>Minister</w:t>
      </w:r>
      <w:r w:rsidRPr="002B62E1">
        <w:t xml:space="preserve"> to approve alcohol management plans in</w:t>
      </w:r>
      <w:r>
        <w:t xml:space="preserve"> consultation </w:t>
      </w:r>
      <w:r w:rsidRPr="002B62E1">
        <w:t>with communities</w:t>
      </w:r>
      <w:r>
        <w:t>.</w:t>
      </w:r>
    </w:p>
    <w:p w14:paraId="5F993076" w14:textId="77777777" w:rsidR="00821224" w:rsidRDefault="00821224" w:rsidP="000974C4">
      <w:pPr>
        <w:pStyle w:val="SubmissionNormal"/>
        <w:numPr>
          <w:ilvl w:val="0"/>
          <w:numId w:val="32"/>
        </w:numPr>
      </w:pPr>
      <w:r>
        <w:t>That signage informing residents and visitors of alcohol rules that apply in alcohol protected areas will be respectful to Aboriginal people and requires consultation with people living in the area prior to being erected.</w:t>
      </w:r>
    </w:p>
    <w:p w14:paraId="12E50718" w14:textId="77777777" w:rsidR="00821224" w:rsidRDefault="00821224" w:rsidP="000974C4">
      <w:pPr>
        <w:pStyle w:val="SubmissionNormal"/>
        <w:numPr>
          <w:ilvl w:val="0"/>
          <w:numId w:val="32"/>
        </w:numPr>
      </w:pPr>
      <w:r>
        <w:t xml:space="preserve">That the </w:t>
      </w:r>
      <w:r w:rsidRPr="00B50830">
        <w:t>Minister</w:t>
      </w:r>
      <w:r>
        <w:t xml:space="preserve"> will be able to request the Northern Territory Minister</w:t>
      </w:r>
      <w:r w:rsidRPr="009C72DE">
        <w:rPr>
          <w:sz w:val="16"/>
          <w:szCs w:val="16"/>
          <w:vertAlign w:val="superscript"/>
        </w:rPr>
        <w:endnoteReference w:id="154"/>
      </w:r>
      <w:r>
        <w:t xml:space="preserve"> to conduct an assessment of licenced premises.</w:t>
      </w:r>
    </w:p>
    <w:p w14:paraId="774DF098" w14:textId="77777777" w:rsidR="00821224" w:rsidRDefault="00821224" w:rsidP="000974C4">
      <w:pPr>
        <w:pStyle w:val="SubmissionNormal"/>
        <w:numPr>
          <w:ilvl w:val="0"/>
          <w:numId w:val="41"/>
        </w:numPr>
        <w:ind w:hanging="709"/>
      </w:pPr>
      <w:r>
        <w:t xml:space="preserve">However, the Commission is of the view that a substantial focus of the Government should be on transitioning communities to locally developed alcohol management plans. </w:t>
      </w:r>
    </w:p>
    <w:p w14:paraId="0413DF00" w14:textId="77777777" w:rsidR="00821224" w:rsidRPr="003346C9" w:rsidRDefault="00821224" w:rsidP="000974C4">
      <w:pPr>
        <w:pStyle w:val="SubmissionNormal"/>
        <w:numPr>
          <w:ilvl w:val="0"/>
          <w:numId w:val="41"/>
        </w:numPr>
        <w:ind w:hanging="709"/>
      </w:pPr>
      <w:r>
        <w:t xml:space="preserve">The ability to create local alcohol management plans has been a feature of the NTER legislation since the amendments in 2010. </w:t>
      </w:r>
    </w:p>
    <w:p w14:paraId="095EA625" w14:textId="77777777" w:rsidR="00821224" w:rsidRDefault="00821224" w:rsidP="000974C4">
      <w:pPr>
        <w:pStyle w:val="SubmissionNormal"/>
        <w:numPr>
          <w:ilvl w:val="0"/>
          <w:numId w:val="41"/>
        </w:numPr>
        <w:ind w:hanging="709"/>
      </w:pPr>
      <w:r>
        <w:lastRenderedPageBreak/>
        <w:t xml:space="preserve">Despite this, there are still no registered locally developed alcohol management plans that have displaced the blanket alcohol bans in prescribed communities. </w:t>
      </w:r>
    </w:p>
    <w:p w14:paraId="0F189430" w14:textId="77777777" w:rsidR="00821224" w:rsidRDefault="00821224" w:rsidP="000974C4">
      <w:pPr>
        <w:pStyle w:val="SubmissionNormal"/>
        <w:numPr>
          <w:ilvl w:val="0"/>
          <w:numId w:val="41"/>
        </w:numPr>
        <w:ind w:hanging="709"/>
      </w:pPr>
      <w:r>
        <w:t xml:space="preserve">The Commission is very concerned by this. It amounts to inadequate progress in the early stages of the intervention in developing community specific, tailored approaches to addressing alcohol abuse. </w:t>
      </w:r>
    </w:p>
    <w:p w14:paraId="3CF9B880" w14:textId="77777777" w:rsidR="00821224" w:rsidRDefault="00821224" w:rsidP="000974C4">
      <w:pPr>
        <w:pStyle w:val="SubmissionNormal"/>
        <w:numPr>
          <w:ilvl w:val="0"/>
          <w:numId w:val="41"/>
        </w:numPr>
        <w:ind w:hanging="709"/>
      </w:pPr>
      <w:r>
        <w:t>Once the Stronger Future measures are passed, the existing blanket bans on alcohol will continue for a further 10 years, to be reviewed after 7 years</w:t>
      </w:r>
      <w:r>
        <w:rPr>
          <w:rStyle w:val="EndnoteReference"/>
        </w:rPr>
        <w:endnoteReference w:id="155"/>
      </w:r>
      <w:r>
        <w:t xml:space="preserve"> – effectively meaning that communities will ultimately face the situation that there are blanket bans in their communities for a 15 year period in total with the option of review after having them in place for 12 years. </w:t>
      </w:r>
    </w:p>
    <w:p w14:paraId="5327CFC7" w14:textId="77777777" w:rsidR="00821224" w:rsidRDefault="00821224" w:rsidP="000974C4">
      <w:pPr>
        <w:pStyle w:val="SubmissionNormal"/>
        <w:numPr>
          <w:ilvl w:val="0"/>
          <w:numId w:val="41"/>
        </w:numPr>
        <w:ind w:hanging="709"/>
      </w:pPr>
      <w:r>
        <w:t xml:space="preserve">The ability for the blanket provisions to continue to apply, without review or any </w:t>
      </w:r>
      <w:r>
        <w:rPr>
          <w:i/>
        </w:rPr>
        <w:t>requirement</w:t>
      </w:r>
      <w:r>
        <w:t xml:space="preserve"> to modify them to better meet the needs of the relevant communities, is likely to act as a disincentive for Government to consider more tailored, community driven responses.  </w:t>
      </w:r>
    </w:p>
    <w:p w14:paraId="395AF7DC" w14:textId="77777777" w:rsidR="00821224" w:rsidRDefault="00821224" w:rsidP="000974C4">
      <w:pPr>
        <w:pStyle w:val="SubmissionNormal"/>
        <w:numPr>
          <w:ilvl w:val="0"/>
          <w:numId w:val="41"/>
        </w:numPr>
        <w:ind w:hanging="709"/>
      </w:pPr>
      <w:r>
        <w:t>The Commission notes that to meet the criteria of a special measure, an action must be regularly reviewed and monitored and the action should cease once its objective has been met. It is difficult to see how blanket measures can be justified for a period of up to 12 years, without steps being taken to develop locally tailored solutions.</w:t>
      </w:r>
    </w:p>
    <w:p w14:paraId="71E38258" w14:textId="77777777" w:rsidR="00821224" w:rsidRPr="00241E09" w:rsidRDefault="00821224" w:rsidP="000974C4">
      <w:pPr>
        <w:pStyle w:val="SubmissionNormal"/>
        <w:numPr>
          <w:ilvl w:val="0"/>
          <w:numId w:val="41"/>
        </w:numPr>
        <w:ind w:hanging="709"/>
      </w:pPr>
      <w:r w:rsidRPr="00241E09">
        <w:t xml:space="preserve">Accordingly, the Commission does not support the continuation of blanket bans on alcohol for the duration proposed in the Stronger Futures Bills. Instead, the Commission recommends that the blanket alcohol bans proposed be limited to a further 3 year period to enable the transition to community developed alcohol management plans. </w:t>
      </w:r>
    </w:p>
    <w:p w14:paraId="400C587D" w14:textId="77777777" w:rsidR="00821224" w:rsidRPr="00241E09" w:rsidRDefault="00821224" w:rsidP="000974C4">
      <w:pPr>
        <w:pStyle w:val="SubmissionNormal"/>
        <w:numPr>
          <w:ilvl w:val="0"/>
          <w:numId w:val="41"/>
        </w:numPr>
        <w:ind w:hanging="709"/>
      </w:pPr>
      <w:r w:rsidRPr="00241E09">
        <w:t>The Commission further recommends that adequate support, including financial, be provided to communities to develop alcohol management plans tailored to their circumstances.</w:t>
      </w:r>
    </w:p>
    <w:p w14:paraId="34AB8A41" w14:textId="77777777" w:rsidR="00821224" w:rsidRDefault="00821224" w:rsidP="000974C4">
      <w:pPr>
        <w:pStyle w:val="SubmissionNormal"/>
        <w:numPr>
          <w:ilvl w:val="0"/>
          <w:numId w:val="41"/>
        </w:numPr>
        <w:ind w:hanging="709"/>
      </w:pPr>
      <w:r>
        <w:t>The Commission believes alcohol management plans have significant potential to address alcohol related harm in the Northern Territory by facilitating community control of alcohol regulation and harm reduction strategies. This is both consistent with human rights standards and the evidence base.</w:t>
      </w:r>
    </w:p>
    <w:p w14:paraId="33E3A719" w14:textId="77777777" w:rsidR="00821224" w:rsidRDefault="00821224" w:rsidP="000974C4">
      <w:pPr>
        <w:pStyle w:val="SubmissionNormal"/>
        <w:numPr>
          <w:ilvl w:val="0"/>
          <w:numId w:val="41"/>
        </w:numPr>
        <w:ind w:hanging="709"/>
      </w:pPr>
      <w:r>
        <w:t>The Commission reiterates that strong community governance structures are important for the success of the Stronger Futures measures. This is particularly important for the development of community owned alcohol management plans. Communities must have effective structures and protocols to enable them to make decisions regarding the difficult and sensitive issues to be addressed for effective alcohol management.</w:t>
      </w:r>
    </w:p>
    <w:p w14:paraId="3F8E287F" w14:textId="77777777" w:rsidR="00821224" w:rsidRDefault="00821224" w:rsidP="000974C4">
      <w:pPr>
        <w:pStyle w:val="SubmissionNormal"/>
        <w:numPr>
          <w:ilvl w:val="0"/>
          <w:numId w:val="41"/>
        </w:numPr>
        <w:ind w:hanging="709"/>
      </w:pPr>
      <w:r>
        <w:t>In this regard, the Commission notes the role of Community Justice Groups</w:t>
      </w:r>
      <w:r w:rsidRPr="00071363">
        <w:rPr>
          <w:vertAlign w:val="superscript"/>
        </w:rPr>
        <w:endnoteReference w:id="156"/>
      </w:r>
      <w:r>
        <w:t xml:space="preserve"> in Queensland. In addition to carrying out local strategies to address criminal justice issues, Community Justice Groups operate as the mechanism for government consultation regarding the declaration of alcohol restrictions in a community.</w:t>
      </w:r>
      <w:r>
        <w:rPr>
          <w:rStyle w:val="EndnoteReference"/>
        </w:rPr>
        <w:endnoteReference w:id="157"/>
      </w:r>
      <w:r>
        <w:t xml:space="preserve"> An evaluation of Community Justice Groups conducted by </w:t>
      </w:r>
      <w:r>
        <w:lastRenderedPageBreak/>
        <w:t>KPMG in 2010 indicated support for Community Justice Groups to ‘continue to have a “voice” about alcohol management in communities’.</w:t>
      </w:r>
      <w:r>
        <w:rPr>
          <w:rStyle w:val="EndnoteReference"/>
        </w:rPr>
        <w:endnoteReference w:id="158"/>
      </w:r>
      <w:r>
        <w:t xml:space="preserve"> </w:t>
      </w:r>
    </w:p>
    <w:p w14:paraId="4BB475BD" w14:textId="77777777" w:rsidR="00821224" w:rsidRPr="000D5D25" w:rsidRDefault="00821224" w:rsidP="000974C4">
      <w:pPr>
        <w:pStyle w:val="SubmissionNormal"/>
        <w:numPr>
          <w:ilvl w:val="0"/>
          <w:numId w:val="41"/>
        </w:numPr>
        <w:ind w:hanging="709"/>
      </w:pPr>
      <w:r>
        <w:t xml:space="preserve">The </w:t>
      </w:r>
      <w:r w:rsidRPr="00145347">
        <w:rPr>
          <w:i/>
        </w:rPr>
        <w:t>Little Children are Sacred</w:t>
      </w:r>
      <w:r>
        <w:t xml:space="preserve"> Report also recommended the adoption of a community justice group approach</w:t>
      </w:r>
      <w:r w:rsidRPr="00241E09">
        <w:t xml:space="preserve"> </w:t>
      </w:r>
      <w:r>
        <w:t>and the development of alcohol management plans to address issues such as alcohol abuse in Northern Territory communities.</w:t>
      </w:r>
      <w:r>
        <w:rPr>
          <w:rStyle w:val="EndnoteReference"/>
        </w:rPr>
        <w:endnoteReference w:id="159"/>
      </w:r>
    </w:p>
    <w:p w14:paraId="6515B930" w14:textId="77777777" w:rsidR="00821224" w:rsidRPr="008F2196" w:rsidRDefault="00821224" w:rsidP="009F242C">
      <w:pPr>
        <w:pStyle w:val="Heading3"/>
      </w:pPr>
      <w:bookmarkStart w:id="150" w:name="_Toc315692724"/>
      <w:bookmarkStart w:id="151" w:name="_Toc315865095"/>
      <w:bookmarkStart w:id="152" w:name="_Toc316042376"/>
      <w:r w:rsidRPr="008F2196">
        <w:t>Technical matters about alcohol related measures in the Stronger Futures Bills</w:t>
      </w:r>
      <w:bookmarkEnd w:id="150"/>
      <w:bookmarkEnd w:id="151"/>
      <w:bookmarkEnd w:id="152"/>
    </w:p>
    <w:p w14:paraId="0D6E4500" w14:textId="77777777" w:rsidR="00821224" w:rsidRDefault="00821224" w:rsidP="009F242C">
      <w:pPr>
        <w:pStyle w:val="Heading4"/>
      </w:pPr>
      <w:bookmarkStart w:id="153" w:name="_Toc315865096"/>
      <w:r>
        <w:t>Rules governing applications for an alcohol management plan</w:t>
      </w:r>
      <w:bookmarkEnd w:id="153"/>
    </w:p>
    <w:p w14:paraId="5A59CD51" w14:textId="77777777" w:rsidR="00821224" w:rsidRDefault="00821224" w:rsidP="000974C4">
      <w:pPr>
        <w:pStyle w:val="SubmissionNormal"/>
        <w:numPr>
          <w:ilvl w:val="0"/>
          <w:numId w:val="41"/>
        </w:numPr>
        <w:ind w:hanging="709"/>
      </w:pPr>
      <w:r>
        <w:t>A person or entity may apply for the approval of an alcohol management plan.</w:t>
      </w:r>
      <w:r>
        <w:rPr>
          <w:rStyle w:val="EndnoteReference"/>
        </w:rPr>
        <w:endnoteReference w:id="160"/>
      </w:r>
      <w:r>
        <w:t xml:space="preserve"> Rules will guide </w:t>
      </w:r>
      <w:r w:rsidRPr="00BE3EB8">
        <w:t xml:space="preserve">the </w:t>
      </w:r>
      <w:r>
        <w:t xml:space="preserve">form of the </w:t>
      </w:r>
      <w:r w:rsidRPr="00BE3EB8">
        <w:t>application</w:t>
      </w:r>
      <w:r>
        <w:t xml:space="preserve"> </w:t>
      </w:r>
      <w:r w:rsidRPr="00BE3EB8">
        <w:t xml:space="preserve">and the </w:t>
      </w:r>
      <w:r>
        <w:t xml:space="preserve">design of the </w:t>
      </w:r>
      <w:r w:rsidRPr="00BE3EB8">
        <w:t>alcohol management plan</w:t>
      </w:r>
      <w:r>
        <w:t>.</w:t>
      </w:r>
      <w:r>
        <w:rPr>
          <w:rStyle w:val="EndnoteReference"/>
        </w:rPr>
        <w:endnoteReference w:id="161"/>
      </w:r>
      <w:r w:rsidRPr="00BE3EB8">
        <w:t xml:space="preserve"> </w:t>
      </w:r>
      <w:r>
        <w:t>Further, t</w:t>
      </w:r>
      <w:r w:rsidRPr="00BE3EB8">
        <w:t xml:space="preserve">he </w:t>
      </w:r>
      <w:r w:rsidRPr="00B50830">
        <w:t>Minister</w:t>
      </w:r>
      <w:r w:rsidRPr="00BE3EB8">
        <w:t xml:space="preserve"> must not approve a plan unless it meets the requirements prescribed by the rules</w:t>
      </w:r>
      <w:r>
        <w:t>.</w:t>
      </w:r>
      <w:r>
        <w:rPr>
          <w:rStyle w:val="EndnoteReference"/>
        </w:rPr>
        <w:endnoteReference w:id="162"/>
      </w:r>
      <w:r w:rsidRPr="00BE3EB8">
        <w:t xml:space="preserve"> </w:t>
      </w:r>
    </w:p>
    <w:p w14:paraId="42267EBB" w14:textId="77777777" w:rsidR="00821224" w:rsidRPr="00BE3EB8" w:rsidRDefault="00821224" w:rsidP="000974C4">
      <w:pPr>
        <w:pStyle w:val="SubmissionNormal"/>
        <w:numPr>
          <w:ilvl w:val="0"/>
          <w:numId w:val="41"/>
        </w:numPr>
        <w:ind w:hanging="709"/>
      </w:pPr>
      <w:r w:rsidRPr="00BE3EB8">
        <w:t>The E</w:t>
      </w:r>
      <w:r>
        <w:t xml:space="preserve">xplanatory </w:t>
      </w:r>
      <w:r w:rsidRPr="00BE3EB8">
        <w:t>M</w:t>
      </w:r>
      <w:r>
        <w:t xml:space="preserve">emorandum </w:t>
      </w:r>
      <w:r w:rsidRPr="00BE3EB8">
        <w:t>states that one of the purposes of the rules is to enable the Minister to establish minimum standards or criteria for alcohol management plans.</w:t>
      </w:r>
      <w:r>
        <w:rPr>
          <w:rStyle w:val="EndnoteReference"/>
        </w:rPr>
        <w:endnoteReference w:id="163"/>
      </w:r>
      <w:r>
        <w:t xml:space="preserve"> It also </w:t>
      </w:r>
      <w:r w:rsidRPr="00432980">
        <w:t>states that in deciding whether to approve an alcohol management plan, the Minister must review and consider all elements of an alcohol management plan, such as rehabilitation, service provision and education</w:t>
      </w:r>
      <w:r>
        <w:t>. Th</w:t>
      </w:r>
      <w:r w:rsidRPr="00432980">
        <w:t xml:space="preserve">is </w:t>
      </w:r>
      <w:r>
        <w:t xml:space="preserve">is </w:t>
      </w:r>
      <w:r w:rsidRPr="00432980">
        <w:t>designed to ensure that the Minister and communities can be assured that alcohol management plans are directed at minimising alcohol related harm</w:t>
      </w:r>
      <w:r w:rsidRPr="00E36336">
        <w:t xml:space="preserve"> </w:t>
      </w:r>
      <w:r>
        <w:t>and protecting vulnerable women and children</w:t>
      </w:r>
      <w:r w:rsidRPr="00432980">
        <w:t>.</w:t>
      </w:r>
      <w:r w:rsidRPr="00432980">
        <w:rPr>
          <w:rStyle w:val="EndnoteReference"/>
        </w:rPr>
        <w:endnoteReference w:id="164"/>
      </w:r>
      <w:r>
        <w:t xml:space="preserve"> </w:t>
      </w:r>
    </w:p>
    <w:p w14:paraId="59D8B1C3" w14:textId="0DAA62CC" w:rsidR="00821224" w:rsidRPr="003A1CFA" w:rsidRDefault="00821224" w:rsidP="000974C4">
      <w:pPr>
        <w:pStyle w:val="SubmissionNormal"/>
        <w:numPr>
          <w:ilvl w:val="0"/>
          <w:numId w:val="41"/>
        </w:numPr>
        <w:ind w:hanging="709"/>
      </w:pPr>
      <w:r>
        <w:t>I</w:t>
      </w:r>
      <w:r w:rsidRPr="00AB7FD2">
        <w:t xml:space="preserve">f alcohol management plans are to be </w:t>
      </w:r>
      <w:r>
        <w:t>guided and assessed by rules that establish minimum</w:t>
      </w:r>
      <w:r w:rsidRPr="00AB7FD2">
        <w:t xml:space="preserve"> standard</w:t>
      </w:r>
      <w:r>
        <w:t>s</w:t>
      </w:r>
      <w:r w:rsidRPr="00AB7FD2">
        <w:t xml:space="preserve"> then </w:t>
      </w:r>
      <w:r>
        <w:t>these rules</w:t>
      </w:r>
      <w:r w:rsidRPr="00AB7FD2">
        <w:t xml:space="preserve"> should be created with the input of affected communities. </w:t>
      </w:r>
      <w:r>
        <w:t>Without such input the effectiveness of alcohol management plans w</w:t>
      </w:r>
      <w:r w:rsidR="009B4F4B">
        <w:t>ill</w:t>
      </w:r>
      <w:r>
        <w:t xml:space="preserve"> be </w:t>
      </w:r>
      <w:r w:rsidRPr="003A1CFA">
        <w:t>undermined</w:t>
      </w:r>
      <w:r>
        <w:t>, and it contravenes the Government’s intention to engage in more community driven processes</w:t>
      </w:r>
      <w:r w:rsidRPr="003A1CFA">
        <w:t xml:space="preserve">. </w:t>
      </w:r>
    </w:p>
    <w:p w14:paraId="692859E8" w14:textId="77777777" w:rsidR="00821224" w:rsidRPr="007C14CE" w:rsidRDefault="00821224" w:rsidP="000974C4">
      <w:pPr>
        <w:pStyle w:val="SubmissionNormal"/>
        <w:numPr>
          <w:ilvl w:val="0"/>
          <w:numId w:val="41"/>
        </w:numPr>
        <w:ind w:hanging="709"/>
      </w:pPr>
      <w:r w:rsidRPr="007C14CE">
        <w:t xml:space="preserve">The Commission recommends that </w:t>
      </w:r>
      <w:r>
        <w:t>Division 6 of the</w:t>
      </w:r>
      <w:r w:rsidRPr="007C14CE">
        <w:t xml:space="preserve"> Stronger Futures </w:t>
      </w:r>
      <w:r>
        <w:t xml:space="preserve">in the Northern Territory </w:t>
      </w:r>
      <w:r w:rsidRPr="007C14CE">
        <w:t>Bill</w:t>
      </w:r>
      <w:r>
        <w:t xml:space="preserve"> 2011 (Cth) </w:t>
      </w:r>
      <w:r w:rsidRPr="007C14CE">
        <w:t xml:space="preserve">be amended to explicitly include consultation requirements for the development of rules </w:t>
      </w:r>
      <w:r>
        <w:t xml:space="preserve">that prescribe the minimum standards </w:t>
      </w:r>
      <w:r w:rsidRPr="007C14CE">
        <w:t>in relation to alcohol management plans.</w:t>
      </w:r>
    </w:p>
    <w:p w14:paraId="4C0E11D7" w14:textId="77777777" w:rsidR="00821224" w:rsidRPr="009F242C" w:rsidRDefault="00821224" w:rsidP="009F242C">
      <w:pPr>
        <w:pStyle w:val="Heading4"/>
      </w:pPr>
      <w:bookmarkStart w:id="154" w:name="_Toc314147487"/>
      <w:bookmarkStart w:id="155" w:name="_Toc314833606"/>
      <w:bookmarkStart w:id="156" w:name="_Toc315692725"/>
      <w:bookmarkStart w:id="157" w:name="_Toc315865097"/>
      <w:r w:rsidRPr="009F242C">
        <w:t>Ministerial decisions regarding alcohol management plans</w:t>
      </w:r>
      <w:bookmarkEnd w:id="154"/>
      <w:bookmarkEnd w:id="155"/>
      <w:bookmarkEnd w:id="156"/>
      <w:bookmarkEnd w:id="157"/>
    </w:p>
    <w:p w14:paraId="52CF48E9" w14:textId="77777777" w:rsidR="00821224" w:rsidRDefault="00821224" w:rsidP="000974C4">
      <w:pPr>
        <w:pStyle w:val="SubmissionNormal"/>
        <w:numPr>
          <w:ilvl w:val="0"/>
          <w:numId w:val="41"/>
        </w:numPr>
        <w:ind w:hanging="709"/>
      </w:pPr>
      <w:r>
        <w:t xml:space="preserve">As noted above, the Bill enables the </w:t>
      </w:r>
      <w:r w:rsidRPr="00B50830">
        <w:t>Minister</w:t>
      </w:r>
      <w:r>
        <w:t xml:space="preserve"> to make a range of decisions regarding the approval, refusal to approve, variation or revocation of alcohol management plans.</w:t>
      </w:r>
    </w:p>
    <w:p w14:paraId="752CEA62" w14:textId="77777777" w:rsidR="00821224" w:rsidRDefault="00821224" w:rsidP="000974C4">
      <w:pPr>
        <w:pStyle w:val="SubmissionNormal"/>
        <w:numPr>
          <w:ilvl w:val="0"/>
          <w:numId w:val="41"/>
        </w:numPr>
        <w:ind w:hanging="709"/>
      </w:pPr>
      <w:r>
        <w:t>The Commission welcomes the provisions enabling the</w:t>
      </w:r>
      <w:r w:rsidRPr="00490111">
        <w:t xml:space="preserve"> </w:t>
      </w:r>
      <w:r w:rsidRPr="00B50830">
        <w:t>Minister</w:t>
      </w:r>
      <w:r w:rsidRPr="00490111">
        <w:t xml:space="preserve"> to</w:t>
      </w:r>
      <w:r>
        <w:t xml:space="preserve"> not</w:t>
      </w:r>
      <w:r w:rsidRPr="00490111">
        <w:t xml:space="preserve"> approve an alcohol management plan if there has been insufficient consultation or the majority of the community do not support the plan.</w:t>
      </w:r>
      <w:r>
        <w:rPr>
          <w:rStyle w:val="EndnoteReference"/>
        </w:rPr>
        <w:endnoteReference w:id="165"/>
      </w:r>
      <w:r w:rsidRPr="00490111">
        <w:t xml:space="preserve"> </w:t>
      </w:r>
      <w:r>
        <w:t>However, the Commission is concerned that the Minister may still exercise his or her discretion to approve a plan, notwithstanding the absence of either or both of these factors.</w:t>
      </w:r>
      <w:r>
        <w:rPr>
          <w:rStyle w:val="EndnoteReference"/>
        </w:rPr>
        <w:endnoteReference w:id="166"/>
      </w:r>
      <w:r>
        <w:t xml:space="preserve"> </w:t>
      </w:r>
    </w:p>
    <w:p w14:paraId="5728A657" w14:textId="77777777" w:rsidR="00821224" w:rsidRDefault="00821224" w:rsidP="000974C4">
      <w:pPr>
        <w:pStyle w:val="SubmissionNormal"/>
        <w:numPr>
          <w:ilvl w:val="0"/>
          <w:numId w:val="41"/>
        </w:numPr>
        <w:ind w:hanging="709"/>
      </w:pPr>
      <w:r>
        <w:lastRenderedPageBreak/>
        <w:t xml:space="preserve">The Commission also notes with concern that other Ministerial decisions in relation to alcohol management plans (that is, to vary or revoke a plan) do not specify that the Minister can decide not to take action if satisfied that there has been insufficient consultation or a majority of community members do not support the action. </w:t>
      </w:r>
    </w:p>
    <w:p w14:paraId="4D823172" w14:textId="77777777" w:rsidR="00821224" w:rsidRDefault="00821224" w:rsidP="000974C4">
      <w:pPr>
        <w:pStyle w:val="SubmissionNormal"/>
        <w:numPr>
          <w:ilvl w:val="0"/>
          <w:numId w:val="41"/>
        </w:numPr>
        <w:ind w:hanging="709"/>
      </w:pPr>
      <w:r>
        <w:t xml:space="preserve">This omission may undermine the potential for alcohol management plans to facilitate community control over the regulation of alcohol and the reduction of alcohol-related harm. </w:t>
      </w:r>
    </w:p>
    <w:p w14:paraId="16AFB417" w14:textId="77777777" w:rsidR="00821224" w:rsidRDefault="00821224" w:rsidP="000974C4">
      <w:pPr>
        <w:pStyle w:val="SubmissionNormal"/>
        <w:numPr>
          <w:ilvl w:val="0"/>
          <w:numId w:val="41"/>
        </w:numPr>
        <w:ind w:hanging="709"/>
      </w:pPr>
      <w:r>
        <w:t xml:space="preserve">The Commission contends that in making a decision relating to alcohol management plans, the Minister must ensure that there has been sufficient consultation with the affected community and take the outcomes of this consultation into account. The Commission reiterates that the features of meaningful consultation detailed at paragraph </w:t>
      </w:r>
      <w:r w:rsidR="00CC6261">
        <w:t>63 and appendix 2</w:t>
      </w:r>
      <w:r>
        <w:t xml:space="preserve"> should be used to guide the Government as to whether there has been sufficient consultation. </w:t>
      </w:r>
    </w:p>
    <w:p w14:paraId="6D9C8961" w14:textId="77777777" w:rsidR="00821224" w:rsidRDefault="00821224" w:rsidP="000974C4">
      <w:pPr>
        <w:pStyle w:val="SubmissionNormal"/>
        <w:numPr>
          <w:ilvl w:val="0"/>
          <w:numId w:val="41"/>
        </w:numPr>
        <w:ind w:hanging="709"/>
      </w:pPr>
      <w:r>
        <w:t>The Commission notes that the outcomes of community consultations should identify where there are differences of view within the community. This would assist in being able to appropriately weigh the views of people in the community who have suffered harm as a result of alcohol abuse in the community.</w:t>
      </w:r>
    </w:p>
    <w:p w14:paraId="294F42D4" w14:textId="77777777" w:rsidR="00821224" w:rsidRDefault="00821224" w:rsidP="000974C4">
      <w:pPr>
        <w:pStyle w:val="SubmissionNormal"/>
        <w:numPr>
          <w:ilvl w:val="0"/>
          <w:numId w:val="41"/>
        </w:numPr>
        <w:ind w:hanging="709"/>
      </w:pPr>
      <w:r>
        <w:t>The Commission also notes that when deciding to approve a variation to an alcohol management plan, the Minister is required to consider:</w:t>
      </w:r>
    </w:p>
    <w:p w14:paraId="60C38AC4" w14:textId="77777777" w:rsidR="00821224" w:rsidRDefault="00821224" w:rsidP="000974C4">
      <w:pPr>
        <w:pStyle w:val="SubmissionNormal"/>
        <w:numPr>
          <w:ilvl w:val="0"/>
          <w:numId w:val="32"/>
        </w:numPr>
      </w:pPr>
      <w:r>
        <w:t>the objects of the Part</w:t>
      </w:r>
    </w:p>
    <w:p w14:paraId="48AF738B" w14:textId="77777777" w:rsidR="00821224" w:rsidRDefault="00821224" w:rsidP="000974C4">
      <w:pPr>
        <w:pStyle w:val="SubmissionNormal"/>
        <w:numPr>
          <w:ilvl w:val="0"/>
          <w:numId w:val="32"/>
        </w:numPr>
      </w:pPr>
      <w:r>
        <w:t>any matter prescribed by rules</w:t>
      </w:r>
    </w:p>
    <w:p w14:paraId="0DF07C62" w14:textId="77777777" w:rsidR="00821224" w:rsidRDefault="00821224" w:rsidP="000974C4">
      <w:pPr>
        <w:pStyle w:val="SubmissionNormal"/>
        <w:numPr>
          <w:ilvl w:val="0"/>
          <w:numId w:val="32"/>
        </w:numPr>
      </w:pPr>
      <w:r>
        <w:t>any other relevant matter.</w:t>
      </w:r>
      <w:r>
        <w:rPr>
          <w:rStyle w:val="EndnoteReference"/>
        </w:rPr>
        <w:endnoteReference w:id="167"/>
      </w:r>
    </w:p>
    <w:p w14:paraId="5DE069C2" w14:textId="77777777" w:rsidR="00821224" w:rsidRDefault="00821224" w:rsidP="000974C4">
      <w:pPr>
        <w:pStyle w:val="SubmissionNormal"/>
        <w:numPr>
          <w:ilvl w:val="0"/>
          <w:numId w:val="41"/>
        </w:numPr>
        <w:ind w:hanging="709"/>
      </w:pPr>
      <w:r>
        <w:t>To ensure that variations to alcohol management plans retain community ownership it is essential that the Minister is required to consider the circumstances and views of the people living in the area.</w:t>
      </w:r>
    </w:p>
    <w:p w14:paraId="05460D20" w14:textId="77777777" w:rsidR="00821224" w:rsidRPr="009F242C" w:rsidRDefault="00821224" w:rsidP="009F242C">
      <w:pPr>
        <w:pStyle w:val="Heading4"/>
      </w:pPr>
      <w:bookmarkStart w:id="158" w:name="_Toc314147489"/>
      <w:bookmarkStart w:id="159" w:name="_Toc314833607"/>
      <w:bookmarkStart w:id="160" w:name="_Toc315692726"/>
      <w:bookmarkStart w:id="161" w:name="_Toc315865098"/>
      <w:r w:rsidRPr="009F242C">
        <w:t>Support for communities developing alcohol management plans</w:t>
      </w:r>
      <w:bookmarkEnd w:id="158"/>
      <w:bookmarkEnd w:id="159"/>
      <w:bookmarkEnd w:id="160"/>
      <w:bookmarkEnd w:id="161"/>
    </w:p>
    <w:p w14:paraId="6B722956" w14:textId="77777777" w:rsidR="00821224" w:rsidRDefault="00821224" w:rsidP="000974C4">
      <w:pPr>
        <w:pStyle w:val="SubmissionNormal"/>
        <w:numPr>
          <w:ilvl w:val="0"/>
          <w:numId w:val="41"/>
        </w:numPr>
        <w:ind w:hanging="709"/>
      </w:pPr>
      <w:r>
        <w:t>If alcohol management plans are to fulfil their potential to enable communities to control alcohol management, communities must be adequately supported and resourced to develop these plans.</w:t>
      </w:r>
      <w:r>
        <w:rPr>
          <w:rStyle w:val="EndnoteReference"/>
        </w:rPr>
        <w:endnoteReference w:id="168"/>
      </w:r>
      <w:r>
        <w:t xml:space="preserve"> The importance of access to financial, technical and other assistance in developing meaningful consultation processes is highlighted above at </w:t>
      </w:r>
      <w:r w:rsidR="00CC6261">
        <w:t>paragraph 63 and appendix 2</w:t>
      </w:r>
      <w:r>
        <w:t>.</w:t>
      </w:r>
      <w:r>
        <w:rPr>
          <w:rStyle w:val="EndnoteReference"/>
        </w:rPr>
        <w:endnoteReference w:id="169"/>
      </w:r>
    </w:p>
    <w:p w14:paraId="15A8C899" w14:textId="77777777" w:rsidR="00821224" w:rsidRDefault="00821224" w:rsidP="009F242C">
      <w:pPr>
        <w:pStyle w:val="Heading4"/>
      </w:pPr>
      <w:bookmarkStart w:id="162" w:name="_Toc314147490"/>
      <w:bookmarkStart w:id="163" w:name="_Toc314833608"/>
      <w:bookmarkStart w:id="164" w:name="_Toc315692727"/>
      <w:bookmarkStart w:id="165" w:name="_Toc315865099"/>
      <w:r>
        <w:t>Notices</w:t>
      </w:r>
      <w:bookmarkEnd w:id="162"/>
      <w:bookmarkEnd w:id="163"/>
      <w:bookmarkEnd w:id="164"/>
      <w:bookmarkEnd w:id="165"/>
    </w:p>
    <w:p w14:paraId="07244EE8" w14:textId="77777777" w:rsidR="00821224" w:rsidRDefault="00821224" w:rsidP="000974C4">
      <w:pPr>
        <w:pStyle w:val="SubmissionNormal"/>
        <w:numPr>
          <w:ilvl w:val="0"/>
          <w:numId w:val="41"/>
        </w:numPr>
        <w:ind w:hanging="709"/>
      </w:pPr>
      <w:r>
        <w:t>Under the 2007 NTER measures, road signs were erected in prescribed areas notifying the restrictions on alcohol and prohibited materials. The Stronger Futures Bill proposes that this power be retained by the Northern Territory Licencing Commission.</w:t>
      </w:r>
      <w:r>
        <w:rPr>
          <w:rStyle w:val="EndnoteReference"/>
        </w:rPr>
        <w:endnoteReference w:id="170"/>
      </w:r>
      <w:r>
        <w:t xml:space="preserve"> </w:t>
      </w:r>
    </w:p>
    <w:p w14:paraId="16F3CC09" w14:textId="5C9CF264" w:rsidR="00821224" w:rsidRDefault="00821224" w:rsidP="000974C4">
      <w:pPr>
        <w:pStyle w:val="SubmissionNormal"/>
        <w:numPr>
          <w:ilvl w:val="0"/>
          <w:numId w:val="41"/>
        </w:numPr>
        <w:ind w:hanging="709"/>
      </w:pPr>
      <w:r>
        <w:lastRenderedPageBreak/>
        <w:t xml:space="preserve">The erection of road signs under the NTER caused great hurt and humiliation to many people living in the affected prescribed areas, who felt that it ‘had the effect of shaming and labelling Aboriginal people as alcoholics and paedophiles’ and </w:t>
      </w:r>
      <w:r w:rsidR="009B4F4B">
        <w:t>was</w:t>
      </w:r>
      <w:r>
        <w:t xml:space="preserve"> ineffective at stopping drinking.</w:t>
      </w:r>
      <w:r>
        <w:rPr>
          <w:rStyle w:val="EndnoteReference"/>
        </w:rPr>
        <w:endnoteReference w:id="171"/>
      </w:r>
      <w:r>
        <w:t xml:space="preserve"> </w:t>
      </w:r>
    </w:p>
    <w:p w14:paraId="21E74020" w14:textId="2A663983" w:rsidR="00821224" w:rsidRDefault="00821224" w:rsidP="000974C4">
      <w:pPr>
        <w:pStyle w:val="SubmissionNormal"/>
        <w:numPr>
          <w:ilvl w:val="0"/>
          <w:numId w:val="41"/>
        </w:numPr>
        <w:ind w:hanging="709"/>
      </w:pPr>
      <w:r>
        <w:t>Therefore, the Commission strongly welcomes that the Stro</w:t>
      </w:r>
      <w:r w:rsidR="00455846">
        <w:t xml:space="preserve">nger Futures Bill’s proposal </w:t>
      </w:r>
      <w:r>
        <w:t>require</w:t>
      </w:r>
      <w:r w:rsidR="00455846">
        <w:t>s</w:t>
      </w:r>
      <w:r>
        <w:t xml:space="preserve"> the Northern Territory Licencing Commission to ensure that the wording of notices are respectful to Aboriginal people.</w:t>
      </w:r>
      <w:r>
        <w:rPr>
          <w:rStyle w:val="EndnoteReference"/>
        </w:rPr>
        <w:endnoteReference w:id="172"/>
      </w:r>
      <w:r>
        <w:t xml:space="preserve"> </w:t>
      </w:r>
    </w:p>
    <w:p w14:paraId="3F93D0B6" w14:textId="2EB92BC9" w:rsidR="00821224" w:rsidRDefault="00821224" w:rsidP="000974C4">
      <w:pPr>
        <w:pStyle w:val="SubmissionNormal"/>
        <w:numPr>
          <w:ilvl w:val="0"/>
          <w:numId w:val="41"/>
        </w:numPr>
        <w:ind w:hanging="709"/>
      </w:pPr>
      <w:r>
        <w:t>The Commission also welcomes the Bill’s proposal to require the Northern Territory Licensing Commission to consult with people living in the area about a proposal to erect a notice and the content and wording of the notice.</w:t>
      </w:r>
      <w:r>
        <w:rPr>
          <w:rStyle w:val="EndnoteReference"/>
        </w:rPr>
        <w:endnoteReference w:id="173"/>
      </w:r>
      <w:r>
        <w:t xml:space="preserve"> Previously, under the 2010 NTER redesign measures, consultation was at </w:t>
      </w:r>
      <w:r w:rsidR="00455846">
        <w:t xml:space="preserve">the </w:t>
      </w:r>
      <w:r>
        <w:t>discretion of the Licensing Commission and was limited to the content of the notice.</w:t>
      </w:r>
      <w:r>
        <w:rPr>
          <w:rStyle w:val="EndnoteReference"/>
        </w:rPr>
        <w:endnoteReference w:id="174"/>
      </w:r>
    </w:p>
    <w:p w14:paraId="24BA9BBA" w14:textId="51012405" w:rsidR="00821224" w:rsidRPr="00434E39" w:rsidRDefault="00821224" w:rsidP="000974C4">
      <w:pPr>
        <w:pStyle w:val="SubmissionNormal"/>
        <w:numPr>
          <w:ilvl w:val="0"/>
          <w:numId w:val="41"/>
        </w:numPr>
        <w:ind w:hanging="709"/>
      </w:pPr>
      <w:r w:rsidRPr="00434E39">
        <w:t xml:space="preserve">The Commission understands that the </w:t>
      </w:r>
      <w:r>
        <w:t>Government has</w:t>
      </w:r>
      <w:r w:rsidRPr="00434E39">
        <w:t xml:space="preserve"> taken steps to ensure existing signs are rectified to meet the requirements of the Bi</w:t>
      </w:r>
      <w:r w:rsidR="00455846">
        <w:t>ll. The Commission commends the</w:t>
      </w:r>
      <w:r w:rsidRPr="00434E39">
        <w:t xml:space="preserve"> Government for beginning this process. </w:t>
      </w:r>
    </w:p>
    <w:p w14:paraId="25F4FE98" w14:textId="77777777" w:rsidR="00821224" w:rsidRDefault="00821224" w:rsidP="009F242C">
      <w:pPr>
        <w:pStyle w:val="Heading3"/>
      </w:pPr>
      <w:bookmarkStart w:id="166" w:name="_Toc314147491"/>
      <w:bookmarkStart w:id="167" w:name="_Toc314833609"/>
      <w:bookmarkStart w:id="168" w:name="_Toc315692728"/>
      <w:bookmarkStart w:id="169" w:name="_Toc315865100"/>
      <w:bookmarkStart w:id="170" w:name="_Toc316042377"/>
      <w:r>
        <w:t>Assessments of licenced premises</w:t>
      </w:r>
      <w:bookmarkEnd w:id="166"/>
      <w:bookmarkEnd w:id="167"/>
      <w:bookmarkEnd w:id="168"/>
      <w:bookmarkEnd w:id="169"/>
      <w:bookmarkEnd w:id="170"/>
    </w:p>
    <w:p w14:paraId="42D7E6C2" w14:textId="77777777" w:rsidR="00821224" w:rsidRDefault="00821224" w:rsidP="000974C4">
      <w:pPr>
        <w:pStyle w:val="SubmissionNormal"/>
        <w:numPr>
          <w:ilvl w:val="0"/>
          <w:numId w:val="41"/>
        </w:numPr>
        <w:ind w:hanging="709"/>
      </w:pPr>
      <w:r>
        <w:t xml:space="preserve">The Commission welcomes the proposed power to enable the </w:t>
      </w:r>
      <w:r w:rsidRPr="00B50830">
        <w:t>Minister</w:t>
      </w:r>
      <w:r>
        <w:t xml:space="preserve"> to request the Northern Territory Minister to appoint an assessor to conduct an assessment of licenced premises if the Minister reasonably believes that the sale or consumption of liquor at or from the premises is causing substantial alcohol-related harm to Aboriginal people.</w:t>
      </w:r>
      <w:r>
        <w:rPr>
          <w:rStyle w:val="EndnoteReference"/>
        </w:rPr>
        <w:endnoteReference w:id="175"/>
      </w:r>
      <w:r>
        <w:t xml:space="preserve"> Efforts to ensure that licenced premises do not contribute to alcohol-related harm are integral to a holistic approach to addressing alcohol harm. </w:t>
      </w:r>
    </w:p>
    <w:p w14:paraId="6FBC7CA3" w14:textId="77777777" w:rsidR="00821224" w:rsidRDefault="00821224" w:rsidP="000974C4">
      <w:pPr>
        <w:pStyle w:val="SubmissionNormal"/>
        <w:numPr>
          <w:ilvl w:val="0"/>
          <w:numId w:val="41"/>
        </w:numPr>
        <w:ind w:hanging="709"/>
      </w:pPr>
      <w:r w:rsidRPr="009C4B62">
        <w:t>The N</w:t>
      </w:r>
      <w:r>
        <w:t xml:space="preserve">orthern </w:t>
      </w:r>
      <w:r w:rsidRPr="009C4B62">
        <w:t>T</w:t>
      </w:r>
      <w:r>
        <w:t>erritory</w:t>
      </w:r>
      <w:r w:rsidRPr="009C4B62">
        <w:t xml:space="preserve"> Minister must comply with the request unless he or she reasonably believes that compliance with the request would place an undue financial burden on the Northern Territory</w:t>
      </w:r>
      <w:r>
        <w:t>,</w:t>
      </w:r>
      <w:r w:rsidRPr="009C4B62">
        <w:t xml:space="preserve"> including the </w:t>
      </w:r>
      <w:r>
        <w:t xml:space="preserve">Northern Territory Licensing </w:t>
      </w:r>
      <w:r w:rsidRPr="009C4B62">
        <w:t>Commission; or would otherwise be inappropriate.</w:t>
      </w:r>
      <w:r>
        <w:rPr>
          <w:rStyle w:val="EndnoteReference"/>
        </w:rPr>
        <w:endnoteReference w:id="176"/>
      </w:r>
      <w:r w:rsidRPr="009C4B62">
        <w:t xml:space="preserve"> There is no guidance in the E</w:t>
      </w:r>
      <w:r>
        <w:t xml:space="preserve">xplanatory </w:t>
      </w:r>
      <w:r w:rsidRPr="009C4B62">
        <w:t>M</w:t>
      </w:r>
      <w:r>
        <w:t>emorandum</w:t>
      </w:r>
      <w:r w:rsidRPr="009C4B62">
        <w:t xml:space="preserve"> about the circumstances </w:t>
      </w:r>
      <w:r>
        <w:t>under which the Northern Territory Minister could invoke these exclusions.</w:t>
      </w:r>
    </w:p>
    <w:p w14:paraId="2D066317" w14:textId="5AE007CD" w:rsidR="00821224" w:rsidRPr="00B6297B" w:rsidRDefault="00821224" w:rsidP="000974C4">
      <w:pPr>
        <w:pStyle w:val="SubmissionNormal"/>
        <w:numPr>
          <w:ilvl w:val="0"/>
          <w:numId w:val="41"/>
        </w:numPr>
        <w:ind w:hanging="709"/>
      </w:pPr>
      <w:r>
        <w:t>The Commission considers</w:t>
      </w:r>
      <w:r w:rsidRPr="00B6297B">
        <w:rPr>
          <w:rFonts w:cs="Arial"/>
        </w:rPr>
        <w:t xml:space="preserve"> that </w:t>
      </w:r>
      <w:r>
        <w:rPr>
          <w:rFonts w:cs="Arial"/>
        </w:rPr>
        <w:t>the</w:t>
      </w:r>
      <w:r w:rsidRPr="00B6297B">
        <w:rPr>
          <w:rFonts w:cs="Arial"/>
        </w:rPr>
        <w:t xml:space="preserve"> discretion </w:t>
      </w:r>
      <w:r>
        <w:rPr>
          <w:rFonts w:cs="Arial"/>
        </w:rPr>
        <w:t>of</w:t>
      </w:r>
      <w:r w:rsidRPr="00B6297B">
        <w:rPr>
          <w:rFonts w:cs="Arial"/>
        </w:rPr>
        <w:t xml:space="preserve"> </w:t>
      </w:r>
      <w:r w:rsidR="00595F25">
        <w:rPr>
          <w:rFonts w:cs="Arial"/>
        </w:rPr>
        <w:t xml:space="preserve">the </w:t>
      </w:r>
      <w:r w:rsidRPr="00B6297B">
        <w:rPr>
          <w:rFonts w:cs="Arial"/>
        </w:rPr>
        <w:t>N</w:t>
      </w:r>
      <w:r>
        <w:rPr>
          <w:rFonts w:cs="Arial"/>
        </w:rPr>
        <w:t xml:space="preserve">orthern </w:t>
      </w:r>
      <w:r w:rsidRPr="00B6297B">
        <w:rPr>
          <w:rFonts w:cs="Arial"/>
        </w:rPr>
        <w:t>T</w:t>
      </w:r>
      <w:r>
        <w:rPr>
          <w:rFonts w:cs="Arial"/>
        </w:rPr>
        <w:t>erritory</w:t>
      </w:r>
      <w:r w:rsidRPr="00B6297B">
        <w:rPr>
          <w:rFonts w:cs="Arial"/>
        </w:rPr>
        <w:t xml:space="preserve"> Minister </w:t>
      </w:r>
      <w:r>
        <w:rPr>
          <w:rFonts w:cs="Arial"/>
        </w:rPr>
        <w:t xml:space="preserve">to refuse a request to assess </w:t>
      </w:r>
      <w:r w:rsidRPr="00B6297B">
        <w:rPr>
          <w:rFonts w:cs="Arial"/>
        </w:rPr>
        <w:t>licensed premises</w:t>
      </w:r>
      <w:r>
        <w:rPr>
          <w:rFonts w:cs="Arial"/>
        </w:rPr>
        <w:t xml:space="preserve"> is too broad</w:t>
      </w:r>
      <w:r w:rsidRPr="00B6297B">
        <w:rPr>
          <w:rFonts w:cs="Arial"/>
        </w:rPr>
        <w:t xml:space="preserve">. It is not difficult to </w:t>
      </w:r>
      <w:r>
        <w:rPr>
          <w:rFonts w:cs="Arial"/>
        </w:rPr>
        <w:t xml:space="preserve">envisage </w:t>
      </w:r>
      <w:r w:rsidRPr="00B6297B">
        <w:rPr>
          <w:rFonts w:cs="Arial"/>
        </w:rPr>
        <w:t xml:space="preserve">a request </w:t>
      </w:r>
      <w:r>
        <w:rPr>
          <w:rFonts w:cs="Arial"/>
        </w:rPr>
        <w:t>to conduct an assessment could</w:t>
      </w:r>
      <w:r w:rsidRPr="00B6297B">
        <w:rPr>
          <w:rFonts w:cs="Arial"/>
        </w:rPr>
        <w:t xml:space="preserve"> </w:t>
      </w:r>
      <w:r>
        <w:rPr>
          <w:rFonts w:cs="Arial"/>
        </w:rPr>
        <w:t>be</w:t>
      </w:r>
      <w:r w:rsidRPr="00B6297B">
        <w:rPr>
          <w:rFonts w:cs="Arial"/>
        </w:rPr>
        <w:t xml:space="preserve"> perceived as placing ‘undue’ financial pressure on the </w:t>
      </w:r>
      <w:r>
        <w:rPr>
          <w:rFonts w:cs="Arial"/>
        </w:rPr>
        <w:t xml:space="preserve">Northern Territory </w:t>
      </w:r>
      <w:r w:rsidRPr="00B6297B">
        <w:rPr>
          <w:rFonts w:cs="Arial"/>
        </w:rPr>
        <w:t xml:space="preserve">Licensing </w:t>
      </w:r>
      <w:r w:rsidRPr="00E83D81">
        <w:t>Commission’s</w:t>
      </w:r>
      <w:r w:rsidRPr="00B6297B">
        <w:rPr>
          <w:rFonts w:cs="Arial"/>
        </w:rPr>
        <w:t xml:space="preserve"> already heavy workload. </w:t>
      </w:r>
    </w:p>
    <w:p w14:paraId="69143628" w14:textId="77777777" w:rsidR="00821224" w:rsidRPr="006A3EA7" w:rsidRDefault="00821224" w:rsidP="000974C4">
      <w:pPr>
        <w:pStyle w:val="SubmissionNormal"/>
        <w:numPr>
          <w:ilvl w:val="0"/>
          <w:numId w:val="41"/>
        </w:numPr>
        <w:ind w:hanging="709"/>
      </w:pPr>
      <w:r w:rsidRPr="00B6297B">
        <w:rPr>
          <w:rFonts w:cs="Arial"/>
        </w:rPr>
        <w:t xml:space="preserve">To ensure </w:t>
      </w:r>
      <w:r w:rsidRPr="00E83D81">
        <w:t>the</w:t>
      </w:r>
      <w:r w:rsidRPr="00B6297B">
        <w:rPr>
          <w:rFonts w:cs="Arial"/>
        </w:rPr>
        <w:t xml:space="preserve"> practical effectiveness of the provision is not circumven</w:t>
      </w:r>
      <w:r>
        <w:rPr>
          <w:rFonts w:cs="Arial"/>
        </w:rPr>
        <w:t xml:space="preserve">ted, the Commission believes that the Northern Territory Government should only be able to refuse a request if the financial burden is </w:t>
      </w:r>
      <w:r w:rsidRPr="00B6297B">
        <w:rPr>
          <w:rFonts w:cs="Arial"/>
        </w:rPr>
        <w:t>‘excessive’</w:t>
      </w:r>
      <w:r>
        <w:rPr>
          <w:rFonts w:cs="Arial"/>
        </w:rPr>
        <w:t>.</w:t>
      </w:r>
      <w:r w:rsidRPr="00B6297B">
        <w:rPr>
          <w:rFonts w:cs="Arial"/>
        </w:rPr>
        <w:t xml:space="preserve"> </w:t>
      </w:r>
      <w:r>
        <w:rPr>
          <w:rFonts w:cs="Arial"/>
        </w:rPr>
        <w:t>Further, the Australian Government should assist the Northern Territory Government to meet increased fiscal costs caused by conducting assessments.</w:t>
      </w:r>
    </w:p>
    <w:p w14:paraId="476E7D57" w14:textId="77777777" w:rsidR="00821224" w:rsidRPr="004435F1" w:rsidRDefault="00821224" w:rsidP="000974C4">
      <w:pPr>
        <w:pStyle w:val="SubmissionNormal"/>
        <w:numPr>
          <w:ilvl w:val="0"/>
          <w:numId w:val="41"/>
        </w:numPr>
        <w:ind w:hanging="709"/>
      </w:pPr>
      <w:r>
        <w:rPr>
          <w:rFonts w:cs="Arial"/>
        </w:rPr>
        <w:t xml:space="preserve">Further the Commission notes </w:t>
      </w:r>
      <w:r w:rsidRPr="00B934B4">
        <w:rPr>
          <w:rFonts w:cs="Arial"/>
        </w:rPr>
        <w:t>that the</w:t>
      </w:r>
      <w:r w:rsidRPr="00B934B4">
        <w:t xml:space="preserve"> term ‘inappropriate’ is defined by the Oxford Dictionary to mean: ‘</w:t>
      </w:r>
      <w:r w:rsidRPr="00B934B4">
        <w:rPr>
          <w:rFonts w:cs="Arial"/>
        </w:rPr>
        <w:t xml:space="preserve">not suitable </w:t>
      </w:r>
      <w:r>
        <w:rPr>
          <w:rFonts w:cs="Arial"/>
        </w:rPr>
        <w:t>or proper in the circumstances’.</w:t>
      </w:r>
      <w:r w:rsidRPr="00B934B4">
        <w:rPr>
          <w:rFonts w:cs="Arial"/>
        </w:rPr>
        <w:t xml:space="preserve"> The Commission</w:t>
      </w:r>
      <w:r>
        <w:rPr>
          <w:rFonts w:cs="Arial"/>
        </w:rPr>
        <w:t xml:space="preserve"> suggests therefore that the discretion to refuse to conduct an assessment is too broad. </w:t>
      </w:r>
    </w:p>
    <w:p w14:paraId="74CB4027" w14:textId="77777777" w:rsidR="00821224" w:rsidRPr="00B6297B" w:rsidRDefault="00821224" w:rsidP="000974C4">
      <w:pPr>
        <w:pStyle w:val="SubmissionNormal"/>
        <w:numPr>
          <w:ilvl w:val="0"/>
          <w:numId w:val="41"/>
        </w:numPr>
        <w:ind w:hanging="709"/>
      </w:pPr>
      <w:r>
        <w:rPr>
          <w:rFonts w:cs="Arial"/>
        </w:rPr>
        <w:lastRenderedPageBreak/>
        <w:t>The Commission notes that there is no statutory procedure to review the merits of government decisions in the Northern Territory.</w:t>
      </w:r>
      <w:r>
        <w:rPr>
          <w:rStyle w:val="EndnoteReference"/>
          <w:rFonts w:cs="Arial"/>
        </w:rPr>
        <w:endnoteReference w:id="177"/>
      </w:r>
      <w:r>
        <w:rPr>
          <w:rFonts w:cs="Arial"/>
        </w:rPr>
        <w:t xml:space="preserve"> This provides further justification for narrowing the Northern Territory Minister’s discretion to refuse to undertake an assessment.</w:t>
      </w:r>
    </w:p>
    <w:p w14:paraId="3469184C" w14:textId="77777777" w:rsidR="00821224" w:rsidRPr="009F242C" w:rsidRDefault="00821224" w:rsidP="009F242C">
      <w:pPr>
        <w:pStyle w:val="Heading3"/>
      </w:pPr>
      <w:bookmarkStart w:id="173" w:name="_Toc314147492"/>
      <w:bookmarkStart w:id="174" w:name="_Toc314833610"/>
      <w:bookmarkStart w:id="175" w:name="_Toc315692729"/>
      <w:bookmarkStart w:id="176" w:name="_Toc315865101"/>
      <w:bookmarkStart w:id="177" w:name="_Toc316042378"/>
      <w:r w:rsidRPr="009F242C">
        <w:t>Criminal justice issues</w:t>
      </w:r>
      <w:bookmarkEnd w:id="173"/>
      <w:bookmarkEnd w:id="174"/>
      <w:bookmarkEnd w:id="175"/>
      <w:bookmarkEnd w:id="176"/>
      <w:bookmarkEnd w:id="177"/>
    </w:p>
    <w:p w14:paraId="3ED5E677" w14:textId="311279D3" w:rsidR="00821224" w:rsidRPr="009F242C" w:rsidRDefault="00821224" w:rsidP="000974C4">
      <w:pPr>
        <w:pStyle w:val="SubmissionNormal"/>
        <w:numPr>
          <w:ilvl w:val="0"/>
          <w:numId w:val="41"/>
        </w:numPr>
        <w:ind w:hanging="709"/>
        <w:rPr>
          <w:rFonts w:cs="Arial"/>
        </w:rPr>
      </w:pPr>
      <w:r w:rsidRPr="009F242C">
        <w:rPr>
          <w:rFonts w:cs="Arial"/>
        </w:rPr>
        <w:t xml:space="preserve">Proposed s 8 of the Stronger Futures Bill inserts a new Division 1AA into the Liquor Act. This proposal will continue the offences to bring, possess, control, consume, supply, </w:t>
      </w:r>
      <w:r w:rsidR="009B4F4B">
        <w:rPr>
          <w:rFonts w:cs="Arial"/>
        </w:rPr>
        <w:t xml:space="preserve">or </w:t>
      </w:r>
      <w:r w:rsidRPr="009F242C">
        <w:rPr>
          <w:rFonts w:cs="Arial"/>
        </w:rPr>
        <w:t>transport liquor in ‘alcohol protected areas’ that were in place in prescribed areas under the NTER.</w:t>
      </w:r>
    </w:p>
    <w:p w14:paraId="2EF72851" w14:textId="77777777" w:rsidR="00821224" w:rsidRPr="009F242C" w:rsidRDefault="00821224" w:rsidP="000974C4">
      <w:pPr>
        <w:pStyle w:val="SubmissionNormal"/>
        <w:numPr>
          <w:ilvl w:val="0"/>
          <w:numId w:val="41"/>
        </w:numPr>
        <w:ind w:hanging="709"/>
        <w:rPr>
          <w:rFonts w:cs="Arial"/>
        </w:rPr>
      </w:pPr>
      <w:r w:rsidRPr="009F242C">
        <w:rPr>
          <w:rFonts w:cs="Arial"/>
        </w:rPr>
        <w:t>The maximum penalties for the offences of supply, transport, or possession with the intention of supply of more than 1 350 ml of alcohol, under the NTNER Act were 680 penalty units or 18 months imprisonment.</w:t>
      </w:r>
      <w:r w:rsidRPr="00D067AB">
        <w:rPr>
          <w:rFonts w:cs="Arial"/>
          <w:sz w:val="20"/>
          <w:szCs w:val="20"/>
          <w:vertAlign w:val="superscript"/>
        </w:rPr>
        <w:endnoteReference w:id="178"/>
      </w:r>
      <w:r w:rsidRPr="009F242C">
        <w:rPr>
          <w:rFonts w:cs="Arial"/>
        </w:rPr>
        <w:t xml:space="preserve"> This is retained in the Stronger Futures Bill.</w:t>
      </w:r>
      <w:r w:rsidRPr="00D067AB">
        <w:rPr>
          <w:rFonts w:cs="Arial"/>
          <w:sz w:val="20"/>
          <w:szCs w:val="20"/>
          <w:vertAlign w:val="superscript"/>
        </w:rPr>
        <w:endnoteReference w:id="179"/>
      </w:r>
      <w:r w:rsidRPr="00D067AB">
        <w:rPr>
          <w:rFonts w:cs="Arial"/>
          <w:sz w:val="20"/>
          <w:szCs w:val="20"/>
          <w:vertAlign w:val="superscript"/>
        </w:rPr>
        <w:t xml:space="preserve"> </w:t>
      </w:r>
      <w:r w:rsidRPr="009F242C">
        <w:rPr>
          <w:rFonts w:cs="Arial"/>
        </w:rPr>
        <w:t>The Explanatory Memorandum states that the serious penalties in relation to larger scale offences aim to reduce the flow of liquor into Aboriginal communities and target those profiting from unlawful transportation of the sale of liquor in Aboriginal communities.</w:t>
      </w:r>
      <w:r w:rsidRPr="00D067AB">
        <w:rPr>
          <w:rFonts w:cs="Arial"/>
          <w:sz w:val="20"/>
          <w:szCs w:val="20"/>
          <w:vertAlign w:val="superscript"/>
        </w:rPr>
        <w:endnoteReference w:id="180"/>
      </w:r>
    </w:p>
    <w:p w14:paraId="5AD27108" w14:textId="77777777" w:rsidR="00821224" w:rsidRPr="009F242C" w:rsidRDefault="00821224" w:rsidP="000974C4">
      <w:pPr>
        <w:pStyle w:val="SubmissionNormal"/>
        <w:numPr>
          <w:ilvl w:val="0"/>
          <w:numId w:val="41"/>
        </w:numPr>
        <w:ind w:hanging="709"/>
        <w:rPr>
          <w:rFonts w:cs="Arial"/>
        </w:rPr>
      </w:pPr>
      <w:r w:rsidRPr="009F242C">
        <w:rPr>
          <w:rFonts w:cs="Arial"/>
        </w:rPr>
        <w:t xml:space="preserve">Proposed section 75B(1) increases the maximum penalties for offences involving bringing into, possessing or controlling, or consuming less than 1 350 ml of </w:t>
      </w:r>
      <w:r>
        <w:rPr>
          <w:rFonts w:cs="Arial"/>
        </w:rPr>
        <w:t>liquor</w:t>
      </w:r>
      <w:r w:rsidRPr="009F242C">
        <w:rPr>
          <w:rFonts w:cs="Arial"/>
        </w:rPr>
        <w:t xml:space="preserve"> in an ‘alcohol protected area’ to 100 penalty units or six months’ imprisonment. Proposed s 75C(1) does the same for offences involving supplying or transporting with the intent to supply </w:t>
      </w:r>
      <w:r>
        <w:rPr>
          <w:rFonts w:cs="Arial"/>
        </w:rPr>
        <w:t>liquor</w:t>
      </w:r>
      <w:r w:rsidRPr="009F242C">
        <w:rPr>
          <w:rFonts w:cs="Arial"/>
        </w:rPr>
        <w:t xml:space="preserve"> to a person in an ‘alcohol protected area’. The Explanatory Memorandum states that ‘the intention is that having alcohol within an alcohol protected area is to be treated as a significant offence’.</w:t>
      </w:r>
      <w:r w:rsidRPr="00506FBF">
        <w:rPr>
          <w:rFonts w:cs="Arial"/>
          <w:sz w:val="20"/>
          <w:szCs w:val="20"/>
          <w:vertAlign w:val="superscript"/>
        </w:rPr>
        <w:endnoteReference w:id="181"/>
      </w:r>
    </w:p>
    <w:p w14:paraId="5647364B" w14:textId="77777777" w:rsidR="00821224" w:rsidRDefault="00821224" w:rsidP="000974C4">
      <w:pPr>
        <w:pStyle w:val="SubmissionNormal"/>
        <w:numPr>
          <w:ilvl w:val="0"/>
          <w:numId w:val="41"/>
        </w:numPr>
        <w:ind w:hanging="709"/>
      </w:pPr>
      <w:r w:rsidRPr="009F242C">
        <w:rPr>
          <w:rFonts w:cs="Arial"/>
        </w:rPr>
        <w:t>The Commission commends the Government’s intention to address alcohol related harm but does not support the criminalising of behaviour that is not</w:t>
      </w:r>
      <w:r>
        <w:t xml:space="preserve"> subject to criminalisation outside of alcohol protected areas.</w:t>
      </w:r>
      <w:r>
        <w:rPr>
          <w:rStyle w:val="EndnoteReference"/>
        </w:rPr>
        <w:endnoteReference w:id="182"/>
      </w:r>
    </w:p>
    <w:p w14:paraId="04FAB4CA" w14:textId="77777777" w:rsidR="00821224" w:rsidRDefault="00821224" w:rsidP="000974C4">
      <w:pPr>
        <w:pStyle w:val="SubmissionNormal"/>
        <w:numPr>
          <w:ilvl w:val="0"/>
          <w:numId w:val="41"/>
        </w:numPr>
        <w:ind w:hanging="709"/>
      </w:pPr>
      <w:r>
        <w:t xml:space="preserve">The </w:t>
      </w:r>
      <w:r w:rsidRPr="009F7759">
        <w:rPr>
          <w:i/>
        </w:rPr>
        <w:t>NTER Evaluation Report</w:t>
      </w:r>
      <w:r>
        <w:t xml:space="preserve"> indicated there was a clear increase in alcohol-related offences, including offences that were created by the NTER measures.</w:t>
      </w:r>
      <w:r>
        <w:rPr>
          <w:rStyle w:val="EndnoteReference"/>
        </w:rPr>
        <w:endnoteReference w:id="183"/>
      </w:r>
      <w:r>
        <w:t xml:space="preserve"> The Commission therefore reiterates its standing concerns that the alcohol offences under the NTER continued by the Stronger Futures Bill may result in increased imprisonment of Aboriginal and Torres Strait Islander peoples.</w:t>
      </w:r>
      <w:r>
        <w:rPr>
          <w:rStyle w:val="EndnoteReference"/>
        </w:rPr>
        <w:endnoteReference w:id="184"/>
      </w:r>
      <w:r>
        <w:t xml:space="preserve"> </w:t>
      </w:r>
    </w:p>
    <w:p w14:paraId="20F65F2F" w14:textId="0B1524AB" w:rsidR="00821224" w:rsidRDefault="00821224" w:rsidP="004B5E11">
      <w:pPr>
        <w:pStyle w:val="SubmissionNormal"/>
        <w:numPr>
          <w:ilvl w:val="0"/>
          <w:numId w:val="41"/>
        </w:numPr>
        <w:ind w:hanging="709"/>
      </w:pPr>
      <w:r>
        <w:t xml:space="preserve">The Commission also highlights the likelihood that Aboriginal and Torres Strait Islander peoples will not be able to pay the fines imposed for violating the alcohol bans. This is especially the case where the person is also subject to income management </w:t>
      </w:r>
      <w:r w:rsidR="00435032">
        <w:t xml:space="preserve">and </w:t>
      </w:r>
      <w:r>
        <w:t xml:space="preserve">may not be in a position to pay the fines. The proposed provisions that increase the maximum penalties for offences involving less than 1 350 ml of alcohol </w:t>
      </w:r>
      <w:r w:rsidR="00435032">
        <w:t>are</w:t>
      </w:r>
      <w:r>
        <w:t xml:space="preserve"> particularly concerning because such an offence now carries a term of imprisonment.</w:t>
      </w:r>
    </w:p>
    <w:p w14:paraId="26AE5196" w14:textId="6F2EF931" w:rsidR="00821224" w:rsidRDefault="00821224" w:rsidP="005B0E87">
      <w:pPr>
        <w:pStyle w:val="SubmissionNormal"/>
        <w:numPr>
          <w:ilvl w:val="0"/>
          <w:numId w:val="41"/>
        </w:numPr>
        <w:ind w:hanging="709"/>
      </w:pPr>
      <w:r>
        <w:t xml:space="preserve">The Commission is also concerned about possible confusion caused by the terminology adopted in these proposed provisions. Offences under proposed 75B and 75C(1) refer to ‘liquor’, whereas proposed s 75C(7) refers to offences involving more than 1 350 ml of ‘alcohol’. ‘Liquor’ is defined in the </w:t>
      </w:r>
      <w:r w:rsidRPr="004B5E11">
        <w:rPr>
          <w:i/>
        </w:rPr>
        <w:t xml:space="preserve">Liquor Act </w:t>
      </w:r>
      <w:r>
        <w:t>(N</w:t>
      </w:r>
      <w:r w:rsidR="00EB0278">
        <w:t xml:space="preserve">orthern </w:t>
      </w:r>
      <w:r>
        <w:t>T</w:t>
      </w:r>
      <w:r w:rsidR="00EB0278">
        <w:t>erritory</w:t>
      </w:r>
      <w:r>
        <w:t xml:space="preserve">) to mean ‘a beverage that contains more than 1.15% by </w:t>
      </w:r>
      <w:r>
        <w:lastRenderedPageBreak/>
        <w:t xml:space="preserve">volume of ethyl alcohol’. Alcohol is not defined. </w:t>
      </w:r>
      <w:r w:rsidR="004C2EDE">
        <w:t>T</w:t>
      </w:r>
      <w:r>
        <w:t>he Commission contends to avoid uncertainty a definition of ‘alcohol’ for the purposes of these offences should be inserted into the proposed dictionary in clause 75A(1).</w:t>
      </w:r>
    </w:p>
    <w:p w14:paraId="087CB439" w14:textId="77777777" w:rsidR="00821224" w:rsidRDefault="00821224" w:rsidP="005B0E87">
      <w:pPr>
        <w:pStyle w:val="SubmissionNormal"/>
        <w:numPr>
          <w:ilvl w:val="0"/>
          <w:numId w:val="41"/>
        </w:numPr>
        <w:ind w:hanging="709"/>
      </w:pPr>
      <w:r>
        <w:t>The Australian Government has indicated that increasing the penalty for offences involving liquor under 1 350 ml of alcohol is in response to ‘Aboriginal people’s widespread concern about alcohol-related harm’.</w:t>
      </w:r>
      <w:r>
        <w:rPr>
          <w:rStyle w:val="EndnoteReference"/>
        </w:rPr>
        <w:endnoteReference w:id="185"/>
      </w:r>
      <w:r w:rsidRPr="00381CF9">
        <w:t xml:space="preserve"> </w:t>
      </w:r>
      <w:r>
        <w:t xml:space="preserve">The Commission does not consider that the Stronger Futures </w:t>
      </w:r>
      <w:r w:rsidRPr="00381CF9">
        <w:t xml:space="preserve">consultations </w:t>
      </w:r>
      <w:r>
        <w:t xml:space="preserve">clearly support this assertion. </w:t>
      </w:r>
    </w:p>
    <w:p w14:paraId="331AA22F" w14:textId="77777777" w:rsidR="00821224" w:rsidRDefault="00821224" w:rsidP="005B0E87">
      <w:pPr>
        <w:pStyle w:val="SubmissionNormal"/>
        <w:numPr>
          <w:ilvl w:val="0"/>
          <w:numId w:val="41"/>
        </w:numPr>
        <w:ind w:hanging="709"/>
      </w:pPr>
      <w:r>
        <w:t xml:space="preserve">While the </w:t>
      </w:r>
      <w:r w:rsidRPr="005B0E87">
        <w:rPr>
          <w:i/>
        </w:rPr>
        <w:t>Stronger Futures Consult</w:t>
      </w:r>
      <w:r w:rsidRPr="0078167D">
        <w:rPr>
          <w:i/>
        </w:rPr>
        <w:t>ation Report</w:t>
      </w:r>
      <w:r>
        <w:t xml:space="preserve"> does state that the ‘most frequent response to reducing alcohol harm was that more police, stronger policing and stronger penalties were needed’,</w:t>
      </w:r>
      <w:r>
        <w:rPr>
          <w:rStyle w:val="EndnoteReference"/>
        </w:rPr>
        <w:endnoteReference w:id="186"/>
      </w:r>
      <w:r>
        <w:t xml:space="preserve">  the Report also indicates that the consultations elicited a wide variety of other less punitive responses to addressing alcohol harm.</w:t>
      </w:r>
      <w:r>
        <w:rPr>
          <w:rStyle w:val="EndnoteReference"/>
        </w:rPr>
        <w:endnoteReference w:id="187"/>
      </w:r>
      <w:r w:rsidRPr="00381CF9">
        <w:t>.</w:t>
      </w:r>
    </w:p>
    <w:p w14:paraId="1FCCB6C0" w14:textId="77777777" w:rsidR="00821224" w:rsidRPr="00144C0A" w:rsidRDefault="00821224" w:rsidP="000974C4">
      <w:pPr>
        <w:pStyle w:val="SubmissionNormal"/>
        <w:numPr>
          <w:ilvl w:val="0"/>
          <w:numId w:val="41"/>
        </w:numPr>
        <w:ind w:hanging="709"/>
      </w:pPr>
      <w:r>
        <w:t xml:space="preserve">The Commission notes that proposed s 9 of the Stronger Bill provides that the </w:t>
      </w:r>
    </w:p>
    <w:p w14:paraId="0B8B96C8" w14:textId="77777777" w:rsidR="00821224" w:rsidRPr="006A17F3" w:rsidRDefault="00821224" w:rsidP="009F242C">
      <w:pPr>
        <w:pStyle w:val="SubmissionNormal"/>
        <w:numPr>
          <w:ilvl w:val="0"/>
          <w:numId w:val="0"/>
        </w:numPr>
        <w:ind w:left="1440"/>
        <w:rPr>
          <w:sz w:val="22"/>
          <w:szCs w:val="22"/>
        </w:rPr>
      </w:pPr>
      <w:r w:rsidRPr="006A17F3">
        <w:rPr>
          <w:sz w:val="22"/>
          <w:szCs w:val="22"/>
        </w:rPr>
        <w:t xml:space="preserve">The NT Liquor Act (other than section 75 of that Act) applies, while this Act is in effect, as if each alcohol protected area were a general restricted area under that Act. </w:t>
      </w:r>
    </w:p>
    <w:p w14:paraId="05241E86" w14:textId="77777777" w:rsidR="00821224" w:rsidRDefault="00821224" w:rsidP="000974C4">
      <w:pPr>
        <w:pStyle w:val="SubmissionNormal"/>
        <w:numPr>
          <w:ilvl w:val="0"/>
          <w:numId w:val="41"/>
        </w:numPr>
        <w:ind w:hanging="709"/>
      </w:pPr>
      <w:r w:rsidRPr="00D371B8">
        <w:t>The</w:t>
      </w:r>
      <w:r>
        <w:t xml:space="preserve"> Explanatory Memorandum to the Bill also notes </w:t>
      </w:r>
      <w:r w:rsidRPr="00D371B8">
        <w:t>the option to refer an offender to the Substance Misuse Assessment and Referral for Treatment Court (SMART Court)</w:t>
      </w:r>
      <w:r>
        <w:t>.</w:t>
      </w:r>
      <w:r w:rsidRPr="00D371B8">
        <w:t xml:space="preserve"> The SMART Court is a court that deals with offenders where ‘serious alcohol or drug misuse’ contributed to the offending. </w:t>
      </w:r>
    </w:p>
    <w:p w14:paraId="55B3A011" w14:textId="77777777" w:rsidR="00821224" w:rsidRDefault="00821224" w:rsidP="000974C4">
      <w:pPr>
        <w:pStyle w:val="SubmissionNormal"/>
        <w:numPr>
          <w:ilvl w:val="0"/>
          <w:numId w:val="41"/>
        </w:numPr>
        <w:ind w:hanging="709"/>
      </w:pPr>
      <w:r w:rsidRPr="00D371B8">
        <w:t xml:space="preserve">The </w:t>
      </w:r>
      <w:r>
        <w:t xml:space="preserve">SMART </w:t>
      </w:r>
      <w:r w:rsidRPr="00D371B8">
        <w:t xml:space="preserve">Court is able to make orders to assist the offender to address substance misuse and issues relating to rehabilitation. </w:t>
      </w:r>
      <w:r>
        <w:t>The Commission supports the use of SMART Courts to deal with alcohol related offences but notes that this option is only available where the offender has a history of serious substance misuse. However, it is possible that not all persons charged with possessing or consuming less than 1350ml of alcohol will fall into this category</w:t>
      </w:r>
      <w:r w:rsidRPr="00FD76AF">
        <w:t>.</w:t>
      </w:r>
    </w:p>
    <w:p w14:paraId="67109E84" w14:textId="37F8085F" w:rsidR="00821224" w:rsidRPr="00381CF9" w:rsidRDefault="00821224" w:rsidP="000974C4">
      <w:pPr>
        <w:pStyle w:val="SubmissionNormal"/>
        <w:numPr>
          <w:ilvl w:val="0"/>
          <w:numId w:val="41"/>
        </w:numPr>
        <w:ind w:hanging="709"/>
      </w:pPr>
      <w:r>
        <w:t xml:space="preserve">Under the </w:t>
      </w:r>
      <w:r w:rsidRPr="007A1DBF">
        <w:rPr>
          <w:i/>
        </w:rPr>
        <w:t>Liquor Act</w:t>
      </w:r>
      <w:r>
        <w:t xml:space="preserve"> (N</w:t>
      </w:r>
      <w:r w:rsidR="00EB0278">
        <w:t xml:space="preserve">orthern </w:t>
      </w:r>
      <w:r>
        <w:t>T</w:t>
      </w:r>
      <w:r w:rsidR="00EB0278">
        <w:t>erritory</w:t>
      </w:r>
      <w:r>
        <w:t xml:space="preserve">), there are alternative enforcement processes available for minor offences, such as the issue of penalty infringement notices. In the Commission’s view these alternative enforcement processes should be the primary way to manage the possession and consumption of alcohol in alcohol protected areas.   </w:t>
      </w:r>
    </w:p>
    <w:p w14:paraId="039E0ED7" w14:textId="77777777" w:rsidR="00821224" w:rsidRPr="009F242C" w:rsidRDefault="00821224" w:rsidP="009F242C">
      <w:pPr>
        <w:pStyle w:val="Heading3"/>
      </w:pPr>
      <w:bookmarkStart w:id="178" w:name="_Toc314147493"/>
      <w:bookmarkStart w:id="179" w:name="_Toc314833611"/>
      <w:bookmarkStart w:id="180" w:name="_Toc315692730"/>
      <w:bookmarkStart w:id="181" w:name="_Toc315865102"/>
      <w:bookmarkStart w:id="182" w:name="_Toc316042379"/>
      <w:r w:rsidRPr="009F242C">
        <w:t>Floor price</w:t>
      </w:r>
      <w:bookmarkEnd w:id="178"/>
      <w:bookmarkEnd w:id="179"/>
      <w:bookmarkEnd w:id="180"/>
      <w:bookmarkEnd w:id="181"/>
      <w:bookmarkEnd w:id="182"/>
    </w:p>
    <w:p w14:paraId="61ABFC42" w14:textId="77777777" w:rsidR="00821224" w:rsidRDefault="00821224" w:rsidP="000974C4">
      <w:pPr>
        <w:pStyle w:val="SubmissionNormal"/>
        <w:numPr>
          <w:ilvl w:val="0"/>
          <w:numId w:val="41"/>
        </w:numPr>
        <w:ind w:hanging="709"/>
      </w:pPr>
      <w:r>
        <w:t>The Commission supports the position of APO NT that a minimum floor price on alcohol across the Northern Territory is required to reduce the supply of alcohol.</w:t>
      </w:r>
      <w:r>
        <w:rPr>
          <w:rStyle w:val="EndnoteReference"/>
        </w:rPr>
        <w:endnoteReference w:id="188"/>
      </w:r>
      <w:r>
        <w:t xml:space="preserve"> National and international evidence is clear that increasing the price of alcohol is the most effective means to reduce consumption.</w:t>
      </w:r>
      <w:r>
        <w:rPr>
          <w:rStyle w:val="EndnoteReference"/>
        </w:rPr>
        <w:endnoteReference w:id="189"/>
      </w:r>
    </w:p>
    <w:p w14:paraId="1DF96BFC" w14:textId="77777777" w:rsidR="00821224" w:rsidRPr="00B553BD" w:rsidRDefault="00821224" w:rsidP="009F242C">
      <w:pPr>
        <w:pStyle w:val="Heading3"/>
      </w:pPr>
      <w:bookmarkStart w:id="183" w:name="_Toc315865103"/>
      <w:bookmarkStart w:id="184" w:name="_Toc316042380"/>
      <w:r w:rsidRPr="00B553BD">
        <w:t>Recommendations</w:t>
      </w:r>
      <w:bookmarkEnd w:id="183"/>
      <w:bookmarkEnd w:id="184"/>
    </w:p>
    <w:p w14:paraId="04B06DA1" w14:textId="77777777" w:rsidR="00821224" w:rsidRDefault="00821224" w:rsidP="000974C4">
      <w:pPr>
        <w:pStyle w:val="SubmissionNormal"/>
        <w:numPr>
          <w:ilvl w:val="0"/>
          <w:numId w:val="41"/>
        </w:numPr>
        <w:ind w:hanging="709"/>
      </w:pPr>
      <w:r w:rsidRPr="00456272">
        <w:t xml:space="preserve">The Commission reiterates its recommendation from the </w:t>
      </w:r>
      <w:r w:rsidRPr="00456272">
        <w:rPr>
          <w:i/>
        </w:rPr>
        <w:t>Social Justice Report 2007</w:t>
      </w:r>
      <w:r w:rsidRPr="00456272">
        <w:t xml:space="preserve"> for the Australian Government to ensure alcohol restrictions are supplemented by investment in infrastructure in the health and mental health </w:t>
      </w:r>
      <w:r w:rsidRPr="00456272">
        <w:lastRenderedPageBreak/>
        <w:t>sectors (including culturally appropriate detoxification facilities) and investment in culturally appropriate community education programs delivered by Indigenous staff</w:t>
      </w:r>
      <w:r w:rsidRPr="00CA1705">
        <w:t xml:space="preserve"> </w:t>
      </w:r>
      <w:r w:rsidRPr="00285744">
        <w:t>[</w:t>
      </w:r>
      <w:r w:rsidRPr="0009496D">
        <w:rPr>
          <w:b/>
        </w:rPr>
        <w:t>Recommendation no.</w:t>
      </w:r>
      <w:r w:rsidR="00283C8F">
        <w:rPr>
          <w:b/>
        </w:rPr>
        <w:t xml:space="preserve"> 15</w:t>
      </w:r>
      <w:r w:rsidRPr="00285744">
        <w:t>]</w:t>
      </w:r>
      <w:r w:rsidRPr="00FD76AF">
        <w:t>.</w:t>
      </w:r>
    </w:p>
    <w:p w14:paraId="7F6A6D1C" w14:textId="59AFDB20" w:rsidR="00821224" w:rsidRPr="0072617A" w:rsidRDefault="00821224" w:rsidP="000974C4">
      <w:pPr>
        <w:pStyle w:val="SubmissionNormal"/>
        <w:numPr>
          <w:ilvl w:val="0"/>
          <w:numId w:val="41"/>
        </w:numPr>
        <w:ind w:hanging="709"/>
      </w:pPr>
      <w:r w:rsidRPr="00456272">
        <w:t>The Commission recommends that the blanket alcohol bans pr</w:t>
      </w:r>
      <w:r w:rsidR="00EB0278">
        <w:t>oposed be limited to a further three</w:t>
      </w:r>
      <w:r w:rsidRPr="00456272">
        <w:t xml:space="preserve"> year period to enable the transition to community developed alcohol management plans </w:t>
      </w:r>
      <w:r w:rsidRPr="00285744">
        <w:t>[</w:t>
      </w:r>
      <w:r w:rsidRPr="0009496D">
        <w:rPr>
          <w:b/>
        </w:rPr>
        <w:t>Recommendation no.</w:t>
      </w:r>
      <w:r w:rsidR="00283C8F">
        <w:rPr>
          <w:b/>
        </w:rPr>
        <w:t xml:space="preserve"> 16</w:t>
      </w:r>
      <w:r w:rsidRPr="00285744">
        <w:t>]</w:t>
      </w:r>
      <w:r>
        <w:rPr>
          <w:b/>
        </w:rPr>
        <w:t xml:space="preserve">. </w:t>
      </w:r>
    </w:p>
    <w:p w14:paraId="30E8D125" w14:textId="77777777" w:rsidR="00821224" w:rsidRDefault="00821224" w:rsidP="000974C4">
      <w:pPr>
        <w:pStyle w:val="SubmissionNormal"/>
        <w:numPr>
          <w:ilvl w:val="0"/>
          <w:numId w:val="41"/>
        </w:numPr>
        <w:ind w:hanging="709"/>
        <w:rPr>
          <w:b/>
        </w:rPr>
      </w:pPr>
      <w:r w:rsidRPr="00456272">
        <w:t>The Commission recommends that Division 6 of the Stronger Futures in the Northern Territory Bill 2011 (Cth) be amended to explicitly include consultation requirements for the development of rules that prescribe the minimum standards in relation to alcohol management plans</w:t>
      </w:r>
      <w:r w:rsidRPr="00891F71">
        <w:rPr>
          <w:b/>
        </w:rPr>
        <w:t xml:space="preserve"> [Recommendation no.</w:t>
      </w:r>
      <w:r w:rsidR="00283C8F">
        <w:rPr>
          <w:b/>
        </w:rPr>
        <w:t xml:space="preserve"> 17</w:t>
      </w:r>
      <w:r w:rsidRPr="00891F71">
        <w:rPr>
          <w:b/>
        </w:rPr>
        <w:t>].</w:t>
      </w:r>
    </w:p>
    <w:p w14:paraId="6EAC4996" w14:textId="77777777" w:rsidR="00821224" w:rsidRPr="00E54675" w:rsidRDefault="00821224" w:rsidP="000974C4">
      <w:pPr>
        <w:pStyle w:val="SubmissionNormal"/>
        <w:numPr>
          <w:ilvl w:val="0"/>
          <w:numId w:val="41"/>
        </w:numPr>
        <w:ind w:hanging="709"/>
        <w:rPr>
          <w:b/>
        </w:rPr>
      </w:pPr>
      <w:r w:rsidRPr="00456272">
        <w:t>The Commission recommends that proposed ss 17 and 23 of the Stronger Futures in the Northern Territory Bill 2011 (Cth) be amended to ensure that the Minister is required to take into account the outcomes of consultations with affected communities about the introduction of alcohol management plans</w:t>
      </w:r>
      <w:r>
        <w:rPr>
          <w:b/>
        </w:rPr>
        <w:t xml:space="preserve"> </w:t>
      </w:r>
      <w:r w:rsidRPr="00891F71">
        <w:rPr>
          <w:b/>
        </w:rPr>
        <w:t>[Recommendation no.</w:t>
      </w:r>
      <w:r w:rsidR="00283C8F">
        <w:rPr>
          <w:b/>
        </w:rPr>
        <w:t xml:space="preserve"> 18</w:t>
      </w:r>
      <w:r w:rsidRPr="00891F71">
        <w:rPr>
          <w:b/>
        </w:rPr>
        <w:t>].</w:t>
      </w:r>
    </w:p>
    <w:p w14:paraId="628FF4D4" w14:textId="77777777" w:rsidR="00821224" w:rsidRPr="00773587" w:rsidRDefault="00821224" w:rsidP="000974C4">
      <w:pPr>
        <w:pStyle w:val="SubmissionNormal"/>
        <w:numPr>
          <w:ilvl w:val="0"/>
          <w:numId w:val="41"/>
        </w:numPr>
        <w:ind w:hanging="709"/>
        <w:rPr>
          <w:b/>
        </w:rPr>
      </w:pPr>
      <w:r w:rsidRPr="00456272">
        <w:t>The Commission recommends that s 23(2) of the Stronger Futures in the Northern Territory Bill 2011 (Cth) be amended to include that the Minister must have regard to the circumstances and views of the people living in the area when making a decision to approve a variation to an alcohol management plan</w:t>
      </w:r>
      <w:r w:rsidRPr="00773587">
        <w:rPr>
          <w:b/>
        </w:rPr>
        <w:t xml:space="preserve"> [Recommendation no.</w:t>
      </w:r>
      <w:r w:rsidR="00283C8F">
        <w:rPr>
          <w:b/>
        </w:rPr>
        <w:t xml:space="preserve"> 19</w:t>
      </w:r>
      <w:r w:rsidRPr="00773587">
        <w:rPr>
          <w:b/>
        </w:rPr>
        <w:t>].</w:t>
      </w:r>
    </w:p>
    <w:p w14:paraId="47B0543D" w14:textId="77777777" w:rsidR="00821224" w:rsidRPr="00773587" w:rsidRDefault="00821224" w:rsidP="000974C4">
      <w:pPr>
        <w:pStyle w:val="SubmissionNormal"/>
        <w:numPr>
          <w:ilvl w:val="0"/>
          <w:numId w:val="41"/>
        </w:numPr>
        <w:ind w:hanging="709"/>
        <w:rPr>
          <w:b/>
        </w:rPr>
      </w:pPr>
      <w:r w:rsidRPr="00456272">
        <w:t>The Commission recommends that financial, technical and other assistance be provided to communities to facilitate the development of alcohol management plans that are tailored to the needs of their communities and contain the least restrictive measures</w:t>
      </w:r>
      <w:r w:rsidRPr="00773587">
        <w:rPr>
          <w:b/>
        </w:rPr>
        <w:t xml:space="preserve"> [Recommendation no.</w:t>
      </w:r>
      <w:r w:rsidR="00283C8F">
        <w:rPr>
          <w:b/>
        </w:rPr>
        <w:t xml:space="preserve"> 20</w:t>
      </w:r>
      <w:r w:rsidRPr="00773587">
        <w:rPr>
          <w:b/>
        </w:rPr>
        <w:t>].</w:t>
      </w:r>
    </w:p>
    <w:p w14:paraId="529C7F3A" w14:textId="77777777" w:rsidR="00821224" w:rsidRPr="00456272" w:rsidRDefault="00821224" w:rsidP="000974C4">
      <w:pPr>
        <w:pStyle w:val="SubmissionNormal"/>
        <w:numPr>
          <w:ilvl w:val="0"/>
          <w:numId w:val="41"/>
        </w:numPr>
        <w:ind w:hanging="709"/>
      </w:pPr>
      <w:r w:rsidRPr="00456272">
        <w:rPr>
          <w:rFonts w:cs="Arial"/>
        </w:rPr>
        <w:t>The Commission recommends that s 15(5) of the Stronger Futures in the Northern Territory Bill 2011 (Cth) be amended so that:</w:t>
      </w:r>
    </w:p>
    <w:p w14:paraId="58C9B075" w14:textId="77777777" w:rsidR="00821224" w:rsidRPr="00456272" w:rsidRDefault="00821224" w:rsidP="000974C4">
      <w:pPr>
        <w:pStyle w:val="SubmissionNormal"/>
        <w:numPr>
          <w:ilvl w:val="0"/>
          <w:numId w:val="32"/>
        </w:numPr>
      </w:pPr>
      <w:r w:rsidRPr="00456272">
        <w:rPr>
          <w:rFonts w:cs="Arial"/>
        </w:rPr>
        <w:t>‘undue financial burden’ is replaced with ‘excessive financial burden’</w:t>
      </w:r>
    </w:p>
    <w:p w14:paraId="4C8350EB" w14:textId="77777777" w:rsidR="00821224" w:rsidRPr="00773587" w:rsidRDefault="00821224" w:rsidP="000974C4">
      <w:pPr>
        <w:pStyle w:val="SubmissionNormal"/>
        <w:numPr>
          <w:ilvl w:val="0"/>
          <w:numId w:val="32"/>
        </w:numPr>
        <w:rPr>
          <w:b/>
        </w:rPr>
      </w:pPr>
      <w:r w:rsidRPr="00456272">
        <w:t>‘would otherwise be inappropriate’ be removed or replaced with more targeted language detailing the kind of circumstances or situations where it would be reasonable to refuse such a request</w:t>
      </w:r>
      <w:r w:rsidRPr="00773587">
        <w:rPr>
          <w:b/>
        </w:rPr>
        <w:t xml:space="preserve"> [Recommendation no.</w:t>
      </w:r>
      <w:r w:rsidR="00283C8F">
        <w:rPr>
          <w:b/>
        </w:rPr>
        <w:t xml:space="preserve"> 21</w:t>
      </w:r>
      <w:r w:rsidRPr="00773587">
        <w:rPr>
          <w:b/>
        </w:rPr>
        <w:t>].</w:t>
      </w:r>
    </w:p>
    <w:p w14:paraId="64C42E19" w14:textId="77777777" w:rsidR="00821224" w:rsidRPr="00773587" w:rsidRDefault="00821224" w:rsidP="000974C4">
      <w:pPr>
        <w:pStyle w:val="SubmissionNormal"/>
        <w:numPr>
          <w:ilvl w:val="0"/>
          <w:numId w:val="41"/>
        </w:numPr>
        <w:ind w:hanging="709"/>
        <w:rPr>
          <w:b/>
        </w:rPr>
      </w:pPr>
      <w:r w:rsidRPr="00456272">
        <w:t xml:space="preserve">The Commission </w:t>
      </w:r>
      <w:r w:rsidRPr="00456272">
        <w:rPr>
          <w:rFonts w:cs="Arial"/>
        </w:rPr>
        <w:t>recommends</w:t>
      </w:r>
      <w:r w:rsidRPr="00456272">
        <w:t xml:space="preserve"> that the Australian Government ensure sufficient financial resources are made available to the Northern Territory Government to be able to effectively carry out requests to assess licenced premises</w:t>
      </w:r>
      <w:r w:rsidRPr="00773587">
        <w:rPr>
          <w:b/>
        </w:rPr>
        <w:t xml:space="preserve"> [Recommendation no.</w:t>
      </w:r>
      <w:r w:rsidR="00283C8F">
        <w:rPr>
          <w:b/>
        </w:rPr>
        <w:t xml:space="preserve"> 22</w:t>
      </w:r>
      <w:r w:rsidRPr="00773587">
        <w:rPr>
          <w:b/>
        </w:rPr>
        <w:t>].</w:t>
      </w:r>
    </w:p>
    <w:p w14:paraId="5529500B" w14:textId="77777777" w:rsidR="00821224" w:rsidRDefault="00821224" w:rsidP="000974C4">
      <w:pPr>
        <w:pStyle w:val="SubmissionNormal"/>
        <w:numPr>
          <w:ilvl w:val="0"/>
          <w:numId w:val="41"/>
        </w:numPr>
        <w:ind w:hanging="709"/>
        <w:rPr>
          <w:b/>
        </w:rPr>
      </w:pPr>
      <w:r w:rsidRPr="00456272">
        <w:t xml:space="preserve">The Commission recommends that a definition of ‘alcohol’ be inserted into the dictionary in proposed s 75A(1) of the </w:t>
      </w:r>
      <w:r w:rsidRPr="00456272">
        <w:rPr>
          <w:i/>
        </w:rPr>
        <w:t>Liquor Act</w:t>
      </w:r>
      <w:r w:rsidRPr="00456272">
        <w:t xml:space="preserve"> (N</w:t>
      </w:r>
      <w:r>
        <w:t xml:space="preserve">orthern </w:t>
      </w:r>
      <w:r w:rsidRPr="00456272">
        <w:t>T</w:t>
      </w:r>
      <w:r>
        <w:t>erritory</w:t>
      </w:r>
      <w:r w:rsidRPr="00456272">
        <w:t>) which clarifies that ‘alcohol’ in proposed s 75(C)(7) means pure alcohol or ‘Ethyl Alcohol with no other additives or denaturants’</w:t>
      </w:r>
      <w:r>
        <w:t xml:space="preserve"> </w:t>
      </w:r>
      <w:r w:rsidRPr="00773587">
        <w:rPr>
          <w:b/>
        </w:rPr>
        <w:t>[Recommendation no.</w:t>
      </w:r>
      <w:r w:rsidR="00283C8F">
        <w:rPr>
          <w:b/>
        </w:rPr>
        <w:t xml:space="preserve"> 23</w:t>
      </w:r>
      <w:r w:rsidRPr="00773587">
        <w:rPr>
          <w:b/>
        </w:rPr>
        <w:t>]</w:t>
      </w:r>
      <w:r w:rsidRPr="00B33874">
        <w:rPr>
          <w:b/>
        </w:rPr>
        <w:t>.</w:t>
      </w:r>
    </w:p>
    <w:p w14:paraId="2CF0A378" w14:textId="77777777" w:rsidR="00821224" w:rsidRDefault="00821224" w:rsidP="000974C4">
      <w:pPr>
        <w:pStyle w:val="SubmissionNormal"/>
        <w:numPr>
          <w:ilvl w:val="0"/>
          <w:numId w:val="41"/>
        </w:numPr>
        <w:ind w:hanging="709"/>
        <w:rPr>
          <w:b/>
        </w:rPr>
      </w:pPr>
      <w:r w:rsidRPr="00456272">
        <w:t xml:space="preserve">The Commission recommends that the Stronger Futures in the Northern Territory Bill 2011 (Cth) insert into Division 1AA into the </w:t>
      </w:r>
      <w:r w:rsidRPr="00456272">
        <w:rPr>
          <w:i/>
        </w:rPr>
        <w:t>Liquor Act</w:t>
      </w:r>
      <w:r w:rsidRPr="00456272">
        <w:t xml:space="preserve"> (N</w:t>
      </w:r>
      <w:r>
        <w:t xml:space="preserve">orthern </w:t>
      </w:r>
      <w:r w:rsidRPr="00456272">
        <w:t>T</w:t>
      </w:r>
      <w:r>
        <w:t>erritory</w:t>
      </w:r>
      <w:r w:rsidRPr="00456272">
        <w:t xml:space="preserve">) a note setting out that these alternatives are the preferable way to </w:t>
      </w:r>
      <w:r w:rsidRPr="00456272">
        <w:lastRenderedPageBreak/>
        <w:t>manage possession and consumption of alc</w:t>
      </w:r>
      <w:r>
        <w:t>ohol in alcohol protected areas</w:t>
      </w:r>
      <w:r w:rsidRPr="00B33874">
        <w:rPr>
          <w:b/>
        </w:rPr>
        <w:t xml:space="preserve"> [Recommendation no.</w:t>
      </w:r>
      <w:r w:rsidR="00283C8F">
        <w:rPr>
          <w:b/>
        </w:rPr>
        <w:t xml:space="preserve"> 24</w:t>
      </w:r>
      <w:r w:rsidRPr="00B33874">
        <w:rPr>
          <w:b/>
        </w:rPr>
        <w:t xml:space="preserve">]. </w:t>
      </w:r>
    </w:p>
    <w:p w14:paraId="26BBF488" w14:textId="77777777" w:rsidR="00821224" w:rsidRPr="005F7452" w:rsidRDefault="00821224" w:rsidP="000974C4">
      <w:pPr>
        <w:pStyle w:val="SubmissionNormal"/>
        <w:numPr>
          <w:ilvl w:val="0"/>
          <w:numId w:val="41"/>
        </w:numPr>
        <w:ind w:hanging="709"/>
        <w:rPr>
          <w:b/>
        </w:rPr>
      </w:pPr>
      <w:r w:rsidRPr="00456272">
        <w:t>The Commission recommends that the Stronger Futures Bills be amended to include a mandated floor price for alcohol across the Northern Territory</w:t>
      </w:r>
      <w:r w:rsidRPr="005F7452">
        <w:rPr>
          <w:b/>
        </w:rPr>
        <w:t xml:space="preserve"> [Recommendation no.</w:t>
      </w:r>
      <w:r w:rsidR="00283C8F">
        <w:rPr>
          <w:b/>
        </w:rPr>
        <w:t xml:space="preserve"> 25</w:t>
      </w:r>
      <w:r w:rsidRPr="005F7452">
        <w:rPr>
          <w:b/>
        </w:rPr>
        <w:t>].</w:t>
      </w:r>
    </w:p>
    <w:p w14:paraId="13A0D941" w14:textId="77777777" w:rsidR="00821224" w:rsidRDefault="00821224" w:rsidP="009F242C">
      <w:pPr>
        <w:pStyle w:val="Heading1"/>
        <w:rPr>
          <w:sz w:val="24"/>
        </w:rPr>
      </w:pPr>
      <w:bookmarkStart w:id="185" w:name="_TOC107668"/>
      <w:bookmarkStart w:id="186" w:name="_Toc315865104"/>
      <w:bookmarkStart w:id="187" w:name="_Toc316042381"/>
      <w:bookmarkEnd w:id="185"/>
      <w:r>
        <w:t>Land reform measures</w:t>
      </w:r>
      <w:bookmarkEnd w:id="186"/>
      <w:bookmarkEnd w:id="187"/>
    </w:p>
    <w:p w14:paraId="1CBB4FE8" w14:textId="77777777" w:rsidR="00821224" w:rsidRDefault="00821224" w:rsidP="000974C4">
      <w:pPr>
        <w:pStyle w:val="SubmissionNormal"/>
        <w:numPr>
          <w:ilvl w:val="0"/>
          <w:numId w:val="41"/>
        </w:numPr>
        <w:ind w:hanging="709"/>
      </w:pPr>
      <w:bookmarkStart w:id="188" w:name="_TOC107689"/>
      <w:bookmarkStart w:id="189" w:name="TOC314574158"/>
      <w:bookmarkEnd w:id="188"/>
      <w:bookmarkEnd w:id="189"/>
      <w:r>
        <w:t>As part of the original NTER in 2007, the then Government introduced a number of measures that affected the rights of Aboriginal peoples to their lands, territories and resources, including the compulsory acquisition of leases for a term of five years over prescribed areas,</w:t>
      </w:r>
      <w:r w:rsidRPr="00212FF0">
        <w:rPr>
          <w:rStyle w:val="EndnoteReference1"/>
          <w:szCs w:val="20"/>
        </w:rPr>
        <w:endnoteReference w:id="190"/>
      </w:r>
      <w:r>
        <w:t xml:space="preserve"> empowering the Australian Government to compulsorily acquire rights, titles and interests relating to town camps</w:t>
      </w:r>
      <w:r w:rsidRPr="00212FF0">
        <w:rPr>
          <w:rStyle w:val="EndnoteReference1"/>
          <w:szCs w:val="20"/>
        </w:rPr>
        <w:endnoteReference w:id="191"/>
      </w:r>
      <w:r>
        <w:t xml:space="preserve"> and providing for the acquisition (by the Australian or Northern Territory Governments or their authorities) of extensive statutory rights in relation to areas of Aboriginal land designated as construction areas (statutory rights provisions).</w:t>
      </w:r>
      <w:r w:rsidRPr="00212FF0">
        <w:rPr>
          <w:rStyle w:val="EndnoteReference1"/>
          <w:szCs w:val="20"/>
        </w:rPr>
        <w:endnoteReference w:id="192"/>
      </w:r>
      <w:r>
        <w:t xml:space="preserve"> </w:t>
      </w:r>
    </w:p>
    <w:p w14:paraId="58F54116" w14:textId="77777777" w:rsidR="00821224" w:rsidRDefault="00821224" w:rsidP="000974C4">
      <w:pPr>
        <w:pStyle w:val="SubmissionNormal"/>
        <w:numPr>
          <w:ilvl w:val="0"/>
          <w:numId w:val="41"/>
        </w:numPr>
        <w:ind w:hanging="709"/>
      </w:pPr>
      <w:r>
        <w:t xml:space="preserve">In 2010 the </w:t>
      </w:r>
      <w:r>
        <w:rPr>
          <w:rFonts w:ascii="Arial Italic" w:hAnsi="Arial Italic"/>
        </w:rPr>
        <w:t xml:space="preserve">Social Security and Other Legislation Amendment (Welfare Reform and Reinstatement of Racial Discrimination Act) Act 2010 </w:t>
      </w:r>
      <w:r>
        <w:t xml:space="preserve">(Cth) (2010 Welfare Reform Act) made only minor changes to the provisions of the NTNER Act concerning the compulsory acquisition of five-year leases. </w:t>
      </w:r>
    </w:p>
    <w:p w14:paraId="53CEBF9C" w14:textId="77777777" w:rsidR="00821224" w:rsidRDefault="00821224" w:rsidP="000974C4">
      <w:pPr>
        <w:pStyle w:val="SubmissionNormal"/>
        <w:numPr>
          <w:ilvl w:val="0"/>
          <w:numId w:val="41"/>
        </w:numPr>
        <w:ind w:hanging="709"/>
      </w:pPr>
      <w:r>
        <w:t>The Commission has previously expressed concern about the lack of consultation that preceded the introduction of the land measures under the NTER, and highlighted the discriminatory impact of some of the measures on Aboriginal people.</w:t>
      </w:r>
      <w:r w:rsidRPr="00212FF0">
        <w:rPr>
          <w:rStyle w:val="EndnoteReference1"/>
          <w:szCs w:val="20"/>
        </w:rPr>
        <w:endnoteReference w:id="193"/>
      </w:r>
      <w:r>
        <w:t xml:space="preserve"> </w:t>
      </w:r>
    </w:p>
    <w:p w14:paraId="3D999C9D" w14:textId="7B62BE42" w:rsidR="00821224" w:rsidRDefault="00821224" w:rsidP="000974C4">
      <w:pPr>
        <w:pStyle w:val="SubmissionNormal"/>
        <w:numPr>
          <w:ilvl w:val="0"/>
          <w:numId w:val="41"/>
        </w:numPr>
        <w:ind w:hanging="709"/>
      </w:pPr>
      <w:r>
        <w:t>The Consequential and Transitional Provisions Bill and the Stronger Futures</w:t>
      </w:r>
      <w:r w:rsidR="00CF54C9">
        <w:t xml:space="preserve"> Bill</w:t>
      </w:r>
      <w:r>
        <w:t xml:space="preserve"> outline proposals to amend leasing arrangements in the Northern Territory on certain land.</w:t>
      </w:r>
    </w:p>
    <w:p w14:paraId="4919FDD0" w14:textId="77777777" w:rsidR="00821224" w:rsidRDefault="00821224" w:rsidP="000974C4">
      <w:pPr>
        <w:pStyle w:val="Heading31"/>
        <w:numPr>
          <w:ilvl w:val="2"/>
          <w:numId w:val="21"/>
        </w:numPr>
      </w:pPr>
      <w:bookmarkStart w:id="190" w:name="_Toc315865105"/>
      <w:bookmarkStart w:id="191" w:name="_Toc316042382"/>
      <w:r>
        <w:t>Repeal of five-year leases and statutory powers</w:t>
      </w:r>
      <w:bookmarkEnd w:id="190"/>
      <w:bookmarkEnd w:id="191"/>
    </w:p>
    <w:p w14:paraId="052AF90C" w14:textId="77777777" w:rsidR="00821224" w:rsidRDefault="00821224" w:rsidP="000974C4">
      <w:pPr>
        <w:pStyle w:val="SubmissionNormal"/>
        <w:numPr>
          <w:ilvl w:val="0"/>
          <w:numId w:val="41"/>
        </w:numPr>
        <w:ind w:hanging="709"/>
      </w:pPr>
      <w:r>
        <w:t>The Consequential and Transitional Provisions Bill repeals the NTNER Act, which contains the provisions relating to the acquisition of five-year leases.</w:t>
      </w:r>
      <w:r w:rsidRPr="00212FF0">
        <w:rPr>
          <w:rStyle w:val="EndnoteReference1"/>
          <w:szCs w:val="20"/>
        </w:rPr>
        <w:endnoteReference w:id="194"/>
      </w:r>
      <w:r>
        <w:t xml:space="preserve"> This Bill also repeals Part IIB of the </w:t>
      </w:r>
      <w:r>
        <w:rPr>
          <w:rFonts w:ascii="Arial Italic" w:hAnsi="Arial Italic"/>
        </w:rPr>
        <w:t xml:space="preserve">Aboriginal Land Rights (Northern Territory) Act 1976 </w:t>
      </w:r>
      <w:r>
        <w:t>(Cth) (ALRA).</w:t>
      </w:r>
      <w:r w:rsidRPr="00212FF0">
        <w:rPr>
          <w:rStyle w:val="EndnoteReference1"/>
          <w:szCs w:val="20"/>
        </w:rPr>
        <w:endnoteReference w:id="195"/>
      </w:r>
      <w:r>
        <w:t xml:space="preserve"> The Commission strongly supports the repeal of these provisions</w:t>
      </w:r>
      <w:r w:rsidRPr="00212FF0">
        <w:rPr>
          <w:rStyle w:val="EndnoteReference1"/>
          <w:szCs w:val="20"/>
        </w:rPr>
        <w:endnoteReference w:id="196"/>
      </w:r>
      <w:r>
        <w:t>, and is encouraged by the Australian Government’s commitment to transition to voluntary leasing arrangements in the Northern Territory.</w:t>
      </w:r>
      <w:r w:rsidRPr="00212FF0">
        <w:rPr>
          <w:rStyle w:val="EndnoteReference1"/>
          <w:szCs w:val="20"/>
        </w:rPr>
        <w:endnoteReference w:id="197"/>
      </w:r>
    </w:p>
    <w:p w14:paraId="5CA0E4B9" w14:textId="77777777" w:rsidR="00821224" w:rsidRDefault="00821224" w:rsidP="005630AF">
      <w:pPr>
        <w:pStyle w:val="Heading4"/>
      </w:pPr>
      <w:bookmarkStart w:id="192" w:name="_Toc315865106"/>
      <w:r w:rsidRPr="00541ABB">
        <w:t>Leasing arrangements in town camps and community living areas</w:t>
      </w:r>
      <w:bookmarkEnd w:id="192"/>
    </w:p>
    <w:p w14:paraId="23738339" w14:textId="4A764DF0" w:rsidR="00821224" w:rsidRDefault="00821224" w:rsidP="000974C4">
      <w:pPr>
        <w:pStyle w:val="SubmissionNormal"/>
        <w:numPr>
          <w:ilvl w:val="0"/>
          <w:numId w:val="41"/>
        </w:numPr>
        <w:ind w:hanging="709"/>
      </w:pPr>
      <w:r>
        <w:t>The Stronger Futures Bill will insert a new regulation-making power which allows the Australian Government to make regulations relating to leasing on town camp and community living area land in the Northern Territory.</w:t>
      </w:r>
      <w:r w:rsidRPr="00212FF0">
        <w:rPr>
          <w:rStyle w:val="EndnoteReference1"/>
          <w:szCs w:val="20"/>
        </w:rPr>
        <w:endnoteReference w:id="198"/>
      </w:r>
      <w:r>
        <w:t xml:space="preserve"> The Stronger Futures Bill does not, in </w:t>
      </w:r>
      <w:r w:rsidR="00EB0278">
        <w:t xml:space="preserve">and </w:t>
      </w:r>
      <w:r>
        <w:t xml:space="preserve">of itself, make amendments to existing land laws in the Northern Territory. </w:t>
      </w:r>
    </w:p>
    <w:p w14:paraId="217DD868" w14:textId="77777777" w:rsidR="00821224" w:rsidRDefault="00821224" w:rsidP="000974C4">
      <w:pPr>
        <w:pStyle w:val="SubmissionNormal"/>
        <w:numPr>
          <w:ilvl w:val="0"/>
          <w:numId w:val="41"/>
        </w:numPr>
        <w:ind w:hanging="709"/>
      </w:pPr>
      <w:r>
        <w:lastRenderedPageBreak/>
        <w:t>The Government states that this will enable the removal of barriers to leasing on this land and enable Aboriginal landholders to make use of their land for a broader range of purposes including for economic development and private home ownership.</w:t>
      </w:r>
      <w:r w:rsidRPr="00212FF0">
        <w:rPr>
          <w:rStyle w:val="EndnoteReference1"/>
          <w:szCs w:val="20"/>
        </w:rPr>
        <w:endnoteReference w:id="199"/>
      </w:r>
      <w:r>
        <w:t xml:space="preserve"> The Government intends this to be a ‘special measure’. Proposed s 33 of the Stronger Futures Bill provides that the object of the part is to enable ‘special measures’ to be taken to:</w:t>
      </w:r>
    </w:p>
    <w:p w14:paraId="73E3D82F" w14:textId="77777777" w:rsidR="00821224" w:rsidRDefault="00821224" w:rsidP="000974C4">
      <w:pPr>
        <w:pStyle w:val="SubmissionNormal"/>
        <w:numPr>
          <w:ilvl w:val="0"/>
          <w:numId w:val="32"/>
        </w:numPr>
      </w:pPr>
      <w:r>
        <w:t>facilitate the granting of individual rights or interests in relation to land in town camps and community living areas and</w:t>
      </w:r>
    </w:p>
    <w:p w14:paraId="06E96B14" w14:textId="77777777" w:rsidR="00821224" w:rsidRDefault="00821224" w:rsidP="000974C4">
      <w:pPr>
        <w:pStyle w:val="SubmissionNormal"/>
        <w:numPr>
          <w:ilvl w:val="0"/>
          <w:numId w:val="32"/>
        </w:numPr>
      </w:pPr>
      <w:r>
        <w:t>promote economic development in town camps and community living areas.</w:t>
      </w:r>
    </w:p>
    <w:p w14:paraId="43BD963D" w14:textId="77777777" w:rsidR="00821224" w:rsidRDefault="00821224" w:rsidP="000974C4">
      <w:pPr>
        <w:pStyle w:val="SubmissionNormal"/>
        <w:numPr>
          <w:ilvl w:val="0"/>
          <w:numId w:val="41"/>
        </w:numPr>
        <w:ind w:hanging="709"/>
      </w:pPr>
      <w:r>
        <w:t>Proposed section 34 is a ‘regulation-making power which allows Northern Territory laws to be modified to the extent that the law applies to a town camp’. The regulation-making power allows for the ‘overcoming of restrictions and impediments relating to dealings, planning and infrastructure on town camp land for the benefit of Aboriginal people’.</w:t>
      </w:r>
      <w:r w:rsidRPr="00212FF0">
        <w:rPr>
          <w:rStyle w:val="EndnoteReference1"/>
          <w:szCs w:val="20"/>
        </w:rPr>
        <w:endnoteReference w:id="200"/>
      </w:r>
      <w:r>
        <w:t xml:space="preserve"> </w:t>
      </w:r>
    </w:p>
    <w:p w14:paraId="5B396FEF" w14:textId="77777777" w:rsidR="00821224" w:rsidRPr="00212FF0" w:rsidRDefault="00821224" w:rsidP="000974C4">
      <w:pPr>
        <w:pStyle w:val="SubmissionNormal"/>
        <w:numPr>
          <w:ilvl w:val="0"/>
          <w:numId w:val="41"/>
        </w:numPr>
        <w:ind w:hanging="709"/>
        <w:rPr>
          <w:rStyle w:val="EndnoteReference1"/>
          <w:szCs w:val="20"/>
        </w:rPr>
      </w:pPr>
      <w:r>
        <w:t xml:space="preserve">The regulations may also modify the </w:t>
      </w:r>
      <w:r w:rsidRPr="00772BF5">
        <w:rPr>
          <w:rFonts w:ascii="Arial Italic" w:hAnsi="Arial Italic"/>
        </w:rPr>
        <w:t xml:space="preserve">Crown Lands Act 1992 </w:t>
      </w:r>
      <w:r>
        <w:t xml:space="preserve">(NT) (Crown Lands Act) or the </w:t>
      </w:r>
      <w:r w:rsidRPr="00772BF5">
        <w:rPr>
          <w:rFonts w:ascii="Arial Italic" w:hAnsi="Arial Italic"/>
        </w:rPr>
        <w:t xml:space="preserve">Special Purposes Leases Act 1953 </w:t>
      </w:r>
      <w:r>
        <w:t>(NT) (Special Purposes Leases Act) (or both) to provide that a lease granted under the Special Purposes Leases Act is taken to have been granted under the Crowns Lands Act.</w:t>
      </w:r>
      <w:r w:rsidRPr="00212FF0">
        <w:rPr>
          <w:rStyle w:val="EndnoteReference1"/>
          <w:szCs w:val="20"/>
        </w:rPr>
        <w:endnoteReference w:id="201"/>
      </w:r>
      <w:r>
        <w:t xml:space="preserve"> In addition, the regulations may modify a lease granted under the Crown Lands Act or Special Purposes Leases Act by modifying the purposes for which the land that is the subject of the lease may be used.</w:t>
      </w:r>
      <w:r w:rsidRPr="00212FF0">
        <w:rPr>
          <w:rStyle w:val="EndnoteReference1"/>
          <w:szCs w:val="20"/>
        </w:rPr>
        <w:endnoteReference w:id="202"/>
      </w:r>
    </w:p>
    <w:p w14:paraId="4588127E" w14:textId="65EC0C3E" w:rsidR="00821224" w:rsidRPr="00F002A5" w:rsidRDefault="00821224" w:rsidP="000974C4">
      <w:pPr>
        <w:pStyle w:val="SubmissionNormal"/>
        <w:numPr>
          <w:ilvl w:val="0"/>
          <w:numId w:val="41"/>
        </w:numPr>
        <w:ind w:hanging="709"/>
      </w:pPr>
      <w:r>
        <w:t>The provisions outline certain consultation requirements which must be met before the Minister makes any regulations</w:t>
      </w:r>
      <w:r w:rsidR="00E6799E">
        <w:t>.</w:t>
      </w:r>
      <w:r>
        <w:t xml:space="preserve"> </w:t>
      </w:r>
      <w:r w:rsidR="00E6799E">
        <w:t>H</w:t>
      </w:r>
      <w:r>
        <w:t>owever the provisions also allow the regulations to be valid if the consultation requirements are not met.</w:t>
      </w:r>
      <w:r w:rsidRPr="00506FBF">
        <w:rPr>
          <w:sz w:val="20"/>
          <w:szCs w:val="20"/>
          <w:vertAlign w:val="superscript"/>
        </w:rPr>
        <w:endnoteReference w:id="203"/>
      </w:r>
      <w:r>
        <w:t xml:space="preserve"> </w:t>
      </w:r>
    </w:p>
    <w:p w14:paraId="103A507B" w14:textId="77777777" w:rsidR="00821224" w:rsidRDefault="00821224" w:rsidP="000974C4">
      <w:pPr>
        <w:pStyle w:val="SubmissionNormal"/>
        <w:numPr>
          <w:ilvl w:val="0"/>
          <w:numId w:val="41"/>
        </w:numPr>
        <w:ind w:hanging="709"/>
      </w:pPr>
      <w:r>
        <w:t>Proposed s 35(1) is a regulation-making power with respect to modifying Northern Territory laws in relation to community living areas. Regulations may modify any law of the Northern Territory relating to the use of or dealings in land, planning or infrastructure (or other) to the extent that the law applies to a community living area. These provisions include the same consultation requirements as the regulations relating to town camps.</w:t>
      </w:r>
    </w:p>
    <w:p w14:paraId="282E36F5" w14:textId="77777777" w:rsidR="00821224" w:rsidRDefault="00821224" w:rsidP="000974C4">
      <w:pPr>
        <w:pStyle w:val="SubmissionNormal"/>
        <w:numPr>
          <w:ilvl w:val="0"/>
          <w:numId w:val="41"/>
        </w:numPr>
        <w:ind w:hanging="709"/>
      </w:pPr>
      <w:r>
        <w:t>The Consequential and Transitional Provisions Bill requires Land Councils to provide assistance to owners of community living areas regarding negotiating dealings in the relevant land – such as negotiating new leases.</w:t>
      </w:r>
      <w:r w:rsidRPr="00506FBF">
        <w:rPr>
          <w:sz w:val="20"/>
          <w:szCs w:val="20"/>
          <w:vertAlign w:val="superscript"/>
        </w:rPr>
        <w:endnoteReference w:id="204"/>
      </w:r>
      <w:r>
        <w:t xml:space="preserve"> </w:t>
      </w:r>
    </w:p>
    <w:p w14:paraId="0FFF184B" w14:textId="77777777" w:rsidR="00821224" w:rsidRDefault="00821224" w:rsidP="000974C4">
      <w:pPr>
        <w:pStyle w:val="SubmissionNormal"/>
        <w:numPr>
          <w:ilvl w:val="0"/>
          <w:numId w:val="41"/>
        </w:numPr>
        <w:ind w:hanging="709"/>
      </w:pPr>
      <w:r>
        <w:t xml:space="preserve">The Commission supports owners of community living areas having access to assistance in negotiating dealings on their land. However if this function is to rest with the Land Councils, the Government must ensure the Land Councils are adequately resourced to perform this task. This would be consistent with Article 39 of the Declaration which outlines the right of Indigenous peoples’ access to financial and technical assistance from the States, for the enjoyment of their rights. </w:t>
      </w:r>
    </w:p>
    <w:p w14:paraId="4853AD11" w14:textId="77777777" w:rsidR="00821224" w:rsidRDefault="00821224" w:rsidP="000974C4">
      <w:pPr>
        <w:pStyle w:val="SubmissionNormal"/>
        <w:numPr>
          <w:ilvl w:val="0"/>
          <w:numId w:val="41"/>
        </w:numPr>
        <w:ind w:hanging="709"/>
      </w:pPr>
      <w:r>
        <w:t>Similarly, the Government should ensure town camp councils also have access to sufficient financial and technical assistance to enable them to utilise any new provisions affecting town camp leasing.</w:t>
      </w:r>
    </w:p>
    <w:p w14:paraId="4D234B61" w14:textId="77777777" w:rsidR="00821224" w:rsidRDefault="00821224" w:rsidP="005630AF">
      <w:pPr>
        <w:pStyle w:val="Heading3"/>
      </w:pPr>
      <w:bookmarkStart w:id="193" w:name="_Toc315865107"/>
      <w:bookmarkStart w:id="194" w:name="_Toc316042383"/>
      <w:r>
        <w:lastRenderedPageBreak/>
        <w:t>The Commission’s view on land reform measures</w:t>
      </w:r>
      <w:bookmarkEnd w:id="193"/>
      <w:bookmarkEnd w:id="194"/>
    </w:p>
    <w:p w14:paraId="5E0F98C9" w14:textId="77777777" w:rsidR="00821224" w:rsidRDefault="00821224" w:rsidP="000974C4">
      <w:pPr>
        <w:pStyle w:val="SubmissionNormal"/>
        <w:numPr>
          <w:ilvl w:val="0"/>
          <w:numId w:val="41"/>
        </w:numPr>
        <w:ind w:hanging="709"/>
      </w:pPr>
      <w:r>
        <w:t>The Commission welcomes the Government’s intention to promote economic development in town camps and community living areas by facilitating the removal of barriers which inhibit long term leasing and economic development.</w:t>
      </w:r>
      <w:r w:rsidRPr="00506FBF">
        <w:rPr>
          <w:sz w:val="20"/>
          <w:szCs w:val="20"/>
          <w:vertAlign w:val="superscript"/>
        </w:rPr>
        <w:endnoteReference w:id="205"/>
      </w:r>
      <w:r>
        <w:t xml:space="preserve"> </w:t>
      </w:r>
    </w:p>
    <w:p w14:paraId="17653AFA" w14:textId="77777777" w:rsidR="00821224" w:rsidRDefault="00821224" w:rsidP="000974C4">
      <w:pPr>
        <w:pStyle w:val="SubmissionNormal"/>
        <w:numPr>
          <w:ilvl w:val="0"/>
          <w:numId w:val="41"/>
        </w:numPr>
        <w:ind w:hanging="709"/>
      </w:pPr>
      <w:r>
        <w:t xml:space="preserve">Under Article 32(1) of the </w:t>
      </w:r>
      <w:r w:rsidRPr="002765AF">
        <w:rPr>
          <w:i/>
        </w:rPr>
        <w:t>Declaration on the Rights of Indigenous Peoples</w:t>
      </w:r>
      <w:r w:rsidRPr="005630AF">
        <w:t xml:space="preserve"> </w:t>
      </w:r>
      <w:r>
        <w:t xml:space="preserve">(the Declaration), Aboriginal and Torres Strait Islander peoples ‘have the right to determine and develop priorities and strategies for the development or use of their lands or territories and other resources’. If enacted with the proposed effect, the changes could assist to facilitate Indigenous landowners and residents determining and developing priorities and strategies for the development of their land. </w:t>
      </w:r>
    </w:p>
    <w:p w14:paraId="21944823" w14:textId="77777777" w:rsidR="00821224" w:rsidRDefault="00821224" w:rsidP="000974C4">
      <w:pPr>
        <w:pStyle w:val="SubmissionNormal"/>
        <w:numPr>
          <w:ilvl w:val="0"/>
          <w:numId w:val="41"/>
        </w:numPr>
        <w:ind w:hanging="709"/>
      </w:pPr>
      <w:r>
        <w:t>However the Commission cautions that given the lack of detail provided concerning the proposed Regulations, we are unable to comment on whether the proposed Regulations, and therefore subsequent amendments to Northern Territory laws and leases, will be consistent with human rights obligations and the RDA.</w:t>
      </w:r>
    </w:p>
    <w:p w14:paraId="50A02CD9" w14:textId="77777777" w:rsidR="00821224" w:rsidRDefault="00821224" w:rsidP="000974C4">
      <w:pPr>
        <w:pStyle w:val="SubmissionNormal"/>
        <w:numPr>
          <w:ilvl w:val="0"/>
          <w:numId w:val="41"/>
        </w:numPr>
        <w:ind w:hanging="709"/>
      </w:pPr>
      <w:r>
        <w:t>The Commission agrees with the Special Rapporteur on the rights of indigenous peoples, that ‘increasing indigenous peoples’ control over their lands and resources, self-determination and self-government is an essential component of advancing economic development’.</w:t>
      </w:r>
      <w:r w:rsidRPr="00506FBF">
        <w:rPr>
          <w:sz w:val="20"/>
          <w:szCs w:val="20"/>
          <w:vertAlign w:val="superscript"/>
        </w:rPr>
        <w:endnoteReference w:id="206"/>
      </w:r>
      <w:r w:rsidRPr="005630AF">
        <w:t xml:space="preserve"> </w:t>
      </w:r>
      <w:r>
        <w:t>The Government should ensure that in developing any Regulations, any proposed amendments should afford Aboriginal communities with options, and control over their land rather than imposed changes which lack community support. To do this, the measures must be developed and implemented in partnership with affected Aboriginal and Torres Strait Islander peoples.</w:t>
      </w:r>
    </w:p>
    <w:p w14:paraId="2BE55B46" w14:textId="77777777" w:rsidR="00821224" w:rsidRDefault="00821224" w:rsidP="000974C4">
      <w:pPr>
        <w:pStyle w:val="SubmissionNormal"/>
        <w:numPr>
          <w:ilvl w:val="0"/>
          <w:numId w:val="41"/>
        </w:numPr>
        <w:ind w:hanging="709"/>
      </w:pPr>
      <w:r>
        <w:t>The proposed land measures are part of the Australian Government’s move towards voluntary leasing in the Northern Territory. While the Commission is supportive of the Australian Government’s commitment to transition to voluntary leases, we have broader concerns about the Government’s prioritisation of obtaining ‘secure tenure’. As APO NT has noted:</w:t>
      </w:r>
    </w:p>
    <w:p w14:paraId="18EB4920" w14:textId="77777777" w:rsidR="00821224" w:rsidRDefault="00821224" w:rsidP="00F12219">
      <w:pPr>
        <w:ind w:left="1440"/>
        <w:rPr>
          <w:sz w:val="22"/>
        </w:rPr>
      </w:pPr>
      <w:r>
        <w:rPr>
          <w:sz w:val="22"/>
        </w:rPr>
        <w:t>Problems arise, however, from seeking to address entrenched economic and social disadvantage experienced in remote communities simply as a matter of securing leases. No evidence exists that economic development or even home ownership will necessarily flow from secure leasing alone.  Community cohesion, capacity to engage in wider society, issues of community control and decision-making have to be addressed in conjunction with a leasing policy.</w:t>
      </w:r>
      <w:r w:rsidRPr="00212FF0">
        <w:rPr>
          <w:rStyle w:val="EndnoteReference1"/>
          <w:szCs w:val="20"/>
        </w:rPr>
        <w:endnoteReference w:id="207"/>
      </w:r>
    </w:p>
    <w:p w14:paraId="1561090D" w14:textId="77777777" w:rsidR="00821224" w:rsidRDefault="00821224" w:rsidP="000974C4">
      <w:pPr>
        <w:pStyle w:val="SubmissionNormal"/>
        <w:numPr>
          <w:ilvl w:val="0"/>
          <w:numId w:val="41"/>
        </w:numPr>
        <w:ind w:hanging="709"/>
      </w:pPr>
      <w:r>
        <w:t>The Commission considers issues such as remoteness, education, health, job readiness, poor infrastructure and the failure of governments to respect and recognise Aboriginal and Torres Strait Islander forms of ownership are substantially more important and have a greater impact on the economic development of communities than lack of secure tenure.</w:t>
      </w:r>
      <w:r w:rsidRPr="00D322CD">
        <w:rPr>
          <w:sz w:val="20"/>
          <w:szCs w:val="20"/>
          <w:vertAlign w:val="superscript"/>
        </w:rPr>
        <w:endnoteReference w:id="208"/>
      </w:r>
      <w:r>
        <w:t xml:space="preserve"> The Government should ensure prioritisation of funding to address these factors in addition to formalising tenure arrangements. This will help facilitate Aboriginal and Torres </w:t>
      </w:r>
      <w:r>
        <w:lastRenderedPageBreak/>
        <w:t>Strait Islander peoples’ ability to develop and determine their own priorities and strategies for development.</w:t>
      </w:r>
    </w:p>
    <w:p w14:paraId="46A4E295" w14:textId="77777777" w:rsidR="00821224" w:rsidRDefault="00821224" w:rsidP="005630AF">
      <w:pPr>
        <w:pStyle w:val="Heading3"/>
      </w:pPr>
      <w:bookmarkStart w:id="195" w:name="_TOC118333"/>
      <w:bookmarkStart w:id="196" w:name="_Toc315865108"/>
      <w:bookmarkStart w:id="197" w:name="_Toc316042384"/>
      <w:bookmarkEnd w:id="195"/>
      <w:r>
        <w:t>Drafting issues</w:t>
      </w:r>
      <w:bookmarkEnd w:id="196"/>
      <w:bookmarkEnd w:id="197"/>
    </w:p>
    <w:p w14:paraId="3E954412" w14:textId="77777777" w:rsidR="00821224" w:rsidRDefault="00821224" w:rsidP="005630AF">
      <w:pPr>
        <w:pStyle w:val="Heading4"/>
      </w:pPr>
      <w:bookmarkStart w:id="198" w:name="_TOC118349"/>
      <w:bookmarkStart w:id="199" w:name="TOC314574165"/>
      <w:bookmarkStart w:id="200" w:name="_Toc315865109"/>
      <w:bookmarkEnd w:id="198"/>
      <w:bookmarkEnd w:id="199"/>
      <w:r>
        <w:t>Ensuring transparency and accountability</w:t>
      </w:r>
      <w:bookmarkEnd w:id="200"/>
    </w:p>
    <w:p w14:paraId="7F614D7D" w14:textId="2C1464C8" w:rsidR="00821224" w:rsidRDefault="00821224" w:rsidP="000974C4">
      <w:pPr>
        <w:pStyle w:val="SubmissionNormal"/>
        <w:numPr>
          <w:ilvl w:val="0"/>
          <w:numId w:val="41"/>
        </w:numPr>
        <w:ind w:hanging="709"/>
      </w:pPr>
      <w:bookmarkStart w:id="201" w:name="TOC314574166"/>
      <w:bookmarkStart w:id="202" w:name="_TOC119503"/>
      <w:bookmarkEnd w:id="201"/>
      <w:bookmarkEnd w:id="202"/>
      <w:r>
        <w:t xml:space="preserve">The Commission is unable to provide substantial comment on the proposals given the absence of any discussion about the proposed content of the Regulations.  Given this, it would be preferable for the amendments to the relevant Northern Territory laws and/or leases </w:t>
      </w:r>
      <w:r w:rsidR="007007AA">
        <w:t xml:space="preserve">to </w:t>
      </w:r>
      <w:r>
        <w:t xml:space="preserve">be included in the Stronger Futures Bill rather than left to Regulations. This would allow the appropriate level of transparency, analysis and debate to occur.  </w:t>
      </w:r>
    </w:p>
    <w:p w14:paraId="52E6A447" w14:textId="77777777" w:rsidR="00821224" w:rsidRDefault="00821224" w:rsidP="000974C4">
      <w:pPr>
        <w:pStyle w:val="SubmissionNormal"/>
        <w:numPr>
          <w:ilvl w:val="0"/>
          <w:numId w:val="41"/>
        </w:numPr>
        <w:ind w:hanging="709"/>
      </w:pPr>
      <w:r>
        <w:t>In the alternative, at a minimum the Government should provide an exposure draft of the proposed Regulations in conjunction with the Stronger Futures Bill.</w:t>
      </w:r>
    </w:p>
    <w:p w14:paraId="753918F9" w14:textId="77777777" w:rsidR="00821224" w:rsidRDefault="00821224" w:rsidP="005630AF">
      <w:pPr>
        <w:pStyle w:val="Heading4"/>
      </w:pPr>
      <w:r>
        <w:t xml:space="preserve"> </w:t>
      </w:r>
      <w:bookmarkStart w:id="203" w:name="_Toc315865110"/>
      <w:r>
        <w:t>Confining the regulation-making power</w:t>
      </w:r>
      <w:bookmarkEnd w:id="203"/>
    </w:p>
    <w:p w14:paraId="2A7FF8DA" w14:textId="77777777" w:rsidR="00821224" w:rsidRDefault="00821224" w:rsidP="000974C4">
      <w:pPr>
        <w:pStyle w:val="SubmissionNormal"/>
        <w:numPr>
          <w:ilvl w:val="0"/>
          <w:numId w:val="41"/>
        </w:numPr>
        <w:ind w:hanging="709"/>
      </w:pPr>
      <w:bookmarkStart w:id="204" w:name="_TOC121222"/>
      <w:bookmarkStart w:id="205" w:name="TOC314574167"/>
      <w:bookmarkEnd w:id="204"/>
      <w:bookmarkEnd w:id="205"/>
      <w:r>
        <w:t>In addition, it is important to ensure that the regulation-making power is appropriately defined and limited to achieve its objective.</w:t>
      </w:r>
    </w:p>
    <w:p w14:paraId="0A7A885C" w14:textId="77777777" w:rsidR="00821224" w:rsidRDefault="00821224">
      <w:pPr>
        <w:pStyle w:val="SubmissionNormal"/>
        <w:numPr>
          <w:ilvl w:val="0"/>
          <w:numId w:val="41"/>
        </w:numPr>
        <w:ind w:hanging="709"/>
      </w:pPr>
      <w:r>
        <w:t xml:space="preserve">Proposed ss 34(1)(e) and 35(1)(e) state that regulations may modify any law of the Northern Territory relating to ‘any matter prescribed by the regulations’ to the extent they apply to community living areas and town camps in the Northern Territory. The Commission notes that this potentially broad regulation-making power will be confined by the stated objects of the Part to facilitate individual rights or interests and promote economic development. </w:t>
      </w:r>
    </w:p>
    <w:p w14:paraId="19CDD7A3" w14:textId="77777777" w:rsidR="00821224" w:rsidRDefault="00821224">
      <w:pPr>
        <w:pStyle w:val="SubmissionNormal"/>
        <w:numPr>
          <w:ilvl w:val="0"/>
          <w:numId w:val="41"/>
        </w:numPr>
        <w:ind w:hanging="709"/>
      </w:pPr>
      <w:r>
        <w:t>However, for clarity, the Commission recommends that these sections be amended to read that Regulations may modify any law of the Northern Territory relating to ‘any matter which facilitates the granting of individual rights or interests in relation to land in town camps and community living areas or promotes economic development in town camps and community living areas.</w:t>
      </w:r>
    </w:p>
    <w:p w14:paraId="08D6541F" w14:textId="77777777" w:rsidR="00821224" w:rsidRDefault="00821224" w:rsidP="005630AF">
      <w:pPr>
        <w:pStyle w:val="Heading4"/>
      </w:pPr>
      <w:bookmarkStart w:id="206" w:name="_Toc315865111"/>
      <w:r>
        <w:t>Meaningful and effective consultation</w:t>
      </w:r>
      <w:bookmarkEnd w:id="206"/>
    </w:p>
    <w:p w14:paraId="2165DCD1" w14:textId="77777777" w:rsidR="00821224" w:rsidRDefault="00821224" w:rsidP="000974C4">
      <w:pPr>
        <w:pStyle w:val="SubmissionNormal"/>
        <w:numPr>
          <w:ilvl w:val="0"/>
          <w:numId w:val="41"/>
        </w:numPr>
        <w:ind w:hanging="709"/>
      </w:pPr>
      <w:bookmarkStart w:id="207" w:name="TOC314574168"/>
      <w:bookmarkStart w:id="208" w:name="_TOC122497"/>
      <w:bookmarkEnd w:id="207"/>
      <w:bookmarkEnd w:id="208"/>
      <w:r>
        <w:t>Given the importance of consultation and consent under the Declaration and the Government’s commitment to transition to voluntary leasing, it is essential that the requirement to consult is mandatory and robust.</w:t>
      </w:r>
    </w:p>
    <w:p w14:paraId="5BD4F034" w14:textId="77777777" w:rsidR="00821224" w:rsidRDefault="00821224" w:rsidP="000974C4">
      <w:pPr>
        <w:pStyle w:val="SubmissionNormal"/>
        <w:numPr>
          <w:ilvl w:val="0"/>
          <w:numId w:val="41"/>
        </w:numPr>
        <w:ind w:hanging="709"/>
      </w:pPr>
      <w:r>
        <w:t>Proposed sections 34(8) and 35(4) of the Stronger Futures Bill provide that before making regulations relating to a town camp or a community living area, the Minister must consult with relevant parties, such as the lessee of the town camp. Proposed sections 34(9) and 35(5) provide that a failure to comply with this requirement does not affect the validity of the regulations.</w:t>
      </w:r>
    </w:p>
    <w:p w14:paraId="130FD029" w14:textId="77777777" w:rsidR="00821224" w:rsidRPr="00212FF0" w:rsidRDefault="00821224" w:rsidP="000974C4">
      <w:pPr>
        <w:pStyle w:val="SubmissionNormal"/>
        <w:numPr>
          <w:ilvl w:val="0"/>
          <w:numId w:val="41"/>
        </w:numPr>
        <w:ind w:hanging="709"/>
        <w:rPr>
          <w:rStyle w:val="EndnoteReference1"/>
          <w:szCs w:val="20"/>
        </w:rPr>
      </w:pPr>
      <w:r>
        <w:t>The Commission understands that ss 34(9) and 35(5) are drafted to offer stability to parties who may have property interests affected by Regulations. However the Commission is concerned that these provisions could be used to undermine the duty to consult with affected parties.</w:t>
      </w:r>
      <w:r w:rsidRPr="00212FF0">
        <w:rPr>
          <w:rStyle w:val="EndnoteReference1"/>
          <w:szCs w:val="20"/>
        </w:rPr>
        <w:endnoteReference w:id="209"/>
      </w:r>
    </w:p>
    <w:p w14:paraId="60B1837E" w14:textId="77777777" w:rsidR="00821224" w:rsidRDefault="00821224" w:rsidP="000974C4">
      <w:pPr>
        <w:pStyle w:val="SubmissionNormal"/>
        <w:numPr>
          <w:ilvl w:val="0"/>
          <w:numId w:val="41"/>
        </w:numPr>
        <w:ind w:hanging="709"/>
      </w:pPr>
      <w:r>
        <w:lastRenderedPageBreak/>
        <w:t xml:space="preserve">One way to address this is to include a set of minimum criteria which must be met as part of the consultation process. As noted at </w:t>
      </w:r>
      <w:r w:rsidR="00A31B25">
        <w:t xml:space="preserve">paragraph 63, </w:t>
      </w:r>
      <w:r>
        <w:t>the criteria developed by Aboriginal and Torres Strait Islander Social Justice Commissioner based on stakeholder research and international law, could be used as the basis for designing minimum consultation requirements.</w:t>
      </w:r>
    </w:p>
    <w:p w14:paraId="150E675F" w14:textId="77777777" w:rsidR="00821224" w:rsidRPr="005F7452" w:rsidRDefault="00821224" w:rsidP="005630AF">
      <w:pPr>
        <w:pStyle w:val="Heading3"/>
      </w:pPr>
      <w:bookmarkStart w:id="209" w:name="_Toc315865112"/>
      <w:bookmarkStart w:id="210" w:name="_Toc316042385"/>
      <w:r w:rsidRPr="00067031">
        <w:t>Recommendations</w:t>
      </w:r>
      <w:bookmarkEnd w:id="209"/>
      <w:bookmarkEnd w:id="210"/>
    </w:p>
    <w:p w14:paraId="64A05EE2" w14:textId="77777777" w:rsidR="00821224" w:rsidRPr="005F7452" w:rsidRDefault="00821224" w:rsidP="000974C4">
      <w:pPr>
        <w:pStyle w:val="SubmissionNormal"/>
        <w:numPr>
          <w:ilvl w:val="0"/>
          <w:numId w:val="41"/>
        </w:numPr>
        <w:ind w:hanging="709"/>
        <w:rPr>
          <w:b/>
        </w:rPr>
      </w:pPr>
      <w:r w:rsidRPr="003F1B94">
        <w:rPr>
          <w:rFonts w:cs="Arial"/>
        </w:rPr>
        <w:t xml:space="preserve">The Commission recommends that the provisions of the Stronger Futures in the Northern Territory (Consequential and Transitional Provisions) Bill 2011 repealing the sections dealing with the compulsory acquisition of five-year leases, and repealing Part IIB of the </w:t>
      </w:r>
      <w:r w:rsidRPr="00987EAC">
        <w:rPr>
          <w:rFonts w:cs="Arial"/>
          <w:i/>
        </w:rPr>
        <w:t>Aboriginal Land Rights Act (Northern Territory) 1976</w:t>
      </w:r>
      <w:r w:rsidRPr="003F1B94">
        <w:rPr>
          <w:rFonts w:cs="Arial"/>
        </w:rPr>
        <w:t xml:space="preserve"> (Cth), be passed</w:t>
      </w:r>
      <w:r w:rsidRPr="005F7452">
        <w:rPr>
          <w:b/>
        </w:rPr>
        <w:t xml:space="preserve"> [</w:t>
      </w:r>
      <w:r w:rsidRPr="005F7452">
        <w:rPr>
          <w:rFonts w:ascii="Arial Bold" w:hAnsi="Arial Bold"/>
          <w:b/>
        </w:rPr>
        <w:t>Recommendation no.</w:t>
      </w:r>
      <w:r w:rsidR="006432FE">
        <w:rPr>
          <w:rFonts w:ascii="Arial Bold" w:hAnsi="Arial Bold"/>
          <w:b/>
        </w:rPr>
        <w:t xml:space="preserve"> 26</w:t>
      </w:r>
      <w:r w:rsidRPr="005F7452">
        <w:rPr>
          <w:b/>
        </w:rPr>
        <w:t>]</w:t>
      </w:r>
      <w:r>
        <w:rPr>
          <w:b/>
        </w:rPr>
        <w:t>.</w:t>
      </w:r>
    </w:p>
    <w:p w14:paraId="7764E6DB" w14:textId="77777777" w:rsidR="00821224" w:rsidRPr="005F7452" w:rsidRDefault="00821224" w:rsidP="000974C4">
      <w:pPr>
        <w:pStyle w:val="SubmissionNormal"/>
        <w:numPr>
          <w:ilvl w:val="0"/>
          <w:numId w:val="41"/>
        </w:numPr>
        <w:ind w:hanging="709"/>
        <w:rPr>
          <w:b/>
        </w:rPr>
      </w:pPr>
      <w:r w:rsidRPr="003F1B94">
        <w:rPr>
          <w:rFonts w:cs="Arial"/>
        </w:rPr>
        <w:t>The Commission recommends that the Australian Government ensure Northern Territory Land Councils are adequately resourced to provide support to the owners of community living area land in relation to any dealings on the land as envisaged by proposed s 23(1)(ea) of the Aboriginal Land Rights (Northern Territory) Act 1976 (Cth). In addition, the Australian Government should ensure town camp councils also have access to sufficient financial and technical assistance to enable them to utilise any new provisions affecting town camp leasing for their benefit</w:t>
      </w:r>
      <w:r w:rsidRPr="005F7452">
        <w:rPr>
          <w:b/>
        </w:rPr>
        <w:t xml:space="preserve"> [</w:t>
      </w:r>
      <w:r w:rsidRPr="005F7452">
        <w:rPr>
          <w:rFonts w:ascii="Arial Bold" w:hAnsi="Arial Bold"/>
          <w:b/>
        </w:rPr>
        <w:t>Recommendation no.</w:t>
      </w:r>
      <w:r w:rsidR="006432FE">
        <w:rPr>
          <w:rFonts w:ascii="Arial Bold" w:hAnsi="Arial Bold"/>
          <w:b/>
        </w:rPr>
        <w:t xml:space="preserve"> 27</w:t>
      </w:r>
      <w:r w:rsidRPr="005F7452">
        <w:rPr>
          <w:b/>
        </w:rPr>
        <w:t>].</w:t>
      </w:r>
    </w:p>
    <w:p w14:paraId="74F948D4" w14:textId="77777777" w:rsidR="00821224" w:rsidRPr="005F7452" w:rsidRDefault="00821224" w:rsidP="000974C4">
      <w:pPr>
        <w:pStyle w:val="SubmissionNormal"/>
        <w:numPr>
          <w:ilvl w:val="0"/>
          <w:numId w:val="41"/>
        </w:numPr>
        <w:ind w:hanging="709"/>
        <w:rPr>
          <w:b/>
        </w:rPr>
      </w:pPr>
      <w:r w:rsidRPr="003F1B94">
        <w:t>The Commission recommends that the Australian Government include the amendments to Northern Territory laws and/or leases, as envisaged by Part 3 of the Stronger Futures in the Northern Territory Bill 2011 (Cth), in the Bill to enable analysis and debate prior to the passage of the Bill. Alternatively, that the Government provide an exposure draft of the proposed Regulations in conjunction with the Stronger Futures in the Northern Territory Bill 2011 (Cth) for comment prior to the passage of the Bill</w:t>
      </w:r>
      <w:r w:rsidRPr="005F7452">
        <w:rPr>
          <w:b/>
        </w:rPr>
        <w:t xml:space="preserve"> [</w:t>
      </w:r>
      <w:r w:rsidRPr="005F7452">
        <w:rPr>
          <w:rFonts w:ascii="Arial Bold" w:hAnsi="Arial Bold"/>
          <w:b/>
        </w:rPr>
        <w:t>Recommendation no.</w:t>
      </w:r>
      <w:r w:rsidR="006432FE">
        <w:rPr>
          <w:rFonts w:ascii="Arial Bold" w:hAnsi="Arial Bold"/>
          <w:b/>
        </w:rPr>
        <w:t xml:space="preserve"> 28</w:t>
      </w:r>
      <w:r w:rsidRPr="005F7452">
        <w:rPr>
          <w:b/>
        </w:rPr>
        <w:t>].</w:t>
      </w:r>
    </w:p>
    <w:p w14:paraId="1A6BF52A" w14:textId="77777777" w:rsidR="00CF7C37" w:rsidRPr="00CF7C37" w:rsidRDefault="00CF7C37" w:rsidP="00CF7C37">
      <w:pPr>
        <w:pStyle w:val="SubmissionNormal"/>
        <w:numPr>
          <w:ilvl w:val="0"/>
          <w:numId w:val="41"/>
        </w:numPr>
        <w:ind w:hanging="709"/>
        <w:rPr>
          <w:b/>
        </w:rPr>
      </w:pPr>
      <w:r w:rsidRPr="005C7C85">
        <w:t>The Commission recommends that sections 34(1)(e) and 35(1)(e) of the Stronger Futures in the Northern Territory Bill 2011 (Cth) be amended to read that Regulations may modify any law of the Northern Territory relating to ‘any  matter which enables  the objects of this Part’</w:t>
      </w:r>
      <w:r w:rsidRPr="005F7452">
        <w:rPr>
          <w:b/>
        </w:rPr>
        <w:t xml:space="preserve"> [</w:t>
      </w:r>
      <w:r w:rsidRPr="005F7452">
        <w:rPr>
          <w:rFonts w:ascii="Arial Bold" w:hAnsi="Arial Bold"/>
          <w:b/>
        </w:rPr>
        <w:t>Recommendation no.</w:t>
      </w:r>
      <w:r>
        <w:rPr>
          <w:rFonts w:ascii="Arial Bold" w:hAnsi="Arial Bold"/>
          <w:b/>
        </w:rPr>
        <w:t xml:space="preserve"> 29</w:t>
      </w:r>
      <w:r w:rsidRPr="005F7452">
        <w:rPr>
          <w:b/>
        </w:rPr>
        <w:t>].</w:t>
      </w:r>
    </w:p>
    <w:p w14:paraId="3AA90162" w14:textId="48E50949" w:rsidR="00821224" w:rsidRPr="00045A18" w:rsidRDefault="00821224" w:rsidP="00045A18">
      <w:pPr>
        <w:pStyle w:val="SubmissionNormal"/>
        <w:numPr>
          <w:ilvl w:val="0"/>
          <w:numId w:val="41"/>
        </w:numPr>
        <w:ind w:hanging="709"/>
        <w:rPr>
          <w:b/>
          <w:bCs/>
        </w:rPr>
      </w:pPr>
      <w:r>
        <w:t>The Commission recommends that any Regulations developed under proposed ss 34 or 35 of the Stronger Futures in the Northern Territory Bill 2011 be developed in partnership with affected</w:t>
      </w:r>
      <w:r w:rsidR="002B5194">
        <w:t xml:space="preserve"> Aboriginal communities</w:t>
      </w:r>
      <w:r>
        <w:t xml:space="preserve"> </w:t>
      </w:r>
      <w:r w:rsidRPr="00C52261">
        <w:rPr>
          <w:b/>
          <w:bCs/>
        </w:rPr>
        <w:t>[Recommendation no.</w:t>
      </w:r>
      <w:r w:rsidR="006432FE">
        <w:rPr>
          <w:b/>
          <w:bCs/>
        </w:rPr>
        <w:t xml:space="preserve"> 30</w:t>
      </w:r>
      <w:r w:rsidRPr="00045A18">
        <w:rPr>
          <w:b/>
          <w:bCs/>
        </w:rPr>
        <w:t>].</w:t>
      </w:r>
    </w:p>
    <w:p w14:paraId="00A6DE21" w14:textId="77777777" w:rsidR="00821224" w:rsidRDefault="00821224" w:rsidP="005630AF">
      <w:pPr>
        <w:pStyle w:val="Heading1"/>
        <w:rPr>
          <w:sz w:val="24"/>
        </w:rPr>
      </w:pPr>
      <w:r>
        <w:t xml:space="preserve"> </w:t>
      </w:r>
      <w:bookmarkStart w:id="211" w:name="_Toc315865113"/>
      <w:bookmarkStart w:id="212" w:name="_Toc316042386"/>
      <w:r>
        <w:t>Community stores and food security</w:t>
      </w:r>
      <w:bookmarkEnd w:id="211"/>
      <w:bookmarkEnd w:id="212"/>
    </w:p>
    <w:p w14:paraId="1CA43D15" w14:textId="77777777" w:rsidR="00821224" w:rsidRDefault="00821224" w:rsidP="005630AF">
      <w:pPr>
        <w:pStyle w:val="Heading3"/>
      </w:pPr>
      <w:bookmarkStart w:id="213" w:name="_TOC124629"/>
      <w:bookmarkStart w:id="214" w:name="_Toc315865114"/>
      <w:bookmarkStart w:id="215" w:name="_Toc316042387"/>
      <w:bookmarkEnd w:id="213"/>
      <w:r>
        <w:t>The Commission’s view on community stores and food security</w:t>
      </w:r>
      <w:bookmarkEnd w:id="214"/>
      <w:bookmarkEnd w:id="215"/>
    </w:p>
    <w:p w14:paraId="63C7FEBB" w14:textId="07412B3C" w:rsidR="00821224" w:rsidRPr="00212FF0" w:rsidRDefault="00821224" w:rsidP="000974C4">
      <w:pPr>
        <w:pStyle w:val="SubmissionNormal"/>
        <w:numPr>
          <w:ilvl w:val="0"/>
          <w:numId w:val="41"/>
        </w:numPr>
        <w:ind w:hanging="709"/>
        <w:rPr>
          <w:rStyle w:val="EndnoteReference1"/>
          <w:szCs w:val="20"/>
        </w:rPr>
      </w:pPr>
      <w:r>
        <w:t>The right to adequate food is a human right recognise</w:t>
      </w:r>
      <w:r w:rsidR="002B5194">
        <w:t>d under international law</w:t>
      </w:r>
      <w:r>
        <w:t>.</w:t>
      </w:r>
      <w:r w:rsidRPr="00212FF0">
        <w:rPr>
          <w:rStyle w:val="EndnoteReference1"/>
          <w:szCs w:val="20"/>
        </w:rPr>
        <w:endnoteReference w:id="210"/>
      </w:r>
      <w:r>
        <w:t xml:space="preserve"> Under the </w:t>
      </w:r>
      <w:r>
        <w:rPr>
          <w:rFonts w:ascii="Arial Italic" w:hAnsi="Arial Italic"/>
        </w:rPr>
        <w:t>International Covenant on Economic, Social and Cultural Rights</w:t>
      </w:r>
      <w:r>
        <w:t xml:space="preserve"> the right to adequate food involves the state’s obligation to respect, protect and to fulfil this right.</w:t>
      </w:r>
      <w:r w:rsidRPr="00212FF0">
        <w:rPr>
          <w:rStyle w:val="EndnoteReference1"/>
          <w:szCs w:val="20"/>
        </w:rPr>
        <w:endnoteReference w:id="211"/>
      </w:r>
    </w:p>
    <w:p w14:paraId="0A8448CE" w14:textId="77777777" w:rsidR="00821224" w:rsidRDefault="00821224" w:rsidP="000974C4">
      <w:pPr>
        <w:pStyle w:val="SubmissionNormal"/>
        <w:numPr>
          <w:ilvl w:val="0"/>
          <w:numId w:val="41"/>
        </w:numPr>
        <w:ind w:hanging="709"/>
      </w:pPr>
      <w:r>
        <w:t xml:space="preserve">The Commission also notes the right for Indigenous peoples to be actively involved in developing and determining economic and social programmes </w:t>
      </w:r>
      <w:r>
        <w:lastRenderedPageBreak/>
        <w:t>affecting them.</w:t>
      </w:r>
      <w:r w:rsidRPr="00212FF0">
        <w:rPr>
          <w:rStyle w:val="EndnoteReference1"/>
          <w:szCs w:val="20"/>
        </w:rPr>
        <w:endnoteReference w:id="212"/>
      </w:r>
      <w:r>
        <w:rPr>
          <w:sz w:val="20"/>
        </w:rPr>
        <w:t xml:space="preserve"> </w:t>
      </w:r>
      <w:r>
        <w:t>As such, t</w:t>
      </w:r>
      <w:r w:rsidRPr="003B5CFE">
        <w:t xml:space="preserve">his should be </w:t>
      </w:r>
      <w:r>
        <w:t>included</w:t>
      </w:r>
      <w:r w:rsidRPr="003B5CFE">
        <w:t xml:space="preserve"> in the planning</w:t>
      </w:r>
      <w:r>
        <w:t xml:space="preserve"> and development of initiatives for food security in the Northern Territory.</w:t>
      </w:r>
    </w:p>
    <w:p w14:paraId="0FE9C22F" w14:textId="77777777" w:rsidR="00821224" w:rsidRDefault="00821224" w:rsidP="005630AF">
      <w:pPr>
        <w:pStyle w:val="Heading3"/>
      </w:pPr>
      <w:bookmarkStart w:id="216" w:name="_TOC125358"/>
      <w:bookmarkStart w:id="217" w:name="_Toc315865115"/>
      <w:bookmarkStart w:id="218" w:name="_Toc316042388"/>
      <w:bookmarkEnd w:id="216"/>
      <w:r>
        <w:t>Background and current measures</w:t>
      </w:r>
      <w:bookmarkEnd w:id="217"/>
      <w:bookmarkEnd w:id="218"/>
      <w:r>
        <w:t xml:space="preserve"> </w:t>
      </w:r>
    </w:p>
    <w:p w14:paraId="15CB3328" w14:textId="77777777" w:rsidR="00821224" w:rsidRPr="00212FF0" w:rsidRDefault="00821224" w:rsidP="000974C4">
      <w:pPr>
        <w:pStyle w:val="SubmissionNormal"/>
        <w:numPr>
          <w:ilvl w:val="0"/>
          <w:numId w:val="41"/>
        </w:numPr>
        <w:ind w:hanging="709"/>
        <w:rPr>
          <w:rStyle w:val="EndnoteReference1"/>
          <w:szCs w:val="20"/>
        </w:rPr>
      </w:pPr>
      <w:r>
        <w:t xml:space="preserve">The original 2007 NTER measures set up a licensing scheme for stores operating in prescribed areas. The licensing scheme required stores to participate in income management. Store licencing was originally introduced to address concerns about the operation of community stores in remote Indigenous communities. The licensing scheme also required stores to participate in income management to ensure the proper delivery of the income management arrangements established under Part 3B of the </w:t>
      </w:r>
      <w:r>
        <w:rPr>
          <w:rFonts w:ascii="Arial Italic" w:hAnsi="Arial Italic"/>
        </w:rPr>
        <w:t>Social Security (Administration) Act 1999</w:t>
      </w:r>
      <w:r>
        <w:t xml:space="preserve"> (Cth) (Social Security Administration Act).</w:t>
      </w:r>
      <w:r w:rsidRPr="00212FF0">
        <w:rPr>
          <w:rStyle w:val="EndnoteReference1"/>
          <w:szCs w:val="20"/>
        </w:rPr>
        <w:endnoteReference w:id="213"/>
      </w:r>
    </w:p>
    <w:p w14:paraId="2F765435" w14:textId="77777777" w:rsidR="00821224" w:rsidRDefault="00821224" w:rsidP="000974C4">
      <w:pPr>
        <w:pStyle w:val="SubmissionNormal"/>
        <w:numPr>
          <w:ilvl w:val="0"/>
          <w:numId w:val="41"/>
        </w:numPr>
        <w:ind w:hanging="709"/>
      </w:pPr>
      <w:r>
        <w:t>The 2010 NTER redesign introduced greater transparency in the licensing procedures for community stores. Community stores could be assessed to determine whether they would be granted a community store license.</w:t>
      </w:r>
      <w:r w:rsidRPr="00212FF0">
        <w:rPr>
          <w:rStyle w:val="EndnoteReference1"/>
          <w:szCs w:val="20"/>
        </w:rPr>
        <w:endnoteReference w:id="214"/>
      </w:r>
      <w:r>
        <w:t xml:space="preserve"> The basis of assessment was:</w:t>
      </w:r>
    </w:p>
    <w:p w14:paraId="69894473" w14:textId="77777777" w:rsidR="00821224" w:rsidRDefault="00821224" w:rsidP="000E7CF8">
      <w:pPr>
        <w:pStyle w:val="SubmissionNormal"/>
        <w:numPr>
          <w:ilvl w:val="0"/>
          <w:numId w:val="0"/>
        </w:numPr>
        <w:ind w:left="1440"/>
        <w:rPr>
          <w:sz w:val="22"/>
        </w:rPr>
      </w:pPr>
      <w:r>
        <w:rPr>
          <w:sz w:val="22"/>
        </w:rPr>
        <w:t>Reasonable quality, quantity and range of groceries and consumer items available and promoted at the store, including healthy food and drinks; capacity to participate in the requirements of the income management arrangements under the social security law; and have sound financial structures, retail and governance practices.</w:t>
      </w:r>
      <w:r w:rsidRPr="00212FF0">
        <w:rPr>
          <w:rStyle w:val="EndnoteReference1"/>
          <w:szCs w:val="20"/>
        </w:rPr>
        <w:endnoteReference w:id="215"/>
      </w:r>
    </w:p>
    <w:p w14:paraId="5213EFC1" w14:textId="2059667A" w:rsidR="00821224" w:rsidRPr="00212FF0" w:rsidRDefault="00821224" w:rsidP="000974C4">
      <w:pPr>
        <w:pStyle w:val="SubmissionNormal"/>
        <w:numPr>
          <w:ilvl w:val="0"/>
          <w:numId w:val="41"/>
        </w:numPr>
        <w:ind w:hanging="709"/>
        <w:rPr>
          <w:rStyle w:val="EndnoteReference1"/>
          <w:szCs w:val="20"/>
        </w:rPr>
      </w:pPr>
      <w:r>
        <w:t xml:space="preserve">The Commission viewed the terms and conditions of store licensing under the 2010 NTER redesign measures as reasonable measures to promote food security. However, the Commission did raise concerns about the application of the </w:t>
      </w:r>
      <w:r>
        <w:rPr>
          <w:rFonts w:ascii="Arial Italic" w:hAnsi="Arial Italic"/>
        </w:rPr>
        <w:t xml:space="preserve">Corporations (Aboriginal and Torres Strait Islander) Act 2006 </w:t>
      </w:r>
      <w:r>
        <w:t>(Cth) (CATSI Act),</w:t>
      </w:r>
      <w:r>
        <w:rPr>
          <w:rFonts w:ascii="Arial Italic" w:hAnsi="Arial Italic"/>
        </w:rPr>
        <w:t xml:space="preserve"> </w:t>
      </w:r>
      <w:r>
        <w:t>the need for addit</w:t>
      </w:r>
      <w:r w:rsidR="00595F25">
        <w:t>ional support and avoiding over-</w:t>
      </w:r>
      <w:r>
        <w:t>regulation under the store licensing scheme.</w:t>
      </w:r>
      <w:r w:rsidRPr="00212FF0">
        <w:rPr>
          <w:rStyle w:val="EndnoteReference1"/>
          <w:szCs w:val="20"/>
        </w:rPr>
        <w:endnoteReference w:id="216"/>
      </w:r>
    </w:p>
    <w:p w14:paraId="61E1A23E" w14:textId="77777777" w:rsidR="00821224" w:rsidRDefault="00821224" w:rsidP="000E7CF8">
      <w:pPr>
        <w:pStyle w:val="Heading3"/>
      </w:pPr>
      <w:bookmarkStart w:id="219" w:name="_TOC126937"/>
      <w:bookmarkStart w:id="220" w:name="_Toc315865116"/>
      <w:bookmarkStart w:id="221" w:name="_Toc316042389"/>
      <w:bookmarkEnd w:id="219"/>
      <w:r>
        <w:t>The Commission’s view of the proposed measures – Stronger Futures Bills</w:t>
      </w:r>
      <w:bookmarkEnd w:id="220"/>
      <w:bookmarkEnd w:id="221"/>
    </w:p>
    <w:p w14:paraId="281A0A47" w14:textId="77777777" w:rsidR="00821224" w:rsidRDefault="00821224" w:rsidP="000974C4">
      <w:pPr>
        <w:pStyle w:val="SubmissionNormal"/>
        <w:numPr>
          <w:ilvl w:val="0"/>
          <w:numId w:val="41"/>
        </w:numPr>
        <w:ind w:hanging="709"/>
      </w:pPr>
      <w:r>
        <w:t xml:space="preserve">The Stronger Futures in the Northern Territory Bill 2011 (Cth) (Stronger Futures Bill) provides for a community store licensing scheme to operate for a 10-year period to address food security issues for Aboriginal communities in the Northern Territory. If the Stronger Futures Bill is passed licensing requirements will no longer be confined to stores accepting income managed funds. Assessment guidelines for licensing community stores will be broadened to include: </w:t>
      </w:r>
    </w:p>
    <w:p w14:paraId="0A0912E6" w14:textId="77777777" w:rsidR="00821224" w:rsidRDefault="00821224" w:rsidP="000E7CF8">
      <w:pPr>
        <w:pStyle w:val="SubmissionNormal"/>
        <w:numPr>
          <w:ilvl w:val="0"/>
          <w:numId w:val="0"/>
        </w:numPr>
        <w:ind w:left="1440"/>
        <w:rPr>
          <w:sz w:val="22"/>
        </w:rPr>
      </w:pPr>
      <w:r>
        <w:rPr>
          <w:sz w:val="22"/>
        </w:rPr>
        <w:t>Satisfactory  range of healthy and good quality food, drink or grocery items; promoting good nutrition and health products; and satisfactorily address aspects which may impact food security  including, retail management and financial practices, business structure and environment of stores premises.</w:t>
      </w:r>
      <w:r w:rsidRPr="00212FF0">
        <w:rPr>
          <w:rStyle w:val="EndnoteReference1"/>
          <w:szCs w:val="20"/>
        </w:rPr>
        <w:endnoteReference w:id="217"/>
      </w:r>
    </w:p>
    <w:p w14:paraId="1926B183" w14:textId="77777777" w:rsidR="00821224" w:rsidRDefault="00821224" w:rsidP="000974C4">
      <w:pPr>
        <w:pStyle w:val="SubmissionNormal"/>
        <w:numPr>
          <w:ilvl w:val="0"/>
          <w:numId w:val="41"/>
        </w:numPr>
        <w:ind w:hanging="709"/>
      </w:pPr>
      <w:r>
        <w:t>The Stronger Futures Bill also introduces greater assessment of store practices and more robust enforcement of these measures through civil penalty provisions, infringement notices, enforceable undertakings and injunctions.</w:t>
      </w:r>
    </w:p>
    <w:p w14:paraId="7C74ABA7" w14:textId="77777777" w:rsidR="00821224" w:rsidRDefault="00821224" w:rsidP="00D40AC0">
      <w:pPr>
        <w:pStyle w:val="SubmissionNormal"/>
        <w:numPr>
          <w:ilvl w:val="0"/>
          <w:numId w:val="41"/>
        </w:numPr>
        <w:ind w:hanging="709"/>
        <w:rPr>
          <w:rFonts w:cs="Arial"/>
        </w:rPr>
      </w:pPr>
      <w:r w:rsidRPr="000F77F8">
        <w:rPr>
          <w:rFonts w:cs="Arial"/>
        </w:rPr>
        <w:lastRenderedPageBreak/>
        <w:t xml:space="preserve">The </w:t>
      </w:r>
      <w:r>
        <w:rPr>
          <w:rFonts w:cs="Arial"/>
        </w:rPr>
        <w:t xml:space="preserve">Commission continues to support the Bill’s proposed community stores and food security measures. </w:t>
      </w:r>
    </w:p>
    <w:p w14:paraId="22EA274C" w14:textId="77777777" w:rsidR="00821224" w:rsidRPr="000F77F8" w:rsidRDefault="00821224" w:rsidP="00D40AC0">
      <w:pPr>
        <w:pStyle w:val="SubmissionNormal"/>
        <w:numPr>
          <w:ilvl w:val="0"/>
          <w:numId w:val="41"/>
        </w:numPr>
        <w:ind w:hanging="709"/>
        <w:rPr>
          <w:rFonts w:cs="Arial"/>
        </w:rPr>
      </w:pPr>
      <w:r w:rsidRPr="000F77F8">
        <w:rPr>
          <w:rFonts w:cs="Arial"/>
        </w:rPr>
        <w:t>It is the Co</w:t>
      </w:r>
      <w:r>
        <w:rPr>
          <w:rFonts w:cs="Arial"/>
        </w:rPr>
        <w:t xml:space="preserve">mmission’s view that, overall, the </w:t>
      </w:r>
      <w:r w:rsidRPr="000F77F8">
        <w:rPr>
          <w:rFonts w:cs="Arial"/>
        </w:rPr>
        <w:t xml:space="preserve">terms and conditions of the </w:t>
      </w:r>
      <w:r>
        <w:rPr>
          <w:rFonts w:cs="Arial"/>
        </w:rPr>
        <w:t xml:space="preserve">licensing regime </w:t>
      </w:r>
      <w:r w:rsidRPr="000F77F8">
        <w:rPr>
          <w:rFonts w:cs="Arial"/>
        </w:rPr>
        <w:t xml:space="preserve">are reasonable, able to be complied with and do not have a negative impact upon the equal enjoyment of rights in public life by people of a particular race – and </w:t>
      </w:r>
      <w:r>
        <w:rPr>
          <w:rFonts w:cs="Arial"/>
        </w:rPr>
        <w:t xml:space="preserve">are </w:t>
      </w:r>
      <w:r w:rsidRPr="000F77F8">
        <w:rPr>
          <w:rFonts w:cs="Arial"/>
        </w:rPr>
        <w:t xml:space="preserve">therefore not racially discriminatory. </w:t>
      </w:r>
    </w:p>
    <w:p w14:paraId="0BF24B61" w14:textId="77777777" w:rsidR="00821224" w:rsidRDefault="00821224" w:rsidP="000974C4">
      <w:pPr>
        <w:pStyle w:val="SubmissionNormal"/>
        <w:numPr>
          <w:ilvl w:val="0"/>
          <w:numId w:val="41"/>
        </w:numPr>
        <w:ind w:hanging="709"/>
      </w:pPr>
      <w:r>
        <w:t xml:space="preserve">However, the Commission is concerned that proposed s 109 expressly states that Part 4 ‘has effect despite any other law of the Commonwealth’. This includes the </w:t>
      </w:r>
      <w:r>
        <w:rPr>
          <w:rFonts w:ascii="Arial Italic" w:hAnsi="Arial Italic"/>
        </w:rPr>
        <w:t>Racial Discrimination Act 1975</w:t>
      </w:r>
      <w:r>
        <w:t xml:space="preserve"> (Cth) (RDA), </w:t>
      </w:r>
      <w:r>
        <w:rPr>
          <w:rFonts w:ascii="Arial Italic" w:hAnsi="Arial Italic"/>
        </w:rPr>
        <w:t>Disability Discrimination Act 1992</w:t>
      </w:r>
      <w:r>
        <w:t xml:space="preserve"> (Cth) and the </w:t>
      </w:r>
      <w:r>
        <w:rPr>
          <w:rFonts w:ascii="Arial Italic" w:hAnsi="Arial Italic"/>
        </w:rPr>
        <w:t>Privacy Act 1988</w:t>
      </w:r>
      <w:r>
        <w:t xml:space="preserve"> (Cth). </w:t>
      </w:r>
    </w:p>
    <w:p w14:paraId="694287A0" w14:textId="77777777" w:rsidR="00821224" w:rsidRDefault="00821224" w:rsidP="000974C4">
      <w:pPr>
        <w:pStyle w:val="SubmissionNormal"/>
        <w:numPr>
          <w:ilvl w:val="0"/>
          <w:numId w:val="41"/>
        </w:numPr>
        <w:ind w:hanging="709"/>
      </w:pPr>
      <w:r>
        <w:t>The Commission is also concerned that the provisions regarding entry, access to records and compulsion to provide information may unnecessarily interfere with community store owners and manager’s right to privacy.</w:t>
      </w:r>
    </w:p>
    <w:p w14:paraId="3859F897" w14:textId="77777777" w:rsidR="00821224" w:rsidRDefault="00821224" w:rsidP="000974C4">
      <w:pPr>
        <w:pStyle w:val="SubmissionNormal"/>
        <w:numPr>
          <w:ilvl w:val="0"/>
          <w:numId w:val="41"/>
        </w:numPr>
        <w:ind w:hanging="709"/>
      </w:pPr>
      <w:r>
        <w:t>The new enforcement mechanisms will mean that revocation of a community store licence is not the only remedy for non-compliance with licencing requirements.</w:t>
      </w:r>
      <w:r w:rsidRPr="00212FF0">
        <w:rPr>
          <w:rStyle w:val="EndnoteReference1"/>
          <w:szCs w:val="20"/>
        </w:rPr>
        <w:endnoteReference w:id="218"/>
      </w:r>
      <w:r>
        <w:t xml:space="preserve"> Alternative remedies may assist in ensuring food security in remote Aboriginal communities. However the Commission notes that the new enforcement arrangements carry civil and criminal penalties</w:t>
      </w:r>
      <w:r w:rsidRPr="00212FF0">
        <w:rPr>
          <w:rStyle w:val="EndnoteReference1"/>
          <w:szCs w:val="20"/>
        </w:rPr>
        <w:endnoteReference w:id="219"/>
      </w:r>
      <w:r>
        <w:t xml:space="preserve"> which may not always be a necessary or proportionate response to non-compliance.</w:t>
      </w:r>
    </w:p>
    <w:p w14:paraId="6EA28F2C" w14:textId="77777777" w:rsidR="00821224" w:rsidRDefault="00821224" w:rsidP="000974C4">
      <w:pPr>
        <w:pStyle w:val="SubmissionNormal"/>
        <w:numPr>
          <w:ilvl w:val="0"/>
          <w:numId w:val="41"/>
        </w:numPr>
        <w:ind w:hanging="709"/>
      </w:pPr>
      <w:r>
        <w:t>The Explanatory Memorandum notes that the normal initial response to a breach of conditions will be to seek resolution without recourse to the new enforcement provisions.</w:t>
      </w:r>
      <w:r w:rsidRPr="00212FF0">
        <w:rPr>
          <w:rStyle w:val="EndnoteReference1"/>
          <w:szCs w:val="20"/>
        </w:rPr>
        <w:endnoteReference w:id="220"/>
      </w:r>
      <w:r>
        <w:t xml:space="preserve"> While this is a welcome assurance, the Government should closely monitor the use of the enforcement provisions to ensure they are being applied proportionately. </w:t>
      </w:r>
    </w:p>
    <w:p w14:paraId="6D5B6E69" w14:textId="77777777" w:rsidR="00821224" w:rsidRDefault="00821224" w:rsidP="000E7CF8">
      <w:pPr>
        <w:pStyle w:val="Heading4"/>
      </w:pPr>
      <w:bookmarkStart w:id="222" w:name="_TOC129491"/>
      <w:bookmarkStart w:id="223" w:name="_Toc315865118"/>
      <w:bookmarkEnd w:id="222"/>
      <w:r>
        <w:t>Meaningful and effective consultation</w:t>
      </w:r>
      <w:bookmarkEnd w:id="223"/>
    </w:p>
    <w:p w14:paraId="67A7B3D8" w14:textId="0CC3EF24" w:rsidR="00821224" w:rsidRDefault="00821224" w:rsidP="000974C4">
      <w:pPr>
        <w:pStyle w:val="SubmissionNormal"/>
        <w:numPr>
          <w:ilvl w:val="0"/>
          <w:numId w:val="41"/>
        </w:numPr>
        <w:ind w:hanging="709"/>
      </w:pPr>
      <w:r>
        <w:t>The Government contends that ‘community consultation will continue to be an important aspect of the operation of the scheme’.</w:t>
      </w:r>
      <w:r w:rsidR="00CC279C">
        <w:rPr>
          <w:rStyle w:val="EndnoteReference"/>
        </w:rPr>
        <w:endnoteReference w:id="221"/>
      </w:r>
      <w:r w:rsidR="00CC279C">
        <w:rPr>
          <w:rStyle w:val="CommentReference"/>
        </w:rPr>
        <w:t xml:space="preserve"> </w:t>
      </w:r>
      <w:r>
        <w:t>For example, proposed s</w:t>
      </w:r>
      <w:r w:rsidR="007007AA">
        <w:t> </w:t>
      </w:r>
      <w:r>
        <w:t>41(2) of the Stronger Futures Bill requires the Secretary to ‘consult people being serviced by the community store about the proposal to make a determination’ about whether a community store licence is required.</w:t>
      </w:r>
      <w:r w:rsidRPr="00212FF0">
        <w:rPr>
          <w:rStyle w:val="EndnoteReference1"/>
          <w:szCs w:val="20"/>
        </w:rPr>
        <w:endnoteReference w:id="222"/>
      </w:r>
      <w:r>
        <w:t xml:space="preserve"> </w:t>
      </w:r>
      <w:bookmarkStart w:id="224" w:name="TOC162769295"/>
      <w:bookmarkEnd w:id="224"/>
      <w:r>
        <w:t>However proposed s 41(3) states that a failure to meet this requirement does not affect the validity of the determination.</w:t>
      </w:r>
    </w:p>
    <w:p w14:paraId="27AB4F7E" w14:textId="14C67899" w:rsidR="00821224" w:rsidRDefault="00821224" w:rsidP="000974C4">
      <w:pPr>
        <w:pStyle w:val="SubmissionNormal"/>
        <w:numPr>
          <w:ilvl w:val="0"/>
          <w:numId w:val="41"/>
        </w:numPr>
        <w:ind w:hanging="709"/>
      </w:pPr>
      <w:r>
        <w:t>The Commission has referred to other provisions in the Stronger Futures Bills which are drafted in the same way. To ensure that these provisions are not used to undermine the duty to consult with affected parties</w:t>
      </w:r>
      <w:r w:rsidR="00BC0EFF">
        <w:t>,</w:t>
      </w:r>
      <w:r>
        <w:t xml:space="preserve"> the Commission reiterates the recommendation at </w:t>
      </w:r>
      <w:r w:rsidRPr="00A31B25">
        <w:t>paragraph</w:t>
      </w:r>
      <w:r w:rsidR="00A31B25">
        <w:t xml:space="preserve"> 19</w:t>
      </w:r>
      <w:r>
        <w:t xml:space="preserve"> that the Government consult with affected Aboriginal and Torres Strait Islander peoples consistent with the criteria set out above in </w:t>
      </w:r>
      <w:r w:rsidR="00A31B25">
        <w:t>paragraph 63 and appendix 2.</w:t>
      </w:r>
    </w:p>
    <w:p w14:paraId="72156F6F" w14:textId="77777777" w:rsidR="00821224" w:rsidRDefault="00821224" w:rsidP="000E7CF8">
      <w:pPr>
        <w:pStyle w:val="Heading4"/>
      </w:pPr>
      <w:bookmarkStart w:id="225" w:name="_TOC130462"/>
      <w:bookmarkStart w:id="226" w:name="_Toc315865119"/>
      <w:bookmarkEnd w:id="225"/>
      <w:r>
        <w:t>Pricing and nutrition</w:t>
      </w:r>
      <w:bookmarkEnd w:id="226"/>
      <w:r>
        <w:t xml:space="preserve"> </w:t>
      </w:r>
    </w:p>
    <w:p w14:paraId="3B60ED49" w14:textId="77777777" w:rsidR="00821224" w:rsidRDefault="00821224" w:rsidP="000974C4">
      <w:pPr>
        <w:pStyle w:val="SubmissionNormal"/>
        <w:numPr>
          <w:ilvl w:val="0"/>
          <w:numId w:val="41"/>
        </w:numPr>
        <w:ind w:hanging="709"/>
      </w:pPr>
      <w:r>
        <w:t>There are significant concerns about the high cost of food in remote community stores.</w:t>
      </w:r>
      <w:r w:rsidRPr="00212FF0">
        <w:rPr>
          <w:rStyle w:val="EndnoteReference1"/>
          <w:szCs w:val="20"/>
        </w:rPr>
        <w:endnoteReference w:id="223"/>
      </w:r>
      <w:r>
        <w:t xml:space="preserve"> </w:t>
      </w:r>
    </w:p>
    <w:p w14:paraId="107BDC05" w14:textId="77777777" w:rsidR="00821224" w:rsidRDefault="00821224" w:rsidP="000974C4">
      <w:pPr>
        <w:pStyle w:val="SubmissionNormal"/>
        <w:numPr>
          <w:ilvl w:val="0"/>
          <w:numId w:val="41"/>
        </w:numPr>
        <w:ind w:hanging="709"/>
      </w:pPr>
      <w:r>
        <w:lastRenderedPageBreak/>
        <w:t>The availability and affordability of healthy choices to meet nutrition requirements in community stores is a complex issue. Research suggests the community stores are improving the promotion of healthy choices through layout, displays, and purchasing options.</w:t>
      </w:r>
      <w:r w:rsidRPr="00212FF0">
        <w:rPr>
          <w:rStyle w:val="EndnoteReference1"/>
          <w:szCs w:val="20"/>
        </w:rPr>
        <w:endnoteReference w:id="224"/>
      </w:r>
      <w:r>
        <w:t xml:space="preserve"> </w:t>
      </w:r>
    </w:p>
    <w:p w14:paraId="7AB45EC4" w14:textId="77777777" w:rsidR="00821224" w:rsidRDefault="00821224" w:rsidP="000974C4">
      <w:pPr>
        <w:pStyle w:val="SubmissionNormal"/>
        <w:numPr>
          <w:ilvl w:val="0"/>
          <w:numId w:val="41"/>
        </w:numPr>
        <w:ind w:hanging="709"/>
      </w:pPr>
      <w:r>
        <w:t>While improving store management and governance is part of the solution to increasing access to affordable healthy choices, it is undermined by poor food supply in the Northern Territory. There are a number of factors contributing to poor food supply including freighting goods over long distances, breaking the cold chain, seasonal disruptions and lack of community input into stock orders.</w:t>
      </w:r>
      <w:r w:rsidRPr="00506FBF">
        <w:rPr>
          <w:sz w:val="20"/>
          <w:szCs w:val="20"/>
          <w:vertAlign w:val="superscript"/>
        </w:rPr>
        <w:endnoteReference w:id="225"/>
      </w:r>
      <w:r>
        <w:t xml:space="preserve"> The Commission considers that support is needed to allow both stores and suppliers to develop holistic structures to improve the supply chain of food to community stores.</w:t>
      </w:r>
    </w:p>
    <w:p w14:paraId="74A472D2" w14:textId="20E25426" w:rsidR="00821224" w:rsidRDefault="00821224" w:rsidP="000974C4">
      <w:pPr>
        <w:pStyle w:val="SubmissionNormal"/>
        <w:numPr>
          <w:ilvl w:val="0"/>
          <w:numId w:val="41"/>
        </w:numPr>
        <w:ind w:hanging="709"/>
      </w:pPr>
      <w:r>
        <w:t xml:space="preserve">The Commission refers to the recommendations from </w:t>
      </w:r>
      <w:r w:rsidR="00BC0EFF">
        <w:t>the Inquiry into community stor</w:t>
      </w:r>
      <w:r>
        <w:t>es in remote Aboriginal and Torres Strait Islander communities. In particular, the Commission supports the recommendations included in the Inquiry Report that the Australian Government consider:</w:t>
      </w:r>
    </w:p>
    <w:p w14:paraId="63D5D899" w14:textId="77777777" w:rsidR="00821224" w:rsidRPr="00341D84" w:rsidRDefault="00821224" w:rsidP="000974C4">
      <w:pPr>
        <w:pStyle w:val="SubmissionNormal"/>
        <w:numPr>
          <w:ilvl w:val="0"/>
          <w:numId w:val="39"/>
        </w:numPr>
        <w:rPr>
          <w:rFonts w:ascii="Lucida Grande" w:hAnsi="Symbol"/>
        </w:rPr>
      </w:pPr>
      <w:r w:rsidRPr="000F77F8">
        <w:t>establishing a national remote Indigenous food supply chain coordination office</w:t>
      </w:r>
      <w:r w:rsidRPr="00212FF0">
        <w:rPr>
          <w:rStyle w:val="EndnoteReference1"/>
          <w:szCs w:val="20"/>
        </w:rPr>
        <w:endnoteReference w:id="226"/>
      </w:r>
    </w:p>
    <w:p w14:paraId="1DE35E98" w14:textId="77777777" w:rsidR="00821224" w:rsidRPr="000F77F8" w:rsidRDefault="00821224" w:rsidP="000974C4">
      <w:pPr>
        <w:pStyle w:val="SubmissionNormal"/>
        <w:numPr>
          <w:ilvl w:val="0"/>
          <w:numId w:val="39"/>
        </w:numPr>
        <w:rPr>
          <w:rFonts w:ascii="Lucida Grande" w:hAnsi="Symbol"/>
        </w:rPr>
      </w:pPr>
      <w:r w:rsidRPr="000F77F8">
        <w:t>supporting the development of flexible regional or group purchasing models to reduce cost without risking freight monopolisation</w:t>
      </w:r>
      <w:r>
        <w:t>.</w:t>
      </w:r>
      <w:r w:rsidRPr="00212FF0">
        <w:rPr>
          <w:rStyle w:val="EndnoteReference1"/>
          <w:szCs w:val="20"/>
        </w:rPr>
        <w:endnoteReference w:id="227"/>
      </w:r>
    </w:p>
    <w:p w14:paraId="36B0AE1C" w14:textId="77777777" w:rsidR="00821224" w:rsidRDefault="00821224" w:rsidP="000974C4">
      <w:pPr>
        <w:pStyle w:val="SubmissionNormal"/>
        <w:numPr>
          <w:ilvl w:val="0"/>
          <w:numId w:val="41"/>
        </w:numPr>
        <w:ind w:hanging="709"/>
      </w:pPr>
      <w:r>
        <w:t>The Commission notes that the Australian Government is also in the process of developing the first National Food Plan.</w:t>
      </w:r>
      <w:r w:rsidRPr="00212FF0">
        <w:rPr>
          <w:rStyle w:val="EndnoteReference1"/>
          <w:szCs w:val="20"/>
        </w:rPr>
        <w:endnoteReference w:id="228"/>
      </w:r>
      <w:r>
        <w:t xml:space="preserve"> The Food Security measures of Stronger Futures legislation should be developed to ensure that the Stronger Futures measures regarding food security are consistent with the National Food Plan.</w:t>
      </w:r>
    </w:p>
    <w:p w14:paraId="33142730" w14:textId="77777777" w:rsidR="00821224" w:rsidRDefault="00821224" w:rsidP="000E7CF8">
      <w:pPr>
        <w:pStyle w:val="Heading1"/>
        <w:rPr>
          <w:sz w:val="24"/>
        </w:rPr>
      </w:pPr>
      <w:bookmarkStart w:id="227" w:name="_TOC132084"/>
      <w:bookmarkStart w:id="228" w:name="_TOC132600"/>
      <w:bookmarkStart w:id="229" w:name="_Toc315865120"/>
      <w:bookmarkStart w:id="230" w:name="_Toc316042390"/>
      <w:bookmarkEnd w:id="227"/>
      <w:bookmarkEnd w:id="228"/>
      <w:r>
        <w:t>Community safety</w:t>
      </w:r>
      <w:bookmarkEnd w:id="229"/>
      <w:bookmarkEnd w:id="230"/>
    </w:p>
    <w:p w14:paraId="27302D10" w14:textId="77777777" w:rsidR="00821224" w:rsidRPr="000E7CF8" w:rsidRDefault="00821224" w:rsidP="000E7CF8">
      <w:pPr>
        <w:pStyle w:val="Heading3"/>
      </w:pPr>
      <w:bookmarkStart w:id="231" w:name="_TOC132617"/>
      <w:bookmarkStart w:id="232" w:name="_Toc315865121"/>
      <w:bookmarkStart w:id="233" w:name="_Toc316042391"/>
      <w:bookmarkEnd w:id="231"/>
      <w:r w:rsidRPr="000E7CF8">
        <w:rPr>
          <w:rStyle w:val="Heading2Char"/>
          <w:b w:val="0"/>
          <w:i/>
          <w:color w:val="auto"/>
          <w:sz w:val="24"/>
        </w:rPr>
        <w:t>The Commission’s view on community safety</w:t>
      </w:r>
      <w:bookmarkEnd w:id="232"/>
      <w:bookmarkEnd w:id="233"/>
      <w:r w:rsidRPr="000E7CF8">
        <w:rPr>
          <w:rStyle w:val="Heading2Char"/>
          <w:b w:val="0"/>
          <w:i/>
          <w:color w:val="auto"/>
          <w:sz w:val="24"/>
        </w:rPr>
        <w:t xml:space="preserve"> </w:t>
      </w:r>
    </w:p>
    <w:p w14:paraId="7E3D835E" w14:textId="77777777" w:rsidR="00821224" w:rsidRDefault="00821224" w:rsidP="000974C4">
      <w:pPr>
        <w:pStyle w:val="SubmissionNormal"/>
        <w:numPr>
          <w:ilvl w:val="0"/>
          <w:numId w:val="41"/>
        </w:numPr>
        <w:ind w:hanging="709"/>
      </w:pPr>
      <w:r>
        <w:t>Every individual has the right to live in a safe and secure community. The Commission reaffirms that communities must be safe places that are free of emotional, physical and sexual violence. The obligation to ensure the safety of communities arises out of several well established human rights instruments.</w:t>
      </w:r>
      <w:r w:rsidRPr="00212FF0">
        <w:rPr>
          <w:rStyle w:val="EndnoteReference1"/>
          <w:szCs w:val="20"/>
        </w:rPr>
        <w:endnoteReference w:id="229"/>
      </w:r>
      <w:r>
        <w:t xml:space="preserve"> </w:t>
      </w:r>
    </w:p>
    <w:p w14:paraId="18E5B512" w14:textId="77777777" w:rsidR="00821224" w:rsidRDefault="00821224" w:rsidP="000974C4">
      <w:pPr>
        <w:pStyle w:val="SubmissionNormal"/>
        <w:numPr>
          <w:ilvl w:val="0"/>
          <w:numId w:val="41"/>
        </w:numPr>
        <w:ind w:hanging="709"/>
      </w:pPr>
      <w:r>
        <w:t xml:space="preserve">Community safety encompasses a range of policy and program responses. The Commission supports a holistic approach to addressing community safety. Community empowerment is the key to addressing these issues in a constructive and sustainable manner. Any approach to community safety needs to allow communities to develop their own solutions, working in partnership with police and other stakeholders. </w:t>
      </w:r>
    </w:p>
    <w:p w14:paraId="3F603A32" w14:textId="77777777" w:rsidR="00821224" w:rsidRDefault="00821224" w:rsidP="000E7CF8">
      <w:pPr>
        <w:pStyle w:val="Heading3"/>
      </w:pPr>
      <w:bookmarkStart w:id="234" w:name="_TOC133621"/>
      <w:bookmarkStart w:id="235" w:name="_Toc315865122"/>
      <w:bookmarkStart w:id="236" w:name="_Toc316042392"/>
      <w:bookmarkEnd w:id="234"/>
      <w:r>
        <w:t>Background and current measures</w:t>
      </w:r>
      <w:bookmarkEnd w:id="235"/>
      <w:bookmarkEnd w:id="236"/>
    </w:p>
    <w:p w14:paraId="69A57504" w14:textId="77777777" w:rsidR="00821224" w:rsidRDefault="00821224" w:rsidP="000974C4">
      <w:pPr>
        <w:pStyle w:val="SubmissionNormal"/>
        <w:numPr>
          <w:ilvl w:val="0"/>
          <w:numId w:val="41"/>
        </w:numPr>
        <w:ind w:hanging="709"/>
      </w:pPr>
      <w:r>
        <w:t>The original 2007 NTER measures placed a ban on pornography and required internet filters on all publicly funded computers in prescribed areas.</w:t>
      </w:r>
      <w:r w:rsidRPr="00212FF0">
        <w:rPr>
          <w:rStyle w:val="EndnoteReference1"/>
          <w:szCs w:val="20"/>
        </w:rPr>
        <w:endnoteReference w:id="230"/>
      </w:r>
      <w:r>
        <w:t xml:space="preserve"> The </w:t>
      </w:r>
      <w:r>
        <w:lastRenderedPageBreak/>
        <w:t>measures also removed customary law as a factor for consideration in sentencing and bail determinations.</w:t>
      </w:r>
    </w:p>
    <w:p w14:paraId="0B870707" w14:textId="77777777" w:rsidR="00821224" w:rsidRPr="00212FF0" w:rsidRDefault="00821224" w:rsidP="000974C4">
      <w:pPr>
        <w:pStyle w:val="SubmissionNormal"/>
        <w:numPr>
          <w:ilvl w:val="0"/>
          <w:numId w:val="41"/>
        </w:numPr>
        <w:ind w:hanging="709"/>
        <w:rPr>
          <w:rStyle w:val="EndnoteReference1"/>
          <w:szCs w:val="20"/>
        </w:rPr>
      </w:pPr>
      <w:r>
        <w:t>The NTER increased the police presence in remote Aboriginal communities. As a result of the NTER, 18 communities gained a resident police presence for the first time.</w:t>
      </w:r>
      <w:r w:rsidRPr="00212FF0">
        <w:rPr>
          <w:rStyle w:val="EndnoteReference1"/>
          <w:szCs w:val="20"/>
        </w:rPr>
        <w:endnoteReference w:id="231"/>
      </w:r>
      <w:r>
        <w:t xml:space="preserve"> The </w:t>
      </w:r>
      <w:r>
        <w:rPr>
          <w:rFonts w:ascii="Arial Italic" w:hAnsi="Arial Italic"/>
        </w:rPr>
        <w:t>NTER Evaluation Report</w:t>
      </w:r>
      <w:r>
        <w:t xml:space="preserve"> stated that police numbers rose by 62 since the NTER was introduced in 2007.</w:t>
      </w:r>
      <w:r w:rsidRPr="00212FF0">
        <w:rPr>
          <w:rStyle w:val="EndnoteReference1"/>
          <w:szCs w:val="20"/>
        </w:rPr>
        <w:endnoteReference w:id="232"/>
      </w:r>
    </w:p>
    <w:p w14:paraId="56255296" w14:textId="77777777" w:rsidR="00821224" w:rsidRDefault="00821224" w:rsidP="000974C4">
      <w:pPr>
        <w:pStyle w:val="SubmissionNormal"/>
        <w:numPr>
          <w:ilvl w:val="0"/>
          <w:numId w:val="41"/>
        </w:numPr>
        <w:ind w:hanging="709"/>
      </w:pPr>
      <w:r>
        <w:t>The 2010 NTER redesign amended the operation of the pornography measures. The Commission welcomed this redesign as it provided for greater discretion in placing appropriate signage and publishing notices.</w:t>
      </w:r>
    </w:p>
    <w:p w14:paraId="70DE236C" w14:textId="2054A3D4" w:rsidR="00821224" w:rsidRPr="000E7CF8" w:rsidRDefault="00821224" w:rsidP="000974C4">
      <w:pPr>
        <w:pStyle w:val="SubmissionNormal"/>
        <w:numPr>
          <w:ilvl w:val="0"/>
          <w:numId w:val="41"/>
        </w:numPr>
        <w:ind w:hanging="709"/>
      </w:pPr>
      <w:r>
        <w:t>Broadly speaking, evaluation research indicates some improvements in perceptions of community safety since the NTER commenced</w:t>
      </w:r>
      <w:r w:rsidR="00011EB3">
        <w:t>, and this is welcomed</w:t>
      </w:r>
      <w:r w:rsidR="002B5194">
        <w:t>.</w:t>
      </w:r>
      <w:r>
        <w:t xml:space="preserve"> The Community Safety and Wellbeing Research Study (CSWRS) interviewed around 1,300 individuals and found 72.6% of respondents felt community safety had improved since the NTER.</w:t>
      </w:r>
      <w:r w:rsidRPr="00506FBF">
        <w:rPr>
          <w:sz w:val="20"/>
          <w:szCs w:val="20"/>
          <w:vertAlign w:val="superscript"/>
        </w:rPr>
        <w:endnoteReference w:id="233"/>
      </w:r>
      <w:r>
        <w:t xml:space="preserve">  The Community Safety Service Provider Survey (CSSPS) interviewed 699 individuals and found that 41% of respondents felt that their community was safer since the NTER.</w:t>
      </w:r>
      <w:r w:rsidRPr="00506FBF">
        <w:rPr>
          <w:sz w:val="20"/>
          <w:szCs w:val="20"/>
          <w:vertAlign w:val="superscript"/>
        </w:rPr>
        <w:endnoteReference w:id="234"/>
      </w:r>
    </w:p>
    <w:p w14:paraId="1501EBC2" w14:textId="77777777" w:rsidR="00821224" w:rsidRPr="00212FF0" w:rsidRDefault="00821224" w:rsidP="000974C4">
      <w:pPr>
        <w:pStyle w:val="SubmissionNormal"/>
        <w:numPr>
          <w:ilvl w:val="0"/>
          <w:numId w:val="41"/>
        </w:numPr>
        <w:ind w:hanging="709"/>
        <w:rPr>
          <w:rStyle w:val="EndnoteReference1"/>
          <w:szCs w:val="20"/>
        </w:rPr>
      </w:pPr>
      <w:r>
        <w:t xml:space="preserve">However, the </w:t>
      </w:r>
      <w:r w:rsidRPr="000E7CF8">
        <w:t xml:space="preserve">NTER Evaluation Report </w:t>
      </w:r>
      <w:r>
        <w:t>found that only a very small number of offences related to pornography were documented: between 1 July 2007 and 31 December 2010 only 44 incidents were recorded.</w:t>
      </w:r>
      <w:r w:rsidRPr="00212FF0">
        <w:rPr>
          <w:rStyle w:val="EndnoteReference1"/>
          <w:szCs w:val="20"/>
        </w:rPr>
        <w:endnoteReference w:id="235"/>
      </w:r>
    </w:p>
    <w:p w14:paraId="05BE3F55" w14:textId="77777777" w:rsidR="00821224" w:rsidRDefault="00821224" w:rsidP="000974C4">
      <w:pPr>
        <w:pStyle w:val="SubmissionNormal"/>
        <w:numPr>
          <w:ilvl w:val="0"/>
          <w:numId w:val="41"/>
        </w:numPr>
        <w:ind w:hanging="709"/>
      </w:pPr>
      <w:r>
        <w:t>It is difficult to draw firm conclusions about the effectiveness of the prohibited material measures without data from comparable communities without the restrictions.</w:t>
      </w:r>
      <w:r w:rsidRPr="00212FF0">
        <w:rPr>
          <w:rStyle w:val="EndnoteReference1"/>
          <w:szCs w:val="20"/>
        </w:rPr>
        <w:endnoteReference w:id="236"/>
      </w:r>
      <w:r>
        <w:t xml:space="preserve"> However, it would appear that the number of recorded offences indicates that there is either a low level of illegal use and/or distribution of pornography, or police are limited in the type of incidents they can deal with.</w:t>
      </w:r>
    </w:p>
    <w:p w14:paraId="6E9048CA" w14:textId="77777777" w:rsidR="00821224" w:rsidRDefault="00821224" w:rsidP="000E7CF8">
      <w:pPr>
        <w:pStyle w:val="Heading3"/>
      </w:pPr>
      <w:bookmarkStart w:id="237" w:name="_TOC135450"/>
      <w:bookmarkStart w:id="238" w:name="_Toc315865123"/>
      <w:bookmarkStart w:id="239" w:name="_Toc316042393"/>
      <w:bookmarkEnd w:id="237"/>
      <w:r>
        <w:t>Proposed measures – Stronger Futures Bills</w:t>
      </w:r>
      <w:bookmarkEnd w:id="238"/>
      <w:bookmarkEnd w:id="239"/>
    </w:p>
    <w:p w14:paraId="30454DF7" w14:textId="3ACC901A" w:rsidR="00821224" w:rsidRDefault="00CF54C9" w:rsidP="000974C4">
      <w:pPr>
        <w:pStyle w:val="SubmissionNormal"/>
        <w:numPr>
          <w:ilvl w:val="0"/>
          <w:numId w:val="41"/>
        </w:numPr>
        <w:ind w:hanging="709"/>
      </w:pPr>
      <w:r>
        <w:t xml:space="preserve">The </w:t>
      </w:r>
      <w:r w:rsidR="00821224">
        <w:t>Consequential a</w:t>
      </w:r>
      <w:r>
        <w:t>nd Transitional Provisions Bill</w:t>
      </w:r>
      <w:r w:rsidR="00821224">
        <w:t xml:space="preserve"> will amend:</w:t>
      </w:r>
    </w:p>
    <w:p w14:paraId="6DCCDBD0" w14:textId="77777777" w:rsidR="00821224" w:rsidRDefault="00821224" w:rsidP="000974C4">
      <w:pPr>
        <w:pStyle w:val="SubmissionNormal"/>
        <w:numPr>
          <w:ilvl w:val="0"/>
          <w:numId w:val="40"/>
        </w:numPr>
        <w:rPr>
          <w:rFonts w:ascii="Lucida Grande" w:hAnsi="Symbol"/>
        </w:rPr>
      </w:pPr>
      <w:r>
        <w:t xml:space="preserve">the </w:t>
      </w:r>
      <w:r>
        <w:rPr>
          <w:rFonts w:ascii="Arial Italic" w:hAnsi="Arial Italic"/>
        </w:rPr>
        <w:t>Classification (Publications, Films and Computer Games) Act 1995</w:t>
      </w:r>
      <w:r>
        <w:t xml:space="preserve"> (Cth) (Classification Act) relating to the prohibition of pornography</w:t>
      </w:r>
    </w:p>
    <w:p w14:paraId="6719A7A8" w14:textId="77777777" w:rsidR="00821224" w:rsidRDefault="00821224" w:rsidP="000974C4">
      <w:pPr>
        <w:pStyle w:val="SubmissionNormal"/>
        <w:numPr>
          <w:ilvl w:val="0"/>
          <w:numId w:val="40"/>
        </w:numPr>
        <w:rPr>
          <w:rFonts w:ascii="Lucida Grande" w:hAnsi="Symbol"/>
        </w:rPr>
      </w:pPr>
      <w:r>
        <w:t xml:space="preserve">the </w:t>
      </w:r>
      <w:r>
        <w:rPr>
          <w:rFonts w:ascii="Arial Italic" w:hAnsi="Arial Italic"/>
        </w:rPr>
        <w:t>Crimes Act 1914</w:t>
      </w:r>
      <w:r>
        <w:t xml:space="preserve"> (Cth) (Crimes Act) allowing for the consideration of cultural significance in the protection of cultural heritage. </w:t>
      </w:r>
    </w:p>
    <w:p w14:paraId="5E41C3DA" w14:textId="77777777" w:rsidR="00821224" w:rsidRDefault="00821224" w:rsidP="000974C4">
      <w:pPr>
        <w:pStyle w:val="SubmissionNormal"/>
        <w:numPr>
          <w:ilvl w:val="0"/>
          <w:numId w:val="41"/>
        </w:numPr>
        <w:ind w:hanging="709"/>
      </w:pPr>
      <w:r>
        <w:t>The Commission welcomes the repeal of the requirement for internet filters on publicly funded computers in prescribed communities.</w:t>
      </w:r>
      <w:r w:rsidRPr="00212FF0">
        <w:rPr>
          <w:rStyle w:val="EndnoteReference1"/>
          <w:szCs w:val="20"/>
        </w:rPr>
        <w:endnoteReference w:id="237"/>
      </w:r>
      <w:r>
        <w:t xml:space="preserve"> The Commission supports the alternative proposal that all Commonwealth funding agreements include a requirement that funded organisations take steps to reduce the inappropriate use of publicly funded computers.</w:t>
      </w:r>
    </w:p>
    <w:p w14:paraId="1C036AA6" w14:textId="03287FDA" w:rsidR="00821224" w:rsidRPr="00212FF0" w:rsidRDefault="00C00DC4" w:rsidP="000974C4">
      <w:pPr>
        <w:pStyle w:val="SubmissionNormal"/>
        <w:numPr>
          <w:ilvl w:val="0"/>
          <w:numId w:val="41"/>
        </w:numPr>
        <w:ind w:hanging="709"/>
        <w:rPr>
          <w:rStyle w:val="EndnoteReference1"/>
          <w:szCs w:val="20"/>
        </w:rPr>
      </w:pPr>
      <w:r>
        <w:t>The Commission notes t</w:t>
      </w:r>
      <w:r w:rsidR="00821224">
        <w:t>he Aus</w:t>
      </w:r>
      <w:r>
        <w:t xml:space="preserve">tralian Crime Commission </w:t>
      </w:r>
      <w:r w:rsidR="00E43B4F">
        <w:t xml:space="preserve">(ACC) </w:t>
      </w:r>
      <w:r>
        <w:t>powers</w:t>
      </w:r>
      <w:r w:rsidR="00821224">
        <w:t xml:space="preserve"> granted as part of the NTER, relating to violence and child abuse against Aboriginal and Torres Strait </w:t>
      </w:r>
      <w:proofErr w:type="gramStart"/>
      <w:r w:rsidR="00821224">
        <w:t>Islanders</w:t>
      </w:r>
      <w:r>
        <w:t>,</w:t>
      </w:r>
      <w:proofErr w:type="gramEnd"/>
      <w:r w:rsidR="00821224">
        <w:t xml:space="preserve"> are not subject to the sunset provisions and will continue. The Commis</w:t>
      </w:r>
      <w:r w:rsidR="007A7C0E">
        <w:t>sion considers it appropriate that</w:t>
      </w:r>
      <w:r w:rsidR="00821224">
        <w:t xml:space="preserve"> these powers </w:t>
      </w:r>
      <w:r w:rsidR="007A7C0E">
        <w:t xml:space="preserve">are reviewed to assess their necessity and </w:t>
      </w:r>
      <w:r w:rsidR="00821224">
        <w:t>whether they are being used appropriately.</w:t>
      </w:r>
      <w:r w:rsidR="00821224" w:rsidRPr="00212FF0">
        <w:rPr>
          <w:rStyle w:val="EndnoteReference1"/>
          <w:szCs w:val="20"/>
        </w:rPr>
        <w:endnoteReference w:id="238"/>
      </w:r>
      <w:r w:rsidR="00E43B4F">
        <w:t xml:space="preserve"> This is particularly important in light of the extensive nature of the ACC powers. </w:t>
      </w:r>
    </w:p>
    <w:p w14:paraId="4A1F1DB9" w14:textId="77777777" w:rsidR="00821224" w:rsidRDefault="00821224" w:rsidP="00C871ED">
      <w:pPr>
        <w:pStyle w:val="Heading3"/>
      </w:pPr>
      <w:bookmarkStart w:id="240" w:name="_TOC136745"/>
      <w:bookmarkStart w:id="241" w:name="_Toc315865124"/>
      <w:bookmarkStart w:id="242" w:name="_Toc316042394"/>
      <w:bookmarkEnd w:id="240"/>
      <w:r>
        <w:lastRenderedPageBreak/>
        <w:t>Prohibition of pornography</w:t>
      </w:r>
      <w:bookmarkEnd w:id="241"/>
      <w:bookmarkEnd w:id="242"/>
    </w:p>
    <w:p w14:paraId="26C41D9F" w14:textId="77777777" w:rsidR="00821224" w:rsidRDefault="00821224" w:rsidP="00C871ED">
      <w:pPr>
        <w:pStyle w:val="Heading4"/>
      </w:pPr>
      <w:bookmarkStart w:id="243" w:name="_TOC136772"/>
      <w:bookmarkStart w:id="244" w:name="_Toc315865125"/>
      <w:bookmarkEnd w:id="243"/>
      <w:r>
        <w:t>Prohibited material area</w:t>
      </w:r>
      <w:bookmarkEnd w:id="244"/>
    </w:p>
    <w:p w14:paraId="4CB12751" w14:textId="77777777" w:rsidR="00821224" w:rsidRDefault="00821224" w:rsidP="000974C4">
      <w:pPr>
        <w:pStyle w:val="SubmissionNormal"/>
        <w:numPr>
          <w:ilvl w:val="0"/>
          <w:numId w:val="41"/>
        </w:numPr>
        <w:ind w:hanging="709"/>
      </w:pPr>
      <w:r>
        <w:t>Schedule 3 of the Consequential and Transitional Provisions Bill retains and amends the provisions in Part 10 of the Classification Act which enable the Minister to determine that an area in the Northern Territory is a ‘prohibited material’ area. This creates a new process for the restriction of prohibited material in the Northern Territory.</w:t>
      </w:r>
    </w:p>
    <w:p w14:paraId="433E1E00" w14:textId="00665E88" w:rsidR="00821224" w:rsidRDefault="00821224" w:rsidP="000974C4">
      <w:pPr>
        <w:pStyle w:val="SubmissionNormal"/>
        <w:numPr>
          <w:ilvl w:val="0"/>
          <w:numId w:val="41"/>
        </w:numPr>
        <w:ind w:hanging="709"/>
      </w:pPr>
      <w:r>
        <w:t xml:space="preserve">Item 4 of Schedule 3 proposes to repeal s 100A and s 100B and inserts a new s 100A. The Commission welcomes the move towards a process that enables the Minister, to determine, on a case by case basis, that bans should apply to particular communities, after consultation has occurred. This process replaces the previous arrangement under which bans were imposed on communities with the onus on the community to apply to have the ban lifted. </w:t>
      </w:r>
    </w:p>
    <w:p w14:paraId="4111BC18" w14:textId="77777777" w:rsidR="00821224" w:rsidRDefault="00821224" w:rsidP="000974C4">
      <w:pPr>
        <w:pStyle w:val="SubmissionNormal"/>
        <w:numPr>
          <w:ilvl w:val="0"/>
          <w:numId w:val="41"/>
        </w:numPr>
        <w:ind w:hanging="709"/>
      </w:pPr>
      <w:r>
        <w:t>The Commission commends the requirement in the Consequential and Transitional Provisions Bill in proposed s 100A(4) that community consultation be undertaken before the Minister makes a determination on whether bans should apply to particular communities, and that in making such a decision the Minister must have regard to submissions received during consultation.</w:t>
      </w:r>
      <w:r w:rsidRPr="00212FF0">
        <w:rPr>
          <w:rStyle w:val="EndnoteReference1"/>
          <w:szCs w:val="20"/>
        </w:rPr>
        <w:endnoteReference w:id="239"/>
      </w:r>
      <w:r>
        <w:t xml:space="preserve"> </w:t>
      </w:r>
    </w:p>
    <w:p w14:paraId="6069B33E" w14:textId="2D89202E" w:rsidR="00821224" w:rsidRDefault="00821224" w:rsidP="000974C4">
      <w:pPr>
        <w:pStyle w:val="SubmissionNormal"/>
        <w:numPr>
          <w:ilvl w:val="0"/>
          <w:numId w:val="41"/>
        </w:numPr>
        <w:ind w:hanging="709"/>
      </w:pPr>
      <w:r>
        <w:t>Prop</w:t>
      </w:r>
      <w:r w:rsidR="00CF54C9">
        <w:t>osed s 100A(6) and s 115(5) set</w:t>
      </w:r>
      <w:r>
        <w:t xml:space="preserve"> out a number of matters which the Minister must have regard to when making a determination that either an area is a prohibited material area (and therefore subject to a pornography ban) or that the provisions cease to have effect. However, the Commission notes that the Minister is not required in either case to consider and accommodate the views and concerns raised during consultation. </w:t>
      </w:r>
    </w:p>
    <w:p w14:paraId="520E3926" w14:textId="77777777" w:rsidR="00821224" w:rsidRDefault="00821224" w:rsidP="00C871ED">
      <w:pPr>
        <w:pStyle w:val="Heading4"/>
      </w:pPr>
      <w:bookmarkStart w:id="245" w:name="_TOC138773"/>
      <w:bookmarkStart w:id="246" w:name="_Toc315865126"/>
      <w:bookmarkEnd w:id="245"/>
      <w:r>
        <w:t>Treatment of prescribed areas</w:t>
      </w:r>
      <w:bookmarkEnd w:id="246"/>
    </w:p>
    <w:p w14:paraId="06B348AA" w14:textId="6A1DB017" w:rsidR="00821224" w:rsidRDefault="00821224" w:rsidP="000974C4">
      <w:pPr>
        <w:pStyle w:val="SubmissionNormal"/>
        <w:numPr>
          <w:ilvl w:val="0"/>
          <w:numId w:val="41"/>
        </w:numPr>
        <w:ind w:hanging="709"/>
      </w:pPr>
      <w:r>
        <w:t>The Consequential and Transitional Provisions Bill automatically transitions prescribed areas under the NTER into prohibited material areas.</w:t>
      </w:r>
      <w:r w:rsidRPr="00212FF0">
        <w:rPr>
          <w:rStyle w:val="EndnoteReference1"/>
          <w:szCs w:val="20"/>
        </w:rPr>
        <w:endnoteReference w:id="240"/>
      </w:r>
      <w:r>
        <w:t xml:space="preserve"> The Commission is concerned that communities wh</w:t>
      </w:r>
      <w:r w:rsidR="007007AA">
        <w:t>ich</w:t>
      </w:r>
      <w:r>
        <w:t xml:space="preserve"> were </w:t>
      </w:r>
      <w:r w:rsidR="007007AA">
        <w:t xml:space="preserve">in </w:t>
      </w:r>
      <w:r>
        <w:t>prescribed areas under the previous regime will not benefit from the proposed consultation provisions.</w:t>
      </w:r>
    </w:p>
    <w:p w14:paraId="26F75DC7" w14:textId="77777777" w:rsidR="00821224" w:rsidRDefault="00821224" w:rsidP="000974C4">
      <w:pPr>
        <w:pStyle w:val="SubmissionNormal"/>
        <w:numPr>
          <w:ilvl w:val="0"/>
          <w:numId w:val="41"/>
        </w:numPr>
        <w:ind w:hanging="709"/>
      </w:pPr>
      <w:r>
        <w:t>The impact of the specific pornography prohibitions has been marginal and has attached an unwarranted and damaging stigma to communities. This has the effect of reinforcing negative stereotypes and ultimately undermining the good intentions of the measures. The carryover of previous prescribed areas means that the change to a more consultative process will have no effect in these communities. The communities will have to take public steps to exempt themselves from pornographic restrictions, which will compound the stigma associated with pornography bans.</w:t>
      </w:r>
    </w:p>
    <w:p w14:paraId="7AD561B9" w14:textId="77777777" w:rsidR="00821224" w:rsidRDefault="00821224" w:rsidP="000974C4">
      <w:pPr>
        <w:pStyle w:val="SubmissionNormal"/>
        <w:numPr>
          <w:ilvl w:val="0"/>
          <w:numId w:val="41"/>
        </w:numPr>
        <w:ind w:hanging="709"/>
      </w:pPr>
      <w:r>
        <w:t xml:space="preserve">The Commission believes determinations under the NTNER Act should be repealed and new determinations should be made on a case by case basis with the same discretionary considerations and consultation mechanisms as is proposed to apply into the future. </w:t>
      </w:r>
    </w:p>
    <w:p w14:paraId="6712EC84" w14:textId="77777777" w:rsidR="00821224" w:rsidRDefault="00821224" w:rsidP="00C871ED">
      <w:pPr>
        <w:pStyle w:val="Heading3"/>
      </w:pPr>
      <w:bookmarkStart w:id="247" w:name="_TOC140214"/>
      <w:bookmarkStart w:id="248" w:name="_Toc315865127"/>
      <w:bookmarkStart w:id="249" w:name="_Toc316042395"/>
      <w:bookmarkEnd w:id="247"/>
      <w:r>
        <w:lastRenderedPageBreak/>
        <w:t>Customary law and cultural practice</w:t>
      </w:r>
      <w:bookmarkEnd w:id="248"/>
      <w:bookmarkEnd w:id="249"/>
    </w:p>
    <w:p w14:paraId="5C087CF6" w14:textId="77777777" w:rsidR="00821224" w:rsidRDefault="00821224" w:rsidP="000974C4">
      <w:pPr>
        <w:pStyle w:val="SubmissionNormal"/>
        <w:numPr>
          <w:ilvl w:val="0"/>
          <w:numId w:val="41"/>
        </w:numPr>
        <w:ind w:hanging="709"/>
      </w:pPr>
      <w:r>
        <w:t>The Consequential and Transitional Provisions Bill seeks to amend the Crimes Act</w:t>
      </w:r>
      <w:r>
        <w:rPr>
          <w:rFonts w:ascii="Arial Italic" w:hAnsi="Arial Italic"/>
        </w:rPr>
        <w:t xml:space="preserve"> </w:t>
      </w:r>
      <w:r>
        <w:t xml:space="preserve">to continue measures in place under the NTER that prevent consideration of customary law or cultural practice in bail and sentencing decisions. </w:t>
      </w:r>
    </w:p>
    <w:p w14:paraId="4CAED09E" w14:textId="77777777" w:rsidR="00821224" w:rsidRPr="00212FF0" w:rsidRDefault="00821224" w:rsidP="000974C4">
      <w:pPr>
        <w:pStyle w:val="SubmissionNormal"/>
        <w:numPr>
          <w:ilvl w:val="0"/>
          <w:numId w:val="41"/>
        </w:numPr>
        <w:ind w:hanging="709"/>
        <w:rPr>
          <w:rStyle w:val="EndnoteReference1"/>
          <w:szCs w:val="20"/>
        </w:rPr>
      </w:pPr>
      <w:r>
        <w:t>The Bill seeks to remove the unintended adverse consequences for offences that protect cultural heritage, including sacred sites and cultural heritage objects.</w:t>
      </w:r>
      <w:r w:rsidRPr="00212FF0">
        <w:rPr>
          <w:rStyle w:val="EndnoteReference1"/>
          <w:szCs w:val="20"/>
        </w:rPr>
        <w:endnoteReference w:id="241"/>
      </w:r>
    </w:p>
    <w:p w14:paraId="698622C6" w14:textId="77777777" w:rsidR="00821224" w:rsidRDefault="00821224" w:rsidP="000974C4">
      <w:pPr>
        <w:pStyle w:val="SubmissionNormal"/>
        <w:numPr>
          <w:ilvl w:val="0"/>
          <w:numId w:val="41"/>
        </w:numPr>
        <w:ind w:hanging="709"/>
      </w:pPr>
      <w:r>
        <w:t>Australia has a rich and unique cultural heritage and has international obligations to ensure that culture may be enjoyed and significant heritage preserved.</w:t>
      </w:r>
      <w:r w:rsidRPr="00212FF0">
        <w:rPr>
          <w:rStyle w:val="EndnoteReference1"/>
          <w:szCs w:val="20"/>
        </w:rPr>
        <w:endnoteReference w:id="242"/>
      </w:r>
      <w:r>
        <w:t xml:space="preserve"> The Commission welcomes the amendments that enable customary law and cultural practice to be considered in bail and sentencing decisions for offences against Commonwealth and Northern Territory laws that protect cultural heritage, including sacred sites or cultural heritage objects.</w:t>
      </w:r>
    </w:p>
    <w:p w14:paraId="59F0FCEA" w14:textId="77777777" w:rsidR="00821224" w:rsidRPr="00212FF0" w:rsidRDefault="00821224" w:rsidP="000974C4">
      <w:pPr>
        <w:pStyle w:val="SubmissionNormal"/>
        <w:numPr>
          <w:ilvl w:val="0"/>
          <w:numId w:val="41"/>
        </w:numPr>
        <w:ind w:hanging="709"/>
        <w:rPr>
          <w:rStyle w:val="EndnoteReference1"/>
          <w:szCs w:val="20"/>
        </w:rPr>
      </w:pPr>
      <w:r>
        <w:t>The Explanatory Memorandum states that the continued exclusion is to ensure that customary law and cultural practices are not used to mitigate the seriousness of any offence that involves violence or sexual abuse against women and children.</w:t>
      </w:r>
      <w:r w:rsidRPr="00212FF0">
        <w:rPr>
          <w:rStyle w:val="EndnoteReference1"/>
          <w:szCs w:val="20"/>
        </w:rPr>
        <w:endnoteReference w:id="243"/>
      </w:r>
    </w:p>
    <w:p w14:paraId="0D2387EF" w14:textId="77777777" w:rsidR="00821224" w:rsidRDefault="00821224" w:rsidP="000974C4">
      <w:pPr>
        <w:pStyle w:val="SubmissionNormal"/>
        <w:numPr>
          <w:ilvl w:val="0"/>
          <w:numId w:val="41"/>
        </w:numPr>
        <w:ind w:hanging="709"/>
      </w:pPr>
      <w:r>
        <w:t>The Commission supports the Government’s intention to protect the rights of women and children with regards to violence and sexual abuse. However, the Commission notes the breadth and diversity of customary law and cultural practices, including alternative dispute resolution processes, which can complement the way the Australian legal system works. In relation to customary law and practice, there should be recognition of some of the existing and traditional community structures that guide dispute resolutions. These have the potential to provide culturally secure sanctions that accord to both cultural and broader community standards.</w:t>
      </w:r>
      <w:r w:rsidRPr="00212FF0">
        <w:rPr>
          <w:rStyle w:val="EndnoteReference1"/>
          <w:szCs w:val="20"/>
        </w:rPr>
        <w:endnoteReference w:id="244"/>
      </w:r>
      <w:r>
        <w:t xml:space="preserve"> Customary law practices can assist with the development of justice reinvestment models as well as other community justice initiatives. </w:t>
      </w:r>
    </w:p>
    <w:p w14:paraId="27229705" w14:textId="77777777" w:rsidR="00821224" w:rsidRDefault="00821224" w:rsidP="000974C4">
      <w:pPr>
        <w:pStyle w:val="SubmissionNormal"/>
        <w:numPr>
          <w:ilvl w:val="0"/>
          <w:numId w:val="41"/>
        </w:numPr>
        <w:ind w:hanging="709"/>
      </w:pPr>
      <w:r>
        <w:t xml:space="preserve">The Commission considers that the continued exclusion of customary law and cultural practice from bail and sentencing decisions is too broad. Sections 15AB(1)(b) and 16(A) of the </w:t>
      </w:r>
      <w:r w:rsidRPr="00611D78">
        <w:rPr>
          <w:i/>
        </w:rPr>
        <w:t>Crimes Act</w:t>
      </w:r>
      <w:r>
        <w:rPr>
          <w:i/>
        </w:rPr>
        <w:t xml:space="preserve"> 1914</w:t>
      </w:r>
      <w:r>
        <w:t xml:space="preserve"> (Cth) should instead be amended to prevent authorities from considering customary law or cultural practices only when considering offences that involve violence or sexual abuse. </w:t>
      </w:r>
    </w:p>
    <w:p w14:paraId="75086152" w14:textId="77777777" w:rsidR="00821224" w:rsidRDefault="00821224" w:rsidP="00C871ED">
      <w:pPr>
        <w:pStyle w:val="Heading3"/>
      </w:pPr>
      <w:bookmarkStart w:id="250" w:name="_TOC142822"/>
      <w:bookmarkStart w:id="251" w:name="_Toc315865128"/>
      <w:bookmarkStart w:id="252" w:name="_Toc316042396"/>
      <w:bookmarkEnd w:id="250"/>
      <w:r>
        <w:t>Increased contact with the criminal justice system</w:t>
      </w:r>
      <w:bookmarkEnd w:id="251"/>
      <w:bookmarkEnd w:id="252"/>
    </w:p>
    <w:p w14:paraId="5D8A8411" w14:textId="3615D097" w:rsidR="00821224" w:rsidRDefault="00821224" w:rsidP="000974C4">
      <w:pPr>
        <w:pStyle w:val="SubmissionNormal"/>
        <w:numPr>
          <w:ilvl w:val="0"/>
          <w:numId w:val="41"/>
        </w:numPr>
        <w:ind w:hanging="709"/>
      </w:pPr>
      <w:r>
        <w:t xml:space="preserve">While many community members have welcomed the increased police presence, it has resulted in increased </w:t>
      </w:r>
      <w:r w:rsidR="007007AA">
        <w:t xml:space="preserve">numbers of </w:t>
      </w:r>
      <w:r>
        <w:t xml:space="preserve">Aboriginal and Torres Strait Islander peoples </w:t>
      </w:r>
      <w:r w:rsidR="007007AA">
        <w:t xml:space="preserve">coming into </w:t>
      </w:r>
      <w:r>
        <w:t>contact with the criminal justice system. Aboriginal and Torres Strait Islander peoples currently constitute 81% of the Northern Territory adult prison population.</w:t>
      </w:r>
      <w:r w:rsidRPr="00212FF0">
        <w:rPr>
          <w:rStyle w:val="EndnoteReference1"/>
          <w:szCs w:val="20"/>
        </w:rPr>
        <w:endnoteReference w:id="245"/>
      </w:r>
      <w:r>
        <w:t xml:space="preserve"> </w:t>
      </w:r>
    </w:p>
    <w:p w14:paraId="25F974FE" w14:textId="77777777" w:rsidR="00821224" w:rsidRDefault="00821224" w:rsidP="000974C4">
      <w:pPr>
        <w:pStyle w:val="SubmissionNormal"/>
        <w:numPr>
          <w:ilvl w:val="0"/>
          <w:numId w:val="41"/>
        </w:numPr>
        <w:ind w:hanging="709"/>
      </w:pPr>
      <w:r>
        <w:t>There has been a 62% increase in the recorded traffic and vehicle regulatory offences which is of particular concern.</w:t>
      </w:r>
      <w:r w:rsidRPr="00212FF0">
        <w:rPr>
          <w:rStyle w:val="EndnoteReference1"/>
          <w:szCs w:val="20"/>
        </w:rPr>
        <w:endnoteReference w:id="246"/>
      </w:r>
      <w:r>
        <w:t xml:space="preserve"> According to analysis, the majority of these offences do not involve alcohol or lead to harm.</w:t>
      </w:r>
      <w:r w:rsidRPr="00212FF0">
        <w:rPr>
          <w:rStyle w:val="EndnoteReference1"/>
          <w:szCs w:val="20"/>
        </w:rPr>
        <w:endnoteReference w:id="247"/>
      </w:r>
      <w:r>
        <w:t xml:space="preserve"> Instead, they are regulatory offences such as not having a driver’s license, driving unregistered </w:t>
      </w:r>
      <w:r>
        <w:lastRenderedPageBreak/>
        <w:t>or driving in an unroadworthy vehicle.</w:t>
      </w:r>
      <w:r w:rsidRPr="00212FF0">
        <w:rPr>
          <w:rStyle w:val="EndnoteReference1"/>
          <w:szCs w:val="20"/>
        </w:rPr>
        <w:endnoteReference w:id="248"/>
      </w:r>
      <w:r>
        <w:t xml:space="preserve"> When these offences occur and are prosecuted together, as they often are, there is a strong possibility of a custodial sentence.</w:t>
      </w:r>
      <w:r w:rsidRPr="00212FF0">
        <w:rPr>
          <w:rStyle w:val="EndnoteReference1"/>
          <w:szCs w:val="20"/>
        </w:rPr>
        <w:endnoteReference w:id="249"/>
      </w:r>
      <w:r>
        <w:t xml:space="preserve"> </w:t>
      </w:r>
    </w:p>
    <w:p w14:paraId="6E09EE91" w14:textId="77777777" w:rsidR="00821224" w:rsidRDefault="00821224" w:rsidP="000974C4">
      <w:pPr>
        <w:pStyle w:val="SubmissionNormal"/>
        <w:numPr>
          <w:ilvl w:val="0"/>
          <w:numId w:val="41"/>
        </w:numPr>
        <w:ind w:hanging="709"/>
      </w:pPr>
      <w:r>
        <w:t xml:space="preserve">The lack of public transport, access to suitable vehicles and licensing services in remote communities influences driving behaviours and disproportionately disadvantages Aboriginal and Torres Strait Islander peoples in the Northern Territory. Whilst enforcement of traffic offences has a role to play in increasing community safety, the increase in incarceration for regulatory offences is a concerning trend. </w:t>
      </w:r>
    </w:p>
    <w:p w14:paraId="0E1216A8" w14:textId="77777777" w:rsidR="00821224" w:rsidRDefault="00821224" w:rsidP="000974C4">
      <w:pPr>
        <w:pStyle w:val="SubmissionNormal"/>
        <w:numPr>
          <w:ilvl w:val="0"/>
          <w:numId w:val="41"/>
        </w:numPr>
        <w:ind w:hanging="709"/>
      </w:pPr>
      <w:r>
        <w:t>Public order offences, including breaches of alcohol restrictions have increased by 43%.</w:t>
      </w:r>
      <w:r w:rsidRPr="008F3676">
        <w:rPr>
          <w:sz w:val="20"/>
          <w:szCs w:val="20"/>
          <w:vertAlign w:val="superscript"/>
        </w:rPr>
        <w:endnoteReference w:id="250"/>
      </w:r>
      <w:r>
        <w:t xml:space="preserve"> As outlined above at paragraph</w:t>
      </w:r>
      <w:r w:rsidR="008F3676">
        <w:t xml:space="preserve"> 299</w:t>
      </w:r>
      <w:r>
        <w:t>, the Commission is concerned that the enforcement of stricter alcohol restrictions will further increase these offences and in turn lead to more involvement with the criminal justice system.</w:t>
      </w:r>
    </w:p>
    <w:p w14:paraId="66FBE6BF" w14:textId="77777777" w:rsidR="00821224" w:rsidRDefault="00821224" w:rsidP="000974C4">
      <w:pPr>
        <w:pStyle w:val="SubmissionNormal"/>
        <w:numPr>
          <w:ilvl w:val="0"/>
          <w:numId w:val="41"/>
        </w:numPr>
        <w:ind w:hanging="709"/>
      </w:pPr>
      <w:r>
        <w:t xml:space="preserve">It is the Commission’s view that there should be greater use of community based, culturally secure diversions and treatment programs to prevent the further criminalisation of Aboriginal and Torres Strait Islander peoples in the Northern Territory, particularly around the relatively minor traffic, justice and public order offences. </w:t>
      </w:r>
    </w:p>
    <w:p w14:paraId="68D024AC" w14:textId="77777777" w:rsidR="00821224" w:rsidRDefault="00821224" w:rsidP="000974C4">
      <w:pPr>
        <w:pStyle w:val="SubmissionNormal"/>
        <w:numPr>
          <w:ilvl w:val="0"/>
          <w:numId w:val="41"/>
        </w:numPr>
        <w:ind w:hanging="709"/>
      </w:pPr>
      <w:r>
        <w:t xml:space="preserve">Remote communities currently have poor access to treatment and diversion programs, leaving Magistrates with a limited number of available sentencing options. Similarly, fines can also be problematic given that many of the recipients are on income management and have a limited capacity to pay. </w:t>
      </w:r>
    </w:p>
    <w:p w14:paraId="141BBAEC" w14:textId="77777777" w:rsidR="00821224" w:rsidRDefault="00821224" w:rsidP="000974C4">
      <w:pPr>
        <w:pStyle w:val="SubmissionNormal"/>
        <w:numPr>
          <w:ilvl w:val="0"/>
          <w:numId w:val="41"/>
        </w:numPr>
        <w:ind w:hanging="709"/>
      </w:pPr>
      <w:r>
        <w:t xml:space="preserve">The inability to pay fines can often lead to imprisonment adding to the high numbers of Aboriginal and Torres Strait Islander peoples in prison. The establishment of a payment system for fines, whereby the court acknowledged potential barriers to prompt payment could allow for fines to be paid in a series of small payments could help reduce unnecessary incarceration. This system could be linked to Centrelink payments allowing individuals to consent to having a portion of their fortnightly payments being channelled directly to cover the fine.  </w:t>
      </w:r>
    </w:p>
    <w:p w14:paraId="06DE9A73" w14:textId="77777777" w:rsidR="00F12219" w:rsidRDefault="00821224" w:rsidP="000974C4">
      <w:pPr>
        <w:pStyle w:val="SubmissionNormal"/>
        <w:numPr>
          <w:ilvl w:val="0"/>
          <w:numId w:val="41"/>
        </w:numPr>
        <w:ind w:hanging="709"/>
      </w:pPr>
      <w:r>
        <w:t>The Commission has been advocating for justice reinvestment approaches to deal with Aboriginal and Torres Strait Islander over-representation in the criminal justice system.</w:t>
      </w:r>
      <w:r w:rsidRPr="00212FF0">
        <w:rPr>
          <w:rStyle w:val="EndnoteReference1"/>
          <w:szCs w:val="20"/>
        </w:rPr>
        <w:endnoteReference w:id="251"/>
      </w:r>
      <w:r>
        <w:t xml:space="preserve"> </w:t>
      </w:r>
      <w:r w:rsidR="00F12219">
        <w:t>This involves diverting funding from imprisonment for less serious offenders, and placing it in community level crime prevention, diversion and treatment programs. This should be targeted at communities where there is a high concentration of offenders and victims and be part of community engagement strategies which lead to local community safety plans. This sort of justice reinvestment approach could be accommodated within Stronger Futures and would in fact increase the effectiveness of existing community safety initiatives, offer an alternative to prison and contribute to reducing the number of Aboriginal people in the Northern Territory being sent to jail.</w:t>
      </w:r>
    </w:p>
    <w:p w14:paraId="24D7CF6C" w14:textId="77777777" w:rsidR="00F12219" w:rsidRPr="002B5A8A" w:rsidRDefault="00F12219" w:rsidP="00C871ED">
      <w:pPr>
        <w:pStyle w:val="Heading3"/>
      </w:pPr>
      <w:bookmarkStart w:id="253" w:name="_TOC146418"/>
      <w:bookmarkStart w:id="254" w:name="_Toc315865129"/>
      <w:bookmarkStart w:id="255" w:name="_Toc316042397"/>
      <w:bookmarkEnd w:id="253"/>
      <w:r w:rsidRPr="002B5A8A">
        <w:lastRenderedPageBreak/>
        <w:t>Recommendations</w:t>
      </w:r>
      <w:bookmarkEnd w:id="254"/>
      <w:bookmarkEnd w:id="255"/>
    </w:p>
    <w:p w14:paraId="59156C4E" w14:textId="4EFB51ED" w:rsidR="00F968E7" w:rsidRPr="00F968E7" w:rsidRDefault="00F968E7" w:rsidP="00F968E7">
      <w:pPr>
        <w:pStyle w:val="SubmissionNormal"/>
        <w:numPr>
          <w:ilvl w:val="0"/>
          <w:numId w:val="41"/>
        </w:numPr>
        <w:ind w:hanging="709"/>
        <w:rPr>
          <w:b/>
        </w:rPr>
      </w:pPr>
      <w:r>
        <w:t>The Commission</w:t>
      </w:r>
      <w:r w:rsidRPr="00E54675">
        <w:t xml:space="preserve"> recommends that the Stronger Futures in the Northern Territory (Consequential and Transitional Provisions) Bill 2011 (Cth)</w:t>
      </w:r>
      <w:r>
        <w:t xml:space="preserve"> be amended so that proposed s </w:t>
      </w:r>
      <w:r w:rsidRPr="00E54675">
        <w:t xml:space="preserve">100A(6) and s 115(5) of the </w:t>
      </w:r>
      <w:r w:rsidRPr="00F968E7">
        <w:rPr>
          <w:rFonts w:ascii="Arial Italic" w:hAnsi="Arial Italic"/>
        </w:rPr>
        <w:t>Classification (Publications, Films and Computer Games) Act 1995</w:t>
      </w:r>
      <w:r w:rsidRPr="00E54675">
        <w:t xml:space="preserve"> (Cth) include as an additional factor the views and concerns raised during consultation</w:t>
      </w:r>
      <w:r>
        <w:t xml:space="preserve"> </w:t>
      </w:r>
      <w:r w:rsidRPr="00D77E79">
        <w:rPr>
          <w:b/>
        </w:rPr>
        <w:t>[</w:t>
      </w:r>
      <w:r w:rsidRPr="00D77E79">
        <w:rPr>
          <w:rFonts w:ascii="Arial Bold" w:hAnsi="Arial Bold"/>
          <w:b/>
        </w:rPr>
        <w:t>Recommendation no.</w:t>
      </w:r>
      <w:r>
        <w:rPr>
          <w:rFonts w:ascii="Arial Bold" w:hAnsi="Arial Bold"/>
          <w:b/>
        </w:rPr>
        <w:t xml:space="preserve"> 31</w:t>
      </w:r>
      <w:r w:rsidRPr="00D77E79">
        <w:rPr>
          <w:b/>
        </w:rPr>
        <w:t>].</w:t>
      </w:r>
    </w:p>
    <w:p w14:paraId="73A9F3EE" w14:textId="77777777" w:rsidR="00F12219" w:rsidRDefault="00F12219" w:rsidP="000974C4">
      <w:pPr>
        <w:pStyle w:val="SubmissionNormal"/>
        <w:numPr>
          <w:ilvl w:val="0"/>
          <w:numId w:val="41"/>
        </w:numPr>
        <w:ind w:hanging="709"/>
        <w:rPr>
          <w:b/>
        </w:rPr>
      </w:pPr>
      <w:r w:rsidRPr="00E715A1">
        <w:t>The Commission recommends that the Stronger Futures in the Northern Territory (Consequential and Transitional Provisions) Bill 2011 (Cth) be amended to remove Item 15 of Schedule 3 which automatically transitions pre-existing prescribed areas to prohibited materials areas</w:t>
      </w:r>
      <w:r w:rsidRPr="002B5A8A">
        <w:rPr>
          <w:b/>
        </w:rPr>
        <w:t xml:space="preserve"> [</w:t>
      </w:r>
      <w:r w:rsidRPr="002B5A8A">
        <w:rPr>
          <w:rFonts w:ascii="Arial Bold" w:hAnsi="Arial Bold"/>
          <w:b/>
        </w:rPr>
        <w:t>Recommendation no.</w:t>
      </w:r>
      <w:r w:rsidR="00EA40DD">
        <w:rPr>
          <w:rFonts w:ascii="Arial Bold" w:hAnsi="Arial Bold"/>
          <w:b/>
        </w:rPr>
        <w:t xml:space="preserve"> 32</w:t>
      </w:r>
      <w:r w:rsidRPr="002B5A8A">
        <w:rPr>
          <w:b/>
        </w:rPr>
        <w:t>].</w:t>
      </w:r>
    </w:p>
    <w:p w14:paraId="59FFD99C" w14:textId="3541D3A6" w:rsidR="00F12219" w:rsidRDefault="00F12219" w:rsidP="000974C4">
      <w:pPr>
        <w:pStyle w:val="SubmissionNormal"/>
        <w:numPr>
          <w:ilvl w:val="0"/>
          <w:numId w:val="41"/>
        </w:numPr>
        <w:ind w:hanging="709"/>
        <w:rPr>
          <w:b/>
        </w:rPr>
      </w:pPr>
      <w:r w:rsidRPr="00E715A1">
        <w:rPr>
          <w:rFonts w:cs="Arial"/>
        </w:rPr>
        <w:t xml:space="preserve">The Commission recommends that the Stronger Futures in the Northern Territory (Consequential and Transitional Provisions) Bill 2011 (Cth) be amended so that it amends the </w:t>
      </w:r>
      <w:r w:rsidRPr="0081287E">
        <w:rPr>
          <w:rFonts w:cs="Arial"/>
          <w:i/>
        </w:rPr>
        <w:t>Crimes Act 1914</w:t>
      </w:r>
      <w:r w:rsidRPr="00E715A1">
        <w:rPr>
          <w:rFonts w:cs="Arial"/>
        </w:rPr>
        <w:t xml:space="preserve"> (Cth) so that custom</w:t>
      </w:r>
      <w:r w:rsidR="00F968E7">
        <w:rPr>
          <w:rFonts w:cs="Arial"/>
        </w:rPr>
        <w:t>ary law or cultural practices are</w:t>
      </w:r>
      <w:r w:rsidRPr="00E715A1">
        <w:rPr>
          <w:rFonts w:cs="Arial"/>
        </w:rPr>
        <w:t xml:space="preserve"> only excluded from consideration in bail and sentencing decisions for offences that involve violence or sexual abuse</w:t>
      </w:r>
      <w:r w:rsidRPr="002B5A8A">
        <w:rPr>
          <w:b/>
        </w:rPr>
        <w:t xml:space="preserve"> [</w:t>
      </w:r>
      <w:r w:rsidRPr="002B5A8A">
        <w:rPr>
          <w:rFonts w:ascii="Arial Bold" w:hAnsi="Arial Bold"/>
          <w:b/>
        </w:rPr>
        <w:t>Recommendation no.</w:t>
      </w:r>
      <w:r w:rsidR="00EA40DD">
        <w:rPr>
          <w:rFonts w:ascii="Arial Bold" w:hAnsi="Arial Bold"/>
          <w:b/>
        </w:rPr>
        <w:t xml:space="preserve"> 33</w:t>
      </w:r>
      <w:r w:rsidRPr="002B5A8A">
        <w:rPr>
          <w:b/>
        </w:rPr>
        <w:t>].</w:t>
      </w:r>
    </w:p>
    <w:p w14:paraId="474C2218" w14:textId="77777777" w:rsidR="00506FBF" w:rsidRDefault="00506FBF" w:rsidP="00506FBF">
      <w:pPr>
        <w:pStyle w:val="SubmissionNormal"/>
        <w:numPr>
          <w:ilvl w:val="0"/>
          <w:numId w:val="0"/>
        </w:numPr>
        <w:ind w:left="720" w:hanging="360"/>
        <w:rPr>
          <w:b/>
        </w:rPr>
      </w:pPr>
    </w:p>
    <w:p w14:paraId="4EC4C630" w14:textId="77777777" w:rsidR="00506FBF" w:rsidRDefault="00506FBF" w:rsidP="00506FBF">
      <w:pPr>
        <w:pStyle w:val="SubmissionNormal"/>
        <w:numPr>
          <w:ilvl w:val="0"/>
          <w:numId w:val="0"/>
        </w:numPr>
        <w:ind w:left="720" w:hanging="360"/>
        <w:rPr>
          <w:b/>
        </w:rPr>
      </w:pPr>
    </w:p>
    <w:p w14:paraId="6DF4069C" w14:textId="77777777" w:rsidR="00506FBF" w:rsidRDefault="00506FBF" w:rsidP="00506FBF">
      <w:pPr>
        <w:pStyle w:val="SubmissionNormal"/>
        <w:numPr>
          <w:ilvl w:val="0"/>
          <w:numId w:val="0"/>
        </w:numPr>
        <w:ind w:left="720" w:hanging="360"/>
        <w:rPr>
          <w:b/>
        </w:rPr>
      </w:pPr>
    </w:p>
    <w:p w14:paraId="45AE9372" w14:textId="77777777" w:rsidR="00506FBF" w:rsidRDefault="00506FBF" w:rsidP="00506FBF">
      <w:pPr>
        <w:pStyle w:val="SubmissionNormal"/>
        <w:numPr>
          <w:ilvl w:val="0"/>
          <w:numId w:val="0"/>
        </w:numPr>
        <w:ind w:left="720" w:hanging="360"/>
        <w:rPr>
          <w:b/>
        </w:rPr>
      </w:pPr>
    </w:p>
    <w:p w14:paraId="555B5128" w14:textId="77777777" w:rsidR="00506FBF" w:rsidRDefault="00506FBF" w:rsidP="00506FBF">
      <w:pPr>
        <w:pStyle w:val="SubmissionNormal"/>
        <w:numPr>
          <w:ilvl w:val="0"/>
          <w:numId w:val="0"/>
        </w:numPr>
        <w:ind w:left="720" w:hanging="360"/>
        <w:rPr>
          <w:b/>
        </w:rPr>
      </w:pPr>
    </w:p>
    <w:p w14:paraId="2B455615" w14:textId="77777777" w:rsidR="00506FBF" w:rsidRDefault="00506FBF" w:rsidP="00506FBF">
      <w:pPr>
        <w:pStyle w:val="SubmissionNormal"/>
        <w:numPr>
          <w:ilvl w:val="0"/>
          <w:numId w:val="0"/>
        </w:numPr>
        <w:ind w:left="720" w:hanging="360"/>
        <w:rPr>
          <w:b/>
        </w:rPr>
      </w:pPr>
    </w:p>
    <w:p w14:paraId="1E042259" w14:textId="77777777" w:rsidR="00506FBF" w:rsidRDefault="00506FBF" w:rsidP="00506FBF">
      <w:pPr>
        <w:pStyle w:val="SubmissionNormal"/>
        <w:numPr>
          <w:ilvl w:val="0"/>
          <w:numId w:val="0"/>
        </w:numPr>
        <w:ind w:left="720" w:hanging="360"/>
        <w:rPr>
          <w:b/>
        </w:rPr>
      </w:pPr>
    </w:p>
    <w:p w14:paraId="1FA66515" w14:textId="77777777" w:rsidR="00506FBF" w:rsidRDefault="00506FBF" w:rsidP="00506FBF">
      <w:pPr>
        <w:pStyle w:val="SubmissionNormal"/>
        <w:numPr>
          <w:ilvl w:val="0"/>
          <w:numId w:val="0"/>
        </w:numPr>
        <w:ind w:left="720" w:hanging="360"/>
        <w:rPr>
          <w:b/>
        </w:rPr>
      </w:pPr>
    </w:p>
    <w:p w14:paraId="4D80ABAC" w14:textId="77777777" w:rsidR="00506FBF" w:rsidRDefault="00506FBF" w:rsidP="00506FBF">
      <w:pPr>
        <w:pStyle w:val="SubmissionNormal"/>
        <w:numPr>
          <w:ilvl w:val="0"/>
          <w:numId w:val="0"/>
        </w:numPr>
        <w:ind w:left="720" w:hanging="360"/>
        <w:rPr>
          <w:b/>
        </w:rPr>
      </w:pPr>
    </w:p>
    <w:p w14:paraId="39DA8D1D" w14:textId="77777777" w:rsidR="00B03472" w:rsidRDefault="00B03472" w:rsidP="00506FBF">
      <w:pPr>
        <w:pStyle w:val="SubmissionNormal"/>
        <w:numPr>
          <w:ilvl w:val="0"/>
          <w:numId w:val="0"/>
        </w:numPr>
        <w:ind w:left="720" w:hanging="360"/>
        <w:rPr>
          <w:b/>
        </w:rPr>
      </w:pPr>
    </w:p>
    <w:p w14:paraId="1064709F" w14:textId="77777777" w:rsidR="00B03472" w:rsidRDefault="00B03472" w:rsidP="00506FBF">
      <w:pPr>
        <w:pStyle w:val="SubmissionNormal"/>
        <w:numPr>
          <w:ilvl w:val="0"/>
          <w:numId w:val="0"/>
        </w:numPr>
        <w:ind w:left="720" w:hanging="360"/>
        <w:rPr>
          <w:b/>
        </w:rPr>
      </w:pPr>
    </w:p>
    <w:p w14:paraId="78414A7E" w14:textId="77777777" w:rsidR="00B03472" w:rsidRDefault="00B03472" w:rsidP="00506FBF">
      <w:pPr>
        <w:pStyle w:val="SubmissionNormal"/>
        <w:numPr>
          <w:ilvl w:val="0"/>
          <w:numId w:val="0"/>
        </w:numPr>
        <w:ind w:left="720" w:hanging="360"/>
        <w:rPr>
          <w:b/>
        </w:rPr>
      </w:pPr>
    </w:p>
    <w:p w14:paraId="7BD3AF98" w14:textId="77777777" w:rsidR="00B03472" w:rsidRDefault="00B03472" w:rsidP="00506FBF">
      <w:pPr>
        <w:pStyle w:val="SubmissionNormal"/>
        <w:numPr>
          <w:ilvl w:val="0"/>
          <w:numId w:val="0"/>
        </w:numPr>
        <w:ind w:left="720" w:hanging="360"/>
        <w:rPr>
          <w:b/>
        </w:rPr>
      </w:pPr>
    </w:p>
    <w:p w14:paraId="030442BF" w14:textId="77777777" w:rsidR="00B03472" w:rsidRDefault="00B03472" w:rsidP="00506FBF">
      <w:pPr>
        <w:pStyle w:val="SubmissionNormal"/>
        <w:numPr>
          <w:ilvl w:val="0"/>
          <w:numId w:val="0"/>
        </w:numPr>
        <w:ind w:left="720" w:hanging="360"/>
        <w:rPr>
          <w:b/>
        </w:rPr>
      </w:pPr>
    </w:p>
    <w:p w14:paraId="5C46C58B" w14:textId="77777777" w:rsidR="00506FBF" w:rsidRDefault="00506FBF" w:rsidP="00506FBF">
      <w:pPr>
        <w:pStyle w:val="SubmissionNormal"/>
        <w:numPr>
          <w:ilvl w:val="0"/>
          <w:numId w:val="0"/>
        </w:numPr>
        <w:ind w:left="720" w:hanging="360"/>
        <w:rPr>
          <w:b/>
        </w:rPr>
      </w:pPr>
    </w:p>
    <w:p w14:paraId="1C087440" w14:textId="77777777" w:rsidR="00F12219" w:rsidRDefault="00F12219" w:rsidP="000974C4">
      <w:pPr>
        <w:pStyle w:val="Heading11"/>
        <w:numPr>
          <w:ilvl w:val="0"/>
          <w:numId w:val="31"/>
        </w:numPr>
        <w:ind w:hanging="851"/>
      </w:pPr>
      <w:bookmarkStart w:id="256" w:name="TOC209578272"/>
      <w:bookmarkStart w:id="257" w:name="_TOC147465"/>
      <w:bookmarkStart w:id="258" w:name="_Toc315865130"/>
      <w:bookmarkStart w:id="259" w:name="_Toc316042398"/>
      <w:bookmarkEnd w:id="256"/>
      <w:bookmarkEnd w:id="257"/>
      <w:r>
        <w:lastRenderedPageBreak/>
        <w:t>Appendix 1: Chronology of the Northern Territory Emergency Response and the Stronger Futures Bills</w:t>
      </w:r>
      <w:bookmarkEnd w:id="258"/>
      <w:bookmarkEnd w:id="259"/>
    </w:p>
    <w:p w14:paraId="0B606CB5" w14:textId="77777777" w:rsidR="00F12219" w:rsidRDefault="00611D78" w:rsidP="00035660">
      <w:pPr>
        <w:ind w:left="709"/>
      </w:pPr>
      <w:r>
        <w:t>See a</w:t>
      </w:r>
      <w:r w:rsidR="00F12219">
        <w:t>ttached.</w:t>
      </w:r>
    </w:p>
    <w:p w14:paraId="0D370ABD" w14:textId="77777777" w:rsidR="00F12219" w:rsidRDefault="00F12219" w:rsidP="000974C4">
      <w:pPr>
        <w:pStyle w:val="Heading11"/>
        <w:numPr>
          <w:ilvl w:val="0"/>
          <w:numId w:val="31"/>
        </w:numPr>
        <w:ind w:hanging="851"/>
      </w:pPr>
      <w:bookmarkStart w:id="260" w:name="_TOC147584"/>
      <w:bookmarkStart w:id="261" w:name="_Toc315865131"/>
      <w:bookmarkStart w:id="262" w:name="_Toc316042399"/>
      <w:bookmarkEnd w:id="260"/>
      <w:r>
        <w:t>Appendix 2: Features of a meaningful and effective consultation process</w:t>
      </w:r>
      <w:bookmarkEnd w:id="261"/>
      <w:bookmarkEnd w:id="262"/>
    </w:p>
    <w:p w14:paraId="13A3A3DE" w14:textId="5BF712FC" w:rsidR="00F12219" w:rsidRPr="00611D78" w:rsidRDefault="00611D78" w:rsidP="00035660">
      <w:pPr>
        <w:ind w:left="709"/>
      </w:pPr>
      <w:r>
        <w:t>See</w:t>
      </w:r>
      <w:r w:rsidR="00D45E7A">
        <w:t xml:space="preserve"> attached.</w:t>
      </w:r>
    </w:p>
    <w:p w14:paraId="07D23FC3" w14:textId="77777777" w:rsidR="00F12219" w:rsidRDefault="00F12219" w:rsidP="000974C4">
      <w:pPr>
        <w:pStyle w:val="Heading11"/>
        <w:numPr>
          <w:ilvl w:val="0"/>
          <w:numId w:val="31"/>
        </w:numPr>
        <w:ind w:hanging="851"/>
      </w:pPr>
      <w:bookmarkStart w:id="263" w:name="_TOC147685"/>
      <w:bookmarkStart w:id="264" w:name="_Toc315865132"/>
      <w:bookmarkStart w:id="265" w:name="_Toc316042400"/>
      <w:bookmarkEnd w:id="263"/>
      <w:r>
        <w:t>Appendix 3: Creating cultural competency</w:t>
      </w:r>
      <w:bookmarkEnd w:id="264"/>
      <w:bookmarkEnd w:id="265"/>
      <w:bookmarkEnd w:id="5"/>
      <w:bookmarkEnd w:id="4"/>
    </w:p>
    <w:p w14:paraId="27E4D397" w14:textId="0DEE75DD" w:rsidR="00A7362B" w:rsidRDefault="00F12219" w:rsidP="00035660">
      <w:pPr>
        <w:ind w:left="709"/>
      </w:pPr>
      <w:r>
        <w:t xml:space="preserve">See </w:t>
      </w:r>
      <w:r w:rsidR="00D45E7A">
        <w:t>attached.</w:t>
      </w:r>
    </w:p>
    <w:p w14:paraId="109600BB" w14:textId="77777777" w:rsidR="00821224" w:rsidRDefault="00821224" w:rsidP="00035660">
      <w:pPr>
        <w:ind w:left="709"/>
      </w:pPr>
    </w:p>
    <w:sectPr w:rsidR="00821224">
      <w:headerReference w:type="even" r:id="rId14"/>
      <w:headerReference w:type="default" r:id="rId15"/>
      <w:footerReference w:type="even" r:id="rId16"/>
      <w:footerReference w:type="default" r:id="rId17"/>
      <w:endnotePr>
        <w:numFmt w:val="decimal"/>
      </w:endnotePr>
      <w:pgSz w:w="11900" w:h="16840"/>
      <w:pgMar w:top="228" w:right="1418" w:bottom="1134" w:left="1418" w:header="277" w:footer="4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686B8" w14:textId="77777777" w:rsidR="00643212" w:rsidRDefault="00643212" w:rsidP="00F14C6D">
      <w:r>
        <w:separator/>
      </w:r>
    </w:p>
  </w:endnote>
  <w:endnote w:type="continuationSeparator" w:id="0">
    <w:p w14:paraId="47B80A4B" w14:textId="77777777" w:rsidR="00643212" w:rsidRDefault="00643212" w:rsidP="00F14C6D">
      <w:r>
        <w:continuationSeparator/>
      </w:r>
    </w:p>
  </w:endnote>
  <w:endnote w:id="1">
    <w:p w14:paraId="6D8B6A8A"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rFonts w:ascii="Arial Italic" w:hAnsi="Arial Italic"/>
        </w:rPr>
        <w:t xml:space="preserve">Northern Territory National Emergency Response Act 2007 </w:t>
      </w:r>
      <w:r>
        <w:t>(Cth), s 6.</w:t>
      </w:r>
    </w:p>
  </w:endnote>
  <w:endnote w:id="2">
    <w:p w14:paraId="18831A02"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Stronger Futures in the Northern Territory</w:t>
      </w:r>
      <w:r>
        <w:t xml:space="preserve"> </w:t>
      </w:r>
      <w:r>
        <w:rPr>
          <w:rFonts w:ascii="Arial Italic" w:hAnsi="Arial Italic"/>
        </w:rPr>
        <w:t>Discussion Paper</w:t>
      </w:r>
      <w:r>
        <w:t xml:space="preserve"> (2011), p 4. At </w:t>
      </w:r>
      <w:hyperlink r:id="rId1" w:history="1">
        <w:r>
          <w:rPr>
            <w:rStyle w:val="Hyperlink1"/>
          </w:rPr>
          <w:t>http://www.indigenous.gov.au/no-category/stronger-futures-in-the-northern-territory-discussion-paper/</w:t>
        </w:r>
      </w:hyperlink>
      <w:r>
        <w:t xml:space="preserve"> (viewed 20 January 2012).</w:t>
      </w:r>
    </w:p>
  </w:endnote>
  <w:endnote w:id="3">
    <w:p w14:paraId="78898B86"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See M Gooda, Aboriginal and Torres Strait Islander Social Justice Commissioner, </w:t>
      </w:r>
      <w:r>
        <w:rPr>
          <w:rFonts w:ascii="Arial Italic" w:hAnsi="Arial Italic"/>
        </w:rPr>
        <w:t>Social Justice Report 2011</w:t>
      </w:r>
      <w:r>
        <w:t xml:space="preserve">, Australian Human Rights Commission (2011), ch 1 and 3. At </w:t>
      </w:r>
      <w:hyperlink r:id="rId2" w:history="1">
        <w:r>
          <w:rPr>
            <w:rStyle w:val="Hyperlink1"/>
          </w:rPr>
          <w:t>http://www.humanrights.gov.au/social_justice/sj_report/sjreport11/index.html</w:t>
        </w:r>
      </w:hyperlink>
      <w:r>
        <w:t xml:space="preserve"> (viewed 10 January 2012).</w:t>
      </w:r>
    </w:p>
  </w:endnote>
  <w:endnote w:id="4">
    <w:p w14:paraId="4FBA9ADA" w14:textId="77777777" w:rsidR="00643212" w:rsidRPr="00C30015" w:rsidRDefault="00643212" w:rsidP="00F12219">
      <w:pPr>
        <w:pStyle w:val="EndnoteText"/>
        <w:rPr>
          <w:color w:val="FF0000"/>
        </w:rPr>
      </w:pPr>
      <w:r>
        <w:rPr>
          <w:rStyle w:val="EndnoteReference"/>
        </w:rPr>
        <w:endnoteRef/>
      </w:r>
      <w:r>
        <w:t xml:space="preserve"> </w:t>
      </w:r>
      <w:r w:rsidRPr="009E7B27">
        <w:rPr>
          <w:rFonts w:eastAsia="Times New Roman" w:cs="Arial"/>
          <w:i/>
          <w:iCs/>
        </w:rPr>
        <w:t>United Nations Declaration on the Rights of Indigenous Peoples</w:t>
      </w:r>
      <w:r w:rsidRPr="009E7B27">
        <w:rPr>
          <w:rFonts w:eastAsia="Times New Roman" w:cs="Arial"/>
        </w:rPr>
        <w:t>, GA Resolution 61/295 (Annex), UN Doc</w:t>
      </w:r>
      <w:r>
        <w:rPr>
          <w:rFonts w:eastAsia="Times New Roman" w:cs="Arial"/>
        </w:rPr>
        <w:t xml:space="preserve"> A/RES/61/295 (2007), art 39. </w:t>
      </w:r>
      <w:r w:rsidRPr="009E7B27">
        <w:rPr>
          <w:rFonts w:eastAsia="Times New Roman" w:cs="Arial"/>
        </w:rPr>
        <w:t>At http://www.un.org/esa/socdev/unpfii/en/dri</w:t>
      </w:r>
      <w:r>
        <w:rPr>
          <w:rFonts w:eastAsia="Times New Roman" w:cs="Arial"/>
        </w:rPr>
        <w:t>p.html (viewed 10 January 2012).</w:t>
      </w:r>
      <w:r>
        <w:rPr>
          <w:color w:val="FF0000"/>
        </w:rPr>
        <w:t xml:space="preserve"> </w:t>
      </w:r>
    </w:p>
  </w:endnote>
  <w:endnote w:id="5">
    <w:p w14:paraId="44D36ABF"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See Closing the Gap Clearinghouse, </w:t>
      </w:r>
      <w:r>
        <w:rPr>
          <w:rFonts w:ascii="Arial Italic" w:hAnsi="Arial Italic"/>
        </w:rPr>
        <w:t xml:space="preserve">What works to overcome Indigenous disadvantage: key learnings and gaps in the evidence </w:t>
      </w:r>
      <w:r>
        <w:t xml:space="preserve">(2011), p 2. At </w:t>
      </w:r>
      <w:hyperlink r:id="rId3" w:history="1">
        <w:r>
          <w:rPr>
            <w:rStyle w:val="Hyperlink1"/>
          </w:rPr>
          <w:t>http://www.aihw.gov.au/closingthegap/documents/annual_papers/what_works_to_overcome_disadvantage.rtf</w:t>
        </w:r>
      </w:hyperlink>
      <w:r>
        <w:t xml:space="preserve"> (viewed 10 January 2011).</w:t>
      </w:r>
    </w:p>
  </w:endnote>
  <w:endnote w:id="6">
    <w:p w14:paraId="7DB2FB26" w14:textId="77777777" w:rsidR="00643212" w:rsidRDefault="00643212" w:rsidP="00F12219">
      <w:pPr>
        <w:pStyle w:val="EndnoteText"/>
      </w:pPr>
      <w:r>
        <w:rPr>
          <w:rStyle w:val="EndnoteReference"/>
        </w:rPr>
        <w:endnoteRef/>
      </w:r>
      <w:r>
        <w:t xml:space="preserve"> Prime Minister, Minister for Indigenous Affairs, Minister for Indigenous Health, Senator Crossin, ‘Deliver a better future for Indigenous people in the Northern Territory’, (Media Release, 22 June 2011). At </w:t>
      </w:r>
      <w:hyperlink r:id="rId4" w:history="1">
        <w:r w:rsidRPr="0004474B">
          <w:rPr>
            <w:rStyle w:val="Hyperlink"/>
          </w:rPr>
          <w:t>http://www.pm.gov.au/press-office/delivering-better-future-indigenous-people-northern-territory</w:t>
        </w:r>
      </w:hyperlink>
      <w:r>
        <w:t xml:space="preserve"> (viewed 10 January 2012).</w:t>
      </w:r>
    </w:p>
  </w:endnote>
  <w:endnote w:id="7">
    <w:p w14:paraId="5659D1DF" w14:textId="77777777" w:rsidR="00643212" w:rsidRPr="0028143F" w:rsidRDefault="00643212" w:rsidP="00F12219">
      <w:pPr>
        <w:pStyle w:val="EndnoteText"/>
      </w:pPr>
      <w:r>
        <w:rPr>
          <w:rStyle w:val="EndnoteReference"/>
        </w:rPr>
        <w:endnoteRef/>
      </w:r>
      <w:r>
        <w:t xml:space="preserve"> Cultural &amp; Indigenous Research Centre Australia, </w:t>
      </w:r>
      <w:r w:rsidRPr="004315CB">
        <w:rPr>
          <w:i/>
        </w:rPr>
        <w:t>The Department of Families, Housing, Community</w:t>
      </w:r>
      <w:r>
        <w:rPr>
          <w:i/>
        </w:rPr>
        <w:t xml:space="preserve"> Services and Indigenous Affairs,</w:t>
      </w:r>
      <w:r w:rsidRPr="004315CB">
        <w:rPr>
          <w:i/>
        </w:rPr>
        <w:t xml:space="preserve"> Report on Stronger Futures Consultation 2011 Final Report</w:t>
      </w:r>
      <w:r>
        <w:t xml:space="preserve"> (2011), p 3.</w:t>
      </w:r>
    </w:p>
  </w:endnote>
  <w:endnote w:id="8">
    <w:p w14:paraId="4ED53599" w14:textId="77777777" w:rsidR="00643212" w:rsidRDefault="00643212" w:rsidP="00F12219">
      <w:pPr>
        <w:pStyle w:val="EndnoteText"/>
      </w:pPr>
      <w:r>
        <w:rPr>
          <w:rStyle w:val="EndnoteReference"/>
        </w:rPr>
        <w:endnoteRef/>
      </w:r>
      <w:r>
        <w:t xml:space="preserve"> Cultural &amp; Indigenous Research Centre Australia, </w:t>
      </w:r>
      <w:r w:rsidRPr="004315CB">
        <w:rPr>
          <w:i/>
        </w:rPr>
        <w:t>The Department of Families, Housing, Community</w:t>
      </w:r>
      <w:r>
        <w:rPr>
          <w:i/>
        </w:rPr>
        <w:t xml:space="preserve"> Services and Indigenous Affairs,</w:t>
      </w:r>
      <w:r w:rsidRPr="004315CB">
        <w:rPr>
          <w:i/>
        </w:rPr>
        <w:t xml:space="preserve"> Report on Stronger Futures Consultation 2011 Final Report</w:t>
      </w:r>
      <w:r>
        <w:t xml:space="preserve"> (2011), p 5.</w:t>
      </w:r>
    </w:p>
  </w:endnote>
  <w:endnote w:id="9">
    <w:p w14:paraId="64760366" w14:textId="77777777" w:rsidR="00643212" w:rsidRPr="004568B2" w:rsidRDefault="00643212" w:rsidP="00F12219">
      <w:pPr>
        <w:pStyle w:val="EndnoteText"/>
      </w:pPr>
      <w:r>
        <w:rPr>
          <w:rStyle w:val="EndnoteReference"/>
        </w:rPr>
        <w:endnoteRef/>
      </w:r>
      <w:r>
        <w:t xml:space="preserve"> Australian Government, </w:t>
      </w:r>
      <w:r w:rsidRPr="001954AD">
        <w:rPr>
          <w:i/>
        </w:rPr>
        <w:t>Stronger Fu</w:t>
      </w:r>
      <w:r>
        <w:rPr>
          <w:i/>
        </w:rPr>
        <w:t>tures in the Northern Territory</w:t>
      </w:r>
      <w:r w:rsidRPr="001954AD">
        <w:rPr>
          <w:i/>
        </w:rPr>
        <w:t xml:space="preserve"> </w:t>
      </w:r>
      <w:r w:rsidRPr="006F1111">
        <w:rPr>
          <w:i/>
        </w:rPr>
        <w:t>Report on Consultations</w:t>
      </w:r>
      <w:r>
        <w:t xml:space="preserve"> (2011), pp 80-82. At </w:t>
      </w:r>
      <w:hyperlink r:id="rId5" w:history="1">
        <w:r w:rsidRPr="00390CE9">
          <w:rPr>
            <w:rStyle w:val="Hyperlink"/>
          </w:rPr>
          <w:t>http://www.indigenous.gov.au/stronger-futures-in-the-northern-territory-report-on-consultations/</w:t>
        </w:r>
      </w:hyperlink>
      <w:r>
        <w:t xml:space="preserve"> (viewed 20 January 2012).</w:t>
      </w:r>
    </w:p>
  </w:endnote>
  <w:endnote w:id="10">
    <w:p w14:paraId="1E6D5193" w14:textId="77777777" w:rsidR="00643212" w:rsidRDefault="00643212" w:rsidP="00F12219">
      <w:pPr>
        <w:pStyle w:val="EndnoteText"/>
      </w:pPr>
      <w:r>
        <w:rPr>
          <w:rStyle w:val="EndnoteReference"/>
        </w:rPr>
        <w:endnoteRef/>
      </w:r>
      <w:r>
        <w:t xml:space="preserve"> M Gooda, Aboriginal and Torres Strait Islander Social Justice Commissioner, </w:t>
      </w:r>
      <w:r w:rsidRPr="00BA7490">
        <w:rPr>
          <w:i/>
        </w:rPr>
        <w:t>Social Justice</w:t>
      </w:r>
      <w:r>
        <w:rPr>
          <w:i/>
        </w:rPr>
        <w:t xml:space="preserve"> Report 2011</w:t>
      </w:r>
      <w:r>
        <w:t xml:space="preserve">, Australian Human Rights Commission (2011), pp 27-28. At </w:t>
      </w:r>
      <w:hyperlink r:id="rId6" w:history="1">
        <w:r w:rsidRPr="00306B1D">
          <w:rPr>
            <w:rStyle w:val="Hyperlink"/>
          </w:rPr>
          <w:t>http://www.hreoc.gov.au/social_justice/sj_report/sjreport11/index.html</w:t>
        </w:r>
      </w:hyperlink>
      <w:r>
        <w:t xml:space="preserve"> (viewed 11 January 2012).</w:t>
      </w:r>
    </w:p>
  </w:endnote>
  <w:endnote w:id="11">
    <w:p w14:paraId="62DF2EFF" w14:textId="2912187E" w:rsidR="00643212" w:rsidRDefault="00643212" w:rsidP="00F12219">
      <w:pPr>
        <w:pStyle w:val="EndnoteText"/>
      </w:pPr>
      <w:r>
        <w:rPr>
          <w:rStyle w:val="EndnoteReference"/>
        </w:rPr>
        <w:endnoteRef/>
      </w:r>
      <w:r>
        <w:t xml:space="preserve"> M Gooda, Aboriginal and Torres Strait Islander Social Justice Commissioner, </w:t>
      </w:r>
      <w:r w:rsidRPr="00843256">
        <w:rPr>
          <w:i/>
        </w:rPr>
        <w:t>Native Title Report 2010</w:t>
      </w:r>
      <w:r>
        <w:t xml:space="preserve">, Australian Human Rights Commission (2011), app 4. At </w:t>
      </w:r>
      <w:hyperlink r:id="rId7" w:history="1">
        <w:r w:rsidRPr="00006CD0">
          <w:rPr>
            <w:rStyle w:val="Hyperlink"/>
          </w:rPr>
          <w:t>http://www.hreoc.gov.au/social_justice/nt_report/ntreport10/index.html</w:t>
        </w:r>
      </w:hyperlink>
      <w:r>
        <w:t xml:space="preserve"> (viewed 8 December 2011).</w:t>
      </w:r>
    </w:p>
  </w:endnote>
  <w:endnote w:id="12">
    <w:p w14:paraId="271AC820"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M Dodson and D Smith, </w:t>
      </w:r>
      <w:r>
        <w:rPr>
          <w:rFonts w:ascii="Arial Italic" w:hAnsi="Arial Italic"/>
        </w:rPr>
        <w:t>Governance for Sustainable Development: strategic issues and principles for Indigenous Australian communities</w:t>
      </w:r>
      <w:r>
        <w:t xml:space="preserve">, Discussion Paper No 251. Centre for Aboriginal Economic Policy Research (2003), p 1. At </w:t>
      </w:r>
      <w:hyperlink r:id="rId8" w:history="1">
        <w:r>
          <w:rPr>
            <w:rStyle w:val="Hyperlink1"/>
          </w:rPr>
          <w:t>https://digitalcollections.anu.edu.au/bitstream/1885/41862/3/2003_DP250.pdf</w:t>
        </w:r>
      </w:hyperlink>
      <w:r>
        <w:t xml:space="preserve"> (viewed 21 November 2011).</w:t>
      </w:r>
    </w:p>
  </w:endnote>
  <w:endnote w:id="13">
    <w:p w14:paraId="497C4526"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M Dodson and D Smith, </w:t>
      </w:r>
      <w:r>
        <w:rPr>
          <w:rFonts w:ascii="Arial Italic" w:hAnsi="Arial Italic"/>
        </w:rPr>
        <w:t>Governance for Sustainable Development: strategic issues and principles for Indigenous Australian communities</w:t>
      </w:r>
      <w:r>
        <w:t xml:space="preserve">, Discussion Paper No 251. Centre for Aboriginal Economic Policy Research (2003), pp 3-4. At </w:t>
      </w:r>
      <w:hyperlink r:id="rId9" w:history="1">
        <w:r>
          <w:rPr>
            <w:rStyle w:val="Hyperlink1"/>
          </w:rPr>
          <w:t>https://digitalcollections.anu.edu.au/bitstream/1885/41862/3/2003_DP250.pdf</w:t>
        </w:r>
      </w:hyperlink>
      <w:r>
        <w:t xml:space="preserve"> (viewed 21 November 2011); Australian Government, </w:t>
      </w:r>
      <w:r>
        <w:rPr>
          <w:rFonts w:ascii="Arial Italic" w:hAnsi="Arial Italic"/>
        </w:rPr>
        <w:t>Northern Territory Emergency Response Evaluation Report</w:t>
      </w:r>
      <w:r>
        <w:t xml:space="preserve"> (2011), p 4. At </w:t>
      </w:r>
      <w:hyperlink r:id="rId10" w:history="1">
        <w:r>
          <w:rPr>
            <w:rStyle w:val="Hyperlink1"/>
          </w:rPr>
          <w:t>http://www.fahcsia.gov.au/sa/indigenous/pubs/nter_reports/Pages/nter_evaluation_rpt_2011.aspx</w:t>
        </w:r>
      </w:hyperlink>
      <w:r>
        <w:t xml:space="preserve"> (viewed 21 November 2011).</w:t>
      </w:r>
    </w:p>
  </w:endnote>
  <w:endnote w:id="14">
    <w:p w14:paraId="3F758E42"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 xml:space="preserve">Northern Territory Emergency Response: Report of the NTER Review Board </w:t>
      </w:r>
      <w:r>
        <w:t xml:space="preserve">(2008), p 54. At </w:t>
      </w:r>
      <w:hyperlink r:id="rId11" w:history="1">
        <w:r>
          <w:rPr>
            <w:rStyle w:val="Hyperlink1"/>
          </w:rPr>
          <w:t>http://www.nterreview.gov.au/report.htm</w:t>
        </w:r>
      </w:hyperlink>
      <w:r>
        <w:t xml:space="preserve"> (viewed 29 November 2011).</w:t>
      </w:r>
    </w:p>
  </w:endnote>
  <w:endnote w:id="15">
    <w:p w14:paraId="1BDF5072" w14:textId="576AC186"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The Harvard Project on American Indian Economic Development, ‘Overview: what works, where and why?’ (2011). At: </w:t>
      </w:r>
      <w:hyperlink r:id="rId12" w:history="1">
        <w:r>
          <w:rPr>
            <w:rStyle w:val="Hyperlink1"/>
          </w:rPr>
          <w:t>http://hpaied.org/about-hpaied/overview</w:t>
        </w:r>
      </w:hyperlink>
      <w:r>
        <w:t xml:space="preserve"> (viewed 12 January 2012).</w:t>
      </w:r>
    </w:p>
  </w:endnote>
  <w:endnote w:id="16">
    <w:p w14:paraId="611DF06A"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Office of the High Commissioner for Human Rights, </w:t>
      </w:r>
      <w:r>
        <w:rPr>
          <w:rFonts w:ascii="Arial Italic" w:hAnsi="Arial Italic"/>
        </w:rPr>
        <w:t xml:space="preserve">Expert Mechanism Advice No. 2 (2011): Indigenous peoples and the right to participate in decision-making </w:t>
      </w:r>
      <w:r>
        <w:t xml:space="preserve">(2011), para 3. At </w:t>
      </w:r>
      <w:hyperlink r:id="rId13" w:history="1">
        <w:r>
          <w:rPr>
            <w:rStyle w:val="Hyperlink1"/>
          </w:rPr>
          <w:t>http://www.ohchr.org/Documents/Issues/IPeoples/EMRIP/Advice2_Oct2011.pdf</w:t>
        </w:r>
      </w:hyperlink>
      <w:r>
        <w:t xml:space="preserve"> (viewed 28 November 2011).</w:t>
      </w:r>
    </w:p>
  </w:endnote>
  <w:endnote w:id="17">
    <w:p w14:paraId="549D0BE4"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Office of the High Commissioner for Human Rights, </w:t>
      </w:r>
      <w:r>
        <w:rPr>
          <w:rFonts w:ascii="Arial Italic" w:hAnsi="Arial Italic"/>
        </w:rPr>
        <w:t xml:space="preserve">Expert Mechanism Advice No. 2 (2011): Indigenous peoples and the right to participate in decision-making </w:t>
      </w:r>
      <w:r>
        <w:t xml:space="preserve">(2011), para 13. At </w:t>
      </w:r>
      <w:hyperlink r:id="rId14" w:history="1">
        <w:r>
          <w:rPr>
            <w:rStyle w:val="Hyperlink1"/>
          </w:rPr>
          <w:t>http://www.ohchr.org/Documents/Issues/IPeoples/EMRIP/Advice2_Oct2011.pdf</w:t>
        </w:r>
      </w:hyperlink>
      <w:r>
        <w:t xml:space="preserve"> (viewed 28 November 2011).</w:t>
      </w:r>
    </w:p>
  </w:endnote>
  <w:endnote w:id="18">
    <w:p w14:paraId="27DE0D8F"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Aboriginal Peak Organisations of the Northern Territory, </w:t>
      </w:r>
      <w:r>
        <w:rPr>
          <w:rFonts w:ascii="Arial Italic" w:hAnsi="Arial Italic"/>
        </w:rPr>
        <w:t>Response to Stronger Futures</w:t>
      </w:r>
      <w:r>
        <w:t xml:space="preserve"> (2011), p 39. At </w:t>
      </w:r>
      <w:hyperlink r:id="rId15" w:history="1">
        <w:r>
          <w:rPr>
            <w:rStyle w:val="Hyperlink1"/>
          </w:rPr>
          <w:t>http://www.amsant.org.au/documents/article/154/111608%20-%20APONT%20submission%20to%20Stronger%20Futures%20-%20Final-2.pdf</w:t>
        </w:r>
      </w:hyperlink>
      <w:r>
        <w:t xml:space="preserve"> (viewed 20 January 2012).</w:t>
      </w:r>
    </w:p>
  </w:endnote>
  <w:endnote w:id="19">
    <w:p w14:paraId="0CBAF7BA"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Stronger Futures in the Northern Territory Report on Consultations</w:t>
      </w:r>
      <w:r>
        <w:t xml:space="preserve"> (2011), pp 69, 73. At </w:t>
      </w:r>
      <w:hyperlink r:id="rId16" w:history="1">
        <w:r>
          <w:rPr>
            <w:rStyle w:val="Hyperlink1"/>
          </w:rPr>
          <w:t>http://www.indigenous.gov.au/stronger-futures-in-the-northern-territory-report-on-consultations/</w:t>
        </w:r>
      </w:hyperlink>
      <w:r>
        <w:t xml:space="preserve"> (viewed 20 January 2012).</w:t>
      </w:r>
    </w:p>
  </w:endnote>
  <w:endnote w:id="20">
    <w:p w14:paraId="7BBE46B3"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lang w:val="en-US"/>
        </w:rPr>
        <w:t xml:space="preserve">Australians for Native Title and Reconciliation, </w:t>
      </w:r>
      <w:r>
        <w:rPr>
          <w:rFonts w:ascii="Arial Italic" w:hAnsi="Arial Italic"/>
        </w:rPr>
        <w:t xml:space="preserve">A Better Way: Building healthy, safe and sustainable communities in the Northern Territory through a community development approach </w:t>
      </w:r>
      <w:r>
        <w:t xml:space="preserve">(2011), p 12. At </w:t>
      </w:r>
      <w:hyperlink r:id="rId17" w:history="1">
        <w:r>
          <w:rPr>
            <w:rStyle w:val="Hyperlink1"/>
          </w:rPr>
          <w:t>http://www.antar.org.au/sites/default/files/NT%20Community%20development%20policy%20paper%20FINAL.pdf</w:t>
        </w:r>
      </w:hyperlink>
      <w:r>
        <w:t xml:space="preserve"> (viewed 20 January 2012).</w:t>
      </w:r>
    </w:p>
  </w:endnote>
  <w:endnote w:id="21">
    <w:p w14:paraId="4DAB40B4"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Aboriginal Peak Organisations of the Northern Territory, </w:t>
      </w:r>
      <w:r>
        <w:rPr>
          <w:rFonts w:ascii="Arial Italic" w:hAnsi="Arial Italic"/>
        </w:rPr>
        <w:t>Response to Stronger Futures</w:t>
      </w:r>
      <w:r>
        <w:t xml:space="preserve"> (2011), p 39. At </w:t>
      </w:r>
      <w:hyperlink r:id="rId18" w:history="1">
        <w:r>
          <w:rPr>
            <w:rStyle w:val="Hyperlink1"/>
          </w:rPr>
          <w:t>http://www.amsant.org.au/documents/article/154/111608%20-%20APONT%20submission%20to%20Stronger%20Futures%20-%20Final-2.pdf</w:t>
        </w:r>
      </w:hyperlink>
      <w:r>
        <w:t xml:space="preserve"> (viewed 20 January 2012).</w:t>
      </w:r>
    </w:p>
  </w:endnote>
  <w:endnote w:id="22">
    <w:p w14:paraId="3DDE2703"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Northern Territory Emergency Response Evaluation Report</w:t>
      </w:r>
      <w:r>
        <w:t xml:space="preserve"> (2011), p 65. At </w:t>
      </w:r>
      <w:hyperlink r:id="rId19" w:history="1">
        <w:r>
          <w:rPr>
            <w:rStyle w:val="Hyperlink1"/>
          </w:rPr>
          <w:t>http://www.fahcsia.gov.au/sa/indigenous/pubs/nter_reports/Pages/nter_evaluation_rpt_2011.aspx</w:t>
        </w:r>
      </w:hyperlink>
      <w:r>
        <w:t xml:space="preserve"> (viewed 21 November 2011).</w:t>
      </w:r>
    </w:p>
  </w:endnote>
  <w:endnote w:id="23">
    <w:p w14:paraId="0E8B6DF7"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Stronger Futures in the Northern Territory Report on Consultations</w:t>
      </w:r>
      <w:r>
        <w:t xml:space="preserve"> (2011), p 73. At </w:t>
      </w:r>
      <w:hyperlink r:id="rId20" w:history="1">
        <w:r>
          <w:rPr>
            <w:rStyle w:val="Hyperlink1"/>
          </w:rPr>
          <w:t>http://www.indigenous.gov.au/stronger-futures-in-the-northern-territory-report-on-consultations/</w:t>
        </w:r>
      </w:hyperlink>
      <w:r>
        <w:t xml:space="preserve"> (viewed 20 January 2012); Australian Government, </w:t>
      </w:r>
      <w:r>
        <w:rPr>
          <w:rFonts w:ascii="Arial Italic" w:hAnsi="Arial Italic"/>
        </w:rPr>
        <w:t>Northern Territory Emergency Response Evaluation Report</w:t>
      </w:r>
      <w:r>
        <w:t xml:space="preserve"> (2011), p 43. At </w:t>
      </w:r>
      <w:hyperlink r:id="rId21" w:history="1">
        <w:r>
          <w:rPr>
            <w:rStyle w:val="Hyperlink1"/>
          </w:rPr>
          <w:t>http://www.fahcsia.gov.au/sa/indigenous/pubs/nter_reports/Pages/nter_evaluation_rpt_2011.aspx</w:t>
        </w:r>
      </w:hyperlink>
      <w:r>
        <w:t xml:space="preserve"> (viewed 21 November 2011); Australian Government, </w:t>
      </w:r>
      <w:r>
        <w:rPr>
          <w:rFonts w:ascii="Arial Italic" w:hAnsi="Arial Italic"/>
        </w:rPr>
        <w:t xml:space="preserve">Northern Territory Emergency Response: Report of the NTER Review Board </w:t>
      </w:r>
      <w:r>
        <w:t xml:space="preserve">(2008), p 55. At </w:t>
      </w:r>
      <w:hyperlink r:id="rId22" w:history="1">
        <w:r>
          <w:rPr>
            <w:rStyle w:val="Hyperlink1"/>
          </w:rPr>
          <w:t>http://www.nterreview.gov.au/report.htm</w:t>
        </w:r>
      </w:hyperlink>
      <w:r>
        <w:t xml:space="preserve"> (viewed 29 November 2011); Aboriginal Peak Organisations of the Northern Territory, </w:t>
      </w:r>
      <w:r>
        <w:rPr>
          <w:rFonts w:ascii="Arial Italic" w:hAnsi="Arial Italic"/>
        </w:rPr>
        <w:t xml:space="preserve">Response to Stronger Futures </w:t>
      </w:r>
      <w:r>
        <w:t xml:space="preserve">(2011), p 39. At </w:t>
      </w:r>
      <w:hyperlink r:id="rId23" w:history="1">
        <w:r>
          <w:rPr>
            <w:rStyle w:val="Hyperlink1"/>
          </w:rPr>
          <w:t>http://www.nlc.org.au/html/files/20111608%20-%20APONT%20submission%20to%20Stronger%20Futures%20-%20Final.pdf</w:t>
        </w:r>
      </w:hyperlink>
      <w:r>
        <w:t xml:space="preserve"> (viewed 30 November 2011).</w:t>
      </w:r>
    </w:p>
  </w:endnote>
  <w:endnote w:id="24">
    <w:p w14:paraId="16066856" w14:textId="77777777" w:rsidR="00643212" w:rsidRDefault="00643212" w:rsidP="00F12219">
      <w:pPr>
        <w:pStyle w:val="EndnoteText"/>
      </w:pPr>
      <w:r>
        <w:rPr>
          <w:rStyle w:val="EndnoteReference"/>
        </w:rPr>
        <w:endnoteRef/>
      </w:r>
      <w:r>
        <w:t xml:space="preserve"> Australian Government, </w:t>
      </w:r>
      <w:r>
        <w:rPr>
          <w:rFonts w:ascii="Arial Italic" w:hAnsi="Arial Italic"/>
        </w:rPr>
        <w:t>Stronger Futures in the Northern Territory Report on Consultations</w:t>
      </w:r>
      <w:r>
        <w:t xml:space="preserve"> (2011), pp 70-72</w:t>
      </w:r>
      <w:r w:rsidRPr="00A907B0">
        <w:t>.</w:t>
      </w:r>
      <w:r>
        <w:t xml:space="preserve"> At </w:t>
      </w:r>
      <w:hyperlink r:id="rId24" w:history="1">
        <w:r>
          <w:rPr>
            <w:rStyle w:val="Hyperlink1"/>
          </w:rPr>
          <w:t>http://www.indigenous.gov.au/stronger-futures-in-the-northern-territory-report-on-consultations/</w:t>
        </w:r>
      </w:hyperlink>
      <w:r>
        <w:t xml:space="preserve"> (viewed 20 January 2012).</w:t>
      </w:r>
    </w:p>
  </w:endnote>
  <w:endnote w:id="25">
    <w:p w14:paraId="0EDD6949" w14:textId="77777777" w:rsidR="00643212" w:rsidRDefault="00643212" w:rsidP="00F12219">
      <w:pPr>
        <w:pStyle w:val="EndnoteText1"/>
      </w:pPr>
      <w:r>
        <w:rPr>
          <w:rStyle w:val="EndnoteReference"/>
        </w:rPr>
        <w:endnoteRef/>
      </w:r>
      <w:r>
        <w:t xml:space="preserve"> Australian Government, </w:t>
      </w:r>
      <w:r>
        <w:rPr>
          <w:rFonts w:ascii="Arial Italic" w:hAnsi="Arial Italic"/>
        </w:rPr>
        <w:t>Northern Territory Emergency Response Evaluation Report</w:t>
      </w:r>
      <w:r>
        <w:t xml:space="preserve"> (2011), pp 132-150, 152-154. At </w:t>
      </w:r>
      <w:hyperlink r:id="rId25" w:history="1">
        <w:r>
          <w:rPr>
            <w:rStyle w:val="Hyperlink1"/>
          </w:rPr>
          <w:t>http://www.fahcsia.gov.au/sa/indigenous/pubs/nter_reports/Pages/nter_evaluation_rpt_2011.aspx</w:t>
        </w:r>
      </w:hyperlink>
      <w:r>
        <w:t xml:space="preserve"> (viewed 21 November 2011).</w:t>
      </w:r>
    </w:p>
  </w:endnote>
  <w:endnote w:id="26">
    <w:p w14:paraId="5F1CD847"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w:t>
      </w:r>
      <w:r w:rsidRPr="00086C0E">
        <w:t xml:space="preserve"> </w:t>
      </w:r>
      <w:r>
        <w:t>Government</w:t>
      </w:r>
      <w:r>
        <w:rPr>
          <w:lang w:val="en-US"/>
        </w:rPr>
        <w:t xml:space="preserve">, </w:t>
      </w:r>
      <w:r w:rsidRPr="00086C0E">
        <w:rPr>
          <w:i/>
          <w:lang w:val="en-US"/>
        </w:rPr>
        <w:t>Overview of options being considered through the Stronger Futures in the Northern Territory program response</w:t>
      </w:r>
      <w:r>
        <w:rPr>
          <w:lang w:val="en-US"/>
        </w:rPr>
        <w:t>,</w:t>
      </w:r>
      <w:r w:rsidRPr="00086C0E">
        <w:t xml:space="preserve"> </w:t>
      </w:r>
      <w:r>
        <w:rPr>
          <w:lang w:val="en-US"/>
        </w:rPr>
        <w:t>Department of Families, Housing, Community Services and Indigenous Affairs (2011), p 3.</w:t>
      </w:r>
    </w:p>
  </w:endnote>
  <w:endnote w:id="27">
    <w:p w14:paraId="70A215EC"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lang w:val="en-US"/>
        </w:rPr>
        <w:t xml:space="preserve">Australians for Native Title and Reconciliation, </w:t>
      </w:r>
      <w:r>
        <w:rPr>
          <w:rFonts w:ascii="Arial Italic" w:hAnsi="Arial Italic"/>
        </w:rPr>
        <w:t xml:space="preserve">A Better Way: Building healthy, safe and sustainable communities in the Northern Territory through a community development approach </w:t>
      </w:r>
      <w:r>
        <w:t xml:space="preserve">(2011) p 22. At </w:t>
      </w:r>
      <w:hyperlink r:id="rId26" w:history="1">
        <w:r>
          <w:rPr>
            <w:rStyle w:val="Hyperlink1"/>
          </w:rPr>
          <w:t>http://www.antar.org.au/sites/default/files/NT%20Community%20development%20policy%20paper%20FINAL.pdf</w:t>
        </w:r>
      </w:hyperlink>
      <w:r>
        <w:t xml:space="preserve"> (viewed 20 January 2012).</w:t>
      </w:r>
    </w:p>
  </w:endnote>
  <w:endnote w:id="28">
    <w:p w14:paraId="153001C9"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lang w:val="en-US"/>
        </w:rPr>
        <w:t xml:space="preserve">Office of the Coordinator General for Remote Indigenous Services, </w:t>
      </w:r>
      <w:r>
        <w:rPr>
          <w:rFonts w:ascii="Arial Italic" w:hAnsi="Arial Italic"/>
          <w:lang w:val="en-US"/>
        </w:rPr>
        <w:t xml:space="preserve">Six Monthly Report: April 2011 – September 2011 </w:t>
      </w:r>
      <w:r>
        <w:rPr>
          <w:lang w:val="en-US"/>
        </w:rPr>
        <w:t xml:space="preserve">(2011), p 1. At </w:t>
      </w:r>
      <w:hyperlink r:id="rId27" w:history="1">
        <w:r>
          <w:rPr>
            <w:rStyle w:val="Hyperlink1"/>
            <w:lang w:val="en-US"/>
          </w:rPr>
          <w:t>http://cgris.gov.au/site/s2011_report.asp</w:t>
        </w:r>
      </w:hyperlink>
      <w:r>
        <w:rPr>
          <w:lang w:val="en-US"/>
        </w:rPr>
        <w:t xml:space="preserve"> (viewed 12 January 2012).</w:t>
      </w:r>
    </w:p>
  </w:endnote>
  <w:endnote w:id="29">
    <w:p w14:paraId="6DC14A04"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Stronger Futures in the Northern Territory Report on Consultations</w:t>
      </w:r>
      <w:r>
        <w:t xml:space="preserve"> (2011), p 7. At </w:t>
      </w:r>
      <w:hyperlink r:id="rId28" w:history="1">
        <w:r>
          <w:rPr>
            <w:rStyle w:val="Hyperlink1"/>
          </w:rPr>
          <w:t>http://www.indigenous.gov.au/stronger-futures-in-the-northern-territory-report-on-consultations/</w:t>
        </w:r>
      </w:hyperlink>
      <w:r>
        <w:t xml:space="preserve"> (viewed 20 January 2012).</w:t>
      </w:r>
    </w:p>
  </w:endnote>
  <w:endnote w:id="30">
    <w:p w14:paraId="2B417F07"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Jenny Macklin, Minister for Families, Housing, Community Services and Indigenous Affairs, ‘More jobs, better job opportunities for Aboriginal people in the Northern Territory’, (Media Release 14 November 2011). At </w:t>
      </w:r>
      <w:hyperlink r:id="rId29" w:history="1">
        <w:r w:rsidRPr="007A3256">
          <w:rPr>
            <w:rStyle w:val="Hyperlink"/>
          </w:rPr>
          <w:t>http://www.jennymacklin.fahcsia.gov.au/mediareleases/2011/Pages/jobs_better_opportunities_nt_14nov11.aspx</w:t>
        </w:r>
      </w:hyperlink>
      <w:r>
        <w:t xml:space="preserve"> (viewed 9 December 2011).</w:t>
      </w:r>
    </w:p>
  </w:endnote>
  <w:endnote w:id="31">
    <w:p w14:paraId="0AB307E3"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M Gooda, Aboriginal and Torres Strait Islander Social Justice Commissioner, </w:t>
      </w:r>
      <w:r>
        <w:rPr>
          <w:rFonts w:ascii="Arial Italic" w:hAnsi="Arial Italic"/>
        </w:rPr>
        <w:t>Social Justice Report 2010</w:t>
      </w:r>
      <w:r>
        <w:t xml:space="preserve">, Australian Human Rights Commission (2011), pp 105-117. At </w:t>
      </w:r>
      <w:hyperlink r:id="rId30" w:history="1">
        <w:r>
          <w:rPr>
            <w:rStyle w:val="Hyperlink1"/>
          </w:rPr>
          <w:t>http://www.humanrights.gov.au/social_justice/sj_report/sjreport10/index.html</w:t>
        </w:r>
      </w:hyperlink>
      <w:r>
        <w:t xml:space="preserve"> (viewed 10 January 2012).</w:t>
      </w:r>
    </w:p>
  </w:endnote>
  <w:endnote w:id="32">
    <w:p w14:paraId="114248DD"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Northern Territory Emergency Response Review Board, </w:t>
      </w:r>
      <w:r>
        <w:rPr>
          <w:rFonts w:ascii="Arial Italic" w:hAnsi="Arial Italic"/>
        </w:rPr>
        <w:t>Report of the Northern Territory Review Board</w:t>
      </w:r>
      <w:r>
        <w:t xml:space="preserve">, Attorney-General’s Department (2008), p 49. At </w:t>
      </w:r>
      <w:hyperlink r:id="rId31" w:history="1">
        <w:r>
          <w:rPr>
            <w:rStyle w:val="Hyperlink1"/>
          </w:rPr>
          <w:t>http://www.nterreview.gov.au/docs/report_nter_review/default.htm</w:t>
        </w:r>
      </w:hyperlink>
      <w:r>
        <w:t xml:space="preserve"> (viewed 17 January 2012).</w:t>
      </w:r>
    </w:p>
  </w:endnote>
  <w:endnote w:id="33">
    <w:p w14:paraId="36F1FF02"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Northern Territory Emergency Response Review Board, </w:t>
      </w:r>
      <w:r>
        <w:rPr>
          <w:rFonts w:ascii="Arial Italic" w:hAnsi="Arial Italic"/>
        </w:rPr>
        <w:t>Report of the Northern Territory Review Board</w:t>
      </w:r>
      <w:r>
        <w:t xml:space="preserve">, Attorney-General’s Department (2008), p 49. At </w:t>
      </w:r>
      <w:hyperlink r:id="rId32" w:history="1">
        <w:r>
          <w:rPr>
            <w:rStyle w:val="Hyperlink1"/>
          </w:rPr>
          <w:t>http://www.nterreview.gov.au/docs/report_nter_review/default.htm</w:t>
        </w:r>
      </w:hyperlink>
      <w:r>
        <w:t xml:space="preserve"> (viewed 17 January 2012).</w:t>
      </w:r>
    </w:p>
  </w:endnote>
  <w:endnote w:id="34">
    <w:p w14:paraId="7CD0B675"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See M Gooda, Aboriginal and Torres Strait Islander Social Justice Commissioner, </w:t>
      </w:r>
      <w:r>
        <w:rPr>
          <w:rFonts w:ascii="Arial Italic" w:hAnsi="Arial Italic"/>
        </w:rPr>
        <w:t>Social Justice Report 2010</w:t>
      </w:r>
      <w:r>
        <w:t xml:space="preserve">, Australian Human Rights Commission (2011), ch 3. At </w:t>
      </w:r>
      <w:hyperlink r:id="rId33" w:history="1">
        <w:r>
          <w:rPr>
            <w:rStyle w:val="Hyperlink1"/>
          </w:rPr>
          <w:t>http://www.humanrights.gov.au/social_justice/sj_report/sjreport10/index.html</w:t>
        </w:r>
      </w:hyperlink>
      <w:r>
        <w:t xml:space="preserve"> (viewed 10 January 2012).</w:t>
      </w:r>
    </w:p>
  </w:endnote>
  <w:endnote w:id="35">
    <w:p w14:paraId="6DF49253"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Lateral violence has been described as: ‘[T]he organised, harmful behaviours that we do to each other collectively as part of an oppressed group: within our families; within our organisations and; within our communities. When we are consistently oppressed we live with great fear and great anger and we often turn on those who are closest to us’: M Gooda, Aboriginal and Torres Strait Islander Social Justice Commissioner, </w:t>
      </w:r>
      <w:r>
        <w:rPr>
          <w:rFonts w:ascii="Arial Italic" w:hAnsi="Arial Italic"/>
        </w:rPr>
        <w:t>Social Justice Report 2011</w:t>
      </w:r>
      <w:r>
        <w:t xml:space="preserve">, Australian Human Rights Commission (2011), p 52. At </w:t>
      </w:r>
      <w:hyperlink r:id="rId34" w:history="1">
        <w:r>
          <w:rPr>
            <w:rStyle w:val="Hyperlink1"/>
          </w:rPr>
          <w:t>http://www.humanrights.gov.au/social_justice/sj_report/sjreport11/index.html</w:t>
        </w:r>
      </w:hyperlink>
      <w:r>
        <w:t xml:space="preserve"> (viewed 10 January 2012).</w:t>
      </w:r>
    </w:p>
  </w:endnote>
  <w:endnote w:id="36">
    <w:p w14:paraId="5A9E62AD"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M Bamblett, </w:t>
      </w:r>
      <w:r w:rsidRPr="00B41C87">
        <w:rPr>
          <w:i/>
        </w:rPr>
        <w:t>Panel discussion on lateral violence</w:t>
      </w:r>
      <w:r>
        <w:t xml:space="preserve">, (Delivered at panel discussion launch of the Social Justice and Native Title Reports 2011), Sydney, 24 November 2011. At </w:t>
      </w:r>
      <w:hyperlink r:id="rId35" w:history="1">
        <w:r w:rsidRPr="007F2ADC">
          <w:rPr>
            <w:rStyle w:val="Hyperlink"/>
          </w:rPr>
          <w:t>http://www.humanrights.gov.au/about/media/news/2011/132_11.html</w:t>
        </w:r>
      </w:hyperlink>
      <w:r>
        <w:t xml:space="preserve"> (viewed 19 Jan 2012).</w:t>
      </w:r>
    </w:p>
  </w:endnote>
  <w:endnote w:id="37">
    <w:p w14:paraId="093C6FAD"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The AIATSIS Workshop on identity identified creating safety to enable a place and process for robust discussion was crucial to changing the negative conversations about identity to focus on solutions: S Gorringe, J Ross and C Fforde, ‘</w:t>
      </w:r>
      <w:r>
        <w:rPr>
          <w:rFonts w:ascii="Arial Italic" w:hAnsi="Arial Italic"/>
        </w:rPr>
        <w:t>Will the Real Aborigine Please Stand Up’: Strategies for breaking the stereotypes and changing the conversation</w:t>
      </w:r>
      <w:r>
        <w:t xml:space="preserve">, AIATSIS Research Discussion Paper 28 (2011), p 11. At </w:t>
      </w:r>
      <w:hyperlink r:id="rId36" w:history="1">
        <w:r>
          <w:rPr>
            <w:rStyle w:val="Hyperlink1"/>
          </w:rPr>
          <w:t>www.aiatsis.gov.au/research/documents/AIATSISDiscussionPaper28.pdf</w:t>
        </w:r>
      </w:hyperlink>
      <w:r>
        <w:rPr>
          <w:rFonts w:ascii="Arial Italic" w:hAnsi="Arial Italic"/>
        </w:rPr>
        <w:t xml:space="preserve"> </w:t>
      </w:r>
      <w:r>
        <w:t>(viewed 21 September 2011).</w:t>
      </w:r>
    </w:p>
  </w:endnote>
  <w:endnote w:id="38">
    <w:p w14:paraId="6E94F7BE"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See M Gooda, Aboriginal and Torres Strait Islander Social Justice Commissioner, </w:t>
      </w:r>
      <w:r>
        <w:rPr>
          <w:rFonts w:ascii="Arial Italic" w:hAnsi="Arial Italic"/>
        </w:rPr>
        <w:t>Social Justice Report 2011</w:t>
      </w:r>
      <w:r>
        <w:t xml:space="preserve">, Australian Human Rights Commission (2011), pp 122-123. At </w:t>
      </w:r>
      <w:hyperlink r:id="rId37" w:history="1">
        <w:r>
          <w:rPr>
            <w:rStyle w:val="Hyperlink1"/>
          </w:rPr>
          <w:t>http://www.humanrights.gov.au/social_justice/sj_report/sjreport11/index.html</w:t>
        </w:r>
      </w:hyperlink>
      <w:r>
        <w:t xml:space="preserve"> (viewed 10 January 2012).</w:t>
      </w:r>
    </w:p>
  </w:endnote>
  <w:endnote w:id="39">
    <w:p w14:paraId="63F12131" w14:textId="77777777" w:rsidR="00643212" w:rsidRDefault="00643212" w:rsidP="005B09EB">
      <w:pPr>
        <w:pStyle w:val="EndnoteText1"/>
        <w:rPr>
          <w:rFonts w:ascii="Times New Roman" w:eastAsia="Times New Roman" w:hAnsi="Times New Roman"/>
          <w:color w:val="auto"/>
          <w:lang w:eastAsia="en-AU" w:bidi="x-none"/>
        </w:rPr>
      </w:pPr>
      <w:r>
        <w:rPr>
          <w:rStyle w:val="EndnoteReference1"/>
        </w:rPr>
        <w:endnoteRef/>
      </w:r>
      <w:r>
        <w:t xml:space="preserve"> National Health and Medical Research Council, </w:t>
      </w:r>
      <w:r>
        <w:rPr>
          <w:rFonts w:ascii="Arial Italic" w:hAnsi="Arial Italic"/>
        </w:rPr>
        <w:t xml:space="preserve">Cultural Competency in Health: A guide for policy, partnerships and participation </w:t>
      </w:r>
      <w:r>
        <w:t xml:space="preserve">(2006), p 7. At </w:t>
      </w:r>
      <w:hyperlink r:id="rId38" w:history="1">
        <w:r>
          <w:rPr>
            <w:rStyle w:val="Hyperlink1"/>
          </w:rPr>
          <w:t>http://www.nhmrc.gov.au/guidelines/publications/hp19-hp26</w:t>
        </w:r>
      </w:hyperlink>
      <w:r>
        <w:t xml:space="preserve"> (viewed 12 September 2009). </w:t>
      </w:r>
    </w:p>
  </w:endnote>
  <w:endnote w:id="40">
    <w:p w14:paraId="349347AB"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The Commission refers the Committee to Chapter 4 of the Social Justice Report 2011 (set out in Appendix 3), which provides a detailed examination of cultural safety and security in the context of lateral violence in Aboriginal and Torres Strait Islander communities. Chapters 2 and 3 provide important context to this discussion: M Gooda, Aboriginal and Torres Strait Islander Social Justice Commissioner, </w:t>
      </w:r>
      <w:r w:rsidRPr="00086C0E">
        <w:rPr>
          <w:i/>
        </w:rPr>
        <w:t>Social Justice Report 2011</w:t>
      </w:r>
      <w:r>
        <w:t xml:space="preserve">, Australian Human Rights Commission (2011). At </w:t>
      </w:r>
      <w:hyperlink r:id="rId39" w:history="1">
        <w:r>
          <w:rPr>
            <w:rStyle w:val="Hyperlink1"/>
          </w:rPr>
          <w:t>http://www.humanrights.gov.au/social_justice/sj_report/sjreport11/index.html</w:t>
        </w:r>
      </w:hyperlink>
      <w:r>
        <w:t xml:space="preserve"> (viewed 10 January 2012).</w:t>
      </w:r>
    </w:p>
  </w:endnote>
  <w:endnote w:id="41">
    <w:p w14:paraId="1131300F"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M Gooda, Aboriginal and Torres Strait Islander Social Justice Commissioner, </w:t>
      </w:r>
      <w:r w:rsidRPr="00086C0E">
        <w:rPr>
          <w:i/>
        </w:rPr>
        <w:t>Social Justice Report 2011</w:t>
      </w:r>
      <w:r>
        <w:t xml:space="preserve">, Australian Human Rights Commission (2011), pp 125-127. At </w:t>
      </w:r>
      <w:hyperlink r:id="rId40" w:history="1">
        <w:r>
          <w:rPr>
            <w:rStyle w:val="Hyperlink1"/>
          </w:rPr>
          <w:t>http://www.humanrights.gov.au/social_justice/sj_report/sjreport11/index.html</w:t>
        </w:r>
      </w:hyperlink>
      <w:r>
        <w:t xml:space="preserve"> (viewed 10 January 2012).</w:t>
      </w:r>
    </w:p>
  </w:endnote>
  <w:endnote w:id="42">
    <w:p w14:paraId="270D671F" w14:textId="77777777" w:rsidR="00643212" w:rsidRDefault="00643212" w:rsidP="00F12219">
      <w:pPr>
        <w:pStyle w:val="EndnoteText1"/>
      </w:pPr>
      <w:r>
        <w:rPr>
          <w:rStyle w:val="EndnoteReference1"/>
        </w:rPr>
        <w:endnoteRef/>
      </w:r>
      <w:r>
        <w:t xml:space="preserve"> Section 8(1) provides: </w:t>
      </w:r>
    </w:p>
    <w:p w14:paraId="4839E887" w14:textId="77777777" w:rsidR="00643212" w:rsidRDefault="00643212" w:rsidP="00F12219">
      <w:pPr>
        <w:pStyle w:val="EndnoteText1"/>
        <w:ind w:left="360"/>
        <w:rPr>
          <w:rFonts w:ascii="Times New Roman" w:eastAsia="Times New Roman" w:hAnsi="Times New Roman"/>
          <w:color w:val="auto"/>
          <w:lang w:eastAsia="en-AU" w:bidi="x-none"/>
        </w:rPr>
      </w:pPr>
      <w:r>
        <w:t>(1) This Part does not apply to, or in relation to the application of, special measures to which paragraph 4 of Article 1 of the Convention applies except measures in relation to which sub-section 10(1) applies by virtue of sub-section 10(3).</w:t>
      </w:r>
    </w:p>
  </w:endnote>
  <w:endnote w:id="43">
    <w:p w14:paraId="709A5BD5"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Committee on the Elimination of Racial Discrimination, </w:t>
      </w:r>
      <w:r>
        <w:rPr>
          <w:rFonts w:ascii="Arial Italic" w:hAnsi="Arial Italic"/>
        </w:rPr>
        <w:t>General Recommendation No 32 (2009): The meaning and scope of special measures in the International Convention on the Elimination of All Forms Racial Discrimination</w:t>
      </w:r>
      <w:r>
        <w:t>,</w:t>
      </w:r>
      <w:r>
        <w:rPr>
          <w:rFonts w:ascii="Arial Italic" w:hAnsi="Arial Italic"/>
        </w:rPr>
        <w:t xml:space="preserve"> </w:t>
      </w:r>
      <w:r>
        <w:t xml:space="preserve">CERD/C/GC/32, 24 September 2009, paras 11–12. At </w:t>
      </w:r>
      <w:hyperlink r:id="rId41" w:history="1">
        <w:r>
          <w:rPr>
            <w:rStyle w:val="Hyperlink1"/>
          </w:rPr>
          <w:t>http://www2.ohchr.org/english/bodies/cerd/comments.htm</w:t>
        </w:r>
      </w:hyperlink>
      <w:r>
        <w:t xml:space="preserve"> (viewed 18 January 2012).</w:t>
      </w:r>
    </w:p>
  </w:endnote>
  <w:endnote w:id="44">
    <w:p w14:paraId="6CC1DD95" w14:textId="77777777" w:rsidR="00643212" w:rsidRDefault="00643212" w:rsidP="00F12219">
      <w:pPr>
        <w:pStyle w:val="EndnoteText1"/>
      </w:pPr>
      <w:r>
        <w:rPr>
          <w:rStyle w:val="EndnoteReference1"/>
        </w:rPr>
        <w:endnoteRef/>
      </w:r>
      <w:r>
        <w:t xml:space="preserve"> Article 2(2) of the CERD obliges the Government to take special measures, when the circumstances so warrant, in the social, economic, cultural and other fields, to ensure the adequate development and protection of certain racial groups or individuals belonging to them, for the purpose of guaranteeing them the full and equal enjoyment of human rights and fundamental freedoms.</w:t>
      </w:r>
    </w:p>
    <w:p w14:paraId="645E89D9" w14:textId="77777777" w:rsidR="00643212" w:rsidRDefault="00643212" w:rsidP="00F12219">
      <w:pPr>
        <w:pStyle w:val="EndnoteText1"/>
        <w:rPr>
          <w:rFonts w:ascii="Times New Roman" w:eastAsia="Times New Roman" w:hAnsi="Times New Roman"/>
          <w:color w:val="auto"/>
          <w:lang w:eastAsia="en-AU" w:bidi="x-none"/>
        </w:rPr>
      </w:pPr>
      <w:r>
        <w:t xml:space="preserve">Article 1(4) of the CERD provides that ‘special measures’ taken for the sole purpose of securing adequate advancement of certain racial or ethnic groups or individuals requiring such protection as may be necessary in order to ensure such groups or individuals equal enjoyment or exercise of human rights and fundamental freedoms shall not be deemed racial discrimination, provided, however, that such measures do not, as a consequence, lead to the maintenance of separate rights for different racial groups and that they shall not be continued after the objectives for which they were taken have been achieved. </w:t>
      </w:r>
      <w:r>
        <w:rPr>
          <w:rFonts w:ascii="Arial Italic" w:hAnsi="Arial Italic"/>
        </w:rPr>
        <w:t>International Convention on the Elimination of All Forms of Racial Discrimination</w:t>
      </w:r>
      <w:r>
        <w:t xml:space="preserve">, 1965, arts 1(4), 2(2). At </w:t>
      </w:r>
      <w:hyperlink r:id="rId42" w:history="1">
        <w:r>
          <w:rPr>
            <w:rStyle w:val="Hyperlink1"/>
          </w:rPr>
          <w:t>http://www2.ohchr.org/english/law/cerd.htm</w:t>
        </w:r>
      </w:hyperlink>
      <w:r>
        <w:t xml:space="preserve"> (viewed 18 January 2012).</w:t>
      </w:r>
    </w:p>
  </w:endnote>
  <w:endnote w:id="45">
    <w:p w14:paraId="19DB3941"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See, for example, Committee on the Elimination of Racial Discrimination, </w:t>
      </w:r>
      <w:r>
        <w:rPr>
          <w:rFonts w:ascii="Arial Italic" w:hAnsi="Arial Italic"/>
        </w:rPr>
        <w:t>General Recommendation No 32 (2009): The meaning and scope of special measures in the International Convention on the Elimination of All Forms Racial Discrimination</w:t>
      </w:r>
      <w:r>
        <w:t>,</w:t>
      </w:r>
      <w:r>
        <w:rPr>
          <w:rFonts w:ascii="Arial Italic" w:hAnsi="Arial Italic"/>
        </w:rPr>
        <w:t xml:space="preserve"> </w:t>
      </w:r>
      <w:r>
        <w:t xml:space="preserve">CERD/C/GC/32, 24 September 2009, para 20. At </w:t>
      </w:r>
      <w:hyperlink r:id="rId43" w:history="1">
        <w:r>
          <w:rPr>
            <w:rStyle w:val="Hyperlink1"/>
          </w:rPr>
          <w:t>http://www2.ohchr.org/english/bodies/cerd/comments.htm</w:t>
        </w:r>
      </w:hyperlink>
      <w:r>
        <w:t xml:space="preserve"> (viewed 18 January 2012).</w:t>
      </w:r>
    </w:p>
  </w:endnote>
  <w:endnote w:id="46">
    <w:p w14:paraId="0A3029EA"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rStyle w:val="EmphasisA"/>
        </w:rPr>
        <w:t>Gerhardy</w:t>
      </w:r>
      <w:r>
        <w:t xml:space="preserve"> v Brown (1985) 159 CLR 70,133 (Brennan J).</w:t>
      </w:r>
    </w:p>
  </w:endnote>
  <w:endnote w:id="47">
    <w:p w14:paraId="74C4AB6E"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Committee on the Elimination of Racial Discrimination, </w:t>
      </w:r>
      <w:r>
        <w:rPr>
          <w:rFonts w:ascii="Arial Italic" w:hAnsi="Arial Italic"/>
        </w:rPr>
        <w:t>General Recommendation No 32 (2009): The meaning and scope of special measures in the International Convention on the Elimination of All Forms Racial Discrimination</w:t>
      </w:r>
      <w:r>
        <w:t>,</w:t>
      </w:r>
      <w:r>
        <w:rPr>
          <w:rFonts w:ascii="Arial Italic" w:hAnsi="Arial Italic"/>
        </w:rPr>
        <w:t xml:space="preserve"> </w:t>
      </w:r>
      <w:r>
        <w:t xml:space="preserve">CERD/C/GC/32, 24 September 2009, para 16. At </w:t>
      </w:r>
      <w:hyperlink r:id="rId44" w:history="1">
        <w:r>
          <w:rPr>
            <w:rStyle w:val="Hyperlink1"/>
          </w:rPr>
          <w:t>http://www2.ohchr.org/english/bodies/cerd/comments.htm</w:t>
        </w:r>
      </w:hyperlink>
      <w:r>
        <w:t xml:space="preserve"> (viewed 18 January 2012).</w:t>
      </w:r>
    </w:p>
  </w:endnote>
  <w:endnote w:id="48">
    <w:p w14:paraId="37F1885B"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M Gooda, Aboriginal and Torres Strait Islander Social Justice Commissioner, </w:t>
      </w:r>
      <w:r>
        <w:rPr>
          <w:rFonts w:ascii="Arial Italic" w:hAnsi="Arial Italic"/>
        </w:rPr>
        <w:t>Native Title Report 2010</w:t>
      </w:r>
      <w:r>
        <w:t xml:space="preserve">, Australian Human Rights Commission (2011), Ch 3. At </w:t>
      </w:r>
      <w:hyperlink r:id="rId45" w:history="1">
        <w:r>
          <w:rPr>
            <w:rStyle w:val="Hyperlink1"/>
          </w:rPr>
          <w:t>http://www.hreoc.gov.au/social_justice/nt_report/ntreport10/index.html</w:t>
        </w:r>
      </w:hyperlink>
      <w:r>
        <w:t xml:space="preserve"> (viewed 18 January 2012). </w:t>
      </w:r>
    </w:p>
  </w:endnote>
  <w:endnote w:id="49">
    <w:p w14:paraId="4808EC64"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rFonts w:ascii="Arial Italic" w:hAnsi="Arial Italic"/>
        </w:rPr>
        <w:t xml:space="preserve">Families, Community Services and Indigenous Affairs and Other Legislation Amendment (Northern Territory National Emergency Response and Other Measures) Act 2007 </w:t>
      </w:r>
      <w:r>
        <w:t xml:space="preserve">(Cth), s 4; </w:t>
      </w:r>
      <w:r>
        <w:rPr>
          <w:rFonts w:ascii="Arial Italic" w:hAnsi="Arial Italic"/>
        </w:rPr>
        <w:t xml:space="preserve">Northern Territory National Emergency Response Act 2007 </w:t>
      </w:r>
      <w:r>
        <w:t xml:space="preserve">(Cth), s 132; </w:t>
      </w:r>
      <w:r>
        <w:rPr>
          <w:rFonts w:ascii="Arial Italic" w:hAnsi="Arial Italic"/>
        </w:rPr>
        <w:t xml:space="preserve">Social Security and Other Legislation Amendment (Welfare Payment Reform) Act 2007 </w:t>
      </w:r>
      <w:r>
        <w:t>(Cth), ss 4, 6.</w:t>
      </w:r>
    </w:p>
  </w:endnote>
  <w:endnote w:id="50">
    <w:p w14:paraId="1961904C"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rFonts w:ascii="Arial Italic" w:hAnsi="Arial Italic"/>
        </w:rPr>
        <w:t xml:space="preserve">Families, Community Services and Indigenous Affairs and Other Legislation Amendment (Northern Territory National Emergency Response and Other Measures) Act 2007 </w:t>
      </w:r>
      <w:r>
        <w:t xml:space="preserve">(Cth), s 4; </w:t>
      </w:r>
      <w:r>
        <w:rPr>
          <w:rFonts w:ascii="Arial Italic" w:hAnsi="Arial Italic"/>
        </w:rPr>
        <w:t xml:space="preserve">Northern Territory National Emergency Response Act 2007 </w:t>
      </w:r>
      <w:r>
        <w:t xml:space="preserve">(Cth), s 132; </w:t>
      </w:r>
      <w:r>
        <w:rPr>
          <w:rFonts w:ascii="Arial Italic" w:hAnsi="Arial Italic"/>
        </w:rPr>
        <w:t xml:space="preserve">Social Security and Other Legislation Amendment (Welfare Payment Reform) Act 2007 </w:t>
      </w:r>
      <w:r>
        <w:t xml:space="preserve">(Cth), ss 4, 6. The original NTER legislation also exempted the operation of the Northern Territory’s anti-discrimination laws: </w:t>
      </w:r>
      <w:r>
        <w:rPr>
          <w:rFonts w:ascii="Arial Italic" w:hAnsi="Arial Italic"/>
        </w:rPr>
        <w:t xml:space="preserve">Families, Community Services and Indigenous Affairs and Other Legislation Amendment (Northern Territory National Emergency Response and Other Measures) Act 2007 </w:t>
      </w:r>
      <w:r>
        <w:t xml:space="preserve">(Cth), s 5; </w:t>
      </w:r>
      <w:r>
        <w:rPr>
          <w:rFonts w:ascii="Arial Italic" w:hAnsi="Arial Italic"/>
        </w:rPr>
        <w:t xml:space="preserve">Northern Territory National Emergency Response Act 2007 </w:t>
      </w:r>
      <w:r>
        <w:t xml:space="preserve">(Cth), s 133; </w:t>
      </w:r>
      <w:r>
        <w:rPr>
          <w:rFonts w:ascii="Arial Italic" w:hAnsi="Arial Italic"/>
        </w:rPr>
        <w:t xml:space="preserve">Social Security and Other Legislation Amendment (Welfare Payment Reform) Act 2007 </w:t>
      </w:r>
      <w:r>
        <w:t>(Cth), ss 5, 7. But see</w:t>
      </w:r>
      <w:r>
        <w:rPr>
          <w:rFonts w:ascii="Arial Italic" w:hAnsi="Arial Italic"/>
        </w:rPr>
        <w:t xml:space="preserve"> Northern Territory National Emergency Response Act 2007 </w:t>
      </w:r>
      <w:r>
        <w:t>(Cth), Notes, Table A: ‘Application, saving or transitional provisions’ (</w:t>
      </w:r>
      <w:r>
        <w:rPr>
          <w:rFonts w:ascii="Arial Italic" w:hAnsi="Arial Italic"/>
        </w:rPr>
        <w:t>Families, Community Services and Indigenous Affairs and Other Legislation Amendment (Northern Territory National Emergency Response and Other Measures) Act 2007</w:t>
      </w:r>
      <w:r>
        <w:t xml:space="preserve"> (Cth),</w:t>
      </w:r>
      <w:r>
        <w:rPr>
          <w:rFonts w:ascii="Arial Bold" w:hAnsi="Arial Bold"/>
        </w:rPr>
        <w:t xml:space="preserve"> </w:t>
      </w:r>
      <w:r>
        <w:t>s 4(3)).</w:t>
      </w:r>
    </w:p>
  </w:endnote>
  <w:endnote w:id="51">
    <w:p w14:paraId="4EE97087" w14:textId="77777777" w:rsidR="00643212" w:rsidRPr="006A409C" w:rsidRDefault="00643212" w:rsidP="006A409C">
      <w:pPr>
        <w:pStyle w:val="EndnoteText"/>
      </w:pPr>
      <w:r>
        <w:rPr>
          <w:rStyle w:val="EndnoteReference1"/>
        </w:rPr>
        <w:endnoteRef/>
      </w:r>
      <w:r>
        <w:t xml:space="preserve"> Human Rights and Equal Opportunity Commission, ‘A human rights based approach is vital to address the challenges in Indigenous communities’ (</w:t>
      </w:r>
      <w:r w:rsidRPr="00FD2FAC">
        <w:rPr>
          <w:iCs/>
        </w:rPr>
        <w:t>Media release</w:t>
      </w:r>
      <w:r>
        <w:t xml:space="preserve">, 26 June 2007). At </w:t>
      </w:r>
      <w:hyperlink r:id="rId46" w:history="1">
        <w:r>
          <w:rPr>
            <w:rStyle w:val="Hyperlink"/>
          </w:rPr>
          <w:t>www.humanrights.gov.au/about/media/media_releases/2007/45_07.html</w:t>
        </w:r>
      </w:hyperlink>
      <w:r>
        <w:t xml:space="preserve"> (viewed 19 January 2012).</w:t>
      </w:r>
    </w:p>
  </w:endnote>
  <w:endnote w:id="52">
    <w:p w14:paraId="6C8EB85E"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Human Rights and Equal Opportunity, </w:t>
      </w:r>
      <w:r>
        <w:rPr>
          <w:rFonts w:ascii="Arial Italic" w:hAnsi="Arial Italic"/>
        </w:rPr>
        <w:t xml:space="preserve">Submission to the Senate Legal and Constitutional Committee on the Northern Territory National Emergency Response Legislation </w:t>
      </w:r>
      <w:r>
        <w:t xml:space="preserve">(2007), 10 August 2007. At </w:t>
      </w:r>
      <w:hyperlink r:id="rId47" w:history="1">
        <w:r>
          <w:rPr>
            <w:rStyle w:val="Hyperlink1"/>
          </w:rPr>
          <w:t>http://www.humanrights.gov.au/legal/submissions/2007/NTNER_Measures20070810.html</w:t>
        </w:r>
      </w:hyperlink>
      <w:r>
        <w:t xml:space="preserve"> (viewed 19 January 2012).</w:t>
      </w:r>
    </w:p>
  </w:endnote>
  <w:endnote w:id="53">
    <w:p w14:paraId="3A43D95F"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Human Rights and Equal Opportunity, </w:t>
      </w:r>
      <w:r>
        <w:rPr>
          <w:rFonts w:ascii="Arial Italic" w:hAnsi="Arial Italic"/>
        </w:rPr>
        <w:t xml:space="preserve">Submission to the Senate Legal and Constitutional Committee on the Northern Territory National emergency Response Legislation </w:t>
      </w:r>
      <w:r>
        <w:t xml:space="preserve">(2007), 10 August 2007. At </w:t>
      </w:r>
      <w:hyperlink r:id="rId48" w:history="1">
        <w:r>
          <w:rPr>
            <w:rStyle w:val="Hyperlink1"/>
          </w:rPr>
          <w:t>http://www.humanrights.gov.au/legal/submissions/2007/NTNER_Measures20070810.html</w:t>
        </w:r>
      </w:hyperlink>
      <w:r>
        <w:t xml:space="preserve"> (viewed 19 January 2012).</w:t>
      </w:r>
    </w:p>
  </w:endnote>
  <w:endnote w:id="54">
    <w:p w14:paraId="57F6E8A7" w14:textId="77777777" w:rsidR="00643212" w:rsidRDefault="00643212" w:rsidP="00F12219">
      <w:pPr>
        <w:pStyle w:val="EndnoteText1"/>
      </w:pPr>
      <w:r>
        <w:rPr>
          <w:rStyle w:val="EndnoteReference1"/>
        </w:rPr>
        <w:endnoteRef/>
      </w:r>
      <w:r>
        <w:t xml:space="preserve"> T Calma, Aboriginal and Torres Strait Islander Social Justice Commissioner, </w:t>
      </w:r>
      <w:r>
        <w:rPr>
          <w:rFonts w:ascii="Arial Italic" w:hAnsi="Arial Italic"/>
        </w:rPr>
        <w:t>Social Justice Report 2007</w:t>
      </w:r>
      <w:r>
        <w:t xml:space="preserve">, Human Rights and Equal Opportunity Commission (2008), ch 3. At </w:t>
      </w:r>
      <w:hyperlink r:id="rId49" w:history="1">
        <w:r>
          <w:rPr>
            <w:rStyle w:val="Hyperlink1"/>
          </w:rPr>
          <w:t>http://www.humanrights.gov.au/social_justice/sj_report/sjreport07/index.html</w:t>
        </w:r>
      </w:hyperlink>
      <w:r>
        <w:t xml:space="preserve"> (viewed 19 January 2012). </w:t>
      </w:r>
    </w:p>
    <w:p w14:paraId="36483206" w14:textId="450B5B12" w:rsidR="00643212" w:rsidRDefault="00643212" w:rsidP="00F12219">
      <w:pPr>
        <w:pStyle w:val="EndnoteText1"/>
      </w:pPr>
      <w:r>
        <w:t xml:space="preserve">Significantly, the Special Rapporteur on the rights of indigenous peoples (Special Rapporteur) did not accept that the discriminatory aspects of the original NTER measures had not been shown to qualify as special measures. He observed that the Australian Government did not engage in adequate consultation before the measures were enacted. Further the Special Rapporteur considered that the measures were not proportional or necessary to the stated objectives of the NTER: J Anaya, Report of the Special Rapporteur on the situation of human rights and fundamental freedoms of indigenous people, James Anaya: Addendum: Situation of indigenous peoples in Australia, Report to the Human Rights Council, 15th session, UN Doc A/HRC/15/37/Add.4 (2010), Appendix B, paras 20–23. At </w:t>
      </w:r>
      <w:hyperlink r:id="rId50" w:history="1">
        <w:r w:rsidRPr="002C517A">
          <w:rPr>
            <w:rStyle w:val="Hyperlink"/>
          </w:rPr>
          <w:t>http://www2.ohchr.org/english/bodies/hrcouncil/15session/reports.htm</w:t>
        </w:r>
      </w:hyperlink>
      <w:r>
        <w:t xml:space="preserve">  (viewed 18 January 2012).</w:t>
      </w:r>
    </w:p>
    <w:p w14:paraId="0AB3E47A" w14:textId="77777777" w:rsidR="00643212" w:rsidRDefault="00643212" w:rsidP="00F12219">
      <w:pPr>
        <w:pStyle w:val="EndnoteText1"/>
        <w:rPr>
          <w:rFonts w:ascii="Times New Roman" w:eastAsia="Times New Roman" w:hAnsi="Times New Roman"/>
          <w:color w:val="auto"/>
          <w:lang w:eastAsia="en-AU" w:bidi="x-none"/>
        </w:rPr>
      </w:pPr>
      <w:r>
        <w:t xml:space="preserve">Similarly, the CERD Committee in August 2010 expressed its concern that the NTER legislation discriminated ‘on the basis of race including through the use of so-called “special measures” by the State party.’ The CERD Committee further regretted ‘the discriminatory impact this intervention has had on affected communities, including restrictions on Aboriginal rights to land, property, social security, adequate standards of living, cultural development, work and remedies.’: Committee on the Elimination of Racial Discrimination, Concluding observations of the Committee on the Elimination of Racial Discrimination: Australia, CERD/C/AUS/CO/15-17, 13 September 2010. At </w:t>
      </w:r>
      <w:hyperlink r:id="rId51" w:history="1">
        <w:r>
          <w:rPr>
            <w:rStyle w:val="Hyperlink1"/>
          </w:rPr>
          <w:t>http://daccess-dds-ny.un.org/doc/UNDOC/GEN/G10/449/00/PDF/G1044900.pdf?OpenElement</w:t>
        </w:r>
      </w:hyperlink>
      <w:r>
        <w:t xml:space="preserve"> (viewed 19 January 2012).</w:t>
      </w:r>
    </w:p>
  </w:endnote>
  <w:endnote w:id="55">
    <w:p w14:paraId="3250DD0F"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rFonts w:ascii="Arial Italic" w:hAnsi="Arial Italic"/>
        </w:rPr>
        <w:t xml:space="preserve">Social Security and Other Legislation Amendment (Welfare Reform and Reinstatement of Racial Discrimination Act) Act 2010 </w:t>
      </w:r>
      <w:r>
        <w:t>(Cth), sch 1, items 1–3. This also repealed the sections exempting the operation of the Northern Territory’s anti-discrimination laws.</w:t>
      </w:r>
    </w:p>
  </w:endnote>
  <w:endnote w:id="56">
    <w:p w14:paraId="633D5FE4"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Those purposes were: alcohol restrictions, five-year leases, community store licensing and prohibited material restrictions. Similar object clauses were not proposed for controls on use of publicly funded computers, law enforcement powers or business management areas powers. However, the Government indicated that it considered these additional three measures to be ‘special measures’ for the purposes of the RDA.</w:t>
      </w:r>
    </w:p>
  </w:endnote>
  <w:endnote w:id="57">
    <w:p w14:paraId="449486B1" w14:textId="77777777" w:rsidR="00643212" w:rsidRDefault="00643212" w:rsidP="00F12219">
      <w:pPr>
        <w:pStyle w:val="CommentText1"/>
        <w:spacing w:before="0" w:after="0"/>
        <w:rPr>
          <w:rFonts w:ascii="Times New Roman" w:eastAsia="Times New Roman" w:hAnsi="Times New Roman"/>
          <w:color w:val="auto"/>
          <w:lang w:eastAsia="en-AU" w:bidi="x-none"/>
        </w:rPr>
      </w:pPr>
      <w:r>
        <w:rPr>
          <w:rStyle w:val="EndnoteReference1"/>
        </w:rPr>
        <w:endnoteRef/>
      </w:r>
      <w:r>
        <w:t xml:space="preserve"> </w:t>
      </w:r>
      <w:r w:rsidRPr="00E42490">
        <w:rPr>
          <w:rFonts w:cs="Arial"/>
        </w:rPr>
        <w:t xml:space="preserve">Australian Human Rights Commission, </w:t>
      </w:r>
      <w:r w:rsidRPr="00DE2DE9">
        <w:rPr>
          <w:rFonts w:cs="Arial"/>
          <w:i/>
        </w:rPr>
        <w:t>The Suspension and Reinstatement of the RDA and Special Measures in the NTER</w:t>
      </w:r>
      <w:r>
        <w:rPr>
          <w:rFonts w:cs="Arial"/>
        </w:rPr>
        <w:t xml:space="preserve"> </w:t>
      </w:r>
      <w:r w:rsidRPr="00FB6588">
        <w:rPr>
          <w:rFonts w:cs="Arial"/>
        </w:rPr>
        <w:t xml:space="preserve"> </w:t>
      </w:r>
      <w:r>
        <w:rPr>
          <w:rFonts w:cs="Arial"/>
        </w:rPr>
        <w:t>(</w:t>
      </w:r>
      <w:r w:rsidRPr="00FB6588">
        <w:rPr>
          <w:rFonts w:cs="Arial"/>
        </w:rPr>
        <w:t>2011</w:t>
      </w:r>
      <w:r>
        <w:rPr>
          <w:rFonts w:cs="Arial"/>
        </w:rPr>
        <w:t>)</w:t>
      </w:r>
      <w:r w:rsidRPr="00E42490">
        <w:rPr>
          <w:rFonts w:cs="Arial"/>
        </w:rPr>
        <w:t xml:space="preserve">. At </w:t>
      </w:r>
      <w:hyperlink r:id="rId52" w:history="1">
        <w:r w:rsidRPr="00E42490">
          <w:rPr>
            <w:rStyle w:val="Hyperlink"/>
            <w:rFonts w:eastAsia="MS Mincho" w:cs="Arial"/>
          </w:rPr>
          <w:t>http://www.humanrights.gov.au/racial_discrimination/publications/rda-nter/1.html#</w:t>
        </w:r>
      </w:hyperlink>
      <w:r w:rsidRPr="00E42490">
        <w:rPr>
          <w:rFonts w:cs="Arial"/>
        </w:rPr>
        <w:t xml:space="preserve"> (viewed 18 January 2012).</w:t>
      </w:r>
    </w:p>
  </w:endnote>
  <w:endnote w:id="58">
    <w:p w14:paraId="11001E7A"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Commonwealth, </w:t>
      </w:r>
      <w:r>
        <w:rPr>
          <w:i/>
        </w:rPr>
        <w:t xml:space="preserve">Parliamentary Debates, </w:t>
      </w:r>
      <w:r>
        <w:t xml:space="preserve">House of Representatives, 23 November 2011, (The Hon Jenny Macklin MP, Minister for Families, Housing, Community Services and Indigenous Affairs). At </w:t>
      </w:r>
      <w:hyperlink r:id="rId53" w:history="1">
        <w:r w:rsidRPr="00712658">
          <w:rPr>
            <w:rStyle w:val="Hyperlink"/>
          </w:rPr>
          <w:t>http://parlinfo.aph.gov.au/parlInfo/genpdf/chamber/hansardr/14965034-cdb8-4a26-98aa-26c862a1cd0e/0030/hansard_frag.pdf;fileType=application%2Fpdf</w:t>
        </w:r>
      </w:hyperlink>
      <w:r>
        <w:t xml:space="preserve"> (viewed 18 January 2012).</w:t>
      </w:r>
    </w:p>
  </w:endnote>
  <w:endnote w:id="59">
    <w:p w14:paraId="4C9DF08E" w14:textId="5FB1A664"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See Explanatory Memorandum, Stronger Futures in the Northern Territory Bill 2011 (Cth), pp 1-3, 20, 29. At </w:t>
      </w:r>
      <w:hyperlink r:id="rId54" w:history="1">
        <w:r w:rsidRPr="00836AB3">
          <w:rPr>
            <w:rStyle w:val="Hyperlink"/>
          </w:rPr>
          <w:t>http://parlinfo.aph.gov.au/parlInfo/download/legislation/ems/r4736_ems_f6c14ab7-6aa9-49f1-b604-2e4503a32f6d/upload_pdf/362725.pdf;fileType=application%2Fpdf</w:t>
        </w:r>
      </w:hyperlink>
      <w:r>
        <w:t xml:space="preserve"> (viewed 18 January 2012);  Explanatory Memorandum, </w:t>
      </w:r>
      <w:r w:rsidRPr="00901A26">
        <w:t>Stronger Futures in the Northern Territory (Consequential and Transitional Provisions) Bill 2011</w:t>
      </w:r>
      <w:r>
        <w:t xml:space="preserve"> (Cth), pp 12, 15. At </w:t>
      </w:r>
      <w:hyperlink r:id="rId55" w:history="1">
        <w:r w:rsidRPr="00836AB3">
          <w:rPr>
            <w:rStyle w:val="Hyperlink"/>
          </w:rPr>
          <w:t>http://parlinfo.aph.gov.au/parlInfo/download/legislation/ems/r4737_ems_f57fea5a-ccc3-43f0-948f-7e5f90788943/upload_pdf/362724.pdf;fileType=application%2Fpdf</w:t>
        </w:r>
      </w:hyperlink>
      <w:r>
        <w:t xml:space="preserve"> (viewed 18 January 2012).</w:t>
      </w:r>
    </w:p>
  </w:endnote>
  <w:endnote w:id="60">
    <w:p w14:paraId="6222674D" w14:textId="4F7BE3A9"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Human Rights Commission, </w:t>
      </w:r>
      <w:r>
        <w:rPr>
          <w:rFonts w:ascii="Arial Italic" w:hAnsi="Arial Italic"/>
        </w:rPr>
        <w:t>Submission to the Senate Community Affairs Committee</w:t>
      </w:r>
      <w:r>
        <w:t xml:space="preserve"> </w:t>
      </w:r>
      <w:r>
        <w:rPr>
          <w:rFonts w:ascii="Arial Italic" w:hAnsi="Arial Italic"/>
        </w:rPr>
        <w:t>Inquiry into the Welfare Reform and Reinstatement of Racial Discrimination Act Bill 2009 and other Bills</w:t>
      </w:r>
      <w:r>
        <w:t xml:space="preserve"> (10 February 2010), </w:t>
      </w:r>
      <w:proofErr w:type="spellStart"/>
      <w:r>
        <w:t>para</w:t>
      </w:r>
      <w:proofErr w:type="spellEnd"/>
      <w:r>
        <w:t xml:space="preserve"> 90. </w:t>
      </w:r>
    </w:p>
  </w:endnote>
  <w:endnote w:id="61">
    <w:p w14:paraId="5CE1EE81"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rFonts w:ascii="Arial Italic" w:hAnsi="Arial Italic"/>
        </w:rPr>
        <w:t>International Covenant on Economic, Social and Cultural Rights</w:t>
      </w:r>
      <w:r>
        <w:t xml:space="preserve">, 1966, arts 2, 3. </w:t>
      </w:r>
    </w:p>
  </w:endnote>
  <w:endnote w:id="62">
    <w:p w14:paraId="6287BC87" w14:textId="77777777" w:rsidR="00643212" w:rsidRPr="00D13F16" w:rsidRDefault="00643212" w:rsidP="00F12219">
      <w:pPr>
        <w:pStyle w:val="EndnoteText1"/>
        <w:rPr>
          <w:rFonts w:eastAsia="Times New Roman" w:cs="Arial"/>
          <w:color w:val="auto"/>
          <w:lang w:eastAsia="en-AU" w:bidi="x-none"/>
        </w:rPr>
      </w:pPr>
      <w:r>
        <w:rPr>
          <w:rStyle w:val="EndnoteReference1"/>
        </w:rPr>
        <w:endnoteRef/>
      </w:r>
      <w:r>
        <w:t xml:space="preserve"> </w:t>
      </w:r>
      <w:r w:rsidRPr="00D13F16">
        <w:rPr>
          <w:rFonts w:cs="Arial"/>
        </w:rPr>
        <w:t xml:space="preserve">For further information see T Calma, Aboriginal and Torres Strait Islander Social Justice Commissioner, </w:t>
      </w:r>
      <w:r w:rsidRPr="00535410">
        <w:rPr>
          <w:rFonts w:cs="Arial"/>
          <w:i/>
        </w:rPr>
        <w:t>Social Justice Report 2007</w:t>
      </w:r>
      <w:r w:rsidRPr="00D13F16">
        <w:rPr>
          <w:rFonts w:cs="Arial"/>
        </w:rPr>
        <w:t>, Human Rights and Equal Opportunity Commission (2008), pp 271-277</w:t>
      </w:r>
      <w:r>
        <w:rPr>
          <w:rFonts w:cs="Arial"/>
        </w:rPr>
        <w:t>.</w:t>
      </w:r>
      <w:r w:rsidRPr="00D13F16">
        <w:rPr>
          <w:rFonts w:cs="Arial"/>
        </w:rPr>
        <w:t xml:space="preserve"> At </w:t>
      </w:r>
      <w:hyperlink r:id="rId56" w:history="1">
        <w:r w:rsidRPr="00D13F16">
          <w:rPr>
            <w:rStyle w:val="Hyperlink1"/>
            <w:rFonts w:cs="Arial"/>
          </w:rPr>
          <w:t>http://www.hreoc.gov.au/social_justice/sj_report/sjreport07/chap3.html#part3</w:t>
        </w:r>
      </w:hyperlink>
      <w:r w:rsidRPr="00D13F16">
        <w:rPr>
          <w:rFonts w:cs="Arial"/>
        </w:rPr>
        <w:t xml:space="preserve"> (viewed 25 January 2012).</w:t>
      </w:r>
    </w:p>
  </w:endnote>
  <w:endnote w:id="63">
    <w:p w14:paraId="0C5875F1" w14:textId="77777777" w:rsidR="00643212" w:rsidRPr="00D13F16" w:rsidRDefault="00643212" w:rsidP="00A13942">
      <w:pPr>
        <w:pStyle w:val="NoSpacing"/>
        <w:rPr>
          <w:rFonts w:eastAsia="Times New Roman" w:cs="Arial"/>
          <w:sz w:val="20"/>
          <w:szCs w:val="20"/>
          <w:lang w:bidi="x-none"/>
        </w:rPr>
      </w:pPr>
      <w:r w:rsidRPr="00D13F16">
        <w:rPr>
          <w:rStyle w:val="EndnoteReference1"/>
          <w:rFonts w:cs="Arial"/>
          <w:szCs w:val="20"/>
        </w:rPr>
        <w:endnoteRef/>
      </w:r>
      <w:r w:rsidRPr="00D13F16">
        <w:rPr>
          <w:rFonts w:cs="Arial"/>
          <w:sz w:val="20"/>
          <w:szCs w:val="20"/>
        </w:rPr>
        <w:t xml:space="preserve"> </w:t>
      </w:r>
      <w:r w:rsidRPr="000D7519">
        <w:rPr>
          <w:rFonts w:cs="Arial"/>
          <w:sz w:val="20"/>
          <w:szCs w:val="20"/>
        </w:rPr>
        <w:t>Department of Families, Housing, Community Services and Indigenous Affairs</w:t>
      </w:r>
      <w:r w:rsidRPr="00D13F16">
        <w:rPr>
          <w:rFonts w:cs="Arial"/>
          <w:sz w:val="20"/>
          <w:szCs w:val="20"/>
        </w:rPr>
        <w:t xml:space="preserve">, </w:t>
      </w:r>
      <w:r w:rsidRPr="000D7519">
        <w:rPr>
          <w:rFonts w:cs="Arial"/>
          <w:i/>
          <w:sz w:val="20"/>
          <w:szCs w:val="20"/>
        </w:rPr>
        <w:t>Policy Statement: Landmark Reform to the Welfare System, Reinstatement of the Racial Discrimination Act and Strengthening of the Northern Territory Emergency Response</w:t>
      </w:r>
      <w:r w:rsidRPr="00D13F16">
        <w:rPr>
          <w:rFonts w:cs="Arial"/>
          <w:sz w:val="20"/>
          <w:szCs w:val="20"/>
        </w:rPr>
        <w:t xml:space="preserve"> (2009), p 6. At </w:t>
      </w:r>
      <w:hyperlink r:id="rId57" w:history="1">
        <w:r w:rsidRPr="00D13F16">
          <w:rPr>
            <w:rStyle w:val="Hyperlink1"/>
            <w:rFonts w:cs="Arial"/>
            <w:szCs w:val="20"/>
          </w:rPr>
          <w:t>http://www.facsia.gov.au/sa/indigenous/pubs/nter_reports/policy_statement_nter/Documents/landmark_reform_welfare_system.pdf</w:t>
        </w:r>
      </w:hyperlink>
      <w:r w:rsidRPr="00D13F16">
        <w:rPr>
          <w:rFonts w:cs="Arial"/>
          <w:sz w:val="20"/>
          <w:szCs w:val="20"/>
        </w:rPr>
        <w:t xml:space="preserve"> (viewed 4 February 2010).</w:t>
      </w:r>
    </w:p>
  </w:endnote>
  <w:endnote w:id="64">
    <w:p w14:paraId="38B14B6F" w14:textId="77777777" w:rsidR="00643212" w:rsidRPr="00D13F16" w:rsidRDefault="00643212" w:rsidP="00A13942">
      <w:pPr>
        <w:pStyle w:val="NoSpacing"/>
        <w:rPr>
          <w:rFonts w:cs="Arial"/>
          <w:sz w:val="20"/>
          <w:szCs w:val="20"/>
        </w:rPr>
      </w:pPr>
      <w:r w:rsidRPr="00D13F16">
        <w:rPr>
          <w:rStyle w:val="EndnoteReference1"/>
          <w:rFonts w:cs="Arial"/>
          <w:szCs w:val="20"/>
        </w:rPr>
        <w:endnoteRef/>
      </w:r>
      <w:r w:rsidRPr="00D13F16">
        <w:rPr>
          <w:rFonts w:cs="Arial"/>
          <w:sz w:val="20"/>
          <w:szCs w:val="20"/>
        </w:rPr>
        <w:t xml:space="preserve"> T Calma, Aboriginal and Torres Strait Islander Commissioner, </w:t>
      </w:r>
      <w:r w:rsidRPr="00535410">
        <w:rPr>
          <w:rFonts w:cs="Arial"/>
          <w:i/>
          <w:sz w:val="20"/>
          <w:szCs w:val="20"/>
        </w:rPr>
        <w:t>Social Justice Report 2007</w:t>
      </w:r>
      <w:r w:rsidRPr="00D13F16">
        <w:rPr>
          <w:rFonts w:cs="Arial"/>
          <w:sz w:val="20"/>
          <w:szCs w:val="20"/>
        </w:rPr>
        <w:t xml:space="preserve">, Human Rights and Equal Opportunity Commission (2008), pp 251-256, 268-280. At </w:t>
      </w:r>
      <w:hyperlink r:id="rId58" w:history="1">
        <w:r w:rsidRPr="00D13F16">
          <w:rPr>
            <w:rStyle w:val="Hyperlink1"/>
            <w:rFonts w:cs="Arial"/>
            <w:szCs w:val="20"/>
          </w:rPr>
          <w:t>http://www.humanrights.gov.au/social_justice/sj_report/sjreport07/index.html</w:t>
        </w:r>
      </w:hyperlink>
      <w:r w:rsidRPr="00D13F16">
        <w:rPr>
          <w:rFonts w:cs="Arial"/>
          <w:sz w:val="20"/>
          <w:szCs w:val="20"/>
        </w:rPr>
        <w:t xml:space="preserve"> (viewed 11 January 2012).</w:t>
      </w:r>
    </w:p>
  </w:endnote>
  <w:endnote w:id="65">
    <w:p w14:paraId="04A7B399" w14:textId="77777777" w:rsidR="00643212" w:rsidRPr="00D13F16" w:rsidRDefault="00643212" w:rsidP="00A13942">
      <w:pPr>
        <w:pStyle w:val="NoSpacing"/>
        <w:rPr>
          <w:rFonts w:cs="Arial"/>
          <w:sz w:val="20"/>
          <w:szCs w:val="20"/>
        </w:rPr>
      </w:pPr>
      <w:r w:rsidRPr="00D13F16">
        <w:rPr>
          <w:rStyle w:val="EndnoteReference1"/>
          <w:rFonts w:cs="Arial"/>
          <w:szCs w:val="20"/>
        </w:rPr>
        <w:endnoteRef/>
      </w:r>
      <w:r w:rsidRPr="00D13F16">
        <w:rPr>
          <w:rFonts w:cs="Arial"/>
          <w:sz w:val="20"/>
          <w:szCs w:val="20"/>
        </w:rPr>
        <w:t xml:space="preserve"> </w:t>
      </w:r>
      <w:r w:rsidRPr="00535410">
        <w:rPr>
          <w:rFonts w:cs="Arial"/>
          <w:i/>
          <w:sz w:val="20"/>
          <w:szCs w:val="20"/>
        </w:rPr>
        <w:t>Social Security (Administration) Act 1999</w:t>
      </w:r>
      <w:r w:rsidRPr="00D13F16">
        <w:rPr>
          <w:rFonts w:cs="Arial"/>
          <w:sz w:val="20"/>
          <w:szCs w:val="20"/>
        </w:rPr>
        <w:t xml:space="preserve"> (Cth), s 123TA.</w:t>
      </w:r>
    </w:p>
  </w:endnote>
  <w:endnote w:id="66">
    <w:p w14:paraId="30A1B8FE" w14:textId="77777777" w:rsidR="00643212" w:rsidRPr="00D13F16" w:rsidRDefault="00643212" w:rsidP="00A13942">
      <w:pPr>
        <w:pStyle w:val="NoSpacing"/>
        <w:rPr>
          <w:rFonts w:cs="Arial"/>
          <w:sz w:val="20"/>
          <w:szCs w:val="20"/>
        </w:rPr>
      </w:pPr>
      <w:r w:rsidRPr="00D13F16">
        <w:rPr>
          <w:rStyle w:val="EndnoteReference1"/>
          <w:rFonts w:cs="Arial"/>
          <w:szCs w:val="20"/>
        </w:rPr>
        <w:endnoteRef/>
      </w:r>
      <w:r w:rsidRPr="00D13F16">
        <w:rPr>
          <w:rFonts w:cs="Arial"/>
          <w:sz w:val="20"/>
          <w:szCs w:val="20"/>
        </w:rPr>
        <w:t xml:space="preserve"> </w:t>
      </w:r>
      <w:r w:rsidRPr="00535410">
        <w:rPr>
          <w:rFonts w:cs="Arial"/>
          <w:i/>
          <w:sz w:val="20"/>
          <w:szCs w:val="20"/>
        </w:rPr>
        <w:t>Social Security (Administration) Act 1999</w:t>
      </w:r>
      <w:r w:rsidRPr="00D13F16">
        <w:rPr>
          <w:rFonts w:cs="Arial"/>
          <w:sz w:val="20"/>
          <w:szCs w:val="20"/>
        </w:rPr>
        <w:t xml:space="preserve"> (Cth), ss 123UGB,123UGC, 123UGD.</w:t>
      </w:r>
    </w:p>
  </w:endnote>
  <w:endnote w:id="67">
    <w:p w14:paraId="4742BBE5" w14:textId="77777777" w:rsidR="00643212" w:rsidRPr="00D13F16" w:rsidRDefault="00643212" w:rsidP="00A13942">
      <w:pPr>
        <w:pStyle w:val="NoSpacing"/>
        <w:rPr>
          <w:rFonts w:cs="Arial"/>
          <w:sz w:val="20"/>
          <w:szCs w:val="20"/>
        </w:rPr>
      </w:pPr>
      <w:r w:rsidRPr="00D13F16">
        <w:rPr>
          <w:rStyle w:val="EndnoteReference1"/>
          <w:rFonts w:cs="Arial"/>
          <w:szCs w:val="20"/>
        </w:rPr>
        <w:endnoteRef/>
      </w:r>
      <w:r w:rsidRPr="00D13F16">
        <w:rPr>
          <w:rFonts w:cs="Arial"/>
          <w:sz w:val="20"/>
          <w:szCs w:val="20"/>
        </w:rPr>
        <w:t xml:space="preserve"> Australian Human Rights Commission</w:t>
      </w:r>
      <w:r w:rsidRPr="00305181">
        <w:rPr>
          <w:rFonts w:cs="Arial"/>
          <w:i/>
          <w:sz w:val="20"/>
          <w:szCs w:val="20"/>
        </w:rPr>
        <w:t>, Submission to the Senate Community Affairs Committee Inquiry into the Welfare Reform and Reinstatement of Racial Discrimination Act Bill 2009 and other Bills</w:t>
      </w:r>
      <w:r w:rsidRPr="00D13F16">
        <w:rPr>
          <w:rFonts w:cs="Arial"/>
          <w:sz w:val="20"/>
          <w:szCs w:val="20"/>
        </w:rPr>
        <w:t>, (10 February 2010), paras 71-120.</w:t>
      </w:r>
    </w:p>
  </w:endnote>
  <w:endnote w:id="68">
    <w:p w14:paraId="662F0EF0" w14:textId="77777777" w:rsidR="00643212" w:rsidRPr="00D13F16" w:rsidRDefault="00643212" w:rsidP="00A13942">
      <w:pPr>
        <w:pStyle w:val="NoSpacing"/>
        <w:rPr>
          <w:rFonts w:eastAsia="Times New Roman" w:cs="Arial"/>
          <w:sz w:val="20"/>
          <w:szCs w:val="20"/>
          <w:lang w:bidi="x-none"/>
        </w:rPr>
      </w:pPr>
      <w:r w:rsidRPr="00D13F16">
        <w:rPr>
          <w:rStyle w:val="EndnoteReference1"/>
          <w:rFonts w:cs="Arial"/>
          <w:szCs w:val="20"/>
        </w:rPr>
        <w:endnoteRef/>
      </w:r>
      <w:r w:rsidRPr="00D13F16">
        <w:rPr>
          <w:rFonts w:cs="Arial"/>
          <w:sz w:val="20"/>
          <w:szCs w:val="20"/>
        </w:rPr>
        <w:t xml:space="preserve"> Social Security Legislation Amendment Bill 2011 (Cth), Part 1, Items 6, 10.</w:t>
      </w:r>
    </w:p>
  </w:endnote>
  <w:endnote w:id="69">
    <w:p w14:paraId="365D09B8" w14:textId="77777777" w:rsidR="00643212" w:rsidRPr="00D13F16" w:rsidRDefault="00643212" w:rsidP="00A13942">
      <w:pPr>
        <w:pStyle w:val="NoSpacing"/>
        <w:rPr>
          <w:rFonts w:eastAsia="Times New Roman" w:cs="Arial"/>
          <w:sz w:val="20"/>
          <w:szCs w:val="20"/>
          <w:lang w:bidi="x-none"/>
        </w:rPr>
      </w:pPr>
      <w:r w:rsidRPr="00D13F16">
        <w:rPr>
          <w:rStyle w:val="EndnoteReference1"/>
          <w:rFonts w:cs="Arial"/>
          <w:szCs w:val="20"/>
        </w:rPr>
        <w:endnoteRef/>
      </w:r>
      <w:r w:rsidRPr="00D13F16">
        <w:rPr>
          <w:rFonts w:cs="Arial"/>
          <w:sz w:val="20"/>
          <w:szCs w:val="20"/>
        </w:rPr>
        <w:t xml:space="preserve"> Social Security Legislation Amendment Bill 2011 (Cth), Schedule 1.</w:t>
      </w:r>
    </w:p>
  </w:endnote>
  <w:endnote w:id="70">
    <w:p w14:paraId="2A4AAD57" w14:textId="77777777" w:rsidR="00643212" w:rsidRPr="00D13F16" w:rsidRDefault="00643212" w:rsidP="00A13942">
      <w:pPr>
        <w:pStyle w:val="NoSpacing"/>
        <w:rPr>
          <w:rFonts w:eastAsia="Times New Roman" w:cs="Arial"/>
          <w:sz w:val="20"/>
          <w:szCs w:val="20"/>
          <w:lang w:bidi="x-none"/>
        </w:rPr>
      </w:pPr>
      <w:r w:rsidRPr="00D13F16">
        <w:rPr>
          <w:rStyle w:val="EndnoteReference1"/>
          <w:rFonts w:cs="Arial"/>
          <w:szCs w:val="20"/>
        </w:rPr>
        <w:endnoteRef/>
      </w:r>
      <w:r w:rsidRPr="00D13F16">
        <w:rPr>
          <w:rFonts w:cs="Arial"/>
          <w:sz w:val="20"/>
          <w:szCs w:val="20"/>
        </w:rPr>
        <w:t xml:space="preserve"> Social Security Legislation Amendment Bill 2011 (Cth</w:t>
      </w:r>
      <w:r>
        <w:rPr>
          <w:rFonts w:cs="Arial"/>
          <w:sz w:val="20"/>
          <w:szCs w:val="20"/>
        </w:rPr>
        <w:t>)</w:t>
      </w:r>
      <w:r w:rsidRPr="00D13F16">
        <w:rPr>
          <w:rFonts w:cs="Arial"/>
          <w:sz w:val="20"/>
          <w:szCs w:val="20"/>
        </w:rPr>
        <w:t xml:space="preserve"> Part 2.</w:t>
      </w:r>
    </w:p>
  </w:endnote>
  <w:endnote w:id="71">
    <w:p w14:paraId="0DE89FC0" w14:textId="77777777" w:rsidR="00643212" w:rsidRPr="00D13F16" w:rsidRDefault="00643212" w:rsidP="00A13942">
      <w:pPr>
        <w:pStyle w:val="NoSpacing"/>
        <w:rPr>
          <w:rFonts w:eastAsia="Times New Roman" w:cs="Arial"/>
          <w:sz w:val="20"/>
          <w:szCs w:val="20"/>
          <w:lang w:bidi="x-none"/>
        </w:rPr>
      </w:pPr>
      <w:r w:rsidRPr="00D13F16">
        <w:rPr>
          <w:rStyle w:val="EndnoteReference1"/>
          <w:rFonts w:cs="Arial"/>
          <w:szCs w:val="20"/>
        </w:rPr>
        <w:endnoteRef/>
      </w:r>
      <w:r w:rsidRPr="00D13F16">
        <w:rPr>
          <w:rFonts w:cs="Arial"/>
          <w:sz w:val="20"/>
          <w:szCs w:val="20"/>
        </w:rPr>
        <w:t xml:space="preserve"> Social Security Legislation Amendment Bill 2011 (Cth</w:t>
      </w:r>
      <w:r>
        <w:rPr>
          <w:rFonts w:cs="Arial"/>
          <w:sz w:val="20"/>
          <w:szCs w:val="20"/>
        </w:rPr>
        <w:t>)</w:t>
      </w:r>
      <w:r w:rsidRPr="00D13F16">
        <w:rPr>
          <w:rFonts w:cs="Arial"/>
          <w:sz w:val="20"/>
          <w:szCs w:val="20"/>
        </w:rPr>
        <w:t xml:space="preserve"> Part 2.</w:t>
      </w:r>
    </w:p>
  </w:endnote>
  <w:endnote w:id="72">
    <w:p w14:paraId="3045449E" w14:textId="77777777" w:rsidR="00643212" w:rsidRPr="00D13F16" w:rsidRDefault="00643212" w:rsidP="00A13942">
      <w:pPr>
        <w:pStyle w:val="NoSpacing"/>
        <w:rPr>
          <w:rFonts w:eastAsia="Times New Roman" w:cs="Arial"/>
          <w:sz w:val="20"/>
          <w:szCs w:val="20"/>
          <w:lang w:bidi="x-none"/>
        </w:rPr>
      </w:pPr>
      <w:r w:rsidRPr="00D13F16">
        <w:rPr>
          <w:rStyle w:val="EndnoteReference1"/>
          <w:rFonts w:cs="Arial"/>
          <w:szCs w:val="20"/>
        </w:rPr>
        <w:endnoteRef/>
      </w:r>
      <w:r w:rsidRPr="00D13F16">
        <w:rPr>
          <w:rFonts w:cs="Arial"/>
          <w:sz w:val="20"/>
          <w:szCs w:val="20"/>
        </w:rPr>
        <w:t xml:space="preserve"> Social Security Legislation Amendment Bill 2011 (Cth), Schedule 1.</w:t>
      </w:r>
    </w:p>
  </w:endnote>
  <w:endnote w:id="73">
    <w:p w14:paraId="6C664041" w14:textId="77777777" w:rsidR="00643212" w:rsidRPr="00D13F16" w:rsidRDefault="00643212" w:rsidP="00F12219">
      <w:pPr>
        <w:pStyle w:val="EndnoteText1"/>
        <w:rPr>
          <w:rFonts w:eastAsia="Times New Roman" w:cs="Arial"/>
          <w:color w:val="auto"/>
          <w:lang w:eastAsia="en-AU" w:bidi="x-none"/>
        </w:rPr>
      </w:pPr>
      <w:r w:rsidRPr="00D13F16">
        <w:rPr>
          <w:rStyle w:val="EndnoteReference1"/>
          <w:rFonts w:cs="Arial"/>
        </w:rPr>
        <w:endnoteRef/>
      </w:r>
      <w:r w:rsidRPr="00D13F16">
        <w:rPr>
          <w:rFonts w:cs="Arial"/>
        </w:rPr>
        <w:t xml:space="preserve"> Consultation in these circumstances is not mandatory under the </w:t>
      </w:r>
      <w:r w:rsidRPr="00467803">
        <w:rPr>
          <w:rFonts w:cs="Arial"/>
          <w:i/>
        </w:rPr>
        <w:t>Legislative Instruments Act 2003</w:t>
      </w:r>
      <w:r>
        <w:rPr>
          <w:rFonts w:cs="Arial"/>
        </w:rPr>
        <w:t xml:space="preserve"> (Cth), s 17- </w:t>
      </w:r>
      <w:r w:rsidRPr="00D13F16">
        <w:rPr>
          <w:rFonts w:cs="Arial"/>
        </w:rPr>
        <w:t xml:space="preserve">19. </w:t>
      </w:r>
    </w:p>
  </w:endnote>
  <w:endnote w:id="74">
    <w:p w14:paraId="29BBFC2B" w14:textId="6A2AE9AE" w:rsidR="00643212" w:rsidRPr="00D13F16" w:rsidRDefault="00643212" w:rsidP="00F12219">
      <w:pPr>
        <w:pStyle w:val="EndnoteText1"/>
        <w:rPr>
          <w:rFonts w:eastAsia="Times New Roman" w:cs="Arial"/>
          <w:color w:val="auto"/>
          <w:lang w:eastAsia="en-AU" w:bidi="x-none"/>
        </w:rPr>
      </w:pPr>
      <w:r w:rsidRPr="00D13F16">
        <w:rPr>
          <w:rStyle w:val="EndnoteReference1"/>
          <w:rFonts w:cs="Arial"/>
        </w:rPr>
        <w:endnoteRef/>
      </w:r>
      <w:r w:rsidRPr="00D13F16">
        <w:rPr>
          <w:rFonts w:cs="Arial"/>
        </w:rPr>
        <w:t xml:space="preserve"> See item 19 of the S</w:t>
      </w:r>
      <w:r>
        <w:rPr>
          <w:rFonts w:cs="Arial"/>
        </w:rPr>
        <w:t xml:space="preserve">ocial </w:t>
      </w:r>
      <w:r w:rsidRPr="00D13F16">
        <w:rPr>
          <w:rFonts w:cs="Arial"/>
        </w:rPr>
        <w:t>S</w:t>
      </w:r>
      <w:r>
        <w:rPr>
          <w:rFonts w:cs="Arial"/>
        </w:rPr>
        <w:t xml:space="preserve">ecurity Legislation Amendment </w:t>
      </w:r>
      <w:r w:rsidRPr="00D13F16">
        <w:rPr>
          <w:rFonts w:cs="Arial"/>
        </w:rPr>
        <w:t>Bill</w:t>
      </w:r>
      <w:r>
        <w:rPr>
          <w:rFonts w:cs="Arial"/>
        </w:rPr>
        <w:t xml:space="preserve"> 2011 (Cth) </w:t>
      </w:r>
      <w:r w:rsidRPr="00D13F16">
        <w:rPr>
          <w:rFonts w:cs="Arial"/>
        </w:rPr>
        <w:t xml:space="preserve">as well as proposed </w:t>
      </w:r>
      <w:proofErr w:type="spellStart"/>
      <w:r w:rsidRPr="00D13F16">
        <w:rPr>
          <w:rFonts w:cs="Arial"/>
        </w:rPr>
        <w:t>s</w:t>
      </w:r>
      <w:r>
        <w:rPr>
          <w:rFonts w:cs="Arial"/>
        </w:rPr>
        <w:t>s</w:t>
      </w:r>
      <w:proofErr w:type="spellEnd"/>
      <w:r>
        <w:rPr>
          <w:rFonts w:cs="Arial"/>
        </w:rPr>
        <w:t> </w:t>
      </w:r>
      <w:proofErr w:type="gramStart"/>
      <w:r w:rsidRPr="00D13F16">
        <w:rPr>
          <w:rFonts w:cs="Arial"/>
        </w:rPr>
        <w:t>123UCA(</w:t>
      </w:r>
      <w:proofErr w:type="gramEnd"/>
      <w:r w:rsidRPr="00D13F16">
        <w:rPr>
          <w:rFonts w:cs="Arial"/>
        </w:rPr>
        <w:t>3), 12</w:t>
      </w:r>
      <w:r>
        <w:rPr>
          <w:rFonts w:cs="Arial"/>
        </w:rPr>
        <w:t xml:space="preserve">3UCC(4) and </w:t>
      </w:r>
      <w:r w:rsidRPr="00D13F16">
        <w:rPr>
          <w:rFonts w:cs="Arial"/>
        </w:rPr>
        <w:t>123UCB(4).</w:t>
      </w:r>
    </w:p>
  </w:endnote>
  <w:endnote w:id="75">
    <w:p w14:paraId="2BC5CF85" w14:textId="77777777" w:rsidR="00643212" w:rsidRPr="00D13F16" w:rsidRDefault="00643212" w:rsidP="00F12219">
      <w:pPr>
        <w:pStyle w:val="EndnoteText1"/>
        <w:rPr>
          <w:rFonts w:eastAsia="Times New Roman" w:cs="Arial"/>
          <w:color w:val="auto"/>
          <w:lang w:eastAsia="en-AU" w:bidi="x-none"/>
        </w:rPr>
      </w:pPr>
      <w:r w:rsidRPr="00D13F16">
        <w:rPr>
          <w:rStyle w:val="EndnoteReference1"/>
          <w:rFonts w:cs="Arial"/>
        </w:rPr>
        <w:endnoteRef/>
      </w:r>
      <w:r w:rsidRPr="00D13F16">
        <w:rPr>
          <w:rFonts w:cs="Arial"/>
        </w:rPr>
        <w:t xml:space="preserve"> Proposed s 123TGAA of the </w:t>
      </w:r>
      <w:r w:rsidRPr="00DE6F93">
        <w:rPr>
          <w:rFonts w:cs="Arial"/>
          <w:i/>
        </w:rPr>
        <w:t>Social Security (Administration) Act 1999</w:t>
      </w:r>
      <w:r w:rsidRPr="00D13F16">
        <w:rPr>
          <w:rFonts w:cs="Arial"/>
        </w:rPr>
        <w:t xml:space="preserve"> (Cth).</w:t>
      </w:r>
    </w:p>
  </w:endnote>
  <w:endnote w:id="76">
    <w:p w14:paraId="5EB6E93F" w14:textId="77777777" w:rsidR="00643212" w:rsidRPr="00D13F16" w:rsidRDefault="00643212" w:rsidP="00F12219">
      <w:pPr>
        <w:pStyle w:val="EndnoteText1"/>
        <w:rPr>
          <w:rFonts w:eastAsia="Times New Roman" w:cs="Arial"/>
          <w:color w:val="auto"/>
          <w:lang w:eastAsia="en-AU" w:bidi="x-none"/>
        </w:rPr>
      </w:pPr>
      <w:r w:rsidRPr="00D13F16">
        <w:rPr>
          <w:rStyle w:val="EndnoteReference1"/>
          <w:rFonts w:cs="Arial"/>
        </w:rPr>
        <w:endnoteRef/>
      </w:r>
      <w:r w:rsidRPr="00D13F16">
        <w:rPr>
          <w:rFonts w:cs="Arial"/>
        </w:rPr>
        <w:t xml:space="preserve"> Explanatory Memorandum to Social Security Legislation Amendment Bill 2011 (Cth</w:t>
      </w:r>
      <w:r>
        <w:rPr>
          <w:rFonts w:cs="Arial"/>
        </w:rPr>
        <w:t>)</w:t>
      </w:r>
      <w:r w:rsidRPr="00D13F16">
        <w:rPr>
          <w:rFonts w:cs="Arial"/>
        </w:rPr>
        <w:t>,</w:t>
      </w:r>
      <w:r>
        <w:rPr>
          <w:rFonts w:cs="Arial"/>
        </w:rPr>
        <w:t xml:space="preserve"> p</w:t>
      </w:r>
      <w:r w:rsidRPr="00D13F16">
        <w:rPr>
          <w:rFonts w:cs="Arial"/>
        </w:rPr>
        <w:t xml:space="preserve"> 2. </w:t>
      </w:r>
    </w:p>
  </w:endnote>
  <w:endnote w:id="77">
    <w:p w14:paraId="2A1EFE1D" w14:textId="77777777" w:rsidR="00643212" w:rsidRDefault="00643212" w:rsidP="00F12219">
      <w:pPr>
        <w:pStyle w:val="EndnoteText1"/>
        <w:rPr>
          <w:rFonts w:ascii="Times New Roman" w:eastAsia="Times New Roman" w:hAnsi="Times New Roman"/>
          <w:color w:val="auto"/>
          <w:lang w:eastAsia="en-AU" w:bidi="x-none"/>
        </w:rPr>
      </w:pPr>
      <w:r w:rsidRPr="00D13F16">
        <w:rPr>
          <w:rStyle w:val="EndnoteReference1"/>
          <w:rFonts w:cs="Arial"/>
        </w:rPr>
        <w:endnoteRef/>
      </w:r>
      <w:r w:rsidRPr="00D13F16">
        <w:rPr>
          <w:rFonts w:cs="Arial"/>
        </w:rPr>
        <w:t xml:space="preserve"> Commonwealth, Official Committee Hansard: Senate Estimates (Additional Estimates), Senate Community Affairs Legislation Committee (25 February 2011), p 22 (L Hefren-Webb, Department of Families, Housing, Community Services and Indigenous Affairs). At </w:t>
      </w:r>
      <w:hyperlink r:id="rId59" w:history="1">
        <w:r w:rsidRPr="00D13F16">
          <w:rPr>
            <w:rStyle w:val="Hyperlink1"/>
            <w:rFonts w:cs="Arial"/>
          </w:rPr>
          <w:t>http://www.aph.gov.au/hansard/senate/commttee/committee_transcript.asp?MODE=YEAR&amp;ID=80&amp;YEAR=2011</w:t>
        </w:r>
      </w:hyperlink>
      <w:r>
        <w:t xml:space="preserve"> (viewed 10 October 2011).</w:t>
      </w:r>
    </w:p>
  </w:endnote>
  <w:endnote w:id="78">
    <w:p w14:paraId="02076B6A" w14:textId="2404E122"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Bureau of Statistics.  </w:t>
      </w:r>
      <w:r w:rsidRPr="00467803">
        <w:rPr>
          <w:i/>
        </w:rPr>
        <w:t>1362.7 - Regional Statistics, Northern Territory, March 2011</w:t>
      </w:r>
      <w:r>
        <w:t>.  At </w:t>
      </w:r>
      <w:hyperlink r:id="rId60" w:history="1">
        <w:r>
          <w:rPr>
            <w:rStyle w:val="Hyperlink1"/>
          </w:rPr>
          <w:t>http://www.abs.gov.au/ausstats/abs@.nsf/Latestproducts/1362.7Feature%20Article1Mar%202011?opendocument&amp;tabname=Summary&amp;prodno=1362.7&amp;issue=Mar%202011&amp;num=&amp;view=#Aboriginal</w:t>
        </w:r>
      </w:hyperlink>
      <w:r>
        <w:t xml:space="preserve"> (viewed 27 November 2011).</w:t>
      </w:r>
    </w:p>
  </w:endnote>
  <w:endnote w:id="79">
    <w:p w14:paraId="71B082EB"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Bureau of Statistics, </w:t>
      </w:r>
      <w:r w:rsidRPr="00467803">
        <w:rPr>
          <w:i/>
        </w:rPr>
        <w:t>National Regional Profile: Playford (C) (Local Government Area)</w:t>
      </w:r>
      <w:r>
        <w:t xml:space="preserve">, At </w:t>
      </w:r>
      <w:hyperlink r:id="rId61" w:history="1">
        <w:r>
          <w:rPr>
            <w:rStyle w:val="Hyperlink1"/>
          </w:rPr>
          <w:t>http://www.abs.gov.au/AUSSTATS/abs@.nsf/Previousproducts/LGA45680Population/People12004-2008?opendocument&amp;tabname=Summary&amp;prodno=LGA45680&amp;issue=2004-2008</w:t>
        </w:r>
      </w:hyperlink>
      <w:r>
        <w:t xml:space="preserve"> (viewed 18 January 2012).</w:t>
      </w:r>
    </w:p>
  </w:endnote>
  <w:endnote w:id="80">
    <w:p w14:paraId="1B9B612B" w14:textId="70783951"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Bureau of Statistics, </w:t>
      </w:r>
      <w:r w:rsidRPr="00467803">
        <w:rPr>
          <w:i/>
        </w:rPr>
        <w:t>National Regional Profile: Bankstown (C) (Local Government Area)</w:t>
      </w:r>
      <w:r>
        <w:t xml:space="preserve">. At </w:t>
      </w:r>
      <w:hyperlink r:id="rId62" w:history="1">
        <w:r>
          <w:rPr>
            <w:rStyle w:val="Hyperlink1"/>
          </w:rPr>
          <w:t>http://www.abs.gov.au/AUSSTATS/abs@nrp.nsf/Latestproducts/LGA10350Population/People12006-2010?opendocument&amp;tabname=Summary&amp;prodno=LGA10350&amp;issue=2006-2010</w:t>
        </w:r>
      </w:hyperlink>
      <w:r>
        <w:rPr>
          <w:sz w:val="16"/>
        </w:rPr>
        <w:t xml:space="preserve"> </w:t>
      </w:r>
      <w:r>
        <w:t xml:space="preserve">(viewed 18 January 2012). Similarly in Logan (Queensland) 25.2 % of its total population: Australian Bureau of Statistics, </w:t>
      </w:r>
      <w:r w:rsidRPr="00467803">
        <w:rPr>
          <w:i/>
        </w:rPr>
        <w:t>National Regional Profi</w:t>
      </w:r>
      <w:r>
        <w:rPr>
          <w:i/>
        </w:rPr>
        <w:t xml:space="preserve">le: Logan (C) (Local Government Area). </w:t>
      </w:r>
      <w:r w:rsidRPr="00CA395B">
        <w:t>At</w:t>
      </w:r>
      <w:r>
        <w:rPr>
          <w:sz w:val="16"/>
        </w:rPr>
        <w:t xml:space="preserve"> </w:t>
      </w:r>
      <w:hyperlink r:id="rId63" w:history="1">
        <w:r>
          <w:rPr>
            <w:rStyle w:val="Hyperlink1"/>
          </w:rPr>
          <w:t>http://www.abs.gov.au/AUSSTATS/abs@nrp.nsf/Latestproducts/LGA34590Population/People12006-2010?opendocument&amp;tabname=Summary&amp;prodno=LGA34590&amp;issue=2006-2010</w:t>
        </w:r>
      </w:hyperlink>
      <w:r>
        <w:rPr>
          <w:sz w:val="16"/>
        </w:rPr>
        <w:t xml:space="preserve"> </w:t>
      </w:r>
      <w:r>
        <w:t>(viewed 18 January 2012).</w:t>
      </w:r>
    </w:p>
  </w:endnote>
  <w:endnote w:id="81">
    <w:p w14:paraId="0EA00268" w14:textId="77777777" w:rsidR="00643212" w:rsidRDefault="00643212" w:rsidP="00F12219">
      <w:pPr>
        <w:pStyle w:val="EndnoteText"/>
        <w:rPr>
          <w:i/>
        </w:rPr>
      </w:pPr>
      <w:r>
        <w:rPr>
          <w:rStyle w:val="EndnoteReference"/>
        </w:rPr>
        <w:endnoteRef/>
      </w:r>
      <w:r>
        <w:t xml:space="preserve"> It also amended the </w:t>
      </w:r>
      <w:r>
        <w:rPr>
          <w:i/>
        </w:rPr>
        <w:t xml:space="preserve">A New Tax System (Family Assistance) Act 1999 </w:t>
      </w:r>
      <w:r>
        <w:t>(Cth)</w:t>
      </w:r>
      <w:r>
        <w:rPr>
          <w:i/>
        </w:rPr>
        <w:t xml:space="preserve">, </w:t>
      </w:r>
      <w:r>
        <w:t xml:space="preserve">the </w:t>
      </w:r>
      <w:r>
        <w:rPr>
          <w:i/>
        </w:rPr>
        <w:t xml:space="preserve">Student Assistance Act 1973 </w:t>
      </w:r>
      <w:r>
        <w:t>(Cth)</w:t>
      </w:r>
      <w:r>
        <w:rPr>
          <w:i/>
        </w:rPr>
        <w:t xml:space="preserve"> </w:t>
      </w:r>
      <w:r>
        <w:t xml:space="preserve">and the </w:t>
      </w:r>
      <w:r>
        <w:rPr>
          <w:i/>
        </w:rPr>
        <w:t xml:space="preserve">Veterans’ Entitlements Act 1986 </w:t>
      </w:r>
      <w:r>
        <w:t>(Cth)</w:t>
      </w:r>
      <w:r>
        <w:rPr>
          <w:i/>
        </w:rPr>
        <w:t>.</w:t>
      </w:r>
    </w:p>
  </w:endnote>
  <w:endnote w:id="82">
    <w:p w14:paraId="2B891564" w14:textId="77777777" w:rsidR="00643212" w:rsidRDefault="00643212" w:rsidP="00F12219">
      <w:pPr>
        <w:pStyle w:val="EndnoteText"/>
      </w:pPr>
      <w:r>
        <w:rPr>
          <w:rStyle w:val="EndnoteReference"/>
        </w:rPr>
        <w:endnoteRef/>
      </w:r>
      <w:r>
        <w:t xml:space="preserve"> </w:t>
      </w:r>
      <w:r>
        <w:rPr>
          <w:i/>
        </w:rPr>
        <w:t xml:space="preserve">Social Security (Administration) Act 1999 </w:t>
      </w:r>
      <w:r>
        <w:t>(Cth), ss 124F</w:t>
      </w:r>
      <w:r>
        <w:rPr>
          <w:rFonts w:cs="Arial"/>
        </w:rPr>
        <w:t>−</w:t>
      </w:r>
      <w:r>
        <w:t>124H, 124K</w:t>
      </w:r>
      <w:r>
        <w:rPr>
          <w:rFonts w:cs="Arial"/>
        </w:rPr>
        <w:t>−</w:t>
      </w:r>
      <w:r>
        <w:t>124M.</w:t>
      </w:r>
    </w:p>
  </w:endnote>
  <w:endnote w:id="83">
    <w:p w14:paraId="45066D5A" w14:textId="77777777" w:rsidR="00643212" w:rsidRDefault="00643212" w:rsidP="00F12219">
      <w:pPr>
        <w:pStyle w:val="EndnoteText"/>
      </w:pPr>
      <w:r>
        <w:rPr>
          <w:rStyle w:val="EndnoteReference"/>
        </w:rPr>
        <w:endnoteRef/>
      </w:r>
      <w:r>
        <w:t xml:space="preserve"> Social Security Legislation Amendment Bill 2011 (Cth), item 11.</w:t>
      </w:r>
    </w:p>
  </w:endnote>
  <w:endnote w:id="84">
    <w:p w14:paraId="229DEF3D" w14:textId="77777777" w:rsidR="00643212" w:rsidRDefault="00643212" w:rsidP="00F12219">
      <w:pPr>
        <w:pStyle w:val="EndnoteText"/>
      </w:pPr>
      <w:r>
        <w:rPr>
          <w:rStyle w:val="EndnoteReference"/>
        </w:rPr>
        <w:endnoteRef/>
      </w:r>
      <w:r>
        <w:t xml:space="preserve"> Secretary of the Department for Families, Housing, Community Services and Indigenous Affairs.</w:t>
      </w:r>
    </w:p>
  </w:endnote>
  <w:endnote w:id="85">
    <w:p w14:paraId="1FEFACF6" w14:textId="77777777" w:rsidR="00643212" w:rsidRDefault="00643212" w:rsidP="00F12219">
      <w:pPr>
        <w:pStyle w:val="EndnoteText"/>
      </w:pPr>
      <w:r>
        <w:rPr>
          <w:rStyle w:val="EndnoteReference"/>
        </w:rPr>
        <w:endnoteRef/>
      </w:r>
      <w:r>
        <w:t xml:space="preserve"> Social Security Legislation Amendment Bill 2011(Cth), item 11, s 124NB.</w:t>
      </w:r>
    </w:p>
  </w:endnote>
  <w:endnote w:id="86">
    <w:p w14:paraId="48CB1CE1" w14:textId="77777777" w:rsidR="00643212" w:rsidRDefault="00643212" w:rsidP="00F12219">
      <w:pPr>
        <w:pStyle w:val="EndnoteText"/>
      </w:pPr>
      <w:r>
        <w:rPr>
          <w:rStyle w:val="EndnoteReference"/>
        </w:rPr>
        <w:endnoteRef/>
      </w:r>
      <w:r>
        <w:t xml:space="preserve"> Social Security Legislation Amendment Bill 2011(Cth), item 11, s 124ND.</w:t>
      </w:r>
    </w:p>
  </w:endnote>
  <w:endnote w:id="87">
    <w:p w14:paraId="331FB077" w14:textId="77777777" w:rsidR="00643212" w:rsidRDefault="00643212" w:rsidP="00F12219">
      <w:pPr>
        <w:pStyle w:val="EndnoteText"/>
      </w:pPr>
      <w:r>
        <w:rPr>
          <w:rStyle w:val="EndnoteReference"/>
        </w:rPr>
        <w:endnoteRef/>
      </w:r>
      <w:r>
        <w:t xml:space="preserve"> Social Security Legislation Amendment Bill 2011(Cth), item 11, s 124NE.</w:t>
      </w:r>
    </w:p>
  </w:endnote>
  <w:endnote w:id="88">
    <w:p w14:paraId="61C19F11" w14:textId="77777777" w:rsidR="00643212" w:rsidRDefault="00643212" w:rsidP="00F12219">
      <w:pPr>
        <w:pStyle w:val="EndnoteText"/>
      </w:pPr>
      <w:r>
        <w:rPr>
          <w:rStyle w:val="EndnoteReference"/>
        </w:rPr>
        <w:endnoteRef/>
      </w:r>
      <w:r>
        <w:t xml:space="preserve"> </w:t>
      </w:r>
      <w:r>
        <w:rPr>
          <w:i/>
        </w:rPr>
        <w:t xml:space="preserve">Social Security (Administration) Act 1999 </w:t>
      </w:r>
      <w:r>
        <w:t xml:space="preserve">(Cth), s </w:t>
      </w:r>
      <w:r>
        <w:rPr>
          <w:rFonts w:cs="Arial"/>
        </w:rPr>
        <w:t>123D.</w:t>
      </w:r>
    </w:p>
  </w:endnote>
  <w:endnote w:id="89">
    <w:p w14:paraId="5C004736" w14:textId="77777777" w:rsidR="00643212" w:rsidRDefault="00643212" w:rsidP="00F12219">
      <w:pPr>
        <w:pStyle w:val="EndnoteText"/>
      </w:pPr>
      <w:r>
        <w:rPr>
          <w:rStyle w:val="EndnoteReference"/>
        </w:rPr>
        <w:endnoteRef/>
      </w:r>
      <w:r>
        <w:t xml:space="preserve"> Social Security Legislation Amendment Bill 2011 (Cth), item 11, s 124NF.</w:t>
      </w:r>
    </w:p>
  </w:endnote>
  <w:endnote w:id="90">
    <w:p w14:paraId="11B8BC03" w14:textId="77777777" w:rsidR="00643212" w:rsidRDefault="00643212" w:rsidP="00F12219">
      <w:pPr>
        <w:pStyle w:val="EndnoteText"/>
      </w:pPr>
      <w:r>
        <w:rPr>
          <w:rStyle w:val="EndnoteReference"/>
        </w:rPr>
        <w:endnoteRef/>
      </w:r>
      <w:r>
        <w:t xml:space="preserve"> Social Security Legislation Amendment Bill 2011 (Cth), item 11, s 124NG.</w:t>
      </w:r>
    </w:p>
  </w:endnote>
  <w:endnote w:id="91">
    <w:p w14:paraId="771166F3" w14:textId="77777777" w:rsidR="00643212" w:rsidRDefault="00643212" w:rsidP="00F12219">
      <w:pPr>
        <w:pStyle w:val="EndnoteText"/>
      </w:pPr>
      <w:r>
        <w:rPr>
          <w:rStyle w:val="EndnoteReference"/>
        </w:rPr>
        <w:endnoteRef/>
      </w:r>
      <w:r>
        <w:t xml:space="preserve"> </w:t>
      </w:r>
      <w:r w:rsidRPr="00B360A4">
        <w:t xml:space="preserve">W Jonas, Aboriginal and Torres Strait Islander Social Justice Commissioner, </w:t>
      </w:r>
      <w:r w:rsidRPr="00B360A4">
        <w:rPr>
          <w:i/>
        </w:rPr>
        <w:t xml:space="preserve">Native Title Report 1999, </w:t>
      </w:r>
      <w:r w:rsidRPr="00B360A4">
        <w:t xml:space="preserve">Human Rights and Equal Opportunity Commission (2000), ch 4. At </w:t>
      </w:r>
      <w:hyperlink r:id="rId64" w:history="1">
        <w:r w:rsidRPr="00B360A4">
          <w:rPr>
            <w:rStyle w:val="Hyperlink"/>
          </w:rPr>
          <w:t>http://www.humanrights.gov.au/social_justice/sj_report/99_report.html</w:t>
        </w:r>
      </w:hyperlink>
      <w:r w:rsidRPr="00B360A4">
        <w:t xml:space="preserve"> (viewed 31 January 2012); T Calma, Aboriginal and Torres Strait Islander Social Justice Commissioner, </w:t>
      </w:r>
      <w:r w:rsidRPr="00B360A4">
        <w:rPr>
          <w:i/>
        </w:rPr>
        <w:t xml:space="preserve">Native Title Report 2008, </w:t>
      </w:r>
      <w:r w:rsidRPr="00B360A4">
        <w:t xml:space="preserve">Human Rights and Equal Opportunity Commission (2009), ch 3. At </w:t>
      </w:r>
      <w:hyperlink r:id="rId65" w:history="1">
        <w:r w:rsidRPr="00B360A4">
          <w:rPr>
            <w:rStyle w:val="Hyperlink"/>
          </w:rPr>
          <w:t>http://www.humanrights.gov.au/social_justice/sj_report/sjreport08/index.html</w:t>
        </w:r>
      </w:hyperlink>
      <w:r w:rsidRPr="00B360A4">
        <w:t xml:space="preserve"> (viewed 31 January 2012).</w:t>
      </w:r>
    </w:p>
  </w:endnote>
  <w:endnote w:id="92">
    <w:p w14:paraId="71A76A64" w14:textId="77777777" w:rsidR="00643212" w:rsidRDefault="00643212" w:rsidP="00F12219">
      <w:pPr>
        <w:pStyle w:val="EndnoteText"/>
      </w:pPr>
      <w:r>
        <w:rPr>
          <w:rStyle w:val="EndnoteReference"/>
        </w:rPr>
        <w:endnoteRef/>
      </w:r>
      <w:r>
        <w:t xml:space="preserve"> Department of Families, Housing, Community Services and Indigenous Affairs, </w:t>
      </w:r>
      <w:r>
        <w:rPr>
          <w:i/>
        </w:rPr>
        <w:t xml:space="preserve">Northern Territory Emergency Response Evaluation Report 2011 </w:t>
      </w:r>
      <w:r>
        <w:t xml:space="preserve">(2011), p 292. At </w:t>
      </w:r>
      <w:hyperlink r:id="rId66" w:history="1">
        <w:r w:rsidRPr="00661643">
          <w:rPr>
            <w:rStyle w:val="Hyperlink"/>
          </w:rPr>
          <w:t>http://www.fahcsia.gov.au/sa/indigenous/pubs/nter_reports/Pages/nter_evaluation_rpt_2011.aspx</w:t>
        </w:r>
      </w:hyperlink>
      <w:r>
        <w:t xml:space="preserve"> (viewed 18 January 2011).</w:t>
      </w:r>
    </w:p>
  </w:endnote>
  <w:endnote w:id="93">
    <w:p w14:paraId="3EA970BE" w14:textId="77777777" w:rsidR="00643212" w:rsidRDefault="00643212" w:rsidP="00F12219">
      <w:pPr>
        <w:pStyle w:val="EndnoteText"/>
      </w:pPr>
      <w:r>
        <w:rPr>
          <w:rStyle w:val="EndnoteReference"/>
        </w:rPr>
        <w:endnoteRef/>
      </w:r>
      <w:r>
        <w:t xml:space="preserve"> </w:t>
      </w:r>
      <w:r w:rsidRPr="00B360A4">
        <w:t xml:space="preserve">T Calma, Aboriginal and Torres Strait Islander Social Justice Commissioner, </w:t>
      </w:r>
      <w:r w:rsidRPr="00B360A4">
        <w:rPr>
          <w:i/>
        </w:rPr>
        <w:t xml:space="preserve">Native Title Report 2008, </w:t>
      </w:r>
      <w:r w:rsidRPr="00B360A4">
        <w:t>Human Rights and Equal Opp</w:t>
      </w:r>
      <w:r>
        <w:t>ortunity Commission (2009), p 101</w:t>
      </w:r>
      <w:r w:rsidRPr="00B360A4">
        <w:t xml:space="preserve">. At </w:t>
      </w:r>
      <w:hyperlink r:id="rId67" w:history="1">
        <w:r w:rsidRPr="00B360A4">
          <w:rPr>
            <w:rStyle w:val="Hyperlink"/>
          </w:rPr>
          <w:t>http://www.humanrights.gov.au/social_justice/sj_report/sjreport08/index.html</w:t>
        </w:r>
      </w:hyperlink>
      <w:r w:rsidRPr="00B360A4">
        <w:t xml:space="preserve"> (viewed 31 January 2012).</w:t>
      </w:r>
    </w:p>
  </w:endnote>
  <w:endnote w:id="94">
    <w:p w14:paraId="055710F4" w14:textId="77777777" w:rsidR="00643212" w:rsidRPr="001A4AF0" w:rsidRDefault="00643212" w:rsidP="00F12219">
      <w:pPr>
        <w:pStyle w:val="EndnoteText"/>
      </w:pPr>
      <w:r>
        <w:rPr>
          <w:rStyle w:val="EndnoteReference"/>
        </w:rPr>
        <w:endnoteRef/>
      </w:r>
      <w:r>
        <w:t xml:space="preserve"> Australian Government Closing the gap clearinghouse, </w:t>
      </w:r>
      <w:r>
        <w:rPr>
          <w:i/>
        </w:rPr>
        <w:t xml:space="preserve">School attendance and retention of Indigenous Australian students, </w:t>
      </w:r>
      <w:r>
        <w:t xml:space="preserve">Issues Paper No 1 (2010), p 19. At </w:t>
      </w:r>
      <w:hyperlink r:id="rId68" w:history="1">
        <w:r w:rsidRPr="00432880">
          <w:rPr>
            <w:rStyle w:val="Hyperlink"/>
          </w:rPr>
          <w:t>http://www.aihw.gov.au/closingthegap/</w:t>
        </w:r>
      </w:hyperlink>
      <w:r>
        <w:t xml:space="preserve"> (viewed 31 January 2012).</w:t>
      </w:r>
    </w:p>
  </w:endnote>
  <w:endnote w:id="95">
    <w:p w14:paraId="783211A4" w14:textId="77777777" w:rsidR="00643212" w:rsidRDefault="00643212" w:rsidP="00F12219">
      <w:pPr>
        <w:pStyle w:val="EndnoteText"/>
        <w:rPr>
          <w:rFonts w:cs="Arial"/>
          <w:color w:val="000000"/>
        </w:rPr>
      </w:pPr>
      <w:r>
        <w:rPr>
          <w:rStyle w:val="EndnoteReference"/>
          <w:color w:val="000000"/>
        </w:rPr>
        <w:endnoteRef/>
      </w:r>
      <w:r>
        <w:rPr>
          <w:rFonts w:cs="Arial"/>
          <w:color w:val="000000"/>
        </w:rPr>
        <w:t xml:space="preserve"> Department of Employment and Workplace Relations, </w:t>
      </w:r>
      <w:r>
        <w:rPr>
          <w:rFonts w:cs="Arial"/>
          <w:i/>
          <w:color w:val="000000"/>
        </w:rPr>
        <w:t xml:space="preserve">Halls Creek </w:t>
      </w:r>
      <w:r>
        <w:rPr>
          <w:rFonts w:cs="Arial"/>
          <w:i/>
          <w:iCs/>
          <w:color w:val="000000"/>
        </w:rPr>
        <w:t xml:space="preserve">Engaging Families </w:t>
      </w:r>
      <w:r>
        <w:rPr>
          <w:rFonts w:cs="Arial"/>
          <w:i/>
          <w:color w:val="000000"/>
        </w:rPr>
        <w:t>Trial February–July 2006, Evaluation Report</w:t>
      </w:r>
      <w:r>
        <w:rPr>
          <w:rFonts w:cs="Arial"/>
          <w:color w:val="000000"/>
        </w:rPr>
        <w:t xml:space="preserve"> (2006). At </w:t>
      </w:r>
      <w:hyperlink r:id="rId69" w:history="1">
        <w:r w:rsidRPr="00661643">
          <w:rPr>
            <w:rStyle w:val="Hyperlink"/>
            <w:rFonts w:cs="Arial"/>
          </w:rPr>
          <w:t>http://www.aihw.gov.au/closingthegap/resources/item.cfm?item_id=5372&amp;group_type=BB&amp;group_id=2&amp;q=&amp;start=229</w:t>
        </w:r>
      </w:hyperlink>
      <w:r>
        <w:rPr>
          <w:rFonts w:cs="Arial"/>
          <w:color w:val="000000"/>
        </w:rPr>
        <w:t xml:space="preserve"> (viewed 18 January 2012).</w:t>
      </w:r>
    </w:p>
  </w:endnote>
  <w:endnote w:id="96">
    <w:p w14:paraId="33DBB8D7" w14:textId="77777777" w:rsidR="00643212" w:rsidRPr="006D7C60" w:rsidRDefault="00643212" w:rsidP="00F12219">
      <w:pPr>
        <w:pStyle w:val="EndnoteText"/>
        <w:rPr>
          <w:rFonts w:cs="Arial"/>
          <w:color w:val="000000"/>
        </w:rPr>
      </w:pPr>
      <w:r w:rsidRPr="00467803">
        <w:rPr>
          <w:rStyle w:val="EndnoteReference"/>
          <w:rFonts w:cs="Arial"/>
          <w:color w:val="000000"/>
        </w:rPr>
        <w:endnoteRef/>
      </w:r>
      <w:r w:rsidRPr="00467803">
        <w:rPr>
          <w:rFonts w:cs="Arial"/>
          <w:color w:val="000000"/>
        </w:rPr>
        <w:t xml:space="preserve"> Combined Aboriginal Organisations of the Northern Territory, </w:t>
      </w:r>
      <w:r w:rsidRPr="00467803">
        <w:rPr>
          <w:rFonts w:cs="Arial"/>
          <w:i/>
          <w:color w:val="000000"/>
        </w:rPr>
        <w:t xml:space="preserve">A proposed emergency response and development plan to protect Aboriginal children in the Northern Territory: A preliminary response to the Australian Government’s proposals </w:t>
      </w:r>
      <w:r>
        <w:rPr>
          <w:rFonts w:cs="Arial"/>
          <w:color w:val="000000"/>
        </w:rPr>
        <w:t>(</w:t>
      </w:r>
      <w:r w:rsidRPr="00467803">
        <w:rPr>
          <w:rFonts w:cs="Arial"/>
          <w:color w:val="000000"/>
        </w:rPr>
        <w:t xml:space="preserve">2007), p18. At </w:t>
      </w:r>
      <w:hyperlink r:id="rId70" w:history="1">
        <w:r w:rsidRPr="00E0608A">
          <w:rPr>
            <w:rStyle w:val="Hyperlink"/>
          </w:rPr>
          <w:t>http://indigenousjustice.gov.au/db/publications/276547.html</w:t>
        </w:r>
      </w:hyperlink>
      <w:r w:rsidRPr="00467803">
        <w:rPr>
          <w:rFonts w:cs="Arial"/>
          <w:color w:val="000000"/>
        </w:rPr>
        <w:t xml:space="preserve">, (viewed </w:t>
      </w:r>
      <w:r>
        <w:rPr>
          <w:rFonts w:cs="Arial"/>
          <w:color w:val="000000"/>
        </w:rPr>
        <w:t>1</w:t>
      </w:r>
      <w:r w:rsidRPr="00467803">
        <w:rPr>
          <w:rFonts w:cs="Arial"/>
          <w:color w:val="000000"/>
        </w:rPr>
        <w:t xml:space="preserve"> </w:t>
      </w:r>
      <w:r>
        <w:rPr>
          <w:rFonts w:cs="Arial"/>
          <w:color w:val="000000"/>
        </w:rPr>
        <w:t>February</w:t>
      </w:r>
      <w:r w:rsidRPr="00467803">
        <w:rPr>
          <w:rFonts w:cs="Arial"/>
          <w:color w:val="000000"/>
        </w:rPr>
        <w:t xml:space="preserve"> 20</w:t>
      </w:r>
      <w:r>
        <w:rPr>
          <w:rFonts w:cs="Arial"/>
          <w:color w:val="000000"/>
        </w:rPr>
        <w:t>11</w:t>
      </w:r>
      <w:r w:rsidRPr="00467803">
        <w:rPr>
          <w:rFonts w:cs="Arial"/>
          <w:color w:val="000000"/>
        </w:rPr>
        <w:t>).</w:t>
      </w:r>
      <w:r w:rsidRPr="006D7C60">
        <w:rPr>
          <w:rFonts w:cs="Arial"/>
          <w:color w:val="000000"/>
        </w:rPr>
        <w:t xml:space="preserve">  </w:t>
      </w:r>
    </w:p>
  </w:endnote>
  <w:endnote w:id="97">
    <w:p w14:paraId="0F4ED81D" w14:textId="77777777" w:rsidR="00643212" w:rsidRDefault="00643212" w:rsidP="00F12219">
      <w:pPr>
        <w:pStyle w:val="EndnoteText"/>
        <w:rPr>
          <w:rFonts w:cs="Arial"/>
          <w:color w:val="000000"/>
        </w:rPr>
      </w:pPr>
      <w:r>
        <w:rPr>
          <w:rStyle w:val="EndnoteReference"/>
          <w:color w:val="000000"/>
        </w:rPr>
        <w:endnoteRef/>
      </w:r>
      <w:r>
        <w:rPr>
          <w:rFonts w:cs="Arial"/>
          <w:color w:val="000000"/>
        </w:rPr>
        <w:t xml:space="preserve"> Department of Employment and Workplace Relations, </w:t>
      </w:r>
      <w:r>
        <w:rPr>
          <w:rFonts w:cs="Arial"/>
          <w:i/>
          <w:color w:val="000000"/>
        </w:rPr>
        <w:t xml:space="preserve">Halls Creek </w:t>
      </w:r>
      <w:r>
        <w:rPr>
          <w:rFonts w:cs="Arial"/>
          <w:i/>
          <w:iCs/>
          <w:color w:val="000000"/>
        </w:rPr>
        <w:t xml:space="preserve">Engaging Families </w:t>
      </w:r>
      <w:r>
        <w:rPr>
          <w:rFonts w:cs="Arial"/>
          <w:i/>
          <w:color w:val="000000"/>
        </w:rPr>
        <w:t>Trial February–July 2006, Evaluation Report</w:t>
      </w:r>
      <w:r>
        <w:rPr>
          <w:rFonts w:cs="Arial"/>
          <w:color w:val="000000"/>
        </w:rPr>
        <w:t xml:space="preserve"> (2006). At </w:t>
      </w:r>
      <w:hyperlink r:id="rId71" w:history="1">
        <w:r w:rsidRPr="00661643">
          <w:rPr>
            <w:rStyle w:val="Hyperlink"/>
            <w:rFonts w:cs="Arial"/>
          </w:rPr>
          <w:t>http://www.aihw.gov.au/closingthegap/resources/item.cfm?item_id=5372&amp;group_type=BB&amp;group_id=2&amp;q=&amp;start=229</w:t>
        </w:r>
      </w:hyperlink>
      <w:r>
        <w:rPr>
          <w:rFonts w:cs="Arial"/>
          <w:color w:val="000000"/>
        </w:rPr>
        <w:t xml:space="preserve"> (viewed 18 January 2012).</w:t>
      </w:r>
    </w:p>
  </w:endnote>
  <w:endnote w:id="98">
    <w:p w14:paraId="5EC5995D" w14:textId="77777777" w:rsidR="00643212" w:rsidRDefault="00643212" w:rsidP="00F12219">
      <w:pPr>
        <w:pStyle w:val="EndnoteText"/>
      </w:pPr>
      <w:r>
        <w:rPr>
          <w:rStyle w:val="EndnoteReference"/>
        </w:rPr>
        <w:endnoteRef/>
      </w:r>
      <w:r>
        <w:t xml:space="preserve"> Department of Employment and Workplace Relations, </w:t>
      </w:r>
      <w:r>
        <w:rPr>
          <w:i/>
        </w:rPr>
        <w:t xml:space="preserve">Improving School Enrolment and Attendance through Welfare Reform Measure (SEAM): Evaluation Report for the Northern Territory in 2009 with early findings for 2010 </w:t>
      </w:r>
      <w:r>
        <w:t>(2011), p 25.</w:t>
      </w:r>
    </w:p>
  </w:endnote>
  <w:endnote w:id="99">
    <w:p w14:paraId="5D9973E7" w14:textId="77777777" w:rsidR="00643212" w:rsidRDefault="00643212" w:rsidP="00F12219">
      <w:pPr>
        <w:pStyle w:val="EndnoteText"/>
      </w:pPr>
      <w:r>
        <w:rPr>
          <w:rStyle w:val="EndnoteReference"/>
        </w:rPr>
        <w:endnoteRef/>
      </w:r>
      <w:r>
        <w:t xml:space="preserve"> </w:t>
      </w:r>
      <w:r>
        <w:rPr>
          <w:rFonts w:cs="Arial"/>
          <w:color w:val="000000"/>
        </w:rPr>
        <w:t xml:space="preserve">Department of Employment and Workplace Relations, </w:t>
      </w:r>
      <w:r>
        <w:rPr>
          <w:rFonts w:cs="Arial"/>
          <w:i/>
          <w:color w:val="000000"/>
        </w:rPr>
        <w:t xml:space="preserve">Halls Creek </w:t>
      </w:r>
      <w:r>
        <w:rPr>
          <w:rFonts w:cs="Arial"/>
          <w:i/>
          <w:iCs/>
          <w:color w:val="000000"/>
        </w:rPr>
        <w:t xml:space="preserve">Engaging Families </w:t>
      </w:r>
      <w:r>
        <w:rPr>
          <w:rFonts w:cs="Arial"/>
          <w:i/>
          <w:color w:val="000000"/>
        </w:rPr>
        <w:t>Trial February–July 2006, Evaluation Report</w:t>
      </w:r>
      <w:r>
        <w:rPr>
          <w:rFonts w:cs="Arial"/>
          <w:color w:val="000000"/>
        </w:rPr>
        <w:t xml:space="preserve"> (2006), p 33. At </w:t>
      </w:r>
      <w:hyperlink r:id="rId72" w:history="1">
        <w:r w:rsidRPr="00661643">
          <w:rPr>
            <w:rStyle w:val="Hyperlink"/>
            <w:rFonts w:cs="Arial"/>
          </w:rPr>
          <w:t>http://www.aihw.gov.au/closingthegap/resources/item.cfm?item_id=5372&amp;group_type=BB&amp;group_id=2&amp;q=&amp;start=229</w:t>
        </w:r>
      </w:hyperlink>
      <w:r>
        <w:rPr>
          <w:rFonts w:cs="Arial"/>
          <w:color w:val="000000"/>
        </w:rPr>
        <w:t xml:space="preserve"> (viewed 18 January 2012).</w:t>
      </w:r>
    </w:p>
  </w:endnote>
  <w:endnote w:id="100">
    <w:p w14:paraId="63004D11" w14:textId="77777777" w:rsidR="00643212" w:rsidRDefault="00643212" w:rsidP="00F12219">
      <w:pPr>
        <w:pStyle w:val="EndnoteText"/>
      </w:pPr>
      <w:r>
        <w:rPr>
          <w:rStyle w:val="EndnoteReference"/>
        </w:rPr>
        <w:endnoteRef/>
      </w:r>
      <w:r>
        <w:t xml:space="preserve"> Department of Employment and Workplace Relations, </w:t>
      </w:r>
      <w:r>
        <w:rPr>
          <w:i/>
        </w:rPr>
        <w:t xml:space="preserve">Improving School Enrolment and Attendance through Welfare Reform Measure (SEAM): Evaluation Report for the Northern Territory in 2009 with early findings for 2010 </w:t>
      </w:r>
      <w:r>
        <w:t>(2011), p 28.</w:t>
      </w:r>
    </w:p>
  </w:endnote>
  <w:endnote w:id="101">
    <w:p w14:paraId="15786E39" w14:textId="54982E98" w:rsidR="00643212" w:rsidRPr="005E78A0" w:rsidRDefault="00643212">
      <w:pPr>
        <w:pStyle w:val="EndnoteText"/>
      </w:pPr>
      <w:r>
        <w:rPr>
          <w:rStyle w:val="EndnoteReference"/>
        </w:rPr>
        <w:endnoteRef/>
      </w:r>
      <w:r>
        <w:t xml:space="preserve"> Department of Education, Employment and Workplace Relations, </w:t>
      </w:r>
      <w:r>
        <w:rPr>
          <w:i/>
        </w:rPr>
        <w:t xml:space="preserve">Improving School Enrolment and Attendance through Welfare Reform Measure (SEAM): Evaluation Report for 2010 </w:t>
      </w:r>
      <w:r>
        <w:t xml:space="preserve">(January 2012). At: </w:t>
      </w:r>
      <w:hyperlink r:id="rId73" w:history="1">
        <w:r w:rsidRPr="009C77A1">
          <w:rPr>
            <w:rStyle w:val="Hyperlink"/>
          </w:rPr>
          <w:t>http://www.deewr.gov.au/Schooling/Programs/Pages/SEAM.aspx</w:t>
        </w:r>
      </w:hyperlink>
      <w:r>
        <w:t xml:space="preserve"> (viewed 6 February 2012).</w:t>
      </w:r>
    </w:p>
  </w:endnote>
  <w:endnote w:id="102">
    <w:p w14:paraId="60A605CD" w14:textId="5555D11E" w:rsidR="00643212" w:rsidRDefault="00643212">
      <w:pPr>
        <w:pStyle w:val="EndnoteText"/>
      </w:pPr>
      <w:r>
        <w:rPr>
          <w:rStyle w:val="EndnoteReference"/>
        </w:rPr>
        <w:endnoteRef/>
      </w:r>
      <w:r>
        <w:t xml:space="preserve"> Department of Education, Employment and Workplace Relations, </w:t>
      </w:r>
      <w:r>
        <w:rPr>
          <w:i/>
        </w:rPr>
        <w:t xml:space="preserve">Improving School Enrolment and Attendance through Welfare Reform Measure (SEAM): Evaluation Report for 2010 </w:t>
      </w:r>
      <w:r>
        <w:t xml:space="preserve">(January 2012), p iv. At: </w:t>
      </w:r>
      <w:hyperlink r:id="rId74" w:history="1">
        <w:r w:rsidRPr="009C77A1">
          <w:rPr>
            <w:rStyle w:val="Hyperlink"/>
          </w:rPr>
          <w:t>http://www.deewr.gov.au/Schooling/Programs/Pages/SEAM.aspx</w:t>
        </w:r>
      </w:hyperlink>
      <w:r>
        <w:t xml:space="preserve"> (viewed 6 February 2012).</w:t>
      </w:r>
    </w:p>
  </w:endnote>
  <w:endnote w:id="103">
    <w:p w14:paraId="1D997173" w14:textId="77777777" w:rsidR="00643212" w:rsidRPr="00FE29A3" w:rsidRDefault="00643212" w:rsidP="00F12219">
      <w:pPr>
        <w:pStyle w:val="EndnoteText"/>
      </w:pPr>
      <w:r>
        <w:rPr>
          <w:rStyle w:val="EndnoteReference"/>
        </w:rPr>
        <w:endnoteRef/>
      </w:r>
      <w:r>
        <w:t xml:space="preserve"> </w:t>
      </w:r>
      <w:r>
        <w:rPr>
          <w:i/>
        </w:rPr>
        <w:t xml:space="preserve">International Covenant on Economic, Social, and Cultural Rights 1966, </w:t>
      </w:r>
      <w:r>
        <w:t xml:space="preserve">art 9; </w:t>
      </w:r>
      <w:r>
        <w:rPr>
          <w:i/>
        </w:rPr>
        <w:t>Universal Declaration of Human Rights</w:t>
      </w:r>
      <w:r w:rsidRPr="00AC7661">
        <w:t>, 1948,</w:t>
      </w:r>
      <w:r>
        <w:rPr>
          <w:i/>
        </w:rPr>
        <w:t xml:space="preserve"> </w:t>
      </w:r>
      <w:r>
        <w:t>arts 13, 26(1).</w:t>
      </w:r>
      <w:r>
        <w:rPr>
          <w:i/>
        </w:rPr>
        <w:t xml:space="preserve"> </w:t>
      </w:r>
    </w:p>
  </w:endnote>
  <w:endnote w:id="104">
    <w:p w14:paraId="22A20E50" w14:textId="77777777" w:rsidR="00643212" w:rsidRPr="00DD1B03" w:rsidRDefault="00643212" w:rsidP="00F12219">
      <w:pPr>
        <w:pStyle w:val="EndnoteText"/>
      </w:pPr>
      <w:r>
        <w:rPr>
          <w:rStyle w:val="EndnoteReference"/>
        </w:rPr>
        <w:endnoteRef/>
      </w:r>
      <w:r>
        <w:t xml:space="preserve"> </w:t>
      </w:r>
      <w:r>
        <w:rPr>
          <w:i/>
        </w:rPr>
        <w:t xml:space="preserve">Convention on the Rights of the Child, </w:t>
      </w:r>
      <w:r>
        <w:t>1990, art 28(e).</w:t>
      </w:r>
    </w:p>
  </w:endnote>
  <w:endnote w:id="105">
    <w:p w14:paraId="3E0BDC1E" w14:textId="77777777" w:rsidR="00643212" w:rsidRPr="00BA01CC" w:rsidRDefault="00643212" w:rsidP="00F12219">
      <w:pPr>
        <w:pStyle w:val="EndnoteText"/>
      </w:pPr>
      <w:r>
        <w:rPr>
          <w:rStyle w:val="EndnoteReference"/>
        </w:rPr>
        <w:endnoteRef/>
      </w:r>
      <w:r>
        <w:t xml:space="preserve"> </w:t>
      </w:r>
      <w:r>
        <w:rPr>
          <w:i/>
        </w:rPr>
        <w:t xml:space="preserve">International Covenant on Economic, Social, and Cultural Rights 1966, </w:t>
      </w:r>
      <w:r>
        <w:t xml:space="preserve">art 9; </w:t>
      </w:r>
      <w:r>
        <w:rPr>
          <w:i/>
        </w:rPr>
        <w:t>Universal Declaration of Human Rights</w:t>
      </w:r>
      <w:r w:rsidRPr="00AC7661">
        <w:t>, 1948,</w:t>
      </w:r>
      <w:r>
        <w:rPr>
          <w:i/>
        </w:rPr>
        <w:t xml:space="preserve"> </w:t>
      </w:r>
      <w:r>
        <w:t xml:space="preserve">art 22. </w:t>
      </w:r>
    </w:p>
  </w:endnote>
  <w:endnote w:id="106">
    <w:p w14:paraId="6808488F" w14:textId="77777777" w:rsidR="00643212" w:rsidRDefault="00643212" w:rsidP="00F12219">
      <w:pPr>
        <w:pStyle w:val="EndnoteText"/>
      </w:pPr>
      <w:r>
        <w:rPr>
          <w:rStyle w:val="EndnoteReference"/>
        </w:rPr>
        <w:endnoteRef/>
      </w:r>
      <w:r>
        <w:t xml:space="preserve"> </w:t>
      </w:r>
      <w:r w:rsidRPr="00FE3047">
        <w:rPr>
          <w:i/>
        </w:rPr>
        <w:t>United Nations Convention on the Rights of the Child</w:t>
      </w:r>
      <w:r w:rsidRPr="00FE3047">
        <w:t>, 1989, arts 3, 26.</w:t>
      </w:r>
    </w:p>
  </w:endnote>
  <w:endnote w:id="107">
    <w:p w14:paraId="20D471BD" w14:textId="6B0599C2" w:rsidR="00643212" w:rsidRPr="006D7C60" w:rsidRDefault="00643212" w:rsidP="00F12219">
      <w:pPr>
        <w:pStyle w:val="EndnoteText"/>
        <w:rPr>
          <w:rFonts w:cs="Arial"/>
        </w:rPr>
      </w:pPr>
      <w:r w:rsidRPr="00FD5329">
        <w:rPr>
          <w:rStyle w:val="EndnoteReference"/>
          <w:rFonts w:cs="Arial"/>
        </w:rPr>
        <w:endnoteRef/>
      </w:r>
      <w:r w:rsidRPr="00FD5329">
        <w:rPr>
          <w:rFonts w:cs="Arial"/>
        </w:rPr>
        <w:t xml:space="preserve"> Department of Employment</w:t>
      </w:r>
      <w:r w:rsidRPr="006D7C60">
        <w:rPr>
          <w:rFonts w:cs="Arial"/>
        </w:rPr>
        <w:t xml:space="preserve"> and Workplace Relations, </w:t>
      </w:r>
      <w:r w:rsidRPr="00AC7661">
        <w:rPr>
          <w:rFonts w:cs="Arial"/>
          <w:i/>
        </w:rPr>
        <w:t xml:space="preserve">Halls Creek </w:t>
      </w:r>
      <w:r w:rsidRPr="00AC7661">
        <w:rPr>
          <w:rFonts w:cs="Arial"/>
          <w:i/>
          <w:iCs/>
        </w:rPr>
        <w:t xml:space="preserve">Engaging Families </w:t>
      </w:r>
      <w:r w:rsidRPr="00AC7661">
        <w:rPr>
          <w:rFonts w:cs="Arial"/>
          <w:i/>
        </w:rPr>
        <w:t>Trial, February–July 2006: Evaluation Report</w:t>
      </w:r>
      <w:r w:rsidRPr="006D7C60">
        <w:rPr>
          <w:rFonts w:cs="Arial"/>
        </w:rPr>
        <w:t xml:space="preserve">, </w:t>
      </w:r>
      <w:r>
        <w:rPr>
          <w:rFonts w:cs="Arial"/>
        </w:rPr>
        <w:t>(</w:t>
      </w:r>
      <w:r w:rsidRPr="006D7C60">
        <w:rPr>
          <w:rFonts w:cs="Arial"/>
        </w:rPr>
        <w:t>2006</w:t>
      </w:r>
      <w:r>
        <w:rPr>
          <w:rFonts w:cs="Arial"/>
        </w:rPr>
        <w:t>), p 12.</w:t>
      </w:r>
      <w:r w:rsidRPr="006D7C60">
        <w:rPr>
          <w:rFonts w:cs="Arial"/>
        </w:rPr>
        <w:t xml:space="preserve"> </w:t>
      </w:r>
      <w:r>
        <w:rPr>
          <w:rFonts w:cs="Arial"/>
        </w:rPr>
        <w:t xml:space="preserve">At </w:t>
      </w:r>
      <w:r w:rsidRPr="006D7C60">
        <w:rPr>
          <w:rFonts w:cs="Arial"/>
          <w:u w:val="single"/>
        </w:rPr>
        <w:t>http://mediacentre.dewr.gov.au/NR/rdonlyres/2B10D46E-592B-4531-B149-A5B91E69A13E/0/KA265HallsCreekEngagingFamiliesReport4October.pdf</w:t>
      </w:r>
      <w:r>
        <w:rPr>
          <w:rFonts w:cs="Arial"/>
        </w:rPr>
        <w:t xml:space="preserve"> (also citing </w:t>
      </w:r>
      <w:r w:rsidRPr="006D7C60">
        <w:rPr>
          <w:rFonts w:cs="Arial"/>
        </w:rPr>
        <w:t>Australian Council of Educational Research, 1998</w:t>
      </w:r>
      <w:r>
        <w:rPr>
          <w:rFonts w:cs="Arial"/>
        </w:rPr>
        <w:t>)</w:t>
      </w:r>
      <w:r w:rsidRPr="006D7C60">
        <w:rPr>
          <w:rFonts w:cs="Arial"/>
        </w:rPr>
        <w:t xml:space="preserve">; </w:t>
      </w:r>
      <w:r>
        <w:rPr>
          <w:rFonts w:cs="Arial"/>
          <w:color w:val="000000"/>
        </w:rPr>
        <w:t>D Fein, W Lee and C</w:t>
      </w:r>
      <w:r w:rsidRPr="006D7C60">
        <w:rPr>
          <w:rFonts w:cs="Arial"/>
          <w:color w:val="000000"/>
        </w:rPr>
        <w:t xml:space="preserve"> Schofield, </w:t>
      </w:r>
      <w:r w:rsidRPr="006D7C60">
        <w:rPr>
          <w:rFonts w:cs="Arial"/>
          <w:i/>
          <w:color w:val="000000"/>
        </w:rPr>
        <w:t>The ABC Evaluation: Do Welfare Recipients’ Children Have a School Attendance Problem</w:t>
      </w:r>
      <w:proofErr w:type="gramStart"/>
      <w:r w:rsidRPr="006D7C60">
        <w:rPr>
          <w:rFonts w:cs="Arial"/>
          <w:color w:val="000000"/>
        </w:rPr>
        <w:t>?</w:t>
      </w:r>
      <w:r>
        <w:rPr>
          <w:rFonts w:cs="Arial"/>
          <w:color w:val="000000"/>
        </w:rPr>
        <w:t>(</w:t>
      </w:r>
      <w:proofErr w:type="gramEnd"/>
      <w:r>
        <w:rPr>
          <w:rFonts w:cs="Arial"/>
          <w:color w:val="000000"/>
        </w:rPr>
        <w:t>1999)</w:t>
      </w:r>
      <w:r w:rsidRPr="006D7C60">
        <w:rPr>
          <w:rFonts w:cs="Arial"/>
          <w:color w:val="000000"/>
        </w:rPr>
        <w:t xml:space="preserve"> Del</w:t>
      </w:r>
      <w:r>
        <w:rPr>
          <w:rFonts w:cs="Arial"/>
          <w:color w:val="000000"/>
        </w:rPr>
        <w:t>a</w:t>
      </w:r>
      <w:r w:rsidRPr="006D7C60">
        <w:rPr>
          <w:rFonts w:cs="Arial"/>
          <w:color w:val="000000"/>
        </w:rPr>
        <w:t>ware Health and Social</w:t>
      </w:r>
      <w:r>
        <w:rPr>
          <w:rFonts w:cs="Arial"/>
          <w:color w:val="000000"/>
        </w:rPr>
        <w:t xml:space="preserve"> Services, Delaware.</w:t>
      </w:r>
    </w:p>
  </w:endnote>
  <w:endnote w:id="108">
    <w:p w14:paraId="111C26B2" w14:textId="77777777" w:rsidR="00643212" w:rsidRDefault="00643212" w:rsidP="00F12219">
      <w:pPr>
        <w:spacing w:before="0" w:after="0"/>
        <w:rPr>
          <w:rFonts w:cs="Arial"/>
          <w:sz w:val="20"/>
          <w:szCs w:val="20"/>
        </w:rPr>
      </w:pPr>
      <w:r>
        <w:rPr>
          <w:rStyle w:val="EndnoteReference"/>
          <w:szCs w:val="20"/>
        </w:rPr>
        <w:endnoteRef/>
      </w:r>
      <w:r>
        <w:rPr>
          <w:rFonts w:cs="Arial"/>
          <w:sz w:val="20"/>
          <w:szCs w:val="20"/>
        </w:rPr>
        <w:t xml:space="preserve"> Australian Bureau of Statistics, ‘Basic Community Profile – Katherine (UCL 703600), 15.8 sq. Kms’, 2001 Census of Population and Housing. At </w:t>
      </w:r>
      <w:hyperlink r:id="rId75" w:anchor="Basic%20Community%20Profile" w:history="1">
        <w:r>
          <w:rPr>
            <w:rStyle w:val="Hyperlink"/>
            <w:rFonts w:cs="Arial"/>
            <w:sz w:val="20"/>
            <w:szCs w:val="20"/>
          </w:rPr>
          <w:t>http://www.censusdata.abs.gov.au/ABSNavigation/prenav/ViewData?&amp;action=404&amp;documentproductno=UCL703600&amp;documenttype=Details&amp;tabname=Details&amp;areacode=UCL703600&amp;issue=2001&amp;producttype=Community%20Profiles&amp;&amp;producttype=Community%20Profiles&amp;textversion=false&amp;navmapdisplayed=true&amp;breadcrumb=LPD&amp;#Basic%20Community%20Profile</w:t>
        </w:r>
      </w:hyperlink>
      <w:r>
        <w:rPr>
          <w:rFonts w:cs="Arial"/>
          <w:sz w:val="20"/>
          <w:szCs w:val="20"/>
        </w:rPr>
        <w:t xml:space="preserve"> (viewed 18 January 2012).</w:t>
      </w:r>
    </w:p>
  </w:endnote>
  <w:endnote w:id="109">
    <w:p w14:paraId="000535A3" w14:textId="4CABBB43" w:rsidR="00643212" w:rsidRDefault="00643212" w:rsidP="00AF452E">
      <w:pPr>
        <w:pStyle w:val="EndnoteText"/>
      </w:pPr>
      <w:r>
        <w:rPr>
          <w:rStyle w:val="EndnoteReference"/>
        </w:rPr>
        <w:endnoteRef/>
      </w:r>
      <w:r>
        <w:t xml:space="preserve"> For example, in the Northern Territory the attendance rates for Aboriginal and Torres Strait Islander children in Term 3, </w:t>
      </w:r>
      <w:proofErr w:type="gramStart"/>
      <w:r>
        <w:t>2011  was</w:t>
      </w:r>
      <w:proofErr w:type="gramEnd"/>
      <w:r>
        <w:t xml:space="preserve"> 65.2% compared with 90.4% for non-Indigenous children: Northern Territory Department of Education and Training, </w:t>
      </w:r>
      <w:r>
        <w:rPr>
          <w:i/>
        </w:rPr>
        <w:t xml:space="preserve">Enrolment and attendance statistics (2011). </w:t>
      </w:r>
      <w:r w:rsidRPr="00CA395B">
        <w:t>At</w:t>
      </w:r>
      <w:r>
        <w:t xml:space="preserve"> </w:t>
      </w:r>
      <w:hyperlink r:id="rId76" w:history="1">
        <w:r>
          <w:rPr>
            <w:rStyle w:val="Hyperlink"/>
          </w:rPr>
          <w:t>http://www.det.nt.gov.au/students/at-school/enrolment-attendance/enrolment-attendance-statistics</w:t>
        </w:r>
      </w:hyperlink>
      <w:r>
        <w:t xml:space="preserve"> (viewed 12 January 2012).</w:t>
      </w:r>
    </w:p>
  </w:endnote>
  <w:endnote w:id="110">
    <w:p w14:paraId="62E75FD1" w14:textId="77777777" w:rsidR="00643212" w:rsidRDefault="00643212" w:rsidP="00AF452E">
      <w:pPr>
        <w:pStyle w:val="EndnoteText"/>
      </w:pPr>
      <w:r>
        <w:rPr>
          <w:rStyle w:val="EndnoteReference"/>
        </w:rPr>
        <w:endnoteRef/>
      </w:r>
      <w:r>
        <w:t xml:space="preserve"> This may also be a concern in areas such as Cannington, one of the selected trial sites, where there are a high proportion of cultural and linguistically diverse communities.</w:t>
      </w:r>
      <w:r>
        <w:rPr>
          <w:rFonts w:cs="Arial"/>
          <w:color w:val="000000"/>
        </w:rPr>
        <w:t xml:space="preserve"> The Commission notes care must similarly be given to </w:t>
      </w:r>
      <w:r>
        <w:t xml:space="preserve">ensuring the Bill does not have a disproportionate impact on culturally and linguistically diverse communities. </w:t>
      </w:r>
    </w:p>
  </w:endnote>
  <w:endnote w:id="111">
    <w:p w14:paraId="6153B835" w14:textId="48AAD6E0" w:rsidR="00643212" w:rsidRDefault="00643212" w:rsidP="00F12219">
      <w:pPr>
        <w:pStyle w:val="EndnoteText"/>
      </w:pPr>
      <w:r>
        <w:rPr>
          <w:rStyle w:val="EndnoteReference"/>
        </w:rPr>
        <w:endnoteRef/>
      </w:r>
      <w:r>
        <w:t xml:space="preserve"> For further discussion see T Calma, Aboriginal and Torres Strait Islander Social Justice Commissioner, </w:t>
      </w:r>
      <w:r>
        <w:rPr>
          <w:i/>
        </w:rPr>
        <w:t>Native Title Report 2007</w:t>
      </w:r>
      <w:r>
        <w:t xml:space="preserve">, Human Rights and Equal Opportunity Commission (2008), pp 273-276. At </w:t>
      </w:r>
      <w:hyperlink r:id="rId77" w:history="1">
        <w:r w:rsidRPr="00451B44">
          <w:rPr>
            <w:rStyle w:val="Hyperlink"/>
          </w:rPr>
          <w:t>http://www.humanrights.gov.au/social_justice/sj_report/sjreport07/index.html</w:t>
        </w:r>
      </w:hyperlink>
      <w:r>
        <w:t xml:space="preserve"> (viewed 30 January 2012). Also see</w:t>
      </w:r>
      <w:r>
        <w:rPr>
          <w:lang w:val="en"/>
        </w:rPr>
        <w:t xml:space="preserve"> General Comment 20 on the implementation of ICESCR by the United Nations Committee on Economic, Social and Cultural Rights: UN Doc: E/C. 12/GC/20/CRP. 1. At: </w:t>
      </w:r>
      <w:hyperlink r:id="rId78" w:history="1">
        <w:r>
          <w:rPr>
            <w:rStyle w:val="Hyperlink"/>
            <w:lang w:val="en"/>
          </w:rPr>
          <w:t>http://www2.ohchr.org/english/bodies/cescr/comments.htm</w:t>
        </w:r>
      </w:hyperlink>
      <w:r>
        <w:rPr>
          <w:lang w:val="en"/>
        </w:rPr>
        <w:t xml:space="preserve"> (viewed 30 January 2012).</w:t>
      </w:r>
    </w:p>
  </w:endnote>
  <w:endnote w:id="112">
    <w:p w14:paraId="63CEA471" w14:textId="77777777" w:rsidR="00643212" w:rsidRDefault="00643212" w:rsidP="00F12219">
      <w:pPr>
        <w:pStyle w:val="EndnoteText"/>
      </w:pPr>
      <w:r>
        <w:rPr>
          <w:rStyle w:val="EndnoteReference"/>
        </w:rPr>
        <w:endnoteRef/>
      </w:r>
      <w:r>
        <w:t xml:space="preserve"> Australian Government, </w:t>
      </w:r>
      <w:r>
        <w:rPr>
          <w:i/>
        </w:rPr>
        <w:t xml:space="preserve">Stronger Futures in the Northern Territory Discussion paper </w:t>
      </w:r>
      <w:r>
        <w:t xml:space="preserve">(2011), p 10. At </w:t>
      </w:r>
      <w:hyperlink r:id="rId79" w:history="1">
        <w:r w:rsidRPr="00661643">
          <w:rPr>
            <w:rStyle w:val="Hyperlink"/>
          </w:rPr>
          <w:t>http://www.indigenous.gov.au/stronger-futures-in-the-northern-territory/</w:t>
        </w:r>
      </w:hyperlink>
      <w:r>
        <w:t xml:space="preserve"> (viewed 18 January 2012).</w:t>
      </w:r>
    </w:p>
  </w:endnote>
  <w:endnote w:id="113">
    <w:p w14:paraId="09875F11" w14:textId="77777777" w:rsidR="00643212" w:rsidRDefault="00643212" w:rsidP="00F12219">
      <w:pPr>
        <w:pStyle w:val="EndnoteText"/>
      </w:pPr>
      <w:r>
        <w:rPr>
          <w:rStyle w:val="EndnoteReference"/>
        </w:rPr>
        <w:endnoteRef/>
      </w:r>
      <w:r>
        <w:t xml:space="preserve"> Department of Employment and Workplace Relations, </w:t>
      </w:r>
      <w:r>
        <w:rPr>
          <w:i/>
        </w:rPr>
        <w:t xml:space="preserve">Improving School Enrolment and Attendance through Welfare Reform Measure (SEAM): Evaluation Report for the Northern Territory in 2009 with early findings for 2010 </w:t>
      </w:r>
      <w:r>
        <w:t>(2011), p 25.</w:t>
      </w:r>
    </w:p>
  </w:endnote>
  <w:endnote w:id="114">
    <w:p w14:paraId="2956C4C0" w14:textId="77777777" w:rsidR="00643212" w:rsidRDefault="00643212" w:rsidP="00F12219">
      <w:pPr>
        <w:pStyle w:val="EndnoteText"/>
      </w:pPr>
      <w:r>
        <w:rPr>
          <w:rStyle w:val="EndnoteReference"/>
        </w:rPr>
        <w:endnoteRef/>
      </w:r>
      <w:r>
        <w:t xml:space="preserve"> Australian Government, </w:t>
      </w:r>
      <w:r>
        <w:rPr>
          <w:i/>
        </w:rPr>
        <w:t xml:space="preserve">Stronger Futures in the Northern Territory: Report on Consultations </w:t>
      </w:r>
      <w:r>
        <w:t xml:space="preserve">(2011), p 23. At </w:t>
      </w:r>
      <w:hyperlink r:id="rId80" w:history="1">
        <w:r w:rsidRPr="00661643">
          <w:rPr>
            <w:rStyle w:val="Hyperlink"/>
          </w:rPr>
          <w:t>http://www.indigenous.gov.au/stronger-futures-in-the-northern-territory-report-on-consultations/</w:t>
        </w:r>
      </w:hyperlink>
      <w:r>
        <w:t xml:space="preserve"> (viewed 18 January 2012).</w:t>
      </w:r>
    </w:p>
  </w:endnote>
  <w:endnote w:id="115">
    <w:p w14:paraId="00C6CEB9" w14:textId="77777777" w:rsidR="00643212" w:rsidRDefault="00643212" w:rsidP="00F12219">
      <w:pPr>
        <w:pStyle w:val="EndnoteText"/>
      </w:pPr>
      <w:r>
        <w:rPr>
          <w:rStyle w:val="EndnoteReference"/>
        </w:rPr>
        <w:endnoteRef/>
      </w:r>
      <w:r>
        <w:t xml:space="preserve"> Australian Government, </w:t>
      </w:r>
      <w:r>
        <w:rPr>
          <w:i/>
        </w:rPr>
        <w:t xml:space="preserve">Stronger Futures in the Northern Territory: Report on Consultations </w:t>
      </w:r>
      <w:r>
        <w:t xml:space="preserve">(2011), p 24. At </w:t>
      </w:r>
      <w:hyperlink r:id="rId81" w:history="1">
        <w:r w:rsidRPr="00661643">
          <w:rPr>
            <w:rStyle w:val="Hyperlink"/>
          </w:rPr>
          <w:t>http://www.indigenous.gov.au/stronger-futures-in-the-northern-territory-report-on-consultations/</w:t>
        </w:r>
      </w:hyperlink>
      <w:r>
        <w:t xml:space="preserve"> (viewed 18 January 2012).</w:t>
      </w:r>
    </w:p>
  </w:endnote>
  <w:endnote w:id="116">
    <w:p w14:paraId="65F541EE" w14:textId="77777777" w:rsidR="00643212" w:rsidRDefault="00643212" w:rsidP="00F12219">
      <w:pPr>
        <w:pStyle w:val="EndnoteText"/>
      </w:pPr>
      <w:r>
        <w:rPr>
          <w:rStyle w:val="EndnoteReference"/>
        </w:rPr>
        <w:endnoteRef/>
      </w:r>
      <w:r>
        <w:t xml:space="preserve"> Concerned Australians, </w:t>
      </w:r>
      <w:r>
        <w:rPr>
          <w:i/>
        </w:rPr>
        <w:t xml:space="preserve">Cuts to Welfare Payments for School Non-Attendance: Requested or Imposed? </w:t>
      </w:r>
      <w:r>
        <w:t xml:space="preserve">(2011), p 14. At </w:t>
      </w:r>
      <w:hyperlink r:id="rId82" w:history="1">
        <w:r w:rsidRPr="00661643">
          <w:rPr>
            <w:rStyle w:val="Hyperlink"/>
          </w:rPr>
          <w:t>http://www.concernedaustralians.com.au/</w:t>
        </w:r>
      </w:hyperlink>
      <w:r>
        <w:t xml:space="preserve"> (viewed 18 January 2012).</w:t>
      </w:r>
    </w:p>
  </w:endnote>
  <w:endnote w:id="117">
    <w:p w14:paraId="0CEF468B" w14:textId="77777777" w:rsidR="00643212" w:rsidRDefault="00643212" w:rsidP="00F12219">
      <w:pPr>
        <w:pStyle w:val="EndnoteText"/>
      </w:pPr>
      <w:r>
        <w:rPr>
          <w:rStyle w:val="EndnoteReference"/>
        </w:rPr>
        <w:endnoteRef/>
      </w:r>
      <w:r>
        <w:t xml:space="preserve"> Australian Government, </w:t>
      </w:r>
      <w:r>
        <w:rPr>
          <w:i/>
        </w:rPr>
        <w:t xml:space="preserve">Stronger Futures in the Northern Territory: Report on Consultations </w:t>
      </w:r>
      <w:r>
        <w:t xml:space="preserve">(2011), p 20. At </w:t>
      </w:r>
      <w:hyperlink r:id="rId83" w:history="1">
        <w:r w:rsidRPr="00661643">
          <w:rPr>
            <w:rStyle w:val="Hyperlink"/>
          </w:rPr>
          <w:t>http://www.indigenous.gov.au/stronger-futures-in-the-northern-territory-report-on-consultations/</w:t>
        </w:r>
      </w:hyperlink>
      <w:r>
        <w:t xml:space="preserve"> (viewed 18 January 2012).</w:t>
      </w:r>
    </w:p>
  </w:endnote>
  <w:endnote w:id="118">
    <w:p w14:paraId="527203D5" w14:textId="77777777" w:rsidR="00643212" w:rsidRDefault="00643212" w:rsidP="00F12219">
      <w:pPr>
        <w:pStyle w:val="EndnoteText"/>
      </w:pPr>
      <w:r>
        <w:rPr>
          <w:rStyle w:val="EndnoteReference"/>
        </w:rPr>
        <w:endnoteRef/>
      </w:r>
      <w:r>
        <w:t xml:space="preserve"> Australian Government, </w:t>
      </w:r>
      <w:r>
        <w:rPr>
          <w:i/>
        </w:rPr>
        <w:t xml:space="preserve">Stronger Futures in the Northern Territory: Report on Consultations </w:t>
      </w:r>
      <w:r>
        <w:t xml:space="preserve">(2011), p 22. At </w:t>
      </w:r>
      <w:hyperlink r:id="rId84" w:history="1">
        <w:r w:rsidRPr="00661643">
          <w:rPr>
            <w:rStyle w:val="Hyperlink"/>
          </w:rPr>
          <w:t>http://www.indigenous.gov.au/stronger-futures-in-the-northern-territory-report-on-consultations/</w:t>
        </w:r>
      </w:hyperlink>
      <w:r>
        <w:t xml:space="preserve"> (viewed 18 January 2012).</w:t>
      </w:r>
    </w:p>
  </w:endnote>
  <w:endnote w:id="119">
    <w:p w14:paraId="7B09EB33" w14:textId="77777777" w:rsidR="00643212" w:rsidRDefault="00643212" w:rsidP="00F12219">
      <w:pPr>
        <w:pStyle w:val="EndnoteText"/>
      </w:pPr>
      <w:r>
        <w:rPr>
          <w:rStyle w:val="EndnoteReference"/>
        </w:rPr>
        <w:endnoteRef/>
      </w:r>
      <w:r>
        <w:t xml:space="preserve"> Australian Government, </w:t>
      </w:r>
      <w:r>
        <w:rPr>
          <w:i/>
        </w:rPr>
        <w:t xml:space="preserve">Stronger Futures in the Northern Territory: Report on Consultations </w:t>
      </w:r>
      <w:r>
        <w:t xml:space="preserve">(2011), p 26. At </w:t>
      </w:r>
      <w:hyperlink r:id="rId85" w:history="1">
        <w:r w:rsidRPr="00661643">
          <w:rPr>
            <w:rStyle w:val="Hyperlink"/>
          </w:rPr>
          <w:t>http://www.indigenous.gov.au/stronger-futures-in-the-northern-territory-report-on-consultations/</w:t>
        </w:r>
      </w:hyperlink>
      <w:r>
        <w:t xml:space="preserve"> (viewed 18 January 2012).</w:t>
      </w:r>
    </w:p>
  </w:endnote>
  <w:endnote w:id="120">
    <w:p w14:paraId="46910826" w14:textId="733BE3F6" w:rsidR="00643212" w:rsidRDefault="00643212" w:rsidP="00F12219">
      <w:pPr>
        <w:pStyle w:val="EndnoteText"/>
      </w:pPr>
      <w:r>
        <w:rPr>
          <w:rStyle w:val="EndnoteReference"/>
        </w:rPr>
        <w:endnoteRef/>
      </w:r>
      <w:r>
        <w:t xml:space="preserve"> Evidence from an Australian study also demonstrates marginally better English literacy outcomes for students from bilingual schools at the end of primary school compared with students from non-bilingual schools with similar languages, demography and contact histories: Department of Employment, Education and Training, Northern Territory Government, </w:t>
      </w:r>
      <w:r>
        <w:rPr>
          <w:i/>
          <w:iCs/>
        </w:rPr>
        <w:t>Indigenous Languages and Culture in Northern Territory Schools Report 2004 – 2005</w:t>
      </w:r>
      <w:r>
        <w:t xml:space="preserve"> (2004), </w:t>
      </w:r>
      <w:proofErr w:type="spellStart"/>
      <w:r>
        <w:t>pp</w:t>
      </w:r>
      <w:proofErr w:type="spellEnd"/>
      <w:r>
        <w:t xml:space="preserve"> 34-37. At </w:t>
      </w:r>
      <w:hyperlink r:id="rId86" w:history="1">
        <w:r>
          <w:rPr>
            <w:rStyle w:val="Hyperlink"/>
          </w:rPr>
          <w:t>http://www.det.nt.gov.au/__data/assets/pdf_file/0009/5130/ILCreport.pdf</w:t>
        </w:r>
      </w:hyperlink>
      <w:r>
        <w:t xml:space="preserve"> (viewed 13 December 2010). Also see recent reports which suggest that National Assessment Program Literacy and Numeracy (NAPLAN) results have fallen in some schools in the Northern Territory where bilingual education was stopped: M Schliebs, ‘Four hours of English policy hitting test results’, </w:t>
      </w:r>
      <w:r>
        <w:rPr>
          <w:i/>
        </w:rPr>
        <w:t xml:space="preserve">The Australian, </w:t>
      </w:r>
      <w:r>
        <w:t>16 November 2010.</w:t>
      </w:r>
    </w:p>
  </w:endnote>
  <w:endnote w:id="121">
    <w:p w14:paraId="44F28720" w14:textId="77777777" w:rsidR="00643212" w:rsidRDefault="00643212" w:rsidP="00F12219">
      <w:pPr>
        <w:pStyle w:val="EndnoteText"/>
      </w:pPr>
      <w:r>
        <w:rPr>
          <w:rStyle w:val="EndnoteReference"/>
        </w:rPr>
        <w:endnoteRef/>
      </w:r>
      <w:r>
        <w:t xml:space="preserve"> Explanatory Memorandum, Social Security Legislation Amendment Bill 2011 (Cth), p 14.</w:t>
      </w:r>
    </w:p>
  </w:endnote>
  <w:endnote w:id="122">
    <w:p w14:paraId="2736B0FE" w14:textId="77777777" w:rsidR="00643212" w:rsidRDefault="00643212" w:rsidP="00F12219">
      <w:pPr>
        <w:pStyle w:val="EndnoteText"/>
      </w:pPr>
      <w:r>
        <w:rPr>
          <w:rStyle w:val="EndnoteReference"/>
        </w:rPr>
        <w:endnoteRef/>
      </w:r>
      <w:r>
        <w:t xml:space="preserve"> Social Security Legislation Amendment Bill 2011 (Cth), item 11, s 124NE(2).</w:t>
      </w:r>
    </w:p>
  </w:endnote>
  <w:endnote w:id="123">
    <w:p w14:paraId="7830B5FE" w14:textId="77777777" w:rsidR="00643212" w:rsidRDefault="00643212" w:rsidP="00F12219">
      <w:pPr>
        <w:pStyle w:val="EndnoteText"/>
      </w:pPr>
      <w:r>
        <w:rPr>
          <w:rStyle w:val="EndnoteReference"/>
        </w:rPr>
        <w:endnoteRef/>
      </w:r>
      <w:r>
        <w:t xml:space="preserve"> Social Security Legislation Amendment Bill 2011 (Cth), item 11, s 124NG.</w:t>
      </w:r>
    </w:p>
  </w:endnote>
  <w:endnote w:id="124">
    <w:p w14:paraId="7FC2DA8A" w14:textId="77777777" w:rsidR="00643212" w:rsidRDefault="00643212" w:rsidP="00F12219">
      <w:pPr>
        <w:pStyle w:val="EndnoteText"/>
      </w:pPr>
      <w:r>
        <w:rPr>
          <w:rStyle w:val="EndnoteReference"/>
        </w:rPr>
        <w:endnoteRef/>
      </w:r>
      <w:r>
        <w:t xml:space="preserve"> D Gray and E Wilkes, </w:t>
      </w:r>
      <w:r w:rsidRPr="00FA5E5F">
        <w:rPr>
          <w:i/>
        </w:rPr>
        <w:t>Reducing alcohol and other drug related harm</w:t>
      </w:r>
      <w:r>
        <w:t xml:space="preserve">, Closing the gap clearinghouse Resource sheet no. 3 (2010), p 1. At </w:t>
      </w:r>
      <w:hyperlink r:id="rId87" w:history="1">
        <w:r w:rsidRPr="000C38AE">
          <w:rPr>
            <w:rStyle w:val="Hyperlink"/>
          </w:rPr>
          <w:t>http://www.aihw.gov.au/closingthegap/documents/resource_sheets/ctgc-rs03.rtf</w:t>
        </w:r>
      </w:hyperlink>
      <w:r>
        <w:t xml:space="preserve"> (viewed 22 November 2011).</w:t>
      </w:r>
    </w:p>
  </w:endnote>
  <w:endnote w:id="125">
    <w:p w14:paraId="7146D757" w14:textId="77777777" w:rsidR="00643212" w:rsidRDefault="00643212" w:rsidP="008000B0">
      <w:pPr>
        <w:pStyle w:val="EndnoteText"/>
      </w:pPr>
      <w:r>
        <w:rPr>
          <w:rStyle w:val="EndnoteReference"/>
        </w:rPr>
        <w:endnoteRef/>
      </w:r>
      <w:r>
        <w:t xml:space="preserve"> D Gray and E Wilkes, </w:t>
      </w:r>
      <w:r w:rsidRPr="00FA5E5F">
        <w:rPr>
          <w:i/>
        </w:rPr>
        <w:t>Reducing alcohol and other drug related harm</w:t>
      </w:r>
      <w:r>
        <w:t xml:space="preserve">, Closing the gap clearinghouse Resource sheet no. 3 (2010), p 2. At </w:t>
      </w:r>
      <w:hyperlink r:id="rId88" w:history="1">
        <w:r w:rsidRPr="000C38AE">
          <w:rPr>
            <w:rStyle w:val="Hyperlink"/>
          </w:rPr>
          <w:t>http://www.aihw.gov.au/closingthegap/documents/resource_sheets/ctgc-rs03.rtf</w:t>
        </w:r>
      </w:hyperlink>
      <w:r>
        <w:t xml:space="preserve"> (viewed 22 November 2011).</w:t>
      </w:r>
    </w:p>
  </w:endnote>
  <w:endnote w:id="126">
    <w:p w14:paraId="45C02482" w14:textId="77777777" w:rsidR="00643212" w:rsidRDefault="00643212" w:rsidP="008000B0">
      <w:pPr>
        <w:pStyle w:val="EndnoteText"/>
      </w:pPr>
      <w:r w:rsidRPr="008000B0">
        <w:rPr>
          <w:vertAlign w:val="superscript"/>
        </w:rPr>
        <w:endnoteRef/>
      </w:r>
      <w:r>
        <w:t xml:space="preserve"> </w:t>
      </w:r>
      <w:r w:rsidRPr="008000B0">
        <w:t>Morton</w:t>
      </w:r>
      <w:r w:rsidRPr="00C81EA4">
        <w:rPr>
          <w:i/>
        </w:rPr>
        <w:t xml:space="preserve"> v Queensland Police Service </w:t>
      </w:r>
      <w:r w:rsidRPr="00C81EA4">
        <w:t xml:space="preserve">[2010] QCA 160 [20] (McMurdo P). </w:t>
      </w:r>
      <w:r>
        <w:t xml:space="preserve">See also: </w:t>
      </w:r>
      <w:r w:rsidRPr="00501C3E">
        <w:rPr>
          <w:i/>
        </w:rPr>
        <w:t>Gerhardy</w:t>
      </w:r>
      <w:r w:rsidRPr="00501C3E">
        <w:t xml:space="preserve"> </w:t>
      </w:r>
      <w:r>
        <w:rPr>
          <w:i/>
        </w:rPr>
        <w:t xml:space="preserve">v </w:t>
      </w:r>
      <w:r w:rsidRPr="00501C3E">
        <w:rPr>
          <w:i/>
        </w:rPr>
        <w:t>Brown</w:t>
      </w:r>
      <w:r>
        <w:rPr>
          <w:i/>
        </w:rPr>
        <w:t xml:space="preserve"> </w:t>
      </w:r>
      <w:r w:rsidRPr="00501C3E">
        <w:t>[1984-1985] 159 CLR 70</w:t>
      </w:r>
      <w:r>
        <w:t xml:space="preserve">. </w:t>
      </w:r>
      <w:r w:rsidRPr="00DC7B08">
        <w:t>Mason J at 101</w:t>
      </w:r>
      <w:r>
        <w:t xml:space="preserve"> states that the ‘expression (human rights) i</w:t>
      </w:r>
      <w:r w:rsidRPr="00501C3E">
        <w:t>ncludes claims of individuals as members of a racial or ethnic group to equal treatment of the members of that group in common with other persons and to the protection and preservation of the cultural and spiritual heritage of that group’</w:t>
      </w:r>
      <w:r>
        <w:t>.</w:t>
      </w:r>
    </w:p>
  </w:endnote>
  <w:endnote w:id="127">
    <w:p w14:paraId="77456B76" w14:textId="5D02320E" w:rsidR="00643212" w:rsidRPr="006B196C" w:rsidRDefault="00643212" w:rsidP="00F025F8">
      <w:pPr>
        <w:pStyle w:val="EndnoteText"/>
      </w:pPr>
      <w:r>
        <w:rPr>
          <w:rStyle w:val="EndnoteReference"/>
        </w:rPr>
        <w:endnoteRef/>
      </w:r>
      <w:r>
        <w:t xml:space="preserve"> </w:t>
      </w:r>
      <w:r>
        <w:rPr>
          <w:i/>
        </w:rPr>
        <w:t xml:space="preserve">Gerhardy v Brown </w:t>
      </w:r>
      <w:r>
        <w:t xml:space="preserve">[1984-1985] 159 CLR 70, 135 (Brennan J). Cf </w:t>
      </w:r>
      <w:r>
        <w:rPr>
          <w:i/>
        </w:rPr>
        <w:t xml:space="preserve">Morton v Queensland Police Service </w:t>
      </w:r>
      <w:r>
        <w:t>[2010] QCA 160.</w:t>
      </w:r>
    </w:p>
  </w:endnote>
  <w:endnote w:id="128">
    <w:p w14:paraId="3D387EB6" w14:textId="4BF80A74" w:rsidR="00643212" w:rsidRDefault="00643212" w:rsidP="006B196C">
      <w:pPr>
        <w:pStyle w:val="EndnoteText"/>
      </w:pPr>
      <w:r>
        <w:rPr>
          <w:rStyle w:val="EndnoteReference"/>
        </w:rPr>
        <w:endnoteRef/>
      </w:r>
      <w:r>
        <w:t xml:space="preserve"> Australian Human Rights Commission, </w:t>
      </w:r>
      <w:r>
        <w:rPr>
          <w:i/>
        </w:rPr>
        <w:t>Submission to the Senate Community Affairs Committee Inquiry into the Welfare Reform and Reinstatement of Racial Discrimination Act Bill 2009 and other Bills</w:t>
      </w:r>
      <w:r>
        <w:t xml:space="preserve"> (10 February 2010), para 129. At </w:t>
      </w:r>
      <w:hyperlink r:id="rId89" w:anchor="s9_2" w:history="1">
        <w:r w:rsidRPr="00DC1FB6">
          <w:rPr>
            <w:rStyle w:val="Hyperlink"/>
          </w:rPr>
          <w:t>http://www.humanrights.gov.au/legal/submissions/sj_submissions/2010_welfare_reform.html#s9_2</w:t>
        </w:r>
      </w:hyperlink>
      <w:r>
        <w:t xml:space="preserve"> (viewed 19 January 2012).</w:t>
      </w:r>
    </w:p>
  </w:endnote>
  <w:endnote w:id="129">
    <w:p w14:paraId="3B61D4E0" w14:textId="77777777" w:rsidR="00643212" w:rsidRDefault="00643212">
      <w:pPr>
        <w:pStyle w:val="EndnoteText"/>
      </w:pPr>
      <w:r>
        <w:rPr>
          <w:rStyle w:val="EndnoteReference"/>
        </w:rPr>
        <w:endnoteRef/>
      </w:r>
      <w:r>
        <w:t xml:space="preserve"> </w:t>
      </w:r>
      <w:r>
        <w:rPr>
          <w:i/>
        </w:rPr>
        <w:t xml:space="preserve">Gerhardy v Brown </w:t>
      </w:r>
      <w:r>
        <w:t xml:space="preserve">[1984-1985] 159 CLR 70, 135 (BrennanJ). Cf </w:t>
      </w:r>
      <w:r>
        <w:rPr>
          <w:i/>
        </w:rPr>
        <w:t xml:space="preserve">Morton v Queensland Police Service </w:t>
      </w:r>
      <w:r>
        <w:t xml:space="preserve">[2010] QCA 160. </w:t>
      </w:r>
    </w:p>
  </w:endnote>
  <w:endnote w:id="130">
    <w:p w14:paraId="3330572A" w14:textId="77777777" w:rsidR="00643212" w:rsidRDefault="00643212" w:rsidP="00F12219">
      <w:pPr>
        <w:pStyle w:val="EndnoteText"/>
      </w:pPr>
      <w:r>
        <w:rPr>
          <w:rStyle w:val="EndnoteReference"/>
        </w:rPr>
        <w:endnoteRef/>
      </w:r>
      <w:r>
        <w:t xml:space="preserve"> For more information on the community led alcohol restrictions in the Fitzroy Valley see M Gooda, Aboriginal and Torres Strait Islander Social Justice Commissioner, </w:t>
      </w:r>
      <w:r w:rsidRPr="000A156C">
        <w:rPr>
          <w:i/>
        </w:rPr>
        <w:t>Social Justice Report 2010</w:t>
      </w:r>
      <w:r>
        <w:t xml:space="preserve">, Australian Human Rights Commission (2011), ch 3. At </w:t>
      </w:r>
      <w:hyperlink r:id="rId90" w:history="1">
        <w:r w:rsidRPr="009A09CA">
          <w:rPr>
            <w:rStyle w:val="Hyperlink"/>
          </w:rPr>
          <w:t>http://www.humanrights.gov.au/social_justice/sj_report/sjreport10/index.html</w:t>
        </w:r>
      </w:hyperlink>
      <w:r>
        <w:t xml:space="preserve"> (viewed 16 December 2011). </w:t>
      </w:r>
    </w:p>
  </w:endnote>
  <w:endnote w:id="131">
    <w:p w14:paraId="608CAC2A" w14:textId="77777777" w:rsidR="00643212" w:rsidRPr="004B7015" w:rsidRDefault="00643212" w:rsidP="00F12219">
      <w:pPr>
        <w:pStyle w:val="EndnoteText"/>
      </w:pPr>
      <w:r>
        <w:rPr>
          <w:rStyle w:val="EndnoteReference"/>
        </w:rPr>
        <w:endnoteRef/>
      </w:r>
      <w:r>
        <w:t xml:space="preserve"> See T Calma, Aboriginal and Torres Strait Islander Social Justice Commissioner, </w:t>
      </w:r>
      <w:r w:rsidRPr="008100E0">
        <w:rPr>
          <w:i/>
        </w:rPr>
        <w:t>Social Justice Report 2007</w:t>
      </w:r>
      <w:r>
        <w:t xml:space="preserve">, Human Rights and Equal Opportunity Commission (2008), pp 285-289. At </w:t>
      </w:r>
      <w:hyperlink r:id="rId91" w:history="1">
        <w:r w:rsidRPr="00387566">
          <w:rPr>
            <w:rStyle w:val="Hyperlink"/>
          </w:rPr>
          <w:t>http://www.humanrights.gov.au/social_justice/sj_report/sjreport07/index.html</w:t>
        </w:r>
      </w:hyperlink>
      <w:r>
        <w:t xml:space="preserve"> (viewed 9 January 2012); D Gray and E Wilkes, </w:t>
      </w:r>
      <w:r w:rsidRPr="00FA5E5F">
        <w:rPr>
          <w:i/>
        </w:rPr>
        <w:t>Reducing alcohol and other drug related harm</w:t>
      </w:r>
      <w:r>
        <w:t xml:space="preserve">, Closing the gap clearinghouse Resource sheet no. 3 (2010), pp 1-2. At </w:t>
      </w:r>
      <w:hyperlink r:id="rId92" w:history="1">
        <w:r w:rsidRPr="000C38AE">
          <w:rPr>
            <w:rStyle w:val="Hyperlink"/>
          </w:rPr>
          <w:t>http://www.aihw.gov.au/closingthegap/documents/resource_sheets/ctgc-rs03.rtf</w:t>
        </w:r>
      </w:hyperlink>
      <w:r>
        <w:t xml:space="preserve"> (viewed 22 November 2011).</w:t>
      </w:r>
    </w:p>
  </w:endnote>
  <w:endnote w:id="132">
    <w:p w14:paraId="0FB5B328" w14:textId="77777777" w:rsidR="00643212" w:rsidRDefault="00643212" w:rsidP="00F12219">
      <w:pPr>
        <w:pStyle w:val="EndnoteText"/>
      </w:pPr>
      <w:r>
        <w:rPr>
          <w:rStyle w:val="EndnoteReference"/>
        </w:rPr>
        <w:endnoteRef/>
      </w:r>
      <w:r>
        <w:t xml:space="preserve"> Aboriginal and Torres Strait Islander Legal Services and Aboriginal Peak Organisations Northern Territory, </w:t>
      </w:r>
      <w:r>
        <w:rPr>
          <w:i/>
        </w:rPr>
        <w:t>The Future of the Northern Territory ‘Intervention’: Issues Paper</w:t>
      </w:r>
      <w:r>
        <w:t xml:space="preserve"> (2010), p 7.</w:t>
      </w:r>
    </w:p>
  </w:endnote>
  <w:endnote w:id="133">
    <w:p w14:paraId="48A6CE96" w14:textId="77777777" w:rsidR="00643212" w:rsidRDefault="00643212" w:rsidP="00F12219">
      <w:pPr>
        <w:pStyle w:val="EndnoteText"/>
      </w:pPr>
      <w:r>
        <w:rPr>
          <w:rStyle w:val="EndnoteReference"/>
        </w:rPr>
        <w:endnoteRef/>
      </w:r>
      <w:r>
        <w:t xml:space="preserve"> See T Calma, Aboriginal and Torres Strait Islander Social Justice Commissioner, </w:t>
      </w:r>
      <w:r>
        <w:rPr>
          <w:i/>
          <w:iCs/>
        </w:rPr>
        <w:t xml:space="preserve">Social Justice Report 2007 </w:t>
      </w:r>
      <w:r>
        <w:t>(2008), ch 2. At</w:t>
      </w:r>
      <w:r>
        <w:rPr>
          <w:i/>
          <w:iCs/>
        </w:rPr>
        <w:t xml:space="preserve"> </w:t>
      </w:r>
      <w:hyperlink r:id="rId93" w:history="1">
        <w:r w:rsidRPr="00071040">
          <w:rPr>
            <w:rStyle w:val="Hyperlink"/>
          </w:rPr>
          <w:t>http://humanrights.gov.au/social_justice/sj_report/sjreport07/chap3.html</w:t>
        </w:r>
      </w:hyperlink>
      <w:r>
        <w:t xml:space="preserve"> (viewed 20 January 2010).</w:t>
      </w:r>
    </w:p>
  </w:endnote>
  <w:endnote w:id="134">
    <w:p w14:paraId="42502E27" w14:textId="77777777" w:rsidR="00643212" w:rsidRDefault="00643212" w:rsidP="00F12219">
      <w:pPr>
        <w:pStyle w:val="EndnoteText"/>
      </w:pPr>
      <w:r>
        <w:rPr>
          <w:rStyle w:val="EndnoteReference"/>
        </w:rPr>
        <w:endnoteRef/>
      </w:r>
      <w:r>
        <w:t xml:space="preserve"> D Gray and E Wilkes, </w:t>
      </w:r>
      <w:r w:rsidRPr="00FA5E5F">
        <w:rPr>
          <w:i/>
        </w:rPr>
        <w:t>Reducing alcohol and other drug related harm</w:t>
      </w:r>
      <w:r>
        <w:t xml:space="preserve">, Closing the gap clearinghouse Resource sheet no. 3 (2010), p 7. At </w:t>
      </w:r>
      <w:hyperlink r:id="rId94" w:history="1">
        <w:r w:rsidRPr="000C38AE">
          <w:rPr>
            <w:rStyle w:val="Hyperlink"/>
          </w:rPr>
          <w:t>http://www.aihw.gov.au/closingthegap/documents/resource_sheets/ctgc-rs03.rtf</w:t>
        </w:r>
      </w:hyperlink>
      <w:r>
        <w:t xml:space="preserve"> (viewed 22 November 2011).</w:t>
      </w:r>
    </w:p>
  </w:endnote>
  <w:endnote w:id="135">
    <w:p w14:paraId="190769F5" w14:textId="77777777" w:rsidR="00643212" w:rsidRPr="00407929" w:rsidRDefault="00643212" w:rsidP="00F12219">
      <w:pPr>
        <w:pStyle w:val="EndnoteText"/>
        <w:rPr>
          <w:rFonts w:cs="Arial"/>
        </w:rPr>
      </w:pPr>
      <w:r w:rsidRPr="00407929">
        <w:rPr>
          <w:rStyle w:val="EndnoteReference"/>
        </w:rPr>
        <w:endnoteRef/>
      </w:r>
      <w:r w:rsidRPr="00407929">
        <w:rPr>
          <w:rFonts w:cs="Arial"/>
        </w:rPr>
        <w:t xml:space="preserve"> </w:t>
      </w:r>
      <w:r w:rsidRPr="00407929">
        <w:t>Department of Families, Housing, Community Services and Indigenous Affairs</w:t>
      </w:r>
      <w:r w:rsidRPr="00407929">
        <w:rPr>
          <w:rFonts w:cs="Arial"/>
        </w:rPr>
        <w:t xml:space="preserve">, </w:t>
      </w:r>
      <w:r w:rsidRPr="00407929">
        <w:rPr>
          <w:rFonts w:cs="Arial"/>
          <w:i/>
        </w:rPr>
        <w:t>Policy Statement: Landmark Reform to the Welfare System, Reinstatement of the Racial Discrimination Act and Strengthening of the Northern Territory Emergency Response</w:t>
      </w:r>
      <w:r w:rsidRPr="00407929">
        <w:rPr>
          <w:rFonts w:cs="Arial"/>
        </w:rPr>
        <w:t xml:space="preserve"> (2009), p 6. At </w:t>
      </w:r>
      <w:hyperlink r:id="rId95" w:history="1">
        <w:r w:rsidRPr="00407929">
          <w:rPr>
            <w:rStyle w:val="Hyperlink"/>
            <w:rFonts w:cs="Arial"/>
          </w:rPr>
          <w:t>http://www.facsia.gov.au/sa/indigenous/pubs/nter_reports/policy_statement_nter/Documents/landmark_reform_welfare_system.pdf</w:t>
        </w:r>
      </w:hyperlink>
      <w:r w:rsidRPr="00407929">
        <w:rPr>
          <w:rFonts w:cs="Arial"/>
        </w:rPr>
        <w:t xml:space="preserve"> (viewed 4 February 2010).</w:t>
      </w:r>
    </w:p>
  </w:endnote>
  <w:endnote w:id="136">
    <w:p w14:paraId="4C78A309" w14:textId="77777777" w:rsidR="00643212" w:rsidRPr="00407929" w:rsidRDefault="00643212" w:rsidP="00F12219">
      <w:pPr>
        <w:pStyle w:val="EndnoteText"/>
        <w:rPr>
          <w:rFonts w:cs="Arial"/>
        </w:rPr>
      </w:pPr>
      <w:r w:rsidRPr="00407929">
        <w:rPr>
          <w:rStyle w:val="EndnoteReference"/>
        </w:rPr>
        <w:endnoteRef/>
      </w:r>
      <w:r w:rsidRPr="00407929">
        <w:rPr>
          <w:rFonts w:cs="Arial"/>
        </w:rPr>
        <w:t xml:space="preserve"> </w:t>
      </w:r>
      <w:r w:rsidRPr="00407929">
        <w:t>Department of Families, Housing, Community Services and Indigenous Affairs</w:t>
      </w:r>
      <w:r w:rsidRPr="00407929">
        <w:rPr>
          <w:rFonts w:cs="Arial"/>
        </w:rPr>
        <w:t xml:space="preserve">, </w:t>
      </w:r>
      <w:r w:rsidRPr="00407929">
        <w:rPr>
          <w:rFonts w:cs="Arial"/>
          <w:i/>
        </w:rPr>
        <w:t>Policy Statement: Landmark Reform to the Welfare System, Reinstatement of the Racial Discrimination Act and Strengthening of the Northern Territory Emergency Response</w:t>
      </w:r>
      <w:r w:rsidRPr="00407929">
        <w:rPr>
          <w:rFonts w:cs="Arial"/>
        </w:rPr>
        <w:t xml:space="preserve"> (2009), p 6. At </w:t>
      </w:r>
      <w:hyperlink r:id="rId96" w:history="1">
        <w:r w:rsidRPr="00407929">
          <w:rPr>
            <w:rStyle w:val="Hyperlink"/>
            <w:rFonts w:cs="Arial"/>
          </w:rPr>
          <w:t>http://www.facsia.gov.au/sa/indigenous/pubs/nter_reports/policy_statement_nter/Documents/landmark_reform_welfare_system.pdf</w:t>
        </w:r>
      </w:hyperlink>
      <w:r w:rsidRPr="00407929">
        <w:rPr>
          <w:rFonts w:cs="Arial"/>
        </w:rPr>
        <w:t xml:space="preserve"> (viewed 4 February 2010).</w:t>
      </w:r>
    </w:p>
  </w:endnote>
  <w:endnote w:id="137">
    <w:p w14:paraId="4B13719A" w14:textId="77777777" w:rsidR="00643212" w:rsidRDefault="00643212" w:rsidP="00F12219">
      <w:pPr>
        <w:pStyle w:val="EndnoteText"/>
      </w:pPr>
      <w:r>
        <w:rPr>
          <w:rStyle w:val="EndnoteReference"/>
        </w:rPr>
        <w:endnoteRef/>
      </w:r>
      <w:r>
        <w:t xml:space="preserve"> T Calma, Aboriginal and Torres Strait Islander Social Justice Commissioner, </w:t>
      </w:r>
      <w:r w:rsidRPr="008100E0">
        <w:rPr>
          <w:i/>
        </w:rPr>
        <w:t>Social Justice Report 2007</w:t>
      </w:r>
      <w:r>
        <w:t xml:space="preserve">, Human Rights and Equal Opportunity Commission (2008), pp 285-289. At </w:t>
      </w:r>
      <w:hyperlink r:id="rId97" w:history="1">
        <w:r w:rsidRPr="00387566">
          <w:rPr>
            <w:rStyle w:val="Hyperlink"/>
          </w:rPr>
          <w:t>http://www.humanrights.gov.au/social_justice/sj_report/sjreport07/index.html</w:t>
        </w:r>
      </w:hyperlink>
      <w:r>
        <w:t xml:space="preserve"> (viewed 9 January 2012).</w:t>
      </w:r>
    </w:p>
  </w:endnote>
  <w:endnote w:id="138">
    <w:p w14:paraId="43F9F8E9" w14:textId="34227759" w:rsidR="00643212" w:rsidRDefault="00643212" w:rsidP="00F12219">
      <w:pPr>
        <w:pStyle w:val="EndnoteText"/>
      </w:pPr>
      <w:r>
        <w:rPr>
          <w:rStyle w:val="EndnoteReference"/>
        </w:rPr>
        <w:endnoteRef/>
      </w:r>
      <w:r>
        <w:t xml:space="preserve"> </w:t>
      </w:r>
      <w:proofErr w:type="gramStart"/>
      <w:r w:rsidRPr="0042376A">
        <w:rPr>
          <w:i/>
        </w:rPr>
        <w:t>Social Security and Other Legislation Amendment (Welfare Reform and Reinstatement of Racial Discrimination Act) Act 2010</w:t>
      </w:r>
      <w:r>
        <w:t xml:space="preserve"> (</w:t>
      </w:r>
      <w:proofErr w:type="spellStart"/>
      <w:r>
        <w:t>Cth</w:t>
      </w:r>
      <w:proofErr w:type="spellEnd"/>
      <w:r>
        <w:t xml:space="preserve">), </w:t>
      </w:r>
      <w:proofErr w:type="spellStart"/>
      <w:r>
        <w:t>sch</w:t>
      </w:r>
      <w:proofErr w:type="spellEnd"/>
      <w:r>
        <w:t xml:space="preserve"> 3.</w:t>
      </w:r>
      <w:proofErr w:type="gramEnd"/>
    </w:p>
  </w:endnote>
  <w:endnote w:id="139">
    <w:p w14:paraId="67CEE5EC" w14:textId="77777777" w:rsidR="00643212" w:rsidRDefault="00643212" w:rsidP="00A8712A">
      <w:pPr>
        <w:pStyle w:val="EndnoteText"/>
      </w:pPr>
      <w:r>
        <w:rPr>
          <w:rStyle w:val="EndnoteReference"/>
        </w:rPr>
        <w:endnoteRef/>
      </w:r>
      <w:r>
        <w:t xml:space="preserve"> These powers have not been carried over to the Stronger Futures Bills which the Commission welcomes. </w:t>
      </w:r>
    </w:p>
  </w:endnote>
  <w:endnote w:id="140">
    <w:p w14:paraId="0757826D" w14:textId="77777777" w:rsidR="00643212" w:rsidRDefault="00643212" w:rsidP="003A508F">
      <w:pPr>
        <w:pStyle w:val="EndnoteText"/>
      </w:pPr>
      <w:r>
        <w:rPr>
          <w:rStyle w:val="EndnoteReference"/>
        </w:rPr>
        <w:endnoteRef/>
      </w:r>
      <w:r>
        <w:t xml:space="preserve"> Australian Human Rights Commission, </w:t>
      </w:r>
      <w:r w:rsidRPr="00492C24">
        <w:rPr>
          <w:i/>
        </w:rPr>
        <w:t>Submission to the Senate Community Affairs Committee Inquiry into the Welfare Reform and Reinstatement of Racial Discrimination Act Bill 2009 and other Bills</w:t>
      </w:r>
      <w:r>
        <w:t xml:space="preserve"> (2010), 10 February 2010, paras 123-124. At </w:t>
      </w:r>
      <w:hyperlink r:id="rId98" w:history="1">
        <w:r w:rsidRPr="00492C24">
          <w:rPr>
            <w:rStyle w:val="Hyperlink"/>
          </w:rPr>
          <w:t>http://www.humanrights.gov.au/legal/submissions/sj_submissions/2010_welfare_reform.html</w:t>
        </w:r>
      </w:hyperlink>
      <w:r>
        <w:t xml:space="preserve"> (viewed 16 December 2011). </w:t>
      </w:r>
    </w:p>
  </w:endnote>
  <w:endnote w:id="141">
    <w:p w14:paraId="43335475" w14:textId="77777777" w:rsidR="00643212" w:rsidRDefault="00643212" w:rsidP="00F12219">
      <w:pPr>
        <w:pStyle w:val="EndnoteText"/>
      </w:pPr>
      <w:r>
        <w:rPr>
          <w:rStyle w:val="EndnoteReference"/>
        </w:rPr>
        <w:endnoteRef/>
      </w:r>
      <w:r>
        <w:t xml:space="preserve"> Australian Human Rights Commission, </w:t>
      </w:r>
      <w:r w:rsidRPr="00492C24">
        <w:rPr>
          <w:i/>
        </w:rPr>
        <w:t>Submission to the Senate Community Affairs Committee Inquiry into the Welfare Reform and Reinstatement of Racial Discrimination Act Bill 2009 and other Bills</w:t>
      </w:r>
      <w:r>
        <w:t xml:space="preserve"> (2010),</w:t>
      </w:r>
      <w:r w:rsidRPr="008000B0">
        <w:t xml:space="preserve"> </w:t>
      </w:r>
      <w:r>
        <w:t xml:space="preserve">10 February 2010, paras 126-136. At </w:t>
      </w:r>
      <w:hyperlink r:id="rId99" w:history="1">
        <w:r w:rsidRPr="00492C24">
          <w:rPr>
            <w:rStyle w:val="Hyperlink"/>
          </w:rPr>
          <w:t>http://www.humanrights.gov.au/legal/submissions/sj_submissions/2010_welfare_reform.html</w:t>
        </w:r>
      </w:hyperlink>
      <w:r>
        <w:t xml:space="preserve"> (viewed 16 December 2011).</w:t>
      </w:r>
    </w:p>
  </w:endnote>
  <w:endnote w:id="142">
    <w:p w14:paraId="233BE393" w14:textId="77777777" w:rsidR="00643212" w:rsidRDefault="00643212" w:rsidP="00F12219">
      <w:pPr>
        <w:pStyle w:val="EndnoteText"/>
      </w:pPr>
      <w:r>
        <w:rPr>
          <w:rStyle w:val="EndnoteReference"/>
        </w:rPr>
        <w:endnoteRef/>
      </w:r>
      <w:r>
        <w:t xml:space="preserve"> Australian Human Rights Commission, </w:t>
      </w:r>
      <w:r w:rsidRPr="00492C24">
        <w:rPr>
          <w:i/>
        </w:rPr>
        <w:t>Submission to the Senate Community Affairs Committee Inquiry into the Welfare Reform and Reinstatement of Racial Discrimination Act Bill 2009 and other Bills</w:t>
      </w:r>
      <w:r>
        <w:t xml:space="preserve"> (2010), 10 February 2010, paras 126-131. At </w:t>
      </w:r>
      <w:hyperlink r:id="rId100" w:history="1">
        <w:r w:rsidRPr="00492C24">
          <w:rPr>
            <w:rStyle w:val="Hyperlink"/>
          </w:rPr>
          <w:t>http://www.humanrights.gov.au/legal/submissions/sj_submissions/2010_welfare_reform.html</w:t>
        </w:r>
      </w:hyperlink>
      <w:r>
        <w:t xml:space="preserve"> (viewed 16 December 2011).</w:t>
      </w:r>
    </w:p>
  </w:endnote>
  <w:endnote w:id="143">
    <w:p w14:paraId="4B96346D" w14:textId="294963AE" w:rsidR="00643212" w:rsidRDefault="00643212" w:rsidP="00F12219">
      <w:pPr>
        <w:pStyle w:val="EndnoteText"/>
      </w:pPr>
      <w:r>
        <w:rPr>
          <w:rStyle w:val="EndnoteReference"/>
        </w:rPr>
        <w:endnoteRef/>
      </w:r>
      <w:r>
        <w:t xml:space="preserve"> Many of the communities which fall within the prescribed areas to which the NTER restrictions apply were “dry” communities before the NTER began. The NTER restrictions, however, applied to a number of communities that did not previously have restrictions and to areas of land beyond the boundaries of the communities. See: Stronger Futures in the Northern Territory Bill 2011(Cth)</w:t>
      </w:r>
      <w:proofErr w:type="gramStart"/>
      <w:r>
        <w:t xml:space="preserve">,  </w:t>
      </w:r>
      <w:r w:rsidRPr="008000B0">
        <w:rPr>
          <w:i/>
        </w:rPr>
        <w:t>Alcohol</w:t>
      </w:r>
      <w:proofErr w:type="gramEnd"/>
      <w:r w:rsidRPr="008000B0">
        <w:rPr>
          <w:i/>
        </w:rPr>
        <w:t xml:space="preserve"> Proposals Regulation Impact Statement/ Post Implementation Review</w:t>
      </w:r>
      <w:r>
        <w:t>, Department of Families, Housing, Community Services and Indigenous Affairs,(2011), p 7.</w:t>
      </w:r>
    </w:p>
  </w:endnote>
  <w:endnote w:id="144">
    <w:p w14:paraId="5C661203" w14:textId="77777777" w:rsidR="00643212" w:rsidRDefault="00643212" w:rsidP="00F12219">
      <w:pPr>
        <w:pStyle w:val="EndnoteText"/>
      </w:pPr>
      <w:r>
        <w:rPr>
          <w:rStyle w:val="EndnoteReference"/>
        </w:rPr>
        <w:endnoteRef/>
      </w:r>
      <w:r>
        <w:t xml:space="preserve"> Stronger Futures in the Northern Territory Bill 2011 (Cth), s 7.</w:t>
      </w:r>
    </w:p>
  </w:endnote>
  <w:endnote w:id="145">
    <w:p w14:paraId="52CDE3D1" w14:textId="6FC0F2A8" w:rsidR="00643212" w:rsidRDefault="00643212" w:rsidP="00F12219">
      <w:pPr>
        <w:pStyle w:val="EndnoteText"/>
      </w:pPr>
      <w:r>
        <w:rPr>
          <w:rStyle w:val="EndnoteReference"/>
        </w:rPr>
        <w:endnoteRef/>
      </w:r>
      <w:r>
        <w:t xml:space="preserve"> See Stronger Futures in the Northern Territory Bill 2011 (</w:t>
      </w:r>
      <w:proofErr w:type="spellStart"/>
      <w:r>
        <w:t>Cth</w:t>
      </w:r>
      <w:proofErr w:type="spellEnd"/>
      <w:r>
        <w:t>), s 8</w:t>
      </w:r>
    </w:p>
  </w:endnote>
  <w:endnote w:id="146">
    <w:p w14:paraId="3FA9A3E4" w14:textId="77777777" w:rsidR="00643212" w:rsidRDefault="00643212" w:rsidP="00F12219">
      <w:pPr>
        <w:pStyle w:val="EndnoteText"/>
      </w:pPr>
      <w:r>
        <w:rPr>
          <w:rStyle w:val="EndnoteReference"/>
        </w:rPr>
        <w:endnoteRef/>
      </w:r>
      <w:r>
        <w:t xml:space="preserve"> Before making, revoking or varying a rule t</w:t>
      </w:r>
      <w:r w:rsidRPr="009C4B62">
        <w:t>he Minister must ensure that information about the proposal to make the rule, together with a short explanation of the consequences if such a rule is made, have been made available in the area in question</w:t>
      </w:r>
      <w:r>
        <w:t xml:space="preserve">. </w:t>
      </w:r>
      <w:r w:rsidRPr="009C4B62">
        <w:t xml:space="preserve">The Minister must also ensure people in the affected area have been given a </w:t>
      </w:r>
      <w:r>
        <w:t>‘</w:t>
      </w:r>
      <w:r w:rsidRPr="009C4B62">
        <w:t>reasonable opportunity</w:t>
      </w:r>
      <w:r>
        <w:t>’</w:t>
      </w:r>
      <w:r w:rsidRPr="009C4B62">
        <w:t xml:space="preserve"> to make submissions to the Minister about the proposal to make the rule, the consequences if the rule is made and their circumstances, concerns and views</w:t>
      </w:r>
      <w:r>
        <w:t>: Stronger Futures in the Northern Territory Bill 2011 (Cth), s 27(6).</w:t>
      </w:r>
    </w:p>
  </w:endnote>
  <w:endnote w:id="147">
    <w:p w14:paraId="6A0128EF" w14:textId="77777777" w:rsidR="00643212" w:rsidRDefault="00643212" w:rsidP="00F12219">
      <w:pPr>
        <w:pStyle w:val="EndnoteText"/>
      </w:pPr>
      <w:r>
        <w:rPr>
          <w:rStyle w:val="EndnoteReference"/>
        </w:rPr>
        <w:endnoteRef/>
      </w:r>
      <w:r>
        <w:t xml:space="preserve"> The Commission notes that the community consultation requirement does not apply if the rule is in relation to the approval of an alcohol management plan: </w:t>
      </w:r>
      <w:r w:rsidRPr="00C76773">
        <w:t>Stronger Futures in the Northern Territory Bill 2011 (Cth), s 27(7)</w:t>
      </w:r>
      <w:r>
        <w:t>. The Explanatory Memorandum states that there should be sufficient community consultation prior to an alcohol management plan being approved: Explanatory Memorandum, Stronger Futures in the Northern Territory Bill 2011 (Cth), p 18. Providing the issues highlighted in this submission regarding the community consultation elements of the alcohol management plans are addressed, the Commission does not envisage that this should cause concern.</w:t>
      </w:r>
    </w:p>
  </w:endnote>
  <w:endnote w:id="148">
    <w:p w14:paraId="498C4120" w14:textId="77777777" w:rsidR="00643212" w:rsidRDefault="00643212" w:rsidP="00F12219">
      <w:pPr>
        <w:pStyle w:val="EndnoteText"/>
      </w:pPr>
      <w:r>
        <w:rPr>
          <w:rStyle w:val="EndnoteReference"/>
        </w:rPr>
        <w:endnoteRef/>
      </w:r>
      <w:r>
        <w:t xml:space="preserve"> Stronger Futures in the Northern Territory Bill 2011 (Cth), ss 27(6), 27(9)(g).</w:t>
      </w:r>
    </w:p>
  </w:endnote>
  <w:endnote w:id="149">
    <w:p w14:paraId="24AB3C79" w14:textId="16D7101C" w:rsidR="00643212" w:rsidRDefault="00643212" w:rsidP="00F12219">
      <w:pPr>
        <w:pStyle w:val="EndnoteText"/>
      </w:pPr>
      <w:r>
        <w:rPr>
          <w:rStyle w:val="EndnoteReference"/>
        </w:rPr>
        <w:endnoteRef/>
      </w:r>
      <w:r>
        <w:t xml:space="preserve"> See Stronger Futures in the Northern Territory (Consequential and Transitional Provisions) Bill 2011, </w:t>
      </w:r>
      <w:proofErr w:type="spellStart"/>
      <w:r>
        <w:t>sch</w:t>
      </w:r>
      <w:proofErr w:type="spellEnd"/>
      <w:r>
        <w:t xml:space="preserve"> 1, </w:t>
      </w:r>
      <w:proofErr w:type="spellStart"/>
      <w:r>
        <w:t>pt</w:t>
      </w:r>
      <w:proofErr w:type="spellEnd"/>
      <w:r>
        <w:t xml:space="preserve"> 3.</w:t>
      </w:r>
    </w:p>
  </w:endnote>
  <w:endnote w:id="150">
    <w:p w14:paraId="583BAB3F" w14:textId="77777777" w:rsidR="00643212" w:rsidRDefault="00643212" w:rsidP="00F12219">
      <w:pPr>
        <w:pStyle w:val="EndnoteText"/>
      </w:pPr>
      <w:r>
        <w:rPr>
          <w:rStyle w:val="EndnoteReference"/>
        </w:rPr>
        <w:endnoteRef/>
      </w:r>
      <w:r>
        <w:t xml:space="preserve"> </w:t>
      </w:r>
      <w:r w:rsidRPr="001D74D0">
        <w:rPr>
          <w:rFonts w:eastAsia="Times New Roman"/>
        </w:rPr>
        <w:t xml:space="preserve">Commonwealth, </w:t>
      </w:r>
      <w:r w:rsidRPr="001D74D0">
        <w:rPr>
          <w:rFonts w:eastAsia="Times New Roman"/>
          <w:i/>
        </w:rPr>
        <w:t>Parliamentary Debates</w:t>
      </w:r>
      <w:r w:rsidRPr="001D74D0">
        <w:rPr>
          <w:rFonts w:eastAsia="Times New Roman"/>
        </w:rPr>
        <w:t>, House of Representatives, 23 November 2011, pp 6,8, 9.</w:t>
      </w:r>
    </w:p>
  </w:endnote>
  <w:endnote w:id="151">
    <w:p w14:paraId="0425800F" w14:textId="77777777" w:rsidR="00643212" w:rsidRDefault="00643212" w:rsidP="008A0D02">
      <w:pPr>
        <w:pStyle w:val="EndnoteText"/>
      </w:pPr>
      <w:r>
        <w:rPr>
          <w:rStyle w:val="EndnoteReference"/>
        </w:rPr>
        <w:endnoteRef/>
      </w:r>
      <w:r>
        <w:t xml:space="preserve"> </w:t>
      </w:r>
      <w:r w:rsidRPr="007E1129">
        <w:rPr>
          <w:i/>
        </w:rPr>
        <w:t>Northern Territory National Emergency Response Act 2007</w:t>
      </w:r>
      <w:r>
        <w:t xml:space="preserve"> (Cth), s 18 to be repealed by Stronger Futures in the Northern Territory (Consequential and Transitional Provisions) Bill 2011, Schedule 1.</w:t>
      </w:r>
    </w:p>
  </w:endnote>
  <w:endnote w:id="152">
    <w:p w14:paraId="2DAE6FB4" w14:textId="77777777" w:rsidR="00643212" w:rsidRDefault="00643212" w:rsidP="004528BB">
      <w:pPr>
        <w:pStyle w:val="EndnoteText"/>
      </w:pPr>
      <w:r>
        <w:rPr>
          <w:rStyle w:val="EndnoteReference"/>
        </w:rPr>
        <w:endnoteRef/>
      </w:r>
      <w:r>
        <w:t xml:space="preserve"> Stronger Futures in the Northern Territory Bill 2011 (Cth), s 10.</w:t>
      </w:r>
    </w:p>
  </w:endnote>
  <w:endnote w:id="153">
    <w:p w14:paraId="18002555" w14:textId="77777777" w:rsidR="00643212" w:rsidRDefault="00643212" w:rsidP="00CB0C2B">
      <w:pPr>
        <w:pStyle w:val="EndnoteText"/>
      </w:pPr>
      <w:r>
        <w:rPr>
          <w:rStyle w:val="EndnoteReference"/>
        </w:rPr>
        <w:endnoteRef/>
      </w:r>
      <w:r>
        <w:t xml:space="preserve"> Explanatory Memorandum, Stronger Futures in the Northern Territory Bill 2011 (Cth), p 8.</w:t>
      </w:r>
    </w:p>
  </w:endnote>
  <w:endnote w:id="154">
    <w:p w14:paraId="58A4F8A8" w14:textId="77777777" w:rsidR="00643212" w:rsidRDefault="00643212" w:rsidP="00F12219">
      <w:pPr>
        <w:pStyle w:val="EndnoteText"/>
      </w:pPr>
      <w:r>
        <w:rPr>
          <w:rStyle w:val="EndnoteReference"/>
        </w:rPr>
        <w:endnoteRef/>
      </w:r>
      <w:r>
        <w:t xml:space="preserve"> </w:t>
      </w:r>
      <w:r w:rsidRPr="0081567C">
        <w:rPr>
          <w:rFonts w:cs="Arial"/>
        </w:rPr>
        <w:t xml:space="preserve">The Northern Territory Minister is the Minister responsible for the NT Liquor Act: </w:t>
      </w:r>
      <w:r w:rsidRPr="0081567C">
        <w:rPr>
          <w:rFonts w:cs="Arial"/>
          <w:i/>
          <w:iCs/>
        </w:rPr>
        <w:t>Stronger Futures in the Northern Territory Bill 2011</w:t>
      </w:r>
      <w:r w:rsidRPr="0081567C">
        <w:rPr>
          <w:rFonts w:cs="Arial"/>
        </w:rPr>
        <w:t xml:space="preserve"> (Cth), s 5.</w:t>
      </w:r>
    </w:p>
  </w:endnote>
  <w:endnote w:id="155">
    <w:p w14:paraId="4BE42982" w14:textId="77777777" w:rsidR="00643212" w:rsidRDefault="00643212">
      <w:pPr>
        <w:pStyle w:val="EndnoteText"/>
      </w:pPr>
      <w:r>
        <w:rPr>
          <w:rStyle w:val="EndnoteReference"/>
        </w:rPr>
        <w:endnoteRef/>
      </w:r>
      <w:r>
        <w:t xml:space="preserve"> Stronger Futures in the Northern Territory Bill 2011 (Cth), s 117.</w:t>
      </w:r>
    </w:p>
  </w:endnote>
  <w:endnote w:id="156">
    <w:p w14:paraId="0B195053" w14:textId="77777777" w:rsidR="00643212" w:rsidRDefault="00643212" w:rsidP="00F12219">
      <w:pPr>
        <w:pStyle w:val="EndnoteText"/>
      </w:pPr>
      <w:r>
        <w:rPr>
          <w:rStyle w:val="EndnoteReference"/>
        </w:rPr>
        <w:endnoteRef/>
      </w:r>
      <w:r>
        <w:t xml:space="preserve"> Established under the </w:t>
      </w:r>
      <w:r w:rsidRPr="00D36619">
        <w:rPr>
          <w:i/>
        </w:rPr>
        <w:t>Aboriginal and Torres Strait Islander Communities (Justice, Land and Other Matters</w:t>
      </w:r>
      <w:r>
        <w:rPr>
          <w:i/>
        </w:rPr>
        <w:t>)</w:t>
      </w:r>
      <w:r w:rsidRPr="00D36619">
        <w:rPr>
          <w:i/>
        </w:rPr>
        <w:t xml:space="preserve"> Act 1984 </w:t>
      </w:r>
      <w:r>
        <w:t>(Qld), part 4.</w:t>
      </w:r>
    </w:p>
  </w:endnote>
  <w:endnote w:id="157">
    <w:p w14:paraId="652B2970" w14:textId="77777777" w:rsidR="00643212" w:rsidRDefault="00643212" w:rsidP="00F12219">
      <w:pPr>
        <w:pStyle w:val="EndnoteText"/>
      </w:pPr>
      <w:r>
        <w:rPr>
          <w:rStyle w:val="EndnoteReference"/>
        </w:rPr>
        <w:endnoteRef/>
      </w:r>
      <w:r>
        <w:t xml:space="preserve"> See </w:t>
      </w:r>
      <w:r w:rsidRPr="000966F4">
        <w:rPr>
          <w:i/>
        </w:rPr>
        <w:t xml:space="preserve">Liquor Act 1992 </w:t>
      </w:r>
      <w:r>
        <w:t>(Qld), s173I.</w:t>
      </w:r>
    </w:p>
  </w:endnote>
  <w:endnote w:id="158">
    <w:p w14:paraId="43E18AC0" w14:textId="77777777" w:rsidR="00643212" w:rsidRDefault="00643212" w:rsidP="00F12219">
      <w:pPr>
        <w:pStyle w:val="EndnoteText"/>
      </w:pPr>
      <w:r>
        <w:rPr>
          <w:rStyle w:val="EndnoteReference"/>
        </w:rPr>
        <w:endnoteRef/>
      </w:r>
      <w:r>
        <w:t xml:space="preserve"> KPMG, </w:t>
      </w:r>
      <w:r w:rsidRPr="001B776D">
        <w:rPr>
          <w:i/>
        </w:rPr>
        <w:t>Department of Justice and Attorney General Evaluation of the Community Justice Groups: Final Report</w:t>
      </w:r>
      <w:r>
        <w:t xml:space="preserve"> (2010), p 47. At </w:t>
      </w:r>
      <w:hyperlink r:id="rId101" w:history="1">
        <w:r w:rsidRPr="007F2ADC">
          <w:rPr>
            <w:rStyle w:val="Hyperlink"/>
          </w:rPr>
          <w:t>http://www.justice.qld.gov.au/__data/assets/pdf_file/0005/131369/cjg-evaluation-report-nov-2010.pdf</w:t>
        </w:r>
      </w:hyperlink>
      <w:r>
        <w:t xml:space="preserve"> (viewed 19 January 2012).</w:t>
      </w:r>
    </w:p>
  </w:endnote>
  <w:endnote w:id="159">
    <w:p w14:paraId="3E94B227" w14:textId="77777777" w:rsidR="00643212" w:rsidRDefault="00643212" w:rsidP="00F12219">
      <w:pPr>
        <w:pStyle w:val="EndnoteText"/>
      </w:pPr>
      <w:r>
        <w:rPr>
          <w:rStyle w:val="EndnoteReference"/>
        </w:rPr>
        <w:endnoteRef/>
      </w:r>
      <w:r>
        <w:t xml:space="preserve"> </w:t>
      </w:r>
      <w:r>
        <w:rPr>
          <w:lang w:val="en"/>
        </w:rPr>
        <w:t xml:space="preserve">P Anderson and R Wild, </w:t>
      </w:r>
      <w:r>
        <w:rPr>
          <w:i/>
          <w:iCs/>
          <w:lang w:val="en"/>
        </w:rPr>
        <w:t>Ampe Akelyernemane Meke Mekarle ‘Little Children are Sacred’</w:t>
      </w:r>
      <w:r>
        <w:rPr>
          <w:lang w:val="en"/>
        </w:rPr>
        <w:t xml:space="preserve">, Report of the Northern Territory Board of Inquiry into the Protection of Aboriginal Children from Sexual Abuse (2007), p166. At </w:t>
      </w:r>
      <w:hyperlink r:id="rId102" w:history="1">
        <w:r>
          <w:rPr>
            <w:rStyle w:val="Hyperlink"/>
            <w:lang w:val="en"/>
          </w:rPr>
          <w:t>http://www.inquirysaac.nt.gov.au/</w:t>
        </w:r>
      </w:hyperlink>
      <w:r>
        <w:rPr>
          <w:lang w:val="en"/>
        </w:rPr>
        <w:t xml:space="preserve"> (viewed 31 January 2012).</w:t>
      </w:r>
    </w:p>
  </w:endnote>
  <w:endnote w:id="160">
    <w:p w14:paraId="69836A2B" w14:textId="77777777" w:rsidR="00643212" w:rsidRDefault="00643212" w:rsidP="00F12219">
      <w:pPr>
        <w:pStyle w:val="EndnoteText"/>
      </w:pPr>
      <w:r>
        <w:rPr>
          <w:rStyle w:val="EndnoteReference"/>
        </w:rPr>
        <w:endnoteRef/>
      </w:r>
      <w:r>
        <w:t xml:space="preserve"> Stronger Futures in the Northern Territory Bill 2011 (Cth), s 16(1).</w:t>
      </w:r>
    </w:p>
  </w:endnote>
  <w:endnote w:id="161">
    <w:p w14:paraId="718CD1F4" w14:textId="77777777" w:rsidR="00643212" w:rsidRDefault="00643212" w:rsidP="00F12219">
      <w:pPr>
        <w:pStyle w:val="EndnoteText"/>
      </w:pPr>
      <w:r>
        <w:rPr>
          <w:rStyle w:val="EndnoteReference"/>
        </w:rPr>
        <w:endnoteRef/>
      </w:r>
      <w:r>
        <w:t xml:space="preserve"> Stronger Futures in the Northern Territory Bill 2011 (Cth), ss 16(2), 16(3).</w:t>
      </w:r>
    </w:p>
  </w:endnote>
  <w:endnote w:id="162">
    <w:p w14:paraId="425F71C8" w14:textId="77777777" w:rsidR="00643212" w:rsidRDefault="00643212" w:rsidP="00F12219">
      <w:pPr>
        <w:pStyle w:val="EndnoteText"/>
      </w:pPr>
      <w:r>
        <w:rPr>
          <w:rStyle w:val="EndnoteReference"/>
        </w:rPr>
        <w:endnoteRef/>
      </w:r>
      <w:r>
        <w:t xml:space="preserve"> Stronger Futures in the Northern Territory Bill 2011 (Cth), s 17(3).</w:t>
      </w:r>
    </w:p>
  </w:endnote>
  <w:endnote w:id="163">
    <w:p w14:paraId="629CCE1C" w14:textId="77777777" w:rsidR="00643212" w:rsidRDefault="00643212" w:rsidP="00F12219">
      <w:pPr>
        <w:pStyle w:val="EndnoteText"/>
      </w:pPr>
      <w:r>
        <w:rPr>
          <w:rStyle w:val="EndnoteReference"/>
        </w:rPr>
        <w:endnoteRef/>
      </w:r>
      <w:r>
        <w:t xml:space="preserve"> Explanatory Memorandum, Stronger Futures in the Northern Territory Bill 2011 (Cth), p 14.</w:t>
      </w:r>
    </w:p>
  </w:endnote>
  <w:endnote w:id="164">
    <w:p w14:paraId="349BFAD0" w14:textId="77777777" w:rsidR="00643212" w:rsidRDefault="00643212" w:rsidP="00F12219">
      <w:pPr>
        <w:pStyle w:val="EndnoteText"/>
      </w:pPr>
      <w:r>
        <w:rPr>
          <w:rStyle w:val="EndnoteReference"/>
        </w:rPr>
        <w:endnoteRef/>
      </w:r>
      <w:r>
        <w:t xml:space="preserve"> Explanatory Memorandum, Stronger Futures in the Northern Territory Bill 2011 (Cth), 13. See also Australian Government, </w:t>
      </w:r>
      <w:r w:rsidRPr="007950F6">
        <w:rPr>
          <w:i/>
        </w:rPr>
        <w:t>Stronger Futures in the Northern Territory: Policy Statement</w:t>
      </w:r>
      <w:r>
        <w:t xml:space="preserve"> (2011), p 6. At </w:t>
      </w:r>
      <w:hyperlink r:id="rId103" w:history="1">
        <w:r w:rsidRPr="009A09CA">
          <w:rPr>
            <w:rStyle w:val="Hyperlink"/>
          </w:rPr>
          <w:t>http://www.indigenous.gov.au/stronger-futures-in-the-northern-territory/</w:t>
        </w:r>
      </w:hyperlink>
      <w:r>
        <w:t xml:space="preserve"> (viewed 16 December 2011).</w:t>
      </w:r>
    </w:p>
  </w:endnote>
  <w:endnote w:id="165">
    <w:p w14:paraId="5EF1D3F4" w14:textId="77777777" w:rsidR="00643212" w:rsidRDefault="00643212" w:rsidP="00F12219">
      <w:pPr>
        <w:pStyle w:val="EndnoteText"/>
      </w:pPr>
      <w:r>
        <w:rPr>
          <w:rStyle w:val="EndnoteReference"/>
        </w:rPr>
        <w:endnoteRef/>
      </w:r>
      <w:r>
        <w:t xml:space="preserve"> Stronger Futures in the Northern Territory Bill 2011 (Cth), s 17(6).</w:t>
      </w:r>
    </w:p>
  </w:endnote>
  <w:endnote w:id="166">
    <w:p w14:paraId="7E5D2209" w14:textId="77777777" w:rsidR="00643212" w:rsidRDefault="00643212" w:rsidP="00F12219">
      <w:pPr>
        <w:pStyle w:val="EndnoteText"/>
      </w:pPr>
      <w:r>
        <w:rPr>
          <w:rStyle w:val="EndnoteReference"/>
        </w:rPr>
        <w:endnoteRef/>
      </w:r>
      <w:r>
        <w:t xml:space="preserve"> See Explanatory Memorandum, Stronger Futures in the Northern Territory Bill 2011 (Cth), p 14.</w:t>
      </w:r>
    </w:p>
  </w:endnote>
  <w:endnote w:id="167">
    <w:p w14:paraId="55EFB0C6" w14:textId="77777777" w:rsidR="00643212" w:rsidRDefault="00643212" w:rsidP="00F12219">
      <w:pPr>
        <w:pStyle w:val="EndnoteText"/>
      </w:pPr>
      <w:r>
        <w:rPr>
          <w:rStyle w:val="EndnoteReference"/>
        </w:rPr>
        <w:endnoteRef/>
      </w:r>
      <w:r>
        <w:t xml:space="preserve"> Stronger Futures in the Northern Territory Bill 2011 (Cth), s 23(2).</w:t>
      </w:r>
    </w:p>
  </w:endnote>
  <w:endnote w:id="168">
    <w:p w14:paraId="675D7F5C" w14:textId="77777777" w:rsidR="00643212" w:rsidRDefault="00643212" w:rsidP="00F12219">
      <w:pPr>
        <w:pStyle w:val="EndnoteText"/>
      </w:pPr>
      <w:r>
        <w:rPr>
          <w:rStyle w:val="EndnoteReference"/>
        </w:rPr>
        <w:endnoteRef/>
      </w:r>
      <w:r>
        <w:t xml:space="preserve"> See Aboriginal and Torres Strait Islander Legal Services and Aboriginal Peak Organisations Northern Territory, </w:t>
      </w:r>
      <w:r>
        <w:rPr>
          <w:i/>
        </w:rPr>
        <w:t>The Future of the Northern Territory ‘Intervention’: Issues Paper</w:t>
      </w:r>
      <w:r>
        <w:t xml:space="preserve"> (2010), pp 7-8.</w:t>
      </w:r>
    </w:p>
  </w:endnote>
  <w:endnote w:id="169">
    <w:p w14:paraId="08EBC7B0" w14:textId="77777777" w:rsidR="00643212" w:rsidRDefault="00643212" w:rsidP="00F12219">
      <w:pPr>
        <w:pStyle w:val="EndnoteText"/>
      </w:pPr>
      <w:r>
        <w:rPr>
          <w:rStyle w:val="EndnoteReference"/>
        </w:rPr>
        <w:endnoteRef/>
      </w:r>
      <w:r>
        <w:t xml:space="preserve"> For more detail see: M Gooda, Aboriginal and Torres Strait Islander Social Justice Commissioner, </w:t>
      </w:r>
      <w:r w:rsidRPr="00A41C8E">
        <w:rPr>
          <w:i/>
        </w:rPr>
        <w:t>Native Title Report 2010</w:t>
      </w:r>
      <w:r>
        <w:t xml:space="preserve">, Australian Human Rights Commission (2011), p 63. At </w:t>
      </w:r>
      <w:hyperlink r:id="rId104" w:history="1">
        <w:r w:rsidRPr="00722220">
          <w:rPr>
            <w:rStyle w:val="Hyperlink"/>
          </w:rPr>
          <w:t>http://www.humanrights.gov.au/social_justice/nt_report/ntreport10/index.html</w:t>
        </w:r>
      </w:hyperlink>
      <w:r>
        <w:t xml:space="preserve"> (viewed 5 January 2011).</w:t>
      </w:r>
    </w:p>
  </w:endnote>
  <w:endnote w:id="170">
    <w:p w14:paraId="5858678E" w14:textId="77777777" w:rsidR="00643212" w:rsidRDefault="00643212" w:rsidP="00F12219">
      <w:pPr>
        <w:pStyle w:val="EndnoteText"/>
      </w:pPr>
      <w:r>
        <w:rPr>
          <w:rStyle w:val="EndnoteReference"/>
        </w:rPr>
        <w:endnoteRef/>
      </w:r>
      <w:r>
        <w:t xml:space="preserve"> Stronger Futures in the Northern Territory Bill 2011 (Cth), Division 4, Part 2.</w:t>
      </w:r>
    </w:p>
  </w:endnote>
  <w:endnote w:id="171">
    <w:p w14:paraId="52898A67" w14:textId="77777777" w:rsidR="00643212" w:rsidRDefault="00643212" w:rsidP="00F12219">
      <w:pPr>
        <w:pStyle w:val="EndnoteText"/>
      </w:pPr>
      <w:r>
        <w:rPr>
          <w:rStyle w:val="EndnoteReference"/>
        </w:rPr>
        <w:endnoteRef/>
      </w:r>
      <w:r>
        <w:t xml:space="preserve"> Commonwealth of Australia, </w:t>
      </w:r>
      <w:r w:rsidRPr="00CE75FF">
        <w:rPr>
          <w:i/>
        </w:rPr>
        <w:t xml:space="preserve">Northern Territory Emergency Response: Report of the NTER Review Board </w:t>
      </w:r>
      <w:r>
        <w:t xml:space="preserve">(2008), p 25. At </w:t>
      </w:r>
      <w:hyperlink r:id="rId105" w:history="1">
        <w:r w:rsidRPr="00652DC9">
          <w:rPr>
            <w:rStyle w:val="Hyperlink"/>
          </w:rPr>
          <w:t>http://www.nterreview.gov.au/report.htm</w:t>
        </w:r>
      </w:hyperlink>
      <w:r>
        <w:t xml:space="preserve"> (viewed 29 November 2011).</w:t>
      </w:r>
    </w:p>
  </w:endnote>
  <w:endnote w:id="172">
    <w:p w14:paraId="018F66C4" w14:textId="77777777" w:rsidR="00643212" w:rsidRDefault="00643212" w:rsidP="00F12219">
      <w:pPr>
        <w:pStyle w:val="EndnoteText"/>
      </w:pPr>
      <w:r>
        <w:rPr>
          <w:rStyle w:val="EndnoteReference"/>
        </w:rPr>
        <w:endnoteRef/>
      </w:r>
      <w:r>
        <w:t xml:space="preserve"> Stronger Futures in the Northern Territory Bill 2011 (Cth), s 14(2); Australian Government, </w:t>
      </w:r>
      <w:r w:rsidRPr="001954AD">
        <w:rPr>
          <w:i/>
        </w:rPr>
        <w:t>Stronger Futures in the Northern Territory: report on consultations</w:t>
      </w:r>
      <w:r>
        <w:t xml:space="preserve"> (2011), p 43. At </w:t>
      </w:r>
      <w:hyperlink r:id="rId106" w:history="1">
        <w:r w:rsidRPr="00D51AFC">
          <w:rPr>
            <w:rStyle w:val="Hyperlink"/>
          </w:rPr>
          <w:t>http://www.indigenous.gov.au/stronger-futures-in-the-northern-territory-report-on-consultations/</w:t>
        </w:r>
      </w:hyperlink>
      <w:r>
        <w:t xml:space="preserve"> (viewed 10 January 2012).</w:t>
      </w:r>
    </w:p>
  </w:endnote>
  <w:endnote w:id="173">
    <w:p w14:paraId="75661C68" w14:textId="77777777" w:rsidR="00643212" w:rsidRDefault="00643212" w:rsidP="00F12219">
      <w:pPr>
        <w:pStyle w:val="EndnoteText"/>
      </w:pPr>
      <w:r>
        <w:rPr>
          <w:rStyle w:val="EndnoteReference"/>
        </w:rPr>
        <w:endnoteRef/>
      </w:r>
      <w:r>
        <w:t xml:space="preserve"> Stronger Futures in the Northern Territory Bill 2011 (Cth), s 14(5).</w:t>
      </w:r>
    </w:p>
  </w:endnote>
  <w:endnote w:id="174">
    <w:p w14:paraId="695CAC41" w14:textId="77777777" w:rsidR="00643212" w:rsidRDefault="00643212" w:rsidP="00F12219">
      <w:pPr>
        <w:pStyle w:val="EndnoteText"/>
      </w:pPr>
      <w:r>
        <w:rPr>
          <w:rStyle w:val="EndnoteReference"/>
        </w:rPr>
        <w:endnoteRef/>
      </w:r>
      <w:r>
        <w:t xml:space="preserve"> </w:t>
      </w:r>
      <w:r w:rsidRPr="00C82ACE">
        <w:rPr>
          <w:i/>
        </w:rPr>
        <w:t>Northern Territory National Emergency Response Act 2007</w:t>
      </w:r>
      <w:r>
        <w:t xml:space="preserve"> (Cth), s 11(3).</w:t>
      </w:r>
    </w:p>
  </w:endnote>
  <w:endnote w:id="175">
    <w:p w14:paraId="23492357" w14:textId="77777777" w:rsidR="00643212" w:rsidRDefault="00643212" w:rsidP="00F12219">
      <w:pPr>
        <w:pStyle w:val="EndnoteText"/>
      </w:pPr>
      <w:r>
        <w:rPr>
          <w:rStyle w:val="EndnoteReference"/>
        </w:rPr>
        <w:endnoteRef/>
      </w:r>
      <w:r>
        <w:t xml:space="preserve"> Stronger Futures in the Northern Territory Bill 2011 (Cth), Division 5, Part 2.</w:t>
      </w:r>
    </w:p>
  </w:endnote>
  <w:endnote w:id="176">
    <w:p w14:paraId="47DD7F65" w14:textId="77777777" w:rsidR="00643212" w:rsidRDefault="00643212" w:rsidP="00F12219">
      <w:pPr>
        <w:pStyle w:val="EndnoteText"/>
      </w:pPr>
      <w:r>
        <w:rPr>
          <w:rStyle w:val="EndnoteReference"/>
        </w:rPr>
        <w:endnoteRef/>
      </w:r>
      <w:r>
        <w:t xml:space="preserve"> Stronger Futures in the Northern Territory Bill 2011 (Cth), s 15(5).</w:t>
      </w:r>
    </w:p>
  </w:endnote>
  <w:endnote w:id="177">
    <w:p w14:paraId="176D27C6" w14:textId="77777777" w:rsidR="00643212" w:rsidRDefault="00643212">
      <w:pPr>
        <w:pStyle w:val="EndnoteText"/>
      </w:pPr>
      <w:r>
        <w:rPr>
          <w:rStyle w:val="EndnoteReference"/>
        </w:rPr>
        <w:endnoteRef/>
      </w:r>
      <w:r>
        <w:t xml:space="preserve"> Further, under s 3 of the </w:t>
      </w:r>
      <w:r w:rsidRPr="001A3B7C">
        <w:rPr>
          <w:rFonts w:cs="Arial"/>
          <w:i/>
        </w:rPr>
        <w:t>Administrative Appeals Tribunal Act 1975</w:t>
      </w:r>
      <w:r>
        <w:rPr>
          <w:rFonts w:cs="Arial"/>
        </w:rPr>
        <w:t xml:space="preserve"> (Cth), t</w:t>
      </w:r>
      <w:r w:rsidRPr="001A3B7C">
        <w:t>he enactments that may confer jurisdiction on the A</w:t>
      </w:r>
      <w:r>
        <w:t xml:space="preserve">dministrative </w:t>
      </w:r>
      <w:r w:rsidRPr="001A3B7C">
        <w:t>A</w:t>
      </w:r>
      <w:r>
        <w:t xml:space="preserve">ppeals </w:t>
      </w:r>
      <w:r w:rsidRPr="001A3B7C">
        <w:t>T</w:t>
      </w:r>
      <w:r>
        <w:t>ribunal</w:t>
      </w:r>
      <w:r w:rsidRPr="001A3B7C">
        <w:t xml:space="preserve"> are defined by </w:t>
      </w:r>
      <w:hyperlink r:id="rId107" w:tgtFrame="_parent" w:history="1">
        <w:r w:rsidRPr="001A3B7C">
          <w:t>s 3</w:t>
        </w:r>
      </w:hyperlink>
      <w:r w:rsidRPr="001A3B7C">
        <w:t xml:space="preserve"> of the AAT Act to </w:t>
      </w:r>
      <w:r>
        <w:t xml:space="preserve">exclude </w:t>
      </w:r>
      <w:r w:rsidRPr="001A3B7C">
        <w:t>Acts</w:t>
      </w:r>
      <w:r>
        <w:t xml:space="preserve"> or</w:t>
      </w:r>
      <w:r w:rsidRPr="001A3B7C">
        <w:t xml:space="preserve"> Ordinances of the </w:t>
      </w:r>
      <w:bookmarkStart w:id="171" w:name="HIT_1"/>
      <w:bookmarkStart w:id="172" w:name="ORIGHIT_1"/>
      <w:bookmarkEnd w:id="171"/>
      <w:bookmarkEnd w:id="172"/>
      <w:r w:rsidRPr="001A3B7C">
        <w:t xml:space="preserve">Northern Territory and instruments (including rules, regulations and by-laws) made under </w:t>
      </w:r>
      <w:r>
        <w:t xml:space="preserve">such </w:t>
      </w:r>
      <w:r w:rsidRPr="001A3B7C">
        <w:t>an Act or Ordinance</w:t>
      </w:r>
      <w:r>
        <w:t>.</w:t>
      </w:r>
    </w:p>
  </w:endnote>
  <w:endnote w:id="178">
    <w:p w14:paraId="519BA7DA" w14:textId="77777777" w:rsidR="00643212" w:rsidRDefault="00643212" w:rsidP="00F12219">
      <w:pPr>
        <w:pStyle w:val="EndnoteText"/>
      </w:pPr>
      <w:r>
        <w:rPr>
          <w:rStyle w:val="EndnoteReference"/>
        </w:rPr>
        <w:endnoteRef/>
      </w:r>
      <w:r>
        <w:t xml:space="preserve"> </w:t>
      </w:r>
      <w:r w:rsidRPr="009E602F">
        <w:rPr>
          <w:i/>
        </w:rPr>
        <w:t>Northern Territory National Emergency Response Act 2007</w:t>
      </w:r>
      <w:r>
        <w:t xml:space="preserve"> (Cth), s 12.</w:t>
      </w:r>
    </w:p>
  </w:endnote>
  <w:endnote w:id="179">
    <w:p w14:paraId="5B8336A0" w14:textId="77777777" w:rsidR="00643212" w:rsidRDefault="00643212" w:rsidP="00F12219">
      <w:pPr>
        <w:pStyle w:val="EndnoteText"/>
      </w:pPr>
      <w:r>
        <w:rPr>
          <w:rStyle w:val="EndnoteReference"/>
        </w:rPr>
        <w:endnoteRef/>
      </w:r>
      <w:r>
        <w:t xml:space="preserve"> Proposed s 75C(7) of the Liquor Act (NT): Stronger Futures in the Northern Territory Bill 2011 (Cth), s 8.</w:t>
      </w:r>
    </w:p>
  </w:endnote>
  <w:endnote w:id="180">
    <w:p w14:paraId="53D38F8F" w14:textId="77777777" w:rsidR="00643212" w:rsidRDefault="00643212" w:rsidP="00F12219">
      <w:pPr>
        <w:pStyle w:val="EndnoteText"/>
      </w:pPr>
      <w:r>
        <w:rPr>
          <w:rStyle w:val="EndnoteReference"/>
        </w:rPr>
        <w:endnoteRef/>
      </w:r>
      <w:r>
        <w:t xml:space="preserve"> Explanatory Memorandum, Stronger Futures in the Northern Territory Bill 2011 (Cth), p 7.</w:t>
      </w:r>
    </w:p>
  </w:endnote>
  <w:endnote w:id="181">
    <w:p w14:paraId="76374F51" w14:textId="77777777" w:rsidR="00643212" w:rsidRDefault="00643212" w:rsidP="00F12219">
      <w:pPr>
        <w:pStyle w:val="EndnoteText"/>
      </w:pPr>
      <w:r>
        <w:rPr>
          <w:rStyle w:val="EndnoteReference"/>
        </w:rPr>
        <w:endnoteRef/>
      </w:r>
      <w:r>
        <w:t xml:space="preserve"> Explanatory Memorandum, Stronger Futures in the Northern Territory Bill 2011 (Cth), p 4.</w:t>
      </w:r>
    </w:p>
  </w:endnote>
  <w:endnote w:id="182">
    <w:p w14:paraId="42EAC59F" w14:textId="77777777" w:rsidR="00643212" w:rsidRDefault="00643212" w:rsidP="00F12219">
      <w:pPr>
        <w:pStyle w:val="EndnoteText"/>
      </w:pPr>
      <w:r>
        <w:rPr>
          <w:rStyle w:val="EndnoteReference"/>
        </w:rPr>
        <w:endnoteRef/>
      </w:r>
      <w:r>
        <w:t xml:space="preserve"> See Aboriginal and Torres Strait Islander Legal Services and Aboriginal Peak Organisations Northern Territory, </w:t>
      </w:r>
      <w:r>
        <w:rPr>
          <w:i/>
        </w:rPr>
        <w:t>The Future of the Northern Territory ‘Intervention’: Issues Paper</w:t>
      </w:r>
      <w:r>
        <w:t xml:space="preserve"> (2010), p 7.</w:t>
      </w:r>
    </w:p>
  </w:endnote>
  <w:endnote w:id="183">
    <w:p w14:paraId="43AC2D84" w14:textId="77777777" w:rsidR="00643212" w:rsidRDefault="00643212" w:rsidP="00F12219">
      <w:pPr>
        <w:pStyle w:val="EndnoteText"/>
      </w:pPr>
      <w:r>
        <w:rPr>
          <w:rStyle w:val="EndnoteReference"/>
        </w:rPr>
        <w:endnoteRef/>
      </w:r>
      <w:r>
        <w:t xml:space="preserve"> See Australian Government,</w:t>
      </w:r>
      <w:r>
        <w:rPr>
          <w:i/>
        </w:rPr>
        <w:t xml:space="preserve"> Northern Territory Emergency Response Evaluation Report 2011</w:t>
      </w:r>
      <w:r>
        <w:t xml:space="preserve"> (2011), p 181. At </w:t>
      </w:r>
      <w:hyperlink r:id="rId108" w:history="1">
        <w:r w:rsidRPr="00071040">
          <w:rPr>
            <w:rStyle w:val="Hyperlink"/>
          </w:rPr>
          <w:t>http://www.fahcsia.gov.au/sa/indigenous/pubs/nter_reports/Pages/nter_evaluation_rpt_2011.aspx</w:t>
        </w:r>
      </w:hyperlink>
      <w:r>
        <w:t xml:space="preserve"> (viewed 28 November 2011).</w:t>
      </w:r>
    </w:p>
  </w:endnote>
  <w:endnote w:id="184">
    <w:p w14:paraId="3F5B091B" w14:textId="77777777" w:rsidR="00643212" w:rsidRDefault="00643212" w:rsidP="00F12219">
      <w:pPr>
        <w:pStyle w:val="EndnoteText"/>
        <w:tabs>
          <w:tab w:val="center" w:pos="4535"/>
        </w:tabs>
      </w:pPr>
      <w:r>
        <w:rPr>
          <w:rStyle w:val="EndnoteReference"/>
        </w:rPr>
        <w:endnoteRef/>
      </w:r>
      <w:r>
        <w:t xml:space="preserve"> Human Rights and Equal Opportunity Commission, </w:t>
      </w:r>
      <w:r w:rsidRPr="0081559C">
        <w:rPr>
          <w:i/>
        </w:rPr>
        <w:t xml:space="preserve">Submission to the Senate Legal and Constitutional Committee on the Northern Territory National emergency Response Legislation </w:t>
      </w:r>
      <w:r>
        <w:t>(2007), 10 August 2007, paras 55-59.</w:t>
      </w:r>
    </w:p>
  </w:endnote>
  <w:endnote w:id="185">
    <w:p w14:paraId="227916B8" w14:textId="77777777" w:rsidR="00643212" w:rsidRDefault="00643212" w:rsidP="00F12219">
      <w:pPr>
        <w:pStyle w:val="EndnoteText"/>
      </w:pPr>
      <w:r>
        <w:rPr>
          <w:rStyle w:val="EndnoteReference"/>
        </w:rPr>
        <w:endnoteRef/>
      </w:r>
      <w:r>
        <w:t xml:space="preserve"> Australian Government, </w:t>
      </w:r>
      <w:r w:rsidRPr="007950F6">
        <w:rPr>
          <w:i/>
        </w:rPr>
        <w:t>Stronger Futures in the Northern Territory: Policy Statement</w:t>
      </w:r>
      <w:r>
        <w:t xml:space="preserve"> (2011), p 6. At </w:t>
      </w:r>
      <w:hyperlink r:id="rId109" w:history="1">
        <w:r w:rsidRPr="009A09CA">
          <w:rPr>
            <w:rStyle w:val="Hyperlink"/>
          </w:rPr>
          <w:t>http://www.indigenous.gov.au/stronger-futures-in-the-northern-territory/</w:t>
        </w:r>
      </w:hyperlink>
      <w:r>
        <w:t xml:space="preserve"> (viewed 16 December 2011). </w:t>
      </w:r>
    </w:p>
  </w:endnote>
  <w:endnote w:id="186">
    <w:p w14:paraId="1A695661" w14:textId="77777777" w:rsidR="00643212" w:rsidRDefault="00643212" w:rsidP="00F12219">
      <w:pPr>
        <w:pStyle w:val="EndnoteText"/>
      </w:pPr>
      <w:r>
        <w:rPr>
          <w:rStyle w:val="EndnoteReference"/>
        </w:rPr>
        <w:endnoteRef/>
      </w:r>
      <w:r>
        <w:t xml:space="preserve"> Australian Government, </w:t>
      </w:r>
      <w:r w:rsidRPr="001954AD">
        <w:rPr>
          <w:i/>
        </w:rPr>
        <w:t>Stronger Futures in the Northern Territory: report on consultations</w:t>
      </w:r>
      <w:r>
        <w:t xml:space="preserve"> (2011), p 39. At </w:t>
      </w:r>
      <w:hyperlink r:id="rId110" w:history="1">
        <w:r w:rsidRPr="00D51AFC">
          <w:rPr>
            <w:rStyle w:val="Hyperlink"/>
          </w:rPr>
          <w:t>http://www.indigenous.gov.au/stronger-futures-in-the-northern-territory-report-on-consultations/</w:t>
        </w:r>
      </w:hyperlink>
      <w:r>
        <w:t xml:space="preserve"> (viewed 10 January 2012).</w:t>
      </w:r>
    </w:p>
  </w:endnote>
  <w:endnote w:id="187">
    <w:p w14:paraId="5623904B" w14:textId="77777777" w:rsidR="00643212" w:rsidRDefault="00643212" w:rsidP="00F12219">
      <w:pPr>
        <w:pStyle w:val="EndnoteText"/>
      </w:pPr>
      <w:r>
        <w:rPr>
          <w:rStyle w:val="EndnoteReference"/>
        </w:rPr>
        <w:endnoteRef/>
      </w:r>
      <w:r>
        <w:t xml:space="preserve"> See Australian Government, </w:t>
      </w:r>
      <w:r w:rsidRPr="001954AD">
        <w:rPr>
          <w:i/>
        </w:rPr>
        <w:t>Stronger Futures in the Northern Territory: report on consultations</w:t>
      </w:r>
      <w:r>
        <w:t xml:space="preserve"> (2011), pp 40-43. At </w:t>
      </w:r>
      <w:hyperlink r:id="rId111" w:history="1">
        <w:r w:rsidRPr="00D51AFC">
          <w:rPr>
            <w:rStyle w:val="Hyperlink"/>
          </w:rPr>
          <w:t>http://www.indigenous.gov.au/stronger-futures-in-the-northern-territory-report-on-consultations/</w:t>
        </w:r>
      </w:hyperlink>
      <w:r>
        <w:t xml:space="preserve"> (viewed 10 January 2012).</w:t>
      </w:r>
    </w:p>
  </w:endnote>
  <w:endnote w:id="188">
    <w:p w14:paraId="2D636AE8" w14:textId="77777777" w:rsidR="00643212" w:rsidRDefault="00643212" w:rsidP="00F12219">
      <w:pPr>
        <w:pStyle w:val="EndnoteText"/>
      </w:pPr>
      <w:r>
        <w:rPr>
          <w:rStyle w:val="EndnoteReference"/>
        </w:rPr>
        <w:endnoteRef/>
      </w:r>
      <w:r>
        <w:t xml:space="preserve"> Aboriginal Peak Organisations Northern Territory, </w:t>
      </w:r>
      <w:r w:rsidRPr="006B5986">
        <w:rPr>
          <w:i/>
        </w:rPr>
        <w:t>Response to Stronger Futures</w:t>
      </w:r>
      <w:r>
        <w:t xml:space="preserve"> (2011), p 20. See also Australian Government, </w:t>
      </w:r>
      <w:r w:rsidRPr="001954AD">
        <w:rPr>
          <w:i/>
        </w:rPr>
        <w:t>Stronger Futures in the Northern Territory: report on consultations</w:t>
      </w:r>
      <w:r>
        <w:t xml:space="preserve"> (2011), p 42. At </w:t>
      </w:r>
      <w:hyperlink r:id="rId112" w:history="1">
        <w:r w:rsidRPr="00D51AFC">
          <w:rPr>
            <w:rStyle w:val="Hyperlink"/>
          </w:rPr>
          <w:t>http://www.indigenous.gov.au/stronger-futures-in-the-northern-territory-report-on-consultations/</w:t>
        </w:r>
      </w:hyperlink>
      <w:r>
        <w:t xml:space="preserve"> (viewed 10 January 2012).</w:t>
      </w:r>
    </w:p>
  </w:endnote>
  <w:endnote w:id="189">
    <w:p w14:paraId="5A092211" w14:textId="77777777" w:rsidR="00643212" w:rsidRDefault="00643212" w:rsidP="00F12219">
      <w:pPr>
        <w:pStyle w:val="EndnoteText"/>
      </w:pPr>
      <w:r>
        <w:rPr>
          <w:rStyle w:val="EndnoteReference"/>
        </w:rPr>
        <w:endnoteRef/>
      </w:r>
      <w:r>
        <w:t xml:space="preserve"> D Gray and E Wilkes, </w:t>
      </w:r>
      <w:r w:rsidRPr="00FA5E5F">
        <w:rPr>
          <w:i/>
        </w:rPr>
        <w:t>Reducing alcohol and other drug related harm</w:t>
      </w:r>
      <w:r>
        <w:t xml:space="preserve">, Closing the gap clearinghouse Resource sheet no. 3 (2010), p 4. At </w:t>
      </w:r>
      <w:hyperlink r:id="rId113" w:history="1">
        <w:r w:rsidRPr="000C38AE">
          <w:rPr>
            <w:rStyle w:val="Hyperlink"/>
          </w:rPr>
          <w:t>http://www.aihw.gov.au/closingthegap/documents/resource_sheets/ctgc-rs03.rtf</w:t>
        </w:r>
      </w:hyperlink>
      <w:r>
        <w:t xml:space="preserve"> (viewed 22 November 2011).</w:t>
      </w:r>
    </w:p>
  </w:endnote>
  <w:endnote w:id="190">
    <w:p w14:paraId="2B6CD393"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rFonts w:ascii="Arial Italic" w:hAnsi="Arial Italic"/>
        </w:rPr>
        <w:t xml:space="preserve">Northern Territory National Emergency Response Act 2007 </w:t>
      </w:r>
      <w:r>
        <w:t xml:space="preserve">(Cth), ss 31(1), (2). For further information, see T Calma, Aboriginal and Torres Strait Islander Social Justice Commissioner, </w:t>
      </w:r>
      <w:r>
        <w:rPr>
          <w:rFonts w:ascii="Arial Italic" w:hAnsi="Arial Italic"/>
        </w:rPr>
        <w:t>Native Title Report 2007</w:t>
      </w:r>
      <w:r>
        <w:t xml:space="preserve">, Human Rights and Equal Opportunity Commission (2008), pp 188–196. At </w:t>
      </w:r>
      <w:hyperlink r:id="rId114" w:history="1">
        <w:r>
          <w:rPr>
            <w:rStyle w:val="Hyperlink1"/>
          </w:rPr>
          <w:t>http://www.humanrights.gov.au/social_justice/nt_report/ntreport07/index.html</w:t>
        </w:r>
      </w:hyperlink>
      <w:r>
        <w:t xml:space="preserve"> (viewed 22 September 2010); T Calma, Aboriginal and Torres Strait Islander Social Justice Commissioner, </w:t>
      </w:r>
      <w:r>
        <w:rPr>
          <w:rFonts w:ascii="Arial Italic" w:hAnsi="Arial Italic"/>
        </w:rPr>
        <w:t>Native Title Report 2009</w:t>
      </w:r>
      <w:r>
        <w:t xml:space="preserve">, Australian Human Rights Commission (2009), pp 151–155. At </w:t>
      </w:r>
      <w:hyperlink r:id="rId115" w:history="1">
        <w:r>
          <w:rPr>
            <w:rStyle w:val="Hyperlink1"/>
          </w:rPr>
          <w:t>http://www.humanrights.gov.au/social_justice/nt_report/ntreport09/index.html</w:t>
        </w:r>
      </w:hyperlink>
      <w:r>
        <w:t xml:space="preserve"> (viewed 22 September 2010); Australian Human Rights Commission, </w:t>
      </w:r>
      <w:r>
        <w:rPr>
          <w:rFonts w:ascii="Arial Italic" w:hAnsi="Arial Italic"/>
        </w:rPr>
        <w:t xml:space="preserve">Submission to the Senate Community Affairs Committee Inquiry into the Welfare Reform and Reinstatement of Racial Discrimination Act Bill 2009 and other Bills </w:t>
      </w:r>
      <w:r>
        <w:t xml:space="preserve">(2010),10 February 2010, paras 137–150. At </w:t>
      </w:r>
      <w:hyperlink r:id="rId116" w:history="1">
        <w:r>
          <w:rPr>
            <w:rStyle w:val="Hyperlink1"/>
          </w:rPr>
          <w:t>http://www.humanrights.gov.au/legal/submissions/sj_submissions/2010_welfare_reform.html</w:t>
        </w:r>
      </w:hyperlink>
      <w:r>
        <w:t xml:space="preserve"> (viewed 22 September 2010).</w:t>
      </w:r>
    </w:p>
  </w:endnote>
  <w:endnote w:id="191">
    <w:p w14:paraId="08FD6960"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rFonts w:ascii="Arial Italic" w:hAnsi="Arial Italic"/>
        </w:rPr>
        <w:t xml:space="preserve">Northern Territory National Emergency Response Act 2007 </w:t>
      </w:r>
      <w:r>
        <w:t xml:space="preserve">(Cth), pt 4, div 2. For further information see T Calma, Aboriginal and Torres Strait Islander Social Justice Commissioner, </w:t>
      </w:r>
      <w:r>
        <w:rPr>
          <w:rFonts w:ascii="Arial Italic" w:hAnsi="Arial Italic"/>
        </w:rPr>
        <w:t>Native Title Report 2007</w:t>
      </w:r>
      <w:r>
        <w:t xml:space="preserve">, Human Rights and Equal Opportunity Commission (2008), pp 196–199. At </w:t>
      </w:r>
      <w:hyperlink r:id="rId117" w:history="1">
        <w:r>
          <w:rPr>
            <w:rStyle w:val="Hyperlink1"/>
          </w:rPr>
          <w:t>http://www.humanrights.gov.au/social_justice/nt_report/ntreport07/index.html</w:t>
        </w:r>
      </w:hyperlink>
      <w:r>
        <w:t xml:space="preserve"> (viewed 22 September 2010). </w:t>
      </w:r>
    </w:p>
  </w:endnote>
  <w:endnote w:id="192">
    <w:p w14:paraId="7CC03979"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rFonts w:ascii="Arial Italic" w:hAnsi="Arial Italic"/>
        </w:rPr>
        <w:t xml:space="preserve">Aboriginal Land Rights (Northern Territory) Act 1976 </w:t>
      </w:r>
      <w:r>
        <w:t xml:space="preserve">(Cth), pt IIB. For further information see T Calma, Aboriginal and Torres Strait Islander Social Justice Commissioner, </w:t>
      </w:r>
      <w:r>
        <w:rPr>
          <w:rFonts w:ascii="Arial Italic" w:hAnsi="Arial Italic"/>
        </w:rPr>
        <w:t>Native Title Report 2007</w:t>
      </w:r>
      <w:r>
        <w:t xml:space="preserve">, Human Rights and Equal Opportunity Commission (2008), pp 202–206. At </w:t>
      </w:r>
      <w:hyperlink r:id="rId118" w:history="1">
        <w:r>
          <w:rPr>
            <w:rStyle w:val="Hyperlink1"/>
          </w:rPr>
          <w:t>http://www.humanrights.gov.au/social_justice/nt_report/ntreport07/index.html</w:t>
        </w:r>
      </w:hyperlink>
      <w:r>
        <w:t xml:space="preserve"> (viewed 22 September 2010). The amendments also provided that the future acts regime under the </w:t>
      </w:r>
      <w:r w:rsidRPr="005A170E">
        <w:rPr>
          <w:i/>
        </w:rPr>
        <w:t>Native Title Act</w:t>
      </w:r>
      <w:r>
        <w:t xml:space="preserve"> does not apply to acts done by, under, or in accordance with certain provisions of the </w:t>
      </w:r>
      <w:r w:rsidRPr="00F002A5">
        <w:rPr>
          <w:rFonts w:ascii="Arial Italic" w:hAnsi="Arial Italic"/>
        </w:rPr>
        <w:t xml:space="preserve">Northern Territory National Emergency Response Act 2007 </w:t>
      </w:r>
      <w:r>
        <w:t>(Cth), s 51.</w:t>
      </w:r>
    </w:p>
  </w:endnote>
  <w:endnote w:id="193">
    <w:p w14:paraId="7569E099"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T Calma, Aboriginal and Torres Strait Islander Social Justice Commissioner, </w:t>
      </w:r>
      <w:r>
        <w:rPr>
          <w:rFonts w:ascii="Arial Italic" w:hAnsi="Arial Italic"/>
        </w:rPr>
        <w:t>Native Title Report 2007</w:t>
      </w:r>
      <w:r>
        <w:t xml:space="preserve">, Human Rights and Equal Opportunity Commission (2008), pp 187–207. At </w:t>
      </w:r>
      <w:hyperlink r:id="rId119" w:history="1">
        <w:r>
          <w:rPr>
            <w:rStyle w:val="Hyperlink1"/>
          </w:rPr>
          <w:t>http://www.humanrights.gov.au/social_justice/nt_report/ntreport07/index.html</w:t>
        </w:r>
      </w:hyperlink>
      <w:r>
        <w:t xml:space="preserve"> (viewed 22 September 2010); T Calma, Aboriginal and Torres Strait Islander Social Justice Commissioner, </w:t>
      </w:r>
      <w:r>
        <w:rPr>
          <w:rFonts w:ascii="Arial Italic" w:hAnsi="Arial Italic"/>
        </w:rPr>
        <w:t>Native Title Report 2009</w:t>
      </w:r>
      <w:r>
        <w:t xml:space="preserve">, Australian Human Rights Commission (2009), pp 151–158. At </w:t>
      </w:r>
      <w:hyperlink r:id="rId120" w:history="1">
        <w:r>
          <w:rPr>
            <w:rStyle w:val="Hyperlink1"/>
          </w:rPr>
          <w:t>http://www.humanrights.gov.au/social_justice/nt_report/ntreport09/index.html</w:t>
        </w:r>
      </w:hyperlink>
      <w:r>
        <w:t xml:space="preserve"> (viewed 22 September 2010); T Calma, Aboriginal and Torres Strait Islander Social Justice Commissioner, </w:t>
      </w:r>
      <w:r>
        <w:rPr>
          <w:rFonts w:ascii="Arial Italic" w:hAnsi="Arial Italic"/>
        </w:rPr>
        <w:t>Social Justice Report 2007</w:t>
      </w:r>
      <w:r>
        <w:t xml:space="preserve">, Human Rights and Equal Opportunity Commission (2008), ch 3. At </w:t>
      </w:r>
      <w:hyperlink r:id="rId121" w:history="1">
        <w:r>
          <w:rPr>
            <w:rStyle w:val="Hyperlink1"/>
          </w:rPr>
          <w:t>http://www.humanrights.gov.au/social_justice/sj_report/sjreport07/index.html</w:t>
        </w:r>
      </w:hyperlink>
      <w:r>
        <w:t xml:space="preserve"> (viewed 22 September 2010).</w:t>
      </w:r>
    </w:p>
  </w:endnote>
  <w:endnote w:id="194">
    <w:p w14:paraId="79DA4158"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Stronger Futures in the Northern Territory (Consequential and Transitional Provisions) Bill 2011 (Cth), sch 1, item 1.</w:t>
      </w:r>
    </w:p>
  </w:endnote>
  <w:endnote w:id="195">
    <w:p w14:paraId="4509BF3C"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Stronger Futures in the Northern Territory (Consequential and Transitional Provisions) Bill 2011 (Cth), sch 2, item 3.</w:t>
      </w:r>
    </w:p>
  </w:endnote>
  <w:endnote w:id="196">
    <w:p w14:paraId="21FA3ACA" w14:textId="77777777" w:rsidR="00643212" w:rsidRDefault="00643212" w:rsidP="00F12219">
      <w:pPr>
        <w:pStyle w:val="EndnoteText1"/>
      </w:pPr>
      <w:r>
        <w:rPr>
          <w:rStyle w:val="EndnoteReference1"/>
        </w:rPr>
        <w:endnoteRef/>
      </w:r>
      <w:r>
        <w:t xml:space="preserve"> The five-year lease provisions are repealed from 17 August 2012: Stronger Futures in the Northern Territory (Consequential and Transitional Provisions) Bill 2011 (Cth), sch 1, item 2.</w:t>
      </w:r>
    </w:p>
    <w:p w14:paraId="17AE10A1"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Stronger Futures in the Northern Territory (Consequential and Transitional Provisions) Bill 2011 (Cth), sch 2, item 3.</w:t>
      </w:r>
    </w:p>
  </w:endnote>
  <w:endnote w:id="197">
    <w:p w14:paraId="0BC0C1A4"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 xml:space="preserve">Stronger Futures in the Northern Territory Policy Statement </w:t>
      </w:r>
      <w:r>
        <w:t xml:space="preserve">(2011), p 9. At </w:t>
      </w:r>
      <w:hyperlink r:id="rId122" w:history="1">
        <w:r>
          <w:rPr>
            <w:rStyle w:val="Hyperlink1"/>
          </w:rPr>
          <w:t>http://www.indigenous.gov.au/stronger-futures-in-the-northern-territory/</w:t>
        </w:r>
      </w:hyperlink>
      <w:r>
        <w:t xml:space="preserve"> (viewed 19 January 2012).</w:t>
      </w:r>
    </w:p>
  </w:endnote>
  <w:endnote w:id="198">
    <w:p w14:paraId="7CD15930"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Stronger Futures in the Northern Territory Bill 2011 (Cth), pt 3.</w:t>
      </w:r>
    </w:p>
  </w:endnote>
  <w:endnote w:id="199">
    <w:p w14:paraId="06577184"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Explanatory Memorandum, Stronger Futures in the Northern Territory Bill 2011 (Cth), p 23.</w:t>
      </w:r>
    </w:p>
  </w:endnote>
  <w:endnote w:id="200">
    <w:p w14:paraId="63AA77CB"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Explanatory Memorandum, Stronger Futures in the Northern Territory Bill 2011 (Cth), p 24.</w:t>
      </w:r>
    </w:p>
  </w:endnote>
  <w:endnote w:id="201">
    <w:p w14:paraId="1DC29258"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Stronger Futures in the Northern Territory Bill 2011 (Cth), s 34(4).</w:t>
      </w:r>
    </w:p>
  </w:endnote>
  <w:endnote w:id="202">
    <w:p w14:paraId="4C750D83"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Stronger Futures in the Northern Territory Bill 2011 (Cth), s 34(6).</w:t>
      </w:r>
    </w:p>
  </w:endnote>
  <w:endnote w:id="203">
    <w:p w14:paraId="419448BC"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Stronger Futures in the Northern Territory Bill 2011 (Cth), ss 34(8), 34(9).</w:t>
      </w:r>
    </w:p>
  </w:endnote>
  <w:endnote w:id="204">
    <w:p w14:paraId="70B72E95"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Stronger Futures in the Northern Territory (Consequential and Transitional Provisions) Bill 2011 (Cth), sch 2, item 4.</w:t>
      </w:r>
    </w:p>
  </w:endnote>
  <w:endnote w:id="205">
    <w:p w14:paraId="3E83059C"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Explanatory Memorandum, Stronger Futures in the Northern Territory Bill 2011 (Cth), p 23.</w:t>
      </w:r>
    </w:p>
  </w:endnote>
  <w:endnote w:id="206">
    <w:p w14:paraId="437B18B3" w14:textId="423F765C"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J Anaya, </w:t>
      </w:r>
      <w:r>
        <w:rPr>
          <w:rFonts w:ascii="Arial Italic" w:hAnsi="Arial Italic"/>
        </w:rPr>
        <w:t>Report on the Situation of indigenous peoples in Australia</w:t>
      </w:r>
      <w:r>
        <w:t xml:space="preserve">, note 4, para 74. Also see T Calma, </w:t>
      </w:r>
      <w:r>
        <w:rPr>
          <w:rFonts w:ascii="Arial Italic" w:hAnsi="Arial Italic"/>
        </w:rPr>
        <w:t xml:space="preserve">Native Title Report 2009, </w:t>
      </w:r>
      <w:r>
        <w:t>p 73.</w:t>
      </w:r>
    </w:p>
  </w:endnote>
  <w:endnote w:id="207">
    <w:p w14:paraId="646F5B80"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Aboriginal Peak Organisations Northern Territory, </w:t>
      </w:r>
      <w:r>
        <w:rPr>
          <w:rFonts w:ascii="Arial Italic" w:hAnsi="Arial Italic"/>
        </w:rPr>
        <w:t xml:space="preserve">Response to Stronger Futures </w:t>
      </w:r>
      <w:r>
        <w:t xml:space="preserve">(2011), pp 33−34. At </w:t>
      </w:r>
      <w:hyperlink r:id="rId123" w:history="1">
        <w:r>
          <w:rPr>
            <w:rStyle w:val="Hyperlink1"/>
          </w:rPr>
          <w:t>http://www.nlc.org.au/html/wht_pub.html</w:t>
        </w:r>
      </w:hyperlink>
      <w:r>
        <w:t xml:space="preserve"> (viewed 19 January 2012).</w:t>
      </w:r>
    </w:p>
  </w:endnote>
  <w:endnote w:id="208">
    <w:p w14:paraId="1F161A7D"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T Calma, Aboriginal and Torres Strait Islander Social Justice Commissioner, </w:t>
      </w:r>
      <w:r>
        <w:rPr>
          <w:rFonts w:ascii="Arial Italic" w:hAnsi="Arial Italic"/>
        </w:rPr>
        <w:t>Native Title Report 2006</w:t>
      </w:r>
      <w:r>
        <w:t xml:space="preserve">, Human Rights and Equal Opportunity Commission (2007), p 125. At </w:t>
      </w:r>
      <w:hyperlink r:id="rId124" w:history="1">
        <w:r>
          <w:rPr>
            <w:rStyle w:val="Hyperlink1"/>
          </w:rPr>
          <w:t>http://www.humanrights.gov.au/social_justice/nt_report/ntreport06/index.html</w:t>
        </w:r>
      </w:hyperlink>
      <w:r>
        <w:t xml:space="preserve"> (viewed 19 January 2012).</w:t>
      </w:r>
    </w:p>
  </w:endnote>
  <w:endnote w:id="209">
    <w:p w14:paraId="2E02F0D9"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Also see </w:t>
      </w:r>
      <w:r>
        <w:rPr>
          <w:rFonts w:ascii="Arial Italic" w:hAnsi="Arial Italic"/>
        </w:rPr>
        <w:t xml:space="preserve">Legislative Instruments Act 2003 </w:t>
      </w:r>
      <w:r>
        <w:t>(Cth), s 17.</w:t>
      </w:r>
    </w:p>
  </w:endnote>
  <w:endnote w:id="210">
    <w:p w14:paraId="41DE7A97" w14:textId="6A2446FB"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See for example, </w:t>
      </w:r>
      <w:r>
        <w:rPr>
          <w:rFonts w:ascii="Arial Italic" w:hAnsi="Arial Italic"/>
        </w:rPr>
        <w:t xml:space="preserve">Universal Declaration of Human Rights, </w:t>
      </w:r>
      <w:r>
        <w:t xml:space="preserve">GA Resolution. 217A (III), UN Doc A/810 at 71 (1948), art 25 (1). </w:t>
      </w:r>
    </w:p>
  </w:endnote>
  <w:endnote w:id="211">
    <w:p w14:paraId="0F11D0D2"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UN Committee on Economic, Social and Cultural Rights, </w:t>
      </w:r>
      <w:r>
        <w:rPr>
          <w:rFonts w:ascii="Arial Italic" w:hAnsi="Arial Italic"/>
        </w:rPr>
        <w:t>General Comment No. 12: The Right to Adequate Food (Art. 11 of the Covenant)</w:t>
      </w:r>
      <w:r>
        <w:t xml:space="preserve"> (1999). At </w:t>
      </w:r>
      <w:hyperlink r:id="rId125" w:history="1">
        <w:r>
          <w:rPr>
            <w:rStyle w:val="Hyperlink1"/>
          </w:rPr>
          <w:t>http://www.unhcr.org/refworld/docid/4538838c11.html</w:t>
        </w:r>
      </w:hyperlink>
      <w:r>
        <w:t xml:space="preserve"> (viewed 19 January 2012).</w:t>
      </w:r>
    </w:p>
  </w:endnote>
  <w:endnote w:id="212">
    <w:p w14:paraId="3984B339"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sidRPr="00FB1D78">
        <w:rPr>
          <w:i/>
        </w:rPr>
        <w:t>United Nation Declaration on the Rights of Indigenous Peoples</w:t>
      </w:r>
      <w:r>
        <w:t xml:space="preserve"> 2007, Article 23. </w:t>
      </w:r>
    </w:p>
  </w:endnote>
  <w:endnote w:id="213">
    <w:p w14:paraId="32DC6E9F"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Explanatory Memorandum, Social Security and Other Legislation (Welfare Reform and Reinstatement of Racial Discrimination Act) Bill 2009 (Cth), p 50. </w:t>
      </w:r>
    </w:p>
  </w:endnote>
  <w:endnote w:id="214">
    <w:p w14:paraId="4D8C863A"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Department of Families, Housing, Community Services and Indigenous Affairs, </w:t>
      </w:r>
      <w:r w:rsidRPr="00FB1D78">
        <w:rPr>
          <w:i/>
        </w:rPr>
        <w:t>Policy Statement: Landmark Reform to the Welfare System, Reinstatement of the Racial Discrimination Act and Strengthening of the Northern Territory Emergency Response</w:t>
      </w:r>
      <w:r>
        <w:t xml:space="preserve"> (2009), p 6. At </w:t>
      </w:r>
      <w:hyperlink r:id="rId126" w:history="1">
        <w:r>
          <w:rPr>
            <w:rStyle w:val="Hyperlink1"/>
          </w:rPr>
          <w:t>http://www.facsia.gov.au/sa/indigenous/pubs/nter_reports/policy_statement_nter/Documents/landmark_reform_welfare_system.pdf</w:t>
        </w:r>
      </w:hyperlink>
      <w:r>
        <w:t xml:space="preserve"> (viewed 4 February 2010). </w:t>
      </w:r>
    </w:p>
  </w:endnote>
  <w:endnote w:id="215">
    <w:p w14:paraId="23064F51"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Department of Families, Housing, Community Services and Indigenous Affairs, </w:t>
      </w:r>
      <w:r w:rsidRPr="00E16B43">
        <w:rPr>
          <w:i/>
        </w:rPr>
        <w:t>Policy Statement: Landmark Reform to the Welfare System, Reinstatement of the Racial Discrimination Act and Strengthening of the Northern Territory Emergency Response</w:t>
      </w:r>
      <w:r>
        <w:t xml:space="preserve"> (2009), p 6. At </w:t>
      </w:r>
      <w:hyperlink r:id="rId127" w:history="1">
        <w:r>
          <w:rPr>
            <w:rStyle w:val="Hyperlink1"/>
          </w:rPr>
          <w:t>http://www.facsia.gov.au/sa/indigenous/pubs/nter_reports/policy_statement_nter/Documents/landmark_reform_welfare_system.pdf</w:t>
        </w:r>
      </w:hyperlink>
      <w:r>
        <w:t xml:space="preserve"> (viewed 11 January 2012).</w:t>
      </w:r>
    </w:p>
  </w:endnote>
  <w:endnote w:id="216">
    <w:p w14:paraId="441D8DA6"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Human Rights Commission, </w:t>
      </w:r>
      <w:r w:rsidRPr="00E16B43">
        <w:rPr>
          <w:i/>
        </w:rPr>
        <w:t>Submission to the Sen</w:t>
      </w:r>
      <w:r>
        <w:rPr>
          <w:i/>
        </w:rPr>
        <w:t>ate Community Affairs Committee</w:t>
      </w:r>
      <w:r w:rsidRPr="00E16B43">
        <w:rPr>
          <w:i/>
        </w:rPr>
        <w:t xml:space="preserve"> Inquiry into the Welfare Reform and Reinstatement of Racial Discrimination Act Bill 2009 and other Bills</w:t>
      </w:r>
      <w:r>
        <w:t xml:space="preserve"> (2009), 10 February 2010. At </w:t>
      </w:r>
      <w:hyperlink r:id="rId128" w:history="1">
        <w:r>
          <w:rPr>
            <w:rStyle w:val="Hyperlink1"/>
          </w:rPr>
          <w:t>http://www.humanrights.gov.au/legal/submissions/sj_submissions/2010_welfare_reform.html#s9_3</w:t>
        </w:r>
      </w:hyperlink>
      <w:r>
        <w:t xml:space="preserve"> (11 January 2012). </w:t>
      </w:r>
    </w:p>
  </w:endnote>
  <w:endnote w:id="217">
    <w:p w14:paraId="3CCFEE20"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Stronger Futures in the Northern Territory Bill 2011 (Cth), cl 46. </w:t>
      </w:r>
    </w:p>
  </w:endnote>
  <w:endnote w:id="218">
    <w:p w14:paraId="0FEF0CC8"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Explanatory Memorandum, Stronger Futures in the Northern Territory Bill 2011</w:t>
      </w:r>
      <w:r>
        <w:rPr>
          <w:rFonts w:ascii="Arial Italic" w:hAnsi="Arial Italic"/>
        </w:rPr>
        <w:t xml:space="preserve"> </w:t>
      </w:r>
      <w:r>
        <w:t>(Cth), p 59.</w:t>
      </w:r>
    </w:p>
  </w:endnote>
  <w:endnote w:id="219">
    <w:p w14:paraId="60CA0F40"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Stronger Futures in the Northern Territory Bill 2011, proposed pt 4, div 8.</w:t>
      </w:r>
    </w:p>
  </w:endnote>
  <w:endnote w:id="220">
    <w:p w14:paraId="42B7E5BD"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Explanatory Memorandum, Stronger Futures in the Northern Territory Bill 2011</w:t>
      </w:r>
      <w:r>
        <w:rPr>
          <w:rFonts w:ascii="Arial Italic" w:hAnsi="Arial Italic"/>
        </w:rPr>
        <w:t xml:space="preserve"> </w:t>
      </w:r>
      <w:r>
        <w:t>(Cth), p 59.</w:t>
      </w:r>
    </w:p>
  </w:endnote>
  <w:endnote w:id="221">
    <w:p w14:paraId="23F5552F" w14:textId="77777777" w:rsidR="00643212" w:rsidRDefault="00643212">
      <w:pPr>
        <w:pStyle w:val="EndnoteText"/>
      </w:pPr>
      <w:r>
        <w:rPr>
          <w:rStyle w:val="EndnoteReference"/>
        </w:rPr>
        <w:endnoteRef/>
      </w:r>
      <w:r>
        <w:t xml:space="preserve"> Explanatory Memorandum, Stronger Futures in the Northern Territory Bill 2011</w:t>
      </w:r>
      <w:r>
        <w:rPr>
          <w:rFonts w:ascii="Arial Italic" w:hAnsi="Arial Italic"/>
        </w:rPr>
        <w:t xml:space="preserve"> </w:t>
      </w:r>
      <w:r>
        <w:t>(Cth), p 31.</w:t>
      </w:r>
    </w:p>
  </w:endnote>
  <w:endnote w:id="222">
    <w:p w14:paraId="15D1B788"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Stronger Futures in the Northern Territory Bill 2011, proposed s 41(2).</w:t>
      </w:r>
    </w:p>
  </w:endnote>
  <w:endnote w:id="223">
    <w:p w14:paraId="297A8C83"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Department of Families, Housing, Community Services and Indigenous Affairs, </w:t>
      </w:r>
      <w:r w:rsidRPr="00FB1D78">
        <w:rPr>
          <w:i/>
        </w:rPr>
        <w:t>Evaluation of Community Stores Licensing Program- Final Report</w:t>
      </w:r>
      <w:r>
        <w:t xml:space="preserve"> (2011), p 36. </w:t>
      </w:r>
    </w:p>
  </w:endnote>
  <w:endnote w:id="224">
    <w:p w14:paraId="5D6D4897"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Department of Families, Housing, Community Services and Indigenous Affairs, </w:t>
      </w:r>
      <w:r w:rsidRPr="00FB1D78">
        <w:rPr>
          <w:i/>
        </w:rPr>
        <w:t>Evaluation of Community Stores Licensing Program- Final Report</w:t>
      </w:r>
      <w:r>
        <w:t xml:space="preserve"> (2011), p 17.</w:t>
      </w:r>
    </w:p>
  </w:endnote>
  <w:endnote w:id="225">
    <w:p w14:paraId="4486C23D"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Standing Committee on Aboriginal and Torres Strait Islander Affairs</w:t>
      </w:r>
      <w:r w:rsidRPr="00E16B43">
        <w:rPr>
          <w:i/>
        </w:rPr>
        <w:t>, Everybody’s Business: Remote Aboriginal and Torres Strait Community Stores</w:t>
      </w:r>
      <w:r>
        <w:t xml:space="preserve"> (2009), pp 54-56. At </w:t>
      </w:r>
      <w:hyperlink r:id="rId129" w:history="1">
        <w:r>
          <w:rPr>
            <w:rStyle w:val="Hyperlink1"/>
          </w:rPr>
          <w:t>http://www.aph.gov.au/house/committee/ATSIA/communitystores/report.htm</w:t>
        </w:r>
      </w:hyperlink>
      <w:r>
        <w:t xml:space="preserve"> (viewed 10 January 2012). </w:t>
      </w:r>
    </w:p>
  </w:endnote>
  <w:endnote w:id="226">
    <w:p w14:paraId="00D681E5" w14:textId="77777777" w:rsidR="00643212" w:rsidRDefault="00643212" w:rsidP="00341D84">
      <w:pPr>
        <w:pStyle w:val="EndnoteText1"/>
        <w:rPr>
          <w:rFonts w:ascii="Times New Roman" w:eastAsia="Times New Roman" w:hAnsi="Times New Roman"/>
          <w:color w:val="auto"/>
          <w:lang w:eastAsia="en-AU" w:bidi="x-none"/>
        </w:rPr>
      </w:pPr>
      <w:r>
        <w:rPr>
          <w:rStyle w:val="EndnoteReference1"/>
        </w:rPr>
        <w:endnoteRef/>
      </w:r>
      <w:r>
        <w:t xml:space="preserve"> Standing Committee on Aboriginal and Torres Strait Islander Affairs</w:t>
      </w:r>
      <w:r w:rsidRPr="00E16B43">
        <w:rPr>
          <w:i/>
        </w:rPr>
        <w:t>, Everybody’s Business: Remote Aboriginal and Torres Strait Community Stores</w:t>
      </w:r>
      <w:r>
        <w:t xml:space="preserve"> (2009), pp 64-65. At </w:t>
      </w:r>
      <w:hyperlink r:id="rId130" w:history="1">
        <w:r>
          <w:rPr>
            <w:rStyle w:val="Hyperlink1"/>
          </w:rPr>
          <w:t>http://www.aph.gov.au/house/committee/ATSIA/communitystores/report.htm</w:t>
        </w:r>
      </w:hyperlink>
      <w:r>
        <w:t xml:space="preserve"> (viewed 10 January 2012).</w:t>
      </w:r>
    </w:p>
  </w:endnote>
  <w:endnote w:id="227">
    <w:p w14:paraId="4041D89A"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Standing Committee on Aboriginal and Torres Strait Islander Affairs, </w:t>
      </w:r>
      <w:r w:rsidRPr="00E16B43">
        <w:rPr>
          <w:i/>
        </w:rPr>
        <w:t>Everybody’s Business: Remote Aboriginal and Torres Strait Community Stores</w:t>
      </w:r>
      <w:r>
        <w:t xml:space="preserve"> (2009), pp 57-58. At </w:t>
      </w:r>
      <w:hyperlink r:id="rId131" w:history="1">
        <w:r>
          <w:rPr>
            <w:rStyle w:val="Hyperlink1"/>
          </w:rPr>
          <w:t>http://www.aph.gov.au/house/committee/ATSIA/communitystores/report.htm</w:t>
        </w:r>
      </w:hyperlink>
      <w:r>
        <w:t xml:space="preserve"> (viewed 10 January 2012).</w:t>
      </w:r>
    </w:p>
  </w:endnote>
  <w:endnote w:id="228">
    <w:p w14:paraId="391F5E71"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Department of Agriculture, Fisheries and Forestry, </w:t>
      </w:r>
      <w:r>
        <w:rPr>
          <w:rFonts w:ascii="Arial Italic" w:hAnsi="Arial Italic"/>
        </w:rPr>
        <w:t>National Food Plan</w:t>
      </w:r>
      <w:r>
        <w:t xml:space="preserve">, </w:t>
      </w:r>
      <w:hyperlink r:id="rId132" w:history="1">
        <w:r>
          <w:rPr>
            <w:rStyle w:val="Hyperlink1"/>
          </w:rPr>
          <w:t>http://www.daff.gov.au/agriculture-food/food/national-food-plan</w:t>
        </w:r>
      </w:hyperlink>
      <w:r>
        <w:t xml:space="preserve"> (viewed 16 January 2012). </w:t>
      </w:r>
    </w:p>
  </w:endnote>
  <w:endnote w:id="229">
    <w:p w14:paraId="0376F9D5" w14:textId="70451874" w:rsidR="00643212" w:rsidRDefault="00643212" w:rsidP="00F12219">
      <w:pPr>
        <w:spacing w:before="0" w:after="0"/>
        <w:rPr>
          <w:sz w:val="20"/>
        </w:rPr>
      </w:pPr>
      <w:r>
        <w:rPr>
          <w:rStyle w:val="EndnoteReference1"/>
        </w:rPr>
        <w:endnoteRef/>
      </w:r>
      <w:r>
        <w:rPr>
          <w:sz w:val="20"/>
        </w:rPr>
        <w:t xml:space="preserve"> For example see </w:t>
      </w:r>
      <w:r>
        <w:rPr>
          <w:rFonts w:ascii="Arial Italic" w:hAnsi="Arial Italic"/>
          <w:sz w:val="20"/>
        </w:rPr>
        <w:t>United Nations Declaration on the Rights of Indigenous Peoples</w:t>
      </w:r>
      <w:r>
        <w:rPr>
          <w:sz w:val="20"/>
        </w:rPr>
        <w:t xml:space="preserve">, GA Resolution 61/295 (Annex), UN Doc A/RES/61/295 (2007), arts 7, 22(2). At </w:t>
      </w:r>
      <w:hyperlink r:id="rId133" w:history="1">
        <w:r w:rsidRPr="002C517A">
          <w:rPr>
            <w:rStyle w:val="Hyperlink"/>
            <w:sz w:val="20"/>
          </w:rPr>
          <w:t>http://www.un.org/esa/socdev/unpfii/en/drip.html</w:t>
        </w:r>
      </w:hyperlink>
      <w:r>
        <w:rPr>
          <w:sz w:val="20"/>
        </w:rPr>
        <w:t xml:space="preserve"> (viewed 10 January 2012);</w:t>
      </w:r>
    </w:p>
    <w:p w14:paraId="065B1F9F" w14:textId="2AEAE45F" w:rsidR="00643212" w:rsidRPr="00E16B43" w:rsidRDefault="00643212" w:rsidP="00E16B43">
      <w:pPr>
        <w:spacing w:before="0" w:after="0"/>
        <w:rPr>
          <w:sz w:val="20"/>
        </w:rPr>
      </w:pPr>
      <w:r>
        <w:rPr>
          <w:rFonts w:ascii="Arial Italic" w:hAnsi="Arial Italic"/>
          <w:sz w:val="20"/>
        </w:rPr>
        <w:t>Universal Declaration of Human Rights</w:t>
      </w:r>
      <w:r>
        <w:rPr>
          <w:sz w:val="20"/>
        </w:rPr>
        <w:t xml:space="preserve">, GA Resolution 217A(III), UN Doc A/810 (1948), article 5. At </w:t>
      </w:r>
      <w:hyperlink r:id="rId134" w:history="1">
        <w:r w:rsidRPr="002C517A">
          <w:rPr>
            <w:rStyle w:val="Hyperlink"/>
            <w:sz w:val="20"/>
          </w:rPr>
          <w:t>http://www.un.org/en/documents/udhr/</w:t>
        </w:r>
      </w:hyperlink>
      <w:r>
        <w:rPr>
          <w:sz w:val="20"/>
        </w:rPr>
        <w:t xml:space="preserve"> (viewed 10 January 2012); </w:t>
      </w:r>
      <w:r>
        <w:rPr>
          <w:rFonts w:ascii="Arial Italic" w:hAnsi="Arial Italic"/>
          <w:sz w:val="20"/>
        </w:rPr>
        <w:t>International Covenant on Civil and Political Rights</w:t>
      </w:r>
      <w:r>
        <w:rPr>
          <w:sz w:val="20"/>
        </w:rPr>
        <w:t xml:space="preserve">, 1966, article 7. At </w:t>
      </w:r>
      <w:hyperlink r:id="rId135" w:history="1">
        <w:r w:rsidRPr="00501D59">
          <w:rPr>
            <w:rStyle w:val="Hyperlink"/>
            <w:sz w:val="20"/>
          </w:rPr>
          <w:t>http</w:t>
        </w:r>
        <w:r w:rsidRPr="00501D59">
          <w:rPr>
            <w:rStyle w:val="Hyperlink"/>
            <w:sz w:val="20"/>
            <w:szCs w:val="20"/>
          </w:rPr>
          <w:t>://www2.ohchr.org/english/law/ccpr.htm</w:t>
        </w:r>
      </w:hyperlink>
      <w:r>
        <w:rPr>
          <w:sz w:val="20"/>
          <w:szCs w:val="20"/>
        </w:rPr>
        <w:t xml:space="preserve">  </w:t>
      </w:r>
      <w:r w:rsidRPr="00E16B43">
        <w:rPr>
          <w:sz w:val="20"/>
          <w:szCs w:val="20"/>
        </w:rPr>
        <w:t>(viewed 10 January 2012).</w:t>
      </w:r>
    </w:p>
  </w:endnote>
  <w:endnote w:id="230">
    <w:p w14:paraId="70D8D5EC" w14:textId="15CE2D2F"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rStyle w:val="EmphasisA"/>
        </w:rPr>
        <w:t xml:space="preserve">Northern Territory National Emergency Response Act 2007 </w:t>
      </w:r>
      <w:r>
        <w:t xml:space="preserve"> (</w:t>
      </w:r>
      <w:proofErr w:type="spellStart"/>
      <w:r>
        <w:t>Cth</w:t>
      </w:r>
      <w:proofErr w:type="spellEnd"/>
      <w:r>
        <w:t xml:space="preserve">), </w:t>
      </w:r>
      <w:proofErr w:type="spellStart"/>
      <w:r>
        <w:t>pt</w:t>
      </w:r>
      <w:proofErr w:type="spellEnd"/>
      <w:r>
        <w:t xml:space="preserve"> 3</w:t>
      </w:r>
    </w:p>
  </w:endnote>
  <w:endnote w:id="231">
    <w:p w14:paraId="4993C3A8"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Northern Territory Emergency Response: Evaluation Report 2011</w:t>
      </w:r>
      <w:r>
        <w:t xml:space="preserve"> (2011), p 18. At </w:t>
      </w:r>
      <w:hyperlink r:id="rId136" w:history="1">
        <w:r>
          <w:rPr>
            <w:rStyle w:val="Hyperlink1"/>
          </w:rPr>
          <w:t>http://www.fahcsia.gov.au/sa/indigenous/pubs/nter_reports/Documents/nter_evaluation_report_2011.PDF</w:t>
        </w:r>
      </w:hyperlink>
      <w:r>
        <w:t xml:space="preserve"> (viewed 11 January 2012).</w:t>
      </w:r>
    </w:p>
  </w:endnote>
  <w:endnote w:id="232">
    <w:p w14:paraId="44C5E6DD"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Northern Territory Emergency Response: Evaluation Report 2011</w:t>
      </w:r>
      <w:r>
        <w:t xml:space="preserve"> (2011), p 18. At </w:t>
      </w:r>
      <w:hyperlink r:id="rId137" w:history="1">
        <w:r>
          <w:rPr>
            <w:rStyle w:val="Hyperlink1"/>
          </w:rPr>
          <w:t>http://www.fahcsia.gov.au/sa/indigenous/pubs/nter_reports/Documents/nter_evaluation_report_2011.PDF</w:t>
        </w:r>
      </w:hyperlink>
      <w:r>
        <w:t xml:space="preserve"> (viewed 11 January 2012).</w:t>
      </w:r>
    </w:p>
  </w:endnote>
  <w:endnote w:id="233">
    <w:p w14:paraId="77367629"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Northern Territory Emergency Response: Evaluation Report 2011</w:t>
      </w:r>
      <w:r>
        <w:t xml:space="preserve"> (2011), p 101. At </w:t>
      </w:r>
      <w:hyperlink r:id="rId138" w:history="1">
        <w:r>
          <w:rPr>
            <w:rStyle w:val="Hyperlink1"/>
          </w:rPr>
          <w:t>http://www.fahcsia.gov.au/sa/indigenous/pubs/nter_reports/Documents/nter_evaluation_report_2011.PDF</w:t>
        </w:r>
      </w:hyperlink>
      <w:r>
        <w:t xml:space="preserve"> (viewed 12 December 2011).</w:t>
      </w:r>
    </w:p>
  </w:endnote>
  <w:endnote w:id="234">
    <w:p w14:paraId="7F6006D7"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Northern Territory Emergency Response: Evaluation Report 2011</w:t>
      </w:r>
      <w:r>
        <w:t xml:space="preserve"> (2011), p 115. At </w:t>
      </w:r>
      <w:hyperlink r:id="rId139" w:history="1">
        <w:r>
          <w:rPr>
            <w:rStyle w:val="Hyperlink1"/>
          </w:rPr>
          <w:t>http://www.fahcsia.gov.au/sa/indigenous/pubs/nter_reports/Documents/nter_evaluation_report_2011.PDF</w:t>
        </w:r>
      </w:hyperlink>
      <w:r>
        <w:t xml:space="preserve"> (viewed 12 December 2011).</w:t>
      </w:r>
    </w:p>
  </w:endnote>
  <w:endnote w:id="235">
    <w:p w14:paraId="21F3615D"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Northern Territory Emergency Response: Evaluation Report 2011</w:t>
      </w:r>
      <w:r>
        <w:t xml:space="preserve"> (2011), p 186. At </w:t>
      </w:r>
      <w:hyperlink r:id="rId140" w:history="1">
        <w:r>
          <w:rPr>
            <w:rStyle w:val="Hyperlink1"/>
          </w:rPr>
          <w:t>http://www.fahcsia.gov.au/sa/indigenous/pubs/nter_reports/Documents/nter_evaluation_report_2011.PDF</w:t>
        </w:r>
      </w:hyperlink>
      <w:r>
        <w:t xml:space="preserve"> (viewed 12 December 2011).</w:t>
      </w:r>
    </w:p>
  </w:endnote>
  <w:endnote w:id="236">
    <w:p w14:paraId="10EAFEFC"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Northern Territory Emergency Response: Evaluation Report 2011</w:t>
      </w:r>
      <w:r>
        <w:t xml:space="preserve"> (2011), p 186. At </w:t>
      </w:r>
      <w:hyperlink r:id="rId141" w:history="1">
        <w:r>
          <w:rPr>
            <w:rStyle w:val="Hyperlink1"/>
          </w:rPr>
          <w:t>http://www.fahcsia.gov.au/sa/indigenous/pubs/nter_reports/Documents/nter_evaluation_report_2011.PDF</w:t>
        </w:r>
      </w:hyperlink>
      <w:r>
        <w:t xml:space="preserve"> (viewed 12 December 2011).</w:t>
      </w:r>
    </w:p>
  </w:endnote>
  <w:endnote w:id="237">
    <w:p w14:paraId="2244C6FD" w14:textId="7DEEE8C0"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proofErr w:type="gramStart"/>
      <w:r>
        <w:rPr>
          <w:rStyle w:val="EmphasisA"/>
        </w:rPr>
        <w:t>Northern Territory National Emergency Response Act 2007 (</w:t>
      </w:r>
      <w:proofErr w:type="spellStart"/>
      <w:r>
        <w:rPr>
          <w:rStyle w:val="EmphasisA"/>
        </w:rPr>
        <w:t>Cth</w:t>
      </w:r>
      <w:proofErr w:type="spellEnd"/>
      <w:r>
        <w:rPr>
          <w:rStyle w:val="EmphasisA"/>
        </w:rPr>
        <w:t>),</w:t>
      </w:r>
      <w:r>
        <w:rPr>
          <w:rFonts w:ascii="Arial Italic" w:hAnsi="Arial Italic"/>
        </w:rPr>
        <w:t xml:space="preserve"> </w:t>
      </w:r>
      <w:proofErr w:type="spellStart"/>
      <w:r w:rsidR="00C76381">
        <w:t>pt</w:t>
      </w:r>
      <w:proofErr w:type="spellEnd"/>
      <w:r>
        <w:t xml:space="preserve"> 3.</w:t>
      </w:r>
      <w:proofErr w:type="gramEnd"/>
    </w:p>
  </w:endnote>
  <w:endnote w:id="238">
    <w:p w14:paraId="4392AFA7"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Pr>
          <w:rFonts w:ascii="Arial Italic" w:hAnsi="Arial Italic"/>
        </w:rPr>
        <w:t>Families, Community Services and Indigenous Affairs and Other Legislation Amendment (Northern Territory National Emergency Response and Other Measures) Act 2007</w:t>
      </w:r>
      <w:r>
        <w:t xml:space="preserve"> (Cth), Sch II.</w:t>
      </w:r>
    </w:p>
  </w:endnote>
  <w:endnote w:id="239">
    <w:p w14:paraId="6D69680A"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Stronger Futures in the Northern Territory (Consequential and Transitional Provisions) Bill 2011 (Cth) Schedule 3, Item 4 (sections 100A(4), 100A(6)(e), 100A(6)(f) </w:t>
      </w:r>
      <w:r>
        <w:rPr>
          <w:rFonts w:ascii="Arial Italic" w:hAnsi="Arial Italic"/>
        </w:rPr>
        <w:t>Classification (Publications, Films, and Computer Games) Act 1995</w:t>
      </w:r>
      <w:r>
        <w:t xml:space="preserve"> (Cth)).</w:t>
      </w:r>
    </w:p>
  </w:endnote>
  <w:endnote w:id="240">
    <w:p w14:paraId="7FC947AF"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Stronger Futures in the Northern Territory (Consequential and Transitional Provisions) Bill 2011 (Cth), Schedule 3, Item 15.</w:t>
      </w:r>
    </w:p>
  </w:endnote>
  <w:endnote w:id="241">
    <w:p w14:paraId="67CFEEBF"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Explanatory Memorandum, Stronger Futures in the Northern Territory (Consequential and Transitional Provisions) Bill 2011 (Cth), pp 18-19.</w:t>
      </w:r>
    </w:p>
  </w:endnote>
  <w:endnote w:id="242">
    <w:p w14:paraId="2F06FE10" w14:textId="51641764"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w:t>
      </w:r>
      <w:r w:rsidRPr="00FB1D78">
        <w:rPr>
          <w:i/>
        </w:rPr>
        <w:t>International Covenant on Civil and Political Rights</w:t>
      </w:r>
      <w:r>
        <w:t xml:space="preserve">, 1966, art.  27; </w:t>
      </w:r>
      <w:r w:rsidRPr="00FB1D78">
        <w:rPr>
          <w:i/>
        </w:rPr>
        <w:t>International Covenant on Economic Social and Cultural Rights</w:t>
      </w:r>
      <w:r>
        <w:t>, 1966</w:t>
      </w:r>
      <w:proofErr w:type="gramStart"/>
      <w:r>
        <w:t>,  art</w:t>
      </w:r>
      <w:proofErr w:type="gramEnd"/>
      <w:r>
        <w:t xml:space="preserve"> 15 (a). </w:t>
      </w:r>
    </w:p>
  </w:endnote>
  <w:endnote w:id="243">
    <w:p w14:paraId="3A4D7C23" w14:textId="77777777" w:rsidR="00643212" w:rsidRPr="00D33B50" w:rsidRDefault="00643212" w:rsidP="00D33B50">
      <w:pPr>
        <w:pStyle w:val="NoSpacing"/>
        <w:rPr>
          <w:rFonts w:eastAsia="Times New Roman" w:cs="Arial"/>
          <w:sz w:val="20"/>
          <w:szCs w:val="20"/>
          <w:lang w:bidi="x-none"/>
        </w:rPr>
      </w:pPr>
      <w:r w:rsidRPr="00D33B50">
        <w:rPr>
          <w:rStyle w:val="EndnoteReference1"/>
          <w:rFonts w:cs="Arial"/>
          <w:szCs w:val="20"/>
        </w:rPr>
        <w:endnoteRef/>
      </w:r>
      <w:r w:rsidRPr="00D33B50">
        <w:rPr>
          <w:rFonts w:cs="Arial"/>
          <w:sz w:val="20"/>
          <w:szCs w:val="20"/>
        </w:rPr>
        <w:t xml:space="preserve"> Explanatory Memorandum, Stronger Futures in the Northern Territory (Consequential and Transitional Provisions) Bill 2011 (Cth), p 18.</w:t>
      </w:r>
    </w:p>
  </w:endnote>
  <w:endnote w:id="244">
    <w:p w14:paraId="49A019C4" w14:textId="0F67A38D" w:rsidR="00643212" w:rsidRPr="00D33B50" w:rsidRDefault="00643212" w:rsidP="00D33B50">
      <w:pPr>
        <w:pStyle w:val="NoSpacing"/>
        <w:rPr>
          <w:rFonts w:eastAsia="Times New Roman" w:cs="Arial"/>
          <w:sz w:val="20"/>
          <w:szCs w:val="20"/>
          <w:lang w:bidi="x-none"/>
        </w:rPr>
      </w:pPr>
      <w:r w:rsidRPr="00D33B50">
        <w:rPr>
          <w:rStyle w:val="EndnoteReference1"/>
          <w:rFonts w:cs="Arial"/>
          <w:szCs w:val="20"/>
        </w:rPr>
        <w:endnoteRef/>
      </w:r>
      <w:r w:rsidRPr="00D33B50">
        <w:rPr>
          <w:rFonts w:cs="Arial"/>
          <w:sz w:val="20"/>
          <w:szCs w:val="20"/>
        </w:rPr>
        <w:t xml:space="preserve"> Article 34 of </w:t>
      </w:r>
      <w:r w:rsidRPr="00D33B50">
        <w:rPr>
          <w:rFonts w:cs="Arial"/>
          <w:i/>
          <w:sz w:val="20"/>
          <w:szCs w:val="20"/>
        </w:rPr>
        <w:t>the Declaration on the Rights of Indigenous Peoples</w:t>
      </w:r>
      <w:r w:rsidR="00C76381">
        <w:rPr>
          <w:rFonts w:cs="Arial"/>
          <w:sz w:val="20"/>
          <w:szCs w:val="20"/>
        </w:rPr>
        <w:t>, 2007</w:t>
      </w:r>
      <w:r w:rsidRPr="00D33B50">
        <w:rPr>
          <w:rFonts w:cs="Arial"/>
          <w:sz w:val="20"/>
          <w:szCs w:val="20"/>
        </w:rPr>
        <w:t xml:space="preserve"> (which should guide all government legislation and policy) states that: “Indigenous peoples have the right to promote, develop and maintain their institutional structures and their distinctive customs, spirituality, traditions, procedures, practices and, in the cases where they exist, juridical systems or customs, in accordance with international human rights standards.”</w:t>
      </w:r>
    </w:p>
  </w:endnote>
  <w:endnote w:id="245">
    <w:p w14:paraId="1E093FE2" w14:textId="77777777" w:rsidR="00643212" w:rsidRPr="00D33B50" w:rsidRDefault="00643212" w:rsidP="00D33B50">
      <w:pPr>
        <w:pStyle w:val="NoSpacing"/>
        <w:rPr>
          <w:rFonts w:eastAsia="Times New Roman" w:cs="Arial"/>
          <w:sz w:val="20"/>
          <w:szCs w:val="20"/>
          <w:lang w:bidi="x-none"/>
        </w:rPr>
      </w:pPr>
      <w:r w:rsidRPr="00D33B50">
        <w:rPr>
          <w:rStyle w:val="EndnoteReference1"/>
          <w:rFonts w:cs="Arial"/>
          <w:szCs w:val="20"/>
        </w:rPr>
        <w:endnoteRef/>
      </w:r>
      <w:r w:rsidRPr="00D33B50">
        <w:rPr>
          <w:rFonts w:cs="Arial"/>
          <w:sz w:val="20"/>
          <w:szCs w:val="20"/>
        </w:rPr>
        <w:t xml:space="preserve"> Australian Government, </w:t>
      </w:r>
      <w:r w:rsidRPr="00D33B50">
        <w:rPr>
          <w:rFonts w:cs="Arial"/>
          <w:i/>
          <w:sz w:val="20"/>
          <w:szCs w:val="20"/>
        </w:rPr>
        <w:t>Northern Territory Emergency Response: Evaluation Report 2011</w:t>
      </w:r>
      <w:r w:rsidRPr="00D33B50">
        <w:rPr>
          <w:rFonts w:cs="Arial"/>
          <w:sz w:val="20"/>
          <w:szCs w:val="20"/>
        </w:rPr>
        <w:t xml:space="preserve"> (2011), p 164. At </w:t>
      </w:r>
      <w:hyperlink r:id="rId142" w:history="1">
        <w:r w:rsidRPr="00D33B50">
          <w:rPr>
            <w:rStyle w:val="Hyperlink1"/>
            <w:rFonts w:cs="Arial"/>
            <w:szCs w:val="20"/>
          </w:rPr>
          <w:t>http://www.fahcsia.gov.au/sa/indigenous/pubs/nter_reports/Documents/nter_evaluation_report_2011.PDF</w:t>
        </w:r>
      </w:hyperlink>
      <w:r w:rsidRPr="00D33B50">
        <w:rPr>
          <w:rFonts w:cs="Arial"/>
          <w:sz w:val="20"/>
          <w:szCs w:val="20"/>
        </w:rPr>
        <w:t xml:space="preserve"> (viewed 12 December 2011).</w:t>
      </w:r>
    </w:p>
  </w:endnote>
  <w:endnote w:id="246">
    <w:p w14:paraId="63E4861C" w14:textId="77777777" w:rsidR="00643212" w:rsidRDefault="00643212" w:rsidP="00F12219">
      <w:pPr>
        <w:pStyle w:val="EndnoteText1"/>
        <w:rPr>
          <w:rFonts w:ascii="Times New Roman" w:eastAsia="Times New Roman" w:hAnsi="Times New Roman"/>
          <w:color w:val="auto"/>
          <w:lang w:eastAsia="en-AU" w:bidi="x-none"/>
        </w:rPr>
      </w:pPr>
      <w:r w:rsidRPr="00D33B50">
        <w:rPr>
          <w:rStyle w:val="EndnoteReference1"/>
          <w:rFonts w:cs="Arial"/>
        </w:rPr>
        <w:endnoteRef/>
      </w:r>
      <w:r w:rsidRPr="00D33B50">
        <w:rPr>
          <w:rFonts w:cs="Arial"/>
        </w:rPr>
        <w:t xml:space="preserve"> Australian Government, </w:t>
      </w:r>
      <w:r w:rsidRPr="00D33B50">
        <w:rPr>
          <w:rFonts w:cs="Arial"/>
          <w:i/>
        </w:rPr>
        <w:t>Northern Territory Emergency Response: Evaluation Report 2011</w:t>
      </w:r>
      <w:r w:rsidRPr="00D33B50">
        <w:rPr>
          <w:rFonts w:cs="Arial"/>
        </w:rPr>
        <w:t xml:space="preserve"> (2011), p 167. At </w:t>
      </w:r>
      <w:hyperlink r:id="rId143" w:history="1">
        <w:r>
          <w:rPr>
            <w:rStyle w:val="Hyperlink1"/>
          </w:rPr>
          <w:t>http://www.fahcsia.gov.au/sa/indigenous/pubs/nter_reports/Documents/nter_evaluation_report_2011.PDF</w:t>
        </w:r>
      </w:hyperlink>
      <w:r>
        <w:t xml:space="preserve"> (viewed 12 December 2011).</w:t>
      </w:r>
    </w:p>
  </w:endnote>
  <w:endnote w:id="247">
    <w:p w14:paraId="50F9C52D"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T Anthony, ‘Speed bumps boost jailing rates’, </w:t>
      </w:r>
      <w:r>
        <w:rPr>
          <w:rFonts w:ascii="Arial Italic" w:hAnsi="Arial Italic"/>
        </w:rPr>
        <w:t xml:space="preserve">Tracker, </w:t>
      </w:r>
      <w:r>
        <w:t xml:space="preserve">1 November 2011. At </w:t>
      </w:r>
      <w:hyperlink r:id="rId144" w:history="1">
        <w:r>
          <w:rPr>
            <w:rStyle w:val="Hyperlink1"/>
          </w:rPr>
          <w:t>http://tracker.org.au/2011/11/speed-bumps-boost-jailing-rates/</w:t>
        </w:r>
      </w:hyperlink>
      <w:r>
        <w:t xml:space="preserve"> (viewed 12 December 2011).</w:t>
      </w:r>
    </w:p>
  </w:endnote>
  <w:endnote w:id="248">
    <w:p w14:paraId="190E237F"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T Anthony, ‘Speed bumps boost jailing rates’, </w:t>
      </w:r>
      <w:r>
        <w:rPr>
          <w:rFonts w:ascii="Arial Italic" w:hAnsi="Arial Italic"/>
        </w:rPr>
        <w:t xml:space="preserve">Tracker, </w:t>
      </w:r>
      <w:r>
        <w:t xml:space="preserve">1 November 2011. At </w:t>
      </w:r>
      <w:hyperlink r:id="rId145" w:history="1">
        <w:r>
          <w:rPr>
            <w:rStyle w:val="Hyperlink1"/>
          </w:rPr>
          <w:t>http://tracker.org.au/2011/11/speed-bumps-boost-jailing-rates/</w:t>
        </w:r>
      </w:hyperlink>
      <w:r>
        <w:t xml:space="preserve"> (viewed 12 December 2011).</w:t>
      </w:r>
    </w:p>
  </w:endnote>
  <w:endnote w:id="249">
    <w:p w14:paraId="4E7471F0"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T Anthony, ‘Speed bumps boost jailing rates’, </w:t>
      </w:r>
      <w:r>
        <w:rPr>
          <w:rFonts w:ascii="Arial Italic" w:hAnsi="Arial Italic"/>
        </w:rPr>
        <w:t xml:space="preserve">Tracker, </w:t>
      </w:r>
      <w:r>
        <w:t xml:space="preserve">1 November 2011. At </w:t>
      </w:r>
      <w:hyperlink r:id="rId146" w:history="1">
        <w:r>
          <w:rPr>
            <w:rStyle w:val="Hyperlink1"/>
          </w:rPr>
          <w:t>http://tracker.org.au/2011/11/speed-bumps-boost-jailing-rates/</w:t>
        </w:r>
      </w:hyperlink>
      <w:r>
        <w:t xml:space="preserve"> (viewed 12 December 2011).</w:t>
      </w:r>
    </w:p>
  </w:endnote>
  <w:endnote w:id="250">
    <w:p w14:paraId="6443E3DE"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Australian Government, </w:t>
      </w:r>
      <w:r>
        <w:rPr>
          <w:rFonts w:ascii="Arial Italic" w:hAnsi="Arial Italic"/>
        </w:rPr>
        <w:t>Northern Territory Emergency Response: Evaluation Report 2011</w:t>
      </w:r>
      <w:r>
        <w:t xml:space="preserve"> (2011), p 167. At </w:t>
      </w:r>
      <w:hyperlink r:id="rId147" w:history="1">
        <w:r>
          <w:rPr>
            <w:rStyle w:val="Hyperlink1"/>
          </w:rPr>
          <w:t>http://www.fahcsia.gov.au/sa/indigenous/pubs/nter_reports/Documents/nter_evaluation_report_2011.PDF</w:t>
        </w:r>
      </w:hyperlink>
      <w:r>
        <w:t xml:space="preserve"> (viewed 12 December 2011).</w:t>
      </w:r>
    </w:p>
  </w:endnote>
  <w:endnote w:id="251">
    <w:p w14:paraId="1B89BA21" w14:textId="77777777" w:rsidR="00643212" w:rsidRDefault="00643212" w:rsidP="00F12219">
      <w:pPr>
        <w:pStyle w:val="EndnoteText1"/>
        <w:rPr>
          <w:rFonts w:ascii="Times New Roman" w:eastAsia="Times New Roman" w:hAnsi="Times New Roman"/>
          <w:color w:val="auto"/>
          <w:lang w:eastAsia="en-AU" w:bidi="x-none"/>
        </w:rPr>
      </w:pPr>
      <w:r>
        <w:rPr>
          <w:rStyle w:val="EndnoteReference1"/>
        </w:rPr>
        <w:endnoteRef/>
      </w:r>
      <w:r>
        <w:t xml:space="preserve"> T Calma, Aboriginal and Torres Strait Islander Social Justice Commissioner, </w:t>
      </w:r>
      <w:r>
        <w:rPr>
          <w:rFonts w:ascii="Arial Italic" w:hAnsi="Arial Italic"/>
        </w:rPr>
        <w:t xml:space="preserve">Social Justice Report 2009, </w:t>
      </w:r>
      <w:r>
        <w:t xml:space="preserve">Australian Human Rights Commission(2009), pp 9-56. At </w:t>
      </w:r>
      <w:hyperlink r:id="rId148" w:history="1">
        <w:r>
          <w:rPr>
            <w:rStyle w:val="Hyperlink1"/>
          </w:rPr>
          <w:t>http://humanrights.gov.au/social_justice/sj_report/sjreport09/chap2.html</w:t>
        </w:r>
      </w:hyperlink>
      <w:r>
        <w:t xml:space="preserve"> (viewed 20 December 2011).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Bold Italic">
    <w:panose1 w:val="020B0704020202090204"/>
    <w:charset w:val="00"/>
    <w:family w:val="auto"/>
    <w:pitch w:val="variable"/>
    <w:sig w:usb0="E0000AFF" w:usb1="00007843" w:usb2="00000001" w:usb3="00000000" w:csb0="000001BF" w:csb1="00000000"/>
  </w:font>
  <w:font w:name="Arial Italic">
    <w:panose1 w:val="020B0604020202090204"/>
    <w:charset w:val="00"/>
    <w:family w:val="auto"/>
    <w:pitch w:val="variable"/>
    <w:sig w:usb0="E0000AFF" w:usb1="00007843" w:usb2="00000001" w:usb3="00000000" w:csb0="000001B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lliardStd-Ital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C8F90" w14:textId="77777777" w:rsidR="00643212" w:rsidRPr="0090165F" w:rsidRDefault="00643212"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F5905" w14:textId="77777777" w:rsidR="00643212" w:rsidRPr="004A187B" w:rsidRDefault="00643212" w:rsidP="008B23BC">
    <w:pPr>
      <w:pStyle w:val="Footer"/>
    </w:pPr>
    <w:r>
      <w:rPr>
        <w:noProof/>
      </w:rPr>
      <mc:AlternateContent>
        <mc:Choice Requires="wps">
          <w:drawing>
            <wp:anchor distT="0" distB="0" distL="114300" distR="114300" simplePos="0" relativeHeight="251660288" behindDoc="0" locked="0" layoutInCell="1" allowOverlap="1" wp14:anchorId="1A8A64C8" wp14:editId="4A48FFD5">
              <wp:simplePos x="0" y="0"/>
              <wp:positionH relativeFrom="column">
                <wp:posOffset>-548005</wp:posOffset>
              </wp:positionH>
              <wp:positionV relativeFrom="paragraph">
                <wp:posOffset>-1305560</wp:posOffset>
              </wp:positionV>
              <wp:extent cx="6071235" cy="854075"/>
              <wp:effectExtent l="0" t="0" r="5715"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854075"/>
                      </a:xfrm>
                      <a:prstGeom prst="rect">
                        <a:avLst/>
                      </a:prstGeom>
                      <a:noFill/>
                      <a:ln w="6350">
                        <a:noFill/>
                      </a:ln>
                      <a:effectLst/>
                    </wps:spPr>
                    <wps:txbx>
                      <w:txbxContent>
                        <w:p w14:paraId="3484C16E" w14:textId="77777777" w:rsidR="00643212" w:rsidRPr="0003606D" w:rsidRDefault="00643212" w:rsidP="0003606D">
                          <w:pPr>
                            <w:pStyle w:val="coveraddresses"/>
                          </w:pPr>
                          <w:r w:rsidRPr="0003606D">
                            <w:t>ABN 47 996 232 602</w:t>
                          </w:r>
                        </w:p>
                        <w:p w14:paraId="63FD6516" w14:textId="77777777" w:rsidR="00643212" w:rsidRPr="0003606D" w:rsidRDefault="00643212" w:rsidP="0003606D">
                          <w:pPr>
                            <w:pStyle w:val="coveraddresses"/>
                          </w:pPr>
                          <w:r w:rsidRPr="0003606D">
                            <w:t>Level 3, 175 Pitt Street, Sydney NSW 2000</w:t>
                          </w:r>
                        </w:p>
                        <w:p w14:paraId="0B1BEBD1" w14:textId="77777777" w:rsidR="00643212" w:rsidRPr="0003606D" w:rsidRDefault="00643212" w:rsidP="0003606D">
                          <w:pPr>
                            <w:pStyle w:val="coveraddresses"/>
                          </w:pPr>
                          <w:r w:rsidRPr="0003606D">
                            <w:t>GPO Box 5218, Sydney NSW 2001</w:t>
                          </w:r>
                        </w:p>
                        <w:p w14:paraId="493256D7" w14:textId="77777777" w:rsidR="00643212" w:rsidRPr="0003606D" w:rsidRDefault="00643212" w:rsidP="0003606D">
                          <w:pPr>
                            <w:pStyle w:val="coveraddresses"/>
                          </w:pPr>
                          <w:r w:rsidRPr="0003606D">
                            <w:t>General enquiries 1300 369 711</w:t>
                          </w:r>
                        </w:p>
                        <w:p w14:paraId="2B3A4C80" w14:textId="77777777" w:rsidR="00643212" w:rsidRPr="0003606D" w:rsidRDefault="00643212" w:rsidP="0003606D">
                          <w:pPr>
                            <w:pStyle w:val="coveraddresses"/>
                          </w:pPr>
                          <w:r w:rsidRPr="0003606D">
                            <w:t>Complaints info line 1300 656 419</w:t>
                          </w:r>
                        </w:p>
                        <w:p w14:paraId="76958E88" w14:textId="77777777" w:rsidR="00643212" w:rsidRPr="0003606D" w:rsidRDefault="00643212" w:rsidP="0003606D">
                          <w:pPr>
                            <w:pStyle w:val="coveraddresses"/>
                          </w:pPr>
                          <w:r w:rsidRPr="0003606D">
                            <w:t>TTY 1800 620 241</w:t>
                          </w:r>
                        </w:p>
                        <w:p w14:paraId="6289F4E9" w14:textId="77777777" w:rsidR="00643212" w:rsidRPr="00B63D24" w:rsidRDefault="00643212" w:rsidP="00B63D24">
                          <w:pPr>
                            <w:pStyle w:val="Footer"/>
                          </w:pPr>
                          <w:r w:rsidRPr="00B63D24">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43.15pt;margin-top:-102.8pt;width:478.05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TDMwIAAGgEAAAOAAAAZHJzL2Uyb0RvYy54bWysVEuP2jAQvlfqf7B8Lwls2UdEWNFdUVVC&#10;uytBtWfj2CSq7XFtQ0J/fccOgdW2p6oXM5n55vnNMLvvtCIH4XwDpqTjUU6JMByqxuxK+n2z/HRL&#10;iQ/MVEyBESU9Ck/v5x8/zFpbiAnUoCrhCAYxvmhtSesQbJFlntdCMz8CKwwaJTjNAn66XVY51mJ0&#10;rbJJnl9nLbjKOuDCe9Q+9kY6T/GlFDw8S+lFIKqkWFtIr0vvNr7ZfMaKnWO2bvipDPYPVWjWGEx6&#10;DvXIAiN71/wRSjfcgQcZRhx0BlI2XKQesJtx/q6bdc2sSL3gcLw9j8n/v7D86fDiSFOV9I4SwzRS&#10;tBFdIF+gI3dxOq31BYLWFmGhQzWynDr1dgX8h0dI9gbTO3hEx2l00un4i30SdEQCjuehxywcldf5&#10;zXhyNaWEo+12+jm/mca82cXbOh++CtAkCiV1SGqqgB1WPvTQARKTGVg2SqGeFcqQFjNcTfPkcLZg&#10;cGUiQKQVOYWJbfSVRyl02w6DRHEL1RHbd9Cvj7d82WApK+bDC3O4L9gY3kB4xkcqwJRwkiipwf36&#10;mz7ikUa0UtLi/pXU/9wzJyhR3wwSHJd1ENwgbAfB7PUD4EqP8bosTyI6uKAGUTrQr3gai5gFTcxw&#10;zFXSMIgPob8CPC0uFosEwpW0LKzM2vKB5TjYTffKnD1NPyBvTzBsJivekdBjexoW+wCySQxdpnha&#10;F1znxPHp9OK9vP1OqMsfxPw3AAAA//8DAFBLAwQUAAYACAAAACEA8miwx+EAAAAMAQAADwAAAGRy&#10;cy9kb3ducmV2LnhtbEyPQU+DQBCF7yb+h82YeGsXakCKLI0xMZ6MsVXT45YdgZadRXYL+O8dT3qb&#10;mffy5nvFZradGHHwrSMF8TICgVQ501Kt4G33uMhA+KDJ6M4RKvhGD5vy8qLQuXETveK4DbXgEPK5&#10;VtCE0OdS+qpBq/3S9UisfbrB6sDrUEsz6InDbSdXUZRKq1viD43u8aHB6rQ9WwU793Q8Th/R+PWS&#10;0Psek+dTHYJS11fz/R2IgHP4M8MvPqNDyUwHdybjRadgkaU3bOVhFSUpCLZk6ZrbHPh0G8cgy0L+&#10;L1H+AAAA//8DAFBLAQItABQABgAIAAAAIQC2gziS/gAAAOEBAAATAAAAAAAAAAAAAAAAAAAAAABb&#10;Q29udGVudF9UeXBlc10ueG1sUEsBAi0AFAAGAAgAAAAhADj9If/WAAAAlAEAAAsAAAAAAAAAAAAA&#10;AAAALwEAAF9yZWxzLy5yZWxzUEsBAi0AFAAGAAgAAAAhAIM6VMMzAgAAaAQAAA4AAAAAAAAAAAAA&#10;AAAALgIAAGRycy9lMm9Eb2MueG1sUEsBAi0AFAAGAAgAAAAhAPJosMfhAAAADAEAAA8AAAAAAAAA&#10;AAAAAAAAjQQAAGRycy9kb3ducmV2LnhtbFBLBQYAAAAABAAEAPMAAACbBQAAAAA=&#10;" filled="f" stroked="f" strokeweight=".5pt">
              <v:path arrowok="t"/>
              <v:textbox inset="0,0,0,0">
                <w:txbxContent>
                  <w:p w14:paraId="3484C16E" w14:textId="77777777" w:rsidR="00EB0278" w:rsidRPr="0003606D" w:rsidRDefault="00EB0278" w:rsidP="0003606D">
                    <w:pPr>
                      <w:pStyle w:val="coveraddresses"/>
                    </w:pPr>
                    <w:r w:rsidRPr="0003606D">
                      <w:t>ABN 47 996 232 602</w:t>
                    </w:r>
                  </w:p>
                  <w:p w14:paraId="63FD6516" w14:textId="77777777" w:rsidR="00EB0278" w:rsidRPr="0003606D" w:rsidRDefault="00EB0278" w:rsidP="0003606D">
                    <w:pPr>
                      <w:pStyle w:val="coveraddresses"/>
                    </w:pPr>
                    <w:r w:rsidRPr="0003606D">
                      <w:t>Level 3, 175 Pitt Street, Sydney NSW 2000</w:t>
                    </w:r>
                  </w:p>
                  <w:p w14:paraId="0B1BEBD1" w14:textId="77777777" w:rsidR="00EB0278" w:rsidRPr="0003606D" w:rsidRDefault="00EB0278" w:rsidP="0003606D">
                    <w:pPr>
                      <w:pStyle w:val="coveraddresses"/>
                    </w:pPr>
                    <w:r w:rsidRPr="0003606D">
                      <w:t>GPO Box 5218, Sydney NSW 2001</w:t>
                    </w:r>
                  </w:p>
                  <w:p w14:paraId="493256D7" w14:textId="77777777" w:rsidR="00EB0278" w:rsidRPr="0003606D" w:rsidRDefault="00EB0278" w:rsidP="0003606D">
                    <w:pPr>
                      <w:pStyle w:val="coveraddresses"/>
                    </w:pPr>
                    <w:r w:rsidRPr="0003606D">
                      <w:t>General enquiries 1300 369 711</w:t>
                    </w:r>
                  </w:p>
                  <w:p w14:paraId="2B3A4C80" w14:textId="77777777" w:rsidR="00EB0278" w:rsidRPr="0003606D" w:rsidRDefault="00EB0278" w:rsidP="0003606D">
                    <w:pPr>
                      <w:pStyle w:val="coveraddresses"/>
                    </w:pPr>
                    <w:r w:rsidRPr="0003606D">
                      <w:t>Complaints info line 1300 656 419</w:t>
                    </w:r>
                  </w:p>
                  <w:p w14:paraId="76958E88" w14:textId="77777777" w:rsidR="00EB0278" w:rsidRPr="0003606D" w:rsidRDefault="00EB0278" w:rsidP="0003606D">
                    <w:pPr>
                      <w:pStyle w:val="coveraddresses"/>
                    </w:pPr>
                    <w:r w:rsidRPr="0003606D">
                      <w:t>TTY 1800 620 241</w:t>
                    </w:r>
                  </w:p>
                  <w:p w14:paraId="6289F4E9" w14:textId="77777777" w:rsidR="00EB0278" w:rsidRPr="00B63D24" w:rsidRDefault="00EB0278" w:rsidP="00B63D24">
                    <w:pPr>
                      <w:pStyle w:val="Footer"/>
                    </w:pPr>
                    <w:r w:rsidRPr="00B63D24">
                      <w:tab/>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0097B" w14:textId="77777777" w:rsidR="00643212" w:rsidRDefault="00643212">
    <w:pPr>
      <w:pStyle w:val="Footer1"/>
      <w:jc w:val="right"/>
      <w:rPr>
        <w:rFonts w:ascii="Times New Roman" w:eastAsia="Times New Roman" w:hAnsi="Times New Roman"/>
        <w:color w:val="auto"/>
        <w:sz w:val="20"/>
        <w:lang w:eastAsia="en-AU" w:bidi="x-none"/>
      </w:rPr>
    </w:pPr>
    <w:r>
      <w:rPr>
        <w:rStyle w:val="PageNumber1"/>
        <w:sz w:val="18"/>
      </w:rPr>
      <w:fldChar w:fldCharType="begin"/>
    </w:r>
    <w:r>
      <w:rPr>
        <w:rStyle w:val="PageNumber1"/>
        <w:sz w:val="18"/>
      </w:rPr>
      <w:instrText xml:space="preserve"> PAGE </w:instrText>
    </w:r>
    <w:r>
      <w:rPr>
        <w:rStyle w:val="PageNumber1"/>
        <w:sz w:val="18"/>
      </w:rPr>
      <w:fldChar w:fldCharType="separate"/>
    </w:r>
    <w:r>
      <w:rPr>
        <w:rStyle w:val="PageNumber1"/>
        <w:noProof/>
        <w:sz w:val="18"/>
      </w:rPr>
      <w:t>80</w:t>
    </w:r>
    <w:r>
      <w:rPr>
        <w:rStyle w:val="PageNumber1"/>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C5756" w14:textId="77777777" w:rsidR="00643212" w:rsidRDefault="00643212">
    <w:pPr>
      <w:pStyle w:val="Footer1"/>
      <w:jc w:val="right"/>
      <w:rPr>
        <w:rFonts w:ascii="Times New Roman" w:eastAsia="Times New Roman" w:hAnsi="Times New Roman"/>
        <w:color w:val="auto"/>
        <w:sz w:val="20"/>
        <w:lang w:eastAsia="en-AU" w:bidi="x-none"/>
      </w:rPr>
    </w:pPr>
    <w:r>
      <w:rPr>
        <w:rStyle w:val="PageNumber1"/>
        <w:sz w:val="18"/>
      </w:rPr>
      <w:fldChar w:fldCharType="begin"/>
    </w:r>
    <w:r>
      <w:rPr>
        <w:rStyle w:val="PageNumber1"/>
        <w:sz w:val="18"/>
      </w:rPr>
      <w:instrText xml:space="preserve"> PAGE </w:instrText>
    </w:r>
    <w:r>
      <w:rPr>
        <w:rStyle w:val="PageNumber1"/>
        <w:sz w:val="18"/>
      </w:rPr>
      <w:fldChar w:fldCharType="separate"/>
    </w:r>
    <w:r w:rsidR="00311507">
      <w:rPr>
        <w:rStyle w:val="PageNumber1"/>
        <w:noProof/>
        <w:sz w:val="18"/>
      </w:rPr>
      <w:t>78</w:t>
    </w:r>
    <w:r>
      <w:rPr>
        <w:rStyle w:val="PageNumber1"/>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A8E45" w14:textId="77777777" w:rsidR="00643212" w:rsidRDefault="00643212" w:rsidP="00F14C6D">
      <w:r>
        <w:separator/>
      </w:r>
    </w:p>
  </w:footnote>
  <w:footnote w:type="continuationSeparator" w:id="0">
    <w:p w14:paraId="65C095A7" w14:textId="77777777" w:rsidR="00643212" w:rsidRDefault="00643212"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DE8E9" w14:textId="77777777" w:rsidR="00643212" w:rsidRDefault="00311507">
    <w:pPr>
      <w:pStyle w:val="Header"/>
    </w:pPr>
    <w:r>
      <w:rPr>
        <w:noProof/>
      </w:rPr>
      <w:pict w14:anchorId="7384E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6E5E5" w14:textId="77777777" w:rsidR="00643212" w:rsidRPr="00D27262" w:rsidRDefault="00311507" w:rsidP="002B1B65">
    <w:pPr>
      <w:spacing w:before="0" w:after="0"/>
      <w:jc w:val="right"/>
      <w:rPr>
        <w:sz w:val="22"/>
        <w:szCs w:val="22"/>
      </w:rPr>
    </w:pPr>
    <w:r>
      <w:rPr>
        <w:noProof/>
        <w:sz w:val="22"/>
        <w:szCs w:val="22"/>
      </w:rPr>
      <w:pict w14:anchorId="4D635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643212" w:rsidRPr="00D27262">
      <w:rPr>
        <w:sz w:val="22"/>
        <w:szCs w:val="22"/>
      </w:rPr>
      <w:t>Au</w:t>
    </w:r>
    <w:r w:rsidR="00643212">
      <w:rPr>
        <w:sz w:val="22"/>
        <w:szCs w:val="22"/>
      </w:rPr>
      <w:t>stralian Human Rights Commission</w:t>
    </w:r>
  </w:p>
  <w:p w14:paraId="2F3E63F9" w14:textId="77777777" w:rsidR="00643212" w:rsidRDefault="00643212"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643212" w:rsidRPr="00B85DD4" w14:paraId="60A67E8C" w14:textId="77777777" w:rsidTr="00165E3C">
      <w:trPr>
        <w:trHeight w:val="1276"/>
      </w:trPr>
      <w:tc>
        <w:tcPr>
          <w:tcW w:w="1508" w:type="dxa"/>
        </w:tcPr>
        <w:p w14:paraId="4CDDD67E" w14:textId="77777777" w:rsidR="00643212" w:rsidRPr="00B85DD4" w:rsidRDefault="00311507" w:rsidP="00B520BC">
          <w:pPr>
            <w:pStyle w:val="Header"/>
            <w:tabs>
              <w:tab w:val="left" w:pos="4686"/>
              <w:tab w:val="left" w:pos="7088"/>
              <w:tab w:val="left" w:pos="7242"/>
            </w:tabs>
            <w:ind w:left="-108"/>
            <w:rPr>
              <w:rFonts w:cs="ArialMT"/>
              <w:b/>
              <w:spacing w:val="-20"/>
            </w:rPr>
          </w:pPr>
          <w:r>
            <w:rPr>
              <w:rFonts w:cs="ArialMT"/>
              <w:b/>
              <w:noProof/>
              <w:spacing w:val="-20"/>
            </w:rPr>
            <w:pict w14:anchorId="76E71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49" type="#_x0000_t75" style="position:absolute;left:0;text-align:left;margin-left:-71.05pt;margin-top:-116pt;width:595.65pt;height:870.15pt;z-index:-251661312;mso-position-horizontal-relative:margin;mso-position-vertical-relative:margin" o:allowincell="f">
                <v:imagedata r:id="rId1" o:title="MS word cover1"/>
                <w10:wrap anchorx="margin" anchory="margin"/>
              </v:shape>
            </w:pict>
          </w:r>
        </w:p>
      </w:tc>
      <w:tc>
        <w:tcPr>
          <w:tcW w:w="2688" w:type="dxa"/>
          <w:vAlign w:val="center"/>
        </w:tcPr>
        <w:p w14:paraId="757A7C3B" w14:textId="77777777" w:rsidR="00643212" w:rsidRPr="00B85DD4" w:rsidRDefault="00643212" w:rsidP="002B1B65">
          <w:pPr>
            <w:spacing w:before="0" w:after="0"/>
            <w:rPr>
              <w:rFonts w:cs="ArialMT"/>
              <w:i/>
              <w:color w:val="808080"/>
              <w:sz w:val="17"/>
            </w:rPr>
          </w:pPr>
        </w:p>
      </w:tc>
      <w:tc>
        <w:tcPr>
          <w:tcW w:w="2302" w:type="dxa"/>
        </w:tcPr>
        <w:p w14:paraId="76FCE92D" w14:textId="77777777" w:rsidR="00643212" w:rsidRPr="00B85DD4" w:rsidRDefault="00643212" w:rsidP="00B520BC">
          <w:pPr>
            <w:pStyle w:val="HeaderFooter"/>
            <w:rPr>
              <w:b/>
              <w:spacing w:val="-20"/>
              <w:sz w:val="40"/>
            </w:rPr>
          </w:pPr>
        </w:p>
      </w:tc>
      <w:tc>
        <w:tcPr>
          <w:tcW w:w="2130" w:type="dxa"/>
        </w:tcPr>
        <w:p w14:paraId="5F8A6C64" w14:textId="77777777" w:rsidR="00643212" w:rsidRPr="00B85DD4" w:rsidRDefault="00643212" w:rsidP="00B520BC">
          <w:pPr>
            <w:pStyle w:val="HeaderFooter"/>
            <w:rPr>
              <w:b/>
              <w:spacing w:val="-20"/>
              <w:sz w:val="40"/>
            </w:rPr>
          </w:pPr>
        </w:p>
      </w:tc>
      <w:tc>
        <w:tcPr>
          <w:tcW w:w="1721" w:type="dxa"/>
        </w:tcPr>
        <w:p w14:paraId="5C6D1AB5" w14:textId="77777777" w:rsidR="00643212" w:rsidRPr="00B85DD4" w:rsidRDefault="00643212" w:rsidP="00B520BC">
          <w:pPr>
            <w:pStyle w:val="HeaderFooter"/>
            <w:spacing w:before="227" w:after="340"/>
            <w:rPr>
              <w:b/>
              <w:spacing w:val="-20"/>
              <w:sz w:val="40"/>
            </w:rPr>
          </w:pPr>
        </w:p>
      </w:tc>
    </w:tr>
  </w:tbl>
  <w:p w14:paraId="6E51B72B" w14:textId="77777777" w:rsidR="00643212" w:rsidRDefault="006432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E23D6" w14:textId="77777777" w:rsidR="00643212" w:rsidRDefault="00643212">
    <w:pPr>
      <w:spacing w:before="0" w:after="60"/>
      <w:jc w:val="right"/>
      <w:rPr>
        <w:sz w:val="22"/>
      </w:rPr>
    </w:pPr>
    <w:r>
      <w:rPr>
        <w:sz w:val="22"/>
      </w:rPr>
      <w:t>Australian Human Rights Commission</w:t>
    </w:r>
  </w:p>
  <w:p w14:paraId="03919194" w14:textId="77777777" w:rsidR="00643212" w:rsidRDefault="00643212">
    <w:pPr>
      <w:pStyle w:val="Footer1"/>
      <w:spacing w:after="240"/>
      <w:jc w:val="right"/>
      <w:rPr>
        <w:rFonts w:ascii="Times New Roman" w:eastAsia="Times New Roman" w:hAnsi="Times New Roman"/>
        <w:color w:val="auto"/>
        <w:sz w:val="20"/>
        <w:lang w:eastAsia="en-AU" w:bidi="x-none"/>
      </w:rPr>
    </w:pPr>
    <w:r>
      <w:rPr>
        <w:rFonts w:ascii="Arial Bold Italic" w:hAnsi="Arial Bold Italic"/>
      </w:rPr>
      <w:t>Submission to the Senate Community Affairs Legislation Committee in the Inquiry into the Stronger Futures in the Northern Territory Bill 2011 and two related Bills</w:t>
    </w:r>
    <w:r>
      <w:rPr>
        <w:rFonts w:ascii="Arial Italic" w:hAnsi="Arial Italic"/>
      </w:rPr>
      <w:t xml:space="preserve"> – 1 February 2012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04FAF" w14:textId="77777777" w:rsidR="00643212" w:rsidRDefault="00643212">
    <w:pPr>
      <w:spacing w:before="0" w:after="60"/>
      <w:jc w:val="right"/>
      <w:rPr>
        <w:sz w:val="22"/>
      </w:rPr>
    </w:pPr>
    <w:r>
      <w:rPr>
        <w:sz w:val="22"/>
      </w:rPr>
      <w:t>Australian Human Rights Commission</w:t>
    </w:r>
  </w:p>
  <w:p w14:paraId="3F2DB27C" w14:textId="3ABFBADF" w:rsidR="00643212" w:rsidRDefault="00643212">
    <w:pPr>
      <w:pStyle w:val="Footer1"/>
      <w:spacing w:after="240"/>
      <w:jc w:val="right"/>
      <w:rPr>
        <w:rFonts w:ascii="Times New Roman" w:eastAsia="Times New Roman" w:hAnsi="Times New Roman"/>
        <w:color w:val="auto"/>
        <w:sz w:val="20"/>
        <w:lang w:eastAsia="en-AU" w:bidi="x-none"/>
      </w:rPr>
    </w:pPr>
    <w:r>
      <w:rPr>
        <w:rFonts w:ascii="Arial Bold Italic" w:hAnsi="Arial Bold Italic"/>
      </w:rPr>
      <w:t>Submission to the Senate Community Affairs Legislation Committee in the Inquiry into the Stronger Futures in the Northern Territory Bill 2011 and two related Bills</w:t>
    </w:r>
    <w:r>
      <w:rPr>
        <w:rFonts w:ascii="Arial Italic" w:hAnsi="Arial Italic"/>
      </w:rPr>
      <w:t xml:space="preserve"> – 6 February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894EE873"/>
    <w:styleLink w:val="List6"/>
    <w:lvl w:ilvl="0">
      <w:start w:val="1"/>
      <w:numFmt w:val="decimal"/>
      <w:isLgl/>
      <w:lvlText w:val="%1"/>
      <w:lvlJc w:val="left"/>
      <w:pPr>
        <w:tabs>
          <w:tab w:val="num" w:pos="851"/>
        </w:tabs>
        <w:ind w:left="851" w:firstLine="0"/>
      </w:pPr>
      <w:rPr>
        <w:rFonts w:hint="default"/>
        <w:b/>
        <w:color w:val="000000"/>
        <w:position w:val="0"/>
        <w:sz w:val="24"/>
      </w:rPr>
    </w:lvl>
    <w:lvl w:ilvl="1">
      <w:start w:val="1"/>
      <w:numFmt w:val="decimal"/>
      <w:isLgl/>
      <w:lvlText w:val="%1.%2"/>
      <w:lvlJc w:val="left"/>
      <w:pPr>
        <w:tabs>
          <w:tab w:val="num" w:pos="851"/>
        </w:tabs>
        <w:ind w:left="851" w:firstLine="0"/>
      </w:pPr>
      <w:rPr>
        <w:rFonts w:hint="default"/>
        <w:b/>
        <w:color w:val="000000"/>
        <w:position w:val="0"/>
        <w:sz w:val="24"/>
      </w:rPr>
    </w:lvl>
    <w:lvl w:ilvl="2">
      <w:start w:val="1"/>
      <w:numFmt w:val="lowerLetter"/>
      <w:lvlText w:val="(%3)"/>
      <w:lvlJc w:val="left"/>
      <w:pPr>
        <w:tabs>
          <w:tab w:val="num" w:pos="851"/>
        </w:tabs>
        <w:ind w:left="851" w:firstLine="0"/>
      </w:pPr>
      <w:rPr>
        <w:rFonts w:hint="default"/>
        <w:color w:val="000000"/>
        <w:position w:val="0"/>
        <w:sz w:val="24"/>
      </w:rPr>
    </w:lvl>
    <w:lvl w:ilvl="3">
      <w:start w:val="1"/>
      <w:numFmt w:val="lowerRoman"/>
      <w:lvlText w:val="(%4)"/>
      <w:lvlJc w:val="left"/>
      <w:pPr>
        <w:tabs>
          <w:tab w:val="num" w:pos="851"/>
        </w:tabs>
        <w:ind w:left="851" w:firstLine="0"/>
      </w:pPr>
      <w:rPr>
        <w:rFonts w:hint="default"/>
        <w:color w:val="000000"/>
        <w:position w:val="0"/>
        <w:sz w:val="24"/>
      </w:rPr>
    </w:lvl>
    <w:lvl w:ilvl="4">
      <w:start w:val="1"/>
      <w:numFmt w:val="decimal"/>
      <w:isLgl/>
      <w:lvlText w:val="(%4)%5"/>
      <w:lvlJc w:val="left"/>
      <w:pPr>
        <w:tabs>
          <w:tab w:val="num" w:pos="1008"/>
        </w:tabs>
        <w:ind w:left="1008" w:firstLine="0"/>
      </w:pPr>
      <w:rPr>
        <w:rFonts w:hint="default"/>
        <w:color w:val="000000"/>
        <w:position w:val="0"/>
        <w:sz w:val="24"/>
      </w:rPr>
    </w:lvl>
    <w:lvl w:ilvl="5">
      <w:start w:val="1"/>
      <w:numFmt w:val="decimal"/>
      <w:isLgl/>
      <w:lvlText w:val="(%4)%5.%6"/>
      <w:lvlJc w:val="left"/>
      <w:pPr>
        <w:tabs>
          <w:tab w:val="num" w:pos="1152"/>
        </w:tabs>
        <w:ind w:left="1152" w:firstLine="0"/>
      </w:pPr>
      <w:rPr>
        <w:rFonts w:hint="default"/>
        <w:color w:val="000000"/>
        <w:position w:val="0"/>
        <w:sz w:val="24"/>
      </w:rPr>
    </w:lvl>
    <w:lvl w:ilvl="6">
      <w:start w:val="1"/>
      <w:numFmt w:val="decimal"/>
      <w:isLgl/>
      <w:lvlText w:val="(%4)%5.%6.%7"/>
      <w:lvlJc w:val="left"/>
      <w:pPr>
        <w:tabs>
          <w:tab w:val="num" w:pos="1296"/>
        </w:tabs>
        <w:ind w:left="1296" w:firstLine="0"/>
      </w:pPr>
      <w:rPr>
        <w:rFonts w:hint="default"/>
        <w:color w:val="000000"/>
        <w:position w:val="0"/>
        <w:sz w:val="24"/>
      </w:rPr>
    </w:lvl>
    <w:lvl w:ilvl="7">
      <w:start w:val="1"/>
      <w:numFmt w:val="decimal"/>
      <w:isLgl/>
      <w:lvlText w:val="(%4)%5.%6.%7.%8"/>
      <w:lvlJc w:val="left"/>
      <w:pPr>
        <w:tabs>
          <w:tab w:val="num" w:pos="1440"/>
        </w:tabs>
        <w:ind w:left="1440" w:firstLine="0"/>
      </w:pPr>
      <w:rPr>
        <w:rFonts w:hint="default"/>
        <w:color w:val="000000"/>
        <w:position w:val="0"/>
        <w:sz w:val="24"/>
      </w:rPr>
    </w:lvl>
    <w:lvl w:ilvl="8">
      <w:start w:val="1"/>
      <w:numFmt w:val="decimal"/>
      <w:isLgl/>
      <w:lvlText w:val="(%4)%5.%6.%7.%8.%9"/>
      <w:lvlJc w:val="left"/>
      <w:pPr>
        <w:tabs>
          <w:tab w:val="num" w:pos="1584"/>
        </w:tabs>
        <w:ind w:left="1584" w:firstLine="0"/>
      </w:pPr>
      <w:rPr>
        <w:rFonts w:hint="default"/>
        <w:color w:val="000000"/>
        <w:position w:val="0"/>
        <w:sz w:val="24"/>
      </w:rPr>
    </w:lvl>
  </w:abstractNum>
  <w:abstractNum w:abstractNumId="11">
    <w:nsid w:val="00000004"/>
    <w:multiLevelType w:val="multilevel"/>
    <w:tmpl w:val="894EE876"/>
    <w:styleLink w:val="List8"/>
    <w:lvl w:ilvl="0">
      <w:start w:val="1"/>
      <w:numFmt w:val="bullet"/>
      <w:lvlText w:val="·"/>
      <w:lvlJc w:val="left"/>
      <w:pPr>
        <w:tabs>
          <w:tab w:val="num" w:pos="360"/>
        </w:tabs>
        <w:ind w:left="360" w:firstLine="851"/>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571"/>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291"/>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011"/>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731"/>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451"/>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171"/>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891"/>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611"/>
      </w:pPr>
      <w:rPr>
        <w:rFonts w:ascii="Wingdings" w:eastAsia="ヒラギノ角ゴ Pro W3" w:hAnsi="Wingdings" w:hint="default"/>
        <w:color w:val="000000"/>
        <w:position w:val="0"/>
        <w:sz w:val="24"/>
      </w:rPr>
    </w:lvl>
  </w:abstractNum>
  <w:abstractNum w:abstractNumId="12">
    <w:nsid w:val="0000000A"/>
    <w:multiLevelType w:val="multilevel"/>
    <w:tmpl w:val="894EE87C"/>
    <w:styleLink w:val="List1"/>
    <w:lvl w:ilvl="0">
      <w:start w:val="1"/>
      <w:numFmt w:val="decimal"/>
      <w:isLgl/>
      <w:lvlText w:val="%1"/>
      <w:lvlJc w:val="left"/>
      <w:pPr>
        <w:tabs>
          <w:tab w:val="num" w:pos="851"/>
        </w:tabs>
        <w:ind w:left="851" w:firstLine="0"/>
      </w:pPr>
      <w:rPr>
        <w:rFonts w:hint="default"/>
        <w:caps w:val="0"/>
        <w:smallCaps w:val="0"/>
        <w:strike w:val="0"/>
        <w:dstrike w:val="0"/>
        <w:vanish w:val="0"/>
        <w:color w:val="000000"/>
        <w:spacing w:val="0"/>
        <w:kern w:val="0"/>
        <w:position w:val="0"/>
        <w:sz w:val="24"/>
        <w:vertAlign w:val="baseline"/>
      </w:rPr>
    </w:lvl>
    <w:lvl w:ilvl="1">
      <w:start w:val="1"/>
      <w:numFmt w:val="decimal"/>
      <w:isLgl/>
      <w:lvlText w:val="%1.%2"/>
      <w:lvlJc w:val="left"/>
      <w:pPr>
        <w:tabs>
          <w:tab w:val="num" w:pos="851"/>
        </w:tabs>
        <w:ind w:left="851" w:firstLine="0"/>
      </w:pPr>
      <w:rPr>
        <w:rFonts w:hint="default"/>
        <w:caps w:val="0"/>
        <w:smallCaps w:val="0"/>
        <w:strike w:val="0"/>
        <w:dstrike w:val="0"/>
        <w:vanish w:val="0"/>
        <w:color w:val="000000"/>
        <w:spacing w:val="0"/>
        <w:kern w:val="0"/>
        <w:position w:val="0"/>
        <w:sz w:val="24"/>
        <w:vertAlign w:val="baseline"/>
      </w:rPr>
    </w:lvl>
    <w:lvl w:ilvl="2">
      <w:start w:val="1"/>
      <w:numFmt w:val="lowerLetter"/>
      <w:lvlText w:val="(%3)"/>
      <w:lvlJc w:val="left"/>
      <w:pPr>
        <w:tabs>
          <w:tab w:val="num" w:pos="851"/>
        </w:tabs>
        <w:ind w:left="851" w:firstLine="0"/>
      </w:pPr>
      <w:rPr>
        <w:rFonts w:hint="default"/>
        <w:caps w:val="0"/>
        <w:smallCaps w:val="0"/>
        <w:strike w:val="0"/>
        <w:dstrike w:val="0"/>
        <w:vanish w:val="0"/>
        <w:color w:val="000000"/>
        <w:spacing w:val="0"/>
        <w:kern w:val="0"/>
        <w:position w:val="0"/>
        <w:sz w:val="24"/>
        <w:vertAlign w:val="baseline"/>
      </w:rPr>
    </w:lvl>
    <w:lvl w:ilvl="3">
      <w:start w:val="1"/>
      <w:numFmt w:val="lowerRoman"/>
      <w:lvlText w:val="(%4)"/>
      <w:lvlJc w:val="left"/>
      <w:pPr>
        <w:tabs>
          <w:tab w:val="num" w:pos="851"/>
        </w:tabs>
        <w:ind w:left="851" w:firstLine="0"/>
      </w:pPr>
      <w:rPr>
        <w:rFonts w:hint="default"/>
        <w:color w:val="000000"/>
        <w:position w:val="0"/>
        <w:sz w:val="24"/>
      </w:rPr>
    </w:lvl>
    <w:lvl w:ilvl="4">
      <w:start w:val="1"/>
      <w:numFmt w:val="decimal"/>
      <w:isLgl/>
      <w:lvlText w:val="(%4)%5"/>
      <w:lvlJc w:val="left"/>
      <w:pPr>
        <w:tabs>
          <w:tab w:val="num" w:pos="1008"/>
        </w:tabs>
        <w:ind w:left="1008" w:firstLine="0"/>
      </w:pPr>
      <w:rPr>
        <w:rFonts w:hint="default"/>
        <w:color w:val="000000"/>
        <w:position w:val="0"/>
        <w:sz w:val="24"/>
      </w:rPr>
    </w:lvl>
    <w:lvl w:ilvl="5">
      <w:start w:val="1"/>
      <w:numFmt w:val="decimal"/>
      <w:isLgl/>
      <w:lvlText w:val="(%4)%5.%6"/>
      <w:lvlJc w:val="left"/>
      <w:pPr>
        <w:tabs>
          <w:tab w:val="num" w:pos="1152"/>
        </w:tabs>
        <w:ind w:left="1152" w:firstLine="0"/>
      </w:pPr>
      <w:rPr>
        <w:rFonts w:hint="default"/>
        <w:color w:val="000000"/>
        <w:position w:val="0"/>
        <w:sz w:val="24"/>
      </w:rPr>
    </w:lvl>
    <w:lvl w:ilvl="6">
      <w:start w:val="1"/>
      <w:numFmt w:val="decimal"/>
      <w:isLgl/>
      <w:lvlText w:val="(%4)%5.%6.%7"/>
      <w:lvlJc w:val="left"/>
      <w:pPr>
        <w:tabs>
          <w:tab w:val="num" w:pos="1296"/>
        </w:tabs>
        <w:ind w:left="1296" w:firstLine="0"/>
      </w:pPr>
      <w:rPr>
        <w:rFonts w:hint="default"/>
        <w:color w:val="000000"/>
        <w:position w:val="0"/>
        <w:sz w:val="24"/>
      </w:rPr>
    </w:lvl>
    <w:lvl w:ilvl="7">
      <w:start w:val="1"/>
      <w:numFmt w:val="decimal"/>
      <w:isLgl/>
      <w:lvlText w:val="(%4)%5.%6.%7.%8"/>
      <w:lvlJc w:val="left"/>
      <w:pPr>
        <w:tabs>
          <w:tab w:val="num" w:pos="1440"/>
        </w:tabs>
        <w:ind w:left="1440" w:firstLine="0"/>
      </w:pPr>
      <w:rPr>
        <w:rFonts w:hint="default"/>
        <w:color w:val="000000"/>
        <w:position w:val="0"/>
        <w:sz w:val="24"/>
      </w:rPr>
    </w:lvl>
    <w:lvl w:ilvl="8">
      <w:start w:val="1"/>
      <w:numFmt w:val="decimal"/>
      <w:isLgl/>
      <w:lvlText w:val="(%4)%5.%6.%7.%8.%9"/>
      <w:lvlJc w:val="left"/>
      <w:pPr>
        <w:tabs>
          <w:tab w:val="num" w:pos="1584"/>
        </w:tabs>
        <w:ind w:left="1584" w:firstLine="0"/>
      </w:pPr>
      <w:rPr>
        <w:rFonts w:hint="default"/>
        <w:color w:val="000000"/>
        <w:position w:val="0"/>
        <w:sz w:val="24"/>
      </w:rPr>
    </w:lvl>
  </w:abstractNum>
  <w:abstractNum w:abstractNumId="13">
    <w:nsid w:val="00000012"/>
    <w:multiLevelType w:val="multilevel"/>
    <w:tmpl w:val="894EE884"/>
    <w:styleLink w:val="List10"/>
    <w:lvl w:ilvl="0">
      <w:start w:val="1"/>
      <w:numFmt w:val="decimal"/>
      <w:isLgl/>
      <w:lvlText w:val="%1"/>
      <w:lvlJc w:val="left"/>
      <w:pPr>
        <w:tabs>
          <w:tab w:val="num" w:pos="851"/>
        </w:tabs>
        <w:ind w:left="851" w:firstLine="0"/>
      </w:pPr>
      <w:rPr>
        <w:rFonts w:hint="default"/>
        <w:color w:val="000000"/>
        <w:position w:val="0"/>
        <w:sz w:val="24"/>
      </w:rPr>
    </w:lvl>
    <w:lvl w:ilvl="1">
      <w:start w:val="1"/>
      <w:numFmt w:val="decimal"/>
      <w:isLgl/>
      <w:lvlText w:val="%1.%2"/>
      <w:lvlJc w:val="left"/>
      <w:pPr>
        <w:tabs>
          <w:tab w:val="num" w:pos="851"/>
        </w:tabs>
        <w:ind w:left="851" w:firstLine="0"/>
      </w:pPr>
      <w:rPr>
        <w:rFonts w:hint="default"/>
        <w:color w:val="000000"/>
        <w:position w:val="0"/>
        <w:sz w:val="24"/>
      </w:rPr>
    </w:lvl>
    <w:lvl w:ilvl="2">
      <w:start w:val="1"/>
      <w:numFmt w:val="lowerLetter"/>
      <w:lvlText w:val="(%3)"/>
      <w:lvlJc w:val="left"/>
      <w:pPr>
        <w:tabs>
          <w:tab w:val="num" w:pos="851"/>
        </w:tabs>
        <w:ind w:left="851" w:firstLine="0"/>
      </w:pPr>
      <w:rPr>
        <w:rFonts w:hint="default"/>
        <w:color w:val="000000"/>
        <w:position w:val="0"/>
        <w:sz w:val="24"/>
      </w:rPr>
    </w:lvl>
    <w:lvl w:ilvl="3">
      <w:start w:val="1"/>
      <w:numFmt w:val="lowerRoman"/>
      <w:lvlText w:val="(%4)"/>
      <w:lvlJc w:val="left"/>
      <w:pPr>
        <w:tabs>
          <w:tab w:val="num" w:pos="851"/>
        </w:tabs>
        <w:ind w:left="851" w:firstLine="0"/>
      </w:pPr>
      <w:rPr>
        <w:rFonts w:hint="default"/>
        <w:color w:val="000000"/>
        <w:position w:val="0"/>
        <w:sz w:val="24"/>
      </w:rPr>
    </w:lvl>
    <w:lvl w:ilvl="4">
      <w:start w:val="1"/>
      <w:numFmt w:val="decimal"/>
      <w:isLgl/>
      <w:lvlText w:val="(%4)%5"/>
      <w:lvlJc w:val="left"/>
      <w:pPr>
        <w:tabs>
          <w:tab w:val="num" w:pos="1008"/>
        </w:tabs>
        <w:ind w:left="1008" w:firstLine="0"/>
      </w:pPr>
      <w:rPr>
        <w:rFonts w:hint="default"/>
        <w:color w:val="000000"/>
        <w:position w:val="0"/>
        <w:sz w:val="24"/>
      </w:rPr>
    </w:lvl>
    <w:lvl w:ilvl="5">
      <w:start w:val="1"/>
      <w:numFmt w:val="decimal"/>
      <w:isLgl/>
      <w:lvlText w:val="(%4)%5.%6"/>
      <w:lvlJc w:val="left"/>
      <w:pPr>
        <w:tabs>
          <w:tab w:val="num" w:pos="1152"/>
        </w:tabs>
        <w:ind w:left="1152" w:firstLine="0"/>
      </w:pPr>
      <w:rPr>
        <w:rFonts w:hint="default"/>
        <w:color w:val="000000"/>
        <w:position w:val="0"/>
        <w:sz w:val="24"/>
      </w:rPr>
    </w:lvl>
    <w:lvl w:ilvl="6">
      <w:start w:val="1"/>
      <w:numFmt w:val="decimal"/>
      <w:isLgl/>
      <w:lvlText w:val="(%4)%5.%6.%7"/>
      <w:lvlJc w:val="left"/>
      <w:pPr>
        <w:tabs>
          <w:tab w:val="num" w:pos="1296"/>
        </w:tabs>
        <w:ind w:left="1296" w:firstLine="0"/>
      </w:pPr>
      <w:rPr>
        <w:rFonts w:hint="default"/>
        <w:color w:val="000000"/>
        <w:position w:val="0"/>
        <w:sz w:val="24"/>
      </w:rPr>
    </w:lvl>
    <w:lvl w:ilvl="7">
      <w:start w:val="1"/>
      <w:numFmt w:val="decimal"/>
      <w:isLgl/>
      <w:lvlText w:val="(%4)%5.%6.%7.%8"/>
      <w:lvlJc w:val="left"/>
      <w:pPr>
        <w:tabs>
          <w:tab w:val="num" w:pos="1440"/>
        </w:tabs>
        <w:ind w:left="1440" w:firstLine="0"/>
      </w:pPr>
      <w:rPr>
        <w:rFonts w:hint="default"/>
        <w:color w:val="000000"/>
        <w:position w:val="0"/>
        <w:sz w:val="24"/>
      </w:rPr>
    </w:lvl>
    <w:lvl w:ilvl="8">
      <w:start w:val="1"/>
      <w:numFmt w:val="decimal"/>
      <w:isLgl/>
      <w:lvlText w:val="(%4)%5.%6.%7.%8.%9"/>
      <w:lvlJc w:val="left"/>
      <w:pPr>
        <w:tabs>
          <w:tab w:val="num" w:pos="1584"/>
        </w:tabs>
        <w:ind w:left="1584" w:firstLine="0"/>
      </w:pPr>
      <w:rPr>
        <w:rFonts w:hint="default"/>
        <w:color w:val="000000"/>
        <w:position w:val="0"/>
        <w:sz w:val="24"/>
      </w:rPr>
    </w:lvl>
  </w:abstractNum>
  <w:abstractNum w:abstractNumId="14">
    <w:nsid w:val="00000014"/>
    <w:multiLevelType w:val="multilevel"/>
    <w:tmpl w:val="894EE886"/>
    <w:styleLink w:val="List11"/>
    <w:lvl w:ilvl="0">
      <w:start w:val="1"/>
      <w:numFmt w:val="decimal"/>
      <w:isLgl/>
      <w:lvlText w:val="%1"/>
      <w:lvlJc w:val="left"/>
      <w:pPr>
        <w:tabs>
          <w:tab w:val="num" w:pos="851"/>
        </w:tabs>
        <w:ind w:left="851" w:firstLine="0"/>
      </w:pPr>
      <w:rPr>
        <w:rFonts w:hint="default"/>
        <w:color w:val="000000"/>
        <w:position w:val="0"/>
        <w:sz w:val="24"/>
      </w:rPr>
    </w:lvl>
    <w:lvl w:ilvl="1">
      <w:start w:val="1"/>
      <w:numFmt w:val="decimal"/>
      <w:isLgl/>
      <w:lvlText w:val="%1.%2"/>
      <w:lvlJc w:val="left"/>
      <w:pPr>
        <w:tabs>
          <w:tab w:val="num" w:pos="851"/>
        </w:tabs>
        <w:ind w:left="851" w:firstLine="0"/>
      </w:pPr>
      <w:rPr>
        <w:rFonts w:hint="default"/>
        <w:color w:val="000000"/>
        <w:position w:val="0"/>
        <w:sz w:val="24"/>
      </w:rPr>
    </w:lvl>
    <w:lvl w:ilvl="2">
      <w:start w:val="1"/>
      <w:numFmt w:val="lowerLetter"/>
      <w:lvlText w:val="(%3)"/>
      <w:lvlJc w:val="left"/>
      <w:pPr>
        <w:tabs>
          <w:tab w:val="num" w:pos="0"/>
        </w:tabs>
        <w:ind w:left="0" w:firstLine="0"/>
      </w:pPr>
      <w:rPr>
        <w:rFonts w:hint="default"/>
        <w:color w:val="000000"/>
        <w:position w:val="0"/>
        <w:sz w:val="24"/>
      </w:rPr>
    </w:lvl>
    <w:lvl w:ilvl="3">
      <w:start w:val="1"/>
      <w:numFmt w:val="lowerRoman"/>
      <w:lvlText w:val="(%4)"/>
      <w:lvlJc w:val="left"/>
      <w:pPr>
        <w:tabs>
          <w:tab w:val="num" w:pos="851"/>
        </w:tabs>
        <w:ind w:left="851" w:firstLine="0"/>
      </w:pPr>
      <w:rPr>
        <w:rFonts w:hint="default"/>
        <w:color w:val="000000"/>
        <w:position w:val="0"/>
        <w:sz w:val="24"/>
      </w:rPr>
    </w:lvl>
    <w:lvl w:ilvl="4">
      <w:start w:val="1"/>
      <w:numFmt w:val="decimal"/>
      <w:isLgl/>
      <w:lvlText w:val="(%4)%5"/>
      <w:lvlJc w:val="left"/>
      <w:pPr>
        <w:tabs>
          <w:tab w:val="num" w:pos="1008"/>
        </w:tabs>
        <w:ind w:left="1008" w:firstLine="0"/>
      </w:pPr>
      <w:rPr>
        <w:rFonts w:hint="default"/>
        <w:color w:val="000000"/>
        <w:position w:val="0"/>
        <w:sz w:val="24"/>
      </w:rPr>
    </w:lvl>
    <w:lvl w:ilvl="5">
      <w:start w:val="1"/>
      <w:numFmt w:val="decimal"/>
      <w:isLgl/>
      <w:lvlText w:val="(%4)%5.%6"/>
      <w:lvlJc w:val="left"/>
      <w:pPr>
        <w:tabs>
          <w:tab w:val="num" w:pos="1152"/>
        </w:tabs>
        <w:ind w:left="1152" w:firstLine="0"/>
      </w:pPr>
      <w:rPr>
        <w:rFonts w:hint="default"/>
        <w:color w:val="000000"/>
        <w:position w:val="0"/>
        <w:sz w:val="24"/>
      </w:rPr>
    </w:lvl>
    <w:lvl w:ilvl="6">
      <w:start w:val="1"/>
      <w:numFmt w:val="decimal"/>
      <w:isLgl/>
      <w:lvlText w:val="(%4)%5.%6.%7"/>
      <w:lvlJc w:val="left"/>
      <w:pPr>
        <w:tabs>
          <w:tab w:val="num" w:pos="1296"/>
        </w:tabs>
        <w:ind w:left="1296" w:firstLine="0"/>
      </w:pPr>
      <w:rPr>
        <w:rFonts w:hint="default"/>
        <w:color w:val="000000"/>
        <w:position w:val="0"/>
        <w:sz w:val="24"/>
      </w:rPr>
    </w:lvl>
    <w:lvl w:ilvl="7">
      <w:start w:val="1"/>
      <w:numFmt w:val="decimal"/>
      <w:isLgl/>
      <w:lvlText w:val="(%4)%5.%6.%7.%8"/>
      <w:lvlJc w:val="left"/>
      <w:pPr>
        <w:tabs>
          <w:tab w:val="num" w:pos="1440"/>
        </w:tabs>
        <w:ind w:left="1440" w:firstLine="0"/>
      </w:pPr>
      <w:rPr>
        <w:rFonts w:hint="default"/>
        <w:color w:val="000000"/>
        <w:position w:val="0"/>
        <w:sz w:val="24"/>
      </w:rPr>
    </w:lvl>
    <w:lvl w:ilvl="8">
      <w:start w:val="1"/>
      <w:numFmt w:val="decimal"/>
      <w:isLgl/>
      <w:lvlText w:val="(%4)%5.%6.%7.%8.%9"/>
      <w:lvlJc w:val="left"/>
      <w:pPr>
        <w:tabs>
          <w:tab w:val="num" w:pos="1584"/>
        </w:tabs>
        <w:ind w:left="1584" w:firstLine="0"/>
      </w:pPr>
      <w:rPr>
        <w:rFonts w:hint="default"/>
        <w:color w:val="000000"/>
        <w:position w:val="0"/>
        <w:sz w:val="24"/>
      </w:rPr>
    </w:lvl>
  </w:abstractNum>
  <w:abstractNum w:abstractNumId="15">
    <w:nsid w:val="00000015"/>
    <w:multiLevelType w:val="multilevel"/>
    <w:tmpl w:val="894EE886"/>
    <w:numStyleLink w:val="List11"/>
  </w:abstractNum>
  <w:abstractNum w:abstractNumId="16">
    <w:nsid w:val="00000016"/>
    <w:multiLevelType w:val="multilevel"/>
    <w:tmpl w:val="894EE888"/>
    <w:styleLink w:val="List12"/>
    <w:lvl w:ilvl="0">
      <w:start w:val="1"/>
      <w:numFmt w:val="decimal"/>
      <w:isLgl/>
      <w:lvlText w:val="%1"/>
      <w:lvlJc w:val="left"/>
      <w:pPr>
        <w:tabs>
          <w:tab w:val="num" w:pos="851"/>
        </w:tabs>
        <w:ind w:left="851" w:firstLine="0"/>
      </w:pPr>
      <w:rPr>
        <w:rFonts w:hint="default"/>
        <w:color w:val="000000"/>
        <w:position w:val="0"/>
        <w:sz w:val="24"/>
      </w:rPr>
    </w:lvl>
    <w:lvl w:ilvl="1">
      <w:start w:val="1"/>
      <w:numFmt w:val="decimal"/>
      <w:isLgl/>
      <w:lvlText w:val="%1.%2"/>
      <w:lvlJc w:val="left"/>
      <w:pPr>
        <w:tabs>
          <w:tab w:val="num" w:pos="851"/>
        </w:tabs>
        <w:ind w:left="851" w:firstLine="0"/>
      </w:pPr>
      <w:rPr>
        <w:rFonts w:hint="default"/>
        <w:color w:val="000000"/>
        <w:position w:val="0"/>
        <w:sz w:val="24"/>
      </w:rPr>
    </w:lvl>
    <w:lvl w:ilvl="2">
      <w:start w:val="1"/>
      <w:numFmt w:val="lowerLetter"/>
      <w:lvlText w:val="(%3)"/>
      <w:lvlJc w:val="left"/>
      <w:pPr>
        <w:tabs>
          <w:tab w:val="num" w:pos="851"/>
        </w:tabs>
        <w:ind w:left="851" w:firstLine="0"/>
      </w:pPr>
      <w:rPr>
        <w:rFonts w:hint="default"/>
        <w:color w:val="000000"/>
        <w:position w:val="0"/>
        <w:sz w:val="24"/>
      </w:rPr>
    </w:lvl>
    <w:lvl w:ilvl="3">
      <w:start w:val="1"/>
      <w:numFmt w:val="lowerRoman"/>
      <w:lvlText w:val="(%4)"/>
      <w:lvlJc w:val="left"/>
      <w:pPr>
        <w:tabs>
          <w:tab w:val="num" w:pos="851"/>
        </w:tabs>
        <w:ind w:left="851" w:firstLine="0"/>
      </w:pPr>
      <w:rPr>
        <w:rFonts w:hint="default"/>
        <w:color w:val="000000"/>
        <w:position w:val="0"/>
        <w:sz w:val="24"/>
      </w:rPr>
    </w:lvl>
    <w:lvl w:ilvl="4">
      <w:start w:val="1"/>
      <w:numFmt w:val="decimal"/>
      <w:isLgl/>
      <w:lvlText w:val="(%4)%5"/>
      <w:lvlJc w:val="left"/>
      <w:pPr>
        <w:tabs>
          <w:tab w:val="num" w:pos="1008"/>
        </w:tabs>
        <w:ind w:left="1008" w:firstLine="0"/>
      </w:pPr>
      <w:rPr>
        <w:rFonts w:hint="default"/>
        <w:color w:val="000000"/>
        <w:position w:val="0"/>
        <w:sz w:val="24"/>
      </w:rPr>
    </w:lvl>
    <w:lvl w:ilvl="5">
      <w:start w:val="1"/>
      <w:numFmt w:val="decimal"/>
      <w:isLgl/>
      <w:lvlText w:val="(%4)%5.%6"/>
      <w:lvlJc w:val="left"/>
      <w:pPr>
        <w:tabs>
          <w:tab w:val="num" w:pos="1152"/>
        </w:tabs>
        <w:ind w:left="1152" w:firstLine="0"/>
      </w:pPr>
      <w:rPr>
        <w:rFonts w:hint="default"/>
        <w:color w:val="000000"/>
        <w:position w:val="0"/>
        <w:sz w:val="24"/>
      </w:rPr>
    </w:lvl>
    <w:lvl w:ilvl="6">
      <w:start w:val="1"/>
      <w:numFmt w:val="decimal"/>
      <w:isLgl/>
      <w:lvlText w:val="(%4)%5.%6.%7"/>
      <w:lvlJc w:val="left"/>
      <w:pPr>
        <w:tabs>
          <w:tab w:val="num" w:pos="1296"/>
        </w:tabs>
        <w:ind w:left="1296" w:firstLine="0"/>
      </w:pPr>
      <w:rPr>
        <w:rFonts w:hint="default"/>
        <w:color w:val="000000"/>
        <w:position w:val="0"/>
        <w:sz w:val="24"/>
      </w:rPr>
    </w:lvl>
    <w:lvl w:ilvl="7">
      <w:start w:val="1"/>
      <w:numFmt w:val="decimal"/>
      <w:isLgl/>
      <w:lvlText w:val="(%4)%5.%6.%7.%8"/>
      <w:lvlJc w:val="left"/>
      <w:pPr>
        <w:tabs>
          <w:tab w:val="num" w:pos="1440"/>
        </w:tabs>
        <w:ind w:left="1440" w:firstLine="0"/>
      </w:pPr>
      <w:rPr>
        <w:rFonts w:hint="default"/>
        <w:color w:val="000000"/>
        <w:position w:val="0"/>
        <w:sz w:val="24"/>
      </w:rPr>
    </w:lvl>
    <w:lvl w:ilvl="8">
      <w:start w:val="1"/>
      <w:numFmt w:val="decimal"/>
      <w:isLgl/>
      <w:lvlText w:val="(%4)%5.%6.%7.%8.%9"/>
      <w:lvlJc w:val="left"/>
      <w:pPr>
        <w:tabs>
          <w:tab w:val="num" w:pos="1584"/>
        </w:tabs>
        <w:ind w:left="1584" w:firstLine="0"/>
      </w:pPr>
      <w:rPr>
        <w:rFonts w:hint="default"/>
        <w:color w:val="000000"/>
        <w:position w:val="0"/>
        <w:sz w:val="24"/>
      </w:rPr>
    </w:lvl>
  </w:abstractNum>
  <w:abstractNum w:abstractNumId="17">
    <w:nsid w:val="00000018"/>
    <w:multiLevelType w:val="multilevel"/>
    <w:tmpl w:val="894EE88A"/>
    <w:styleLink w:val="List13"/>
    <w:lvl w:ilvl="0">
      <w:start w:val="1"/>
      <w:numFmt w:val="decimal"/>
      <w:isLgl/>
      <w:lvlText w:val="%1"/>
      <w:lvlJc w:val="left"/>
      <w:pPr>
        <w:tabs>
          <w:tab w:val="num" w:pos="851"/>
        </w:tabs>
        <w:ind w:left="851" w:firstLine="0"/>
      </w:pPr>
      <w:rPr>
        <w:rFonts w:hint="default"/>
        <w:color w:val="000000"/>
        <w:position w:val="0"/>
        <w:sz w:val="24"/>
      </w:rPr>
    </w:lvl>
    <w:lvl w:ilvl="1">
      <w:start w:val="1"/>
      <w:numFmt w:val="decimal"/>
      <w:isLgl/>
      <w:lvlText w:val="%1.%2"/>
      <w:lvlJc w:val="left"/>
      <w:pPr>
        <w:tabs>
          <w:tab w:val="num" w:pos="851"/>
        </w:tabs>
        <w:ind w:left="851" w:firstLine="0"/>
      </w:pPr>
      <w:rPr>
        <w:rFonts w:hint="default"/>
        <w:color w:val="000000"/>
        <w:position w:val="0"/>
        <w:sz w:val="24"/>
      </w:rPr>
    </w:lvl>
    <w:lvl w:ilvl="2">
      <w:start w:val="1"/>
      <w:numFmt w:val="lowerLetter"/>
      <w:lvlText w:val="(%3)"/>
      <w:lvlJc w:val="left"/>
      <w:pPr>
        <w:tabs>
          <w:tab w:val="num" w:pos="851"/>
        </w:tabs>
        <w:ind w:left="851" w:firstLine="0"/>
      </w:pPr>
      <w:rPr>
        <w:rFonts w:hint="default"/>
        <w:color w:val="000000"/>
        <w:position w:val="0"/>
        <w:sz w:val="24"/>
      </w:rPr>
    </w:lvl>
    <w:lvl w:ilvl="3">
      <w:start w:val="1"/>
      <w:numFmt w:val="lowerRoman"/>
      <w:lvlText w:val="(%4)"/>
      <w:lvlJc w:val="left"/>
      <w:pPr>
        <w:tabs>
          <w:tab w:val="num" w:pos="851"/>
        </w:tabs>
        <w:ind w:left="851" w:firstLine="0"/>
      </w:pPr>
      <w:rPr>
        <w:rFonts w:hint="default"/>
        <w:color w:val="000000"/>
        <w:position w:val="0"/>
        <w:sz w:val="24"/>
      </w:rPr>
    </w:lvl>
    <w:lvl w:ilvl="4">
      <w:start w:val="1"/>
      <w:numFmt w:val="decimal"/>
      <w:isLgl/>
      <w:lvlText w:val="(%4)%5"/>
      <w:lvlJc w:val="left"/>
      <w:pPr>
        <w:tabs>
          <w:tab w:val="num" w:pos="1008"/>
        </w:tabs>
        <w:ind w:left="1008" w:firstLine="0"/>
      </w:pPr>
      <w:rPr>
        <w:rFonts w:hint="default"/>
        <w:color w:val="000000"/>
        <w:position w:val="0"/>
        <w:sz w:val="24"/>
      </w:rPr>
    </w:lvl>
    <w:lvl w:ilvl="5">
      <w:start w:val="1"/>
      <w:numFmt w:val="decimal"/>
      <w:isLgl/>
      <w:lvlText w:val="(%4)%5.%6"/>
      <w:lvlJc w:val="left"/>
      <w:pPr>
        <w:tabs>
          <w:tab w:val="num" w:pos="1152"/>
        </w:tabs>
        <w:ind w:left="1152" w:firstLine="0"/>
      </w:pPr>
      <w:rPr>
        <w:rFonts w:hint="default"/>
        <w:color w:val="000000"/>
        <w:position w:val="0"/>
        <w:sz w:val="24"/>
      </w:rPr>
    </w:lvl>
    <w:lvl w:ilvl="6">
      <w:start w:val="1"/>
      <w:numFmt w:val="decimal"/>
      <w:isLgl/>
      <w:lvlText w:val="(%4)%5.%6.%7"/>
      <w:lvlJc w:val="left"/>
      <w:pPr>
        <w:tabs>
          <w:tab w:val="num" w:pos="1296"/>
        </w:tabs>
        <w:ind w:left="1296" w:firstLine="0"/>
      </w:pPr>
      <w:rPr>
        <w:rFonts w:hint="default"/>
        <w:color w:val="000000"/>
        <w:position w:val="0"/>
        <w:sz w:val="24"/>
      </w:rPr>
    </w:lvl>
    <w:lvl w:ilvl="7">
      <w:start w:val="1"/>
      <w:numFmt w:val="decimal"/>
      <w:isLgl/>
      <w:lvlText w:val="(%4)%5.%6.%7.%8"/>
      <w:lvlJc w:val="left"/>
      <w:pPr>
        <w:tabs>
          <w:tab w:val="num" w:pos="1440"/>
        </w:tabs>
        <w:ind w:left="1440" w:firstLine="0"/>
      </w:pPr>
      <w:rPr>
        <w:rFonts w:hint="default"/>
        <w:color w:val="000000"/>
        <w:position w:val="0"/>
        <w:sz w:val="24"/>
      </w:rPr>
    </w:lvl>
    <w:lvl w:ilvl="8">
      <w:start w:val="1"/>
      <w:numFmt w:val="decimal"/>
      <w:isLgl/>
      <w:lvlText w:val="(%4)%5.%6.%7.%8.%9"/>
      <w:lvlJc w:val="left"/>
      <w:pPr>
        <w:tabs>
          <w:tab w:val="num" w:pos="1584"/>
        </w:tabs>
        <w:ind w:left="1584" w:firstLine="0"/>
      </w:pPr>
      <w:rPr>
        <w:rFonts w:hint="default"/>
        <w:color w:val="000000"/>
        <w:position w:val="0"/>
        <w:sz w:val="24"/>
      </w:rPr>
    </w:lvl>
  </w:abstractNum>
  <w:abstractNum w:abstractNumId="18">
    <w:nsid w:val="05AD6EF4"/>
    <w:multiLevelType w:val="hybridMultilevel"/>
    <w:tmpl w:val="D1762D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05C224E5"/>
    <w:multiLevelType w:val="hybridMultilevel"/>
    <w:tmpl w:val="389AC8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098C772D"/>
    <w:multiLevelType w:val="hybridMultilevel"/>
    <w:tmpl w:val="866C79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0B5D1900"/>
    <w:multiLevelType w:val="hybridMultilevel"/>
    <w:tmpl w:val="825EC1F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22">
    <w:nsid w:val="0C9F7278"/>
    <w:multiLevelType w:val="hybridMultilevel"/>
    <w:tmpl w:val="9158483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0D053C62"/>
    <w:multiLevelType w:val="hybridMultilevel"/>
    <w:tmpl w:val="5C7C9BE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10CC21C5"/>
    <w:multiLevelType w:val="hybridMultilevel"/>
    <w:tmpl w:val="506E17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nsid w:val="15B90F53"/>
    <w:multiLevelType w:val="hybridMultilevel"/>
    <w:tmpl w:val="22A8FB50"/>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6">
    <w:nsid w:val="1B8A20AE"/>
    <w:multiLevelType w:val="hybridMultilevel"/>
    <w:tmpl w:val="CF8841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1FBC2985"/>
    <w:multiLevelType w:val="hybridMultilevel"/>
    <w:tmpl w:val="02D636A2"/>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636"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29">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2E94182A"/>
    <w:multiLevelType w:val="hybridMultilevel"/>
    <w:tmpl w:val="8C8EB632"/>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1">
    <w:nsid w:val="304744EF"/>
    <w:multiLevelType w:val="hybridMultilevel"/>
    <w:tmpl w:val="CC64C992"/>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636"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32">
    <w:nsid w:val="30F96C53"/>
    <w:multiLevelType w:val="hybridMultilevel"/>
    <w:tmpl w:val="E640CCA6"/>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3">
    <w:nsid w:val="37740B13"/>
    <w:multiLevelType w:val="hybridMultilevel"/>
    <w:tmpl w:val="0408F7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39257198"/>
    <w:multiLevelType w:val="hybridMultilevel"/>
    <w:tmpl w:val="66E49E0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5">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49FF7A73"/>
    <w:multiLevelType w:val="multilevel"/>
    <w:tmpl w:val="185E1BDA"/>
    <w:lvl w:ilvl="0">
      <w:start w:val="1"/>
      <w:numFmt w:val="decimal"/>
      <w:pStyle w:val="Heading1"/>
      <w:lvlText w:val="%1"/>
      <w:lvlJc w:val="left"/>
      <w:pPr>
        <w:tabs>
          <w:tab w:val="num" w:pos="851"/>
        </w:tabs>
        <w:ind w:left="851" w:hanging="851"/>
      </w:pPr>
      <w:rPr>
        <w:rFonts w:hint="default"/>
        <w:sz w:val="28"/>
        <w:szCs w:val="28"/>
      </w:rPr>
    </w:lvl>
    <w:lvl w:ilvl="1">
      <w:start w:val="1"/>
      <w:numFmt w:val="decimal"/>
      <w:pStyle w:val="Heading2"/>
      <w:lvlText w:val="%1.%2"/>
      <w:lvlJc w:val="left"/>
      <w:pPr>
        <w:tabs>
          <w:tab w:val="num" w:pos="851"/>
        </w:tabs>
        <w:ind w:left="851" w:hanging="851"/>
      </w:pPr>
      <w:rPr>
        <w:rFonts w:hint="default"/>
        <w:color w:val="auto"/>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7">
    <w:nsid w:val="4A6D0297"/>
    <w:multiLevelType w:val="multilevel"/>
    <w:tmpl w:val="F0B614B6"/>
    <w:lvl w:ilvl="0">
      <w:start w:val="4"/>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nsid w:val="4BCB7216"/>
    <w:multiLevelType w:val="hybridMultilevel"/>
    <w:tmpl w:val="5980D794"/>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59816CEB"/>
    <w:multiLevelType w:val="hybridMultilevel"/>
    <w:tmpl w:val="951A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nsid w:val="5B4F3C4B"/>
    <w:multiLevelType w:val="hybridMultilevel"/>
    <w:tmpl w:val="7014325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2">
    <w:nsid w:val="5CF02CB4"/>
    <w:multiLevelType w:val="hybridMultilevel"/>
    <w:tmpl w:val="436E36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nsid w:val="607F205B"/>
    <w:multiLevelType w:val="multilevel"/>
    <w:tmpl w:val="915E3122"/>
    <w:lvl w:ilvl="0">
      <w:start w:val="1"/>
      <w:numFmt w:val="decimal"/>
      <w:isLgl/>
      <w:lvlText w:val="%1."/>
      <w:lvlJc w:val="left"/>
      <w:pPr>
        <w:tabs>
          <w:tab w:val="num" w:pos="709"/>
        </w:tabs>
        <w:ind w:left="709" w:firstLine="284"/>
      </w:pPr>
      <w:rPr>
        <w:rFonts w:ascii="Arial" w:hAnsi="Arial" w:cs="Arial" w:hint="default"/>
        <w:b w:val="0"/>
        <w:i w:val="0"/>
        <w:color w:val="auto"/>
        <w:position w:val="0"/>
        <w:sz w:val="24"/>
        <w:vertAlign w:val="baseline"/>
      </w:rPr>
    </w:lvl>
    <w:lvl w:ilvl="1">
      <w:start w:val="1"/>
      <w:numFmt w:val="bullet"/>
      <w:lvlText w:val=""/>
      <w:lvlJc w:val="left"/>
      <w:pPr>
        <w:tabs>
          <w:tab w:val="num" w:pos="360"/>
        </w:tabs>
        <w:ind w:left="360" w:firstLine="1135"/>
      </w:pPr>
      <w:rPr>
        <w:rFonts w:ascii="Symbol" w:hAnsi="Symbol"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709"/>
        </w:tabs>
        <w:ind w:left="709" w:firstLine="0"/>
      </w:pPr>
      <w:rPr>
        <w:rFonts w:hint="default"/>
        <w:color w:val="000000"/>
        <w:position w:val="0"/>
        <w:sz w:val="24"/>
      </w:rPr>
    </w:lvl>
  </w:abstractNum>
  <w:abstractNum w:abstractNumId="44">
    <w:nsid w:val="70257B62"/>
    <w:multiLevelType w:val="hybridMultilevel"/>
    <w:tmpl w:val="58A05A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nsid w:val="71C15BB8"/>
    <w:multiLevelType w:val="hybridMultilevel"/>
    <w:tmpl w:val="EBCED50E"/>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36"/>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39"/>
  </w:num>
  <w:num w:numId="13">
    <w:abstractNumId w:val="35"/>
  </w:num>
  <w:num w:numId="14">
    <w:abstractNumId w:val="29"/>
  </w:num>
  <w:num w:numId="15">
    <w:abstractNumId w:val="27"/>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40"/>
  </w:num>
  <w:num w:numId="25">
    <w:abstractNumId w:val="44"/>
  </w:num>
  <w:num w:numId="26">
    <w:abstractNumId w:val="20"/>
  </w:num>
  <w:num w:numId="27">
    <w:abstractNumId w:val="19"/>
  </w:num>
  <w:num w:numId="28">
    <w:abstractNumId w:val="23"/>
  </w:num>
  <w:num w:numId="29">
    <w:abstractNumId w:val="33"/>
  </w:num>
  <w:num w:numId="30">
    <w:abstractNumId w:val="26"/>
  </w:num>
  <w:num w:numId="31">
    <w:abstractNumId w:val="37"/>
  </w:num>
  <w:num w:numId="32">
    <w:abstractNumId w:val="30"/>
  </w:num>
  <w:num w:numId="33">
    <w:abstractNumId w:val="41"/>
  </w:num>
  <w:num w:numId="34">
    <w:abstractNumId w:val="21"/>
  </w:num>
  <w:num w:numId="35">
    <w:abstractNumId w:val="31"/>
  </w:num>
  <w:num w:numId="36">
    <w:abstractNumId w:val="24"/>
  </w:num>
  <w:num w:numId="37">
    <w:abstractNumId w:val="18"/>
  </w:num>
  <w:num w:numId="38">
    <w:abstractNumId w:val="34"/>
  </w:num>
  <w:num w:numId="39">
    <w:abstractNumId w:val="22"/>
  </w:num>
  <w:num w:numId="40">
    <w:abstractNumId w:val="42"/>
  </w:num>
  <w:num w:numId="41">
    <w:abstractNumId w:val="43"/>
  </w:num>
  <w:num w:numId="42">
    <w:abstractNumId w:val="32"/>
  </w:num>
  <w:num w:numId="43">
    <w:abstractNumId w:val="25"/>
  </w:num>
  <w:num w:numId="44">
    <w:abstractNumId w:val="45"/>
  </w:num>
  <w:num w:numId="45">
    <w:abstractNumId w:val="28"/>
  </w:num>
  <w:num w:numId="46">
    <w:abstractNumId w:val="38"/>
  </w:num>
  <w:num w:numId="47">
    <w:abstractNumId w:val="27"/>
  </w:num>
  <w:num w:numId="48">
    <w:abstractNumId w:val="27"/>
  </w:num>
  <w:num w:numId="49">
    <w:abstractNumId w:val="27"/>
  </w:num>
  <w:num w:numId="50">
    <w:abstractNumId w:val="27"/>
  </w:num>
  <w:num w:numId="51">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19"/>
    <w:rsid w:val="00010EEE"/>
    <w:rsid w:val="00011EB3"/>
    <w:rsid w:val="00013C19"/>
    <w:rsid w:val="00020172"/>
    <w:rsid w:val="00023AEA"/>
    <w:rsid w:val="00035660"/>
    <w:rsid w:val="0003606D"/>
    <w:rsid w:val="00045A18"/>
    <w:rsid w:val="000579B1"/>
    <w:rsid w:val="0007128D"/>
    <w:rsid w:val="00071363"/>
    <w:rsid w:val="00072D2F"/>
    <w:rsid w:val="00077429"/>
    <w:rsid w:val="000802DA"/>
    <w:rsid w:val="00081D46"/>
    <w:rsid w:val="00086C0E"/>
    <w:rsid w:val="000974C4"/>
    <w:rsid w:val="000A1DB8"/>
    <w:rsid w:val="000A48AC"/>
    <w:rsid w:val="000A698F"/>
    <w:rsid w:val="000B0A5D"/>
    <w:rsid w:val="000B5F0A"/>
    <w:rsid w:val="000C58F1"/>
    <w:rsid w:val="000D2D9C"/>
    <w:rsid w:val="000D7519"/>
    <w:rsid w:val="000E130A"/>
    <w:rsid w:val="000E7CF8"/>
    <w:rsid w:val="000F23B2"/>
    <w:rsid w:val="00102BA7"/>
    <w:rsid w:val="00105961"/>
    <w:rsid w:val="00111B88"/>
    <w:rsid w:val="00123AD7"/>
    <w:rsid w:val="001345E2"/>
    <w:rsid w:val="00134774"/>
    <w:rsid w:val="00136FDF"/>
    <w:rsid w:val="00140274"/>
    <w:rsid w:val="00151263"/>
    <w:rsid w:val="00162A8D"/>
    <w:rsid w:val="001657DC"/>
    <w:rsid w:val="00165E3C"/>
    <w:rsid w:val="00173FB5"/>
    <w:rsid w:val="00174DCE"/>
    <w:rsid w:val="00183FEB"/>
    <w:rsid w:val="0018547C"/>
    <w:rsid w:val="001875FB"/>
    <w:rsid w:val="001933CF"/>
    <w:rsid w:val="001A3B7C"/>
    <w:rsid w:val="001B0353"/>
    <w:rsid w:val="001C1F8B"/>
    <w:rsid w:val="001C6112"/>
    <w:rsid w:val="001E37D6"/>
    <w:rsid w:val="001E4B38"/>
    <w:rsid w:val="001F2BBB"/>
    <w:rsid w:val="001F3A04"/>
    <w:rsid w:val="001F6736"/>
    <w:rsid w:val="001F7ADE"/>
    <w:rsid w:val="00200677"/>
    <w:rsid w:val="0021130A"/>
    <w:rsid w:val="00212FF0"/>
    <w:rsid w:val="00231ED1"/>
    <w:rsid w:val="00231FED"/>
    <w:rsid w:val="00234521"/>
    <w:rsid w:val="00242624"/>
    <w:rsid w:val="0024557E"/>
    <w:rsid w:val="00254FC3"/>
    <w:rsid w:val="00263185"/>
    <w:rsid w:val="002716F4"/>
    <w:rsid w:val="00274388"/>
    <w:rsid w:val="002765AF"/>
    <w:rsid w:val="00281EBE"/>
    <w:rsid w:val="00283381"/>
    <w:rsid w:val="00283C8F"/>
    <w:rsid w:val="002863D7"/>
    <w:rsid w:val="002A11AF"/>
    <w:rsid w:val="002A6D74"/>
    <w:rsid w:val="002B1B65"/>
    <w:rsid w:val="002B5194"/>
    <w:rsid w:val="002B6CE0"/>
    <w:rsid w:val="002C1866"/>
    <w:rsid w:val="002C6289"/>
    <w:rsid w:val="002C7964"/>
    <w:rsid w:val="002F4CE1"/>
    <w:rsid w:val="002F645F"/>
    <w:rsid w:val="00300F22"/>
    <w:rsid w:val="00304A37"/>
    <w:rsid w:val="00305181"/>
    <w:rsid w:val="00310ED4"/>
    <w:rsid w:val="00311466"/>
    <w:rsid w:val="00311507"/>
    <w:rsid w:val="00312301"/>
    <w:rsid w:val="0031492A"/>
    <w:rsid w:val="00316C1A"/>
    <w:rsid w:val="00323C73"/>
    <w:rsid w:val="00330C37"/>
    <w:rsid w:val="00331141"/>
    <w:rsid w:val="0033599F"/>
    <w:rsid w:val="00341D84"/>
    <w:rsid w:val="00342E3F"/>
    <w:rsid w:val="00344758"/>
    <w:rsid w:val="00345702"/>
    <w:rsid w:val="00345915"/>
    <w:rsid w:val="00346145"/>
    <w:rsid w:val="00347142"/>
    <w:rsid w:val="00347AD2"/>
    <w:rsid w:val="003515E5"/>
    <w:rsid w:val="003565A8"/>
    <w:rsid w:val="003566EA"/>
    <w:rsid w:val="003610C7"/>
    <w:rsid w:val="00372C79"/>
    <w:rsid w:val="00387093"/>
    <w:rsid w:val="003A508F"/>
    <w:rsid w:val="003A5897"/>
    <w:rsid w:val="003B30A5"/>
    <w:rsid w:val="003B5CFE"/>
    <w:rsid w:val="003C430D"/>
    <w:rsid w:val="003D1246"/>
    <w:rsid w:val="003D7BF6"/>
    <w:rsid w:val="003E08D6"/>
    <w:rsid w:val="003E16A4"/>
    <w:rsid w:val="003F1B94"/>
    <w:rsid w:val="0040484A"/>
    <w:rsid w:val="00412AF5"/>
    <w:rsid w:val="00422417"/>
    <w:rsid w:val="00424233"/>
    <w:rsid w:val="00427940"/>
    <w:rsid w:val="0043042B"/>
    <w:rsid w:val="00430533"/>
    <w:rsid w:val="00435032"/>
    <w:rsid w:val="00441AD6"/>
    <w:rsid w:val="00442113"/>
    <w:rsid w:val="004435B4"/>
    <w:rsid w:val="004528BB"/>
    <w:rsid w:val="00455846"/>
    <w:rsid w:val="00456272"/>
    <w:rsid w:val="00460D1F"/>
    <w:rsid w:val="00463D30"/>
    <w:rsid w:val="00467803"/>
    <w:rsid w:val="00472EFF"/>
    <w:rsid w:val="00474063"/>
    <w:rsid w:val="00474199"/>
    <w:rsid w:val="00476793"/>
    <w:rsid w:val="00487391"/>
    <w:rsid w:val="0049337E"/>
    <w:rsid w:val="004A187B"/>
    <w:rsid w:val="004A2D3C"/>
    <w:rsid w:val="004A3AA8"/>
    <w:rsid w:val="004A4DF5"/>
    <w:rsid w:val="004A52FE"/>
    <w:rsid w:val="004B5E11"/>
    <w:rsid w:val="004C2EDE"/>
    <w:rsid w:val="004C6E47"/>
    <w:rsid w:val="004C7412"/>
    <w:rsid w:val="004D04BF"/>
    <w:rsid w:val="004D0FF5"/>
    <w:rsid w:val="004D2822"/>
    <w:rsid w:val="004E0DFF"/>
    <w:rsid w:val="004F1C7C"/>
    <w:rsid w:val="00501C3E"/>
    <w:rsid w:val="00504F86"/>
    <w:rsid w:val="00506FBF"/>
    <w:rsid w:val="005123F0"/>
    <w:rsid w:val="00513540"/>
    <w:rsid w:val="00513941"/>
    <w:rsid w:val="0052278D"/>
    <w:rsid w:val="0053051D"/>
    <w:rsid w:val="00531463"/>
    <w:rsid w:val="00531A91"/>
    <w:rsid w:val="00535410"/>
    <w:rsid w:val="005363A8"/>
    <w:rsid w:val="00540625"/>
    <w:rsid w:val="00547F9E"/>
    <w:rsid w:val="00555FCB"/>
    <w:rsid w:val="005601DF"/>
    <w:rsid w:val="005630AF"/>
    <w:rsid w:val="00564208"/>
    <w:rsid w:val="00571CEB"/>
    <w:rsid w:val="00574937"/>
    <w:rsid w:val="00580A89"/>
    <w:rsid w:val="005846BE"/>
    <w:rsid w:val="00591951"/>
    <w:rsid w:val="00595F25"/>
    <w:rsid w:val="005A170E"/>
    <w:rsid w:val="005B0685"/>
    <w:rsid w:val="005B09EB"/>
    <w:rsid w:val="005B0E87"/>
    <w:rsid w:val="005B5899"/>
    <w:rsid w:val="005C5D41"/>
    <w:rsid w:val="005D1F34"/>
    <w:rsid w:val="005D383D"/>
    <w:rsid w:val="005D3BC5"/>
    <w:rsid w:val="005D5B68"/>
    <w:rsid w:val="005D69B4"/>
    <w:rsid w:val="005E32FE"/>
    <w:rsid w:val="005E78A0"/>
    <w:rsid w:val="006105B6"/>
    <w:rsid w:val="00611D78"/>
    <w:rsid w:val="006130EF"/>
    <w:rsid w:val="00616521"/>
    <w:rsid w:val="00627277"/>
    <w:rsid w:val="006274DB"/>
    <w:rsid w:val="00637E6A"/>
    <w:rsid w:val="00643212"/>
    <w:rsid w:val="006432FE"/>
    <w:rsid w:val="00644794"/>
    <w:rsid w:val="006540A2"/>
    <w:rsid w:val="00654793"/>
    <w:rsid w:val="00664ED0"/>
    <w:rsid w:val="00670CB1"/>
    <w:rsid w:val="00676E61"/>
    <w:rsid w:val="00681BEB"/>
    <w:rsid w:val="00696F30"/>
    <w:rsid w:val="006A17F3"/>
    <w:rsid w:val="006A409C"/>
    <w:rsid w:val="006A6A5B"/>
    <w:rsid w:val="006A6BB3"/>
    <w:rsid w:val="006B1923"/>
    <w:rsid w:val="006B196C"/>
    <w:rsid w:val="006B2ED2"/>
    <w:rsid w:val="006C00B4"/>
    <w:rsid w:val="006C22CD"/>
    <w:rsid w:val="006D4EDB"/>
    <w:rsid w:val="006D5EE5"/>
    <w:rsid w:val="007007AA"/>
    <w:rsid w:val="007102BE"/>
    <w:rsid w:val="0071111A"/>
    <w:rsid w:val="0071275B"/>
    <w:rsid w:val="00714363"/>
    <w:rsid w:val="00733029"/>
    <w:rsid w:val="007406E2"/>
    <w:rsid w:val="00743727"/>
    <w:rsid w:val="007540BF"/>
    <w:rsid w:val="00763155"/>
    <w:rsid w:val="007675EF"/>
    <w:rsid w:val="00770DCB"/>
    <w:rsid w:val="00772631"/>
    <w:rsid w:val="00774A2A"/>
    <w:rsid w:val="00775485"/>
    <w:rsid w:val="00775CC2"/>
    <w:rsid w:val="0078167D"/>
    <w:rsid w:val="00785D3E"/>
    <w:rsid w:val="00793F99"/>
    <w:rsid w:val="00794EDE"/>
    <w:rsid w:val="007954A7"/>
    <w:rsid w:val="007A09E1"/>
    <w:rsid w:val="007A72A0"/>
    <w:rsid w:val="007A7C0E"/>
    <w:rsid w:val="007B0419"/>
    <w:rsid w:val="007C1705"/>
    <w:rsid w:val="007C6E06"/>
    <w:rsid w:val="007E00B4"/>
    <w:rsid w:val="007E40FA"/>
    <w:rsid w:val="007E5B88"/>
    <w:rsid w:val="007F0D0B"/>
    <w:rsid w:val="007F4E34"/>
    <w:rsid w:val="007F6560"/>
    <w:rsid w:val="008000B0"/>
    <w:rsid w:val="008007A8"/>
    <w:rsid w:val="008042D9"/>
    <w:rsid w:val="0080685E"/>
    <w:rsid w:val="0081287E"/>
    <w:rsid w:val="00814FC0"/>
    <w:rsid w:val="0082022E"/>
    <w:rsid w:val="00821224"/>
    <w:rsid w:val="00823B14"/>
    <w:rsid w:val="00835909"/>
    <w:rsid w:val="008417B2"/>
    <w:rsid w:val="00844196"/>
    <w:rsid w:val="00853798"/>
    <w:rsid w:val="00861560"/>
    <w:rsid w:val="008724DE"/>
    <w:rsid w:val="008726FC"/>
    <w:rsid w:val="0087708D"/>
    <w:rsid w:val="00894C4C"/>
    <w:rsid w:val="00895642"/>
    <w:rsid w:val="008A0D02"/>
    <w:rsid w:val="008A3D57"/>
    <w:rsid w:val="008B23BC"/>
    <w:rsid w:val="008D3F2A"/>
    <w:rsid w:val="008E316E"/>
    <w:rsid w:val="008E3D60"/>
    <w:rsid w:val="008E3F4C"/>
    <w:rsid w:val="008F2196"/>
    <w:rsid w:val="008F3676"/>
    <w:rsid w:val="008F6B7B"/>
    <w:rsid w:val="0090165F"/>
    <w:rsid w:val="00901B82"/>
    <w:rsid w:val="0091172B"/>
    <w:rsid w:val="0091228B"/>
    <w:rsid w:val="00912B09"/>
    <w:rsid w:val="009178D7"/>
    <w:rsid w:val="00936D3A"/>
    <w:rsid w:val="00940E18"/>
    <w:rsid w:val="0094154F"/>
    <w:rsid w:val="00944A3C"/>
    <w:rsid w:val="00963311"/>
    <w:rsid w:val="00966C2F"/>
    <w:rsid w:val="0097512B"/>
    <w:rsid w:val="00977BBF"/>
    <w:rsid w:val="00987EAC"/>
    <w:rsid w:val="009A34B6"/>
    <w:rsid w:val="009A5411"/>
    <w:rsid w:val="009B4F4B"/>
    <w:rsid w:val="009B73B6"/>
    <w:rsid w:val="009C72DE"/>
    <w:rsid w:val="009D07B8"/>
    <w:rsid w:val="009D21F3"/>
    <w:rsid w:val="009D307B"/>
    <w:rsid w:val="009D67F6"/>
    <w:rsid w:val="009D6A27"/>
    <w:rsid w:val="009E0FE1"/>
    <w:rsid w:val="009F242C"/>
    <w:rsid w:val="009F70D9"/>
    <w:rsid w:val="00A0406E"/>
    <w:rsid w:val="00A11307"/>
    <w:rsid w:val="00A138F0"/>
    <w:rsid w:val="00A13942"/>
    <w:rsid w:val="00A13AF3"/>
    <w:rsid w:val="00A14EB9"/>
    <w:rsid w:val="00A168E1"/>
    <w:rsid w:val="00A17E49"/>
    <w:rsid w:val="00A21388"/>
    <w:rsid w:val="00A22E3C"/>
    <w:rsid w:val="00A2662E"/>
    <w:rsid w:val="00A27791"/>
    <w:rsid w:val="00A27A1A"/>
    <w:rsid w:val="00A31B25"/>
    <w:rsid w:val="00A41355"/>
    <w:rsid w:val="00A43B92"/>
    <w:rsid w:val="00A54251"/>
    <w:rsid w:val="00A6179E"/>
    <w:rsid w:val="00A64316"/>
    <w:rsid w:val="00A65FB4"/>
    <w:rsid w:val="00A7362B"/>
    <w:rsid w:val="00A804D9"/>
    <w:rsid w:val="00A8712A"/>
    <w:rsid w:val="00A90E9A"/>
    <w:rsid w:val="00A92F92"/>
    <w:rsid w:val="00A93ADF"/>
    <w:rsid w:val="00A96892"/>
    <w:rsid w:val="00AA1DAD"/>
    <w:rsid w:val="00AA2051"/>
    <w:rsid w:val="00AC28FE"/>
    <w:rsid w:val="00AC3EFE"/>
    <w:rsid w:val="00AD4A73"/>
    <w:rsid w:val="00AD4E52"/>
    <w:rsid w:val="00AE01DB"/>
    <w:rsid w:val="00AE2A70"/>
    <w:rsid w:val="00AE4E97"/>
    <w:rsid w:val="00AF452E"/>
    <w:rsid w:val="00AF7A02"/>
    <w:rsid w:val="00B03472"/>
    <w:rsid w:val="00B20839"/>
    <w:rsid w:val="00B22D33"/>
    <w:rsid w:val="00B24B1D"/>
    <w:rsid w:val="00B277E0"/>
    <w:rsid w:val="00B314D1"/>
    <w:rsid w:val="00B34946"/>
    <w:rsid w:val="00B34DAA"/>
    <w:rsid w:val="00B414C4"/>
    <w:rsid w:val="00B46ECF"/>
    <w:rsid w:val="00B519FD"/>
    <w:rsid w:val="00B520BC"/>
    <w:rsid w:val="00B61393"/>
    <w:rsid w:val="00B63D24"/>
    <w:rsid w:val="00B723B1"/>
    <w:rsid w:val="00B7707C"/>
    <w:rsid w:val="00B77A67"/>
    <w:rsid w:val="00B924E6"/>
    <w:rsid w:val="00BA262D"/>
    <w:rsid w:val="00BA5698"/>
    <w:rsid w:val="00BC0EFF"/>
    <w:rsid w:val="00BC42EA"/>
    <w:rsid w:val="00BC79EB"/>
    <w:rsid w:val="00BD7FCF"/>
    <w:rsid w:val="00BE59BF"/>
    <w:rsid w:val="00BF4B57"/>
    <w:rsid w:val="00C00DC4"/>
    <w:rsid w:val="00C14468"/>
    <w:rsid w:val="00C25BDA"/>
    <w:rsid w:val="00C33104"/>
    <w:rsid w:val="00C35420"/>
    <w:rsid w:val="00C41A48"/>
    <w:rsid w:val="00C42FC8"/>
    <w:rsid w:val="00C52261"/>
    <w:rsid w:val="00C60A8E"/>
    <w:rsid w:val="00C6685A"/>
    <w:rsid w:val="00C746F3"/>
    <w:rsid w:val="00C7547D"/>
    <w:rsid w:val="00C76381"/>
    <w:rsid w:val="00C81EA4"/>
    <w:rsid w:val="00C854D4"/>
    <w:rsid w:val="00C871ED"/>
    <w:rsid w:val="00C90556"/>
    <w:rsid w:val="00C92799"/>
    <w:rsid w:val="00CA0D78"/>
    <w:rsid w:val="00CA395B"/>
    <w:rsid w:val="00CA4855"/>
    <w:rsid w:val="00CA55FC"/>
    <w:rsid w:val="00CB0C2B"/>
    <w:rsid w:val="00CB24FE"/>
    <w:rsid w:val="00CC279C"/>
    <w:rsid w:val="00CC2A71"/>
    <w:rsid w:val="00CC6261"/>
    <w:rsid w:val="00CD0AF9"/>
    <w:rsid w:val="00CD1527"/>
    <w:rsid w:val="00CD21B0"/>
    <w:rsid w:val="00CD4E70"/>
    <w:rsid w:val="00CD58FD"/>
    <w:rsid w:val="00CE7040"/>
    <w:rsid w:val="00CF54C9"/>
    <w:rsid w:val="00CF7C37"/>
    <w:rsid w:val="00D067AB"/>
    <w:rsid w:val="00D13F16"/>
    <w:rsid w:val="00D1418B"/>
    <w:rsid w:val="00D30A61"/>
    <w:rsid w:val="00D322CD"/>
    <w:rsid w:val="00D3328A"/>
    <w:rsid w:val="00D33349"/>
    <w:rsid w:val="00D33B50"/>
    <w:rsid w:val="00D343FA"/>
    <w:rsid w:val="00D35839"/>
    <w:rsid w:val="00D40AC0"/>
    <w:rsid w:val="00D418FF"/>
    <w:rsid w:val="00D45E7A"/>
    <w:rsid w:val="00D51EC4"/>
    <w:rsid w:val="00D65C76"/>
    <w:rsid w:val="00D7200C"/>
    <w:rsid w:val="00D729AD"/>
    <w:rsid w:val="00D734C7"/>
    <w:rsid w:val="00DA2F73"/>
    <w:rsid w:val="00DA55C0"/>
    <w:rsid w:val="00DB578E"/>
    <w:rsid w:val="00DB695D"/>
    <w:rsid w:val="00DC462F"/>
    <w:rsid w:val="00DC7B08"/>
    <w:rsid w:val="00DD6A21"/>
    <w:rsid w:val="00DE1378"/>
    <w:rsid w:val="00DE3E80"/>
    <w:rsid w:val="00DE486D"/>
    <w:rsid w:val="00DE60CA"/>
    <w:rsid w:val="00DE6F93"/>
    <w:rsid w:val="00DF0C53"/>
    <w:rsid w:val="00DF1902"/>
    <w:rsid w:val="00DF563E"/>
    <w:rsid w:val="00E05338"/>
    <w:rsid w:val="00E06BC8"/>
    <w:rsid w:val="00E16B43"/>
    <w:rsid w:val="00E20E6E"/>
    <w:rsid w:val="00E24086"/>
    <w:rsid w:val="00E24FA3"/>
    <w:rsid w:val="00E25896"/>
    <w:rsid w:val="00E26B28"/>
    <w:rsid w:val="00E31465"/>
    <w:rsid w:val="00E328CD"/>
    <w:rsid w:val="00E34D3A"/>
    <w:rsid w:val="00E36B95"/>
    <w:rsid w:val="00E4003F"/>
    <w:rsid w:val="00E425E9"/>
    <w:rsid w:val="00E43B4F"/>
    <w:rsid w:val="00E458F6"/>
    <w:rsid w:val="00E45954"/>
    <w:rsid w:val="00E56D4A"/>
    <w:rsid w:val="00E573D9"/>
    <w:rsid w:val="00E6690B"/>
    <w:rsid w:val="00E6799E"/>
    <w:rsid w:val="00E715A1"/>
    <w:rsid w:val="00E746AB"/>
    <w:rsid w:val="00E872EF"/>
    <w:rsid w:val="00E9106B"/>
    <w:rsid w:val="00E97774"/>
    <w:rsid w:val="00EA39E8"/>
    <w:rsid w:val="00EA40DD"/>
    <w:rsid w:val="00EA44D9"/>
    <w:rsid w:val="00EA564B"/>
    <w:rsid w:val="00EA7BDF"/>
    <w:rsid w:val="00EB0278"/>
    <w:rsid w:val="00EB0C09"/>
    <w:rsid w:val="00EB21C1"/>
    <w:rsid w:val="00EB4C9F"/>
    <w:rsid w:val="00EB6A76"/>
    <w:rsid w:val="00EC71BD"/>
    <w:rsid w:val="00ED1298"/>
    <w:rsid w:val="00EE4913"/>
    <w:rsid w:val="00EF7E1A"/>
    <w:rsid w:val="00F025F8"/>
    <w:rsid w:val="00F02D39"/>
    <w:rsid w:val="00F07E8B"/>
    <w:rsid w:val="00F1177B"/>
    <w:rsid w:val="00F12219"/>
    <w:rsid w:val="00F14C6D"/>
    <w:rsid w:val="00F17BCB"/>
    <w:rsid w:val="00F2398F"/>
    <w:rsid w:val="00F32EC7"/>
    <w:rsid w:val="00F346C7"/>
    <w:rsid w:val="00F50C7D"/>
    <w:rsid w:val="00F527A9"/>
    <w:rsid w:val="00F83850"/>
    <w:rsid w:val="00F968E7"/>
    <w:rsid w:val="00F97665"/>
    <w:rsid w:val="00FA4916"/>
    <w:rsid w:val="00FA4B6C"/>
    <w:rsid w:val="00FB1D78"/>
    <w:rsid w:val="00FB2607"/>
    <w:rsid w:val="00FC7A26"/>
    <w:rsid w:val="00FD01B5"/>
    <w:rsid w:val="00FE18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BC5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uiPriority="39"/>
    <w:lsdException w:name="toc 6" w:locked="1" w:uiPriority="39"/>
    <w:lsdException w:name="toc 7" w:locked="1"/>
    <w:lsdException w:name="toc 8" w:locked="1"/>
    <w:lsdException w:name="toc 9" w:locked="1" w:uiPriority="39"/>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03606D"/>
    <w:pPr>
      <w:tabs>
        <w:tab w:val="right" w:pos="2835"/>
        <w:tab w:val="right" w:pos="5670"/>
      </w:tabs>
      <w:spacing w:before="0" w:after="60"/>
    </w:pPr>
    <w:rPr>
      <w:color w:val="404040"/>
      <w:sz w:val="18"/>
    </w:rPr>
  </w:style>
  <w:style w:type="character" w:customStyle="1" w:styleId="FooterChar">
    <w:name w:val="Footer Char"/>
    <w:link w:val="Footer"/>
    <w:uiPriority w:val="99"/>
    <w:semiHidden/>
    <w:rsid w:val="0003606D"/>
    <w:rPr>
      <w:rFonts w:ascii="Arial" w:eastAsia="MS Mincho" w:hAnsi="Arial"/>
      <w:color w:val="404040"/>
      <w:sz w:val="18"/>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rsid w:val="000A1DB8"/>
    <w:rPr>
      <w:rFonts w:ascii="Arial" w:hAnsi="Arial"/>
      <w:sz w:val="20"/>
      <w:vertAlign w:val="superscript"/>
    </w:rPr>
  </w:style>
  <w:style w:type="paragraph" w:styleId="FootnoteText">
    <w:name w:val="footnote text"/>
    <w:basedOn w:val="Normal"/>
    <w:link w:val="FootnoteTextChar"/>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link w:val="MessageHeaderChar"/>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E45954"/>
    <w:pPr>
      <w:spacing w:after="60"/>
      <w:jc w:val="center"/>
      <w:outlineLvl w:val="0"/>
    </w:pPr>
    <w:rPr>
      <w:rFonts w:cs="Arial"/>
      <w:b/>
      <w:bCs/>
      <w:kern w:val="28"/>
      <w:sz w:val="32"/>
      <w:szCs w:val="32"/>
    </w:rPr>
  </w:style>
  <w:style w:type="character" w:styleId="FollowedHyperlink">
    <w:name w:val="FollowedHyperlink"/>
    <w:locked/>
    <w:rsid w:val="00E45954"/>
    <w:rPr>
      <w:color w:val="800080"/>
      <w:u w:val="single"/>
    </w:rPr>
  </w:style>
  <w:style w:type="paragraph" w:customStyle="1" w:styleId="MainTitle">
    <w:name w:val="Main Title"/>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pPr>
    <w:rPr>
      <w:rFonts w:eastAsia="Times New Roman"/>
    </w:rPr>
  </w:style>
  <w:style w:type="character" w:customStyle="1" w:styleId="SubmissionNormalChar">
    <w:name w:val="Submission Normal Char"/>
    <w:aliases w:val="No Spacing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paragraph" w:customStyle="1" w:styleId="Footer1">
    <w:name w:val="Footer1"/>
    <w:rsid w:val="00F12219"/>
    <w:pPr>
      <w:tabs>
        <w:tab w:val="right" w:pos="2835"/>
        <w:tab w:val="right" w:pos="5670"/>
      </w:tabs>
      <w:spacing w:after="60"/>
    </w:pPr>
    <w:rPr>
      <w:rFonts w:ascii="Arial" w:eastAsia="ヒラギノ角ゴ Pro W3" w:hAnsi="Arial"/>
      <w:color w:val="303030"/>
      <w:sz w:val="18"/>
      <w:lang w:eastAsia="en-US"/>
    </w:rPr>
  </w:style>
  <w:style w:type="paragraph" w:customStyle="1" w:styleId="Header1">
    <w:name w:val="Header1"/>
    <w:rsid w:val="00F12219"/>
    <w:pPr>
      <w:tabs>
        <w:tab w:val="center" w:pos="4513"/>
        <w:tab w:val="right" w:pos="9026"/>
      </w:tabs>
      <w:spacing w:before="240"/>
    </w:pPr>
    <w:rPr>
      <w:rFonts w:ascii="Arial" w:eastAsia="ヒラギノ角ゴ Pro W3" w:hAnsi="Arial"/>
      <w:color w:val="000000"/>
      <w:sz w:val="22"/>
      <w:lang w:eastAsia="en-US"/>
    </w:rPr>
  </w:style>
  <w:style w:type="paragraph" w:customStyle="1" w:styleId="HeaderFooterA">
    <w:name w:val="Header &amp; Footer A"/>
    <w:rsid w:val="00F12219"/>
    <w:pPr>
      <w:spacing w:before="240" w:after="240" w:line="200" w:lineRule="exact"/>
      <w:jc w:val="both"/>
    </w:pPr>
    <w:rPr>
      <w:rFonts w:ascii="Arial" w:eastAsia="ヒラギノ角ゴ Pro W3" w:hAnsi="Arial"/>
      <w:color w:val="000000"/>
      <w:sz w:val="16"/>
      <w:lang w:val="en-US" w:eastAsia="en-US"/>
    </w:rPr>
  </w:style>
  <w:style w:type="character" w:customStyle="1" w:styleId="FootnoteReference1">
    <w:name w:val="Footnote Reference1"/>
    <w:rsid w:val="00F12219"/>
    <w:rPr>
      <w:rFonts w:ascii="Arial" w:eastAsia="ヒラギノ角ゴ Pro W3" w:hAnsi="Arial"/>
      <w:b w:val="0"/>
      <w:i w:val="0"/>
      <w:color w:val="000000"/>
      <w:sz w:val="20"/>
      <w:vertAlign w:val="superscript"/>
    </w:rPr>
  </w:style>
  <w:style w:type="paragraph" w:customStyle="1" w:styleId="FreeForm">
    <w:name w:val="Free Form"/>
    <w:rsid w:val="00F12219"/>
    <w:rPr>
      <w:rFonts w:eastAsia="ヒラギノ角ゴ Pro W3"/>
      <w:color w:val="000000"/>
      <w:lang w:eastAsia="en-US"/>
    </w:rPr>
  </w:style>
  <w:style w:type="character" w:customStyle="1" w:styleId="PageNumber1">
    <w:name w:val="Page Number1"/>
    <w:rsid w:val="00F12219"/>
    <w:rPr>
      <w:color w:val="000000"/>
      <w:sz w:val="20"/>
    </w:rPr>
  </w:style>
  <w:style w:type="paragraph" w:customStyle="1" w:styleId="TOC11">
    <w:name w:val="TOC 11"/>
    <w:rsid w:val="00F12219"/>
    <w:pPr>
      <w:tabs>
        <w:tab w:val="right" w:leader="dot" w:pos="9064"/>
      </w:tabs>
      <w:spacing w:before="240"/>
      <w:ind w:left="720"/>
      <w:outlineLvl w:val="0"/>
    </w:pPr>
    <w:rPr>
      <w:rFonts w:ascii="Helvetica" w:eastAsia="ヒラギノ角ゴ Pro W3" w:hAnsi="Helvetica"/>
      <w:b/>
      <w:i/>
      <w:color w:val="000000"/>
      <w:sz w:val="24"/>
      <w:lang w:val="en-US" w:eastAsia="en-US"/>
    </w:rPr>
  </w:style>
  <w:style w:type="paragraph" w:customStyle="1" w:styleId="TOC21">
    <w:name w:val="TOC 21"/>
    <w:next w:val="Normal"/>
    <w:rsid w:val="00F12219"/>
    <w:pPr>
      <w:tabs>
        <w:tab w:val="right" w:leader="dot" w:pos="9060"/>
      </w:tabs>
      <w:ind w:left="958" w:hanging="720"/>
      <w:outlineLvl w:val="0"/>
    </w:pPr>
    <w:rPr>
      <w:rFonts w:ascii="Arial Bold Italic" w:eastAsia="ヒラギノ角ゴ Pro W3" w:hAnsi="Arial Bold Italic"/>
      <w:color w:val="000000"/>
      <w:sz w:val="22"/>
      <w:lang w:eastAsia="en-US"/>
    </w:rPr>
  </w:style>
  <w:style w:type="paragraph" w:customStyle="1" w:styleId="TOC31">
    <w:name w:val="TOC 31"/>
    <w:basedOn w:val="TOC21"/>
    <w:next w:val="Normal"/>
    <w:rsid w:val="00F12219"/>
    <w:pPr>
      <w:tabs>
        <w:tab w:val="clear" w:pos="9060"/>
        <w:tab w:val="right" w:leader="dot" w:pos="9044"/>
      </w:tabs>
    </w:pPr>
  </w:style>
  <w:style w:type="paragraph" w:customStyle="1" w:styleId="TOC41">
    <w:name w:val="TOC 41"/>
    <w:basedOn w:val="TOC42"/>
    <w:next w:val="Normal"/>
    <w:rsid w:val="00F12219"/>
    <w:pPr>
      <w:tabs>
        <w:tab w:val="clear" w:pos="9060"/>
        <w:tab w:val="right" w:leader="dot" w:pos="9044"/>
      </w:tabs>
    </w:pPr>
  </w:style>
  <w:style w:type="paragraph" w:customStyle="1" w:styleId="TOC42">
    <w:name w:val="TOC 42"/>
    <w:next w:val="Normal"/>
    <w:rsid w:val="00F12219"/>
    <w:pPr>
      <w:tabs>
        <w:tab w:val="left" w:pos="1440"/>
        <w:tab w:val="right" w:leader="dot" w:pos="9060"/>
      </w:tabs>
      <w:ind w:left="1440" w:hanging="720"/>
      <w:outlineLvl w:val="0"/>
    </w:pPr>
    <w:rPr>
      <w:rFonts w:ascii="Arial" w:eastAsia="ヒラギノ角ゴ Pro W3" w:hAnsi="Arial"/>
      <w:color w:val="000000"/>
      <w:sz w:val="24"/>
      <w:lang w:eastAsia="en-US"/>
    </w:rPr>
  </w:style>
  <w:style w:type="paragraph" w:customStyle="1" w:styleId="TOC51">
    <w:name w:val="TOC 51"/>
    <w:basedOn w:val="TOC32"/>
    <w:next w:val="Normal"/>
    <w:autoRedefine/>
    <w:rsid w:val="00F12219"/>
    <w:pPr>
      <w:tabs>
        <w:tab w:val="clear" w:pos="9060"/>
        <w:tab w:val="right" w:leader="dot" w:pos="9044"/>
      </w:tabs>
    </w:pPr>
  </w:style>
  <w:style w:type="paragraph" w:customStyle="1" w:styleId="TOC32">
    <w:name w:val="TOC 32"/>
    <w:next w:val="Normal"/>
    <w:rsid w:val="00F12219"/>
    <w:pPr>
      <w:tabs>
        <w:tab w:val="left" w:pos="1202"/>
        <w:tab w:val="right" w:leader="dot" w:pos="9060"/>
      </w:tabs>
      <w:ind w:left="1202" w:hanging="720"/>
      <w:outlineLvl w:val="0"/>
    </w:pPr>
    <w:rPr>
      <w:rFonts w:ascii="Arial Italic" w:eastAsia="ヒラギノ角ゴ Pro W3" w:hAnsi="Arial Italic"/>
      <w:color w:val="000000"/>
      <w:sz w:val="24"/>
      <w:lang w:eastAsia="en-US"/>
    </w:rPr>
  </w:style>
  <w:style w:type="paragraph" w:customStyle="1" w:styleId="TOC61">
    <w:name w:val="TOC 61"/>
    <w:rsid w:val="00F12219"/>
    <w:pPr>
      <w:tabs>
        <w:tab w:val="right" w:leader="dot" w:pos="9064"/>
      </w:tabs>
      <w:spacing w:before="240" w:after="60"/>
      <w:ind w:left="360"/>
      <w:outlineLvl w:val="0"/>
    </w:pPr>
    <w:rPr>
      <w:rFonts w:ascii="Helvetica" w:eastAsia="ヒラギノ角ゴ Pro W3" w:hAnsi="Helvetica"/>
      <w:b/>
      <w:color w:val="000000"/>
      <w:sz w:val="28"/>
      <w:lang w:val="en-US" w:eastAsia="en-US"/>
    </w:rPr>
  </w:style>
  <w:style w:type="paragraph" w:customStyle="1" w:styleId="TOC71">
    <w:name w:val="TOC 71"/>
    <w:rsid w:val="00F12219"/>
    <w:pPr>
      <w:tabs>
        <w:tab w:val="right" w:leader="dot" w:pos="9064"/>
      </w:tabs>
      <w:spacing w:before="240" w:after="60"/>
      <w:outlineLvl w:val="0"/>
    </w:pPr>
    <w:rPr>
      <w:rFonts w:ascii="Helvetica" w:eastAsia="ヒラギノ角ゴ Pro W3" w:hAnsi="Helvetica"/>
      <w:b/>
      <w:color w:val="000000"/>
      <w:sz w:val="36"/>
      <w:lang w:val="en-US" w:eastAsia="en-US"/>
    </w:rPr>
  </w:style>
  <w:style w:type="paragraph" w:customStyle="1" w:styleId="TOC81">
    <w:name w:val="TOC 81"/>
    <w:next w:val="Normal"/>
    <w:rsid w:val="00F12219"/>
    <w:pPr>
      <w:tabs>
        <w:tab w:val="right" w:leader="dot" w:pos="9060"/>
      </w:tabs>
      <w:spacing w:before="240"/>
      <w:ind w:left="720" w:hanging="720"/>
      <w:outlineLvl w:val="0"/>
    </w:pPr>
    <w:rPr>
      <w:rFonts w:ascii="Arial Bold" w:eastAsia="ヒラギノ角ゴ Pro W3" w:hAnsi="Arial Bold"/>
      <w:color w:val="000000"/>
      <w:sz w:val="22"/>
      <w:lang w:eastAsia="en-US"/>
    </w:rPr>
  </w:style>
  <w:style w:type="paragraph" w:customStyle="1" w:styleId="TOC91">
    <w:name w:val="TOC 91"/>
    <w:basedOn w:val="TOC81"/>
    <w:next w:val="Normal"/>
    <w:rsid w:val="00F12219"/>
    <w:pPr>
      <w:tabs>
        <w:tab w:val="clear" w:pos="9060"/>
        <w:tab w:val="right" w:leader="dot" w:pos="9044"/>
      </w:tabs>
    </w:pPr>
  </w:style>
  <w:style w:type="paragraph" w:customStyle="1" w:styleId="Heading11">
    <w:name w:val="Heading 11"/>
    <w:next w:val="Normal"/>
    <w:rsid w:val="00F12219"/>
    <w:pPr>
      <w:keepNext/>
      <w:keepLines/>
      <w:spacing w:before="360" w:after="240"/>
      <w:outlineLvl w:val="0"/>
    </w:pPr>
    <w:rPr>
      <w:rFonts w:ascii="Arial Bold" w:eastAsia="ヒラギノ角ゴ Pro W3" w:hAnsi="Arial Bold"/>
      <w:color w:val="000000"/>
      <w:sz w:val="28"/>
      <w:lang w:eastAsia="en-US"/>
    </w:rPr>
  </w:style>
  <w:style w:type="paragraph" w:customStyle="1" w:styleId="Heading31">
    <w:name w:val="Heading 31"/>
    <w:next w:val="Normal"/>
    <w:rsid w:val="00F12219"/>
    <w:pPr>
      <w:keepNext/>
      <w:keepLines/>
      <w:spacing w:before="360" w:after="240"/>
      <w:outlineLvl w:val="2"/>
    </w:pPr>
    <w:rPr>
      <w:rFonts w:ascii="Arial Italic" w:eastAsia="ヒラギノ角ゴ Pro W3" w:hAnsi="Arial Italic"/>
      <w:color w:val="000000"/>
      <w:sz w:val="24"/>
      <w:lang w:eastAsia="en-US"/>
    </w:rPr>
  </w:style>
  <w:style w:type="paragraph" w:customStyle="1" w:styleId="Body">
    <w:name w:val="Body"/>
    <w:rsid w:val="00F12219"/>
    <w:rPr>
      <w:rFonts w:ascii="Helvetica" w:eastAsia="ヒラギノ角ゴ Pro W3" w:hAnsi="Helvetica"/>
      <w:color w:val="000000"/>
      <w:sz w:val="24"/>
      <w:lang w:val="en-US" w:eastAsia="en-US"/>
    </w:rPr>
  </w:style>
  <w:style w:type="paragraph" w:customStyle="1" w:styleId="Title1">
    <w:name w:val="Title1"/>
    <w:next w:val="Body"/>
    <w:rsid w:val="00F12219"/>
    <w:pPr>
      <w:keepNext/>
      <w:outlineLvl w:val="0"/>
    </w:pPr>
    <w:rPr>
      <w:rFonts w:ascii="Helvetica" w:eastAsia="ヒラギノ角ゴ Pro W3" w:hAnsi="Helvetica"/>
      <w:b/>
      <w:color w:val="000000"/>
      <w:sz w:val="56"/>
      <w:lang w:val="en-US" w:eastAsia="en-US"/>
    </w:rPr>
  </w:style>
  <w:style w:type="paragraph" w:customStyle="1" w:styleId="TitleA">
    <w:name w:val="Title A"/>
    <w:rsid w:val="00F12219"/>
    <w:pPr>
      <w:spacing w:before="240" w:after="60"/>
      <w:jc w:val="center"/>
      <w:outlineLvl w:val="0"/>
    </w:pPr>
    <w:rPr>
      <w:rFonts w:ascii="Arial Bold" w:eastAsia="ヒラギノ角ゴ Pro W3" w:hAnsi="Arial Bold"/>
      <w:color w:val="000000"/>
      <w:kern w:val="28"/>
      <w:sz w:val="32"/>
      <w:lang w:eastAsia="en-US"/>
    </w:rPr>
  </w:style>
  <w:style w:type="paragraph" w:customStyle="1" w:styleId="Subtitle1">
    <w:name w:val="Subtitle1"/>
    <w:rsid w:val="00F12219"/>
    <w:pPr>
      <w:spacing w:before="40"/>
      <w:jc w:val="right"/>
      <w:outlineLvl w:val="1"/>
    </w:pPr>
    <w:rPr>
      <w:rFonts w:ascii="Arial Bold" w:eastAsia="ヒラギノ角ゴ Pro W3" w:hAnsi="Arial Bold"/>
      <w:caps/>
      <w:color w:val="000000"/>
      <w:sz w:val="26"/>
      <w:lang w:eastAsia="en-US"/>
    </w:rPr>
  </w:style>
  <w:style w:type="paragraph" w:customStyle="1" w:styleId="Heading21">
    <w:name w:val="Heading 21"/>
    <w:next w:val="Normal"/>
    <w:rsid w:val="00F12219"/>
    <w:pPr>
      <w:keepNext/>
      <w:keepLines/>
      <w:spacing w:before="360" w:after="240"/>
      <w:outlineLvl w:val="1"/>
    </w:pPr>
    <w:rPr>
      <w:rFonts w:ascii="Arial Bold Italic" w:eastAsia="ヒラギノ角ゴ Pro W3" w:hAnsi="Arial Bold Italic"/>
      <w:color w:val="000000"/>
      <w:sz w:val="28"/>
      <w:lang w:eastAsia="en-US"/>
    </w:rPr>
  </w:style>
  <w:style w:type="paragraph" w:customStyle="1" w:styleId="Heading41">
    <w:name w:val="Heading 41"/>
    <w:next w:val="Normal"/>
    <w:rsid w:val="00F12219"/>
    <w:pPr>
      <w:keepNext/>
      <w:keepLines/>
      <w:spacing w:before="360" w:after="240"/>
      <w:outlineLvl w:val="3"/>
    </w:pPr>
    <w:rPr>
      <w:rFonts w:ascii="Arial" w:eastAsia="ヒラギノ角ゴ Pro W3" w:hAnsi="Arial"/>
      <w:color w:val="000000"/>
      <w:sz w:val="24"/>
      <w:lang w:eastAsia="en-US"/>
    </w:rPr>
  </w:style>
  <w:style w:type="numbering" w:customStyle="1" w:styleId="List6">
    <w:name w:val="List 6"/>
    <w:autoRedefine/>
    <w:rsid w:val="00F12219"/>
    <w:pPr>
      <w:numPr>
        <w:numId w:val="16"/>
      </w:numPr>
    </w:pPr>
  </w:style>
  <w:style w:type="character" w:customStyle="1" w:styleId="EndnoteReference1">
    <w:name w:val="Endnote Reference1"/>
    <w:rsid w:val="00F12219"/>
    <w:rPr>
      <w:rFonts w:ascii="Arial" w:eastAsia="ヒラギノ角ゴ Pro W3" w:hAnsi="Arial"/>
      <w:b w:val="0"/>
      <w:i w:val="0"/>
      <w:color w:val="000000"/>
      <w:sz w:val="20"/>
      <w:vertAlign w:val="superscript"/>
    </w:rPr>
  </w:style>
  <w:style w:type="character" w:customStyle="1" w:styleId="Unknown0">
    <w:name w:val="Unknown 0"/>
    <w:semiHidden/>
    <w:rsid w:val="00F12219"/>
  </w:style>
  <w:style w:type="paragraph" w:customStyle="1" w:styleId="EndnoteText1">
    <w:name w:val="Endnote Text1"/>
    <w:rsid w:val="00F12219"/>
    <w:rPr>
      <w:rFonts w:ascii="Arial" w:eastAsia="ヒラギノ角ゴ Pro W3" w:hAnsi="Arial"/>
      <w:color w:val="000000"/>
      <w:lang w:eastAsia="en-US"/>
    </w:rPr>
  </w:style>
  <w:style w:type="character" w:customStyle="1" w:styleId="Hyperlink1">
    <w:name w:val="Hyperlink1"/>
    <w:rsid w:val="00F12219"/>
    <w:rPr>
      <w:color w:val="0000FF"/>
      <w:sz w:val="20"/>
      <w:u w:val="single"/>
    </w:rPr>
  </w:style>
  <w:style w:type="character" w:customStyle="1" w:styleId="Unknown1">
    <w:name w:val="Unknown 1"/>
    <w:semiHidden/>
    <w:rsid w:val="00F12219"/>
  </w:style>
  <w:style w:type="paragraph" w:customStyle="1" w:styleId="CommentText1">
    <w:name w:val="Comment Text1"/>
    <w:rsid w:val="00F12219"/>
    <w:pPr>
      <w:spacing w:before="240" w:after="240"/>
    </w:pPr>
    <w:rPr>
      <w:rFonts w:ascii="Arial" w:eastAsia="ヒラギノ角ゴ Pro W3" w:hAnsi="Arial"/>
      <w:color w:val="000000"/>
      <w:lang w:eastAsia="en-US"/>
    </w:rPr>
  </w:style>
  <w:style w:type="character" w:customStyle="1" w:styleId="Unknown2">
    <w:name w:val="Unknown 2"/>
    <w:semiHidden/>
    <w:rsid w:val="00F12219"/>
  </w:style>
  <w:style w:type="character" w:customStyle="1" w:styleId="Unknown3">
    <w:name w:val="Unknown 3"/>
    <w:autoRedefine/>
    <w:semiHidden/>
    <w:rsid w:val="00F12219"/>
  </w:style>
  <w:style w:type="character" w:customStyle="1" w:styleId="Unknown4">
    <w:name w:val="Unknown 4"/>
    <w:semiHidden/>
    <w:rsid w:val="00F12219"/>
  </w:style>
  <w:style w:type="character" w:customStyle="1" w:styleId="Unknown5">
    <w:name w:val="Unknown 5"/>
    <w:semiHidden/>
    <w:rsid w:val="00F12219"/>
  </w:style>
  <w:style w:type="numbering" w:customStyle="1" w:styleId="List8">
    <w:name w:val="List 8"/>
    <w:rsid w:val="00F12219"/>
    <w:pPr>
      <w:numPr>
        <w:numId w:val="17"/>
      </w:numPr>
    </w:pPr>
  </w:style>
  <w:style w:type="character" w:customStyle="1" w:styleId="Unknown6">
    <w:name w:val="Unknown 6"/>
    <w:semiHidden/>
    <w:rsid w:val="00F12219"/>
  </w:style>
  <w:style w:type="character" w:customStyle="1" w:styleId="EmphasisA">
    <w:name w:val="Emphasis A"/>
    <w:rsid w:val="00F12219"/>
    <w:rPr>
      <w:rFonts w:ascii="Arial Italic" w:eastAsia="ヒラギノ角ゴ Pro W3" w:hAnsi="Arial Italic"/>
      <w:b w:val="0"/>
      <w:i w:val="0"/>
      <w:color w:val="000000"/>
      <w:sz w:val="20"/>
    </w:rPr>
  </w:style>
  <w:style w:type="character" w:customStyle="1" w:styleId="Unknown7">
    <w:name w:val="Unknown 7"/>
    <w:autoRedefine/>
    <w:semiHidden/>
    <w:rsid w:val="00F12219"/>
  </w:style>
  <w:style w:type="character" w:customStyle="1" w:styleId="Unknown8">
    <w:name w:val="Unknown 8"/>
    <w:autoRedefine/>
    <w:semiHidden/>
    <w:rsid w:val="00F12219"/>
  </w:style>
  <w:style w:type="character" w:customStyle="1" w:styleId="Unknown9">
    <w:name w:val="Unknown 9"/>
    <w:semiHidden/>
    <w:rsid w:val="00F12219"/>
  </w:style>
  <w:style w:type="character" w:customStyle="1" w:styleId="Unknown10">
    <w:name w:val="Unknown 10"/>
    <w:semiHidden/>
    <w:rsid w:val="00F12219"/>
  </w:style>
  <w:style w:type="character" w:customStyle="1" w:styleId="Unknown11">
    <w:name w:val="Unknown 11"/>
    <w:autoRedefine/>
    <w:semiHidden/>
    <w:rsid w:val="00F12219"/>
  </w:style>
  <w:style w:type="numbering" w:customStyle="1" w:styleId="List1">
    <w:name w:val="List 1"/>
    <w:autoRedefine/>
    <w:rsid w:val="00F12219"/>
    <w:pPr>
      <w:numPr>
        <w:numId w:val="18"/>
      </w:numPr>
    </w:pPr>
  </w:style>
  <w:style w:type="character" w:customStyle="1" w:styleId="Unknown12">
    <w:name w:val="Unknown 12"/>
    <w:semiHidden/>
    <w:rsid w:val="00F12219"/>
  </w:style>
  <w:style w:type="character" w:customStyle="1" w:styleId="Unknown13">
    <w:name w:val="Unknown 13"/>
    <w:semiHidden/>
    <w:rsid w:val="00F12219"/>
  </w:style>
  <w:style w:type="character" w:customStyle="1" w:styleId="Unknown14">
    <w:name w:val="Unknown 14"/>
    <w:semiHidden/>
    <w:rsid w:val="00F12219"/>
  </w:style>
  <w:style w:type="character" w:customStyle="1" w:styleId="Unknown15">
    <w:name w:val="Unknown 15"/>
    <w:semiHidden/>
    <w:rsid w:val="00F12219"/>
  </w:style>
  <w:style w:type="numbering" w:customStyle="1" w:styleId="List10">
    <w:name w:val="List 10"/>
    <w:rsid w:val="00F12219"/>
    <w:pPr>
      <w:numPr>
        <w:numId w:val="19"/>
      </w:numPr>
    </w:pPr>
  </w:style>
  <w:style w:type="numbering" w:customStyle="1" w:styleId="List11">
    <w:name w:val="List 11"/>
    <w:rsid w:val="00F12219"/>
    <w:pPr>
      <w:numPr>
        <w:numId w:val="20"/>
      </w:numPr>
    </w:pPr>
  </w:style>
  <w:style w:type="paragraph" w:customStyle="1" w:styleId="Heading51">
    <w:name w:val="Heading 51"/>
    <w:next w:val="Normal"/>
    <w:rsid w:val="00F12219"/>
    <w:pPr>
      <w:keepNext/>
      <w:keepLines/>
      <w:tabs>
        <w:tab w:val="left" w:pos="0"/>
      </w:tabs>
      <w:spacing w:before="200" w:after="240"/>
      <w:ind w:left="1008" w:hanging="1008"/>
      <w:outlineLvl w:val="4"/>
    </w:pPr>
    <w:rPr>
      <w:rFonts w:ascii="Cambria" w:eastAsia="ヒラギノ角ゴ Pro W3" w:hAnsi="Cambria"/>
      <w:color w:val="1A2E4E"/>
      <w:sz w:val="24"/>
      <w:lang w:eastAsia="en-US"/>
    </w:rPr>
  </w:style>
  <w:style w:type="numbering" w:customStyle="1" w:styleId="List12">
    <w:name w:val="List 12"/>
    <w:autoRedefine/>
    <w:rsid w:val="00F12219"/>
    <w:pPr>
      <w:numPr>
        <w:numId w:val="22"/>
      </w:numPr>
    </w:pPr>
  </w:style>
  <w:style w:type="character" w:customStyle="1" w:styleId="Unknown16">
    <w:name w:val="Unknown 16"/>
    <w:semiHidden/>
    <w:rsid w:val="00F12219"/>
  </w:style>
  <w:style w:type="numbering" w:customStyle="1" w:styleId="List13">
    <w:name w:val="List 13"/>
    <w:rsid w:val="00F12219"/>
    <w:pPr>
      <w:numPr>
        <w:numId w:val="23"/>
      </w:numPr>
    </w:pPr>
  </w:style>
  <w:style w:type="character" w:customStyle="1" w:styleId="Unknown17">
    <w:name w:val="Unknown 17"/>
    <w:semiHidden/>
    <w:rsid w:val="00F12219"/>
  </w:style>
  <w:style w:type="character" w:customStyle="1" w:styleId="Unknown18">
    <w:name w:val="Unknown 18"/>
    <w:semiHidden/>
    <w:rsid w:val="00F12219"/>
  </w:style>
  <w:style w:type="paragraph" w:customStyle="1" w:styleId="Date1">
    <w:name w:val="Date1"/>
    <w:next w:val="Normal"/>
    <w:rsid w:val="00F12219"/>
    <w:pPr>
      <w:spacing w:before="120" w:after="120"/>
      <w:jc w:val="right"/>
    </w:pPr>
    <w:rPr>
      <w:rFonts w:ascii="Arial" w:eastAsia="ヒラギノ角ゴ Pro W3" w:hAnsi="Arial"/>
      <w:color w:val="464646"/>
      <w:sz w:val="26"/>
      <w:lang w:eastAsia="en-US"/>
    </w:rPr>
  </w:style>
  <w:style w:type="character" w:customStyle="1" w:styleId="Unknown19">
    <w:name w:val="Unknown 19"/>
    <w:semiHidden/>
    <w:rsid w:val="00F12219"/>
  </w:style>
  <w:style w:type="character" w:styleId="CommentReference">
    <w:name w:val="annotation reference"/>
    <w:locked/>
    <w:rsid w:val="00F12219"/>
    <w:rPr>
      <w:sz w:val="16"/>
      <w:szCs w:val="16"/>
    </w:rPr>
  </w:style>
  <w:style w:type="paragraph" w:styleId="CommentText">
    <w:name w:val="annotation text"/>
    <w:basedOn w:val="Normal"/>
    <w:link w:val="CommentTextChar"/>
    <w:locked/>
    <w:rsid w:val="00F12219"/>
    <w:rPr>
      <w:rFonts w:eastAsia="Times New Roman"/>
      <w:sz w:val="20"/>
      <w:szCs w:val="20"/>
    </w:rPr>
  </w:style>
  <w:style w:type="character" w:customStyle="1" w:styleId="CommentTextChar">
    <w:name w:val="Comment Text Char"/>
    <w:basedOn w:val="DefaultParagraphFont"/>
    <w:link w:val="CommentText"/>
    <w:rsid w:val="00F12219"/>
    <w:rPr>
      <w:rFonts w:ascii="Arial" w:hAnsi="Arial"/>
    </w:rPr>
  </w:style>
  <w:style w:type="character" w:customStyle="1" w:styleId="TitleChar">
    <w:name w:val="Title Char"/>
    <w:link w:val="Title"/>
    <w:rsid w:val="00F12219"/>
    <w:rPr>
      <w:rFonts w:ascii="Arial" w:eastAsia="MS Mincho" w:hAnsi="Arial" w:cs="Arial"/>
      <w:b/>
      <w:bCs/>
      <w:kern w:val="28"/>
      <w:sz w:val="32"/>
      <w:szCs w:val="32"/>
    </w:rPr>
  </w:style>
  <w:style w:type="paragraph" w:styleId="TOC9">
    <w:name w:val="toc 9"/>
    <w:basedOn w:val="Normal"/>
    <w:next w:val="Normal"/>
    <w:autoRedefine/>
    <w:uiPriority w:val="39"/>
    <w:locked/>
    <w:rsid w:val="00F12219"/>
    <w:pPr>
      <w:ind w:left="1920"/>
    </w:pPr>
    <w:rPr>
      <w:rFonts w:eastAsia="ヒラギノ角ゴ Pro W3"/>
      <w:color w:val="000000"/>
      <w:lang w:eastAsia="en-US"/>
    </w:rPr>
  </w:style>
  <w:style w:type="paragraph" w:styleId="TOC5">
    <w:name w:val="toc 5"/>
    <w:basedOn w:val="Normal"/>
    <w:next w:val="Normal"/>
    <w:autoRedefine/>
    <w:uiPriority w:val="39"/>
    <w:locked/>
    <w:rsid w:val="00F12219"/>
    <w:pPr>
      <w:ind w:left="960"/>
    </w:pPr>
    <w:rPr>
      <w:rFonts w:eastAsia="ヒラギノ角ゴ Pro W3"/>
      <w:color w:val="000000"/>
      <w:lang w:eastAsia="en-US"/>
    </w:rPr>
  </w:style>
  <w:style w:type="paragraph" w:styleId="TOC6">
    <w:name w:val="toc 6"/>
    <w:basedOn w:val="Normal"/>
    <w:next w:val="Normal"/>
    <w:autoRedefine/>
    <w:uiPriority w:val="39"/>
    <w:locked/>
    <w:rsid w:val="00F12219"/>
    <w:pPr>
      <w:ind w:left="1200"/>
    </w:pPr>
    <w:rPr>
      <w:rFonts w:eastAsia="ヒラギノ角ゴ Pro W3"/>
      <w:color w:val="000000"/>
      <w:lang w:eastAsia="en-US"/>
    </w:rPr>
  </w:style>
  <w:style w:type="paragraph" w:styleId="CommentSubject">
    <w:name w:val="annotation subject"/>
    <w:basedOn w:val="CommentText"/>
    <w:next w:val="CommentText"/>
    <w:link w:val="CommentSubjectChar"/>
    <w:locked/>
    <w:rsid w:val="00F12219"/>
    <w:rPr>
      <w:rFonts w:eastAsia="ヒラギノ角ゴ Pro W3"/>
      <w:b/>
      <w:bCs/>
      <w:color w:val="000000"/>
      <w:lang w:eastAsia="en-US"/>
    </w:rPr>
  </w:style>
  <w:style w:type="character" w:customStyle="1" w:styleId="CommentSubjectChar">
    <w:name w:val="Comment Subject Char"/>
    <w:basedOn w:val="CommentTextChar"/>
    <w:link w:val="CommentSubject"/>
    <w:rsid w:val="00F12219"/>
    <w:rPr>
      <w:rFonts w:ascii="Arial" w:eastAsia="ヒラギノ角ゴ Pro W3" w:hAnsi="Arial"/>
      <w:b/>
      <w:bCs/>
      <w:color w:val="000000"/>
      <w:lang w:eastAsia="en-US"/>
    </w:rPr>
  </w:style>
  <w:style w:type="character" w:customStyle="1" w:styleId="MessageHeaderChar">
    <w:name w:val="Message Header Char"/>
    <w:link w:val="MessageHeader"/>
    <w:rsid w:val="00F12219"/>
    <w:rPr>
      <w:rFonts w:ascii="Arial" w:eastAsia="MS Mincho" w:hAnsi="Arial" w:cs="Arial"/>
      <w:sz w:val="24"/>
      <w:szCs w:val="24"/>
      <w:shd w:val="pct20" w:color="auto" w:fill="auto"/>
    </w:rPr>
  </w:style>
  <w:style w:type="character" w:customStyle="1" w:styleId="FootnoteTextChar">
    <w:name w:val="Footnote Text Char"/>
    <w:link w:val="FootnoteText"/>
    <w:rsid w:val="00F12219"/>
    <w:rPr>
      <w:rFonts w:ascii="Arial" w:eastAsia="MS Mincho" w:hAnsi="Arial"/>
    </w:rPr>
  </w:style>
  <w:style w:type="paragraph" w:styleId="ListParagraph">
    <w:name w:val="List Paragraph"/>
    <w:basedOn w:val="Normal"/>
    <w:uiPriority w:val="34"/>
    <w:qFormat/>
    <w:rsid w:val="00F12219"/>
    <w:pPr>
      <w:ind w:left="720"/>
    </w:pPr>
    <w:rPr>
      <w:rFonts w:eastAsia="ヒラギノ角ゴ Pro W3"/>
      <w:color w:val="000000"/>
      <w:lang w:eastAsia="en-US"/>
    </w:rPr>
  </w:style>
  <w:style w:type="table" w:styleId="MediumShading1-Accent1">
    <w:name w:val="Medium Shading 1 Accent 1"/>
    <w:basedOn w:val="TableNormal"/>
    <w:uiPriority w:val="63"/>
    <w:rsid w:val="00F1221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A13942"/>
    <w:rPr>
      <w:rFonts w:ascii="Arial" w:eastAsia="MS Mincho" w:hAnsi="Arial"/>
      <w:sz w:val="24"/>
      <w:szCs w:val="24"/>
    </w:rPr>
  </w:style>
  <w:style w:type="paragraph" w:styleId="Revision">
    <w:name w:val="Revision"/>
    <w:hidden/>
    <w:uiPriority w:val="99"/>
    <w:semiHidden/>
    <w:rsid w:val="00A168E1"/>
    <w:rPr>
      <w:rFonts w:ascii="Arial" w:eastAsia="MS Mincho"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uiPriority="39"/>
    <w:lsdException w:name="toc 6" w:locked="1" w:uiPriority="39"/>
    <w:lsdException w:name="toc 7" w:locked="1"/>
    <w:lsdException w:name="toc 8" w:locked="1"/>
    <w:lsdException w:name="toc 9" w:locked="1" w:uiPriority="39"/>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03606D"/>
    <w:pPr>
      <w:tabs>
        <w:tab w:val="right" w:pos="2835"/>
        <w:tab w:val="right" w:pos="5670"/>
      </w:tabs>
      <w:spacing w:before="0" w:after="60"/>
    </w:pPr>
    <w:rPr>
      <w:color w:val="404040"/>
      <w:sz w:val="18"/>
    </w:rPr>
  </w:style>
  <w:style w:type="character" w:customStyle="1" w:styleId="FooterChar">
    <w:name w:val="Footer Char"/>
    <w:link w:val="Footer"/>
    <w:uiPriority w:val="99"/>
    <w:semiHidden/>
    <w:rsid w:val="0003606D"/>
    <w:rPr>
      <w:rFonts w:ascii="Arial" w:eastAsia="MS Mincho" w:hAnsi="Arial"/>
      <w:color w:val="404040"/>
      <w:sz w:val="18"/>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rsid w:val="000A1DB8"/>
    <w:rPr>
      <w:rFonts w:ascii="Arial" w:hAnsi="Arial"/>
      <w:sz w:val="20"/>
      <w:vertAlign w:val="superscript"/>
    </w:rPr>
  </w:style>
  <w:style w:type="paragraph" w:styleId="FootnoteText">
    <w:name w:val="footnote text"/>
    <w:basedOn w:val="Normal"/>
    <w:link w:val="FootnoteTextChar"/>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link w:val="MessageHeaderChar"/>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E45954"/>
    <w:pPr>
      <w:spacing w:after="60"/>
      <w:jc w:val="center"/>
      <w:outlineLvl w:val="0"/>
    </w:pPr>
    <w:rPr>
      <w:rFonts w:cs="Arial"/>
      <w:b/>
      <w:bCs/>
      <w:kern w:val="28"/>
      <w:sz w:val="32"/>
      <w:szCs w:val="32"/>
    </w:rPr>
  </w:style>
  <w:style w:type="character" w:styleId="FollowedHyperlink">
    <w:name w:val="FollowedHyperlink"/>
    <w:locked/>
    <w:rsid w:val="00E45954"/>
    <w:rPr>
      <w:color w:val="800080"/>
      <w:u w:val="single"/>
    </w:rPr>
  </w:style>
  <w:style w:type="paragraph" w:customStyle="1" w:styleId="MainTitle">
    <w:name w:val="Main Title"/>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pPr>
    <w:rPr>
      <w:rFonts w:eastAsia="Times New Roman"/>
    </w:rPr>
  </w:style>
  <w:style w:type="character" w:customStyle="1" w:styleId="SubmissionNormalChar">
    <w:name w:val="Submission Normal Char"/>
    <w:aliases w:val="No Spacing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paragraph" w:customStyle="1" w:styleId="Footer1">
    <w:name w:val="Footer1"/>
    <w:rsid w:val="00F12219"/>
    <w:pPr>
      <w:tabs>
        <w:tab w:val="right" w:pos="2835"/>
        <w:tab w:val="right" w:pos="5670"/>
      </w:tabs>
      <w:spacing w:after="60"/>
    </w:pPr>
    <w:rPr>
      <w:rFonts w:ascii="Arial" w:eastAsia="ヒラギノ角ゴ Pro W3" w:hAnsi="Arial"/>
      <w:color w:val="303030"/>
      <w:sz w:val="18"/>
      <w:lang w:eastAsia="en-US"/>
    </w:rPr>
  </w:style>
  <w:style w:type="paragraph" w:customStyle="1" w:styleId="Header1">
    <w:name w:val="Header1"/>
    <w:rsid w:val="00F12219"/>
    <w:pPr>
      <w:tabs>
        <w:tab w:val="center" w:pos="4513"/>
        <w:tab w:val="right" w:pos="9026"/>
      </w:tabs>
      <w:spacing w:before="240"/>
    </w:pPr>
    <w:rPr>
      <w:rFonts w:ascii="Arial" w:eastAsia="ヒラギノ角ゴ Pro W3" w:hAnsi="Arial"/>
      <w:color w:val="000000"/>
      <w:sz w:val="22"/>
      <w:lang w:eastAsia="en-US"/>
    </w:rPr>
  </w:style>
  <w:style w:type="paragraph" w:customStyle="1" w:styleId="HeaderFooterA">
    <w:name w:val="Header &amp; Footer A"/>
    <w:rsid w:val="00F12219"/>
    <w:pPr>
      <w:spacing w:before="240" w:after="240" w:line="200" w:lineRule="exact"/>
      <w:jc w:val="both"/>
    </w:pPr>
    <w:rPr>
      <w:rFonts w:ascii="Arial" w:eastAsia="ヒラギノ角ゴ Pro W3" w:hAnsi="Arial"/>
      <w:color w:val="000000"/>
      <w:sz w:val="16"/>
      <w:lang w:val="en-US" w:eastAsia="en-US"/>
    </w:rPr>
  </w:style>
  <w:style w:type="character" w:customStyle="1" w:styleId="FootnoteReference1">
    <w:name w:val="Footnote Reference1"/>
    <w:rsid w:val="00F12219"/>
    <w:rPr>
      <w:rFonts w:ascii="Arial" w:eastAsia="ヒラギノ角ゴ Pro W3" w:hAnsi="Arial"/>
      <w:b w:val="0"/>
      <w:i w:val="0"/>
      <w:color w:val="000000"/>
      <w:sz w:val="20"/>
      <w:vertAlign w:val="superscript"/>
    </w:rPr>
  </w:style>
  <w:style w:type="paragraph" w:customStyle="1" w:styleId="FreeForm">
    <w:name w:val="Free Form"/>
    <w:rsid w:val="00F12219"/>
    <w:rPr>
      <w:rFonts w:eastAsia="ヒラギノ角ゴ Pro W3"/>
      <w:color w:val="000000"/>
      <w:lang w:eastAsia="en-US"/>
    </w:rPr>
  </w:style>
  <w:style w:type="character" w:customStyle="1" w:styleId="PageNumber1">
    <w:name w:val="Page Number1"/>
    <w:rsid w:val="00F12219"/>
    <w:rPr>
      <w:color w:val="000000"/>
      <w:sz w:val="20"/>
    </w:rPr>
  </w:style>
  <w:style w:type="paragraph" w:customStyle="1" w:styleId="TOC11">
    <w:name w:val="TOC 11"/>
    <w:rsid w:val="00F12219"/>
    <w:pPr>
      <w:tabs>
        <w:tab w:val="right" w:leader="dot" w:pos="9064"/>
      </w:tabs>
      <w:spacing w:before="240"/>
      <w:ind w:left="720"/>
      <w:outlineLvl w:val="0"/>
    </w:pPr>
    <w:rPr>
      <w:rFonts w:ascii="Helvetica" w:eastAsia="ヒラギノ角ゴ Pro W3" w:hAnsi="Helvetica"/>
      <w:b/>
      <w:i/>
      <w:color w:val="000000"/>
      <w:sz w:val="24"/>
      <w:lang w:val="en-US" w:eastAsia="en-US"/>
    </w:rPr>
  </w:style>
  <w:style w:type="paragraph" w:customStyle="1" w:styleId="TOC21">
    <w:name w:val="TOC 21"/>
    <w:next w:val="Normal"/>
    <w:rsid w:val="00F12219"/>
    <w:pPr>
      <w:tabs>
        <w:tab w:val="right" w:leader="dot" w:pos="9060"/>
      </w:tabs>
      <w:ind w:left="958" w:hanging="720"/>
      <w:outlineLvl w:val="0"/>
    </w:pPr>
    <w:rPr>
      <w:rFonts w:ascii="Arial Bold Italic" w:eastAsia="ヒラギノ角ゴ Pro W3" w:hAnsi="Arial Bold Italic"/>
      <w:color w:val="000000"/>
      <w:sz w:val="22"/>
      <w:lang w:eastAsia="en-US"/>
    </w:rPr>
  </w:style>
  <w:style w:type="paragraph" w:customStyle="1" w:styleId="TOC31">
    <w:name w:val="TOC 31"/>
    <w:basedOn w:val="TOC21"/>
    <w:next w:val="Normal"/>
    <w:rsid w:val="00F12219"/>
    <w:pPr>
      <w:tabs>
        <w:tab w:val="clear" w:pos="9060"/>
        <w:tab w:val="right" w:leader="dot" w:pos="9044"/>
      </w:tabs>
    </w:pPr>
  </w:style>
  <w:style w:type="paragraph" w:customStyle="1" w:styleId="TOC41">
    <w:name w:val="TOC 41"/>
    <w:basedOn w:val="TOC42"/>
    <w:next w:val="Normal"/>
    <w:rsid w:val="00F12219"/>
    <w:pPr>
      <w:tabs>
        <w:tab w:val="clear" w:pos="9060"/>
        <w:tab w:val="right" w:leader="dot" w:pos="9044"/>
      </w:tabs>
    </w:pPr>
  </w:style>
  <w:style w:type="paragraph" w:customStyle="1" w:styleId="TOC42">
    <w:name w:val="TOC 42"/>
    <w:next w:val="Normal"/>
    <w:rsid w:val="00F12219"/>
    <w:pPr>
      <w:tabs>
        <w:tab w:val="left" w:pos="1440"/>
        <w:tab w:val="right" w:leader="dot" w:pos="9060"/>
      </w:tabs>
      <w:ind w:left="1440" w:hanging="720"/>
      <w:outlineLvl w:val="0"/>
    </w:pPr>
    <w:rPr>
      <w:rFonts w:ascii="Arial" w:eastAsia="ヒラギノ角ゴ Pro W3" w:hAnsi="Arial"/>
      <w:color w:val="000000"/>
      <w:sz w:val="24"/>
      <w:lang w:eastAsia="en-US"/>
    </w:rPr>
  </w:style>
  <w:style w:type="paragraph" w:customStyle="1" w:styleId="TOC51">
    <w:name w:val="TOC 51"/>
    <w:basedOn w:val="TOC32"/>
    <w:next w:val="Normal"/>
    <w:autoRedefine/>
    <w:rsid w:val="00F12219"/>
    <w:pPr>
      <w:tabs>
        <w:tab w:val="clear" w:pos="9060"/>
        <w:tab w:val="right" w:leader="dot" w:pos="9044"/>
      </w:tabs>
    </w:pPr>
  </w:style>
  <w:style w:type="paragraph" w:customStyle="1" w:styleId="TOC32">
    <w:name w:val="TOC 32"/>
    <w:next w:val="Normal"/>
    <w:rsid w:val="00F12219"/>
    <w:pPr>
      <w:tabs>
        <w:tab w:val="left" w:pos="1202"/>
        <w:tab w:val="right" w:leader="dot" w:pos="9060"/>
      </w:tabs>
      <w:ind w:left="1202" w:hanging="720"/>
      <w:outlineLvl w:val="0"/>
    </w:pPr>
    <w:rPr>
      <w:rFonts w:ascii="Arial Italic" w:eastAsia="ヒラギノ角ゴ Pro W3" w:hAnsi="Arial Italic"/>
      <w:color w:val="000000"/>
      <w:sz w:val="24"/>
      <w:lang w:eastAsia="en-US"/>
    </w:rPr>
  </w:style>
  <w:style w:type="paragraph" w:customStyle="1" w:styleId="TOC61">
    <w:name w:val="TOC 61"/>
    <w:rsid w:val="00F12219"/>
    <w:pPr>
      <w:tabs>
        <w:tab w:val="right" w:leader="dot" w:pos="9064"/>
      </w:tabs>
      <w:spacing w:before="240" w:after="60"/>
      <w:ind w:left="360"/>
      <w:outlineLvl w:val="0"/>
    </w:pPr>
    <w:rPr>
      <w:rFonts w:ascii="Helvetica" w:eastAsia="ヒラギノ角ゴ Pro W3" w:hAnsi="Helvetica"/>
      <w:b/>
      <w:color w:val="000000"/>
      <w:sz w:val="28"/>
      <w:lang w:val="en-US" w:eastAsia="en-US"/>
    </w:rPr>
  </w:style>
  <w:style w:type="paragraph" w:customStyle="1" w:styleId="TOC71">
    <w:name w:val="TOC 71"/>
    <w:rsid w:val="00F12219"/>
    <w:pPr>
      <w:tabs>
        <w:tab w:val="right" w:leader="dot" w:pos="9064"/>
      </w:tabs>
      <w:spacing w:before="240" w:after="60"/>
      <w:outlineLvl w:val="0"/>
    </w:pPr>
    <w:rPr>
      <w:rFonts w:ascii="Helvetica" w:eastAsia="ヒラギノ角ゴ Pro W3" w:hAnsi="Helvetica"/>
      <w:b/>
      <w:color w:val="000000"/>
      <w:sz w:val="36"/>
      <w:lang w:val="en-US" w:eastAsia="en-US"/>
    </w:rPr>
  </w:style>
  <w:style w:type="paragraph" w:customStyle="1" w:styleId="TOC81">
    <w:name w:val="TOC 81"/>
    <w:next w:val="Normal"/>
    <w:rsid w:val="00F12219"/>
    <w:pPr>
      <w:tabs>
        <w:tab w:val="right" w:leader="dot" w:pos="9060"/>
      </w:tabs>
      <w:spacing w:before="240"/>
      <w:ind w:left="720" w:hanging="720"/>
      <w:outlineLvl w:val="0"/>
    </w:pPr>
    <w:rPr>
      <w:rFonts w:ascii="Arial Bold" w:eastAsia="ヒラギノ角ゴ Pro W3" w:hAnsi="Arial Bold"/>
      <w:color w:val="000000"/>
      <w:sz w:val="22"/>
      <w:lang w:eastAsia="en-US"/>
    </w:rPr>
  </w:style>
  <w:style w:type="paragraph" w:customStyle="1" w:styleId="TOC91">
    <w:name w:val="TOC 91"/>
    <w:basedOn w:val="TOC81"/>
    <w:next w:val="Normal"/>
    <w:rsid w:val="00F12219"/>
    <w:pPr>
      <w:tabs>
        <w:tab w:val="clear" w:pos="9060"/>
        <w:tab w:val="right" w:leader="dot" w:pos="9044"/>
      </w:tabs>
    </w:pPr>
  </w:style>
  <w:style w:type="paragraph" w:customStyle="1" w:styleId="Heading11">
    <w:name w:val="Heading 11"/>
    <w:next w:val="Normal"/>
    <w:rsid w:val="00F12219"/>
    <w:pPr>
      <w:keepNext/>
      <w:keepLines/>
      <w:spacing w:before="360" w:after="240"/>
      <w:outlineLvl w:val="0"/>
    </w:pPr>
    <w:rPr>
      <w:rFonts w:ascii="Arial Bold" w:eastAsia="ヒラギノ角ゴ Pro W3" w:hAnsi="Arial Bold"/>
      <w:color w:val="000000"/>
      <w:sz w:val="28"/>
      <w:lang w:eastAsia="en-US"/>
    </w:rPr>
  </w:style>
  <w:style w:type="paragraph" w:customStyle="1" w:styleId="Heading31">
    <w:name w:val="Heading 31"/>
    <w:next w:val="Normal"/>
    <w:rsid w:val="00F12219"/>
    <w:pPr>
      <w:keepNext/>
      <w:keepLines/>
      <w:spacing w:before="360" w:after="240"/>
      <w:outlineLvl w:val="2"/>
    </w:pPr>
    <w:rPr>
      <w:rFonts w:ascii="Arial Italic" w:eastAsia="ヒラギノ角ゴ Pro W3" w:hAnsi="Arial Italic"/>
      <w:color w:val="000000"/>
      <w:sz w:val="24"/>
      <w:lang w:eastAsia="en-US"/>
    </w:rPr>
  </w:style>
  <w:style w:type="paragraph" w:customStyle="1" w:styleId="Body">
    <w:name w:val="Body"/>
    <w:rsid w:val="00F12219"/>
    <w:rPr>
      <w:rFonts w:ascii="Helvetica" w:eastAsia="ヒラギノ角ゴ Pro W3" w:hAnsi="Helvetica"/>
      <w:color w:val="000000"/>
      <w:sz w:val="24"/>
      <w:lang w:val="en-US" w:eastAsia="en-US"/>
    </w:rPr>
  </w:style>
  <w:style w:type="paragraph" w:customStyle="1" w:styleId="Title1">
    <w:name w:val="Title1"/>
    <w:next w:val="Body"/>
    <w:rsid w:val="00F12219"/>
    <w:pPr>
      <w:keepNext/>
      <w:outlineLvl w:val="0"/>
    </w:pPr>
    <w:rPr>
      <w:rFonts w:ascii="Helvetica" w:eastAsia="ヒラギノ角ゴ Pro W3" w:hAnsi="Helvetica"/>
      <w:b/>
      <w:color w:val="000000"/>
      <w:sz w:val="56"/>
      <w:lang w:val="en-US" w:eastAsia="en-US"/>
    </w:rPr>
  </w:style>
  <w:style w:type="paragraph" w:customStyle="1" w:styleId="TitleA">
    <w:name w:val="Title A"/>
    <w:rsid w:val="00F12219"/>
    <w:pPr>
      <w:spacing w:before="240" w:after="60"/>
      <w:jc w:val="center"/>
      <w:outlineLvl w:val="0"/>
    </w:pPr>
    <w:rPr>
      <w:rFonts w:ascii="Arial Bold" w:eastAsia="ヒラギノ角ゴ Pro W3" w:hAnsi="Arial Bold"/>
      <w:color w:val="000000"/>
      <w:kern w:val="28"/>
      <w:sz w:val="32"/>
      <w:lang w:eastAsia="en-US"/>
    </w:rPr>
  </w:style>
  <w:style w:type="paragraph" w:customStyle="1" w:styleId="Subtitle1">
    <w:name w:val="Subtitle1"/>
    <w:rsid w:val="00F12219"/>
    <w:pPr>
      <w:spacing w:before="40"/>
      <w:jc w:val="right"/>
      <w:outlineLvl w:val="1"/>
    </w:pPr>
    <w:rPr>
      <w:rFonts w:ascii="Arial Bold" w:eastAsia="ヒラギノ角ゴ Pro W3" w:hAnsi="Arial Bold"/>
      <w:caps/>
      <w:color w:val="000000"/>
      <w:sz w:val="26"/>
      <w:lang w:eastAsia="en-US"/>
    </w:rPr>
  </w:style>
  <w:style w:type="paragraph" w:customStyle="1" w:styleId="Heading21">
    <w:name w:val="Heading 21"/>
    <w:next w:val="Normal"/>
    <w:rsid w:val="00F12219"/>
    <w:pPr>
      <w:keepNext/>
      <w:keepLines/>
      <w:spacing w:before="360" w:after="240"/>
      <w:outlineLvl w:val="1"/>
    </w:pPr>
    <w:rPr>
      <w:rFonts w:ascii="Arial Bold Italic" w:eastAsia="ヒラギノ角ゴ Pro W3" w:hAnsi="Arial Bold Italic"/>
      <w:color w:val="000000"/>
      <w:sz w:val="28"/>
      <w:lang w:eastAsia="en-US"/>
    </w:rPr>
  </w:style>
  <w:style w:type="paragraph" w:customStyle="1" w:styleId="Heading41">
    <w:name w:val="Heading 41"/>
    <w:next w:val="Normal"/>
    <w:rsid w:val="00F12219"/>
    <w:pPr>
      <w:keepNext/>
      <w:keepLines/>
      <w:spacing w:before="360" w:after="240"/>
      <w:outlineLvl w:val="3"/>
    </w:pPr>
    <w:rPr>
      <w:rFonts w:ascii="Arial" w:eastAsia="ヒラギノ角ゴ Pro W3" w:hAnsi="Arial"/>
      <w:color w:val="000000"/>
      <w:sz w:val="24"/>
      <w:lang w:eastAsia="en-US"/>
    </w:rPr>
  </w:style>
  <w:style w:type="numbering" w:customStyle="1" w:styleId="List6">
    <w:name w:val="List 6"/>
    <w:autoRedefine/>
    <w:rsid w:val="00F12219"/>
    <w:pPr>
      <w:numPr>
        <w:numId w:val="16"/>
      </w:numPr>
    </w:pPr>
  </w:style>
  <w:style w:type="character" w:customStyle="1" w:styleId="EndnoteReference1">
    <w:name w:val="Endnote Reference1"/>
    <w:rsid w:val="00F12219"/>
    <w:rPr>
      <w:rFonts w:ascii="Arial" w:eastAsia="ヒラギノ角ゴ Pro W3" w:hAnsi="Arial"/>
      <w:b w:val="0"/>
      <w:i w:val="0"/>
      <w:color w:val="000000"/>
      <w:sz w:val="20"/>
      <w:vertAlign w:val="superscript"/>
    </w:rPr>
  </w:style>
  <w:style w:type="character" w:customStyle="1" w:styleId="Unknown0">
    <w:name w:val="Unknown 0"/>
    <w:semiHidden/>
    <w:rsid w:val="00F12219"/>
  </w:style>
  <w:style w:type="paragraph" w:customStyle="1" w:styleId="EndnoteText1">
    <w:name w:val="Endnote Text1"/>
    <w:rsid w:val="00F12219"/>
    <w:rPr>
      <w:rFonts w:ascii="Arial" w:eastAsia="ヒラギノ角ゴ Pro W3" w:hAnsi="Arial"/>
      <w:color w:val="000000"/>
      <w:lang w:eastAsia="en-US"/>
    </w:rPr>
  </w:style>
  <w:style w:type="character" w:customStyle="1" w:styleId="Hyperlink1">
    <w:name w:val="Hyperlink1"/>
    <w:rsid w:val="00F12219"/>
    <w:rPr>
      <w:color w:val="0000FF"/>
      <w:sz w:val="20"/>
      <w:u w:val="single"/>
    </w:rPr>
  </w:style>
  <w:style w:type="character" w:customStyle="1" w:styleId="Unknown1">
    <w:name w:val="Unknown 1"/>
    <w:semiHidden/>
    <w:rsid w:val="00F12219"/>
  </w:style>
  <w:style w:type="paragraph" w:customStyle="1" w:styleId="CommentText1">
    <w:name w:val="Comment Text1"/>
    <w:rsid w:val="00F12219"/>
    <w:pPr>
      <w:spacing w:before="240" w:after="240"/>
    </w:pPr>
    <w:rPr>
      <w:rFonts w:ascii="Arial" w:eastAsia="ヒラギノ角ゴ Pro W3" w:hAnsi="Arial"/>
      <w:color w:val="000000"/>
      <w:lang w:eastAsia="en-US"/>
    </w:rPr>
  </w:style>
  <w:style w:type="character" w:customStyle="1" w:styleId="Unknown2">
    <w:name w:val="Unknown 2"/>
    <w:semiHidden/>
    <w:rsid w:val="00F12219"/>
  </w:style>
  <w:style w:type="character" w:customStyle="1" w:styleId="Unknown3">
    <w:name w:val="Unknown 3"/>
    <w:autoRedefine/>
    <w:semiHidden/>
    <w:rsid w:val="00F12219"/>
  </w:style>
  <w:style w:type="character" w:customStyle="1" w:styleId="Unknown4">
    <w:name w:val="Unknown 4"/>
    <w:semiHidden/>
    <w:rsid w:val="00F12219"/>
  </w:style>
  <w:style w:type="character" w:customStyle="1" w:styleId="Unknown5">
    <w:name w:val="Unknown 5"/>
    <w:semiHidden/>
    <w:rsid w:val="00F12219"/>
  </w:style>
  <w:style w:type="numbering" w:customStyle="1" w:styleId="List8">
    <w:name w:val="List 8"/>
    <w:rsid w:val="00F12219"/>
    <w:pPr>
      <w:numPr>
        <w:numId w:val="17"/>
      </w:numPr>
    </w:pPr>
  </w:style>
  <w:style w:type="character" w:customStyle="1" w:styleId="Unknown6">
    <w:name w:val="Unknown 6"/>
    <w:semiHidden/>
    <w:rsid w:val="00F12219"/>
  </w:style>
  <w:style w:type="character" w:customStyle="1" w:styleId="EmphasisA">
    <w:name w:val="Emphasis A"/>
    <w:rsid w:val="00F12219"/>
    <w:rPr>
      <w:rFonts w:ascii="Arial Italic" w:eastAsia="ヒラギノ角ゴ Pro W3" w:hAnsi="Arial Italic"/>
      <w:b w:val="0"/>
      <w:i w:val="0"/>
      <w:color w:val="000000"/>
      <w:sz w:val="20"/>
    </w:rPr>
  </w:style>
  <w:style w:type="character" w:customStyle="1" w:styleId="Unknown7">
    <w:name w:val="Unknown 7"/>
    <w:autoRedefine/>
    <w:semiHidden/>
    <w:rsid w:val="00F12219"/>
  </w:style>
  <w:style w:type="character" w:customStyle="1" w:styleId="Unknown8">
    <w:name w:val="Unknown 8"/>
    <w:autoRedefine/>
    <w:semiHidden/>
    <w:rsid w:val="00F12219"/>
  </w:style>
  <w:style w:type="character" w:customStyle="1" w:styleId="Unknown9">
    <w:name w:val="Unknown 9"/>
    <w:semiHidden/>
    <w:rsid w:val="00F12219"/>
  </w:style>
  <w:style w:type="character" w:customStyle="1" w:styleId="Unknown10">
    <w:name w:val="Unknown 10"/>
    <w:semiHidden/>
    <w:rsid w:val="00F12219"/>
  </w:style>
  <w:style w:type="character" w:customStyle="1" w:styleId="Unknown11">
    <w:name w:val="Unknown 11"/>
    <w:autoRedefine/>
    <w:semiHidden/>
    <w:rsid w:val="00F12219"/>
  </w:style>
  <w:style w:type="numbering" w:customStyle="1" w:styleId="List1">
    <w:name w:val="List 1"/>
    <w:autoRedefine/>
    <w:rsid w:val="00F12219"/>
    <w:pPr>
      <w:numPr>
        <w:numId w:val="18"/>
      </w:numPr>
    </w:pPr>
  </w:style>
  <w:style w:type="character" w:customStyle="1" w:styleId="Unknown12">
    <w:name w:val="Unknown 12"/>
    <w:semiHidden/>
    <w:rsid w:val="00F12219"/>
  </w:style>
  <w:style w:type="character" w:customStyle="1" w:styleId="Unknown13">
    <w:name w:val="Unknown 13"/>
    <w:semiHidden/>
    <w:rsid w:val="00F12219"/>
  </w:style>
  <w:style w:type="character" w:customStyle="1" w:styleId="Unknown14">
    <w:name w:val="Unknown 14"/>
    <w:semiHidden/>
    <w:rsid w:val="00F12219"/>
  </w:style>
  <w:style w:type="character" w:customStyle="1" w:styleId="Unknown15">
    <w:name w:val="Unknown 15"/>
    <w:semiHidden/>
    <w:rsid w:val="00F12219"/>
  </w:style>
  <w:style w:type="numbering" w:customStyle="1" w:styleId="List10">
    <w:name w:val="List 10"/>
    <w:rsid w:val="00F12219"/>
    <w:pPr>
      <w:numPr>
        <w:numId w:val="19"/>
      </w:numPr>
    </w:pPr>
  </w:style>
  <w:style w:type="numbering" w:customStyle="1" w:styleId="List11">
    <w:name w:val="List 11"/>
    <w:rsid w:val="00F12219"/>
    <w:pPr>
      <w:numPr>
        <w:numId w:val="20"/>
      </w:numPr>
    </w:pPr>
  </w:style>
  <w:style w:type="paragraph" w:customStyle="1" w:styleId="Heading51">
    <w:name w:val="Heading 51"/>
    <w:next w:val="Normal"/>
    <w:rsid w:val="00F12219"/>
    <w:pPr>
      <w:keepNext/>
      <w:keepLines/>
      <w:tabs>
        <w:tab w:val="left" w:pos="0"/>
      </w:tabs>
      <w:spacing w:before="200" w:after="240"/>
      <w:ind w:left="1008" w:hanging="1008"/>
      <w:outlineLvl w:val="4"/>
    </w:pPr>
    <w:rPr>
      <w:rFonts w:ascii="Cambria" w:eastAsia="ヒラギノ角ゴ Pro W3" w:hAnsi="Cambria"/>
      <w:color w:val="1A2E4E"/>
      <w:sz w:val="24"/>
      <w:lang w:eastAsia="en-US"/>
    </w:rPr>
  </w:style>
  <w:style w:type="numbering" w:customStyle="1" w:styleId="List12">
    <w:name w:val="List 12"/>
    <w:autoRedefine/>
    <w:rsid w:val="00F12219"/>
    <w:pPr>
      <w:numPr>
        <w:numId w:val="22"/>
      </w:numPr>
    </w:pPr>
  </w:style>
  <w:style w:type="character" w:customStyle="1" w:styleId="Unknown16">
    <w:name w:val="Unknown 16"/>
    <w:semiHidden/>
    <w:rsid w:val="00F12219"/>
  </w:style>
  <w:style w:type="numbering" w:customStyle="1" w:styleId="List13">
    <w:name w:val="List 13"/>
    <w:rsid w:val="00F12219"/>
    <w:pPr>
      <w:numPr>
        <w:numId w:val="23"/>
      </w:numPr>
    </w:pPr>
  </w:style>
  <w:style w:type="character" w:customStyle="1" w:styleId="Unknown17">
    <w:name w:val="Unknown 17"/>
    <w:semiHidden/>
    <w:rsid w:val="00F12219"/>
  </w:style>
  <w:style w:type="character" w:customStyle="1" w:styleId="Unknown18">
    <w:name w:val="Unknown 18"/>
    <w:semiHidden/>
    <w:rsid w:val="00F12219"/>
  </w:style>
  <w:style w:type="paragraph" w:customStyle="1" w:styleId="Date1">
    <w:name w:val="Date1"/>
    <w:next w:val="Normal"/>
    <w:rsid w:val="00F12219"/>
    <w:pPr>
      <w:spacing w:before="120" w:after="120"/>
      <w:jc w:val="right"/>
    </w:pPr>
    <w:rPr>
      <w:rFonts w:ascii="Arial" w:eastAsia="ヒラギノ角ゴ Pro W3" w:hAnsi="Arial"/>
      <w:color w:val="464646"/>
      <w:sz w:val="26"/>
      <w:lang w:eastAsia="en-US"/>
    </w:rPr>
  </w:style>
  <w:style w:type="character" w:customStyle="1" w:styleId="Unknown19">
    <w:name w:val="Unknown 19"/>
    <w:semiHidden/>
    <w:rsid w:val="00F12219"/>
  </w:style>
  <w:style w:type="character" w:styleId="CommentReference">
    <w:name w:val="annotation reference"/>
    <w:locked/>
    <w:rsid w:val="00F12219"/>
    <w:rPr>
      <w:sz w:val="16"/>
      <w:szCs w:val="16"/>
    </w:rPr>
  </w:style>
  <w:style w:type="paragraph" w:styleId="CommentText">
    <w:name w:val="annotation text"/>
    <w:basedOn w:val="Normal"/>
    <w:link w:val="CommentTextChar"/>
    <w:locked/>
    <w:rsid w:val="00F12219"/>
    <w:rPr>
      <w:rFonts w:eastAsia="Times New Roman"/>
      <w:sz w:val="20"/>
      <w:szCs w:val="20"/>
    </w:rPr>
  </w:style>
  <w:style w:type="character" w:customStyle="1" w:styleId="CommentTextChar">
    <w:name w:val="Comment Text Char"/>
    <w:basedOn w:val="DefaultParagraphFont"/>
    <w:link w:val="CommentText"/>
    <w:rsid w:val="00F12219"/>
    <w:rPr>
      <w:rFonts w:ascii="Arial" w:hAnsi="Arial"/>
    </w:rPr>
  </w:style>
  <w:style w:type="character" w:customStyle="1" w:styleId="TitleChar">
    <w:name w:val="Title Char"/>
    <w:link w:val="Title"/>
    <w:rsid w:val="00F12219"/>
    <w:rPr>
      <w:rFonts w:ascii="Arial" w:eastAsia="MS Mincho" w:hAnsi="Arial" w:cs="Arial"/>
      <w:b/>
      <w:bCs/>
      <w:kern w:val="28"/>
      <w:sz w:val="32"/>
      <w:szCs w:val="32"/>
    </w:rPr>
  </w:style>
  <w:style w:type="paragraph" w:styleId="TOC9">
    <w:name w:val="toc 9"/>
    <w:basedOn w:val="Normal"/>
    <w:next w:val="Normal"/>
    <w:autoRedefine/>
    <w:uiPriority w:val="39"/>
    <w:locked/>
    <w:rsid w:val="00F12219"/>
    <w:pPr>
      <w:ind w:left="1920"/>
    </w:pPr>
    <w:rPr>
      <w:rFonts w:eastAsia="ヒラギノ角ゴ Pro W3"/>
      <w:color w:val="000000"/>
      <w:lang w:eastAsia="en-US"/>
    </w:rPr>
  </w:style>
  <w:style w:type="paragraph" w:styleId="TOC5">
    <w:name w:val="toc 5"/>
    <w:basedOn w:val="Normal"/>
    <w:next w:val="Normal"/>
    <w:autoRedefine/>
    <w:uiPriority w:val="39"/>
    <w:locked/>
    <w:rsid w:val="00F12219"/>
    <w:pPr>
      <w:ind w:left="960"/>
    </w:pPr>
    <w:rPr>
      <w:rFonts w:eastAsia="ヒラギノ角ゴ Pro W3"/>
      <w:color w:val="000000"/>
      <w:lang w:eastAsia="en-US"/>
    </w:rPr>
  </w:style>
  <w:style w:type="paragraph" w:styleId="TOC6">
    <w:name w:val="toc 6"/>
    <w:basedOn w:val="Normal"/>
    <w:next w:val="Normal"/>
    <w:autoRedefine/>
    <w:uiPriority w:val="39"/>
    <w:locked/>
    <w:rsid w:val="00F12219"/>
    <w:pPr>
      <w:ind w:left="1200"/>
    </w:pPr>
    <w:rPr>
      <w:rFonts w:eastAsia="ヒラギノ角ゴ Pro W3"/>
      <w:color w:val="000000"/>
      <w:lang w:eastAsia="en-US"/>
    </w:rPr>
  </w:style>
  <w:style w:type="paragraph" w:styleId="CommentSubject">
    <w:name w:val="annotation subject"/>
    <w:basedOn w:val="CommentText"/>
    <w:next w:val="CommentText"/>
    <w:link w:val="CommentSubjectChar"/>
    <w:locked/>
    <w:rsid w:val="00F12219"/>
    <w:rPr>
      <w:rFonts w:eastAsia="ヒラギノ角ゴ Pro W3"/>
      <w:b/>
      <w:bCs/>
      <w:color w:val="000000"/>
      <w:lang w:eastAsia="en-US"/>
    </w:rPr>
  </w:style>
  <w:style w:type="character" w:customStyle="1" w:styleId="CommentSubjectChar">
    <w:name w:val="Comment Subject Char"/>
    <w:basedOn w:val="CommentTextChar"/>
    <w:link w:val="CommentSubject"/>
    <w:rsid w:val="00F12219"/>
    <w:rPr>
      <w:rFonts w:ascii="Arial" w:eastAsia="ヒラギノ角ゴ Pro W3" w:hAnsi="Arial"/>
      <w:b/>
      <w:bCs/>
      <w:color w:val="000000"/>
      <w:lang w:eastAsia="en-US"/>
    </w:rPr>
  </w:style>
  <w:style w:type="character" w:customStyle="1" w:styleId="MessageHeaderChar">
    <w:name w:val="Message Header Char"/>
    <w:link w:val="MessageHeader"/>
    <w:rsid w:val="00F12219"/>
    <w:rPr>
      <w:rFonts w:ascii="Arial" w:eastAsia="MS Mincho" w:hAnsi="Arial" w:cs="Arial"/>
      <w:sz w:val="24"/>
      <w:szCs w:val="24"/>
      <w:shd w:val="pct20" w:color="auto" w:fill="auto"/>
    </w:rPr>
  </w:style>
  <w:style w:type="character" w:customStyle="1" w:styleId="FootnoteTextChar">
    <w:name w:val="Footnote Text Char"/>
    <w:link w:val="FootnoteText"/>
    <w:rsid w:val="00F12219"/>
    <w:rPr>
      <w:rFonts w:ascii="Arial" w:eastAsia="MS Mincho" w:hAnsi="Arial"/>
    </w:rPr>
  </w:style>
  <w:style w:type="paragraph" w:styleId="ListParagraph">
    <w:name w:val="List Paragraph"/>
    <w:basedOn w:val="Normal"/>
    <w:uiPriority w:val="34"/>
    <w:qFormat/>
    <w:rsid w:val="00F12219"/>
    <w:pPr>
      <w:ind w:left="720"/>
    </w:pPr>
    <w:rPr>
      <w:rFonts w:eastAsia="ヒラギノ角ゴ Pro W3"/>
      <w:color w:val="000000"/>
      <w:lang w:eastAsia="en-US"/>
    </w:rPr>
  </w:style>
  <w:style w:type="table" w:styleId="MediumShading1-Accent1">
    <w:name w:val="Medium Shading 1 Accent 1"/>
    <w:basedOn w:val="TableNormal"/>
    <w:uiPriority w:val="63"/>
    <w:rsid w:val="00F1221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A13942"/>
    <w:rPr>
      <w:rFonts w:ascii="Arial" w:eastAsia="MS Mincho" w:hAnsi="Arial"/>
      <w:sz w:val="24"/>
      <w:szCs w:val="24"/>
    </w:rPr>
  </w:style>
  <w:style w:type="paragraph" w:styleId="Revision">
    <w:name w:val="Revision"/>
    <w:hidden/>
    <w:uiPriority w:val="99"/>
    <w:semiHidden/>
    <w:rsid w:val="00A168E1"/>
    <w:rPr>
      <w:rFonts w:ascii="Arial" w:eastAsia="MS Mincho"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7291">
      <w:bodyDiv w:val="1"/>
      <w:marLeft w:val="0"/>
      <w:marRight w:val="0"/>
      <w:marTop w:val="0"/>
      <w:marBottom w:val="0"/>
      <w:divBdr>
        <w:top w:val="none" w:sz="0" w:space="0" w:color="auto"/>
        <w:left w:val="none" w:sz="0" w:space="0" w:color="auto"/>
        <w:bottom w:val="none" w:sz="0" w:space="0" w:color="auto"/>
        <w:right w:val="none" w:sz="0" w:space="0" w:color="auto"/>
      </w:divBdr>
    </w:div>
    <w:div w:id="630597428">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6787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26" Type="http://schemas.openxmlformats.org/officeDocument/2006/relationships/hyperlink" Target="http://www.antar.org.au/sites/default/files/NT%20Community%20development%20policy%20paper%20FINAL.pdf" TargetMode="External"/><Relationship Id="rId117" Type="http://schemas.openxmlformats.org/officeDocument/2006/relationships/hyperlink" Target="http://www.humanrights.gov.au/social_justice/nt_report/ntreport07/index.html" TargetMode="External"/><Relationship Id="rId21" Type="http://schemas.openxmlformats.org/officeDocument/2006/relationships/hyperlink" Target="http://www.fahcsia.gov.au/sa/indigenous/pubs/nter_reports/Pages/nter_evaluation_rpt_2011.aspx" TargetMode="External"/><Relationship Id="rId42" Type="http://schemas.openxmlformats.org/officeDocument/2006/relationships/hyperlink" Target="http://www2.ohchr.org/english/law/cerd.htm" TargetMode="External"/><Relationship Id="rId47" Type="http://schemas.openxmlformats.org/officeDocument/2006/relationships/hyperlink" Target="http://www.humanrights.gov.au/legal/submissions/2007/NTNER_Measures20070810.html" TargetMode="External"/><Relationship Id="rId63" Type="http://schemas.openxmlformats.org/officeDocument/2006/relationships/hyperlink" Target="http://www.abs.gov.au/AUSSTATS/abs@nrp.nsf/Latestproducts/LGA34590Population/People12006-2010?opendocument&amp;tabname=Summary&amp;prodno=LGA34590&amp;issue=2006-2010" TargetMode="External"/><Relationship Id="rId68" Type="http://schemas.openxmlformats.org/officeDocument/2006/relationships/hyperlink" Target="http://www.aihw.gov.au/closingthegap/" TargetMode="External"/><Relationship Id="rId84" Type="http://schemas.openxmlformats.org/officeDocument/2006/relationships/hyperlink" Target="http://www.indigenous.gov.au/stronger-futures-in-the-northern-territory-report-on-consultations/" TargetMode="External"/><Relationship Id="rId89" Type="http://schemas.openxmlformats.org/officeDocument/2006/relationships/hyperlink" Target="http://www.humanrights.gov.au/legal/submissions/sj_submissions/2010_welfare_reform.html" TargetMode="External"/><Relationship Id="rId112" Type="http://schemas.openxmlformats.org/officeDocument/2006/relationships/hyperlink" Target="http://www.indigenous.gov.au/stronger-futures-in-the-northern-territory-report-on-consultations/" TargetMode="External"/><Relationship Id="rId133" Type="http://schemas.openxmlformats.org/officeDocument/2006/relationships/hyperlink" Target="http://www.un.org/esa/socdev/unpfii/en/drip.html" TargetMode="External"/><Relationship Id="rId138" Type="http://schemas.openxmlformats.org/officeDocument/2006/relationships/hyperlink" Target="http://www.fahcsia.gov.au/sa/indigenous/pubs/nter_reports/Documents/nter_evaluation_report_2011.PDF" TargetMode="External"/><Relationship Id="rId16" Type="http://schemas.openxmlformats.org/officeDocument/2006/relationships/hyperlink" Target="http://www.indigenous.gov.au/stronger-futures-in-the-northern-territory-report-on-consultations/" TargetMode="External"/><Relationship Id="rId107" Type="http://schemas.openxmlformats.org/officeDocument/2006/relationships/hyperlink" Target="http://www.lexisnexis.com:80/au/legal/search/runRemoteLink.do?bct=A&amp;risb=21_T13543393033&amp;homeCsi=267897&amp;A=0.9331273310445166&amp;urlEnc=ISO-8859-1&amp;&amp;dpsi=006I&amp;remotekey1=REFPTID&amp;refpt=AL.AATL.AATA75.S3&amp;service=DOC-ID&amp;origdpsi=006I" TargetMode="External"/><Relationship Id="rId11" Type="http://schemas.openxmlformats.org/officeDocument/2006/relationships/hyperlink" Target="http://www.nterreview.gov.au/report.htm" TargetMode="External"/><Relationship Id="rId32" Type="http://schemas.openxmlformats.org/officeDocument/2006/relationships/hyperlink" Target="http://www.nterreview.gov.au/docs/report_nter_review/default.htm" TargetMode="External"/><Relationship Id="rId37" Type="http://schemas.openxmlformats.org/officeDocument/2006/relationships/hyperlink" Target="http://www.humanrights.gov.au/social_justice/sj_report/sjreport11/index.html" TargetMode="External"/><Relationship Id="rId53" Type="http://schemas.openxmlformats.org/officeDocument/2006/relationships/hyperlink" Target="http://parlinfo.aph.gov.au/parlInfo/genpdf/chamber/hansardr/14965034-cdb8-4a26-98aa-26c862a1cd0e/0030/hansard_frag.pdf;fileType=application%2Fpdf" TargetMode="External"/><Relationship Id="rId58" Type="http://schemas.openxmlformats.org/officeDocument/2006/relationships/hyperlink" Target="http://www.humanrights.gov.au/social_justice/sj_report/sjreport07/index.html" TargetMode="External"/><Relationship Id="rId74" Type="http://schemas.openxmlformats.org/officeDocument/2006/relationships/hyperlink" Target="http://www.deewr.gov.au/Schooling/Programs/Pages/SEAM.aspx" TargetMode="External"/><Relationship Id="rId79" Type="http://schemas.openxmlformats.org/officeDocument/2006/relationships/hyperlink" Target="http://www.indigenous.gov.au/stronger-futures-in-the-northern-territory/" TargetMode="External"/><Relationship Id="rId102" Type="http://schemas.openxmlformats.org/officeDocument/2006/relationships/hyperlink" Target="http://www.inquirysaac.nt.gov.au/" TargetMode="External"/><Relationship Id="rId123" Type="http://schemas.openxmlformats.org/officeDocument/2006/relationships/hyperlink" Target="http://www.nlc.org.au/html/wht_pub.html" TargetMode="External"/><Relationship Id="rId128" Type="http://schemas.openxmlformats.org/officeDocument/2006/relationships/hyperlink" Target="http://www.humanrights.gov.au/legal/submissions/sj_submissions/2010_welfare_reform.html" TargetMode="External"/><Relationship Id="rId144" Type="http://schemas.openxmlformats.org/officeDocument/2006/relationships/hyperlink" Target="http://tracker.org.au/2011/11/speed-bumps-boost-jailing-rates/" TargetMode="External"/><Relationship Id="rId5" Type="http://schemas.openxmlformats.org/officeDocument/2006/relationships/hyperlink" Target="http://www.indigenous.gov.au/stronger-futures-in-the-northern-territory-report-on-consultations/" TargetMode="External"/><Relationship Id="rId90" Type="http://schemas.openxmlformats.org/officeDocument/2006/relationships/hyperlink" Target="http://www.humanrights.gov.au/social_justice/sj_report/sjreport10/index.html" TargetMode="External"/><Relationship Id="rId95" Type="http://schemas.openxmlformats.org/officeDocument/2006/relationships/hyperlink" Target="http://www.facsia.gov.au/sa/indigenous/pubs/nter_reports/policy_statement_nter/Documents/landmark_reform_welfare_system.pdf" TargetMode="External"/><Relationship Id="rId22" Type="http://schemas.openxmlformats.org/officeDocument/2006/relationships/hyperlink" Target="http://www.nterreview.gov.au/report.htm" TargetMode="External"/><Relationship Id="rId27" Type="http://schemas.openxmlformats.org/officeDocument/2006/relationships/hyperlink" Target="http://cgris.gov.au/site/s2011_report.asp" TargetMode="External"/><Relationship Id="rId43" Type="http://schemas.openxmlformats.org/officeDocument/2006/relationships/hyperlink" Target="http://www2.ohchr.org/english/bodies/cerd/comments.htm" TargetMode="External"/><Relationship Id="rId48" Type="http://schemas.openxmlformats.org/officeDocument/2006/relationships/hyperlink" Target="http://www.humanrights.gov.au/legal/submissions/2007/NTNER_Measures20070810.html" TargetMode="External"/><Relationship Id="rId64" Type="http://schemas.openxmlformats.org/officeDocument/2006/relationships/hyperlink" Target="http://www.humanrights.gov.au/social_justice/sj_report/99_report.html" TargetMode="External"/><Relationship Id="rId69" Type="http://schemas.openxmlformats.org/officeDocument/2006/relationships/hyperlink" Target="http://www.aihw.gov.au/closingthegap/resources/item.cfm?item_id=5372&amp;group_type=BB&amp;group_id=2&amp;q=&amp;start=229" TargetMode="External"/><Relationship Id="rId113" Type="http://schemas.openxmlformats.org/officeDocument/2006/relationships/hyperlink" Target="http://www.aihw.gov.au/closingthegap/documents/resource_sheets/ctgc-rs03.rtf" TargetMode="External"/><Relationship Id="rId118" Type="http://schemas.openxmlformats.org/officeDocument/2006/relationships/hyperlink" Target="http://www.humanrights.gov.au/social_justice/nt_report/ntreport07/index.html" TargetMode="External"/><Relationship Id="rId134" Type="http://schemas.openxmlformats.org/officeDocument/2006/relationships/hyperlink" Target="http://www.un.org/en/documents/udhr/" TargetMode="External"/><Relationship Id="rId139" Type="http://schemas.openxmlformats.org/officeDocument/2006/relationships/hyperlink" Target="http://www.fahcsia.gov.au/sa/indigenous/pubs/nter_reports/Documents/nter_evaluation_report_2011.PDF" TargetMode="External"/><Relationship Id="rId80" Type="http://schemas.openxmlformats.org/officeDocument/2006/relationships/hyperlink" Target="http://www.indigenous.gov.au/stronger-futures-in-the-northern-territory-report-on-consultations/" TargetMode="External"/><Relationship Id="rId85" Type="http://schemas.openxmlformats.org/officeDocument/2006/relationships/hyperlink" Target="http://www.indigenous.gov.au/stronger-futures-in-the-northern-territory-report-on-consultations/" TargetMode="External"/><Relationship Id="rId3" Type="http://schemas.openxmlformats.org/officeDocument/2006/relationships/hyperlink" Target="http://www.aihw.gov.au/closingthegap/documents/annual_papers/what_works_to_overcome_disadvantage.rtf" TargetMode="External"/><Relationship Id="rId12" Type="http://schemas.openxmlformats.org/officeDocument/2006/relationships/hyperlink" Target="http://hpaied.org/about-hpaied/overview" TargetMode="External"/><Relationship Id="rId17" Type="http://schemas.openxmlformats.org/officeDocument/2006/relationships/hyperlink" Target="http://www.antar.org.au/sites/default/files/NT%20Community%20development%20policy%20paper%20FINAL.pdf" TargetMode="External"/><Relationship Id="rId25" Type="http://schemas.openxmlformats.org/officeDocument/2006/relationships/hyperlink" Target="http://www.fahcsia.gov.au/sa/indigenous/pubs/nter_reports/Pages/nter_evaluation_rpt_2011.aspx" TargetMode="External"/><Relationship Id="rId33" Type="http://schemas.openxmlformats.org/officeDocument/2006/relationships/hyperlink" Target="http://www.humanrights.gov.au/social_justice/sj_report/sjreport10/index.html" TargetMode="External"/><Relationship Id="rId38" Type="http://schemas.openxmlformats.org/officeDocument/2006/relationships/hyperlink" Target="http://www.nhmrc.gov.au/guidelines/publications/hp19-hp26" TargetMode="External"/><Relationship Id="rId46" Type="http://schemas.openxmlformats.org/officeDocument/2006/relationships/hyperlink" Target="http://www.humanrights.gov.au/about/media/media_releases/2007/45_07.html" TargetMode="External"/><Relationship Id="rId59" Type="http://schemas.openxmlformats.org/officeDocument/2006/relationships/hyperlink" Target="http://www.aph.gov.au/hansard/senate/commttee/committee_transcript.asp?MODE=YEAR&amp;ID=80&amp;YEAR=2011" TargetMode="External"/><Relationship Id="rId67" Type="http://schemas.openxmlformats.org/officeDocument/2006/relationships/hyperlink" Target="http://www.humanrights.gov.au/social_justice/sj_report/sjreport08/index.html" TargetMode="External"/><Relationship Id="rId103" Type="http://schemas.openxmlformats.org/officeDocument/2006/relationships/hyperlink" Target="http://www.indigenous.gov.au/stronger-futures-in-the-northern-territory/" TargetMode="External"/><Relationship Id="rId108" Type="http://schemas.openxmlformats.org/officeDocument/2006/relationships/hyperlink" Target="http://www.fahcsia.gov.au/sa/indigenous/pubs/nter_reports/Pages/nter_evaluation_rpt_2011.aspx" TargetMode="External"/><Relationship Id="rId116" Type="http://schemas.openxmlformats.org/officeDocument/2006/relationships/hyperlink" Target="http://www.humanrights.gov.au/legal/submissions/sj_submissions/2010_welfare_reform.html" TargetMode="External"/><Relationship Id="rId124" Type="http://schemas.openxmlformats.org/officeDocument/2006/relationships/hyperlink" Target="http://www.humanrights.gov.au/social_justice/nt_report/ntreport06/index.html" TargetMode="External"/><Relationship Id="rId129" Type="http://schemas.openxmlformats.org/officeDocument/2006/relationships/hyperlink" Target="http://www.aph.gov.au/house/committee/ATSIA/communitystores/report.htm" TargetMode="External"/><Relationship Id="rId137" Type="http://schemas.openxmlformats.org/officeDocument/2006/relationships/hyperlink" Target="http://www.fahcsia.gov.au/sa/indigenous/pubs/nter_reports/Documents/nter_evaluation_report_2011.PDF" TargetMode="External"/><Relationship Id="rId20" Type="http://schemas.openxmlformats.org/officeDocument/2006/relationships/hyperlink" Target="http://www.indigenous.gov.au/stronger-futures-in-the-northern-territory-report-on-consultations/" TargetMode="External"/><Relationship Id="rId41" Type="http://schemas.openxmlformats.org/officeDocument/2006/relationships/hyperlink" Target="http://www2.ohchr.org/english/bodies/cerd/comments.htm" TargetMode="External"/><Relationship Id="rId54" Type="http://schemas.openxmlformats.org/officeDocument/2006/relationships/hyperlink" Target="http://parlinfo.aph.gov.au/parlInfo/download/legislation/ems/r4736_ems_f6c14ab7-6aa9-49f1-b604-2e4503a32f6d/upload_pdf/362725.pdf;fileType=application%2Fpdf" TargetMode="External"/><Relationship Id="rId62" Type="http://schemas.openxmlformats.org/officeDocument/2006/relationships/hyperlink" Target="http://www.abs.gov.au/AUSSTATS/abs@nrp.nsf/Latestproducts/LGA10350Population/People12006-2010?opendocument&amp;tabname=Summary&amp;prodno=LGA10350&amp;issue=2006-2010" TargetMode="External"/><Relationship Id="rId70" Type="http://schemas.openxmlformats.org/officeDocument/2006/relationships/hyperlink" Target="http://indigenousjustice.gov.au/db/publications/276547.html" TargetMode="External"/><Relationship Id="rId75" Type="http://schemas.openxmlformats.org/officeDocument/2006/relationships/hyperlink" Target="http://www.censusdata.abs.gov.au/ABSNavigation/prenav/ViewData?&amp;action=404&amp;documentproductno=UCL703600&amp;documenttype=Details&amp;tabname=Details&amp;areacode=UCL703600&amp;issue=2001&amp;producttype=Community%20Profiles&amp;&amp;producttype=Community%20Profiles&amp;textversion=false&amp;navmapdisplayed=true&amp;breadcrumb=LPD&amp;" TargetMode="External"/><Relationship Id="rId83" Type="http://schemas.openxmlformats.org/officeDocument/2006/relationships/hyperlink" Target="http://www.indigenous.gov.au/stronger-futures-in-the-northern-territory-report-on-consultations/" TargetMode="External"/><Relationship Id="rId88" Type="http://schemas.openxmlformats.org/officeDocument/2006/relationships/hyperlink" Target="http://www.aihw.gov.au/closingthegap/documents/resource_sheets/ctgc-rs03.rtf" TargetMode="External"/><Relationship Id="rId91" Type="http://schemas.openxmlformats.org/officeDocument/2006/relationships/hyperlink" Target="http://www.humanrights.gov.au/social_justice/sj_report/sjreport07/index.html" TargetMode="External"/><Relationship Id="rId96" Type="http://schemas.openxmlformats.org/officeDocument/2006/relationships/hyperlink" Target="http://www.facsia.gov.au/sa/indigenous/pubs/nter_reports/policy_statement_nter/Documents/landmark_reform_welfare_system.pdf" TargetMode="External"/><Relationship Id="rId111" Type="http://schemas.openxmlformats.org/officeDocument/2006/relationships/hyperlink" Target="http://www.indigenous.gov.au/stronger-futures-in-the-northern-territory-report-on-consultations/" TargetMode="External"/><Relationship Id="rId132" Type="http://schemas.openxmlformats.org/officeDocument/2006/relationships/hyperlink" Target="http://www.daff.gov.au/agriculture-food/food/national-food-plan" TargetMode="External"/><Relationship Id="rId140" Type="http://schemas.openxmlformats.org/officeDocument/2006/relationships/hyperlink" Target="http://www.fahcsia.gov.au/sa/indigenous/pubs/nter_reports/Documents/nter_evaluation_report_2011.PDF" TargetMode="External"/><Relationship Id="rId145" Type="http://schemas.openxmlformats.org/officeDocument/2006/relationships/hyperlink" Target="http://tracker.org.au/2011/11/speed-bumps-boost-jailing-rates/" TargetMode="External"/><Relationship Id="rId1" Type="http://schemas.openxmlformats.org/officeDocument/2006/relationships/hyperlink" Target="http://www.indigenous.gov.au/no-category/stronger-futures-in-the-northern-territory-discussion-paper/" TargetMode="External"/><Relationship Id="rId6" Type="http://schemas.openxmlformats.org/officeDocument/2006/relationships/hyperlink" Target="http://www.hreoc.gov.au/social_justice/sj_report/sjreport11/index.html" TargetMode="External"/><Relationship Id="rId15" Type="http://schemas.openxmlformats.org/officeDocument/2006/relationships/hyperlink" Target="http://www.amsant.org.au/documents/article/154/111608%20-%20APONT%20submission%20to%20Stronger%20Futures%20-%20Final-2.pdf" TargetMode="External"/><Relationship Id="rId23" Type="http://schemas.openxmlformats.org/officeDocument/2006/relationships/hyperlink" Target="http://www.nlc.org.au/html/files/20111608%20-%20APONT%20submission%20to%20Stronger%20Futures%20-%20Final.pdf" TargetMode="External"/><Relationship Id="rId28" Type="http://schemas.openxmlformats.org/officeDocument/2006/relationships/hyperlink" Target="http://www.indigenous.gov.au/stronger-futures-in-the-northern-territory-report-on-consultations/" TargetMode="External"/><Relationship Id="rId36" Type="http://schemas.openxmlformats.org/officeDocument/2006/relationships/hyperlink" Target="http://www.aiatsis.gov.au/research/documents/AIATSISDiscussionPaper28.pdf" TargetMode="External"/><Relationship Id="rId49" Type="http://schemas.openxmlformats.org/officeDocument/2006/relationships/hyperlink" Target="http://www.humanrights.gov.au/social_justice/sj_report/sjreport07/index.html" TargetMode="External"/><Relationship Id="rId57" Type="http://schemas.openxmlformats.org/officeDocument/2006/relationships/hyperlink" Target="http://www.facsia.gov.au/sa/indigenous/pubs/nter_reports/policy_statement_nter/Documents/landmark_reform_welfare_system.pdf" TargetMode="External"/><Relationship Id="rId106" Type="http://schemas.openxmlformats.org/officeDocument/2006/relationships/hyperlink" Target="http://www.indigenous.gov.au/stronger-futures-in-the-northern-territory-report-on-consultations/" TargetMode="External"/><Relationship Id="rId114" Type="http://schemas.openxmlformats.org/officeDocument/2006/relationships/hyperlink" Target="http://www.humanrights.gov.au/social_justice/nt_report/ntreport07/index.html" TargetMode="External"/><Relationship Id="rId119" Type="http://schemas.openxmlformats.org/officeDocument/2006/relationships/hyperlink" Target="http://www.humanrights.gov.au/social_justice/nt_report/ntreport07/index.html" TargetMode="External"/><Relationship Id="rId127" Type="http://schemas.openxmlformats.org/officeDocument/2006/relationships/hyperlink" Target="http://www.facsia.gov.au/sa/indigenous/pubs/nter_reports/policy_statement_nter/Documents/landmark_reform_welfare_system.pdf" TargetMode="External"/><Relationship Id="rId10" Type="http://schemas.openxmlformats.org/officeDocument/2006/relationships/hyperlink" Target="http://www.fahcsia.gov.au/sa/indigenous/pubs/nter_reports/Pages/nter_evaluation_rpt_2011.aspx" TargetMode="External"/><Relationship Id="rId31" Type="http://schemas.openxmlformats.org/officeDocument/2006/relationships/hyperlink" Target="http://www.nterreview.gov.au/docs/report_nter_review/default.htm" TargetMode="External"/><Relationship Id="rId44" Type="http://schemas.openxmlformats.org/officeDocument/2006/relationships/hyperlink" Target="http://www2.ohchr.org/english/bodies/cerd/comments.htm" TargetMode="External"/><Relationship Id="rId52" Type="http://schemas.openxmlformats.org/officeDocument/2006/relationships/hyperlink" Target="http://www.humanrights.gov.au/racial_discrimination/publications/rda-nter/1.html" TargetMode="External"/><Relationship Id="rId60" Type="http://schemas.openxmlformats.org/officeDocument/2006/relationships/hyperlink" Target="http://www.abs.gov.au/ausstats/abs@.nsf/Latestproducts/1362.7Feature%20Article1Mar%202011?opendocument&amp;tabname=Summary&amp;prodno=1362.7&amp;issue=Mar%202011&amp;num=&amp;view=" TargetMode="External"/><Relationship Id="rId65" Type="http://schemas.openxmlformats.org/officeDocument/2006/relationships/hyperlink" Target="http://www.humanrights.gov.au/social_justice/sj_report/sjreport08/index.html" TargetMode="External"/><Relationship Id="rId73" Type="http://schemas.openxmlformats.org/officeDocument/2006/relationships/hyperlink" Target="http://www.deewr.gov.au/Schooling/Programs/Pages/SEAM.aspx" TargetMode="External"/><Relationship Id="rId78" Type="http://schemas.openxmlformats.org/officeDocument/2006/relationships/hyperlink" Target="http://www2.ohchr.org/english/bodies/cescr/comments.htm" TargetMode="External"/><Relationship Id="rId81" Type="http://schemas.openxmlformats.org/officeDocument/2006/relationships/hyperlink" Target="http://www.indigenous.gov.au/stronger-futures-in-the-northern-territory-report-on-consultations/" TargetMode="External"/><Relationship Id="rId86" Type="http://schemas.openxmlformats.org/officeDocument/2006/relationships/hyperlink" Target="http://www.det.nt.gov.au/__data/assets/pdf_file/0009/5130/ILCreport.pdf" TargetMode="External"/><Relationship Id="rId94" Type="http://schemas.openxmlformats.org/officeDocument/2006/relationships/hyperlink" Target="http://www.aihw.gov.au/closingthegap/documents/resource_sheets/ctgc-rs03.rtf" TargetMode="External"/><Relationship Id="rId99" Type="http://schemas.openxmlformats.org/officeDocument/2006/relationships/hyperlink" Target="http://www.humanrights.gov.au/legal/submissions/sj_submissions/2010_welfare_reform.html" TargetMode="External"/><Relationship Id="rId101" Type="http://schemas.openxmlformats.org/officeDocument/2006/relationships/hyperlink" Target="http://www.justice.qld.gov.au/__data/assets/pdf_file/0005/131369/cjg-evaluation-report-nov-2010.pdf" TargetMode="External"/><Relationship Id="rId122" Type="http://schemas.openxmlformats.org/officeDocument/2006/relationships/hyperlink" Target="http://www.indigenous.gov.au/stronger-futures-in-the-northern-territory/" TargetMode="External"/><Relationship Id="rId130" Type="http://schemas.openxmlformats.org/officeDocument/2006/relationships/hyperlink" Target="http://www.aph.gov.au/house/committee/ATSIA/communitystores/report.htm" TargetMode="External"/><Relationship Id="rId135" Type="http://schemas.openxmlformats.org/officeDocument/2006/relationships/hyperlink" Target="http://www2.ohchr.org/english/law/ccpr.htm" TargetMode="External"/><Relationship Id="rId143" Type="http://schemas.openxmlformats.org/officeDocument/2006/relationships/hyperlink" Target="http://www.fahcsia.gov.au/sa/indigenous/pubs/nter_reports/Documents/nter_evaluation_report_2011.PDF" TargetMode="External"/><Relationship Id="rId148" Type="http://schemas.openxmlformats.org/officeDocument/2006/relationships/hyperlink" Target="http://humanrights.gov.au/social_justice/sj_report/sjreport09/chap2.html" TargetMode="External"/><Relationship Id="rId4" Type="http://schemas.openxmlformats.org/officeDocument/2006/relationships/hyperlink" Target="http://www.pm.gov.au/press-office/delivering-better-future-indigenous-people-northern-territory" TargetMode="External"/><Relationship Id="rId9" Type="http://schemas.openxmlformats.org/officeDocument/2006/relationships/hyperlink" Target="https://digitalcollections.anu.edu.au/bitstream/1885/41862/3/2003_DP250.pdf" TargetMode="External"/><Relationship Id="rId13" Type="http://schemas.openxmlformats.org/officeDocument/2006/relationships/hyperlink" Target="http://www.ohchr.org/Documents/Issues/IPeoples/EMRIP/Advice2_Oct2011.pdf" TargetMode="External"/><Relationship Id="rId18" Type="http://schemas.openxmlformats.org/officeDocument/2006/relationships/hyperlink" Target="http://www.amsant.org.au/documents/article/154/111608%20-%20APONT%20submission%20to%20Stronger%20Futures%20-%20Final-2.pdf" TargetMode="External"/><Relationship Id="rId39" Type="http://schemas.openxmlformats.org/officeDocument/2006/relationships/hyperlink" Target="http://www.humanrights.gov.au/social_justice/sj_report/sjreport11/index.html" TargetMode="External"/><Relationship Id="rId109" Type="http://schemas.openxmlformats.org/officeDocument/2006/relationships/hyperlink" Target="http://www.indigenous.gov.au/stronger-futures-in-the-northern-territory/" TargetMode="External"/><Relationship Id="rId34" Type="http://schemas.openxmlformats.org/officeDocument/2006/relationships/hyperlink" Target="http://www.humanrights.gov.au/social_justice/sj_report/sjreport11/index.html" TargetMode="External"/><Relationship Id="rId50" Type="http://schemas.openxmlformats.org/officeDocument/2006/relationships/hyperlink" Target="http://www2.ohchr.org/english/bodies/hrcouncil/15session/reports.htm" TargetMode="External"/><Relationship Id="rId55" Type="http://schemas.openxmlformats.org/officeDocument/2006/relationships/hyperlink" Target="http://parlinfo.aph.gov.au/parlInfo/download/legislation/ems/r4737_ems_f57fea5a-ccc3-43f0-948f-7e5f90788943/upload_pdf/362724.pdf;fileType=application%2Fpdf" TargetMode="External"/><Relationship Id="rId76" Type="http://schemas.openxmlformats.org/officeDocument/2006/relationships/hyperlink" Target="http://www.det.nt.gov.au/students/at-school/enrolment-attendance/enrolment-attendance-statistics" TargetMode="External"/><Relationship Id="rId97" Type="http://schemas.openxmlformats.org/officeDocument/2006/relationships/hyperlink" Target="http://www.humanrights.gov.au/social_justice/sj_report/sjreport07/index.html" TargetMode="External"/><Relationship Id="rId104" Type="http://schemas.openxmlformats.org/officeDocument/2006/relationships/hyperlink" Target="http://www.humanrights.gov.au/social_justice/nt_report/ntreport10/index.html" TargetMode="External"/><Relationship Id="rId120" Type="http://schemas.openxmlformats.org/officeDocument/2006/relationships/hyperlink" Target="http://www.humanrights.gov.au/social_justice/nt_report/ntreport09/index.html" TargetMode="External"/><Relationship Id="rId125" Type="http://schemas.openxmlformats.org/officeDocument/2006/relationships/hyperlink" Target="http://www.unhcr.org/refworld/docid/4538838c11.html" TargetMode="External"/><Relationship Id="rId141" Type="http://schemas.openxmlformats.org/officeDocument/2006/relationships/hyperlink" Target="http://www.fahcsia.gov.au/sa/indigenous/pubs/nter_reports/Documents/nter_evaluation_report_2011.PDF" TargetMode="External"/><Relationship Id="rId146" Type="http://schemas.openxmlformats.org/officeDocument/2006/relationships/hyperlink" Target="http://tracker.org.au/2011/11/speed-bumps-boost-jailing-rates/" TargetMode="External"/><Relationship Id="rId7" Type="http://schemas.openxmlformats.org/officeDocument/2006/relationships/hyperlink" Target="http://www.hreoc.gov.au/social_justice/nt_report/ntreport10/index.html" TargetMode="External"/><Relationship Id="rId71" Type="http://schemas.openxmlformats.org/officeDocument/2006/relationships/hyperlink" Target="http://www.aihw.gov.au/closingthegap/resources/item.cfm?item_id=5372&amp;group_type=BB&amp;group_id=2&amp;q=&amp;start=229" TargetMode="External"/><Relationship Id="rId92" Type="http://schemas.openxmlformats.org/officeDocument/2006/relationships/hyperlink" Target="http://www.aihw.gov.au/closingthegap/documents/resource_sheets/ctgc-rs03.rtf" TargetMode="External"/><Relationship Id="rId2" Type="http://schemas.openxmlformats.org/officeDocument/2006/relationships/hyperlink" Target="http://www.humanrights.gov.au/social_justice/sj_report/sjreport11/index.html" TargetMode="External"/><Relationship Id="rId29" Type="http://schemas.openxmlformats.org/officeDocument/2006/relationships/hyperlink" Target="http://www.jennymacklin.fahcsia.gov.au/mediareleases/2011/Pages/jobs_better_opportunities_nt_14nov11.aspx" TargetMode="External"/><Relationship Id="rId24" Type="http://schemas.openxmlformats.org/officeDocument/2006/relationships/hyperlink" Target="http://www.indigenous.gov.au/stronger-futures-in-the-northern-territory-report-on-consultations/" TargetMode="External"/><Relationship Id="rId40" Type="http://schemas.openxmlformats.org/officeDocument/2006/relationships/hyperlink" Target="http://www.humanrights.gov.au/social_justice/sj_report/sjreport11/index.html" TargetMode="External"/><Relationship Id="rId45" Type="http://schemas.openxmlformats.org/officeDocument/2006/relationships/hyperlink" Target="http://www.hreoc.gov.au/social_justice/nt_report/ntreport10/index.html" TargetMode="External"/><Relationship Id="rId66" Type="http://schemas.openxmlformats.org/officeDocument/2006/relationships/hyperlink" Target="http://www.fahcsia.gov.au/sa/indigenous/pubs/nter_reports/Pages/nter_evaluation_rpt_2011.aspx" TargetMode="External"/><Relationship Id="rId87" Type="http://schemas.openxmlformats.org/officeDocument/2006/relationships/hyperlink" Target="http://www.aihw.gov.au/closingthegap/documents/resource_sheets/ctgc-rs03.rtf" TargetMode="External"/><Relationship Id="rId110" Type="http://schemas.openxmlformats.org/officeDocument/2006/relationships/hyperlink" Target="http://www.indigenous.gov.au/stronger-futures-in-the-northern-territory-report-on-consultations/" TargetMode="External"/><Relationship Id="rId115" Type="http://schemas.openxmlformats.org/officeDocument/2006/relationships/hyperlink" Target="http://www.humanrights.gov.au/social_justice/nt_report/ntreport09/index.html" TargetMode="External"/><Relationship Id="rId131" Type="http://schemas.openxmlformats.org/officeDocument/2006/relationships/hyperlink" Target="http://www.aph.gov.au/house/committee/ATSIA/communitystores/report.htm" TargetMode="External"/><Relationship Id="rId136" Type="http://schemas.openxmlformats.org/officeDocument/2006/relationships/hyperlink" Target="http://www.fahcsia.gov.au/sa/indigenous/pubs/nter_reports/Documents/nter_evaluation_report_2011.PDF" TargetMode="External"/><Relationship Id="rId61" Type="http://schemas.openxmlformats.org/officeDocument/2006/relationships/hyperlink" Target="http://www.abs.gov.au/AUSSTATS/abs@.nsf/Previousproducts/LGA45680Population/People12004-2008?opendocument&amp;tabname=Summary&amp;prodno=LGA45680&amp;issue=2004-2008" TargetMode="External"/><Relationship Id="rId82" Type="http://schemas.openxmlformats.org/officeDocument/2006/relationships/hyperlink" Target="http://www.concernedaustralians.com.au/" TargetMode="External"/><Relationship Id="rId19" Type="http://schemas.openxmlformats.org/officeDocument/2006/relationships/hyperlink" Target="http://www.fahcsia.gov.au/sa/indigenous/pubs/nter_reports/Pages/nter_evaluation_rpt_2011.aspx" TargetMode="External"/><Relationship Id="rId14" Type="http://schemas.openxmlformats.org/officeDocument/2006/relationships/hyperlink" Target="http://www.ohchr.org/Documents/Issues/IPeoples/EMRIP/Advice2_Oct2011.pdf" TargetMode="External"/><Relationship Id="rId30" Type="http://schemas.openxmlformats.org/officeDocument/2006/relationships/hyperlink" Target="http://www.humanrights.gov.au/social_justice/sj_report/sjreport10/index.html" TargetMode="External"/><Relationship Id="rId35" Type="http://schemas.openxmlformats.org/officeDocument/2006/relationships/hyperlink" Target="http://www.humanrights.gov.au/about/media/news/2011/132_11.html" TargetMode="External"/><Relationship Id="rId56" Type="http://schemas.openxmlformats.org/officeDocument/2006/relationships/hyperlink" Target="http://www.hreoc.gov.au/social_justice/sj_report/sjreport07/chap3.html" TargetMode="External"/><Relationship Id="rId77" Type="http://schemas.openxmlformats.org/officeDocument/2006/relationships/hyperlink" Target="http://www.humanrights.gov.au/social_justice/sj_report/sjreport07/index.html" TargetMode="External"/><Relationship Id="rId100" Type="http://schemas.openxmlformats.org/officeDocument/2006/relationships/hyperlink" Target="http://www.humanrights.gov.au/legal/submissions/sj_submissions/2010_welfare_reform.html" TargetMode="External"/><Relationship Id="rId105" Type="http://schemas.openxmlformats.org/officeDocument/2006/relationships/hyperlink" Target="http://www.nterreview.gov.au/report.htm" TargetMode="External"/><Relationship Id="rId126" Type="http://schemas.openxmlformats.org/officeDocument/2006/relationships/hyperlink" Target="http://www.facsia.gov.au/sa/indigenous/pubs/nter_reports/policy_statement_nter/Documents/landmark_reform_welfare_system.pdf" TargetMode="External"/><Relationship Id="rId147" Type="http://schemas.openxmlformats.org/officeDocument/2006/relationships/hyperlink" Target="http://www.fahcsia.gov.au/sa/indigenous/pubs/nter_reports/Documents/nter_evaluation_report_2011.PDF" TargetMode="External"/><Relationship Id="rId8" Type="http://schemas.openxmlformats.org/officeDocument/2006/relationships/hyperlink" Target="https://digitalcollections.anu.edu.au/bitstream/1885/41862/3/2003_DP250.pdf" TargetMode="External"/><Relationship Id="rId51" Type="http://schemas.openxmlformats.org/officeDocument/2006/relationships/hyperlink" Target="http://daccess-dds-ny.un.org/doc/UNDOC/GEN/G10/449/00/PDF/G1044900.pdf?OpenElement" TargetMode="External"/><Relationship Id="rId72" Type="http://schemas.openxmlformats.org/officeDocument/2006/relationships/hyperlink" Target="http://www.aihw.gov.au/closingthegap/resources/item.cfm?item_id=5372&amp;group_type=BB&amp;group_id=2&amp;q=&amp;start=229" TargetMode="External"/><Relationship Id="rId93" Type="http://schemas.openxmlformats.org/officeDocument/2006/relationships/hyperlink" Target="http://humanrights.gov.au/social_justice/sj_report/sjreport07/chap3.html" TargetMode="External"/><Relationship Id="rId98" Type="http://schemas.openxmlformats.org/officeDocument/2006/relationships/hyperlink" Target="http://www.humanrights.gov.au/legal/submissions/sj_submissions/2010_welfare_reform.html" TargetMode="External"/><Relationship Id="rId121" Type="http://schemas.openxmlformats.org/officeDocument/2006/relationships/hyperlink" Target="http://www.humanrights.gov.au/social_justice/sj_report/sjreport07/index.html" TargetMode="External"/><Relationship Id="rId142" Type="http://schemas.openxmlformats.org/officeDocument/2006/relationships/hyperlink" Target="http://www.fahcsia.gov.au/sa/indigenous/pubs/nter_reports/Documents/nter_evaluation_report_20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Submi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42BB6-7183-4C65-AF5D-9F77EA2B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Submission.dot</Template>
  <TotalTime>0</TotalTime>
  <Pages>78</Pages>
  <Words>24773</Words>
  <Characters>143437</Characters>
  <Application>Microsoft Office Word</Application>
  <DocSecurity>0</DocSecurity>
  <Lines>1195</Lines>
  <Paragraphs>335</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167875</CharactersWithSpaces>
  <SharedDoc>false</SharedDoc>
  <HLinks>
    <vt:vector size="42" baseType="variant">
      <vt:variant>
        <vt:i4>1572920</vt:i4>
      </vt:variant>
      <vt:variant>
        <vt:i4>38</vt:i4>
      </vt:variant>
      <vt:variant>
        <vt:i4>0</vt:i4>
      </vt:variant>
      <vt:variant>
        <vt:i4>5</vt:i4>
      </vt:variant>
      <vt:variant>
        <vt:lpwstr/>
      </vt:variant>
      <vt:variant>
        <vt:lpwstr>_Toc209941772</vt:lpwstr>
      </vt:variant>
      <vt:variant>
        <vt:i4>1572920</vt:i4>
      </vt:variant>
      <vt:variant>
        <vt:i4>32</vt:i4>
      </vt:variant>
      <vt:variant>
        <vt:i4>0</vt:i4>
      </vt:variant>
      <vt:variant>
        <vt:i4>5</vt:i4>
      </vt:variant>
      <vt:variant>
        <vt:lpwstr/>
      </vt:variant>
      <vt:variant>
        <vt:lpwstr>_Toc209941771</vt:lpwstr>
      </vt:variant>
      <vt:variant>
        <vt:i4>1572920</vt:i4>
      </vt:variant>
      <vt:variant>
        <vt:i4>26</vt:i4>
      </vt:variant>
      <vt:variant>
        <vt:i4>0</vt:i4>
      </vt:variant>
      <vt:variant>
        <vt:i4>5</vt:i4>
      </vt:variant>
      <vt:variant>
        <vt:lpwstr/>
      </vt:variant>
      <vt:variant>
        <vt:lpwstr>_Toc209941770</vt:lpwstr>
      </vt:variant>
      <vt:variant>
        <vt:i4>1638456</vt:i4>
      </vt:variant>
      <vt:variant>
        <vt:i4>20</vt:i4>
      </vt:variant>
      <vt:variant>
        <vt:i4>0</vt:i4>
      </vt:variant>
      <vt:variant>
        <vt:i4>5</vt:i4>
      </vt:variant>
      <vt:variant>
        <vt:lpwstr/>
      </vt:variant>
      <vt:variant>
        <vt:lpwstr>_Toc209941769</vt:lpwstr>
      </vt:variant>
      <vt:variant>
        <vt:i4>1638456</vt:i4>
      </vt:variant>
      <vt:variant>
        <vt:i4>14</vt:i4>
      </vt:variant>
      <vt:variant>
        <vt:i4>0</vt:i4>
      </vt:variant>
      <vt:variant>
        <vt:i4>5</vt:i4>
      </vt:variant>
      <vt:variant>
        <vt:lpwstr/>
      </vt:variant>
      <vt:variant>
        <vt:lpwstr>_Toc209941768</vt:lpwstr>
      </vt:variant>
      <vt:variant>
        <vt:i4>1638456</vt:i4>
      </vt:variant>
      <vt:variant>
        <vt:i4>8</vt:i4>
      </vt:variant>
      <vt:variant>
        <vt:i4>0</vt:i4>
      </vt:variant>
      <vt:variant>
        <vt:i4>5</vt:i4>
      </vt:variant>
      <vt:variant>
        <vt:lpwstr/>
      </vt:variant>
      <vt:variant>
        <vt:lpwstr>_Toc209941767</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Jack Regester</dc:creator>
  <cp:lastModifiedBy>Nicholas Burrage</cp:lastModifiedBy>
  <cp:revision>2</cp:revision>
  <cp:lastPrinted>2012-02-06T05:11:00Z</cp:lastPrinted>
  <dcterms:created xsi:type="dcterms:W3CDTF">2012-02-06T06:03:00Z</dcterms:created>
  <dcterms:modified xsi:type="dcterms:W3CDTF">2012-02-06T06:03:00Z</dcterms:modified>
</cp:coreProperties>
</file>