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32" w:rsidRDefault="000F251D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margin-left:71.05pt;margin-top:86pt;width:446pt;height:296.1pt;z-index:-251659776;mso-wrap-distance-left:0;mso-wrap-distance-right:0;mso-position-horizontal-relative:page;mso-position-vertical-relative:page" filled="f" stroked="f">
            <v:textbox inset="0,0,0,0">
              <w:txbxContent>
                <w:p w:rsidR="00BF3E32" w:rsidRDefault="000F251D">
                  <w:pPr>
                    <w:spacing w:line="270" w:lineRule="exact"/>
                    <w:ind w:left="72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</w:rPr>
                    <w:br/>
                    <w:t xml:space="preserve">UNDER 855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4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</w:rPr>
                    <w:t>(1992) (CTH)</w:t>
                  </w:r>
                </w:p>
                <w:p w:rsidR="00BF3E32" w:rsidRDefault="000F251D">
                  <w:pPr>
                    <w:spacing w:before="687" w:line="249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as follows:</w:t>
                  </w:r>
                </w:p>
                <w:p w:rsidR="00BF3E32" w:rsidRDefault="000F251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09" w:line="271" w:lineRule="exact"/>
                    <w:ind w:left="864" w:right="360" w:hanging="360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seek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ree years.</w:t>
                  </w:r>
                </w:p>
                <w:p w:rsidR="00BF3E32" w:rsidRDefault="000F251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20" w:line="270" w:lineRule="exact"/>
                    <w:ind w:left="864" w:hanging="360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This exemption would apply to use of the BSWAT to:</w:t>
                  </w:r>
                </w:p>
                <w:p w:rsidR="00BF3E32" w:rsidRDefault="000F251D">
                  <w:pPr>
                    <w:numPr>
                      <w:ilvl w:val="0"/>
                      <w:numId w:val="2"/>
                    </w:numPr>
                    <w:tabs>
                      <w:tab w:val="clear" w:pos="288"/>
                      <w:tab w:val="left" w:pos="1152"/>
                    </w:tabs>
                    <w:spacing w:before="226" w:line="243" w:lineRule="exact"/>
                    <w:ind w:left="1152" w:hanging="288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assess wages for employees; and</w:t>
                  </w:r>
                </w:p>
                <w:p w:rsidR="00BF3E32" w:rsidRDefault="000F251D">
                  <w:pPr>
                    <w:numPr>
                      <w:ilvl w:val="0"/>
                      <w:numId w:val="2"/>
                    </w:numPr>
                    <w:tabs>
                      <w:tab w:val="clear" w:pos="288"/>
                      <w:tab w:val="left" w:pos="1152"/>
                    </w:tabs>
                    <w:spacing w:before="214" w:line="267" w:lineRule="exact"/>
                    <w:ind w:left="1152" w:right="720" w:hanging="288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wages to ADE employees based on assessments conducted under the BSWAT.</w:t>
                  </w:r>
                </w:p>
                <w:p w:rsidR="00BF3E32" w:rsidRDefault="000F251D">
                  <w:pPr>
                    <w:spacing w:before="215" w:after="662" w:line="280" w:lineRule="exact"/>
                    <w:ind w:left="864" w:right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71.05pt;margin-top:382.1pt;width:446pt;height:183.6pt;z-index:-25165875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38"/>
                    <w:gridCol w:w="4632"/>
                    <w:gridCol w:w="1829"/>
                  </w:tblGrid>
                  <w:tr w:rsidR="00BF3E3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4"/>
                    </w:trPr>
                    <w:tc>
                      <w:tcPr>
                        <w:tcW w:w="24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F3E32" w:rsidRDefault="000F251D">
                        <w:pPr>
                          <w:spacing w:after="252" w:line="241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NAME:</w:t>
                        </w:r>
                      </w:p>
                    </w:tc>
                    <w:tc>
                      <w:tcPr>
                        <w:tcW w:w="4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:rsidR="00BF3E32" w:rsidRDefault="000F251D">
                        <w:pPr>
                          <w:spacing w:after="239" w:line="243" w:lineRule="exact"/>
                          <w:ind w:left="106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Michael C Smith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none" w:sz="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F3E32" w:rsidRDefault="00BF3E32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BF3E3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</w:trPr>
                    <w:tc>
                      <w:tcPr>
                        <w:tcW w:w="24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F3E32" w:rsidRDefault="000F251D">
                        <w:pPr>
                          <w:spacing w:after="249" w:line="235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ORGANISATION:</w:t>
                        </w:r>
                      </w:p>
                    </w:tc>
                    <w:tc>
                      <w:tcPr>
                        <w:tcW w:w="4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:rsidR="00BF3E32" w:rsidRDefault="000F251D">
                        <w:pPr>
                          <w:spacing w:line="238" w:lineRule="exact"/>
                          <w:ind w:left="108" w:right="612"/>
                          <w:textAlignment w:val="baseline"/>
                          <w:rPr>
                            <w:rFonts w:ascii="Arial" w:eastAsia="Arial" w:hAnsi="Arial"/>
                            <w:color w:val="000000"/>
                            <w:spacing w:val="-6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pacing w:val="-6"/>
                          </w:rPr>
                          <w:t xml:space="preserve">Access Industries for the Disabled Limited PO Box 340,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pacing w:val="-6"/>
                          </w:rPr>
                          <w:t>Campsie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pacing w:val="-6"/>
                          </w:rPr>
                          <w:t xml:space="preserve"> NSW 2194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none" w:sz="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F3E32" w:rsidRDefault="00BF3E32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BF3E3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9"/>
                    </w:trPr>
                    <w:tc>
                      <w:tcPr>
                        <w:tcW w:w="24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F3E32" w:rsidRDefault="000F251D">
                        <w:pPr>
                          <w:spacing w:after="249" w:line="243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POSITION:</w:t>
                        </w:r>
                      </w:p>
                    </w:tc>
                    <w:tc>
                      <w:tcPr>
                        <w:tcW w:w="4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:rsidR="00BF3E32" w:rsidRDefault="000F251D">
                        <w:pPr>
                          <w:spacing w:after="235" w:line="248" w:lineRule="exact"/>
                          <w:ind w:left="106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Chief Executive Officer/Company Secretary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none" w:sz="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F3E32" w:rsidRDefault="00BF3E32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BF3E3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</w:trPr>
                    <w:tc>
                      <w:tcPr>
                        <w:tcW w:w="243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bottom w:val="single" w:sz="0" w:space="0" w:color="000000"/>
                          <w:right w:val="single" w:sz="5" w:space="0" w:color="000000"/>
                        </w:tcBorders>
                      </w:tcPr>
                      <w:p w:rsidR="00BF3E32" w:rsidRDefault="000F251D">
                        <w:pPr>
                          <w:spacing w:after="23" w:line="242" w:lineRule="exact"/>
                          <w:ind w:left="108" w:right="108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SIGNATURE: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By signing this document I certify that I have authority to sign on behalf of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theorganisation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named above</w:t>
                        </w:r>
                      </w:p>
                    </w:tc>
                    <w:tc>
                      <w:tcPr>
                        <w:tcW w:w="4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one" w:sz="0" w:space="0" w:color="000000"/>
                        </w:tcBorders>
                        <w:vAlign w:val="bottom"/>
                      </w:tcPr>
                      <w:p w:rsidR="00BF3E32" w:rsidRDefault="00BF3E32">
                        <w:pPr>
                          <w:tabs>
                            <w:tab w:val="left" w:pos="3672"/>
                          </w:tabs>
                          <w:spacing w:before="264" w:line="119" w:lineRule="exact"/>
                          <w:ind w:left="2536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1829" w:type="dxa"/>
                        <w:vMerge w:val="restart"/>
                        <w:tcBorders>
                          <w:top w:val="single" w:sz="5" w:space="0" w:color="000000"/>
                          <w:left w:val="none" w:sz="0" w:space="0" w:color="000000"/>
                          <w:bottom w:val="single" w:sz="0" w:space="0" w:color="000000"/>
                          <w:right w:val="single" w:sz="5" w:space="0" w:color="000000"/>
                        </w:tcBorders>
                      </w:tcPr>
                      <w:p w:rsidR="00BF3E32" w:rsidRDefault="00BF3E32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BF3E3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</w:trPr>
                    <w:tc>
                      <w:tcPr>
                        <w:tcW w:w="2438" w:type="dxa"/>
                        <w:vMerge/>
                        <w:tcBorders>
                          <w:top w:val="single" w:sz="0" w:space="0" w:color="000000"/>
                          <w:left w:val="single" w:sz="5" w:space="0" w:color="000000"/>
                          <w:bottom w:val="single" w:sz="0" w:space="0" w:color="000000"/>
                          <w:right w:val="single" w:sz="5" w:space="0" w:color="000000"/>
                        </w:tcBorders>
                      </w:tcPr>
                      <w:p w:rsidR="00BF3E32" w:rsidRDefault="00BF3E32"/>
                    </w:tc>
                    <w:tc>
                      <w:tcPr>
                        <w:tcW w:w="463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bottom w:val="singl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BF3E32" w:rsidRDefault="00BF3E32">
                        <w:pPr>
                          <w:spacing w:line="268" w:lineRule="exact"/>
                          <w:ind w:right="2885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1829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F3E32" w:rsidRDefault="00BF3E32"/>
                    </w:tc>
                  </w:tr>
                  <w:tr w:rsidR="00BF3E3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1"/>
                    </w:trPr>
                    <w:tc>
                      <w:tcPr>
                        <w:tcW w:w="2438" w:type="dxa"/>
                        <w:vMerge/>
                        <w:tcBorders>
                          <w:top w:val="single" w:sz="0" w:space="0" w:color="000000"/>
                          <w:left w:val="single" w:sz="5" w:space="0" w:color="000000"/>
                          <w:bottom w:val="single" w:sz="0" w:space="0" w:color="000000"/>
                          <w:right w:val="single" w:sz="5" w:space="0" w:color="000000"/>
                        </w:tcBorders>
                      </w:tcPr>
                      <w:p w:rsidR="00BF3E32" w:rsidRDefault="00BF3E32"/>
                    </w:tc>
                    <w:tc>
                      <w:tcPr>
                        <w:tcW w:w="4632" w:type="dxa"/>
                        <w:vMerge/>
                        <w:tcBorders>
                          <w:top w:val="single" w:sz="0" w:space="0" w:color="000000"/>
                          <w:left w:val="single" w:sz="5" w:space="0" w:color="000000"/>
                          <w:bottom w:val="single" w:sz="5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BF3E32" w:rsidRDefault="00BF3E32"/>
                    </w:tc>
                    <w:tc>
                      <w:tcPr>
                        <w:tcW w:w="1829" w:type="dxa"/>
                        <w:vMerge w:val="restart"/>
                        <w:tcBorders>
                          <w:top w:val="single" w:sz="5" w:space="0" w:color="000000"/>
                          <w:left w:val="none" w:sz="0" w:space="0" w:color="000000"/>
                          <w:bottom w:val="single" w:sz="0" w:space="0" w:color="000000"/>
                          <w:right w:val="single" w:sz="5" w:space="0" w:color="000000"/>
                        </w:tcBorders>
                      </w:tcPr>
                      <w:p w:rsidR="00BF3E32" w:rsidRDefault="000F251D">
                        <w:pPr>
                          <w:spacing w:after="194" w:line="165" w:lineRule="exact"/>
                          <w:ind w:right="1315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'</w:t>
                        </w:r>
                      </w:p>
                    </w:tc>
                  </w:tr>
                  <w:tr w:rsidR="00BF3E3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"/>
                    </w:trPr>
                    <w:tc>
                      <w:tcPr>
                        <w:tcW w:w="2438" w:type="dxa"/>
                        <w:vMerge/>
                        <w:tcBorders>
                          <w:top w:val="single" w:sz="0" w:space="0" w:color="000000"/>
                          <w:left w:val="single" w:sz="5" w:space="0" w:color="000000"/>
                          <w:bottom w:val="single" w:sz="0" w:space="0" w:color="000000"/>
                          <w:right w:val="single" w:sz="5" w:space="0" w:color="000000"/>
                        </w:tcBorders>
                      </w:tcPr>
                      <w:p w:rsidR="00BF3E32" w:rsidRDefault="00BF3E32"/>
                    </w:tc>
                    <w:tc>
                      <w:tcPr>
                        <w:tcW w:w="4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:rsidR="00BF3E32" w:rsidRDefault="00BF3E32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29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single" w:sz="5" w:space="0" w:color="000000"/>
                        </w:tcBorders>
                      </w:tcPr>
                      <w:p w:rsidR="00BF3E32" w:rsidRDefault="00BF3E32"/>
                    </w:tc>
                  </w:tr>
                  <w:tr w:rsidR="00BF3E3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</w:trPr>
                    <w:tc>
                      <w:tcPr>
                        <w:tcW w:w="2438" w:type="dxa"/>
                        <w:vMerge/>
                        <w:tcBorders>
                          <w:top w:val="single" w:sz="0" w:space="0" w:color="000000"/>
                          <w:left w:val="single" w:sz="5" w:space="0" w:color="000000"/>
                          <w:bottom w:val="single" w:sz="0" w:space="0" w:color="000000"/>
                          <w:right w:val="single" w:sz="5" w:space="0" w:color="000000"/>
                        </w:tcBorders>
                      </w:tcPr>
                      <w:p w:rsidR="00BF3E32" w:rsidRDefault="00BF3E32"/>
                    </w:tc>
                    <w:tc>
                      <w:tcPr>
                        <w:tcW w:w="4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:rsidR="00BF3E32" w:rsidRDefault="00BF3E32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29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F3E32" w:rsidRDefault="00BF3E32"/>
                    </w:tc>
                  </w:tr>
                  <w:tr w:rsidR="00BF3E3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3"/>
                    </w:trPr>
                    <w:tc>
                      <w:tcPr>
                        <w:tcW w:w="2438" w:type="dxa"/>
                        <w:vMerge/>
                        <w:tcBorders>
                          <w:top w:val="single" w:sz="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F3E32" w:rsidRDefault="00BF3E32"/>
                    </w:tc>
                    <w:tc>
                      <w:tcPr>
                        <w:tcW w:w="4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one" w:sz="0" w:space="0" w:color="000000"/>
                        </w:tcBorders>
                      </w:tcPr>
                      <w:p w:rsidR="00BF3E32" w:rsidRDefault="00BF3E32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none" w:sz="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F3E32" w:rsidRDefault="00BF3E32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:rsidR="00BF3E32" w:rsidRDefault="00BF3E32">
                  <w:pPr>
                    <w:spacing w:after="417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71.05pt;margin-top:565.7pt;width:446pt;height:184.55pt;z-index:-251657728;mso-wrap-distance-left:0;mso-wrap-distance-right:0;mso-position-horizontal-relative:page;mso-position-vertical-relative:page" filled="f">
            <v:textbox inset="0,0,0,0">
              <w:txbxContent>
                <w:p w:rsidR="00BF3E32" w:rsidRDefault="000F251D">
                  <w:pPr>
                    <w:spacing w:line="241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</w:rPr>
                    <w:t>COMMENTS</w:t>
                  </w:r>
                </w:p>
                <w:p w:rsidR="00BF3E32" w:rsidRDefault="000F251D">
                  <w:pPr>
                    <w:spacing w:before="11" w:line="244" w:lineRule="exact"/>
                    <w:ind w:left="72" w:right="288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Access Industries supports, and requests to join, the exemption application lodged by the Department of Families, Housing, Community Service and Indigenous Affairs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) in respect of our Australian Disability Enterprise Services, as follows:</w:t>
                  </w:r>
                </w:p>
                <w:p w:rsidR="00BF3E32" w:rsidRDefault="000F251D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left" w:pos="864"/>
                    </w:tabs>
                    <w:spacing w:line="240" w:lineRule="exact"/>
                    <w:ind w:left="864" w:hanging="360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Lithgow Division: 106 Hartley Valley Road, Lithgow NSW 2790</w:t>
                  </w:r>
                </w:p>
                <w:p w:rsidR="00BF3E32" w:rsidRDefault="000F251D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left" w:pos="864"/>
                    </w:tabs>
                    <w:spacing w:line="238" w:lineRule="exact"/>
                    <w:ind w:left="864" w:hanging="360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Newcastle Division: 98 Donald Street, Hamilton NSW 2303</w:t>
                  </w:r>
                </w:p>
                <w:p w:rsidR="00BF3E32" w:rsidRDefault="000F251D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left" w:pos="864"/>
                    </w:tabs>
                    <w:spacing w:line="241" w:lineRule="exact"/>
                    <w:ind w:left="864" w:hanging="360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Sydney Operations Division, comprising:</w:t>
                  </w:r>
                </w:p>
                <w:p w:rsidR="00BF3E32" w:rsidRDefault="000F251D">
                  <w:pPr>
                    <w:spacing w:before="1" w:line="243" w:lineRule="exact"/>
                    <w:ind w:left="1152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131 Station Road, Seven Hills NSW 2147</w:t>
                  </w:r>
                </w:p>
                <w:p w:rsidR="00BF3E32" w:rsidRDefault="000F251D">
                  <w:pPr>
                    <w:spacing w:before="2" w:line="244" w:lineRule="exact"/>
                    <w:ind w:left="1152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167 Prospect Highway, Seven Hills NSW 2147</w:t>
                  </w:r>
                </w:p>
                <w:p w:rsidR="00BF3E32" w:rsidRDefault="000F251D">
                  <w:pPr>
                    <w:tabs>
                      <w:tab w:val="left" w:pos="1152"/>
                    </w:tabs>
                    <w:spacing w:before="1" w:line="243" w:lineRule="exact"/>
                    <w:ind w:left="864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1 Sarah Andrews Close, Erskine Park NSW 2759</w:t>
                  </w:r>
                </w:p>
                <w:p w:rsidR="00BF3E32" w:rsidRDefault="000F251D">
                  <w:pPr>
                    <w:tabs>
                      <w:tab w:val="left" w:pos="1152"/>
                    </w:tabs>
                    <w:spacing w:before="2" w:line="243" w:lineRule="exact"/>
                    <w:ind w:left="864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ab/>
                    <w:t>1 Milner Avenue, Horsley Park NSW</w:t>
                  </w:r>
                </w:p>
                <w:p w:rsidR="00BF3E32" w:rsidRDefault="000F251D">
                  <w:pPr>
                    <w:spacing w:before="5" w:after="18" w:line="239" w:lineRule="exact"/>
                    <w:ind w:left="72" w:right="14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Across these 3 Divisions (6 sites) Access Industries employs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approx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250 supported 'employees (i.e. people with disabilities) whose employment and wages could be compromised if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the exemption is not granted to cover them in the period while the core issue is addressed and resolved.</w:t>
                  </w:r>
                </w:p>
              </w:txbxContent>
            </v:textbox>
            <w10:wrap type="square" anchorx="page" anchory="page"/>
          </v:shape>
        </w:pict>
      </w:r>
    </w:p>
    <w:sectPr w:rsidR="00BF3E32">
      <w:pgSz w:w="11914" w:h="16848"/>
      <w:pgMar w:top="1152" w:right="1573" w:bottom="1044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B21B3"/>
    <w:multiLevelType w:val="multilevel"/>
    <w:tmpl w:val="170EDB4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-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FF631B"/>
    <w:multiLevelType w:val="multilevel"/>
    <w:tmpl w:val="79BCB04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-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655E42"/>
    <w:multiLevelType w:val="multilevel"/>
    <w:tmpl w:val="A9B633B2"/>
    <w:lvl w:ilvl="0">
      <w:start w:val="1"/>
      <w:numFmt w:val="lowerLetter"/>
      <w:lvlText w:val="(%1)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BF3E32"/>
    <w:rsid w:val="000F251D"/>
    <w:rsid w:val="00B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2013-12-11T02:26:00Z</dcterms:created>
  <dcterms:modified xsi:type="dcterms:W3CDTF">2013-12-11T02:26:00Z</dcterms:modified>
</cp:coreProperties>
</file>