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40" w:rsidRDefault="006D1F1F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6" type="#_x0000_t202" style="position:absolute;margin-left:69.05pt;margin-top:86.75pt;width:445pt;height:274.65pt;z-index:-251663872;mso-wrap-distance-left:0;mso-wrap-distance-right:0;mso-position-horizontal-relative:page;mso-position-vertical-relative:page" filled="f" stroked="f">
            <v:textbox inset="0,0,0,0">
              <w:txbxContent>
                <w:p w:rsidR="00503740" w:rsidRDefault="006D1F1F">
                  <w:pPr>
                    <w:spacing w:before="21" w:line="274" w:lineRule="exact"/>
                    <w:ind w:left="576" w:right="144" w:hanging="288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2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</w:rPr>
                    <w:t>REQUEST TO JOIN EXEMPTION APPLICATION LODGED BY THE DEPARTMENT OF 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</w:rPr>
                    <w:t xml:space="preserve">) 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12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</w:rPr>
                    <w:t>(1992) (CTH)</w:t>
                  </w:r>
                </w:p>
                <w:p w:rsidR="00503740" w:rsidRDefault="006D1F1F">
                  <w:pPr>
                    <w:spacing w:before="700" w:line="25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IANe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as follows:</w:t>
                  </w:r>
                </w:p>
                <w:p w:rsidR="00503740" w:rsidRDefault="006D1F1F">
                  <w:pPr>
                    <w:spacing w:before="212" w:line="272" w:lineRule="exact"/>
                    <w:ind w:left="792" w:right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I/We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</w:rPr>
                    <w:t>ree years.</w:t>
                  </w:r>
                </w:p>
                <w:p w:rsidR="00503740" w:rsidRDefault="006D1F1F">
                  <w:pPr>
                    <w:spacing w:before="249" w:line="244" w:lineRule="exact"/>
                    <w:ind w:left="79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This exemption would apply to use of the BSWAT to:</w:t>
                  </w:r>
                </w:p>
                <w:p w:rsidR="00503740" w:rsidRDefault="006D1F1F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152"/>
                    </w:tabs>
                    <w:spacing w:before="223" w:line="244" w:lineRule="exact"/>
                    <w:ind w:left="1152" w:hanging="360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assess wages for employees; and</w:t>
                  </w:r>
                </w:p>
                <w:p w:rsidR="00503740" w:rsidRDefault="006D1F1F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152"/>
                    </w:tabs>
                    <w:spacing w:before="197" w:line="275" w:lineRule="exact"/>
                    <w:ind w:left="1152" w:right="720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503740" w:rsidRDefault="006D1F1F">
                  <w:pPr>
                    <w:spacing w:before="215" w:after="182" w:line="277" w:lineRule="exact"/>
                    <w:ind w:left="792" w:right="360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69.05pt;margin-top:361.4pt;width:445pt;height:184.3pt;z-index:-25166284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4"/>
                    <w:gridCol w:w="6456"/>
                  </w:tblGrid>
                  <w:tr w:rsidR="0050374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after="249" w:line="245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NAME:</w:t>
                        </w:r>
                      </w:p>
                    </w:tc>
                    <w:tc>
                      <w:tcPr>
                        <w:tcW w:w="6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after="241" w:line="244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Mr. Bob Campbell</w:t>
                        </w:r>
                      </w:p>
                    </w:tc>
                  </w:tr>
                  <w:tr w:rsidR="0050374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after="232" w:line="245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ORGANISATION:</w:t>
                        </w:r>
                      </w:p>
                    </w:tc>
                    <w:tc>
                      <w:tcPr>
                        <w:tcW w:w="6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line="240" w:lineRule="exact"/>
                          <w:ind w:left="144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Holy Cross Laundry Ltd.</w:t>
                        </w:r>
                      </w:p>
                      <w:p w:rsidR="00503740" w:rsidRDefault="006D1F1F">
                        <w:pPr>
                          <w:spacing w:line="231" w:lineRule="exact"/>
                          <w:ind w:left="144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12 Chalk Street, Woo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loowin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, OLD 4030</w:t>
                        </w:r>
                      </w:p>
                    </w:tc>
                  </w:tr>
                  <w:tr w:rsidR="0050374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after="250" w:line="244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POSITION:</w:t>
                        </w:r>
                      </w:p>
                    </w:tc>
                    <w:tc>
                      <w:tcPr>
                        <w:tcW w:w="6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after="239" w:line="244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Chief Executive Officer (CEO)</w:t>
                        </w:r>
                      </w:p>
                    </w:tc>
                  </w:tr>
                  <w:tr w:rsidR="0050374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19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6D1F1F">
                        <w:pPr>
                          <w:spacing w:after="5" w:line="243" w:lineRule="exact"/>
                          <w:ind w:left="108" w:right="108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SIGNATURE: By signing this document I certify that I have authority to sign on behalf of the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named above</w:t>
                        </w:r>
                      </w:p>
                    </w:tc>
                    <w:tc>
                      <w:tcPr>
                        <w:tcW w:w="6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3740" w:rsidRDefault="0050374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:rsidR="00503740" w:rsidRDefault="00503740">
                  <w:pPr>
                    <w:spacing w:after="430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69.05pt;margin-top:545.7pt;width:445pt;height:197.3pt;z-index:-251661824;mso-wrap-distance-left:0;mso-wrap-distance-right:0;mso-position-horizontal-relative:page;mso-position-vertical-relative:page" filled="f" stroked="f">
            <v:textbox inset="0,0,0,0">
              <w:txbxContent>
                <w:p w:rsidR="00503740" w:rsidRDefault="006D1F1F">
                  <w:pPr>
                    <w:spacing w:before="20" w:line="245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COMMENTS</w:t>
                  </w:r>
                </w:p>
                <w:p w:rsidR="00503740" w:rsidRDefault="006D1F1F">
                  <w:pPr>
                    <w:spacing w:before="1" w:line="244" w:lineRule="exact"/>
                    <w:ind w:left="72" w:right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Holy Cross Laundry has used the BSWAT since 2004 when we moved to a Case Based Funding Model of operation. All supported employees have been assessed using this tool since that lime.</w:t>
                  </w:r>
                </w:p>
                <w:p w:rsidR="00503740" w:rsidRDefault="006D1F1F">
                  <w:pPr>
                    <w:spacing w:before="238" w:line="242" w:lineRule="exact"/>
                    <w:ind w:left="72" w:right="216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Supported employees and their guardians have confidence in this tool to r</w:t>
                  </w:r>
                  <w:r>
                    <w:rPr>
                      <w:rFonts w:ascii="Arial" w:eastAsia="Arial" w:hAnsi="Arial"/>
                      <w:color w:val="000000"/>
                    </w:rPr>
                    <w:t>emunerate accordingly. We are reluctant to implement other systems where we do not have the history or trend analysis to review.</w:t>
                  </w:r>
                </w:p>
                <w:p w:rsidR="00503740" w:rsidRDefault="006D1F1F">
                  <w:pPr>
                    <w:spacing w:before="241" w:line="243" w:lineRule="exact"/>
                    <w:ind w:left="72" w:right="216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We note under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FaCHSIA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monthly API report for August 2013 the average hourly rate paid by HCL to employees is $5.46 against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the state average of $4.31 and national average of $ 4.37. We believe we have used the tool justly and fairly for HCL employees.</w:t>
                  </w:r>
                </w:p>
                <w:p w:rsidR="00503740" w:rsidRDefault="006D1F1F">
                  <w:pPr>
                    <w:spacing w:before="241" w:after="15" w:line="248" w:lineRule="exact"/>
                    <w:ind w:left="72" w:right="50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In addition to the above comments please note that we would always support a wage assessment tool which remunerates our employe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es justly in accordance with community ex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ctations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3" style="position:absolute;z-index:251655680;mso-position-horizontal-relative:page;mso-position-vertical-relative:page" from="328.1pt,21.35pt" to="573.65pt,21.35pt" strokeweight=".7pt">
            <w10:wrap anchorx="page" anchory="page"/>
          </v:line>
        </w:pict>
      </w:r>
      <w:r>
        <w:pict>
          <v:line id="_x0000_s1032" style="position:absolute;z-index:251656704;mso-position-horizontal-relative:page;mso-position-vertical-relative:page" from="195.1pt,20.65pt" to="242.7pt,20.65pt" strokeweight=".95pt">
            <w10:wrap anchorx="page" anchory="page"/>
          </v:line>
        </w:pict>
      </w:r>
      <w:r>
        <w:pict>
          <v:line id="_x0000_s1031" style="position:absolute;z-index:251657728;mso-position-horizontal-relative:page;mso-position-vertical-relative:page" from="249.6pt,546.25pt" to="444.05pt,546.25pt" strokeweight=".7pt">
            <w10:wrap anchorx="page" anchory="page"/>
          </v:line>
        </w:pict>
      </w:r>
      <w:r>
        <w:pict>
          <v:line id="_x0000_s1030" style="position:absolute;z-index:251658752;mso-position-horizontal-relative:page;mso-position-vertical-relative:page" from="193.9pt,546pt" to="232.6pt,546pt" strokeweight=".5pt">
            <w10:wrap anchorx="page" anchory="page"/>
          </v:line>
        </w:pict>
      </w:r>
      <w:r>
        <w:pict>
          <v:line id="_x0000_s1029" style="position:absolute;z-index:251659776;mso-position-horizontal-relative:page;mso-position-vertical-relative:page" from="69.35pt,546.25pt" to="175.75pt,546.25pt" strokeweight=".7pt">
            <w10:wrap anchorx="page" anchory="page"/>
          </v:line>
        </w:pict>
      </w:r>
      <w:r>
        <w:pict>
          <v:line id="_x0000_s1028" style="position:absolute;z-index:251660800;mso-position-horizontal-relative:page;mso-position-vertical-relative:page" from="69.05pt,743pt" to="514.05pt,743pt" strokeweight=".5pt">
            <w10:wrap anchorx="page" anchory="page"/>
          </v:line>
        </w:pict>
      </w:r>
      <w:r>
        <w:pict>
          <v:line id="_x0000_s1027" style="position:absolute;z-index:251661824;mso-position-horizontal-relative:page;mso-position-vertical-relative:page" from="69.05pt,545.7pt" to="69.05pt,743pt" strokeweight=".95pt">
            <w10:wrap anchorx="page" anchory="page"/>
          </v:line>
        </w:pict>
      </w:r>
      <w:r>
        <w:pict>
          <v:line id="_x0000_s1026" style="position:absolute;z-index:251662848;mso-position-horizontal-relative:page;mso-position-vertical-relative:page" from="514.05pt,545.7pt" to="514.05pt,743pt" strokeweight=".7pt">
            <w10:wrap anchorx="page" anchory="page"/>
          </v:line>
        </w:pict>
      </w:r>
    </w:p>
    <w:sectPr w:rsidR="00503740">
      <w:pgSz w:w="11914" w:h="16848"/>
      <w:pgMar w:top="1152" w:right="1633" w:bottom="1044" w:left="13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65B1"/>
    <w:multiLevelType w:val="multilevel"/>
    <w:tmpl w:val="26A6284A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03740"/>
    <w:rsid w:val="00503740"/>
    <w:rsid w:val="006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2013-12-11T02:57:00Z</dcterms:created>
  <dcterms:modified xsi:type="dcterms:W3CDTF">2013-12-11T02:57:00Z</dcterms:modified>
</cp:coreProperties>
</file>