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786" w:rsidRDefault="00993384">
      <w:pPr>
        <w:textAlignment w:val="baseline"/>
        <w:rPr>
          <w:rFonts w:eastAsia="Times New Roman"/>
          <w:color w:val="000000"/>
          <w:sz w:val="24"/>
        </w:rPr>
      </w:pPr>
      <w:bookmarkStart w:id="0" w:name="_GoBack"/>
      <w:bookmarkEnd w:id="0"/>
      <w:r>
        <w:pict>
          <v:shapetype id="_x0000_t202" coordsize="21600,21600" o:spt="202" path="m,l,21600r21600,l21600,xe">
            <v:stroke joinstyle="miter"/>
            <v:path gradientshapeok="t" o:connecttype="rect"/>
          </v:shapetype>
          <v:shape id="_x0000_s0" o:spid="_x0000_s1028" type="#_x0000_t202" style="position:absolute;margin-left:81.35pt;margin-top:1in;width:442pt;height:299.55pt;z-index:-251659776;mso-wrap-distance-left:0;mso-wrap-distance-right:0;mso-position-horizontal-relative:page;mso-position-vertical-relative:page" filled="f" stroked="f">
            <v:textbox inset="0,0,0,0">
              <w:txbxContent>
                <w:p w:rsidR="00553786" w:rsidRDefault="00993384">
                  <w:pPr>
                    <w:spacing w:before="7" w:line="281" w:lineRule="exact"/>
                    <w:jc w:val="center"/>
                    <w:textAlignment w:val="baseline"/>
                    <w:rPr>
                      <w:rFonts w:ascii="Arial" w:eastAsia="Arial" w:hAnsi="Arial"/>
                      <w:b/>
                      <w:color w:val="000000"/>
                      <w:spacing w:val="-7"/>
                    </w:rPr>
                  </w:pPr>
                  <w:r>
                    <w:rPr>
                      <w:rFonts w:ascii="Arial" w:eastAsia="Arial" w:hAnsi="Arial"/>
                      <w:b/>
                      <w:color w:val="000000"/>
                      <w:spacing w:val="-7"/>
                    </w:rPr>
                    <w:t xml:space="preserve">REQUEST TO JOIN EXEMPTION APPLICATION LODGED BY THE DEPARTMENT OF </w:t>
                  </w:r>
                  <w:r>
                    <w:rPr>
                      <w:rFonts w:ascii="Arial" w:eastAsia="Arial" w:hAnsi="Arial"/>
                      <w:b/>
                      <w:color w:val="000000"/>
                      <w:spacing w:val="-7"/>
                    </w:rPr>
                    <w:br/>
                    <w:t>FAMILIES, HOUSING, COMMUNITY SERVICES AND INDIGENOUS AFFAIRS (</w:t>
                  </w:r>
                  <w:proofErr w:type="spellStart"/>
                  <w:r>
                    <w:rPr>
                      <w:rFonts w:ascii="Arial" w:eastAsia="Arial" w:hAnsi="Arial"/>
                      <w:b/>
                      <w:color w:val="000000"/>
                      <w:spacing w:val="-7"/>
                    </w:rPr>
                    <w:t>FaHCSIA</w:t>
                  </w:r>
                  <w:proofErr w:type="spellEnd"/>
                  <w:r>
                    <w:rPr>
                      <w:rFonts w:ascii="Arial" w:eastAsia="Arial" w:hAnsi="Arial"/>
                      <w:b/>
                      <w:color w:val="000000"/>
                      <w:spacing w:val="-7"/>
                    </w:rPr>
                    <w:t xml:space="preserve">) </w:t>
                  </w:r>
                  <w:r>
                    <w:rPr>
                      <w:rFonts w:ascii="Arial" w:eastAsia="Arial" w:hAnsi="Arial"/>
                      <w:b/>
                      <w:color w:val="000000"/>
                      <w:spacing w:val="-7"/>
                    </w:rPr>
                    <w:br/>
                    <w:t xml:space="preserve">UNDER S55 OF </w:t>
                  </w:r>
                  <w:r>
                    <w:rPr>
                      <w:rFonts w:ascii="Arial" w:eastAsia="Arial" w:hAnsi="Arial"/>
                      <w:b/>
                      <w:i/>
                      <w:color w:val="000000"/>
                      <w:spacing w:val="-7"/>
                    </w:rPr>
                    <w:t xml:space="preserve">THE DISABILITY DISCRIMINATION ACT </w:t>
                  </w:r>
                  <w:r>
                    <w:rPr>
                      <w:rFonts w:ascii="Arial" w:eastAsia="Arial" w:hAnsi="Arial"/>
                      <w:b/>
                      <w:color w:val="000000"/>
                      <w:spacing w:val="-7"/>
                    </w:rPr>
                    <w:t>(1992) (CTH)</w:t>
                  </w:r>
                </w:p>
                <w:p w:rsidR="00553786" w:rsidRDefault="00993384">
                  <w:pPr>
                    <w:spacing w:before="692" w:line="253" w:lineRule="exact"/>
                    <w:ind w:left="216"/>
                    <w:textAlignment w:val="baseline"/>
                    <w:rPr>
                      <w:rFonts w:ascii="Arial" w:eastAsia="Arial" w:hAnsi="Arial"/>
                      <w:color w:val="000000"/>
                      <w:spacing w:val="-5"/>
                    </w:rPr>
                  </w:pPr>
                  <w:proofErr w:type="spellStart"/>
                  <w:r>
                    <w:rPr>
                      <w:rFonts w:ascii="Arial" w:eastAsia="Arial" w:hAnsi="Arial"/>
                      <w:color w:val="000000"/>
                      <w:spacing w:val="-5"/>
                    </w:rPr>
                    <w:t>INVe</w:t>
                  </w:r>
                  <w:proofErr w:type="spellEnd"/>
                  <w:r>
                    <w:rPr>
                      <w:rFonts w:ascii="Arial" w:eastAsia="Arial" w:hAnsi="Arial"/>
                      <w:color w:val="000000"/>
                      <w:spacing w:val="-5"/>
                    </w:rPr>
                    <w:t xml:space="preserve"> seek to join/support the exemption application submitted by </w:t>
                  </w:r>
                  <w:proofErr w:type="spellStart"/>
                  <w:r>
                    <w:rPr>
                      <w:rFonts w:ascii="Arial" w:eastAsia="Arial" w:hAnsi="Arial"/>
                      <w:color w:val="000000"/>
                      <w:spacing w:val="-5"/>
                    </w:rPr>
                    <w:t>FaHCSIA</w:t>
                  </w:r>
                  <w:proofErr w:type="spellEnd"/>
                  <w:r>
                    <w:rPr>
                      <w:rFonts w:ascii="Arial" w:eastAsia="Arial" w:hAnsi="Arial"/>
                      <w:color w:val="000000"/>
                      <w:spacing w:val="-5"/>
                    </w:rPr>
                    <w:t xml:space="preserve"> as follows:</w:t>
                  </w:r>
                </w:p>
                <w:p w:rsidR="00553786" w:rsidRDefault="00993384">
                  <w:pPr>
                    <w:numPr>
                      <w:ilvl w:val="0"/>
                      <w:numId w:val="1"/>
                    </w:numPr>
                    <w:tabs>
                      <w:tab w:val="clear" w:pos="360"/>
                      <w:tab w:val="left" w:pos="864"/>
                    </w:tabs>
                    <w:spacing w:before="205" w:line="277" w:lineRule="exact"/>
                    <w:ind w:left="864" w:right="360" w:hanging="360"/>
                    <w:textAlignment w:val="baseline"/>
                    <w:rPr>
                      <w:rFonts w:ascii="Arial" w:eastAsia="Arial" w:hAnsi="Arial"/>
                      <w:color w:val="000000"/>
                      <w:spacing w:val="-4"/>
                    </w:rPr>
                  </w:pPr>
                  <w:proofErr w:type="gramStart"/>
                  <w:r>
                    <w:rPr>
                      <w:rFonts w:ascii="Arial" w:eastAsia="Arial" w:hAnsi="Arial"/>
                      <w:color w:val="000000"/>
                      <w:spacing w:val="-4"/>
                    </w:rPr>
                    <w:t>l/</w:t>
                  </w:r>
                  <w:proofErr w:type="gramEnd"/>
                  <w:r>
                    <w:rPr>
                      <w:rFonts w:ascii="Arial" w:eastAsia="Arial" w:hAnsi="Arial"/>
                      <w:color w:val="000000"/>
                      <w:spacing w:val="-4"/>
                    </w:rPr>
                    <w:t>We seek an exemption for all existing ADEs from sections 15 and 24 of the DDA, and the Commonwealth (and officers of the Commonwealth) from section 29 for a period of th</w:t>
                  </w:r>
                  <w:r>
                    <w:rPr>
                      <w:rFonts w:ascii="Arial" w:eastAsia="Arial" w:hAnsi="Arial"/>
                      <w:color w:val="000000"/>
                      <w:spacing w:val="-4"/>
                    </w:rPr>
                    <w:t>ree years.</w:t>
                  </w:r>
                </w:p>
                <w:p w:rsidR="00553786" w:rsidRDefault="00993384">
                  <w:pPr>
                    <w:numPr>
                      <w:ilvl w:val="0"/>
                      <w:numId w:val="1"/>
                    </w:numPr>
                    <w:tabs>
                      <w:tab w:val="clear" w:pos="360"/>
                      <w:tab w:val="left" w:pos="864"/>
                    </w:tabs>
                    <w:spacing w:before="227" w:line="272" w:lineRule="exact"/>
                    <w:ind w:left="864" w:hanging="360"/>
                    <w:textAlignment w:val="baseline"/>
                    <w:rPr>
                      <w:rFonts w:ascii="Arial" w:eastAsia="Arial" w:hAnsi="Arial"/>
                      <w:color w:val="000000"/>
                      <w:spacing w:val="-5"/>
                    </w:rPr>
                  </w:pPr>
                  <w:r>
                    <w:rPr>
                      <w:rFonts w:ascii="Arial" w:eastAsia="Arial" w:hAnsi="Arial"/>
                      <w:color w:val="000000"/>
                      <w:spacing w:val="-5"/>
                    </w:rPr>
                    <w:t>This exemption would apply to use of the BSWAT to:</w:t>
                  </w:r>
                </w:p>
                <w:p w:rsidR="00553786" w:rsidRDefault="00993384">
                  <w:pPr>
                    <w:numPr>
                      <w:ilvl w:val="0"/>
                      <w:numId w:val="2"/>
                    </w:numPr>
                    <w:tabs>
                      <w:tab w:val="clear" w:pos="360"/>
                      <w:tab w:val="left" w:pos="1224"/>
                    </w:tabs>
                    <w:spacing w:before="222" w:line="250" w:lineRule="exact"/>
                    <w:ind w:left="1224" w:hanging="360"/>
                    <w:textAlignment w:val="baseline"/>
                    <w:rPr>
                      <w:rFonts w:ascii="Arial" w:eastAsia="Arial" w:hAnsi="Arial"/>
                      <w:color w:val="000000"/>
                      <w:spacing w:val="-5"/>
                    </w:rPr>
                  </w:pPr>
                  <w:r>
                    <w:rPr>
                      <w:rFonts w:ascii="Arial" w:eastAsia="Arial" w:hAnsi="Arial"/>
                      <w:color w:val="000000"/>
                      <w:spacing w:val="-5"/>
                    </w:rPr>
                    <w:t>assess wages for employees; and</w:t>
                  </w:r>
                </w:p>
                <w:p w:rsidR="00553786" w:rsidRDefault="00993384">
                  <w:pPr>
                    <w:numPr>
                      <w:ilvl w:val="0"/>
                      <w:numId w:val="2"/>
                    </w:numPr>
                    <w:tabs>
                      <w:tab w:val="clear" w:pos="360"/>
                      <w:tab w:val="left" w:pos="1224"/>
                    </w:tabs>
                    <w:spacing w:before="211" w:line="265" w:lineRule="exact"/>
                    <w:ind w:left="1224" w:right="720" w:hanging="360"/>
                    <w:jc w:val="both"/>
                    <w:textAlignment w:val="baseline"/>
                    <w:rPr>
                      <w:rFonts w:ascii="Arial" w:eastAsia="Arial" w:hAnsi="Arial"/>
                      <w:color w:val="000000"/>
                    </w:rPr>
                  </w:pPr>
                  <w:proofErr w:type="gramStart"/>
                  <w:r>
                    <w:rPr>
                      <w:rFonts w:ascii="Arial" w:eastAsia="Arial" w:hAnsi="Arial"/>
                      <w:color w:val="000000"/>
                    </w:rPr>
                    <w:t>pay</w:t>
                  </w:r>
                  <w:proofErr w:type="gramEnd"/>
                  <w:r>
                    <w:rPr>
                      <w:rFonts w:ascii="Arial" w:eastAsia="Arial" w:hAnsi="Arial"/>
                      <w:color w:val="000000"/>
                    </w:rPr>
                    <w:t xml:space="preserve"> wages to ADE employees based on assessments conducted under the BSWAT.</w:t>
                  </w:r>
                </w:p>
                <w:p w:rsidR="00553786" w:rsidRDefault="00993384">
                  <w:pPr>
                    <w:spacing w:before="233" w:after="652" w:line="281" w:lineRule="exact"/>
                    <w:ind w:left="864" w:right="360"/>
                    <w:jc w:val="both"/>
                    <w:textAlignment w:val="baseline"/>
                    <w:rPr>
                      <w:rFonts w:ascii="Arial" w:eastAsia="Arial" w:hAnsi="Arial"/>
                      <w:color w:val="000000"/>
                      <w:spacing w:val="-6"/>
                    </w:rPr>
                  </w:pPr>
                  <w:r>
                    <w:rPr>
                      <w:rFonts w:ascii="Arial" w:eastAsia="Arial" w:hAnsi="Arial"/>
                      <w:color w:val="000000"/>
                      <w:spacing w:val="-6"/>
                    </w:rPr>
                    <w:t xml:space="preserve">The proposed exemption would apply while alternative wage setting arrangements are being considered, devised and/or established and implemented by </w:t>
                  </w:r>
                  <w:proofErr w:type="spellStart"/>
                  <w:r>
                    <w:rPr>
                      <w:rFonts w:ascii="Arial" w:eastAsia="Arial" w:hAnsi="Arial"/>
                      <w:color w:val="000000"/>
                      <w:spacing w:val="-6"/>
                    </w:rPr>
                    <w:t>FaHCSIA</w:t>
                  </w:r>
                  <w:proofErr w:type="spellEnd"/>
                  <w:r>
                    <w:rPr>
                      <w:rFonts w:ascii="Arial" w:eastAsia="Arial" w:hAnsi="Arial"/>
                      <w:color w:val="000000"/>
                      <w:spacing w:val="-6"/>
                    </w:rPr>
                    <w:t>.</w:t>
                  </w:r>
                </w:p>
              </w:txbxContent>
            </v:textbox>
            <w10:wrap type="square" anchorx="page" anchory="page"/>
          </v:shape>
        </w:pict>
      </w:r>
      <w:r>
        <w:pict>
          <v:shape id="_x0000_s1027" type="#_x0000_t202" style="position:absolute;margin-left:81.35pt;margin-top:371.55pt;width:442pt;height:185pt;z-index:-251658752;mso-wrap-distance-left:0;mso-wrap-distance-right:0;mso-position-horizontal-relative:page;mso-position-vertical-relative:page" filled="f" stroked="f">
            <v:textbox inset="0,0,0,0">
              <w:txbxContent>
                <w:tbl>
                  <w:tblPr>
                    <w:tblW w:w="0" w:type="auto"/>
                    <w:tblInd w:w="19" w:type="dxa"/>
                    <w:tblLayout w:type="fixed"/>
                    <w:tblCellMar>
                      <w:left w:w="0" w:type="dxa"/>
                      <w:right w:w="0" w:type="dxa"/>
                    </w:tblCellMar>
                    <w:tblLook w:val="04A0" w:firstRow="1" w:lastRow="0" w:firstColumn="1" w:lastColumn="0" w:noHBand="0" w:noVBand="1"/>
                  </w:tblPr>
                  <w:tblGrid>
                    <w:gridCol w:w="2434"/>
                    <w:gridCol w:w="6374"/>
                  </w:tblGrid>
                  <w:tr w:rsidR="00553786">
                    <w:tblPrEx>
                      <w:tblCellMar>
                        <w:top w:w="0" w:type="dxa"/>
                        <w:bottom w:w="0" w:type="dxa"/>
                      </w:tblCellMar>
                    </w:tblPrEx>
                    <w:trPr>
                      <w:trHeight w:hRule="exact" w:val="518"/>
                    </w:trPr>
                    <w:tc>
                      <w:tcPr>
                        <w:tcW w:w="2434" w:type="dxa"/>
                        <w:tcBorders>
                          <w:top w:val="single" w:sz="5" w:space="0" w:color="000000"/>
                          <w:left w:val="single" w:sz="5" w:space="0" w:color="000000"/>
                          <w:bottom w:val="single" w:sz="5" w:space="0" w:color="000000"/>
                          <w:right w:val="single" w:sz="5" w:space="0" w:color="000000"/>
                        </w:tcBorders>
                      </w:tcPr>
                      <w:p w:rsidR="00553786" w:rsidRDefault="00993384">
                        <w:pPr>
                          <w:spacing w:after="242" w:line="247" w:lineRule="exact"/>
                          <w:ind w:left="116"/>
                          <w:textAlignment w:val="baseline"/>
                          <w:rPr>
                            <w:rFonts w:ascii="Arial" w:eastAsia="Arial" w:hAnsi="Arial"/>
                            <w:b/>
                            <w:color w:val="000000"/>
                          </w:rPr>
                        </w:pPr>
                        <w:r>
                          <w:rPr>
                            <w:rFonts w:ascii="Arial" w:eastAsia="Arial" w:hAnsi="Arial"/>
                            <w:b/>
                            <w:color w:val="000000"/>
                          </w:rPr>
                          <w:t>NAME:</w:t>
                        </w:r>
                      </w:p>
                    </w:tc>
                    <w:tc>
                      <w:tcPr>
                        <w:tcW w:w="6374" w:type="dxa"/>
                        <w:tcBorders>
                          <w:top w:val="single" w:sz="5" w:space="0" w:color="000000"/>
                          <w:left w:val="single" w:sz="5" w:space="0" w:color="000000"/>
                          <w:bottom w:val="single" w:sz="5" w:space="0" w:color="000000"/>
                          <w:right w:val="single" w:sz="5" w:space="0" w:color="000000"/>
                        </w:tcBorders>
                      </w:tcPr>
                      <w:p w:rsidR="00553786" w:rsidRDefault="00993384">
                        <w:pPr>
                          <w:spacing w:after="226" w:line="250" w:lineRule="exact"/>
                          <w:ind w:left="106"/>
                          <w:textAlignment w:val="baseline"/>
                          <w:rPr>
                            <w:rFonts w:ascii="Arial" w:eastAsia="Arial" w:hAnsi="Arial"/>
                            <w:color w:val="000000"/>
                          </w:rPr>
                        </w:pPr>
                        <w:r>
                          <w:rPr>
                            <w:rFonts w:ascii="Arial" w:eastAsia="Arial" w:hAnsi="Arial"/>
                            <w:color w:val="000000"/>
                          </w:rPr>
                          <w:t xml:space="preserve">Belinda </w:t>
                        </w:r>
                        <w:proofErr w:type="spellStart"/>
                        <w:r>
                          <w:rPr>
                            <w:rFonts w:ascii="Arial" w:eastAsia="Arial" w:hAnsi="Arial"/>
                            <w:color w:val="000000"/>
                          </w:rPr>
                          <w:t>Colombrita</w:t>
                        </w:r>
                        <w:proofErr w:type="spellEnd"/>
                      </w:p>
                    </w:tc>
                  </w:tr>
                  <w:tr w:rsidR="00553786">
                    <w:tblPrEx>
                      <w:tblCellMar>
                        <w:top w:w="0" w:type="dxa"/>
                        <w:bottom w:w="0" w:type="dxa"/>
                      </w:tblCellMar>
                    </w:tblPrEx>
                    <w:trPr>
                      <w:trHeight w:hRule="exact" w:val="490"/>
                    </w:trPr>
                    <w:tc>
                      <w:tcPr>
                        <w:tcW w:w="2434" w:type="dxa"/>
                        <w:tcBorders>
                          <w:top w:val="single" w:sz="5" w:space="0" w:color="000000"/>
                          <w:left w:val="single" w:sz="5" w:space="0" w:color="000000"/>
                          <w:bottom w:val="single" w:sz="5" w:space="0" w:color="000000"/>
                          <w:right w:val="single" w:sz="5" w:space="0" w:color="000000"/>
                        </w:tcBorders>
                      </w:tcPr>
                      <w:p w:rsidR="00553786" w:rsidRDefault="00993384">
                        <w:pPr>
                          <w:spacing w:after="252" w:line="237" w:lineRule="exact"/>
                          <w:ind w:left="116"/>
                          <w:textAlignment w:val="baseline"/>
                          <w:rPr>
                            <w:rFonts w:ascii="Arial" w:eastAsia="Arial" w:hAnsi="Arial"/>
                            <w:b/>
                            <w:color w:val="000000"/>
                          </w:rPr>
                        </w:pPr>
                        <w:r>
                          <w:rPr>
                            <w:rFonts w:ascii="Arial" w:eastAsia="Arial" w:hAnsi="Arial"/>
                            <w:b/>
                            <w:color w:val="000000"/>
                          </w:rPr>
                          <w:t>ORGANISATION:</w:t>
                        </w:r>
                      </w:p>
                    </w:tc>
                    <w:tc>
                      <w:tcPr>
                        <w:tcW w:w="6374" w:type="dxa"/>
                        <w:tcBorders>
                          <w:top w:val="single" w:sz="5" w:space="0" w:color="000000"/>
                          <w:left w:val="single" w:sz="5" w:space="0" w:color="000000"/>
                          <w:bottom w:val="single" w:sz="5" w:space="0" w:color="000000"/>
                          <w:right w:val="single" w:sz="5" w:space="0" w:color="000000"/>
                        </w:tcBorders>
                      </w:tcPr>
                      <w:p w:rsidR="00553786" w:rsidRDefault="00993384">
                        <w:pPr>
                          <w:spacing w:after="236" w:line="250" w:lineRule="exact"/>
                          <w:ind w:left="106"/>
                          <w:textAlignment w:val="baseline"/>
                          <w:rPr>
                            <w:rFonts w:ascii="Arial" w:eastAsia="Arial" w:hAnsi="Arial"/>
                            <w:color w:val="000000"/>
                          </w:rPr>
                        </w:pPr>
                        <w:r>
                          <w:rPr>
                            <w:rFonts w:ascii="Arial" w:eastAsia="Arial" w:hAnsi="Arial"/>
                            <w:color w:val="000000"/>
                          </w:rPr>
                          <w:t>Thorndale Foundation Ltd</w:t>
                        </w:r>
                      </w:p>
                    </w:tc>
                  </w:tr>
                  <w:tr w:rsidR="00553786">
                    <w:tblPrEx>
                      <w:tblCellMar>
                        <w:top w:w="0" w:type="dxa"/>
                        <w:bottom w:w="0" w:type="dxa"/>
                      </w:tblCellMar>
                    </w:tblPrEx>
                    <w:trPr>
                      <w:trHeight w:hRule="exact" w:val="504"/>
                    </w:trPr>
                    <w:tc>
                      <w:tcPr>
                        <w:tcW w:w="2434" w:type="dxa"/>
                        <w:tcBorders>
                          <w:top w:val="single" w:sz="5" w:space="0" w:color="000000"/>
                          <w:left w:val="single" w:sz="5" w:space="0" w:color="000000"/>
                          <w:bottom w:val="single" w:sz="5" w:space="0" w:color="000000"/>
                          <w:right w:val="single" w:sz="5" w:space="0" w:color="000000"/>
                        </w:tcBorders>
                      </w:tcPr>
                      <w:p w:rsidR="00553786" w:rsidRDefault="00993384">
                        <w:pPr>
                          <w:spacing w:after="260" w:line="243" w:lineRule="exact"/>
                          <w:ind w:left="116"/>
                          <w:textAlignment w:val="baseline"/>
                          <w:rPr>
                            <w:rFonts w:ascii="Arial" w:eastAsia="Arial" w:hAnsi="Arial"/>
                            <w:b/>
                            <w:color w:val="000000"/>
                          </w:rPr>
                        </w:pPr>
                        <w:r>
                          <w:rPr>
                            <w:rFonts w:ascii="Arial" w:eastAsia="Arial" w:hAnsi="Arial"/>
                            <w:b/>
                            <w:color w:val="000000"/>
                          </w:rPr>
                          <w:t>POSITION:</w:t>
                        </w:r>
                      </w:p>
                    </w:tc>
                    <w:tc>
                      <w:tcPr>
                        <w:tcW w:w="6374" w:type="dxa"/>
                        <w:tcBorders>
                          <w:top w:val="single" w:sz="5" w:space="0" w:color="000000"/>
                          <w:left w:val="single" w:sz="5" w:space="0" w:color="000000"/>
                          <w:bottom w:val="single" w:sz="5" w:space="0" w:color="000000"/>
                          <w:right w:val="single" w:sz="5" w:space="0" w:color="000000"/>
                        </w:tcBorders>
                      </w:tcPr>
                      <w:p w:rsidR="00553786" w:rsidRDefault="00993384">
                        <w:pPr>
                          <w:spacing w:after="244" w:line="250" w:lineRule="exact"/>
                          <w:ind w:left="106"/>
                          <w:textAlignment w:val="baseline"/>
                          <w:rPr>
                            <w:rFonts w:ascii="Arial" w:eastAsia="Arial" w:hAnsi="Arial"/>
                            <w:color w:val="000000"/>
                          </w:rPr>
                        </w:pPr>
                        <w:r>
                          <w:rPr>
                            <w:rFonts w:ascii="Arial" w:eastAsia="Arial" w:hAnsi="Arial"/>
                            <w:color w:val="000000"/>
                          </w:rPr>
                          <w:t>General Manager</w:t>
                        </w:r>
                      </w:p>
                    </w:tc>
                  </w:tr>
                  <w:tr w:rsidR="00553786">
                    <w:tblPrEx>
                      <w:tblCellMar>
                        <w:top w:w="0" w:type="dxa"/>
                        <w:bottom w:w="0" w:type="dxa"/>
                      </w:tblCellMar>
                    </w:tblPrEx>
                    <w:trPr>
                      <w:trHeight w:hRule="exact" w:val="1737"/>
                    </w:trPr>
                    <w:tc>
                      <w:tcPr>
                        <w:tcW w:w="2434" w:type="dxa"/>
                        <w:tcBorders>
                          <w:top w:val="single" w:sz="5" w:space="0" w:color="000000"/>
                          <w:left w:val="single" w:sz="5" w:space="0" w:color="000000"/>
                          <w:bottom w:val="single" w:sz="5" w:space="0" w:color="000000"/>
                          <w:right w:val="single" w:sz="5" w:space="0" w:color="000000"/>
                        </w:tcBorders>
                      </w:tcPr>
                      <w:p w:rsidR="00553786" w:rsidRDefault="00993384">
                        <w:pPr>
                          <w:spacing w:after="23" w:line="243" w:lineRule="exact"/>
                          <w:ind w:left="108" w:right="144"/>
                          <w:textAlignment w:val="baseline"/>
                          <w:rPr>
                            <w:rFonts w:ascii="Arial" w:eastAsia="Arial" w:hAnsi="Arial"/>
                            <w:b/>
                            <w:color w:val="000000"/>
                          </w:rPr>
                        </w:pPr>
                        <w:r>
                          <w:rPr>
                            <w:rFonts w:ascii="Arial" w:eastAsia="Arial" w:hAnsi="Arial"/>
                            <w:b/>
                            <w:color w:val="000000"/>
                          </w:rPr>
                          <w:t xml:space="preserve">SIGNATURE: </w:t>
                        </w:r>
                        <w:r>
                          <w:rPr>
                            <w:rFonts w:ascii="Arial" w:eastAsia="Arial" w:hAnsi="Arial"/>
                            <w:color w:val="000000"/>
                          </w:rPr>
                          <w:t xml:space="preserve">By signing this document I certify that I have authority to sign on behalf of the </w:t>
                        </w:r>
                        <w:proofErr w:type="spellStart"/>
                        <w:r>
                          <w:rPr>
                            <w:rFonts w:ascii="Arial" w:eastAsia="Arial" w:hAnsi="Arial"/>
                            <w:color w:val="000000"/>
                          </w:rPr>
                          <w:t>organisation</w:t>
                        </w:r>
                        <w:proofErr w:type="spellEnd"/>
                        <w:r>
                          <w:rPr>
                            <w:rFonts w:ascii="Arial" w:eastAsia="Arial" w:hAnsi="Arial"/>
                            <w:color w:val="000000"/>
                          </w:rPr>
                          <w:t xml:space="preserve"> named above</w:t>
                        </w:r>
                      </w:p>
                    </w:tc>
                    <w:tc>
                      <w:tcPr>
                        <w:tcW w:w="6374" w:type="dxa"/>
                        <w:tcBorders>
                          <w:top w:val="single" w:sz="5" w:space="0" w:color="000000"/>
                          <w:left w:val="single" w:sz="5" w:space="0" w:color="000000"/>
                          <w:bottom w:val="single" w:sz="5" w:space="0" w:color="000000"/>
                          <w:right w:val="single" w:sz="5" w:space="0" w:color="000000"/>
                        </w:tcBorders>
                      </w:tcPr>
                      <w:p w:rsidR="00553786" w:rsidRDefault="00553786">
                        <w:pPr>
                          <w:textAlignment w:val="baseline"/>
                          <w:rPr>
                            <w:rFonts w:ascii="Arial" w:eastAsia="Arial" w:hAnsi="Arial"/>
                            <w:color w:val="000000"/>
                            <w:sz w:val="24"/>
                          </w:rPr>
                        </w:pPr>
                      </w:p>
                    </w:tc>
                  </w:tr>
                </w:tbl>
                <w:p w:rsidR="00553786" w:rsidRDefault="00553786">
                  <w:pPr>
                    <w:spacing w:after="417" w:line="20" w:lineRule="exact"/>
                  </w:pPr>
                </w:p>
              </w:txbxContent>
            </v:textbox>
            <w10:wrap type="square" anchorx="page" anchory="page"/>
          </v:shape>
        </w:pict>
      </w:r>
      <w:r>
        <w:pict>
          <v:shape id="_x0000_s1026" type="#_x0000_t202" style="position:absolute;margin-left:81.35pt;margin-top:556.55pt;width:442pt;height:186.45pt;z-index:-251657728;mso-wrap-distance-left:0;mso-wrap-distance-right:0;mso-position-horizontal-relative:page;mso-position-vertical-relative:page" filled="f">
            <v:textbox inset="0,0,0,0">
              <w:txbxContent>
                <w:p w:rsidR="00553786" w:rsidRDefault="00993384">
                  <w:pPr>
                    <w:spacing w:line="247" w:lineRule="exact"/>
                    <w:ind w:left="144"/>
                    <w:textAlignment w:val="baseline"/>
                    <w:rPr>
                      <w:rFonts w:ascii="Arial" w:eastAsia="Arial" w:hAnsi="Arial"/>
                      <w:b/>
                      <w:color w:val="000000"/>
                      <w:spacing w:val="-8"/>
                    </w:rPr>
                  </w:pPr>
                  <w:r>
                    <w:rPr>
                      <w:rFonts w:ascii="Arial" w:eastAsia="Arial" w:hAnsi="Arial"/>
                      <w:b/>
                      <w:color w:val="000000"/>
                      <w:spacing w:val="-8"/>
                    </w:rPr>
                    <w:t>COMMENTS</w:t>
                  </w:r>
                </w:p>
                <w:p w:rsidR="00553786" w:rsidRDefault="00993384">
                  <w:pPr>
                    <w:spacing w:before="269" w:line="241" w:lineRule="exact"/>
                    <w:ind w:left="864" w:right="72"/>
                    <w:jc w:val="both"/>
                    <w:textAlignment w:val="baseline"/>
                    <w:rPr>
                      <w:rFonts w:ascii="Arial" w:eastAsia="Arial" w:hAnsi="Arial"/>
                      <w:color w:val="000000"/>
                    </w:rPr>
                  </w:pPr>
                  <w:r>
                    <w:rPr>
                      <w:rFonts w:ascii="Arial" w:eastAsia="Arial" w:hAnsi="Arial"/>
                      <w:color w:val="000000"/>
                    </w:rPr>
                    <w:t xml:space="preserve">Thorndale wish to provide comments in relation to the discussions held recently concerning the BSWAT. Robert Shelley, Business Development Manager for Thorndale Foundation attended the session in Sydney hosted by </w:t>
                  </w:r>
                  <w:proofErr w:type="spellStart"/>
                  <w:r>
                    <w:rPr>
                      <w:rFonts w:ascii="Arial" w:eastAsia="Arial" w:hAnsi="Arial"/>
                      <w:color w:val="000000"/>
                    </w:rPr>
                    <w:t>FaHCSIA</w:t>
                  </w:r>
                  <w:proofErr w:type="spellEnd"/>
                  <w:r>
                    <w:rPr>
                      <w:rFonts w:ascii="Arial" w:eastAsia="Arial" w:hAnsi="Arial"/>
                      <w:color w:val="000000"/>
                    </w:rPr>
                    <w:t>.</w:t>
                  </w:r>
                </w:p>
                <w:p w:rsidR="00553786" w:rsidRDefault="00993384">
                  <w:pPr>
                    <w:spacing w:before="255" w:after="499" w:line="242" w:lineRule="exact"/>
                    <w:ind w:left="864" w:right="72"/>
                    <w:jc w:val="both"/>
                    <w:textAlignment w:val="baseline"/>
                    <w:rPr>
                      <w:rFonts w:ascii="Arial" w:eastAsia="Arial" w:hAnsi="Arial"/>
                      <w:color w:val="000000"/>
                      <w:spacing w:val="-4"/>
                    </w:rPr>
                  </w:pPr>
                  <w:r>
                    <w:rPr>
                      <w:rFonts w:ascii="Arial" w:eastAsia="Arial" w:hAnsi="Arial"/>
                      <w:color w:val="000000"/>
                      <w:spacing w:val="-4"/>
                    </w:rPr>
                    <w:t>Thorndale are concerned with the p</w:t>
                  </w:r>
                  <w:r>
                    <w:rPr>
                      <w:rFonts w:ascii="Arial" w:eastAsia="Arial" w:hAnsi="Arial"/>
                      <w:color w:val="000000"/>
                      <w:spacing w:val="-4"/>
                    </w:rPr>
                    <w:t xml:space="preserve">ayment of supported employee wages based purely on productivity. This would be an unfair way of assessing individuals as it does not take into account the breaking up of job components on the factory floor. An individual may be able to complete 30% of the </w:t>
                  </w:r>
                  <w:r>
                    <w:rPr>
                      <w:rFonts w:ascii="Arial" w:eastAsia="Arial" w:hAnsi="Arial"/>
                      <w:color w:val="000000"/>
                      <w:spacing w:val="-4"/>
                    </w:rPr>
                    <w:t xml:space="preserve">task required at 70% productivity alongside someone who can complete 100% of the task at 70% of productivity and be paid at the same rate. This presents an inequity amongst individuals and would have a financially detrimental effect on the </w:t>
                  </w:r>
                  <w:proofErr w:type="spellStart"/>
                  <w:r>
                    <w:rPr>
                      <w:rFonts w:ascii="Arial" w:eastAsia="Arial" w:hAnsi="Arial"/>
                      <w:color w:val="000000"/>
                      <w:spacing w:val="-4"/>
                    </w:rPr>
                    <w:t>organisation</w:t>
                  </w:r>
                  <w:proofErr w:type="spellEnd"/>
                  <w:r>
                    <w:rPr>
                      <w:rFonts w:ascii="Arial" w:eastAsia="Arial" w:hAnsi="Arial"/>
                      <w:color w:val="000000"/>
                      <w:spacing w:val="-4"/>
                    </w:rPr>
                    <w:t>.</w:t>
                  </w:r>
                </w:p>
              </w:txbxContent>
            </v:textbox>
            <w10:wrap type="square" anchorx="page" anchory="page"/>
          </v:shape>
        </w:pict>
      </w:r>
    </w:p>
    <w:sectPr w:rsidR="00553786">
      <w:pgSz w:w="11914" w:h="16848"/>
      <w:pgMar w:top="1152" w:right="1447" w:bottom="1044" w:left="16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1652D"/>
    <w:multiLevelType w:val="multilevel"/>
    <w:tmpl w:val="6FE07304"/>
    <w:lvl w:ilvl="0">
      <w:start w:val="1"/>
      <w:numFmt w:val="bullet"/>
      <w:lvlText w:val="·"/>
      <w:lvlJc w:val="left"/>
      <w:pPr>
        <w:tabs>
          <w:tab w:val="left" w:pos="360"/>
        </w:tabs>
        <w:ind w:left="720"/>
      </w:pPr>
      <w:rPr>
        <w:rFonts w:ascii="Symbol" w:eastAsia="Symbol" w:hAnsi="Symbol"/>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2024080"/>
    <w:multiLevelType w:val="multilevel"/>
    <w:tmpl w:val="41107424"/>
    <w:lvl w:ilvl="0">
      <w:start w:val="1"/>
      <w:numFmt w:val="lowerLetter"/>
      <w:lvlText w:val="(%1)"/>
      <w:lvlJc w:val="left"/>
      <w:pPr>
        <w:tabs>
          <w:tab w:val="left" w:pos="360"/>
        </w:tabs>
        <w:ind w:left="720"/>
      </w:pPr>
      <w:rPr>
        <w:rFonts w:ascii="Arial" w:eastAsia="Arial" w:hAnsi="Arial"/>
        <w:strike w:val="0"/>
        <w:color w:val="000000"/>
        <w:spacing w:val="-5"/>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553786"/>
    <w:rsid w:val="00553786"/>
    <w:rsid w:val="009933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Australian Human Rights Commission</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Emery</dc:creator>
  <cp:lastModifiedBy>Lara Emery</cp:lastModifiedBy>
  <cp:revision>2</cp:revision>
  <dcterms:created xsi:type="dcterms:W3CDTF">2013-12-11T02:33:00Z</dcterms:created>
  <dcterms:modified xsi:type="dcterms:W3CDTF">2013-12-11T02:33:00Z</dcterms:modified>
</cp:coreProperties>
</file>