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1E76" w14:textId="66FB4C71" w:rsidR="00F605BB" w:rsidRPr="008C7D2D" w:rsidRDefault="004634A0" w:rsidP="00906580">
      <w:pPr>
        <w:pStyle w:val="Title"/>
        <w:rPr>
          <w:rFonts w:ascii="Open Sans" w:hAnsi="Open Sans" w:cs="Open Sans"/>
          <w:b/>
          <w:bCs/>
        </w:rPr>
      </w:pPr>
      <w:r w:rsidRPr="008C7D2D">
        <w:rPr>
          <w:rFonts w:ascii="Open Sans" w:hAnsi="Open Sans" w:cs="Open Sans"/>
          <w:b/>
          <w:bCs/>
        </w:rPr>
        <w:t>Stats &amp; Facts</w:t>
      </w:r>
      <w:r w:rsidR="0071163B" w:rsidRPr="008C7D2D">
        <w:rPr>
          <w:rFonts w:ascii="Open Sans" w:hAnsi="Open Sans" w:cs="Open Sans"/>
          <w:b/>
          <w:bCs/>
        </w:rPr>
        <w:t xml:space="preserve">: </w:t>
      </w:r>
      <w:r w:rsidR="00C11D6D" w:rsidRPr="008C7D2D">
        <w:rPr>
          <w:rFonts w:ascii="Open Sans" w:hAnsi="Open Sans" w:cs="Open Sans"/>
          <w:b/>
          <w:bCs/>
        </w:rPr>
        <w:t>Disability rights</w:t>
      </w:r>
    </w:p>
    <w:p w14:paraId="6A53DDF9" w14:textId="77777777" w:rsidR="009907D5" w:rsidRPr="0071163B" w:rsidRDefault="009907D5" w:rsidP="009907D5">
      <w:pPr>
        <w:rPr>
          <w:rFonts w:ascii="Open Sans" w:hAnsi="Open Sans" w:cs="Open Sans"/>
          <w:sz w:val="24"/>
          <w:szCs w:val="24"/>
        </w:rPr>
      </w:pPr>
      <w:r w:rsidRPr="0071163B">
        <w:rPr>
          <w:rFonts w:ascii="Open Sans" w:hAnsi="Open Sans" w:cs="Open Sans"/>
          <w:sz w:val="24"/>
          <w:szCs w:val="24"/>
        </w:rPr>
        <w:t>Australia signed up to the Convention on the Rights of Persons with Disabilities in 2008. Its goals are to make sure that everyone with disabilities can fully enjoy their human rights and freedoms, and to promote respect and dignity for people with disability.</w:t>
      </w:r>
    </w:p>
    <w:p w14:paraId="0D8C2F3F" w14:textId="2E7777DE" w:rsidR="00906580" w:rsidRDefault="009907D5" w:rsidP="009907D5">
      <w:pPr>
        <w:rPr>
          <w:rFonts w:ascii="Open Sans" w:hAnsi="Open Sans" w:cs="Open Sans"/>
          <w:sz w:val="24"/>
          <w:szCs w:val="24"/>
        </w:rPr>
      </w:pPr>
      <w:r w:rsidRPr="0071163B">
        <w:rPr>
          <w:rFonts w:ascii="Open Sans" w:hAnsi="Open Sans" w:cs="Open Sans"/>
          <w:sz w:val="24"/>
          <w:szCs w:val="24"/>
        </w:rPr>
        <w:t>Unfortunately, people with disability in Australia face many barriers to achieving their rights and full participation in society. Many people with disability are experiencing violence, abuse, neglect, and exploitation in the workplace, in private, and in public life.</w:t>
      </w:r>
    </w:p>
    <w:p w14:paraId="6678091F" w14:textId="447ADA64" w:rsidR="00C11D6D" w:rsidRPr="008C7D2D" w:rsidRDefault="00C11D6D" w:rsidP="00D235DD">
      <w:pPr>
        <w:pStyle w:val="Heading1"/>
        <w:rPr>
          <w:rFonts w:ascii="Open Sans" w:hAnsi="Open Sans" w:cs="Open Sans"/>
          <w:b/>
          <w:bCs/>
          <w:color w:val="auto"/>
          <w:sz w:val="36"/>
          <w:szCs w:val="36"/>
        </w:rPr>
      </w:pPr>
      <w:r w:rsidRPr="008C7D2D">
        <w:rPr>
          <w:rFonts w:ascii="Open Sans" w:hAnsi="Open Sans" w:cs="Open Sans"/>
          <w:b/>
          <w:bCs/>
          <w:color w:val="auto"/>
          <w:sz w:val="36"/>
          <w:szCs w:val="36"/>
        </w:rPr>
        <w:t>Demographics</w:t>
      </w:r>
    </w:p>
    <w:p w14:paraId="3235F87C" w14:textId="494CD0F5" w:rsidR="0071163B" w:rsidRPr="0071163B" w:rsidRDefault="00E63639" w:rsidP="00C11D6D">
      <w:pPr>
        <w:pStyle w:val="ListParagraph"/>
        <w:numPr>
          <w:ilvl w:val="0"/>
          <w:numId w:val="1"/>
        </w:numPr>
        <w:rPr>
          <w:rFonts w:ascii="Open Sans" w:hAnsi="Open Sans" w:cs="Open Sans"/>
          <w:sz w:val="24"/>
          <w:szCs w:val="24"/>
        </w:rPr>
      </w:pPr>
      <w:r>
        <w:rPr>
          <w:rFonts w:ascii="Open Sans" w:hAnsi="Open Sans" w:cs="Open Sans"/>
          <w:sz w:val="24"/>
          <w:szCs w:val="24"/>
        </w:rPr>
        <w:t>1</w:t>
      </w:r>
      <w:r w:rsidR="00C11D6D" w:rsidRPr="0071163B">
        <w:rPr>
          <w:rFonts w:ascii="Open Sans" w:hAnsi="Open Sans" w:cs="Open Sans"/>
          <w:sz w:val="24"/>
          <w:szCs w:val="24"/>
        </w:rPr>
        <w:t xml:space="preserve"> in </w:t>
      </w:r>
      <w:r w:rsidR="0095534C">
        <w:rPr>
          <w:rFonts w:ascii="Open Sans" w:hAnsi="Open Sans" w:cs="Open Sans"/>
          <w:sz w:val="24"/>
          <w:szCs w:val="24"/>
        </w:rPr>
        <w:t>5</w:t>
      </w:r>
      <w:r w:rsidR="00C11D6D" w:rsidRPr="0071163B">
        <w:rPr>
          <w:rFonts w:ascii="Open Sans" w:hAnsi="Open Sans" w:cs="Open Sans"/>
          <w:sz w:val="24"/>
          <w:szCs w:val="24"/>
        </w:rPr>
        <w:t xml:space="preserve"> people in Australia have disability.</w:t>
      </w:r>
      <w:r w:rsidR="0071163B" w:rsidRPr="0071163B">
        <w:rPr>
          <w:rStyle w:val="EndnoteReference"/>
          <w:rFonts w:ascii="Open Sans" w:hAnsi="Open Sans" w:cs="Open Sans"/>
          <w:sz w:val="24"/>
          <w:szCs w:val="24"/>
        </w:rPr>
        <w:endnoteReference w:id="2"/>
      </w:r>
      <w:r w:rsidR="003E2FC4">
        <w:rPr>
          <w:rFonts w:ascii="Open Sans" w:hAnsi="Open Sans" w:cs="Open Sans"/>
          <w:sz w:val="24"/>
          <w:szCs w:val="24"/>
        </w:rPr>
        <w:br/>
      </w:r>
    </w:p>
    <w:p w14:paraId="5C875C6B" w14:textId="75A167BE" w:rsidR="0071163B" w:rsidRPr="0071163B" w:rsidRDefault="0071163B" w:rsidP="00C11D6D">
      <w:pPr>
        <w:pStyle w:val="ListParagraph"/>
        <w:numPr>
          <w:ilvl w:val="0"/>
          <w:numId w:val="1"/>
        </w:numPr>
        <w:rPr>
          <w:rFonts w:ascii="Open Sans" w:hAnsi="Open Sans" w:cs="Open Sans"/>
          <w:sz w:val="24"/>
          <w:szCs w:val="24"/>
        </w:rPr>
      </w:pPr>
      <w:r w:rsidRPr="0071163B">
        <w:rPr>
          <w:rFonts w:ascii="Open Sans" w:hAnsi="Open Sans" w:cs="Open Sans"/>
          <w:sz w:val="24"/>
          <w:szCs w:val="24"/>
        </w:rPr>
        <w:t xml:space="preserve">About 3 in 4 </w:t>
      </w:r>
      <w:r w:rsidR="00DC6277">
        <w:rPr>
          <w:rFonts w:ascii="Open Sans" w:hAnsi="Open Sans" w:cs="Open Sans"/>
          <w:sz w:val="24"/>
          <w:szCs w:val="24"/>
        </w:rPr>
        <w:t xml:space="preserve">people in Australia who have a disability </w:t>
      </w:r>
      <w:r w:rsidRPr="0071163B">
        <w:rPr>
          <w:rFonts w:ascii="Open Sans" w:hAnsi="Open Sans" w:cs="Open Sans"/>
          <w:sz w:val="24"/>
          <w:szCs w:val="24"/>
        </w:rPr>
        <w:t>say their main form of impairment is physical, while about 1 in 4 say their main form of impairment is mental or behavioural.</w:t>
      </w:r>
      <w:r w:rsidRPr="0071163B">
        <w:rPr>
          <w:rStyle w:val="EndnoteReference"/>
          <w:rFonts w:ascii="Open Sans" w:hAnsi="Open Sans" w:cs="Open Sans"/>
          <w:sz w:val="24"/>
          <w:szCs w:val="24"/>
        </w:rPr>
        <w:endnoteReference w:id="3"/>
      </w:r>
    </w:p>
    <w:p w14:paraId="3D68E030" w14:textId="6BE51BBA" w:rsidR="0071163B" w:rsidRPr="008C7D2D" w:rsidRDefault="0071163B" w:rsidP="0071163B">
      <w:pPr>
        <w:pStyle w:val="Heading1"/>
        <w:rPr>
          <w:rFonts w:ascii="Open Sans" w:hAnsi="Open Sans" w:cs="Open Sans"/>
          <w:b/>
          <w:bCs/>
          <w:color w:val="auto"/>
          <w:sz w:val="36"/>
          <w:szCs w:val="36"/>
        </w:rPr>
      </w:pPr>
      <w:r w:rsidRPr="008C7D2D">
        <w:rPr>
          <w:rFonts w:ascii="Open Sans" w:hAnsi="Open Sans" w:cs="Open Sans"/>
          <w:b/>
          <w:bCs/>
          <w:color w:val="auto"/>
          <w:sz w:val="36"/>
          <w:szCs w:val="36"/>
        </w:rPr>
        <w:t>Complaints to the Australian Human Rights Commission</w:t>
      </w:r>
    </w:p>
    <w:p w14:paraId="5450CFA5" w14:textId="0CA253B3" w:rsidR="0071163B" w:rsidRPr="0071163B" w:rsidRDefault="0071163B" w:rsidP="00D235DD">
      <w:pPr>
        <w:pStyle w:val="ListParagraph"/>
        <w:numPr>
          <w:ilvl w:val="0"/>
          <w:numId w:val="2"/>
        </w:numPr>
        <w:rPr>
          <w:rFonts w:ascii="Open Sans" w:hAnsi="Open Sans" w:cs="Open Sans"/>
          <w:sz w:val="24"/>
          <w:szCs w:val="24"/>
        </w:rPr>
      </w:pPr>
      <w:r w:rsidRPr="0071163B">
        <w:rPr>
          <w:rFonts w:ascii="Open Sans" w:hAnsi="Open Sans" w:cs="Open Sans"/>
          <w:sz w:val="24"/>
          <w:szCs w:val="24"/>
        </w:rPr>
        <w:t>In 202</w:t>
      </w:r>
      <w:r w:rsidR="00517676">
        <w:rPr>
          <w:rFonts w:ascii="Open Sans" w:hAnsi="Open Sans" w:cs="Open Sans"/>
          <w:sz w:val="24"/>
          <w:szCs w:val="24"/>
        </w:rPr>
        <w:t>3</w:t>
      </w:r>
      <w:r w:rsidRPr="0071163B">
        <w:rPr>
          <w:rFonts w:ascii="Open Sans" w:hAnsi="Open Sans" w:cs="Open Sans"/>
          <w:sz w:val="24"/>
          <w:szCs w:val="24"/>
        </w:rPr>
        <w:t xml:space="preserve"> – 2</w:t>
      </w:r>
      <w:r w:rsidR="00517676">
        <w:rPr>
          <w:rFonts w:ascii="Open Sans" w:hAnsi="Open Sans" w:cs="Open Sans"/>
          <w:sz w:val="24"/>
          <w:szCs w:val="24"/>
        </w:rPr>
        <w:t>4</w:t>
      </w:r>
      <w:r w:rsidRPr="0071163B">
        <w:rPr>
          <w:rFonts w:ascii="Open Sans" w:hAnsi="Open Sans" w:cs="Open Sans"/>
          <w:sz w:val="24"/>
          <w:szCs w:val="24"/>
        </w:rPr>
        <w:t>, the most common areas of the Disability Discrimination Act under which people made complaints were:</w:t>
      </w:r>
    </w:p>
    <w:p w14:paraId="31279138" w14:textId="4A71A376" w:rsidR="0071163B" w:rsidRPr="0071163B" w:rsidRDefault="0071163B" w:rsidP="00D235DD">
      <w:pPr>
        <w:pStyle w:val="ListParagraph"/>
        <w:numPr>
          <w:ilvl w:val="1"/>
          <w:numId w:val="3"/>
        </w:numPr>
        <w:rPr>
          <w:rFonts w:ascii="Open Sans" w:hAnsi="Open Sans" w:cs="Open Sans"/>
          <w:sz w:val="24"/>
          <w:szCs w:val="24"/>
        </w:rPr>
      </w:pPr>
      <w:r w:rsidRPr="0071163B">
        <w:rPr>
          <w:rFonts w:ascii="Open Sans" w:hAnsi="Open Sans" w:cs="Open Sans"/>
          <w:sz w:val="24"/>
          <w:szCs w:val="24"/>
        </w:rPr>
        <w:t>Goods, services, and facilities (3</w:t>
      </w:r>
      <w:r w:rsidR="00AC2737">
        <w:rPr>
          <w:rFonts w:ascii="Open Sans" w:hAnsi="Open Sans" w:cs="Open Sans"/>
          <w:sz w:val="24"/>
          <w:szCs w:val="24"/>
        </w:rPr>
        <w:t>3</w:t>
      </w:r>
      <w:r w:rsidRPr="0071163B">
        <w:rPr>
          <w:rFonts w:ascii="Open Sans" w:hAnsi="Open Sans" w:cs="Open Sans"/>
          <w:sz w:val="24"/>
          <w:szCs w:val="24"/>
        </w:rPr>
        <w:t>%)</w:t>
      </w:r>
    </w:p>
    <w:p w14:paraId="590E16A5" w14:textId="0498D0DE" w:rsidR="0071163B" w:rsidRPr="0071163B" w:rsidRDefault="0071163B" w:rsidP="00D235DD">
      <w:pPr>
        <w:pStyle w:val="ListParagraph"/>
        <w:numPr>
          <w:ilvl w:val="1"/>
          <w:numId w:val="3"/>
        </w:numPr>
        <w:rPr>
          <w:rFonts w:ascii="Open Sans" w:hAnsi="Open Sans" w:cs="Open Sans"/>
          <w:sz w:val="24"/>
          <w:szCs w:val="24"/>
        </w:rPr>
      </w:pPr>
      <w:r w:rsidRPr="0071163B">
        <w:rPr>
          <w:rFonts w:ascii="Open Sans" w:hAnsi="Open Sans" w:cs="Open Sans"/>
          <w:sz w:val="24"/>
          <w:szCs w:val="24"/>
        </w:rPr>
        <w:t>Employment (2</w:t>
      </w:r>
      <w:r w:rsidR="00AC2737">
        <w:rPr>
          <w:rFonts w:ascii="Open Sans" w:hAnsi="Open Sans" w:cs="Open Sans"/>
          <w:sz w:val="24"/>
          <w:szCs w:val="24"/>
        </w:rPr>
        <w:t>9</w:t>
      </w:r>
      <w:r w:rsidRPr="0071163B">
        <w:rPr>
          <w:rFonts w:ascii="Open Sans" w:hAnsi="Open Sans" w:cs="Open Sans"/>
          <w:sz w:val="24"/>
          <w:szCs w:val="24"/>
        </w:rPr>
        <w:t>%)</w:t>
      </w:r>
    </w:p>
    <w:p w14:paraId="0C87A87D" w14:textId="759196CF" w:rsidR="0071163B" w:rsidRPr="0071163B" w:rsidRDefault="0071163B" w:rsidP="00D235DD">
      <w:pPr>
        <w:pStyle w:val="ListParagraph"/>
        <w:numPr>
          <w:ilvl w:val="1"/>
          <w:numId w:val="3"/>
        </w:numPr>
        <w:rPr>
          <w:rFonts w:ascii="Open Sans" w:hAnsi="Open Sans" w:cs="Open Sans"/>
          <w:sz w:val="24"/>
          <w:szCs w:val="24"/>
        </w:rPr>
      </w:pPr>
      <w:r w:rsidRPr="0071163B">
        <w:rPr>
          <w:rFonts w:ascii="Open Sans" w:hAnsi="Open Sans" w:cs="Open Sans"/>
          <w:sz w:val="24"/>
          <w:szCs w:val="24"/>
        </w:rPr>
        <w:t>Disability standards (1</w:t>
      </w:r>
      <w:r w:rsidR="00AC2737">
        <w:rPr>
          <w:rFonts w:ascii="Open Sans" w:hAnsi="Open Sans" w:cs="Open Sans"/>
          <w:sz w:val="24"/>
          <w:szCs w:val="24"/>
        </w:rPr>
        <w:t>2</w:t>
      </w:r>
      <w:r w:rsidRPr="0071163B">
        <w:rPr>
          <w:rFonts w:ascii="Open Sans" w:hAnsi="Open Sans" w:cs="Open Sans"/>
          <w:sz w:val="24"/>
          <w:szCs w:val="24"/>
        </w:rPr>
        <w:t>%)</w:t>
      </w:r>
    </w:p>
    <w:p w14:paraId="07E0E265" w14:textId="6D536BF2" w:rsidR="0071163B" w:rsidRPr="0071163B" w:rsidRDefault="0071163B" w:rsidP="00D235DD">
      <w:pPr>
        <w:pStyle w:val="ListParagraph"/>
        <w:numPr>
          <w:ilvl w:val="1"/>
          <w:numId w:val="3"/>
        </w:numPr>
        <w:rPr>
          <w:rFonts w:ascii="Open Sans" w:hAnsi="Open Sans" w:cs="Open Sans"/>
          <w:sz w:val="24"/>
          <w:szCs w:val="24"/>
        </w:rPr>
      </w:pPr>
      <w:r w:rsidRPr="0071163B">
        <w:rPr>
          <w:rFonts w:ascii="Open Sans" w:hAnsi="Open Sans" w:cs="Open Sans"/>
          <w:sz w:val="24"/>
          <w:szCs w:val="24"/>
        </w:rPr>
        <w:t>Education (1</w:t>
      </w:r>
      <w:r w:rsidR="00AC2737">
        <w:rPr>
          <w:rFonts w:ascii="Open Sans" w:hAnsi="Open Sans" w:cs="Open Sans"/>
          <w:sz w:val="24"/>
          <w:szCs w:val="24"/>
        </w:rPr>
        <w:t>1</w:t>
      </w:r>
      <w:r w:rsidRPr="0071163B">
        <w:rPr>
          <w:rFonts w:ascii="Open Sans" w:hAnsi="Open Sans" w:cs="Open Sans"/>
          <w:sz w:val="24"/>
          <w:szCs w:val="24"/>
        </w:rPr>
        <w:t>%)</w:t>
      </w:r>
      <w:r w:rsidRPr="0071163B">
        <w:rPr>
          <w:rStyle w:val="EndnoteReference"/>
          <w:rFonts w:ascii="Open Sans" w:hAnsi="Open Sans" w:cs="Open Sans"/>
          <w:sz w:val="24"/>
          <w:szCs w:val="24"/>
        </w:rPr>
        <w:endnoteReference w:id="4"/>
      </w:r>
    </w:p>
    <w:p w14:paraId="69A2452F" w14:textId="07C945AF" w:rsidR="0071163B" w:rsidRPr="0071163B" w:rsidRDefault="0071163B" w:rsidP="002A16A2">
      <w:pPr>
        <w:pStyle w:val="Heading1"/>
        <w:rPr>
          <w:rFonts w:ascii="Open Sans" w:hAnsi="Open Sans" w:cs="Open Sans"/>
          <w:sz w:val="24"/>
          <w:szCs w:val="24"/>
        </w:rPr>
      </w:pPr>
      <w:r w:rsidRPr="008C7D2D">
        <w:rPr>
          <w:rFonts w:ascii="Open Sans" w:hAnsi="Open Sans" w:cs="Open Sans"/>
          <w:b/>
          <w:bCs/>
          <w:color w:val="auto"/>
          <w:sz w:val="36"/>
          <w:szCs w:val="36"/>
        </w:rPr>
        <w:t>Education</w:t>
      </w:r>
    </w:p>
    <w:p w14:paraId="5AE46591" w14:textId="6D7E072F" w:rsidR="0071163B" w:rsidRPr="0071163B" w:rsidRDefault="0071163B" w:rsidP="00D235DD">
      <w:pPr>
        <w:pStyle w:val="ListParagraph"/>
        <w:numPr>
          <w:ilvl w:val="0"/>
          <w:numId w:val="4"/>
        </w:numPr>
        <w:rPr>
          <w:rFonts w:ascii="Open Sans" w:hAnsi="Open Sans" w:cs="Open Sans"/>
          <w:sz w:val="24"/>
          <w:szCs w:val="24"/>
        </w:rPr>
      </w:pPr>
      <w:r w:rsidRPr="0071163B">
        <w:rPr>
          <w:rFonts w:ascii="Open Sans" w:hAnsi="Open Sans" w:cs="Open Sans"/>
          <w:sz w:val="24"/>
          <w:szCs w:val="24"/>
        </w:rPr>
        <w:t>Families of students with disability reported that their school:</w:t>
      </w:r>
    </w:p>
    <w:p w14:paraId="07195208" w14:textId="25DBA5A4" w:rsidR="0071163B" w:rsidRPr="0071163B" w:rsidRDefault="0071163B" w:rsidP="00D235DD">
      <w:pPr>
        <w:pStyle w:val="ListParagraph"/>
        <w:numPr>
          <w:ilvl w:val="1"/>
          <w:numId w:val="5"/>
        </w:numPr>
        <w:rPr>
          <w:rFonts w:ascii="Open Sans" w:hAnsi="Open Sans" w:cs="Open Sans"/>
          <w:sz w:val="24"/>
          <w:szCs w:val="24"/>
        </w:rPr>
      </w:pPr>
      <w:r w:rsidRPr="0071163B">
        <w:rPr>
          <w:rFonts w:ascii="Open Sans" w:hAnsi="Open Sans" w:cs="Open Sans"/>
          <w:sz w:val="24"/>
          <w:szCs w:val="24"/>
        </w:rPr>
        <w:t>Provided inadequate support (39%)</w:t>
      </w:r>
    </w:p>
    <w:p w14:paraId="716CB506" w14:textId="24530BD0" w:rsidR="0071163B" w:rsidRPr="00014219" w:rsidRDefault="0071163B" w:rsidP="00014219">
      <w:pPr>
        <w:pStyle w:val="ListParagraph"/>
        <w:numPr>
          <w:ilvl w:val="1"/>
          <w:numId w:val="5"/>
        </w:numPr>
        <w:rPr>
          <w:rFonts w:ascii="Open Sans" w:hAnsi="Open Sans" w:cs="Open Sans"/>
          <w:sz w:val="24"/>
          <w:szCs w:val="24"/>
        </w:rPr>
      </w:pPr>
      <w:r w:rsidRPr="0071163B">
        <w:rPr>
          <w:rFonts w:ascii="Open Sans" w:hAnsi="Open Sans" w:cs="Open Sans"/>
          <w:sz w:val="24"/>
          <w:szCs w:val="24"/>
        </w:rPr>
        <w:t>Told the student they would do better if they were at a segregated school (24%)</w:t>
      </w:r>
    </w:p>
    <w:p w14:paraId="4DF93BF5" w14:textId="77777777" w:rsidR="0071163B" w:rsidRPr="0071163B" w:rsidRDefault="0071163B" w:rsidP="00D235DD">
      <w:pPr>
        <w:pStyle w:val="ListParagraph"/>
        <w:numPr>
          <w:ilvl w:val="1"/>
          <w:numId w:val="5"/>
        </w:numPr>
        <w:rPr>
          <w:rFonts w:ascii="Open Sans" w:hAnsi="Open Sans" w:cs="Open Sans"/>
          <w:sz w:val="24"/>
          <w:szCs w:val="24"/>
        </w:rPr>
      </w:pPr>
      <w:r w:rsidRPr="0071163B">
        <w:rPr>
          <w:rFonts w:ascii="Open Sans" w:hAnsi="Open Sans" w:cs="Open Sans"/>
          <w:sz w:val="24"/>
          <w:szCs w:val="24"/>
        </w:rPr>
        <w:lastRenderedPageBreak/>
        <w:t>Regularly excluded them from broader school activities (e.g. assemblies, sport, school exclusions) (20%)</w:t>
      </w:r>
    </w:p>
    <w:p w14:paraId="43CA41BC" w14:textId="73F2C4CD" w:rsidR="006E37E8" w:rsidRPr="002A16A2" w:rsidRDefault="0071163B" w:rsidP="002A16A2">
      <w:pPr>
        <w:pStyle w:val="ListParagraph"/>
        <w:numPr>
          <w:ilvl w:val="1"/>
          <w:numId w:val="5"/>
        </w:numPr>
        <w:rPr>
          <w:rFonts w:ascii="Open Sans" w:hAnsi="Open Sans" w:cs="Open Sans"/>
          <w:sz w:val="24"/>
          <w:szCs w:val="24"/>
        </w:rPr>
      </w:pPr>
      <w:r w:rsidRPr="0071163B">
        <w:rPr>
          <w:rFonts w:ascii="Open Sans" w:hAnsi="Open Sans" w:cs="Open Sans"/>
          <w:sz w:val="24"/>
          <w:szCs w:val="24"/>
        </w:rPr>
        <w:t>Used restrictive practices to manage behaviour (17%)</w:t>
      </w:r>
      <w:r w:rsidRPr="0071163B">
        <w:rPr>
          <w:rStyle w:val="EndnoteReference"/>
          <w:rFonts w:ascii="Open Sans" w:hAnsi="Open Sans" w:cs="Open Sans"/>
          <w:sz w:val="24"/>
          <w:szCs w:val="24"/>
        </w:rPr>
        <w:endnoteReference w:id="5"/>
      </w:r>
      <w:r w:rsidR="002A16A2">
        <w:rPr>
          <w:rFonts w:ascii="Open Sans" w:hAnsi="Open Sans" w:cs="Open Sans"/>
          <w:sz w:val="24"/>
          <w:szCs w:val="24"/>
        </w:rPr>
        <w:br/>
      </w:r>
    </w:p>
    <w:p w14:paraId="2C5BB065" w14:textId="5CB9BC63" w:rsidR="002A16A2" w:rsidRPr="002A16A2" w:rsidRDefault="002A16A2" w:rsidP="002A16A2">
      <w:pPr>
        <w:pStyle w:val="ListParagraph"/>
        <w:numPr>
          <w:ilvl w:val="0"/>
          <w:numId w:val="10"/>
        </w:numPr>
        <w:rPr>
          <w:rFonts w:ascii="Open Sans" w:hAnsi="Open Sans" w:cs="Open Sans"/>
          <w:sz w:val="24"/>
          <w:szCs w:val="24"/>
        </w:rPr>
      </w:pPr>
      <w:r w:rsidRPr="0071163B">
        <w:rPr>
          <w:rFonts w:ascii="Open Sans" w:hAnsi="Open Sans" w:cs="Open Sans"/>
          <w:sz w:val="24"/>
          <w:szCs w:val="24"/>
        </w:rPr>
        <w:t xml:space="preserve">1 in </w:t>
      </w:r>
      <w:proofErr w:type="gramStart"/>
      <w:r w:rsidRPr="0071163B">
        <w:rPr>
          <w:rFonts w:ascii="Open Sans" w:hAnsi="Open Sans" w:cs="Open Sans"/>
          <w:sz w:val="24"/>
          <w:szCs w:val="24"/>
        </w:rPr>
        <w:t>10  students</w:t>
      </w:r>
      <w:proofErr w:type="gramEnd"/>
      <w:r w:rsidRPr="0071163B">
        <w:rPr>
          <w:rFonts w:ascii="Open Sans" w:hAnsi="Open Sans" w:cs="Open Sans"/>
          <w:sz w:val="24"/>
          <w:szCs w:val="24"/>
        </w:rPr>
        <w:t xml:space="preserve"> with disability go to a segregated school.</w:t>
      </w:r>
      <w:r w:rsidRPr="0071163B">
        <w:rPr>
          <w:rStyle w:val="EndnoteReference"/>
          <w:rFonts w:ascii="Open Sans" w:hAnsi="Open Sans" w:cs="Open Sans"/>
          <w:sz w:val="24"/>
          <w:szCs w:val="24"/>
        </w:rPr>
        <w:endnoteReference w:id="6"/>
      </w:r>
    </w:p>
    <w:p w14:paraId="1E4D1BAA" w14:textId="5DD48DD6" w:rsidR="0071163B" w:rsidRPr="008C7D2D" w:rsidRDefault="0071163B" w:rsidP="00D235DD">
      <w:pPr>
        <w:pStyle w:val="Heading1"/>
        <w:rPr>
          <w:rFonts w:ascii="Open Sans" w:eastAsiaTheme="minorHAnsi" w:hAnsi="Open Sans" w:cs="Open Sans"/>
          <w:b/>
          <w:bCs/>
          <w:color w:val="auto"/>
          <w:sz w:val="36"/>
          <w:szCs w:val="36"/>
        </w:rPr>
      </w:pPr>
      <w:r w:rsidRPr="008C7D2D">
        <w:rPr>
          <w:rFonts w:ascii="Open Sans" w:hAnsi="Open Sans" w:cs="Open Sans"/>
          <w:b/>
          <w:bCs/>
          <w:color w:val="auto"/>
          <w:sz w:val="36"/>
          <w:szCs w:val="36"/>
        </w:rPr>
        <w:t>Experiences of violence</w:t>
      </w:r>
    </w:p>
    <w:p w14:paraId="7143AEEF" w14:textId="2F70B5F2" w:rsidR="0071163B" w:rsidRPr="0071163B" w:rsidRDefault="0090646E" w:rsidP="00906580">
      <w:pPr>
        <w:pStyle w:val="ListParagraph"/>
        <w:numPr>
          <w:ilvl w:val="0"/>
          <w:numId w:val="7"/>
        </w:numPr>
        <w:rPr>
          <w:rFonts w:ascii="Open Sans" w:hAnsi="Open Sans" w:cs="Open Sans"/>
          <w:sz w:val="24"/>
          <w:szCs w:val="24"/>
        </w:rPr>
      </w:pPr>
      <w:r>
        <w:rPr>
          <w:rFonts w:ascii="Open Sans" w:hAnsi="Open Sans" w:cs="Open Sans"/>
          <w:sz w:val="24"/>
          <w:szCs w:val="24"/>
        </w:rPr>
        <w:t>More than half of all people</w:t>
      </w:r>
      <w:r w:rsidR="0071163B" w:rsidRPr="0071163B">
        <w:rPr>
          <w:rFonts w:ascii="Open Sans" w:hAnsi="Open Sans" w:cs="Open Sans"/>
          <w:sz w:val="24"/>
          <w:szCs w:val="24"/>
        </w:rPr>
        <w:t xml:space="preserve"> with disability</w:t>
      </w:r>
      <w:r>
        <w:rPr>
          <w:rFonts w:ascii="Open Sans" w:hAnsi="Open Sans" w:cs="Open Sans"/>
          <w:sz w:val="24"/>
          <w:szCs w:val="24"/>
        </w:rPr>
        <w:t xml:space="preserve"> aged 18 to 64</w:t>
      </w:r>
      <w:r w:rsidR="0071163B" w:rsidRPr="0071163B">
        <w:rPr>
          <w:rFonts w:ascii="Open Sans" w:hAnsi="Open Sans" w:cs="Open Sans"/>
          <w:sz w:val="24"/>
          <w:szCs w:val="24"/>
        </w:rPr>
        <w:t xml:space="preserve"> have experienced</w:t>
      </w:r>
      <w:r w:rsidR="00F43A43">
        <w:rPr>
          <w:rFonts w:ascii="Open Sans" w:hAnsi="Open Sans" w:cs="Open Sans"/>
          <w:sz w:val="24"/>
          <w:szCs w:val="24"/>
        </w:rPr>
        <w:t xml:space="preserve"> physical or sexual</w:t>
      </w:r>
      <w:r w:rsidR="0071163B" w:rsidRPr="0071163B">
        <w:rPr>
          <w:rFonts w:ascii="Open Sans" w:hAnsi="Open Sans" w:cs="Open Sans"/>
          <w:sz w:val="24"/>
          <w:szCs w:val="24"/>
        </w:rPr>
        <w:t xml:space="preserve"> violence </w:t>
      </w:r>
      <w:r w:rsidR="00F43A43">
        <w:rPr>
          <w:rFonts w:ascii="Open Sans" w:hAnsi="Open Sans" w:cs="Open Sans"/>
          <w:sz w:val="24"/>
          <w:szCs w:val="24"/>
        </w:rPr>
        <w:t>since the age of 15</w:t>
      </w:r>
      <w:r w:rsidR="0071163B" w:rsidRPr="0071163B">
        <w:rPr>
          <w:rFonts w:ascii="Open Sans" w:hAnsi="Open Sans" w:cs="Open Sans"/>
          <w:sz w:val="24"/>
          <w:szCs w:val="24"/>
        </w:rPr>
        <w:t>. People with a psychosocial disability, acquired brain injury, or intellectual disability are particularly at risk.</w:t>
      </w:r>
      <w:r w:rsidR="0071163B" w:rsidRPr="0071163B">
        <w:rPr>
          <w:rStyle w:val="EndnoteReference"/>
          <w:rFonts w:ascii="Open Sans" w:hAnsi="Open Sans" w:cs="Open Sans"/>
          <w:sz w:val="24"/>
          <w:szCs w:val="24"/>
        </w:rPr>
        <w:endnoteReference w:id="7"/>
      </w:r>
    </w:p>
    <w:p w14:paraId="5308371E" w14:textId="356EE62F" w:rsidR="0071163B" w:rsidRPr="008C7D2D" w:rsidRDefault="0071163B" w:rsidP="00D235DD">
      <w:pPr>
        <w:pStyle w:val="Heading1"/>
        <w:rPr>
          <w:rFonts w:ascii="Open Sans" w:eastAsiaTheme="minorHAnsi" w:hAnsi="Open Sans" w:cs="Open Sans"/>
          <w:b/>
          <w:bCs/>
          <w:color w:val="auto"/>
          <w:sz w:val="36"/>
          <w:szCs w:val="36"/>
        </w:rPr>
      </w:pPr>
      <w:r w:rsidRPr="008C7D2D">
        <w:rPr>
          <w:rFonts w:ascii="Open Sans" w:hAnsi="Open Sans" w:cs="Open Sans"/>
          <w:b/>
          <w:bCs/>
          <w:color w:val="auto"/>
          <w:sz w:val="36"/>
          <w:szCs w:val="36"/>
        </w:rPr>
        <w:t>Employment and NDIS eligibility</w:t>
      </w:r>
    </w:p>
    <w:p w14:paraId="5064EC3C" w14:textId="670766F0" w:rsidR="0071163B" w:rsidRPr="0071163B" w:rsidRDefault="0071163B" w:rsidP="00906580">
      <w:pPr>
        <w:pStyle w:val="ListParagraph"/>
        <w:numPr>
          <w:ilvl w:val="0"/>
          <w:numId w:val="6"/>
        </w:numPr>
        <w:rPr>
          <w:rFonts w:ascii="Open Sans" w:hAnsi="Open Sans" w:cs="Open Sans"/>
          <w:sz w:val="24"/>
          <w:szCs w:val="24"/>
        </w:rPr>
      </w:pPr>
      <w:r w:rsidRPr="0071163B">
        <w:rPr>
          <w:rFonts w:ascii="Open Sans" w:hAnsi="Open Sans" w:cs="Open Sans"/>
          <w:sz w:val="24"/>
          <w:szCs w:val="24"/>
        </w:rPr>
        <w:t xml:space="preserve">People with disability are more than </w:t>
      </w:r>
      <w:r w:rsidR="005F1E08">
        <w:rPr>
          <w:rFonts w:ascii="Open Sans" w:hAnsi="Open Sans" w:cs="Open Sans"/>
          <w:sz w:val="24"/>
          <w:szCs w:val="24"/>
        </w:rPr>
        <w:t>2</w:t>
      </w:r>
      <w:r w:rsidR="00877C4B">
        <w:rPr>
          <w:rFonts w:ascii="Open Sans" w:hAnsi="Open Sans" w:cs="Open Sans"/>
          <w:sz w:val="24"/>
          <w:szCs w:val="24"/>
        </w:rPr>
        <w:t xml:space="preserve"> times</w:t>
      </w:r>
      <w:r w:rsidRPr="0071163B">
        <w:rPr>
          <w:rFonts w:ascii="Open Sans" w:hAnsi="Open Sans" w:cs="Open Sans"/>
          <w:sz w:val="24"/>
          <w:szCs w:val="24"/>
        </w:rPr>
        <w:t xml:space="preserve"> as likely than people without disability to be unemployed.</w:t>
      </w:r>
      <w:r w:rsidRPr="0071163B">
        <w:rPr>
          <w:rStyle w:val="EndnoteReference"/>
          <w:rFonts w:ascii="Open Sans" w:hAnsi="Open Sans" w:cs="Open Sans"/>
          <w:sz w:val="24"/>
          <w:szCs w:val="24"/>
        </w:rPr>
        <w:endnoteReference w:id="8"/>
      </w:r>
      <w:r w:rsidRPr="0071163B">
        <w:rPr>
          <w:rFonts w:ascii="Open Sans" w:hAnsi="Open Sans" w:cs="Open Sans"/>
          <w:sz w:val="24"/>
          <w:szCs w:val="24"/>
        </w:rPr>
        <w:br/>
      </w:r>
    </w:p>
    <w:p w14:paraId="63683453" w14:textId="6776537E" w:rsidR="0071163B" w:rsidRPr="0071163B" w:rsidRDefault="0071163B" w:rsidP="00906580">
      <w:pPr>
        <w:pStyle w:val="ListParagraph"/>
        <w:numPr>
          <w:ilvl w:val="0"/>
          <w:numId w:val="6"/>
        </w:numPr>
        <w:rPr>
          <w:rFonts w:ascii="Open Sans" w:hAnsi="Open Sans" w:cs="Open Sans"/>
          <w:sz w:val="24"/>
          <w:szCs w:val="24"/>
        </w:rPr>
      </w:pPr>
      <w:r w:rsidRPr="0071163B">
        <w:rPr>
          <w:rFonts w:ascii="Open Sans" w:hAnsi="Open Sans" w:cs="Open Sans"/>
          <w:sz w:val="24"/>
          <w:szCs w:val="24"/>
        </w:rPr>
        <w:t>Increasing the number of people with disability who are employed by 10% would raise national economic output by $16 billion per year.</w:t>
      </w:r>
      <w:r w:rsidRPr="0071163B">
        <w:rPr>
          <w:rStyle w:val="EndnoteReference"/>
          <w:rFonts w:ascii="Open Sans" w:hAnsi="Open Sans" w:cs="Open Sans"/>
          <w:sz w:val="24"/>
          <w:szCs w:val="24"/>
        </w:rPr>
        <w:endnoteReference w:id="9"/>
      </w:r>
      <w:r w:rsidRPr="0071163B">
        <w:rPr>
          <w:rFonts w:ascii="Open Sans" w:hAnsi="Open Sans" w:cs="Open Sans"/>
          <w:sz w:val="24"/>
          <w:szCs w:val="24"/>
        </w:rPr>
        <w:br/>
      </w:r>
    </w:p>
    <w:p w14:paraId="0DCB022E" w14:textId="5464DC2E" w:rsidR="0071163B" w:rsidRPr="0071163B" w:rsidRDefault="0071163B" w:rsidP="00906580">
      <w:pPr>
        <w:pStyle w:val="ListParagraph"/>
        <w:numPr>
          <w:ilvl w:val="0"/>
          <w:numId w:val="6"/>
        </w:numPr>
        <w:rPr>
          <w:rFonts w:ascii="Open Sans" w:hAnsi="Open Sans" w:cs="Open Sans"/>
          <w:sz w:val="24"/>
          <w:szCs w:val="24"/>
        </w:rPr>
      </w:pPr>
      <w:r w:rsidRPr="0071163B">
        <w:rPr>
          <w:rFonts w:ascii="Open Sans" w:hAnsi="Open Sans" w:cs="Open Sans"/>
          <w:sz w:val="24"/>
          <w:szCs w:val="24"/>
        </w:rPr>
        <w:t>Only 10% of people with disability in Australia are eligible for the NDIS.</w:t>
      </w:r>
      <w:r w:rsidRPr="0071163B">
        <w:rPr>
          <w:rStyle w:val="EndnoteReference"/>
          <w:rFonts w:ascii="Open Sans" w:hAnsi="Open Sans" w:cs="Open Sans"/>
          <w:sz w:val="24"/>
          <w:szCs w:val="24"/>
        </w:rPr>
        <w:endnoteReference w:id="10"/>
      </w:r>
    </w:p>
    <w:p w14:paraId="2418BB61" w14:textId="62BBBBA7" w:rsidR="0071163B" w:rsidRPr="008C7D2D" w:rsidRDefault="0071163B" w:rsidP="00906580">
      <w:pPr>
        <w:pStyle w:val="Heading1"/>
        <w:rPr>
          <w:rFonts w:ascii="Open Sans" w:eastAsiaTheme="minorHAnsi" w:hAnsi="Open Sans" w:cs="Open Sans"/>
          <w:b/>
          <w:bCs/>
          <w:color w:val="auto"/>
          <w:sz w:val="36"/>
          <w:szCs w:val="36"/>
        </w:rPr>
      </w:pPr>
      <w:r w:rsidRPr="008C7D2D">
        <w:rPr>
          <w:rFonts w:ascii="Open Sans" w:hAnsi="Open Sans" w:cs="Open Sans"/>
          <w:b/>
          <w:bCs/>
          <w:color w:val="auto"/>
          <w:sz w:val="36"/>
          <w:szCs w:val="36"/>
        </w:rPr>
        <w:t>LGBTQA+ people with disability</w:t>
      </w:r>
    </w:p>
    <w:p w14:paraId="756C2FA0" w14:textId="1EA41227" w:rsidR="0071163B" w:rsidRPr="0071163B" w:rsidRDefault="00743576" w:rsidP="00906580">
      <w:pPr>
        <w:pStyle w:val="ListParagraph"/>
        <w:numPr>
          <w:ilvl w:val="0"/>
          <w:numId w:val="8"/>
        </w:numPr>
        <w:rPr>
          <w:rFonts w:ascii="Open Sans" w:hAnsi="Open Sans" w:cs="Open Sans"/>
          <w:sz w:val="24"/>
          <w:szCs w:val="24"/>
        </w:rPr>
      </w:pPr>
      <w:r>
        <w:rPr>
          <w:rFonts w:ascii="Open Sans" w:hAnsi="Open Sans" w:cs="Open Sans"/>
          <w:sz w:val="24"/>
          <w:szCs w:val="24"/>
        </w:rPr>
        <w:t xml:space="preserve">Only </w:t>
      </w:r>
      <w:r w:rsidR="00E551E6">
        <w:rPr>
          <w:rFonts w:ascii="Open Sans" w:hAnsi="Open Sans" w:cs="Open Sans"/>
          <w:sz w:val="24"/>
          <w:szCs w:val="24"/>
        </w:rPr>
        <w:t xml:space="preserve">57% </w:t>
      </w:r>
      <w:r>
        <w:rPr>
          <w:rFonts w:ascii="Open Sans" w:hAnsi="Open Sans" w:cs="Open Sans"/>
          <w:sz w:val="24"/>
          <w:szCs w:val="24"/>
        </w:rPr>
        <w:t>of</w:t>
      </w:r>
      <w:r w:rsidR="0071163B" w:rsidRPr="0071163B">
        <w:rPr>
          <w:rFonts w:ascii="Open Sans" w:hAnsi="Open Sans" w:cs="Open Sans"/>
          <w:sz w:val="24"/>
          <w:szCs w:val="24"/>
        </w:rPr>
        <w:t xml:space="preserve"> </w:t>
      </w:r>
      <w:r w:rsidR="00BA0FB6">
        <w:rPr>
          <w:rFonts w:ascii="Open Sans" w:hAnsi="Open Sans" w:cs="Open Sans"/>
          <w:sz w:val="24"/>
          <w:szCs w:val="24"/>
        </w:rPr>
        <w:t xml:space="preserve">LGBTQA+ </w:t>
      </w:r>
      <w:r w:rsidR="0071163B" w:rsidRPr="0071163B">
        <w:rPr>
          <w:rFonts w:ascii="Open Sans" w:hAnsi="Open Sans" w:cs="Open Sans"/>
          <w:sz w:val="24"/>
          <w:szCs w:val="24"/>
        </w:rPr>
        <w:t>young people with disability say they feel included in the LGBTQA+ community.</w:t>
      </w:r>
      <w:r w:rsidR="00B162B2">
        <w:rPr>
          <w:rStyle w:val="EndnoteReference"/>
          <w:rFonts w:ascii="Open Sans" w:hAnsi="Open Sans" w:cs="Open Sans"/>
          <w:sz w:val="24"/>
          <w:szCs w:val="24"/>
        </w:rPr>
        <w:endnoteReference w:id="11"/>
      </w:r>
      <w:r w:rsidR="0071163B" w:rsidRPr="0071163B">
        <w:rPr>
          <w:rFonts w:ascii="Open Sans" w:hAnsi="Open Sans" w:cs="Open Sans"/>
          <w:sz w:val="24"/>
          <w:szCs w:val="24"/>
        </w:rPr>
        <w:br/>
      </w:r>
    </w:p>
    <w:p w14:paraId="030AB915" w14:textId="014B3FF1" w:rsidR="0071163B" w:rsidRPr="0071163B" w:rsidRDefault="00743576" w:rsidP="00906580">
      <w:pPr>
        <w:pStyle w:val="ListParagraph"/>
        <w:numPr>
          <w:ilvl w:val="0"/>
          <w:numId w:val="8"/>
        </w:numPr>
        <w:rPr>
          <w:rFonts w:ascii="Open Sans" w:hAnsi="Open Sans" w:cs="Open Sans"/>
          <w:sz w:val="24"/>
          <w:szCs w:val="24"/>
        </w:rPr>
      </w:pPr>
      <w:r>
        <w:rPr>
          <w:rFonts w:ascii="Open Sans" w:hAnsi="Open Sans" w:cs="Open Sans"/>
          <w:sz w:val="24"/>
          <w:szCs w:val="24"/>
        </w:rPr>
        <w:t>Only 21%</w:t>
      </w:r>
      <w:r w:rsidR="0071163B" w:rsidRPr="0071163B">
        <w:rPr>
          <w:rFonts w:ascii="Open Sans" w:hAnsi="Open Sans" w:cs="Open Sans"/>
          <w:sz w:val="24"/>
          <w:szCs w:val="24"/>
        </w:rPr>
        <w:t xml:space="preserve"> </w:t>
      </w:r>
      <w:r w:rsidR="007A045A">
        <w:rPr>
          <w:rFonts w:ascii="Open Sans" w:hAnsi="Open Sans" w:cs="Open Sans"/>
          <w:sz w:val="24"/>
          <w:szCs w:val="24"/>
        </w:rPr>
        <w:t xml:space="preserve">LGBTQA+ </w:t>
      </w:r>
      <w:r w:rsidR="007A045A" w:rsidRPr="0071163B">
        <w:rPr>
          <w:rFonts w:ascii="Open Sans" w:hAnsi="Open Sans" w:cs="Open Sans"/>
          <w:sz w:val="24"/>
          <w:szCs w:val="24"/>
        </w:rPr>
        <w:t xml:space="preserve">young people with disability </w:t>
      </w:r>
      <w:r w:rsidR="0071163B" w:rsidRPr="0071163B">
        <w:rPr>
          <w:rFonts w:ascii="Open Sans" w:hAnsi="Open Sans" w:cs="Open Sans"/>
          <w:sz w:val="24"/>
          <w:szCs w:val="24"/>
        </w:rPr>
        <w:t>feel their LGBTQA+ identity is supported by the NDIS or disability support services.</w:t>
      </w:r>
      <w:r w:rsidR="0071163B" w:rsidRPr="0071163B">
        <w:rPr>
          <w:rStyle w:val="EndnoteReference"/>
          <w:rFonts w:ascii="Open Sans" w:hAnsi="Open Sans" w:cs="Open Sans"/>
          <w:sz w:val="24"/>
          <w:szCs w:val="24"/>
        </w:rPr>
        <w:endnoteReference w:id="12"/>
      </w:r>
    </w:p>
    <w:p w14:paraId="574E22E3" w14:textId="732A236E" w:rsidR="0071163B" w:rsidRPr="008C7D2D" w:rsidRDefault="0071163B" w:rsidP="00906580">
      <w:pPr>
        <w:pStyle w:val="Heading1"/>
        <w:rPr>
          <w:rFonts w:ascii="Open Sans" w:eastAsiaTheme="minorHAnsi" w:hAnsi="Open Sans" w:cs="Open Sans"/>
          <w:b/>
          <w:bCs/>
          <w:color w:val="auto"/>
          <w:sz w:val="36"/>
          <w:szCs w:val="36"/>
        </w:rPr>
      </w:pPr>
      <w:r w:rsidRPr="008C7D2D">
        <w:rPr>
          <w:rFonts w:ascii="Open Sans" w:hAnsi="Open Sans" w:cs="Open Sans"/>
          <w:b/>
          <w:bCs/>
          <w:color w:val="auto"/>
          <w:sz w:val="36"/>
          <w:szCs w:val="36"/>
        </w:rPr>
        <w:t>Housing and poverty</w:t>
      </w:r>
    </w:p>
    <w:p w14:paraId="78C79351" w14:textId="797FED97" w:rsidR="0071163B" w:rsidRPr="0071163B" w:rsidRDefault="0071163B" w:rsidP="00906580">
      <w:pPr>
        <w:pStyle w:val="ListParagraph"/>
        <w:numPr>
          <w:ilvl w:val="0"/>
          <w:numId w:val="9"/>
        </w:numPr>
        <w:rPr>
          <w:rFonts w:ascii="Open Sans" w:hAnsi="Open Sans" w:cs="Open Sans"/>
          <w:sz w:val="24"/>
          <w:szCs w:val="24"/>
        </w:rPr>
      </w:pPr>
      <w:r w:rsidRPr="0071163B">
        <w:rPr>
          <w:rFonts w:ascii="Open Sans" w:hAnsi="Open Sans" w:cs="Open Sans"/>
          <w:sz w:val="24"/>
          <w:szCs w:val="24"/>
        </w:rPr>
        <w:t>It is estimated that less than 5% of housing stock is suitable for a person with a mobility disability.</w:t>
      </w:r>
      <w:r w:rsidRPr="0071163B">
        <w:rPr>
          <w:rStyle w:val="EndnoteReference"/>
          <w:rFonts w:ascii="Open Sans" w:hAnsi="Open Sans" w:cs="Open Sans"/>
          <w:sz w:val="24"/>
          <w:szCs w:val="24"/>
        </w:rPr>
        <w:endnoteReference w:id="13"/>
      </w:r>
      <w:r w:rsidRPr="0071163B">
        <w:rPr>
          <w:rFonts w:ascii="Open Sans" w:hAnsi="Open Sans" w:cs="Open Sans"/>
          <w:sz w:val="24"/>
          <w:szCs w:val="24"/>
        </w:rPr>
        <w:br/>
      </w:r>
    </w:p>
    <w:p w14:paraId="7A86F022" w14:textId="51F279A9" w:rsidR="0071163B" w:rsidRDefault="0071163B" w:rsidP="00906580">
      <w:pPr>
        <w:pStyle w:val="ListParagraph"/>
        <w:numPr>
          <w:ilvl w:val="0"/>
          <w:numId w:val="9"/>
        </w:numPr>
        <w:rPr>
          <w:rFonts w:ascii="Open Sans" w:hAnsi="Open Sans" w:cs="Open Sans"/>
          <w:sz w:val="24"/>
          <w:szCs w:val="24"/>
        </w:rPr>
      </w:pPr>
      <w:r w:rsidRPr="0071163B">
        <w:rPr>
          <w:rFonts w:ascii="Open Sans" w:hAnsi="Open Sans" w:cs="Open Sans"/>
          <w:sz w:val="24"/>
          <w:szCs w:val="24"/>
        </w:rPr>
        <w:t>1 in 6 adults with disability are living in poverty, compared with just over 1 in 10 Australians without disability.</w:t>
      </w:r>
      <w:r w:rsidRPr="0071163B">
        <w:rPr>
          <w:rStyle w:val="EndnoteReference"/>
          <w:rFonts w:ascii="Open Sans" w:hAnsi="Open Sans" w:cs="Open Sans"/>
          <w:sz w:val="24"/>
          <w:szCs w:val="24"/>
        </w:rPr>
        <w:endnoteReference w:id="14"/>
      </w:r>
    </w:p>
    <w:p w14:paraId="13FE9394" w14:textId="77777777" w:rsidR="008C7D2D" w:rsidRPr="008C7D2D" w:rsidRDefault="008C7D2D" w:rsidP="008C7D2D">
      <w:pPr>
        <w:pStyle w:val="Heading2"/>
        <w:rPr>
          <w:rFonts w:ascii="Open Sans" w:hAnsi="Open Sans" w:cs="Open Sans"/>
          <w:b/>
          <w:bCs/>
          <w:color w:val="auto"/>
          <w:sz w:val="36"/>
          <w:szCs w:val="36"/>
        </w:rPr>
      </w:pPr>
      <w:r w:rsidRPr="008C7D2D">
        <w:rPr>
          <w:rFonts w:ascii="Open Sans" w:hAnsi="Open Sans" w:cs="Open Sans"/>
          <w:b/>
          <w:bCs/>
          <w:color w:val="auto"/>
          <w:sz w:val="36"/>
          <w:szCs w:val="36"/>
        </w:rPr>
        <w:lastRenderedPageBreak/>
        <w:t>Suggested citation</w:t>
      </w:r>
    </w:p>
    <w:p w14:paraId="26945B7D" w14:textId="42BFF67D" w:rsidR="008C7D2D" w:rsidRPr="008C7D2D" w:rsidRDefault="008C7D2D" w:rsidP="008C7D2D">
      <w:pPr>
        <w:rPr>
          <w:rFonts w:ascii="Open Sans" w:hAnsi="Open Sans" w:cs="Open Sans"/>
          <w:sz w:val="24"/>
          <w:szCs w:val="24"/>
        </w:rPr>
      </w:pPr>
      <w:r w:rsidRPr="008C7D2D">
        <w:rPr>
          <w:rFonts w:ascii="Open Sans" w:hAnsi="Open Sans" w:cs="Open Sans"/>
          <w:sz w:val="24"/>
          <w:szCs w:val="24"/>
        </w:rPr>
        <w:t>Suggested citation: Australian Human Rights Commission. (2025). Stats &amp; Facts: Disability Rights.</w:t>
      </w:r>
    </w:p>
    <w:p w14:paraId="53A5F0F5" w14:textId="77777777" w:rsidR="00906580" w:rsidRPr="0071163B" w:rsidRDefault="00906580" w:rsidP="00D235DD">
      <w:pPr>
        <w:rPr>
          <w:rFonts w:ascii="Open Sans" w:hAnsi="Open Sans" w:cs="Open Sans"/>
        </w:rPr>
      </w:pPr>
    </w:p>
    <w:sectPr w:rsidR="00906580" w:rsidRPr="0071163B">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CAD6" w14:textId="77777777" w:rsidR="00925027" w:rsidRDefault="00925027" w:rsidP="00C11D6D">
      <w:pPr>
        <w:spacing w:after="0" w:line="240" w:lineRule="auto"/>
      </w:pPr>
      <w:r>
        <w:separator/>
      </w:r>
    </w:p>
  </w:endnote>
  <w:endnote w:type="continuationSeparator" w:id="0">
    <w:p w14:paraId="5E786151" w14:textId="77777777" w:rsidR="00925027" w:rsidRDefault="00925027" w:rsidP="00C11D6D">
      <w:pPr>
        <w:spacing w:after="0" w:line="240" w:lineRule="auto"/>
      </w:pPr>
      <w:r>
        <w:continuationSeparator/>
      </w:r>
    </w:p>
  </w:endnote>
  <w:endnote w:type="continuationNotice" w:id="1">
    <w:p w14:paraId="1410B1EC" w14:textId="77777777" w:rsidR="00925027" w:rsidRDefault="00925027">
      <w:pPr>
        <w:spacing w:after="0" w:line="240" w:lineRule="auto"/>
      </w:pPr>
    </w:p>
  </w:endnote>
  <w:endnote w:id="2">
    <w:p w14:paraId="3BEFC560" w14:textId="3A8DCF48" w:rsidR="0071163B" w:rsidRPr="00752219" w:rsidRDefault="0071163B" w:rsidP="00C11D6D">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Australian Institute of Health and Welfare. (2024, July 4). </w:t>
      </w:r>
      <w:hyperlink r:id="rId1" w:history="1">
        <w:r w:rsidRPr="00752219">
          <w:rPr>
            <w:rStyle w:val="Hyperlink"/>
            <w:rFonts w:ascii="Open Sans" w:hAnsi="Open Sans" w:cs="Open Sans"/>
            <w:i/>
            <w:iCs/>
          </w:rPr>
          <w:t>Disability, Ageing and Carers, Australia: Summary of Findings</w:t>
        </w:r>
      </w:hyperlink>
      <w:r w:rsidRPr="00752219">
        <w:rPr>
          <w:rFonts w:ascii="Open Sans" w:hAnsi="Open Sans" w:cs="Open Sans"/>
          <w:i/>
          <w:iCs/>
        </w:rPr>
        <w:t xml:space="preserve">. </w:t>
      </w:r>
      <w:r w:rsidRPr="00752219">
        <w:rPr>
          <w:rFonts w:ascii="Open Sans" w:hAnsi="Open Sans" w:cs="Open Sans"/>
        </w:rPr>
        <w:t>Australian Government, Australian Institute of Health and Welfare. Based on the ABS definition of disability. 1 in 5 = 21.4%</w:t>
      </w:r>
      <w:r w:rsidR="004479B6" w:rsidRPr="00752219">
        <w:rPr>
          <w:rFonts w:ascii="Open Sans" w:hAnsi="Open Sans" w:cs="Open Sans"/>
        </w:rPr>
        <w:t>.</w:t>
      </w:r>
    </w:p>
  </w:endnote>
  <w:endnote w:id="3">
    <w:p w14:paraId="197B879E" w14:textId="6D55D5A5" w:rsidR="0071163B" w:rsidRPr="00752219" w:rsidRDefault="0071163B" w:rsidP="00D235DD">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Australian Institute of Health and Welfare. (2024, April 23). </w:t>
      </w:r>
      <w:hyperlink r:id="rId2" w:anchor="HowMany" w:history="1">
        <w:r w:rsidRPr="00752219">
          <w:rPr>
            <w:rStyle w:val="Hyperlink"/>
            <w:rFonts w:ascii="Open Sans" w:hAnsi="Open Sans" w:cs="Open Sans"/>
            <w:i/>
            <w:iCs/>
          </w:rPr>
          <w:t>People with disability in Australia – How many people have disability?</w:t>
        </w:r>
      </w:hyperlink>
      <w:r w:rsidRPr="00752219">
        <w:rPr>
          <w:rFonts w:ascii="Open Sans" w:hAnsi="Open Sans" w:cs="Open Sans"/>
        </w:rPr>
        <w:t xml:space="preserve"> Australian Government, Australian Institute of Health and Welfare. 3 in 4 = 77%</w:t>
      </w:r>
      <w:r w:rsidR="004479B6" w:rsidRPr="00752219">
        <w:rPr>
          <w:rFonts w:ascii="Open Sans" w:hAnsi="Open Sans" w:cs="Open Sans"/>
        </w:rPr>
        <w:t>.</w:t>
      </w:r>
    </w:p>
  </w:endnote>
  <w:endnote w:id="4">
    <w:p w14:paraId="0D6E0B3E" w14:textId="7D7FACC8" w:rsidR="0071163B" w:rsidRPr="007D0CC4" w:rsidRDefault="0071163B" w:rsidP="007D0CC4">
      <w:pPr>
        <w:rPr>
          <w:rFonts w:ascii="Open Sans" w:hAnsi="Open Sans" w:cs="Open Sans"/>
        </w:rPr>
      </w:pPr>
      <w:r w:rsidRPr="007D0CC4">
        <w:rPr>
          <w:rStyle w:val="EndnoteReference"/>
          <w:rFonts w:ascii="Open Sans" w:hAnsi="Open Sans" w:cs="Open Sans"/>
        </w:rPr>
        <w:endnoteRef/>
      </w:r>
      <w:r w:rsidRPr="007D0CC4">
        <w:rPr>
          <w:rFonts w:ascii="Open Sans" w:hAnsi="Open Sans" w:cs="Open Sans"/>
        </w:rPr>
        <w:t xml:space="preserve"> </w:t>
      </w:r>
      <w:r w:rsidR="007D0CC4" w:rsidRPr="007D0CC4">
        <w:rPr>
          <w:rFonts w:ascii="Open Sans" w:hAnsi="Open Sans" w:cs="Open Sans"/>
        </w:rPr>
        <w:t xml:space="preserve">Australian Human Rights Commission. (2024). </w:t>
      </w:r>
      <w:hyperlink r:id="rId3" w:history="1">
        <w:r w:rsidR="007D0CC4" w:rsidRPr="007D0CC4">
          <w:rPr>
            <w:rStyle w:val="Hyperlink"/>
            <w:rFonts w:ascii="Open Sans" w:hAnsi="Open Sans" w:cs="Open Sans"/>
            <w:i/>
            <w:iCs/>
          </w:rPr>
          <w:t>2023-24 Complaint statistics</w:t>
        </w:r>
      </w:hyperlink>
      <w:r w:rsidR="007D0CC4" w:rsidRPr="007D0CC4">
        <w:rPr>
          <w:rFonts w:ascii="Open Sans" w:hAnsi="Open Sans" w:cs="Open Sans"/>
        </w:rPr>
        <w:t xml:space="preserve">. Table 15 </w:t>
      </w:r>
      <w:r w:rsidR="007D0CC4" w:rsidRPr="007D0CC4">
        <w:rPr>
          <w:rFonts w:ascii="Open Sans" w:hAnsi="Open Sans" w:cs="Open Sans"/>
          <w:i/>
          <w:iCs/>
        </w:rPr>
        <w:t>Disability Discrimination Act</w:t>
      </w:r>
      <w:r w:rsidR="007D0CC4" w:rsidRPr="007D0CC4">
        <w:rPr>
          <w:rFonts w:ascii="Open Sans" w:hAnsi="Open Sans" w:cs="Open Sans"/>
        </w:rPr>
        <w:t xml:space="preserve"> – Complaints received by area, p. 16.</w:t>
      </w:r>
    </w:p>
  </w:endnote>
  <w:endnote w:id="5">
    <w:p w14:paraId="28D7FB1D" w14:textId="35EE21A7" w:rsidR="0071163B" w:rsidRPr="00752219" w:rsidRDefault="0071163B">
      <w:pPr>
        <w:pStyle w:val="EndnoteText"/>
        <w:rPr>
          <w:rFonts w:ascii="Open Sans" w:hAnsi="Open Sans" w:cs="Open Sans"/>
          <w:sz w:val="22"/>
          <w:szCs w:val="22"/>
        </w:rPr>
      </w:pPr>
      <w:r w:rsidRPr="00752219">
        <w:rPr>
          <w:rStyle w:val="EndnoteReference"/>
          <w:rFonts w:ascii="Open Sans" w:hAnsi="Open Sans" w:cs="Open Sans"/>
          <w:sz w:val="22"/>
          <w:szCs w:val="22"/>
        </w:rPr>
        <w:endnoteRef/>
      </w:r>
      <w:r w:rsidRPr="00752219">
        <w:rPr>
          <w:rFonts w:ascii="Open Sans" w:hAnsi="Open Sans" w:cs="Open Sans"/>
          <w:sz w:val="22"/>
          <w:szCs w:val="22"/>
        </w:rPr>
        <w:t xml:space="preserve"> </w:t>
      </w:r>
      <w:proofErr w:type="spellStart"/>
      <w:r w:rsidRPr="00752219">
        <w:rPr>
          <w:rFonts w:ascii="Open Sans" w:hAnsi="Open Sans" w:cs="Open Sans"/>
          <w:sz w:val="22"/>
          <w:szCs w:val="22"/>
        </w:rPr>
        <w:t>Poed</w:t>
      </w:r>
      <w:proofErr w:type="spellEnd"/>
      <w:r w:rsidRPr="00752219">
        <w:rPr>
          <w:rFonts w:ascii="Open Sans" w:hAnsi="Open Sans" w:cs="Open Sans"/>
          <w:sz w:val="22"/>
          <w:szCs w:val="22"/>
        </w:rPr>
        <w:t xml:space="preserve">, S., </w:t>
      </w:r>
      <w:proofErr w:type="spellStart"/>
      <w:r w:rsidRPr="00752219">
        <w:rPr>
          <w:rFonts w:ascii="Open Sans" w:hAnsi="Open Sans" w:cs="Open Sans"/>
          <w:sz w:val="22"/>
          <w:szCs w:val="22"/>
        </w:rPr>
        <w:t>Cologon</w:t>
      </w:r>
      <w:proofErr w:type="spellEnd"/>
      <w:r w:rsidRPr="00752219">
        <w:rPr>
          <w:rFonts w:ascii="Open Sans" w:hAnsi="Open Sans" w:cs="Open Sans"/>
          <w:sz w:val="22"/>
          <w:szCs w:val="22"/>
        </w:rPr>
        <w:t xml:space="preserve">, K., &amp; Jackson, R. (2017, October). </w:t>
      </w:r>
      <w:hyperlink r:id="rId4" w:history="1">
        <w:r w:rsidRPr="00752219">
          <w:rPr>
            <w:rStyle w:val="Hyperlink"/>
            <w:rFonts w:ascii="Open Sans" w:hAnsi="Open Sans" w:cs="Open Sans"/>
            <w:i/>
            <w:iCs/>
            <w:sz w:val="22"/>
            <w:szCs w:val="22"/>
          </w:rPr>
          <w:t>Gatekeeping and restrictive practices with students with disability: results of an Australian survey</w:t>
        </w:r>
      </w:hyperlink>
      <w:r w:rsidRPr="00752219">
        <w:rPr>
          <w:rFonts w:ascii="Open Sans" w:hAnsi="Open Sans" w:cs="Open Sans"/>
          <w:sz w:val="22"/>
          <w:szCs w:val="22"/>
        </w:rPr>
        <w:t xml:space="preserve"> [Conference session]. Inclusive Education Summit, Adelaide, Australia, pp. 6 – 7.</w:t>
      </w:r>
      <w:r w:rsidRPr="00752219">
        <w:rPr>
          <w:rFonts w:ascii="Open Sans" w:hAnsi="Open Sans" w:cs="Open Sans"/>
          <w:sz w:val="22"/>
          <w:szCs w:val="22"/>
        </w:rPr>
        <w:br/>
      </w:r>
    </w:p>
  </w:endnote>
  <w:endnote w:id="6">
    <w:p w14:paraId="3AD3699E" w14:textId="77777777" w:rsidR="002A16A2" w:rsidRPr="00752219" w:rsidRDefault="002A16A2" w:rsidP="002A16A2">
      <w:pPr>
        <w:pStyle w:val="EndnoteText"/>
        <w:rPr>
          <w:rFonts w:ascii="Open Sans" w:hAnsi="Open Sans" w:cs="Open Sans"/>
          <w:sz w:val="22"/>
          <w:szCs w:val="22"/>
        </w:rPr>
      </w:pPr>
      <w:r w:rsidRPr="00752219">
        <w:rPr>
          <w:rStyle w:val="EndnoteReference"/>
          <w:rFonts w:ascii="Open Sans" w:hAnsi="Open Sans" w:cs="Open Sans"/>
          <w:sz w:val="22"/>
          <w:szCs w:val="22"/>
        </w:rPr>
        <w:endnoteRef/>
      </w:r>
      <w:r w:rsidRPr="00752219">
        <w:rPr>
          <w:rFonts w:ascii="Open Sans" w:hAnsi="Open Sans" w:cs="Open Sans"/>
          <w:sz w:val="22"/>
          <w:szCs w:val="22"/>
        </w:rPr>
        <w:t xml:space="preserve"> Australian Institute of Health and Welfare. (2024, April 23). </w:t>
      </w:r>
      <w:hyperlink r:id="rId5" w:anchor="School%20(primary%20and%20secondary)" w:history="1">
        <w:r w:rsidRPr="00752219">
          <w:rPr>
            <w:rStyle w:val="Hyperlink"/>
            <w:rFonts w:ascii="Open Sans" w:hAnsi="Open Sans" w:cs="Open Sans"/>
            <w:i/>
            <w:iCs/>
            <w:sz w:val="22"/>
            <w:szCs w:val="22"/>
          </w:rPr>
          <w:t>People with disability in Australia – Type of school or class</w:t>
        </w:r>
      </w:hyperlink>
      <w:r w:rsidRPr="00752219">
        <w:rPr>
          <w:rFonts w:ascii="Open Sans" w:hAnsi="Open Sans" w:cs="Open Sans"/>
          <w:sz w:val="22"/>
          <w:szCs w:val="22"/>
        </w:rPr>
        <w:t>. Australian Government, Australian Institute of Health and Welfare. 1 in 10 = 12%.</w:t>
      </w:r>
      <w:r>
        <w:rPr>
          <w:rFonts w:ascii="Open Sans" w:hAnsi="Open Sans" w:cs="Open Sans"/>
          <w:sz w:val="22"/>
          <w:szCs w:val="22"/>
        </w:rPr>
        <w:t xml:space="preserve"> S</w:t>
      </w:r>
      <w:r w:rsidRPr="00322D1F">
        <w:rPr>
          <w:rFonts w:ascii="Open Sans" w:hAnsi="Open Sans" w:cs="Open Sans"/>
          <w:sz w:val="22"/>
          <w:szCs w:val="22"/>
        </w:rPr>
        <w:t>tudents = Foundation year to senior secondary students.</w:t>
      </w:r>
      <w:r w:rsidRPr="00752219">
        <w:rPr>
          <w:rFonts w:ascii="Open Sans" w:hAnsi="Open Sans" w:cs="Open Sans"/>
          <w:sz w:val="22"/>
          <w:szCs w:val="22"/>
        </w:rPr>
        <w:br/>
      </w:r>
    </w:p>
  </w:endnote>
  <w:endnote w:id="7">
    <w:p w14:paraId="4B41A21C" w14:textId="31C80E88" w:rsidR="0071163B" w:rsidRPr="00752219" w:rsidRDefault="0071163B" w:rsidP="00D235DD">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Royal Commission into Violence, Abuse, Neglect and Exploitation of People with Disability. (2023). </w:t>
      </w:r>
      <w:hyperlink r:id="rId6" w:history="1">
        <w:r w:rsidRPr="00752219">
          <w:rPr>
            <w:rStyle w:val="Hyperlink"/>
            <w:rFonts w:ascii="Open Sans" w:hAnsi="Open Sans" w:cs="Open Sans"/>
            <w:i/>
            <w:iCs/>
          </w:rPr>
          <w:t>Final Report Volume 3: Nature and extent of violence, abuse, neglect and exploitation</w:t>
        </w:r>
      </w:hyperlink>
      <w:r w:rsidRPr="00752219">
        <w:rPr>
          <w:rFonts w:ascii="Open Sans" w:hAnsi="Open Sans" w:cs="Open Sans"/>
        </w:rPr>
        <w:t>, pp. 88 – 91.</w:t>
      </w:r>
    </w:p>
  </w:endnote>
  <w:endnote w:id="8">
    <w:p w14:paraId="55ECF6DF" w14:textId="385E83D4" w:rsidR="0071163B" w:rsidRPr="00752219" w:rsidRDefault="0071163B" w:rsidP="00D235DD">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Australian Bureau of Statistics. (October 2019). </w:t>
      </w:r>
      <w:hyperlink r:id="rId7" w:history="1">
        <w:r w:rsidRPr="00752219">
          <w:rPr>
            <w:rStyle w:val="Hyperlink"/>
            <w:rFonts w:ascii="Open Sans" w:hAnsi="Open Sans" w:cs="Open Sans"/>
            <w:i/>
            <w:iCs/>
          </w:rPr>
          <w:t>44300DO010</w:t>
        </w:r>
        <w:r w:rsidRPr="00752219">
          <w:rPr>
            <w:rStyle w:val="Hyperlink"/>
            <w:rFonts w:ascii="Open Sans" w:hAnsi="Open Sans" w:cs="Open Sans"/>
          </w:rPr>
          <w:t xml:space="preserve"> </w:t>
        </w:r>
        <w:r w:rsidRPr="00752219">
          <w:rPr>
            <w:rStyle w:val="Hyperlink"/>
            <w:rFonts w:ascii="Open Sans" w:hAnsi="Open Sans" w:cs="Open Sans"/>
            <w:i/>
            <w:iCs/>
          </w:rPr>
          <w:t>Disability, Ageing and Carers, Australia: Summary of Findings</w:t>
        </w:r>
      </w:hyperlink>
      <w:r w:rsidRPr="00752219">
        <w:rPr>
          <w:rFonts w:ascii="Open Sans" w:hAnsi="Open Sans" w:cs="Open Sans"/>
          <w:i/>
          <w:iCs/>
        </w:rPr>
        <w:t xml:space="preserve">. </w:t>
      </w:r>
      <w:r w:rsidRPr="00752219">
        <w:rPr>
          <w:rFonts w:ascii="Open Sans" w:hAnsi="Open Sans" w:cs="Open Sans"/>
        </w:rPr>
        <w:t>Employment characteristics of people with disability – Unemployment. More than twice as likely = people with disability</w:t>
      </w:r>
      <w:r w:rsidR="004670CE" w:rsidRPr="00752219">
        <w:rPr>
          <w:rFonts w:ascii="Open Sans" w:hAnsi="Open Sans" w:cs="Open Sans"/>
        </w:rPr>
        <w:t>:</w:t>
      </w:r>
      <w:r w:rsidRPr="00752219">
        <w:rPr>
          <w:rFonts w:ascii="Open Sans" w:hAnsi="Open Sans" w:cs="Open Sans"/>
        </w:rPr>
        <w:t xml:space="preserve"> 10.3%</w:t>
      </w:r>
      <w:r w:rsidR="004670CE" w:rsidRPr="00752219">
        <w:rPr>
          <w:rFonts w:ascii="Open Sans" w:hAnsi="Open Sans" w:cs="Open Sans"/>
        </w:rPr>
        <w:t>. P</w:t>
      </w:r>
      <w:r w:rsidRPr="00752219">
        <w:rPr>
          <w:rFonts w:ascii="Open Sans" w:hAnsi="Open Sans" w:cs="Open Sans"/>
        </w:rPr>
        <w:t>eople without disability</w:t>
      </w:r>
      <w:r w:rsidR="004670CE" w:rsidRPr="00752219">
        <w:rPr>
          <w:rFonts w:ascii="Open Sans" w:hAnsi="Open Sans" w:cs="Open Sans"/>
        </w:rPr>
        <w:t>:</w:t>
      </w:r>
      <w:r w:rsidRPr="00752219">
        <w:rPr>
          <w:rFonts w:ascii="Open Sans" w:hAnsi="Open Sans" w:cs="Open Sans"/>
        </w:rPr>
        <w:t xml:space="preserve"> 4.6%</w:t>
      </w:r>
      <w:r w:rsidR="004670CE" w:rsidRPr="00752219">
        <w:rPr>
          <w:rFonts w:ascii="Open Sans" w:hAnsi="Open Sans" w:cs="Open Sans"/>
        </w:rPr>
        <w:t>.</w:t>
      </w:r>
    </w:p>
  </w:endnote>
  <w:endnote w:id="9">
    <w:p w14:paraId="46D8DF21" w14:textId="0A2A0414" w:rsidR="0071163B" w:rsidRPr="00752219" w:rsidRDefault="0071163B">
      <w:pPr>
        <w:pStyle w:val="EndnoteText"/>
        <w:rPr>
          <w:rFonts w:ascii="Open Sans" w:hAnsi="Open Sans" w:cs="Open Sans"/>
          <w:sz w:val="22"/>
          <w:szCs w:val="22"/>
        </w:rPr>
      </w:pPr>
      <w:r w:rsidRPr="00752219">
        <w:rPr>
          <w:rStyle w:val="EndnoteReference"/>
          <w:rFonts w:ascii="Open Sans" w:hAnsi="Open Sans" w:cs="Open Sans"/>
          <w:sz w:val="22"/>
          <w:szCs w:val="22"/>
        </w:rPr>
        <w:endnoteRef/>
      </w:r>
      <w:r w:rsidRPr="00752219">
        <w:rPr>
          <w:rFonts w:ascii="Open Sans" w:hAnsi="Open Sans" w:cs="Open Sans"/>
          <w:sz w:val="22"/>
          <w:szCs w:val="22"/>
        </w:rPr>
        <w:t xml:space="preserve"> Buckland, A., Dockery, M., Duncan, A., Sanchez Arenas V., Sotirakopoulos, P., Twomey, C., &amp; Loan Vu, L. (2024). </w:t>
      </w:r>
      <w:hyperlink r:id="rId8" w:history="1">
        <w:r w:rsidRPr="00752219">
          <w:rPr>
            <w:rStyle w:val="Hyperlink"/>
            <w:rFonts w:ascii="Open Sans" w:hAnsi="Open Sans" w:cs="Open Sans"/>
            <w:i/>
            <w:iCs/>
            <w:sz w:val="22"/>
            <w:szCs w:val="22"/>
          </w:rPr>
          <w:t>Employment and Disability in Australia – Focus on the States Series, No. 10/24</w:t>
        </w:r>
      </w:hyperlink>
      <w:r w:rsidRPr="00752219">
        <w:rPr>
          <w:rFonts w:ascii="Open Sans" w:hAnsi="Open Sans" w:cs="Open Sans"/>
          <w:sz w:val="22"/>
          <w:szCs w:val="22"/>
        </w:rPr>
        <w:t>. Bankwest Curtin Economics Centre, p. 99.</w:t>
      </w:r>
      <w:r w:rsidRPr="00752219">
        <w:rPr>
          <w:rFonts w:ascii="Open Sans" w:hAnsi="Open Sans" w:cs="Open Sans"/>
          <w:sz w:val="22"/>
          <w:szCs w:val="22"/>
        </w:rPr>
        <w:br/>
      </w:r>
    </w:p>
  </w:endnote>
  <w:endnote w:id="10">
    <w:p w14:paraId="3C5FA9F3" w14:textId="1B645D63" w:rsidR="0071163B" w:rsidRPr="00752219" w:rsidRDefault="0071163B" w:rsidP="00906580">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w:t>
      </w:r>
      <w:r w:rsidR="009C6372">
        <w:rPr>
          <w:rFonts w:ascii="Open Sans" w:hAnsi="Open Sans" w:cs="Open Sans"/>
        </w:rPr>
        <w:t xml:space="preserve">Layton, N. &amp; Brusco, N. (2022). </w:t>
      </w:r>
      <w:hyperlink r:id="rId9" w:history="1">
        <w:r w:rsidR="009C6372" w:rsidRPr="00CA3B93">
          <w:rPr>
            <w:rStyle w:val="Hyperlink"/>
            <w:rFonts w:ascii="Open Sans" w:hAnsi="Open Sans" w:cs="Open Sans"/>
            <w:i/>
            <w:iCs/>
          </w:rPr>
          <w:t>The Australian Assistive Technology Equity Studies: Improving access to assistive technology for people with disability who are not eligible for the NDIS</w:t>
        </w:r>
      </w:hyperlink>
      <w:r w:rsidR="009C6372">
        <w:rPr>
          <w:rFonts w:ascii="Open Sans" w:hAnsi="Open Sans" w:cs="Open Sans"/>
        </w:rPr>
        <w:t>. Monash University; COTA Victoria, p.5.</w:t>
      </w:r>
      <w:r w:rsidR="009C6372">
        <w:rPr>
          <w:rFonts w:ascii="Open Sans" w:hAnsi="Open Sans" w:cs="Open Sans"/>
        </w:rPr>
        <w:br/>
        <w:t xml:space="preserve">National Disability Insurance Agency. (2024). </w:t>
      </w:r>
      <w:hyperlink r:id="rId10" w:history="1">
        <w:r w:rsidR="009C6372" w:rsidRPr="00702079">
          <w:rPr>
            <w:rStyle w:val="Hyperlink"/>
            <w:rFonts w:ascii="Open Sans" w:hAnsi="Open Sans" w:cs="Open Sans"/>
            <w:i/>
            <w:iCs/>
          </w:rPr>
          <w:t>NDIS Quarterly report to disability ministers Q3 2023-24 Full report</w:t>
        </w:r>
      </w:hyperlink>
      <w:r w:rsidR="009C6372">
        <w:rPr>
          <w:rFonts w:ascii="Open Sans" w:hAnsi="Open Sans" w:cs="Open Sans"/>
        </w:rPr>
        <w:t>.</w:t>
      </w:r>
    </w:p>
  </w:endnote>
  <w:endnote w:id="11">
    <w:p w14:paraId="07637CA5" w14:textId="2729EE15" w:rsidR="00B162B2" w:rsidRPr="00752219" w:rsidRDefault="00B162B2" w:rsidP="00236321">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w:t>
      </w:r>
      <w:r w:rsidR="0047560B" w:rsidRPr="00752219">
        <w:rPr>
          <w:rFonts w:ascii="Open Sans" w:hAnsi="Open Sans" w:cs="Open Sans"/>
        </w:rPr>
        <w:t xml:space="preserve">Hill, AO., Lyons, A., Jones, J., McGowan, I., Carman, M., Parsons, M., Power, J., &amp; Bourne, A., (2021). </w:t>
      </w:r>
      <w:hyperlink r:id="rId11" w:history="1">
        <w:r w:rsidR="0047560B" w:rsidRPr="00752219">
          <w:rPr>
            <w:rStyle w:val="Hyperlink"/>
            <w:rFonts w:ascii="Open Sans" w:hAnsi="Open Sans" w:cs="Open Sans"/>
            <w:i/>
            <w:iCs/>
          </w:rPr>
          <w:t>Writing Themselves In 4: The health and wellbeing of LGBTQA+ young people in Australia</w:t>
        </w:r>
      </w:hyperlink>
      <w:r w:rsidR="0047560B" w:rsidRPr="00752219">
        <w:rPr>
          <w:rFonts w:ascii="Open Sans" w:hAnsi="Open Sans" w:cs="Open Sans"/>
        </w:rPr>
        <w:t>. Australian Research Centre in Sex, Health and Society, La Trobe University: Melbourne, p. 157.</w:t>
      </w:r>
      <w:r w:rsidR="004B7687">
        <w:rPr>
          <w:rFonts w:ascii="Open Sans" w:hAnsi="Open Sans" w:cs="Open Sans"/>
        </w:rPr>
        <w:t xml:space="preserve"> Young people = aged 14 – 21.</w:t>
      </w:r>
    </w:p>
  </w:endnote>
  <w:endnote w:id="12">
    <w:p w14:paraId="4A048C7E" w14:textId="1F4BE321" w:rsidR="0071163B" w:rsidRPr="00752219" w:rsidRDefault="0071163B" w:rsidP="00906580">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w:t>
      </w:r>
      <w:r w:rsidR="00BF4109" w:rsidRPr="00752219">
        <w:rPr>
          <w:rFonts w:ascii="Open Sans" w:hAnsi="Open Sans" w:cs="Open Sans"/>
        </w:rPr>
        <w:t xml:space="preserve">Hill, AO., Lyons, A., Jones, J., McGowan, I., Carman, M., Parsons, M., Power, J., &amp; Bourne, A., (2021). </w:t>
      </w:r>
      <w:hyperlink r:id="rId12" w:history="1">
        <w:r w:rsidR="00BF4109" w:rsidRPr="00752219">
          <w:rPr>
            <w:rStyle w:val="Hyperlink"/>
            <w:rFonts w:ascii="Open Sans" w:hAnsi="Open Sans" w:cs="Open Sans"/>
            <w:i/>
            <w:iCs/>
          </w:rPr>
          <w:t>Writing Themselves In 4: The health and wellbeing of LGBTQA+ young people in Australia</w:t>
        </w:r>
      </w:hyperlink>
      <w:r w:rsidR="00BF4109" w:rsidRPr="00752219">
        <w:rPr>
          <w:rFonts w:ascii="Open Sans" w:hAnsi="Open Sans" w:cs="Open Sans"/>
        </w:rPr>
        <w:t>. Australian Research Centre in Sex, Health and Society, La Trobe University: Melbourne, p. 157.</w:t>
      </w:r>
      <w:r w:rsidR="00BF4109">
        <w:rPr>
          <w:rFonts w:ascii="Open Sans" w:hAnsi="Open Sans" w:cs="Open Sans"/>
        </w:rPr>
        <w:t xml:space="preserve"> Young people = aged 14 – 21.</w:t>
      </w:r>
    </w:p>
  </w:endnote>
  <w:endnote w:id="13">
    <w:p w14:paraId="6E728E15" w14:textId="6E184648" w:rsidR="0071163B" w:rsidRPr="00752219" w:rsidRDefault="0071163B" w:rsidP="00906580">
      <w:pPr>
        <w:rPr>
          <w:rFonts w:ascii="Open Sans" w:hAnsi="Open Sans" w:cs="Open Sans"/>
        </w:rPr>
      </w:pPr>
      <w:r w:rsidRPr="00752219">
        <w:rPr>
          <w:rStyle w:val="EndnoteReference"/>
          <w:rFonts w:ascii="Open Sans" w:hAnsi="Open Sans" w:cs="Open Sans"/>
        </w:rPr>
        <w:endnoteRef/>
      </w:r>
      <w:r w:rsidRPr="00752219">
        <w:rPr>
          <w:rFonts w:ascii="Open Sans" w:hAnsi="Open Sans" w:cs="Open Sans"/>
        </w:rPr>
        <w:t xml:space="preserve"> Australian Network for Universal Housing Design; Rights &amp; Inclusion Australia. (2016). </w:t>
      </w:r>
      <w:hyperlink r:id="rId13" w:history="1">
        <w:r w:rsidRPr="00752219">
          <w:rPr>
            <w:rStyle w:val="Hyperlink"/>
            <w:rFonts w:ascii="Open Sans" w:hAnsi="Open Sans" w:cs="Open Sans"/>
            <w:i/>
            <w:iCs/>
          </w:rPr>
          <w:t>Proposal For Change – National Construction Code Series – Accessibility in Housing</w:t>
        </w:r>
      </w:hyperlink>
      <w:r w:rsidRPr="00752219">
        <w:rPr>
          <w:rStyle w:val="Hyperlink"/>
          <w:rFonts w:ascii="Open Sans" w:hAnsi="Open Sans" w:cs="Open Sans"/>
          <w:color w:val="auto"/>
        </w:rPr>
        <w:t xml:space="preserve">, </w:t>
      </w:r>
      <w:r w:rsidRPr="00752219">
        <w:rPr>
          <w:rFonts w:ascii="Open Sans" w:hAnsi="Open Sans" w:cs="Open Sans"/>
        </w:rPr>
        <w:t xml:space="preserve"> p. 11.</w:t>
      </w:r>
      <w:r w:rsidR="004C0428" w:rsidRPr="00752219">
        <w:rPr>
          <w:rFonts w:ascii="Open Sans" w:hAnsi="Open Sans" w:cs="Open Sans"/>
        </w:rPr>
        <w:br/>
      </w:r>
      <w:r w:rsidRPr="00752219">
        <w:rPr>
          <w:rFonts w:ascii="Open Sans" w:hAnsi="Open Sans" w:cs="Open Sans"/>
        </w:rPr>
        <w:t>This is an estimated figure that the current voluntary approach to adopting Liveable Housing Guidelines was expected to reach less than 5% of the 2020 target.</w:t>
      </w:r>
    </w:p>
  </w:endnote>
  <w:endnote w:id="14">
    <w:p w14:paraId="5E322DE2" w14:textId="538AC5D6" w:rsidR="0071163B" w:rsidRDefault="0071163B">
      <w:pPr>
        <w:pStyle w:val="EndnoteText"/>
      </w:pPr>
      <w:r w:rsidRPr="00752219">
        <w:rPr>
          <w:rStyle w:val="EndnoteReference"/>
          <w:rFonts w:ascii="Open Sans" w:hAnsi="Open Sans" w:cs="Open Sans"/>
          <w:sz w:val="22"/>
          <w:szCs w:val="22"/>
        </w:rPr>
        <w:endnoteRef/>
      </w:r>
      <w:r w:rsidRPr="00752219">
        <w:rPr>
          <w:rFonts w:ascii="Open Sans" w:hAnsi="Open Sans" w:cs="Open Sans"/>
          <w:sz w:val="22"/>
          <w:szCs w:val="22"/>
        </w:rPr>
        <w:t xml:space="preserve"> Davidson, P., Saunders, P., Bradbury, B., &amp; Wong, M (2018). </w:t>
      </w:r>
      <w:hyperlink r:id="rId14" w:history="1">
        <w:r w:rsidRPr="00752219">
          <w:rPr>
            <w:rStyle w:val="Hyperlink"/>
            <w:rFonts w:ascii="Open Sans" w:hAnsi="Open Sans" w:cs="Open Sans"/>
            <w:i/>
            <w:iCs/>
            <w:sz w:val="22"/>
            <w:szCs w:val="22"/>
          </w:rPr>
          <w:t>Poverty in Australia, 2018 ACOSS/UNSW Poverty and Inequality Partnership Report No. 2</w:t>
        </w:r>
      </w:hyperlink>
      <w:r w:rsidRPr="00752219">
        <w:rPr>
          <w:rFonts w:ascii="Open Sans" w:hAnsi="Open Sans" w:cs="Open Sans"/>
          <w:sz w:val="22"/>
          <w:szCs w:val="22"/>
        </w:rPr>
        <w:t>. ACOSS, UNSW: Sydney</w:t>
      </w:r>
      <w:r w:rsidR="00752219" w:rsidRPr="00752219">
        <w:rPr>
          <w:rFonts w:ascii="Open Sans" w:hAnsi="Open Sans" w:cs="Open Sans"/>
          <w:sz w:val="22"/>
          <w:szCs w:val="22"/>
        </w:rPr>
        <w:t>.</w:t>
      </w:r>
      <w:r w:rsidRPr="00752219">
        <w:rPr>
          <w:rFonts w:ascii="Open Sans" w:hAnsi="Open Sans" w:cs="Open Sans"/>
          <w:sz w:val="22"/>
          <w:szCs w:val="22"/>
        </w:rPr>
        <w:t xml:space="preserve"> p. 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AA47" w14:textId="79A5037A" w:rsidR="0071163B" w:rsidRPr="0071163B" w:rsidRDefault="0071163B">
    <w:pPr>
      <w:pStyle w:val="Footer"/>
      <w:jc w:val="right"/>
      <w:rPr>
        <w:rFonts w:ascii="Open Sans" w:hAnsi="Open Sans" w:cs="Open Sans"/>
      </w:rPr>
    </w:pPr>
    <w:r w:rsidRPr="0071163B">
      <w:rPr>
        <w:rFonts w:ascii="Open Sans" w:hAnsi="Open Sans" w:cs="Open Sans"/>
      </w:rPr>
      <w:t>Australian Human Rights Commission Stats</w:t>
    </w:r>
    <w:r w:rsidR="00921658">
      <w:rPr>
        <w:rFonts w:ascii="Open Sans" w:hAnsi="Open Sans" w:cs="Open Sans"/>
      </w:rPr>
      <w:t xml:space="preserve"> &amp; Facts</w:t>
    </w:r>
    <w:r w:rsidRPr="0071163B">
      <w:rPr>
        <w:rFonts w:ascii="Open Sans" w:hAnsi="Open Sans" w:cs="Open Sans"/>
      </w:rPr>
      <w:t xml:space="preserve"> 202</w:t>
    </w:r>
    <w:r w:rsidR="00735205">
      <w:rPr>
        <w:rFonts w:ascii="Open Sans" w:hAnsi="Open Sans" w:cs="Open Sans"/>
      </w:rPr>
      <w:t>5</w:t>
    </w:r>
    <w:r w:rsidRPr="0071163B">
      <w:rPr>
        <w:rFonts w:ascii="Open Sans" w:hAnsi="Open Sans" w:cs="Open Sans"/>
      </w:rPr>
      <w:t xml:space="preserve">                                                     </w:t>
    </w:r>
    <w:r>
      <w:rPr>
        <w:rFonts w:ascii="Open Sans" w:hAnsi="Open Sans" w:cs="Open Sans"/>
      </w:rPr>
      <w:t xml:space="preserve"> </w:t>
    </w:r>
    <w:sdt>
      <w:sdtPr>
        <w:rPr>
          <w:rFonts w:ascii="Open Sans" w:hAnsi="Open Sans" w:cs="Open Sans"/>
        </w:rPr>
        <w:id w:val="335965373"/>
        <w:docPartObj>
          <w:docPartGallery w:val="Page Numbers (Bottom of Page)"/>
          <w:docPartUnique/>
        </w:docPartObj>
      </w:sdtPr>
      <w:sdtEndPr>
        <w:rPr>
          <w:noProof/>
        </w:rPr>
      </w:sdtEndPr>
      <w:sdtContent>
        <w:r w:rsidRPr="0071163B">
          <w:rPr>
            <w:rFonts w:ascii="Open Sans" w:hAnsi="Open Sans" w:cs="Open Sans"/>
          </w:rPr>
          <w:fldChar w:fldCharType="begin"/>
        </w:r>
        <w:r w:rsidRPr="0071163B">
          <w:rPr>
            <w:rFonts w:ascii="Open Sans" w:hAnsi="Open Sans" w:cs="Open Sans"/>
          </w:rPr>
          <w:instrText xml:space="preserve"> PAGE   \* MERGEFORMAT </w:instrText>
        </w:r>
        <w:r w:rsidRPr="0071163B">
          <w:rPr>
            <w:rFonts w:ascii="Open Sans" w:hAnsi="Open Sans" w:cs="Open Sans"/>
          </w:rPr>
          <w:fldChar w:fldCharType="separate"/>
        </w:r>
        <w:r w:rsidRPr="0071163B">
          <w:rPr>
            <w:rFonts w:ascii="Open Sans" w:hAnsi="Open Sans" w:cs="Open Sans"/>
            <w:noProof/>
          </w:rPr>
          <w:t>2</w:t>
        </w:r>
        <w:r w:rsidRPr="0071163B">
          <w:rPr>
            <w:rFonts w:ascii="Open Sans" w:hAnsi="Open Sans" w:cs="Open Sans"/>
            <w:noProof/>
          </w:rPr>
          <w:fldChar w:fldCharType="end"/>
        </w:r>
      </w:sdtContent>
    </w:sdt>
  </w:p>
  <w:p w14:paraId="3F8A2A8A" w14:textId="77777777" w:rsidR="0071163B" w:rsidRPr="0071163B" w:rsidRDefault="0071163B">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A9ED" w14:textId="77777777" w:rsidR="00925027" w:rsidRDefault="00925027" w:rsidP="00C11D6D">
      <w:pPr>
        <w:spacing w:after="0" w:line="240" w:lineRule="auto"/>
      </w:pPr>
      <w:r>
        <w:separator/>
      </w:r>
    </w:p>
  </w:footnote>
  <w:footnote w:type="continuationSeparator" w:id="0">
    <w:p w14:paraId="37F39E05" w14:textId="77777777" w:rsidR="00925027" w:rsidRDefault="00925027" w:rsidP="00C11D6D">
      <w:pPr>
        <w:spacing w:after="0" w:line="240" w:lineRule="auto"/>
      </w:pPr>
      <w:r>
        <w:continuationSeparator/>
      </w:r>
    </w:p>
  </w:footnote>
  <w:footnote w:type="continuationNotice" w:id="1">
    <w:p w14:paraId="1D1EBFB6" w14:textId="77777777" w:rsidR="00925027" w:rsidRDefault="00925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865F" w14:textId="257D5C61" w:rsidR="008C7D2D" w:rsidRDefault="008C7D2D">
    <w:pPr>
      <w:pStyle w:val="Header"/>
    </w:pPr>
    <w:r>
      <w:rPr>
        <w:noProof/>
      </w:rPr>
      <w:drawing>
        <wp:inline distT="0" distB="0" distL="0" distR="0" wp14:anchorId="4C7C1FA9" wp14:editId="43645028">
          <wp:extent cx="1981204" cy="762002"/>
          <wp:effectExtent l="0" t="0" r="0" b="0"/>
          <wp:docPr id="450147404"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47404"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1E3E47F1" w14:textId="77777777" w:rsidR="008C7D2D" w:rsidRDefault="008C7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FF8"/>
    <w:multiLevelType w:val="hybridMultilevel"/>
    <w:tmpl w:val="77428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179FD"/>
    <w:multiLevelType w:val="hybridMultilevel"/>
    <w:tmpl w:val="8AE4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45763"/>
    <w:multiLevelType w:val="hybridMultilevel"/>
    <w:tmpl w:val="7AD4A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B2E56"/>
    <w:multiLevelType w:val="hybridMultilevel"/>
    <w:tmpl w:val="A9B2C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E27B2"/>
    <w:multiLevelType w:val="hybridMultilevel"/>
    <w:tmpl w:val="2C2C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873D4"/>
    <w:multiLevelType w:val="hybridMultilevel"/>
    <w:tmpl w:val="B3DCB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1639A"/>
    <w:multiLevelType w:val="hybridMultilevel"/>
    <w:tmpl w:val="737A8D3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6D01AB"/>
    <w:multiLevelType w:val="hybridMultilevel"/>
    <w:tmpl w:val="CA8C1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A66FA6"/>
    <w:multiLevelType w:val="hybridMultilevel"/>
    <w:tmpl w:val="0090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A93E0E"/>
    <w:multiLevelType w:val="hybridMultilevel"/>
    <w:tmpl w:val="A134C72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15152">
    <w:abstractNumId w:val="8"/>
  </w:num>
  <w:num w:numId="2" w16cid:durableId="1998071541">
    <w:abstractNumId w:val="7"/>
  </w:num>
  <w:num w:numId="3" w16cid:durableId="1832597272">
    <w:abstractNumId w:val="9"/>
  </w:num>
  <w:num w:numId="4" w16cid:durableId="2132236954">
    <w:abstractNumId w:val="3"/>
  </w:num>
  <w:num w:numId="5" w16cid:durableId="1204096115">
    <w:abstractNumId w:val="6"/>
  </w:num>
  <w:num w:numId="6" w16cid:durableId="955062790">
    <w:abstractNumId w:val="1"/>
  </w:num>
  <w:num w:numId="7" w16cid:durableId="998465585">
    <w:abstractNumId w:val="2"/>
  </w:num>
  <w:num w:numId="8" w16cid:durableId="1265722112">
    <w:abstractNumId w:val="5"/>
  </w:num>
  <w:num w:numId="9" w16cid:durableId="1203127607">
    <w:abstractNumId w:val="0"/>
  </w:num>
  <w:num w:numId="10" w16cid:durableId="38826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6D"/>
    <w:rsid w:val="00005C3E"/>
    <w:rsid w:val="00014219"/>
    <w:rsid w:val="000768FB"/>
    <w:rsid w:val="00086BAE"/>
    <w:rsid w:val="000B57D0"/>
    <w:rsid w:val="000C4760"/>
    <w:rsid w:val="000C7515"/>
    <w:rsid w:val="000D42B2"/>
    <w:rsid w:val="000D6156"/>
    <w:rsid w:val="000D7132"/>
    <w:rsid w:val="000F6EF4"/>
    <w:rsid w:val="001356B8"/>
    <w:rsid w:val="00170C76"/>
    <w:rsid w:val="00176FC8"/>
    <w:rsid w:val="00185817"/>
    <w:rsid w:val="00190D87"/>
    <w:rsid w:val="001B3ABD"/>
    <w:rsid w:val="001F56B2"/>
    <w:rsid w:val="00211FBF"/>
    <w:rsid w:val="00236321"/>
    <w:rsid w:val="00247D32"/>
    <w:rsid w:val="00253088"/>
    <w:rsid w:val="0029562D"/>
    <w:rsid w:val="002A16A2"/>
    <w:rsid w:val="002A4643"/>
    <w:rsid w:val="002A69B6"/>
    <w:rsid w:val="002A724C"/>
    <w:rsid w:val="002B117E"/>
    <w:rsid w:val="002B7BF9"/>
    <w:rsid w:val="00322D1F"/>
    <w:rsid w:val="00354738"/>
    <w:rsid w:val="00367D7C"/>
    <w:rsid w:val="003768B0"/>
    <w:rsid w:val="00383297"/>
    <w:rsid w:val="0039280F"/>
    <w:rsid w:val="00395123"/>
    <w:rsid w:val="00396E02"/>
    <w:rsid w:val="003A293C"/>
    <w:rsid w:val="003C5DDB"/>
    <w:rsid w:val="003D56F0"/>
    <w:rsid w:val="003E2FC4"/>
    <w:rsid w:val="00423879"/>
    <w:rsid w:val="004347E8"/>
    <w:rsid w:val="00435E42"/>
    <w:rsid w:val="004479B6"/>
    <w:rsid w:val="004634A0"/>
    <w:rsid w:val="004670CE"/>
    <w:rsid w:val="0047560B"/>
    <w:rsid w:val="00476B0D"/>
    <w:rsid w:val="004B7687"/>
    <w:rsid w:val="004C0428"/>
    <w:rsid w:val="005156CD"/>
    <w:rsid w:val="00515E63"/>
    <w:rsid w:val="00517676"/>
    <w:rsid w:val="0053034F"/>
    <w:rsid w:val="00553D6D"/>
    <w:rsid w:val="005734FB"/>
    <w:rsid w:val="005764D2"/>
    <w:rsid w:val="005E2BB7"/>
    <w:rsid w:val="005F1E08"/>
    <w:rsid w:val="00635B27"/>
    <w:rsid w:val="006517D8"/>
    <w:rsid w:val="0065689A"/>
    <w:rsid w:val="006A019D"/>
    <w:rsid w:val="006E37E8"/>
    <w:rsid w:val="00702079"/>
    <w:rsid w:val="0071163B"/>
    <w:rsid w:val="007172F7"/>
    <w:rsid w:val="00735205"/>
    <w:rsid w:val="00743576"/>
    <w:rsid w:val="00752219"/>
    <w:rsid w:val="00775AC1"/>
    <w:rsid w:val="0079417A"/>
    <w:rsid w:val="007A045A"/>
    <w:rsid w:val="007A3827"/>
    <w:rsid w:val="007D0CC4"/>
    <w:rsid w:val="007D1D8A"/>
    <w:rsid w:val="00861A13"/>
    <w:rsid w:val="00877C4B"/>
    <w:rsid w:val="008A4A85"/>
    <w:rsid w:val="008C7D2D"/>
    <w:rsid w:val="0090646E"/>
    <w:rsid w:val="00906580"/>
    <w:rsid w:val="00921658"/>
    <w:rsid w:val="00925027"/>
    <w:rsid w:val="00954BFD"/>
    <w:rsid w:val="0095534C"/>
    <w:rsid w:val="009907D5"/>
    <w:rsid w:val="009A35D8"/>
    <w:rsid w:val="009B22C1"/>
    <w:rsid w:val="009C6037"/>
    <w:rsid w:val="009C6372"/>
    <w:rsid w:val="00A70883"/>
    <w:rsid w:val="00A819B4"/>
    <w:rsid w:val="00AC052E"/>
    <w:rsid w:val="00AC2737"/>
    <w:rsid w:val="00AC3441"/>
    <w:rsid w:val="00AD67BD"/>
    <w:rsid w:val="00B162B2"/>
    <w:rsid w:val="00B4751A"/>
    <w:rsid w:val="00B57D05"/>
    <w:rsid w:val="00B60D81"/>
    <w:rsid w:val="00B76CB3"/>
    <w:rsid w:val="00B85DD7"/>
    <w:rsid w:val="00B95D2A"/>
    <w:rsid w:val="00BA0FB6"/>
    <w:rsid w:val="00BB1669"/>
    <w:rsid w:val="00BC32F1"/>
    <w:rsid w:val="00BF4109"/>
    <w:rsid w:val="00C11D6D"/>
    <w:rsid w:val="00C46EB2"/>
    <w:rsid w:val="00C82910"/>
    <w:rsid w:val="00C93702"/>
    <w:rsid w:val="00CA1903"/>
    <w:rsid w:val="00CA3B93"/>
    <w:rsid w:val="00CC0DDB"/>
    <w:rsid w:val="00CE5488"/>
    <w:rsid w:val="00CE5A0A"/>
    <w:rsid w:val="00D235DD"/>
    <w:rsid w:val="00DA6D64"/>
    <w:rsid w:val="00DC6277"/>
    <w:rsid w:val="00DD6A83"/>
    <w:rsid w:val="00DF414E"/>
    <w:rsid w:val="00E07573"/>
    <w:rsid w:val="00E551E6"/>
    <w:rsid w:val="00E63639"/>
    <w:rsid w:val="00EC4330"/>
    <w:rsid w:val="00EF2D66"/>
    <w:rsid w:val="00F405AC"/>
    <w:rsid w:val="00F43A43"/>
    <w:rsid w:val="00F605BB"/>
    <w:rsid w:val="00F649F6"/>
    <w:rsid w:val="00F673F4"/>
    <w:rsid w:val="00FB49BF"/>
    <w:rsid w:val="00FD7553"/>
    <w:rsid w:val="00FF2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AB87"/>
  <w15:chartTrackingRefBased/>
  <w15:docId w15:val="{88223470-90B4-448B-BB7D-F897DC58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D6D"/>
    <w:rPr>
      <w:rFonts w:eastAsiaTheme="majorEastAsia" w:cstheme="majorBidi"/>
      <w:color w:val="272727" w:themeColor="text1" w:themeTint="D8"/>
    </w:rPr>
  </w:style>
  <w:style w:type="paragraph" w:styleId="Title">
    <w:name w:val="Title"/>
    <w:basedOn w:val="Normal"/>
    <w:next w:val="Normal"/>
    <w:link w:val="TitleChar"/>
    <w:uiPriority w:val="10"/>
    <w:qFormat/>
    <w:rsid w:val="00C1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D6D"/>
    <w:pPr>
      <w:spacing w:before="160"/>
      <w:jc w:val="center"/>
    </w:pPr>
    <w:rPr>
      <w:i/>
      <w:iCs/>
      <w:color w:val="404040" w:themeColor="text1" w:themeTint="BF"/>
    </w:rPr>
  </w:style>
  <w:style w:type="character" w:customStyle="1" w:styleId="QuoteChar">
    <w:name w:val="Quote Char"/>
    <w:basedOn w:val="DefaultParagraphFont"/>
    <w:link w:val="Quote"/>
    <w:uiPriority w:val="29"/>
    <w:rsid w:val="00C11D6D"/>
    <w:rPr>
      <w:i/>
      <w:iCs/>
      <w:color w:val="404040" w:themeColor="text1" w:themeTint="BF"/>
    </w:rPr>
  </w:style>
  <w:style w:type="paragraph" w:styleId="ListParagraph">
    <w:name w:val="List Paragraph"/>
    <w:basedOn w:val="Normal"/>
    <w:uiPriority w:val="34"/>
    <w:qFormat/>
    <w:rsid w:val="00C11D6D"/>
    <w:pPr>
      <w:ind w:left="720"/>
      <w:contextualSpacing/>
    </w:pPr>
  </w:style>
  <w:style w:type="character" w:styleId="IntenseEmphasis">
    <w:name w:val="Intense Emphasis"/>
    <w:basedOn w:val="DefaultParagraphFont"/>
    <w:uiPriority w:val="21"/>
    <w:qFormat/>
    <w:rsid w:val="00C11D6D"/>
    <w:rPr>
      <w:i/>
      <w:iCs/>
      <w:color w:val="0F4761" w:themeColor="accent1" w:themeShade="BF"/>
    </w:rPr>
  </w:style>
  <w:style w:type="paragraph" w:styleId="IntenseQuote">
    <w:name w:val="Intense Quote"/>
    <w:basedOn w:val="Normal"/>
    <w:next w:val="Normal"/>
    <w:link w:val="IntenseQuoteChar"/>
    <w:uiPriority w:val="30"/>
    <w:qFormat/>
    <w:rsid w:val="00C1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D6D"/>
    <w:rPr>
      <w:i/>
      <w:iCs/>
      <w:color w:val="0F4761" w:themeColor="accent1" w:themeShade="BF"/>
    </w:rPr>
  </w:style>
  <w:style w:type="character" w:styleId="IntenseReference">
    <w:name w:val="Intense Reference"/>
    <w:basedOn w:val="DefaultParagraphFont"/>
    <w:uiPriority w:val="32"/>
    <w:qFormat/>
    <w:rsid w:val="00C11D6D"/>
    <w:rPr>
      <w:b/>
      <w:bCs/>
      <w:smallCaps/>
      <w:color w:val="0F4761" w:themeColor="accent1" w:themeShade="BF"/>
      <w:spacing w:val="5"/>
    </w:rPr>
  </w:style>
  <w:style w:type="paragraph" w:styleId="FootnoteText">
    <w:name w:val="footnote text"/>
    <w:basedOn w:val="Normal"/>
    <w:link w:val="FootnoteTextChar"/>
    <w:uiPriority w:val="99"/>
    <w:semiHidden/>
    <w:unhideWhenUsed/>
    <w:rsid w:val="00C1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D6D"/>
    <w:rPr>
      <w:sz w:val="20"/>
      <w:szCs w:val="20"/>
    </w:rPr>
  </w:style>
  <w:style w:type="character" w:styleId="FootnoteReference">
    <w:name w:val="footnote reference"/>
    <w:basedOn w:val="DefaultParagraphFont"/>
    <w:uiPriority w:val="99"/>
    <w:semiHidden/>
    <w:unhideWhenUsed/>
    <w:rsid w:val="00C11D6D"/>
    <w:rPr>
      <w:vertAlign w:val="superscript"/>
    </w:rPr>
  </w:style>
  <w:style w:type="character" w:styleId="Hyperlink">
    <w:name w:val="Hyperlink"/>
    <w:basedOn w:val="DefaultParagraphFont"/>
    <w:uiPriority w:val="99"/>
    <w:unhideWhenUsed/>
    <w:rsid w:val="00C11D6D"/>
    <w:rPr>
      <w:color w:val="467886" w:themeColor="hyperlink"/>
      <w:u w:val="single"/>
    </w:rPr>
  </w:style>
  <w:style w:type="paragraph" w:styleId="EndnoteText">
    <w:name w:val="endnote text"/>
    <w:basedOn w:val="Normal"/>
    <w:link w:val="EndnoteTextChar"/>
    <w:uiPriority w:val="99"/>
    <w:semiHidden/>
    <w:unhideWhenUsed/>
    <w:rsid w:val="007116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63B"/>
    <w:rPr>
      <w:sz w:val="20"/>
      <w:szCs w:val="20"/>
    </w:rPr>
  </w:style>
  <w:style w:type="character" w:styleId="EndnoteReference">
    <w:name w:val="endnote reference"/>
    <w:basedOn w:val="DefaultParagraphFont"/>
    <w:uiPriority w:val="99"/>
    <w:semiHidden/>
    <w:unhideWhenUsed/>
    <w:rsid w:val="0071163B"/>
    <w:rPr>
      <w:vertAlign w:val="superscript"/>
    </w:rPr>
  </w:style>
  <w:style w:type="paragraph" w:styleId="Header">
    <w:name w:val="header"/>
    <w:basedOn w:val="Normal"/>
    <w:link w:val="HeaderChar"/>
    <w:uiPriority w:val="99"/>
    <w:unhideWhenUsed/>
    <w:rsid w:val="00711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63B"/>
  </w:style>
  <w:style w:type="paragraph" w:styleId="Footer">
    <w:name w:val="footer"/>
    <w:basedOn w:val="Normal"/>
    <w:link w:val="FooterChar"/>
    <w:uiPriority w:val="99"/>
    <w:unhideWhenUsed/>
    <w:rsid w:val="00711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63B"/>
  </w:style>
  <w:style w:type="paragraph" w:styleId="Revision">
    <w:name w:val="Revision"/>
    <w:hidden/>
    <w:uiPriority w:val="99"/>
    <w:semiHidden/>
    <w:rsid w:val="00553D6D"/>
    <w:pPr>
      <w:spacing w:after="0" w:line="240" w:lineRule="auto"/>
    </w:pPr>
  </w:style>
  <w:style w:type="character" w:styleId="FollowedHyperlink">
    <w:name w:val="FollowedHyperlink"/>
    <w:basedOn w:val="DefaultParagraphFont"/>
    <w:uiPriority w:val="99"/>
    <w:semiHidden/>
    <w:unhideWhenUsed/>
    <w:rsid w:val="00DC6277"/>
    <w:rPr>
      <w:color w:val="96607D" w:themeColor="followedHyperlink"/>
      <w:u w:val="single"/>
    </w:rPr>
  </w:style>
  <w:style w:type="character" w:styleId="CommentReference">
    <w:name w:val="annotation reference"/>
    <w:basedOn w:val="DefaultParagraphFont"/>
    <w:uiPriority w:val="99"/>
    <w:semiHidden/>
    <w:unhideWhenUsed/>
    <w:rsid w:val="00F405AC"/>
    <w:rPr>
      <w:sz w:val="16"/>
      <w:szCs w:val="16"/>
    </w:rPr>
  </w:style>
  <w:style w:type="paragraph" w:styleId="CommentText">
    <w:name w:val="annotation text"/>
    <w:basedOn w:val="Normal"/>
    <w:link w:val="CommentTextChar"/>
    <w:uiPriority w:val="99"/>
    <w:unhideWhenUsed/>
    <w:rsid w:val="00F405AC"/>
    <w:pPr>
      <w:spacing w:line="240" w:lineRule="auto"/>
    </w:pPr>
    <w:rPr>
      <w:sz w:val="20"/>
      <w:szCs w:val="20"/>
    </w:rPr>
  </w:style>
  <w:style w:type="character" w:customStyle="1" w:styleId="CommentTextChar">
    <w:name w:val="Comment Text Char"/>
    <w:basedOn w:val="DefaultParagraphFont"/>
    <w:link w:val="CommentText"/>
    <w:uiPriority w:val="99"/>
    <w:rsid w:val="00F405AC"/>
    <w:rPr>
      <w:sz w:val="20"/>
      <w:szCs w:val="20"/>
    </w:rPr>
  </w:style>
  <w:style w:type="paragraph" w:styleId="CommentSubject">
    <w:name w:val="annotation subject"/>
    <w:basedOn w:val="CommentText"/>
    <w:next w:val="CommentText"/>
    <w:link w:val="CommentSubjectChar"/>
    <w:uiPriority w:val="99"/>
    <w:semiHidden/>
    <w:unhideWhenUsed/>
    <w:rsid w:val="00F405AC"/>
    <w:rPr>
      <w:b/>
      <w:bCs/>
    </w:rPr>
  </w:style>
  <w:style w:type="character" w:customStyle="1" w:styleId="CommentSubjectChar">
    <w:name w:val="Comment Subject Char"/>
    <w:basedOn w:val="CommentTextChar"/>
    <w:link w:val="CommentSubject"/>
    <w:uiPriority w:val="99"/>
    <w:semiHidden/>
    <w:rsid w:val="00F405AC"/>
    <w:rPr>
      <w:b/>
      <w:bCs/>
      <w:sz w:val="20"/>
      <w:szCs w:val="20"/>
    </w:rPr>
  </w:style>
  <w:style w:type="character" w:styleId="UnresolvedMention">
    <w:name w:val="Unresolved Mention"/>
    <w:basedOn w:val="DefaultParagraphFont"/>
    <w:uiPriority w:val="99"/>
    <w:semiHidden/>
    <w:unhideWhenUsed/>
    <w:rsid w:val="00CA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bcec.edu.au/assets/2024/03/BCEC-Employment-and-disability-in-Australia-2024-WEB.pdf" TargetMode="External"/><Relationship Id="rId13" Type="http://schemas.openxmlformats.org/officeDocument/2006/relationships/hyperlink" Target="https://anuhd.org/wp-content/uploads/2020/04/proposal-for-change-ncc-access-in-housing.pdf" TargetMode="External"/><Relationship Id="rId3" Type="http://schemas.openxmlformats.org/officeDocument/2006/relationships/hyperlink" Target="https://view.officeapps.live.com/op/view.aspx?src=https%3A%2F%2Fhumanrights.gov.au%2Fsites%2Fdefault%2Ffiles%2Fdocument%2Fpublication%2Far_2023-24_complaint_stats_tables_1.docx%23%3A~%3Atext%3DIn%25202023%252D24%252C%2520the%2520Commission%2520received%25202%252C708%2Cagainst%2520one%2520or%2520more%2520respondents.&amp;wdOrigin=BROWSELINK" TargetMode="External"/><Relationship Id="rId7" Type="http://schemas.openxmlformats.org/officeDocument/2006/relationships/hyperlink" Target="https://www.abs.gov.au/statistics/health/disability/disability-ageing-and-carers-australia-summary-findings/2018" TargetMode="External"/><Relationship Id="rId12" Type="http://schemas.openxmlformats.org/officeDocument/2006/relationships/hyperlink" Target="https://www.latrobe.edu.au/arcshs/work/writing-themselves-in-4" TargetMode="External"/><Relationship Id="rId2" Type="http://schemas.openxmlformats.org/officeDocument/2006/relationships/hyperlink" Target="https://www.aihw.gov.au/reports/disability/people-with-disability-in-australia/contents/summary" TargetMode="External"/><Relationship Id="rId1" Type="http://schemas.openxmlformats.org/officeDocument/2006/relationships/hyperlink" Target="https://www.abs.gov.au/statistics/health/disability/disability-ageing-and-carers-australia-summary-findings/2022" TargetMode="External"/><Relationship Id="rId6" Type="http://schemas.openxmlformats.org/officeDocument/2006/relationships/hyperlink" Target="https://disability.royalcommission.gov.au/system/files/2023-09/Final%20Report%20-%20Volume%203%2C%20Nature%20and%20Extent%20of%20Violence%2C%20abuse%2C%20neglect%20and%20exploitation.pdf" TargetMode="External"/><Relationship Id="rId11" Type="http://schemas.openxmlformats.org/officeDocument/2006/relationships/hyperlink" Target="https://www.latrobe.edu.au/arcshs/work/writing-themselves-in-4" TargetMode="External"/><Relationship Id="rId5" Type="http://schemas.openxmlformats.org/officeDocument/2006/relationships/hyperlink" Target="https://www.aihw.gov.au/reports/disability/people-with-disability-in-australia/contents/education-and-skills/engagement-in-education" TargetMode="External"/><Relationship Id="rId10" Type="http://schemas.openxmlformats.org/officeDocument/2006/relationships/hyperlink" Target="https://www.ndis.gov.au/about-us/publications/quarterly-reports" TargetMode="External"/><Relationship Id="rId4" Type="http://schemas.openxmlformats.org/officeDocument/2006/relationships/hyperlink" Target="https://allmeansall.org.au/wp-content/uploads/2017/10/TIES-4.0-20172.pdf" TargetMode="External"/><Relationship Id="rId9" Type="http://schemas.openxmlformats.org/officeDocument/2006/relationships/hyperlink" Target="https://doi.org/10.26180/21113887" TargetMode="External"/><Relationship Id="rId14" Type="http://schemas.openxmlformats.org/officeDocument/2006/relationships/hyperlink" Target="https://www.acoss.org.au/wp-content/uploads/2018/10/ACOSS_Poverty-in-Australia-Report_Web-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2VJSNK2QYUME-83637454-3089</_dlc_DocId>
    <_dlc_DocIdUrl xmlns="6500fe01-343b-4fb9-a1b0-68ac19d62e01">
      <Url>https://australianhrc.sharepoint.com/sites/WorkplaceandCommunityEducation/_layouts/15/DocIdRedir.aspx?ID=2VJSNK2QYUME-83637454-3089</Url>
      <Description>2VJSNK2QYUME-83637454-3089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058eb00ca860ae3ce1556360bf7049a8">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808b79d652d2f46541c66df964c529a7"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83583-C87C-4CAC-AEDE-2697141D9600}">
  <ds:schemaRefs>
    <ds:schemaRef ds:uri="Microsoft.SharePoint.Taxonomy.ContentTypeSync"/>
  </ds:schemaRefs>
</ds:datastoreItem>
</file>

<file path=customXml/itemProps2.xml><?xml version="1.0" encoding="utf-8"?>
<ds:datastoreItem xmlns:ds="http://schemas.openxmlformats.org/officeDocument/2006/customXml" ds:itemID="{CA25C0E0-064E-45AD-B7C0-5308C477C3BF}">
  <ds:schemaRefs>
    <ds:schemaRef ds:uri="http://schemas.microsoft.com/sharepoint/events"/>
  </ds:schemaRefs>
</ds:datastoreItem>
</file>

<file path=customXml/itemProps3.xml><?xml version="1.0" encoding="utf-8"?>
<ds:datastoreItem xmlns:ds="http://schemas.openxmlformats.org/officeDocument/2006/customXml" ds:itemID="{7A75E46F-62BE-4B50-83D1-E9877E6188E7}">
  <ds:schemaRefs>
    <ds:schemaRef ds:uri="http://schemas.microsoft.com/office/2006/metadata/properties"/>
    <ds:schemaRef ds:uri="http://schemas.microsoft.com/office/infopath/2007/PartnerControls"/>
    <ds:schemaRef ds:uri="6500fe01-343b-4fb9-a1b0-68ac19d62e01"/>
    <ds:schemaRef ds:uri="8ab8274c-36ab-426d-bae7-27aa9ddedea4"/>
  </ds:schemaRefs>
</ds:datastoreItem>
</file>

<file path=customXml/itemProps4.xml><?xml version="1.0" encoding="utf-8"?>
<ds:datastoreItem xmlns:ds="http://schemas.openxmlformats.org/officeDocument/2006/customXml" ds:itemID="{BB5382F8-EA3C-4B91-AE07-34053F7168F3}">
  <ds:schemaRefs>
    <ds:schemaRef ds:uri="http://schemas.openxmlformats.org/officeDocument/2006/bibliography"/>
  </ds:schemaRefs>
</ds:datastoreItem>
</file>

<file path=customXml/itemProps5.xml><?xml version="1.0" encoding="utf-8"?>
<ds:datastoreItem xmlns:ds="http://schemas.openxmlformats.org/officeDocument/2006/customXml" ds:itemID="{4B3692FB-FE7B-4DD8-BE75-F0E2D0F8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3DF67-BD26-45FA-BE05-18937A05302D}">
  <ds:schemaRefs>
    <ds:schemaRef ds:uri="http://schemas.microsoft.com/office/2006/metadata/customXsn"/>
  </ds:schemaRefs>
</ds:datastoreItem>
</file>

<file path=customXml/itemProps7.xml><?xml version="1.0" encoding="utf-8"?>
<ds:datastoreItem xmlns:ds="http://schemas.openxmlformats.org/officeDocument/2006/customXml" ds:itemID="{59E3E324-0DB6-4943-9CD8-C3CE1856A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Stevens</cp:lastModifiedBy>
  <cp:revision>84</cp:revision>
  <dcterms:created xsi:type="dcterms:W3CDTF">2024-10-30T05:56:00Z</dcterms:created>
  <dcterms:modified xsi:type="dcterms:W3CDTF">2025-08-19T00:46:00Z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680c76ac-c3d8-4b28-90b4-9856a4342acb</vt:lpwstr>
  </property>
  <property fmtid="{D5CDD505-2E9C-101B-9397-08002B2CF9AE}" pid="4" name="TaxKeyword">
    <vt:lpwstr/>
  </property>
  <property fmtid="{D5CDD505-2E9C-101B-9397-08002B2CF9AE}" pid="5" name="MediaServiceImageTags">
    <vt:lpwstr/>
  </property>
</Properties>
</file>