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8754" w14:textId="64DB2D2D" w:rsidR="00274F64" w:rsidRPr="008A09F9" w:rsidRDefault="00FD7133" w:rsidP="00274F64">
      <w:pPr>
        <w:pStyle w:val="Title"/>
        <w:rPr>
          <w:rFonts w:ascii="Open Sans" w:hAnsi="Open Sans" w:cs="Open Sans"/>
          <w:b/>
          <w:bCs/>
        </w:rPr>
      </w:pPr>
      <w:r w:rsidRPr="008A09F9">
        <w:rPr>
          <w:rFonts w:ascii="Open Sans" w:hAnsi="Open Sans" w:cs="Open Sans"/>
          <w:b/>
          <w:bCs/>
        </w:rPr>
        <w:t>Stats &amp; Facts</w:t>
      </w:r>
      <w:r w:rsidR="006F446D" w:rsidRPr="008A09F9">
        <w:rPr>
          <w:rFonts w:ascii="Open Sans" w:hAnsi="Open Sans" w:cs="Open Sans"/>
          <w:b/>
          <w:bCs/>
        </w:rPr>
        <w:t xml:space="preserve">: </w:t>
      </w:r>
      <w:r w:rsidR="00274F64" w:rsidRPr="008A09F9">
        <w:rPr>
          <w:rFonts w:ascii="Open Sans" w:hAnsi="Open Sans" w:cs="Open Sans"/>
          <w:b/>
          <w:bCs/>
        </w:rPr>
        <w:t>Gender Equality</w:t>
      </w:r>
    </w:p>
    <w:p w14:paraId="0DF70ADA" w14:textId="19B482E5" w:rsidR="00274F64" w:rsidRDefault="00175378">
      <w:pPr>
        <w:rPr>
          <w:rFonts w:ascii="Open Sans" w:hAnsi="Open Sans" w:cs="Open Sans"/>
          <w:sz w:val="24"/>
          <w:szCs w:val="24"/>
        </w:rPr>
      </w:pPr>
      <w:r>
        <w:rPr>
          <w:rFonts w:ascii="Open Sans" w:hAnsi="Open Sans" w:cs="Open Sans"/>
          <w:sz w:val="24"/>
          <w:szCs w:val="24"/>
        </w:rPr>
        <w:t>People</w:t>
      </w:r>
      <w:r w:rsidR="00274F64" w:rsidRPr="00554003">
        <w:rPr>
          <w:rFonts w:ascii="Open Sans" w:hAnsi="Open Sans" w:cs="Open Sans"/>
          <w:sz w:val="24"/>
          <w:szCs w:val="24"/>
        </w:rPr>
        <w:t xml:space="preserve"> in Australia continue to campaign for gender equality and have achieved significant outcomes in recent years. But many women and gender diverse people still face violence, harassment and unfair treatment, and are still underrepresented, overworked and underpaid across many domains in Australia. This is especially true for women </w:t>
      </w:r>
      <w:r w:rsidR="009D37D4">
        <w:rPr>
          <w:rFonts w:ascii="Open Sans" w:hAnsi="Open Sans" w:cs="Open Sans"/>
          <w:sz w:val="24"/>
          <w:szCs w:val="24"/>
        </w:rPr>
        <w:t xml:space="preserve">and gender diverse people </w:t>
      </w:r>
      <w:r w:rsidR="00274F64" w:rsidRPr="00554003">
        <w:rPr>
          <w:rFonts w:ascii="Open Sans" w:hAnsi="Open Sans" w:cs="Open Sans"/>
          <w:sz w:val="24"/>
          <w:szCs w:val="24"/>
        </w:rPr>
        <w:t xml:space="preserve">who experience racism as well as sexism, </w:t>
      </w:r>
      <w:r w:rsidR="00843035">
        <w:rPr>
          <w:rFonts w:ascii="Open Sans" w:hAnsi="Open Sans" w:cs="Open Sans"/>
          <w:sz w:val="24"/>
          <w:szCs w:val="24"/>
        </w:rPr>
        <w:t>have a</w:t>
      </w:r>
      <w:r w:rsidR="00274F64" w:rsidRPr="00554003">
        <w:rPr>
          <w:rFonts w:ascii="Open Sans" w:hAnsi="Open Sans" w:cs="Open Sans"/>
          <w:sz w:val="24"/>
          <w:szCs w:val="24"/>
        </w:rPr>
        <w:t xml:space="preserve"> disabil</w:t>
      </w:r>
      <w:r w:rsidR="00206981">
        <w:rPr>
          <w:rFonts w:ascii="Open Sans" w:hAnsi="Open Sans" w:cs="Open Sans"/>
          <w:sz w:val="24"/>
          <w:szCs w:val="24"/>
        </w:rPr>
        <w:t>ity</w:t>
      </w:r>
      <w:r w:rsidR="00274F64" w:rsidRPr="00554003">
        <w:rPr>
          <w:rFonts w:ascii="Open Sans" w:hAnsi="Open Sans" w:cs="Open Sans"/>
          <w:sz w:val="24"/>
          <w:szCs w:val="24"/>
        </w:rPr>
        <w:t xml:space="preserve">, </w:t>
      </w:r>
      <w:r w:rsidR="00843035">
        <w:rPr>
          <w:rFonts w:ascii="Open Sans" w:hAnsi="Open Sans" w:cs="Open Sans"/>
          <w:sz w:val="24"/>
          <w:szCs w:val="24"/>
        </w:rPr>
        <w:t xml:space="preserve">or </w:t>
      </w:r>
      <w:r w:rsidR="0087670D">
        <w:rPr>
          <w:rFonts w:ascii="Open Sans" w:hAnsi="Open Sans" w:cs="Open Sans"/>
          <w:sz w:val="24"/>
          <w:szCs w:val="24"/>
        </w:rPr>
        <w:t>are</w:t>
      </w:r>
      <w:r w:rsidR="00274F64" w:rsidRPr="00554003">
        <w:rPr>
          <w:rFonts w:ascii="Open Sans" w:hAnsi="Open Sans" w:cs="Open Sans"/>
          <w:sz w:val="24"/>
          <w:szCs w:val="24"/>
        </w:rPr>
        <w:t xml:space="preserve"> LGBT</w:t>
      </w:r>
      <w:r w:rsidR="00B71DA6">
        <w:rPr>
          <w:rFonts w:ascii="Open Sans" w:hAnsi="Open Sans" w:cs="Open Sans"/>
          <w:sz w:val="24"/>
          <w:szCs w:val="24"/>
        </w:rPr>
        <w:t>IQA</w:t>
      </w:r>
      <w:r w:rsidR="00274F64" w:rsidRPr="00554003">
        <w:rPr>
          <w:rFonts w:ascii="Open Sans" w:hAnsi="Open Sans" w:cs="Open Sans"/>
          <w:sz w:val="24"/>
          <w:szCs w:val="24"/>
        </w:rPr>
        <w:t>+. Negative attitudes about gender equality in society continue to be a barrier for people to fully enjoy their rights and freedoms.</w:t>
      </w:r>
    </w:p>
    <w:p w14:paraId="57D7D52B" w14:textId="0767A2A2" w:rsidR="00274F64" w:rsidRPr="008A09F9" w:rsidRDefault="00274F64" w:rsidP="00274F64">
      <w:pPr>
        <w:pStyle w:val="Heading1"/>
        <w:rPr>
          <w:rFonts w:ascii="Open Sans" w:hAnsi="Open Sans" w:cs="Open Sans"/>
          <w:b/>
          <w:bCs/>
          <w:color w:val="auto"/>
          <w:sz w:val="36"/>
          <w:szCs w:val="36"/>
        </w:rPr>
      </w:pPr>
      <w:r w:rsidRPr="008A09F9">
        <w:rPr>
          <w:rFonts w:ascii="Open Sans" w:hAnsi="Open Sans" w:cs="Open Sans"/>
          <w:b/>
          <w:bCs/>
          <w:color w:val="auto"/>
          <w:sz w:val="36"/>
          <w:szCs w:val="36"/>
        </w:rPr>
        <w:t>Pay gap</w:t>
      </w:r>
      <w:r w:rsidR="00851753" w:rsidRPr="008A09F9">
        <w:rPr>
          <w:rFonts w:ascii="Open Sans" w:hAnsi="Open Sans" w:cs="Open Sans"/>
          <w:b/>
          <w:bCs/>
          <w:color w:val="auto"/>
          <w:sz w:val="36"/>
          <w:szCs w:val="36"/>
        </w:rPr>
        <w:t>s and</w:t>
      </w:r>
      <w:r w:rsidRPr="008A09F9">
        <w:rPr>
          <w:rFonts w:ascii="Open Sans" w:hAnsi="Open Sans" w:cs="Open Sans"/>
          <w:b/>
          <w:bCs/>
          <w:color w:val="auto"/>
          <w:sz w:val="36"/>
          <w:szCs w:val="36"/>
        </w:rPr>
        <w:t xml:space="preserve"> workforce participation</w:t>
      </w:r>
    </w:p>
    <w:p w14:paraId="4D87C706" w14:textId="7C5B87AA" w:rsidR="00E8079D" w:rsidRPr="00D10184" w:rsidRDefault="00274F64" w:rsidP="00274F64">
      <w:pPr>
        <w:pStyle w:val="ListParagraph"/>
        <w:numPr>
          <w:ilvl w:val="0"/>
          <w:numId w:val="1"/>
        </w:numPr>
        <w:rPr>
          <w:rFonts w:ascii="Open Sans" w:hAnsi="Open Sans" w:cs="Open Sans"/>
          <w:sz w:val="24"/>
          <w:szCs w:val="24"/>
        </w:rPr>
      </w:pPr>
      <w:r w:rsidRPr="00D10184">
        <w:rPr>
          <w:rFonts w:ascii="Open Sans" w:hAnsi="Open Sans" w:cs="Open Sans"/>
          <w:sz w:val="24"/>
          <w:szCs w:val="24"/>
        </w:rPr>
        <w:t>The national gender pay gap is 21.</w:t>
      </w:r>
      <w:r w:rsidR="005522FF" w:rsidRPr="00D10184">
        <w:rPr>
          <w:rFonts w:ascii="Open Sans" w:hAnsi="Open Sans" w:cs="Open Sans"/>
          <w:sz w:val="24"/>
          <w:szCs w:val="24"/>
        </w:rPr>
        <w:t>8</w:t>
      </w:r>
      <w:r w:rsidRPr="00D10184">
        <w:rPr>
          <w:rFonts w:ascii="Open Sans" w:hAnsi="Open Sans" w:cs="Open Sans"/>
          <w:sz w:val="24"/>
          <w:szCs w:val="24"/>
        </w:rPr>
        <w:t>%.</w:t>
      </w:r>
      <w:r w:rsidR="00E8079D" w:rsidRPr="00D10184">
        <w:rPr>
          <w:rStyle w:val="EndnoteReference"/>
          <w:rFonts w:ascii="Open Sans" w:hAnsi="Open Sans" w:cs="Open Sans"/>
          <w:sz w:val="24"/>
          <w:szCs w:val="24"/>
        </w:rPr>
        <w:endnoteReference w:id="2"/>
      </w:r>
      <w:r w:rsidR="00E8079D" w:rsidRPr="00D10184">
        <w:rPr>
          <w:rFonts w:ascii="Open Sans" w:hAnsi="Open Sans" w:cs="Open Sans"/>
          <w:sz w:val="24"/>
          <w:szCs w:val="24"/>
        </w:rPr>
        <w:br/>
      </w:r>
    </w:p>
    <w:p w14:paraId="67795603" w14:textId="77777777" w:rsidR="00E8079D" w:rsidRPr="00D10184" w:rsidRDefault="00E8079D" w:rsidP="00274F64">
      <w:pPr>
        <w:pStyle w:val="ListParagraph"/>
        <w:numPr>
          <w:ilvl w:val="0"/>
          <w:numId w:val="1"/>
        </w:numPr>
        <w:rPr>
          <w:rFonts w:ascii="Open Sans" w:hAnsi="Open Sans" w:cs="Open Sans"/>
          <w:sz w:val="24"/>
          <w:szCs w:val="24"/>
        </w:rPr>
      </w:pPr>
      <w:r w:rsidRPr="00D10184">
        <w:rPr>
          <w:rFonts w:ascii="Open Sans" w:hAnsi="Open Sans" w:cs="Open Sans"/>
          <w:sz w:val="24"/>
          <w:szCs w:val="24"/>
        </w:rPr>
        <w:t>Workforce participation of migrants and refugees:</w:t>
      </w:r>
    </w:p>
    <w:p w14:paraId="76C6F730" w14:textId="77777777" w:rsidR="00E8079D" w:rsidRPr="00D10184" w:rsidRDefault="00E8079D" w:rsidP="00274F64">
      <w:pPr>
        <w:pStyle w:val="ListParagraph"/>
        <w:numPr>
          <w:ilvl w:val="1"/>
          <w:numId w:val="2"/>
        </w:numPr>
        <w:rPr>
          <w:rFonts w:ascii="Open Sans" w:hAnsi="Open Sans" w:cs="Open Sans"/>
          <w:sz w:val="24"/>
          <w:szCs w:val="24"/>
        </w:rPr>
      </w:pPr>
      <w:r w:rsidRPr="00D10184">
        <w:rPr>
          <w:rFonts w:ascii="Open Sans" w:hAnsi="Open Sans" w:cs="Open Sans"/>
          <w:sz w:val="24"/>
          <w:szCs w:val="24"/>
        </w:rPr>
        <w:t>Women: 47%</w:t>
      </w:r>
    </w:p>
    <w:p w14:paraId="68B3600E" w14:textId="213D7474" w:rsidR="00E8079D" w:rsidRPr="00554003" w:rsidRDefault="00E8079D" w:rsidP="00274F64">
      <w:pPr>
        <w:pStyle w:val="ListParagraph"/>
        <w:numPr>
          <w:ilvl w:val="1"/>
          <w:numId w:val="2"/>
        </w:numPr>
        <w:rPr>
          <w:rFonts w:ascii="Open Sans" w:hAnsi="Open Sans" w:cs="Open Sans"/>
          <w:sz w:val="24"/>
          <w:szCs w:val="24"/>
        </w:rPr>
      </w:pPr>
      <w:r w:rsidRPr="00D10184">
        <w:rPr>
          <w:rFonts w:ascii="Open Sans" w:hAnsi="Open Sans" w:cs="Open Sans"/>
          <w:sz w:val="24"/>
          <w:szCs w:val="24"/>
        </w:rPr>
        <w:t>Men: 70%</w:t>
      </w:r>
      <w:r w:rsidR="002E6456" w:rsidRPr="00D10184">
        <w:rPr>
          <w:rStyle w:val="EndnoteReference"/>
          <w:rFonts w:ascii="Open Sans" w:hAnsi="Open Sans" w:cs="Open Sans"/>
          <w:sz w:val="24"/>
          <w:szCs w:val="24"/>
        </w:rPr>
        <w:endnoteReference w:id="3"/>
      </w:r>
      <w:r w:rsidRPr="00554003">
        <w:rPr>
          <w:rFonts w:ascii="Open Sans" w:hAnsi="Open Sans" w:cs="Open Sans"/>
          <w:sz w:val="24"/>
          <w:szCs w:val="24"/>
        </w:rPr>
        <w:br/>
      </w:r>
    </w:p>
    <w:p w14:paraId="02880C55" w14:textId="57A5122C" w:rsidR="00E8079D" w:rsidRPr="00554003" w:rsidRDefault="00E8079D" w:rsidP="00274F64">
      <w:pPr>
        <w:pStyle w:val="ListParagraph"/>
        <w:numPr>
          <w:ilvl w:val="0"/>
          <w:numId w:val="3"/>
        </w:numPr>
        <w:rPr>
          <w:rFonts w:ascii="Open Sans" w:hAnsi="Open Sans" w:cs="Open Sans"/>
          <w:sz w:val="24"/>
          <w:szCs w:val="24"/>
        </w:rPr>
      </w:pPr>
      <w:r w:rsidRPr="00554003">
        <w:rPr>
          <w:rFonts w:ascii="Open Sans" w:hAnsi="Open Sans" w:cs="Open Sans"/>
          <w:sz w:val="24"/>
          <w:szCs w:val="24"/>
        </w:rPr>
        <w:t>In migrant and refugee communities, women are more likely than men to work in low income, low skill, insecure jobs.</w:t>
      </w:r>
      <w:r w:rsidRPr="00554003">
        <w:rPr>
          <w:rStyle w:val="EndnoteReference"/>
          <w:rFonts w:ascii="Open Sans" w:hAnsi="Open Sans" w:cs="Open Sans"/>
          <w:sz w:val="24"/>
          <w:szCs w:val="24"/>
        </w:rPr>
        <w:endnoteReference w:id="4"/>
      </w:r>
    </w:p>
    <w:p w14:paraId="0931444A" w14:textId="3D9BD142" w:rsidR="00E8079D" w:rsidRPr="008A09F9" w:rsidRDefault="00E8079D" w:rsidP="00851753">
      <w:pPr>
        <w:pStyle w:val="Heading1"/>
        <w:rPr>
          <w:rFonts w:ascii="Open Sans" w:hAnsi="Open Sans" w:cs="Open Sans"/>
          <w:b/>
          <w:bCs/>
          <w:color w:val="auto"/>
          <w:sz w:val="36"/>
          <w:szCs w:val="36"/>
        </w:rPr>
      </w:pPr>
      <w:r w:rsidRPr="008A09F9">
        <w:rPr>
          <w:rFonts w:ascii="Open Sans" w:hAnsi="Open Sans" w:cs="Open Sans"/>
          <w:b/>
          <w:bCs/>
          <w:color w:val="auto"/>
          <w:sz w:val="36"/>
          <w:szCs w:val="36"/>
        </w:rPr>
        <w:t>Board representation</w:t>
      </w:r>
    </w:p>
    <w:p w14:paraId="5C801A1B" w14:textId="699C4E4C" w:rsidR="00E8079D" w:rsidRPr="00F843A0" w:rsidRDefault="00E8079D" w:rsidP="00274F64">
      <w:pPr>
        <w:pStyle w:val="ListParagraph"/>
        <w:numPr>
          <w:ilvl w:val="0"/>
          <w:numId w:val="3"/>
        </w:numPr>
        <w:rPr>
          <w:rFonts w:ascii="Open Sans" w:hAnsi="Open Sans" w:cs="Open Sans"/>
          <w:sz w:val="24"/>
          <w:szCs w:val="24"/>
        </w:rPr>
      </w:pPr>
      <w:r w:rsidRPr="00F843A0">
        <w:rPr>
          <w:rFonts w:ascii="Open Sans" w:hAnsi="Open Sans" w:cs="Open Sans"/>
          <w:sz w:val="24"/>
          <w:szCs w:val="24"/>
        </w:rPr>
        <w:t>1 in 4 boards have no women and there is no industry in Australia where the proportion of women board chairs matches the proportion of women working in the industry.</w:t>
      </w:r>
      <w:r w:rsidR="00AC5384" w:rsidRPr="00F843A0">
        <w:rPr>
          <w:rStyle w:val="EndnoteReference"/>
          <w:rFonts w:ascii="Open Sans" w:hAnsi="Open Sans" w:cs="Open Sans"/>
          <w:sz w:val="24"/>
          <w:szCs w:val="24"/>
        </w:rPr>
        <w:endnoteReference w:id="5"/>
      </w:r>
    </w:p>
    <w:p w14:paraId="33AD7544" w14:textId="2224F254" w:rsidR="00E8079D" w:rsidRPr="00554003" w:rsidRDefault="00E8079D" w:rsidP="009614EA">
      <w:pPr>
        <w:pStyle w:val="ListParagraph"/>
        <w:numPr>
          <w:ilvl w:val="0"/>
          <w:numId w:val="3"/>
        </w:numPr>
        <w:rPr>
          <w:rFonts w:ascii="Open Sans" w:hAnsi="Open Sans" w:cs="Open Sans"/>
          <w:sz w:val="24"/>
          <w:szCs w:val="24"/>
        </w:rPr>
      </w:pPr>
      <w:r w:rsidRPr="00554003">
        <w:rPr>
          <w:rFonts w:ascii="Open Sans" w:hAnsi="Open Sans" w:cs="Open Sans"/>
          <w:sz w:val="24"/>
          <w:szCs w:val="24"/>
        </w:rPr>
        <w:t>Women make up 78% of employees in Health Care and Social Assistance but occupy 33% of chair positions.</w:t>
      </w:r>
      <w:r w:rsidRPr="00554003">
        <w:rPr>
          <w:rStyle w:val="EndnoteReference"/>
          <w:rFonts w:ascii="Open Sans" w:hAnsi="Open Sans" w:cs="Open Sans"/>
          <w:sz w:val="24"/>
          <w:szCs w:val="24"/>
        </w:rPr>
        <w:endnoteReference w:id="6"/>
      </w:r>
    </w:p>
    <w:p w14:paraId="359CF04E" w14:textId="249B062B" w:rsidR="00E8079D" w:rsidRPr="00D10184" w:rsidRDefault="00E8079D" w:rsidP="00851753">
      <w:pPr>
        <w:pStyle w:val="Heading1"/>
        <w:rPr>
          <w:rFonts w:ascii="Open Sans" w:hAnsi="Open Sans" w:cs="Open Sans"/>
          <w:b/>
          <w:bCs/>
          <w:color w:val="auto"/>
          <w:sz w:val="36"/>
          <w:szCs w:val="36"/>
        </w:rPr>
      </w:pPr>
      <w:r w:rsidRPr="00D10184">
        <w:rPr>
          <w:rFonts w:ascii="Open Sans" w:hAnsi="Open Sans" w:cs="Open Sans"/>
          <w:b/>
          <w:bCs/>
          <w:color w:val="auto"/>
          <w:sz w:val="36"/>
          <w:szCs w:val="36"/>
        </w:rPr>
        <w:t>Unpaid labour</w:t>
      </w:r>
    </w:p>
    <w:p w14:paraId="36641831" w14:textId="2118D5D2" w:rsidR="00E8079D" w:rsidRPr="00D10184" w:rsidRDefault="00E8079D" w:rsidP="00E8079D">
      <w:pPr>
        <w:pStyle w:val="ListParagraph"/>
        <w:numPr>
          <w:ilvl w:val="0"/>
          <w:numId w:val="11"/>
        </w:numPr>
        <w:rPr>
          <w:rFonts w:ascii="Open Sans" w:hAnsi="Open Sans" w:cs="Open Sans"/>
          <w:sz w:val="24"/>
          <w:szCs w:val="24"/>
        </w:rPr>
      </w:pPr>
      <w:r w:rsidRPr="00D10184">
        <w:rPr>
          <w:rFonts w:ascii="Open Sans" w:hAnsi="Open Sans" w:cs="Open Sans"/>
          <w:sz w:val="24"/>
          <w:szCs w:val="24"/>
        </w:rPr>
        <w:t>Women do over 9 hours a week more unpaid work and care than men,</w:t>
      </w:r>
      <w:r w:rsidRPr="00D10184">
        <w:rPr>
          <w:rStyle w:val="EndnoteReference"/>
          <w:rFonts w:ascii="Open Sans" w:hAnsi="Open Sans" w:cs="Open Sans"/>
          <w:sz w:val="24"/>
          <w:szCs w:val="24"/>
        </w:rPr>
        <w:endnoteReference w:id="7"/>
      </w:r>
      <w:r w:rsidRPr="00D10184">
        <w:rPr>
          <w:rFonts w:ascii="Open Sans" w:hAnsi="Open Sans" w:cs="Open Sans"/>
          <w:sz w:val="24"/>
          <w:szCs w:val="24"/>
        </w:rPr>
        <w:t xml:space="preserve"> and </w:t>
      </w:r>
      <w:r w:rsidR="572229E5" w:rsidRPr="00D10184">
        <w:rPr>
          <w:rFonts w:ascii="Open Sans" w:hAnsi="Open Sans" w:cs="Open Sans"/>
          <w:sz w:val="24"/>
          <w:szCs w:val="24"/>
        </w:rPr>
        <w:t>are</w:t>
      </w:r>
      <w:r w:rsidRPr="00D10184">
        <w:rPr>
          <w:rFonts w:ascii="Open Sans" w:hAnsi="Open Sans" w:cs="Open Sans"/>
          <w:sz w:val="24"/>
          <w:szCs w:val="24"/>
        </w:rPr>
        <w:t xml:space="preserve"> 7 in every 10 primary carers.</w:t>
      </w:r>
      <w:r w:rsidRPr="00D10184">
        <w:rPr>
          <w:rStyle w:val="EndnoteReference"/>
          <w:rFonts w:ascii="Open Sans" w:hAnsi="Open Sans" w:cs="Open Sans"/>
          <w:sz w:val="24"/>
          <w:szCs w:val="24"/>
        </w:rPr>
        <w:endnoteReference w:id="8"/>
      </w:r>
    </w:p>
    <w:p w14:paraId="5E8EBDE1" w14:textId="77777777" w:rsidR="00E8079D" w:rsidRPr="008A09F9" w:rsidRDefault="00E8079D" w:rsidP="00851753">
      <w:pPr>
        <w:pStyle w:val="Heading1"/>
        <w:rPr>
          <w:rFonts w:ascii="Open Sans" w:hAnsi="Open Sans" w:cs="Open Sans"/>
          <w:b/>
          <w:bCs/>
          <w:color w:val="auto"/>
          <w:sz w:val="36"/>
          <w:szCs w:val="36"/>
        </w:rPr>
      </w:pPr>
      <w:r w:rsidRPr="008A09F9">
        <w:rPr>
          <w:rFonts w:ascii="Open Sans" w:hAnsi="Open Sans" w:cs="Open Sans"/>
          <w:b/>
          <w:bCs/>
          <w:color w:val="auto"/>
          <w:sz w:val="36"/>
          <w:szCs w:val="36"/>
        </w:rPr>
        <w:t>Discrimination based on family responsibilities</w:t>
      </w:r>
    </w:p>
    <w:p w14:paraId="05D651DE" w14:textId="77777777" w:rsidR="00E8079D" w:rsidRPr="00F04B6F" w:rsidRDefault="00E8079D" w:rsidP="00851753">
      <w:pPr>
        <w:pStyle w:val="ListParagraph"/>
        <w:numPr>
          <w:ilvl w:val="0"/>
          <w:numId w:val="4"/>
        </w:numPr>
        <w:rPr>
          <w:rFonts w:ascii="Open Sans" w:hAnsi="Open Sans" w:cs="Open Sans"/>
          <w:sz w:val="24"/>
          <w:szCs w:val="24"/>
        </w:rPr>
      </w:pPr>
      <w:r w:rsidRPr="00F04B6F">
        <w:rPr>
          <w:rFonts w:ascii="Open Sans" w:hAnsi="Open Sans" w:cs="Open Sans"/>
          <w:sz w:val="24"/>
          <w:szCs w:val="24"/>
        </w:rPr>
        <w:t>After returning to work from parental leave:</w:t>
      </w:r>
    </w:p>
    <w:p w14:paraId="19DCEA2B" w14:textId="77777777" w:rsidR="00E8079D" w:rsidRPr="00F04B6F" w:rsidRDefault="00E8079D" w:rsidP="00851753">
      <w:pPr>
        <w:pStyle w:val="ListParagraph"/>
        <w:numPr>
          <w:ilvl w:val="1"/>
          <w:numId w:val="5"/>
        </w:numPr>
        <w:rPr>
          <w:rFonts w:ascii="Open Sans" w:hAnsi="Open Sans" w:cs="Open Sans"/>
          <w:sz w:val="24"/>
          <w:szCs w:val="24"/>
        </w:rPr>
      </w:pPr>
      <w:r w:rsidRPr="00F04B6F">
        <w:rPr>
          <w:rFonts w:ascii="Open Sans" w:hAnsi="Open Sans" w:cs="Open Sans"/>
          <w:sz w:val="24"/>
          <w:szCs w:val="24"/>
        </w:rPr>
        <w:lastRenderedPageBreak/>
        <w:t>45% receive no information about their return-to-work entitlements</w:t>
      </w:r>
    </w:p>
    <w:p w14:paraId="7C87188B" w14:textId="77777777" w:rsidR="00E8079D" w:rsidRPr="00F04B6F" w:rsidRDefault="00E8079D" w:rsidP="00851753">
      <w:pPr>
        <w:pStyle w:val="ListParagraph"/>
        <w:numPr>
          <w:ilvl w:val="1"/>
          <w:numId w:val="5"/>
        </w:numPr>
        <w:rPr>
          <w:rFonts w:ascii="Open Sans" w:hAnsi="Open Sans" w:cs="Open Sans"/>
          <w:sz w:val="24"/>
          <w:szCs w:val="24"/>
        </w:rPr>
      </w:pPr>
      <w:r w:rsidRPr="00F04B6F">
        <w:rPr>
          <w:rFonts w:ascii="Open Sans" w:hAnsi="Open Sans" w:cs="Open Sans"/>
          <w:sz w:val="24"/>
          <w:szCs w:val="24"/>
        </w:rPr>
        <w:t>44% receive negative comments about working part-time or needing flexible work hours</w:t>
      </w:r>
    </w:p>
    <w:p w14:paraId="749138EB" w14:textId="6AF9882E" w:rsidR="00E8079D" w:rsidRPr="00554003" w:rsidRDefault="00E8079D" w:rsidP="00851753">
      <w:pPr>
        <w:pStyle w:val="ListParagraph"/>
        <w:numPr>
          <w:ilvl w:val="1"/>
          <w:numId w:val="5"/>
        </w:numPr>
        <w:rPr>
          <w:rFonts w:ascii="Open Sans" w:hAnsi="Open Sans" w:cs="Open Sans"/>
          <w:sz w:val="24"/>
          <w:szCs w:val="24"/>
        </w:rPr>
      </w:pPr>
      <w:r w:rsidRPr="00554003">
        <w:rPr>
          <w:rFonts w:ascii="Open Sans" w:hAnsi="Open Sans" w:cs="Open Sans"/>
          <w:sz w:val="24"/>
          <w:szCs w:val="24"/>
        </w:rPr>
        <w:t>27% are not provided with appropriate breastfeeding or expressing facilities.</w:t>
      </w:r>
      <w:r w:rsidRPr="00554003">
        <w:rPr>
          <w:rStyle w:val="EndnoteReference"/>
          <w:rFonts w:ascii="Open Sans" w:hAnsi="Open Sans" w:cs="Open Sans"/>
          <w:sz w:val="24"/>
          <w:szCs w:val="24"/>
        </w:rPr>
        <w:endnoteReference w:id="9"/>
      </w:r>
    </w:p>
    <w:p w14:paraId="44211045" w14:textId="24DC75B8" w:rsidR="00E8079D" w:rsidRPr="008A09F9" w:rsidRDefault="00E8079D" w:rsidP="00851753">
      <w:pPr>
        <w:pStyle w:val="Heading1"/>
        <w:rPr>
          <w:rFonts w:ascii="Open Sans" w:hAnsi="Open Sans" w:cs="Open Sans"/>
          <w:b/>
          <w:bCs/>
          <w:color w:val="auto"/>
          <w:sz w:val="36"/>
          <w:szCs w:val="36"/>
        </w:rPr>
      </w:pPr>
      <w:r w:rsidRPr="008A09F9">
        <w:rPr>
          <w:rFonts w:ascii="Open Sans" w:hAnsi="Open Sans" w:cs="Open Sans"/>
          <w:b/>
          <w:bCs/>
          <w:color w:val="auto"/>
          <w:sz w:val="36"/>
          <w:szCs w:val="36"/>
        </w:rPr>
        <w:t>Sexual harassment in the workplace</w:t>
      </w:r>
    </w:p>
    <w:p w14:paraId="2FACC1A4" w14:textId="46F9E281" w:rsidR="00E8079D" w:rsidRPr="00D10184" w:rsidRDefault="00E8079D" w:rsidP="00851753">
      <w:pPr>
        <w:pStyle w:val="ListParagraph"/>
        <w:numPr>
          <w:ilvl w:val="0"/>
          <w:numId w:val="6"/>
        </w:numPr>
        <w:rPr>
          <w:rFonts w:ascii="Open Sans" w:hAnsi="Open Sans" w:cs="Open Sans"/>
          <w:sz w:val="24"/>
          <w:szCs w:val="24"/>
        </w:rPr>
      </w:pPr>
      <w:r w:rsidRPr="00D10184">
        <w:rPr>
          <w:rFonts w:ascii="Open Sans" w:hAnsi="Open Sans" w:cs="Open Sans"/>
          <w:sz w:val="24"/>
          <w:szCs w:val="24"/>
        </w:rPr>
        <w:t>41% of women and 26% of men have experienced workplace sexual harassment in the past 5 years.</w:t>
      </w:r>
      <w:r w:rsidR="0011295B" w:rsidRPr="00D10184">
        <w:rPr>
          <w:rStyle w:val="EndnoteReference"/>
          <w:rFonts w:ascii="Open Sans" w:hAnsi="Open Sans" w:cs="Open Sans"/>
          <w:sz w:val="24"/>
          <w:szCs w:val="24"/>
        </w:rPr>
        <w:endnoteReference w:id="10"/>
      </w:r>
      <w:r w:rsidRPr="00D10184">
        <w:rPr>
          <w:rFonts w:ascii="Open Sans" w:hAnsi="Open Sans" w:cs="Open Sans"/>
          <w:sz w:val="24"/>
          <w:szCs w:val="24"/>
        </w:rPr>
        <w:br/>
        <w:t xml:space="preserve"> </w:t>
      </w:r>
    </w:p>
    <w:p w14:paraId="14044E31" w14:textId="2364C955" w:rsidR="00E8079D" w:rsidRPr="00D10184" w:rsidRDefault="00E8079D" w:rsidP="00851753">
      <w:pPr>
        <w:pStyle w:val="ListParagraph"/>
        <w:numPr>
          <w:ilvl w:val="0"/>
          <w:numId w:val="6"/>
        </w:numPr>
        <w:rPr>
          <w:rFonts w:ascii="Open Sans" w:hAnsi="Open Sans" w:cs="Open Sans"/>
          <w:sz w:val="24"/>
          <w:szCs w:val="24"/>
        </w:rPr>
      </w:pPr>
      <w:r w:rsidRPr="00D10184">
        <w:rPr>
          <w:rFonts w:ascii="Open Sans" w:hAnsi="Open Sans" w:cs="Open Sans"/>
          <w:sz w:val="24"/>
          <w:szCs w:val="24"/>
        </w:rPr>
        <w:t>70% of people with intersex variations have experienced sexual harassment in the past 5 years.</w:t>
      </w:r>
      <w:r w:rsidRPr="00D10184">
        <w:rPr>
          <w:rStyle w:val="EndnoteReference"/>
          <w:rFonts w:ascii="Open Sans" w:hAnsi="Open Sans" w:cs="Open Sans"/>
          <w:sz w:val="24"/>
          <w:szCs w:val="24"/>
        </w:rPr>
        <w:endnoteReference w:id="11"/>
      </w:r>
    </w:p>
    <w:p w14:paraId="2220F6C5" w14:textId="11C0DBBB" w:rsidR="00E8079D" w:rsidRPr="00D10184" w:rsidRDefault="00974872" w:rsidP="00851753">
      <w:pPr>
        <w:pStyle w:val="Heading1"/>
        <w:rPr>
          <w:rFonts w:ascii="Open Sans" w:hAnsi="Open Sans" w:cs="Open Sans"/>
          <w:b/>
          <w:bCs/>
          <w:color w:val="auto"/>
          <w:sz w:val="36"/>
          <w:szCs w:val="36"/>
        </w:rPr>
      </w:pPr>
      <w:r w:rsidRPr="00D10184">
        <w:rPr>
          <w:rFonts w:ascii="Open Sans" w:hAnsi="Open Sans" w:cs="Open Sans"/>
          <w:b/>
          <w:bCs/>
          <w:color w:val="auto"/>
          <w:sz w:val="36"/>
          <w:szCs w:val="36"/>
        </w:rPr>
        <w:t>Experiencing violence</w:t>
      </w:r>
    </w:p>
    <w:p w14:paraId="6A0490FF" w14:textId="77777777" w:rsidR="00A4612A" w:rsidRPr="00D10184" w:rsidRDefault="00A4612A" w:rsidP="00A4612A">
      <w:pPr>
        <w:pStyle w:val="ListParagraph"/>
        <w:numPr>
          <w:ilvl w:val="0"/>
          <w:numId w:val="9"/>
        </w:numPr>
        <w:rPr>
          <w:rFonts w:ascii="Open Sans" w:hAnsi="Open Sans" w:cs="Open Sans"/>
          <w:sz w:val="24"/>
          <w:szCs w:val="24"/>
        </w:rPr>
      </w:pPr>
      <w:r w:rsidRPr="00D10184">
        <w:rPr>
          <w:rFonts w:ascii="Open Sans" w:hAnsi="Open Sans" w:cs="Open Sans"/>
          <w:sz w:val="24"/>
          <w:szCs w:val="24"/>
        </w:rPr>
        <w:t>About 20% of adults (3.8 million) have experienced intimate partner or family violence since the age of 15, including:</w:t>
      </w:r>
    </w:p>
    <w:p w14:paraId="23F53DE6" w14:textId="77777777" w:rsidR="00A4612A" w:rsidRPr="00D10184" w:rsidRDefault="00A4612A" w:rsidP="00A4612A">
      <w:pPr>
        <w:pStyle w:val="ListParagraph"/>
        <w:numPr>
          <w:ilvl w:val="1"/>
          <w:numId w:val="9"/>
        </w:numPr>
        <w:rPr>
          <w:rFonts w:ascii="Open Sans" w:hAnsi="Open Sans" w:cs="Open Sans"/>
          <w:sz w:val="24"/>
          <w:szCs w:val="24"/>
        </w:rPr>
      </w:pPr>
      <w:r w:rsidRPr="00D10184">
        <w:rPr>
          <w:rFonts w:ascii="Open Sans" w:hAnsi="Open Sans" w:cs="Open Sans"/>
          <w:sz w:val="24"/>
          <w:szCs w:val="24"/>
        </w:rPr>
        <w:t>27% of women (2.7 million)</w:t>
      </w:r>
    </w:p>
    <w:p w14:paraId="391BCBE2" w14:textId="77123838" w:rsidR="00E8079D" w:rsidRPr="00D10184" w:rsidRDefault="00A4612A" w:rsidP="00A4612A">
      <w:pPr>
        <w:pStyle w:val="ListParagraph"/>
        <w:numPr>
          <w:ilvl w:val="1"/>
          <w:numId w:val="9"/>
        </w:numPr>
        <w:rPr>
          <w:rFonts w:ascii="Open Sans" w:hAnsi="Open Sans" w:cs="Open Sans"/>
          <w:sz w:val="24"/>
          <w:szCs w:val="24"/>
        </w:rPr>
      </w:pPr>
      <w:r w:rsidRPr="00D10184">
        <w:rPr>
          <w:rFonts w:ascii="Open Sans" w:hAnsi="Open Sans" w:cs="Open Sans"/>
          <w:sz w:val="24"/>
          <w:szCs w:val="24"/>
        </w:rPr>
        <w:t>12% of men (1.1 million)</w:t>
      </w:r>
      <w:r w:rsidR="00B93E20" w:rsidRPr="00D10184">
        <w:rPr>
          <w:rStyle w:val="EndnoteReference"/>
          <w:rFonts w:ascii="Open Sans" w:hAnsi="Open Sans" w:cs="Open Sans"/>
          <w:sz w:val="24"/>
          <w:szCs w:val="24"/>
        </w:rPr>
        <w:endnoteReference w:id="12"/>
      </w:r>
      <w:r w:rsidR="00E8079D" w:rsidRPr="00D10184">
        <w:rPr>
          <w:rFonts w:ascii="Open Sans" w:hAnsi="Open Sans" w:cs="Open Sans"/>
          <w:sz w:val="24"/>
          <w:szCs w:val="24"/>
        </w:rPr>
        <w:br/>
      </w:r>
    </w:p>
    <w:p w14:paraId="73FD7652" w14:textId="6E026E68" w:rsidR="00822D59" w:rsidRPr="005C347E" w:rsidRDefault="00E8079D" w:rsidP="005C347E">
      <w:pPr>
        <w:pStyle w:val="ListParagraph"/>
        <w:numPr>
          <w:ilvl w:val="0"/>
          <w:numId w:val="7"/>
        </w:numPr>
        <w:rPr>
          <w:rFonts w:ascii="Open Sans" w:hAnsi="Open Sans" w:cs="Open Sans"/>
          <w:sz w:val="24"/>
          <w:szCs w:val="24"/>
        </w:rPr>
      </w:pPr>
      <w:r w:rsidRPr="00D10184">
        <w:rPr>
          <w:rFonts w:ascii="Open Sans" w:hAnsi="Open Sans" w:cs="Open Sans"/>
          <w:sz w:val="24"/>
          <w:szCs w:val="24"/>
        </w:rPr>
        <w:t xml:space="preserve">A fear of being criminalised means First </w:t>
      </w:r>
      <w:r w:rsidR="00740C57">
        <w:rPr>
          <w:rFonts w:ascii="Open Sans" w:hAnsi="Open Sans" w:cs="Open Sans"/>
          <w:sz w:val="24"/>
          <w:szCs w:val="24"/>
        </w:rPr>
        <w:t>Peoples</w:t>
      </w:r>
      <w:r w:rsidRPr="00D10184">
        <w:rPr>
          <w:rFonts w:ascii="Open Sans" w:hAnsi="Open Sans" w:cs="Open Sans"/>
          <w:sz w:val="24"/>
          <w:szCs w:val="24"/>
        </w:rPr>
        <w:t xml:space="preserve"> women often do not report domestic and family violence. When </w:t>
      </w:r>
      <w:r w:rsidR="003B410C" w:rsidRPr="00D10184">
        <w:rPr>
          <w:rFonts w:ascii="Open Sans" w:hAnsi="Open Sans" w:cs="Open Sans"/>
          <w:sz w:val="24"/>
          <w:szCs w:val="24"/>
        </w:rPr>
        <w:t xml:space="preserve">First </w:t>
      </w:r>
      <w:r w:rsidR="00740C57">
        <w:rPr>
          <w:rFonts w:ascii="Open Sans" w:hAnsi="Open Sans" w:cs="Open Sans"/>
          <w:sz w:val="24"/>
          <w:szCs w:val="24"/>
        </w:rPr>
        <w:t>Peoples</w:t>
      </w:r>
      <w:r w:rsidRPr="00D10184">
        <w:rPr>
          <w:rFonts w:ascii="Open Sans" w:hAnsi="Open Sans" w:cs="Open Sans"/>
          <w:sz w:val="24"/>
          <w:szCs w:val="24"/>
        </w:rPr>
        <w:t xml:space="preserve"> women go to police or other services for help, they are often misidentified as perpetrators of violence.</w:t>
      </w:r>
      <w:r w:rsidR="00107EAC" w:rsidRPr="00D10184">
        <w:rPr>
          <w:rStyle w:val="EndnoteReference"/>
          <w:rFonts w:ascii="Open Sans" w:hAnsi="Open Sans" w:cs="Open Sans"/>
          <w:sz w:val="24"/>
          <w:szCs w:val="24"/>
        </w:rPr>
        <w:endnoteReference w:id="13"/>
      </w:r>
      <w:r w:rsidR="00974872" w:rsidRPr="005C347E">
        <w:rPr>
          <w:rFonts w:ascii="Open Sans" w:hAnsi="Open Sans" w:cs="Open Sans"/>
          <w:sz w:val="24"/>
          <w:szCs w:val="24"/>
        </w:rPr>
        <w:br/>
      </w:r>
    </w:p>
    <w:p w14:paraId="66B73DC8" w14:textId="1C6BA315" w:rsidR="00B70754" w:rsidRPr="00974872" w:rsidRDefault="00974872" w:rsidP="00822D59">
      <w:pPr>
        <w:pStyle w:val="ListParagraph"/>
        <w:numPr>
          <w:ilvl w:val="0"/>
          <w:numId w:val="12"/>
        </w:numPr>
        <w:rPr>
          <w:rFonts w:ascii="Open Sans" w:hAnsi="Open Sans" w:cs="Open Sans"/>
          <w:sz w:val="24"/>
          <w:szCs w:val="24"/>
        </w:rPr>
      </w:pPr>
      <w:r>
        <w:rPr>
          <w:rFonts w:ascii="Open Sans" w:hAnsi="Open Sans" w:cs="Open Sans"/>
          <w:sz w:val="24"/>
          <w:szCs w:val="24"/>
        </w:rPr>
        <w:t xml:space="preserve">Over 50% of trans and gender diverse people </w:t>
      </w:r>
      <w:r w:rsidR="004D363F" w:rsidRPr="7F6ABA48">
        <w:rPr>
          <w:rFonts w:ascii="Open Sans" w:hAnsi="Open Sans" w:cs="Open Sans"/>
          <w:sz w:val="24"/>
          <w:szCs w:val="24"/>
        </w:rPr>
        <w:t xml:space="preserve">who responded to a 2018 survey reported that they </w:t>
      </w:r>
      <w:r>
        <w:rPr>
          <w:rFonts w:ascii="Open Sans" w:hAnsi="Open Sans" w:cs="Open Sans"/>
          <w:sz w:val="24"/>
          <w:szCs w:val="24"/>
        </w:rPr>
        <w:t>ha</w:t>
      </w:r>
      <w:r w:rsidR="004D363F" w:rsidRPr="7F6ABA48">
        <w:rPr>
          <w:rFonts w:ascii="Open Sans" w:hAnsi="Open Sans" w:cs="Open Sans"/>
          <w:sz w:val="24"/>
          <w:szCs w:val="24"/>
        </w:rPr>
        <w:t>d</w:t>
      </w:r>
      <w:r>
        <w:rPr>
          <w:rFonts w:ascii="Open Sans" w:hAnsi="Open Sans" w:cs="Open Sans"/>
          <w:sz w:val="24"/>
          <w:szCs w:val="24"/>
        </w:rPr>
        <w:t xml:space="preserve"> been forced </w:t>
      </w:r>
      <w:r w:rsidR="00B12F64" w:rsidRPr="7F6ABA48">
        <w:rPr>
          <w:rFonts w:ascii="Open Sans" w:hAnsi="Open Sans" w:cs="Open Sans"/>
          <w:sz w:val="24"/>
          <w:szCs w:val="24"/>
        </w:rPr>
        <w:t xml:space="preserve">or frightened </w:t>
      </w:r>
      <w:r w:rsidR="00561305" w:rsidRPr="7F6ABA48">
        <w:rPr>
          <w:rFonts w:ascii="Open Sans" w:hAnsi="Open Sans" w:cs="Open Sans"/>
          <w:sz w:val="24"/>
          <w:szCs w:val="24"/>
        </w:rPr>
        <w:t>into doing something sexually that they did not want to do</w:t>
      </w:r>
      <w:r>
        <w:rPr>
          <w:rFonts w:ascii="Open Sans" w:hAnsi="Open Sans" w:cs="Open Sans"/>
          <w:sz w:val="24"/>
          <w:szCs w:val="24"/>
        </w:rPr>
        <w:t>.</w:t>
      </w:r>
      <w:r w:rsidR="00B91CD1">
        <w:rPr>
          <w:rStyle w:val="EndnoteReference"/>
          <w:rFonts w:ascii="Open Sans" w:hAnsi="Open Sans" w:cs="Open Sans"/>
          <w:sz w:val="24"/>
          <w:szCs w:val="24"/>
        </w:rPr>
        <w:endnoteReference w:id="14"/>
      </w:r>
      <w:r w:rsidR="00E8079D" w:rsidRPr="00822D59">
        <w:rPr>
          <w:rFonts w:ascii="Open Sans" w:hAnsi="Open Sans" w:cs="Open Sans"/>
          <w:sz w:val="24"/>
          <w:szCs w:val="24"/>
        </w:rPr>
        <w:br/>
      </w:r>
    </w:p>
    <w:p w14:paraId="5B93304E" w14:textId="5A801253" w:rsidR="00E8079D" w:rsidRPr="001E6A2F" w:rsidRDefault="005A1BEC" w:rsidP="00F8545A">
      <w:pPr>
        <w:pStyle w:val="ListParagraph"/>
        <w:numPr>
          <w:ilvl w:val="0"/>
          <w:numId w:val="8"/>
        </w:numPr>
        <w:rPr>
          <w:rFonts w:ascii="Open Sans" w:hAnsi="Open Sans" w:cs="Open Sans"/>
          <w:sz w:val="24"/>
          <w:szCs w:val="24"/>
        </w:rPr>
      </w:pPr>
      <w:r w:rsidRPr="7F6ABA48">
        <w:rPr>
          <w:rFonts w:ascii="Open Sans" w:hAnsi="Open Sans" w:cs="Open Sans"/>
          <w:sz w:val="24"/>
          <w:szCs w:val="24"/>
        </w:rPr>
        <w:t>In a 2019 study, 28% of culturally and linguistically diverse trans women reported having experienced sexual assault more than 10 times since age 16.</w:t>
      </w:r>
      <w:r w:rsidR="00E8079D" w:rsidRPr="00554003">
        <w:rPr>
          <w:rStyle w:val="EndnoteReference"/>
          <w:rFonts w:ascii="Open Sans" w:hAnsi="Open Sans" w:cs="Open Sans"/>
          <w:sz w:val="24"/>
          <w:szCs w:val="24"/>
        </w:rPr>
        <w:endnoteReference w:id="15"/>
      </w:r>
      <w:r w:rsidR="00E8079D" w:rsidRPr="001E6A2F">
        <w:rPr>
          <w:rFonts w:ascii="Open Sans" w:hAnsi="Open Sans" w:cs="Open Sans"/>
          <w:sz w:val="24"/>
          <w:szCs w:val="24"/>
        </w:rPr>
        <w:br/>
      </w:r>
    </w:p>
    <w:p w14:paraId="22415ED1" w14:textId="38AFFE12" w:rsidR="00E8079D" w:rsidRPr="00554003" w:rsidRDefault="00E8079D" w:rsidP="00F634AB">
      <w:pPr>
        <w:pStyle w:val="ListParagraph"/>
        <w:numPr>
          <w:ilvl w:val="0"/>
          <w:numId w:val="8"/>
        </w:numPr>
        <w:rPr>
          <w:rFonts w:ascii="Open Sans" w:hAnsi="Open Sans" w:cs="Open Sans"/>
          <w:sz w:val="24"/>
          <w:szCs w:val="24"/>
        </w:rPr>
      </w:pPr>
      <w:r w:rsidRPr="00554003">
        <w:rPr>
          <w:rFonts w:ascii="Open Sans" w:hAnsi="Open Sans" w:cs="Open Sans"/>
          <w:sz w:val="24"/>
          <w:szCs w:val="24"/>
        </w:rPr>
        <w:t xml:space="preserve">Women with disability in Australia are </w:t>
      </w:r>
      <w:r w:rsidR="00F85DD9">
        <w:rPr>
          <w:rFonts w:ascii="Open Sans" w:hAnsi="Open Sans" w:cs="Open Sans"/>
          <w:sz w:val="24"/>
          <w:szCs w:val="24"/>
        </w:rPr>
        <w:t>twice</w:t>
      </w:r>
      <w:r w:rsidRPr="00554003">
        <w:rPr>
          <w:rFonts w:ascii="Open Sans" w:hAnsi="Open Sans" w:cs="Open Sans"/>
          <w:sz w:val="24"/>
          <w:szCs w:val="24"/>
        </w:rPr>
        <w:t xml:space="preserve"> as likely to have experienced sexual violence since the age of 15 than women without disability.</w:t>
      </w:r>
      <w:r w:rsidRPr="00554003">
        <w:rPr>
          <w:rStyle w:val="EndnoteReference"/>
          <w:rFonts w:ascii="Open Sans" w:hAnsi="Open Sans" w:cs="Open Sans"/>
          <w:sz w:val="24"/>
          <w:szCs w:val="24"/>
        </w:rPr>
        <w:endnoteReference w:id="16"/>
      </w:r>
    </w:p>
    <w:p w14:paraId="32A3BC50" w14:textId="271C9D2E" w:rsidR="00E8079D" w:rsidRPr="008A09F9" w:rsidRDefault="00E8079D" w:rsidP="00F634AB">
      <w:pPr>
        <w:pStyle w:val="Heading1"/>
        <w:rPr>
          <w:rFonts w:ascii="Open Sans" w:hAnsi="Open Sans" w:cs="Open Sans"/>
          <w:b/>
          <w:bCs/>
          <w:color w:val="auto"/>
          <w:sz w:val="36"/>
          <w:szCs w:val="36"/>
        </w:rPr>
      </w:pPr>
      <w:r w:rsidRPr="008A09F9">
        <w:rPr>
          <w:rFonts w:ascii="Open Sans" w:hAnsi="Open Sans" w:cs="Open Sans"/>
          <w:b/>
          <w:bCs/>
          <w:color w:val="auto"/>
          <w:sz w:val="36"/>
          <w:szCs w:val="36"/>
        </w:rPr>
        <w:lastRenderedPageBreak/>
        <w:t>Health</w:t>
      </w:r>
    </w:p>
    <w:p w14:paraId="79519815" w14:textId="58930777" w:rsidR="001134DD" w:rsidRDefault="00702AFB" w:rsidP="00F634AB">
      <w:pPr>
        <w:pStyle w:val="ListParagraph"/>
        <w:numPr>
          <w:ilvl w:val="0"/>
          <w:numId w:val="10"/>
        </w:numPr>
        <w:rPr>
          <w:rFonts w:ascii="Open Sans" w:hAnsi="Open Sans" w:cs="Open Sans"/>
          <w:sz w:val="24"/>
          <w:szCs w:val="24"/>
        </w:rPr>
      </w:pPr>
      <w:r w:rsidRPr="00702AFB">
        <w:rPr>
          <w:rFonts w:ascii="Open Sans" w:hAnsi="Open Sans" w:cs="Open Sans"/>
          <w:sz w:val="24"/>
          <w:szCs w:val="24"/>
        </w:rPr>
        <w:t>Women, girls, and gender diverse people often face challenges when getting the right diagnosis and treatment for health issues.</w:t>
      </w:r>
      <w:r w:rsidR="00975556">
        <w:rPr>
          <w:rStyle w:val="EndnoteReference"/>
          <w:rFonts w:ascii="Open Sans" w:hAnsi="Open Sans" w:cs="Open Sans"/>
          <w:sz w:val="24"/>
          <w:szCs w:val="24"/>
        </w:rPr>
        <w:endnoteReference w:id="17"/>
      </w:r>
    </w:p>
    <w:p w14:paraId="223DBC78" w14:textId="77777777" w:rsidR="00BC1207" w:rsidRDefault="00BC1207" w:rsidP="00BC1207">
      <w:pPr>
        <w:pStyle w:val="ListParagraph"/>
        <w:rPr>
          <w:rFonts w:ascii="Open Sans" w:hAnsi="Open Sans" w:cs="Open Sans"/>
          <w:sz w:val="24"/>
          <w:szCs w:val="24"/>
        </w:rPr>
      </w:pPr>
    </w:p>
    <w:p w14:paraId="01380D36" w14:textId="1D492EAE" w:rsidR="00D658A3" w:rsidRPr="00554003" w:rsidRDefault="00D658A3" w:rsidP="00F634AB">
      <w:pPr>
        <w:pStyle w:val="ListParagraph"/>
        <w:numPr>
          <w:ilvl w:val="0"/>
          <w:numId w:val="10"/>
        </w:numPr>
        <w:rPr>
          <w:rFonts w:ascii="Open Sans" w:hAnsi="Open Sans" w:cs="Open Sans"/>
          <w:sz w:val="24"/>
          <w:szCs w:val="24"/>
        </w:rPr>
      </w:pPr>
      <w:r w:rsidRPr="7F6ABA48">
        <w:rPr>
          <w:rFonts w:ascii="Open Sans" w:hAnsi="Open Sans" w:cs="Open Sans"/>
          <w:sz w:val="24"/>
          <w:szCs w:val="24"/>
        </w:rPr>
        <w:t>A 2021 survey showed a</w:t>
      </w:r>
      <w:r w:rsidRPr="00554003">
        <w:rPr>
          <w:rFonts w:ascii="Open Sans" w:hAnsi="Open Sans" w:cs="Open Sans"/>
          <w:sz w:val="24"/>
          <w:szCs w:val="24"/>
        </w:rPr>
        <w:t>lmost 1 in 3 women aged 15 to 34 years ha</w:t>
      </w:r>
      <w:r w:rsidRPr="7F6ABA48">
        <w:rPr>
          <w:rFonts w:ascii="Open Sans" w:hAnsi="Open Sans" w:cs="Open Sans"/>
          <w:sz w:val="24"/>
          <w:szCs w:val="24"/>
        </w:rPr>
        <w:t>d</w:t>
      </w:r>
      <w:r w:rsidRPr="00554003">
        <w:rPr>
          <w:rFonts w:ascii="Open Sans" w:hAnsi="Open Sans" w:cs="Open Sans"/>
          <w:sz w:val="24"/>
          <w:szCs w:val="24"/>
        </w:rPr>
        <w:t xml:space="preserve"> been diagnosed with depression or anxiety.</w:t>
      </w:r>
      <w:r w:rsidRPr="00554003">
        <w:rPr>
          <w:rStyle w:val="EndnoteReference"/>
          <w:rFonts w:ascii="Open Sans" w:hAnsi="Open Sans" w:cs="Open Sans"/>
          <w:sz w:val="24"/>
          <w:szCs w:val="24"/>
        </w:rPr>
        <w:endnoteReference w:id="18"/>
      </w:r>
    </w:p>
    <w:p w14:paraId="217A8A3C" w14:textId="50E188B9" w:rsidR="00E8079D" w:rsidRPr="008A09F9" w:rsidRDefault="00E8079D" w:rsidP="00F634AB">
      <w:pPr>
        <w:pStyle w:val="Heading1"/>
        <w:rPr>
          <w:rFonts w:ascii="Open Sans" w:hAnsi="Open Sans" w:cs="Open Sans"/>
          <w:b/>
          <w:bCs/>
          <w:color w:val="auto"/>
          <w:sz w:val="36"/>
          <w:szCs w:val="36"/>
        </w:rPr>
      </w:pPr>
      <w:r w:rsidRPr="008A09F9">
        <w:rPr>
          <w:rFonts w:ascii="Open Sans" w:hAnsi="Open Sans" w:cs="Open Sans"/>
          <w:b/>
          <w:bCs/>
          <w:color w:val="auto"/>
          <w:sz w:val="36"/>
          <w:szCs w:val="36"/>
        </w:rPr>
        <w:t>Gender attitudes and stereotypes</w:t>
      </w:r>
    </w:p>
    <w:p w14:paraId="7BA7FF17" w14:textId="6F85F455" w:rsidR="00E8079D" w:rsidRPr="00D10184" w:rsidRDefault="00E8079D" w:rsidP="001B05AA">
      <w:pPr>
        <w:pStyle w:val="ListParagraph"/>
        <w:numPr>
          <w:ilvl w:val="0"/>
          <w:numId w:val="10"/>
        </w:numPr>
        <w:rPr>
          <w:rFonts w:ascii="Open Sans" w:hAnsi="Open Sans" w:cs="Open Sans"/>
          <w:sz w:val="24"/>
          <w:szCs w:val="24"/>
        </w:rPr>
      </w:pPr>
      <w:r w:rsidRPr="00D10184">
        <w:rPr>
          <w:rFonts w:ascii="Open Sans" w:hAnsi="Open Sans" w:cs="Open Sans"/>
          <w:sz w:val="24"/>
          <w:szCs w:val="24"/>
        </w:rPr>
        <w:t>1 in 3 Australians hold a negative bias about women’s ability to participate fully economically, politically or in education.</w:t>
      </w:r>
      <w:r w:rsidRPr="00D10184">
        <w:rPr>
          <w:rStyle w:val="EndnoteReference"/>
          <w:rFonts w:ascii="Open Sans" w:hAnsi="Open Sans" w:cs="Open Sans"/>
          <w:sz w:val="24"/>
          <w:szCs w:val="24"/>
        </w:rPr>
        <w:endnoteReference w:id="19"/>
      </w:r>
      <w:r w:rsidR="000C24BA" w:rsidRPr="00D10184">
        <w:rPr>
          <w:rFonts w:ascii="Open Sans" w:hAnsi="Open Sans" w:cs="Open Sans"/>
          <w:sz w:val="24"/>
          <w:szCs w:val="24"/>
        </w:rPr>
        <w:br/>
      </w:r>
    </w:p>
    <w:p w14:paraId="3D1AC9E6" w14:textId="106C8BCE" w:rsidR="000C24BA" w:rsidRPr="00D10184" w:rsidRDefault="00B81D4E" w:rsidP="00E8079D">
      <w:pPr>
        <w:pStyle w:val="ListParagraph"/>
        <w:numPr>
          <w:ilvl w:val="0"/>
          <w:numId w:val="10"/>
        </w:numPr>
        <w:rPr>
          <w:rFonts w:ascii="Open Sans" w:hAnsi="Open Sans" w:cs="Open Sans"/>
          <w:sz w:val="24"/>
          <w:szCs w:val="24"/>
        </w:rPr>
      </w:pPr>
      <w:r w:rsidRPr="00B81D4E">
        <w:rPr>
          <w:rFonts w:ascii="Open Sans" w:hAnsi="Open Sans" w:cs="Open Sans"/>
          <w:sz w:val="24"/>
          <w:szCs w:val="24"/>
        </w:rPr>
        <w:t>Expressing gender outside traditional categories can result in experiencing violence, discrimination, stigma and exclusion. This is true for cisgender people as well as for trans and gender diverse people</w:t>
      </w:r>
      <w:r w:rsidR="00EE6FC1" w:rsidRPr="00D10184">
        <w:rPr>
          <w:rFonts w:ascii="Open Sans" w:hAnsi="Open Sans" w:cs="Open Sans"/>
          <w:sz w:val="24"/>
          <w:szCs w:val="24"/>
        </w:rPr>
        <w:t>.</w:t>
      </w:r>
      <w:r w:rsidR="00883E29" w:rsidRPr="00D10184">
        <w:rPr>
          <w:rStyle w:val="EndnoteReference"/>
          <w:rFonts w:ascii="Open Sans" w:hAnsi="Open Sans" w:cs="Open Sans"/>
          <w:sz w:val="24"/>
          <w:szCs w:val="24"/>
        </w:rPr>
        <w:endnoteReference w:id="20"/>
      </w:r>
    </w:p>
    <w:p w14:paraId="47E02D01" w14:textId="77777777" w:rsidR="008A09F9" w:rsidRPr="008A09F9" w:rsidRDefault="008A09F9" w:rsidP="008A09F9">
      <w:pPr>
        <w:pStyle w:val="Heading2"/>
        <w:rPr>
          <w:rFonts w:ascii="Open Sans" w:hAnsi="Open Sans" w:cs="Open Sans"/>
          <w:b/>
          <w:bCs/>
          <w:color w:val="auto"/>
          <w:sz w:val="36"/>
          <w:szCs w:val="36"/>
        </w:rPr>
      </w:pPr>
      <w:r w:rsidRPr="008A09F9">
        <w:rPr>
          <w:rFonts w:ascii="Open Sans" w:hAnsi="Open Sans" w:cs="Open Sans"/>
          <w:b/>
          <w:bCs/>
          <w:color w:val="auto"/>
          <w:sz w:val="36"/>
          <w:szCs w:val="36"/>
        </w:rPr>
        <w:t>Suggested citation</w:t>
      </w:r>
    </w:p>
    <w:p w14:paraId="34521C76" w14:textId="32BA9BC3" w:rsidR="008A09F9" w:rsidRPr="008A09F9" w:rsidRDefault="008A09F9" w:rsidP="008A09F9">
      <w:pPr>
        <w:rPr>
          <w:rFonts w:ascii="Open Sans" w:hAnsi="Open Sans" w:cs="Open Sans"/>
          <w:sz w:val="24"/>
          <w:szCs w:val="24"/>
        </w:rPr>
      </w:pPr>
      <w:r w:rsidRPr="008A09F9">
        <w:rPr>
          <w:rFonts w:ascii="Open Sans" w:hAnsi="Open Sans" w:cs="Open Sans"/>
          <w:sz w:val="24"/>
          <w:szCs w:val="24"/>
        </w:rPr>
        <w:t>Suggested citation: Australian Human Rights Commission. (2025). Stats &amp; Facts: Gender Equality.</w:t>
      </w:r>
    </w:p>
    <w:sectPr w:rsidR="008A09F9" w:rsidRPr="008A09F9">
      <w:headerReference w:type="default" r:id="rId14"/>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D66D" w14:textId="77777777" w:rsidR="00DB6A93" w:rsidRDefault="00DB6A93" w:rsidP="00274F64">
      <w:pPr>
        <w:spacing w:after="0" w:line="240" w:lineRule="auto"/>
      </w:pPr>
      <w:r>
        <w:separator/>
      </w:r>
    </w:p>
  </w:endnote>
  <w:endnote w:type="continuationSeparator" w:id="0">
    <w:p w14:paraId="6DECD062" w14:textId="77777777" w:rsidR="00DB6A93" w:rsidRDefault="00DB6A93" w:rsidP="00274F64">
      <w:pPr>
        <w:spacing w:after="0" w:line="240" w:lineRule="auto"/>
      </w:pPr>
      <w:r>
        <w:continuationSeparator/>
      </w:r>
    </w:p>
  </w:endnote>
  <w:endnote w:type="continuationNotice" w:id="1">
    <w:p w14:paraId="61ED9373" w14:textId="77777777" w:rsidR="00DB6A93" w:rsidRDefault="00DB6A93">
      <w:pPr>
        <w:spacing w:after="0" w:line="240" w:lineRule="auto"/>
      </w:pPr>
    </w:p>
  </w:endnote>
  <w:endnote w:id="2">
    <w:p w14:paraId="2FE3FCBF" w14:textId="72A68108" w:rsidR="00E8079D" w:rsidRPr="00B37422" w:rsidRDefault="00E8079D" w:rsidP="00274F64">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B963E5" w:rsidRPr="00B963E5">
        <w:rPr>
          <w:rFonts w:ascii="Open Sans" w:hAnsi="Open Sans" w:cs="Open Sans"/>
          <w:sz w:val="22"/>
          <w:szCs w:val="22"/>
        </w:rPr>
        <w:t>Workplace Gender Equality Agency. (202</w:t>
      </w:r>
      <w:r w:rsidR="00CE7838">
        <w:rPr>
          <w:rFonts w:ascii="Open Sans" w:hAnsi="Open Sans" w:cs="Open Sans"/>
          <w:sz w:val="22"/>
          <w:szCs w:val="22"/>
        </w:rPr>
        <w:t>4</w:t>
      </w:r>
      <w:r w:rsidR="00B963E5" w:rsidRPr="00B963E5">
        <w:rPr>
          <w:rFonts w:ascii="Open Sans" w:hAnsi="Open Sans" w:cs="Open Sans"/>
          <w:sz w:val="22"/>
          <w:szCs w:val="22"/>
        </w:rPr>
        <w:t xml:space="preserve">). </w:t>
      </w:r>
      <w:hyperlink r:id="rId1" w:history="1">
        <w:r w:rsidR="00B963E5" w:rsidRPr="00B963E5">
          <w:rPr>
            <w:rStyle w:val="Hyperlink"/>
            <w:rFonts w:ascii="Open Sans" w:hAnsi="Open Sans" w:cs="Open Sans"/>
            <w:i/>
            <w:iCs/>
            <w:sz w:val="22"/>
            <w:szCs w:val="22"/>
          </w:rPr>
          <w:t>Australia’s Gender Equality Scorecard 2023-24</w:t>
        </w:r>
      </w:hyperlink>
      <w:r w:rsidR="00B963E5" w:rsidRPr="00B963E5">
        <w:rPr>
          <w:rFonts w:ascii="Open Sans" w:hAnsi="Open Sans" w:cs="Open Sans"/>
          <w:sz w:val="22"/>
          <w:szCs w:val="22"/>
        </w:rPr>
        <w:t>, p. 16.</w:t>
      </w:r>
      <w:r w:rsidR="007C2EC2">
        <w:rPr>
          <w:rFonts w:ascii="Open Sans" w:hAnsi="Open Sans" w:cs="Open Sans"/>
          <w:sz w:val="22"/>
          <w:szCs w:val="22"/>
        </w:rPr>
        <w:br/>
      </w:r>
      <w:r w:rsidR="007C2EC2" w:rsidRPr="007C2EC2">
        <w:rPr>
          <w:rFonts w:ascii="Open Sans" w:hAnsi="Open Sans" w:cs="Open Sans"/>
          <w:sz w:val="22"/>
          <w:szCs w:val="22"/>
        </w:rPr>
        <w:t>The gender pay gap is the difference between the average or median remuneration of men and the average or median remuneration of women, expressed as a percentage of men’s remuneration.</w:t>
      </w:r>
      <w:r w:rsidR="00483EF1">
        <w:rPr>
          <w:rFonts w:ascii="Open Sans" w:hAnsi="Open Sans" w:cs="Open Sans"/>
          <w:sz w:val="22"/>
          <w:szCs w:val="22"/>
        </w:rPr>
        <w:t xml:space="preserve"> </w:t>
      </w:r>
      <w:r w:rsidR="00483EF1" w:rsidRPr="00B37422">
        <w:rPr>
          <w:rFonts w:ascii="Open Sans" w:hAnsi="Open Sans" w:cs="Open Sans"/>
          <w:sz w:val="22"/>
          <w:szCs w:val="22"/>
        </w:rPr>
        <w:t>This data includes base salary, overtime, bonuses, additional payments, and the annualised full time equivalent salaries of casual and part time workers.</w:t>
      </w:r>
      <w:r w:rsidR="00BA174D" w:rsidRPr="00B37422">
        <w:rPr>
          <w:rFonts w:ascii="Open Sans" w:hAnsi="Open Sans" w:cs="Open Sans"/>
          <w:sz w:val="22"/>
          <w:szCs w:val="22"/>
        </w:rPr>
        <w:t xml:space="preserve"> </w:t>
      </w:r>
      <w:r w:rsidRPr="00B37422">
        <w:rPr>
          <w:rFonts w:ascii="Open Sans" w:hAnsi="Open Sans" w:cs="Open Sans"/>
          <w:sz w:val="22"/>
          <w:szCs w:val="22"/>
        </w:rPr>
        <w:br/>
      </w:r>
    </w:p>
  </w:endnote>
  <w:endnote w:id="3">
    <w:p w14:paraId="4DA95D48" w14:textId="448ED9C9" w:rsidR="002E6456" w:rsidRPr="00B37422" w:rsidRDefault="002E6456">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DD6F0C" w:rsidRPr="00B37422">
        <w:rPr>
          <w:rFonts w:ascii="Open Sans" w:hAnsi="Open Sans" w:cs="Open Sans"/>
          <w:sz w:val="22"/>
          <w:szCs w:val="22"/>
        </w:rPr>
        <w:t xml:space="preserve">Workplace Gender Equality Agency. (n.d.) </w:t>
      </w:r>
      <w:hyperlink r:id="rId2" w:history="1">
        <w:r w:rsidR="00DD6F0C" w:rsidRPr="00B37422">
          <w:rPr>
            <w:rStyle w:val="Hyperlink"/>
            <w:rFonts w:ascii="Open Sans" w:hAnsi="Open Sans" w:cs="Open Sans"/>
            <w:i/>
            <w:iCs/>
            <w:sz w:val="22"/>
            <w:szCs w:val="22"/>
          </w:rPr>
          <w:t>Gender equality and intersecting forms of diversity</w:t>
        </w:r>
      </w:hyperlink>
      <w:r w:rsidR="00DD6F0C" w:rsidRPr="00B37422">
        <w:rPr>
          <w:rFonts w:ascii="Open Sans" w:hAnsi="Open Sans" w:cs="Open Sans"/>
          <w:sz w:val="22"/>
          <w:szCs w:val="22"/>
        </w:rPr>
        <w:t>. Australian Government, Workplace Gender Equality Agency.</w:t>
      </w:r>
      <w:r w:rsidR="00563A66" w:rsidRPr="00B37422">
        <w:rPr>
          <w:rFonts w:ascii="Open Sans" w:hAnsi="Open Sans" w:cs="Open Sans"/>
          <w:sz w:val="22"/>
          <w:szCs w:val="22"/>
        </w:rPr>
        <w:t xml:space="preserve"> W</w:t>
      </w:r>
      <w:r w:rsidR="00DD6F0C" w:rsidRPr="00B37422">
        <w:rPr>
          <w:rFonts w:ascii="Open Sans" w:hAnsi="Open Sans" w:cs="Open Sans"/>
          <w:sz w:val="22"/>
          <w:szCs w:val="22"/>
        </w:rPr>
        <w:t>omen: 47.3%</w:t>
      </w:r>
      <w:r w:rsidR="00563A66" w:rsidRPr="00B37422">
        <w:rPr>
          <w:rFonts w:ascii="Open Sans" w:hAnsi="Open Sans" w:cs="Open Sans"/>
          <w:sz w:val="22"/>
          <w:szCs w:val="22"/>
        </w:rPr>
        <w:t>.</w:t>
      </w:r>
      <w:r w:rsidR="00DD6F0C" w:rsidRPr="00B37422">
        <w:rPr>
          <w:rFonts w:ascii="Open Sans" w:hAnsi="Open Sans" w:cs="Open Sans"/>
          <w:sz w:val="22"/>
          <w:szCs w:val="22"/>
        </w:rPr>
        <w:t xml:space="preserve"> </w:t>
      </w:r>
      <w:r w:rsidR="00563A66" w:rsidRPr="00B37422">
        <w:rPr>
          <w:rFonts w:ascii="Open Sans" w:hAnsi="Open Sans" w:cs="Open Sans"/>
          <w:sz w:val="22"/>
          <w:szCs w:val="22"/>
        </w:rPr>
        <w:t>M</w:t>
      </w:r>
      <w:r w:rsidR="00DD6F0C" w:rsidRPr="00B37422">
        <w:rPr>
          <w:rFonts w:ascii="Open Sans" w:hAnsi="Open Sans" w:cs="Open Sans"/>
          <w:sz w:val="22"/>
          <w:szCs w:val="22"/>
        </w:rPr>
        <w:t>en: 69.5%</w:t>
      </w:r>
      <w:r w:rsidR="007032EA">
        <w:rPr>
          <w:rFonts w:ascii="Open Sans" w:hAnsi="Open Sans" w:cs="Open Sans"/>
          <w:sz w:val="22"/>
          <w:szCs w:val="22"/>
        </w:rPr>
        <w:t>.</w:t>
      </w:r>
      <w:r w:rsidR="00DD6F0C" w:rsidRPr="00B37422">
        <w:rPr>
          <w:rFonts w:ascii="Open Sans" w:hAnsi="Open Sans" w:cs="Open Sans"/>
          <w:sz w:val="22"/>
          <w:szCs w:val="22"/>
        </w:rPr>
        <w:br/>
      </w:r>
    </w:p>
  </w:endnote>
  <w:endnote w:id="4">
    <w:p w14:paraId="72B6F514" w14:textId="512F04C0" w:rsidR="00E8079D" w:rsidRPr="00B37422" w:rsidRDefault="00E8079D" w:rsidP="00274F64">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w:t>
      </w:r>
      <w:r w:rsidR="007032EA" w:rsidRPr="00B37422">
        <w:rPr>
          <w:rFonts w:ascii="Open Sans" w:hAnsi="Open Sans" w:cs="Open Sans"/>
        </w:rPr>
        <w:t xml:space="preserve">Workplace Gender Equality Agency. (n.d.) </w:t>
      </w:r>
      <w:hyperlink r:id="rId3" w:history="1">
        <w:r w:rsidR="007032EA" w:rsidRPr="00B37422">
          <w:rPr>
            <w:rStyle w:val="Hyperlink"/>
            <w:rFonts w:ascii="Open Sans" w:hAnsi="Open Sans" w:cs="Open Sans"/>
            <w:i/>
            <w:iCs/>
          </w:rPr>
          <w:t>Gender equality and intersecting forms of diversity</w:t>
        </w:r>
      </w:hyperlink>
      <w:r w:rsidR="007032EA" w:rsidRPr="00B37422">
        <w:rPr>
          <w:rFonts w:ascii="Open Sans" w:hAnsi="Open Sans" w:cs="Open Sans"/>
        </w:rPr>
        <w:t>. Australian Government, Workplace Gender Equality Agency.</w:t>
      </w:r>
    </w:p>
  </w:endnote>
  <w:endnote w:id="5">
    <w:p w14:paraId="5C78E4D1" w14:textId="40009688" w:rsidR="00AC5384" w:rsidRPr="00B37422" w:rsidRDefault="00AC5384">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DC55EA" w:rsidRPr="00B37422">
        <w:rPr>
          <w:rFonts w:ascii="Open Sans" w:hAnsi="Open Sans" w:cs="Open Sans"/>
          <w:sz w:val="22"/>
          <w:szCs w:val="22"/>
        </w:rPr>
        <w:t xml:space="preserve">Workplace Gender Equality Agency. (2023). </w:t>
      </w:r>
      <w:hyperlink r:id="rId4" w:history="1">
        <w:r w:rsidR="00DC55EA" w:rsidRPr="00B37422">
          <w:rPr>
            <w:rStyle w:val="Hyperlink"/>
            <w:rFonts w:ascii="Open Sans" w:hAnsi="Open Sans" w:cs="Open Sans"/>
            <w:i/>
            <w:iCs/>
            <w:sz w:val="22"/>
            <w:szCs w:val="22"/>
          </w:rPr>
          <w:t>Australia’s Gender Equality Scorecard 2022-23</w:t>
        </w:r>
      </w:hyperlink>
      <w:r w:rsidR="00112758">
        <w:rPr>
          <w:rFonts w:ascii="Open Sans" w:hAnsi="Open Sans" w:cs="Open Sans"/>
          <w:sz w:val="22"/>
          <w:szCs w:val="22"/>
        </w:rPr>
        <w:t>.</w:t>
      </w:r>
      <w:r w:rsidR="00DC55EA" w:rsidRPr="00B37422">
        <w:rPr>
          <w:rFonts w:ascii="Open Sans" w:hAnsi="Open Sans" w:cs="Open Sans"/>
          <w:sz w:val="22"/>
          <w:szCs w:val="22"/>
        </w:rPr>
        <w:t xml:space="preserve"> p. 7.</w:t>
      </w:r>
      <w:r w:rsidR="00A75E91">
        <w:rPr>
          <w:rFonts w:ascii="Open Sans" w:hAnsi="Open Sans" w:cs="Open Sans"/>
          <w:sz w:val="22"/>
          <w:szCs w:val="22"/>
        </w:rPr>
        <w:br/>
      </w:r>
      <w:r w:rsidR="00A75E91" w:rsidRPr="00A75E91">
        <w:rPr>
          <w:rFonts w:ascii="Open Sans" w:hAnsi="Open Sans" w:cs="Open Sans"/>
          <w:sz w:val="22"/>
          <w:szCs w:val="22"/>
        </w:rPr>
        <w:t xml:space="preserve">Workplace Gender Equality Agency. (2024). </w:t>
      </w:r>
      <w:hyperlink r:id="rId5" w:history="1">
        <w:r w:rsidR="00A75E91" w:rsidRPr="00A75E91">
          <w:rPr>
            <w:rStyle w:val="Hyperlink"/>
            <w:rFonts w:ascii="Open Sans" w:hAnsi="Open Sans" w:cs="Open Sans"/>
            <w:i/>
            <w:iCs/>
            <w:sz w:val="22"/>
            <w:szCs w:val="22"/>
          </w:rPr>
          <w:t>Australia’s Gender Equality Scorecard 2023-24</w:t>
        </w:r>
      </w:hyperlink>
      <w:r w:rsidR="00A75E91" w:rsidRPr="00A75E91">
        <w:rPr>
          <w:rFonts w:ascii="Open Sans" w:hAnsi="Open Sans" w:cs="Open Sans"/>
          <w:sz w:val="22"/>
          <w:szCs w:val="22"/>
        </w:rPr>
        <w:t>, p. 24, 39.</w:t>
      </w:r>
      <w:r w:rsidR="00DC55EA" w:rsidRPr="00B37422">
        <w:rPr>
          <w:rFonts w:ascii="Open Sans" w:hAnsi="Open Sans" w:cs="Open Sans"/>
          <w:sz w:val="22"/>
          <w:szCs w:val="22"/>
        </w:rPr>
        <w:br/>
      </w:r>
    </w:p>
  </w:endnote>
  <w:endnote w:id="6">
    <w:p w14:paraId="7D283D14" w14:textId="1D0B0F58"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112758" w:rsidRPr="00B37422">
        <w:rPr>
          <w:rFonts w:ascii="Open Sans" w:hAnsi="Open Sans" w:cs="Open Sans"/>
          <w:sz w:val="22"/>
          <w:szCs w:val="22"/>
        </w:rPr>
        <w:t xml:space="preserve">Workplace Gender Equality Agency. (2023). </w:t>
      </w:r>
      <w:hyperlink r:id="rId6" w:history="1">
        <w:r w:rsidR="00112758" w:rsidRPr="00B37422">
          <w:rPr>
            <w:rStyle w:val="Hyperlink"/>
            <w:rFonts w:ascii="Open Sans" w:hAnsi="Open Sans" w:cs="Open Sans"/>
            <w:i/>
            <w:iCs/>
            <w:sz w:val="22"/>
            <w:szCs w:val="22"/>
          </w:rPr>
          <w:t>Australia’s Gender Equality Scorecard 2022-23</w:t>
        </w:r>
      </w:hyperlink>
      <w:r w:rsidR="00112758">
        <w:rPr>
          <w:rFonts w:ascii="Open Sans" w:hAnsi="Open Sans" w:cs="Open Sans"/>
          <w:sz w:val="22"/>
          <w:szCs w:val="22"/>
        </w:rPr>
        <w:t>.</w:t>
      </w:r>
      <w:r w:rsidR="00112758" w:rsidRPr="00B37422">
        <w:rPr>
          <w:rFonts w:ascii="Open Sans" w:hAnsi="Open Sans" w:cs="Open Sans"/>
          <w:sz w:val="22"/>
          <w:szCs w:val="22"/>
        </w:rPr>
        <w:t xml:space="preserve"> </w:t>
      </w:r>
      <w:r w:rsidRPr="00B37422">
        <w:rPr>
          <w:rFonts w:ascii="Open Sans" w:hAnsi="Open Sans" w:cs="Open Sans"/>
          <w:sz w:val="22"/>
          <w:szCs w:val="22"/>
        </w:rPr>
        <w:t>p. 31 – 32.</w:t>
      </w:r>
      <w:r w:rsidR="00E50F56">
        <w:rPr>
          <w:rFonts w:ascii="Open Sans" w:hAnsi="Open Sans" w:cs="Open Sans"/>
          <w:sz w:val="22"/>
          <w:szCs w:val="22"/>
        </w:rPr>
        <w:br/>
      </w:r>
      <w:r w:rsidR="00E50F56" w:rsidRPr="00A75E91">
        <w:rPr>
          <w:rFonts w:ascii="Open Sans" w:hAnsi="Open Sans" w:cs="Open Sans"/>
          <w:sz w:val="22"/>
          <w:szCs w:val="22"/>
        </w:rPr>
        <w:t xml:space="preserve">Workplace Gender Equality Agency. (2024). </w:t>
      </w:r>
      <w:hyperlink r:id="rId7" w:history="1">
        <w:r w:rsidR="00E50F56" w:rsidRPr="00A75E91">
          <w:rPr>
            <w:rStyle w:val="Hyperlink"/>
            <w:rFonts w:ascii="Open Sans" w:hAnsi="Open Sans" w:cs="Open Sans"/>
            <w:i/>
            <w:iCs/>
            <w:sz w:val="22"/>
            <w:szCs w:val="22"/>
          </w:rPr>
          <w:t>Australia’s Gender Equality Scorecard 2023-24</w:t>
        </w:r>
      </w:hyperlink>
      <w:r w:rsidR="00E50F56" w:rsidRPr="00A75E91">
        <w:rPr>
          <w:rFonts w:ascii="Open Sans" w:hAnsi="Open Sans" w:cs="Open Sans"/>
          <w:sz w:val="22"/>
          <w:szCs w:val="22"/>
        </w:rPr>
        <w:t>, p. 24, 39.</w:t>
      </w:r>
      <w:r w:rsidR="00F65E5C" w:rsidRPr="00B37422">
        <w:rPr>
          <w:rFonts w:ascii="Open Sans" w:hAnsi="Open Sans" w:cs="Open Sans"/>
          <w:sz w:val="22"/>
          <w:szCs w:val="22"/>
        </w:rPr>
        <w:br/>
      </w:r>
    </w:p>
  </w:endnote>
  <w:endnote w:id="7">
    <w:p w14:paraId="7793ABCC" w14:textId="1DE437C4"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hAnsi="Open Sans" w:cs="Open Sans"/>
          <w:color w:val="000000"/>
          <w:sz w:val="22"/>
          <w:szCs w:val="22"/>
          <w:shd w:val="clear" w:color="auto" w:fill="FFFFFF"/>
        </w:rPr>
        <w:t xml:space="preserve">Australian Bureau of Statistics. (2022, October 7). </w:t>
      </w:r>
      <w:hyperlink r:id="rId8" w:history="1">
        <w:r w:rsidRPr="00B37422">
          <w:rPr>
            <w:rStyle w:val="Hyperlink"/>
            <w:rFonts w:ascii="Open Sans" w:hAnsi="Open Sans" w:cs="Open Sans"/>
            <w:i/>
            <w:iCs/>
            <w:sz w:val="22"/>
            <w:szCs w:val="22"/>
            <w:shd w:val="clear" w:color="auto" w:fill="FFFFFF"/>
          </w:rPr>
          <w:t>How Australians Use Their Time</w:t>
        </w:r>
      </w:hyperlink>
      <w:r w:rsidRPr="00B37422">
        <w:rPr>
          <w:rFonts w:ascii="Open Sans" w:hAnsi="Open Sans" w:cs="Open Sans"/>
          <w:color w:val="000000"/>
          <w:sz w:val="22"/>
          <w:szCs w:val="22"/>
          <w:shd w:val="clear" w:color="auto" w:fill="FFFFFF"/>
        </w:rPr>
        <w:t>.</w:t>
      </w:r>
      <w:r w:rsidRPr="00B37422">
        <w:rPr>
          <w:rFonts w:ascii="Open Sans" w:hAnsi="Open Sans" w:cs="Open Sans"/>
          <w:color w:val="000000"/>
          <w:sz w:val="22"/>
          <w:szCs w:val="22"/>
          <w:shd w:val="clear" w:color="auto" w:fill="FFFFFF"/>
        </w:rPr>
        <w:br/>
      </w:r>
    </w:p>
  </w:endnote>
  <w:endnote w:id="8">
    <w:p w14:paraId="1B39720D" w14:textId="1C0D048C"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hAnsi="Open Sans" w:cs="Open Sans"/>
          <w:color w:val="000000"/>
          <w:sz w:val="22"/>
          <w:szCs w:val="22"/>
          <w:shd w:val="clear" w:color="auto" w:fill="FFFFFF"/>
        </w:rPr>
        <w:t xml:space="preserve">Australian Bureau of Statistics. (2024, July 4). </w:t>
      </w:r>
      <w:hyperlink r:id="rId9" w:history="1">
        <w:r w:rsidRPr="00B37422">
          <w:rPr>
            <w:rStyle w:val="Hyperlink"/>
            <w:rFonts w:ascii="Open Sans" w:hAnsi="Open Sans" w:cs="Open Sans"/>
            <w:i/>
            <w:iCs/>
            <w:sz w:val="22"/>
            <w:szCs w:val="22"/>
            <w:shd w:val="clear" w:color="auto" w:fill="FFFFFF"/>
          </w:rPr>
          <w:t>Disability, Ageing and Carers, Australia: Summary of Findings</w:t>
        </w:r>
      </w:hyperlink>
      <w:r w:rsidRPr="00B37422">
        <w:rPr>
          <w:rFonts w:ascii="Open Sans" w:hAnsi="Open Sans" w:cs="Open Sans"/>
          <w:color w:val="000000"/>
          <w:sz w:val="22"/>
          <w:szCs w:val="22"/>
          <w:shd w:val="clear" w:color="auto" w:fill="FFFFFF"/>
        </w:rPr>
        <w:t>. Primary carers – age and sex.</w:t>
      </w:r>
      <w:r w:rsidRPr="00B37422">
        <w:rPr>
          <w:rFonts w:ascii="Open Sans" w:hAnsi="Open Sans" w:cs="Open Sans"/>
          <w:color w:val="000000"/>
          <w:sz w:val="22"/>
          <w:szCs w:val="22"/>
          <w:shd w:val="clear" w:color="auto" w:fill="FFFFFF"/>
        </w:rPr>
        <w:br/>
      </w:r>
    </w:p>
  </w:endnote>
  <w:endnote w:id="9">
    <w:p w14:paraId="01EA2F9F" w14:textId="5404536D" w:rsidR="00E8079D" w:rsidRPr="00B37422" w:rsidRDefault="00E8079D" w:rsidP="00851753">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w:t>
      </w:r>
      <w:r w:rsidRPr="00B37422">
        <w:rPr>
          <w:rFonts w:ascii="Open Sans" w:hAnsi="Open Sans" w:cs="Open Sans"/>
          <w:color w:val="000000"/>
          <w:shd w:val="clear" w:color="auto" w:fill="FFFFFF"/>
        </w:rPr>
        <w:t xml:space="preserve">Potter, R., Foley, K., Richter, S., Cleggett, S., Dollard, M., Parkin, A., Brough, P., &amp; Lushington, K. (2024). </w:t>
      </w:r>
      <w:hyperlink r:id="rId10" w:history="1">
        <w:r w:rsidRPr="00B37422">
          <w:rPr>
            <w:rStyle w:val="Hyperlink"/>
            <w:rFonts w:ascii="Open Sans" w:hAnsi="Open Sans" w:cs="Open Sans"/>
            <w:i/>
            <w:iCs/>
            <w:shd w:val="clear" w:color="auto" w:fill="FFFFFF"/>
          </w:rPr>
          <w:t>National Review: Work Conditions &amp; Discrimination among Pregnant &amp; Parent Workers</w:t>
        </w:r>
        <w:r w:rsidR="00247A12" w:rsidRPr="00B37422">
          <w:rPr>
            <w:rStyle w:val="Hyperlink"/>
            <w:rFonts w:ascii="Open Sans" w:hAnsi="Open Sans" w:cs="Open Sans"/>
            <w:i/>
            <w:iCs/>
            <w:shd w:val="clear" w:color="auto" w:fill="FFFFFF"/>
          </w:rPr>
          <w:t xml:space="preserve"> </w:t>
        </w:r>
        <w:r w:rsidRPr="00B37422">
          <w:rPr>
            <w:rStyle w:val="Hyperlink"/>
            <w:rFonts w:ascii="Open Sans" w:hAnsi="Open Sans" w:cs="Open Sans"/>
            <w:i/>
            <w:iCs/>
            <w:shd w:val="clear" w:color="auto" w:fill="FFFFFF"/>
          </w:rPr>
          <w:t>in Australia Evidence &amp; Insights Report</w:t>
        </w:r>
      </w:hyperlink>
      <w:r w:rsidRPr="00B37422">
        <w:rPr>
          <w:rFonts w:ascii="Open Sans" w:hAnsi="Open Sans" w:cs="Open Sans"/>
          <w:color w:val="000000"/>
          <w:shd w:val="clear" w:color="auto" w:fill="FFFFFF"/>
        </w:rPr>
        <w:t>. University of South Australia, pp. 19 – 20. Original stat</w:t>
      </w:r>
      <w:r w:rsidR="0059005E" w:rsidRPr="00B37422">
        <w:rPr>
          <w:rFonts w:ascii="Open Sans" w:hAnsi="Open Sans" w:cs="Open Sans"/>
          <w:color w:val="000000"/>
          <w:shd w:val="clear" w:color="auto" w:fill="FFFFFF"/>
        </w:rPr>
        <w:t>istics</w:t>
      </w:r>
      <w:r w:rsidRPr="00B37422">
        <w:rPr>
          <w:rFonts w:ascii="Open Sans" w:hAnsi="Open Sans" w:cs="Open Sans"/>
          <w:color w:val="000000"/>
          <w:shd w:val="clear" w:color="auto" w:fill="FFFFFF"/>
        </w:rPr>
        <w:t>s: 44.6%, 43.9%, 26.9%. 95% of survey respondents were women.</w:t>
      </w:r>
    </w:p>
  </w:endnote>
  <w:endnote w:id="10">
    <w:p w14:paraId="7B733F55" w14:textId="7FC8CB8A" w:rsidR="0011295B" w:rsidRPr="00B37422" w:rsidRDefault="0011295B">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Australian Human Rights Commission. (2022). </w:t>
      </w:r>
      <w:hyperlink r:id="rId11" w:history="1">
        <w:r w:rsidRPr="00B37422">
          <w:rPr>
            <w:rStyle w:val="Hyperlink"/>
            <w:rFonts w:ascii="Open Sans" w:hAnsi="Open Sans" w:cs="Open Sans"/>
            <w:i/>
            <w:iCs/>
            <w:sz w:val="22"/>
            <w:szCs w:val="22"/>
          </w:rPr>
          <w:t>Time for respect: Fifth national survey on sexual harassment in Australian workplaces</w:t>
        </w:r>
        <w:r w:rsidRPr="00B37422">
          <w:rPr>
            <w:rStyle w:val="Hyperlink"/>
            <w:rFonts w:ascii="Open Sans" w:hAnsi="Open Sans" w:cs="Open Sans"/>
            <w:color w:val="auto"/>
            <w:sz w:val="22"/>
            <w:szCs w:val="22"/>
          </w:rPr>
          <w:t>,</w:t>
        </w:r>
      </w:hyperlink>
      <w:r w:rsidRPr="00B37422">
        <w:rPr>
          <w:rFonts w:ascii="Open Sans" w:hAnsi="Open Sans" w:cs="Open Sans"/>
          <w:i/>
          <w:iCs/>
          <w:sz w:val="22"/>
          <w:szCs w:val="22"/>
        </w:rPr>
        <w:t xml:space="preserve"> </w:t>
      </w:r>
      <w:r w:rsidRPr="00B37422">
        <w:rPr>
          <w:rFonts w:ascii="Open Sans" w:hAnsi="Open Sans" w:cs="Open Sans"/>
          <w:sz w:val="22"/>
          <w:szCs w:val="22"/>
        </w:rPr>
        <w:t>p. 49.</w:t>
      </w:r>
      <w:r w:rsidR="00087632" w:rsidRPr="00B37422">
        <w:rPr>
          <w:rFonts w:ascii="Open Sans" w:hAnsi="Open Sans" w:cs="Open Sans"/>
          <w:sz w:val="22"/>
          <w:szCs w:val="22"/>
        </w:rPr>
        <w:br/>
      </w:r>
    </w:p>
  </w:endnote>
  <w:endnote w:id="11">
    <w:p w14:paraId="6C8C7D85" w14:textId="7EBFF03D" w:rsidR="00E8079D" w:rsidRPr="00B37422" w:rsidRDefault="00E8079D" w:rsidP="00851753">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Australian Human Rights Commission. (2022). p. 47. </w:t>
      </w:r>
      <w:r w:rsidRPr="00B37422">
        <w:rPr>
          <w:rFonts w:ascii="Open Sans" w:hAnsi="Open Sans" w:cs="Open Sans"/>
        </w:rPr>
        <w:br/>
      </w:r>
      <w:hyperlink r:id="rId12" w:history="1">
        <w:r w:rsidRPr="00B37422">
          <w:rPr>
            <w:rStyle w:val="Hyperlink"/>
            <w:rFonts w:ascii="Open Sans" w:hAnsi="Open Sans" w:cs="Open Sans"/>
          </w:rPr>
          <w:t>More information about intersex status is available on the Intersex Human Rights Australia website</w:t>
        </w:r>
      </w:hyperlink>
      <w:r w:rsidRPr="00B37422">
        <w:rPr>
          <w:rFonts w:ascii="Open Sans" w:hAnsi="Open Sans" w:cs="Open Sans"/>
        </w:rPr>
        <w:t>.</w:t>
      </w:r>
    </w:p>
  </w:endnote>
  <w:endnote w:id="12">
    <w:p w14:paraId="43B16189" w14:textId="77777777" w:rsidR="00B93E20" w:rsidRDefault="00B93E20" w:rsidP="00B93E20">
      <w:pPr>
        <w:shd w:val="clear" w:color="auto" w:fill="FFFFFF" w:themeFill="background1"/>
        <w:rPr>
          <w:rFonts w:ascii="Open Sans" w:eastAsia="Open Sans" w:hAnsi="Open Sans" w:cs="Open Sans"/>
          <w:color w:val="333333"/>
        </w:rPr>
      </w:pPr>
      <w:r>
        <w:rPr>
          <w:rStyle w:val="EndnoteReference"/>
        </w:rPr>
        <w:endnoteRef/>
      </w:r>
      <w:r>
        <w:t xml:space="preserve"> </w:t>
      </w:r>
      <w:r>
        <w:rPr>
          <w:rFonts w:ascii="Open Sans" w:eastAsia="Open Sans" w:hAnsi="Open Sans" w:cs="Open Sans"/>
          <w:color w:val="333333"/>
        </w:rPr>
        <w:t xml:space="preserve">Australian Bureau of Statistics. </w:t>
      </w:r>
      <w:r>
        <w:rPr>
          <w:rFonts w:ascii="Open Sans" w:hAnsi="Open Sans" w:cs="Open Sans"/>
          <w:color w:val="000000"/>
          <w:shd w:val="clear" w:color="auto" w:fill="FFFFFF"/>
        </w:rPr>
        <w:t xml:space="preserve">(2023, March 15). </w:t>
      </w:r>
      <w:hyperlink r:id="rId13" w:history="1">
        <w:r w:rsidRPr="00C46DBC">
          <w:rPr>
            <w:rStyle w:val="Hyperlink"/>
            <w:rFonts w:ascii="Open Sans" w:hAnsi="Open Sans" w:cs="Open Sans"/>
            <w:i/>
            <w:iCs/>
            <w:shd w:val="clear" w:color="auto" w:fill="FFFFFF"/>
          </w:rPr>
          <w:t>Personal Safety, Australia</w:t>
        </w:r>
      </w:hyperlink>
      <w:hyperlink r:id="rId14" w:history="1"/>
      <w:r>
        <w:rPr>
          <w:rFonts w:ascii="Open Sans" w:hAnsi="Open Sans" w:cs="Open Sans"/>
          <w:color w:val="000000"/>
          <w:shd w:val="clear" w:color="auto" w:fill="FFFFFF"/>
        </w:rPr>
        <w:t>.</w:t>
      </w:r>
      <w:r w:rsidRPr="00B93E20">
        <w:rPr>
          <w:rFonts w:ascii="Open Sans" w:hAnsi="Open Sans" w:cs="Open Sans"/>
          <w:color w:val="000000" w:themeColor="text1"/>
          <w:shd w:val="clear" w:color="auto" w:fill="FFFFFF"/>
        </w:rPr>
        <w:t xml:space="preserve"> [Violence:</w:t>
      </w:r>
      <w:r w:rsidRPr="00B93E20">
        <w:rPr>
          <w:color w:val="000000" w:themeColor="text1"/>
        </w:rPr>
        <w:t xml:space="preserve"> </w:t>
      </w:r>
      <w:r w:rsidRPr="00B93E20">
        <w:rPr>
          <w:rFonts w:ascii="Open Sans" w:hAnsi="Open Sans" w:cs="Open Sans"/>
          <w:color w:val="000000" w:themeColor="text1"/>
          <w:shd w:val="clear" w:color="auto" w:fill="FFFFFF"/>
        </w:rPr>
        <w:t>Experiences of violence by an intimate partner or family member since the age of 15(a), 2021-22].</w:t>
      </w:r>
    </w:p>
    <w:p w14:paraId="1103A9D1" w14:textId="06F78EF4" w:rsidR="00B93E20" w:rsidRDefault="00B93E20">
      <w:pPr>
        <w:pStyle w:val="EndnoteText"/>
      </w:pPr>
    </w:p>
  </w:endnote>
  <w:endnote w:id="13">
    <w:p w14:paraId="604944DB" w14:textId="2DB7DCE4" w:rsidR="00107EAC" w:rsidRPr="00B37422" w:rsidRDefault="00107EAC">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005A1C9C" w:rsidRPr="00B37422">
        <w:rPr>
          <w:rFonts w:ascii="Open Sans" w:eastAsia="Open Sans" w:hAnsi="Open Sans" w:cs="Open Sans"/>
          <w:color w:val="333333"/>
          <w:sz w:val="22"/>
          <w:szCs w:val="22"/>
        </w:rPr>
        <w:t xml:space="preserve">Djirra. (2024, June 14). </w:t>
      </w:r>
      <w:hyperlink r:id="rId15" w:history="1">
        <w:r w:rsidR="005A1C9C" w:rsidRPr="00B37422">
          <w:rPr>
            <w:rStyle w:val="Hyperlink"/>
            <w:rFonts w:ascii="Open Sans" w:eastAsia="Open Sans" w:hAnsi="Open Sans" w:cs="Open Sans"/>
            <w:i/>
            <w:iCs/>
            <w:sz w:val="22"/>
            <w:szCs w:val="22"/>
          </w:rPr>
          <w:t>Yoorrok Justice Commission Social Justice Hearing</w:t>
        </w:r>
      </w:hyperlink>
      <w:r w:rsidR="005A1C9C" w:rsidRPr="00B37422">
        <w:rPr>
          <w:rFonts w:ascii="Open Sans" w:eastAsia="Open Sans" w:hAnsi="Open Sans" w:cs="Open Sans"/>
          <w:color w:val="333333"/>
          <w:sz w:val="22"/>
          <w:szCs w:val="22"/>
        </w:rPr>
        <w:t xml:space="preserve">. </w:t>
      </w:r>
      <w:r w:rsidR="005A1C9C" w:rsidRPr="00B37422">
        <w:rPr>
          <w:rFonts w:ascii="Open Sans" w:eastAsia="Open Sans" w:hAnsi="Open Sans" w:cs="Open Sans"/>
          <w:color w:val="333333"/>
          <w:sz w:val="22"/>
          <w:szCs w:val="22"/>
        </w:rPr>
        <w:br/>
      </w:r>
      <w:r w:rsidR="005A1C9C" w:rsidRPr="00B37422">
        <w:rPr>
          <w:rFonts w:ascii="Open Sans" w:hAnsi="Open Sans" w:cs="Open Sans"/>
          <w:sz w:val="22"/>
          <w:szCs w:val="22"/>
        </w:rPr>
        <w:t xml:space="preserve">From a recent review of women supported in 2023 by Djirra’s casework (an Aboriginal Community Controlled Organisation established by </w:t>
      </w:r>
      <w:r w:rsidR="005A1C9C" w:rsidRPr="00B37422">
        <w:rPr>
          <w:rStyle w:val="Emphasis"/>
          <w:rFonts w:ascii="Open Sans" w:hAnsi="Open Sans" w:cs="Open Sans"/>
          <w:i w:val="0"/>
          <w:iCs w:val="0"/>
          <w:color w:val="0A0A0A"/>
          <w:sz w:val="22"/>
          <w:szCs w:val="22"/>
          <w:shd w:val="clear" w:color="auto" w:fill="FFFFFF"/>
        </w:rPr>
        <w:t>Aboriginal Family Violence Prevention &amp; Legal Service Victoria)</w:t>
      </w:r>
      <w:r w:rsidR="005A1C9C" w:rsidRPr="00B37422">
        <w:rPr>
          <w:rFonts w:ascii="Open Sans" w:hAnsi="Open Sans" w:cs="Open Sans"/>
          <w:i/>
          <w:iCs/>
          <w:sz w:val="22"/>
          <w:szCs w:val="22"/>
        </w:rPr>
        <w:t>.</w:t>
      </w:r>
      <w:r w:rsidR="008407FB">
        <w:rPr>
          <w:rFonts w:ascii="Open Sans" w:hAnsi="Open Sans" w:cs="Open Sans"/>
          <w:i/>
          <w:iCs/>
          <w:sz w:val="22"/>
          <w:szCs w:val="22"/>
        </w:rPr>
        <w:br/>
      </w:r>
      <w:r w:rsidR="008407FB">
        <w:rPr>
          <w:rFonts w:ascii="Open Sans" w:hAnsi="Open Sans" w:cs="Open Sans"/>
          <w:i/>
          <w:iCs/>
          <w:sz w:val="22"/>
          <w:szCs w:val="22"/>
        </w:rPr>
        <w:br/>
      </w:r>
      <w:r w:rsidR="008407FB" w:rsidRPr="008407FB">
        <w:rPr>
          <w:rFonts w:ascii="Open Sans" w:hAnsi="Open Sans" w:cs="Open Sans"/>
          <w:sz w:val="22"/>
          <w:szCs w:val="22"/>
        </w:rPr>
        <w:t xml:space="preserve">Caulfield, L., Malins, P. (2025). </w:t>
      </w:r>
      <w:hyperlink r:id="rId16" w:history="1">
        <w:r w:rsidR="008407FB" w:rsidRPr="008407FB">
          <w:rPr>
            <w:rStyle w:val="Hyperlink"/>
            <w:rFonts w:ascii="Open Sans" w:hAnsi="Open Sans" w:cs="Open Sans"/>
            <w:i/>
            <w:iCs/>
            <w:sz w:val="22"/>
            <w:szCs w:val="22"/>
          </w:rPr>
          <w:t>Harm in the Name of Safety: Victorian Family Violence Workers’ Experiences of Family Violence Policing</w:t>
        </w:r>
      </w:hyperlink>
      <w:r w:rsidR="008407FB" w:rsidRPr="008407FB">
        <w:rPr>
          <w:rFonts w:ascii="Open Sans" w:hAnsi="Open Sans" w:cs="Open Sans"/>
          <w:sz w:val="22"/>
          <w:szCs w:val="22"/>
        </w:rPr>
        <w:t>. Flat Out Inc.</w:t>
      </w:r>
      <w:r w:rsidR="005A1C9C" w:rsidRPr="00B37422">
        <w:rPr>
          <w:rFonts w:ascii="Open Sans" w:hAnsi="Open Sans" w:cs="Open Sans"/>
          <w:i/>
          <w:iCs/>
          <w:sz w:val="22"/>
          <w:szCs w:val="22"/>
        </w:rPr>
        <w:br/>
      </w:r>
    </w:p>
  </w:endnote>
  <w:endnote w:id="14">
    <w:p w14:paraId="017439E5" w14:textId="14D1A772" w:rsidR="00B91CD1" w:rsidRPr="00B91CD1" w:rsidRDefault="00B91CD1">
      <w:pPr>
        <w:pStyle w:val="EndnoteText"/>
        <w:rPr>
          <w:rFonts w:ascii="Open Sans" w:hAnsi="Open Sans" w:cs="Open Sans"/>
          <w:sz w:val="22"/>
          <w:szCs w:val="22"/>
        </w:rPr>
      </w:pPr>
      <w:r w:rsidRPr="00B91CD1">
        <w:rPr>
          <w:rStyle w:val="EndnoteReference"/>
          <w:rFonts w:ascii="Open Sans" w:hAnsi="Open Sans" w:cs="Open Sans"/>
          <w:sz w:val="22"/>
          <w:szCs w:val="22"/>
        </w:rPr>
        <w:endnoteRef/>
      </w:r>
      <w:r w:rsidRPr="00B91CD1">
        <w:rPr>
          <w:rFonts w:ascii="Open Sans" w:hAnsi="Open Sans" w:cs="Open Sans"/>
          <w:sz w:val="22"/>
          <w:szCs w:val="22"/>
        </w:rPr>
        <w:t xml:space="preserve"> </w:t>
      </w:r>
      <w:r w:rsidRPr="00B91CD1">
        <w:rPr>
          <w:rFonts w:ascii="Open Sans" w:eastAsia="Open Sans" w:hAnsi="Open Sans" w:cs="Open Sans"/>
          <w:color w:val="333333"/>
          <w:sz w:val="22"/>
          <w:szCs w:val="22"/>
        </w:rPr>
        <w:t xml:space="preserve">Callander, D., Cook, T., Cornelisse, VJ., Duck-Chong, E., Holt, M., MacGibbon, J., Pony, M., Rosenberg, S., Vlahakis, E., Wiggins, J. (2019). </w:t>
      </w:r>
      <w:hyperlink r:id="rId17" w:history="1">
        <w:r w:rsidRPr="00B91CD1">
          <w:rPr>
            <w:rStyle w:val="Hyperlink"/>
            <w:rFonts w:ascii="Open Sans" w:eastAsia="Open Sans" w:hAnsi="Open Sans" w:cs="Open Sans"/>
            <w:i/>
            <w:iCs/>
            <w:sz w:val="22"/>
            <w:szCs w:val="22"/>
          </w:rPr>
          <w:t>The 2018 Australian trans and gender diverse sexual health survey: Report of findings</w:t>
        </w:r>
      </w:hyperlink>
      <w:r w:rsidRPr="00B91CD1">
        <w:rPr>
          <w:rFonts w:ascii="Open Sans" w:eastAsia="Open Sans" w:hAnsi="Open Sans" w:cs="Open Sans"/>
          <w:i/>
          <w:iCs/>
          <w:color w:val="333333"/>
          <w:sz w:val="22"/>
          <w:szCs w:val="22"/>
        </w:rPr>
        <w:t>.</w:t>
      </w:r>
      <w:r w:rsidRPr="00B91CD1">
        <w:rPr>
          <w:rFonts w:ascii="Open Sans" w:eastAsia="Open Sans" w:hAnsi="Open Sans" w:cs="Open Sans"/>
          <w:color w:val="333333"/>
          <w:sz w:val="22"/>
          <w:szCs w:val="22"/>
        </w:rPr>
        <w:t xml:space="preserve"> </w:t>
      </w:r>
      <w:r w:rsidRPr="00B91CD1">
        <w:rPr>
          <w:rFonts w:ascii="Open Sans" w:eastAsia="Open Sans" w:hAnsi="Open Sans" w:cs="Open Sans"/>
          <w:sz w:val="22"/>
          <w:szCs w:val="22"/>
        </w:rPr>
        <w:t>The Kirby Institute, UNSW. p 10.</w:t>
      </w:r>
      <w:r w:rsidRPr="00B91CD1">
        <w:rPr>
          <w:rFonts w:ascii="Open Sans" w:eastAsia="Open Sans" w:hAnsi="Open Sans" w:cs="Open Sans"/>
          <w:sz w:val="22"/>
          <w:szCs w:val="22"/>
        </w:rPr>
        <w:br/>
        <w:t>Terms used in the report to describe this behaviour were ‘sexual violence and coercion.’</w:t>
      </w:r>
      <w:r w:rsidRPr="00B91CD1">
        <w:rPr>
          <w:rFonts w:ascii="Open Sans" w:eastAsia="Open Sans" w:hAnsi="Open Sans" w:cs="Open Sans"/>
          <w:sz w:val="22"/>
          <w:szCs w:val="22"/>
        </w:rPr>
        <w:br/>
      </w:r>
    </w:p>
  </w:endnote>
  <w:endnote w:id="15">
    <w:p w14:paraId="7A081202" w14:textId="7D77F4F5" w:rsidR="00E8079D" w:rsidRPr="00B37422" w:rsidRDefault="00E8079D" w:rsidP="00F634AB">
      <w:pPr>
        <w:rPr>
          <w:rFonts w:ascii="Open Sans" w:hAnsi="Open Sans" w:cs="Open Sans"/>
        </w:rPr>
      </w:pPr>
      <w:r w:rsidRPr="00B37422">
        <w:rPr>
          <w:rStyle w:val="EndnoteReference"/>
          <w:rFonts w:ascii="Open Sans" w:hAnsi="Open Sans" w:cs="Open Sans"/>
        </w:rPr>
        <w:endnoteRef/>
      </w:r>
      <w:r w:rsidRPr="00B37422">
        <w:rPr>
          <w:rFonts w:ascii="Open Sans" w:hAnsi="Open Sans" w:cs="Open Sans"/>
        </w:rPr>
        <w:t xml:space="preserve"> Australia’s National Research Organisation for Women’s Safety (ANROWS). (2020). </w:t>
      </w:r>
      <w:hyperlink r:id="rId18" w:history="1">
        <w:r w:rsidRPr="00B37422">
          <w:rPr>
            <w:rStyle w:val="Hyperlink"/>
            <w:rFonts w:ascii="Open Sans" w:hAnsi="Open Sans" w:cs="Open Sans"/>
            <w:i/>
            <w:iCs/>
          </w:rPr>
          <w:t>Crossing the line: Lived experience of sexual violence among trans women of colour from culturally and linguistically diverse (CALD) backgrounds in Australia</w:t>
        </w:r>
      </w:hyperlink>
      <w:r w:rsidRPr="00B37422">
        <w:rPr>
          <w:rFonts w:ascii="Open Sans" w:hAnsi="Open Sans" w:cs="Open Sans"/>
        </w:rPr>
        <w:t xml:space="preserve">, </w:t>
      </w:r>
      <w:r w:rsidR="00320788" w:rsidRPr="00B37422">
        <w:rPr>
          <w:rFonts w:ascii="Open Sans" w:hAnsi="Open Sans" w:cs="Open Sans"/>
        </w:rPr>
        <w:t>pp.,</w:t>
      </w:r>
      <w:r w:rsidRPr="00B37422">
        <w:rPr>
          <w:rFonts w:ascii="Open Sans" w:hAnsi="Open Sans" w:cs="Open Sans"/>
        </w:rPr>
        <w:t xml:space="preserve"> 131</w:t>
      </w:r>
      <w:r w:rsidR="001E6A2F">
        <w:rPr>
          <w:rFonts w:ascii="Open Sans" w:hAnsi="Open Sans" w:cs="Open Sans"/>
        </w:rPr>
        <w:t>, 181</w:t>
      </w:r>
      <w:r w:rsidRPr="00B37422">
        <w:rPr>
          <w:rFonts w:ascii="Open Sans" w:hAnsi="Open Sans" w:cs="Open Sans"/>
        </w:rPr>
        <w:t xml:space="preserve">. </w:t>
      </w:r>
    </w:p>
  </w:endnote>
  <w:endnote w:id="16">
    <w:p w14:paraId="51FD41A0" w14:textId="626B2118" w:rsidR="00E8079D" w:rsidRPr="00B37422" w:rsidRDefault="00E8079D" w:rsidP="00F634AB">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eastAsia="Open Sans" w:hAnsi="Open Sans" w:cs="Open Sans"/>
          <w:color w:val="333333"/>
          <w:sz w:val="22"/>
          <w:szCs w:val="22"/>
        </w:rPr>
        <w:t xml:space="preserve">Centre of Research Excellence in Disability and Health. (2021). </w:t>
      </w:r>
      <w:hyperlink r:id="rId19" w:history="1">
        <w:r w:rsidRPr="00B37422">
          <w:rPr>
            <w:rStyle w:val="Hyperlink"/>
            <w:rFonts w:ascii="Open Sans" w:eastAsia="Open Sans" w:hAnsi="Open Sans" w:cs="Open Sans"/>
            <w:i/>
            <w:iCs/>
            <w:sz w:val="22"/>
            <w:szCs w:val="22"/>
          </w:rPr>
          <w:t>Research report: Nature and extent of violence, abuse, neglect and exploitation against people with disability in Australia</w:t>
        </w:r>
      </w:hyperlink>
      <w:r w:rsidRPr="00B37422">
        <w:rPr>
          <w:rFonts w:ascii="Open Sans" w:eastAsia="Open Sans" w:hAnsi="Open Sans" w:cs="Open Sans"/>
          <w:color w:val="333333"/>
          <w:sz w:val="22"/>
          <w:szCs w:val="22"/>
        </w:rPr>
        <w:t>, p. 10.</w:t>
      </w:r>
      <w:r w:rsidRPr="00B37422">
        <w:rPr>
          <w:rFonts w:ascii="Open Sans" w:eastAsia="Open Sans" w:hAnsi="Open Sans" w:cs="Open Sans"/>
          <w:color w:val="333333"/>
          <w:sz w:val="22"/>
          <w:szCs w:val="22"/>
        </w:rPr>
        <w:br/>
      </w:r>
    </w:p>
  </w:endnote>
  <w:endnote w:id="17">
    <w:p w14:paraId="1B923307" w14:textId="7B72E886" w:rsidR="00975556" w:rsidRPr="00975556" w:rsidRDefault="00975556">
      <w:pPr>
        <w:pStyle w:val="EndnoteText"/>
        <w:rPr>
          <w:rFonts w:ascii="Open Sans" w:hAnsi="Open Sans" w:cs="Open Sans"/>
          <w:sz w:val="22"/>
          <w:szCs w:val="22"/>
        </w:rPr>
      </w:pPr>
      <w:r w:rsidRPr="00975556">
        <w:rPr>
          <w:rStyle w:val="EndnoteReference"/>
          <w:rFonts w:ascii="Open Sans" w:hAnsi="Open Sans" w:cs="Open Sans"/>
          <w:sz w:val="22"/>
          <w:szCs w:val="22"/>
        </w:rPr>
        <w:endnoteRef/>
      </w:r>
      <w:r w:rsidRPr="00975556">
        <w:rPr>
          <w:rFonts w:ascii="Open Sans" w:hAnsi="Open Sans" w:cs="Open Sans"/>
          <w:sz w:val="22"/>
          <w:szCs w:val="22"/>
        </w:rPr>
        <w:t xml:space="preserve"> </w:t>
      </w:r>
      <w:r w:rsidRPr="00975556">
        <w:rPr>
          <w:rFonts w:ascii="Open Sans" w:eastAsia="Open Sans" w:hAnsi="Open Sans" w:cs="Open Sans"/>
          <w:color w:val="333333"/>
          <w:sz w:val="22"/>
          <w:szCs w:val="22"/>
        </w:rPr>
        <w:t xml:space="preserve">Commonwealth of Australia, Department of Prime Minister and Cabinet. (2024). </w:t>
      </w:r>
      <w:hyperlink r:id="rId20" w:history="1">
        <w:r w:rsidRPr="00975556">
          <w:rPr>
            <w:rStyle w:val="Hyperlink"/>
            <w:rFonts w:ascii="Open Sans" w:eastAsia="Open Sans" w:hAnsi="Open Sans" w:cs="Open Sans"/>
            <w:sz w:val="22"/>
            <w:szCs w:val="22"/>
          </w:rPr>
          <w:t>Working for Women: A Strategy for Gender Equality</w:t>
        </w:r>
      </w:hyperlink>
      <w:r w:rsidRPr="00975556">
        <w:rPr>
          <w:rFonts w:ascii="Open Sans" w:eastAsia="Open Sans" w:hAnsi="Open Sans" w:cs="Open Sans"/>
          <w:color w:val="333333"/>
          <w:sz w:val="22"/>
          <w:szCs w:val="22"/>
        </w:rPr>
        <w:t>. p 72</w:t>
      </w:r>
      <w:r w:rsidR="00130351">
        <w:rPr>
          <w:rFonts w:ascii="Open Sans" w:eastAsia="Open Sans" w:hAnsi="Open Sans" w:cs="Open Sans"/>
          <w:color w:val="333333"/>
          <w:sz w:val="22"/>
          <w:szCs w:val="22"/>
        </w:rPr>
        <w:t>.</w:t>
      </w:r>
      <w:r w:rsidRPr="00975556">
        <w:rPr>
          <w:rFonts w:ascii="Open Sans" w:eastAsia="Open Sans" w:hAnsi="Open Sans" w:cs="Open Sans"/>
          <w:color w:val="333333"/>
          <w:sz w:val="22"/>
          <w:szCs w:val="22"/>
        </w:rPr>
        <w:br/>
      </w:r>
    </w:p>
  </w:endnote>
  <w:endnote w:id="18">
    <w:p w14:paraId="369C321B" w14:textId="77777777" w:rsidR="00D658A3" w:rsidRPr="00B37422" w:rsidRDefault="00D658A3" w:rsidP="00D658A3">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eastAsia="Open Sans" w:hAnsi="Open Sans" w:cs="Open Sans"/>
          <w:sz w:val="22"/>
          <w:szCs w:val="22"/>
        </w:rPr>
        <w:t xml:space="preserve">Wilkins, R., Vera-Toscano, E., &amp; Botha, F. (2021). </w:t>
      </w:r>
      <w:hyperlink r:id="rId21" w:history="1">
        <w:r w:rsidRPr="00B37422">
          <w:rPr>
            <w:rStyle w:val="Hyperlink"/>
            <w:rFonts w:ascii="Open Sans" w:eastAsia="Open Sans" w:hAnsi="Open Sans" w:cs="Open Sans"/>
            <w:i/>
            <w:iCs/>
            <w:sz w:val="22"/>
            <w:szCs w:val="22"/>
          </w:rPr>
          <w:t>The Household, Income and Labour Dynamics in Australia Survey: Selected Findings from Waves 1 to 21</w:t>
        </w:r>
      </w:hyperlink>
      <w:r w:rsidRPr="00B37422">
        <w:rPr>
          <w:rFonts w:ascii="Open Sans" w:eastAsia="Open Sans" w:hAnsi="Open Sans" w:cs="Open Sans"/>
          <w:sz w:val="22"/>
          <w:szCs w:val="22"/>
        </w:rPr>
        <w:t>. Melbourne Institute: Applied Economic &amp; Social Research &amp; University of Melbourne: Melbourne, p. 125.</w:t>
      </w:r>
      <w:r w:rsidRPr="00B37422">
        <w:rPr>
          <w:rFonts w:ascii="Open Sans" w:eastAsia="Open Sans" w:hAnsi="Open Sans" w:cs="Open Sans"/>
          <w:sz w:val="22"/>
          <w:szCs w:val="22"/>
        </w:rPr>
        <w:br/>
      </w:r>
    </w:p>
  </w:endnote>
  <w:endnote w:id="19">
    <w:p w14:paraId="3CA03D36" w14:textId="0A6BC434" w:rsidR="00E8079D" w:rsidRPr="00B37422" w:rsidRDefault="00E8079D">
      <w:pPr>
        <w:pStyle w:val="EndnoteText"/>
        <w:rPr>
          <w:rFonts w:ascii="Open Sans" w:hAnsi="Open Sans" w:cs="Open Sans"/>
          <w:sz w:val="22"/>
          <w:szCs w:val="22"/>
        </w:rPr>
      </w:pPr>
      <w:r w:rsidRPr="00B37422">
        <w:rPr>
          <w:rStyle w:val="EndnoteReference"/>
          <w:rFonts w:ascii="Open Sans" w:hAnsi="Open Sans" w:cs="Open Sans"/>
          <w:sz w:val="22"/>
          <w:szCs w:val="22"/>
        </w:rPr>
        <w:endnoteRef/>
      </w:r>
      <w:r w:rsidRPr="00B37422">
        <w:rPr>
          <w:rFonts w:ascii="Open Sans" w:hAnsi="Open Sans" w:cs="Open Sans"/>
          <w:sz w:val="22"/>
          <w:szCs w:val="22"/>
        </w:rPr>
        <w:t xml:space="preserve"> </w:t>
      </w:r>
      <w:r w:rsidRPr="00B37422">
        <w:rPr>
          <w:rFonts w:ascii="Open Sans" w:eastAsia="Open Sans" w:hAnsi="Open Sans" w:cs="Open Sans"/>
          <w:color w:val="333333"/>
          <w:sz w:val="22"/>
          <w:szCs w:val="22"/>
        </w:rPr>
        <w:t xml:space="preserve">United Nations Development Programme. (2023). </w:t>
      </w:r>
      <w:hyperlink r:id="rId22" w:anchor="/indicies/GSNI" w:history="1">
        <w:r w:rsidRPr="00B37422">
          <w:rPr>
            <w:rStyle w:val="Hyperlink"/>
            <w:rFonts w:ascii="Open Sans" w:eastAsia="Open Sans" w:hAnsi="Open Sans" w:cs="Open Sans"/>
            <w:i/>
            <w:iCs/>
            <w:sz w:val="22"/>
            <w:szCs w:val="22"/>
          </w:rPr>
          <w:t>Gender social norms index</w:t>
        </w:r>
      </w:hyperlink>
      <w:r w:rsidRPr="00B37422">
        <w:rPr>
          <w:rFonts w:ascii="Open Sans" w:eastAsia="Open Sans" w:hAnsi="Open Sans" w:cs="Open Sans"/>
          <w:color w:val="333333"/>
          <w:sz w:val="22"/>
          <w:szCs w:val="22"/>
        </w:rPr>
        <w:t>. United Nations, Human Development Reports.</w:t>
      </w:r>
      <w:r w:rsidR="008D5131">
        <w:rPr>
          <w:rFonts w:ascii="Open Sans" w:eastAsia="Open Sans" w:hAnsi="Open Sans" w:cs="Open Sans"/>
          <w:color w:val="333333"/>
          <w:sz w:val="22"/>
          <w:szCs w:val="22"/>
        </w:rPr>
        <w:t xml:space="preserve"> </w:t>
      </w:r>
      <w:r w:rsidR="006C6CF3">
        <w:rPr>
          <w:rFonts w:ascii="Open Sans" w:eastAsia="Open Sans" w:hAnsi="Open Sans" w:cs="Open Sans"/>
          <w:color w:val="333333"/>
          <w:sz w:val="22"/>
          <w:szCs w:val="22"/>
        </w:rPr>
        <w:t>[</w:t>
      </w:r>
      <w:r w:rsidR="008D5131" w:rsidRPr="006C6CF3">
        <w:rPr>
          <w:rFonts w:ascii="Open Sans" w:eastAsia="Open Sans" w:hAnsi="Open Sans" w:cs="Open Sans"/>
          <w:color w:val="333333"/>
          <w:sz w:val="22"/>
          <w:szCs w:val="22"/>
        </w:rPr>
        <w:t>Table A1</w:t>
      </w:r>
      <w:r w:rsidR="006C6CF3">
        <w:rPr>
          <w:rFonts w:ascii="Open Sans" w:eastAsia="Open Sans" w:hAnsi="Open Sans" w:cs="Open Sans"/>
          <w:color w:val="333333"/>
          <w:sz w:val="22"/>
          <w:szCs w:val="22"/>
        </w:rPr>
        <w:t>].</w:t>
      </w:r>
      <w:r w:rsidR="00700776" w:rsidRPr="00B37422">
        <w:rPr>
          <w:rFonts w:ascii="Open Sans" w:eastAsia="Open Sans" w:hAnsi="Open Sans" w:cs="Open Sans"/>
          <w:color w:val="333333"/>
          <w:sz w:val="22"/>
          <w:szCs w:val="22"/>
        </w:rPr>
        <w:br/>
      </w:r>
    </w:p>
  </w:endnote>
  <w:endnote w:id="20">
    <w:p w14:paraId="7A143535" w14:textId="01CC76B8" w:rsidR="00883E29" w:rsidRPr="00883E29" w:rsidRDefault="00883E29">
      <w:pPr>
        <w:pStyle w:val="EndnoteText"/>
        <w:rPr>
          <w:rFonts w:ascii="Open Sans" w:hAnsi="Open Sans" w:cs="Open Sans"/>
          <w:sz w:val="22"/>
          <w:szCs w:val="22"/>
        </w:rPr>
      </w:pPr>
      <w:r w:rsidRPr="00883E29">
        <w:rPr>
          <w:rStyle w:val="EndnoteReference"/>
          <w:rFonts w:ascii="Open Sans" w:hAnsi="Open Sans" w:cs="Open Sans"/>
          <w:sz w:val="22"/>
          <w:szCs w:val="22"/>
        </w:rPr>
        <w:endnoteRef/>
      </w:r>
      <w:r w:rsidRPr="00883E29">
        <w:rPr>
          <w:rFonts w:ascii="Open Sans" w:hAnsi="Open Sans" w:cs="Open Sans"/>
          <w:sz w:val="22"/>
          <w:szCs w:val="22"/>
        </w:rPr>
        <w:t xml:space="preserve"> </w:t>
      </w:r>
      <w:r w:rsidRPr="00883E29">
        <w:rPr>
          <w:rFonts w:ascii="Open Sans" w:eastAsia="Open Sans" w:hAnsi="Open Sans" w:cs="Open Sans"/>
          <w:color w:val="333333"/>
          <w:sz w:val="22"/>
          <w:szCs w:val="22"/>
        </w:rPr>
        <w:t xml:space="preserve">Commonwealth of Australia, Department of Prime Minister and Cabinet. (2024). </w:t>
      </w:r>
      <w:hyperlink r:id="rId23" w:history="1">
        <w:r w:rsidRPr="00883E29">
          <w:rPr>
            <w:rStyle w:val="Hyperlink"/>
            <w:rFonts w:ascii="Open Sans" w:eastAsia="Open Sans" w:hAnsi="Open Sans" w:cs="Open Sans"/>
            <w:sz w:val="22"/>
            <w:szCs w:val="22"/>
          </w:rPr>
          <w:t>Working for Women: A Strategy for Gender Equality</w:t>
        </w:r>
      </w:hyperlink>
      <w:r w:rsidRPr="00883E29">
        <w:rPr>
          <w:rFonts w:ascii="Open Sans" w:eastAsia="Open Sans" w:hAnsi="Open Sans" w:cs="Open Sans"/>
          <w:color w:val="333333"/>
          <w:sz w:val="22"/>
          <w:szCs w:val="22"/>
        </w:rPr>
        <w:t>. p 30.</w:t>
      </w:r>
      <w:r w:rsidR="00C64008">
        <w:rPr>
          <w:rFonts w:ascii="Open Sans" w:eastAsia="Open Sans" w:hAnsi="Open Sans" w:cs="Open Sans"/>
          <w:color w:val="333333"/>
          <w:sz w:val="22"/>
          <w:szCs w:val="22"/>
        </w:rPr>
        <w:t xml:space="preserve"> </w:t>
      </w:r>
      <w:r w:rsidR="00C64008" w:rsidRPr="00C64008">
        <w:rPr>
          <w:rFonts w:ascii="Open Sans" w:eastAsia="Open Sans" w:hAnsi="Open Sans" w:cs="Open Sans"/>
          <w:color w:val="333333"/>
          <w:sz w:val="22"/>
          <w:szCs w:val="22"/>
        </w:rPr>
        <w:t xml:space="preserve">A cisgender person is someone whose gender identity matches the sex they were assigned at birth. For more information, access: Australian Human Rights Commission (2026, January 19). </w:t>
      </w:r>
      <w:hyperlink r:id="rId24" w:history="1">
        <w:r w:rsidR="00C64008" w:rsidRPr="00C64008">
          <w:rPr>
            <w:rStyle w:val="Hyperlink"/>
            <w:rFonts w:ascii="Open Sans" w:eastAsia="Open Sans" w:hAnsi="Open Sans" w:cs="Open Sans"/>
            <w:sz w:val="22"/>
            <w:szCs w:val="22"/>
          </w:rPr>
          <w:t>Explainer: Trans and gender diverse people’s rights in Australia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8527" w14:textId="547BC814" w:rsidR="006F446D" w:rsidRPr="006F446D" w:rsidRDefault="006F446D">
    <w:pPr>
      <w:pStyle w:val="Footer"/>
      <w:jc w:val="right"/>
      <w:rPr>
        <w:rFonts w:ascii="Open Sans" w:hAnsi="Open Sans" w:cs="Open Sans"/>
      </w:rPr>
    </w:pPr>
    <w:r w:rsidRPr="006F446D">
      <w:rPr>
        <w:rFonts w:ascii="Open Sans" w:hAnsi="Open Sans" w:cs="Open Sans"/>
      </w:rPr>
      <w:t xml:space="preserve">Australian Human Rights Commission </w:t>
    </w:r>
    <w:r w:rsidR="00824EB8">
      <w:rPr>
        <w:rFonts w:ascii="Open Sans" w:hAnsi="Open Sans" w:cs="Open Sans"/>
      </w:rPr>
      <w:t>Stats &amp; Facts</w:t>
    </w:r>
    <w:r w:rsidRPr="006F446D">
      <w:rPr>
        <w:rFonts w:ascii="Open Sans" w:hAnsi="Open Sans" w:cs="Open Sans"/>
      </w:rPr>
      <w:t xml:space="preserve"> 202</w:t>
    </w:r>
    <w:r w:rsidR="00CA680F">
      <w:rPr>
        <w:rFonts w:ascii="Open Sans" w:hAnsi="Open Sans" w:cs="Open Sans"/>
      </w:rPr>
      <w:t>5</w:t>
    </w:r>
    <w:r>
      <w:rPr>
        <w:rFonts w:ascii="Open Sans" w:hAnsi="Open Sans" w:cs="Open Sans"/>
      </w:rPr>
      <w:t xml:space="preserve">   </w:t>
    </w:r>
    <w:r w:rsidRPr="006F446D">
      <w:rPr>
        <w:rFonts w:ascii="Open Sans" w:hAnsi="Open Sans" w:cs="Open Sans"/>
        <w:b/>
        <w:bCs/>
      </w:rPr>
      <w:t xml:space="preserve">                                                   </w:t>
    </w:r>
    <w:sdt>
      <w:sdtPr>
        <w:rPr>
          <w:rFonts w:ascii="Open Sans" w:hAnsi="Open Sans" w:cs="Open Sans"/>
        </w:rPr>
        <w:id w:val="-80767056"/>
        <w:docPartObj>
          <w:docPartGallery w:val="Page Numbers (Bottom of Page)"/>
          <w:docPartUnique/>
        </w:docPartObj>
      </w:sdtPr>
      <w:sdtEndPr>
        <w:rPr>
          <w:noProof/>
        </w:rPr>
      </w:sdtEndPr>
      <w:sdtContent>
        <w:r w:rsidRPr="006F446D">
          <w:rPr>
            <w:rFonts w:ascii="Open Sans" w:hAnsi="Open Sans" w:cs="Open Sans"/>
          </w:rPr>
          <w:fldChar w:fldCharType="begin"/>
        </w:r>
        <w:r w:rsidRPr="006F446D">
          <w:rPr>
            <w:rFonts w:ascii="Open Sans" w:hAnsi="Open Sans" w:cs="Open Sans"/>
          </w:rPr>
          <w:instrText xml:space="preserve"> PAGE   \* MERGEFORMAT </w:instrText>
        </w:r>
        <w:r w:rsidRPr="006F446D">
          <w:rPr>
            <w:rFonts w:ascii="Open Sans" w:hAnsi="Open Sans" w:cs="Open Sans"/>
          </w:rPr>
          <w:fldChar w:fldCharType="separate"/>
        </w:r>
        <w:r w:rsidRPr="006F446D">
          <w:rPr>
            <w:rFonts w:ascii="Open Sans" w:hAnsi="Open Sans" w:cs="Open Sans"/>
            <w:noProof/>
          </w:rPr>
          <w:t>2</w:t>
        </w:r>
        <w:r w:rsidRPr="006F446D">
          <w:rPr>
            <w:rFonts w:ascii="Open Sans" w:hAnsi="Open Sans" w:cs="Open Sans"/>
            <w:noProof/>
          </w:rPr>
          <w:fldChar w:fldCharType="end"/>
        </w:r>
      </w:sdtContent>
    </w:sdt>
  </w:p>
  <w:p w14:paraId="6E231DF6" w14:textId="77777777" w:rsidR="006F446D" w:rsidRPr="006F446D" w:rsidRDefault="006F446D">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A319" w14:textId="77777777" w:rsidR="00DB6A93" w:rsidRDefault="00DB6A93" w:rsidP="00274F64">
      <w:pPr>
        <w:spacing w:after="0" w:line="240" w:lineRule="auto"/>
      </w:pPr>
      <w:r>
        <w:separator/>
      </w:r>
    </w:p>
  </w:footnote>
  <w:footnote w:type="continuationSeparator" w:id="0">
    <w:p w14:paraId="64DA2D95" w14:textId="77777777" w:rsidR="00DB6A93" w:rsidRDefault="00DB6A93" w:rsidP="00274F64">
      <w:pPr>
        <w:spacing w:after="0" w:line="240" w:lineRule="auto"/>
      </w:pPr>
      <w:r>
        <w:continuationSeparator/>
      </w:r>
    </w:p>
  </w:footnote>
  <w:footnote w:type="continuationNotice" w:id="1">
    <w:p w14:paraId="092A1BDC" w14:textId="77777777" w:rsidR="00DB6A93" w:rsidRDefault="00DB6A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4883" w14:textId="4428EA3A" w:rsidR="008A09F9" w:rsidRDefault="008A09F9">
    <w:pPr>
      <w:pStyle w:val="Header"/>
    </w:pPr>
    <w:r>
      <w:rPr>
        <w:noProof/>
      </w:rPr>
      <w:drawing>
        <wp:inline distT="0" distB="0" distL="0" distR="0" wp14:anchorId="0F3CC462" wp14:editId="277C9CCA">
          <wp:extent cx="1981204" cy="762002"/>
          <wp:effectExtent l="0" t="0" r="0" b="0"/>
          <wp:docPr id="1268181794" name="Picture 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794" name="Picture 1"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981204" cy="762002"/>
                  </a:xfrm>
                  <a:prstGeom prst="rect">
                    <a:avLst/>
                  </a:prstGeom>
                </pic:spPr>
              </pic:pic>
            </a:graphicData>
          </a:graphic>
        </wp:inline>
      </w:drawing>
    </w:r>
  </w:p>
  <w:p w14:paraId="259C2F46" w14:textId="77777777" w:rsidR="008A09F9" w:rsidRDefault="008A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C5E"/>
    <w:multiLevelType w:val="hybridMultilevel"/>
    <w:tmpl w:val="B54A4D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E04380"/>
    <w:multiLevelType w:val="hybridMultilevel"/>
    <w:tmpl w:val="AB66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7495A"/>
    <w:multiLevelType w:val="hybridMultilevel"/>
    <w:tmpl w:val="8A066D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615F9"/>
    <w:multiLevelType w:val="hybridMultilevel"/>
    <w:tmpl w:val="10C235E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C25960"/>
    <w:multiLevelType w:val="hybridMultilevel"/>
    <w:tmpl w:val="40BA7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7530EA"/>
    <w:multiLevelType w:val="hybridMultilevel"/>
    <w:tmpl w:val="91DE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4974B8"/>
    <w:multiLevelType w:val="hybridMultilevel"/>
    <w:tmpl w:val="614C2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594202"/>
    <w:multiLevelType w:val="hybridMultilevel"/>
    <w:tmpl w:val="05969DC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0F0911"/>
    <w:multiLevelType w:val="hybridMultilevel"/>
    <w:tmpl w:val="E8466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1E4B60"/>
    <w:multiLevelType w:val="hybridMultilevel"/>
    <w:tmpl w:val="F27E4E0C"/>
    <w:lvl w:ilvl="0" w:tplc="0C090001">
      <w:start w:val="1"/>
      <w:numFmt w:val="bullet"/>
      <w:lvlText w:val=""/>
      <w:lvlJc w:val="left"/>
      <w:pPr>
        <w:ind w:left="763" w:hanging="360"/>
      </w:pPr>
      <w:rPr>
        <w:rFonts w:ascii="Symbol" w:hAnsi="Symbol" w:hint="default"/>
      </w:rPr>
    </w:lvl>
    <w:lvl w:ilvl="1" w:tplc="0C090003">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0" w15:restartNumberingAfterBreak="0">
    <w:nsid w:val="79C37235"/>
    <w:multiLevelType w:val="hybridMultilevel"/>
    <w:tmpl w:val="EAF449B8"/>
    <w:lvl w:ilvl="0" w:tplc="FFFFFFFF">
      <w:start w:val="1"/>
      <w:numFmt w:val="bullet"/>
      <w:lvlText w:val=""/>
      <w:lvlJc w:val="left"/>
      <w:pPr>
        <w:ind w:left="763" w:hanging="360"/>
      </w:pPr>
      <w:rPr>
        <w:rFonts w:ascii="Symbol" w:hAnsi="Symbol" w:hint="default"/>
      </w:rPr>
    </w:lvl>
    <w:lvl w:ilvl="1" w:tplc="0C090001">
      <w:start w:val="1"/>
      <w:numFmt w:val="bullet"/>
      <w:lvlText w:val=""/>
      <w:lvlJc w:val="left"/>
      <w:pPr>
        <w:ind w:left="1483" w:hanging="360"/>
      </w:pPr>
      <w:rPr>
        <w:rFonts w:ascii="Symbol" w:hAnsi="Symbol"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11" w15:restartNumberingAfterBreak="0">
    <w:nsid w:val="7BF6556C"/>
    <w:multiLevelType w:val="hybridMultilevel"/>
    <w:tmpl w:val="60FE8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6030354">
    <w:abstractNumId w:val="4"/>
  </w:num>
  <w:num w:numId="2" w16cid:durableId="375276157">
    <w:abstractNumId w:val="3"/>
  </w:num>
  <w:num w:numId="3" w16cid:durableId="1318921547">
    <w:abstractNumId w:val="7"/>
  </w:num>
  <w:num w:numId="4" w16cid:durableId="277612433">
    <w:abstractNumId w:val="9"/>
  </w:num>
  <w:num w:numId="5" w16cid:durableId="685525603">
    <w:abstractNumId w:val="10"/>
  </w:num>
  <w:num w:numId="6" w16cid:durableId="131674987">
    <w:abstractNumId w:val="5"/>
  </w:num>
  <w:num w:numId="7" w16cid:durableId="1152520753">
    <w:abstractNumId w:val="2"/>
  </w:num>
  <w:num w:numId="8" w16cid:durableId="588083757">
    <w:abstractNumId w:val="11"/>
  </w:num>
  <w:num w:numId="9" w16cid:durableId="15231727">
    <w:abstractNumId w:val="0"/>
  </w:num>
  <w:num w:numId="10" w16cid:durableId="1275285901">
    <w:abstractNumId w:val="6"/>
  </w:num>
  <w:num w:numId="11" w16cid:durableId="16855195">
    <w:abstractNumId w:val="8"/>
  </w:num>
  <w:num w:numId="12" w16cid:durableId="78577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64"/>
    <w:rsid w:val="000050EF"/>
    <w:rsid w:val="00014A48"/>
    <w:rsid w:val="00015EEE"/>
    <w:rsid w:val="00021F40"/>
    <w:rsid w:val="00037877"/>
    <w:rsid w:val="00045B5D"/>
    <w:rsid w:val="00046286"/>
    <w:rsid w:val="000472AA"/>
    <w:rsid w:val="00076CDA"/>
    <w:rsid w:val="00085497"/>
    <w:rsid w:val="00085E8B"/>
    <w:rsid w:val="000863C1"/>
    <w:rsid w:val="00087632"/>
    <w:rsid w:val="000B1B1B"/>
    <w:rsid w:val="000B3EC1"/>
    <w:rsid w:val="000C24BA"/>
    <w:rsid w:val="000D2ECA"/>
    <w:rsid w:val="000F365B"/>
    <w:rsid w:val="00103CAA"/>
    <w:rsid w:val="00103F42"/>
    <w:rsid w:val="00107EAC"/>
    <w:rsid w:val="00112758"/>
    <w:rsid w:val="0011295B"/>
    <w:rsid w:val="001134DD"/>
    <w:rsid w:val="0011455C"/>
    <w:rsid w:val="001167BD"/>
    <w:rsid w:val="0012228E"/>
    <w:rsid w:val="00125421"/>
    <w:rsid w:val="00125F7B"/>
    <w:rsid w:val="00126D18"/>
    <w:rsid w:val="00126D43"/>
    <w:rsid w:val="00130351"/>
    <w:rsid w:val="00146121"/>
    <w:rsid w:val="001475DF"/>
    <w:rsid w:val="00161A7F"/>
    <w:rsid w:val="0017001A"/>
    <w:rsid w:val="00175378"/>
    <w:rsid w:val="00177689"/>
    <w:rsid w:val="00193FCF"/>
    <w:rsid w:val="001974D0"/>
    <w:rsid w:val="001A3095"/>
    <w:rsid w:val="001B05AA"/>
    <w:rsid w:val="001B3ABD"/>
    <w:rsid w:val="001C1350"/>
    <w:rsid w:val="001E5435"/>
    <w:rsid w:val="001E6A2F"/>
    <w:rsid w:val="002008B2"/>
    <w:rsid w:val="00206981"/>
    <w:rsid w:val="00225EA9"/>
    <w:rsid w:val="00231229"/>
    <w:rsid w:val="0023504D"/>
    <w:rsid w:val="00247A12"/>
    <w:rsid w:val="002547F3"/>
    <w:rsid w:val="00274F64"/>
    <w:rsid w:val="00294CE8"/>
    <w:rsid w:val="002A3560"/>
    <w:rsid w:val="002A4399"/>
    <w:rsid w:val="002A6076"/>
    <w:rsid w:val="002B7BF9"/>
    <w:rsid w:val="002C0808"/>
    <w:rsid w:val="002D0027"/>
    <w:rsid w:val="002D5352"/>
    <w:rsid w:val="002D728D"/>
    <w:rsid w:val="002E6456"/>
    <w:rsid w:val="002E79AD"/>
    <w:rsid w:val="00312D42"/>
    <w:rsid w:val="003130EF"/>
    <w:rsid w:val="00320788"/>
    <w:rsid w:val="003261A9"/>
    <w:rsid w:val="003263B6"/>
    <w:rsid w:val="003305BE"/>
    <w:rsid w:val="00351B68"/>
    <w:rsid w:val="0039058D"/>
    <w:rsid w:val="00394A26"/>
    <w:rsid w:val="003B410C"/>
    <w:rsid w:val="003C6FC1"/>
    <w:rsid w:val="003D1C4C"/>
    <w:rsid w:val="003D208B"/>
    <w:rsid w:val="003E44AB"/>
    <w:rsid w:val="003E4DA9"/>
    <w:rsid w:val="003E6200"/>
    <w:rsid w:val="003F27CE"/>
    <w:rsid w:val="003F6896"/>
    <w:rsid w:val="00416BAC"/>
    <w:rsid w:val="00425E4A"/>
    <w:rsid w:val="004269F2"/>
    <w:rsid w:val="00426D71"/>
    <w:rsid w:val="00432C59"/>
    <w:rsid w:val="0043493C"/>
    <w:rsid w:val="00457513"/>
    <w:rsid w:val="00465380"/>
    <w:rsid w:val="00474260"/>
    <w:rsid w:val="00483EF1"/>
    <w:rsid w:val="004961A0"/>
    <w:rsid w:val="00496B93"/>
    <w:rsid w:val="004A685E"/>
    <w:rsid w:val="004B239B"/>
    <w:rsid w:val="004B66C2"/>
    <w:rsid w:val="004C4AC2"/>
    <w:rsid w:val="004D363F"/>
    <w:rsid w:val="004E0909"/>
    <w:rsid w:val="004E3B33"/>
    <w:rsid w:val="004E46EC"/>
    <w:rsid w:val="004F2AF9"/>
    <w:rsid w:val="00517D2A"/>
    <w:rsid w:val="005230F7"/>
    <w:rsid w:val="005248F2"/>
    <w:rsid w:val="00527C78"/>
    <w:rsid w:val="00536C4D"/>
    <w:rsid w:val="005522FF"/>
    <w:rsid w:val="00554003"/>
    <w:rsid w:val="00555C92"/>
    <w:rsid w:val="00556DA3"/>
    <w:rsid w:val="00560C19"/>
    <w:rsid w:val="00561305"/>
    <w:rsid w:val="00562F4A"/>
    <w:rsid w:val="00563A66"/>
    <w:rsid w:val="005700E9"/>
    <w:rsid w:val="005750C3"/>
    <w:rsid w:val="00585E23"/>
    <w:rsid w:val="0058799E"/>
    <w:rsid w:val="0059005E"/>
    <w:rsid w:val="00590DBA"/>
    <w:rsid w:val="00597F33"/>
    <w:rsid w:val="005A1BEC"/>
    <w:rsid w:val="005A1C9C"/>
    <w:rsid w:val="005A426F"/>
    <w:rsid w:val="005C314A"/>
    <w:rsid w:val="005C347E"/>
    <w:rsid w:val="005D4466"/>
    <w:rsid w:val="005D5914"/>
    <w:rsid w:val="005E16AE"/>
    <w:rsid w:val="005E2BB7"/>
    <w:rsid w:val="005F2A70"/>
    <w:rsid w:val="005F491E"/>
    <w:rsid w:val="00616F1B"/>
    <w:rsid w:val="00623912"/>
    <w:rsid w:val="00657EE2"/>
    <w:rsid w:val="00691A80"/>
    <w:rsid w:val="0069798B"/>
    <w:rsid w:val="006A1F13"/>
    <w:rsid w:val="006A4F01"/>
    <w:rsid w:val="006C4BCE"/>
    <w:rsid w:val="006C6CF3"/>
    <w:rsid w:val="006E274A"/>
    <w:rsid w:val="006F428B"/>
    <w:rsid w:val="006F446D"/>
    <w:rsid w:val="006F7AF8"/>
    <w:rsid w:val="00700776"/>
    <w:rsid w:val="00700871"/>
    <w:rsid w:val="00702AFB"/>
    <w:rsid w:val="007032EA"/>
    <w:rsid w:val="00717FF1"/>
    <w:rsid w:val="00740C57"/>
    <w:rsid w:val="00750523"/>
    <w:rsid w:val="007549BA"/>
    <w:rsid w:val="0076361A"/>
    <w:rsid w:val="00764A5B"/>
    <w:rsid w:val="00765193"/>
    <w:rsid w:val="00785398"/>
    <w:rsid w:val="0079417A"/>
    <w:rsid w:val="00796894"/>
    <w:rsid w:val="007979D3"/>
    <w:rsid w:val="00797C9F"/>
    <w:rsid w:val="007B78EC"/>
    <w:rsid w:val="007C2EC2"/>
    <w:rsid w:val="007C7257"/>
    <w:rsid w:val="007D2073"/>
    <w:rsid w:val="00802D88"/>
    <w:rsid w:val="00822D59"/>
    <w:rsid w:val="00824EB8"/>
    <w:rsid w:val="00832754"/>
    <w:rsid w:val="008407FB"/>
    <w:rsid w:val="00843035"/>
    <w:rsid w:val="0084537C"/>
    <w:rsid w:val="00851753"/>
    <w:rsid w:val="008604FB"/>
    <w:rsid w:val="00870A34"/>
    <w:rsid w:val="0087670D"/>
    <w:rsid w:val="00883E29"/>
    <w:rsid w:val="0089083B"/>
    <w:rsid w:val="008A09F9"/>
    <w:rsid w:val="008C10E8"/>
    <w:rsid w:val="008D4ECC"/>
    <w:rsid w:val="008D5131"/>
    <w:rsid w:val="008E02FC"/>
    <w:rsid w:val="008E2823"/>
    <w:rsid w:val="008F2687"/>
    <w:rsid w:val="0091707A"/>
    <w:rsid w:val="009321EF"/>
    <w:rsid w:val="009351A9"/>
    <w:rsid w:val="00954C85"/>
    <w:rsid w:val="00957ECF"/>
    <w:rsid w:val="009614EA"/>
    <w:rsid w:val="00961952"/>
    <w:rsid w:val="00974872"/>
    <w:rsid w:val="00975556"/>
    <w:rsid w:val="009D37D4"/>
    <w:rsid w:val="009E2A1B"/>
    <w:rsid w:val="009F2201"/>
    <w:rsid w:val="00A03F1D"/>
    <w:rsid w:val="00A04D83"/>
    <w:rsid w:val="00A22D47"/>
    <w:rsid w:val="00A340BD"/>
    <w:rsid w:val="00A35E64"/>
    <w:rsid w:val="00A406A7"/>
    <w:rsid w:val="00A45E60"/>
    <w:rsid w:val="00A4612A"/>
    <w:rsid w:val="00A52F18"/>
    <w:rsid w:val="00A57788"/>
    <w:rsid w:val="00A6190A"/>
    <w:rsid w:val="00A75E91"/>
    <w:rsid w:val="00A95840"/>
    <w:rsid w:val="00AA363B"/>
    <w:rsid w:val="00AA37F0"/>
    <w:rsid w:val="00AC21E8"/>
    <w:rsid w:val="00AC2F33"/>
    <w:rsid w:val="00AC50C2"/>
    <w:rsid w:val="00AC5384"/>
    <w:rsid w:val="00AD7E72"/>
    <w:rsid w:val="00AE2317"/>
    <w:rsid w:val="00AE2B9D"/>
    <w:rsid w:val="00AE55E9"/>
    <w:rsid w:val="00AE752A"/>
    <w:rsid w:val="00AF2E86"/>
    <w:rsid w:val="00B12F64"/>
    <w:rsid w:val="00B14F1B"/>
    <w:rsid w:val="00B15077"/>
    <w:rsid w:val="00B17D47"/>
    <w:rsid w:val="00B37422"/>
    <w:rsid w:val="00B477E2"/>
    <w:rsid w:val="00B53152"/>
    <w:rsid w:val="00B64841"/>
    <w:rsid w:val="00B70754"/>
    <w:rsid w:val="00B71DA6"/>
    <w:rsid w:val="00B73A81"/>
    <w:rsid w:val="00B76CB3"/>
    <w:rsid w:val="00B77CCC"/>
    <w:rsid w:val="00B81D4E"/>
    <w:rsid w:val="00B84594"/>
    <w:rsid w:val="00B90181"/>
    <w:rsid w:val="00B91B73"/>
    <w:rsid w:val="00B91CD1"/>
    <w:rsid w:val="00B92D12"/>
    <w:rsid w:val="00B93E20"/>
    <w:rsid w:val="00B94F47"/>
    <w:rsid w:val="00B963E5"/>
    <w:rsid w:val="00BA174D"/>
    <w:rsid w:val="00BC1207"/>
    <w:rsid w:val="00BC7F5C"/>
    <w:rsid w:val="00BD144D"/>
    <w:rsid w:val="00BD7327"/>
    <w:rsid w:val="00BE101C"/>
    <w:rsid w:val="00BE698C"/>
    <w:rsid w:val="00BF3E67"/>
    <w:rsid w:val="00C24455"/>
    <w:rsid w:val="00C35392"/>
    <w:rsid w:val="00C47B4A"/>
    <w:rsid w:val="00C53AFA"/>
    <w:rsid w:val="00C569FC"/>
    <w:rsid w:val="00C64008"/>
    <w:rsid w:val="00C6415A"/>
    <w:rsid w:val="00C977BD"/>
    <w:rsid w:val="00CA33B7"/>
    <w:rsid w:val="00CA680F"/>
    <w:rsid w:val="00CB2C3A"/>
    <w:rsid w:val="00CC2B3F"/>
    <w:rsid w:val="00CD0602"/>
    <w:rsid w:val="00CD4053"/>
    <w:rsid w:val="00CE7838"/>
    <w:rsid w:val="00CF6354"/>
    <w:rsid w:val="00D02A29"/>
    <w:rsid w:val="00D10184"/>
    <w:rsid w:val="00D2662F"/>
    <w:rsid w:val="00D404E9"/>
    <w:rsid w:val="00D64C38"/>
    <w:rsid w:val="00D658A3"/>
    <w:rsid w:val="00D660D5"/>
    <w:rsid w:val="00D8246D"/>
    <w:rsid w:val="00D873C3"/>
    <w:rsid w:val="00DA48A8"/>
    <w:rsid w:val="00DA67EE"/>
    <w:rsid w:val="00DA75F5"/>
    <w:rsid w:val="00DB3997"/>
    <w:rsid w:val="00DB6A93"/>
    <w:rsid w:val="00DC11A4"/>
    <w:rsid w:val="00DC55EA"/>
    <w:rsid w:val="00DD3019"/>
    <w:rsid w:val="00DD3DEC"/>
    <w:rsid w:val="00DD6F0C"/>
    <w:rsid w:val="00DE500D"/>
    <w:rsid w:val="00DE5491"/>
    <w:rsid w:val="00DF0BA8"/>
    <w:rsid w:val="00E0725A"/>
    <w:rsid w:val="00E25724"/>
    <w:rsid w:val="00E45648"/>
    <w:rsid w:val="00E4738C"/>
    <w:rsid w:val="00E50F56"/>
    <w:rsid w:val="00E5445D"/>
    <w:rsid w:val="00E8079D"/>
    <w:rsid w:val="00E8582C"/>
    <w:rsid w:val="00E96884"/>
    <w:rsid w:val="00EA248A"/>
    <w:rsid w:val="00EA424D"/>
    <w:rsid w:val="00EA6A10"/>
    <w:rsid w:val="00EB70E6"/>
    <w:rsid w:val="00EC15B4"/>
    <w:rsid w:val="00ED5074"/>
    <w:rsid w:val="00ED7C2A"/>
    <w:rsid w:val="00EE4C37"/>
    <w:rsid w:val="00EE4CC4"/>
    <w:rsid w:val="00EE6FC1"/>
    <w:rsid w:val="00F0233D"/>
    <w:rsid w:val="00F04B6F"/>
    <w:rsid w:val="00F12B30"/>
    <w:rsid w:val="00F24921"/>
    <w:rsid w:val="00F25CC4"/>
    <w:rsid w:val="00F605BB"/>
    <w:rsid w:val="00F633DA"/>
    <w:rsid w:val="00F634AB"/>
    <w:rsid w:val="00F65E5C"/>
    <w:rsid w:val="00F76E13"/>
    <w:rsid w:val="00F840BA"/>
    <w:rsid w:val="00F843A0"/>
    <w:rsid w:val="00F8545A"/>
    <w:rsid w:val="00F855C3"/>
    <w:rsid w:val="00F85DD9"/>
    <w:rsid w:val="00F925DE"/>
    <w:rsid w:val="00F95EA6"/>
    <w:rsid w:val="00FA6B32"/>
    <w:rsid w:val="00FD7133"/>
    <w:rsid w:val="00FF693B"/>
    <w:rsid w:val="02EA06D6"/>
    <w:rsid w:val="0FD512A9"/>
    <w:rsid w:val="10AB4CF2"/>
    <w:rsid w:val="572229E5"/>
    <w:rsid w:val="58A42641"/>
    <w:rsid w:val="5C8D6922"/>
    <w:rsid w:val="672D0D04"/>
    <w:rsid w:val="7F6ABA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F760"/>
  <w15:chartTrackingRefBased/>
  <w15:docId w15:val="{AC7D1046-44F0-4110-847F-67DB609F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64"/>
    <w:rPr>
      <w:rFonts w:eastAsiaTheme="majorEastAsia" w:cstheme="majorBidi"/>
      <w:color w:val="272727" w:themeColor="text1" w:themeTint="D8"/>
    </w:rPr>
  </w:style>
  <w:style w:type="paragraph" w:styleId="Title">
    <w:name w:val="Title"/>
    <w:basedOn w:val="Normal"/>
    <w:next w:val="Normal"/>
    <w:link w:val="TitleChar"/>
    <w:uiPriority w:val="10"/>
    <w:qFormat/>
    <w:rsid w:val="00274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64"/>
    <w:pPr>
      <w:spacing w:before="160"/>
      <w:jc w:val="center"/>
    </w:pPr>
    <w:rPr>
      <w:i/>
      <w:iCs/>
      <w:color w:val="404040" w:themeColor="text1" w:themeTint="BF"/>
    </w:rPr>
  </w:style>
  <w:style w:type="character" w:customStyle="1" w:styleId="QuoteChar">
    <w:name w:val="Quote Char"/>
    <w:basedOn w:val="DefaultParagraphFont"/>
    <w:link w:val="Quote"/>
    <w:uiPriority w:val="29"/>
    <w:rsid w:val="00274F64"/>
    <w:rPr>
      <w:i/>
      <w:iCs/>
      <w:color w:val="404040" w:themeColor="text1" w:themeTint="BF"/>
    </w:rPr>
  </w:style>
  <w:style w:type="paragraph" w:styleId="ListParagraph">
    <w:name w:val="List Paragraph"/>
    <w:basedOn w:val="Normal"/>
    <w:uiPriority w:val="34"/>
    <w:qFormat/>
    <w:rsid w:val="00274F64"/>
    <w:pPr>
      <w:ind w:left="720"/>
      <w:contextualSpacing/>
    </w:pPr>
  </w:style>
  <w:style w:type="character" w:styleId="IntenseEmphasis">
    <w:name w:val="Intense Emphasis"/>
    <w:basedOn w:val="DefaultParagraphFont"/>
    <w:uiPriority w:val="21"/>
    <w:qFormat/>
    <w:rsid w:val="00274F64"/>
    <w:rPr>
      <w:i/>
      <w:iCs/>
      <w:color w:val="0F4761" w:themeColor="accent1" w:themeShade="BF"/>
    </w:rPr>
  </w:style>
  <w:style w:type="paragraph" w:styleId="IntenseQuote">
    <w:name w:val="Intense Quote"/>
    <w:basedOn w:val="Normal"/>
    <w:next w:val="Normal"/>
    <w:link w:val="IntenseQuoteChar"/>
    <w:uiPriority w:val="30"/>
    <w:qFormat/>
    <w:rsid w:val="00274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64"/>
    <w:rPr>
      <w:i/>
      <w:iCs/>
      <w:color w:val="0F4761" w:themeColor="accent1" w:themeShade="BF"/>
    </w:rPr>
  </w:style>
  <w:style w:type="character" w:styleId="IntenseReference">
    <w:name w:val="Intense Reference"/>
    <w:basedOn w:val="DefaultParagraphFont"/>
    <w:uiPriority w:val="32"/>
    <w:qFormat/>
    <w:rsid w:val="00274F64"/>
    <w:rPr>
      <w:b/>
      <w:bCs/>
      <w:smallCaps/>
      <w:color w:val="0F4761" w:themeColor="accent1" w:themeShade="BF"/>
      <w:spacing w:val="5"/>
    </w:rPr>
  </w:style>
  <w:style w:type="paragraph" w:styleId="FootnoteText">
    <w:name w:val="footnote text"/>
    <w:basedOn w:val="Normal"/>
    <w:link w:val="FootnoteTextChar"/>
    <w:uiPriority w:val="99"/>
    <w:semiHidden/>
    <w:unhideWhenUsed/>
    <w:rsid w:val="00274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F64"/>
    <w:rPr>
      <w:sz w:val="20"/>
      <w:szCs w:val="20"/>
    </w:rPr>
  </w:style>
  <w:style w:type="character" w:styleId="FootnoteReference">
    <w:name w:val="footnote reference"/>
    <w:basedOn w:val="DefaultParagraphFont"/>
    <w:uiPriority w:val="99"/>
    <w:semiHidden/>
    <w:unhideWhenUsed/>
    <w:rsid w:val="00274F64"/>
    <w:rPr>
      <w:vertAlign w:val="superscript"/>
    </w:rPr>
  </w:style>
  <w:style w:type="character" w:styleId="Hyperlink">
    <w:name w:val="Hyperlink"/>
    <w:basedOn w:val="DefaultParagraphFont"/>
    <w:uiPriority w:val="99"/>
    <w:unhideWhenUsed/>
    <w:rsid w:val="00274F64"/>
    <w:rPr>
      <w:color w:val="467886" w:themeColor="hyperlink"/>
      <w:u w:val="single"/>
    </w:rPr>
  </w:style>
  <w:style w:type="character" w:customStyle="1" w:styleId="cf01">
    <w:name w:val="cf01"/>
    <w:basedOn w:val="DefaultParagraphFont"/>
    <w:rsid w:val="00274F64"/>
    <w:rPr>
      <w:rFonts w:ascii="Segoe UI" w:hAnsi="Segoe UI" w:cs="Segoe UI" w:hint="default"/>
      <w:sz w:val="18"/>
      <w:szCs w:val="18"/>
    </w:rPr>
  </w:style>
  <w:style w:type="character" w:styleId="CommentReference">
    <w:name w:val="annotation reference"/>
    <w:basedOn w:val="DefaultParagraphFont"/>
    <w:uiPriority w:val="99"/>
    <w:semiHidden/>
    <w:unhideWhenUsed/>
    <w:rsid w:val="00851753"/>
    <w:rPr>
      <w:sz w:val="16"/>
      <w:szCs w:val="16"/>
    </w:rPr>
  </w:style>
  <w:style w:type="character" w:styleId="Emphasis">
    <w:name w:val="Emphasis"/>
    <w:basedOn w:val="DefaultParagraphFont"/>
    <w:uiPriority w:val="20"/>
    <w:qFormat/>
    <w:rsid w:val="00F634AB"/>
    <w:rPr>
      <w:i/>
      <w:iCs/>
    </w:rPr>
  </w:style>
  <w:style w:type="paragraph" w:styleId="EndnoteText">
    <w:name w:val="endnote text"/>
    <w:basedOn w:val="Normal"/>
    <w:link w:val="EndnoteTextChar"/>
    <w:uiPriority w:val="99"/>
    <w:semiHidden/>
    <w:unhideWhenUsed/>
    <w:rsid w:val="00E807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79D"/>
    <w:rPr>
      <w:sz w:val="20"/>
      <w:szCs w:val="20"/>
    </w:rPr>
  </w:style>
  <w:style w:type="character" w:styleId="EndnoteReference">
    <w:name w:val="endnote reference"/>
    <w:basedOn w:val="DefaultParagraphFont"/>
    <w:uiPriority w:val="99"/>
    <w:semiHidden/>
    <w:unhideWhenUsed/>
    <w:rsid w:val="00E8079D"/>
    <w:rPr>
      <w:vertAlign w:val="superscript"/>
    </w:rPr>
  </w:style>
  <w:style w:type="paragraph" w:styleId="Header">
    <w:name w:val="header"/>
    <w:basedOn w:val="Normal"/>
    <w:link w:val="HeaderChar"/>
    <w:uiPriority w:val="99"/>
    <w:unhideWhenUsed/>
    <w:rsid w:val="006F4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46D"/>
  </w:style>
  <w:style w:type="paragraph" w:styleId="Footer">
    <w:name w:val="footer"/>
    <w:basedOn w:val="Normal"/>
    <w:link w:val="FooterChar"/>
    <w:uiPriority w:val="99"/>
    <w:unhideWhenUsed/>
    <w:rsid w:val="006F4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46D"/>
  </w:style>
  <w:style w:type="character" w:styleId="FollowedHyperlink">
    <w:name w:val="FollowedHyperlink"/>
    <w:basedOn w:val="DefaultParagraphFont"/>
    <w:uiPriority w:val="99"/>
    <w:semiHidden/>
    <w:unhideWhenUsed/>
    <w:rsid w:val="000050EF"/>
    <w:rPr>
      <w:color w:val="96607D" w:themeColor="followedHyperlink"/>
      <w:u w:val="single"/>
    </w:rPr>
  </w:style>
  <w:style w:type="paragraph" w:styleId="CommentText">
    <w:name w:val="annotation text"/>
    <w:basedOn w:val="Normal"/>
    <w:link w:val="CommentTextChar"/>
    <w:uiPriority w:val="99"/>
    <w:unhideWhenUsed/>
    <w:rsid w:val="004F2AF9"/>
    <w:pPr>
      <w:spacing w:line="240" w:lineRule="auto"/>
    </w:pPr>
    <w:rPr>
      <w:sz w:val="20"/>
      <w:szCs w:val="20"/>
    </w:rPr>
  </w:style>
  <w:style w:type="character" w:customStyle="1" w:styleId="CommentTextChar">
    <w:name w:val="Comment Text Char"/>
    <w:basedOn w:val="DefaultParagraphFont"/>
    <w:link w:val="CommentText"/>
    <w:uiPriority w:val="99"/>
    <w:rsid w:val="004F2AF9"/>
    <w:rPr>
      <w:sz w:val="20"/>
      <w:szCs w:val="20"/>
    </w:rPr>
  </w:style>
  <w:style w:type="paragraph" w:styleId="CommentSubject">
    <w:name w:val="annotation subject"/>
    <w:basedOn w:val="CommentText"/>
    <w:next w:val="CommentText"/>
    <w:link w:val="CommentSubjectChar"/>
    <w:uiPriority w:val="99"/>
    <w:semiHidden/>
    <w:unhideWhenUsed/>
    <w:rsid w:val="004F2AF9"/>
    <w:rPr>
      <w:b/>
      <w:bCs/>
    </w:rPr>
  </w:style>
  <w:style w:type="character" w:customStyle="1" w:styleId="CommentSubjectChar">
    <w:name w:val="Comment Subject Char"/>
    <w:basedOn w:val="CommentTextChar"/>
    <w:link w:val="CommentSubject"/>
    <w:uiPriority w:val="99"/>
    <w:semiHidden/>
    <w:rsid w:val="004F2AF9"/>
    <w:rPr>
      <w:b/>
      <w:bCs/>
      <w:sz w:val="20"/>
      <w:szCs w:val="20"/>
    </w:rPr>
  </w:style>
  <w:style w:type="paragraph" w:styleId="Revision">
    <w:name w:val="Revision"/>
    <w:hidden/>
    <w:uiPriority w:val="99"/>
    <w:semiHidden/>
    <w:rsid w:val="004D363F"/>
    <w:pPr>
      <w:spacing w:after="0" w:line="240" w:lineRule="auto"/>
    </w:pPr>
  </w:style>
  <w:style w:type="character" w:styleId="UnresolvedMention">
    <w:name w:val="Unresolved Mention"/>
    <w:basedOn w:val="DefaultParagraphFont"/>
    <w:uiPriority w:val="99"/>
    <w:semiHidden/>
    <w:unhideWhenUsed/>
    <w:rsid w:val="00691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abs.gov.au/statistics/people/people-and-communities/how-australians-use-their-time/latest-release" TargetMode="External"/><Relationship Id="rId13" Type="http://schemas.openxmlformats.org/officeDocument/2006/relationships/hyperlink" Target="https://www.abs.gov.au/statistics/people/crime-and-justice/personal-safety-australia/latest-release" TargetMode="External"/><Relationship Id="rId18" Type="http://schemas.openxmlformats.org/officeDocument/2006/relationships/hyperlink" Target="https://www.anrows.org.au/project/crossing-the-line-lived-experience-of-sexual-violence-among-trans-women-from-culturally-and-linguistically-diverse-backgrounds-in-australia/" TargetMode="External"/><Relationship Id="rId3" Type="http://schemas.openxmlformats.org/officeDocument/2006/relationships/hyperlink" Target="https://www.wgea.gov.au/gender-equality-and-diversity" TargetMode="External"/><Relationship Id="rId21" Type="http://schemas.openxmlformats.org/officeDocument/2006/relationships/hyperlink" Target="https://melbourneinstitute.unimelb.edu.au/__data/assets/pdf_file/0008/4841909/HILDA_Statistical_Report_2023.pdf" TargetMode="External"/><Relationship Id="rId7" Type="http://schemas.openxmlformats.org/officeDocument/2006/relationships/hyperlink" Target="https://www.wgea.gov.au/publications/australias-gender-equality-scorecard" TargetMode="External"/><Relationship Id="rId12" Type="http://schemas.openxmlformats.org/officeDocument/2006/relationships/hyperlink" Target="https://ihra.org.au/18106/what-is-intersex/" TargetMode="External"/><Relationship Id="rId17" Type="http://schemas.openxmlformats.org/officeDocument/2006/relationships/hyperlink" Target="https://www.kirby.unsw.edu.au/sites/default/files/documents/ATGD-Sexual-Health-Survey-Report_2018.pdf" TargetMode="External"/><Relationship Id="rId2" Type="http://schemas.openxmlformats.org/officeDocument/2006/relationships/hyperlink" Target="https://www.wgea.gov.au/gender-equality-and-diversity" TargetMode="External"/><Relationship Id="rId16" Type="http://schemas.openxmlformats.org/officeDocument/2006/relationships/hyperlink" Target="https://www.flatout.org.au/resources/harm-in-the-name-of-safety" TargetMode="External"/><Relationship Id="rId20" Type="http://schemas.openxmlformats.org/officeDocument/2006/relationships/hyperlink" Target="https://genderequality.gov.au/sites/default/files/2024-03/working-for-women-a-strategy-for-gender-equality.pdf" TargetMode="External"/><Relationship Id="rId1" Type="http://schemas.openxmlformats.org/officeDocument/2006/relationships/hyperlink" Target="https://www.wgea.gov.au/publications/australias-gender-equality-scorecard" TargetMode="External"/><Relationship Id="rId6" Type="http://schemas.openxmlformats.org/officeDocument/2006/relationships/hyperlink" Target="https://www.wgea.gov.au/sites/default/files/documents/2022-23%20WGEA%20Gender%20Equality%20Scorecard.pdf?utm_source=DCA+Updates&amp;utm_campaign=68bd1e1076-EMAIL_CAMPAIGN_2023_07_12_05_41_COPY_01&amp;utm_medium=email&amp;utm_term=0_-9b648390fd-%5BLIST_EMAIL_ID%5D" TargetMode="External"/><Relationship Id="rId11" Type="http://schemas.openxmlformats.org/officeDocument/2006/relationships/hyperlink" Target="https://humanrights.gov.au/time-for-respect-2022" TargetMode="External"/><Relationship Id="rId24" Type="http://schemas.openxmlformats.org/officeDocument/2006/relationships/hyperlink" Target="https://humanrights.gov.au/know-your-rights/rights-of-individuals/lgbtiq-rights/trans-and-gender-diverse-rights-in-australia/explainer-trans-and-gender-diverse-peoples-rights-in-australia" TargetMode="External"/><Relationship Id="rId5" Type="http://schemas.openxmlformats.org/officeDocument/2006/relationships/hyperlink" Target="https://www.wgea.gov.au/publications/australias-gender-equality-scorecard" TargetMode="External"/><Relationship Id="rId15" Type="http://schemas.openxmlformats.org/officeDocument/2006/relationships/hyperlink" Target="https://djirra.org.au/yoorrook-justice-commission-14-june-2024/" TargetMode="External"/><Relationship Id="rId23" Type="http://schemas.openxmlformats.org/officeDocument/2006/relationships/hyperlink" Target="https://genderequality.gov.au/sites/default/files/2024-03/working-for-women-a-strategy-for-gender-equality.pdf" TargetMode="External"/><Relationship Id="rId10" Type="http://schemas.openxmlformats.org/officeDocument/2006/relationships/hyperlink" Target="https://www.unisa.edu.au/research/cwex/projects/national-study-on-parents-work-conditions-pregnancy-leave-and-return-to-work/" TargetMode="External"/><Relationship Id="rId19" Type="http://schemas.openxmlformats.org/officeDocument/2006/relationships/hyperlink" Target="https://disability.royalcommission.gov.au/system/files/2021-11/Research%20Report%20-%20Nature%20and%20extent%20of%20violence%2C%20abuse%2C%20neglect%20and%20exploitation%20against%20people%20with%20disability%20in%20Australia.pdf" TargetMode="External"/><Relationship Id="rId4" Type="http://schemas.openxmlformats.org/officeDocument/2006/relationships/hyperlink" Target="https://www.wgea.gov.au/sites/default/files/documents/2022-23%20WGEA%20Gender%20Equality%20Scorecard.pdf?utm_source=DCA+Updates&amp;utm_campaign=68bd1e1076-EMAIL_CAMPAIGN_2023_07_12_05_41_COPY_01&amp;utm_medium=email&amp;utm_term=0_-9b648390fd-%5BLIST_EMAIL_ID%5D" TargetMode="External"/><Relationship Id="rId9" Type="http://schemas.openxmlformats.org/officeDocument/2006/relationships/hyperlink" Target="https://www.abs.gov.au/statistics/health/disability/disability-ageing-and-carers-australia-summary-findings/latest-release" TargetMode="External"/><Relationship Id="rId14" Type="http://schemas.openxmlformats.org/officeDocument/2006/relationships/hyperlink" Target="https://www.abs.gov.au/statistics/health/disability/disability-ageing-and-carers-australia-summary-findings/latest-release" TargetMode="External"/><Relationship Id="rId22" Type="http://schemas.openxmlformats.org/officeDocument/2006/relationships/hyperlink" Target="https://hdr.undp.org/content/2023-gender-social-norms-index-gs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xsi:nil="true"/>
    <lcf76f155ced4ddcb4097134ff3c332f xmlns="8ab8274c-36ab-426d-bae7-27aa9ddedea4">
      <Terms xmlns="http://schemas.microsoft.com/office/infopath/2007/PartnerControls"/>
    </lcf76f155ced4ddcb4097134ff3c332f>
    <TaxKeywordTaxHTField xmlns="6500fe01-343b-4fb9-a1b0-68ac19d62e01">
      <Terms xmlns="http://schemas.microsoft.com/office/infopath/2007/PartnerControls"/>
    </TaxKeywordTaxHTField>
    <_dlc_DocId xmlns="6500fe01-343b-4fb9-a1b0-68ac19d62e01">2VJSNK2QYUME-83637454-3094</_dlc_DocId>
    <_dlc_DocIdUrl xmlns="6500fe01-343b-4fb9-a1b0-68ac19d62e01">
      <Url>https://australianhrc.sharepoint.com/sites/WorkplaceandCommunityEducation/_layouts/15/DocIdRedir.aspx?ID=2VJSNK2QYUME-83637454-3094</Url>
      <Description>2VJSNK2QYUME-83637454-3094</Description>
    </_dlc_DocIdUrl>
  </documentManagement>
</p:properties>
</file>

<file path=customXml/item6.xml><?xml version="1.0" encoding="utf-8"?>
<?mso-contentType ?>
<SharedContentType xmlns="Microsoft.SharePoint.Taxonomy.ContentTypeSync" SourceId="975c5ac6-a0cc-43ed-b850-4a2ae59237b6" ContentTypeId="0x0101" PreviousValue="false" LastSyncTimeStamp="2019-01-22T02:06:15.047Z"/>
</file>

<file path=customXml/item7.xml><?xml version="1.0" encoding="utf-8"?>
<ct:contentTypeSchema xmlns:ct="http://schemas.microsoft.com/office/2006/metadata/contentType" xmlns:ma="http://schemas.microsoft.com/office/2006/metadata/properties/metaAttributes" ct:_="" ma:_="" ma:contentTypeName="Document" ma:contentTypeID="0x010100F87D1D285B49384795D5279A90E5FF12" ma:contentTypeVersion="13" ma:contentTypeDescription="Create a new document." ma:contentTypeScope="" ma:versionID="3d38a8031ef4f9686649443a2493919a">
  <xsd:schema xmlns:xsd="http://www.w3.org/2001/XMLSchema" xmlns:xs="http://www.w3.org/2001/XMLSchema" xmlns:p="http://schemas.microsoft.com/office/2006/metadata/properties" xmlns:ns2="6500fe01-343b-4fb9-a1b0-68ac19d62e01" xmlns:ns3="490d545e-0cea-44bb-b9e1-b9f087fbecb5" xmlns:ns4="8ab8274c-36ab-426d-bae7-27aa9ddedea4" targetNamespace="http://schemas.microsoft.com/office/2006/metadata/properties" ma:root="true" ma:fieldsID="eaf5ed5ab4ea87a0fc89288e25396040" ns2:_="" ns3:_="" ns4:_="">
    <xsd:import namespace="6500fe01-343b-4fb9-a1b0-68ac19d62e01"/>
    <xsd:import namespace="490d545e-0cea-44bb-b9e1-b9f087fbecb5"/>
    <xsd:import namespace="8ab8274c-36ab-426d-bae7-27aa9ddedea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8274c-36ab-426d-bae7-27aa9ddedea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AB872-803A-4FCA-8163-5DF305FF2303}">
  <ds:schemaRefs>
    <ds:schemaRef ds:uri="http://schemas.microsoft.com/office/2006/metadata/customXsn"/>
  </ds:schemaRefs>
</ds:datastoreItem>
</file>

<file path=customXml/itemProps2.xml><?xml version="1.0" encoding="utf-8"?>
<ds:datastoreItem xmlns:ds="http://schemas.openxmlformats.org/officeDocument/2006/customXml" ds:itemID="{C6F581A3-0AD3-416C-B7FC-B121ABE96402}">
  <ds:schemaRefs>
    <ds:schemaRef ds:uri="http://schemas.microsoft.com/sharepoint/v3/contenttype/forms"/>
  </ds:schemaRefs>
</ds:datastoreItem>
</file>

<file path=customXml/itemProps3.xml><?xml version="1.0" encoding="utf-8"?>
<ds:datastoreItem xmlns:ds="http://schemas.openxmlformats.org/officeDocument/2006/customXml" ds:itemID="{0D35072C-9862-4270-B812-30DFD43A15B3}">
  <ds:schemaRefs>
    <ds:schemaRef ds:uri="http://schemas.microsoft.com/sharepoint/events"/>
  </ds:schemaRefs>
</ds:datastoreItem>
</file>

<file path=customXml/itemProps4.xml><?xml version="1.0" encoding="utf-8"?>
<ds:datastoreItem xmlns:ds="http://schemas.openxmlformats.org/officeDocument/2006/customXml" ds:itemID="{12F68C86-8286-4080-B406-CA3E9539CC5D}">
  <ds:schemaRefs>
    <ds:schemaRef ds:uri="http://schemas.openxmlformats.org/officeDocument/2006/bibliography"/>
  </ds:schemaRefs>
</ds:datastoreItem>
</file>

<file path=customXml/itemProps5.xml><?xml version="1.0" encoding="utf-8"?>
<ds:datastoreItem xmlns:ds="http://schemas.openxmlformats.org/officeDocument/2006/customXml" ds:itemID="{06D91A53-54CE-4AAC-A578-058CB0F05DFE}">
  <ds:schemaRefs>
    <ds:schemaRef ds:uri="http://schemas.microsoft.com/office/2006/metadata/properties"/>
    <ds:schemaRef ds:uri="http://schemas.microsoft.com/office/infopath/2007/PartnerControls"/>
    <ds:schemaRef ds:uri="6500fe01-343b-4fb9-a1b0-68ac19d62e01"/>
    <ds:schemaRef ds:uri="8ab8274c-36ab-426d-bae7-27aa9ddedea4"/>
  </ds:schemaRefs>
</ds:datastoreItem>
</file>

<file path=customXml/itemProps6.xml><?xml version="1.0" encoding="utf-8"?>
<ds:datastoreItem xmlns:ds="http://schemas.openxmlformats.org/officeDocument/2006/customXml" ds:itemID="{DC4F0B0B-33F5-4392-A8D4-A43F05713C5E}">
  <ds:schemaRefs>
    <ds:schemaRef ds:uri="Microsoft.SharePoint.Taxonomy.ContentTypeSync"/>
  </ds:schemaRefs>
</ds:datastoreItem>
</file>

<file path=customXml/itemProps7.xml><?xml version="1.0" encoding="utf-8"?>
<ds:datastoreItem xmlns:ds="http://schemas.openxmlformats.org/officeDocument/2006/customXml" ds:itemID="{044A557E-C526-436B-8E11-1D0BA04FD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8ab8274c-36ab-426d-bae7-27aa9dded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5</Pages>
  <Words>531</Words>
  <Characters>2935</Characters>
  <Application>Microsoft Office Word</Application>
  <DocSecurity>0</DocSecurity>
  <Lines>154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Stevens</cp:lastModifiedBy>
  <cp:revision>214</cp:revision>
  <dcterms:created xsi:type="dcterms:W3CDTF">2024-11-02T09:37:00Z</dcterms:created>
  <dcterms:modified xsi:type="dcterms:W3CDTF">2026-03-20T06:27:00Z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0x010100F87D1D285B49384795D5279A90E5FF12</vt:lpwstr>
  </property>
  <property fmtid="{D5CDD505-2E9C-101B-9397-08002B2CF9AE}" pid="3" name="_dlc_DocIdItemGuid">
    <vt:lpwstr>3d87deb2-3882-4fae-bce2-f49346023322</vt:lpwstr>
  </property>
  <property fmtid="{D5CDD505-2E9C-101B-9397-08002B2CF9AE}" pid="4" name="TaxKeyword">
    <vt:lpwstr/>
  </property>
  <property fmtid="{D5CDD505-2E9C-101B-9397-08002B2CF9AE}" pid="5" name="MediaServiceImageTags">
    <vt:lpwstr/>
  </property>
</Properties>
</file>