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A6B04" w14:textId="04B07E63" w:rsidR="00591951" w:rsidRPr="00AE0AD1" w:rsidRDefault="00A84077" w:rsidP="00591951">
      <w:pPr>
        <w:tabs>
          <w:tab w:val="left" w:pos="3014"/>
        </w:tabs>
        <w:spacing w:after="3000"/>
        <w:rPr>
          <w:rStyle w:val="FootnoteReference"/>
          <w:rFonts w:ascii="Open Sans" w:hAnsi="Open Sans" w:cs="Open Sans"/>
        </w:rPr>
      </w:pPr>
      <w:r w:rsidRPr="00AE0AD1">
        <w:rPr>
          <w:rFonts w:ascii="Open Sans" w:hAnsi="Open Sans" w:cs="Open Sans"/>
          <w:noProof/>
        </w:rPr>
        <mc:AlternateContent>
          <mc:Choice Requires="wps">
            <w:drawing>
              <wp:anchor distT="0" distB="0" distL="114300" distR="114300" simplePos="0" relativeHeight="251658240" behindDoc="0" locked="0" layoutInCell="1" allowOverlap="1" wp14:anchorId="65DA6B34" wp14:editId="1F911C31">
                <wp:simplePos x="0" y="0"/>
                <wp:positionH relativeFrom="column">
                  <wp:posOffset>21466</wp:posOffset>
                </wp:positionH>
                <wp:positionV relativeFrom="paragraph">
                  <wp:posOffset>-40036</wp:posOffset>
                </wp:positionV>
                <wp:extent cx="5717488" cy="1485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7488" cy="1485900"/>
                        </a:xfrm>
                        <a:prstGeom prst="rect">
                          <a:avLst/>
                        </a:prstGeom>
                        <a:noFill/>
                        <a:ln w="6350">
                          <a:noFill/>
                        </a:ln>
                        <a:effectLst/>
                      </wps:spPr>
                      <wps:txbx>
                        <w:txbxContent>
                          <w:p w14:paraId="65DA6B60" w14:textId="3D7D918B" w:rsidR="0007041C" w:rsidRDefault="0007041C" w:rsidP="00FD01B5">
                            <w:pPr>
                              <w:pStyle w:val="MainTitle"/>
                            </w:pPr>
                            <w:r>
                              <w:t>Inquiry into the Australian Security Intelligence Organisation Amendment Bill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A6B34" id="_x0000_t202" coordsize="21600,21600" o:spt="202" path="m,l,21600r21600,l21600,xe">
                <v:stroke joinstyle="miter"/>
                <v:path gradientshapeok="t" o:connecttype="rect"/>
              </v:shapetype>
              <v:shape id="Text Box 1" o:spid="_x0000_s1026" type="#_x0000_t202" style="position:absolute;margin-left:1.7pt;margin-top:-3.15pt;width:450.2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" filled="f" stroked="f" strokeweight=".5pt">
                <v:textbox>
                  <w:txbxContent>
                    <w:p w14:paraId="65DA6B60" w14:textId="3D7D918B" w:rsidR="0007041C" w:rsidRDefault="0007041C" w:rsidP="00FD01B5">
                      <w:pPr>
                        <w:pStyle w:val="MainTitle"/>
                      </w:pPr>
                      <w:r>
                        <w:t>Inquiry into the Australian Security Intelligence Organisation Amendment Bill 2020</w:t>
                      </w:r>
                    </w:p>
                  </w:txbxContent>
                </v:textbox>
              </v:shape>
            </w:pict>
          </mc:Fallback>
        </mc:AlternateContent>
      </w:r>
      <w:r w:rsidR="003E7BCB" w:rsidRPr="00AE0AD1">
        <w:rPr>
          <w:rFonts w:ascii="Open Sans" w:hAnsi="Open Sans" w:cs="Open Sans"/>
          <w:noProof/>
        </w:rPr>
        <mc:AlternateContent>
          <mc:Choice Requires="wps">
            <w:drawing>
              <wp:anchor distT="0" distB="0" distL="114300" distR="114300" simplePos="0" relativeHeight="251658241" behindDoc="0" locked="0" layoutInCell="1" allowOverlap="1" wp14:anchorId="65DA6B30" wp14:editId="050EC01D">
                <wp:simplePos x="0" y="0"/>
                <wp:positionH relativeFrom="column">
                  <wp:posOffset>-848042</wp:posOffset>
                </wp:positionH>
                <wp:positionV relativeFrom="paragraph">
                  <wp:posOffset>1453515</wp:posOffset>
                </wp:positionV>
                <wp:extent cx="6582727" cy="504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727" cy="504825"/>
                        </a:xfrm>
                        <a:prstGeom prst="rect">
                          <a:avLst/>
                        </a:prstGeom>
                        <a:noFill/>
                        <a:ln w="6350">
                          <a:noFill/>
                        </a:ln>
                        <a:effectLst/>
                      </wps:spPr>
                      <wps:txbx>
                        <w:txbxContent>
                          <w:p w14:paraId="65DA6B5D" w14:textId="07366C4E" w:rsidR="0007041C" w:rsidRPr="00B74219" w:rsidRDefault="0007041C" w:rsidP="00A11307">
                            <w:pPr>
                              <w:pStyle w:val="Subtitle"/>
                            </w:pPr>
                            <w:bookmarkStart w:id="0" w:name="_Toc44496113"/>
                            <w:r w:rsidRPr="002863D7">
                              <w:t xml:space="preserve">Australian Human Rights Commission Submission to the </w:t>
                            </w:r>
                            <w:r>
                              <w:t>Parliamentary joint committee on intelligence and security</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6B30" id="Text Box 3" o:spid="_x0000_s1027" type="#_x0000_t202" style="position:absolute;margin-left:-66.75pt;margin-top:114.45pt;width:518.3pt;height:3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" filled="f" stroked="f" strokeweight=".5pt">
                <v:textbox>
                  <w:txbxContent>
                    <w:p w14:paraId="65DA6B5D" w14:textId="07366C4E" w:rsidR="0007041C" w:rsidRPr="00B74219" w:rsidRDefault="0007041C" w:rsidP="00A11307">
                      <w:pPr>
                        <w:pStyle w:val="Subtitle"/>
                      </w:pPr>
                      <w:bookmarkStart w:id="1" w:name="_Toc44496113"/>
                      <w:r w:rsidRPr="002863D7">
                        <w:t xml:space="preserve">Australian Human Rights Commission Submission to the </w:t>
                      </w:r>
                      <w:r>
                        <w:t>Parliamentary joint committee on intelligence and security</w:t>
                      </w:r>
                      <w:bookmarkEnd w:id="1"/>
                    </w:p>
                  </w:txbxContent>
                </v:textbox>
              </v:shape>
            </w:pict>
          </mc:Fallback>
        </mc:AlternateContent>
      </w:r>
      <w:r w:rsidR="003E7BCB" w:rsidRPr="00AE0AD1">
        <w:rPr>
          <w:rFonts w:ascii="Open Sans" w:hAnsi="Open Sans" w:cs="Open Sans"/>
          <w:noProof/>
        </w:rPr>
        <mc:AlternateContent>
          <mc:Choice Requires="wps">
            <w:drawing>
              <wp:anchor distT="0" distB="0" distL="114300" distR="114300" simplePos="0" relativeHeight="251658242" behindDoc="0" locked="0" layoutInCell="1" allowOverlap="1" wp14:anchorId="65DA6B32" wp14:editId="5ACD795A">
                <wp:simplePos x="0" y="0"/>
                <wp:positionH relativeFrom="column">
                  <wp:posOffset>1959610</wp:posOffset>
                </wp:positionH>
                <wp:positionV relativeFrom="paragraph">
                  <wp:posOffset>1975485</wp:posOffset>
                </wp:positionV>
                <wp:extent cx="3775075" cy="3613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14:paraId="65DA6B5E" w14:textId="6A83F651" w:rsidR="0007041C" w:rsidRPr="00B74219" w:rsidRDefault="0007041C" w:rsidP="002863D7">
                            <w:pPr>
                              <w:pStyle w:val="Date"/>
                            </w:pPr>
                            <w:r>
                              <w:t>1 July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A6B32" id="Text Box 4" o:spid="_x0000_s1028" type="#_x0000_t202" style="position:absolute;margin-left:154.3pt;margin-top:155.55pt;width:297.25pt;height:28.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" filled="f" stroked="f" strokeweight=".5pt">
                <v:textbox>
                  <w:txbxContent>
                    <w:p w14:paraId="65DA6B5E" w14:textId="6A83F651" w:rsidR="0007041C" w:rsidRPr="00B74219" w:rsidRDefault="0007041C" w:rsidP="002863D7">
                      <w:pPr>
                        <w:pStyle w:val="Date"/>
                      </w:pPr>
                      <w:r>
                        <w:t>1 July 2020</w:t>
                      </w:r>
                    </w:p>
                  </w:txbxContent>
                </v:textbox>
              </v:shape>
            </w:pict>
          </mc:Fallback>
        </mc:AlternateContent>
      </w:r>
    </w:p>
    <w:p w14:paraId="65DA6B05" w14:textId="77777777" w:rsidR="00591951" w:rsidRPr="00AE0AD1" w:rsidRDefault="00591951" w:rsidP="00591951">
      <w:pPr>
        <w:pStyle w:val="MainTitle"/>
        <w:rPr>
          <w:rFonts w:ascii="Open Sans" w:hAnsi="Open Sans" w:cs="Open Sans"/>
          <w:sz w:val="44"/>
          <w:szCs w:val="44"/>
        </w:rPr>
      </w:pPr>
    </w:p>
    <w:p w14:paraId="65DA6B06" w14:textId="77777777" w:rsidR="00B924E6" w:rsidRPr="00AE0AD1" w:rsidRDefault="00B924E6" w:rsidP="00E26B28">
      <w:pPr>
        <w:rPr>
          <w:rFonts w:ascii="Open Sans" w:hAnsi="Open Sans" w:cs="Open Sans"/>
        </w:rPr>
        <w:sectPr w:rsidR="00B924E6" w:rsidRPr="00AE0AD1" w:rsidSect="00B24B1D">
          <w:headerReference w:type="even" r:id="rId14"/>
          <w:headerReference w:type="default" r:id="rId15"/>
          <w:footerReference w:type="default" r:id="rId16"/>
          <w:headerReference w:type="first" r:id="rId17"/>
          <w:footerReference w:type="first" r:id="rId18"/>
          <w:type w:val="continuous"/>
          <w:pgSz w:w="11906" w:h="16838" w:code="9"/>
          <w:pgMar w:top="228" w:right="1700" w:bottom="1134" w:left="1418" w:header="277" w:footer="415" w:gutter="0"/>
          <w:cols w:space="708"/>
          <w:titlePg/>
          <w:docGrid w:linePitch="360"/>
        </w:sectPr>
      </w:pPr>
      <w:bookmarkStart w:id="2" w:name="_Toc209316062"/>
      <w:bookmarkEnd w:id="2"/>
    </w:p>
    <w:p w14:paraId="65DA6B07" w14:textId="77777777" w:rsidR="00B63D24" w:rsidRPr="00AE0AD1" w:rsidRDefault="00B63D24" w:rsidP="00B63D24">
      <w:pPr>
        <w:rPr>
          <w:rFonts w:ascii="Open Sans" w:hAnsi="Open Sans" w:cs="Open Sans"/>
          <w:b/>
          <w:sz w:val="28"/>
          <w:szCs w:val="28"/>
        </w:rPr>
      </w:pPr>
      <w:bookmarkStart w:id="3" w:name="_Toc207761829"/>
      <w:r w:rsidRPr="00AE0AD1">
        <w:rPr>
          <w:rFonts w:ascii="Open Sans" w:hAnsi="Open Sans" w:cs="Open Sans"/>
          <w:b/>
          <w:sz w:val="28"/>
          <w:szCs w:val="28"/>
        </w:rPr>
        <w:lastRenderedPageBreak/>
        <w:t>Table of Contents</w:t>
      </w:r>
      <w:bookmarkEnd w:id="3"/>
    </w:p>
    <w:p w14:paraId="44D6C91F" w14:textId="638D9093" w:rsidR="00DD62D8" w:rsidRDefault="00B63D24">
      <w:pPr>
        <w:pStyle w:val="TOC2"/>
        <w:rPr>
          <w:rFonts w:asciiTheme="minorHAnsi" w:eastAsiaTheme="minorEastAsia" w:hAnsiTheme="minorHAnsi" w:cstheme="minorBidi"/>
          <w:b w:val="0"/>
          <w:i w:val="0"/>
          <w:sz w:val="22"/>
          <w:szCs w:val="22"/>
          <w:lang w:val="en-US" w:eastAsia="en-US"/>
        </w:rPr>
      </w:pPr>
      <w:r w:rsidRPr="00AE0AD1">
        <w:rPr>
          <w:rFonts w:ascii="Open Sans" w:hAnsi="Open Sans" w:cs="Open Sans"/>
        </w:rPr>
        <w:fldChar w:fldCharType="begin"/>
      </w:r>
      <w:r w:rsidRPr="00AE0AD1">
        <w:rPr>
          <w:rFonts w:ascii="Open Sans" w:hAnsi="Open Sans" w:cs="Open Sans"/>
        </w:rPr>
        <w:instrText xml:space="preserve"> TOC \o "1-4" \h \z \u </w:instrText>
      </w:r>
      <w:r w:rsidRPr="00AE0AD1">
        <w:rPr>
          <w:rFonts w:ascii="Open Sans" w:hAnsi="Open Sans" w:cs="Open Sans"/>
        </w:rPr>
        <w:fldChar w:fldCharType="separate"/>
      </w:r>
      <w:hyperlink r:id="rId19" w:anchor="_Toc44496113" w:history="1">
        <w:r w:rsidR="00DD62D8" w:rsidRPr="00207291">
          <w:rPr>
            <w:rStyle w:val="Hyperlink"/>
          </w:rPr>
          <w:t>Australian Human Rights Commission Submission to the Parliamentary joint committee on intelligence and security</w:t>
        </w:r>
        <w:r w:rsidR="00DD62D8">
          <w:rPr>
            <w:webHidden/>
          </w:rPr>
          <w:tab/>
        </w:r>
        <w:r w:rsidR="00DD62D8">
          <w:rPr>
            <w:webHidden/>
          </w:rPr>
          <w:fldChar w:fldCharType="begin"/>
        </w:r>
        <w:r w:rsidR="00DD62D8">
          <w:rPr>
            <w:webHidden/>
          </w:rPr>
          <w:instrText xml:space="preserve"> PAGEREF _Toc44496113 \h </w:instrText>
        </w:r>
        <w:r w:rsidR="00DD62D8">
          <w:rPr>
            <w:webHidden/>
          </w:rPr>
        </w:r>
        <w:r w:rsidR="00DD62D8">
          <w:rPr>
            <w:webHidden/>
          </w:rPr>
          <w:fldChar w:fldCharType="separate"/>
        </w:r>
        <w:r w:rsidR="00A913B3">
          <w:rPr>
            <w:webHidden/>
          </w:rPr>
          <w:t>1</w:t>
        </w:r>
        <w:r w:rsidR="00DD62D8">
          <w:rPr>
            <w:webHidden/>
          </w:rPr>
          <w:fldChar w:fldCharType="end"/>
        </w:r>
      </w:hyperlink>
    </w:p>
    <w:p w14:paraId="7EEE7F9A" w14:textId="2E546178" w:rsidR="00DD62D8" w:rsidRDefault="00104D9F">
      <w:pPr>
        <w:pStyle w:val="TOC1"/>
        <w:rPr>
          <w:rFonts w:asciiTheme="minorHAnsi" w:eastAsiaTheme="minorEastAsia" w:hAnsiTheme="minorHAnsi" w:cstheme="minorBidi"/>
          <w:b w:val="0"/>
          <w:szCs w:val="22"/>
          <w:lang w:val="en-US" w:eastAsia="en-US"/>
        </w:rPr>
      </w:pPr>
      <w:hyperlink w:anchor="_Toc44496114" w:history="1">
        <w:r w:rsidR="00DD62D8" w:rsidRPr="00207291">
          <w:rPr>
            <w:rStyle w:val="Hyperlink"/>
            <w:rFonts w:ascii="Open Sans" w:hAnsi="Open Sans" w:cs="Open Sans"/>
          </w:rPr>
          <w:t>1</w:t>
        </w:r>
        <w:r w:rsidR="00DD62D8">
          <w:rPr>
            <w:rFonts w:asciiTheme="minorHAnsi" w:eastAsiaTheme="minorEastAsia" w:hAnsiTheme="minorHAnsi" w:cstheme="minorBidi"/>
            <w:b w:val="0"/>
            <w:szCs w:val="22"/>
            <w:lang w:val="en-US" w:eastAsia="en-US"/>
          </w:rPr>
          <w:tab/>
        </w:r>
        <w:r w:rsidR="00DD62D8" w:rsidRPr="00207291">
          <w:rPr>
            <w:rStyle w:val="Hyperlink"/>
            <w:rFonts w:ascii="Open Sans" w:hAnsi="Open Sans" w:cs="Open Sans"/>
          </w:rPr>
          <w:t>Introduction</w:t>
        </w:r>
        <w:r w:rsidR="00DD62D8">
          <w:rPr>
            <w:webHidden/>
          </w:rPr>
          <w:tab/>
        </w:r>
        <w:r w:rsidR="00DD62D8">
          <w:rPr>
            <w:webHidden/>
          </w:rPr>
          <w:fldChar w:fldCharType="begin"/>
        </w:r>
        <w:r w:rsidR="00DD62D8">
          <w:rPr>
            <w:webHidden/>
          </w:rPr>
          <w:instrText xml:space="preserve"> PAGEREF _Toc44496114 \h </w:instrText>
        </w:r>
        <w:r w:rsidR="00DD62D8">
          <w:rPr>
            <w:webHidden/>
          </w:rPr>
        </w:r>
        <w:r w:rsidR="00DD62D8">
          <w:rPr>
            <w:webHidden/>
          </w:rPr>
          <w:fldChar w:fldCharType="separate"/>
        </w:r>
        <w:r w:rsidR="00A913B3">
          <w:rPr>
            <w:webHidden/>
          </w:rPr>
          <w:t>3</w:t>
        </w:r>
        <w:r w:rsidR="00DD62D8">
          <w:rPr>
            <w:webHidden/>
          </w:rPr>
          <w:fldChar w:fldCharType="end"/>
        </w:r>
      </w:hyperlink>
    </w:p>
    <w:p w14:paraId="1EA232E1" w14:textId="13EB9C94" w:rsidR="00DD62D8" w:rsidRDefault="00104D9F">
      <w:pPr>
        <w:pStyle w:val="TOC1"/>
        <w:rPr>
          <w:rFonts w:asciiTheme="minorHAnsi" w:eastAsiaTheme="minorEastAsia" w:hAnsiTheme="minorHAnsi" w:cstheme="minorBidi"/>
          <w:b w:val="0"/>
          <w:szCs w:val="22"/>
          <w:lang w:val="en-US" w:eastAsia="en-US"/>
        </w:rPr>
      </w:pPr>
      <w:hyperlink w:anchor="_Toc44496115" w:history="1">
        <w:r w:rsidR="00DD62D8" w:rsidRPr="00207291">
          <w:rPr>
            <w:rStyle w:val="Hyperlink"/>
            <w:rFonts w:ascii="Open Sans" w:hAnsi="Open Sans" w:cs="Open Sans"/>
          </w:rPr>
          <w:t>2</w:t>
        </w:r>
        <w:r w:rsidR="00DD62D8">
          <w:rPr>
            <w:rFonts w:asciiTheme="minorHAnsi" w:eastAsiaTheme="minorEastAsia" w:hAnsiTheme="minorHAnsi" w:cstheme="minorBidi"/>
            <w:b w:val="0"/>
            <w:szCs w:val="22"/>
            <w:lang w:val="en-US" w:eastAsia="en-US"/>
          </w:rPr>
          <w:tab/>
        </w:r>
        <w:r w:rsidR="00DD62D8" w:rsidRPr="00207291">
          <w:rPr>
            <w:rStyle w:val="Hyperlink"/>
            <w:rFonts w:ascii="Open Sans" w:hAnsi="Open Sans" w:cs="Open Sans"/>
          </w:rPr>
          <w:t>Recommendations</w:t>
        </w:r>
        <w:r w:rsidR="00DD62D8">
          <w:rPr>
            <w:webHidden/>
          </w:rPr>
          <w:tab/>
        </w:r>
        <w:r w:rsidR="00DD62D8">
          <w:rPr>
            <w:webHidden/>
          </w:rPr>
          <w:fldChar w:fldCharType="begin"/>
        </w:r>
        <w:r w:rsidR="00DD62D8">
          <w:rPr>
            <w:webHidden/>
          </w:rPr>
          <w:instrText xml:space="preserve"> PAGEREF _Toc44496115 \h </w:instrText>
        </w:r>
        <w:r w:rsidR="00DD62D8">
          <w:rPr>
            <w:webHidden/>
          </w:rPr>
        </w:r>
        <w:r w:rsidR="00DD62D8">
          <w:rPr>
            <w:webHidden/>
          </w:rPr>
          <w:fldChar w:fldCharType="separate"/>
        </w:r>
        <w:r w:rsidR="00A913B3">
          <w:rPr>
            <w:webHidden/>
          </w:rPr>
          <w:t>5</w:t>
        </w:r>
        <w:r w:rsidR="00DD62D8">
          <w:rPr>
            <w:webHidden/>
          </w:rPr>
          <w:fldChar w:fldCharType="end"/>
        </w:r>
      </w:hyperlink>
    </w:p>
    <w:p w14:paraId="4F86A5FF" w14:textId="1D37A1DF" w:rsidR="00DD62D8" w:rsidRDefault="00104D9F">
      <w:pPr>
        <w:pStyle w:val="TOC1"/>
        <w:rPr>
          <w:rFonts w:asciiTheme="minorHAnsi" w:eastAsiaTheme="minorEastAsia" w:hAnsiTheme="minorHAnsi" w:cstheme="minorBidi"/>
          <w:b w:val="0"/>
          <w:szCs w:val="22"/>
          <w:lang w:val="en-US" w:eastAsia="en-US"/>
        </w:rPr>
      </w:pPr>
      <w:hyperlink w:anchor="_Toc44496116" w:history="1">
        <w:r w:rsidR="00DD62D8" w:rsidRPr="00207291">
          <w:rPr>
            <w:rStyle w:val="Hyperlink"/>
            <w:rFonts w:ascii="Open Sans" w:hAnsi="Open Sans" w:cs="Open Sans"/>
          </w:rPr>
          <w:t>3</w:t>
        </w:r>
        <w:r w:rsidR="00DD62D8">
          <w:rPr>
            <w:rFonts w:asciiTheme="minorHAnsi" w:eastAsiaTheme="minorEastAsia" w:hAnsiTheme="minorHAnsi" w:cstheme="minorBidi"/>
            <w:b w:val="0"/>
            <w:szCs w:val="22"/>
            <w:lang w:val="en-US" w:eastAsia="en-US"/>
          </w:rPr>
          <w:tab/>
        </w:r>
        <w:r w:rsidR="00DD62D8" w:rsidRPr="00207291">
          <w:rPr>
            <w:rStyle w:val="Hyperlink"/>
            <w:rFonts w:ascii="Open Sans" w:hAnsi="Open Sans" w:cs="Open Sans"/>
          </w:rPr>
          <w:t>Summary of the Bill</w:t>
        </w:r>
        <w:r w:rsidR="00DD62D8">
          <w:rPr>
            <w:webHidden/>
          </w:rPr>
          <w:tab/>
        </w:r>
        <w:r w:rsidR="00DD62D8">
          <w:rPr>
            <w:webHidden/>
          </w:rPr>
          <w:fldChar w:fldCharType="begin"/>
        </w:r>
        <w:r w:rsidR="00DD62D8">
          <w:rPr>
            <w:webHidden/>
          </w:rPr>
          <w:instrText xml:space="preserve"> PAGEREF _Toc44496116 \h </w:instrText>
        </w:r>
        <w:r w:rsidR="00DD62D8">
          <w:rPr>
            <w:webHidden/>
          </w:rPr>
        </w:r>
        <w:r w:rsidR="00DD62D8">
          <w:rPr>
            <w:webHidden/>
          </w:rPr>
          <w:fldChar w:fldCharType="separate"/>
        </w:r>
        <w:r w:rsidR="00A913B3">
          <w:rPr>
            <w:webHidden/>
          </w:rPr>
          <w:t>6</w:t>
        </w:r>
        <w:r w:rsidR="00DD62D8">
          <w:rPr>
            <w:webHidden/>
          </w:rPr>
          <w:fldChar w:fldCharType="end"/>
        </w:r>
      </w:hyperlink>
    </w:p>
    <w:p w14:paraId="7B9B13AE" w14:textId="77D5B9F0" w:rsidR="00DD62D8" w:rsidRDefault="00104D9F">
      <w:pPr>
        <w:pStyle w:val="TOC1"/>
        <w:rPr>
          <w:rFonts w:asciiTheme="minorHAnsi" w:eastAsiaTheme="minorEastAsia" w:hAnsiTheme="minorHAnsi" w:cstheme="minorBidi"/>
          <w:b w:val="0"/>
          <w:szCs w:val="22"/>
          <w:lang w:val="en-US" w:eastAsia="en-US"/>
        </w:rPr>
      </w:pPr>
      <w:hyperlink w:anchor="_Toc44496117" w:history="1">
        <w:r w:rsidR="00DD62D8" w:rsidRPr="00207291">
          <w:rPr>
            <w:rStyle w:val="Hyperlink"/>
            <w:rFonts w:ascii="Open Sans" w:hAnsi="Open Sans" w:cs="Open Sans"/>
          </w:rPr>
          <w:t>4</w:t>
        </w:r>
        <w:r w:rsidR="00DD62D8">
          <w:rPr>
            <w:rFonts w:asciiTheme="minorHAnsi" w:eastAsiaTheme="minorEastAsia" w:hAnsiTheme="minorHAnsi" w:cstheme="minorBidi"/>
            <w:b w:val="0"/>
            <w:szCs w:val="22"/>
            <w:lang w:val="en-US" w:eastAsia="en-US"/>
          </w:rPr>
          <w:tab/>
        </w:r>
        <w:r w:rsidR="00DD62D8" w:rsidRPr="00207291">
          <w:rPr>
            <w:rStyle w:val="Hyperlink"/>
            <w:rFonts w:ascii="Open Sans" w:hAnsi="Open Sans" w:cs="Open Sans"/>
          </w:rPr>
          <w:t>History of review</w:t>
        </w:r>
        <w:r w:rsidR="00DD62D8">
          <w:rPr>
            <w:webHidden/>
          </w:rPr>
          <w:tab/>
        </w:r>
        <w:r w:rsidR="00DD62D8">
          <w:rPr>
            <w:webHidden/>
          </w:rPr>
          <w:fldChar w:fldCharType="begin"/>
        </w:r>
        <w:r w:rsidR="00DD62D8">
          <w:rPr>
            <w:webHidden/>
          </w:rPr>
          <w:instrText xml:space="preserve"> PAGEREF _Toc44496117 \h </w:instrText>
        </w:r>
        <w:r w:rsidR="00DD62D8">
          <w:rPr>
            <w:webHidden/>
          </w:rPr>
        </w:r>
        <w:r w:rsidR="00DD62D8">
          <w:rPr>
            <w:webHidden/>
          </w:rPr>
          <w:fldChar w:fldCharType="separate"/>
        </w:r>
        <w:r w:rsidR="00A913B3">
          <w:rPr>
            <w:webHidden/>
          </w:rPr>
          <w:t>7</w:t>
        </w:r>
        <w:r w:rsidR="00DD62D8">
          <w:rPr>
            <w:webHidden/>
          </w:rPr>
          <w:fldChar w:fldCharType="end"/>
        </w:r>
      </w:hyperlink>
    </w:p>
    <w:p w14:paraId="074EF792" w14:textId="25D66264" w:rsidR="00DD62D8" w:rsidRDefault="00104D9F">
      <w:pPr>
        <w:pStyle w:val="TOC1"/>
        <w:rPr>
          <w:rFonts w:asciiTheme="minorHAnsi" w:eastAsiaTheme="minorEastAsia" w:hAnsiTheme="minorHAnsi" w:cstheme="minorBidi"/>
          <w:b w:val="0"/>
          <w:szCs w:val="22"/>
          <w:lang w:val="en-US" w:eastAsia="en-US"/>
        </w:rPr>
      </w:pPr>
      <w:hyperlink w:anchor="_Toc44496118" w:history="1">
        <w:r w:rsidR="00DD62D8" w:rsidRPr="00207291">
          <w:rPr>
            <w:rStyle w:val="Hyperlink"/>
            <w:rFonts w:ascii="Open Sans" w:hAnsi="Open Sans" w:cs="Open Sans"/>
          </w:rPr>
          <w:t>5</w:t>
        </w:r>
        <w:r w:rsidR="00DD62D8">
          <w:rPr>
            <w:rFonts w:asciiTheme="minorHAnsi" w:eastAsiaTheme="minorEastAsia" w:hAnsiTheme="minorHAnsi" w:cstheme="minorBidi"/>
            <w:b w:val="0"/>
            <w:szCs w:val="22"/>
            <w:lang w:val="en-US" w:eastAsia="en-US"/>
          </w:rPr>
          <w:tab/>
        </w:r>
        <w:r w:rsidR="00DD62D8" w:rsidRPr="00207291">
          <w:rPr>
            <w:rStyle w:val="Hyperlink"/>
            <w:rFonts w:ascii="Open Sans" w:hAnsi="Open Sans" w:cs="Open Sans"/>
          </w:rPr>
          <w:t>The human rights framework</w:t>
        </w:r>
        <w:r w:rsidR="00DD62D8">
          <w:rPr>
            <w:webHidden/>
          </w:rPr>
          <w:tab/>
        </w:r>
        <w:r w:rsidR="00DD62D8">
          <w:rPr>
            <w:webHidden/>
          </w:rPr>
          <w:fldChar w:fldCharType="begin"/>
        </w:r>
        <w:r w:rsidR="00DD62D8">
          <w:rPr>
            <w:webHidden/>
          </w:rPr>
          <w:instrText xml:space="preserve"> PAGEREF _Toc44496118 \h </w:instrText>
        </w:r>
        <w:r w:rsidR="00DD62D8">
          <w:rPr>
            <w:webHidden/>
          </w:rPr>
        </w:r>
        <w:r w:rsidR="00DD62D8">
          <w:rPr>
            <w:webHidden/>
          </w:rPr>
          <w:fldChar w:fldCharType="separate"/>
        </w:r>
        <w:r w:rsidR="00A913B3">
          <w:rPr>
            <w:webHidden/>
          </w:rPr>
          <w:t>10</w:t>
        </w:r>
        <w:r w:rsidR="00DD62D8">
          <w:rPr>
            <w:webHidden/>
          </w:rPr>
          <w:fldChar w:fldCharType="end"/>
        </w:r>
      </w:hyperlink>
    </w:p>
    <w:p w14:paraId="7B7C4B2A" w14:textId="2BFABD53" w:rsidR="00DD62D8" w:rsidRDefault="00104D9F">
      <w:pPr>
        <w:pStyle w:val="TOC2"/>
        <w:rPr>
          <w:rFonts w:asciiTheme="minorHAnsi" w:eastAsiaTheme="minorEastAsia" w:hAnsiTheme="minorHAnsi" w:cstheme="minorBidi"/>
          <w:b w:val="0"/>
          <w:i w:val="0"/>
          <w:sz w:val="22"/>
          <w:szCs w:val="22"/>
          <w:lang w:val="en-US" w:eastAsia="en-US"/>
        </w:rPr>
      </w:pPr>
      <w:hyperlink w:anchor="_Toc44496119" w:history="1">
        <w:r w:rsidR="00DD62D8" w:rsidRPr="00207291">
          <w:rPr>
            <w:rStyle w:val="Hyperlink"/>
            <w:rFonts w:ascii="Open Sans" w:hAnsi="Open Sans" w:cs="Open Sans"/>
          </w:rPr>
          <w:t>5.1</w:t>
        </w:r>
        <w:r w:rsidR="00DD62D8">
          <w:rPr>
            <w:rFonts w:asciiTheme="minorHAnsi" w:eastAsiaTheme="minorEastAsia" w:hAnsiTheme="minorHAnsi" w:cstheme="minorBidi"/>
            <w:b w:val="0"/>
            <w:i w:val="0"/>
            <w:sz w:val="22"/>
            <w:szCs w:val="22"/>
            <w:lang w:val="en-US" w:eastAsia="en-US"/>
          </w:rPr>
          <w:tab/>
        </w:r>
        <w:r w:rsidR="00DD62D8" w:rsidRPr="00207291">
          <w:rPr>
            <w:rStyle w:val="Hyperlink"/>
            <w:rFonts w:ascii="Open Sans" w:hAnsi="Open Sans" w:cs="Open Sans"/>
          </w:rPr>
          <w:t>Permissible limitations on human rights</w:t>
        </w:r>
        <w:r w:rsidR="00DD62D8">
          <w:rPr>
            <w:webHidden/>
          </w:rPr>
          <w:tab/>
        </w:r>
        <w:r w:rsidR="00DD62D8">
          <w:rPr>
            <w:webHidden/>
          </w:rPr>
          <w:fldChar w:fldCharType="begin"/>
        </w:r>
        <w:r w:rsidR="00DD62D8">
          <w:rPr>
            <w:webHidden/>
          </w:rPr>
          <w:instrText xml:space="preserve"> PAGEREF _Toc44496119 \h </w:instrText>
        </w:r>
        <w:r w:rsidR="00DD62D8">
          <w:rPr>
            <w:webHidden/>
          </w:rPr>
        </w:r>
        <w:r w:rsidR="00DD62D8">
          <w:rPr>
            <w:webHidden/>
          </w:rPr>
          <w:fldChar w:fldCharType="separate"/>
        </w:r>
        <w:r w:rsidR="00A913B3">
          <w:rPr>
            <w:webHidden/>
          </w:rPr>
          <w:t>10</w:t>
        </w:r>
        <w:r w:rsidR="00DD62D8">
          <w:rPr>
            <w:webHidden/>
          </w:rPr>
          <w:fldChar w:fldCharType="end"/>
        </w:r>
      </w:hyperlink>
    </w:p>
    <w:p w14:paraId="6A5C9420" w14:textId="5C0D328A" w:rsidR="00DD62D8" w:rsidRDefault="00104D9F">
      <w:pPr>
        <w:pStyle w:val="TOC1"/>
        <w:rPr>
          <w:rFonts w:asciiTheme="minorHAnsi" w:eastAsiaTheme="minorEastAsia" w:hAnsiTheme="minorHAnsi" w:cstheme="minorBidi"/>
          <w:b w:val="0"/>
          <w:szCs w:val="22"/>
          <w:lang w:val="en-US" w:eastAsia="en-US"/>
        </w:rPr>
      </w:pPr>
      <w:hyperlink w:anchor="_Toc44496120" w:history="1">
        <w:r w:rsidR="00DD62D8" w:rsidRPr="00207291">
          <w:rPr>
            <w:rStyle w:val="Hyperlink"/>
            <w:rFonts w:ascii="Open Sans" w:hAnsi="Open Sans" w:cs="Open Sans"/>
          </w:rPr>
          <w:t>6</w:t>
        </w:r>
        <w:r w:rsidR="00DD62D8">
          <w:rPr>
            <w:rFonts w:asciiTheme="minorHAnsi" w:eastAsiaTheme="minorEastAsia" w:hAnsiTheme="minorHAnsi" w:cstheme="minorBidi"/>
            <w:b w:val="0"/>
            <w:szCs w:val="22"/>
            <w:lang w:val="en-US" w:eastAsia="en-US"/>
          </w:rPr>
          <w:tab/>
        </w:r>
        <w:r w:rsidR="00DD62D8" w:rsidRPr="00207291">
          <w:rPr>
            <w:rStyle w:val="Hyperlink"/>
            <w:rFonts w:ascii="Open Sans" w:hAnsi="Open Sans" w:cs="Open Sans"/>
          </w:rPr>
          <w:t>The Commission’s view of the proposed amendments</w:t>
        </w:r>
        <w:r w:rsidR="00DD62D8">
          <w:rPr>
            <w:webHidden/>
          </w:rPr>
          <w:tab/>
        </w:r>
        <w:r w:rsidR="00DD62D8">
          <w:rPr>
            <w:webHidden/>
          </w:rPr>
          <w:fldChar w:fldCharType="begin"/>
        </w:r>
        <w:r w:rsidR="00DD62D8">
          <w:rPr>
            <w:webHidden/>
          </w:rPr>
          <w:instrText xml:space="preserve"> PAGEREF _Toc44496120 \h </w:instrText>
        </w:r>
        <w:r w:rsidR="00DD62D8">
          <w:rPr>
            <w:webHidden/>
          </w:rPr>
        </w:r>
        <w:r w:rsidR="00DD62D8">
          <w:rPr>
            <w:webHidden/>
          </w:rPr>
          <w:fldChar w:fldCharType="separate"/>
        </w:r>
        <w:r w:rsidR="00A913B3">
          <w:rPr>
            <w:webHidden/>
          </w:rPr>
          <w:t>12</w:t>
        </w:r>
        <w:r w:rsidR="00DD62D8">
          <w:rPr>
            <w:webHidden/>
          </w:rPr>
          <w:fldChar w:fldCharType="end"/>
        </w:r>
      </w:hyperlink>
    </w:p>
    <w:p w14:paraId="7CAB71DA" w14:textId="455F7038" w:rsidR="00DD62D8" w:rsidRDefault="00104D9F">
      <w:pPr>
        <w:pStyle w:val="TOC2"/>
        <w:rPr>
          <w:rFonts w:asciiTheme="minorHAnsi" w:eastAsiaTheme="minorEastAsia" w:hAnsiTheme="minorHAnsi" w:cstheme="minorBidi"/>
          <w:b w:val="0"/>
          <w:i w:val="0"/>
          <w:sz w:val="22"/>
          <w:szCs w:val="22"/>
          <w:lang w:val="en-US" w:eastAsia="en-US"/>
        </w:rPr>
      </w:pPr>
      <w:hyperlink w:anchor="_Toc44496121" w:history="1">
        <w:r w:rsidR="00DD62D8" w:rsidRPr="00207291">
          <w:rPr>
            <w:rStyle w:val="Hyperlink"/>
            <w:rFonts w:ascii="Open Sans" w:hAnsi="Open Sans" w:cs="Open Sans"/>
          </w:rPr>
          <w:t>6.1</w:t>
        </w:r>
        <w:r w:rsidR="00DD62D8">
          <w:rPr>
            <w:rFonts w:asciiTheme="minorHAnsi" w:eastAsiaTheme="minorEastAsia" w:hAnsiTheme="minorHAnsi" w:cstheme="minorBidi"/>
            <w:b w:val="0"/>
            <w:i w:val="0"/>
            <w:sz w:val="22"/>
            <w:szCs w:val="22"/>
            <w:lang w:val="en-US" w:eastAsia="en-US"/>
          </w:rPr>
          <w:tab/>
        </w:r>
        <w:r w:rsidR="00DD62D8" w:rsidRPr="00207291">
          <w:rPr>
            <w:rStyle w:val="Hyperlink"/>
            <w:rFonts w:ascii="Open Sans" w:hAnsi="Open Sans" w:cs="Open Sans"/>
          </w:rPr>
          <w:t>Repeal of the questioning and detention warrant powers, amended questioning warrant powers, and new power to apprehend</w:t>
        </w:r>
        <w:r w:rsidR="00DD62D8">
          <w:rPr>
            <w:webHidden/>
          </w:rPr>
          <w:tab/>
        </w:r>
        <w:r w:rsidR="00DD62D8">
          <w:rPr>
            <w:webHidden/>
          </w:rPr>
          <w:fldChar w:fldCharType="begin"/>
        </w:r>
        <w:r w:rsidR="00DD62D8">
          <w:rPr>
            <w:webHidden/>
          </w:rPr>
          <w:instrText xml:space="preserve"> PAGEREF _Toc44496121 \h </w:instrText>
        </w:r>
        <w:r w:rsidR="00DD62D8">
          <w:rPr>
            <w:webHidden/>
          </w:rPr>
        </w:r>
        <w:r w:rsidR="00DD62D8">
          <w:rPr>
            <w:webHidden/>
          </w:rPr>
          <w:fldChar w:fldCharType="separate"/>
        </w:r>
        <w:r w:rsidR="00A913B3">
          <w:rPr>
            <w:webHidden/>
          </w:rPr>
          <w:t>12</w:t>
        </w:r>
        <w:r w:rsidR="00DD62D8">
          <w:rPr>
            <w:webHidden/>
          </w:rPr>
          <w:fldChar w:fldCharType="end"/>
        </w:r>
      </w:hyperlink>
    </w:p>
    <w:p w14:paraId="583BBD6B" w14:textId="186D2964" w:rsidR="00DD62D8" w:rsidRDefault="00104D9F">
      <w:pPr>
        <w:pStyle w:val="TOC3"/>
        <w:rPr>
          <w:rFonts w:asciiTheme="minorHAnsi" w:eastAsiaTheme="minorEastAsia" w:hAnsiTheme="minorHAnsi" w:cstheme="minorBidi"/>
          <w:i w:val="0"/>
          <w:sz w:val="22"/>
          <w:szCs w:val="22"/>
          <w:lang w:val="en-US" w:eastAsia="en-US"/>
        </w:rPr>
      </w:pPr>
      <w:hyperlink w:anchor="_Toc44496122" w:history="1">
        <w:r w:rsidR="00DD62D8" w:rsidRPr="00207291">
          <w:rPr>
            <w:rStyle w:val="Hyperlink"/>
            <w:rFonts w:ascii="Open Sans" w:hAnsi="Open Sans" w:cs="Open Sans"/>
          </w:rPr>
          <w:t>(a)</w:t>
        </w:r>
        <w:r w:rsidR="00DD62D8">
          <w:rPr>
            <w:rFonts w:asciiTheme="minorHAnsi" w:eastAsiaTheme="minorEastAsia" w:hAnsiTheme="minorHAnsi" w:cstheme="minorBidi"/>
            <w:i w:val="0"/>
            <w:sz w:val="22"/>
            <w:szCs w:val="22"/>
            <w:lang w:val="en-US" w:eastAsia="en-US"/>
          </w:rPr>
          <w:tab/>
        </w:r>
        <w:r w:rsidR="00DD62D8" w:rsidRPr="00207291">
          <w:rPr>
            <w:rStyle w:val="Hyperlink"/>
            <w:rFonts w:ascii="Open Sans" w:hAnsi="Open Sans" w:cs="Open Sans"/>
          </w:rPr>
          <w:t>Adult questioning warrants</w:t>
        </w:r>
        <w:r w:rsidR="00DD62D8">
          <w:rPr>
            <w:webHidden/>
          </w:rPr>
          <w:tab/>
        </w:r>
        <w:r w:rsidR="00DD62D8">
          <w:rPr>
            <w:webHidden/>
          </w:rPr>
          <w:fldChar w:fldCharType="begin"/>
        </w:r>
        <w:r w:rsidR="00DD62D8">
          <w:rPr>
            <w:webHidden/>
          </w:rPr>
          <w:instrText xml:space="preserve"> PAGEREF _Toc44496122 \h </w:instrText>
        </w:r>
        <w:r w:rsidR="00DD62D8">
          <w:rPr>
            <w:webHidden/>
          </w:rPr>
        </w:r>
        <w:r w:rsidR="00DD62D8">
          <w:rPr>
            <w:webHidden/>
          </w:rPr>
          <w:fldChar w:fldCharType="separate"/>
        </w:r>
        <w:r w:rsidR="00A913B3">
          <w:rPr>
            <w:webHidden/>
          </w:rPr>
          <w:t>12</w:t>
        </w:r>
        <w:r w:rsidR="00DD62D8">
          <w:rPr>
            <w:webHidden/>
          </w:rPr>
          <w:fldChar w:fldCharType="end"/>
        </w:r>
      </w:hyperlink>
    </w:p>
    <w:p w14:paraId="06DE8A37" w14:textId="6EF7546F" w:rsidR="00DD62D8" w:rsidRDefault="00104D9F">
      <w:pPr>
        <w:pStyle w:val="TOC3"/>
        <w:rPr>
          <w:rFonts w:asciiTheme="minorHAnsi" w:eastAsiaTheme="minorEastAsia" w:hAnsiTheme="minorHAnsi" w:cstheme="minorBidi"/>
          <w:i w:val="0"/>
          <w:sz w:val="22"/>
          <w:szCs w:val="22"/>
          <w:lang w:val="en-US" w:eastAsia="en-US"/>
        </w:rPr>
      </w:pPr>
      <w:hyperlink w:anchor="_Toc44496123" w:history="1">
        <w:r w:rsidR="00DD62D8" w:rsidRPr="00207291">
          <w:rPr>
            <w:rStyle w:val="Hyperlink"/>
            <w:rFonts w:ascii="Open Sans" w:hAnsi="Open Sans" w:cs="Open Sans"/>
          </w:rPr>
          <w:t>(b)</w:t>
        </w:r>
        <w:r w:rsidR="00DD62D8">
          <w:rPr>
            <w:rFonts w:asciiTheme="minorHAnsi" w:eastAsiaTheme="minorEastAsia" w:hAnsiTheme="minorHAnsi" w:cstheme="minorBidi"/>
            <w:i w:val="0"/>
            <w:sz w:val="22"/>
            <w:szCs w:val="22"/>
            <w:lang w:val="en-US" w:eastAsia="en-US"/>
          </w:rPr>
          <w:tab/>
        </w:r>
        <w:r w:rsidR="00DD62D8" w:rsidRPr="00207291">
          <w:rPr>
            <w:rStyle w:val="Hyperlink"/>
            <w:rFonts w:ascii="Open Sans" w:hAnsi="Open Sans" w:cs="Open Sans"/>
          </w:rPr>
          <w:t>Minor questioning warrants</w:t>
        </w:r>
        <w:r w:rsidR="00DD62D8">
          <w:rPr>
            <w:webHidden/>
          </w:rPr>
          <w:tab/>
        </w:r>
        <w:r w:rsidR="00DD62D8">
          <w:rPr>
            <w:webHidden/>
          </w:rPr>
          <w:fldChar w:fldCharType="begin"/>
        </w:r>
        <w:r w:rsidR="00DD62D8">
          <w:rPr>
            <w:webHidden/>
          </w:rPr>
          <w:instrText xml:space="preserve"> PAGEREF _Toc44496123 \h </w:instrText>
        </w:r>
        <w:r w:rsidR="00DD62D8">
          <w:rPr>
            <w:webHidden/>
          </w:rPr>
        </w:r>
        <w:r w:rsidR="00DD62D8">
          <w:rPr>
            <w:webHidden/>
          </w:rPr>
          <w:fldChar w:fldCharType="separate"/>
        </w:r>
        <w:r w:rsidR="00A913B3">
          <w:rPr>
            <w:webHidden/>
          </w:rPr>
          <w:t>12</w:t>
        </w:r>
        <w:r w:rsidR="00DD62D8">
          <w:rPr>
            <w:webHidden/>
          </w:rPr>
          <w:fldChar w:fldCharType="end"/>
        </w:r>
      </w:hyperlink>
    </w:p>
    <w:p w14:paraId="22691961" w14:textId="3C65C5FC" w:rsidR="00DD62D8" w:rsidRDefault="00104D9F">
      <w:pPr>
        <w:pStyle w:val="TOC3"/>
        <w:rPr>
          <w:rFonts w:asciiTheme="minorHAnsi" w:eastAsiaTheme="minorEastAsia" w:hAnsiTheme="minorHAnsi" w:cstheme="minorBidi"/>
          <w:i w:val="0"/>
          <w:sz w:val="22"/>
          <w:szCs w:val="22"/>
          <w:lang w:val="en-US" w:eastAsia="en-US"/>
        </w:rPr>
      </w:pPr>
      <w:hyperlink w:anchor="_Toc44496124" w:history="1">
        <w:r w:rsidR="00DD62D8" w:rsidRPr="00207291">
          <w:rPr>
            <w:rStyle w:val="Hyperlink"/>
            <w:rFonts w:ascii="Open Sans" w:hAnsi="Open Sans" w:cs="Open Sans"/>
          </w:rPr>
          <w:t>(c)</w:t>
        </w:r>
        <w:r w:rsidR="00DD62D8">
          <w:rPr>
            <w:rFonts w:asciiTheme="minorHAnsi" w:eastAsiaTheme="minorEastAsia" w:hAnsiTheme="minorHAnsi" w:cstheme="minorBidi"/>
            <w:i w:val="0"/>
            <w:sz w:val="22"/>
            <w:szCs w:val="22"/>
            <w:lang w:val="en-US" w:eastAsia="en-US"/>
          </w:rPr>
          <w:tab/>
        </w:r>
        <w:r w:rsidR="00DD62D8" w:rsidRPr="00207291">
          <w:rPr>
            <w:rStyle w:val="Hyperlink"/>
            <w:rFonts w:ascii="Open Sans" w:hAnsi="Open Sans" w:cs="Open Sans"/>
          </w:rPr>
          <w:t>Immediate appearance requirement</w:t>
        </w:r>
        <w:r w:rsidR="00DD62D8">
          <w:rPr>
            <w:webHidden/>
          </w:rPr>
          <w:tab/>
        </w:r>
        <w:r w:rsidR="00DD62D8">
          <w:rPr>
            <w:webHidden/>
          </w:rPr>
          <w:fldChar w:fldCharType="begin"/>
        </w:r>
        <w:r w:rsidR="00DD62D8">
          <w:rPr>
            <w:webHidden/>
          </w:rPr>
          <w:instrText xml:space="preserve"> PAGEREF _Toc44496124 \h </w:instrText>
        </w:r>
        <w:r w:rsidR="00DD62D8">
          <w:rPr>
            <w:webHidden/>
          </w:rPr>
        </w:r>
        <w:r w:rsidR="00DD62D8">
          <w:rPr>
            <w:webHidden/>
          </w:rPr>
          <w:fldChar w:fldCharType="separate"/>
        </w:r>
        <w:r w:rsidR="00A913B3">
          <w:rPr>
            <w:webHidden/>
          </w:rPr>
          <w:t>13</w:t>
        </w:r>
        <w:r w:rsidR="00DD62D8">
          <w:rPr>
            <w:webHidden/>
          </w:rPr>
          <w:fldChar w:fldCharType="end"/>
        </w:r>
      </w:hyperlink>
    </w:p>
    <w:p w14:paraId="34FF56F6" w14:textId="096D3A68" w:rsidR="00DD62D8" w:rsidRDefault="00104D9F">
      <w:pPr>
        <w:pStyle w:val="TOC3"/>
        <w:rPr>
          <w:rFonts w:asciiTheme="minorHAnsi" w:eastAsiaTheme="minorEastAsia" w:hAnsiTheme="minorHAnsi" w:cstheme="minorBidi"/>
          <w:i w:val="0"/>
          <w:sz w:val="22"/>
          <w:szCs w:val="22"/>
          <w:lang w:val="en-US" w:eastAsia="en-US"/>
        </w:rPr>
      </w:pPr>
      <w:hyperlink w:anchor="_Toc44496125" w:history="1">
        <w:r w:rsidR="00DD62D8" w:rsidRPr="00207291">
          <w:rPr>
            <w:rStyle w:val="Hyperlink"/>
            <w:rFonts w:ascii="Open Sans" w:hAnsi="Open Sans" w:cs="Open Sans"/>
          </w:rPr>
          <w:t>(d)</w:t>
        </w:r>
        <w:r w:rsidR="00DD62D8">
          <w:rPr>
            <w:rFonts w:asciiTheme="minorHAnsi" w:eastAsiaTheme="minorEastAsia" w:hAnsiTheme="minorHAnsi" w:cstheme="minorBidi"/>
            <w:i w:val="0"/>
            <w:sz w:val="22"/>
            <w:szCs w:val="22"/>
            <w:lang w:val="en-US" w:eastAsia="en-US"/>
          </w:rPr>
          <w:tab/>
        </w:r>
        <w:r w:rsidR="00DD62D8" w:rsidRPr="00207291">
          <w:rPr>
            <w:rStyle w:val="Hyperlink"/>
            <w:rFonts w:ascii="Open Sans" w:hAnsi="Open Sans" w:cs="Open Sans"/>
          </w:rPr>
          <w:t>Apprehension powers</w:t>
        </w:r>
        <w:r w:rsidR="00DD62D8">
          <w:rPr>
            <w:webHidden/>
          </w:rPr>
          <w:tab/>
        </w:r>
        <w:r w:rsidR="00DD62D8">
          <w:rPr>
            <w:webHidden/>
          </w:rPr>
          <w:fldChar w:fldCharType="begin"/>
        </w:r>
        <w:r w:rsidR="00DD62D8">
          <w:rPr>
            <w:webHidden/>
          </w:rPr>
          <w:instrText xml:space="preserve"> PAGEREF _Toc44496125 \h </w:instrText>
        </w:r>
        <w:r w:rsidR="00DD62D8">
          <w:rPr>
            <w:webHidden/>
          </w:rPr>
        </w:r>
        <w:r w:rsidR="00DD62D8">
          <w:rPr>
            <w:webHidden/>
          </w:rPr>
          <w:fldChar w:fldCharType="separate"/>
        </w:r>
        <w:r w:rsidR="00A913B3">
          <w:rPr>
            <w:webHidden/>
          </w:rPr>
          <w:t>13</w:t>
        </w:r>
        <w:r w:rsidR="00DD62D8">
          <w:rPr>
            <w:webHidden/>
          </w:rPr>
          <w:fldChar w:fldCharType="end"/>
        </w:r>
      </w:hyperlink>
    </w:p>
    <w:p w14:paraId="42B7E21A" w14:textId="7985509A" w:rsidR="00DD62D8" w:rsidRDefault="00104D9F">
      <w:pPr>
        <w:pStyle w:val="TOC4"/>
        <w:rPr>
          <w:rFonts w:asciiTheme="minorHAnsi" w:eastAsiaTheme="minorEastAsia" w:hAnsiTheme="minorHAnsi" w:cstheme="minorBidi"/>
          <w:sz w:val="22"/>
          <w:szCs w:val="22"/>
          <w:lang w:val="en-US" w:eastAsia="en-US"/>
        </w:rPr>
      </w:pPr>
      <w:hyperlink w:anchor="_Toc44496126" w:history="1">
        <w:r w:rsidR="00DD62D8" w:rsidRPr="00207291">
          <w:rPr>
            <w:rStyle w:val="Hyperlink"/>
            <w:rFonts w:ascii="Open Sans" w:hAnsi="Open Sans" w:cs="Open Sans"/>
            <w:i/>
          </w:rPr>
          <w:t>(i)</w:t>
        </w:r>
        <w:r w:rsidR="00DD62D8">
          <w:rPr>
            <w:rFonts w:asciiTheme="minorHAnsi" w:eastAsiaTheme="minorEastAsia" w:hAnsiTheme="minorHAnsi" w:cstheme="minorBidi"/>
            <w:sz w:val="22"/>
            <w:szCs w:val="22"/>
            <w:lang w:val="en-US" w:eastAsia="en-US"/>
          </w:rPr>
          <w:tab/>
        </w:r>
        <w:r w:rsidR="00DD62D8" w:rsidRPr="00207291">
          <w:rPr>
            <w:rStyle w:val="Hyperlink"/>
            <w:rFonts w:ascii="Open Sans" w:hAnsi="Open Sans" w:cs="Open Sans"/>
            <w:i/>
          </w:rPr>
          <w:t>Where apprehension is expressly authorised in the warrant</w:t>
        </w:r>
        <w:r w:rsidR="00DD62D8">
          <w:rPr>
            <w:webHidden/>
          </w:rPr>
          <w:tab/>
        </w:r>
        <w:r w:rsidR="00DD62D8">
          <w:rPr>
            <w:webHidden/>
          </w:rPr>
          <w:fldChar w:fldCharType="begin"/>
        </w:r>
        <w:r w:rsidR="00DD62D8">
          <w:rPr>
            <w:webHidden/>
          </w:rPr>
          <w:instrText xml:space="preserve"> PAGEREF _Toc44496126 \h </w:instrText>
        </w:r>
        <w:r w:rsidR="00DD62D8">
          <w:rPr>
            <w:webHidden/>
          </w:rPr>
        </w:r>
        <w:r w:rsidR="00DD62D8">
          <w:rPr>
            <w:webHidden/>
          </w:rPr>
          <w:fldChar w:fldCharType="separate"/>
        </w:r>
        <w:r w:rsidR="00A913B3">
          <w:rPr>
            <w:webHidden/>
          </w:rPr>
          <w:t>13</w:t>
        </w:r>
        <w:r w:rsidR="00DD62D8">
          <w:rPr>
            <w:webHidden/>
          </w:rPr>
          <w:fldChar w:fldCharType="end"/>
        </w:r>
      </w:hyperlink>
    </w:p>
    <w:p w14:paraId="2369C4E8" w14:textId="54132351" w:rsidR="00DD62D8" w:rsidRDefault="00104D9F">
      <w:pPr>
        <w:pStyle w:val="TOC4"/>
        <w:rPr>
          <w:rFonts w:asciiTheme="minorHAnsi" w:eastAsiaTheme="minorEastAsia" w:hAnsiTheme="minorHAnsi" w:cstheme="minorBidi"/>
          <w:sz w:val="22"/>
          <w:szCs w:val="22"/>
          <w:lang w:val="en-US" w:eastAsia="en-US"/>
        </w:rPr>
      </w:pPr>
      <w:hyperlink w:anchor="_Toc44496127" w:history="1">
        <w:r w:rsidR="00DD62D8" w:rsidRPr="00207291">
          <w:rPr>
            <w:rStyle w:val="Hyperlink"/>
            <w:rFonts w:ascii="Open Sans" w:hAnsi="Open Sans" w:cs="Open Sans"/>
            <w:i/>
          </w:rPr>
          <w:t>(ii)</w:t>
        </w:r>
        <w:r w:rsidR="00DD62D8">
          <w:rPr>
            <w:rFonts w:asciiTheme="minorHAnsi" w:eastAsiaTheme="minorEastAsia" w:hAnsiTheme="minorHAnsi" w:cstheme="minorBidi"/>
            <w:sz w:val="22"/>
            <w:szCs w:val="22"/>
            <w:lang w:val="en-US" w:eastAsia="en-US"/>
          </w:rPr>
          <w:tab/>
        </w:r>
        <w:r w:rsidR="00DD62D8" w:rsidRPr="00207291">
          <w:rPr>
            <w:rStyle w:val="Hyperlink"/>
            <w:rFonts w:ascii="Open Sans" w:hAnsi="Open Sans" w:cs="Open Sans"/>
            <w:i/>
          </w:rPr>
          <w:t>Where apprehension is not expressly authorised in the warrant</w:t>
        </w:r>
        <w:r w:rsidR="00DD62D8">
          <w:rPr>
            <w:webHidden/>
          </w:rPr>
          <w:tab/>
        </w:r>
        <w:r w:rsidR="00DD62D8">
          <w:rPr>
            <w:webHidden/>
          </w:rPr>
          <w:fldChar w:fldCharType="begin"/>
        </w:r>
        <w:r w:rsidR="00DD62D8">
          <w:rPr>
            <w:webHidden/>
          </w:rPr>
          <w:instrText xml:space="preserve"> PAGEREF _Toc44496127 \h </w:instrText>
        </w:r>
        <w:r w:rsidR="00DD62D8">
          <w:rPr>
            <w:webHidden/>
          </w:rPr>
        </w:r>
        <w:r w:rsidR="00DD62D8">
          <w:rPr>
            <w:webHidden/>
          </w:rPr>
          <w:fldChar w:fldCharType="separate"/>
        </w:r>
        <w:r w:rsidR="00A913B3">
          <w:rPr>
            <w:webHidden/>
          </w:rPr>
          <w:t>13</w:t>
        </w:r>
        <w:r w:rsidR="00DD62D8">
          <w:rPr>
            <w:webHidden/>
          </w:rPr>
          <w:fldChar w:fldCharType="end"/>
        </w:r>
      </w:hyperlink>
    </w:p>
    <w:p w14:paraId="2BB3BA5F" w14:textId="6BE96B9A" w:rsidR="00DD62D8" w:rsidRDefault="00104D9F">
      <w:pPr>
        <w:pStyle w:val="TOC3"/>
        <w:rPr>
          <w:rFonts w:asciiTheme="minorHAnsi" w:eastAsiaTheme="minorEastAsia" w:hAnsiTheme="minorHAnsi" w:cstheme="minorBidi"/>
          <w:i w:val="0"/>
          <w:sz w:val="22"/>
          <w:szCs w:val="22"/>
          <w:lang w:val="en-US" w:eastAsia="en-US"/>
        </w:rPr>
      </w:pPr>
      <w:hyperlink w:anchor="_Toc44496128" w:history="1">
        <w:r w:rsidR="00DD62D8" w:rsidRPr="00207291">
          <w:rPr>
            <w:rStyle w:val="Hyperlink"/>
            <w:rFonts w:ascii="Open Sans" w:hAnsi="Open Sans" w:cs="Open Sans"/>
          </w:rPr>
          <w:t>(e)</w:t>
        </w:r>
        <w:r w:rsidR="00DD62D8">
          <w:rPr>
            <w:rFonts w:asciiTheme="minorHAnsi" w:eastAsiaTheme="minorEastAsia" w:hAnsiTheme="minorHAnsi" w:cstheme="minorBidi"/>
            <w:i w:val="0"/>
            <w:sz w:val="22"/>
            <w:szCs w:val="22"/>
            <w:lang w:val="en-US" w:eastAsia="en-US"/>
          </w:rPr>
          <w:tab/>
        </w:r>
        <w:r w:rsidR="00DD62D8" w:rsidRPr="00207291">
          <w:rPr>
            <w:rStyle w:val="Hyperlink"/>
            <w:rFonts w:ascii="Open Sans" w:hAnsi="Open Sans" w:cs="Open Sans"/>
          </w:rPr>
          <w:t>Other provisions related to the apprehension power</w:t>
        </w:r>
        <w:r w:rsidR="00DD62D8">
          <w:rPr>
            <w:webHidden/>
          </w:rPr>
          <w:tab/>
        </w:r>
        <w:r w:rsidR="00DD62D8">
          <w:rPr>
            <w:webHidden/>
          </w:rPr>
          <w:fldChar w:fldCharType="begin"/>
        </w:r>
        <w:r w:rsidR="00DD62D8">
          <w:rPr>
            <w:webHidden/>
          </w:rPr>
          <w:instrText xml:space="preserve"> PAGEREF _Toc44496128 \h </w:instrText>
        </w:r>
        <w:r w:rsidR="00DD62D8">
          <w:rPr>
            <w:webHidden/>
          </w:rPr>
        </w:r>
        <w:r w:rsidR="00DD62D8">
          <w:rPr>
            <w:webHidden/>
          </w:rPr>
          <w:fldChar w:fldCharType="separate"/>
        </w:r>
        <w:r w:rsidR="00A913B3">
          <w:rPr>
            <w:webHidden/>
          </w:rPr>
          <w:t>14</w:t>
        </w:r>
        <w:r w:rsidR="00DD62D8">
          <w:rPr>
            <w:webHidden/>
          </w:rPr>
          <w:fldChar w:fldCharType="end"/>
        </w:r>
      </w:hyperlink>
    </w:p>
    <w:p w14:paraId="290189EE" w14:textId="33FF9AD9" w:rsidR="00DD62D8" w:rsidRDefault="00104D9F">
      <w:pPr>
        <w:pStyle w:val="TOC3"/>
        <w:rPr>
          <w:rFonts w:asciiTheme="minorHAnsi" w:eastAsiaTheme="minorEastAsia" w:hAnsiTheme="minorHAnsi" w:cstheme="minorBidi"/>
          <w:i w:val="0"/>
          <w:sz w:val="22"/>
          <w:szCs w:val="22"/>
          <w:lang w:val="en-US" w:eastAsia="en-US"/>
        </w:rPr>
      </w:pPr>
      <w:hyperlink w:anchor="_Toc44496129" w:history="1">
        <w:r w:rsidR="00DD62D8" w:rsidRPr="00207291">
          <w:rPr>
            <w:rStyle w:val="Hyperlink"/>
            <w:rFonts w:ascii="Open Sans" w:hAnsi="Open Sans" w:cs="Open Sans"/>
          </w:rPr>
          <w:t>(f)</w:t>
        </w:r>
        <w:r w:rsidR="00DD62D8">
          <w:rPr>
            <w:rFonts w:asciiTheme="minorHAnsi" w:eastAsiaTheme="minorEastAsia" w:hAnsiTheme="minorHAnsi" w:cstheme="minorBidi"/>
            <w:i w:val="0"/>
            <w:sz w:val="22"/>
            <w:szCs w:val="22"/>
            <w:lang w:val="en-US" w:eastAsia="en-US"/>
          </w:rPr>
          <w:tab/>
        </w:r>
        <w:r w:rsidR="00DD62D8" w:rsidRPr="00207291">
          <w:rPr>
            <w:rStyle w:val="Hyperlink"/>
            <w:rFonts w:ascii="Open Sans" w:hAnsi="Open Sans" w:cs="Open Sans"/>
          </w:rPr>
          <w:t>Human rights implications of proposed apprehension powers</w:t>
        </w:r>
        <w:r w:rsidR="00DD62D8">
          <w:rPr>
            <w:webHidden/>
          </w:rPr>
          <w:tab/>
        </w:r>
        <w:r w:rsidR="00DD62D8">
          <w:rPr>
            <w:webHidden/>
          </w:rPr>
          <w:fldChar w:fldCharType="begin"/>
        </w:r>
        <w:r w:rsidR="00DD62D8">
          <w:rPr>
            <w:webHidden/>
          </w:rPr>
          <w:instrText xml:space="preserve"> PAGEREF _Toc44496129 \h </w:instrText>
        </w:r>
        <w:r w:rsidR="00DD62D8">
          <w:rPr>
            <w:webHidden/>
          </w:rPr>
        </w:r>
        <w:r w:rsidR="00DD62D8">
          <w:rPr>
            <w:webHidden/>
          </w:rPr>
          <w:fldChar w:fldCharType="separate"/>
        </w:r>
        <w:r w:rsidR="00A913B3">
          <w:rPr>
            <w:webHidden/>
          </w:rPr>
          <w:t>14</w:t>
        </w:r>
        <w:r w:rsidR="00DD62D8">
          <w:rPr>
            <w:webHidden/>
          </w:rPr>
          <w:fldChar w:fldCharType="end"/>
        </w:r>
      </w:hyperlink>
    </w:p>
    <w:p w14:paraId="3B154AE0" w14:textId="23487B8F" w:rsidR="00DD62D8" w:rsidRDefault="00104D9F">
      <w:pPr>
        <w:pStyle w:val="TOC2"/>
        <w:rPr>
          <w:rFonts w:asciiTheme="minorHAnsi" w:eastAsiaTheme="minorEastAsia" w:hAnsiTheme="minorHAnsi" w:cstheme="minorBidi"/>
          <w:b w:val="0"/>
          <w:i w:val="0"/>
          <w:sz w:val="22"/>
          <w:szCs w:val="22"/>
          <w:lang w:val="en-US" w:eastAsia="en-US"/>
        </w:rPr>
      </w:pPr>
      <w:hyperlink w:anchor="_Toc44496130" w:history="1">
        <w:r w:rsidR="00DD62D8" w:rsidRPr="00207291">
          <w:rPr>
            <w:rStyle w:val="Hyperlink"/>
            <w:rFonts w:ascii="Open Sans" w:hAnsi="Open Sans" w:cs="Open Sans"/>
          </w:rPr>
          <w:t>6.2</w:t>
        </w:r>
        <w:r w:rsidR="00DD62D8">
          <w:rPr>
            <w:rFonts w:asciiTheme="minorHAnsi" w:eastAsiaTheme="minorEastAsia" w:hAnsiTheme="minorHAnsi" w:cstheme="minorBidi"/>
            <w:b w:val="0"/>
            <w:i w:val="0"/>
            <w:sz w:val="22"/>
            <w:szCs w:val="22"/>
            <w:lang w:val="en-US" w:eastAsia="en-US"/>
          </w:rPr>
          <w:tab/>
        </w:r>
        <w:r w:rsidR="00DD62D8" w:rsidRPr="00207291">
          <w:rPr>
            <w:rStyle w:val="Hyperlink"/>
            <w:rFonts w:ascii="Open Sans" w:hAnsi="Open Sans" w:cs="Open Sans"/>
          </w:rPr>
          <w:t>Broadening of the purposes for which QWs may be issued</w:t>
        </w:r>
        <w:r w:rsidR="00DD62D8">
          <w:rPr>
            <w:webHidden/>
          </w:rPr>
          <w:tab/>
        </w:r>
        <w:r w:rsidR="00DD62D8">
          <w:rPr>
            <w:webHidden/>
          </w:rPr>
          <w:fldChar w:fldCharType="begin"/>
        </w:r>
        <w:r w:rsidR="00DD62D8">
          <w:rPr>
            <w:webHidden/>
          </w:rPr>
          <w:instrText xml:space="preserve"> PAGEREF _Toc44496130 \h </w:instrText>
        </w:r>
        <w:r w:rsidR="00DD62D8">
          <w:rPr>
            <w:webHidden/>
          </w:rPr>
        </w:r>
        <w:r w:rsidR="00DD62D8">
          <w:rPr>
            <w:webHidden/>
          </w:rPr>
          <w:fldChar w:fldCharType="separate"/>
        </w:r>
        <w:r w:rsidR="00A913B3">
          <w:rPr>
            <w:webHidden/>
          </w:rPr>
          <w:t>17</w:t>
        </w:r>
        <w:r w:rsidR="00DD62D8">
          <w:rPr>
            <w:webHidden/>
          </w:rPr>
          <w:fldChar w:fldCharType="end"/>
        </w:r>
      </w:hyperlink>
    </w:p>
    <w:p w14:paraId="3AE63DEE" w14:textId="03B6308C" w:rsidR="00DD62D8" w:rsidRDefault="00104D9F">
      <w:pPr>
        <w:pStyle w:val="TOC2"/>
        <w:rPr>
          <w:rFonts w:asciiTheme="minorHAnsi" w:eastAsiaTheme="minorEastAsia" w:hAnsiTheme="minorHAnsi" w:cstheme="minorBidi"/>
          <w:b w:val="0"/>
          <w:i w:val="0"/>
          <w:sz w:val="22"/>
          <w:szCs w:val="22"/>
          <w:lang w:val="en-US" w:eastAsia="en-US"/>
        </w:rPr>
      </w:pPr>
      <w:hyperlink w:anchor="_Toc44496131" w:history="1">
        <w:r w:rsidR="00DD62D8" w:rsidRPr="00207291">
          <w:rPr>
            <w:rStyle w:val="Hyperlink"/>
            <w:rFonts w:ascii="Open Sans" w:hAnsi="Open Sans" w:cs="Open Sans"/>
          </w:rPr>
          <w:t>6.3</w:t>
        </w:r>
        <w:r w:rsidR="00DD62D8">
          <w:rPr>
            <w:rFonts w:asciiTheme="minorHAnsi" w:eastAsiaTheme="minorEastAsia" w:hAnsiTheme="minorHAnsi" w:cstheme="minorBidi"/>
            <w:b w:val="0"/>
            <w:i w:val="0"/>
            <w:sz w:val="22"/>
            <w:szCs w:val="22"/>
            <w:lang w:val="en-US" w:eastAsia="en-US"/>
          </w:rPr>
          <w:tab/>
        </w:r>
        <w:r w:rsidR="00DD62D8" w:rsidRPr="00207291">
          <w:rPr>
            <w:rStyle w:val="Hyperlink"/>
            <w:rFonts w:ascii="Open Sans" w:hAnsi="Open Sans" w:cs="Open Sans"/>
          </w:rPr>
          <w:t>Warrant issuing authority and emergency authorisations</w:t>
        </w:r>
        <w:r w:rsidR="00DD62D8">
          <w:rPr>
            <w:webHidden/>
          </w:rPr>
          <w:tab/>
        </w:r>
        <w:r w:rsidR="00DD62D8">
          <w:rPr>
            <w:webHidden/>
          </w:rPr>
          <w:fldChar w:fldCharType="begin"/>
        </w:r>
        <w:r w:rsidR="00DD62D8">
          <w:rPr>
            <w:webHidden/>
          </w:rPr>
          <w:instrText xml:space="preserve"> PAGEREF _Toc44496131 \h </w:instrText>
        </w:r>
        <w:r w:rsidR="00DD62D8">
          <w:rPr>
            <w:webHidden/>
          </w:rPr>
        </w:r>
        <w:r w:rsidR="00DD62D8">
          <w:rPr>
            <w:webHidden/>
          </w:rPr>
          <w:fldChar w:fldCharType="separate"/>
        </w:r>
        <w:r w:rsidR="00A913B3">
          <w:rPr>
            <w:webHidden/>
          </w:rPr>
          <w:t>19</w:t>
        </w:r>
        <w:r w:rsidR="00DD62D8">
          <w:rPr>
            <w:webHidden/>
          </w:rPr>
          <w:fldChar w:fldCharType="end"/>
        </w:r>
      </w:hyperlink>
    </w:p>
    <w:p w14:paraId="2DE2A309" w14:textId="33F5C046" w:rsidR="00DD62D8" w:rsidRDefault="00104D9F">
      <w:pPr>
        <w:pStyle w:val="TOC2"/>
        <w:rPr>
          <w:rFonts w:asciiTheme="minorHAnsi" w:eastAsiaTheme="minorEastAsia" w:hAnsiTheme="minorHAnsi" w:cstheme="minorBidi"/>
          <w:b w:val="0"/>
          <w:i w:val="0"/>
          <w:sz w:val="22"/>
          <w:szCs w:val="22"/>
          <w:lang w:val="en-US" w:eastAsia="en-US"/>
        </w:rPr>
      </w:pPr>
      <w:hyperlink w:anchor="_Toc44496132" w:history="1">
        <w:r w:rsidR="00DD62D8" w:rsidRPr="00207291">
          <w:rPr>
            <w:rStyle w:val="Hyperlink"/>
            <w:rFonts w:ascii="Open Sans" w:hAnsi="Open Sans" w:cs="Open Sans"/>
          </w:rPr>
          <w:t>6.4</w:t>
        </w:r>
        <w:r w:rsidR="00DD62D8">
          <w:rPr>
            <w:rFonts w:asciiTheme="minorHAnsi" w:eastAsiaTheme="minorEastAsia" w:hAnsiTheme="minorHAnsi" w:cstheme="minorBidi"/>
            <w:b w:val="0"/>
            <w:i w:val="0"/>
            <w:sz w:val="22"/>
            <w:szCs w:val="22"/>
            <w:lang w:val="en-US" w:eastAsia="en-US"/>
          </w:rPr>
          <w:tab/>
        </w:r>
        <w:r w:rsidR="00DD62D8" w:rsidRPr="00207291">
          <w:rPr>
            <w:rStyle w:val="Hyperlink"/>
            <w:rFonts w:ascii="Open Sans" w:hAnsi="Open Sans" w:cs="Open Sans"/>
          </w:rPr>
          <w:t>Questioning and apprehension of minors</w:t>
        </w:r>
        <w:r w:rsidR="00DD62D8">
          <w:rPr>
            <w:webHidden/>
          </w:rPr>
          <w:tab/>
        </w:r>
        <w:r w:rsidR="00DD62D8">
          <w:rPr>
            <w:webHidden/>
          </w:rPr>
          <w:fldChar w:fldCharType="begin"/>
        </w:r>
        <w:r w:rsidR="00DD62D8">
          <w:rPr>
            <w:webHidden/>
          </w:rPr>
          <w:instrText xml:space="preserve"> PAGEREF _Toc44496132 \h </w:instrText>
        </w:r>
        <w:r w:rsidR="00DD62D8">
          <w:rPr>
            <w:webHidden/>
          </w:rPr>
        </w:r>
        <w:r w:rsidR="00DD62D8">
          <w:rPr>
            <w:webHidden/>
          </w:rPr>
          <w:fldChar w:fldCharType="separate"/>
        </w:r>
        <w:r w:rsidR="00A913B3">
          <w:rPr>
            <w:webHidden/>
          </w:rPr>
          <w:t>21</w:t>
        </w:r>
        <w:r w:rsidR="00DD62D8">
          <w:rPr>
            <w:webHidden/>
          </w:rPr>
          <w:fldChar w:fldCharType="end"/>
        </w:r>
      </w:hyperlink>
    </w:p>
    <w:p w14:paraId="6A95665C" w14:textId="63608D0C" w:rsidR="00DD62D8" w:rsidRDefault="00104D9F">
      <w:pPr>
        <w:pStyle w:val="TOC2"/>
        <w:rPr>
          <w:rFonts w:asciiTheme="minorHAnsi" w:eastAsiaTheme="minorEastAsia" w:hAnsiTheme="minorHAnsi" w:cstheme="minorBidi"/>
          <w:b w:val="0"/>
          <w:i w:val="0"/>
          <w:sz w:val="22"/>
          <w:szCs w:val="22"/>
          <w:lang w:val="en-US" w:eastAsia="en-US"/>
        </w:rPr>
      </w:pPr>
      <w:hyperlink w:anchor="_Toc44496133" w:history="1">
        <w:r w:rsidR="00DD62D8" w:rsidRPr="00207291">
          <w:rPr>
            <w:rStyle w:val="Hyperlink"/>
            <w:rFonts w:ascii="Open Sans" w:hAnsi="Open Sans" w:cs="Open Sans"/>
          </w:rPr>
          <w:t>6.5</w:t>
        </w:r>
        <w:r w:rsidR="00DD62D8">
          <w:rPr>
            <w:rFonts w:asciiTheme="minorHAnsi" w:eastAsiaTheme="minorEastAsia" w:hAnsiTheme="minorHAnsi" w:cstheme="minorBidi"/>
            <w:b w:val="0"/>
            <w:i w:val="0"/>
            <w:sz w:val="22"/>
            <w:szCs w:val="22"/>
            <w:lang w:val="en-US" w:eastAsia="en-US"/>
          </w:rPr>
          <w:tab/>
        </w:r>
        <w:r w:rsidR="00DD62D8" w:rsidRPr="00207291">
          <w:rPr>
            <w:rStyle w:val="Hyperlink"/>
            <w:rFonts w:ascii="Open Sans" w:hAnsi="Open Sans" w:cs="Open Sans"/>
          </w:rPr>
          <w:t>Prescribed authorities</w:t>
        </w:r>
        <w:r w:rsidR="00DD62D8">
          <w:rPr>
            <w:webHidden/>
          </w:rPr>
          <w:tab/>
        </w:r>
        <w:r w:rsidR="00DD62D8">
          <w:rPr>
            <w:webHidden/>
          </w:rPr>
          <w:fldChar w:fldCharType="begin"/>
        </w:r>
        <w:r w:rsidR="00DD62D8">
          <w:rPr>
            <w:webHidden/>
          </w:rPr>
          <w:instrText xml:space="preserve"> PAGEREF _Toc44496133 \h </w:instrText>
        </w:r>
        <w:r w:rsidR="00DD62D8">
          <w:rPr>
            <w:webHidden/>
          </w:rPr>
        </w:r>
        <w:r w:rsidR="00DD62D8">
          <w:rPr>
            <w:webHidden/>
          </w:rPr>
          <w:fldChar w:fldCharType="separate"/>
        </w:r>
        <w:r w:rsidR="00A913B3">
          <w:rPr>
            <w:webHidden/>
          </w:rPr>
          <w:t>23</w:t>
        </w:r>
        <w:r w:rsidR="00DD62D8">
          <w:rPr>
            <w:webHidden/>
          </w:rPr>
          <w:fldChar w:fldCharType="end"/>
        </w:r>
      </w:hyperlink>
    </w:p>
    <w:p w14:paraId="0084CC50" w14:textId="221FC918" w:rsidR="00DD62D8" w:rsidRDefault="00104D9F">
      <w:pPr>
        <w:pStyle w:val="TOC2"/>
        <w:rPr>
          <w:rFonts w:asciiTheme="minorHAnsi" w:eastAsiaTheme="minorEastAsia" w:hAnsiTheme="minorHAnsi" w:cstheme="minorBidi"/>
          <w:b w:val="0"/>
          <w:i w:val="0"/>
          <w:sz w:val="22"/>
          <w:szCs w:val="22"/>
          <w:lang w:val="en-US" w:eastAsia="en-US"/>
        </w:rPr>
      </w:pPr>
      <w:hyperlink w:anchor="_Toc44496134" w:history="1">
        <w:r w:rsidR="00DD62D8" w:rsidRPr="00207291">
          <w:rPr>
            <w:rStyle w:val="Hyperlink"/>
            <w:rFonts w:ascii="Open Sans" w:hAnsi="Open Sans" w:cs="Open Sans"/>
          </w:rPr>
          <w:t>6.6</w:t>
        </w:r>
        <w:r w:rsidR="00DD62D8">
          <w:rPr>
            <w:rFonts w:asciiTheme="minorHAnsi" w:eastAsiaTheme="minorEastAsia" w:hAnsiTheme="minorHAnsi" w:cstheme="minorBidi"/>
            <w:b w:val="0"/>
            <w:i w:val="0"/>
            <w:sz w:val="22"/>
            <w:szCs w:val="22"/>
            <w:lang w:val="en-US" w:eastAsia="en-US"/>
          </w:rPr>
          <w:tab/>
        </w:r>
        <w:r w:rsidR="00DD62D8" w:rsidRPr="00207291">
          <w:rPr>
            <w:rStyle w:val="Hyperlink"/>
            <w:rFonts w:ascii="Open Sans" w:hAnsi="Open Sans" w:cs="Open Sans"/>
          </w:rPr>
          <w:t>Limits on access to legal counsel</w:t>
        </w:r>
        <w:r w:rsidR="00DD62D8">
          <w:rPr>
            <w:webHidden/>
          </w:rPr>
          <w:tab/>
        </w:r>
        <w:r w:rsidR="00DD62D8">
          <w:rPr>
            <w:webHidden/>
          </w:rPr>
          <w:fldChar w:fldCharType="begin"/>
        </w:r>
        <w:r w:rsidR="00DD62D8">
          <w:rPr>
            <w:webHidden/>
          </w:rPr>
          <w:instrText xml:space="preserve"> PAGEREF _Toc44496134 \h </w:instrText>
        </w:r>
        <w:r w:rsidR="00DD62D8">
          <w:rPr>
            <w:webHidden/>
          </w:rPr>
        </w:r>
        <w:r w:rsidR="00DD62D8">
          <w:rPr>
            <w:webHidden/>
          </w:rPr>
          <w:fldChar w:fldCharType="separate"/>
        </w:r>
        <w:r w:rsidR="00A913B3">
          <w:rPr>
            <w:webHidden/>
          </w:rPr>
          <w:t>25</w:t>
        </w:r>
        <w:r w:rsidR="00DD62D8">
          <w:rPr>
            <w:webHidden/>
          </w:rPr>
          <w:fldChar w:fldCharType="end"/>
        </w:r>
      </w:hyperlink>
    </w:p>
    <w:p w14:paraId="019EDA54" w14:textId="14C9FB07" w:rsidR="00DD62D8" w:rsidRDefault="00104D9F">
      <w:pPr>
        <w:pStyle w:val="TOC2"/>
        <w:rPr>
          <w:rFonts w:asciiTheme="minorHAnsi" w:eastAsiaTheme="minorEastAsia" w:hAnsiTheme="minorHAnsi" w:cstheme="minorBidi"/>
          <w:b w:val="0"/>
          <w:i w:val="0"/>
          <w:sz w:val="22"/>
          <w:szCs w:val="22"/>
          <w:lang w:val="en-US" w:eastAsia="en-US"/>
        </w:rPr>
      </w:pPr>
      <w:hyperlink w:anchor="_Toc44496135" w:history="1">
        <w:r w:rsidR="00DD62D8" w:rsidRPr="00207291">
          <w:rPr>
            <w:rStyle w:val="Hyperlink"/>
            <w:rFonts w:ascii="Open Sans" w:hAnsi="Open Sans" w:cs="Open Sans"/>
          </w:rPr>
          <w:t>6.7</w:t>
        </w:r>
        <w:r w:rsidR="00DD62D8">
          <w:rPr>
            <w:rFonts w:asciiTheme="minorHAnsi" w:eastAsiaTheme="minorEastAsia" w:hAnsiTheme="minorHAnsi" w:cstheme="minorBidi"/>
            <w:b w:val="0"/>
            <w:i w:val="0"/>
            <w:sz w:val="22"/>
            <w:szCs w:val="22"/>
            <w:lang w:val="en-US" w:eastAsia="en-US"/>
          </w:rPr>
          <w:tab/>
        </w:r>
        <w:r w:rsidR="00DD62D8" w:rsidRPr="00207291">
          <w:rPr>
            <w:rStyle w:val="Hyperlink"/>
            <w:rFonts w:ascii="Open Sans" w:hAnsi="Open Sans" w:cs="Open Sans"/>
          </w:rPr>
          <w:t>Post-charge questioning</w:t>
        </w:r>
        <w:r w:rsidR="00DD62D8">
          <w:rPr>
            <w:webHidden/>
          </w:rPr>
          <w:tab/>
        </w:r>
        <w:r w:rsidR="00DD62D8">
          <w:rPr>
            <w:webHidden/>
          </w:rPr>
          <w:fldChar w:fldCharType="begin"/>
        </w:r>
        <w:r w:rsidR="00DD62D8">
          <w:rPr>
            <w:webHidden/>
          </w:rPr>
          <w:instrText xml:space="preserve"> PAGEREF _Toc44496135 \h </w:instrText>
        </w:r>
        <w:r w:rsidR="00DD62D8">
          <w:rPr>
            <w:webHidden/>
          </w:rPr>
        </w:r>
        <w:r w:rsidR="00DD62D8">
          <w:rPr>
            <w:webHidden/>
          </w:rPr>
          <w:fldChar w:fldCharType="separate"/>
        </w:r>
        <w:r w:rsidR="00A913B3">
          <w:rPr>
            <w:webHidden/>
          </w:rPr>
          <w:t>27</w:t>
        </w:r>
        <w:r w:rsidR="00DD62D8">
          <w:rPr>
            <w:webHidden/>
          </w:rPr>
          <w:fldChar w:fldCharType="end"/>
        </w:r>
      </w:hyperlink>
    </w:p>
    <w:p w14:paraId="462A8403" w14:textId="323A446B" w:rsidR="00DD62D8" w:rsidRDefault="00104D9F">
      <w:pPr>
        <w:pStyle w:val="TOC1"/>
        <w:rPr>
          <w:rFonts w:asciiTheme="minorHAnsi" w:eastAsiaTheme="minorEastAsia" w:hAnsiTheme="minorHAnsi" w:cstheme="minorBidi"/>
          <w:b w:val="0"/>
          <w:szCs w:val="22"/>
          <w:lang w:val="en-US" w:eastAsia="en-US"/>
        </w:rPr>
      </w:pPr>
      <w:hyperlink w:anchor="_Toc44496136" w:history="1">
        <w:r w:rsidR="00DD62D8" w:rsidRPr="00207291">
          <w:rPr>
            <w:rStyle w:val="Hyperlink"/>
            <w:rFonts w:ascii="Open Sans" w:hAnsi="Open Sans" w:cs="Open Sans"/>
          </w:rPr>
          <w:t>7</w:t>
        </w:r>
        <w:r w:rsidR="00DD62D8">
          <w:rPr>
            <w:rFonts w:asciiTheme="minorHAnsi" w:eastAsiaTheme="minorEastAsia" w:hAnsiTheme="minorHAnsi" w:cstheme="minorBidi"/>
            <w:b w:val="0"/>
            <w:szCs w:val="22"/>
            <w:lang w:val="en-US" w:eastAsia="en-US"/>
          </w:rPr>
          <w:tab/>
        </w:r>
        <w:r w:rsidR="00DD62D8" w:rsidRPr="00207291">
          <w:rPr>
            <w:rStyle w:val="Hyperlink"/>
            <w:rFonts w:ascii="Open Sans" w:hAnsi="Open Sans" w:cs="Open Sans"/>
          </w:rPr>
          <w:t>Recommendations</w:t>
        </w:r>
        <w:r w:rsidR="00DD62D8">
          <w:rPr>
            <w:webHidden/>
          </w:rPr>
          <w:tab/>
        </w:r>
        <w:r w:rsidR="00DD62D8">
          <w:rPr>
            <w:webHidden/>
          </w:rPr>
          <w:fldChar w:fldCharType="begin"/>
        </w:r>
        <w:r w:rsidR="00DD62D8">
          <w:rPr>
            <w:webHidden/>
          </w:rPr>
          <w:instrText xml:space="preserve"> PAGEREF _Toc44496136 \h </w:instrText>
        </w:r>
        <w:r w:rsidR="00DD62D8">
          <w:rPr>
            <w:webHidden/>
          </w:rPr>
        </w:r>
        <w:r w:rsidR="00DD62D8">
          <w:rPr>
            <w:webHidden/>
          </w:rPr>
          <w:fldChar w:fldCharType="separate"/>
        </w:r>
        <w:r w:rsidR="00A913B3">
          <w:rPr>
            <w:webHidden/>
          </w:rPr>
          <w:t>29</w:t>
        </w:r>
        <w:r w:rsidR="00DD62D8">
          <w:rPr>
            <w:webHidden/>
          </w:rPr>
          <w:fldChar w:fldCharType="end"/>
        </w:r>
      </w:hyperlink>
    </w:p>
    <w:p w14:paraId="65DA6B0F" w14:textId="68172E9B" w:rsidR="00B34946" w:rsidRPr="00AE0AD1" w:rsidRDefault="00B63D24" w:rsidP="00B63D24">
      <w:pPr>
        <w:rPr>
          <w:rFonts w:ascii="Open Sans" w:hAnsi="Open Sans" w:cs="Open Sans"/>
        </w:rPr>
      </w:pPr>
      <w:r w:rsidRPr="00AE0AD1">
        <w:rPr>
          <w:rFonts w:ascii="Open Sans" w:hAnsi="Open Sans" w:cs="Open Sans"/>
        </w:rPr>
        <w:fldChar w:fldCharType="end"/>
      </w:r>
    </w:p>
    <w:p w14:paraId="65DA6B10" w14:textId="77777777" w:rsidR="00B34946" w:rsidRPr="00AE0AD1" w:rsidRDefault="00B34946">
      <w:pPr>
        <w:spacing w:before="0" w:after="0"/>
        <w:rPr>
          <w:rFonts w:ascii="Open Sans" w:hAnsi="Open Sans" w:cs="Open Sans"/>
        </w:rPr>
      </w:pPr>
      <w:r w:rsidRPr="00AE0AD1">
        <w:rPr>
          <w:rFonts w:ascii="Open Sans" w:hAnsi="Open Sans" w:cs="Open Sans"/>
        </w:rPr>
        <w:br w:type="page"/>
      </w:r>
    </w:p>
    <w:p w14:paraId="65DA6B11" w14:textId="77777777" w:rsidR="00B34946" w:rsidRPr="00AE0AD1" w:rsidRDefault="00B34946" w:rsidP="003137B7">
      <w:pPr>
        <w:pStyle w:val="Heading1"/>
        <w:tabs>
          <w:tab w:val="clear" w:pos="851"/>
          <w:tab w:val="num" w:pos="275"/>
        </w:tabs>
        <w:rPr>
          <w:rFonts w:ascii="Open Sans" w:hAnsi="Open Sans" w:cs="Open Sans"/>
        </w:rPr>
      </w:pPr>
      <w:bookmarkStart w:id="4" w:name="_Toc207761830"/>
      <w:bookmarkStart w:id="5" w:name="_Toc209578266"/>
      <w:bookmarkStart w:id="6" w:name="_Toc44496114"/>
      <w:r w:rsidRPr="00AE0AD1">
        <w:rPr>
          <w:rFonts w:ascii="Open Sans" w:hAnsi="Open Sans" w:cs="Open Sans"/>
        </w:rPr>
        <w:lastRenderedPageBreak/>
        <w:t>Introduction</w:t>
      </w:r>
      <w:bookmarkEnd w:id="4"/>
      <w:bookmarkEnd w:id="5"/>
      <w:bookmarkEnd w:id="6"/>
      <w:r w:rsidRPr="00AE0AD1">
        <w:rPr>
          <w:rFonts w:ascii="Open Sans" w:hAnsi="Open Sans" w:cs="Open Sans"/>
        </w:rPr>
        <w:t xml:space="preserve"> </w:t>
      </w:r>
    </w:p>
    <w:p w14:paraId="193F8F52" w14:textId="0AF3C5BE" w:rsidR="00EB23D1" w:rsidRPr="00713E0A" w:rsidRDefault="00EB23D1" w:rsidP="003137B7">
      <w:pPr>
        <w:pStyle w:val="SubmissionNormal"/>
        <w:tabs>
          <w:tab w:val="clear" w:pos="4680"/>
          <w:tab w:val="num" w:pos="4392"/>
        </w:tabs>
        <w:rPr>
          <w:rFonts w:ascii="Open Sans" w:hAnsi="Open Sans" w:cs="Open Sans"/>
        </w:rPr>
      </w:pPr>
      <w:r w:rsidRPr="00713E0A">
        <w:rPr>
          <w:rFonts w:ascii="Open Sans" w:hAnsi="Open Sans" w:cs="Open Sans"/>
        </w:rPr>
        <w:t>The Australian Human Rights Commission (</w:t>
      </w:r>
      <w:r w:rsidR="75DDEC7E" w:rsidRPr="7EA2DDC8">
        <w:rPr>
          <w:rFonts w:ascii="Open Sans" w:hAnsi="Open Sans" w:cs="Open Sans"/>
        </w:rPr>
        <w:t>the Commission</w:t>
      </w:r>
      <w:r w:rsidRPr="7EA2DDC8">
        <w:rPr>
          <w:rFonts w:ascii="Open Sans" w:hAnsi="Open Sans" w:cs="Open Sans"/>
        </w:rPr>
        <w:t xml:space="preserve">) </w:t>
      </w:r>
      <w:r w:rsidRPr="00713E0A">
        <w:rPr>
          <w:rFonts w:ascii="Open Sans" w:hAnsi="Open Sans" w:cs="Open Sans"/>
        </w:rPr>
        <w:t xml:space="preserve">makes this submission to the Parliamentary Joint Committee on Intelligence and Security (the PJCIS) in its Inquiry into the effectiveness of the Australian Security Intelligence Organisation Amendment Bill 2020 (the Bill). </w:t>
      </w:r>
    </w:p>
    <w:p w14:paraId="5EB3B704" w14:textId="6DB0C4DA" w:rsidR="00472020" w:rsidRDefault="00EB23D1" w:rsidP="003137B7">
      <w:pPr>
        <w:pStyle w:val="SubmissionNormal"/>
        <w:tabs>
          <w:tab w:val="clear" w:pos="4680"/>
          <w:tab w:val="num" w:pos="4392"/>
        </w:tabs>
        <w:rPr>
          <w:rFonts w:ascii="Open Sans" w:hAnsi="Open Sans" w:cs="Open Sans"/>
        </w:rPr>
      </w:pPr>
      <w:r w:rsidRPr="00AE0AD1">
        <w:rPr>
          <w:rFonts w:ascii="Open Sans" w:hAnsi="Open Sans" w:cs="Open Sans"/>
        </w:rPr>
        <w:t xml:space="preserve">The Bill would amend the Australian Security Intelligence Organisation’s (ASIO’s) compulsory questioning powers under </w:t>
      </w:r>
      <w:r w:rsidRPr="007A0816">
        <w:rPr>
          <w:rFonts w:ascii="Open Sans" w:hAnsi="Open Sans" w:cs="Open Sans"/>
          <w:i/>
          <w:iCs/>
        </w:rPr>
        <w:t xml:space="preserve">the Australian Security Intelligence Organisation Act 1979 </w:t>
      </w:r>
      <w:r w:rsidRPr="00AE0AD1">
        <w:rPr>
          <w:rFonts w:ascii="Open Sans" w:hAnsi="Open Sans" w:cs="Open Sans"/>
        </w:rPr>
        <w:t>(</w:t>
      </w:r>
      <w:proofErr w:type="spellStart"/>
      <w:r w:rsidRPr="00AE0AD1">
        <w:rPr>
          <w:rFonts w:ascii="Open Sans" w:hAnsi="Open Sans" w:cs="Open Sans"/>
        </w:rPr>
        <w:t>Cth</w:t>
      </w:r>
      <w:proofErr w:type="spellEnd"/>
      <w:r w:rsidRPr="00AE0AD1">
        <w:rPr>
          <w:rFonts w:ascii="Open Sans" w:hAnsi="Open Sans" w:cs="Open Sans"/>
        </w:rPr>
        <w:t>) (ASIO Act).</w:t>
      </w:r>
      <w:r w:rsidR="00F77C26">
        <w:rPr>
          <w:rFonts w:ascii="Open Sans" w:hAnsi="Open Sans" w:cs="Open Sans"/>
        </w:rPr>
        <w:t xml:space="preserve"> </w:t>
      </w:r>
      <w:r w:rsidRPr="00AE0AD1">
        <w:rPr>
          <w:rFonts w:ascii="Open Sans" w:hAnsi="Open Sans" w:cs="Open Sans"/>
        </w:rPr>
        <w:t xml:space="preserve">Most importantly, the Bill would repeal the existing questioning and detention warrant (QDW) </w:t>
      </w:r>
      <w:r w:rsidR="00953E2F">
        <w:rPr>
          <w:rFonts w:ascii="Open Sans" w:hAnsi="Open Sans" w:cs="Open Sans"/>
        </w:rPr>
        <w:t xml:space="preserve">and </w:t>
      </w:r>
      <w:r w:rsidR="00E062E2">
        <w:rPr>
          <w:rFonts w:ascii="Open Sans" w:hAnsi="Open Sans" w:cs="Open Sans"/>
        </w:rPr>
        <w:t>questioning warrant</w:t>
      </w:r>
      <w:r w:rsidR="00953E2F">
        <w:rPr>
          <w:rFonts w:ascii="Open Sans" w:hAnsi="Open Sans" w:cs="Open Sans"/>
        </w:rPr>
        <w:t xml:space="preserve"> (QW) </w:t>
      </w:r>
      <w:r w:rsidRPr="00AE0AD1">
        <w:rPr>
          <w:rFonts w:ascii="Open Sans" w:hAnsi="Open Sans" w:cs="Open Sans"/>
        </w:rPr>
        <w:t>regime</w:t>
      </w:r>
      <w:r w:rsidR="00953E2F">
        <w:rPr>
          <w:rFonts w:ascii="Open Sans" w:hAnsi="Open Sans" w:cs="Open Sans"/>
        </w:rPr>
        <w:t>s</w:t>
      </w:r>
      <w:r w:rsidRPr="00AE0AD1">
        <w:rPr>
          <w:rFonts w:ascii="Open Sans" w:hAnsi="Open Sans" w:cs="Open Sans"/>
        </w:rPr>
        <w:t xml:space="preserve"> from the ASIO Act, and insert a new compulsory </w:t>
      </w:r>
      <w:r w:rsidR="00E062E2">
        <w:rPr>
          <w:rFonts w:ascii="Open Sans" w:hAnsi="Open Sans" w:cs="Open Sans"/>
        </w:rPr>
        <w:t>QW</w:t>
      </w:r>
      <w:r w:rsidRPr="00AE0AD1">
        <w:rPr>
          <w:rFonts w:ascii="Open Sans" w:hAnsi="Open Sans" w:cs="Open Sans"/>
        </w:rPr>
        <w:t xml:space="preserve"> regime.</w:t>
      </w:r>
      <w:r w:rsidR="00F77C26">
        <w:rPr>
          <w:rFonts w:ascii="Open Sans" w:hAnsi="Open Sans" w:cs="Open Sans"/>
        </w:rPr>
        <w:t xml:space="preserve"> </w:t>
      </w:r>
      <w:r w:rsidR="00953E2F">
        <w:rPr>
          <w:rFonts w:ascii="Open Sans" w:hAnsi="Open Sans" w:cs="Open Sans"/>
        </w:rPr>
        <w:t>The proposed new QW regime is in some respects the same as the present one, but has some very significant changes.</w:t>
      </w:r>
      <w:r w:rsidR="00F77C26">
        <w:rPr>
          <w:rFonts w:ascii="Open Sans" w:hAnsi="Open Sans" w:cs="Open Sans"/>
        </w:rPr>
        <w:t xml:space="preserve"> </w:t>
      </w:r>
      <w:r w:rsidRPr="00AE0AD1">
        <w:rPr>
          <w:rFonts w:ascii="Open Sans" w:hAnsi="Open Sans" w:cs="Open Sans"/>
        </w:rPr>
        <w:t xml:space="preserve">These changes are </w:t>
      </w:r>
      <w:r w:rsidR="003F48FB">
        <w:rPr>
          <w:rFonts w:ascii="Open Sans" w:hAnsi="Open Sans" w:cs="Open Sans"/>
        </w:rPr>
        <w:t>said to</w:t>
      </w:r>
      <w:r w:rsidRPr="00AE0AD1">
        <w:rPr>
          <w:rFonts w:ascii="Open Sans" w:hAnsi="Open Sans" w:cs="Open Sans"/>
        </w:rPr>
        <w:t xml:space="preserve"> implement the Government’s response</w:t>
      </w:r>
      <w:r w:rsidR="005116DF">
        <w:rPr>
          <w:rStyle w:val="EndnoteReference"/>
          <w:rFonts w:cs="Open Sans"/>
        </w:rPr>
        <w:endnoteReference w:id="2"/>
      </w:r>
      <w:r w:rsidRPr="00AE0AD1">
        <w:rPr>
          <w:rFonts w:ascii="Open Sans" w:hAnsi="Open Sans" w:cs="Open Sans"/>
        </w:rPr>
        <w:t xml:space="preserve"> to the recommendations made by the PJCIS in its</w:t>
      </w:r>
      <w:r w:rsidR="00BF3111">
        <w:rPr>
          <w:rFonts w:ascii="Open Sans" w:hAnsi="Open Sans" w:cs="Open Sans"/>
        </w:rPr>
        <w:t xml:space="preserve"> </w:t>
      </w:r>
      <w:r w:rsidR="00953E2F">
        <w:rPr>
          <w:rFonts w:ascii="Open Sans" w:hAnsi="Open Sans" w:cs="Open Sans"/>
        </w:rPr>
        <w:t>2018 report addressing</w:t>
      </w:r>
      <w:r w:rsidRPr="00AE0AD1">
        <w:rPr>
          <w:rFonts w:ascii="Open Sans" w:hAnsi="Open Sans" w:cs="Open Sans"/>
        </w:rPr>
        <w:t xml:space="preserve"> the operation, effectiveness and implications of the ASIO Act’s existing compulsory questioning framework (</w:t>
      </w:r>
      <w:r w:rsidR="006A057A" w:rsidRPr="00AE0AD1">
        <w:rPr>
          <w:rFonts w:ascii="Open Sans" w:hAnsi="Open Sans" w:cs="Open Sans"/>
        </w:rPr>
        <w:t xml:space="preserve">2018 </w:t>
      </w:r>
      <w:r w:rsidRPr="00AE0AD1">
        <w:rPr>
          <w:rFonts w:ascii="Open Sans" w:hAnsi="Open Sans" w:cs="Open Sans"/>
        </w:rPr>
        <w:t>PJCIS Report).</w:t>
      </w:r>
      <w:r w:rsidRPr="00AE0AD1">
        <w:rPr>
          <w:rFonts w:ascii="Open Sans" w:hAnsi="Open Sans" w:cs="Open Sans"/>
          <w:vertAlign w:val="superscript"/>
        </w:rPr>
        <w:endnoteReference w:id="3"/>
      </w:r>
      <w:r w:rsidR="004A263F" w:rsidRPr="00AE0AD1">
        <w:rPr>
          <w:rFonts w:ascii="Open Sans" w:hAnsi="Open Sans" w:cs="Open Sans"/>
        </w:rPr>
        <w:t xml:space="preserve"> </w:t>
      </w:r>
    </w:p>
    <w:p w14:paraId="690187EF" w14:textId="22D62613" w:rsidR="00EB23D1" w:rsidRPr="00AE0AD1" w:rsidRDefault="00D0304D" w:rsidP="003137B7">
      <w:pPr>
        <w:pStyle w:val="SubmissionNormal"/>
        <w:tabs>
          <w:tab w:val="clear" w:pos="4680"/>
          <w:tab w:val="num" w:pos="4392"/>
        </w:tabs>
        <w:rPr>
          <w:rFonts w:ascii="Open Sans" w:hAnsi="Open Sans" w:cs="Open Sans"/>
        </w:rPr>
      </w:pPr>
      <w:r>
        <w:rPr>
          <w:rFonts w:ascii="Open Sans" w:hAnsi="Open Sans" w:cs="Open Sans"/>
        </w:rPr>
        <w:t>ASIO’s compulsory questioning and detention powers have been reviewed on numerous occasions by parliamentary committees and two former</w:t>
      </w:r>
      <w:r w:rsidRPr="00D0304D">
        <w:rPr>
          <w:rFonts w:ascii="Open Sans" w:eastAsia="MS Mincho" w:hAnsi="Open Sans" w:cs="Open Sans"/>
        </w:rPr>
        <w:t xml:space="preserve"> </w:t>
      </w:r>
      <w:r w:rsidRPr="00D0304D">
        <w:rPr>
          <w:rFonts w:ascii="Open Sans" w:hAnsi="Open Sans" w:cs="Open Sans"/>
        </w:rPr>
        <w:t>Independent National Security Legislation Monitors (INSLMs)</w:t>
      </w:r>
      <w:r>
        <w:rPr>
          <w:rFonts w:ascii="Open Sans" w:hAnsi="Open Sans" w:cs="Open Sans"/>
        </w:rPr>
        <w:t xml:space="preserve">. </w:t>
      </w:r>
      <w:r w:rsidR="00EB23D1" w:rsidRPr="00AE0AD1">
        <w:rPr>
          <w:rFonts w:ascii="Open Sans" w:hAnsi="Open Sans" w:cs="Open Sans"/>
        </w:rPr>
        <w:t xml:space="preserve">It </w:t>
      </w:r>
      <w:r>
        <w:rPr>
          <w:rFonts w:ascii="Open Sans" w:hAnsi="Open Sans" w:cs="Open Sans"/>
        </w:rPr>
        <w:t xml:space="preserve">is noteworthy that </w:t>
      </w:r>
      <w:r w:rsidR="00EB23D1" w:rsidRPr="00AE0AD1">
        <w:rPr>
          <w:rFonts w:ascii="Open Sans" w:hAnsi="Open Sans" w:cs="Open Sans"/>
        </w:rPr>
        <w:t>the Bill deviates in a number of ways from the recommendations made by previous INSLMs</w:t>
      </w:r>
      <w:r>
        <w:rPr>
          <w:rFonts w:ascii="Open Sans" w:hAnsi="Open Sans" w:cs="Open Sans"/>
        </w:rPr>
        <w:t>,</w:t>
      </w:r>
      <w:r w:rsidR="00EB23D1" w:rsidRPr="00AE0AD1">
        <w:rPr>
          <w:rFonts w:ascii="Open Sans" w:hAnsi="Open Sans" w:cs="Open Sans"/>
        </w:rPr>
        <w:t xml:space="preserve"> and to a certain extent those made by the PJCIS</w:t>
      </w:r>
      <w:r>
        <w:rPr>
          <w:rFonts w:ascii="Open Sans" w:hAnsi="Open Sans" w:cs="Open Sans"/>
        </w:rPr>
        <w:t xml:space="preserve"> in its 2018 Report</w:t>
      </w:r>
      <w:r w:rsidR="00EB23D1" w:rsidRPr="00AE0AD1">
        <w:rPr>
          <w:rFonts w:ascii="Open Sans" w:hAnsi="Open Sans" w:cs="Open Sans"/>
        </w:rPr>
        <w:t>.</w:t>
      </w:r>
    </w:p>
    <w:p w14:paraId="2F117A50" w14:textId="77777777" w:rsidR="00EB23D1" w:rsidRPr="00AE0AD1" w:rsidRDefault="00EB23D1" w:rsidP="003137B7">
      <w:pPr>
        <w:pStyle w:val="SubmissionNormal"/>
        <w:tabs>
          <w:tab w:val="clear" w:pos="4680"/>
          <w:tab w:val="num" w:pos="4392"/>
        </w:tabs>
        <w:rPr>
          <w:rFonts w:ascii="Open Sans" w:hAnsi="Open Sans" w:cs="Open Sans"/>
        </w:rPr>
      </w:pPr>
      <w:r w:rsidRPr="00AE0AD1">
        <w:rPr>
          <w:rFonts w:ascii="Open Sans" w:hAnsi="Open Sans" w:cs="Open Sans"/>
        </w:rPr>
        <w:t xml:space="preserve">The Bill would also amend the surveillance device framework in the ASIO Act by changing the authorisation process for ASIO’s use of tracking devices. The Bill would enable ASIO to use tracking devices with only internal authorisation and in some cases without a warrant. </w:t>
      </w:r>
    </w:p>
    <w:p w14:paraId="10DAAA12" w14:textId="6561066D" w:rsidR="00EB23D1" w:rsidRPr="00AE0AD1" w:rsidRDefault="00EB23D1" w:rsidP="003137B7">
      <w:pPr>
        <w:pStyle w:val="SubmissionNormal"/>
        <w:tabs>
          <w:tab w:val="clear" w:pos="4680"/>
          <w:tab w:val="num" w:pos="4392"/>
        </w:tabs>
        <w:rPr>
          <w:rFonts w:ascii="Open Sans" w:hAnsi="Open Sans" w:cs="Open Sans"/>
        </w:rPr>
      </w:pPr>
      <w:r w:rsidRPr="00AE0AD1">
        <w:rPr>
          <w:rFonts w:ascii="Open Sans" w:hAnsi="Open Sans" w:cs="Open Sans"/>
        </w:rPr>
        <w:t>This submission focuses on the changes the Bill would make to ASIO’s questioning and detention powers.</w:t>
      </w:r>
      <w:r w:rsidR="00F77C26" w:rsidRPr="00AE5F47">
        <w:rPr>
          <w:rFonts w:ascii="Open Sans" w:hAnsi="Open Sans" w:cs="Open Sans"/>
          <w:vertAlign w:val="superscript"/>
        </w:rPr>
        <w:t xml:space="preserve"> </w:t>
      </w:r>
      <w:r w:rsidR="00AE5F47" w:rsidRPr="00AE0AD1">
        <w:rPr>
          <w:rFonts w:ascii="Open Sans" w:hAnsi="Open Sans" w:cs="Open Sans"/>
          <w:vertAlign w:val="superscript"/>
        </w:rPr>
        <w:endnoteReference w:id="4"/>
      </w:r>
      <w:r w:rsidR="00F77C26">
        <w:rPr>
          <w:rFonts w:ascii="Open Sans" w:hAnsi="Open Sans" w:cs="Open Sans"/>
        </w:rPr>
        <w:t xml:space="preserve"> </w:t>
      </w:r>
    </w:p>
    <w:p w14:paraId="4FB597EE" w14:textId="317CC985" w:rsidR="00EB23D1" w:rsidRPr="00AE0AD1" w:rsidRDefault="00EB23D1" w:rsidP="003137B7">
      <w:pPr>
        <w:pStyle w:val="SubmissionNormal"/>
        <w:tabs>
          <w:tab w:val="clear" w:pos="4680"/>
          <w:tab w:val="num" w:pos="4392"/>
        </w:tabs>
        <w:rPr>
          <w:rFonts w:ascii="Open Sans" w:hAnsi="Open Sans" w:cs="Open Sans"/>
        </w:rPr>
      </w:pPr>
      <w:r w:rsidRPr="00AE0AD1">
        <w:rPr>
          <w:rFonts w:ascii="Open Sans" w:hAnsi="Open Sans" w:cs="Open Sans"/>
        </w:rPr>
        <w:t xml:space="preserve">The Commission welcomes the proposal to repeal the QDW regime. The powers under the QDW regime </w:t>
      </w:r>
      <w:r w:rsidR="00D45A78">
        <w:rPr>
          <w:rFonts w:ascii="Open Sans" w:hAnsi="Open Sans" w:cs="Open Sans"/>
        </w:rPr>
        <w:t xml:space="preserve">represent an unjustified intrusion </w:t>
      </w:r>
      <w:r w:rsidRPr="00AE0AD1">
        <w:rPr>
          <w:rFonts w:ascii="Open Sans" w:hAnsi="Open Sans" w:cs="Open Sans"/>
        </w:rPr>
        <w:t xml:space="preserve">on the </w:t>
      </w:r>
      <w:r w:rsidR="00D45A78">
        <w:rPr>
          <w:rFonts w:ascii="Open Sans" w:hAnsi="Open Sans" w:cs="Open Sans"/>
        </w:rPr>
        <w:t xml:space="preserve">human </w:t>
      </w:r>
      <w:r w:rsidRPr="00AE0AD1">
        <w:rPr>
          <w:rFonts w:ascii="Open Sans" w:hAnsi="Open Sans" w:cs="Open Sans"/>
        </w:rPr>
        <w:t>rights of affected persons</w:t>
      </w:r>
      <w:r w:rsidR="00D45A78">
        <w:rPr>
          <w:rFonts w:ascii="Open Sans" w:hAnsi="Open Sans" w:cs="Open Sans"/>
        </w:rPr>
        <w:t>,</w:t>
      </w:r>
      <w:r w:rsidRPr="00AE0AD1">
        <w:rPr>
          <w:rFonts w:ascii="Open Sans" w:hAnsi="Open Sans" w:cs="Open Sans"/>
        </w:rPr>
        <w:t xml:space="preserve"> and the Commission has called for their repeal in past submissions to this Committee.</w:t>
      </w:r>
      <w:r w:rsidRPr="00AE0AD1">
        <w:rPr>
          <w:rFonts w:ascii="Open Sans" w:hAnsi="Open Sans" w:cs="Open Sans"/>
          <w:vertAlign w:val="superscript"/>
        </w:rPr>
        <w:endnoteReference w:id="5"/>
      </w:r>
      <w:r w:rsidRPr="00AE0AD1">
        <w:rPr>
          <w:rFonts w:ascii="Open Sans" w:hAnsi="Open Sans" w:cs="Open Sans"/>
        </w:rPr>
        <w:t xml:space="preserve"> So too have both former INSLMs.</w:t>
      </w:r>
      <w:r w:rsidRPr="00AE0AD1">
        <w:rPr>
          <w:rFonts w:ascii="Open Sans" w:hAnsi="Open Sans" w:cs="Open Sans"/>
          <w:vertAlign w:val="superscript"/>
        </w:rPr>
        <w:endnoteReference w:id="6"/>
      </w:r>
      <w:r w:rsidRPr="00AE0AD1">
        <w:rPr>
          <w:rFonts w:ascii="Open Sans" w:hAnsi="Open Sans" w:cs="Open Sans"/>
          <w:vertAlign w:val="superscript"/>
        </w:rPr>
        <w:t xml:space="preserve"> </w:t>
      </w:r>
      <w:r w:rsidRPr="00AE0AD1">
        <w:rPr>
          <w:rFonts w:ascii="Open Sans" w:hAnsi="Open Sans" w:cs="Open Sans"/>
        </w:rPr>
        <w:t xml:space="preserve">In addition, </w:t>
      </w:r>
      <w:r w:rsidR="00D45A78">
        <w:rPr>
          <w:rFonts w:ascii="Open Sans" w:hAnsi="Open Sans" w:cs="Open Sans"/>
        </w:rPr>
        <w:t xml:space="preserve">there has been no demonstrated practical need for the QDW regime given that, </w:t>
      </w:r>
      <w:r w:rsidRPr="00AE0AD1">
        <w:rPr>
          <w:rFonts w:ascii="Open Sans" w:hAnsi="Open Sans" w:cs="Open Sans"/>
        </w:rPr>
        <w:t>to date</w:t>
      </w:r>
      <w:r w:rsidR="00D45A78">
        <w:rPr>
          <w:rFonts w:ascii="Open Sans" w:hAnsi="Open Sans" w:cs="Open Sans"/>
        </w:rPr>
        <w:t>,</w:t>
      </w:r>
      <w:r w:rsidRPr="00AE0AD1">
        <w:rPr>
          <w:rFonts w:ascii="Open Sans" w:hAnsi="Open Sans" w:cs="Open Sans"/>
        </w:rPr>
        <w:t xml:space="preserve"> ASIO has never requested nor been issued with a QDW. </w:t>
      </w:r>
    </w:p>
    <w:p w14:paraId="700D3F9D" w14:textId="59D4B6EF" w:rsidR="00D221B6" w:rsidRDefault="00EB23D1" w:rsidP="003137B7">
      <w:pPr>
        <w:pStyle w:val="SubmissionNormal"/>
        <w:tabs>
          <w:tab w:val="clear" w:pos="4680"/>
          <w:tab w:val="num" w:pos="4392"/>
        </w:tabs>
        <w:rPr>
          <w:rFonts w:ascii="Open Sans" w:hAnsi="Open Sans" w:cs="Open Sans"/>
        </w:rPr>
      </w:pPr>
      <w:r w:rsidRPr="00AE0AD1">
        <w:rPr>
          <w:rFonts w:ascii="Open Sans" w:hAnsi="Open Sans" w:cs="Open Sans"/>
        </w:rPr>
        <w:t>The Commission is concerned</w:t>
      </w:r>
      <w:r w:rsidR="00D45A78">
        <w:rPr>
          <w:rFonts w:ascii="Open Sans" w:hAnsi="Open Sans" w:cs="Open Sans"/>
        </w:rPr>
        <w:t>,</w:t>
      </w:r>
      <w:r w:rsidRPr="00AE0AD1">
        <w:rPr>
          <w:rFonts w:ascii="Open Sans" w:hAnsi="Open Sans" w:cs="Open Sans"/>
        </w:rPr>
        <w:t xml:space="preserve"> however</w:t>
      </w:r>
      <w:r w:rsidR="00D45A78">
        <w:rPr>
          <w:rFonts w:ascii="Open Sans" w:hAnsi="Open Sans" w:cs="Open Sans"/>
        </w:rPr>
        <w:t>,</w:t>
      </w:r>
      <w:r w:rsidRPr="00AE0AD1">
        <w:rPr>
          <w:rFonts w:ascii="Open Sans" w:hAnsi="Open Sans" w:cs="Open Sans"/>
        </w:rPr>
        <w:t xml:space="preserve"> about the replacement of the existing detention framework with a new questioning and apprehension framework</w:t>
      </w:r>
      <w:r w:rsidR="00D221B6">
        <w:rPr>
          <w:rFonts w:ascii="Open Sans" w:hAnsi="Open Sans" w:cs="Open Sans"/>
        </w:rPr>
        <w:t>. This would</w:t>
      </w:r>
      <w:r w:rsidR="1C213BD9" w:rsidRPr="7EA2DDC8">
        <w:rPr>
          <w:rFonts w:ascii="Open Sans" w:hAnsi="Open Sans" w:cs="Open Sans"/>
        </w:rPr>
        <w:t>,</w:t>
      </w:r>
      <w:r w:rsidR="00D221B6">
        <w:rPr>
          <w:rFonts w:ascii="Open Sans" w:hAnsi="Open Sans" w:cs="Open Sans"/>
        </w:rPr>
        <w:t xml:space="preserve"> in some cases</w:t>
      </w:r>
      <w:r w:rsidR="56524F43" w:rsidRPr="7EA2DDC8">
        <w:rPr>
          <w:rFonts w:ascii="Open Sans" w:hAnsi="Open Sans" w:cs="Open Sans"/>
        </w:rPr>
        <w:t>,</w:t>
      </w:r>
      <w:r w:rsidR="00D221B6">
        <w:rPr>
          <w:rFonts w:ascii="Open Sans" w:hAnsi="Open Sans" w:cs="Open Sans"/>
        </w:rPr>
        <w:t xml:space="preserve"> allow for the immediate detention </w:t>
      </w:r>
      <w:r w:rsidR="00D221B6">
        <w:rPr>
          <w:rFonts w:ascii="Open Sans" w:hAnsi="Open Sans" w:cs="Open Sans"/>
        </w:rPr>
        <w:lastRenderedPageBreak/>
        <w:t xml:space="preserve">of the subjects of QWs, and would therefore </w:t>
      </w:r>
      <w:r w:rsidRPr="00AE0AD1">
        <w:rPr>
          <w:rFonts w:ascii="Open Sans" w:hAnsi="Open Sans" w:cs="Open Sans"/>
        </w:rPr>
        <w:t xml:space="preserve">pose many of the same limitations on human rights as the detention framework it would replace. </w:t>
      </w:r>
      <w:r w:rsidR="00D221B6">
        <w:rPr>
          <w:rFonts w:ascii="Open Sans" w:hAnsi="Open Sans" w:cs="Open Sans"/>
        </w:rPr>
        <w:t>Other changes that would be made to the Bill include:</w:t>
      </w:r>
    </w:p>
    <w:p w14:paraId="13623C6C" w14:textId="4BF9E9D4" w:rsidR="00D221B6" w:rsidRDefault="005709EF" w:rsidP="003137B7">
      <w:pPr>
        <w:pStyle w:val="SubmissionNormal"/>
        <w:numPr>
          <w:ilvl w:val="1"/>
          <w:numId w:val="15"/>
        </w:numPr>
        <w:tabs>
          <w:tab w:val="clear" w:pos="1440"/>
          <w:tab w:val="num" w:pos="1152"/>
        </w:tabs>
        <w:rPr>
          <w:rFonts w:ascii="Open Sans" w:hAnsi="Open Sans" w:cs="Open Sans"/>
        </w:rPr>
      </w:pPr>
      <w:r>
        <w:rPr>
          <w:rFonts w:ascii="Open Sans" w:hAnsi="Open Sans" w:cs="Open Sans"/>
        </w:rPr>
        <w:t>t</w:t>
      </w:r>
      <w:r w:rsidR="00D221B6">
        <w:rPr>
          <w:rFonts w:ascii="Open Sans" w:hAnsi="Open Sans" w:cs="Open Sans"/>
        </w:rPr>
        <w:t>he lowering of the minimum age for persons who may be subject to detention and questioning</w:t>
      </w:r>
      <w:r w:rsidR="57B498BA" w:rsidRPr="7EA2DDC8">
        <w:rPr>
          <w:rFonts w:ascii="Open Sans" w:hAnsi="Open Sans" w:cs="Open Sans"/>
        </w:rPr>
        <w:t>,</w:t>
      </w:r>
      <w:r w:rsidR="00D221B6">
        <w:rPr>
          <w:rFonts w:ascii="Open Sans" w:hAnsi="Open Sans" w:cs="Open Sans"/>
        </w:rPr>
        <w:t xml:space="preserve"> from 16 to 14</w:t>
      </w:r>
    </w:p>
    <w:p w14:paraId="199F1475" w14:textId="1B4BC391" w:rsidR="00D221B6" w:rsidRDefault="005709EF" w:rsidP="003137B7">
      <w:pPr>
        <w:pStyle w:val="SubmissionNormal"/>
        <w:numPr>
          <w:ilvl w:val="1"/>
          <w:numId w:val="15"/>
        </w:numPr>
        <w:tabs>
          <w:tab w:val="clear" w:pos="1440"/>
          <w:tab w:val="num" w:pos="1152"/>
        </w:tabs>
        <w:rPr>
          <w:rFonts w:ascii="Open Sans" w:hAnsi="Open Sans" w:cs="Open Sans"/>
        </w:rPr>
      </w:pPr>
      <w:r>
        <w:rPr>
          <w:rFonts w:ascii="Open Sans" w:hAnsi="Open Sans" w:cs="Open Sans"/>
        </w:rPr>
        <w:t>a</w:t>
      </w:r>
      <w:r w:rsidR="00D221B6">
        <w:rPr>
          <w:rFonts w:ascii="Open Sans" w:hAnsi="Open Sans" w:cs="Open Sans"/>
        </w:rPr>
        <w:t xml:space="preserve"> substantial increase in the kinds of intelligence that can be sought through the issuing of a QW</w:t>
      </w:r>
    </w:p>
    <w:p w14:paraId="03CF8963" w14:textId="2C14178D" w:rsidR="00D221B6" w:rsidRDefault="005709EF" w:rsidP="003137B7">
      <w:pPr>
        <w:pStyle w:val="SubmissionNormal"/>
        <w:numPr>
          <w:ilvl w:val="1"/>
          <w:numId w:val="15"/>
        </w:numPr>
        <w:tabs>
          <w:tab w:val="clear" w:pos="1440"/>
          <w:tab w:val="num" w:pos="1152"/>
        </w:tabs>
        <w:rPr>
          <w:rFonts w:ascii="Open Sans" w:hAnsi="Open Sans" w:cs="Open Sans"/>
        </w:rPr>
      </w:pPr>
      <w:r>
        <w:rPr>
          <w:rFonts w:ascii="Open Sans" w:hAnsi="Open Sans" w:cs="Open Sans"/>
        </w:rPr>
        <w:t>s</w:t>
      </w:r>
      <w:r w:rsidR="00D221B6">
        <w:rPr>
          <w:rFonts w:ascii="Open Sans" w:hAnsi="Open Sans" w:cs="Open Sans"/>
        </w:rPr>
        <w:t xml:space="preserve">ubstantial reductions in safeguards in the current regime, including a removal of the requirement that warrants be issued by an independent member of the judiciary, and a reduction in the </w:t>
      </w:r>
      <w:r>
        <w:rPr>
          <w:rFonts w:ascii="Open Sans" w:hAnsi="Open Sans" w:cs="Open Sans"/>
        </w:rPr>
        <w:t>qualifications for the independent persons who supervise questioning under warrants</w:t>
      </w:r>
    </w:p>
    <w:p w14:paraId="5300E496" w14:textId="261CF31C" w:rsidR="005709EF" w:rsidRDefault="005709EF" w:rsidP="003137B7">
      <w:pPr>
        <w:pStyle w:val="SubmissionNormal"/>
        <w:numPr>
          <w:ilvl w:val="1"/>
          <w:numId w:val="15"/>
        </w:numPr>
        <w:tabs>
          <w:tab w:val="clear" w:pos="1440"/>
          <w:tab w:val="num" w:pos="1152"/>
        </w:tabs>
        <w:rPr>
          <w:rFonts w:ascii="Open Sans" w:hAnsi="Open Sans" w:cs="Open Sans"/>
        </w:rPr>
      </w:pPr>
      <w:r>
        <w:rPr>
          <w:rFonts w:ascii="Open Sans" w:hAnsi="Open Sans" w:cs="Open Sans"/>
        </w:rPr>
        <w:t>new provisions allowing for questioning to be conducted where criminal charges are contemplated or have commenced; and allowing for information obtained through questioning to be shared with, and used by, prosecutors, even when criminal proceedings are already under way.</w:t>
      </w:r>
      <w:r w:rsidR="00F77C26">
        <w:rPr>
          <w:rFonts w:ascii="Open Sans" w:hAnsi="Open Sans" w:cs="Open Sans"/>
        </w:rPr>
        <w:t xml:space="preserve"> </w:t>
      </w:r>
    </w:p>
    <w:p w14:paraId="43CDBDB5" w14:textId="68BF636D" w:rsidR="00EB23D1" w:rsidRPr="00AE0AD1" w:rsidRDefault="00EB23D1" w:rsidP="003137B7">
      <w:pPr>
        <w:pStyle w:val="SubmissionNormal"/>
        <w:tabs>
          <w:tab w:val="clear" w:pos="4680"/>
          <w:tab w:val="num" w:pos="4392"/>
        </w:tabs>
        <w:rPr>
          <w:rFonts w:ascii="Open Sans" w:hAnsi="Open Sans" w:cs="Open Sans"/>
        </w:rPr>
      </w:pPr>
      <w:r w:rsidRPr="00AE0AD1">
        <w:rPr>
          <w:rFonts w:ascii="Open Sans" w:hAnsi="Open Sans" w:cs="Open Sans"/>
        </w:rPr>
        <w:t xml:space="preserve">The Commission acknowledges the critical importance of ensuring that our security and law enforcement agencies have appropriate powers to maintain national security and protect the Australian community from terrorism. Human rights law provides significant scope for such agencies to have </w:t>
      </w:r>
      <w:r w:rsidR="00253A87">
        <w:rPr>
          <w:rFonts w:ascii="Open Sans" w:hAnsi="Open Sans" w:cs="Open Sans"/>
        </w:rPr>
        <w:t>robust and effective</w:t>
      </w:r>
      <w:r w:rsidR="00253A87" w:rsidRPr="00AE0AD1">
        <w:rPr>
          <w:rFonts w:ascii="Open Sans" w:hAnsi="Open Sans" w:cs="Open Sans"/>
        </w:rPr>
        <w:t xml:space="preserve"> </w:t>
      </w:r>
      <w:r w:rsidRPr="00AE0AD1">
        <w:rPr>
          <w:rFonts w:ascii="Open Sans" w:hAnsi="Open Sans" w:cs="Open Sans"/>
        </w:rPr>
        <w:t>powers, even where th</w:t>
      </w:r>
      <w:r w:rsidR="00253A87">
        <w:rPr>
          <w:rFonts w:ascii="Open Sans" w:hAnsi="Open Sans" w:cs="Open Sans"/>
        </w:rPr>
        <w:t>ose powers</w:t>
      </w:r>
      <w:r w:rsidRPr="00AE0AD1">
        <w:rPr>
          <w:rFonts w:ascii="Open Sans" w:hAnsi="Open Sans" w:cs="Open Sans"/>
        </w:rPr>
        <w:t xml:space="preserve"> limit or restrict </w:t>
      </w:r>
      <w:r w:rsidR="00253A87">
        <w:rPr>
          <w:rFonts w:ascii="Open Sans" w:hAnsi="Open Sans" w:cs="Open Sans"/>
        </w:rPr>
        <w:t xml:space="preserve">certain </w:t>
      </w:r>
      <w:r w:rsidRPr="00AE0AD1">
        <w:rPr>
          <w:rFonts w:ascii="Open Sans" w:hAnsi="Open Sans" w:cs="Open Sans"/>
        </w:rPr>
        <w:t xml:space="preserve">individual rights and freedoms. Such limitations on rights must, however, be clearly expressed, unambiguous in their terms, and must be necessary and proportionate responses to potential harms. </w:t>
      </w:r>
    </w:p>
    <w:p w14:paraId="47C0C208" w14:textId="1591F9DD" w:rsidR="00EB23D1" w:rsidRPr="00AE0AD1" w:rsidRDefault="00EB23D1" w:rsidP="003137B7">
      <w:pPr>
        <w:pStyle w:val="SubmissionNormal"/>
        <w:tabs>
          <w:tab w:val="clear" w:pos="4680"/>
          <w:tab w:val="num" w:pos="4392"/>
        </w:tabs>
        <w:rPr>
          <w:rFonts w:ascii="Open Sans" w:hAnsi="Open Sans" w:cs="Open Sans"/>
        </w:rPr>
      </w:pPr>
      <w:r w:rsidRPr="00AE0AD1">
        <w:rPr>
          <w:rFonts w:ascii="Open Sans" w:hAnsi="Open Sans" w:cs="Open Sans"/>
        </w:rPr>
        <w:t>ASIO’s current compulsory questioning powers are extraordinary.</w:t>
      </w:r>
      <w:r w:rsidR="00F77C26">
        <w:rPr>
          <w:rFonts w:ascii="Open Sans" w:hAnsi="Open Sans" w:cs="Open Sans"/>
        </w:rPr>
        <w:t xml:space="preserve"> </w:t>
      </w:r>
      <w:r w:rsidRPr="00AE0AD1">
        <w:rPr>
          <w:rFonts w:ascii="Open Sans" w:hAnsi="Open Sans" w:cs="Open Sans"/>
        </w:rPr>
        <w:t>They were never intended to be permanent and have no equivalent in any other jurisdiction within the ‘</w:t>
      </w:r>
      <w:r w:rsidR="00253A87" w:rsidRPr="7EA2DDC8">
        <w:rPr>
          <w:rFonts w:ascii="Open Sans" w:hAnsi="Open Sans" w:cs="Open Sans"/>
        </w:rPr>
        <w:t>F</w:t>
      </w:r>
      <w:r w:rsidRPr="00AE0AD1">
        <w:rPr>
          <w:rFonts w:ascii="Open Sans" w:hAnsi="Open Sans" w:cs="Open Sans"/>
        </w:rPr>
        <w:t xml:space="preserve">ive </w:t>
      </w:r>
      <w:r w:rsidR="00253A87" w:rsidRPr="7EA2DDC8">
        <w:rPr>
          <w:rFonts w:ascii="Open Sans" w:hAnsi="Open Sans" w:cs="Open Sans"/>
        </w:rPr>
        <w:t>E</w:t>
      </w:r>
      <w:r w:rsidRPr="00AE0AD1">
        <w:rPr>
          <w:rFonts w:ascii="Open Sans" w:hAnsi="Open Sans" w:cs="Open Sans"/>
        </w:rPr>
        <w:t>yes alliance’.</w:t>
      </w:r>
      <w:r w:rsidR="009948AC" w:rsidRPr="00AE0AD1">
        <w:rPr>
          <w:rStyle w:val="EndnoteReference"/>
          <w:rFonts w:ascii="Open Sans" w:hAnsi="Open Sans" w:cs="Open Sans"/>
        </w:rPr>
        <w:endnoteReference w:id="7"/>
      </w:r>
      <w:r w:rsidRPr="00AE0AD1">
        <w:rPr>
          <w:rFonts w:ascii="Open Sans" w:hAnsi="Open Sans" w:cs="Open Sans"/>
        </w:rPr>
        <w:t xml:space="preserve"> The Bill </w:t>
      </w:r>
      <w:r w:rsidR="00253A87" w:rsidRPr="7EA2DDC8">
        <w:rPr>
          <w:rFonts w:ascii="Open Sans" w:hAnsi="Open Sans" w:cs="Open Sans"/>
        </w:rPr>
        <w:t>would make</w:t>
      </w:r>
      <w:r w:rsidRPr="00AE0AD1">
        <w:rPr>
          <w:rFonts w:ascii="Open Sans" w:hAnsi="Open Sans" w:cs="Open Sans"/>
        </w:rPr>
        <w:t xml:space="preserve"> the </w:t>
      </w:r>
      <w:r w:rsidR="00E062E2">
        <w:rPr>
          <w:rFonts w:ascii="Open Sans" w:hAnsi="Open Sans" w:cs="Open Sans"/>
        </w:rPr>
        <w:t>QW</w:t>
      </w:r>
      <w:r w:rsidRPr="00AE0AD1">
        <w:rPr>
          <w:rFonts w:ascii="Open Sans" w:hAnsi="Open Sans" w:cs="Open Sans"/>
        </w:rPr>
        <w:t xml:space="preserve"> regime more rights</w:t>
      </w:r>
      <w:r w:rsidR="36A498E5" w:rsidRPr="00AE0AD1">
        <w:rPr>
          <w:rFonts w:ascii="Open Sans" w:hAnsi="Open Sans" w:cs="Open Sans"/>
        </w:rPr>
        <w:t>-</w:t>
      </w:r>
      <w:r w:rsidRPr="00AE0AD1">
        <w:rPr>
          <w:rFonts w:ascii="Open Sans" w:hAnsi="Open Sans" w:cs="Open Sans"/>
        </w:rPr>
        <w:t xml:space="preserve">intrusive. </w:t>
      </w:r>
      <w:r w:rsidR="182F1EDB" w:rsidRPr="00AE0AD1">
        <w:rPr>
          <w:rFonts w:ascii="Open Sans" w:hAnsi="Open Sans" w:cs="Open Sans"/>
        </w:rPr>
        <w:t>T</w:t>
      </w:r>
      <w:r w:rsidRPr="00AE0AD1">
        <w:rPr>
          <w:rFonts w:ascii="Open Sans" w:hAnsi="Open Sans" w:cs="Open Sans"/>
        </w:rPr>
        <w:t>h</w:t>
      </w:r>
      <w:r w:rsidR="00253A87" w:rsidRPr="7EA2DDC8">
        <w:rPr>
          <w:rFonts w:ascii="Open Sans" w:hAnsi="Open Sans" w:cs="Open Sans"/>
        </w:rPr>
        <w:t>is legislation</w:t>
      </w:r>
      <w:r w:rsidRPr="00AE0AD1">
        <w:rPr>
          <w:rFonts w:ascii="Open Sans" w:hAnsi="Open Sans" w:cs="Open Sans"/>
        </w:rPr>
        <w:t xml:space="preserve"> </w:t>
      </w:r>
      <w:r w:rsidR="1C77B6CC" w:rsidRPr="00AE0AD1">
        <w:rPr>
          <w:rFonts w:ascii="Open Sans" w:hAnsi="Open Sans" w:cs="Open Sans"/>
        </w:rPr>
        <w:t xml:space="preserve">therefore </w:t>
      </w:r>
      <w:r w:rsidRPr="00AE0AD1">
        <w:rPr>
          <w:rFonts w:ascii="Open Sans" w:hAnsi="Open Sans" w:cs="Open Sans"/>
        </w:rPr>
        <w:t>require</w:t>
      </w:r>
      <w:r w:rsidR="3FA98526" w:rsidRPr="00AE0AD1">
        <w:rPr>
          <w:rFonts w:ascii="Open Sans" w:hAnsi="Open Sans" w:cs="Open Sans"/>
        </w:rPr>
        <w:t>s</w:t>
      </w:r>
      <w:r w:rsidRPr="00AE0AD1">
        <w:rPr>
          <w:rFonts w:ascii="Open Sans" w:hAnsi="Open Sans" w:cs="Open Sans"/>
        </w:rPr>
        <w:t xml:space="preserve"> </w:t>
      </w:r>
      <w:r w:rsidR="00253A87" w:rsidRPr="7EA2DDC8">
        <w:rPr>
          <w:rFonts w:ascii="Open Sans" w:hAnsi="Open Sans" w:cs="Open Sans"/>
        </w:rPr>
        <w:t>strong</w:t>
      </w:r>
      <w:r w:rsidRPr="00AE0AD1">
        <w:rPr>
          <w:rFonts w:ascii="Open Sans" w:hAnsi="Open Sans" w:cs="Open Sans"/>
        </w:rPr>
        <w:t xml:space="preserve">, rather than weakened, oversight and </w:t>
      </w:r>
      <w:r w:rsidR="00253A87">
        <w:rPr>
          <w:rFonts w:ascii="Open Sans" w:hAnsi="Open Sans" w:cs="Open Sans"/>
        </w:rPr>
        <w:t xml:space="preserve">other human rights </w:t>
      </w:r>
      <w:r w:rsidRPr="00AE0AD1">
        <w:rPr>
          <w:rFonts w:ascii="Open Sans" w:hAnsi="Open Sans" w:cs="Open Sans"/>
        </w:rPr>
        <w:t xml:space="preserve">safeguards. </w:t>
      </w:r>
    </w:p>
    <w:p w14:paraId="1BA47CDA" w14:textId="2B951804" w:rsidR="00EB23D1" w:rsidRPr="00AE0AD1" w:rsidRDefault="00EB23D1" w:rsidP="00FA72F4">
      <w:pPr>
        <w:pStyle w:val="SubmissionNormal"/>
        <w:tabs>
          <w:tab w:val="clear" w:pos="4680"/>
          <w:tab w:val="num" w:pos="4392"/>
        </w:tabs>
        <w:rPr>
          <w:rFonts w:ascii="Open Sans" w:hAnsi="Open Sans" w:cs="Open Sans"/>
        </w:rPr>
      </w:pPr>
      <w:r w:rsidRPr="00AE0AD1">
        <w:rPr>
          <w:rFonts w:ascii="Open Sans" w:hAnsi="Open Sans" w:cs="Open Sans"/>
        </w:rPr>
        <w:t>The Commission considers that</w:t>
      </w:r>
      <w:r w:rsidR="002E2FE7" w:rsidRPr="002E2FE7">
        <w:rPr>
          <w:rFonts w:ascii="Open Sans" w:hAnsi="Open Sans" w:cs="Open Sans"/>
        </w:rPr>
        <w:t xml:space="preserve"> </w:t>
      </w:r>
      <w:r w:rsidR="002E2FE7" w:rsidRPr="00AE0AD1">
        <w:rPr>
          <w:rFonts w:ascii="Open Sans" w:hAnsi="Open Sans" w:cs="Open Sans"/>
        </w:rPr>
        <w:t>many aspects of the redesigned compulsory questioning provisions as proposed in the Bill impose significant limitations on a number of rights protected by the International Covenant on Civil and Political Rights (ICCPR)</w:t>
      </w:r>
      <w:r w:rsidR="002E2FE7" w:rsidRPr="004F01F9">
        <w:rPr>
          <w:rFonts w:ascii="Open Sans" w:hAnsi="Open Sans" w:cs="Open Sans"/>
          <w:vertAlign w:val="superscript"/>
        </w:rPr>
        <w:endnoteReference w:id="8"/>
      </w:r>
      <w:r w:rsidR="002E2FE7" w:rsidRPr="00AE0AD1">
        <w:rPr>
          <w:rFonts w:ascii="Open Sans" w:hAnsi="Open Sans" w:cs="Open Sans"/>
        </w:rPr>
        <w:t xml:space="preserve"> and the Convention on the Rights of the Child (CRC)</w:t>
      </w:r>
      <w:r w:rsidR="002E2FE7">
        <w:rPr>
          <w:rFonts w:ascii="Open Sans" w:hAnsi="Open Sans" w:cs="Open Sans"/>
        </w:rPr>
        <w:t>.</w:t>
      </w:r>
      <w:r w:rsidR="002E2FE7" w:rsidRPr="004F01F9">
        <w:rPr>
          <w:rFonts w:ascii="Open Sans" w:hAnsi="Open Sans" w:cs="Open Sans"/>
          <w:vertAlign w:val="superscript"/>
        </w:rPr>
        <w:endnoteReference w:id="9"/>
      </w:r>
      <w:r w:rsidR="002E2FE7" w:rsidRPr="002E2FE7">
        <w:rPr>
          <w:rFonts w:ascii="Open Sans" w:hAnsi="Open Sans" w:cs="Open Sans"/>
        </w:rPr>
        <w:t xml:space="preserve"> </w:t>
      </w:r>
      <w:r w:rsidR="002E2FE7">
        <w:rPr>
          <w:rFonts w:ascii="Open Sans" w:hAnsi="Open Sans" w:cs="Open Sans"/>
        </w:rPr>
        <w:t>I</w:t>
      </w:r>
      <w:r w:rsidR="002E2FE7" w:rsidRPr="00AE0AD1">
        <w:rPr>
          <w:rFonts w:ascii="Open Sans" w:hAnsi="Open Sans" w:cs="Open Sans"/>
        </w:rPr>
        <w:t xml:space="preserve">n many instances, the Bill </w:t>
      </w:r>
      <w:r w:rsidR="009B363F">
        <w:rPr>
          <w:rFonts w:ascii="Open Sans" w:hAnsi="Open Sans" w:cs="Open Sans"/>
        </w:rPr>
        <w:t>limits human rights without</w:t>
      </w:r>
      <w:r w:rsidR="002E2FE7" w:rsidRPr="00AE0AD1">
        <w:rPr>
          <w:rFonts w:ascii="Open Sans" w:hAnsi="Open Sans" w:cs="Open Sans"/>
        </w:rPr>
        <w:t xml:space="preserve"> reasonabl</w:t>
      </w:r>
      <w:r w:rsidR="009B363F">
        <w:rPr>
          <w:rFonts w:ascii="Open Sans" w:hAnsi="Open Sans" w:cs="Open Sans"/>
        </w:rPr>
        <w:t>e</w:t>
      </w:r>
      <w:r w:rsidR="002E2FE7" w:rsidRPr="00AE0AD1">
        <w:rPr>
          <w:rFonts w:ascii="Open Sans" w:hAnsi="Open Sans" w:cs="Open Sans"/>
        </w:rPr>
        <w:t xml:space="preserve"> justifi</w:t>
      </w:r>
      <w:r w:rsidR="009B363F">
        <w:rPr>
          <w:rFonts w:ascii="Open Sans" w:hAnsi="Open Sans" w:cs="Open Sans"/>
        </w:rPr>
        <w:t>cation</w:t>
      </w:r>
      <w:r w:rsidR="002E2FE7" w:rsidRPr="00AE0AD1">
        <w:rPr>
          <w:rFonts w:ascii="Open Sans" w:hAnsi="Open Sans" w:cs="Open Sans"/>
        </w:rPr>
        <w:t xml:space="preserve"> under international </w:t>
      </w:r>
      <w:r w:rsidR="002E2FE7" w:rsidRPr="00AE0AD1">
        <w:rPr>
          <w:rFonts w:ascii="Open Sans" w:hAnsi="Open Sans" w:cs="Open Sans"/>
        </w:rPr>
        <w:lastRenderedPageBreak/>
        <w:t>human rights law</w:t>
      </w:r>
      <w:r w:rsidR="009B363F">
        <w:rPr>
          <w:rFonts w:ascii="Open Sans" w:hAnsi="Open Sans" w:cs="Open Sans"/>
        </w:rPr>
        <w:t>. In particular,</w:t>
      </w:r>
      <w:r w:rsidR="009B363F" w:rsidRPr="009B363F">
        <w:rPr>
          <w:rFonts w:ascii="Open Sans" w:hAnsi="Open Sans" w:cs="Open Sans"/>
        </w:rPr>
        <w:t xml:space="preserve"> </w:t>
      </w:r>
      <w:r w:rsidR="009B363F" w:rsidRPr="00AE0AD1">
        <w:rPr>
          <w:rFonts w:ascii="Open Sans" w:hAnsi="Open Sans" w:cs="Open Sans"/>
        </w:rPr>
        <w:t>these limitations have not been demonstrated to be necessary and proportionate.</w:t>
      </w:r>
    </w:p>
    <w:p w14:paraId="2DC0D527" w14:textId="1376883F" w:rsidR="006D0F1D" w:rsidRPr="002E5ADD" w:rsidRDefault="008215B0" w:rsidP="003137B7">
      <w:pPr>
        <w:pStyle w:val="SubmissionNormal"/>
        <w:tabs>
          <w:tab w:val="clear" w:pos="4680"/>
          <w:tab w:val="num" w:pos="4392"/>
        </w:tabs>
        <w:rPr>
          <w:rFonts w:ascii="Open Sans" w:hAnsi="Open Sans" w:cs="Open Sans"/>
        </w:rPr>
      </w:pPr>
      <w:r>
        <w:rPr>
          <w:rFonts w:ascii="Open Sans" w:hAnsi="Open Sans" w:cs="Open Sans"/>
        </w:rPr>
        <w:t>Consistently with the views of previous INSLMs, t</w:t>
      </w:r>
      <w:r w:rsidR="00EB23D1" w:rsidRPr="00AE0AD1">
        <w:rPr>
          <w:rFonts w:ascii="Open Sans" w:hAnsi="Open Sans" w:cs="Open Sans"/>
        </w:rPr>
        <w:t>he Commission considers that the entire QDW regime should be repealed and that no equivalent regime should be introduced in its place.</w:t>
      </w:r>
      <w:r w:rsidR="006D0F1D">
        <w:rPr>
          <w:rFonts w:ascii="Open Sans" w:hAnsi="Open Sans" w:cs="Open Sans"/>
        </w:rPr>
        <w:t xml:space="preserve"> </w:t>
      </w:r>
      <w:r w:rsidR="009B363F">
        <w:rPr>
          <w:rFonts w:ascii="Open Sans" w:hAnsi="Open Sans" w:cs="Open Sans"/>
        </w:rPr>
        <w:t xml:space="preserve">That is, the Commission does not support </w:t>
      </w:r>
      <w:r w:rsidR="009B363F" w:rsidRPr="00AE0AD1">
        <w:rPr>
          <w:rFonts w:ascii="Open Sans" w:hAnsi="Open Sans" w:cs="Open Sans"/>
        </w:rPr>
        <w:t xml:space="preserve">the </w:t>
      </w:r>
      <w:r w:rsidR="009B363F">
        <w:rPr>
          <w:rFonts w:ascii="Open Sans" w:hAnsi="Open Sans" w:cs="Open Sans"/>
        </w:rPr>
        <w:t xml:space="preserve">Bill’s proposed </w:t>
      </w:r>
      <w:r w:rsidR="009B363F" w:rsidRPr="00AE0AD1">
        <w:rPr>
          <w:rFonts w:ascii="Open Sans" w:hAnsi="Open Sans" w:cs="Open Sans"/>
        </w:rPr>
        <w:t xml:space="preserve">redesigned </w:t>
      </w:r>
      <w:r w:rsidR="009B363F">
        <w:rPr>
          <w:rFonts w:ascii="Open Sans" w:hAnsi="Open Sans" w:cs="Open Sans"/>
        </w:rPr>
        <w:t>QW</w:t>
      </w:r>
      <w:r w:rsidR="009B363F" w:rsidRPr="00AE0AD1">
        <w:rPr>
          <w:rFonts w:ascii="Open Sans" w:hAnsi="Open Sans" w:cs="Open Sans"/>
        </w:rPr>
        <w:t xml:space="preserve"> regime allowing for apprehension of a</w:t>
      </w:r>
      <w:r w:rsidR="009B363F">
        <w:rPr>
          <w:rFonts w:ascii="Open Sans" w:hAnsi="Open Sans" w:cs="Open Sans"/>
        </w:rPr>
        <w:t xml:space="preserve"> subject.</w:t>
      </w:r>
      <w:r w:rsidR="009B363F" w:rsidRPr="00AE0AD1">
        <w:rPr>
          <w:rFonts w:ascii="Open Sans" w:hAnsi="Open Sans" w:cs="Open Sans"/>
        </w:rPr>
        <w:t xml:space="preserve"> </w:t>
      </w:r>
      <w:r w:rsidR="006D0F1D">
        <w:rPr>
          <w:rFonts w:ascii="Open Sans" w:hAnsi="Open Sans" w:cs="Open Sans"/>
        </w:rPr>
        <w:t xml:space="preserve">There should be no reduction in the safeguards in the current regime, and the minimum age limit for </w:t>
      </w:r>
      <w:r w:rsidR="009B363F">
        <w:rPr>
          <w:rFonts w:ascii="Open Sans" w:hAnsi="Open Sans" w:cs="Open Sans"/>
        </w:rPr>
        <w:t xml:space="preserve">people </w:t>
      </w:r>
      <w:r w:rsidR="006D0F1D">
        <w:rPr>
          <w:rFonts w:ascii="Open Sans" w:hAnsi="Open Sans" w:cs="Open Sans"/>
        </w:rPr>
        <w:t xml:space="preserve">subject </w:t>
      </w:r>
      <w:r w:rsidR="009B363F">
        <w:rPr>
          <w:rFonts w:ascii="Open Sans" w:hAnsi="Open Sans" w:cs="Open Sans"/>
        </w:rPr>
        <w:t xml:space="preserve">to </w:t>
      </w:r>
      <w:r w:rsidR="006D0F1D">
        <w:rPr>
          <w:rFonts w:ascii="Open Sans" w:hAnsi="Open Sans" w:cs="Open Sans"/>
        </w:rPr>
        <w:t>QWs should not be lowered. The Commission has made a number of recommendations in line with these views, which address the text of the Bill.</w:t>
      </w:r>
    </w:p>
    <w:p w14:paraId="65DA6B14" w14:textId="0540A8D6" w:rsidR="00B34946" w:rsidRPr="00AE0AD1" w:rsidRDefault="004966AC" w:rsidP="003137B7">
      <w:pPr>
        <w:pStyle w:val="Heading1"/>
        <w:tabs>
          <w:tab w:val="clear" w:pos="851"/>
          <w:tab w:val="num" w:pos="563"/>
        </w:tabs>
        <w:rPr>
          <w:rFonts w:ascii="Open Sans" w:hAnsi="Open Sans" w:cs="Open Sans"/>
        </w:rPr>
      </w:pPr>
      <w:bookmarkStart w:id="7" w:name="_Toc43939938"/>
      <w:bookmarkStart w:id="8" w:name="_Toc43939939"/>
      <w:bookmarkStart w:id="9" w:name="_Toc44496115"/>
      <w:bookmarkEnd w:id="7"/>
      <w:bookmarkEnd w:id="8"/>
      <w:r w:rsidRPr="00AE0AD1">
        <w:rPr>
          <w:rFonts w:ascii="Open Sans" w:hAnsi="Open Sans" w:cs="Open Sans"/>
        </w:rPr>
        <w:t>Recommendations</w:t>
      </w:r>
      <w:bookmarkEnd w:id="9"/>
    </w:p>
    <w:p w14:paraId="1C99C1E8" w14:textId="583D4A4E" w:rsidR="004966AC" w:rsidRPr="00AE0AD1" w:rsidRDefault="004966AC" w:rsidP="003137B7">
      <w:pPr>
        <w:pStyle w:val="SubmissionNormal"/>
        <w:tabs>
          <w:tab w:val="clear" w:pos="4680"/>
          <w:tab w:val="num" w:pos="4392"/>
        </w:tabs>
        <w:rPr>
          <w:rFonts w:ascii="Open Sans" w:hAnsi="Open Sans" w:cs="Open Sans"/>
        </w:rPr>
      </w:pPr>
      <w:r w:rsidRPr="00AE0AD1">
        <w:rPr>
          <w:rFonts w:ascii="Open Sans" w:hAnsi="Open Sans" w:cs="Open Sans"/>
        </w:rPr>
        <w:t xml:space="preserve">The Australian Human Rights Commission makes the following recommendations: </w:t>
      </w:r>
    </w:p>
    <w:p w14:paraId="51B0A28B" w14:textId="77777777" w:rsidR="004966AC" w:rsidRPr="00AE0AD1" w:rsidRDefault="004966AC" w:rsidP="004F01F9">
      <w:pPr>
        <w:ind w:left="720"/>
        <w:rPr>
          <w:rFonts w:ascii="Open Sans" w:eastAsia="Times New Roman" w:hAnsi="Open Sans" w:cs="Open Sans"/>
          <w:b/>
          <w:bCs/>
          <w:color w:val="1F1923"/>
        </w:rPr>
      </w:pPr>
      <w:r w:rsidRPr="00AE0AD1">
        <w:rPr>
          <w:rFonts w:ascii="Open Sans" w:eastAsia="Times New Roman" w:hAnsi="Open Sans" w:cs="Open Sans"/>
          <w:b/>
          <w:bCs/>
          <w:color w:val="1F1923"/>
        </w:rPr>
        <w:t>Recommendation 1</w:t>
      </w:r>
    </w:p>
    <w:p w14:paraId="759758B2" w14:textId="533B8B43" w:rsidR="004966AC" w:rsidRPr="004F01F9" w:rsidRDefault="007D3E60" w:rsidP="004F01F9">
      <w:pPr>
        <w:ind w:left="720"/>
        <w:rPr>
          <w:rFonts w:ascii="Open Sans" w:eastAsia="Times New Roman" w:hAnsi="Open Sans" w:cs="Open Sans"/>
          <w:lang w:val="en-US"/>
        </w:rPr>
      </w:pPr>
      <w:r>
        <w:rPr>
          <w:rFonts w:ascii="Open Sans" w:eastAsia="Times New Roman" w:hAnsi="Open Sans" w:cs="Open Sans"/>
          <w:color w:val="1F1923"/>
          <w:lang w:val="en-US"/>
        </w:rPr>
        <w:t>The provisions of the Bill</w:t>
      </w:r>
      <w:r w:rsidR="002B1EAB">
        <w:rPr>
          <w:rFonts w:ascii="Open Sans" w:eastAsia="Times New Roman" w:hAnsi="Open Sans" w:cs="Open Sans"/>
          <w:color w:val="1F1923"/>
          <w:lang w:val="en-US"/>
        </w:rPr>
        <w:t xml:space="preserve"> that </w:t>
      </w:r>
      <w:r>
        <w:rPr>
          <w:rFonts w:ascii="Open Sans" w:eastAsia="Times New Roman" w:hAnsi="Open Sans" w:cs="Open Sans"/>
          <w:color w:val="1F1923"/>
          <w:lang w:val="en-US"/>
        </w:rPr>
        <w:t xml:space="preserve">would repeal the questioning and detention warrant regime in the ASIO Act should be passed. However, the Bill should be amended to remove the proposed new questioning warrant regime. </w:t>
      </w:r>
    </w:p>
    <w:p w14:paraId="591B19FE" w14:textId="39ACF78E" w:rsidR="004966AC" w:rsidRPr="00AE0AD1" w:rsidRDefault="00183019" w:rsidP="00B36A5D">
      <w:pPr>
        <w:spacing w:after="120"/>
        <w:ind w:left="720"/>
        <w:rPr>
          <w:rFonts w:ascii="Open Sans" w:eastAsia="Times New Roman" w:hAnsi="Open Sans" w:cs="Open Sans"/>
          <w:color w:val="1F1923"/>
          <w:lang w:val="en-US"/>
        </w:rPr>
      </w:pPr>
      <w:r>
        <w:rPr>
          <w:rFonts w:ascii="Open Sans" w:eastAsia="Times New Roman" w:hAnsi="Open Sans" w:cs="Open Sans"/>
          <w:color w:val="1F1923"/>
          <w:lang w:val="en-US"/>
        </w:rPr>
        <w:t>I</w:t>
      </w:r>
      <w:r w:rsidR="00861AFA">
        <w:rPr>
          <w:rFonts w:ascii="Open Sans" w:eastAsia="Times New Roman" w:hAnsi="Open Sans" w:cs="Open Sans"/>
          <w:color w:val="1F1923"/>
          <w:lang w:val="en-US"/>
        </w:rPr>
        <w:t>f, contrary to Recommendation 1, the Bill includes a new questioning warrant regime,</w:t>
      </w:r>
      <w:r w:rsidR="00C5473D">
        <w:rPr>
          <w:rFonts w:ascii="Open Sans" w:eastAsia="Times New Roman" w:hAnsi="Open Sans" w:cs="Open Sans"/>
          <w:color w:val="1F1923"/>
          <w:lang w:val="en-US"/>
        </w:rPr>
        <w:t xml:space="preserve"> </w:t>
      </w:r>
      <w:r w:rsidR="003B536C" w:rsidRPr="00AE0AD1">
        <w:rPr>
          <w:rFonts w:ascii="Open Sans" w:eastAsia="Times New Roman" w:hAnsi="Open Sans" w:cs="Open Sans"/>
          <w:color w:val="1F1923"/>
          <w:lang w:val="en-US"/>
        </w:rPr>
        <w:t xml:space="preserve">the </w:t>
      </w:r>
      <w:r w:rsidR="003B536C">
        <w:rPr>
          <w:rFonts w:ascii="Open Sans" w:eastAsia="Times New Roman" w:hAnsi="Open Sans" w:cs="Open Sans"/>
          <w:color w:val="1F1923"/>
          <w:lang w:val="en-US"/>
        </w:rPr>
        <w:t xml:space="preserve">Commission recommends that the </w:t>
      </w:r>
      <w:r w:rsidR="003B536C" w:rsidRPr="00AE0AD1">
        <w:rPr>
          <w:rFonts w:ascii="Open Sans" w:eastAsia="Times New Roman" w:hAnsi="Open Sans" w:cs="Open Sans"/>
          <w:color w:val="1F1923"/>
          <w:lang w:val="en-US"/>
        </w:rPr>
        <w:t xml:space="preserve">Bill be amended </w:t>
      </w:r>
      <w:r w:rsidR="003B536C">
        <w:rPr>
          <w:rFonts w:ascii="Open Sans" w:eastAsia="Times New Roman" w:hAnsi="Open Sans" w:cs="Open Sans"/>
          <w:color w:val="1F1923"/>
          <w:lang w:val="en-US"/>
        </w:rPr>
        <w:t>as follows</w:t>
      </w:r>
      <w:r w:rsidR="00C5473D">
        <w:rPr>
          <w:rFonts w:ascii="Open Sans" w:eastAsia="Times New Roman" w:hAnsi="Open Sans" w:cs="Open Sans"/>
          <w:color w:val="1F1923"/>
          <w:lang w:val="en-US"/>
        </w:rPr>
        <w:t>.</w:t>
      </w:r>
    </w:p>
    <w:p w14:paraId="66B1423E" w14:textId="1AA60859" w:rsidR="00267859" w:rsidRPr="00FA609E" w:rsidRDefault="00E94A22" w:rsidP="009F2B1B">
      <w:pPr>
        <w:spacing w:after="120"/>
        <w:ind w:left="720"/>
        <w:rPr>
          <w:rFonts w:ascii="Open Sans" w:eastAsia="Times New Roman" w:hAnsi="Open Sans" w:cs="Open Sans"/>
          <w:b/>
          <w:bCs/>
          <w:color w:val="1F1923"/>
          <w:lang w:val="en-US"/>
        </w:rPr>
      </w:pPr>
      <w:r>
        <w:rPr>
          <w:rFonts w:ascii="Open Sans" w:eastAsia="Times New Roman" w:hAnsi="Open Sans" w:cs="Open Sans"/>
          <w:b/>
          <w:bCs/>
          <w:color w:val="1F1923"/>
          <w:lang w:val="en-US"/>
        </w:rPr>
        <w:t xml:space="preserve">Recommendation </w:t>
      </w:r>
      <w:r w:rsidR="00BF7B2D">
        <w:rPr>
          <w:rFonts w:ascii="Open Sans" w:eastAsia="Times New Roman" w:hAnsi="Open Sans" w:cs="Open Sans"/>
          <w:b/>
          <w:bCs/>
          <w:color w:val="1F1923"/>
          <w:lang w:val="en-US"/>
        </w:rPr>
        <w:t>2</w:t>
      </w:r>
    </w:p>
    <w:p w14:paraId="045F71CD" w14:textId="2E20FE14" w:rsidR="00EB3B42" w:rsidRDefault="00DE7087" w:rsidP="00EB3B42">
      <w:pPr>
        <w:spacing w:after="120"/>
        <w:ind w:left="720"/>
        <w:rPr>
          <w:rFonts w:ascii="Open Sans" w:eastAsia="Times New Roman" w:hAnsi="Open Sans" w:cs="Open Sans"/>
          <w:color w:val="1F1923"/>
        </w:rPr>
      </w:pPr>
      <w:r>
        <w:rPr>
          <w:rFonts w:ascii="Open Sans" w:eastAsia="Times New Roman" w:hAnsi="Open Sans" w:cs="Open Sans"/>
          <w:color w:val="1F1923"/>
        </w:rPr>
        <w:t>If the Bill proceeds, t</w:t>
      </w:r>
      <w:r w:rsidR="00EB3B42" w:rsidRPr="006045FF">
        <w:rPr>
          <w:rFonts w:ascii="Open Sans" w:eastAsia="Times New Roman" w:hAnsi="Open Sans" w:cs="Open Sans"/>
          <w:color w:val="1F1923"/>
        </w:rPr>
        <w:t xml:space="preserve">he provisions allowing for the immediate apprehension of the subject of a QW </w:t>
      </w:r>
      <w:r w:rsidR="00EB3B42">
        <w:rPr>
          <w:rFonts w:ascii="Open Sans" w:eastAsia="Times New Roman" w:hAnsi="Open Sans" w:cs="Open Sans"/>
          <w:color w:val="1F1923"/>
        </w:rPr>
        <w:t>should be</w:t>
      </w:r>
      <w:r w:rsidR="00EB3B42" w:rsidRPr="006045FF">
        <w:rPr>
          <w:rFonts w:ascii="Open Sans" w:eastAsia="Times New Roman" w:hAnsi="Open Sans" w:cs="Open Sans"/>
          <w:color w:val="1F1923"/>
        </w:rPr>
        <w:t xml:space="preserve"> deleted</w:t>
      </w:r>
      <w:r w:rsidR="00EB3B42">
        <w:rPr>
          <w:rFonts w:ascii="Open Sans" w:eastAsia="Times New Roman" w:hAnsi="Open Sans" w:cs="Open Sans"/>
          <w:color w:val="1F1923"/>
        </w:rPr>
        <w:t>.</w:t>
      </w:r>
    </w:p>
    <w:p w14:paraId="1D86D2DC" w14:textId="781055FD" w:rsidR="00EB3B42" w:rsidRPr="00FA609E" w:rsidRDefault="00EB3B42" w:rsidP="00150B28">
      <w:pPr>
        <w:spacing w:after="120"/>
        <w:ind w:left="720"/>
        <w:rPr>
          <w:rFonts w:ascii="Open Sans" w:eastAsia="Times New Roman" w:hAnsi="Open Sans" w:cs="Open Sans"/>
          <w:b/>
          <w:bCs/>
          <w:color w:val="1F1923"/>
          <w:lang w:val="en-US"/>
        </w:rPr>
      </w:pPr>
      <w:r>
        <w:rPr>
          <w:rFonts w:ascii="Open Sans" w:eastAsia="Times New Roman" w:hAnsi="Open Sans" w:cs="Open Sans"/>
          <w:b/>
          <w:bCs/>
          <w:color w:val="1F1923"/>
          <w:lang w:val="en-US"/>
        </w:rPr>
        <w:t>Recommendation 3</w:t>
      </w:r>
    </w:p>
    <w:p w14:paraId="5E38D3FF" w14:textId="1E009AD0" w:rsidR="00150B28" w:rsidRDefault="00753F0C" w:rsidP="004E628D">
      <w:pPr>
        <w:spacing w:after="120"/>
        <w:ind w:left="720"/>
        <w:rPr>
          <w:rFonts w:ascii="Open Sans" w:eastAsia="Times New Roman" w:hAnsi="Open Sans" w:cs="Open Sans"/>
          <w:b/>
          <w:bCs/>
          <w:color w:val="1F1923"/>
        </w:rPr>
      </w:pPr>
      <w:r>
        <w:rPr>
          <w:rFonts w:ascii="Open Sans" w:eastAsia="Times New Roman" w:hAnsi="Open Sans" w:cs="Open Sans"/>
          <w:color w:val="1F1923"/>
          <w:lang w:val="en-US"/>
        </w:rPr>
        <w:t>T</w:t>
      </w:r>
      <w:r w:rsidR="00267859">
        <w:rPr>
          <w:rFonts w:ascii="Open Sans" w:eastAsia="Times New Roman" w:hAnsi="Open Sans" w:cs="Open Sans"/>
          <w:color w:val="1F1923"/>
          <w:lang w:val="en-US"/>
        </w:rPr>
        <w:t>h</w:t>
      </w:r>
      <w:r w:rsidR="004966AC" w:rsidRPr="00BA26A2">
        <w:rPr>
          <w:rFonts w:ascii="Open Sans" w:eastAsia="Times New Roman" w:hAnsi="Open Sans" w:cs="Open Sans"/>
          <w:color w:val="1F1923"/>
          <w:lang w:val="en-US"/>
        </w:rPr>
        <w:t xml:space="preserve">ere </w:t>
      </w:r>
      <w:r w:rsidR="00D92305">
        <w:rPr>
          <w:rFonts w:ascii="Open Sans" w:eastAsia="Times New Roman" w:hAnsi="Open Sans" w:cs="Open Sans"/>
          <w:color w:val="1F1923"/>
          <w:lang w:val="en-US"/>
        </w:rPr>
        <w:t>should be</w:t>
      </w:r>
      <w:r w:rsidR="004966AC" w:rsidRPr="00AE0AD1">
        <w:rPr>
          <w:rFonts w:ascii="Open Sans" w:eastAsia="Times New Roman" w:hAnsi="Open Sans" w:cs="Open Sans"/>
          <w:color w:val="1F1923"/>
          <w:lang w:val="en-US"/>
        </w:rPr>
        <w:t xml:space="preserve"> no expansion in the kinds of intelligence which can be sought under a </w:t>
      </w:r>
      <w:r w:rsidR="00E062E2">
        <w:rPr>
          <w:rFonts w:ascii="Open Sans" w:eastAsia="Times New Roman" w:hAnsi="Open Sans" w:cs="Open Sans"/>
          <w:color w:val="1F1923"/>
          <w:lang w:val="en-US"/>
        </w:rPr>
        <w:t>QW</w:t>
      </w:r>
      <w:r w:rsidR="004966AC" w:rsidRPr="00AE0AD1">
        <w:rPr>
          <w:rFonts w:ascii="Open Sans" w:eastAsia="Times New Roman" w:hAnsi="Open Sans" w:cs="Open Sans"/>
          <w:color w:val="1F1923"/>
          <w:lang w:val="en-US"/>
        </w:rPr>
        <w:t>.</w:t>
      </w:r>
      <w:r w:rsidR="00F77C26">
        <w:rPr>
          <w:rFonts w:ascii="Open Sans" w:eastAsia="Times New Roman" w:hAnsi="Open Sans" w:cs="Open Sans"/>
          <w:color w:val="1F1923"/>
          <w:lang w:val="en-US"/>
        </w:rPr>
        <w:t xml:space="preserve"> </w:t>
      </w:r>
      <w:r w:rsidR="004966AC" w:rsidRPr="00AE0AD1">
        <w:rPr>
          <w:rFonts w:ascii="Open Sans" w:eastAsia="Times New Roman" w:hAnsi="Open Sans" w:cs="Open Sans"/>
          <w:color w:val="1F1923"/>
          <w:lang w:val="en-US"/>
        </w:rPr>
        <w:t xml:space="preserve">That is, a </w:t>
      </w:r>
      <w:r w:rsidR="00E062E2">
        <w:rPr>
          <w:rFonts w:ascii="Open Sans" w:eastAsia="Times New Roman" w:hAnsi="Open Sans" w:cs="Open Sans"/>
          <w:color w:val="1F1923"/>
          <w:lang w:val="en-US"/>
        </w:rPr>
        <w:t>QW</w:t>
      </w:r>
      <w:r w:rsidR="004966AC" w:rsidRPr="00AE0AD1">
        <w:rPr>
          <w:rFonts w:ascii="Open Sans" w:eastAsia="Times New Roman" w:hAnsi="Open Sans" w:cs="Open Sans"/>
          <w:color w:val="1F1923"/>
          <w:lang w:val="en-US"/>
        </w:rPr>
        <w:t xml:space="preserve"> should only be able to be issued where </w:t>
      </w:r>
      <w:r w:rsidR="004966AC" w:rsidRPr="00AE0AD1">
        <w:rPr>
          <w:rFonts w:ascii="Open Sans" w:eastAsia="Times New Roman" w:hAnsi="Open Sans" w:cs="Open Sans"/>
          <w:color w:val="1F1923"/>
        </w:rPr>
        <w:t>the </w:t>
      </w:r>
      <w:r w:rsidR="004966AC" w:rsidRPr="00AE0AD1">
        <w:rPr>
          <w:rFonts w:ascii="Open Sans" w:eastAsia="Times New Roman" w:hAnsi="Open Sans" w:cs="Open Sans"/>
        </w:rPr>
        <w:t>issuing authority</w:t>
      </w:r>
      <w:r w:rsidR="004966AC" w:rsidRPr="00AE0AD1">
        <w:rPr>
          <w:rFonts w:ascii="Open Sans" w:eastAsia="Times New Roman" w:hAnsi="Open Sans" w:cs="Open Sans"/>
          <w:color w:val="1F1923"/>
        </w:rPr>
        <w:t> is satisfied that there are reasonable grounds for believing that the warrant will substantially assist the collection of intelligence that is important in relation to a terrorism offence</w:t>
      </w:r>
      <w:r w:rsidR="00C23B06">
        <w:rPr>
          <w:rFonts w:ascii="Open Sans" w:eastAsia="Times New Roman" w:hAnsi="Open Sans" w:cs="Open Sans"/>
          <w:color w:val="1F1923"/>
        </w:rPr>
        <w:t>.</w:t>
      </w:r>
    </w:p>
    <w:p w14:paraId="76D2F220" w14:textId="2A2F8610" w:rsidR="00150B28" w:rsidRPr="00E5336B" w:rsidRDefault="00150B28" w:rsidP="00E5336B">
      <w:pPr>
        <w:spacing w:after="120"/>
        <w:ind w:left="720"/>
        <w:rPr>
          <w:rFonts w:ascii="Open Sans" w:eastAsia="Times New Roman" w:hAnsi="Open Sans" w:cs="Open Sans"/>
          <w:b/>
          <w:bCs/>
          <w:color w:val="1F1923"/>
          <w:lang w:val="en-US"/>
        </w:rPr>
      </w:pPr>
      <w:r>
        <w:rPr>
          <w:rFonts w:ascii="Open Sans" w:eastAsia="Times New Roman" w:hAnsi="Open Sans" w:cs="Open Sans"/>
          <w:b/>
          <w:bCs/>
          <w:color w:val="1F1923"/>
        </w:rPr>
        <w:t>Recommendation 4</w:t>
      </w:r>
    </w:p>
    <w:p w14:paraId="4BA674CD" w14:textId="0F328F9E" w:rsidR="00AB447B" w:rsidRDefault="00753F0C" w:rsidP="00AB447B">
      <w:pPr>
        <w:ind w:left="720"/>
        <w:rPr>
          <w:rFonts w:ascii="Open Sans" w:eastAsia="Times New Roman" w:hAnsi="Open Sans" w:cs="Open Sans"/>
          <w:color w:val="1F1923"/>
          <w:lang w:val="en-US"/>
        </w:rPr>
      </w:pPr>
      <w:r>
        <w:rPr>
          <w:rFonts w:ascii="Open Sans" w:eastAsia="Times New Roman" w:hAnsi="Open Sans" w:cs="Open Sans"/>
          <w:color w:val="1F1923"/>
          <w:lang w:val="en-US"/>
        </w:rPr>
        <w:t>T</w:t>
      </w:r>
      <w:r w:rsidR="00AB447B" w:rsidRPr="00045AA8">
        <w:rPr>
          <w:rFonts w:ascii="Open Sans" w:eastAsia="Times New Roman" w:hAnsi="Open Sans" w:cs="Open Sans"/>
          <w:color w:val="1F1923"/>
          <w:lang w:val="en-US"/>
        </w:rPr>
        <w:t xml:space="preserve">he current </w:t>
      </w:r>
      <w:r w:rsidR="00AB447B">
        <w:rPr>
          <w:rFonts w:ascii="Open Sans" w:eastAsia="Times New Roman" w:hAnsi="Open Sans" w:cs="Open Sans"/>
          <w:color w:val="1F1923"/>
          <w:lang w:val="en-US"/>
        </w:rPr>
        <w:t>provisions</w:t>
      </w:r>
      <w:r w:rsidR="009D56BC">
        <w:rPr>
          <w:rFonts w:ascii="Open Sans" w:eastAsia="Times New Roman" w:hAnsi="Open Sans" w:cs="Open Sans"/>
          <w:color w:val="1F1923"/>
          <w:lang w:val="en-US"/>
        </w:rPr>
        <w:t xml:space="preserve"> in the ASIO Act</w:t>
      </w:r>
      <w:r w:rsidR="00AB447B">
        <w:rPr>
          <w:rFonts w:ascii="Open Sans" w:eastAsia="Times New Roman" w:hAnsi="Open Sans" w:cs="Open Sans"/>
          <w:color w:val="1F1923"/>
          <w:lang w:val="en-US"/>
        </w:rPr>
        <w:t xml:space="preserve"> requiring </w:t>
      </w:r>
      <w:r w:rsidR="00AB447B" w:rsidRPr="00045AA8">
        <w:rPr>
          <w:rFonts w:ascii="Open Sans" w:eastAsia="Times New Roman" w:hAnsi="Open Sans" w:cs="Open Sans"/>
          <w:color w:val="1F1923"/>
          <w:lang w:val="en-US"/>
        </w:rPr>
        <w:t xml:space="preserve">that QWs be issued by an issuing authority on receipt of an application made by the Director-General of ASIO and approved by the Attorney-General </w:t>
      </w:r>
      <w:r w:rsidR="00AB447B">
        <w:rPr>
          <w:rFonts w:ascii="Open Sans" w:eastAsia="Times New Roman" w:hAnsi="Open Sans" w:cs="Open Sans"/>
          <w:color w:val="1F1923"/>
          <w:lang w:val="en-US"/>
        </w:rPr>
        <w:t>should be</w:t>
      </w:r>
      <w:r w:rsidR="00AB447B" w:rsidRPr="00045AA8">
        <w:rPr>
          <w:rFonts w:ascii="Open Sans" w:eastAsia="Times New Roman" w:hAnsi="Open Sans" w:cs="Open Sans"/>
          <w:color w:val="1F1923"/>
          <w:lang w:val="en-US"/>
        </w:rPr>
        <w:t xml:space="preserve"> </w:t>
      </w:r>
      <w:r w:rsidR="00AB447B" w:rsidRPr="00045AA8">
        <w:rPr>
          <w:rFonts w:ascii="Open Sans" w:eastAsia="Times New Roman" w:hAnsi="Open Sans" w:cs="Open Sans"/>
          <w:color w:val="1F1923"/>
          <w:lang w:val="en-US"/>
        </w:rPr>
        <w:lastRenderedPageBreak/>
        <w:t>maintained</w:t>
      </w:r>
      <w:r w:rsidR="00A457A9">
        <w:rPr>
          <w:rFonts w:ascii="Open Sans" w:eastAsia="Times New Roman" w:hAnsi="Open Sans" w:cs="Open Sans"/>
          <w:color w:val="1F1923"/>
          <w:lang w:val="en-US"/>
        </w:rPr>
        <w:t>. The</w:t>
      </w:r>
      <w:r w:rsidR="00C03C4E">
        <w:rPr>
          <w:rFonts w:ascii="Open Sans" w:eastAsia="Times New Roman" w:hAnsi="Open Sans" w:cs="Open Sans"/>
          <w:color w:val="1F1923"/>
          <w:lang w:val="en-US"/>
        </w:rPr>
        <w:t>re should be no change to the current</w:t>
      </w:r>
      <w:r w:rsidR="00A46CA4">
        <w:rPr>
          <w:rFonts w:ascii="Open Sans" w:eastAsia="Times New Roman" w:hAnsi="Open Sans" w:cs="Open Sans"/>
          <w:color w:val="1F1923"/>
          <w:lang w:val="en-US"/>
        </w:rPr>
        <w:t xml:space="preserve"> </w:t>
      </w:r>
      <w:r w:rsidR="00E35FAE">
        <w:rPr>
          <w:rFonts w:ascii="Open Sans" w:eastAsia="Times New Roman" w:hAnsi="Open Sans" w:cs="Open Sans"/>
          <w:color w:val="1F1923"/>
          <w:lang w:val="en-US"/>
        </w:rPr>
        <w:t>requirement</w:t>
      </w:r>
      <w:r w:rsidR="00617D52">
        <w:rPr>
          <w:rFonts w:ascii="Open Sans" w:eastAsia="Times New Roman" w:hAnsi="Open Sans" w:cs="Open Sans"/>
          <w:color w:val="1F1923"/>
          <w:lang w:val="en-US"/>
        </w:rPr>
        <w:t xml:space="preserve"> </w:t>
      </w:r>
      <w:r w:rsidR="00666FDC">
        <w:rPr>
          <w:rFonts w:ascii="Open Sans" w:eastAsia="Times New Roman" w:hAnsi="Open Sans" w:cs="Open Sans"/>
          <w:color w:val="1F1923"/>
          <w:lang w:val="en-US"/>
        </w:rPr>
        <w:t xml:space="preserve">that issuing authorities </w:t>
      </w:r>
      <w:r w:rsidR="00FB73FD">
        <w:rPr>
          <w:rFonts w:ascii="Open Sans" w:eastAsia="Times New Roman" w:hAnsi="Open Sans" w:cs="Open Sans"/>
          <w:color w:val="1F1923"/>
          <w:lang w:val="en-US"/>
        </w:rPr>
        <w:t xml:space="preserve">for warrants </w:t>
      </w:r>
      <w:r w:rsidR="00666FDC">
        <w:rPr>
          <w:rFonts w:ascii="Open Sans" w:eastAsia="Times New Roman" w:hAnsi="Open Sans" w:cs="Open Sans"/>
          <w:color w:val="1F1923"/>
          <w:lang w:val="en-US"/>
        </w:rPr>
        <w:t xml:space="preserve">be </w:t>
      </w:r>
      <w:r w:rsidR="00617D52" w:rsidRPr="7EA2DDC8">
        <w:rPr>
          <w:rFonts w:ascii="Open Sans" w:hAnsi="Open Sans" w:cs="Open Sans"/>
        </w:rPr>
        <w:t>judge</w:t>
      </w:r>
      <w:r w:rsidR="00BF5CD7">
        <w:rPr>
          <w:rFonts w:ascii="Open Sans" w:hAnsi="Open Sans" w:cs="Open Sans"/>
        </w:rPr>
        <w:t>s</w:t>
      </w:r>
      <w:r w:rsidR="00617D52" w:rsidRPr="7EA2DDC8">
        <w:rPr>
          <w:rFonts w:ascii="Open Sans" w:hAnsi="Open Sans" w:cs="Open Sans"/>
        </w:rPr>
        <w:t xml:space="preserve"> acting </w:t>
      </w:r>
      <w:r w:rsidR="005B3C58">
        <w:rPr>
          <w:rFonts w:ascii="Open Sans" w:hAnsi="Open Sans" w:cs="Open Sans"/>
        </w:rPr>
        <w:t xml:space="preserve">as </w:t>
      </w:r>
      <w:r w:rsidR="00617D52" w:rsidRPr="7EA2DDC8">
        <w:rPr>
          <w:rFonts w:ascii="Open Sans" w:hAnsi="Open Sans" w:cs="Open Sans"/>
        </w:rPr>
        <w:t>persona</w:t>
      </w:r>
      <w:r w:rsidR="00D26316">
        <w:rPr>
          <w:rFonts w:ascii="Open Sans" w:hAnsi="Open Sans" w:cs="Open Sans"/>
        </w:rPr>
        <w:t>e</w:t>
      </w:r>
      <w:r w:rsidR="00617D52" w:rsidRPr="7EA2DDC8">
        <w:rPr>
          <w:rFonts w:ascii="Open Sans" w:hAnsi="Open Sans" w:cs="Open Sans"/>
        </w:rPr>
        <w:t xml:space="preserve"> </w:t>
      </w:r>
      <w:proofErr w:type="spellStart"/>
      <w:r w:rsidR="00B324EE">
        <w:rPr>
          <w:rFonts w:ascii="Open Sans" w:hAnsi="Open Sans" w:cs="Open Sans"/>
        </w:rPr>
        <w:t>designat</w:t>
      </w:r>
      <w:r w:rsidR="009D56BC">
        <w:rPr>
          <w:rFonts w:ascii="Open Sans" w:hAnsi="Open Sans" w:cs="Open Sans"/>
        </w:rPr>
        <w:t>a</w:t>
      </w:r>
      <w:proofErr w:type="spellEnd"/>
      <w:r w:rsidR="00D851E6">
        <w:rPr>
          <w:rFonts w:ascii="Open Sans" w:hAnsi="Open Sans" w:cs="Open Sans"/>
        </w:rPr>
        <w:t>.</w:t>
      </w:r>
    </w:p>
    <w:p w14:paraId="600A7190" w14:textId="53F4B63D" w:rsidR="00D92305" w:rsidRPr="00287C67" w:rsidRDefault="00AB447B" w:rsidP="00287C67">
      <w:pPr>
        <w:spacing w:after="120"/>
        <w:ind w:left="720"/>
        <w:rPr>
          <w:rFonts w:ascii="Open Sans" w:eastAsia="Times New Roman" w:hAnsi="Open Sans" w:cs="Open Sans"/>
          <w:b/>
          <w:bCs/>
          <w:color w:val="1F1923"/>
        </w:rPr>
      </w:pPr>
      <w:r w:rsidRPr="00287C67">
        <w:rPr>
          <w:rFonts w:ascii="Open Sans" w:eastAsia="Times New Roman" w:hAnsi="Open Sans" w:cs="Open Sans"/>
          <w:b/>
          <w:bCs/>
          <w:color w:val="1F1923"/>
        </w:rPr>
        <w:t>Recommendation 5</w:t>
      </w:r>
    </w:p>
    <w:p w14:paraId="4152CE2D" w14:textId="5185C310" w:rsidR="004966AC" w:rsidRPr="00AE0AD1" w:rsidRDefault="00D92305" w:rsidP="00D92305">
      <w:pPr>
        <w:ind w:left="720"/>
        <w:rPr>
          <w:rFonts w:ascii="Open Sans" w:eastAsia="Times New Roman" w:hAnsi="Open Sans" w:cs="Open Sans"/>
          <w:color w:val="1F1923"/>
          <w:lang w:val="en-US"/>
        </w:rPr>
      </w:pPr>
      <w:r>
        <w:rPr>
          <w:rFonts w:ascii="Open Sans" w:eastAsia="Times New Roman" w:hAnsi="Open Sans" w:cs="Open Sans"/>
          <w:color w:val="1F1923"/>
          <w:lang w:val="en-US"/>
        </w:rPr>
        <w:t>T</w:t>
      </w:r>
      <w:r w:rsidR="004966AC" w:rsidRPr="00D92305">
        <w:rPr>
          <w:rFonts w:ascii="Open Sans" w:eastAsia="Times New Roman" w:hAnsi="Open Sans" w:cs="Open Sans"/>
          <w:color w:val="1F1923"/>
          <w:lang w:val="en-US"/>
        </w:rPr>
        <w:t xml:space="preserve">he minimum age for subjects of </w:t>
      </w:r>
      <w:r w:rsidR="00E062E2" w:rsidRPr="00D92305">
        <w:rPr>
          <w:rFonts w:ascii="Open Sans" w:eastAsia="Times New Roman" w:hAnsi="Open Sans" w:cs="Open Sans"/>
          <w:color w:val="1F1923"/>
          <w:lang w:val="en-US"/>
        </w:rPr>
        <w:t>QW</w:t>
      </w:r>
      <w:r w:rsidR="004966AC" w:rsidRPr="00D92305">
        <w:rPr>
          <w:rFonts w:ascii="Open Sans" w:eastAsia="Times New Roman" w:hAnsi="Open Sans" w:cs="Open Sans"/>
          <w:color w:val="1F1923"/>
          <w:lang w:val="en-US"/>
        </w:rPr>
        <w:t xml:space="preserve">s </w:t>
      </w:r>
      <w:r>
        <w:rPr>
          <w:rFonts w:ascii="Open Sans" w:eastAsia="Times New Roman" w:hAnsi="Open Sans" w:cs="Open Sans"/>
          <w:color w:val="1F1923"/>
          <w:lang w:val="en-US"/>
        </w:rPr>
        <w:t>should</w:t>
      </w:r>
      <w:r w:rsidRPr="00287C67">
        <w:rPr>
          <w:rFonts w:ascii="Open Sans" w:eastAsia="Times New Roman" w:hAnsi="Open Sans" w:cs="Open Sans"/>
          <w:color w:val="1F1923"/>
          <w:lang w:val="en-US"/>
        </w:rPr>
        <w:t xml:space="preserve"> </w:t>
      </w:r>
      <w:r w:rsidR="004966AC" w:rsidRPr="00AE0AD1">
        <w:rPr>
          <w:rFonts w:ascii="Open Sans" w:eastAsia="Times New Roman" w:hAnsi="Open Sans" w:cs="Open Sans"/>
          <w:color w:val="1F1923"/>
          <w:lang w:val="en-US"/>
        </w:rPr>
        <w:t xml:space="preserve">not </w:t>
      </w:r>
      <w:r>
        <w:rPr>
          <w:rFonts w:ascii="Open Sans" w:eastAsia="Times New Roman" w:hAnsi="Open Sans" w:cs="Open Sans"/>
          <w:color w:val="1F1923"/>
          <w:lang w:val="en-US"/>
        </w:rPr>
        <w:t>be</w:t>
      </w:r>
      <w:r w:rsidR="004966AC" w:rsidRPr="00287C67">
        <w:rPr>
          <w:rFonts w:ascii="Open Sans" w:eastAsia="Times New Roman" w:hAnsi="Open Sans" w:cs="Open Sans"/>
          <w:color w:val="1F1923"/>
          <w:lang w:val="en-US"/>
        </w:rPr>
        <w:t xml:space="preserve"> </w:t>
      </w:r>
      <w:r w:rsidR="004966AC" w:rsidRPr="00AE0AD1">
        <w:rPr>
          <w:rFonts w:ascii="Open Sans" w:eastAsia="Times New Roman" w:hAnsi="Open Sans" w:cs="Open Sans"/>
          <w:color w:val="1F1923"/>
          <w:lang w:val="en-US"/>
        </w:rPr>
        <w:t>lowered from 16 to 14</w:t>
      </w:r>
      <w:r>
        <w:rPr>
          <w:rFonts w:ascii="Open Sans" w:eastAsia="Times New Roman" w:hAnsi="Open Sans" w:cs="Open Sans"/>
          <w:color w:val="1F1923"/>
          <w:lang w:val="en-US"/>
        </w:rPr>
        <w:t xml:space="preserve">. </w:t>
      </w:r>
    </w:p>
    <w:p w14:paraId="7ED8747F" w14:textId="77777777" w:rsidR="00013D75" w:rsidRDefault="00D92305" w:rsidP="004C223D">
      <w:pPr>
        <w:ind w:left="720"/>
        <w:rPr>
          <w:rFonts w:ascii="Open Sans" w:eastAsia="Times New Roman" w:hAnsi="Open Sans" w:cs="Open Sans"/>
          <w:b/>
          <w:bCs/>
          <w:color w:val="1F1923"/>
          <w:lang w:val="en-US"/>
        </w:rPr>
      </w:pPr>
      <w:r>
        <w:rPr>
          <w:rFonts w:ascii="Open Sans" w:eastAsia="Times New Roman" w:hAnsi="Open Sans" w:cs="Open Sans"/>
          <w:b/>
          <w:bCs/>
          <w:color w:val="1F1923"/>
          <w:lang w:val="en-US"/>
        </w:rPr>
        <w:t>Recommendation 6</w:t>
      </w:r>
    </w:p>
    <w:p w14:paraId="7549B6B9" w14:textId="53B2BD8C" w:rsidR="004966AC" w:rsidRPr="00AE0AD1" w:rsidRDefault="00DE7087" w:rsidP="004C223D">
      <w:pPr>
        <w:ind w:left="720"/>
        <w:rPr>
          <w:rFonts w:ascii="Open Sans" w:eastAsia="Times New Roman" w:hAnsi="Open Sans" w:cs="Open Sans"/>
          <w:color w:val="1F1923"/>
          <w:lang w:val="en-US"/>
        </w:rPr>
      </w:pPr>
      <w:r>
        <w:rPr>
          <w:rFonts w:ascii="Open Sans" w:eastAsia="Times New Roman" w:hAnsi="Open Sans" w:cs="Open Sans"/>
          <w:color w:val="1F1923"/>
          <w:lang w:val="en-US"/>
        </w:rPr>
        <w:t>If the Bill proceeds, t</w:t>
      </w:r>
      <w:r w:rsidR="00A5716C" w:rsidRPr="00D07C74">
        <w:rPr>
          <w:rFonts w:ascii="Open Sans" w:eastAsia="Times New Roman" w:hAnsi="Open Sans" w:cs="Open Sans"/>
          <w:color w:val="1F1923"/>
          <w:lang w:val="en-US"/>
        </w:rPr>
        <w:t>he</w:t>
      </w:r>
      <w:r w:rsidR="00A5716C">
        <w:rPr>
          <w:rFonts w:ascii="Open Sans" w:eastAsia="Times New Roman" w:hAnsi="Open Sans" w:cs="Open Sans"/>
          <w:color w:val="1F1923"/>
          <w:lang w:val="en-US"/>
        </w:rPr>
        <w:t xml:space="preserve"> provisions</w:t>
      </w:r>
      <w:r w:rsidR="004966AC" w:rsidRPr="00AE0AD1">
        <w:rPr>
          <w:rFonts w:ascii="Open Sans" w:eastAsia="Times New Roman" w:hAnsi="Open Sans" w:cs="Open Sans"/>
          <w:color w:val="1F1923"/>
          <w:lang w:val="en-US"/>
        </w:rPr>
        <w:t xml:space="preserve"> </w:t>
      </w:r>
      <w:r w:rsidR="00EA479B">
        <w:rPr>
          <w:rFonts w:ascii="Open Sans" w:eastAsia="Times New Roman" w:hAnsi="Open Sans" w:cs="Open Sans"/>
          <w:color w:val="1F1923"/>
          <w:lang w:val="en-US"/>
        </w:rPr>
        <w:t>that relax</w:t>
      </w:r>
      <w:r w:rsidR="00EA479B" w:rsidRPr="00AE0AD1">
        <w:rPr>
          <w:rFonts w:ascii="Open Sans" w:eastAsia="Times New Roman" w:hAnsi="Open Sans" w:cs="Open Sans"/>
          <w:color w:val="1F1923"/>
          <w:lang w:val="en-US"/>
        </w:rPr>
        <w:t xml:space="preserve"> </w:t>
      </w:r>
      <w:r w:rsidR="004966AC" w:rsidRPr="00AE0AD1">
        <w:rPr>
          <w:rFonts w:ascii="Open Sans" w:eastAsia="Times New Roman" w:hAnsi="Open Sans" w:cs="Open Sans"/>
          <w:color w:val="1F1923"/>
          <w:lang w:val="en-US"/>
        </w:rPr>
        <w:t>the current eligibility requirements for ‘prescribed authorities’</w:t>
      </w:r>
      <w:r w:rsidR="00A5716C">
        <w:rPr>
          <w:rFonts w:ascii="Open Sans" w:eastAsia="Times New Roman" w:hAnsi="Open Sans" w:cs="Open Sans"/>
          <w:color w:val="1F1923"/>
          <w:lang w:val="en-US"/>
        </w:rPr>
        <w:t xml:space="preserve"> </w:t>
      </w:r>
      <w:r w:rsidR="004C223D">
        <w:rPr>
          <w:rFonts w:ascii="Open Sans" w:eastAsia="Times New Roman" w:hAnsi="Open Sans" w:cs="Open Sans"/>
          <w:color w:val="1F1923"/>
          <w:lang w:val="en-US"/>
        </w:rPr>
        <w:t>should be</w:t>
      </w:r>
      <w:r w:rsidR="004C223D" w:rsidRPr="00D07C74">
        <w:rPr>
          <w:rFonts w:ascii="Open Sans" w:eastAsia="Times New Roman" w:hAnsi="Open Sans" w:cs="Open Sans"/>
          <w:color w:val="1F1923"/>
          <w:lang w:val="en-US"/>
        </w:rPr>
        <w:t xml:space="preserve"> </w:t>
      </w:r>
      <w:r w:rsidR="00A5716C">
        <w:rPr>
          <w:rFonts w:ascii="Open Sans" w:eastAsia="Times New Roman" w:hAnsi="Open Sans" w:cs="Open Sans"/>
          <w:color w:val="1F1923"/>
          <w:lang w:val="en-US"/>
        </w:rPr>
        <w:t>deleted</w:t>
      </w:r>
      <w:r w:rsidR="004C223D">
        <w:rPr>
          <w:rFonts w:ascii="Open Sans" w:eastAsia="Times New Roman" w:hAnsi="Open Sans" w:cs="Open Sans"/>
          <w:color w:val="1F1923"/>
          <w:lang w:val="en-US"/>
        </w:rPr>
        <w:t>.</w:t>
      </w:r>
    </w:p>
    <w:p w14:paraId="40AF0086" w14:textId="63C15F72" w:rsidR="004C223D" w:rsidRPr="00947757" w:rsidRDefault="004C223D" w:rsidP="00947757">
      <w:pPr>
        <w:ind w:left="720"/>
        <w:rPr>
          <w:rFonts w:ascii="Open Sans" w:eastAsia="Times New Roman" w:hAnsi="Open Sans" w:cs="Open Sans"/>
          <w:b/>
          <w:bCs/>
          <w:color w:val="1F1923"/>
          <w:lang w:val="en-US"/>
        </w:rPr>
      </w:pPr>
      <w:r>
        <w:rPr>
          <w:rFonts w:ascii="Open Sans" w:eastAsia="Times New Roman" w:hAnsi="Open Sans" w:cs="Open Sans"/>
          <w:b/>
          <w:bCs/>
          <w:color w:val="1F1923"/>
          <w:lang w:val="en-US"/>
        </w:rPr>
        <w:t xml:space="preserve">Recommendation </w:t>
      </w:r>
      <w:r w:rsidR="00480E6E">
        <w:rPr>
          <w:rFonts w:ascii="Open Sans" w:eastAsia="Times New Roman" w:hAnsi="Open Sans" w:cs="Open Sans"/>
          <w:b/>
          <w:bCs/>
          <w:color w:val="1F1923"/>
          <w:lang w:val="en-US"/>
        </w:rPr>
        <w:t>7</w:t>
      </w:r>
    </w:p>
    <w:p w14:paraId="27F3C79A" w14:textId="2E4CCF2B" w:rsidR="004966AC" w:rsidRPr="00AE0AD1" w:rsidRDefault="00F82927" w:rsidP="009F2B1B">
      <w:pPr>
        <w:ind w:left="720"/>
        <w:rPr>
          <w:rFonts w:ascii="Open Sans" w:eastAsia="Times New Roman" w:hAnsi="Open Sans" w:cs="Open Sans"/>
          <w:color w:val="1F1923"/>
          <w:lang w:val="en-US"/>
        </w:rPr>
      </w:pPr>
      <w:r>
        <w:rPr>
          <w:rFonts w:ascii="Open Sans" w:eastAsia="Times New Roman" w:hAnsi="Open Sans" w:cs="Open Sans"/>
          <w:color w:val="1F1923"/>
          <w:lang w:val="en-US"/>
        </w:rPr>
        <w:t>A</w:t>
      </w:r>
      <w:r w:rsidR="004966AC" w:rsidRPr="00B818BE">
        <w:rPr>
          <w:rFonts w:ascii="Open Sans" w:eastAsia="Times New Roman" w:hAnsi="Open Sans" w:cs="Open Sans"/>
          <w:color w:val="1F1923"/>
          <w:lang w:val="en-US"/>
        </w:rPr>
        <w:t xml:space="preserve">ny person subject to a </w:t>
      </w:r>
      <w:r w:rsidR="00E062E2" w:rsidRPr="00B818BE">
        <w:rPr>
          <w:rFonts w:ascii="Open Sans" w:eastAsia="Times New Roman" w:hAnsi="Open Sans" w:cs="Open Sans"/>
          <w:color w:val="1F1923"/>
          <w:lang w:val="en-US"/>
        </w:rPr>
        <w:t>QW</w:t>
      </w:r>
      <w:r w:rsidR="004966AC" w:rsidRPr="00B818BE">
        <w:rPr>
          <w:rFonts w:ascii="Open Sans" w:eastAsia="Times New Roman" w:hAnsi="Open Sans" w:cs="Open Sans"/>
          <w:color w:val="1F1923"/>
          <w:lang w:val="en-US"/>
        </w:rPr>
        <w:t xml:space="preserve"> </w:t>
      </w:r>
      <w:r w:rsidR="00A46CA4">
        <w:rPr>
          <w:rFonts w:ascii="Open Sans" w:eastAsia="Times New Roman" w:hAnsi="Open Sans" w:cs="Open Sans"/>
          <w:color w:val="1F1923"/>
          <w:lang w:val="en-US"/>
        </w:rPr>
        <w:t>should be</w:t>
      </w:r>
      <w:r w:rsidR="004966AC" w:rsidRPr="00A46CA4">
        <w:rPr>
          <w:rFonts w:ascii="Open Sans" w:eastAsia="Times New Roman" w:hAnsi="Open Sans" w:cs="Open Sans"/>
          <w:color w:val="1F1923"/>
          <w:lang w:val="en-US"/>
        </w:rPr>
        <w:t xml:space="preserve"> afforded the right to independent legal</w:t>
      </w:r>
      <w:r w:rsidR="004966AC" w:rsidRPr="00AE0AD1">
        <w:rPr>
          <w:rFonts w:ascii="Open Sans" w:eastAsia="Times New Roman" w:hAnsi="Open Sans" w:cs="Open Sans"/>
          <w:color w:val="1F1923"/>
          <w:lang w:val="en-US"/>
        </w:rPr>
        <w:t xml:space="preserve"> </w:t>
      </w:r>
      <w:r w:rsidR="004966AC" w:rsidRPr="00CD4612">
        <w:rPr>
          <w:rFonts w:ascii="Open Sans" w:eastAsia="Times New Roman" w:hAnsi="Open Sans" w:cs="Open Sans"/>
          <w:color w:val="1F1923"/>
          <w:lang w:val="en-US"/>
        </w:rPr>
        <w:t>representation at all stages of the questioning process</w:t>
      </w:r>
      <w:r w:rsidR="009F2B1B">
        <w:rPr>
          <w:rFonts w:ascii="Open Sans" w:eastAsia="Times New Roman" w:hAnsi="Open Sans" w:cs="Open Sans"/>
          <w:color w:val="1F1923"/>
          <w:lang w:val="en-US"/>
        </w:rPr>
        <w:t>.</w:t>
      </w:r>
    </w:p>
    <w:p w14:paraId="00411BDC" w14:textId="604F77CA" w:rsidR="009F2B1B" w:rsidRPr="00947757" w:rsidRDefault="009F2B1B" w:rsidP="00947757">
      <w:pPr>
        <w:ind w:left="720"/>
        <w:rPr>
          <w:rFonts w:ascii="Open Sans" w:eastAsia="Times New Roman" w:hAnsi="Open Sans" w:cs="Open Sans"/>
          <w:b/>
          <w:bCs/>
          <w:color w:val="1F1923"/>
          <w:lang w:val="en-US"/>
        </w:rPr>
      </w:pPr>
      <w:r>
        <w:rPr>
          <w:rFonts w:ascii="Open Sans" w:eastAsia="Times New Roman" w:hAnsi="Open Sans" w:cs="Open Sans"/>
          <w:b/>
          <w:bCs/>
          <w:color w:val="1F1923"/>
          <w:lang w:val="en-US"/>
        </w:rPr>
        <w:t xml:space="preserve">Recommendation </w:t>
      </w:r>
      <w:r w:rsidR="00480E6E">
        <w:rPr>
          <w:rFonts w:ascii="Open Sans" w:eastAsia="Times New Roman" w:hAnsi="Open Sans" w:cs="Open Sans"/>
          <w:b/>
          <w:bCs/>
          <w:color w:val="1F1923"/>
          <w:lang w:val="en-US"/>
        </w:rPr>
        <w:t>8</w:t>
      </w:r>
    </w:p>
    <w:p w14:paraId="1A9EEC63" w14:textId="53B46283" w:rsidR="004966AC" w:rsidRPr="00EF299F" w:rsidRDefault="009F2B1B" w:rsidP="00947757">
      <w:pPr>
        <w:pStyle w:val="ListParagraph"/>
        <w:spacing w:before="240" w:after="240"/>
        <w:contextualSpacing w:val="0"/>
        <w:rPr>
          <w:rFonts w:ascii="Open Sans" w:eastAsia="Times New Roman" w:hAnsi="Open Sans" w:cs="Open Sans"/>
          <w:color w:val="1F1923"/>
          <w:lang w:val="en-US"/>
        </w:rPr>
      </w:pPr>
      <w:r>
        <w:rPr>
          <w:rFonts w:ascii="Open Sans" w:eastAsia="Times New Roman" w:hAnsi="Open Sans" w:cs="Open Sans"/>
          <w:color w:val="1F1923"/>
          <w:lang w:val="en-US"/>
        </w:rPr>
        <w:t>T</w:t>
      </w:r>
      <w:r w:rsidR="004966AC" w:rsidRPr="00EF299F">
        <w:rPr>
          <w:rFonts w:ascii="Open Sans" w:eastAsia="Times New Roman" w:hAnsi="Open Sans" w:cs="Open Sans"/>
          <w:color w:val="1F1923"/>
          <w:lang w:val="en-US"/>
        </w:rPr>
        <w:t>he provisions dealing with post-charge questioning should be amended to make it clear that</w:t>
      </w:r>
      <w:r w:rsidR="00EF299F">
        <w:rPr>
          <w:rFonts w:ascii="Open Sans" w:eastAsia="Times New Roman" w:hAnsi="Open Sans" w:cs="Open Sans"/>
          <w:color w:val="1F1923"/>
          <w:lang w:val="en-US"/>
        </w:rPr>
        <w:t xml:space="preserve"> </w:t>
      </w:r>
      <w:r w:rsidR="004966AC" w:rsidRPr="00EF299F">
        <w:rPr>
          <w:rFonts w:ascii="Open Sans" w:eastAsia="Times New Roman" w:hAnsi="Open Sans" w:cs="Open Sans"/>
          <w:color w:val="1F1923"/>
          <w:lang w:val="en-US"/>
        </w:rPr>
        <w:t xml:space="preserve">a person who has been charged with a criminal offence cannot be subject to a </w:t>
      </w:r>
      <w:r w:rsidR="00E062E2">
        <w:rPr>
          <w:rFonts w:ascii="Open Sans" w:eastAsia="Times New Roman" w:hAnsi="Open Sans" w:cs="Open Sans"/>
          <w:color w:val="1F1923"/>
          <w:lang w:val="en-US"/>
        </w:rPr>
        <w:t>QW</w:t>
      </w:r>
      <w:r w:rsidR="004966AC" w:rsidRPr="00EF299F">
        <w:rPr>
          <w:rFonts w:ascii="Open Sans" w:eastAsia="Times New Roman" w:hAnsi="Open Sans" w:cs="Open Sans"/>
          <w:color w:val="1F1923"/>
          <w:lang w:val="en-US"/>
        </w:rPr>
        <w:t xml:space="preserve"> until the end of their criminal trial</w:t>
      </w:r>
      <w:r w:rsidR="00EF299F">
        <w:rPr>
          <w:rFonts w:ascii="Open Sans" w:eastAsia="Times New Roman" w:hAnsi="Open Sans" w:cs="Open Sans"/>
          <w:color w:val="1F1923"/>
          <w:lang w:val="en-US"/>
        </w:rPr>
        <w:t>.</w:t>
      </w:r>
    </w:p>
    <w:p w14:paraId="65DA6B1A" w14:textId="5C0D7932" w:rsidR="00B34946" w:rsidRPr="00AE0AD1" w:rsidRDefault="004966AC" w:rsidP="003137B7">
      <w:pPr>
        <w:pStyle w:val="Heading1"/>
        <w:tabs>
          <w:tab w:val="clear" w:pos="851"/>
          <w:tab w:val="num" w:pos="563"/>
        </w:tabs>
        <w:rPr>
          <w:rFonts w:ascii="Open Sans" w:hAnsi="Open Sans" w:cs="Open Sans"/>
        </w:rPr>
      </w:pPr>
      <w:bookmarkStart w:id="10" w:name="_Toc43939941"/>
      <w:bookmarkStart w:id="11" w:name="_Toc44496116"/>
      <w:bookmarkStart w:id="12" w:name="_Toc162769291"/>
      <w:bookmarkStart w:id="13" w:name="_Toc207761832"/>
      <w:bookmarkStart w:id="14" w:name="_Toc209578268"/>
      <w:bookmarkEnd w:id="10"/>
      <w:r w:rsidRPr="00AE0AD1">
        <w:rPr>
          <w:rFonts w:ascii="Open Sans" w:hAnsi="Open Sans" w:cs="Open Sans"/>
        </w:rPr>
        <w:t>Summary of the Bill</w:t>
      </w:r>
      <w:bookmarkEnd w:id="11"/>
      <w:r w:rsidRPr="00AE0AD1">
        <w:rPr>
          <w:rFonts w:ascii="Open Sans" w:hAnsi="Open Sans" w:cs="Open Sans"/>
        </w:rPr>
        <w:t xml:space="preserve"> </w:t>
      </w:r>
      <w:bookmarkEnd w:id="12"/>
      <w:bookmarkEnd w:id="13"/>
      <w:bookmarkEnd w:id="14"/>
    </w:p>
    <w:p w14:paraId="3C3C58D2" w14:textId="45C536FE" w:rsidR="005D07A0" w:rsidRPr="00AE0AD1" w:rsidRDefault="005D07A0" w:rsidP="003137B7">
      <w:pPr>
        <w:pStyle w:val="SubmissionNormal"/>
        <w:tabs>
          <w:tab w:val="num" w:pos="1152"/>
        </w:tabs>
        <w:rPr>
          <w:rFonts w:ascii="Open Sans" w:hAnsi="Open Sans" w:cs="Open Sans"/>
        </w:rPr>
      </w:pPr>
      <w:r w:rsidRPr="00AE0AD1">
        <w:rPr>
          <w:rFonts w:ascii="Open Sans" w:hAnsi="Open Sans" w:cs="Open Sans"/>
        </w:rPr>
        <w:t xml:space="preserve">The Bill amends ASIO’s compulsory questioning, detention and surveillance device powers in a number of ways. This submission </w:t>
      </w:r>
      <w:r w:rsidR="00B06EF3">
        <w:rPr>
          <w:rFonts w:ascii="Open Sans" w:hAnsi="Open Sans" w:cs="Open Sans"/>
        </w:rPr>
        <w:t>focuses on</w:t>
      </w:r>
      <w:r w:rsidRPr="00AE0AD1">
        <w:rPr>
          <w:rFonts w:ascii="Open Sans" w:hAnsi="Open Sans" w:cs="Open Sans"/>
        </w:rPr>
        <w:t xml:space="preserve"> the following </w:t>
      </w:r>
      <w:r w:rsidR="002E5ADD">
        <w:rPr>
          <w:rFonts w:ascii="Open Sans" w:hAnsi="Open Sans" w:cs="Open Sans"/>
        </w:rPr>
        <w:t xml:space="preserve">significant features of the amended QW regime that would be inserted in </w:t>
      </w:r>
      <w:r w:rsidRPr="00AE0AD1">
        <w:rPr>
          <w:rFonts w:ascii="Open Sans" w:hAnsi="Open Sans" w:cs="Open Sans"/>
        </w:rPr>
        <w:t>Division 3 of Part III of the ASIO Act:</w:t>
      </w:r>
    </w:p>
    <w:p w14:paraId="72285092" w14:textId="4FCE206C" w:rsidR="005D07A0" w:rsidRPr="00AE0AD1" w:rsidRDefault="005D07A0" w:rsidP="003137B7">
      <w:pPr>
        <w:pStyle w:val="ListBullet4"/>
        <w:tabs>
          <w:tab w:val="clear" w:pos="1209"/>
          <w:tab w:val="num" w:pos="1281"/>
        </w:tabs>
        <w:rPr>
          <w:rFonts w:ascii="Open Sans" w:hAnsi="Open Sans" w:cs="Open Sans"/>
        </w:rPr>
      </w:pPr>
      <w:r w:rsidRPr="00AE0AD1">
        <w:rPr>
          <w:rFonts w:ascii="Open Sans" w:hAnsi="Open Sans" w:cs="Open Sans"/>
        </w:rPr>
        <w:t xml:space="preserve">repealing ASIO’s existing QDW power and introducing an alternative apprehension power to ensure attendance at questioning, </w:t>
      </w:r>
      <w:r w:rsidR="00B06EF3">
        <w:rPr>
          <w:rFonts w:ascii="Open Sans" w:hAnsi="Open Sans" w:cs="Open Sans"/>
        </w:rPr>
        <w:t xml:space="preserve">to </w:t>
      </w:r>
      <w:r w:rsidRPr="00AE0AD1">
        <w:rPr>
          <w:rFonts w:ascii="Open Sans" w:hAnsi="Open Sans" w:cs="Open Sans"/>
        </w:rPr>
        <w:t>prevent contact with others or the destruction of information</w:t>
      </w:r>
    </w:p>
    <w:p w14:paraId="0FA7DA8B" w14:textId="32711B33" w:rsidR="005D07A0" w:rsidRPr="00AE0AD1" w:rsidRDefault="005D07A0" w:rsidP="003137B7">
      <w:pPr>
        <w:pStyle w:val="ListBullet4"/>
        <w:tabs>
          <w:tab w:val="clear" w:pos="1209"/>
          <w:tab w:val="num" w:pos="1281"/>
        </w:tabs>
        <w:rPr>
          <w:rFonts w:ascii="Open Sans" w:eastAsia="Times New Roman" w:hAnsi="Open Sans" w:cs="Open Sans"/>
        </w:rPr>
      </w:pPr>
      <w:r w:rsidRPr="00AE0AD1">
        <w:rPr>
          <w:rFonts w:ascii="Open Sans" w:eastAsia="Times New Roman" w:hAnsi="Open Sans" w:cs="Open Sans"/>
        </w:rPr>
        <w:t xml:space="preserve">creating powers for police officers: to conduct a search of a person who is apprehended in connection with a </w:t>
      </w:r>
      <w:r w:rsidR="00E062E2">
        <w:rPr>
          <w:rFonts w:ascii="Open Sans" w:eastAsia="Times New Roman" w:hAnsi="Open Sans" w:cs="Open Sans"/>
        </w:rPr>
        <w:t>QW</w:t>
      </w:r>
      <w:r w:rsidRPr="00AE0AD1">
        <w:rPr>
          <w:rFonts w:ascii="Open Sans" w:eastAsia="Times New Roman" w:hAnsi="Open Sans" w:cs="Open Sans"/>
        </w:rPr>
        <w:t>; to seize items that could be used to communicate the existence of the warrant or escape from custody; and, when authorised by the Attorney-General, to seize items of intelligence relevant to the questioning matter</w:t>
      </w:r>
    </w:p>
    <w:p w14:paraId="3577B062" w14:textId="489911CB" w:rsidR="005D07A0" w:rsidRPr="00AE0AD1" w:rsidRDefault="005D07A0" w:rsidP="003137B7">
      <w:pPr>
        <w:pStyle w:val="ListBullet4"/>
        <w:tabs>
          <w:tab w:val="clear" w:pos="1209"/>
          <w:tab w:val="num" w:pos="1281"/>
        </w:tabs>
        <w:rPr>
          <w:rFonts w:ascii="Open Sans" w:hAnsi="Open Sans" w:cs="Open Sans"/>
        </w:rPr>
      </w:pPr>
      <w:r w:rsidRPr="00AE0AD1">
        <w:rPr>
          <w:rFonts w:ascii="Open Sans" w:hAnsi="Open Sans" w:cs="Open Sans"/>
        </w:rPr>
        <w:t xml:space="preserve">broadening the scope of the </w:t>
      </w:r>
      <w:r w:rsidR="00E062E2">
        <w:rPr>
          <w:rFonts w:ascii="Open Sans" w:hAnsi="Open Sans" w:cs="Open Sans"/>
        </w:rPr>
        <w:t>QW</w:t>
      </w:r>
      <w:r w:rsidRPr="00AE0AD1">
        <w:rPr>
          <w:rFonts w:ascii="Open Sans" w:hAnsi="Open Sans" w:cs="Open Sans"/>
        </w:rPr>
        <w:t xml:space="preserve"> regime to enable the use of adult </w:t>
      </w:r>
      <w:r w:rsidR="00E062E2">
        <w:rPr>
          <w:rFonts w:ascii="Open Sans" w:hAnsi="Open Sans" w:cs="Open Sans"/>
        </w:rPr>
        <w:t>QW</w:t>
      </w:r>
      <w:r w:rsidRPr="00AE0AD1">
        <w:rPr>
          <w:rFonts w:ascii="Open Sans" w:hAnsi="Open Sans" w:cs="Open Sans"/>
        </w:rPr>
        <w:t xml:space="preserve">s </w:t>
      </w:r>
      <w:r w:rsidR="0025411B">
        <w:rPr>
          <w:rFonts w:ascii="Open Sans" w:hAnsi="Open Sans" w:cs="Open Sans"/>
        </w:rPr>
        <w:t xml:space="preserve">to collect intelligence </w:t>
      </w:r>
      <w:r w:rsidRPr="00AE0AD1">
        <w:rPr>
          <w:rFonts w:ascii="Open Sans" w:hAnsi="Open Sans" w:cs="Open Sans"/>
        </w:rPr>
        <w:t>in relation to threats from espionage, politically motivated violence and acts of foreign interference, rather than only in relation to terrorism offences</w:t>
      </w:r>
    </w:p>
    <w:p w14:paraId="4BB667AF" w14:textId="644AC67B" w:rsidR="005D07A0" w:rsidRPr="00AE0AD1" w:rsidRDefault="005D07A0" w:rsidP="003137B7">
      <w:pPr>
        <w:pStyle w:val="ListBullet4"/>
        <w:tabs>
          <w:tab w:val="clear" w:pos="1209"/>
          <w:tab w:val="num" w:pos="1281"/>
        </w:tabs>
        <w:rPr>
          <w:rFonts w:ascii="Open Sans" w:hAnsi="Open Sans" w:cs="Open Sans"/>
        </w:rPr>
      </w:pPr>
      <w:r w:rsidRPr="00AE0AD1">
        <w:rPr>
          <w:rFonts w:ascii="Open Sans" w:hAnsi="Open Sans" w:cs="Open Sans"/>
        </w:rPr>
        <w:lastRenderedPageBreak/>
        <w:t xml:space="preserve">removing the current requirement that a </w:t>
      </w:r>
      <w:r w:rsidR="00E062E2">
        <w:rPr>
          <w:rFonts w:ascii="Open Sans" w:hAnsi="Open Sans" w:cs="Open Sans"/>
        </w:rPr>
        <w:t>QW</w:t>
      </w:r>
      <w:r w:rsidRPr="00AE0AD1">
        <w:rPr>
          <w:rFonts w:ascii="Open Sans" w:hAnsi="Open Sans" w:cs="Open Sans"/>
        </w:rPr>
        <w:t xml:space="preserve"> must be approved by ‘issuing authorities’, who must be former superior court judges, and instead providing that the Attorney-General may issue, vary or revoke </w:t>
      </w:r>
      <w:r w:rsidR="00E062E2">
        <w:rPr>
          <w:rFonts w:ascii="Open Sans" w:hAnsi="Open Sans" w:cs="Open Sans"/>
        </w:rPr>
        <w:t>QW</w:t>
      </w:r>
      <w:r w:rsidRPr="00AE0AD1">
        <w:rPr>
          <w:rFonts w:ascii="Open Sans" w:hAnsi="Open Sans" w:cs="Open Sans"/>
        </w:rPr>
        <w:t>s directly, and authorise apprehension</w:t>
      </w:r>
    </w:p>
    <w:p w14:paraId="2FB47460" w14:textId="4BAEEF33" w:rsidR="005D07A0" w:rsidRPr="00AE0AD1" w:rsidRDefault="005D07A0" w:rsidP="003137B7">
      <w:pPr>
        <w:pStyle w:val="ListBullet4"/>
        <w:tabs>
          <w:tab w:val="clear" w:pos="1209"/>
          <w:tab w:val="num" w:pos="1281"/>
        </w:tabs>
        <w:rPr>
          <w:rFonts w:ascii="Open Sans" w:hAnsi="Open Sans" w:cs="Open Sans"/>
        </w:rPr>
      </w:pPr>
      <w:r w:rsidRPr="00AE0AD1">
        <w:rPr>
          <w:rFonts w:ascii="Open Sans" w:hAnsi="Open Sans" w:cs="Open Sans"/>
        </w:rPr>
        <w:t xml:space="preserve">enabling ASIO to orally request, and the Attorney-General to orally authorise, </w:t>
      </w:r>
      <w:r w:rsidR="00E062E2">
        <w:rPr>
          <w:rFonts w:ascii="Open Sans" w:hAnsi="Open Sans" w:cs="Open Sans"/>
        </w:rPr>
        <w:t>QW</w:t>
      </w:r>
      <w:r w:rsidRPr="00AE0AD1">
        <w:rPr>
          <w:rFonts w:ascii="Open Sans" w:hAnsi="Open Sans" w:cs="Open Sans"/>
        </w:rPr>
        <w:t>s (including apprehension) in an emergency</w:t>
      </w:r>
    </w:p>
    <w:p w14:paraId="77C78A29" w14:textId="29DBC442" w:rsidR="00C23B06" w:rsidRPr="00C23B06" w:rsidRDefault="005D07A0" w:rsidP="00C23B06">
      <w:pPr>
        <w:pStyle w:val="ListBullet4"/>
        <w:tabs>
          <w:tab w:val="clear" w:pos="1209"/>
          <w:tab w:val="num" w:pos="1281"/>
        </w:tabs>
        <w:rPr>
          <w:rFonts w:ascii="Open Sans" w:eastAsia="Times New Roman" w:hAnsi="Open Sans" w:cs="Open Sans"/>
        </w:rPr>
      </w:pPr>
      <w:r w:rsidRPr="00AE0AD1">
        <w:rPr>
          <w:rFonts w:ascii="Open Sans" w:eastAsia="Times New Roman" w:hAnsi="Open Sans" w:cs="Open Sans"/>
        </w:rPr>
        <w:t>lowering the minimum age of a person who may be subject to compulsory questioning and apprehension by ASIO from 16 to 14, where the minor is the target of an ASIO investigation in relation to politically motivated violence</w:t>
      </w:r>
    </w:p>
    <w:p w14:paraId="361AA2C1" w14:textId="1E932668" w:rsidR="005D07A0" w:rsidRPr="00C23B06" w:rsidRDefault="005D07A0" w:rsidP="00C23B06">
      <w:pPr>
        <w:pStyle w:val="ListBullet4"/>
        <w:rPr>
          <w:rFonts w:ascii="Open Sans" w:hAnsi="Open Sans" w:cs="Open Sans"/>
        </w:rPr>
      </w:pPr>
      <w:r w:rsidRPr="00C23B06">
        <w:rPr>
          <w:rFonts w:ascii="Open Sans" w:hAnsi="Open Sans" w:cs="Open Sans"/>
        </w:rPr>
        <w:t xml:space="preserve">significantly lowering the eligibility requirements for those who may serve as ‘prescribed authorities’ to supervise the execution of a </w:t>
      </w:r>
      <w:r w:rsidR="00E062E2" w:rsidRPr="00C23B06">
        <w:rPr>
          <w:rFonts w:ascii="Open Sans" w:hAnsi="Open Sans" w:cs="Open Sans"/>
        </w:rPr>
        <w:t>QW</w:t>
      </w:r>
      <w:r w:rsidRPr="00C23B06">
        <w:rPr>
          <w:rFonts w:ascii="Open Sans" w:hAnsi="Open Sans" w:cs="Open Sans"/>
        </w:rPr>
        <w:t>.</w:t>
      </w:r>
      <w:r w:rsidR="00F77C26" w:rsidRPr="00C23B06">
        <w:rPr>
          <w:rFonts w:ascii="Open Sans" w:hAnsi="Open Sans" w:cs="Open Sans"/>
        </w:rPr>
        <w:t xml:space="preserve"> </w:t>
      </w:r>
      <w:r w:rsidRPr="00C23B06">
        <w:rPr>
          <w:rFonts w:ascii="Open Sans" w:hAnsi="Open Sans" w:cs="Open Sans"/>
        </w:rPr>
        <w:t>Currently only state or territory supreme court or district court judges may serve in this capacity</w:t>
      </w:r>
      <w:r w:rsidR="006B1FA8" w:rsidRPr="00C23B06">
        <w:rPr>
          <w:rFonts w:ascii="Open Sans" w:hAnsi="Open Sans" w:cs="Open Sans"/>
        </w:rPr>
        <w:t xml:space="preserve"> (with exceptions only if there are not enough suitably qualified candidates available)</w:t>
      </w:r>
    </w:p>
    <w:p w14:paraId="36E28880" w14:textId="065B1D9D" w:rsidR="005D07A0" w:rsidRPr="00C23B06" w:rsidRDefault="005D07A0" w:rsidP="00C23B06">
      <w:pPr>
        <w:pStyle w:val="ListBullet4"/>
        <w:rPr>
          <w:rFonts w:ascii="Open Sans" w:hAnsi="Open Sans" w:cs="Open Sans"/>
        </w:rPr>
      </w:pPr>
      <w:r w:rsidRPr="00C23B06">
        <w:rPr>
          <w:rFonts w:ascii="Open Sans" w:hAnsi="Open Sans" w:cs="Open Sans"/>
        </w:rPr>
        <w:t xml:space="preserve">permitting </w:t>
      </w:r>
      <w:r w:rsidR="00E062E2" w:rsidRPr="00C23B06">
        <w:rPr>
          <w:rFonts w:ascii="Open Sans" w:hAnsi="Open Sans" w:cs="Open Sans"/>
        </w:rPr>
        <w:t>QW</w:t>
      </w:r>
      <w:r w:rsidR="00004BFD" w:rsidRPr="00C23B06">
        <w:rPr>
          <w:rFonts w:ascii="Open Sans" w:hAnsi="Open Sans" w:cs="Open Sans"/>
        </w:rPr>
        <w:t xml:space="preserve">s to be issued, questioning under a warrant to commence or continue, and questioning information to be used and shared by ASIO, even when criminal charges are imminent or have commenced, and when the questioning </w:t>
      </w:r>
      <w:r w:rsidR="00E062E2" w:rsidRPr="00C23B06">
        <w:rPr>
          <w:rFonts w:ascii="Open Sans" w:hAnsi="Open Sans" w:cs="Open Sans"/>
        </w:rPr>
        <w:t xml:space="preserve">QW </w:t>
      </w:r>
      <w:r w:rsidRPr="00C23B06">
        <w:rPr>
          <w:rFonts w:ascii="Open Sans" w:eastAsia="Times New Roman" w:hAnsi="Open Sans" w:cs="Open Sans"/>
        </w:rPr>
        <w:t>cover</w:t>
      </w:r>
      <w:r w:rsidR="00004BFD" w:rsidRPr="00C23B06">
        <w:rPr>
          <w:rFonts w:ascii="Open Sans" w:eastAsia="Times New Roman" w:hAnsi="Open Sans" w:cs="Open Sans"/>
        </w:rPr>
        <w:t>s</w:t>
      </w:r>
      <w:r w:rsidRPr="00C23B06">
        <w:rPr>
          <w:rFonts w:ascii="Open Sans" w:eastAsia="Times New Roman" w:hAnsi="Open Sans" w:cs="Open Sans"/>
        </w:rPr>
        <w:t xml:space="preserve"> matters that are the subject of those charges</w:t>
      </w:r>
    </w:p>
    <w:p w14:paraId="04CFCFAE" w14:textId="2C1E3A42" w:rsidR="005D07A0" w:rsidRPr="00C23B06" w:rsidRDefault="005D07A0" w:rsidP="00C23B06">
      <w:pPr>
        <w:pStyle w:val="ListBullet4"/>
        <w:rPr>
          <w:rFonts w:ascii="Open Sans" w:hAnsi="Open Sans" w:cs="Open Sans"/>
        </w:rPr>
      </w:pPr>
      <w:r w:rsidRPr="00C23B06">
        <w:rPr>
          <w:rFonts w:ascii="Open Sans" w:hAnsi="Open Sans" w:cs="Open Sans"/>
        </w:rPr>
        <w:t xml:space="preserve">limiting the right to legal representation of the subject’s choice during questioning, introducing the ability of a prescribed authority to appoint a lawyer for the subject of a </w:t>
      </w:r>
      <w:r w:rsidR="00E062E2" w:rsidRPr="00C23B06">
        <w:rPr>
          <w:rFonts w:ascii="Open Sans" w:hAnsi="Open Sans" w:cs="Open Sans"/>
        </w:rPr>
        <w:t>QW</w:t>
      </w:r>
      <w:r w:rsidRPr="00C23B06">
        <w:rPr>
          <w:rFonts w:ascii="Open Sans" w:hAnsi="Open Sans" w:cs="Open Sans"/>
        </w:rPr>
        <w:t xml:space="preserve">, and enabling </w:t>
      </w:r>
      <w:r w:rsidR="00004BFD" w:rsidRPr="00C23B06">
        <w:rPr>
          <w:rFonts w:ascii="Open Sans" w:hAnsi="Open Sans" w:cs="Open Sans"/>
        </w:rPr>
        <w:t>prescribed authorities</w:t>
      </w:r>
      <w:r w:rsidRPr="00C23B06">
        <w:rPr>
          <w:rFonts w:ascii="Open Sans" w:hAnsi="Open Sans" w:cs="Open Sans"/>
        </w:rPr>
        <w:t xml:space="preserve"> to remove, at their discretion, a lawyer deemed</w:t>
      </w:r>
      <w:r w:rsidR="00C23B06">
        <w:rPr>
          <w:rFonts w:ascii="Open Sans" w:hAnsi="Open Sans" w:cs="Open Sans"/>
        </w:rPr>
        <w:t xml:space="preserve"> to be</w:t>
      </w:r>
      <w:r w:rsidRPr="00C23B06">
        <w:rPr>
          <w:rFonts w:ascii="Open Sans" w:hAnsi="Open Sans" w:cs="Open Sans"/>
        </w:rPr>
        <w:t xml:space="preserve"> ‘unduly disrupti</w:t>
      </w:r>
      <w:r w:rsidR="00C23B06">
        <w:rPr>
          <w:rFonts w:ascii="Open Sans" w:hAnsi="Open Sans" w:cs="Open Sans"/>
        </w:rPr>
        <w:t>ng</w:t>
      </w:r>
      <w:r w:rsidRPr="00C23B06">
        <w:rPr>
          <w:rFonts w:ascii="Open Sans" w:hAnsi="Open Sans" w:cs="Open Sans"/>
        </w:rPr>
        <w:t>’ questioning</w:t>
      </w:r>
      <w:r w:rsidR="00642B98">
        <w:rPr>
          <w:rFonts w:ascii="Open Sans" w:hAnsi="Open Sans" w:cs="Open Sans"/>
        </w:rPr>
        <w:t>.</w:t>
      </w:r>
    </w:p>
    <w:p w14:paraId="65DA6B1D" w14:textId="16880290" w:rsidR="00B34946" w:rsidRPr="00AE0AD1" w:rsidRDefault="00382A18" w:rsidP="003137B7">
      <w:pPr>
        <w:pStyle w:val="Heading1"/>
        <w:tabs>
          <w:tab w:val="clear" w:pos="851"/>
          <w:tab w:val="num" w:pos="635"/>
        </w:tabs>
        <w:rPr>
          <w:rFonts w:ascii="Open Sans" w:hAnsi="Open Sans" w:cs="Open Sans"/>
        </w:rPr>
      </w:pPr>
      <w:bookmarkStart w:id="15" w:name="_Toc43939943"/>
      <w:bookmarkStart w:id="16" w:name="_Toc43939944"/>
      <w:bookmarkStart w:id="17" w:name="_Toc43939945"/>
      <w:bookmarkStart w:id="18" w:name="_Toc44496117"/>
      <w:bookmarkEnd w:id="15"/>
      <w:bookmarkEnd w:id="16"/>
      <w:bookmarkEnd w:id="17"/>
      <w:r w:rsidRPr="00AE0AD1">
        <w:rPr>
          <w:rFonts w:ascii="Open Sans" w:hAnsi="Open Sans" w:cs="Open Sans"/>
        </w:rPr>
        <w:t>History of review</w:t>
      </w:r>
      <w:bookmarkEnd w:id="18"/>
    </w:p>
    <w:p w14:paraId="7AD71737" w14:textId="5BE07AC9"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Following the terrorist attack</w:t>
      </w:r>
      <w:r w:rsidR="00642B98">
        <w:rPr>
          <w:rFonts w:ascii="Open Sans" w:hAnsi="Open Sans" w:cs="Open Sans"/>
        </w:rPr>
        <w:t>s</w:t>
      </w:r>
      <w:r w:rsidRPr="00AE0AD1">
        <w:rPr>
          <w:rFonts w:ascii="Open Sans" w:hAnsi="Open Sans" w:cs="Open Sans"/>
        </w:rPr>
        <w:t xml:space="preserve"> in </w:t>
      </w:r>
      <w:r w:rsidR="00642B98">
        <w:rPr>
          <w:rFonts w:ascii="Open Sans" w:hAnsi="Open Sans" w:cs="Open Sans"/>
        </w:rPr>
        <w:t xml:space="preserve">the United States </w:t>
      </w:r>
      <w:r w:rsidRPr="00AE0AD1">
        <w:rPr>
          <w:rFonts w:ascii="Open Sans" w:hAnsi="Open Sans" w:cs="Open Sans"/>
        </w:rPr>
        <w:t xml:space="preserve">on 11 September 2001, the </w:t>
      </w:r>
      <w:r w:rsidR="00642B98">
        <w:rPr>
          <w:rFonts w:ascii="Open Sans" w:hAnsi="Open Sans" w:cs="Open Sans"/>
        </w:rPr>
        <w:t>Australian</w:t>
      </w:r>
      <w:r w:rsidR="00642B98" w:rsidRPr="00AE0AD1">
        <w:rPr>
          <w:rFonts w:ascii="Open Sans" w:hAnsi="Open Sans" w:cs="Open Sans"/>
        </w:rPr>
        <w:t xml:space="preserve"> </w:t>
      </w:r>
      <w:r w:rsidRPr="00AE0AD1">
        <w:rPr>
          <w:rFonts w:ascii="Open Sans" w:hAnsi="Open Sans" w:cs="Open Sans"/>
        </w:rPr>
        <w:t>Government introduced the Australian Security Intelligence Organisation Legislation Amendment (Terrorism) Bill 2002</w:t>
      </w:r>
      <w:r w:rsidRPr="00AE0AD1">
        <w:rPr>
          <w:rFonts w:ascii="Open Sans" w:hAnsi="Open Sans" w:cs="Open Sans"/>
          <w:i/>
        </w:rPr>
        <w:t xml:space="preserve">, </w:t>
      </w:r>
      <w:r w:rsidRPr="00AE0AD1">
        <w:rPr>
          <w:rFonts w:ascii="Open Sans" w:hAnsi="Open Sans" w:cs="Open Sans"/>
        </w:rPr>
        <w:t xml:space="preserve">which proposed the QDW and </w:t>
      </w:r>
      <w:r w:rsidR="00E062E2">
        <w:rPr>
          <w:rFonts w:ascii="Open Sans" w:hAnsi="Open Sans" w:cs="Open Sans"/>
        </w:rPr>
        <w:t>QW</w:t>
      </w:r>
      <w:r w:rsidRPr="00AE0AD1">
        <w:rPr>
          <w:rFonts w:ascii="Open Sans" w:hAnsi="Open Sans" w:cs="Open Sans"/>
        </w:rPr>
        <w:t xml:space="preserve"> powers. </w:t>
      </w:r>
    </w:p>
    <w:p w14:paraId="28A28F12" w14:textId="3D6D3149"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Upon introducing</w:t>
      </w:r>
      <w:r w:rsidRPr="00AE0AD1" w:rsidDel="00642B98">
        <w:rPr>
          <w:rFonts w:ascii="Open Sans" w:hAnsi="Open Sans" w:cs="Open Sans"/>
        </w:rPr>
        <w:t xml:space="preserve"> </w:t>
      </w:r>
      <w:r w:rsidRPr="00AE0AD1">
        <w:rPr>
          <w:rFonts w:ascii="Open Sans" w:hAnsi="Open Sans" w:cs="Open Sans"/>
        </w:rPr>
        <w:t xml:space="preserve">that Bill to Parliament, the then Attorney-General, the Hon Daryl Williams QC, acknowledged that the coercive detention and questioning powers provided in the Bill were </w:t>
      </w:r>
      <w:r w:rsidR="00AA24C0" w:rsidRPr="00AE0AD1">
        <w:rPr>
          <w:rFonts w:ascii="Open Sans" w:hAnsi="Open Sans" w:cs="Open Sans"/>
        </w:rPr>
        <w:t>‘</w:t>
      </w:r>
      <w:r w:rsidRPr="00AE0AD1">
        <w:rPr>
          <w:rFonts w:ascii="Open Sans" w:hAnsi="Open Sans" w:cs="Open Sans"/>
        </w:rPr>
        <w:t>extraordinary</w:t>
      </w:r>
      <w:r w:rsidR="00AA24C0" w:rsidRPr="00AE0AD1">
        <w:rPr>
          <w:rFonts w:ascii="Open Sans" w:hAnsi="Open Sans" w:cs="Open Sans"/>
        </w:rPr>
        <w:t>’</w:t>
      </w:r>
      <w:r w:rsidRPr="00AE0AD1">
        <w:rPr>
          <w:rFonts w:ascii="Open Sans" w:hAnsi="Open Sans" w:cs="Open Sans"/>
        </w:rPr>
        <w:t xml:space="preserve"> and were to be </w:t>
      </w:r>
      <w:r w:rsidR="24684AF1" w:rsidRPr="00AE0AD1">
        <w:rPr>
          <w:rFonts w:ascii="Open Sans" w:hAnsi="Open Sans" w:cs="Open Sans"/>
        </w:rPr>
        <w:t xml:space="preserve">considered </w:t>
      </w:r>
      <w:r w:rsidR="00AA24C0" w:rsidRPr="00AE0AD1">
        <w:rPr>
          <w:rFonts w:ascii="Open Sans" w:hAnsi="Open Sans" w:cs="Open Sans"/>
        </w:rPr>
        <w:t>‘</w:t>
      </w:r>
      <w:r w:rsidRPr="00AE0AD1">
        <w:rPr>
          <w:rFonts w:ascii="Open Sans" w:hAnsi="Open Sans" w:cs="Open Sans"/>
        </w:rPr>
        <w:t>a measure of last resort</w:t>
      </w:r>
      <w:r w:rsidR="00AA24C0" w:rsidRPr="00AE0AD1">
        <w:rPr>
          <w:rFonts w:ascii="Open Sans" w:hAnsi="Open Sans" w:cs="Open Sans"/>
        </w:rPr>
        <w:t>’</w:t>
      </w:r>
      <w:r w:rsidRPr="00AE0AD1">
        <w:rPr>
          <w:rFonts w:ascii="Open Sans" w:hAnsi="Open Sans" w:cs="Open Sans"/>
        </w:rPr>
        <w:t>.</w:t>
      </w:r>
      <w:r w:rsidRPr="00AE0AD1">
        <w:rPr>
          <w:rStyle w:val="EndnoteReference"/>
          <w:rFonts w:ascii="Open Sans" w:eastAsia="MS Mincho" w:hAnsi="Open Sans" w:cs="Open Sans"/>
          <w:color w:val="222222"/>
        </w:rPr>
        <w:endnoteReference w:id="10"/>
      </w:r>
      <w:r w:rsidRPr="00AE0AD1">
        <w:rPr>
          <w:rFonts w:ascii="Open Sans" w:hAnsi="Open Sans" w:cs="Open Sans"/>
        </w:rPr>
        <w:t xml:space="preserve"> As enacted, the powers were never intended to be permanent, with a sunset clause providing that the powers would expire after three years. </w:t>
      </w:r>
      <w:r w:rsidR="7BC9AC78" w:rsidRPr="00AE0AD1">
        <w:rPr>
          <w:rFonts w:ascii="Open Sans" w:hAnsi="Open Sans" w:cs="Open Sans"/>
        </w:rPr>
        <w:t xml:space="preserve">However, </w:t>
      </w:r>
      <w:r w:rsidR="2DD3C754" w:rsidRPr="00AE0AD1">
        <w:rPr>
          <w:rFonts w:ascii="Open Sans" w:hAnsi="Open Sans" w:cs="Open Sans"/>
        </w:rPr>
        <w:t>t</w:t>
      </w:r>
      <w:r w:rsidRPr="00AE0AD1">
        <w:rPr>
          <w:rFonts w:ascii="Open Sans" w:hAnsi="Open Sans" w:cs="Open Sans"/>
        </w:rPr>
        <w:t xml:space="preserve">he powers were renewed in 2006 for ten years and subsequent sunset clauses were </w:t>
      </w:r>
      <w:r w:rsidRPr="00AE0AD1">
        <w:rPr>
          <w:rFonts w:ascii="Open Sans" w:hAnsi="Open Sans" w:cs="Open Sans"/>
        </w:rPr>
        <w:lastRenderedPageBreak/>
        <w:t xml:space="preserve">further extended by parliament in 2016, 2018 and 2019. They are due to expire on 7 September 2020. </w:t>
      </w:r>
    </w:p>
    <w:p w14:paraId="7F576334" w14:textId="21088C6C"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 xml:space="preserve">The powers have been the subject of several independent reviews since their </w:t>
      </w:r>
      <w:r w:rsidR="6F7DAD3E" w:rsidRPr="7EA2DDC8">
        <w:rPr>
          <w:rFonts w:ascii="Open Sans" w:hAnsi="Open Sans" w:cs="Open Sans"/>
        </w:rPr>
        <w:t>introduction</w:t>
      </w:r>
      <w:r w:rsidRPr="00AE0AD1">
        <w:rPr>
          <w:rFonts w:ascii="Open Sans" w:hAnsi="Open Sans" w:cs="Open Sans"/>
        </w:rPr>
        <w:t>, including:</w:t>
      </w:r>
    </w:p>
    <w:p w14:paraId="5685AE89" w14:textId="77777777" w:rsidR="00382A18" w:rsidRPr="00C23B06" w:rsidRDefault="00382A18" w:rsidP="00E7101A">
      <w:pPr>
        <w:pStyle w:val="ListBullet4"/>
        <w:spacing w:before="120" w:after="120"/>
        <w:ind w:left="1210"/>
        <w:rPr>
          <w:rFonts w:ascii="Open Sans" w:hAnsi="Open Sans" w:cs="Open Sans"/>
        </w:rPr>
      </w:pPr>
      <w:r w:rsidRPr="00C23B06">
        <w:rPr>
          <w:rFonts w:ascii="Open Sans" w:hAnsi="Open Sans" w:cs="Open Sans"/>
        </w:rPr>
        <w:t>by the Parliamentary Joint Committee on ASIO, ASIS and DSD (PJCAAD)</w:t>
      </w:r>
      <w:r w:rsidRPr="00C23B06">
        <w:rPr>
          <w:rStyle w:val="EndnoteReference"/>
          <w:rFonts w:ascii="Open Sans" w:hAnsi="Open Sans" w:cs="Open Sans"/>
          <w:color w:val="222222"/>
          <w:sz w:val="24"/>
        </w:rPr>
        <w:endnoteReference w:id="11"/>
      </w:r>
    </w:p>
    <w:p w14:paraId="6185A64B" w14:textId="74185F9A" w:rsidR="00382A18" w:rsidRPr="00C23B06" w:rsidRDefault="00382A18" w:rsidP="00E7101A">
      <w:pPr>
        <w:pStyle w:val="ListBullet4"/>
        <w:spacing w:before="120" w:after="120"/>
        <w:ind w:left="1210"/>
        <w:rPr>
          <w:rFonts w:ascii="Open Sans" w:hAnsi="Open Sans" w:cs="Open Sans"/>
        </w:rPr>
      </w:pPr>
      <w:r w:rsidRPr="00C23B06">
        <w:rPr>
          <w:rFonts w:ascii="Open Sans" w:hAnsi="Open Sans" w:cs="Open Sans"/>
        </w:rPr>
        <w:t>two separate reviews, by former INSLMs</w:t>
      </w:r>
      <w:r w:rsidR="000F0E71" w:rsidRPr="00C23B06">
        <w:rPr>
          <w:rFonts w:ascii="Open Sans" w:eastAsia="Times New Roman" w:hAnsi="Open Sans" w:cs="Open Sans"/>
          <w:color w:val="1F1923"/>
          <w:lang w:val="en-US"/>
        </w:rPr>
        <w:t>—</w:t>
      </w:r>
      <w:r w:rsidRPr="00C23B06">
        <w:rPr>
          <w:rFonts w:ascii="Open Sans" w:hAnsi="Open Sans" w:cs="Open Sans"/>
        </w:rPr>
        <w:t>Mr Bret Walker SC in 2012,</w:t>
      </w:r>
      <w:r w:rsidRPr="00C23B06">
        <w:rPr>
          <w:rStyle w:val="EndnoteReference"/>
          <w:rFonts w:ascii="Open Sans" w:eastAsia="Times New Roman" w:hAnsi="Open Sans" w:cs="Open Sans"/>
          <w:sz w:val="24"/>
        </w:rPr>
        <w:endnoteReference w:id="12"/>
      </w:r>
      <w:r w:rsidRPr="00C23B06">
        <w:rPr>
          <w:rFonts w:ascii="Open Sans" w:hAnsi="Open Sans" w:cs="Open Sans"/>
        </w:rPr>
        <w:t xml:space="preserve"> and in 2016 by the Hon Roger </w:t>
      </w:r>
      <w:proofErr w:type="spellStart"/>
      <w:r w:rsidRPr="00C23B06">
        <w:rPr>
          <w:rFonts w:ascii="Open Sans" w:hAnsi="Open Sans" w:cs="Open Sans"/>
        </w:rPr>
        <w:t>Gyles</w:t>
      </w:r>
      <w:proofErr w:type="spellEnd"/>
      <w:r w:rsidRPr="00C23B06">
        <w:rPr>
          <w:rFonts w:ascii="Open Sans" w:hAnsi="Open Sans" w:cs="Open Sans"/>
        </w:rPr>
        <w:t xml:space="preserve"> AO QC (the </w:t>
      </w:r>
      <w:r w:rsidR="000420AB" w:rsidRPr="00C23B06">
        <w:rPr>
          <w:rFonts w:ascii="Open Sans" w:hAnsi="Open Sans" w:cs="Open Sans"/>
        </w:rPr>
        <w:t xml:space="preserve">2016 </w:t>
      </w:r>
      <w:proofErr w:type="spellStart"/>
      <w:r w:rsidRPr="00C23B06">
        <w:rPr>
          <w:rFonts w:ascii="Open Sans" w:hAnsi="Open Sans" w:cs="Open Sans"/>
        </w:rPr>
        <w:t>Gyles</w:t>
      </w:r>
      <w:proofErr w:type="spellEnd"/>
      <w:r w:rsidRPr="00C23B06">
        <w:rPr>
          <w:rFonts w:ascii="Open Sans" w:hAnsi="Open Sans" w:cs="Open Sans"/>
        </w:rPr>
        <w:t xml:space="preserve"> Review),</w:t>
      </w:r>
      <w:r w:rsidRPr="00C23B06">
        <w:rPr>
          <w:rStyle w:val="EndnoteReference"/>
          <w:rFonts w:ascii="Open Sans" w:eastAsia="Times New Roman" w:hAnsi="Open Sans" w:cs="Open Sans"/>
          <w:sz w:val="24"/>
        </w:rPr>
        <w:endnoteReference w:id="13"/>
      </w:r>
      <w:r w:rsidRPr="00C23B06">
        <w:rPr>
          <w:rFonts w:ascii="Open Sans" w:hAnsi="Open Sans" w:cs="Open Sans"/>
        </w:rPr>
        <w:t xml:space="preserve"> and </w:t>
      </w:r>
    </w:p>
    <w:p w14:paraId="5F4973FF" w14:textId="77777777" w:rsidR="00382A18" w:rsidRPr="00C23B06" w:rsidRDefault="00382A18" w:rsidP="00E7101A">
      <w:pPr>
        <w:pStyle w:val="ListBullet4"/>
        <w:spacing w:before="120" w:after="120"/>
        <w:ind w:left="1210"/>
        <w:rPr>
          <w:rFonts w:ascii="Open Sans" w:hAnsi="Open Sans" w:cs="Open Sans"/>
        </w:rPr>
      </w:pPr>
      <w:r w:rsidRPr="00C23B06">
        <w:rPr>
          <w:rFonts w:ascii="Open Sans" w:hAnsi="Open Sans" w:cs="Open Sans"/>
        </w:rPr>
        <w:t>by the PJCIS in the context of its review of the Counter-Terrorism Legislation Amendment (Foreign Fighters) Bill 2014.</w:t>
      </w:r>
      <w:r w:rsidRPr="00C23B06">
        <w:rPr>
          <w:rStyle w:val="EndnoteReference"/>
          <w:rFonts w:ascii="Open Sans" w:eastAsia="Times New Roman" w:hAnsi="Open Sans" w:cs="Open Sans"/>
          <w:sz w:val="24"/>
        </w:rPr>
        <w:endnoteReference w:id="14"/>
      </w:r>
    </w:p>
    <w:p w14:paraId="1FF3D4EE" w14:textId="7F3D683C"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In their reviews, both former INSLMs called for the repeal of ASIO’s existing detention power and supported the retention of a compulsory questioning power</w:t>
      </w:r>
      <w:r w:rsidR="000F0E71">
        <w:rPr>
          <w:rFonts w:ascii="Open Sans" w:hAnsi="Open Sans" w:cs="Open Sans"/>
          <w:color w:val="1F1923"/>
          <w:lang w:val="en-US"/>
        </w:rPr>
        <w:t>—</w:t>
      </w:r>
      <w:r w:rsidRPr="00AE0AD1">
        <w:rPr>
          <w:rFonts w:ascii="Open Sans" w:hAnsi="Open Sans" w:cs="Open Sans"/>
        </w:rPr>
        <w:t>subject to a number of amendments to the legislative framework to ameliorate infringements on human rights.</w:t>
      </w:r>
      <w:r w:rsidR="00F77C26">
        <w:rPr>
          <w:rFonts w:ascii="Open Sans" w:hAnsi="Open Sans" w:cs="Open Sans"/>
        </w:rPr>
        <w:t xml:space="preserve"> </w:t>
      </w:r>
    </w:p>
    <w:p w14:paraId="683C7963" w14:textId="4329586B"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 xml:space="preserve">For example, as part of his INSLM review in 2016, the Hon Roger </w:t>
      </w:r>
      <w:proofErr w:type="spellStart"/>
      <w:r w:rsidRPr="00AE0AD1">
        <w:rPr>
          <w:rFonts w:ascii="Open Sans" w:hAnsi="Open Sans" w:cs="Open Sans"/>
        </w:rPr>
        <w:t>Gyles</w:t>
      </w:r>
      <w:proofErr w:type="spellEnd"/>
      <w:r w:rsidRPr="00AE0AD1">
        <w:rPr>
          <w:rFonts w:ascii="Open Sans" w:hAnsi="Open Sans" w:cs="Open Sans"/>
        </w:rPr>
        <w:t xml:space="preserve"> AO QC expressed concern about the limited use of </w:t>
      </w:r>
      <w:r w:rsidR="00E062E2">
        <w:rPr>
          <w:rFonts w:ascii="Open Sans" w:hAnsi="Open Sans" w:cs="Open Sans"/>
        </w:rPr>
        <w:t>QW</w:t>
      </w:r>
      <w:r w:rsidRPr="00AE0AD1">
        <w:rPr>
          <w:rFonts w:ascii="Open Sans" w:hAnsi="Open Sans" w:cs="Open Sans"/>
        </w:rPr>
        <w:t xml:space="preserve">s, and identified a number of provisions which required significant amendment: </w:t>
      </w:r>
    </w:p>
    <w:p w14:paraId="7309BD61" w14:textId="47101617" w:rsidR="00382A18" w:rsidRPr="00AE0AD1" w:rsidRDefault="00382A18" w:rsidP="00BD7B23">
      <w:pPr>
        <w:pStyle w:val="BodyText"/>
        <w:spacing w:before="120"/>
        <w:ind w:left="1440"/>
        <w:jc w:val="both"/>
        <w:rPr>
          <w:rFonts w:ascii="Open Sans" w:hAnsi="Open Sans" w:cs="Open Sans"/>
          <w:sz w:val="22"/>
          <w:szCs w:val="22"/>
        </w:rPr>
      </w:pPr>
      <w:r w:rsidRPr="00AE0AD1">
        <w:rPr>
          <w:rFonts w:ascii="Open Sans" w:hAnsi="Open Sans" w:cs="Open Sans"/>
          <w:sz w:val="22"/>
          <w:szCs w:val="22"/>
        </w:rPr>
        <w:t>The present questioning power is heavy duty with heavy duty safeguards. It is unwieldy and not being used, but has the potential for oppression. It was devised at a time when Australia had a different counter-terrorism framework and is no longer fit for purpose. The key to an effective but reasonable questioning power for ASIO is to accept that it should not be seen as a front-line means of disruption of an imminent terrorist attack, nor as a primary means of collecting evidence to support a criminal prosecution, but rather it should be seen as a tool for the collection of intelligence relating to the threat of terrorist activity.</w:t>
      </w:r>
      <w:r w:rsidRPr="00AE0AD1">
        <w:rPr>
          <w:rStyle w:val="EndnoteReference"/>
          <w:rFonts w:ascii="Open Sans" w:hAnsi="Open Sans" w:cs="Open Sans"/>
          <w:sz w:val="22"/>
          <w:szCs w:val="22"/>
        </w:rPr>
        <w:endnoteReference w:id="15"/>
      </w:r>
    </w:p>
    <w:p w14:paraId="57B31A16" w14:textId="71D4D1E9"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In 2017, the PJCIS commenced a</w:t>
      </w:r>
      <w:r w:rsidR="000F0E71">
        <w:rPr>
          <w:rFonts w:ascii="Open Sans" w:hAnsi="Open Sans" w:cs="Open Sans"/>
        </w:rPr>
        <w:t>n inquiry to</w:t>
      </w:r>
      <w:r w:rsidRPr="00AE0AD1">
        <w:rPr>
          <w:rFonts w:ascii="Open Sans" w:hAnsi="Open Sans" w:cs="Open Sans"/>
        </w:rPr>
        <w:t xml:space="preserve"> review</w:t>
      </w:r>
      <w:r w:rsidRPr="00AE0AD1" w:rsidDel="00642B98">
        <w:rPr>
          <w:rFonts w:ascii="Open Sans" w:hAnsi="Open Sans" w:cs="Open Sans"/>
        </w:rPr>
        <w:t xml:space="preserve"> </w:t>
      </w:r>
      <w:r w:rsidRPr="00AE0AD1">
        <w:rPr>
          <w:rFonts w:ascii="Open Sans" w:hAnsi="Open Sans" w:cs="Open Sans"/>
        </w:rPr>
        <w:t xml:space="preserve">the operation, effectiveness and implications of ASIO’s questioning and detention powers (the 2017 PJCIS Review), and recommended that: </w:t>
      </w:r>
    </w:p>
    <w:p w14:paraId="0CFCB4E8" w14:textId="77777777" w:rsidR="00382A18" w:rsidRPr="00E7101A" w:rsidRDefault="00382A18" w:rsidP="00E7101A">
      <w:pPr>
        <w:pStyle w:val="ListBullet4"/>
        <w:spacing w:before="120" w:after="120"/>
        <w:ind w:left="1210"/>
        <w:rPr>
          <w:rFonts w:ascii="Open Sans" w:hAnsi="Open Sans" w:cs="Open Sans"/>
        </w:rPr>
      </w:pPr>
      <w:r w:rsidRPr="00E7101A">
        <w:rPr>
          <w:rFonts w:ascii="Open Sans" w:hAnsi="Open Sans" w:cs="Open Sans"/>
        </w:rPr>
        <w:t>ASIO retain a compulsory questioning power</w:t>
      </w:r>
    </w:p>
    <w:p w14:paraId="55B4E5DF" w14:textId="77777777" w:rsidR="00382A18" w:rsidRPr="00E7101A" w:rsidRDefault="00382A18" w:rsidP="00E7101A">
      <w:pPr>
        <w:pStyle w:val="ListBullet4"/>
        <w:spacing w:before="120" w:after="120"/>
        <w:ind w:left="1210"/>
        <w:rPr>
          <w:rFonts w:ascii="Open Sans" w:hAnsi="Open Sans" w:cs="Open Sans"/>
        </w:rPr>
      </w:pPr>
      <w:r w:rsidRPr="00E7101A">
        <w:rPr>
          <w:rFonts w:ascii="Open Sans" w:hAnsi="Open Sans" w:cs="Open Sans"/>
        </w:rPr>
        <w:t>ASIO’s current detention powers be repealed</w:t>
      </w:r>
    </w:p>
    <w:p w14:paraId="17E381B1" w14:textId="77777777" w:rsidR="00382A18" w:rsidRPr="00E7101A" w:rsidRDefault="00382A18" w:rsidP="00E7101A">
      <w:pPr>
        <w:pStyle w:val="ListBullet4"/>
        <w:spacing w:before="120" w:after="120"/>
        <w:ind w:left="1210"/>
        <w:rPr>
          <w:rFonts w:ascii="Open Sans" w:hAnsi="Open Sans" w:cs="Open Sans"/>
        </w:rPr>
      </w:pPr>
      <w:r w:rsidRPr="00E7101A">
        <w:rPr>
          <w:rFonts w:ascii="Open Sans" w:hAnsi="Open Sans" w:cs="Open Sans"/>
        </w:rPr>
        <w:t xml:space="preserve">legislation for a reformed compulsory questioning framework be introduced by the end of 2018 and include an appropriate sunset clause </w:t>
      </w:r>
    </w:p>
    <w:p w14:paraId="0DF32970" w14:textId="77777777" w:rsidR="00382A18" w:rsidRPr="00E7101A" w:rsidRDefault="00382A18" w:rsidP="00E7101A">
      <w:pPr>
        <w:pStyle w:val="ListBullet4"/>
        <w:spacing w:before="120" w:after="120"/>
        <w:ind w:left="1210"/>
        <w:rPr>
          <w:rFonts w:ascii="Open Sans" w:hAnsi="Open Sans" w:cs="Open Sans"/>
        </w:rPr>
      </w:pPr>
      <w:r w:rsidRPr="00E7101A">
        <w:rPr>
          <w:rFonts w:ascii="Open Sans" w:hAnsi="Open Sans" w:cs="Open Sans"/>
        </w:rPr>
        <w:t>the sunset date of 7 September 2018 be extended by 12 months.</w:t>
      </w:r>
    </w:p>
    <w:p w14:paraId="37453155" w14:textId="43DF640E" w:rsidR="00962090" w:rsidRPr="00E7101A" w:rsidRDefault="00962090" w:rsidP="003137B7">
      <w:pPr>
        <w:pStyle w:val="SubmissionNormal"/>
        <w:tabs>
          <w:tab w:val="clear" w:pos="4680"/>
          <w:tab w:val="num" w:pos="4104"/>
        </w:tabs>
        <w:rPr>
          <w:rFonts w:ascii="Open Sans" w:hAnsi="Open Sans" w:cs="Open Sans"/>
        </w:rPr>
      </w:pPr>
      <w:r w:rsidRPr="00E7101A">
        <w:rPr>
          <w:rFonts w:ascii="Open Sans" w:hAnsi="Open Sans" w:cs="Open Sans"/>
        </w:rPr>
        <w:lastRenderedPageBreak/>
        <w:t>The findings and recommendations of the PJCIS were recorded in the 2018 PJCIS Report.</w:t>
      </w:r>
    </w:p>
    <w:p w14:paraId="448961C3" w14:textId="5AE400E4"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 xml:space="preserve">The Government tabled its response to the </w:t>
      </w:r>
      <w:r w:rsidR="006A057A">
        <w:rPr>
          <w:rFonts w:ascii="Open Sans" w:hAnsi="Open Sans" w:cs="Open Sans"/>
        </w:rPr>
        <w:t xml:space="preserve">2018 </w:t>
      </w:r>
      <w:r w:rsidRPr="00AE0AD1">
        <w:rPr>
          <w:rFonts w:ascii="Open Sans" w:hAnsi="Open Sans" w:cs="Open Sans"/>
        </w:rPr>
        <w:t>PJCIS</w:t>
      </w:r>
      <w:r w:rsidRPr="00AE0AD1" w:rsidDel="0042327E">
        <w:rPr>
          <w:rFonts w:ascii="Open Sans" w:hAnsi="Open Sans" w:cs="Open Sans"/>
        </w:rPr>
        <w:t xml:space="preserve"> </w:t>
      </w:r>
      <w:r w:rsidRPr="00AE0AD1">
        <w:rPr>
          <w:rFonts w:ascii="Open Sans" w:hAnsi="Open Sans" w:cs="Open Sans"/>
        </w:rPr>
        <w:t>Report on 3</w:t>
      </w:r>
      <w:r w:rsidR="006A057A">
        <w:rPr>
          <w:rFonts w:ascii="Open Sans" w:hAnsi="Open Sans" w:cs="Open Sans"/>
        </w:rPr>
        <w:t> </w:t>
      </w:r>
      <w:r w:rsidRPr="00AE0AD1">
        <w:rPr>
          <w:rFonts w:ascii="Open Sans" w:hAnsi="Open Sans" w:cs="Open Sans"/>
        </w:rPr>
        <w:t>April 2019. It accepted the Committee’s first recommendation and accepted in-principle the Committee’s second and third recommendations. As per the fourth recommendation, the sunset clause was extended for 12 months</w:t>
      </w:r>
      <w:r w:rsidR="0063772F">
        <w:rPr>
          <w:rFonts w:ascii="Open Sans" w:hAnsi="Open Sans" w:cs="Open Sans"/>
        </w:rPr>
        <w:t xml:space="preserve"> to 7 September 2019. </w:t>
      </w:r>
      <w:r w:rsidR="0063772F">
        <w:rPr>
          <w:rFonts w:ascii="Open Sans" w:hAnsi="Open Sans" w:cs="Open Sans"/>
          <w:color w:val="1F1923"/>
          <w:lang w:val="en-US"/>
        </w:rPr>
        <w:t xml:space="preserve">The </w:t>
      </w:r>
      <w:r w:rsidR="0063772F">
        <w:rPr>
          <w:rFonts w:ascii="Open Sans" w:hAnsi="Open Sans" w:cs="Open Sans"/>
          <w:i/>
          <w:iCs/>
          <w:color w:val="1F1923"/>
          <w:lang w:val="en-US"/>
        </w:rPr>
        <w:t xml:space="preserve">Australian Security Intelligence </w:t>
      </w:r>
      <w:proofErr w:type="spellStart"/>
      <w:r w:rsidR="0063772F">
        <w:rPr>
          <w:rFonts w:ascii="Open Sans" w:hAnsi="Open Sans" w:cs="Open Sans"/>
          <w:i/>
          <w:iCs/>
          <w:color w:val="1F1923"/>
          <w:lang w:val="en-US"/>
        </w:rPr>
        <w:t>Organisation</w:t>
      </w:r>
      <w:proofErr w:type="spellEnd"/>
      <w:r w:rsidR="0063772F">
        <w:rPr>
          <w:rFonts w:ascii="Open Sans" w:hAnsi="Open Sans" w:cs="Open Sans"/>
          <w:i/>
          <w:iCs/>
          <w:color w:val="1F1923"/>
          <w:lang w:val="en-US"/>
        </w:rPr>
        <w:t xml:space="preserve"> Amendment (Sunsetting of Special Powers Relating to Terrorism Offences) Act 2019 </w:t>
      </w:r>
      <w:r w:rsidR="0063772F">
        <w:rPr>
          <w:rFonts w:ascii="Open Sans" w:hAnsi="Open Sans" w:cs="Open Sans"/>
          <w:color w:val="1F1923"/>
          <w:lang w:val="en-US"/>
        </w:rPr>
        <w:t xml:space="preserve">further extended ASIO’s current </w:t>
      </w:r>
      <w:r w:rsidR="00766A82">
        <w:rPr>
          <w:rFonts w:ascii="Open Sans" w:hAnsi="Open Sans" w:cs="Open Sans"/>
          <w:color w:val="1F1923"/>
          <w:lang w:val="en-US"/>
        </w:rPr>
        <w:t>QDW powers until 7 September 2020, to allow time to develop the Bill and for review by the PJCIS</w:t>
      </w:r>
      <w:r w:rsidRPr="00AE0AD1">
        <w:rPr>
          <w:rFonts w:ascii="Open Sans" w:hAnsi="Open Sans" w:cs="Open Sans"/>
        </w:rPr>
        <w:t xml:space="preserve">. </w:t>
      </w:r>
    </w:p>
    <w:p w14:paraId="657858E5" w14:textId="7D1E4187"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 xml:space="preserve">Essentially, while many of the reforms proposed by the Bill are consistent with the PJCIS recommendations, a number of the proposed provisions deviate from that suggested by the PJCIS. The Department of Home Affairs claims that such deviation is necessary </w:t>
      </w:r>
      <w:r w:rsidR="00AE0AD1" w:rsidRPr="00AE0AD1">
        <w:rPr>
          <w:rFonts w:ascii="Open Sans" w:hAnsi="Open Sans" w:cs="Open Sans"/>
        </w:rPr>
        <w:t>‘</w:t>
      </w:r>
      <w:r w:rsidRPr="00AE0AD1">
        <w:rPr>
          <w:rFonts w:ascii="Open Sans" w:hAnsi="Open Sans" w:cs="Open Sans"/>
        </w:rPr>
        <w:t>to ensure the proposed powers are effective in the current security environment, and to support the unique functions and operational requirements of ASIO.</w:t>
      </w:r>
      <w:r w:rsidR="00AE0AD1" w:rsidRPr="00AE0AD1">
        <w:rPr>
          <w:rFonts w:ascii="Open Sans" w:hAnsi="Open Sans" w:cs="Open Sans"/>
        </w:rPr>
        <w:t>’</w:t>
      </w:r>
      <w:r w:rsidRPr="00AE0AD1">
        <w:rPr>
          <w:rStyle w:val="EndnoteReference"/>
          <w:rFonts w:ascii="Open Sans" w:hAnsi="Open Sans" w:cs="Open Sans"/>
        </w:rPr>
        <w:endnoteReference w:id="16"/>
      </w:r>
      <w:r w:rsidRPr="00AE0AD1">
        <w:rPr>
          <w:rFonts w:ascii="Open Sans" w:hAnsi="Open Sans" w:cs="Open Sans"/>
        </w:rPr>
        <w:t xml:space="preserve"> </w:t>
      </w:r>
    </w:p>
    <w:p w14:paraId="54F727FA" w14:textId="5E58F337"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 xml:space="preserve">The Commission notes that many of the recommendations made by the PJCIS </w:t>
      </w:r>
      <w:r w:rsidR="50F99CF8" w:rsidRPr="00AE0AD1">
        <w:rPr>
          <w:rFonts w:ascii="Open Sans" w:hAnsi="Open Sans" w:cs="Open Sans"/>
        </w:rPr>
        <w:t>did</w:t>
      </w:r>
      <w:r w:rsidRPr="00AE0AD1">
        <w:rPr>
          <w:rFonts w:ascii="Open Sans" w:hAnsi="Open Sans" w:cs="Open Sans"/>
        </w:rPr>
        <w:t xml:space="preserve"> not reflect the recommendations made in the </w:t>
      </w:r>
      <w:r w:rsidR="000420AB">
        <w:rPr>
          <w:rFonts w:ascii="Open Sans" w:hAnsi="Open Sans" w:cs="Open Sans"/>
        </w:rPr>
        <w:t xml:space="preserve">2016 </w:t>
      </w:r>
      <w:proofErr w:type="spellStart"/>
      <w:r w:rsidRPr="00AE0AD1">
        <w:rPr>
          <w:rFonts w:ascii="Open Sans" w:hAnsi="Open Sans" w:cs="Open Sans"/>
        </w:rPr>
        <w:t>Gyles</w:t>
      </w:r>
      <w:proofErr w:type="spellEnd"/>
      <w:r w:rsidRPr="00AE0AD1">
        <w:rPr>
          <w:rFonts w:ascii="Open Sans" w:hAnsi="Open Sans" w:cs="Open Sans"/>
        </w:rPr>
        <w:t xml:space="preserve"> Review. </w:t>
      </w:r>
      <w:r w:rsidR="003A59E0">
        <w:rPr>
          <w:rFonts w:ascii="Open Sans" w:hAnsi="Open Sans" w:cs="Open Sans"/>
        </w:rPr>
        <w:t xml:space="preserve">The </w:t>
      </w:r>
      <w:r w:rsidRPr="00AE0AD1">
        <w:rPr>
          <w:rFonts w:ascii="Open Sans" w:hAnsi="Open Sans" w:cs="Open Sans"/>
        </w:rPr>
        <w:t>INSLM play</w:t>
      </w:r>
      <w:r w:rsidR="003A59E0">
        <w:rPr>
          <w:rFonts w:ascii="Open Sans" w:hAnsi="Open Sans" w:cs="Open Sans"/>
        </w:rPr>
        <w:t>s</w:t>
      </w:r>
      <w:r w:rsidRPr="00AE0AD1">
        <w:rPr>
          <w:rFonts w:ascii="Open Sans" w:hAnsi="Open Sans" w:cs="Open Sans"/>
        </w:rPr>
        <w:t xml:space="preserve"> a vital role in </w:t>
      </w:r>
      <w:r w:rsidR="003A59E0">
        <w:rPr>
          <w:rFonts w:ascii="Open Sans" w:hAnsi="Open Sans" w:cs="Open Sans"/>
        </w:rPr>
        <w:t xml:space="preserve">reviewing </w:t>
      </w:r>
      <w:r w:rsidRPr="00AE0AD1">
        <w:rPr>
          <w:rFonts w:ascii="Open Sans" w:hAnsi="Open Sans" w:cs="Open Sans"/>
        </w:rPr>
        <w:t xml:space="preserve">laws </w:t>
      </w:r>
      <w:r w:rsidR="003A59E0">
        <w:rPr>
          <w:rFonts w:ascii="Open Sans" w:hAnsi="Open Sans" w:cs="Open Sans"/>
        </w:rPr>
        <w:t xml:space="preserve">and other national security measures by reference to </w:t>
      </w:r>
      <w:r w:rsidRPr="00AE0AD1">
        <w:rPr>
          <w:rFonts w:ascii="Open Sans" w:hAnsi="Open Sans" w:cs="Open Sans"/>
        </w:rPr>
        <w:t>international human rights law</w:t>
      </w:r>
      <w:r w:rsidR="1FA15D8C" w:rsidRPr="00AE0AD1">
        <w:rPr>
          <w:rFonts w:ascii="Open Sans" w:hAnsi="Open Sans" w:cs="Open Sans"/>
        </w:rPr>
        <w:t xml:space="preserve"> standards</w:t>
      </w:r>
      <w:r w:rsidRPr="00AE0AD1">
        <w:rPr>
          <w:rFonts w:ascii="Open Sans" w:hAnsi="Open Sans" w:cs="Open Sans"/>
        </w:rPr>
        <w:t>. The</w:t>
      </w:r>
      <w:r w:rsidR="003A59E0">
        <w:rPr>
          <w:rFonts w:ascii="Open Sans" w:hAnsi="Open Sans" w:cs="Open Sans"/>
        </w:rPr>
        <w:t xml:space="preserve"> </w:t>
      </w:r>
      <w:r w:rsidR="003A59E0" w:rsidRPr="7EA2DDC8">
        <w:rPr>
          <w:rFonts w:ascii="Open Sans" w:hAnsi="Open Sans" w:cs="Open Sans"/>
        </w:rPr>
        <w:t>INSLM</w:t>
      </w:r>
      <w:r w:rsidRPr="00AE0AD1">
        <w:rPr>
          <w:rFonts w:ascii="Open Sans" w:hAnsi="Open Sans" w:cs="Open Sans"/>
        </w:rPr>
        <w:t xml:space="preserve"> receive</w:t>
      </w:r>
      <w:r w:rsidR="003A59E0">
        <w:rPr>
          <w:rFonts w:ascii="Open Sans" w:hAnsi="Open Sans" w:cs="Open Sans"/>
        </w:rPr>
        <w:t>s</w:t>
      </w:r>
      <w:r w:rsidRPr="00AE0AD1">
        <w:rPr>
          <w:rFonts w:ascii="Open Sans" w:hAnsi="Open Sans" w:cs="Open Sans"/>
        </w:rPr>
        <w:t xml:space="preserve"> and consider</w:t>
      </w:r>
      <w:r w:rsidR="003A59E0">
        <w:rPr>
          <w:rFonts w:ascii="Open Sans" w:hAnsi="Open Sans" w:cs="Open Sans"/>
        </w:rPr>
        <w:t>s</w:t>
      </w:r>
      <w:r w:rsidRPr="00AE0AD1">
        <w:rPr>
          <w:rFonts w:ascii="Open Sans" w:hAnsi="Open Sans" w:cs="Open Sans"/>
        </w:rPr>
        <w:t xml:space="preserve"> classified and security-sensitive information, scrutinise</w:t>
      </w:r>
      <w:r w:rsidR="003A59E0">
        <w:rPr>
          <w:rFonts w:ascii="Open Sans" w:hAnsi="Open Sans" w:cs="Open Sans"/>
        </w:rPr>
        <w:t>s</w:t>
      </w:r>
      <w:r w:rsidRPr="00AE0AD1">
        <w:rPr>
          <w:rFonts w:ascii="Open Sans" w:hAnsi="Open Sans" w:cs="Open Sans"/>
        </w:rPr>
        <w:t xml:space="preserve"> the claims and arguments submitted by intelligence agencies in justification of any proposed measures and assess</w:t>
      </w:r>
      <w:r w:rsidR="003A59E0">
        <w:rPr>
          <w:rFonts w:ascii="Open Sans" w:hAnsi="Open Sans" w:cs="Open Sans"/>
        </w:rPr>
        <w:t>es</w:t>
      </w:r>
      <w:r w:rsidRPr="00AE0AD1">
        <w:rPr>
          <w:rFonts w:ascii="Open Sans" w:hAnsi="Open Sans" w:cs="Open Sans"/>
        </w:rPr>
        <w:t xml:space="preserve"> whether the restrictions they may impose on human rights are necessary and proportionate to achieving the stated aim.</w:t>
      </w:r>
      <w:r w:rsidR="00766A82">
        <w:rPr>
          <w:rStyle w:val="EndnoteReference"/>
          <w:rFonts w:cs="Open Sans"/>
        </w:rPr>
        <w:endnoteReference w:id="17"/>
      </w:r>
      <w:r w:rsidRPr="00AE0AD1">
        <w:rPr>
          <w:rFonts w:ascii="Open Sans" w:hAnsi="Open Sans" w:cs="Open Sans"/>
        </w:rPr>
        <w:t xml:space="preserve"> </w:t>
      </w:r>
    </w:p>
    <w:p w14:paraId="28C5730B" w14:textId="10B7E43A"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t xml:space="preserve">In conducting the 2016 </w:t>
      </w:r>
      <w:proofErr w:type="spellStart"/>
      <w:r w:rsidRPr="00AE0AD1">
        <w:rPr>
          <w:rFonts w:ascii="Open Sans" w:hAnsi="Open Sans" w:cs="Open Sans"/>
        </w:rPr>
        <w:t>Gyles</w:t>
      </w:r>
      <w:proofErr w:type="spellEnd"/>
      <w:r w:rsidRPr="00AE0AD1">
        <w:rPr>
          <w:rFonts w:ascii="Open Sans" w:hAnsi="Open Sans" w:cs="Open Sans"/>
        </w:rPr>
        <w:t xml:space="preserve"> Review, the INSLM </w:t>
      </w:r>
      <w:r w:rsidR="411E6887" w:rsidRPr="00AE0AD1">
        <w:rPr>
          <w:rFonts w:ascii="Open Sans" w:hAnsi="Open Sans" w:cs="Open Sans"/>
        </w:rPr>
        <w:t>obtained</w:t>
      </w:r>
      <w:r w:rsidRPr="00AE0AD1">
        <w:rPr>
          <w:rFonts w:ascii="Open Sans" w:hAnsi="Open Sans" w:cs="Open Sans"/>
        </w:rPr>
        <w:t xml:space="preserve"> oral and/or written submissions from ASIO, the AFP and the Attorney-General’s Department</w:t>
      </w:r>
      <w:r w:rsidR="002E368E">
        <w:rPr>
          <w:rStyle w:val="EndnoteReference"/>
          <w:rFonts w:cs="Open Sans"/>
        </w:rPr>
        <w:endnoteReference w:id="18"/>
      </w:r>
      <w:r w:rsidR="00BD4B0D">
        <w:rPr>
          <w:rFonts w:ascii="Open Sans" w:hAnsi="Open Sans" w:cs="Open Sans"/>
        </w:rPr>
        <w:t>.</w:t>
      </w:r>
      <w:r w:rsidRPr="00AE0AD1">
        <w:rPr>
          <w:rFonts w:ascii="Open Sans" w:hAnsi="Open Sans" w:cs="Open Sans"/>
        </w:rPr>
        <w:t xml:space="preserve"> He considered the history of the provisions, </w:t>
      </w:r>
      <w:r w:rsidRPr="00AE0AD1">
        <w:rPr>
          <w:rFonts w:ascii="Open Sans" w:hAnsi="Open Sans" w:cs="Open Sans"/>
          <w:lang w:eastAsia="en-GB"/>
        </w:rPr>
        <w:t xml:space="preserve">the use of the </w:t>
      </w:r>
      <w:r w:rsidR="00E062E2">
        <w:rPr>
          <w:rFonts w:ascii="Open Sans" w:hAnsi="Open Sans" w:cs="Open Sans"/>
          <w:lang w:eastAsia="en-GB"/>
        </w:rPr>
        <w:t>QW</w:t>
      </w:r>
      <w:r w:rsidRPr="00AE0AD1">
        <w:rPr>
          <w:rFonts w:ascii="Open Sans" w:hAnsi="Open Sans" w:cs="Open Sans"/>
          <w:lang w:eastAsia="en-GB"/>
        </w:rPr>
        <w:t xml:space="preserve">s and the QDW regimes since their inception, and the current security environment, including changes </w:t>
      </w:r>
      <w:r w:rsidRPr="00AE0AD1">
        <w:rPr>
          <w:rFonts w:ascii="Open Sans" w:hAnsi="Open Sans" w:cs="Open Sans"/>
        </w:rPr>
        <w:t>to the ‘security landscape’ since 2003. After assessing the classified and detailed material before him, he ultimately recommended that any reformed questioning regime not include a direct apprehension power, among other things.</w:t>
      </w:r>
    </w:p>
    <w:p w14:paraId="39DB42F1" w14:textId="7F693CDD" w:rsidR="00382A18" w:rsidRPr="00AE0AD1" w:rsidRDefault="0EADA37F" w:rsidP="003137B7">
      <w:pPr>
        <w:pStyle w:val="SubmissionNormal"/>
        <w:tabs>
          <w:tab w:val="num" w:pos="504"/>
        </w:tabs>
        <w:rPr>
          <w:rFonts w:ascii="Open Sans" w:hAnsi="Open Sans" w:cs="Open Sans"/>
        </w:rPr>
      </w:pPr>
      <w:r w:rsidRPr="7EA2DDC8">
        <w:rPr>
          <w:rFonts w:ascii="Open Sans" w:hAnsi="Open Sans" w:cs="Open Sans"/>
        </w:rPr>
        <w:t>T</w:t>
      </w:r>
      <w:r w:rsidR="00382A18" w:rsidRPr="7EA2DDC8">
        <w:rPr>
          <w:rFonts w:ascii="Open Sans" w:hAnsi="Open Sans" w:cs="Open Sans"/>
        </w:rPr>
        <w:t>he</w:t>
      </w:r>
      <w:r w:rsidR="00382A18" w:rsidRPr="00AE0AD1">
        <w:rPr>
          <w:rFonts w:ascii="Open Sans" w:hAnsi="Open Sans" w:cs="Open Sans"/>
        </w:rPr>
        <w:t xml:space="preserve"> Commission </w:t>
      </w:r>
      <w:r w:rsidR="00354755">
        <w:rPr>
          <w:rFonts w:ascii="Open Sans" w:hAnsi="Open Sans" w:cs="Open Sans"/>
        </w:rPr>
        <w:t>considers</w:t>
      </w:r>
      <w:r w:rsidR="00354755" w:rsidRPr="00AE0AD1">
        <w:rPr>
          <w:rFonts w:ascii="Open Sans" w:hAnsi="Open Sans" w:cs="Open Sans"/>
        </w:rPr>
        <w:t xml:space="preserve"> </w:t>
      </w:r>
      <w:r w:rsidR="00382A18" w:rsidRPr="00AE0AD1">
        <w:rPr>
          <w:rFonts w:ascii="Open Sans" w:hAnsi="Open Sans" w:cs="Open Sans"/>
        </w:rPr>
        <w:t xml:space="preserve">that a regime that is more intrusive on rights than that contemplated by the former INSLM should </w:t>
      </w:r>
      <w:r w:rsidR="674A83BE" w:rsidRPr="7EA2DDC8">
        <w:rPr>
          <w:rFonts w:ascii="Open Sans" w:hAnsi="Open Sans" w:cs="Open Sans"/>
        </w:rPr>
        <w:t>not</w:t>
      </w:r>
      <w:r w:rsidR="00382A18" w:rsidRPr="7EA2DDC8">
        <w:rPr>
          <w:rFonts w:ascii="Open Sans" w:hAnsi="Open Sans" w:cs="Open Sans"/>
        </w:rPr>
        <w:t xml:space="preserve"> </w:t>
      </w:r>
      <w:r w:rsidR="00382A18" w:rsidRPr="00AE0AD1">
        <w:rPr>
          <w:rFonts w:ascii="Open Sans" w:hAnsi="Open Sans" w:cs="Open Sans"/>
        </w:rPr>
        <w:t xml:space="preserve">be implemented. </w:t>
      </w:r>
      <w:r w:rsidR="50142105" w:rsidRPr="7EA2DDC8">
        <w:rPr>
          <w:rFonts w:ascii="Open Sans" w:hAnsi="Open Sans" w:cs="Open Sans"/>
        </w:rPr>
        <w:t>Further</w:t>
      </w:r>
      <w:r w:rsidR="00382A18" w:rsidRPr="00AE0AD1">
        <w:rPr>
          <w:rFonts w:ascii="Open Sans" w:hAnsi="Open Sans" w:cs="Open Sans"/>
        </w:rPr>
        <w:t xml:space="preserve">, the Commission does not support any </w:t>
      </w:r>
      <w:r w:rsidR="000B48D5">
        <w:rPr>
          <w:rFonts w:ascii="Open Sans" w:hAnsi="Open Sans" w:cs="Open Sans"/>
        </w:rPr>
        <w:t>amended questioning regime</w:t>
      </w:r>
      <w:r w:rsidR="000B48D5" w:rsidRPr="00AE0AD1">
        <w:rPr>
          <w:rFonts w:ascii="Open Sans" w:hAnsi="Open Sans" w:cs="Open Sans"/>
        </w:rPr>
        <w:t xml:space="preserve"> </w:t>
      </w:r>
      <w:r w:rsidR="00382A18" w:rsidRPr="00AE0AD1">
        <w:rPr>
          <w:rFonts w:ascii="Open Sans" w:hAnsi="Open Sans" w:cs="Open Sans"/>
        </w:rPr>
        <w:t>that goes beyond that proposed by the PJCIS.</w:t>
      </w:r>
    </w:p>
    <w:p w14:paraId="2BA3D824" w14:textId="2CC64222" w:rsidR="00382A18" w:rsidRPr="00AE0AD1" w:rsidRDefault="00382A18" w:rsidP="003137B7">
      <w:pPr>
        <w:pStyle w:val="SubmissionNormal"/>
        <w:tabs>
          <w:tab w:val="num" w:pos="504"/>
        </w:tabs>
        <w:rPr>
          <w:rFonts w:ascii="Open Sans" w:hAnsi="Open Sans" w:cs="Open Sans"/>
        </w:rPr>
      </w:pPr>
      <w:r w:rsidRPr="00AE0AD1">
        <w:rPr>
          <w:rFonts w:ascii="Open Sans" w:hAnsi="Open Sans" w:cs="Open Sans"/>
        </w:rPr>
        <w:lastRenderedPageBreak/>
        <w:t xml:space="preserve">For the reasons discussed below, the Commission considers that elements of the proposed amended </w:t>
      </w:r>
      <w:r w:rsidR="00E062E2">
        <w:rPr>
          <w:rFonts w:ascii="Open Sans" w:hAnsi="Open Sans" w:cs="Open Sans"/>
        </w:rPr>
        <w:t>QW</w:t>
      </w:r>
      <w:r w:rsidRPr="00AE0AD1">
        <w:rPr>
          <w:rFonts w:ascii="Open Sans" w:hAnsi="Open Sans" w:cs="Open Sans"/>
        </w:rPr>
        <w:t xml:space="preserve"> regime would not be consistent with Australia’s international human rights obligations. </w:t>
      </w:r>
    </w:p>
    <w:p w14:paraId="457D8668" w14:textId="77777777" w:rsidR="00AA24C0" w:rsidRPr="00AE0AD1" w:rsidRDefault="00AA24C0" w:rsidP="003137B7">
      <w:pPr>
        <w:pStyle w:val="Heading1"/>
        <w:tabs>
          <w:tab w:val="clear" w:pos="851"/>
          <w:tab w:val="num" w:pos="635"/>
        </w:tabs>
        <w:rPr>
          <w:rFonts w:ascii="Open Sans" w:hAnsi="Open Sans" w:cs="Open Sans"/>
        </w:rPr>
      </w:pPr>
      <w:bookmarkStart w:id="19" w:name="_Toc44496118"/>
      <w:r w:rsidRPr="00AE0AD1">
        <w:rPr>
          <w:rFonts w:ascii="Open Sans" w:hAnsi="Open Sans" w:cs="Open Sans"/>
        </w:rPr>
        <w:t>The human rights framework</w:t>
      </w:r>
      <w:bookmarkEnd w:id="19"/>
    </w:p>
    <w:p w14:paraId="7B9A0B69" w14:textId="7C75BA36" w:rsidR="00AA24C0" w:rsidRPr="00AE0AD1" w:rsidRDefault="00AA24C0" w:rsidP="003137B7">
      <w:pPr>
        <w:pStyle w:val="SubmissionNormal"/>
        <w:tabs>
          <w:tab w:val="num" w:pos="504"/>
        </w:tabs>
        <w:rPr>
          <w:rFonts w:ascii="Open Sans" w:hAnsi="Open Sans" w:cs="Open Sans"/>
        </w:rPr>
      </w:pPr>
      <w:r w:rsidRPr="00AE0AD1">
        <w:rPr>
          <w:rFonts w:ascii="Open Sans" w:hAnsi="Open Sans" w:cs="Open Sans"/>
        </w:rPr>
        <w:t>The measures contained in the Bill engage a number of the human rights contained in the ICCPR</w:t>
      </w:r>
      <w:r w:rsidR="000B48D5">
        <w:rPr>
          <w:rFonts w:ascii="Open Sans" w:hAnsi="Open Sans" w:cs="Open Sans"/>
        </w:rPr>
        <w:t>, including:</w:t>
      </w:r>
    </w:p>
    <w:p w14:paraId="5FB4ADDC" w14:textId="77777777" w:rsidR="00AA24C0" w:rsidRPr="00AE0AD1" w:rsidRDefault="00AA24C0" w:rsidP="00A972BE">
      <w:pPr>
        <w:pStyle w:val="ListContinue4"/>
        <w:numPr>
          <w:ilvl w:val="0"/>
          <w:numId w:val="23"/>
        </w:numPr>
        <w:rPr>
          <w:rFonts w:ascii="Open Sans" w:hAnsi="Open Sans" w:cs="Open Sans"/>
        </w:rPr>
      </w:pPr>
      <w:r w:rsidRPr="00AE0AD1">
        <w:rPr>
          <w:rFonts w:ascii="Open Sans" w:hAnsi="Open Sans" w:cs="Open Sans"/>
        </w:rPr>
        <w:t>the right to freedom of movement, protected by article 12</w:t>
      </w:r>
    </w:p>
    <w:p w14:paraId="317EAE5C" w14:textId="77777777" w:rsidR="00AA24C0" w:rsidRPr="00AE0AD1" w:rsidRDefault="00AA24C0" w:rsidP="00A972BE">
      <w:pPr>
        <w:pStyle w:val="ListContinue4"/>
        <w:numPr>
          <w:ilvl w:val="0"/>
          <w:numId w:val="23"/>
        </w:numPr>
        <w:rPr>
          <w:rFonts w:ascii="Open Sans" w:hAnsi="Open Sans" w:cs="Open Sans"/>
        </w:rPr>
      </w:pPr>
      <w:r w:rsidRPr="00AE0AD1">
        <w:rPr>
          <w:rFonts w:ascii="Open Sans" w:hAnsi="Open Sans" w:cs="Open Sans"/>
        </w:rPr>
        <w:t>the right not to be subject to arbitrary detention, protected by article 9</w:t>
      </w:r>
    </w:p>
    <w:p w14:paraId="63F3C64D" w14:textId="77777777" w:rsidR="00AA24C0" w:rsidRPr="00AE0AD1" w:rsidRDefault="00AA24C0" w:rsidP="00A972BE">
      <w:pPr>
        <w:pStyle w:val="ListContinue4"/>
        <w:numPr>
          <w:ilvl w:val="0"/>
          <w:numId w:val="23"/>
        </w:numPr>
        <w:rPr>
          <w:rFonts w:ascii="Open Sans" w:hAnsi="Open Sans" w:cs="Open Sans"/>
        </w:rPr>
      </w:pPr>
      <w:r w:rsidRPr="00AE0AD1">
        <w:rPr>
          <w:rFonts w:ascii="Open Sans" w:hAnsi="Open Sans" w:cs="Open Sans"/>
        </w:rPr>
        <w:t>the right to privacy, protected by article 17</w:t>
      </w:r>
    </w:p>
    <w:p w14:paraId="1A0B71BC" w14:textId="77777777" w:rsidR="00AA24C0" w:rsidRPr="00AE0AD1" w:rsidRDefault="00AA24C0" w:rsidP="00A972BE">
      <w:pPr>
        <w:pStyle w:val="ListContinue4"/>
        <w:numPr>
          <w:ilvl w:val="0"/>
          <w:numId w:val="23"/>
        </w:numPr>
        <w:rPr>
          <w:rFonts w:ascii="Open Sans" w:hAnsi="Open Sans" w:cs="Open Sans"/>
        </w:rPr>
      </w:pPr>
      <w:r w:rsidRPr="00AE0AD1">
        <w:rPr>
          <w:rFonts w:ascii="Open Sans" w:hAnsi="Open Sans" w:cs="Open Sans"/>
        </w:rPr>
        <w:t>the right to freedom of thought and freedom of opinion, protected by articles 18 and 19</w:t>
      </w:r>
    </w:p>
    <w:p w14:paraId="4416F324" w14:textId="77777777" w:rsidR="00AA24C0" w:rsidRPr="00AE0AD1" w:rsidRDefault="00AA24C0" w:rsidP="00A972BE">
      <w:pPr>
        <w:pStyle w:val="ListContinue4"/>
        <w:numPr>
          <w:ilvl w:val="0"/>
          <w:numId w:val="23"/>
        </w:numPr>
        <w:rPr>
          <w:rFonts w:ascii="Open Sans" w:hAnsi="Open Sans" w:cs="Open Sans"/>
        </w:rPr>
      </w:pPr>
      <w:r w:rsidRPr="00AE0AD1">
        <w:rPr>
          <w:rFonts w:ascii="Open Sans" w:hAnsi="Open Sans" w:cs="Open Sans"/>
        </w:rPr>
        <w:t>the right not to be compelled to confess guilt, protected by article 14.</w:t>
      </w:r>
    </w:p>
    <w:p w14:paraId="3F7A8E9C" w14:textId="148ABD06" w:rsidR="00AA24C0" w:rsidRPr="00AE0AD1" w:rsidRDefault="00AA24C0" w:rsidP="003137B7">
      <w:pPr>
        <w:pStyle w:val="SubmissionNormal"/>
        <w:tabs>
          <w:tab w:val="num" w:pos="504"/>
        </w:tabs>
        <w:rPr>
          <w:rFonts w:ascii="Open Sans" w:hAnsi="Open Sans" w:cs="Open Sans"/>
        </w:rPr>
      </w:pPr>
      <w:r w:rsidRPr="00AE0AD1">
        <w:rPr>
          <w:rFonts w:ascii="Open Sans" w:hAnsi="Open Sans" w:cs="Open Sans"/>
        </w:rPr>
        <w:t xml:space="preserve">Insofar as the amended </w:t>
      </w:r>
      <w:r w:rsidR="00E062E2">
        <w:rPr>
          <w:rFonts w:ascii="Open Sans" w:hAnsi="Open Sans" w:cs="Open Sans"/>
        </w:rPr>
        <w:t>QW</w:t>
      </w:r>
      <w:r w:rsidRPr="00AE0AD1">
        <w:rPr>
          <w:rFonts w:ascii="Open Sans" w:hAnsi="Open Sans" w:cs="Open Sans"/>
        </w:rPr>
        <w:t xml:space="preserve"> regime would permit the apprehension and compulsory questioning of minors, it also implicates a number of rights protected by the CRC:</w:t>
      </w:r>
    </w:p>
    <w:p w14:paraId="5BBDCB0A" w14:textId="65643892" w:rsidR="00AA24C0" w:rsidRPr="00AE0AD1" w:rsidRDefault="005D30FF" w:rsidP="00A972BE">
      <w:pPr>
        <w:pStyle w:val="ListParagraph"/>
        <w:numPr>
          <w:ilvl w:val="0"/>
          <w:numId w:val="24"/>
        </w:numPr>
        <w:spacing w:after="120"/>
        <w:contextualSpacing w:val="0"/>
        <w:rPr>
          <w:rFonts w:ascii="Open Sans" w:eastAsia="Times New Roman" w:hAnsi="Open Sans" w:cs="Open Sans"/>
          <w:color w:val="1F1923"/>
        </w:rPr>
      </w:pPr>
      <w:r>
        <w:rPr>
          <w:rFonts w:ascii="Open Sans" w:eastAsia="Times New Roman" w:hAnsi="Open Sans" w:cs="Open Sans"/>
          <w:color w:val="1F1923"/>
        </w:rPr>
        <w:t>‘</w:t>
      </w:r>
      <w:r w:rsidR="00AA24C0" w:rsidRPr="00AE0AD1">
        <w:rPr>
          <w:rFonts w:ascii="Open Sans" w:eastAsia="Times New Roman" w:hAnsi="Open Sans" w:cs="Open Sans"/>
          <w:color w:val="1F1923"/>
        </w:rPr>
        <w:t>In all actions concerning children … the best interests of the child must be a primary consideration’ (CRC, article 3)</w:t>
      </w:r>
    </w:p>
    <w:p w14:paraId="1B232CB4" w14:textId="77777777" w:rsidR="00AA24C0" w:rsidRPr="00AE0AD1" w:rsidRDefault="00AA24C0" w:rsidP="00A972BE">
      <w:pPr>
        <w:pStyle w:val="ListParagraph"/>
        <w:numPr>
          <w:ilvl w:val="0"/>
          <w:numId w:val="24"/>
        </w:numPr>
        <w:spacing w:after="120"/>
        <w:contextualSpacing w:val="0"/>
        <w:rPr>
          <w:rFonts w:ascii="Open Sans" w:eastAsia="Times New Roman" w:hAnsi="Open Sans" w:cs="Open Sans"/>
          <w:color w:val="1F1923"/>
        </w:rPr>
      </w:pPr>
      <w:r w:rsidRPr="00AE0AD1">
        <w:rPr>
          <w:rFonts w:ascii="Open Sans" w:eastAsia="Times New Roman" w:hAnsi="Open Sans" w:cs="Open Sans"/>
          <w:color w:val="1F1923"/>
        </w:rPr>
        <w:t>‘no child shall be deprived of their liberty unlawfully or arbitrarily. The arrest, detention or imprisonment of a child … shall be used only as a measure of last resort and for the shortest appropriate period of time’ (CRC, article 37(b))</w:t>
      </w:r>
    </w:p>
    <w:p w14:paraId="7AFEC75A" w14:textId="3ABAC007" w:rsidR="00AA24C0" w:rsidRPr="00AE0AD1" w:rsidRDefault="00AA24C0" w:rsidP="00F1606D">
      <w:pPr>
        <w:pStyle w:val="ListParagraph"/>
        <w:numPr>
          <w:ilvl w:val="0"/>
          <w:numId w:val="24"/>
        </w:numPr>
        <w:spacing w:after="120"/>
        <w:contextualSpacing w:val="0"/>
        <w:rPr>
          <w:rFonts w:ascii="Open Sans" w:eastAsia="Times New Roman" w:hAnsi="Open Sans" w:cs="Open Sans"/>
          <w:color w:val="1F1923"/>
        </w:rPr>
      </w:pPr>
      <w:r w:rsidRPr="00AE0AD1">
        <w:rPr>
          <w:rFonts w:ascii="Open Sans" w:eastAsia="Times New Roman" w:hAnsi="Open Sans" w:cs="Open Sans"/>
          <w:color w:val="1F1923"/>
        </w:rPr>
        <w:t>‘every child deprived of his or her liberty shall have the right to prompt access to legal and other appropriate assistance‘ (CRC, art 37(d)).</w:t>
      </w:r>
    </w:p>
    <w:p w14:paraId="1359F09A" w14:textId="77777777" w:rsidR="00AA24C0" w:rsidRPr="00AE0AD1" w:rsidRDefault="00AA24C0" w:rsidP="003137B7">
      <w:pPr>
        <w:pStyle w:val="Heading2"/>
        <w:tabs>
          <w:tab w:val="clear" w:pos="851"/>
          <w:tab w:val="num" w:pos="635"/>
        </w:tabs>
        <w:rPr>
          <w:rFonts w:ascii="Open Sans" w:hAnsi="Open Sans" w:cs="Open Sans"/>
        </w:rPr>
      </w:pPr>
      <w:bookmarkStart w:id="20" w:name="_Toc43939952"/>
      <w:bookmarkStart w:id="21" w:name="_Toc44496119"/>
      <w:bookmarkEnd w:id="20"/>
      <w:r w:rsidRPr="00AE0AD1">
        <w:rPr>
          <w:rFonts w:ascii="Open Sans" w:hAnsi="Open Sans" w:cs="Open Sans"/>
        </w:rPr>
        <w:t>Permissible limitations on human rights</w:t>
      </w:r>
      <w:bookmarkEnd w:id="21"/>
      <w:r w:rsidRPr="00AE0AD1">
        <w:rPr>
          <w:rFonts w:ascii="Open Sans" w:hAnsi="Open Sans" w:cs="Open Sans"/>
        </w:rPr>
        <w:t xml:space="preserve"> </w:t>
      </w:r>
    </w:p>
    <w:p w14:paraId="7C700C79" w14:textId="5D224EA4" w:rsidR="00AA24C0" w:rsidRPr="00AE0AD1" w:rsidRDefault="00AA24C0" w:rsidP="003137B7">
      <w:pPr>
        <w:pStyle w:val="SubmissionNormal"/>
        <w:tabs>
          <w:tab w:val="num" w:pos="504"/>
        </w:tabs>
        <w:rPr>
          <w:rFonts w:ascii="Open Sans" w:hAnsi="Open Sans" w:cs="Open Sans"/>
          <w:color w:val="1F1923"/>
        </w:rPr>
      </w:pPr>
      <w:r w:rsidRPr="00AE0AD1">
        <w:rPr>
          <w:rFonts w:ascii="Open Sans" w:hAnsi="Open Sans" w:cs="Open Sans"/>
        </w:rPr>
        <w:t xml:space="preserve">Some of the human rights protected by the ICCPR may not be subject to any limitation in the interests of balancing competing interests. These ‘absolute freedoms’ include freedom from torture (under Article 7 of the ICCPR) and </w:t>
      </w:r>
      <w:r w:rsidR="00116699">
        <w:rPr>
          <w:rFonts w:ascii="Open Sans" w:hAnsi="Open Sans" w:cs="Open Sans"/>
        </w:rPr>
        <w:t xml:space="preserve">the freedom to hold opinions and beliefs (under Articles 18 and 19 of the ICCPR). </w:t>
      </w:r>
    </w:p>
    <w:p w14:paraId="7446C805" w14:textId="77777777" w:rsidR="00AA24C0" w:rsidRPr="00AE0AD1" w:rsidRDefault="00AA24C0" w:rsidP="003137B7">
      <w:pPr>
        <w:pStyle w:val="SubmissionNormal"/>
        <w:tabs>
          <w:tab w:val="num" w:pos="504"/>
        </w:tabs>
        <w:rPr>
          <w:rFonts w:ascii="Open Sans" w:hAnsi="Open Sans" w:cs="Open Sans"/>
        </w:rPr>
      </w:pPr>
      <w:r w:rsidRPr="00AE0AD1">
        <w:rPr>
          <w:rFonts w:ascii="Open Sans" w:hAnsi="Open Sans" w:cs="Open Sans"/>
        </w:rPr>
        <w:t>Many human rights are not absolute, and may be subject to some degree of limitation, either for purposes expressly contemplated by the ICCPR or to accommodate other human rights.</w:t>
      </w:r>
    </w:p>
    <w:p w14:paraId="5A7459A2" w14:textId="77777777" w:rsidR="00AA24C0" w:rsidRPr="00AE0AD1" w:rsidRDefault="00AA24C0" w:rsidP="003137B7">
      <w:pPr>
        <w:pStyle w:val="SubmissionNormal"/>
        <w:tabs>
          <w:tab w:val="num" w:pos="504"/>
        </w:tabs>
        <w:rPr>
          <w:rFonts w:ascii="Open Sans" w:hAnsi="Open Sans" w:cs="Open Sans"/>
        </w:rPr>
      </w:pPr>
      <w:r w:rsidRPr="00AE0AD1">
        <w:rPr>
          <w:rFonts w:ascii="Open Sans" w:hAnsi="Open Sans" w:cs="Open Sans"/>
        </w:rPr>
        <w:lastRenderedPageBreak/>
        <w:t>For any limitations to be permissible, any law which authorises restrictions on human rights must:</w:t>
      </w:r>
    </w:p>
    <w:p w14:paraId="3C9F7265"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be prescribed by law</w:t>
      </w:r>
    </w:p>
    <w:p w14:paraId="4BF45EAA"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be directed towards a legitimate purpose and be necessary to achieve that purpose</w:t>
      </w:r>
    </w:p>
    <w:p w14:paraId="78E06EA7"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not impair the essence of any human rights</w:t>
      </w:r>
    </w:p>
    <w:p w14:paraId="55020722"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be necessary in a democratic society</w:t>
      </w:r>
    </w:p>
    <w:p w14:paraId="49D896F7"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be proportionate to achieving its legitimate purpose</w:t>
      </w:r>
    </w:p>
    <w:p w14:paraId="152465FD"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be appropriate to achieve its legitimate purpose, and be the least intrusive measures necessary to achieve that purpose</w:t>
      </w:r>
    </w:p>
    <w:p w14:paraId="30694FBC"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be compatible with the objects and purposes of human rights treaties</w:t>
      </w:r>
    </w:p>
    <w:p w14:paraId="5324BB4F"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respect the principle of non-discrimination</w:t>
      </w:r>
    </w:p>
    <w:p w14:paraId="4332A1A3" w14:textId="77777777" w:rsidR="00AA24C0" w:rsidRPr="00AE0AD1" w:rsidRDefault="00AA24C0" w:rsidP="00CA1A2E">
      <w:pPr>
        <w:pStyle w:val="ListParagraph"/>
        <w:numPr>
          <w:ilvl w:val="0"/>
          <w:numId w:val="20"/>
        </w:numPr>
        <w:spacing w:after="120"/>
        <w:ind w:left="1440"/>
        <w:contextualSpacing w:val="0"/>
        <w:rPr>
          <w:rFonts w:ascii="Open Sans" w:eastAsia="Times New Roman" w:hAnsi="Open Sans" w:cs="Open Sans"/>
          <w:color w:val="1F1923"/>
        </w:rPr>
      </w:pPr>
      <w:r w:rsidRPr="00AE0AD1">
        <w:rPr>
          <w:rFonts w:ascii="Open Sans" w:eastAsia="Times New Roman" w:hAnsi="Open Sans" w:cs="Open Sans"/>
          <w:color w:val="1F1923"/>
        </w:rPr>
        <w:t>not be arbitrarily applied.</w:t>
      </w:r>
      <w:r w:rsidRPr="00AE0AD1">
        <w:rPr>
          <w:rStyle w:val="EndnoteReference"/>
          <w:rFonts w:ascii="Open Sans" w:eastAsia="Times New Roman" w:hAnsi="Open Sans" w:cs="Open Sans"/>
          <w:color w:val="1F1923"/>
        </w:rPr>
        <w:endnoteReference w:id="19"/>
      </w:r>
    </w:p>
    <w:p w14:paraId="086FBF30" w14:textId="2E6DD9CA" w:rsidR="00AA24C0" w:rsidRPr="00AE0AD1" w:rsidRDefault="00AA24C0" w:rsidP="003137B7">
      <w:pPr>
        <w:pStyle w:val="SubmissionNormal"/>
        <w:tabs>
          <w:tab w:val="num" w:pos="504"/>
        </w:tabs>
        <w:rPr>
          <w:rFonts w:ascii="Open Sans" w:hAnsi="Open Sans" w:cs="Open Sans"/>
        </w:rPr>
      </w:pPr>
      <w:r w:rsidRPr="00AE0AD1">
        <w:rPr>
          <w:rFonts w:ascii="Open Sans" w:hAnsi="Open Sans" w:cs="Open Sans"/>
        </w:rPr>
        <w:t>The assertion or existence of a pressing need is not, by itself, sufficient to</w:t>
      </w:r>
      <w:r w:rsidR="00E7101A">
        <w:rPr>
          <w:rFonts w:ascii="Open Sans" w:hAnsi="Open Sans" w:cs="Open Sans"/>
        </w:rPr>
        <w:t xml:space="preserve"> </w:t>
      </w:r>
      <w:r w:rsidRPr="00AE0AD1">
        <w:rPr>
          <w:rFonts w:ascii="Open Sans" w:hAnsi="Open Sans" w:cs="Open Sans"/>
        </w:rPr>
        <w:t>satisfy these criteria. Instead, any significant limitation of a human right must be justified by reference to compelling evidence that each of the above criteria is satisfied.</w:t>
      </w:r>
    </w:p>
    <w:p w14:paraId="4206472A" w14:textId="2965AE7A" w:rsidR="00AA24C0" w:rsidRPr="00AE0AD1" w:rsidRDefault="00AA24C0" w:rsidP="003137B7">
      <w:pPr>
        <w:pStyle w:val="SubmissionNormal"/>
        <w:tabs>
          <w:tab w:val="num" w:pos="504"/>
        </w:tabs>
        <w:rPr>
          <w:rFonts w:ascii="Open Sans" w:hAnsi="Open Sans" w:cs="Open Sans"/>
          <w:color w:val="1F1923"/>
        </w:rPr>
      </w:pPr>
      <w:r w:rsidRPr="00AE0AD1">
        <w:rPr>
          <w:rFonts w:ascii="Open Sans" w:hAnsi="Open Sans" w:cs="Open Sans"/>
          <w:color w:val="1F1923"/>
        </w:rPr>
        <w:t xml:space="preserve">The measures under the proposed </w:t>
      </w:r>
      <w:r w:rsidR="00E062E2">
        <w:rPr>
          <w:rFonts w:ascii="Open Sans" w:hAnsi="Open Sans" w:cs="Open Sans"/>
          <w:color w:val="1F1923"/>
        </w:rPr>
        <w:t>QW</w:t>
      </w:r>
      <w:r w:rsidRPr="00AE0AD1">
        <w:rPr>
          <w:rFonts w:ascii="Open Sans" w:hAnsi="Open Sans" w:cs="Open Sans"/>
          <w:color w:val="1F1923"/>
        </w:rPr>
        <w:t xml:space="preserve"> regime are highly intrusive of the human rights of any persons subject to their use. They </w:t>
      </w:r>
      <w:r w:rsidR="00705186">
        <w:rPr>
          <w:rFonts w:ascii="Open Sans" w:hAnsi="Open Sans" w:cs="Open Sans"/>
          <w:color w:val="1F1923"/>
        </w:rPr>
        <w:t xml:space="preserve">would </w:t>
      </w:r>
      <w:r w:rsidRPr="00AE0AD1">
        <w:rPr>
          <w:rFonts w:ascii="Open Sans" w:hAnsi="Open Sans" w:cs="Open Sans"/>
          <w:color w:val="1F1923"/>
        </w:rPr>
        <w:t>allow for the apprehension and compulsory interrogation of persons</w:t>
      </w:r>
      <w:r w:rsidR="00962267">
        <w:rPr>
          <w:rFonts w:ascii="Open Sans" w:hAnsi="Open Sans" w:cs="Open Sans"/>
          <w:color w:val="1F1923"/>
        </w:rPr>
        <w:t>—i</w:t>
      </w:r>
      <w:r w:rsidRPr="00AE0AD1">
        <w:rPr>
          <w:rFonts w:ascii="Open Sans" w:hAnsi="Open Sans" w:cs="Open Sans"/>
          <w:color w:val="1F1923"/>
        </w:rPr>
        <w:t>ncluding children</w:t>
      </w:r>
      <w:r w:rsidR="008A58EF">
        <w:rPr>
          <w:rFonts w:ascii="Open Sans" w:hAnsi="Open Sans" w:cs="Open Sans"/>
          <w:color w:val="1F1923"/>
        </w:rPr>
        <w:t>—</w:t>
      </w:r>
      <w:r w:rsidRPr="00AE0AD1">
        <w:rPr>
          <w:rFonts w:ascii="Open Sans" w:hAnsi="Open Sans" w:cs="Open Sans"/>
          <w:color w:val="1F1923"/>
        </w:rPr>
        <w:t xml:space="preserve">under threat of criminal sanction. They </w:t>
      </w:r>
      <w:r w:rsidR="00705186">
        <w:rPr>
          <w:rFonts w:ascii="Open Sans" w:hAnsi="Open Sans" w:cs="Open Sans"/>
          <w:color w:val="1F1923"/>
        </w:rPr>
        <w:t>could</w:t>
      </w:r>
      <w:r w:rsidRPr="00AE0AD1" w:rsidDel="00705186">
        <w:rPr>
          <w:rFonts w:ascii="Open Sans" w:hAnsi="Open Sans" w:cs="Open Sans"/>
          <w:color w:val="1F1923"/>
        </w:rPr>
        <w:t xml:space="preserve"> </w:t>
      </w:r>
      <w:r w:rsidRPr="00AE0AD1">
        <w:rPr>
          <w:rFonts w:ascii="Open Sans" w:hAnsi="Open Sans" w:cs="Open Sans"/>
          <w:color w:val="1F1923"/>
        </w:rPr>
        <w:t xml:space="preserve">be applied to persons who are not suspected of having engaged in any wrongdoing and limit access to legal representation, judicial oversight and the right to silence. Only the most pressing need for such laws, and overwhelming evidence of that need, could justify the measures proposed. </w:t>
      </w:r>
      <w:r w:rsidR="008C3260">
        <w:rPr>
          <w:rFonts w:ascii="Open Sans" w:hAnsi="Open Sans" w:cs="Open Sans"/>
          <w:color w:val="1F1923"/>
        </w:rPr>
        <w:t>In the even</w:t>
      </w:r>
      <w:r w:rsidR="00705186">
        <w:rPr>
          <w:rFonts w:ascii="Open Sans" w:hAnsi="Open Sans" w:cs="Open Sans"/>
          <w:color w:val="1F1923"/>
        </w:rPr>
        <w:t>t</w:t>
      </w:r>
      <w:r w:rsidR="008C3260">
        <w:rPr>
          <w:rFonts w:ascii="Open Sans" w:hAnsi="Open Sans" w:cs="Open Sans"/>
          <w:color w:val="1F1923"/>
        </w:rPr>
        <w:t xml:space="preserve"> that such powers are justified, it is imperative that they be subject to</w:t>
      </w:r>
      <w:r w:rsidRPr="00AE0AD1">
        <w:rPr>
          <w:rFonts w:ascii="Open Sans" w:hAnsi="Open Sans" w:cs="Open Sans"/>
          <w:color w:val="1F1923"/>
        </w:rPr>
        <w:t xml:space="preserve"> adequate </w:t>
      </w:r>
      <w:r w:rsidR="008C3260">
        <w:rPr>
          <w:rFonts w:ascii="Open Sans" w:hAnsi="Open Sans" w:cs="Open Sans"/>
          <w:color w:val="1F1923"/>
        </w:rPr>
        <w:t>safeguards</w:t>
      </w:r>
      <w:r w:rsidRPr="00AE0AD1">
        <w:rPr>
          <w:rFonts w:ascii="Open Sans" w:hAnsi="Open Sans" w:cs="Open Sans"/>
          <w:color w:val="1F1923"/>
        </w:rPr>
        <w:t xml:space="preserve"> to prevent misuse, to ensure that fundamental rights are </w:t>
      </w:r>
      <w:r w:rsidR="008C3260">
        <w:rPr>
          <w:rFonts w:ascii="Open Sans" w:hAnsi="Open Sans" w:cs="Open Sans"/>
          <w:color w:val="1F1923"/>
        </w:rPr>
        <w:t>limited</w:t>
      </w:r>
      <w:r w:rsidR="008C3260" w:rsidRPr="00AE0AD1">
        <w:rPr>
          <w:rFonts w:ascii="Open Sans" w:hAnsi="Open Sans" w:cs="Open Sans"/>
          <w:color w:val="1F1923"/>
        </w:rPr>
        <w:t xml:space="preserve"> </w:t>
      </w:r>
      <w:r w:rsidRPr="00AE0AD1">
        <w:rPr>
          <w:rFonts w:ascii="Open Sans" w:hAnsi="Open Sans" w:cs="Open Sans"/>
          <w:color w:val="1F1923"/>
        </w:rPr>
        <w:t>to the minimum extent necessary</w:t>
      </w:r>
      <w:r w:rsidR="008C3260">
        <w:rPr>
          <w:rFonts w:ascii="Open Sans" w:hAnsi="Open Sans" w:cs="Open Sans"/>
          <w:color w:val="1F1923"/>
        </w:rPr>
        <w:t>,</w:t>
      </w:r>
      <w:r w:rsidRPr="00AE0AD1">
        <w:rPr>
          <w:rFonts w:ascii="Open Sans" w:hAnsi="Open Sans" w:cs="Open Sans"/>
          <w:color w:val="1F1923"/>
        </w:rPr>
        <w:t xml:space="preserve"> and to ensure that public confidence is maintained. </w:t>
      </w:r>
    </w:p>
    <w:p w14:paraId="6A0E951F" w14:textId="77777777" w:rsidR="00385C0A" w:rsidRPr="00AE0AD1" w:rsidRDefault="00385C0A" w:rsidP="003137B7">
      <w:pPr>
        <w:pStyle w:val="Heading1"/>
        <w:tabs>
          <w:tab w:val="clear" w:pos="851"/>
          <w:tab w:val="num" w:pos="635"/>
        </w:tabs>
        <w:rPr>
          <w:rFonts w:ascii="Open Sans" w:hAnsi="Open Sans" w:cs="Open Sans"/>
        </w:rPr>
      </w:pPr>
      <w:bookmarkStart w:id="22" w:name="_Toc44496120"/>
      <w:r w:rsidRPr="00AE0AD1">
        <w:rPr>
          <w:rFonts w:ascii="Open Sans" w:hAnsi="Open Sans" w:cs="Open Sans"/>
        </w:rPr>
        <w:lastRenderedPageBreak/>
        <w:t>The Commission’s view of the proposed amendments</w:t>
      </w:r>
      <w:bookmarkEnd w:id="22"/>
    </w:p>
    <w:p w14:paraId="3E9FCCC6" w14:textId="71638E3B" w:rsidR="00385C0A" w:rsidRPr="00AE0AD1" w:rsidRDefault="00385C0A" w:rsidP="003137B7">
      <w:pPr>
        <w:pStyle w:val="Heading2"/>
        <w:tabs>
          <w:tab w:val="clear" w:pos="851"/>
          <w:tab w:val="num" w:pos="635"/>
        </w:tabs>
        <w:rPr>
          <w:rFonts w:ascii="Open Sans" w:hAnsi="Open Sans" w:cs="Open Sans"/>
        </w:rPr>
      </w:pPr>
      <w:bookmarkStart w:id="23" w:name="_Toc43939956"/>
      <w:bookmarkStart w:id="24" w:name="_Toc44496121"/>
      <w:bookmarkEnd w:id="23"/>
      <w:r w:rsidRPr="00AE0AD1">
        <w:rPr>
          <w:rFonts w:ascii="Open Sans" w:hAnsi="Open Sans" w:cs="Open Sans"/>
        </w:rPr>
        <w:t>Repeal of the questioning and detention warrant powers</w:t>
      </w:r>
      <w:r w:rsidR="0036207A">
        <w:rPr>
          <w:rFonts w:ascii="Open Sans" w:hAnsi="Open Sans" w:cs="Open Sans"/>
        </w:rPr>
        <w:t>,</w:t>
      </w:r>
      <w:r w:rsidRPr="00AE0AD1">
        <w:rPr>
          <w:rFonts w:ascii="Open Sans" w:hAnsi="Open Sans" w:cs="Open Sans"/>
        </w:rPr>
        <w:t xml:space="preserve"> </w:t>
      </w:r>
      <w:r w:rsidR="0036207A">
        <w:rPr>
          <w:rFonts w:ascii="Open Sans" w:hAnsi="Open Sans" w:cs="Open Sans"/>
        </w:rPr>
        <w:t xml:space="preserve">amended </w:t>
      </w:r>
      <w:r w:rsidR="00962267">
        <w:rPr>
          <w:rFonts w:ascii="Open Sans" w:hAnsi="Open Sans" w:cs="Open Sans"/>
        </w:rPr>
        <w:t>questioning warrant</w:t>
      </w:r>
      <w:r w:rsidR="0036207A">
        <w:rPr>
          <w:rFonts w:ascii="Open Sans" w:hAnsi="Open Sans" w:cs="Open Sans"/>
        </w:rPr>
        <w:t xml:space="preserve"> powers and new</w:t>
      </w:r>
      <w:r w:rsidRPr="00AE0AD1">
        <w:rPr>
          <w:rFonts w:ascii="Open Sans" w:hAnsi="Open Sans" w:cs="Open Sans"/>
        </w:rPr>
        <w:t xml:space="preserve"> power to apprehend</w:t>
      </w:r>
      <w:bookmarkEnd w:id="24"/>
    </w:p>
    <w:p w14:paraId="137F8A8B" w14:textId="3070F5ED" w:rsidR="00385C0A" w:rsidRPr="00AE0AD1" w:rsidRDefault="00385C0A" w:rsidP="003137B7">
      <w:pPr>
        <w:pStyle w:val="SubmissionNormal"/>
        <w:tabs>
          <w:tab w:val="num" w:pos="504"/>
        </w:tabs>
        <w:rPr>
          <w:rFonts w:ascii="Open Sans" w:hAnsi="Open Sans" w:cs="Open Sans"/>
        </w:rPr>
      </w:pPr>
      <w:r w:rsidRPr="00AE0AD1">
        <w:rPr>
          <w:rFonts w:ascii="Open Sans" w:hAnsi="Open Sans" w:cs="Open Sans"/>
        </w:rPr>
        <w:t xml:space="preserve">The Bill proposes to repeal </w:t>
      </w:r>
      <w:r w:rsidR="008537C1">
        <w:rPr>
          <w:rFonts w:ascii="Open Sans" w:hAnsi="Open Sans" w:cs="Open Sans"/>
        </w:rPr>
        <w:t>the</w:t>
      </w:r>
      <w:r w:rsidR="008537C1" w:rsidRPr="00AE0AD1">
        <w:rPr>
          <w:rFonts w:ascii="Open Sans" w:hAnsi="Open Sans" w:cs="Open Sans"/>
        </w:rPr>
        <w:t xml:space="preserve"> </w:t>
      </w:r>
      <w:r w:rsidRPr="00AE0AD1">
        <w:rPr>
          <w:rFonts w:ascii="Open Sans" w:hAnsi="Open Sans" w:cs="Open Sans"/>
        </w:rPr>
        <w:t xml:space="preserve">current QDW and </w:t>
      </w:r>
      <w:r w:rsidR="00E062E2">
        <w:rPr>
          <w:rFonts w:ascii="Open Sans" w:hAnsi="Open Sans" w:cs="Open Sans"/>
        </w:rPr>
        <w:t>QW</w:t>
      </w:r>
      <w:r w:rsidRPr="00AE0AD1">
        <w:rPr>
          <w:rFonts w:ascii="Open Sans" w:hAnsi="Open Sans" w:cs="Open Sans"/>
        </w:rPr>
        <w:t xml:space="preserve"> regime</w:t>
      </w:r>
      <w:r w:rsidR="008537C1">
        <w:rPr>
          <w:rFonts w:ascii="Open Sans" w:hAnsi="Open Sans" w:cs="Open Sans"/>
        </w:rPr>
        <w:t>s</w:t>
      </w:r>
      <w:r w:rsidRPr="00AE0AD1">
        <w:rPr>
          <w:rFonts w:ascii="Open Sans" w:hAnsi="Open Sans" w:cs="Open Sans"/>
        </w:rPr>
        <w:t xml:space="preserve"> and </w:t>
      </w:r>
      <w:r w:rsidR="008537C1">
        <w:rPr>
          <w:rFonts w:ascii="Open Sans" w:hAnsi="Open Sans" w:cs="Open Sans"/>
        </w:rPr>
        <w:t xml:space="preserve">to </w:t>
      </w:r>
      <w:r w:rsidRPr="00AE0AD1">
        <w:rPr>
          <w:rFonts w:ascii="Open Sans" w:hAnsi="Open Sans" w:cs="Open Sans"/>
        </w:rPr>
        <w:t>introduce a reformed compulsory questioning framework for ASIO, including a</w:t>
      </w:r>
      <w:r w:rsidR="009B7D08">
        <w:rPr>
          <w:rFonts w:ascii="Open Sans" w:hAnsi="Open Sans" w:cs="Open Sans"/>
        </w:rPr>
        <w:t xml:space="preserve"> new</w:t>
      </w:r>
      <w:r w:rsidRPr="00AE0AD1">
        <w:rPr>
          <w:rFonts w:ascii="Open Sans" w:hAnsi="Open Sans" w:cs="Open Sans"/>
        </w:rPr>
        <w:t xml:space="preserve"> apprehension power to ensure attendance at questioning, prevent the </w:t>
      </w:r>
      <w:r w:rsidR="008537C1">
        <w:rPr>
          <w:rFonts w:ascii="Open Sans" w:hAnsi="Open Sans" w:cs="Open Sans"/>
        </w:rPr>
        <w:t>‘</w:t>
      </w:r>
      <w:r w:rsidRPr="00AE0AD1">
        <w:rPr>
          <w:rFonts w:ascii="Open Sans" w:hAnsi="Open Sans" w:cs="Open Sans"/>
        </w:rPr>
        <w:t>tipping off</w:t>
      </w:r>
      <w:r w:rsidR="008537C1">
        <w:rPr>
          <w:rFonts w:ascii="Open Sans" w:hAnsi="Open Sans" w:cs="Open Sans"/>
        </w:rPr>
        <w:t>’</w:t>
      </w:r>
      <w:r w:rsidRPr="00AE0AD1">
        <w:rPr>
          <w:rFonts w:ascii="Open Sans" w:hAnsi="Open Sans" w:cs="Open Sans"/>
        </w:rPr>
        <w:t xml:space="preserve"> </w:t>
      </w:r>
      <w:r w:rsidR="008537C1">
        <w:rPr>
          <w:rFonts w:ascii="Open Sans" w:hAnsi="Open Sans" w:cs="Open Sans"/>
        </w:rPr>
        <w:t xml:space="preserve">of </w:t>
      </w:r>
      <w:r w:rsidRPr="00AE0AD1">
        <w:rPr>
          <w:rFonts w:ascii="Open Sans" w:hAnsi="Open Sans" w:cs="Open Sans"/>
        </w:rPr>
        <w:t>others or the destruction of records or other things.</w:t>
      </w:r>
      <w:r w:rsidRPr="00AE0AD1">
        <w:rPr>
          <w:rStyle w:val="EndnoteReference"/>
          <w:rFonts w:ascii="Open Sans" w:hAnsi="Open Sans" w:cs="Open Sans"/>
          <w:color w:val="1F1923"/>
        </w:rPr>
        <w:endnoteReference w:id="20"/>
      </w:r>
    </w:p>
    <w:p w14:paraId="1EF2BC55" w14:textId="3CE3414F" w:rsidR="00385C0A" w:rsidRPr="00AE0AD1" w:rsidRDefault="00385C0A" w:rsidP="003137B7">
      <w:pPr>
        <w:pStyle w:val="SubmissionNormal"/>
        <w:tabs>
          <w:tab w:val="num" w:pos="504"/>
        </w:tabs>
        <w:rPr>
          <w:rFonts w:ascii="Open Sans" w:hAnsi="Open Sans" w:cs="Open Sans"/>
        </w:rPr>
      </w:pPr>
      <w:r w:rsidRPr="00AE0AD1">
        <w:rPr>
          <w:rFonts w:ascii="Open Sans" w:hAnsi="Open Sans" w:cs="Open Sans"/>
        </w:rPr>
        <w:t>New section 34B of the Bill provides that under this new framework, the Director-General may request the Attorney-General to issue</w:t>
      </w:r>
      <w:r w:rsidR="00705186">
        <w:rPr>
          <w:rFonts w:ascii="Open Sans" w:hAnsi="Open Sans" w:cs="Open Sans"/>
        </w:rPr>
        <w:t xml:space="preserve"> either an adult or a minor QW.</w:t>
      </w:r>
    </w:p>
    <w:p w14:paraId="71F8D723" w14:textId="0536CF8A" w:rsidR="00385C0A" w:rsidRPr="00AE0AD1" w:rsidRDefault="00385C0A" w:rsidP="003137B7">
      <w:pPr>
        <w:pStyle w:val="Heading3"/>
        <w:tabs>
          <w:tab w:val="clear" w:pos="851"/>
          <w:tab w:val="num" w:pos="635"/>
        </w:tabs>
        <w:rPr>
          <w:rFonts w:ascii="Open Sans" w:hAnsi="Open Sans" w:cs="Open Sans"/>
        </w:rPr>
      </w:pPr>
      <w:bookmarkStart w:id="25" w:name="_Toc44496122"/>
      <w:r w:rsidRPr="00AE0AD1">
        <w:rPr>
          <w:rFonts w:ascii="Open Sans" w:hAnsi="Open Sans" w:cs="Open Sans"/>
        </w:rPr>
        <w:t xml:space="preserve">Adult </w:t>
      </w:r>
      <w:r w:rsidR="0005295A">
        <w:rPr>
          <w:rFonts w:ascii="Open Sans" w:hAnsi="Open Sans" w:cs="Open Sans"/>
        </w:rPr>
        <w:t>questioning warrants</w:t>
      </w:r>
      <w:bookmarkEnd w:id="25"/>
    </w:p>
    <w:p w14:paraId="72625F63" w14:textId="15BC53C8" w:rsidR="00385C0A" w:rsidRPr="00AE0AD1" w:rsidRDefault="00385C0A" w:rsidP="003137B7">
      <w:pPr>
        <w:pStyle w:val="SubmissionNormal"/>
        <w:tabs>
          <w:tab w:val="num" w:pos="504"/>
        </w:tabs>
        <w:rPr>
          <w:rFonts w:ascii="Open Sans" w:hAnsi="Open Sans" w:cs="Open Sans"/>
        </w:rPr>
      </w:pPr>
      <w:r w:rsidRPr="00AE0AD1">
        <w:rPr>
          <w:rFonts w:ascii="Open Sans" w:hAnsi="Open Sans" w:cs="Open Sans"/>
        </w:rPr>
        <w:t>Under</w:t>
      </w:r>
      <w:r w:rsidRPr="00AE0AD1" w:rsidDel="00705186">
        <w:rPr>
          <w:rFonts w:ascii="Open Sans" w:hAnsi="Open Sans" w:cs="Open Sans"/>
        </w:rPr>
        <w:t xml:space="preserve"> </w:t>
      </w:r>
      <w:r w:rsidR="00705186">
        <w:rPr>
          <w:rFonts w:ascii="Open Sans" w:hAnsi="Open Sans" w:cs="Open Sans"/>
        </w:rPr>
        <w:t>proposed</w:t>
      </w:r>
      <w:r w:rsidR="00705186" w:rsidRPr="00AE0AD1">
        <w:rPr>
          <w:rFonts w:ascii="Open Sans" w:hAnsi="Open Sans" w:cs="Open Sans"/>
        </w:rPr>
        <w:t xml:space="preserve"> </w:t>
      </w:r>
      <w:r w:rsidRPr="00AE0AD1">
        <w:rPr>
          <w:rFonts w:ascii="Open Sans" w:hAnsi="Open Sans" w:cs="Open Sans"/>
        </w:rPr>
        <w:t>section 34BA, if requested, the Attorney-General may issue a warrant if satisfied that:</w:t>
      </w:r>
    </w:p>
    <w:p w14:paraId="42F24024" w14:textId="250EC88B" w:rsidR="00385C0A" w:rsidRPr="00962267" w:rsidRDefault="00385C0A" w:rsidP="00962267">
      <w:pPr>
        <w:spacing w:before="100" w:beforeAutospacing="1" w:after="100" w:afterAutospacing="1"/>
        <w:ind w:left="1440"/>
        <w:rPr>
          <w:rFonts w:ascii="Open Sans" w:eastAsia="Times New Roman" w:hAnsi="Open Sans" w:cs="Open Sans"/>
          <w:color w:val="1F1923"/>
          <w:sz w:val="22"/>
          <w:szCs w:val="22"/>
        </w:rPr>
      </w:pPr>
      <w:r w:rsidRPr="00962267">
        <w:rPr>
          <w:rFonts w:ascii="Open Sans" w:eastAsia="Times New Roman" w:hAnsi="Open Sans" w:cs="Open Sans"/>
          <w:color w:val="1F1923"/>
          <w:sz w:val="22"/>
          <w:szCs w:val="22"/>
        </w:rPr>
        <w:t>(a) the person is at least 18 years old</w:t>
      </w:r>
      <w:r w:rsidR="00C42EB6">
        <w:rPr>
          <w:rFonts w:ascii="Open Sans" w:eastAsia="Times New Roman" w:hAnsi="Open Sans" w:cs="Open Sans"/>
          <w:color w:val="1F1923"/>
          <w:sz w:val="22"/>
          <w:szCs w:val="22"/>
        </w:rPr>
        <w:t xml:space="preserve">; and </w:t>
      </w:r>
    </w:p>
    <w:p w14:paraId="62938390" w14:textId="6E8B4DBE" w:rsidR="00385C0A" w:rsidRPr="00962267" w:rsidRDefault="00385C0A" w:rsidP="00962267">
      <w:pPr>
        <w:spacing w:before="100" w:beforeAutospacing="1" w:after="100" w:afterAutospacing="1"/>
        <w:ind w:left="1440"/>
        <w:rPr>
          <w:rFonts w:ascii="Open Sans" w:eastAsia="Times New Roman" w:hAnsi="Open Sans" w:cs="Open Sans"/>
          <w:color w:val="1F1923"/>
          <w:sz w:val="22"/>
          <w:szCs w:val="22"/>
        </w:rPr>
      </w:pPr>
      <w:r w:rsidRPr="00962267">
        <w:rPr>
          <w:rFonts w:ascii="Open Sans" w:eastAsia="Times New Roman" w:hAnsi="Open Sans" w:cs="Open Sans"/>
          <w:color w:val="1F1923"/>
          <w:sz w:val="22"/>
          <w:szCs w:val="22"/>
        </w:rPr>
        <w:t>(b) there are reasonable grounds for believing that the warrant will substantially assist the collection of intelligence that is important in relation to an adult questioning matter</w:t>
      </w:r>
      <w:r w:rsidR="0076751D" w:rsidRPr="00962267">
        <w:rPr>
          <w:rFonts w:ascii="Open Sans" w:eastAsia="Times New Roman" w:hAnsi="Open Sans" w:cs="Open Sans"/>
          <w:color w:val="1F1923"/>
          <w:sz w:val="22"/>
          <w:szCs w:val="22"/>
        </w:rPr>
        <w:t>; and</w:t>
      </w:r>
      <w:r w:rsidRPr="00962267">
        <w:rPr>
          <w:rFonts w:ascii="Open Sans" w:eastAsia="Times New Roman" w:hAnsi="Open Sans" w:cs="Open Sans"/>
          <w:color w:val="1F1923"/>
          <w:sz w:val="22"/>
          <w:szCs w:val="22"/>
        </w:rPr>
        <w:t xml:space="preserve"> </w:t>
      </w:r>
    </w:p>
    <w:p w14:paraId="502B0706" w14:textId="1D10A91E" w:rsidR="00385C0A" w:rsidRDefault="00385C0A" w:rsidP="00962267">
      <w:pPr>
        <w:spacing w:before="100" w:beforeAutospacing="1" w:after="100" w:afterAutospacing="1"/>
        <w:ind w:left="1440"/>
        <w:rPr>
          <w:rFonts w:ascii="Open Sans" w:eastAsia="Times New Roman" w:hAnsi="Open Sans" w:cs="Open Sans"/>
          <w:color w:val="1F1923"/>
          <w:sz w:val="22"/>
          <w:szCs w:val="22"/>
        </w:rPr>
      </w:pPr>
      <w:r w:rsidRPr="00962267">
        <w:rPr>
          <w:rFonts w:ascii="Open Sans" w:eastAsia="Times New Roman" w:hAnsi="Open Sans" w:cs="Open Sans"/>
          <w:color w:val="1F1923"/>
          <w:sz w:val="22"/>
          <w:szCs w:val="22"/>
        </w:rPr>
        <w:t>(c) having regard to other methods (if any) of collecting the intelligence that are likely to be as effective, it is reasonable in all the circumstances for the warrant to be issued.</w:t>
      </w:r>
      <w:r w:rsidRPr="00962267">
        <w:rPr>
          <w:rStyle w:val="EndnoteReference"/>
          <w:rFonts w:ascii="Open Sans" w:eastAsia="Times New Roman" w:hAnsi="Open Sans" w:cs="Open Sans"/>
          <w:color w:val="1F1923"/>
          <w:sz w:val="22"/>
          <w:szCs w:val="22"/>
        </w:rPr>
        <w:endnoteReference w:id="21"/>
      </w:r>
    </w:p>
    <w:p w14:paraId="1DB9579C" w14:textId="7EF7F8E1" w:rsidR="00385C0A" w:rsidRPr="00AE0AD1" w:rsidRDefault="00385C0A" w:rsidP="003137B7">
      <w:pPr>
        <w:pStyle w:val="Heading3"/>
        <w:tabs>
          <w:tab w:val="clear" w:pos="851"/>
          <w:tab w:val="num" w:pos="635"/>
        </w:tabs>
        <w:rPr>
          <w:rFonts w:ascii="Open Sans" w:hAnsi="Open Sans" w:cs="Open Sans"/>
        </w:rPr>
      </w:pPr>
      <w:bookmarkStart w:id="26" w:name="_Toc44496123"/>
      <w:r w:rsidRPr="00AE0AD1">
        <w:rPr>
          <w:rFonts w:ascii="Open Sans" w:hAnsi="Open Sans" w:cs="Open Sans"/>
        </w:rPr>
        <w:t xml:space="preserve">Minor </w:t>
      </w:r>
      <w:r w:rsidR="0005295A">
        <w:rPr>
          <w:rFonts w:ascii="Open Sans" w:hAnsi="Open Sans" w:cs="Open Sans"/>
        </w:rPr>
        <w:t>questioning warrant</w:t>
      </w:r>
      <w:r w:rsidRPr="00AE0AD1">
        <w:rPr>
          <w:rFonts w:ascii="Open Sans" w:hAnsi="Open Sans" w:cs="Open Sans"/>
        </w:rPr>
        <w:t>s</w:t>
      </w:r>
      <w:bookmarkEnd w:id="26"/>
    </w:p>
    <w:p w14:paraId="6A62BAC2" w14:textId="4886F0C2" w:rsidR="00385C0A" w:rsidRPr="00AE0AD1" w:rsidRDefault="00385C0A" w:rsidP="003137B7">
      <w:pPr>
        <w:pStyle w:val="SubmissionNormal"/>
        <w:tabs>
          <w:tab w:val="num" w:pos="504"/>
        </w:tabs>
        <w:rPr>
          <w:rFonts w:ascii="Open Sans" w:hAnsi="Open Sans" w:cs="Open Sans"/>
        </w:rPr>
      </w:pPr>
      <w:r w:rsidRPr="00AE0AD1">
        <w:rPr>
          <w:rFonts w:ascii="Open Sans" w:hAnsi="Open Sans" w:cs="Open Sans"/>
        </w:rPr>
        <w:t xml:space="preserve">Currently, ASIO may seek a </w:t>
      </w:r>
      <w:r w:rsidR="00E062E2">
        <w:rPr>
          <w:rFonts w:ascii="Open Sans" w:hAnsi="Open Sans" w:cs="Open Sans"/>
        </w:rPr>
        <w:t>QW</w:t>
      </w:r>
      <w:r w:rsidRPr="00AE0AD1">
        <w:rPr>
          <w:rFonts w:ascii="Open Sans" w:hAnsi="Open Sans" w:cs="Open Sans"/>
        </w:rPr>
        <w:t xml:space="preserve"> against a person as young as 16 years of age, if the Attorney-General is satisfied on reasonable ground</w:t>
      </w:r>
      <w:r w:rsidR="00A665FF">
        <w:rPr>
          <w:rFonts w:ascii="Open Sans" w:hAnsi="Open Sans" w:cs="Open Sans"/>
        </w:rPr>
        <w:t>s</w:t>
      </w:r>
      <w:r w:rsidRPr="00AE0AD1">
        <w:rPr>
          <w:rFonts w:ascii="Open Sans" w:hAnsi="Open Sans" w:cs="Open Sans"/>
        </w:rPr>
        <w:t xml:space="preserve"> that it is likely that the minor will commit, is committing, or has committed a terrorism offence. </w:t>
      </w:r>
      <w:r w:rsidR="00A665FF">
        <w:rPr>
          <w:rFonts w:ascii="Open Sans" w:hAnsi="Open Sans" w:cs="Open Sans"/>
        </w:rPr>
        <w:t>Proposed s</w:t>
      </w:r>
      <w:r w:rsidRPr="00AE0AD1">
        <w:rPr>
          <w:rFonts w:ascii="Open Sans" w:hAnsi="Open Sans" w:cs="Open Sans"/>
        </w:rPr>
        <w:t xml:space="preserve"> 34BB(1) </w:t>
      </w:r>
      <w:r w:rsidR="00A665FF">
        <w:rPr>
          <w:rFonts w:ascii="Open Sans" w:hAnsi="Open Sans" w:cs="Open Sans"/>
        </w:rPr>
        <w:t xml:space="preserve">would </w:t>
      </w:r>
      <w:r w:rsidRPr="00AE0AD1">
        <w:rPr>
          <w:rFonts w:ascii="Open Sans" w:hAnsi="Open Sans" w:cs="Open Sans"/>
        </w:rPr>
        <w:t>lower the minimum age of questioning to 14</w:t>
      </w:r>
      <w:r w:rsidR="00A665FF">
        <w:rPr>
          <w:rFonts w:ascii="Open Sans" w:hAnsi="Open Sans" w:cs="Open Sans"/>
        </w:rPr>
        <w:t>,</w:t>
      </w:r>
      <w:r w:rsidRPr="00AE0AD1">
        <w:rPr>
          <w:rFonts w:ascii="Open Sans" w:hAnsi="Open Sans" w:cs="Open Sans"/>
        </w:rPr>
        <w:t xml:space="preserve"> and broaden the </w:t>
      </w:r>
      <w:r w:rsidR="00A665FF">
        <w:rPr>
          <w:rFonts w:ascii="Open Sans" w:hAnsi="Open Sans" w:cs="Open Sans"/>
        </w:rPr>
        <w:t>circumstances in which a warrant could be issued to those where the Attorney-General is satisfied that there are reasonable grounds to believe the person has engaged in, is likely engaged in, or is likely to engage in activities prejudicial to protecting people, the Commonwealth, States and Territories from ‘</w:t>
      </w:r>
      <w:r w:rsidRPr="00AE0AD1">
        <w:rPr>
          <w:rFonts w:ascii="Open Sans" w:hAnsi="Open Sans" w:cs="Open Sans"/>
        </w:rPr>
        <w:t>politically motivated violence</w:t>
      </w:r>
      <w:r w:rsidR="00A665FF">
        <w:rPr>
          <w:rFonts w:ascii="Open Sans" w:hAnsi="Open Sans" w:cs="Open Sans"/>
        </w:rPr>
        <w:t>’</w:t>
      </w:r>
      <w:r w:rsidRPr="00AE0AD1">
        <w:rPr>
          <w:rFonts w:ascii="Open Sans" w:hAnsi="Open Sans" w:cs="Open Sans"/>
        </w:rPr>
        <w:t>.</w:t>
      </w:r>
      <w:r w:rsidRPr="00AE0AD1">
        <w:rPr>
          <w:rStyle w:val="EndnoteReference"/>
          <w:rFonts w:ascii="Open Sans" w:hAnsi="Open Sans" w:cs="Open Sans"/>
          <w:color w:val="1F1923"/>
        </w:rPr>
        <w:endnoteReference w:id="22"/>
      </w:r>
    </w:p>
    <w:p w14:paraId="68A3A26E" w14:textId="74E6EA82" w:rsidR="00385C0A" w:rsidRPr="00AE0AD1" w:rsidRDefault="00385C0A" w:rsidP="003137B7">
      <w:pPr>
        <w:pStyle w:val="SubmissionNormal"/>
        <w:tabs>
          <w:tab w:val="num" w:pos="504"/>
        </w:tabs>
        <w:rPr>
          <w:rFonts w:ascii="Open Sans" w:hAnsi="Open Sans" w:cs="Open Sans"/>
        </w:rPr>
      </w:pPr>
      <w:r w:rsidRPr="00AE0AD1">
        <w:rPr>
          <w:rFonts w:ascii="Open Sans" w:hAnsi="Open Sans" w:cs="Open Sans"/>
        </w:rPr>
        <w:lastRenderedPageBreak/>
        <w:t>Further analysis o</w:t>
      </w:r>
      <w:r w:rsidR="00705186">
        <w:rPr>
          <w:rFonts w:ascii="Open Sans" w:hAnsi="Open Sans" w:cs="Open Sans"/>
        </w:rPr>
        <w:t>f</w:t>
      </w:r>
      <w:r w:rsidRPr="00AE0AD1">
        <w:rPr>
          <w:rFonts w:ascii="Open Sans" w:hAnsi="Open Sans" w:cs="Open Sans"/>
        </w:rPr>
        <w:t xml:space="preserve"> the criteria for the issuing of a minor </w:t>
      </w:r>
      <w:r w:rsidR="00E062E2">
        <w:rPr>
          <w:rFonts w:ascii="Open Sans" w:hAnsi="Open Sans" w:cs="Open Sans"/>
        </w:rPr>
        <w:t>QW</w:t>
      </w:r>
      <w:r w:rsidRPr="00AE0AD1">
        <w:rPr>
          <w:rFonts w:ascii="Open Sans" w:hAnsi="Open Sans" w:cs="Open Sans"/>
        </w:rPr>
        <w:t xml:space="preserve"> and other provisions related to minors is explored in more detail below in section </w:t>
      </w:r>
      <w:r w:rsidR="00A85BD2" w:rsidRPr="00AE0AD1">
        <w:rPr>
          <w:rFonts w:ascii="Open Sans" w:hAnsi="Open Sans" w:cs="Open Sans"/>
        </w:rPr>
        <w:t>6.4 ‘Questioning of minors’</w:t>
      </w:r>
      <w:r w:rsidRPr="00AE0AD1">
        <w:rPr>
          <w:rFonts w:ascii="Open Sans" w:hAnsi="Open Sans" w:cs="Open Sans"/>
        </w:rPr>
        <w:t xml:space="preserve">. </w:t>
      </w:r>
    </w:p>
    <w:p w14:paraId="689B3CC3" w14:textId="0B8689E0" w:rsidR="00385C0A" w:rsidRDefault="004F2FF5" w:rsidP="003137B7">
      <w:pPr>
        <w:pStyle w:val="SubmissionNormal"/>
        <w:tabs>
          <w:tab w:val="num" w:pos="504"/>
        </w:tabs>
        <w:rPr>
          <w:rFonts w:ascii="Open Sans" w:hAnsi="Open Sans" w:cs="Open Sans"/>
        </w:rPr>
      </w:pPr>
      <w:r>
        <w:rPr>
          <w:rFonts w:ascii="Open Sans" w:hAnsi="Open Sans" w:cs="Open Sans"/>
        </w:rPr>
        <w:t>Unless otherwise apparent, the provisions of the Bill discussed below</w:t>
      </w:r>
      <w:r w:rsidR="00385C0A" w:rsidRPr="00AE0AD1">
        <w:rPr>
          <w:rFonts w:ascii="Open Sans" w:hAnsi="Open Sans" w:cs="Open Sans"/>
        </w:rPr>
        <w:t xml:space="preserve"> apply equally to both adult and minor </w:t>
      </w:r>
      <w:r w:rsidR="00E062E2">
        <w:rPr>
          <w:rFonts w:ascii="Open Sans" w:hAnsi="Open Sans" w:cs="Open Sans"/>
        </w:rPr>
        <w:t>QW</w:t>
      </w:r>
      <w:r w:rsidR="00385C0A" w:rsidRPr="00AE0AD1">
        <w:rPr>
          <w:rFonts w:ascii="Open Sans" w:hAnsi="Open Sans" w:cs="Open Sans"/>
        </w:rPr>
        <w:t>s.</w:t>
      </w:r>
    </w:p>
    <w:p w14:paraId="2676E6C6" w14:textId="77777777" w:rsidR="00385C0A" w:rsidRPr="00AE0AD1" w:rsidRDefault="00385C0A" w:rsidP="003137B7">
      <w:pPr>
        <w:pStyle w:val="Heading3"/>
        <w:tabs>
          <w:tab w:val="clear" w:pos="851"/>
          <w:tab w:val="num" w:pos="635"/>
        </w:tabs>
        <w:rPr>
          <w:rFonts w:ascii="Open Sans" w:hAnsi="Open Sans" w:cs="Open Sans"/>
        </w:rPr>
      </w:pPr>
      <w:bookmarkStart w:id="27" w:name="_Toc43939960"/>
      <w:bookmarkStart w:id="28" w:name="_Toc44496124"/>
      <w:bookmarkEnd w:id="27"/>
      <w:r w:rsidRPr="00291B2D">
        <w:rPr>
          <w:rFonts w:ascii="Open Sans" w:hAnsi="Open Sans" w:cs="Open Sans"/>
        </w:rPr>
        <w:t>Immediate appearance requirement</w:t>
      </w:r>
      <w:bookmarkEnd w:id="28"/>
    </w:p>
    <w:p w14:paraId="3A7FFCEB" w14:textId="3E02ECD0" w:rsidR="00385C0A" w:rsidRPr="00AE0AD1" w:rsidRDefault="004B4A82" w:rsidP="003137B7">
      <w:pPr>
        <w:pStyle w:val="SubmissionNormal"/>
        <w:tabs>
          <w:tab w:val="num" w:pos="864"/>
        </w:tabs>
        <w:rPr>
          <w:rFonts w:ascii="Open Sans" w:hAnsi="Open Sans" w:cs="Open Sans"/>
        </w:rPr>
      </w:pPr>
      <w:r>
        <w:rPr>
          <w:rFonts w:ascii="Open Sans" w:hAnsi="Open Sans" w:cs="Open Sans"/>
        </w:rPr>
        <w:t>Under the Bill, i</w:t>
      </w:r>
      <w:r w:rsidR="00385C0A" w:rsidRPr="00AE0AD1">
        <w:rPr>
          <w:rFonts w:ascii="Open Sans" w:hAnsi="Open Sans" w:cs="Open Sans"/>
        </w:rPr>
        <w:t xml:space="preserve">f the Attorney-General </w:t>
      </w:r>
      <w:r>
        <w:rPr>
          <w:rFonts w:ascii="Open Sans" w:hAnsi="Open Sans" w:cs="Open Sans"/>
        </w:rPr>
        <w:t>were</w:t>
      </w:r>
      <w:r w:rsidRPr="00AE0AD1">
        <w:rPr>
          <w:rFonts w:ascii="Open Sans" w:hAnsi="Open Sans" w:cs="Open Sans"/>
        </w:rPr>
        <w:t xml:space="preserve"> </w:t>
      </w:r>
      <w:r w:rsidR="00385C0A" w:rsidRPr="00AE0AD1">
        <w:rPr>
          <w:rFonts w:ascii="Open Sans" w:hAnsi="Open Sans" w:cs="Open Sans"/>
        </w:rPr>
        <w:t xml:space="preserve">satisfied that it is reasonable and necessary in the circumstances, </w:t>
      </w:r>
      <w:r>
        <w:rPr>
          <w:rFonts w:ascii="Open Sans" w:hAnsi="Open Sans" w:cs="Open Sans"/>
        </w:rPr>
        <w:t>a QW could</w:t>
      </w:r>
      <w:r w:rsidR="00385C0A" w:rsidRPr="00AE0AD1">
        <w:rPr>
          <w:rFonts w:ascii="Open Sans" w:hAnsi="Open Sans" w:cs="Open Sans"/>
        </w:rPr>
        <w:t xml:space="preserve"> include an </w:t>
      </w:r>
      <w:r>
        <w:rPr>
          <w:rFonts w:ascii="Open Sans" w:hAnsi="Open Sans" w:cs="Open Sans"/>
        </w:rPr>
        <w:t>‘</w:t>
      </w:r>
      <w:r w:rsidR="00385C0A" w:rsidRPr="00AE0AD1">
        <w:rPr>
          <w:rFonts w:ascii="Open Sans" w:hAnsi="Open Sans" w:cs="Open Sans"/>
        </w:rPr>
        <w:t>immediate appearance requirement</w:t>
      </w:r>
      <w:r>
        <w:rPr>
          <w:rFonts w:ascii="Open Sans" w:hAnsi="Open Sans" w:cs="Open Sans"/>
        </w:rPr>
        <w:t>’</w:t>
      </w:r>
      <w:r w:rsidR="00385C0A" w:rsidRPr="00AE0AD1">
        <w:rPr>
          <w:rFonts w:ascii="Open Sans" w:hAnsi="Open Sans" w:cs="Open Sans"/>
        </w:rPr>
        <w:t>, which requires the subject of the warrant to appear before a prescribed authority for questioning under the warrant, immediately after the subject is given notice of the warrant.</w:t>
      </w:r>
      <w:r w:rsidR="00385C0A" w:rsidRPr="00AE0AD1">
        <w:rPr>
          <w:rStyle w:val="EndnoteReference"/>
          <w:rFonts w:ascii="Open Sans" w:hAnsi="Open Sans" w:cs="Open Sans"/>
          <w:color w:val="1F1923"/>
        </w:rPr>
        <w:endnoteReference w:id="23"/>
      </w:r>
    </w:p>
    <w:p w14:paraId="5B1685AE" w14:textId="1FB3D33D" w:rsidR="00385C0A" w:rsidRPr="00962267" w:rsidRDefault="00385C0A" w:rsidP="003137B7">
      <w:pPr>
        <w:pStyle w:val="Heading3"/>
        <w:tabs>
          <w:tab w:val="clear" w:pos="851"/>
          <w:tab w:val="num" w:pos="995"/>
        </w:tabs>
        <w:rPr>
          <w:rFonts w:ascii="Open Sans" w:hAnsi="Open Sans" w:cs="Open Sans"/>
          <w:i w:val="0"/>
        </w:rPr>
      </w:pPr>
      <w:bookmarkStart w:id="29" w:name="_Toc44496125"/>
      <w:r w:rsidRPr="00962267">
        <w:rPr>
          <w:rFonts w:ascii="Open Sans" w:hAnsi="Open Sans" w:cs="Open Sans"/>
        </w:rPr>
        <w:t>Apprehension power</w:t>
      </w:r>
      <w:r w:rsidR="00BE6873">
        <w:rPr>
          <w:rFonts w:ascii="Open Sans" w:hAnsi="Open Sans" w:cs="Open Sans"/>
        </w:rPr>
        <w:t>s</w:t>
      </w:r>
      <w:bookmarkEnd w:id="29"/>
    </w:p>
    <w:p w14:paraId="04D4AAA0" w14:textId="4308A20E" w:rsidR="002E3E21"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The Bill provides that a subject may be apprehended </w:t>
      </w:r>
      <w:r w:rsidR="002E3E21">
        <w:rPr>
          <w:rFonts w:ascii="Open Sans" w:hAnsi="Open Sans" w:cs="Open Sans"/>
        </w:rPr>
        <w:t xml:space="preserve">in </w:t>
      </w:r>
      <w:r w:rsidR="00C23013">
        <w:rPr>
          <w:rFonts w:ascii="Open Sans" w:hAnsi="Open Sans" w:cs="Open Sans"/>
        </w:rPr>
        <w:t xml:space="preserve">connection with a QW in </w:t>
      </w:r>
      <w:r w:rsidR="002E3E21">
        <w:rPr>
          <w:rFonts w:ascii="Open Sans" w:hAnsi="Open Sans" w:cs="Open Sans"/>
        </w:rPr>
        <w:t xml:space="preserve">a number of circumstances.  </w:t>
      </w:r>
    </w:p>
    <w:p w14:paraId="1BBD56DF" w14:textId="4EAAD748" w:rsidR="00385C0A" w:rsidRPr="00C23013" w:rsidRDefault="00385C0A" w:rsidP="003137B7">
      <w:pPr>
        <w:pStyle w:val="Heading4"/>
        <w:tabs>
          <w:tab w:val="clear" w:pos="851"/>
          <w:tab w:val="num" w:pos="995"/>
        </w:tabs>
        <w:rPr>
          <w:rFonts w:ascii="Open Sans" w:hAnsi="Open Sans" w:cs="Open Sans"/>
          <w:i/>
          <w:iCs w:val="0"/>
        </w:rPr>
      </w:pPr>
      <w:bookmarkStart w:id="30" w:name="_Toc43939963"/>
      <w:bookmarkStart w:id="31" w:name="_Toc43939964"/>
      <w:bookmarkStart w:id="32" w:name="_Toc43939965"/>
      <w:bookmarkStart w:id="33" w:name="_Toc43939966"/>
      <w:bookmarkStart w:id="34" w:name="_Toc43939967"/>
      <w:bookmarkStart w:id="35" w:name="_Toc43939968"/>
      <w:bookmarkStart w:id="36" w:name="_Toc44496126"/>
      <w:bookmarkEnd w:id="30"/>
      <w:bookmarkEnd w:id="31"/>
      <w:bookmarkEnd w:id="32"/>
      <w:bookmarkEnd w:id="33"/>
      <w:bookmarkEnd w:id="34"/>
      <w:bookmarkEnd w:id="35"/>
      <w:r w:rsidRPr="00C23013">
        <w:rPr>
          <w:rFonts w:ascii="Open Sans" w:hAnsi="Open Sans" w:cs="Open Sans"/>
          <w:i/>
          <w:iCs w:val="0"/>
        </w:rPr>
        <w:t xml:space="preserve">Where apprehension is </w:t>
      </w:r>
      <w:r w:rsidR="00BE6873" w:rsidRPr="00C23013">
        <w:rPr>
          <w:rFonts w:ascii="Open Sans" w:hAnsi="Open Sans" w:cs="Open Sans"/>
          <w:i/>
          <w:iCs w:val="0"/>
        </w:rPr>
        <w:t xml:space="preserve">expressly </w:t>
      </w:r>
      <w:r w:rsidRPr="00C23013">
        <w:rPr>
          <w:rFonts w:ascii="Open Sans" w:hAnsi="Open Sans" w:cs="Open Sans"/>
          <w:i/>
          <w:iCs w:val="0"/>
        </w:rPr>
        <w:t>authorised in the warrant</w:t>
      </w:r>
      <w:bookmarkEnd w:id="36"/>
    </w:p>
    <w:p w14:paraId="4C7419C3" w14:textId="59BF68AC" w:rsidR="00BE6873" w:rsidRDefault="00BE6873" w:rsidP="003137B7">
      <w:pPr>
        <w:pStyle w:val="SubmissionNormal"/>
        <w:numPr>
          <w:ilvl w:val="0"/>
          <w:numId w:val="43"/>
        </w:numPr>
        <w:tabs>
          <w:tab w:val="clear" w:pos="720"/>
          <w:tab w:val="num" w:pos="864"/>
        </w:tabs>
        <w:rPr>
          <w:rFonts w:ascii="Open Sans" w:hAnsi="Open Sans" w:cs="Open Sans"/>
        </w:rPr>
      </w:pPr>
      <w:r>
        <w:rPr>
          <w:rFonts w:ascii="Open Sans" w:hAnsi="Open Sans" w:cs="Open Sans"/>
        </w:rPr>
        <w:t xml:space="preserve">Where the Attorney-General issues a warrant containing an ‘immediate appearance requirement’, </w:t>
      </w:r>
      <w:r w:rsidR="2C813EA8">
        <w:rPr>
          <w:rFonts w:ascii="Open Sans" w:hAnsi="Open Sans" w:cs="Open Sans"/>
        </w:rPr>
        <w:t>the Attorney</w:t>
      </w:r>
      <w:r>
        <w:rPr>
          <w:rFonts w:ascii="Open Sans" w:hAnsi="Open Sans" w:cs="Open Sans"/>
        </w:rPr>
        <w:t xml:space="preserve"> may</w:t>
      </w:r>
      <w:r w:rsidR="00291B2D">
        <w:rPr>
          <w:rFonts w:ascii="Open Sans" w:hAnsi="Open Sans" w:cs="Open Sans"/>
        </w:rPr>
        <w:t>, if satisfied of certain matters,</w:t>
      </w:r>
      <w:r>
        <w:rPr>
          <w:rFonts w:ascii="Open Sans" w:hAnsi="Open Sans" w:cs="Open Sans"/>
        </w:rPr>
        <w:t xml:space="preserve"> </w:t>
      </w:r>
      <w:r w:rsidR="00291B2D">
        <w:rPr>
          <w:rFonts w:ascii="Open Sans" w:hAnsi="Open Sans" w:cs="Open Sans"/>
        </w:rPr>
        <w:t>include in the warrant an authorisation for a police officer to apprehend the questioning subject.</w:t>
      </w:r>
      <w:r w:rsidR="00291B2D" w:rsidRPr="00AE0AD1">
        <w:rPr>
          <w:rStyle w:val="EndnoteReference"/>
          <w:rFonts w:ascii="Open Sans" w:hAnsi="Open Sans" w:cs="Open Sans"/>
          <w:color w:val="1F1923"/>
        </w:rPr>
        <w:endnoteReference w:id="24"/>
      </w:r>
    </w:p>
    <w:p w14:paraId="49BA5AD7" w14:textId="15AF6A46" w:rsidR="00385C0A" w:rsidRPr="00AE0AD1" w:rsidRDefault="00385C0A" w:rsidP="003137B7">
      <w:pPr>
        <w:pStyle w:val="SubmissionNormal"/>
        <w:numPr>
          <w:ilvl w:val="0"/>
          <w:numId w:val="43"/>
        </w:numPr>
        <w:tabs>
          <w:tab w:val="clear" w:pos="720"/>
          <w:tab w:val="num" w:pos="864"/>
        </w:tabs>
        <w:rPr>
          <w:rFonts w:ascii="Open Sans" w:hAnsi="Open Sans" w:cs="Open Sans"/>
        </w:rPr>
      </w:pPr>
      <w:r w:rsidRPr="00AE0AD1">
        <w:rPr>
          <w:rFonts w:ascii="Open Sans" w:hAnsi="Open Sans" w:cs="Open Sans"/>
        </w:rPr>
        <w:t>Where apprehension is authorised in the warrant, upon execution of the warrant</w:t>
      </w:r>
      <w:r w:rsidR="00C23013">
        <w:rPr>
          <w:rFonts w:ascii="Open Sans" w:hAnsi="Open Sans" w:cs="Open Sans"/>
        </w:rPr>
        <w:t>,</w:t>
      </w:r>
      <w:r w:rsidR="00291B2D">
        <w:rPr>
          <w:rFonts w:ascii="Open Sans" w:hAnsi="Open Sans" w:cs="Open Sans"/>
        </w:rPr>
        <w:t xml:space="preserve"> </w:t>
      </w:r>
      <w:r w:rsidRPr="00AE0AD1">
        <w:rPr>
          <w:rFonts w:ascii="Open Sans" w:hAnsi="Open Sans" w:cs="Open Sans"/>
        </w:rPr>
        <w:t xml:space="preserve">a police officer </w:t>
      </w:r>
      <w:r w:rsidR="00291B2D">
        <w:rPr>
          <w:rFonts w:ascii="Open Sans" w:hAnsi="Open Sans" w:cs="Open Sans"/>
        </w:rPr>
        <w:t xml:space="preserve">is authorised </w:t>
      </w:r>
      <w:r w:rsidRPr="00AE0AD1">
        <w:rPr>
          <w:rFonts w:ascii="Open Sans" w:hAnsi="Open Sans" w:cs="Open Sans"/>
        </w:rPr>
        <w:t>to apprehend the subject to bring them immediately before a prescribed authority for questioning.</w:t>
      </w:r>
      <w:r w:rsidRPr="00AE0AD1">
        <w:rPr>
          <w:rStyle w:val="EndnoteReference"/>
          <w:rFonts w:ascii="Open Sans" w:hAnsi="Open Sans" w:cs="Open Sans"/>
          <w:color w:val="1F1923"/>
        </w:rPr>
        <w:endnoteReference w:id="25"/>
      </w:r>
      <w:r w:rsidRPr="00AE0AD1">
        <w:rPr>
          <w:rFonts w:ascii="Open Sans" w:hAnsi="Open Sans" w:cs="Open Sans"/>
        </w:rPr>
        <w:t xml:space="preserve"> There are no additional </w:t>
      </w:r>
      <w:r w:rsidR="00CE5FEF" w:rsidRPr="7EA2DDC8">
        <w:rPr>
          <w:rFonts w:ascii="Open Sans" w:hAnsi="Open Sans" w:cs="Open Sans"/>
        </w:rPr>
        <w:t>matters</w:t>
      </w:r>
      <w:r w:rsidR="00CE5FEF">
        <w:rPr>
          <w:rFonts w:ascii="Open Sans" w:hAnsi="Open Sans" w:cs="Open Sans"/>
        </w:rPr>
        <w:t xml:space="preserve"> about which</w:t>
      </w:r>
      <w:r w:rsidRPr="00AE0AD1">
        <w:rPr>
          <w:rFonts w:ascii="Open Sans" w:hAnsi="Open Sans" w:cs="Open Sans"/>
        </w:rPr>
        <w:t xml:space="preserve"> the police officer must be satisfied prior to apprehending the subject of the warrant. A police officer’s power to apprehend the subject of a </w:t>
      </w:r>
      <w:r w:rsidR="00E062E2">
        <w:rPr>
          <w:rFonts w:ascii="Open Sans" w:hAnsi="Open Sans" w:cs="Open Sans"/>
        </w:rPr>
        <w:t>QW</w:t>
      </w:r>
      <w:r w:rsidRPr="00AE0AD1">
        <w:rPr>
          <w:rFonts w:ascii="Open Sans" w:hAnsi="Open Sans" w:cs="Open Sans"/>
        </w:rPr>
        <w:t xml:space="preserve"> under this subsection ends when the subject appears before a prescribed authority for questioning under the warrant.</w:t>
      </w:r>
      <w:r w:rsidRPr="00AE0AD1">
        <w:rPr>
          <w:rStyle w:val="EndnoteReference"/>
          <w:rFonts w:ascii="Open Sans" w:hAnsi="Open Sans" w:cs="Open Sans"/>
        </w:rPr>
        <w:endnoteReference w:id="26"/>
      </w:r>
      <w:r w:rsidRPr="00AE0AD1">
        <w:rPr>
          <w:rFonts w:ascii="Open Sans" w:hAnsi="Open Sans" w:cs="Open Sans"/>
        </w:rPr>
        <w:t xml:space="preserve"> </w:t>
      </w:r>
    </w:p>
    <w:p w14:paraId="0D3BBBEE" w14:textId="3920EC65" w:rsidR="00385C0A" w:rsidRPr="00C23013" w:rsidRDefault="00385C0A" w:rsidP="003137B7">
      <w:pPr>
        <w:pStyle w:val="Heading4"/>
        <w:tabs>
          <w:tab w:val="clear" w:pos="851"/>
          <w:tab w:val="num" w:pos="995"/>
        </w:tabs>
        <w:rPr>
          <w:rFonts w:ascii="Open Sans" w:hAnsi="Open Sans" w:cs="Open Sans"/>
          <w:i/>
          <w:iCs w:val="0"/>
        </w:rPr>
      </w:pPr>
      <w:bookmarkStart w:id="37" w:name="_Toc44496127"/>
      <w:r w:rsidRPr="00C23013">
        <w:rPr>
          <w:rFonts w:ascii="Open Sans" w:hAnsi="Open Sans" w:cs="Open Sans"/>
          <w:i/>
          <w:iCs w:val="0"/>
        </w:rPr>
        <w:t xml:space="preserve">Where apprehension is not </w:t>
      </w:r>
      <w:r w:rsidR="00BE6873" w:rsidRPr="00C23013">
        <w:rPr>
          <w:rFonts w:ascii="Open Sans" w:hAnsi="Open Sans" w:cs="Open Sans"/>
          <w:i/>
          <w:iCs w:val="0"/>
        </w:rPr>
        <w:t xml:space="preserve">expressly </w:t>
      </w:r>
      <w:r w:rsidRPr="00C23013">
        <w:rPr>
          <w:rFonts w:ascii="Open Sans" w:hAnsi="Open Sans" w:cs="Open Sans"/>
          <w:i/>
          <w:iCs w:val="0"/>
        </w:rPr>
        <w:t>authorised in the warrant</w:t>
      </w:r>
      <w:bookmarkEnd w:id="37"/>
    </w:p>
    <w:p w14:paraId="47A55A6C" w14:textId="3094EA55"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Under the proposed framework</w:t>
      </w:r>
      <w:r w:rsidR="00BC5132">
        <w:rPr>
          <w:rFonts w:ascii="Open Sans" w:hAnsi="Open Sans" w:cs="Open Sans"/>
        </w:rPr>
        <w:t>,</w:t>
      </w:r>
      <w:r w:rsidRPr="00AE0AD1">
        <w:rPr>
          <w:rFonts w:ascii="Open Sans" w:hAnsi="Open Sans" w:cs="Open Sans"/>
        </w:rPr>
        <w:t xml:space="preserve"> a police officer may apprehend the subject of a warrant even where apprehension has not been authorised in the warrant, if: </w:t>
      </w:r>
    </w:p>
    <w:p w14:paraId="2D8ACD95" w14:textId="707F3EBD" w:rsidR="00385C0A" w:rsidRPr="007E6EA2" w:rsidRDefault="00385C0A" w:rsidP="007E6EA2">
      <w:pPr>
        <w:pStyle w:val="NormalWeb"/>
        <w:numPr>
          <w:ilvl w:val="0"/>
          <w:numId w:val="36"/>
        </w:numPr>
        <w:spacing w:before="0" w:after="120"/>
        <w:rPr>
          <w:rFonts w:ascii="Open Sans" w:hAnsi="Open Sans" w:cs="Open Sans"/>
          <w:sz w:val="22"/>
          <w:szCs w:val="22"/>
        </w:rPr>
      </w:pPr>
      <w:r w:rsidRPr="007E6EA2">
        <w:rPr>
          <w:rFonts w:ascii="Open Sans" w:hAnsi="Open Sans" w:cs="Open Sans"/>
          <w:sz w:val="22"/>
          <w:szCs w:val="22"/>
        </w:rPr>
        <w:t xml:space="preserve">a </w:t>
      </w:r>
      <w:r w:rsidR="007D3CAA" w:rsidRPr="007E6EA2">
        <w:rPr>
          <w:rFonts w:ascii="Open Sans" w:hAnsi="Open Sans" w:cs="Open Sans"/>
          <w:sz w:val="22"/>
          <w:szCs w:val="22"/>
        </w:rPr>
        <w:t>questioning warrant</w:t>
      </w:r>
      <w:r w:rsidRPr="007E6EA2">
        <w:rPr>
          <w:rFonts w:ascii="Open Sans" w:hAnsi="Open Sans" w:cs="Open Sans"/>
          <w:sz w:val="22"/>
          <w:szCs w:val="22"/>
        </w:rPr>
        <w:t xml:space="preserve"> includes an immediate appearance requirement; and </w:t>
      </w:r>
    </w:p>
    <w:p w14:paraId="40FD99A2" w14:textId="77777777" w:rsidR="00385C0A" w:rsidRPr="007E6EA2" w:rsidRDefault="00385C0A" w:rsidP="007E6EA2">
      <w:pPr>
        <w:pStyle w:val="NormalWeb"/>
        <w:numPr>
          <w:ilvl w:val="0"/>
          <w:numId w:val="36"/>
        </w:numPr>
        <w:spacing w:before="0" w:after="120"/>
        <w:rPr>
          <w:rFonts w:ascii="Open Sans" w:hAnsi="Open Sans" w:cs="Open Sans"/>
          <w:sz w:val="22"/>
          <w:szCs w:val="22"/>
        </w:rPr>
      </w:pPr>
      <w:r w:rsidRPr="007E6EA2">
        <w:rPr>
          <w:rFonts w:ascii="Open Sans" w:hAnsi="Open Sans" w:cs="Open Sans"/>
          <w:sz w:val="22"/>
          <w:szCs w:val="22"/>
        </w:rPr>
        <w:lastRenderedPageBreak/>
        <w:t xml:space="preserve">at the time the subject is given notice of the requirement in accordance with section 34BH, the subject makes a representation that the subject intends to: </w:t>
      </w:r>
    </w:p>
    <w:p w14:paraId="5BFBA0C9" w14:textId="00D92DB4" w:rsidR="00385C0A" w:rsidRPr="007E6EA2" w:rsidRDefault="00385C0A" w:rsidP="007E6EA2">
      <w:pPr>
        <w:pStyle w:val="NormalWeb"/>
        <w:spacing w:before="0" w:after="120"/>
        <w:ind w:left="1440"/>
        <w:rPr>
          <w:rFonts w:ascii="Open Sans" w:hAnsi="Open Sans" w:cs="Open Sans"/>
          <w:sz w:val="22"/>
          <w:szCs w:val="22"/>
        </w:rPr>
      </w:pPr>
      <w:r w:rsidRPr="007E6EA2">
        <w:rPr>
          <w:rFonts w:ascii="Open Sans" w:hAnsi="Open Sans" w:cs="Open Sans"/>
          <w:sz w:val="22"/>
          <w:szCs w:val="22"/>
        </w:rPr>
        <w:t>(</w:t>
      </w:r>
      <w:proofErr w:type="spellStart"/>
      <w:r w:rsidRPr="007E6EA2">
        <w:rPr>
          <w:rFonts w:ascii="Open Sans" w:hAnsi="Open Sans" w:cs="Open Sans"/>
          <w:sz w:val="22"/>
          <w:szCs w:val="22"/>
        </w:rPr>
        <w:t>i</w:t>
      </w:r>
      <w:proofErr w:type="spellEnd"/>
      <w:r w:rsidRPr="007E6EA2">
        <w:rPr>
          <w:rFonts w:ascii="Open Sans" w:hAnsi="Open Sans" w:cs="Open Sans"/>
          <w:sz w:val="22"/>
          <w:szCs w:val="22"/>
        </w:rPr>
        <w:t>) alert a person involved in an activity prejudicial to security that the activity is being investigated</w:t>
      </w:r>
      <w:r w:rsidR="007E6EA2" w:rsidRPr="007E6EA2">
        <w:rPr>
          <w:rFonts w:ascii="Open Sans" w:hAnsi="Open Sans" w:cs="Open Sans"/>
          <w:sz w:val="22"/>
          <w:szCs w:val="22"/>
        </w:rPr>
        <w:t>;</w:t>
      </w:r>
      <w:r w:rsidRPr="007E6EA2">
        <w:rPr>
          <w:rFonts w:ascii="Open Sans" w:hAnsi="Open Sans" w:cs="Open Sans"/>
          <w:sz w:val="22"/>
          <w:szCs w:val="22"/>
        </w:rPr>
        <w:t xml:space="preserve"> or </w:t>
      </w:r>
    </w:p>
    <w:p w14:paraId="5F541D0E" w14:textId="26BB1441" w:rsidR="00385C0A" w:rsidRPr="007E6EA2" w:rsidRDefault="00385C0A" w:rsidP="007E6EA2">
      <w:pPr>
        <w:pStyle w:val="NormalWeb"/>
        <w:spacing w:before="0" w:after="120"/>
        <w:ind w:left="1440"/>
        <w:rPr>
          <w:rFonts w:ascii="Open Sans" w:hAnsi="Open Sans" w:cs="Open Sans"/>
          <w:sz w:val="22"/>
          <w:szCs w:val="22"/>
        </w:rPr>
      </w:pPr>
      <w:r w:rsidRPr="007E6EA2">
        <w:rPr>
          <w:rFonts w:ascii="Open Sans" w:hAnsi="Open Sans" w:cs="Open Sans"/>
          <w:sz w:val="22"/>
          <w:szCs w:val="22"/>
        </w:rPr>
        <w:t>(ii) not appear before the prescribed authority</w:t>
      </w:r>
      <w:r w:rsidR="007E6EA2" w:rsidRPr="007E6EA2">
        <w:rPr>
          <w:rFonts w:ascii="Open Sans" w:hAnsi="Open Sans" w:cs="Open Sans"/>
          <w:sz w:val="22"/>
          <w:szCs w:val="22"/>
        </w:rPr>
        <w:t>;</w:t>
      </w:r>
      <w:r w:rsidRPr="007E6EA2">
        <w:rPr>
          <w:rFonts w:ascii="Open Sans" w:hAnsi="Open Sans" w:cs="Open Sans"/>
          <w:sz w:val="22"/>
          <w:szCs w:val="22"/>
        </w:rPr>
        <w:t xml:space="preserve"> or </w:t>
      </w:r>
    </w:p>
    <w:p w14:paraId="38EB7A5A" w14:textId="77777777" w:rsidR="00385C0A" w:rsidRPr="007E6EA2" w:rsidRDefault="00385C0A" w:rsidP="007E6EA2">
      <w:pPr>
        <w:pStyle w:val="NormalWeb"/>
        <w:spacing w:before="0" w:after="120"/>
        <w:ind w:left="1440"/>
        <w:rPr>
          <w:rFonts w:ascii="Open Sans" w:hAnsi="Open Sans" w:cs="Open Sans"/>
          <w:sz w:val="22"/>
          <w:szCs w:val="22"/>
        </w:rPr>
      </w:pPr>
      <w:r w:rsidRPr="007E6EA2">
        <w:rPr>
          <w:rFonts w:ascii="Open Sans" w:hAnsi="Open Sans" w:cs="Open Sans"/>
          <w:sz w:val="22"/>
          <w:szCs w:val="22"/>
        </w:rPr>
        <w:t>(iii) destroy, damage or alter, or cause another person to destroy, damage or alter, a record or other thing the subject has been or may be requested in accordance with the warrant to produce.</w:t>
      </w:r>
      <w:r w:rsidRPr="007E6EA2">
        <w:rPr>
          <w:rStyle w:val="EndnoteReference"/>
          <w:rFonts w:ascii="Open Sans" w:hAnsi="Open Sans" w:cs="Open Sans"/>
          <w:sz w:val="22"/>
          <w:szCs w:val="22"/>
        </w:rPr>
        <w:endnoteReference w:id="27"/>
      </w:r>
    </w:p>
    <w:p w14:paraId="3CC1A77C" w14:textId="2AC0C496"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Under section 34C(4), </w:t>
      </w:r>
      <w:r w:rsidR="00B17CE5">
        <w:rPr>
          <w:rFonts w:ascii="Open Sans" w:hAnsi="Open Sans" w:cs="Open Sans"/>
        </w:rPr>
        <w:t xml:space="preserve">a </w:t>
      </w:r>
      <w:r w:rsidRPr="00AE0AD1">
        <w:rPr>
          <w:rFonts w:ascii="Open Sans" w:hAnsi="Open Sans" w:cs="Open Sans"/>
        </w:rPr>
        <w:t>‘representation’:</w:t>
      </w:r>
    </w:p>
    <w:p w14:paraId="6C432340" w14:textId="77777777" w:rsidR="00385C0A" w:rsidRPr="00AE0AD1" w:rsidRDefault="00385C0A" w:rsidP="00962267">
      <w:pPr>
        <w:pStyle w:val="NormalWeb"/>
        <w:numPr>
          <w:ilvl w:val="0"/>
          <w:numId w:val="36"/>
        </w:numPr>
        <w:spacing w:before="0" w:after="120"/>
        <w:ind w:left="1440"/>
        <w:rPr>
          <w:rFonts w:ascii="Open Sans" w:hAnsi="Open Sans" w:cs="Open Sans"/>
        </w:rPr>
      </w:pPr>
      <w:r w:rsidRPr="00AE0AD1">
        <w:rPr>
          <w:rFonts w:ascii="Open Sans" w:hAnsi="Open Sans" w:cs="Open Sans"/>
        </w:rPr>
        <w:t>can be express or implied (either oral or in writing)</w:t>
      </w:r>
    </w:p>
    <w:p w14:paraId="66AC3AF8" w14:textId="77777777" w:rsidR="00385C0A" w:rsidRPr="00AE0AD1" w:rsidRDefault="00385C0A" w:rsidP="00962267">
      <w:pPr>
        <w:pStyle w:val="NormalWeb"/>
        <w:numPr>
          <w:ilvl w:val="0"/>
          <w:numId w:val="36"/>
        </w:numPr>
        <w:spacing w:before="0" w:after="120"/>
        <w:ind w:left="1440"/>
        <w:rPr>
          <w:rFonts w:ascii="Open Sans" w:hAnsi="Open Sans" w:cs="Open Sans"/>
        </w:rPr>
      </w:pPr>
      <w:r w:rsidRPr="00AE0AD1">
        <w:rPr>
          <w:rFonts w:ascii="Open Sans" w:hAnsi="Open Sans" w:cs="Open Sans"/>
        </w:rPr>
        <w:t>can be inferred from conduct, and</w:t>
      </w:r>
    </w:p>
    <w:p w14:paraId="785F2B82" w14:textId="77777777" w:rsidR="00385C0A" w:rsidRPr="00AE0AD1" w:rsidRDefault="00385C0A" w:rsidP="00962267">
      <w:pPr>
        <w:pStyle w:val="NormalWeb"/>
        <w:numPr>
          <w:ilvl w:val="0"/>
          <w:numId w:val="36"/>
        </w:numPr>
        <w:spacing w:before="0" w:after="120"/>
        <w:ind w:left="1440"/>
        <w:rPr>
          <w:rFonts w:ascii="Open Sans" w:hAnsi="Open Sans" w:cs="Open Sans"/>
        </w:rPr>
      </w:pPr>
      <w:r w:rsidRPr="00AE0AD1">
        <w:rPr>
          <w:rFonts w:ascii="Open Sans" w:hAnsi="Open Sans" w:cs="Open Sans"/>
        </w:rPr>
        <w:t>does not need to be communicated, or to have been intended to be communicated to or seen by another person.</w:t>
      </w:r>
      <w:r w:rsidRPr="00AE0AD1">
        <w:rPr>
          <w:rStyle w:val="EndnoteReference"/>
          <w:rFonts w:ascii="Open Sans" w:hAnsi="Open Sans" w:cs="Open Sans"/>
        </w:rPr>
        <w:endnoteReference w:id="28"/>
      </w:r>
    </w:p>
    <w:p w14:paraId="76151E3F" w14:textId="77777777" w:rsidR="00385C0A" w:rsidRPr="00962267" w:rsidRDefault="00385C0A" w:rsidP="003137B7">
      <w:pPr>
        <w:pStyle w:val="Heading3"/>
        <w:tabs>
          <w:tab w:val="clear" w:pos="851"/>
          <w:tab w:val="num" w:pos="995"/>
        </w:tabs>
        <w:rPr>
          <w:rFonts w:ascii="Open Sans" w:hAnsi="Open Sans" w:cs="Open Sans"/>
        </w:rPr>
      </w:pPr>
      <w:bookmarkStart w:id="38" w:name="_Toc44496128"/>
      <w:r w:rsidRPr="00962267">
        <w:rPr>
          <w:rFonts w:ascii="Open Sans" w:hAnsi="Open Sans" w:cs="Open Sans"/>
        </w:rPr>
        <w:t>Other provisions related to the apprehension power</w:t>
      </w:r>
      <w:bookmarkEnd w:id="38"/>
    </w:p>
    <w:p w14:paraId="23365930" w14:textId="21ED9C06" w:rsidR="00385C0A" w:rsidRPr="00AE0AD1" w:rsidRDefault="004F2FF5" w:rsidP="003137B7">
      <w:pPr>
        <w:pStyle w:val="SubmissionNormal"/>
        <w:tabs>
          <w:tab w:val="num" w:pos="864"/>
        </w:tabs>
        <w:rPr>
          <w:rFonts w:ascii="Open Sans" w:hAnsi="Open Sans" w:cs="Open Sans"/>
          <w:sz w:val="22"/>
          <w:szCs w:val="22"/>
        </w:rPr>
      </w:pPr>
      <w:r>
        <w:rPr>
          <w:rFonts w:ascii="Open Sans" w:hAnsi="Open Sans" w:cs="Open Sans"/>
        </w:rPr>
        <w:t>If</w:t>
      </w:r>
      <w:r w:rsidR="00385C0A" w:rsidRPr="00AE0AD1">
        <w:rPr>
          <w:rFonts w:ascii="Open Sans" w:hAnsi="Open Sans" w:cs="Open Sans"/>
        </w:rPr>
        <w:t xml:space="preserve"> </w:t>
      </w:r>
      <w:r>
        <w:rPr>
          <w:rFonts w:ascii="Open Sans" w:hAnsi="Open Sans" w:cs="Open Sans"/>
        </w:rPr>
        <w:t xml:space="preserve">under the Bill </w:t>
      </w:r>
      <w:r w:rsidR="00385C0A" w:rsidRPr="00AE0AD1">
        <w:rPr>
          <w:rFonts w:ascii="Open Sans" w:hAnsi="Open Sans" w:cs="Open Sans"/>
        </w:rPr>
        <w:t xml:space="preserve">a police officer is authorised to apprehend the subject of a </w:t>
      </w:r>
      <w:r w:rsidR="00E062E2">
        <w:rPr>
          <w:rFonts w:ascii="Open Sans" w:hAnsi="Open Sans" w:cs="Open Sans"/>
        </w:rPr>
        <w:t>QW</w:t>
      </w:r>
      <w:r w:rsidR="00385C0A" w:rsidRPr="00AE0AD1">
        <w:rPr>
          <w:rFonts w:ascii="Open Sans" w:hAnsi="Open Sans" w:cs="Open Sans"/>
        </w:rPr>
        <w:t>, the warrant may also authorize the police officer to enter the premises, using such force as is necessary and reasonable in the circumstances, at any time of the day or night, to search the premises for the subject or to apprehend the subject, if the police officer believes on reasonable grounds that the subject is on those premises.</w:t>
      </w:r>
      <w:r w:rsidR="00385C0A" w:rsidRPr="00AE0AD1">
        <w:rPr>
          <w:rStyle w:val="EndnoteReference"/>
          <w:rFonts w:ascii="Open Sans" w:hAnsi="Open Sans" w:cs="Open Sans"/>
          <w:color w:val="1F1923"/>
        </w:rPr>
        <w:endnoteReference w:id="29"/>
      </w:r>
      <w:r w:rsidR="00F77C26">
        <w:rPr>
          <w:rFonts w:ascii="Open Sans" w:hAnsi="Open Sans" w:cs="Open Sans"/>
        </w:rPr>
        <w:t xml:space="preserve"> </w:t>
      </w:r>
      <w:r w:rsidR="00385C0A" w:rsidRPr="00AE0AD1">
        <w:rPr>
          <w:rFonts w:ascii="Open Sans" w:hAnsi="Open Sans" w:cs="Open Sans"/>
          <w:sz w:val="22"/>
          <w:szCs w:val="22"/>
        </w:rPr>
        <w:t xml:space="preserve"> </w:t>
      </w:r>
    </w:p>
    <w:p w14:paraId="77085B7A" w14:textId="00708EB3"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A </w:t>
      </w:r>
      <w:r w:rsidR="00E062E2">
        <w:rPr>
          <w:rFonts w:ascii="Open Sans" w:hAnsi="Open Sans" w:cs="Open Sans"/>
        </w:rPr>
        <w:t>QW</w:t>
      </w:r>
      <w:r w:rsidRPr="00AE0AD1">
        <w:rPr>
          <w:rFonts w:ascii="Open Sans" w:hAnsi="Open Sans" w:cs="Open Sans"/>
        </w:rPr>
        <w:t xml:space="preserve"> may also provide that if a police officer conducts a search of the subject of the warrant under section 34CC and </w:t>
      </w:r>
      <w:r w:rsidRPr="00AE0AD1">
        <w:rPr>
          <w:rFonts w:ascii="Open Sans" w:hAnsi="Open Sans" w:cs="Open Sans"/>
          <w:lang w:eastAsia="en-GB"/>
        </w:rPr>
        <w:t>a record or other thing is found during the search</w:t>
      </w:r>
      <w:r w:rsidR="00C23013">
        <w:rPr>
          <w:rFonts w:ascii="Open Sans" w:hAnsi="Open Sans" w:cs="Open Sans"/>
          <w:lang w:eastAsia="en-GB"/>
        </w:rPr>
        <w:t>,</w:t>
      </w:r>
      <w:r w:rsidRPr="00AE0AD1">
        <w:rPr>
          <w:rFonts w:ascii="Open Sans" w:hAnsi="Open Sans" w:cs="Open Sans"/>
          <w:lang w:eastAsia="en-GB"/>
        </w:rPr>
        <w:t xml:space="preserve"> </w:t>
      </w:r>
      <w:r w:rsidR="00CE5FEF">
        <w:rPr>
          <w:rFonts w:ascii="Open Sans" w:hAnsi="Open Sans" w:cs="Open Sans"/>
          <w:lang w:eastAsia="en-GB"/>
        </w:rPr>
        <w:t>which</w:t>
      </w:r>
      <w:r w:rsidR="00CE5FEF" w:rsidRPr="00AE0AD1">
        <w:rPr>
          <w:rFonts w:ascii="Open Sans" w:hAnsi="Open Sans" w:cs="Open Sans"/>
          <w:lang w:eastAsia="en-GB"/>
        </w:rPr>
        <w:t xml:space="preserve"> </w:t>
      </w:r>
      <w:r w:rsidRPr="00AE0AD1">
        <w:rPr>
          <w:rFonts w:ascii="Open Sans" w:hAnsi="Open Sans" w:cs="Open Sans"/>
          <w:lang w:eastAsia="en-GB"/>
        </w:rPr>
        <w:t>the officer reasonably believes is relevant to the collection of intelligence that is important in relation to the warrant, the officer is authori</w:t>
      </w:r>
      <w:r w:rsidR="001220C7">
        <w:rPr>
          <w:rFonts w:ascii="Open Sans" w:hAnsi="Open Sans" w:cs="Open Sans"/>
          <w:lang w:eastAsia="en-GB"/>
        </w:rPr>
        <w:t>s</w:t>
      </w:r>
      <w:r w:rsidRPr="00AE0AD1">
        <w:rPr>
          <w:rFonts w:ascii="Open Sans" w:hAnsi="Open Sans" w:cs="Open Sans"/>
          <w:lang w:eastAsia="en-GB"/>
        </w:rPr>
        <w:t>ed to seize the record or other thing.</w:t>
      </w:r>
      <w:r w:rsidRPr="00AE0AD1">
        <w:rPr>
          <w:rStyle w:val="EndnoteReference"/>
          <w:rFonts w:ascii="Open Sans" w:hAnsi="Open Sans" w:cs="Open Sans"/>
          <w:lang w:eastAsia="en-GB"/>
        </w:rPr>
        <w:endnoteReference w:id="30"/>
      </w:r>
    </w:p>
    <w:p w14:paraId="16AA5DBF" w14:textId="2100582A" w:rsidR="00385C0A" w:rsidRDefault="00385C0A" w:rsidP="003137B7">
      <w:pPr>
        <w:pStyle w:val="SubmissionNormal"/>
        <w:tabs>
          <w:tab w:val="num" w:pos="864"/>
        </w:tabs>
        <w:rPr>
          <w:rFonts w:ascii="Open Sans" w:hAnsi="Open Sans" w:cs="Open Sans"/>
        </w:rPr>
      </w:pPr>
      <w:r w:rsidRPr="00AE0AD1">
        <w:rPr>
          <w:rFonts w:ascii="Open Sans" w:hAnsi="Open Sans" w:cs="Open Sans"/>
        </w:rPr>
        <w:t xml:space="preserve">A police officer may also use such force as is necessary and reasonable to apprehend the subject of </w:t>
      </w:r>
      <w:r w:rsidR="004F2FF5">
        <w:rPr>
          <w:rFonts w:ascii="Open Sans" w:hAnsi="Open Sans" w:cs="Open Sans"/>
        </w:rPr>
        <w:t xml:space="preserve">a </w:t>
      </w:r>
      <w:r w:rsidR="00E062E2">
        <w:rPr>
          <w:rFonts w:ascii="Open Sans" w:hAnsi="Open Sans" w:cs="Open Sans"/>
        </w:rPr>
        <w:t>QW</w:t>
      </w:r>
      <w:r w:rsidRPr="00AE0AD1">
        <w:rPr>
          <w:rFonts w:ascii="Open Sans" w:hAnsi="Open Sans" w:cs="Open Sans"/>
        </w:rPr>
        <w:t xml:space="preserve"> or to prevent the subject from escaping apprehension, or to conduct a search or a frisk search of a subject of a </w:t>
      </w:r>
      <w:r w:rsidR="00E062E2">
        <w:rPr>
          <w:rFonts w:ascii="Open Sans" w:hAnsi="Open Sans" w:cs="Open Sans"/>
        </w:rPr>
        <w:t>QW</w:t>
      </w:r>
      <w:r w:rsidRPr="00AE0AD1">
        <w:rPr>
          <w:rFonts w:ascii="Open Sans" w:hAnsi="Open Sans" w:cs="Open Sans"/>
        </w:rPr>
        <w:t>.</w:t>
      </w:r>
      <w:r w:rsidRPr="00AE0AD1">
        <w:rPr>
          <w:rStyle w:val="EndnoteReference"/>
          <w:rFonts w:ascii="Open Sans" w:hAnsi="Open Sans" w:cs="Open Sans"/>
        </w:rPr>
        <w:endnoteReference w:id="31"/>
      </w:r>
    </w:p>
    <w:p w14:paraId="3F92A6B9" w14:textId="1B59643B" w:rsidR="00BC5132" w:rsidRPr="00AE0AD1" w:rsidRDefault="00BC5132" w:rsidP="003137B7">
      <w:pPr>
        <w:pStyle w:val="SubmissionNormal"/>
        <w:tabs>
          <w:tab w:val="num" w:pos="864"/>
        </w:tabs>
        <w:rPr>
          <w:rFonts w:ascii="Open Sans" w:hAnsi="Open Sans" w:cs="Open Sans"/>
        </w:rPr>
      </w:pPr>
      <w:r>
        <w:rPr>
          <w:rFonts w:ascii="Open Sans" w:hAnsi="Open Sans" w:cs="Open Sans"/>
        </w:rPr>
        <w:t>These apprehension powers are a significant extension of the current QW regime.</w:t>
      </w:r>
    </w:p>
    <w:p w14:paraId="20DB16C5" w14:textId="33874788" w:rsidR="00385C0A" w:rsidRPr="00962267" w:rsidRDefault="002D48C1" w:rsidP="003137B7">
      <w:pPr>
        <w:pStyle w:val="Heading3"/>
        <w:tabs>
          <w:tab w:val="clear" w:pos="851"/>
          <w:tab w:val="num" w:pos="995"/>
        </w:tabs>
        <w:rPr>
          <w:rFonts w:ascii="Open Sans" w:hAnsi="Open Sans" w:cs="Open Sans"/>
        </w:rPr>
      </w:pPr>
      <w:bookmarkStart w:id="39" w:name="_Toc44496129"/>
      <w:r>
        <w:rPr>
          <w:rFonts w:ascii="Open Sans" w:hAnsi="Open Sans" w:cs="Open Sans"/>
        </w:rPr>
        <w:t>H</w:t>
      </w:r>
      <w:r w:rsidR="00385C0A" w:rsidRPr="00962267">
        <w:rPr>
          <w:rFonts w:ascii="Open Sans" w:hAnsi="Open Sans" w:cs="Open Sans"/>
        </w:rPr>
        <w:t>uman rights</w:t>
      </w:r>
      <w:r>
        <w:rPr>
          <w:rFonts w:ascii="Open Sans" w:hAnsi="Open Sans" w:cs="Open Sans"/>
        </w:rPr>
        <w:t xml:space="preserve"> implications of proposed apprehension powers</w:t>
      </w:r>
      <w:bookmarkEnd w:id="39"/>
    </w:p>
    <w:p w14:paraId="100547C1" w14:textId="17C65C07" w:rsidR="00385C0A" w:rsidRPr="00962267" w:rsidRDefault="00385C0A" w:rsidP="003137B7">
      <w:pPr>
        <w:pStyle w:val="SubmissionNormal"/>
        <w:tabs>
          <w:tab w:val="num" w:pos="864"/>
        </w:tabs>
        <w:rPr>
          <w:rFonts w:ascii="Open Sans" w:hAnsi="Open Sans" w:cs="Open Sans"/>
        </w:rPr>
      </w:pPr>
      <w:r w:rsidRPr="00962267">
        <w:rPr>
          <w:rFonts w:ascii="Open Sans" w:hAnsi="Open Sans" w:cs="Open Sans"/>
        </w:rPr>
        <w:t xml:space="preserve">The ability to apprehend a person aged 14 years and above under a </w:t>
      </w:r>
      <w:r w:rsidR="00E062E2">
        <w:rPr>
          <w:rFonts w:ascii="Open Sans" w:hAnsi="Open Sans" w:cs="Open Sans"/>
        </w:rPr>
        <w:t>QW</w:t>
      </w:r>
      <w:r w:rsidRPr="00962267">
        <w:rPr>
          <w:rFonts w:ascii="Open Sans" w:hAnsi="Open Sans" w:cs="Open Sans"/>
        </w:rPr>
        <w:t xml:space="preserve"> engages the rights in Article 9 of the ICCPR that no one shall be subjected </w:t>
      </w:r>
      <w:r w:rsidRPr="00962267">
        <w:rPr>
          <w:rFonts w:ascii="Open Sans" w:hAnsi="Open Sans" w:cs="Open Sans"/>
        </w:rPr>
        <w:lastRenderedPageBreak/>
        <w:t xml:space="preserve">to arbitrary arrest or detention or deprived of their liberty except on such grounds and in accordance with such procedure as are established by law. </w:t>
      </w:r>
    </w:p>
    <w:p w14:paraId="359E75D4" w14:textId="06486CCB"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The United Nations Human Rights Committee has commented that the notion of </w:t>
      </w:r>
      <w:r w:rsidR="00AE0AD1" w:rsidRPr="00AE0AD1">
        <w:rPr>
          <w:rFonts w:ascii="Open Sans" w:hAnsi="Open Sans" w:cs="Open Sans"/>
        </w:rPr>
        <w:t>‘</w:t>
      </w:r>
      <w:r w:rsidRPr="00AE0AD1">
        <w:rPr>
          <w:rFonts w:ascii="Open Sans" w:hAnsi="Open Sans" w:cs="Open Sans"/>
        </w:rPr>
        <w:t>arbitrariness</w:t>
      </w:r>
      <w:r w:rsidR="00AE0AD1" w:rsidRPr="00AE0AD1">
        <w:rPr>
          <w:rFonts w:ascii="Open Sans" w:hAnsi="Open Sans" w:cs="Open Sans"/>
        </w:rPr>
        <w:t>’</w:t>
      </w:r>
      <w:r w:rsidRPr="00AE0AD1">
        <w:rPr>
          <w:rFonts w:ascii="Open Sans" w:hAnsi="Open Sans" w:cs="Open Sans"/>
        </w:rPr>
        <w:t xml:space="preserve"> is not to be equated with </w:t>
      </w:r>
      <w:r w:rsidR="00AE0AD1" w:rsidRPr="00AE0AD1">
        <w:rPr>
          <w:rFonts w:ascii="Open Sans" w:hAnsi="Open Sans" w:cs="Open Sans"/>
        </w:rPr>
        <w:t>‘</w:t>
      </w:r>
      <w:r w:rsidRPr="00AE0AD1">
        <w:rPr>
          <w:rFonts w:ascii="Open Sans" w:hAnsi="Open Sans" w:cs="Open Sans"/>
        </w:rPr>
        <w:t>against the law</w:t>
      </w:r>
      <w:r w:rsidR="00AE0AD1" w:rsidRPr="00AE0AD1">
        <w:rPr>
          <w:rFonts w:ascii="Open Sans" w:hAnsi="Open Sans" w:cs="Open Sans"/>
        </w:rPr>
        <w:t>’</w:t>
      </w:r>
      <w:r w:rsidRPr="00AE0AD1">
        <w:rPr>
          <w:rFonts w:ascii="Open Sans" w:hAnsi="Open Sans" w:cs="Open Sans"/>
        </w:rPr>
        <w:t xml:space="preserve">, but must be interpreted more broadly </w:t>
      </w:r>
      <w:r w:rsidR="00AE0AD1" w:rsidRPr="00AE0AD1">
        <w:rPr>
          <w:rFonts w:ascii="Open Sans" w:hAnsi="Open Sans" w:cs="Open Sans"/>
        </w:rPr>
        <w:t>‘</w:t>
      </w:r>
      <w:r w:rsidRPr="00AE0AD1">
        <w:rPr>
          <w:rFonts w:ascii="Open Sans" w:hAnsi="Open Sans" w:cs="Open Sans"/>
        </w:rPr>
        <w:t>to include elements of inappropriateness, injustice, lack of predictability and due process of law, as well as elements of reasonableness, necessity and proportionality</w:t>
      </w:r>
      <w:r w:rsidR="004C5785">
        <w:rPr>
          <w:rFonts w:ascii="Open Sans" w:hAnsi="Open Sans" w:cs="Open Sans"/>
        </w:rPr>
        <w:t>’</w:t>
      </w:r>
      <w:r w:rsidRPr="00AE0AD1">
        <w:rPr>
          <w:rFonts w:ascii="Open Sans" w:hAnsi="Open Sans" w:cs="Open Sans"/>
        </w:rPr>
        <w:t>.</w:t>
      </w:r>
      <w:r w:rsidRPr="00AE0AD1">
        <w:rPr>
          <w:rStyle w:val="EndnoteReference"/>
          <w:rFonts w:ascii="Open Sans" w:hAnsi="Open Sans" w:cs="Open Sans"/>
          <w:color w:val="1F1923"/>
        </w:rPr>
        <w:endnoteReference w:id="32"/>
      </w:r>
    </w:p>
    <w:p w14:paraId="1B1B2122" w14:textId="6FDE71F2"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The Commission agrees with the observation of the IGIS that a requirement that a person immediately accompany a police officer to a place of questioning effectively amounts to detention.</w:t>
      </w:r>
      <w:r w:rsidRPr="00AE0AD1">
        <w:rPr>
          <w:rStyle w:val="EndnoteReference"/>
          <w:rFonts w:ascii="Open Sans" w:hAnsi="Open Sans" w:cs="Open Sans"/>
          <w:color w:val="1F1923"/>
        </w:rPr>
        <w:endnoteReference w:id="33"/>
      </w:r>
      <w:r w:rsidRPr="00AE0AD1">
        <w:rPr>
          <w:rFonts w:ascii="Open Sans" w:hAnsi="Open Sans" w:cs="Open Sans"/>
        </w:rPr>
        <w:t xml:space="preserve"> In the absence of compelling evidence that appending these apprehension powers to ASIO’s powers under </w:t>
      </w:r>
      <w:r w:rsidR="00E062E2">
        <w:rPr>
          <w:rFonts w:ascii="Open Sans" w:hAnsi="Open Sans" w:cs="Open Sans"/>
        </w:rPr>
        <w:t>QW</w:t>
      </w:r>
      <w:r w:rsidRPr="00AE0AD1">
        <w:rPr>
          <w:rFonts w:ascii="Open Sans" w:hAnsi="Open Sans" w:cs="Open Sans"/>
        </w:rPr>
        <w:t>s</w:t>
      </w:r>
      <w:r w:rsidR="00F77C26">
        <w:rPr>
          <w:rFonts w:ascii="Open Sans" w:hAnsi="Open Sans" w:cs="Open Sans"/>
        </w:rPr>
        <w:t xml:space="preserve"> </w:t>
      </w:r>
      <w:r w:rsidRPr="00AE0AD1">
        <w:rPr>
          <w:rFonts w:ascii="Open Sans" w:hAnsi="Open Sans" w:cs="Open Sans"/>
        </w:rPr>
        <w:t xml:space="preserve">is necessary, the Commission considers that this proposal would involve the increased likelihood of </w:t>
      </w:r>
      <w:r w:rsidR="00E062E2">
        <w:rPr>
          <w:rFonts w:ascii="Open Sans" w:hAnsi="Open Sans" w:cs="Open Sans"/>
        </w:rPr>
        <w:t>QW</w:t>
      </w:r>
      <w:r w:rsidRPr="00AE0AD1">
        <w:rPr>
          <w:rFonts w:ascii="Open Sans" w:hAnsi="Open Sans" w:cs="Open Sans"/>
        </w:rPr>
        <w:t xml:space="preserve">s resulting in arbitrary detention, in violation of Article 9 of the ICCPR. </w:t>
      </w:r>
    </w:p>
    <w:p w14:paraId="7AD2C407" w14:textId="38F0C145"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ASIO has asserted that the current threat environment has evolved considerably since 11 September 2001 and</w:t>
      </w:r>
      <w:r w:rsidR="00A6026C">
        <w:rPr>
          <w:rFonts w:ascii="Open Sans" w:hAnsi="Open Sans" w:cs="Open Sans"/>
        </w:rPr>
        <w:t>, in June 2017, stated that it</w:t>
      </w:r>
      <w:r w:rsidRPr="00AE0AD1">
        <w:rPr>
          <w:rFonts w:ascii="Open Sans" w:hAnsi="Open Sans" w:cs="Open Sans"/>
        </w:rPr>
        <w:t xml:space="preserve"> is </w:t>
      </w:r>
      <w:r w:rsidR="00AE0AD1" w:rsidRPr="00AE0AD1">
        <w:rPr>
          <w:rFonts w:ascii="Open Sans" w:hAnsi="Open Sans" w:cs="Open Sans"/>
        </w:rPr>
        <w:t>‘</w:t>
      </w:r>
      <w:r w:rsidRPr="00AE0AD1">
        <w:rPr>
          <w:rFonts w:ascii="Open Sans" w:hAnsi="Open Sans" w:cs="Open Sans"/>
        </w:rPr>
        <w:t>steadily worsening</w:t>
      </w:r>
      <w:r w:rsidR="00AE0AD1" w:rsidRPr="00AE0AD1">
        <w:rPr>
          <w:rFonts w:ascii="Open Sans" w:hAnsi="Open Sans" w:cs="Open Sans"/>
        </w:rPr>
        <w:t>’</w:t>
      </w:r>
      <w:r w:rsidRPr="00AE0AD1">
        <w:rPr>
          <w:rFonts w:ascii="Open Sans" w:hAnsi="Open Sans" w:cs="Open Sans"/>
        </w:rPr>
        <w:t>.</w:t>
      </w:r>
      <w:r w:rsidRPr="00AE0AD1">
        <w:rPr>
          <w:rStyle w:val="EndnoteReference"/>
          <w:rFonts w:ascii="Open Sans" w:hAnsi="Open Sans" w:cs="Open Sans"/>
          <w:color w:val="1F1923"/>
        </w:rPr>
        <w:endnoteReference w:id="34"/>
      </w:r>
      <w:r w:rsidRPr="00AE0AD1">
        <w:rPr>
          <w:rFonts w:ascii="Open Sans" w:hAnsi="Open Sans" w:cs="Open Sans"/>
        </w:rPr>
        <w:t xml:space="preserve"> In its submission to the present inquiry, the Department of Home Affairs states that reform to the existing </w:t>
      </w:r>
      <w:r w:rsidR="00E062E2">
        <w:rPr>
          <w:rFonts w:ascii="Open Sans" w:hAnsi="Open Sans" w:cs="Open Sans"/>
        </w:rPr>
        <w:t>QW</w:t>
      </w:r>
      <w:r w:rsidRPr="00AE0AD1">
        <w:rPr>
          <w:rFonts w:ascii="Open Sans" w:hAnsi="Open Sans" w:cs="Open Sans"/>
        </w:rPr>
        <w:t xml:space="preserve"> framework of the ASIO Act is necessary </w:t>
      </w:r>
      <w:r w:rsidR="00AE0AD1" w:rsidRPr="00AE0AD1">
        <w:rPr>
          <w:rFonts w:ascii="Open Sans" w:hAnsi="Open Sans" w:cs="Open Sans"/>
        </w:rPr>
        <w:t>‘</w:t>
      </w:r>
      <w:r w:rsidRPr="00AE0AD1">
        <w:rPr>
          <w:rFonts w:ascii="Open Sans" w:hAnsi="Open Sans" w:cs="Open Sans"/>
        </w:rPr>
        <w:t>to optimise the powers for the current security environment and ensure ASIO may utilise these powers to protect Australians from the most serious threats to security</w:t>
      </w:r>
      <w:r w:rsidR="00EB534D">
        <w:rPr>
          <w:rFonts w:ascii="Open Sans" w:hAnsi="Open Sans" w:cs="Open Sans"/>
        </w:rPr>
        <w:t>’</w:t>
      </w:r>
      <w:r w:rsidR="006552B1">
        <w:rPr>
          <w:rFonts w:ascii="Open Sans" w:hAnsi="Open Sans" w:cs="Open Sans"/>
        </w:rPr>
        <w:t>.</w:t>
      </w:r>
      <w:r w:rsidRPr="00AE0AD1">
        <w:rPr>
          <w:rStyle w:val="EndnoteReference"/>
          <w:rFonts w:ascii="Open Sans" w:hAnsi="Open Sans" w:cs="Open Sans"/>
          <w:color w:val="1F1923"/>
        </w:rPr>
        <w:endnoteReference w:id="35"/>
      </w:r>
    </w:p>
    <w:p w14:paraId="02B746F8" w14:textId="23825E25"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The Commission endorses the proposal to repeal </w:t>
      </w:r>
      <w:r w:rsidR="00BC5132">
        <w:rPr>
          <w:rFonts w:ascii="Open Sans" w:hAnsi="Open Sans" w:cs="Open Sans"/>
        </w:rPr>
        <w:t xml:space="preserve">the current </w:t>
      </w:r>
      <w:r w:rsidRPr="00AE0AD1">
        <w:rPr>
          <w:rFonts w:ascii="Open Sans" w:hAnsi="Open Sans" w:cs="Open Sans"/>
        </w:rPr>
        <w:t>QDW</w:t>
      </w:r>
      <w:r w:rsidR="00BC5132">
        <w:rPr>
          <w:rFonts w:ascii="Open Sans" w:hAnsi="Open Sans" w:cs="Open Sans"/>
        </w:rPr>
        <w:t xml:space="preserve"> provisions</w:t>
      </w:r>
      <w:r w:rsidRPr="00AE0AD1">
        <w:rPr>
          <w:rFonts w:ascii="Open Sans" w:hAnsi="Open Sans" w:cs="Open Sans"/>
        </w:rPr>
        <w:t xml:space="preserve">. </w:t>
      </w:r>
      <w:r w:rsidR="00BC5132">
        <w:rPr>
          <w:rFonts w:ascii="Open Sans" w:hAnsi="Open Sans" w:cs="Open Sans"/>
        </w:rPr>
        <w:t>Two</w:t>
      </w:r>
      <w:r w:rsidR="00BC5132" w:rsidRPr="00AE0AD1">
        <w:rPr>
          <w:rFonts w:ascii="Open Sans" w:hAnsi="Open Sans" w:cs="Open Sans"/>
        </w:rPr>
        <w:t xml:space="preserve"> </w:t>
      </w:r>
      <w:r w:rsidRPr="00AE0AD1">
        <w:rPr>
          <w:rFonts w:ascii="Open Sans" w:hAnsi="Open Sans" w:cs="Open Sans"/>
        </w:rPr>
        <w:t xml:space="preserve">former INSLMs and the Commission have called repeatedly for their repeal, </w:t>
      </w:r>
      <w:r w:rsidR="008C524B">
        <w:rPr>
          <w:rFonts w:ascii="Open Sans" w:hAnsi="Open Sans" w:cs="Open Sans"/>
        </w:rPr>
        <w:t>on the basis that those powers are,</w:t>
      </w:r>
      <w:r w:rsidRPr="00AE0AD1">
        <w:rPr>
          <w:rFonts w:ascii="Open Sans" w:hAnsi="Open Sans" w:cs="Open Sans"/>
        </w:rPr>
        <w:t xml:space="preserve"> in the words of former INSLM the Hon Roger </w:t>
      </w:r>
      <w:proofErr w:type="spellStart"/>
      <w:r w:rsidRPr="00AE0AD1">
        <w:rPr>
          <w:rFonts w:ascii="Open Sans" w:hAnsi="Open Sans" w:cs="Open Sans"/>
        </w:rPr>
        <w:t>Gyles</w:t>
      </w:r>
      <w:proofErr w:type="spellEnd"/>
      <w:r w:rsidRPr="00AE0AD1">
        <w:rPr>
          <w:rFonts w:ascii="Open Sans" w:hAnsi="Open Sans" w:cs="Open Sans"/>
        </w:rPr>
        <w:t xml:space="preserve"> AO:</w:t>
      </w:r>
    </w:p>
    <w:p w14:paraId="4C2A4679" w14:textId="77777777" w:rsidR="00385C0A" w:rsidRPr="00AE0AD1" w:rsidRDefault="00385C0A" w:rsidP="00371D79">
      <w:pPr>
        <w:pStyle w:val="NormalWeb"/>
        <w:ind w:left="1440"/>
        <w:jc w:val="both"/>
        <w:rPr>
          <w:rFonts w:ascii="Open Sans" w:hAnsi="Open Sans" w:cs="Open Sans"/>
        </w:rPr>
      </w:pPr>
      <w:r w:rsidRPr="00AE0AD1">
        <w:rPr>
          <w:rFonts w:ascii="Open Sans" w:hAnsi="Open Sans" w:cs="Open Sans"/>
          <w:sz w:val="22"/>
          <w:szCs w:val="22"/>
        </w:rPr>
        <w:t>not proportionate to the threat of terrorism and are not necessary to carry out Australia’s counter-terrorism and international security obligations.</w:t>
      </w:r>
      <w:r w:rsidRPr="00AE0AD1">
        <w:rPr>
          <w:rStyle w:val="EndnoteReference"/>
          <w:rFonts w:ascii="Open Sans" w:hAnsi="Open Sans" w:cs="Open Sans"/>
          <w:sz w:val="22"/>
          <w:szCs w:val="22"/>
        </w:rPr>
        <w:endnoteReference w:id="36"/>
      </w:r>
      <w:r w:rsidRPr="00AE0AD1">
        <w:rPr>
          <w:rFonts w:ascii="Open Sans" w:hAnsi="Open Sans" w:cs="Open Sans"/>
          <w:sz w:val="22"/>
          <w:szCs w:val="22"/>
        </w:rPr>
        <w:t xml:space="preserve"> </w:t>
      </w:r>
    </w:p>
    <w:p w14:paraId="24E03E3D" w14:textId="1EB7A681" w:rsidR="008C524B" w:rsidRDefault="008C524B" w:rsidP="003137B7">
      <w:pPr>
        <w:pStyle w:val="SubmissionNormal"/>
        <w:tabs>
          <w:tab w:val="num" w:pos="864"/>
        </w:tabs>
        <w:rPr>
          <w:rFonts w:ascii="Open Sans" w:hAnsi="Open Sans" w:cs="Open Sans"/>
        </w:rPr>
      </w:pPr>
      <w:r>
        <w:rPr>
          <w:rFonts w:ascii="Open Sans" w:hAnsi="Open Sans" w:cs="Open Sans"/>
        </w:rPr>
        <w:t>The former INLSM went on to say:</w:t>
      </w:r>
    </w:p>
    <w:p w14:paraId="067B6D92" w14:textId="677A5081" w:rsidR="008C524B" w:rsidRPr="00962267" w:rsidRDefault="008C524B" w:rsidP="00962267">
      <w:pPr>
        <w:pStyle w:val="NormalWeb"/>
        <w:ind w:left="1440"/>
        <w:jc w:val="both"/>
        <w:rPr>
          <w:rFonts w:ascii="Open Sans" w:hAnsi="Open Sans" w:cs="Open Sans"/>
          <w:sz w:val="22"/>
          <w:szCs w:val="22"/>
        </w:rPr>
      </w:pPr>
      <w:r w:rsidRPr="00962267">
        <w:rPr>
          <w:rFonts w:ascii="Open Sans" w:hAnsi="Open Sans" w:cs="Open Sans"/>
          <w:sz w:val="22"/>
          <w:szCs w:val="22"/>
        </w:rPr>
        <w:t>It is time to accept that the capacity to secretly and immediately detain persons</w:t>
      </w:r>
      <w:r>
        <w:rPr>
          <w:rFonts w:ascii="Open Sans" w:hAnsi="Open Sans" w:cs="Open Sans"/>
          <w:sz w:val="22"/>
          <w:szCs w:val="22"/>
        </w:rPr>
        <w:t xml:space="preserve"> </w:t>
      </w:r>
      <w:r w:rsidRPr="00962267">
        <w:rPr>
          <w:rFonts w:ascii="Open Sans" w:hAnsi="Open Sans" w:cs="Open Sans"/>
          <w:sz w:val="22"/>
          <w:szCs w:val="22"/>
        </w:rPr>
        <w:t>whether or not they are implicated in terrorism is a step too far.</w:t>
      </w:r>
      <w:r w:rsidR="007B46BC">
        <w:rPr>
          <w:rStyle w:val="EndnoteReference"/>
          <w:rFonts w:cs="Open Sans"/>
          <w:szCs w:val="22"/>
        </w:rPr>
        <w:endnoteReference w:id="37"/>
      </w:r>
    </w:p>
    <w:p w14:paraId="0CDE7A83" w14:textId="685A2B3A" w:rsidR="00385C0A" w:rsidRPr="00AE0AD1" w:rsidRDefault="008C524B" w:rsidP="003137B7">
      <w:pPr>
        <w:pStyle w:val="SubmissionNormal"/>
        <w:tabs>
          <w:tab w:val="num" w:pos="864"/>
        </w:tabs>
        <w:rPr>
          <w:rFonts w:ascii="Open Sans" w:hAnsi="Open Sans" w:cs="Open Sans"/>
        </w:rPr>
      </w:pPr>
      <w:r>
        <w:rPr>
          <w:rFonts w:ascii="Open Sans" w:hAnsi="Open Sans" w:cs="Open Sans"/>
        </w:rPr>
        <w:t xml:space="preserve">Yet a </w:t>
      </w:r>
      <w:r w:rsidR="00576142">
        <w:rPr>
          <w:rFonts w:ascii="Open Sans" w:hAnsi="Open Sans" w:cs="Open Sans"/>
        </w:rPr>
        <w:t>‘</w:t>
      </w:r>
      <w:r>
        <w:rPr>
          <w:rFonts w:ascii="Open Sans" w:hAnsi="Open Sans" w:cs="Open Sans"/>
        </w:rPr>
        <w:t xml:space="preserve">power to </w:t>
      </w:r>
      <w:r w:rsidR="00576142">
        <w:rPr>
          <w:rFonts w:ascii="Open Sans" w:hAnsi="Open Sans" w:cs="Open Sans"/>
        </w:rPr>
        <w:t xml:space="preserve">secretly and immediately detain’ is precisely what the new apprehension powers in the Bill amount to. </w:t>
      </w:r>
      <w:r w:rsidR="00385C0A" w:rsidRPr="00AE0AD1">
        <w:rPr>
          <w:rFonts w:ascii="Open Sans" w:hAnsi="Open Sans" w:cs="Open Sans"/>
        </w:rPr>
        <w:t xml:space="preserve">The Commission’s view is that amending the compulsory questioning framework to include powers of apprehension is neither necessary nor proportionate to achieving the objective of protecting Australia’s national security interests, for the following reasons. </w:t>
      </w:r>
    </w:p>
    <w:p w14:paraId="4E0EA2F2" w14:textId="6E9586B2"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lastRenderedPageBreak/>
        <w:t xml:space="preserve">First, no evidence has been provided to demonstrate why the current </w:t>
      </w:r>
      <w:r w:rsidR="00E062E2">
        <w:rPr>
          <w:rFonts w:ascii="Open Sans" w:hAnsi="Open Sans" w:cs="Open Sans"/>
        </w:rPr>
        <w:t>QW</w:t>
      </w:r>
      <w:r w:rsidRPr="00AE0AD1">
        <w:rPr>
          <w:rFonts w:ascii="Open Sans" w:hAnsi="Open Sans" w:cs="Open Sans"/>
        </w:rPr>
        <w:t xml:space="preserve"> regime is </w:t>
      </w:r>
      <w:r w:rsidR="45DC8531" w:rsidRPr="7EA2DDC8">
        <w:rPr>
          <w:rFonts w:ascii="Open Sans" w:hAnsi="Open Sans" w:cs="Open Sans"/>
        </w:rPr>
        <w:t>inadequate to fulfil</w:t>
      </w:r>
      <w:r w:rsidRPr="00AE0AD1">
        <w:rPr>
          <w:rFonts w:ascii="Open Sans" w:hAnsi="Open Sans" w:cs="Open Sans"/>
        </w:rPr>
        <w:t xml:space="preserve"> their purpose of protecting national security. </w:t>
      </w:r>
    </w:p>
    <w:p w14:paraId="228DEFF6" w14:textId="2D1E9FFC"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No detention warrants have ever been issued since the powers were first introduced in 2002. While 15 </w:t>
      </w:r>
      <w:r w:rsidR="00E062E2">
        <w:rPr>
          <w:rFonts w:ascii="Open Sans" w:hAnsi="Open Sans" w:cs="Open Sans"/>
        </w:rPr>
        <w:t>QW</w:t>
      </w:r>
      <w:r w:rsidRPr="00AE0AD1">
        <w:rPr>
          <w:rFonts w:ascii="Open Sans" w:hAnsi="Open Sans" w:cs="Open Sans"/>
        </w:rPr>
        <w:t xml:space="preserve">s were issued between 2004 and 2006, only one has been issued between 2006 and today. In none of those 16 cases was it necessary for the subject of the warrant to be detained for questioning. </w:t>
      </w:r>
    </w:p>
    <w:p w14:paraId="3A3B863C" w14:textId="77777777"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The Commission agrees with Professor George Williams that such limited use in the last 16 years:</w:t>
      </w:r>
    </w:p>
    <w:p w14:paraId="18998BC8" w14:textId="6F69612C" w:rsidR="00385C0A" w:rsidRPr="00AE0AD1" w:rsidRDefault="00385C0A" w:rsidP="00371D79">
      <w:pPr>
        <w:spacing w:before="100" w:beforeAutospacing="1" w:after="100" w:afterAutospacing="1"/>
        <w:ind w:left="1440"/>
        <w:jc w:val="both"/>
        <w:rPr>
          <w:rFonts w:ascii="Open Sans" w:eastAsia="Times New Roman" w:hAnsi="Open Sans" w:cs="Open Sans"/>
          <w:color w:val="1F1923"/>
          <w:sz w:val="22"/>
          <w:szCs w:val="22"/>
        </w:rPr>
      </w:pPr>
      <w:r w:rsidRPr="00AE0AD1">
        <w:rPr>
          <w:rFonts w:ascii="Open Sans" w:eastAsia="Times New Roman" w:hAnsi="Open Sans" w:cs="Open Sans"/>
          <w:color w:val="1F1923"/>
          <w:sz w:val="22"/>
          <w:szCs w:val="22"/>
        </w:rPr>
        <w:t>coincides with the fact that since this was first brought into place a range of other mechanisms have been introduced</w:t>
      </w:r>
      <w:r w:rsidR="775C7E24" w:rsidRPr="00AE0AD1">
        <w:rPr>
          <w:rFonts w:ascii="Open Sans" w:eastAsia="Times New Roman" w:hAnsi="Open Sans" w:cs="Open Sans"/>
          <w:color w:val="1F1923"/>
          <w:sz w:val="22"/>
          <w:szCs w:val="22"/>
        </w:rPr>
        <w:t xml:space="preserve"> </w:t>
      </w:r>
      <w:r w:rsidRPr="00AE0AD1">
        <w:rPr>
          <w:rFonts w:ascii="Open Sans" w:eastAsia="Times New Roman" w:hAnsi="Open Sans" w:cs="Open Sans"/>
          <w:color w:val="1F1923"/>
          <w:sz w:val="22"/>
          <w:szCs w:val="22"/>
        </w:rPr>
        <w:t xml:space="preserve">... </w:t>
      </w:r>
      <w:r w:rsidR="00CB6049">
        <w:rPr>
          <w:rFonts w:ascii="Open Sans" w:eastAsia="Times New Roman" w:hAnsi="Open Sans" w:cs="Open Sans"/>
          <w:color w:val="1F1923"/>
          <w:sz w:val="22"/>
          <w:szCs w:val="22"/>
        </w:rPr>
        <w:t>[I</w:t>
      </w:r>
      <w:r w:rsidR="00DA2A44">
        <w:rPr>
          <w:rFonts w:ascii="Open Sans" w:eastAsia="Times New Roman" w:hAnsi="Open Sans" w:cs="Open Sans"/>
          <w:color w:val="1F1923"/>
          <w:sz w:val="22"/>
          <w:szCs w:val="22"/>
        </w:rPr>
        <w:t>]</w:t>
      </w:r>
      <w:r w:rsidR="00CB6049">
        <w:rPr>
          <w:rFonts w:ascii="Open Sans" w:eastAsia="Times New Roman" w:hAnsi="Open Sans" w:cs="Open Sans"/>
          <w:color w:val="1F1923"/>
          <w:sz w:val="22"/>
          <w:szCs w:val="22"/>
        </w:rPr>
        <w:t>n</w:t>
      </w:r>
      <w:r w:rsidRPr="00AE0AD1">
        <w:rPr>
          <w:rFonts w:ascii="Open Sans" w:eastAsia="Times New Roman" w:hAnsi="Open Sans" w:cs="Open Sans"/>
          <w:color w:val="1F1923"/>
          <w:sz w:val="22"/>
          <w:szCs w:val="22"/>
        </w:rPr>
        <w:t xml:space="preserve"> 2003 there were no control orders. We did not have preventative questioning in the AFP in the form we now do. In fact, a range of other things were not on the books either, including at the state level.</w:t>
      </w:r>
      <w:r w:rsidRPr="00AE0AD1">
        <w:rPr>
          <w:rStyle w:val="EndnoteReference"/>
          <w:rFonts w:ascii="Open Sans" w:eastAsia="Times New Roman" w:hAnsi="Open Sans" w:cs="Open Sans"/>
          <w:color w:val="1F1923"/>
          <w:sz w:val="22"/>
          <w:szCs w:val="22"/>
        </w:rPr>
        <w:endnoteReference w:id="38"/>
      </w:r>
    </w:p>
    <w:p w14:paraId="55944548" w14:textId="1F1D9F70"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It is not surprising therefore that the use of </w:t>
      </w:r>
      <w:r w:rsidR="00E062E2">
        <w:rPr>
          <w:rFonts w:ascii="Open Sans" w:hAnsi="Open Sans" w:cs="Open Sans"/>
        </w:rPr>
        <w:t>QW</w:t>
      </w:r>
      <w:r w:rsidRPr="00AE0AD1">
        <w:rPr>
          <w:rFonts w:ascii="Open Sans" w:hAnsi="Open Sans" w:cs="Open Sans"/>
        </w:rPr>
        <w:t xml:space="preserve">s has dropped, because there are other mechanisms to obtain relevant information, as well as other agencies empowered to obtain it. As Professor Williams points out, </w:t>
      </w:r>
      <w:r w:rsidR="00AE0AD1" w:rsidRPr="00AE0AD1">
        <w:rPr>
          <w:rFonts w:ascii="Open Sans" w:hAnsi="Open Sans" w:cs="Open Sans"/>
        </w:rPr>
        <w:t>‘</w:t>
      </w:r>
      <w:r w:rsidRPr="00AE0AD1">
        <w:rPr>
          <w:rFonts w:ascii="Open Sans" w:hAnsi="Open Sans" w:cs="Open Sans"/>
        </w:rPr>
        <w:t>the utility it serves is just not the case as it was when it was first enacted.</w:t>
      </w:r>
      <w:r w:rsidR="00AE0AD1" w:rsidRPr="00AE0AD1">
        <w:rPr>
          <w:rFonts w:ascii="Open Sans" w:hAnsi="Open Sans" w:cs="Open Sans"/>
        </w:rPr>
        <w:t>’</w:t>
      </w:r>
      <w:r w:rsidRPr="00AE0AD1">
        <w:rPr>
          <w:rStyle w:val="EndnoteReference"/>
          <w:rFonts w:ascii="Open Sans" w:hAnsi="Open Sans" w:cs="Open Sans"/>
          <w:color w:val="1F1923"/>
        </w:rPr>
        <w:endnoteReference w:id="39"/>
      </w:r>
      <w:r w:rsidRPr="00AE0AD1">
        <w:rPr>
          <w:rFonts w:ascii="Open Sans" w:hAnsi="Open Sans" w:cs="Open Sans"/>
        </w:rPr>
        <w:t xml:space="preserve"> It is hard to see why it is necessary or proportionate to expand the already extraordinary </w:t>
      </w:r>
      <w:r w:rsidR="00E062E2">
        <w:rPr>
          <w:rFonts w:ascii="Open Sans" w:hAnsi="Open Sans" w:cs="Open Sans"/>
        </w:rPr>
        <w:t>QW</w:t>
      </w:r>
      <w:r w:rsidRPr="00AE0AD1">
        <w:rPr>
          <w:rFonts w:ascii="Open Sans" w:hAnsi="Open Sans" w:cs="Open Sans"/>
        </w:rPr>
        <w:t xml:space="preserve"> regime, when there are clearly other intelligence-gathering agencies and mechanisms</w:t>
      </w:r>
      <w:r w:rsidR="00700ED4">
        <w:rPr>
          <w:rFonts w:ascii="Open Sans" w:hAnsi="Open Sans" w:cs="Open Sans"/>
        </w:rPr>
        <w:t>—</w:t>
      </w:r>
      <w:r w:rsidRPr="00AE0AD1">
        <w:rPr>
          <w:rFonts w:ascii="Open Sans" w:hAnsi="Open Sans" w:cs="Open Sans"/>
        </w:rPr>
        <w:t>which involve more oversight and public scrutiny</w:t>
      </w:r>
      <w:r w:rsidR="00700ED4">
        <w:rPr>
          <w:rFonts w:ascii="Open Sans" w:hAnsi="Open Sans" w:cs="Open Sans"/>
        </w:rPr>
        <w:t>—</w:t>
      </w:r>
      <w:r w:rsidRPr="00AE0AD1">
        <w:rPr>
          <w:rFonts w:ascii="Open Sans" w:hAnsi="Open Sans" w:cs="Open Sans"/>
        </w:rPr>
        <w:t xml:space="preserve">that can be and are more readily used instead. No compelling evidence or argument has been presented that the </w:t>
      </w:r>
      <w:r w:rsidR="00AE0AD1" w:rsidRPr="00AE0AD1">
        <w:rPr>
          <w:rFonts w:ascii="Open Sans" w:hAnsi="Open Sans" w:cs="Open Sans"/>
        </w:rPr>
        <w:t>‘</w:t>
      </w:r>
      <w:r w:rsidRPr="00AE0AD1">
        <w:rPr>
          <w:rFonts w:ascii="Open Sans" w:hAnsi="Open Sans" w:cs="Open Sans"/>
        </w:rPr>
        <w:t>steadily worsening</w:t>
      </w:r>
      <w:r w:rsidR="00AE0AD1" w:rsidRPr="00AE0AD1">
        <w:rPr>
          <w:rFonts w:ascii="Open Sans" w:hAnsi="Open Sans" w:cs="Open Sans"/>
        </w:rPr>
        <w:t>’</w:t>
      </w:r>
      <w:r w:rsidRPr="00AE0AD1">
        <w:rPr>
          <w:rFonts w:ascii="Open Sans" w:hAnsi="Open Sans" w:cs="Open Sans"/>
        </w:rPr>
        <w:t xml:space="preserve"> security environment requires these additional powers.</w:t>
      </w:r>
      <w:r w:rsidRPr="00AE0AD1">
        <w:rPr>
          <w:rStyle w:val="EndnoteReference"/>
          <w:rFonts w:ascii="Open Sans" w:hAnsi="Open Sans" w:cs="Open Sans"/>
          <w:color w:val="1F1923"/>
        </w:rPr>
        <w:endnoteReference w:id="40"/>
      </w:r>
    </w:p>
    <w:p w14:paraId="3432BBE4" w14:textId="77777777"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Secondly, as the Commission argued in its submission to this Committee in 2017, the proposal is inconsistent with the conclusions of the 2016 </w:t>
      </w:r>
      <w:proofErr w:type="spellStart"/>
      <w:r w:rsidRPr="00AE0AD1">
        <w:rPr>
          <w:rFonts w:ascii="Open Sans" w:hAnsi="Open Sans" w:cs="Open Sans"/>
        </w:rPr>
        <w:t>Gyles</w:t>
      </w:r>
      <w:proofErr w:type="spellEnd"/>
      <w:r w:rsidRPr="00AE0AD1">
        <w:rPr>
          <w:rFonts w:ascii="Open Sans" w:hAnsi="Open Sans" w:cs="Open Sans"/>
        </w:rPr>
        <w:t xml:space="preserve"> Review. That review concluded that a scheme of immediate executive detention for the purpose of compulsory questioning is ‘a step too far’.</w:t>
      </w:r>
      <w:r w:rsidRPr="00AE0AD1">
        <w:rPr>
          <w:rStyle w:val="EndnoteReference"/>
          <w:rFonts w:ascii="Open Sans" w:hAnsi="Open Sans" w:cs="Open Sans"/>
          <w:color w:val="1F1923"/>
        </w:rPr>
        <w:endnoteReference w:id="41"/>
      </w:r>
      <w:r w:rsidRPr="00AE0AD1">
        <w:rPr>
          <w:rFonts w:ascii="Open Sans" w:hAnsi="Open Sans" w:cs="Open Sans"/>
        </w:rPr>
        <w:t xml:space="preserve"> That finding applies equally to the QDW regime as it currently stands or to any equivalent scheme designed to replace it. All of the factors identified in the 2016 </w:t>
      </w:r>
      <w:proofErr w:type="spellStart"/>
      <w:r w:rsidRPr="00AE0AD1">
        <w:rPr>
          <w:rFonts w:ascii="Open Sans" w:hAnsi="Open Sans" w:cs="Open Sans"/>
        </w:rPr>
        <w:t>Gyles</w:t>
      </w:r>
      <w:proofErr w:type="spellEnd"/>
      <w:r w:rsidRPr="00AE0AD1">
        <w:rPr>
          <w:rFonts w:ascii="Open Sans" w:hAnsi="Open Sans" w:cs="Open Sans"/>
        </w:rPr>
        <w:t xml:space="preserve"> Review in support of the conclusion that the QDW regime should be discontinued would apply equally to any new questioning regime allowing for the issuing of a warrant authorising immediate apprehension by, or on behalf of, ASIO for the purpose of compulsory questioning. </w:t>
      </w:r>
    </w:p>
    <w:p w14:paraId="67D3FA07" w14:textId="0938399F" w:rsidR="00385C0A" w:rsidRDefault="00C9160C" w:rsidP="003137B7">
      <w:pPr>
        <w:pStyle w:val="SubmissionNormal"/>
        <w:tabs>
          <w:tab w:val="num" w:pos="864"/>
        </w:tabs>
        <w:rPr>
          <w:rFonts w:ascii="Open Sans" w:hAnsi="Open Sans" w:cs="Open Sans"/>
        </w:rPr>
      </w:pPr>
      <w:r>
        <w:rPr>
          <w:rFonts w:ascii="Open Sans" w:hAnsi="Open Sans" w:cs="Open Sans"/>
        </w:rPr>
        <w:t xml:space="preserve">For the reasons above, the </w:t>
      </w:r>
      <w:r w:rsidR="00A6026C">
        <w:rPr>
          <w:rFonts w:ascii="Open Sans" w:hAnsi="Open Sans" w:cs="Open Sans"/>
        </w:rPr>
        <w:t xml:space="preserve">Commission endorses those provisions of the </w:t>
      </w:r>
      <w:r>
        <w:rPr>
          <w:rFonts w:ascii="Open Sans" w:hAnsi="Open Sans" w:cs="Open Sans"/>
        </w:rPr>
        <w:t>Bill</w:t>
      </w:r>
      <w:r w:rsidR="00A6026C">
        <w:rPr>
          <w:rFonts w:ascii="Open Sans" w:hAnsi="Open Sans" w:cs="Open Sans"/>
        </w:rPr>
        <w:t xml:space="preserve"> that </w:t>
      </w:r>
      <w:r>
        <w:rPr>
          <w:rFonts w:ascii="Open Sans" w:hAnsi="Open Sans" w:cs="Open Sans"/>
        </w:rPr>
        <w:t xml:space="preserve">repeal the current QDW regime. </w:t>
      </w:r>
      <w:r w:rsidR="00A6026C">
        <w:rPr>
          <w:rFonts w:ascii="Open Sans" w:hAnsi="Open Sans" w:cs="Open Sans"/>
        </w:rPr>
        <w:t>However, i</w:t>
      </w:r>
      <w:r>
        <w:rPr>
          <w:rFonts w:ascii="Open Sans" w:hAnsi="Open Sans" w:cs="Open Sans"/>
        </w:rPr>
        <w:t>nsofar as</w:t>
      </w:r>
      <w:r w:rsidDel="00A6026C">
        <w:rPr>
          <w:rFonts w:ascii="Open Sans" w:hAnsi="Open Sans" w:cs="Open Sans"/>
        </w:rPr>
        <w:t xml:space="preserve"> </w:t>
      </w:r>
      <w:r w:rsidR="00A6026C">
        <w:rPr>
          <w:rFonts w:ascii="Open Sans" w:hAnsi="Open Sans" w:cs="Open Sans"/>
        </w:rPr>
        <w:t xml:space="preserve">the Bill </w:t>
      </w:r>
      <w:r>
        <w:rPr>
          <w:rFonts w:ascii="Open Sans" w:hAnsi="Open Sans" w:cs="Open Sans"/>
        </w:rPr>
        <w:t xml:space="preserve">replaces the current QW regime with one that allows for immediate </w:t>
      </w:r>
      <w:r>
        <w:rPr>
          <w:rFonts w:ascii="Open Sans" w:hAnsi="Open Sans" w:cs="Open Sans"/>
        </w:rPr>
        <w:lastRenderedPageBreak/>
        <w:t>detention (or ‘apprehension’) for the purposes of questioning, the Bill should not be passed. Further, no revised QW regime should be introduced that allows for immediate detention for the purpose of questioning.</w:t>
      </w:r>
    </w:p>
    <w:p w14:paraId="782A6B85" w14:textId="1E6E6787" w:rsidR="00602789" w:rsidRDefault="00246D33" w:rsidP="00246D33">
      <w:pPr>
        <w:pStyle w:val="SubmissionNormal"/>
        <w:numPr>
          <w:ilvl w:val="0"/>
          <w:numId w:val="0"/>
        </w:numPr>
        <w:ind w:left="792"/>
        <w:rPr>
          <w:rFonts w:ascii="Open Sans" w:hAnsi="Open Sans" w:cs="Open Sans"/>
          <w:b/>
          <w:bCs/>
        </w:rPr>
      </w:pPr>
      <w:r>
        <w:rPr>
          <w:rFonts w:ascii="Open Sans" w:hAnsi="Open Sans" w:cs="Open Sans"/>
          <w:b/>
          <w:bCs/>
        </w:rPr>
        <w:t>Recommendation 1</w:t>
      </w:r>
    </w:p>
    <w:p w14:paraId="0C8662E3" w14:textId="2EBEDC63" w:rsidR="00246D33" w:rsidRDefault="00246D33" w:rsidP="004B3114">
      <w:pPr>
        <w:pStyle w:val="SubmissionNormal"/>
        <w:numPr>
          <w:ilvl w:val="0"/>
          <w:numId w:val="0"/>
        </w:numPr>
        <w:ind w:left="792"/>
        <w:rPr>
          <w:rFonts w:ascii="Open Sans" w:hAnsi="Open Sans" w:cs="Open Sans"/>
          <w:color w:val="1F1923"/>
          <w:lang w:val="en-US"/>
        </w:rPr>
      </w:pPr>
      <w:r>
        <w:rPr>
          <w:rFonts w:ascii="Open Sans" w:hAnsi="Open Sans" w:cs="Open Sans"/>
          <w:color w:val="1F1923"/>
          <w:lang w:val="en-US"/>
        </w:rPr>
        <w:t>The</w:t>
      </w:r>
      <w:r w:rsidR="00107C9A">
        <w:rPr>
          <w:rFonts w:ascii="Open Sans" w:hAnsi="Open Sans" w:cs="Open Sans"/>
          <w:color w:val="1F1923"/>
          <w:lang w:val="en-US"/>
        </w:rPr>
        <w:t xml:space="preserve"> </w:t>
      </w:r>
      <w:r>
        <w:rPr>
          <w:rFonts w:ascii="Open Sans" w:hAnsi="Open Sans" w:cs="Open Sans"/>
          <w:color w:val="1F1923"/>
          <w:lang w:val="en-US"/>
        </w:rPr>
        <w:t>provisions of the Bill</w:t>
      </w:r>
      <w:r w:rsidR="004A4BC2">
        <w:rPr>
          <w:rFonts w:ascii="Open Sans" w:hAnsi="Open Sans" w:cs="Open Sans"/>
          <w:color w:val="1F1923"/>
          <w:lang w:val="en-US"/>
        </w:rPr>
        <w:t xml:space="preserve"> that </w:t>
      </w:r>
      <w:r>
        <w:rPr>
          <w:rFonts w:ascii="Open Sans" w:hAnsi="Open Sans" w:cs="Open Sans"/>
          <w:color w:val="1F1923"/>
          <w:lang w:val="en-US"/>
        </w:rPr>
        <w:t>would repeal the questioning and detention warrant regime in the ASIO Act should be passed. However, the Bill should be amended to remove the proposed new questioning warrant regime.</w:t>
      </w:r>
    </w:p>
    <w:p w14:paraId="66E39E6A" w14:textId="77777777" w:rsidR="00325C4D" w:rsidRPr="006045FF" w:rsidRDefault="00325C4D" w:rsidP="00325C4D">
      <w:pPr>
        <w:spacing w:after="120"/>
        <w:ind w:left="720"/>
        <w:rPr>
          <w:rFonts w:ascii="Open Sans" w:eastAsia="Times New Roman" w:hAnsi="Open Sans" w:cs="Open Sans"/>
          <w:b/>
          <w:bCs/>
          <w:color w:val="1F1923"/>
          <w:lang w:val="en-US"/>
        </w:rPr>
      </w:pPr>
      <w:r>
        <w:rPr>
          <w:rFonts w:ascii="Open Sans" w:eastAsia="Times New Roman" w:hAnsi="Open Sans" w:cs="Open Sans"/>
          <w:b/>
          <w:bCs/>
          <w:color w:val="1F1923"/>
          <w:lang w:val="en-US"/>
        </w:rPr>
        <w:t>Recommendation 2</w:t>
      </w:r>
    </w:p>
    <w:p w14:paraId="77AD650A" w14:textId="4666A2F8" w:rsidR="00325C4D" w:rsidRPr="00A53C93" w:rsidRDefault="00016E21" w:rsidP="00A53C93">
      <w:pPr>
        <w:spacing w:after="120"/>
        <w:ind w:left="720"/>
        <w:rPr>
          <w:rFonts w:ascii="Open Sans" w:eastAsia="Times New Roman" w:hAnsi="Open Sans" w:cs="Open Sans"/>
          <w:color w:val="1F1923"/>
        </w:rPr>
      </w:pPr>
      <w:r>
        <w:rPr>
          <w:rFonts w:ascii="Open Sans" w:eastAsia="Times New Roman" w:hAnsi="Open Sans" w:cs="Open Sans"/>
          <w:color w:val="1F1923"/>
        </w:rPr>
        <w:t>If</w:t>
      </w:r>
      <w:r w:rsidR="000C15B5">
        <w:rPr>
          <w:rFonts w:ascii="Open Sans" w:eastAsia="Times New Roman" w:hAnsi="Open Sans" w:cs="Open Sans"/>
          <w:color w:val="1F1923"/>
        </w:rPr>
        <w:t xml:space="preserve"> </w:t>
      </w:r>
      <w:r>
        <w:rPr>
          <w:rFonts w:ascii="Open Sans" w:eastAsia="Times New Roman" w:hAnsi="Open Sans" w:cs="Open Sans"/>
          <w:color w:val="1F1923"/>
        </w:rPr>
        <w:t>the Bill proceeds, t</w:t>
      </w:r>
      <w:r w:rsidR="00325C4D" w:rsidRPr="006045FF">
        <w:rPr>
          <w:rFonts w:ascii="Open Sans" w:eastAsia="Times New Roman" w:hAnsi="Open Sans" w:cs="Open Sans"/>
          <w:color w:val="1F1923"/>
        </w:rPr>
        <w:t xml:space="preserve">he provisions allowing for the immediate apprehension of the subject of a QW </w:t>
      </w:r>
      <w:r w:rsidR="00325C4D">
        <w:rPr>
          <w:rFonts w:ascii="Open Sans" w:eastAsia="Times New Roman" w:hAnsi="Open Sans" w:cs="Open Sans"/>
          <w:color w:val="1F1923"/>
        </w:rPr>
        <w:t>should be</w:t>
      </w:r>
      <w:r w:rsidR="00325C4D" w:rsidRPr="006045FF">
        <w:rPr>
          <w:rFonts w:ascii="Open Sans" w:eastAsia="Times New Roman" w:hAnsi="Open Sans" w:cs="Open Sans"/>
          <w:color w:val="1F1923"/>
        </w:rPr>
        <w:t xml:space="preserve"> deleted</w:t>
      </w:r>
      <w:r w:rsidR="00325C4D">
        <w:rPr>
          <w:rFonts w:ascii="Open Sans" w:eastAsia="Times New Roman" w:hAnsi="Open Sans" w:cs="Open Sans"/>
          <w:color w:val="1F1923"/>
        </w:rPr>
        <w:t>.</w:t>
      </w:r>
    </w:p>
    <w:p w14:paraId="7A172DDC" w14:textId="2490873D" w:rsidR="00C17AC1" w:rsidRDefault="00C17AC1" w:rsidP="003137B7">
      <w:pPr>
        <w:pStyle w:val="SubmissionNormal"/>
        <w:tabs>
          <w:tab w:val="num" w:pos="864"/>
        </w:tabs>
        <w:rPr>
          <w:rFonts w:ascii="Open Sans" w:hAnsi="Open Sans" w:cs="Open Sans"/>
        </w:rPr>
      </w:pPr>
      <w:r>
        <w:rPr>
          <w:rFonts w:ascii="Open Sans" w:hAnsi="Open Sans" w:cs="Open Sans"/>
        </w:rPr>
        <w:t xml:space="preserve">While this is the Commission’s primary position, the remainder of this submission proceeds from the supposition that the Government is nevertheless minded to introduce a replacement QW and apprehension regime. </w:t>
      </w:r>
    </w:p>
    <w:p w14:paraId="4A2BCF3C" w14:textId="241DD373" w:rsidR="00385C0A" w:rsidRPr="00AE0AD1" w:rsidRDefault="00385C0A" w:rsidP="003137B7">
      <w:pPr>
        <w:pStyle w:val="Heading2"/>
        <w:tabs>
          <w:tab w:val="clear" w:pos="851"/>
          <w:tab w:val="num" w:pos="995"/>
        </w:tabs>
        <w:rPr>
          <w:rFonts w:ascii="Open Sans" w:hAnsi="Open Sans" w:cs="Open Sans"/>
        </w:rPr>
      </w:pPr>
      <w:bookmarkStart w:id="40" w:name="_Toc44496130"/>
      <w:r w:rsidRPr="00AE0AD1">
        <w:rPr>
          <w:rFonts w:ascii="Open Sans" w:hAnsi="Open Sans" w:cs="Open Sans"/>
        </w:rPr>
        <w:t xml:space="preserve">Broadening of the </w:t>
      </w:r>
      <w:r w:rsidR="002D48C1">
        <w:rPr>
          <w:rFonts w:ascii="Open Sans" w:hAnsi="Open Sans" w:cs="Open Sans"/>
        </w:rPr>
        <w:t xml:space="preserve">purposes for which </w:t>
      </w:r>
      <w:r w:rsidR="00E062E2">
        <w:rPr>
          <w:rFonts w:ascii="Open Sans" w:hAnsi="Open Sans" w:cs="Open Sans"/>
        </w:rPr>
        <w:t>QW</w:t>
      </w:r>
      <w:r w:rsidR="002D48C1">
        <w:rPr>
          <w:rFonts w:ascii="Open Sans" w:hAnsi="Open Sans" w:cs="Open Sans"/>
        </w:rPr>
        <w:t>s may be issued</w:t>
      </w:r>
      <w:bookmarkEnd w:id="40"/>
    </w:p>
    <w:p w14:paraId="0DBA11D5" w14:textId="2FB93FAE" w:rsidR="00385C0A" w:rsidRPr="00AE0AD1" w:rsidRDefault="00385C0A" w:rsidP="003137B7">
      <w:pPr>
        <w:pStyle w:val="SubmissionNormal"/>
        <w:tabs>
          <w:tab w:val="num" w:pos="864"/>
        </w:tabs>
        <w:rPr>
          <w:rFonts w:ascii="Open Sans" w:hAnsi="Open Sans" w:cs="Open Sans"/>
          <w:color w:val="1F1923"/>
        </w:rPr>
      </w:pPr>
      <w:r w:rsidRPr="00AE0AD1">
        <w:rPr>
          <w:rFonts w:ascii="Open Sans" w:hAnsi="Open Sans" w:cs="Open Sans"/>
        </w:rPr>
        <w:t xml:space="preserve">Currently, ASIO may obtain a warrant to use its questioning and detention powers only where that would assist the collection of intelligence in relation to a ‘terrorism offence’, being an offence under Subdivision A of Division 72 of the </w:t>
      </w:r>
      <w:r w:rsidRPr="00962267">
        <w:rPr>
          <w:rFonts w:ascii="Open Sans" w:hAnsi="Open Sans" w:cs="Open Sans"/>
          <w:i/>
          <w:iCs/>
        </w:rPr>
        <w:t>Criminal Code</w:t>
      </w:r>
      <w:r w:rsidRPr="00AE0AD1">
        <w:rPr>
          <w:rFonts w:ascii="Open Sans" w:hAnsi="Open Sans" w:cs="Open Sans"/>
        </w:rPr>
        <w:t xml:space="preserve"> </w:t>
      </w:r>
      <w:r w:rsidR="002D48C1">
        <w:rPr>
          <w:rFonts w:ascii="Open Sans" w:hAnsi="Open Sans" w:cs="Open Sans"/>
        </w:rPr>
        <w:t>(</w:t>
      </w:r>
      <w:proofErr w:type="spellStart"/>
      <w:r w:rsidR="002D48C1">
        <w:rPr>
          <w:rFonts w:ascii="Open Sans" w:hAnsi="Open Sans" w:cs="Open Sans"/>
        </w:rPr>
        <w:t>Cth</w:t>
      </w:r>
      <w:proofErr w:type="spellEnd"/>
      <w:r w:rsidR="002D48C1">
        <w:rPr>
          <w:rFonts w:ascii="Open Sans" w:hAnsi="Open Sans" w:cs="Open Sans"/>
        </w:rPr>
        <w:t xml:space="preserve">) </w:t>
      </w:r>
      <w:r w:rsidRPr="00AE0AD1">
        <w:rPr>
          <w:rFonts w:ascii="Open Sans" w:hAnsi="Open Sans" w:cs="Open Sans"/>
        </w:rPr>
        <w:t xml:space="preserve">(‘International terrorist activities using explosive or lethal devices’) or Part 5.3 of the </w:t>
      </w:r>
      <w:r w:rsidRPr="00962267">
        <w:rPr>
          <w:rFonts w:ascii="Open Sans" w:hAnsi="Open Sans" w:cs="Open Sans"/>
          <w:i/>
          <w:iCs/>
        </w:rPr>
        <w:t>Criminal Code</w:t>
      </w:r>
      <w:r w:rsidRPr="00AE0AD1">
        <w:rPr>
          <w:rFonts w:ascii="Open Sans" w:hAnsi="Open Sans" w:cs="Open Sans"/>
        </w:rPr>
        <w:t xml:space="preserve"> </w:t>
      </w:r>
      <w:r w:rsidR="002D48C1">
        <w:rPr>
          <w:rFonts w:ascii="Open Sans" w:hAnsi="Open Sans" w:cs="Open Sans"/>
        </w:rPr>
        <w:t>(</w:t>
      </w:r>
      <w:proofErr w:type="spellStart"/>
      <w:r w:rsidR="002D48C1">
        <w:rPr>
          <w:rFonts w:ascii="Open Sans" w:hAnsi="Open Sans" w:cs="Open Sans"/>
        </w:rPr>
        <w:t>Cth</w:t>
      </w:r>
      <w:proofErr w:type="spellEnd"/>
      <w:r w:rsidR="002D48C1">
        <w:rPr>
          <w:rFonts w:ascii="Open Sans" w:hAnsi="Open Sans" w:cs="Open Sans"/>
        </w:rPr>
        <w:t xml:space="preserve">) </w:t>
      </w:r>
      <w:r w:rsidRPr="00AE0AD1">
        <w:rPr>
          <w:rFonts w:ascii="Open Sans" w:hAnsi="Open Sans" w:cs="Open Sans"/>
        </w:rPr>
        <w:t xml:space="preserve">(‘Terrorism’). </w:t>
      </w:r>
    </w:p>
    <w:p w14:paraId="364AD479" w14:textId="77090C00"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The Bill proposes to expand the circumstances in which ASIO may seek warrants to use compulsory questioning powers, to include cases where a warrant would assist in the collection of intelligence relating to politically motivated violence, espionage and foreign interference.</w:t>
      </w:r>
      <w:r w:rsidRPr="00AE0AD1">
        <w:rPr>
          <w:rStyle w:val="EndnoteReference"/>
          <w:rFonts w:ascii="Open Sans" w:hAnsi="Open Sans" w:cs="Open Sans"/>
        </w:rPr>
        <w:endnoteReference w:id="42"/>
      </w:r>
      <w:r w:rsidRPr="00AE0AD1">
        <w:rPr>
          <w:rFonts w:ascii="Open Sans" w:hAnsi="Open Sans" w:cs="Open Sans"/>
        </w:rPr>
        <w:t xml:space="preserve"> </w:t>
      </w:r>
    </w:p>
    <w:p w14:paraId="6FC5F35B" w14:textId="77777777"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In its submission to the PJCIS in relation to the present inquiry, the Department of Home Affairs justified these amendments on the basis that:</w:t>
      </w:r>
    </w:p>
    <w:p w14:paraId="1815DC41" w14:textId="77777777" w:rsidR="00385C0A" w:rsidRPr="00AE0AD1" w:rsidRDefault="00385C0A" w:rsidP="00A85BD2">
      <w:pPr>
        <w:pStyle w:val="NormalWeb"/>
        <w:ind w:left="1440"/>
        <w:jc w:val="both"/>
        <w:rPr>
          <w:rFonts w:ascii="Open Sans" w:hAnsi="Open Sans" w:cs="Open Sans"/>
        </w:rPr>
      </w:pPr>
      <w:r w:rsidRPr="00AE0AD1">
        <w:rPr>
          <w:rFonts w:ascii="Open Sans" w:hAnsi="Open Sans" w:cs="Open Sans"/>
          <w:sz w:val="22"/>
          <w:szCs w:val="22"/>
        </w:rPr>
        <w:t xml:space="preserve">The focus on terrorism offences … precludes the use of the powers in relation to other serious threats within ASIO’s remit, such as espionage and acts of foreign interference. While the threat from terrorism remains unacceptably high, hostile espionage and foreign intelligence activities are occurring on an unprecedented scale and pose an increasing threat to our nation and its security. ASIO’s inability to use its compulsory questioning </w:t>
      </w:r>
      <w:r w:rsidRPr="00AE0AD1">
        <w:rPr>
          <w:rFonts w:ascii="Open Sans" w:hAnsi="Open Sans" w:cs="Open Sans"/>
          <w:sz w:val="22"/>
          <w:szCs w:val="22"/>
        </w:rPr>
        <w:lastRenderedPageBreak/>
        <w:t>powers against persons suspected of being involved in espionage or acts of foreign interference is a serious gap in the powers available to safeguard Australia’s national security.</w:t>
      </w:r>
      <w:r w:rsidRPr="00AE0AD1">
        <w:rPr>
          <w:rStyle w:val="EndnoteReference"/>
          <w:rFonts w:ascii="Open Sans" w:hAnsi="Open Sans" w:cs="Open Sans"/>
          <w:sz w:val="22"/>
          <w:szCs w:val="22"/>
        </w:rPr>
        <w:endnoteReference w:id="43"/>
      </w:r>
      <w:r w:rsidRPr="00AE0AD1">
        <w:rPr>
          <w:rFonts w:ascii="Open Sans" w:hAnsi="Open Sans" w:cs="Open Sans"/>
          <w:sz w:val="22"/>
          <w:szCs w:val="22"/>
        </w:rPr>
        <w:t xml:space="preserve"> </w:t>
      </w:r>
    </w:p>
    <w:p w14:paraId="19AF5633" w14:textId="32093F25"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ASIO’s </w:t>
      </w:r>
      <w:r w:rsidR="00FF7CF6">
        <w:rPr>
          <w:rFonts w:ascii="Open Sans" w:hAnsi="Open Sans" w:cs="Open Sans"/>
        </w:rPr>
        <w:t xml:space="preserve">current </w:t>
      </w:r>
      <w:r w:rsidRPr="00AE0AD1">
        <w:rPr>
          <w:rFonts w:ascii="Open Sans" w:hAnsi="Open Sans" w:cs="Open Sans"/>
        </w:rPr>
        <w:t>compulsory questioning powers are exceptional in their intrusions on a number of fundamental rights</w:t>
      </w:r>
      <w:r w:rsidR="005A4A60">
        <w:rPr>
          <w:rFonts w:ascii="Open Sans" w:hAnsi="Open Sans" w:cs="Open Sans"/>
        </w:rPr>
        <w:t>,</w:t>
      </w:r>
      <w:r w:rsidR="005A4A60" w:rsidRPr="00F41BB7">
        <w:rPr>
          <w:rFonts w:ascii="Open Sans" w:hAnsi="Open Sans" w:cs="Open Sans"/>
        </w:rPr>
        <w:t xml:space="preserve"> including the </w:t>
      </w:r>
      <w:r w:rsidR="00F41BB7">
        <w:rPr>
          <w:rFonts w:ascii="Open Sans" w:hAnsi="Open Sans" w:cs="Open Sans"/>
        </w:rPr>
        <w:t xml:space="preserve">right to </w:t>
      </w:r>
      <w:r w:rsidR="005A4A60" w:rsidRPr="00F41BB7">
        <w:rPr>
          <w:rFonts w:ascii="Open Sans" w:hAnsi="Open Sans" w:cs="Open Sans"/>
        </w:rPr>
        <w:t xml:space="preserve">freedom of movement, </w:t>
      </w:r>
      <w:r w:rsidR="00F41BB7">
        <w:rPr>
          <w:rFonts w:ascii="Open Sans" w:hAnsi="Open Sans" w:cs="Open Sans"/>
        </w:rPr>
        <w:t xml:space="preserve">the right to </w:t>
      </w:r>
      <w:r w:rsidR="005A4A60" w:rsidRPr="00F41BB7">
        <w:rPr>
          <w:rFonts w:ascii="Open Sans" w:hAnsi="Open Sans" w:cs="Open Sans"/>
        </w:rPr>
        <w:t xml:space="preserve">freedom of expression, the right to privacy, and </w:t>
      </w:r>
      <w:r w:rsidR="002A2AF9" w:rsidRPr="7EA2DDC8">
        <w:rPr>
          <w:rFonts w:ascii="Open Sans" w:hAnsi="Open Sans" w:cs="Open Sans"/>
        </w:rPr>
        <w:t>freedom</w:t>
      </w:r>
      <w:r w:rsidR="002A2AF9">
        <w:rPr>
          <w:rFonts w:ascii="Open Sans" w:hAnsi="Open Sans" w:cs="Open Sans"/>
        </w:rPr>
        <w:t xml:space="preserve"> of opinion and</w:t>
      </w:r>
      <w:r w:rsidR="005A4A60" w:rsidRPr="00F41BB7">
        <w:rPr>
          <w:rFonts w:ascii="Open Sans" w:hAnsi="Open Sans" w:cs="Open Sans"/>
        </w:rPr>
        <w:t xml:space="preserve"> belief.</w:t>
      </w:r>
      <w:r w:rsidR="005A4A60">
        <w:t xml:space="preserve"> </w:t>
      </w:r>
      <w:r w:rsidR="00F77C26">
        <w:rPr>
          <w:rFonts w:ascii="Open Sans" w:hAnsi="Open Sans" w:cs="Open Sans"/>
        </w:rPr>
        <w:t xml:space="preserve"> </w:t>
      </w:r>
      <w:r w:rsidRPr="00AE0AD1">
        <w:rPr>
          <w:rFonts w:ascii="Open Sans" w:hAnsi="Open Sans" w:cs="Open Sans"/>
        </w:rPr>
        <w:t>The</w:t>
      </w:r>
      <w:r w:rsidR="002A2AF9">
        <w:rPr>
          <w:rFonts w:ascii="Open Sans" w:hAnsi="Open Sans" w:cs="Open Sans"/>
        </w:rPr>
        <w:t xml:space="preserve"> </w:t>
      </w:r>
      <w:r w:rsidR="002A2AF9" w:rsidRPr="7EA2DDC8">
        <w:rPr>
          <w:rFonts w:ascii="Open Sans" w:hAnsi="Open Sans" w:cs="Open Sans"/>
        </w:rPr>
        <w:t>powers</w:t>
      </w:r>
      <w:r w:rsidRPr="00AE0AD1">
        <w:rPr>
          <w:rFonts w:ascii="Open Sans" w:hAnsi="Open Sans" w:cs="Open Sans"/>
        </w:rPr>
        <w:t xml:space="preserve"> allow for people to be compelled to attend at a nominated place, with very limited contact with the outside world, and limited legal representation, and answer questions under penalty of criminal sanction.</w:t>
      </w:r>
      <w:r w:rsidR="00F77C26">
        <w:rPr>
          <w:rFonts w:ascii="Open Sans" w:hAnsi="Open Sans" w:cs="Open Sans"/>
        </w:rPr>
        <w:t xml:space="preserve"> </w:t>
      </w:r>
      <w:r w:rsidRPr="00AE0AD1">
        <w:rPr>
          <w:rFonts w:ascii="Open Sans" w:hAnsi="Open Sans" w:cs="Open Sans"/>
        </w:rPr>
        <w:t>In some cases, the exercise of these powers could come close to incommunicado detention and interrogation.</w:t>
      </w:r>
      <w:r w:rsidR="00F77C26">
        <w:rPr>
          <w:rFonts w:ascii="Open Sans" w:hAnsi="Open Sans" w:cs="Open Sans"/>
        </w:rPr>
        <w:t xml:space="preserve"> </w:t>
      </w:r>
      <w:r w:rsidRPr="00AE0AD1">
        <w:rPr>
          <w:rFonts w:ascii="Open Sans" w:hAnsi="Open Sans" w:cs="Open Sans"/>
        </w:rPr>
        <w:t>These powers</w:t>
      </w:r>
      <w:r w:rsidRPr="00AE0AD1" w:rsidDel="00FF7CF6">
        <w:rPr>
          <w:rFonts w:ascii="Open Sans" w:hAnsi="Open Sans" w:cs="Open Sans"/>
        </w:rPr>
        <w:t xml:space="preserve"> </w:t>
      </w:r>
      <w:r w:rsidR="00FF7CF6">
        <w:rPr>
          <w:rFonts w:ascii="Open Sans" w:hAnsi="Open Sans" w:cs="Open Sans"/>
        </w:rPr>
        <w:t xml:space="preserve">may </w:t>
      </w:r>
      <w:r w:rsidRPr="00AE0AD1">
        <w:rPr>
          <w:rFonts w:ascii="Open Sans" w:hAnsi="Open Sans" w:cs="Open Sans"/>
        </w:rPr>
        <w:t>be exercised in relation to people who have not been charged with any criminal offence, and who are not suspected of having committed any criminal offence.</w:t>
      </w:r>
      <w:r w:rsidR="00F77C26">
        <w:rPr>
          <w:rFonts w:ascii="Open Sans" w:hAnsi="Open Sans" w:cs="Open Sans"/>
        </w:rPr>
        <w:t xml:space="preserve"> </w:t>
      </w:r>
      <w:r w:rsidRPr="00AE0AD1">
        <w:rPr>
          <w:rFonts w:ascii="Open Sans" w:hAnsi="Open Sans" w:cs="Open Sans"/>
        </w:rPr>
        <w:t>Only exceptional circumstances, and the most pressing need, can justify the existence of such intrusive powers.</w:t>
      </w:r>
      <w:r w:rsidR="00F77C26">
        <w:rPr>
          <w:rFonts w:ascii="Open Sans" w:hAnsi="Open Sans" w:cs="Open Sans"/>
        </w:rPr>
        <w:t xml:space="preserve"> </w:t>
      </w:r>
    </w:p>
    <w:p w14:paraId="768A98EC" w14:textId="6D748E36"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When the questioning and detention powers were first introduced in 2002, the then Attorney-General the Hon Daryl Williams </w:t>
      </w:r>
      <w:r w:rsidR="00273B02">
        <w:rPr>
          <w:rFonts w:ascii="Open Sans" w:hAnsi="Open Sans" w:cs="Open Sans"/>
        </w:rPr>
        <w:t xml:space="preserve">QC </w:t>
      </w:r>
      <w:r w:rsidRPr="00AE0AD1">
        <w:rPr>
          <w:rFonts w:ascii="Open Sans" w:hAnsi="Open Sans" w:cs="Open Sans"/>
        </w:rPr>
        <w:t xml:space="preserve">argued that although they were </w:t>
      </w:r>
      <w:r w:rsidR="00AE0AD1" w:rsidRPr="00AE0AD1">
        <w:rPr>
          <w:rFonts w:ascii="Open Sans" w:hAnsi="Open Sans" w:cs="Open Sans"/>
        </w:rPr>
        <w:t>‘</w:t>
      </w:r>
      <w:r w:rsidRPr="00AE0AD1">
        <w:rPr>
          <w:rFonts w:ascii="Open Sans" w:hAnsi="Open Sans" w:cs="Open Sans"/>
        </w:rPr>
        <w:t>extraordinary</w:t>
      </w:r>
      <w:r w:rsidR="00AE0AD1" w:rsidRPr="00AE0AD1">
        <w:rPr>
          <w:rFonts w:ascii="Open Sans" w:hAnsi="Open Sans" w:cs="Open Sans"/>
        </w:rPr>
        <w:t>’</w:t>
      </w:r>
      <w:r w:rsidRPr="00AE0AD1">
        <w:rPr>
          <w:rFonts w:ascii="Open Sans" w:hAnsi="Open Sans" w:cs="Open Sans"/>
        </w:rPr>
        <w:t xml:space="preserve">, they were nonetheless necessary and appropriate because terrorism was an extraordinary </w:t>
      </w:r>
      <w:r w:rsidR="00AE0AD1" w:rsidRPr="00AE0AD1">
        <w:rPr>
          <w:rFonts w:ascii="Open Sans" w:hAnsi="Open Sans" w:cs="Open Sans"/>
        </w:rPr>
        <w:t>‘</w:t>
      </w:r>
      <w:r w:rsidRPr="00AE0AD1">
        <w:rPr>
          <w:rFonts w:ascii="Open Sans" w:hAnsi="Open Sans" w:cs="Open Sans"/>
        </w:rPr>
        <w:t>evil</w:t>
      </w:r>
      <w:r w:rsidR="00AE0AD1" w:rsidRPr="00AE0AD1">
        <w:rPr>
          <w:rFonts w:ascii="Open Sans" w:hAnsi="Open Sans" w:cs="Open Sans"/>
        </w:rPr>
        <w:t>’</w:t>
      </w:r>
      <w:r w:rsidRPr="00AE0AD1">
        <w:rPr>
          <w:rFonts w:ascii="Open Sans" w:hAnsi="Open Sans" w:cs="Open Sans"/>
        </w:rPr>
        <w:t>.</w:t>
      </w:r>
      <w:r w:rsidRPr="00AE0AD1">
        <w:rPr>
          <w:rStyle w:val="EndnoteReference"/>
          <w:rFonts w:ascii="Open Sans" w:hAnsi="Open Sans" w:cs="Open Sans"/>
        </w:rPr>
        <w:endnoteReference w:id="44"/>
      </w:r>
      <w:r w:rsidRPr="00AE0AD1">
        <w:rPr>
          <w:rFonts w:ascii="Open Sans" w:hAnsi="Open Sans" w:cs="Open Sans"/>
        </w:rPr>
        <w:t xml:space="preserve"> The creation of strong investigative powers was </w:t>
      </w:r>
      <w:r w:rsidR="00FF7CF6">
        <w:rPr>
          <w:rFonts w:ascii="Open Sans" w:hAnsi="Open Sans" w:cs="Open Sans"/>
        </w:rPr>
        <w:t xml:space="preserve">said to be </w:t>
      </w:r>
      <w:r w:rsidRPr="00AE0AD1">
        <w:rPr>
          <w:rFonts w:ascii="Open Sans" w:hAnsi="Open Sans" w:cs="Open Sans"/>
        </w:rPr>
        <w:t xml:space="preserve">necessary to achieve the purpose of deterring potentially catastrophic consequences of terrorist acts, like those perpetrated on 9/11. The key aim of the legislation, he stated, was to </w:t>
      </w:r>
      <w:r w:rsidR="00AE0AD1" w:rsidRPr="00AE0AD1">
        <w:rPr>
          <w:rFonts w:ascii="Open Sans" w:hAnsi="Open Sans" w:cs="Open Sans"/>
        </w:rPr>
        <w:t>‘</w:t>
      </w:r>
      <w:r w:rsidRPr="00AE0AD1">
        <w:rPr>
          <w:rFonts w:ascii="Open Sans" w:hAnsi="Open Sans" w:cs="Open Sans"/>
        </w:rPr>
        <w:t>enable ASIO to question people in emergency terrorist situations in order to obtain the information we need to stop terrorist attacks before people are hurt or killed</w:t>
      </w:r>
      <w:r w:rsidR="00055E55">
        <w:rPr>
          <w:rFonts w:ascii="Open Sans" w:hAnsi="Open Sans" w:cs="Open Sans"/>
        </w:rPr>
        <w:t>’</w:t>
      </w:r>
      <w:r w:rsidRPr="00AE0AD1">
        <w:rPr>
          <w:rFonts w:ascii="Open Sans" w:hAnsi="Open Sans" w:cs="Open Sans"/>
        </w:rPr>
        <w:t>.</w:t>
      </w:r>
      <w:r w:rsidRPr="00AE0AD1">
        <w:rPr>
          <w:rStyle w:val="EndnoteReference"/>
          <w:rFonts w:ascii="Open Sans" w:hAnsi="Open Sans" w:cs="Open Sans"/>
        </w:rPr>
        <w:endnoteReference w:id="45"/>
      </w:r>
    </w:p>
    <w:p w14:paraId="3E1990FE" w14:textId="50D12107"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The Commission accepts that foreign interference and espionage may </w:t>
      </w:r>
      <w:r w:rsidR="00FF7CF6">
        <w:rPr>
          <w:rFonts w:ascii="Open Sans" w:hAnsi="Open Sans" w:cs="Open Sans"/>
        </w:rPr>
        <w:t>present</w:t>
      </w:r>
      <w:r w:rsidR="00FF7CF6" w:rsidRPr="00AE0AD1">
        <w:rPr>
          <w:rFonts w:ascii="Open Sans" w:hAnsi="Open Sans" w:cs="Open Sans"/>
        </w:rPr>
        <w:t xml:space="preserve"> </w:t>
      </w:r>
      <w:r w:rsidRPr="00AE0AD1">
        <w:rPr>
          <w:rFonts w:ascii="Open Sans" w:hAnsi="Open Sans" w:cs="Open Sans"/>
        </w:rPr>
        <w:t xml:space="preserve">increasingly complex </w:t>
      </w:r>
      <w:r w:rsidR="00FF7CF6">
        <w:rPr>
          <w:rFonts w:ascii="Open Sans" w:hAnsi="Open Sans" w:cs="Open Sans"/>
        </w:rPr>
        <w:t xml:space="preserve">threats to national </w:t>
      </w:r>
      <w:r w:rsidRPr="00AE0AD1">
        <w:rPr>
          <w:rFonts w:ascii="Open Sans" w:hAnsi="Open Sans" w:cs="Open Sans"/>
        </w:rPr>
        <w:t xml:space="preserve">security in Australia. However, that fact alone </w:t>
      </w:r>
      <w:r w:rsidR="00FF7CF6">
        <w:rPr>
          <w:rFonts w:ascii="Open Sans" w:hAnsi="Open Sans" w:cs="Open Sans"/>
        </w:rPr>
        <w:t xml:space="preserve">does </w:t>
      </w:r>
      <w:r w:rsidRPr="00AE0AD1">
        <w:rPr>
          <w:rFonts w:ascii="Open Sans" w:hAnsi="Open Sans" w:cs="Open Sans"/>
        </w:rPr>
        <w:t>not justify the extension of the most intrusive intelligence-gathering powers.</w:t>
      </w:r>
      <w:r w:rsidR="00F77C26">
        <w:rPr>
          <w:rFonts w:ascii="Open Sans" w:hAnsi="Open Sans" w:cs="Open Sans"/>
        </w:rPr>
        <w:t xml:space="preserve"> </w:t>
      </w:r>
      <w:r w:rsidRPr="00AE0AD1">
        <w:rPr>
          <w:rFonts w:ascii="Open Sans" w:hAnsi="Open Sans" w:cs="Open Sans"/>
        </w:rPr>
        <w:t>It has not been demonstrated that the threats posed to national security by foreign interference and espionage are of the same magnitude as those posed by the kinds of catastrophic terrorist attack</w:t>
      </w:r>
      <w:r w:rsidR="005C0E2C">
        <w:rPr>
          <w:rFonts w:ascii="Open Sans" w:hAnsi="Open Sans" w:cs="Open Sans"/>
        </w:rPr>
        <w:t>s</w:t>
      </w:r>
      <w:r w:rsidRPr="00AE0AD1">
        <w:rPr>
          <w:rFonts w:ascii="Open Sans" w:hAnsi="Open Sans" w:cs="Open Sans"/>
        </w:rPr>
        <w:t xml:space="preserve"> which were said to justify the introduction of the current powers in 2002. </w:t>
      </w:r>
      <w:r w:rsidR="00FF7CF6">
        <w:rPr>
          <w:rFonts w:ascii="Open Sans" w:hAnsi="Open Sans" w:cs="Open Sans"/>
        </w:rPr>
        <w:t>Nor has it been explained why less intrusive powers would be inadequate in addressing the current threats.</w:t>
      </w:r>
    </w:p>
    <w:p w14:paraId="75DC3278" w14:textId="15BCBA57"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The Commission also notes in this context the views of the IGIS, who noted in her submission to </w:t>
      </w:r>
      <w:r w:rsidR="00362005">
        <w:rPr>
          <w:rFonts w:ascii="Open Sans" w:hAnsi="Open Sans" w:cs="Open Sans"/>
        </w:rPr>
        <w:t xml:space="preserve">the </w:t>
      </w:r>
      <w:r w:rsidRPr="00AE0AD1">
        <w:rPr>
          <w:rFonts w:ascii="Open Sans" w:hAnsi="Open Sans" w:cs="Open Sans"/>
        </w:rPr>
        <w:t xml:space="preserve">2017 PJCIS </w:t>
      </w:r>
      <w:r w:rsidR="00F038E0">
        <w:rPr>
          <w:rFonts w:ascii="Open Sans" w:hAnsi="Open Sans" w:cs="Open Sans"/>
        </w:rPr>
        <w:t>Review</w:t>
      </w:r>
      <w:r w:rsidR="00F038E0" w:rsidRPr="00AE0AD1">
        <w:rPr>
          <w:rFonts w:ascii="Open Sans" w:hAnsi="Open Sans" w:cs="Open Sans"/>
        </w:rPr>
        <w:t xml:space="preserve"> </w:t>
      </w:r>
      <w:r w:rsidRPr="00AE0AD1">
        <w:rPr>
          <w:rFonts w:ascii="Open Sans" w:hAnsi="Open Sans" w:cs="Open Sans"/>
        </w:rPr>
        <w:t xml:space="preserve">that: </w:t>
      </w:r>
    </w:p>
    <w:p w14:paraId="1B890967" w14:textId="5B92E003" w:rsidR="00385C0A" w:rsidRPr="00AE0AD1" w:rsidRDefault="00385C0A" w:rsidP="00A85BD2">
      <w:pPr>
        <w:ind w:left="1440"/>
        <w:jc w:val="both"/>
        <w:rPr>
          <w:rFonts w:ascii="Open Sans" w:eastAsia="Times New Roman" w:hAnsi="Open Sans" w:cs="Open Sans"/>
        </w:rPr>
      </w:pPr>
      <w:r w:rsidRPr="00AE0AD1">
        <w:rPr>
          <w:rFonts w:ascii="Open Sans" w:eastAsia="Times New Roman" w:hAnsi="Open Sans" w:cs="Open Sans"/>
          <w:color w:val="222222"/>
          <w:sz w:val="23"/>
          <w:szCs w:val="23"/>
          <w:shd w:val="clear" w:color="auto" w:fill="FFFFFF"/>
        </w:rPr>
        <w:t xml:space="preserve">One of the key things that IGIS considers when looking at the propriety of ASIO operations is that the exercise of a power should be proportionate to the gravity of the threat posed, the probability of its </w:t>
      </w:r>
      <w:r w:rsidRPr="00AE0AD1">
        <w:rPr>
          <w:rFonts w:ascii="Open Sans" w:eastAsia="Times New Roman" w:hAnsi="Open Sans" w:cs="Open Sans"/>
          <w:color w:val="222222"/>
          <w:sz w:val="23"/>
          <w:szCs w:val="23"/>
          <w:shd w:val="clear" w:color="auto" w:fill="FFFFFF"/>
        </w:rPr>
        <w:lastRenderedPageBreak/>
        <w:t xml:space="preserve">occurrence, as well as the imminence of the threat. The threat of an imminent major terrorist attack in Australia is at the top of the current scale of potential threats and would justify the use of the most intrusive powers. Other threats to Australia, including from espionage and foreign interference, can also be serious but this does not mean that there is no hierarchy of threats. It may be the case that currently, as the Attorney-General’s submission states </w:t>
      </w:r>
      <w:r w:rsidR="00AE0AD1" w:rsidRPr="00AE0AD1">
        <w:rPr>
          <w:rFonts w:ascii="Open Sans" w:eastAsia="Times New Roman" w:hAnsi="Open Sans" w:cs="Open Sans"/>
          <w:color w:val="222222"/>
          <w:sz w:val="23"/>
          <w:szCs w:val="23"/>
          <w:shd w:val="clear" w:color="auto" w:fill="FFFFFF"/>
        </w:rPr>
        <w:t>‘</w:t>
      </w:r>
      <w:r w:rsidRPr="00AE0AD1">
        <w:rPr>
          <w:rFonts w:ascii="Open Sans" w:eastAsia="Times New Roman" w:hAnsi="Open Sans" w:cs="Open Sans"/>
          <w:color w:val="222222"/>
          <w:sz w:val="23"/>
          <w:szCs w:val="23"/>
          <w:shd w:val="clear" w:color="auto" w:fill="FFFFFF"/>
        </w:rPr>
        <w:t>terrorism is not necessarily a more serious threat than other matters that fall within the definition of ‘security’</w:t>
      </w:r>
      <w:r w:rsidR="00AE0AD1" w:rsidRPr="00AE0AD1">
        <w:rPr>
          <w:rFonts w:ascii="Open Sans" w:eastAsia="Times New Roman" w:hAnsi="Open Sans" w:cs="Open Sans"/>
          <w:color w:val="222222"/>
          <w:sz w:val="23"/>
          <w:szCs w:val="23"/>
          <w:shd w:val="clear" w:color="auto" w:fill="FFFFFF"/>
        </w:rPr>
        <w:t>’</w:t>
      </w:r>
      <w:r w:rsidRPr="00AE0AD1">
        <w:rPr>
          <w:rFonts w:ascii="Open Sans" w:eastAsia="Times New Roman" w:hAnsi="Open Sans" w:cs="Open Sans"/>
          <w:color w:val="222222"/>
          <w:sz w:val="23"/>
          <w:szCs w:val="23"/>
          <w:shd w:val="clear" w:color="auto" w:fill="FFFFFF"/>
        </w:rPr>
        <w:t>; however, it does not follow that questioning and questioning and detention warrants should always be available for every aspect of the definition of security.</w:t>
      </w:r>
      <w:r w:rsidRPr="00AE0AD1">
        <w:rPr>
          <w:rStyle w:val="EndnoteReference"/>
          <w:rFonts w:ascii="Open Sans" w:eastAsia="Times New Roman" w:hAnsi="Open Sans" w:cs="Open Sans"/>
          <w:color w:val="222222"/>
          <w:sz w:val="23"/>
          <w:szCs w:val="23"/>
          <w:shd w:val="clear" w:color="auto" w:fill="FFFFFF"/>
        </w:rPr>
        <w:endnoteReference w:id="46"/>
      </w:r>
    </w:p>
    <w:p w14:paraId="733A65CB" w14:textId="5C56D397" w:rsidR="00385C0A" w:rsidRDefault="00385C0A" w:rsidP="003137B7">
      <w:pPr>
        <w:pStyle w:val="SubmissionNormal"/>
        <w:tabs>
          <w:tab w:val="num" w:pos="864"/>
        </w:tabs>
        <w:rPr>
          <w:rFonts w:ascii="Open Sans" w:hAnsi="Open Sans" w:cs="Open Sans"/>
        </w:rPr>
      </w:pPr>
      <w:r w:rsidRPr="00AE0AD1">
        <w:rPr>
          <w:rFonts w:ascii="Open Sans" w:hAnsi="Open Sans" w:cs="Open Sans"/>
        </w:rPr>
        <w:t xml:space="preserve">The Commission understands the IGIS’ remarks to mean that while all aspects of ‘security’ are important in protecting national security, the prevention of ‘terrorism offences’ can be considered the most pressing, or more pressing than some others. It follows that combatting terrorism may justify the retention of a compulsory questioning power, while addressing other kinds of risk to security may not. </w:t>
      </w:r>
    </w:p>
    <w:p w14:paraId="0A003DF2" w14:textId="074D6D27" w:rsidR="00362005" w:rsidRPr="00AE0AD1" w:rsidRDefault="00362005" w:rsidP="003137B7">
      <w:pPr>
        <w:pStyle w:val="SubmissionNormal"/>
        <w:tabs>
          <w:tab w:val="num" w:pos="864"/>
        </w:tabs>
        <w:rPr>
          <w:rFonts w:ascii="Open Sans" w:hAnsi="Open Sans" w:cs="Open Sans"/>
        </w:rPr>
      </w:pPr>
      <w:r>
        <w:rPr>
          <w:rFonts w:ascii="Open Sans" w:hAnsi="Open Sans" w:cs="Open Sans"/>
        </w:rPr>
        <w:t>The Commission does not consider that</w:t>
      </w:r>
      <w:r w:rsidR="00B241BB">
        <w:rPr>
          <w:rFonts w:ascii="Open Sans" w:hAnsi="Open Sans" w:cs="Open Sans"/>
        </w:rPr>
        <w:t xml:space="preserve"> the expansion of the circumstances in which ASIO could exercise its mandatory questioning powers under the Bill, and the human rights limitations that would entail, has been demonstrated to be necessary or proportionate to achieve a compelling objective.</w:t>
      </w:r>
    </w:p>
    <w:p w14:paraId="69EFDDCD" w14:textId="77777777" w:rsidR="0005699A" w:rsidRPr="006045FF" w:rsidRDefault="0005699A" w:rsidP="0005699A">
      <w:pPr>
        <w:spacing w:after="120"/>
        <w:ind w:left="720"/>
        <w:rPr>
          <w:rFonts w:ascii="Open Sans" w:eastAsia="Times New Roman" w:hAnsi="Open Sans" w:cs="Open Sans"/>
          <w:b/>
          <w:bCs/>
          <w:color w:val="1F1923"/>
          <w:lang w:val="en-US"/>
        </w:rPr>
      </w:pPr>
      <w:r>
        <w:rPr>
          <w:rFonts w:ascii="Open Sans" w:eastAsia="Times New Roman" w:hAnsi="Open Sans" w:cs="Open Sans"/>
          <w:b/>
          <w:bCs/>
          <w:color w:val="1F1923"/>
          <w:lang w:val="en-US"/>
        </w:rPr>
        <w:t>Recommendation 3</w:t>
      </w:r>
    </w:p>
    <w:p w14:paraId="406125B1" w14:textId="23DA4721" w:rsidR="0005699A" w:rsidRPr="00AE0AD1" w:rsidRDefault="0038161C" w:rsidP="00BB06A2">
      <w:pPr>
        <w:pStyle w:val="SubmissionNormal"/>
        <w:numPr>
          <w:ilvl w:val="0"/>
          <w:numId w:val="0"/>
        </w:numPr>
        <w:ind w:left="792"/>
        <w:rPr>
          <w:rFonts w:ascii="Open Sans" w:hAnsi="Open Sans" w:cs="Open Sans"/>
        </w:rPr>
      </w:pPr>
      <w:r>
        <w:rPr>
          <w:rFonts w:ascii="Open Sans" w:hAnsi="Open Sans" w:cs="Open Sans"/>
          <w:color w:val="1F1923"/>
          <w:lang w:val="en-US"/>
        </w:rPr>
        <w:t>T</w:t>
      </w:r>
      <w:r w:rsidR="0005699A">
        <w:rPr>
          <w:rFonts w:ascii="Open Sans" w:hAnsi="Open Sans" w:cs="Open Sans"/>
          <w:color w:val="1F1923"/>
          <w:lang w:val="en-US"/>
        </w:rPr>
        <w:t>here should be</w:t>
      </w:r>
      <w:r w:rsidR="0005699A" w:rsidRPr="006045FF">
        <w:rPr>
          <w:rFonts w:ascii="Open Sans" w:hAnsi="Open Sans" w:cs="Open Sans"/>
          <w:color w:val="1F1923"/>
          <w:lang w:val="en-US"/>
        </w:rPr>
        <w:t xml:space="preserve"> no expansion in the kinds of intelligence which can be sought under a QW. That is, a QW should only be able to be issued where </w:t>
      </w:r>
      <w:r w:rsidR="0005699A" w:rsidRPr="006045FF">
        <w:rPr>
          <w:rFonts w:ascii="Open Sans" w:hAnsi="Open Sans" w:cs="Open Sans"/>
          <w:color w:val="1F1923"/>
        </w:rPr>
        <w:t>the </w:t>
      </w:r>
      <w:r w:rsidR="0005699A" w:rsidRPr="006045FF">
        <w:rPr>
          <w:rFonts w:ascii="Open Sans" w:hAnsi="Open Sans" w:cs="Open Sans"/>
        </w:rPr>
        <w:t>issuing authority</w:t>
      </w:r>
      <w:r w:rsidR="0005699A" w:rsidRPr="006045FF">
        <w:rPr>
          <w:rFonts w:ascii="Open Sans" w:hAnsi="Open Sans" w:cs="Open Sans"/>
          <w:color w:val="1F1923"/>
        </w:rPr>
        <w:t> is satisfied that there are reasonable grounds for believing that the warrant will substantially assist the collection of intelligence that is important in relation to a terrorism offence.</w:t>
      </w:r>
    </w:p>
    <w:p w14:paraId="2260117D" w14:textId="77777777" w:rsidR="00385C0A" w:rsidRPr="00AE0AD1" w:rsidRDefault="00385C0A" w:rsidP="003137B7">
      <w:pPr>
        <w:pStyle w:val="Heading2"/>
        <w:tabs>
          <w:tab w:val="clear" w:pos="851"/>
          <w:tab w:val="num" w:pos="995"/>
        </w:tabs>
        <w:rPr>
          <w:rFonts w:ascii="Open Sans" w:hAnsi="Open Sans" w:cs="Open Sans"/>
        </w:rPr>
      </w:pPr>
      <w:bookmarkStart w:id="41" w:name="_Toc44496131"/>
      <w:r w:rsidRPr="00AE0AD1">
        <w:rPr>
          <w:rFonts w:ascii="Open Sans" w:hAnsi="Open Sans" w:cs="Open Sans"/>
        </w:rPr>
        <w:t>Warrant issuing authority and emergency authorisations</w:t>
      </w:r>
      <w:bookmarkEnd w:id="41"/>
    </w:p>
    <w:p w14:paraId="5A8B9BE2" w14:textId="66232742"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Under the existing </w:t>
      </w:r>
      <w:r w:rsidR="00A62263">
        <w:rPr>
          <w:rFonts w:ascii="Open Sans" w:hAnsi="Open Sans" w:cs="Open Sans"/>
        </w:rPr>
        <w:t>QW</w:t>
      </w:r>
      <w:r w:rsidRPr="00AE0AD1">
        <w:rPr>
          <w:rFonts w:ascii="Open Sans" w:hAnsi="Open Sans" w:cs="Open Sans"/>
        </w:rPr>
        <w:t xml:space="preserve"> regime, a warrant can only be issued by an issuing authority (a judge acting in their personal capacity) after the Attorney-General’s consent is received</w:t>
      </w:r>
      <w:r w:rsidR="00546850">
        <w:rPr>
          <w:rFonts w:ascii="Open Sans" w:hAnsi="Open Sans" w:cs="Open Sans"/>
        </w:rPr>
        <w:t>—</w:t>
      </w:r>
      <w:r w:rsidRPr="00AE0AD1">
        <w:rPr>
          <w:rFonts w:ascii="Open Sans" w:hAnsi="Open Sans" w:cs="Open Sans"/>
        </w:rPr>
        <w:t xml:space="preserve">a ‘two-step process’. </w:t>
      </w:r>
    </w:p>
    <w:p w14:paraId="38E82523" w14:textId="10C982D2" w:rsidR="00385C0A" w:rsidRPr="00AE0AD1" w:rsidRDefault="00385C0A" w:rsidP="003137B7">
      <w:pPr>
        <w:pStyle w:val="SubmissionNormal"/>
        <w:tabs>
          <w:tab w:val="num" w:pos="864"/>
        </w:tabs>
        <w:rPr>
          <w:rFonts w:ascii="Open Sans" w:hAnsi="Open Sans" w:cs="Open Sans"/>
          <w:color w:val="1F1923"/>
        </w:rPr>
      </w:pPr>
      <w:r w:rsidRPr="00AE0AD1">
        <w:rPr>
          <w:rFonts w:ascii="Open Sans" w:hAnsi="Open Sans" w:cs="Open Sans"/>
          <w:color w:val="1F1923"/>
        </w:rPr>
        <w:t>The Bill removes the role of the issuing authority and provides that the Attorney-General has the sole responsibility to issue warrants</w:t>
      </w:r>
      <w:r w:rsidR="00546850">
        <w:rPr>
          <w:rFonts w:ascii="Open Sans" w:hAnsi="Open Sans" w:cs="Open Sans"/>
          <w:color w:val="1F1923"/>
        </w:rPr>
        <w:t>—</w:t>
      </w:r>
      <w:r w:rsidRPr="00AE0AD1">
        <w:rPr>
          <w:rFonts w:ascii="Open Sans" w:hAnsi="Open Sans" w:cs="Open Sans"/>
          <w:color w:val="1F1923"/>
        </w:rPr>
        <w:t>a ‘one-step’ threshold.</w:t>
      </w:r>
      <w:r w:rsidRPr="00AE0AD1">
        <w:rPr>
          <w:rStyle w:val="EndnoteReference"/>
          <w:rFonts w:ascii="Open Sans" w:hAnsi="Open Sans" w:cs="Open Sans"/>
          <w:color w:val="1F1923"/>
        </w:rPr>
        <w:endnoteReference w:id="47"/>
      </w:r>
      <w:r w:rsidRPr="00AE0AD1">
        <w:rPr>
          <w:rFonts w:ascii="Open Sans" w:hAnsi="Open Sans" w:cs="Open Sans"/>
          <w:color w:val="1F1923"/>
        </w:rPr>
        <w:t xml:space="preserve"> The Bill also provides the Attorney-General with </w:t>
      </w:r>
      <w:r w:rsidRPr="00AE0AD1">
        <w:rPr>
          <w:rFonts w:ascii="Open Sans" w:hAnsi="Open Sans" w:cs="Open Sans"/>
        </w:rPr>
        <w:t>express power to vary or revoke</w:t>
      </w:r>
      <w:r w:rsidRPr="00AE0AD1">
        <w:rPr>
          <w:rFonts w:ascii="Open Sans" w:hAnsi="Open Sans" w:cs="Open Sans"/>
          <w:position w:val="8"/>
        </w:rPr>
        <w:t xml:space="preserve"> </w:t>
      </w:r>
      <w:r w:rsidRPr="00AE0AD1">
        <w:rPr>
          <w:rFonts w:ascii="Open Sans" w:hAnsi="Open Sans" w:cs="Open Sans"/>
        </w:rPr>
        <w:t xml:space="preserve">a </w:t>
      </w:r>
      <w:r w:rsidR="00E062E2">
        <w:rPr>
          <w:rFonts w:ascii="Open Sans" w:hAnsi="Open Sans" w:cs="Open Sans"/>
        </w:rPr>
        <w:t>QW</w:t>
      </w:r>
      <w:r w:rsidRPr="00AE0AD1">
        <w:rPr>
          <w:rFonts w:ascii="Open Sans" w:hAnsi="Open Sans" w:cs="Open Sans"/>
        </w:rPr>
        <w:t>.</w:t>
      </w:r>
      <w:r w:rsidRPr="00AE0AD1">
        <w:rPr>
          <w:rStyle w:val="EndnoteReference"/>
          <w:rFonts w:ascii="Open Sans" w:hAnsi="Open Sans" w:cs="Open Sans"/>
        </w:rPr>
        <w:endnoteReference w:id="48"/>
      </w:r>
    </w:p>
    <w:p w14:paraId="3CE5891B" w14:textId="77777777"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color w:val="1F1923"/>
        </w:rPr>
        <w:lastRenderedPageBreak/>
        <w:t>The Bill would also allow a warrant to be issued either by a written document signed by the Attorney-General or orally, if the Attorney-General reasonably believes that the delay caused by issuing a written warrant may be prejudicial to security and only if a written record is made within 48 hours of the warrant being issued.</w:t>
      </w:r>
      <w:r w:rsidRPr="00AE0AD1">
        <w:rPr>
          <w:rStyle w:val="EndnoteReference"/>
          <w:rFonts w:ascii="Open Sans" w:hAnsi="Open Sans" w:cs="Open Sans"/>
          <w:color w:val="1F1923"/>
        </w:rPr>
        <w:endnoteReference w:id="49"/>
      </w:r>
      <w:r w:rsidRPr="00AE0AD1">
        <w:rPr>
          <w:rFonts w:ascii="Open Sans" w:hAnsi="Open Sans" w:cs="Open Sans"/>
          <w:color w:val="1F1923"/>
        </w:rPr>
        <w:t xml:space="preserve"> </w:t>
      </w:r>
    </w:p>
    <w:p w14:paraId="4CC99F09" w14:textId="4F27AFD4"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The Department of Home Affairs argues that </w:t>
      </w:r>
      <w:r w:rsidR="00A62263">
        <w:rPr>
          <w:rFonts w:ascii="Open Sans" w:hAnsi="Open Sans" w:cs="Open Sans"/>
        </w:rPr>
        <w:t xml:space="preserve">the </w:t>
      </w:r>
      <w:r w:rsidRPr="00AE0AD1">
        <w:rPr>
          <w:rFonts w:ascii="Open Sans" w:hAnsi="Open Sans" w:cs="Open Sans"/>
        </w:rPr>
        <w:t xml:space="preserve">amendments are necessary as the two-step process is </w:t>
      </w:r>
      <w:r w:rsidR="00AE0AD1" w:rsidRPr="00AE0AD1">
        <w:rPr>
          <w:rFonts w:ascii="Open Sans" w:hAnsi="Open Sans" w:cs="Open Sans"/>
        </w:rPr>
        <w:t>‘</w:t>
      </w:r>
      <w:r w:rsidRPr="00AE0AD1">
        <w:rPr>
          <w:rFonts w:ascii="Open Sans" w:hAnsi="Open Sans" w:cs="Open Sans"/>
        </w:rPr>
        <w:t xml:space="preserve">inconsistent with the authorisation of other ASIO warrants and is not conducive to the efficient execution of a </w:t>
      </w:r>
      <w:r w:rsidR="00E062E2">
        <w:rPr>
          <w:rFonts w:ascii="Open Sans" w:hAnsi="Open Sans" w:cs="Open Sans"/>
        </w:rPr>
        <w:t>QW</w:t>
      </w:r>
      <w:r w:rsidR="620F2899">
        <w:rPr>
          <w:rFonts w:ascii="Open Sans" w:hAnsi="Open Sans" w:cs="Open Sans"/>
        </w:rPr>
        <w:t>’</w:t>
      </w:r>
      <w:r w:rsidR="00AE1FCA">
        <w:rPr>
          <w:rStyle w:val="EndnoteReference"/>
          <w:rFonts w:cs="Open Sans"/>
        </w:rPr>
        <w:endnoteReference w:id="50"/>
      </w:r>
      <w:r w:rsidRPr="00AE0AD1">
        <w:rPr>
          <w:rFonts w:ascii="Open Sans" w:hAnsi="Open Sans" w:cs="Open Sans"/>
        </w:rPr>
        <w:t xml:space="preserve">. A more </w:t>
      </w:r>
      <w:r w:rsidR="00AE0AD1" w:rsidRPr="00AE0AD1">
        <w:rPr>
          <w:rFonts w:ascii="Open Sans" w:hAnsi="Open Sans" w:cs="Open Sans"/>
        </w:rPr>
        <w:t>‘</w:t>
      </w:r>
      <w:r w:rsidRPr="00AE0AD1">
        <w:rPr>
          <w:rFonts w:ascii="Open Sans" w:hAnsi="Open Sans" w:cs="Open Sans"/>
        </w:rPr>
        <w:t>streamlined</w:t>
      </w:r>
      <w:r w:rsidR="00AE0AD1" w:rsidRPr="00AE0AD1">
        <w:rPr>
          <w:rFonts w:ascii="Open Sans" w:hAnsi="Open Sans" w:cs="Open Sans"/>
        </w:rPr>
        <w:t>’</w:t>
      </w:r>
      <w:r w:rsidRPr="00AE0AD1">
        <w:rPr>
          <w:rFonts w:ascii="Open Sans" w:hAnsi="Open Sans" w:cs="Open Sans"/>
        </w:rPr>
        <w:t xml:space="preserve"> warrant issuing process is therefore required to ensure the </w:t>
      </w:r>
      <w:r w:rsidR="00AE0AD1" w:rsidRPr="00AE0AD1">
        <w:rPr>
          <w:rFonts w:ascii="Open Sans" w:hAnsi="Open Sans" w:cs="Open Sans"/>
        </w:rPr>
        <w:t>‘</w:t>
      </w:r>
      <w:r w:rsidRPr="00AE0AD1">
        <w:rPr>
          <w:rFonts w:ascii="Open Sans" w:hAnsi="Open Sans" w:cs="Open Sans"/>
        </w:rPr>
        <w:t xml:space="preserve">efficient and timely execution of </w:t>
      </w:r>
      <w:r w:rsidR="00E062E2">
        <w:rPr>
          <w:rFonts w:ascii="Open Sans" w:hAnsi="Open Sans" w:cs="Open Sans"/>
        </w:rPr>
        <w:t>QW</w:t>
      </w:r>
      <w:r w:rsidRPr="00AE0AD1">
        <w:rPr>
          <w:rFonts w:ascii="Open Sans" w:hAnsi="Open Sans" w:cs="Open Sans"/>
        </w:rPr>
        <w:t>s, particularly where there is an imminent threat to public safety</w:t>
      </w:r>
      <w:r w:rsidR="00B211FB">
        <w:rPr>
          <w:rFonts w:ascii="Open Sans" w:hAnsi="Open Sans" w:cs="Open Sans"/>
        </w:rPr>
        <w:t>’</w:t>
      </w:r>
      <w:r w:rsidRPr="00AE0AD1">
        <w:rPr>
          <w:rFonts w:ascii="Open Sans" w:hAnsi="Open Sans" w:cs="Open Sans"/>
        </w:rPr>
        <w:t>.</w:t>
      </w:r>
      <w:r w:rsidRPr="00AE0AD1">
        <w:rPr>
          <w:rStyle w:val="EndnoteReference"/>
          <w:rFonts w:ascii="Open Sans" w:hAnsi="Open Sans" w:cs="Open Sans"/>
        </w:rPr>
        <w:endnoteReference w:id="51"/>
      </w:r>
    </w:p>
    <w:p w14:paraId="1184A381" w14:textId="6EF91695" w:rsidR="00C07C47" w:rsidRDefault="00385C0A" w:rsidP="003137B7">
      <w:pPr>
        <w:pStyle w:val="SubmissionNormal"/>
        <w:tabs>
          <w:tab w:val="num" w:pos="864"/>
        </w:tabs>
        <w:rPr>
          <w:rFonts w:ascii="Open Sans" w:hAnsi="Open Sans" w:cs="Open Sans"/>
        </w:rPr>
      </w:pPr>
      <w:r w:rsidRPr="00AE0AD1">
        <w:rPr>
          <w:rFonts w:ascii="Open Sans" w:hAnsi="Open Sans" w:cs="Open Sans"/>
        </w:rPr>
        <w:t xml:space="preserve">Of course, allowing the Minister to issue all warrants would make it simpler and quicker for ASIO to exercise its questioning powers. If the </w:t>
      </w:r>
      <w:r w:rsidR="00E062E2">
        <w:rPr>
          <w:rFonts w:ascii="Open Sans" w:hAnsi="Open Sans" w:cs="Open Sans"/>
        </w:rPr>
        <w:t>QW</w:t>
      </w:r>
      <w:r w:rsidRPr="00AE0AD1">
        <w:rPr>
          <w:rFonts w:ascii="Open Sans" w:hAnsi="Open Sans" w:cs="Open Sans"/>
        </w:rPr>
        <w:t xml:space="preserve"> regime could be made more ‘streamlined’ or efficient</w:t>
      </w:r>
      <w:r w:rsidR="54DD1A0C" w:rsidRPr="7EA2DDC8">
        <w:rPr>
          <w:rFonts w:ascii="Open Sans" w:hAnsi="Open Sans" w:cs="Open Sans"/>
        </w:rPr>
        <w:t>,</w:t>
      </w:r>
      <w:r w:rsidRPr="00AE0AD1">
        <w:rPr>
          <w:rFonts w:ascii="Open Sans" w:hAnsi="Open Sans" w:cs="Open Sans"/>
        </w:rPr>
        <w:t xml:space="preserve"> without diminishing the effectiveness of safeguards against abuse, it would make sense to amend it accordingly. However, limitations on human rights cannot be justified only on the basis of administrative efficiency. </w:t>
      </w:r>
    </w:p>
    <w:p w14:paraId="6DE6E805" w14:textId="5FEF415D" w:rsidR="00385C0A" w:rsidRPr="00AE0AD1" w:rsidRDefault="00362286" w:rsidP="003137B7">
      <w:pPr>
        <w:pStyle w:val="SubmissionNormal"/>
        <w:tabs>
          <w:tab w:val="num" w:pos="864"/>
        </w:tabs>
        <w:rPr>
          <w:rFonts w:ascii="Open Sans" w:hAnsi="Open Sans" w:cs="Open Sans"/>
        </w:rPr>
      </w:pPr>
      <w:r>
        <w:rPr>
          <w:rFonts w:ascii="Open Sans" w:hAnsi="Open Sans" w:cs="Open Sans"/>
        </w:rPr>
        <w:t xml:space="preserve">An amendment of this nature, which would mean that it no longer would be necessary to seek the approval of a judge acting as persona </w:t>
      </w:r>
      <w:proofErr w:type="spellStart"/>
      <w:r>
        <w:rPr>
          <w:rFonts w:ascii="Open Sans" w:hAnsi="Open Sans" w:cs="Open Sans"/>
        </w:rPr>
        <w:t>designata</w:t>
      </w:r>
      <w:proofErr w:type="spellEnd"/>
      <w:r>
        <w:rPr>
          <w:rFonts w:ascii="Open Sans" w:hAnsi="Open Sans" w:cs="Open Sans"/>
        </w:rPr>
        <w:t>, could be justified only if the judge provides inadequate value in the process of deciding whether to authorise a warrant</w:t>
      </w:r>
      <w:r w:rsidR="001262C5">
        <w:rPr>
          <w:rFonts w:ascii="Open Sans" w:hAnsi="Open Sans" w:cs="Open Sans"/>
        </w:rPr>
        <w:t>.</w:t>
      </w:r>
      <w:r w:rsidR="00C07C47">
        <w:rPr>
          <w:rFonts w:ascii="Open Sans" w:hAnsi="Open Sans" w:cs="Open Sans"/>
        </w:rPr>
        <w:t xml:space="preserve"> However, </w:t>
      </w:r>
      <w:r w:rsidR="00EA6DA3">
        <w:rPr>
          <w:rFonts w:ascii="Open Sans" w:hAnsi="Open Sans" w:cs="Open Sans"/>
        </w:rPr>
        <w:t xml:space="preserve">non-government </w:t>
      </w:r>
      <w:r w:rsidR="00C07C47">
        <w:rPr>
          <w:rFonts w:ascii="Open Sans" w:hAnsi="Open Sans" w:cs="Open Sans"/>
        </w:rPr>
        <w:t xml:space="preserve">submissions to the 2016 INSLM inquiry </w:t>
      </w:r>
      <w:r w:rsidR="00EA6DA3">
        <w:rPr>
          <w:rFonts w:ascii="Open Sans" w:hAnsi="Open Sans" w:cs="Open Sans"/>
        </w:rPr>
        <w:t>supported greater, not less, independence in the authorisation process</w:t>
      </w:r>
      <w:r w:rsidR="00C07C47">
        <w:rPr>
          <w:rFonts w:ascii="Open Sans" w:hAnsi="Open Sans" w:cs="Open Sans"/>
        </w:rPr>
        <w:t>.</w:t>
      </w:r>
      <w:r w:rsidR="00C07C47" w:rsidRPr="00561590">
        <w:rPr>
          <w:rStyle w:val="EndnoteReference"/>
          <w:rFonts w:ascii="Open Sans" w:hAnsi="Open Sans" w:cs="Open Sans"/>
          <w:color w:val="1F1923"/>
          <w:szCs w:val="20"/>
        </w:rPr>
        <w:endnoteReference w:id="52"/>
      </w:r>
    </w:p>
    <w:p w14:paraId="4E5FFA28" w14:textId="4F3C7C21" w:rsidR="00385C0A" w:rsidRPr="00AE0AD1" w:rsidRDefault="00EA6DA3" w:rsidP="003137B7">
      <w:pPr>
        <w:pStyle w:val="SubmissionNormal"/>
        <w:tabs>
          <w:tab w:val="num" w:pos="864"/>
        </w:tabs>
        <w:rPr>
          <w:rFonts w:ascii="Open Sans" w:hAnsi="Open Sans" w:cs="Open Sans"/>
        </w:rPr>
      </w:pPr>
      <w:r>
        <w:rPr>
          <w:rFonts w:ascii="Open Sans" w:hAnsi="Open Sans" w:cs="Open Sans"/>
        </w:rPr>
        <w:t xml:space="preserve">Moreover, </w:t>
      </w:r>
      <w:r w:rsidRPr="7EA2DDC8">
        <w:rPr>
          <w:rFonts w:ascii="Open Sans" w:hAnsi="Open Sans" w:cs="Open Sans"/>
        </w:rPr>
        <w:t>a</w:t>
      </w:r>
      <w:r w:rsidR="00385C0A" w:rsidRPr="00AE0AD1">
        <w:rPr>
          <w:rFonts w:ascii="Open Sans" w:hAnsi="Open Sans" w:cs="Open Sans"/>
        </w:rPr>
        <w:t xml:space="preserve">lthough the Department of Home Affairs submits that the amendments are necessary to ensure more </w:t>
      </w:r>
      <w:r w:rsidR="00AE0AD1" w:rsidRPr="00AE0AD1">
        <w:rPr>
          <w:rFonts w:ascii="Open Sans" w:hAnsi="Open Sans" w:cs="Open Sans"/>
        </w:rPr>
        <w:t>‘</w:t>
      </w:r>
      <w:r w:rsidR="00385C0A" w:rsidRPr="00AE0AD1">
        <w:rPr>
          <w:rFonts w:ascii="Open Sans" w:hAnsi="Open Sans" w:cs="Open Sans"/>
        </w:rPr>
        <w:t>timely</w:t>
      </w:r>
      <w:r w:rsidR="00AE0AD1" w:rsidRPr="00AE0AD1">
        <w:rPr>
          <w:rFonts w:ascii="Open Sans" w:hAnsi="Open Sans" w:cs="Open Sans"/>
        </w:rPr>
        <w:t>’</w:t>
      </w:r>
      <w:r w:rsidR="00385C0A" w:rsidRPr="00AE0AD1">
        <w:rPr>
          <w:rFonts w:ascii="Open Sans" w:hAnsi="Open Sans" w:cs="Open Sans"/>
        </w:rPr>
        <w:t xml:space="preserve"> execution of warrants, no supporting evidence has been provided to demonstrate that any of the 16 </w:t>
      </w:r>
      <w:r w:rsidR="00E062E2">
        <w:rPr>
          <w:rFonts w:ascii="Open Sans" w:hAnsi="Open Sans" w:cs="Open Sans"/>
        </w:rPr>
        <w:t>QW</w:t>
      </w:r>
      <w:r w:rsidR="00385C0A" w:rsidRPr="00AE0AD1">
        <w:rPr>
          <w:rFonts w:ascii="Open Sans" w:hAnsi="Open Sans" w:cs="Open Sans"/>
        </w:rPr>
        <w:t xml:space="preserve">s that have been issued to date were in any way hampered by the two-step process of warrant authorisation, to the extent that public safety was threatened by delays or inefficiencies. </w:t>
      </w:r>
    </w:p>
    <w:p w14:paraId="31C57FEA" w14:textId="7BBA80F3" w:rsidR="00561590" w:rsidRDefault="00385C0A" w:rsidP="003137B7">
      <w:pPr>
        <w:pStyle w:val="SubmissionNormal"/>
        <w:tabs>
          <w:tab w:val="num" w:pos="864"/>
        </w:tabs>
        <w:rPr>
          <w:rFonts w:ascii="Open Sans" w:hAnsi="Open Sans" w:cs="Open Sans"/>
          <w:color w:val="1F1923"/>
        </w:rPr>
      </w:pPr>
      <w:r w:rsidRPr="00AE0AD1">
        <w:rPr>
          <w:rFonts w:ascii="Open Sans" w:hAnsi="Open Sans" w:cs="Open Sans"/>
          <w:color w:val="1F1923"/>
        </w:rPr>
        <w:t>In his 2016 review, former INSLM</w:t>
      </w:r>
      <w:r w:rsidR="00F77C26">
        <w:rPr>
          <w:rFonts w:ascii="Open Sans" w:hAnsi="Open Sans" w:cs="Open Sans"/>
          <w:color w:val="1F1923"/>
        </w:rPr>
        <w:t xml:space="preserve"> </w:t>
      </w:r>
      <w:r w:rsidRPr="00AE0AD1">
        <w:rPr>
          <w:rFonts w:ascii="Open Sans" w:hAnsi="Open Sans" w:cs="Open Sans"/>
          <w:color w:val="1F1923"/>
        </w:rPr>
        <w:t xml:space="preserve">the Hon Roger </w:t>
      </w:r>
      <w:proofErr w:type="spellStart"/>
      <w:r w:rsidRPr="00AE0AD1">
        <w:rPr>
          <w:rFonts w:ascii="Open Sans" w:hAnsi="Open Sans" w:cs="Open Sans"/>
          <w:color w:val="1F1923"/>
        </w:rPr>
        <w:t>Gyles</w:t>
      </w:r>
      <w:proofErr w:type="spellEnd"/>
      <w:r w:rsidRPr="00AE0AD1">
        <w:rPr>
          <w:rFonts w:ascii="Open Sans" w:hAnsi="Open Sans" w:cs="Open Sans"/>
          <w:color w:val="1F1923"/>
        </w:rPr>
        <w:t xml:space="preserve"> AO QC considered the merits of replacing the QW provisions with a scheme modelled on the Australian Criminal Intelligence Commission’s compulsory questioning powers. In that context, he found: </w:t>
      </w:r>
    </w:p>
    <w:p w14:paraId="2904C3C5" w14:textId="57272FAB" w:rsidR="00385C0A" w:rsidRPr="00962267" w:rsidRDefault="00385C0A" w:rsidP="00962267">
      <w:pPr>
        <w:pStyle w:val="SubmissionNormal"/>
        <w:numPr>
          <w:ilvl w:val="0"/>
          <w:numId w:val="0"/>
        </w:numPr>
        <w:ind w:left="1440"/>
        <w:rPr>
          <w:rFonts w:ascii="Open Sans" w:hAnsi="Open Sans" w:cs="Open Sans"/>
          <w:color w:val="1F1923"/>
          <w:sz w:val="22"/>
          <w:szCs w:val="22"/>
        </w:rPr>
      </w:pPr>
      <w:r w:rsidRPr="00962267">
        <w:rPr>
          <w:rFonts w:ascii="Open Sans" w:hAnsi="Open Sans" w:cs="Open Sans"/>
          <w:color w:val="1F1923"/>
          <w:sz w:val="22"/>
          <w:szCs w:val="22"/>
        </w:rPr>
        <w:t>[T]he procedure governing the ASIO power is more complicated than the procedure governing the ACIC power. This may affect the ease of use of the ASIO power, and involve more time and effort, but would hardly preclude its use.</w:t>
      </w:r>
      <w:r w:rsidRPr="00561590">
        <w:rPr>
          <w:rStyle w:val="EndnoteReference"/>
          <w:rFonts w:ascii="Open Sans" w:hAnsi="Open Sans" w:cs="Open Sans"/>
          <w:color w:val="1F1923"/>
          <w:szCs w:val="20"/>
        </w:rPr>
        <w:endnoteReference w:id="53"/>
      </w:r>
    </w:p>
    <w:p w14:paraId="36D729F8" w14:textId="155D4C0B"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lastRenderedPageBreak/>
        <w:t xml:space="preserve">That is, the </w:t>
      </w:r>
      <w:r w:rsidR="00561590">
        <w:rPr>
          <w:rFonts w:ascii="Open Sans" w:hAnsi="Open Sans" w:cs="Open Sans"/>
        </w:rPr>
        <w:t xml:space="preserve">2016 </w:t>
      </w:r>
      <w:proofErr w:type="spellStart"/>
      <w:r w:rsidRPr="00AE0AD1">
        <w:rPr>
          <w:rFonts w:ascii="Open Sans" w:hAnsi="Open Sans" w:cs="Open Sans"/>
        </w:rPr>
        <w:t>Gyles</w:t>
      </w:r>
      <w:proofErr w:type="spellEnd"/>
      <w:r w:rsidRPr="00AE0AD1">
        <w:rPr>
          <w:rFonts w:ascii="Open Sans" w:hAnsi="Open Sans" w:cs="Open Sans"/>
        </w:rPr>
        <w:t xml:space="preserve"> Review concluded that the current, two-step process for issuing </w:t>
      </w:r>
      <w:r w:rsidR="00E062E2">
        <w:rPr>
          <w:rFonts w:ascii="Open Sans" w:hAnsi="Open Sans" w:cs="Open Sans"/>
        </w:rPr>
        <w:t>QW</w:t>
      </w:r>
      <w:r w:rsidRPr="00AE0AD1">
        <w:rPr>
          <w:rFonts w:ascii="Open Sans" w:hAnsi="Open Sans" w:cs="Open Sans"/>
        </w:rPr>
        <w:t xml:space="preserve">s does not render the current regime impracticable or ineffectual. </w:t>
      </w:r>
    </w:p>
    <w:p w14:paraId="7771DAEB" w14:textId="1200AC85"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The IGIS</w:t>
      </w:r>
      <w:r w:rsidR="58E7D504" w:rsidRPr="00AE0AD1">
        <w:rPr>
          <w:rFonts w:ascii="Open Sans" w:hAnsi="Open Sans" w:cs="Open Sans"/>
        </w:rPr>
        <w:t>, the Hon Margaret Stone AO,</w:t>
      </w:r>
      <w:r w:rsidRPr="00AE0AD1">
        <w:rPr>
          <w:rFonts w:ascii="Open Sans" w:hAnsi="Open Sans" w:cs="Open Sans"/>
        </w:rPr>
        <w:t xml:space="preserve"> has pointed out that Australia is alone among the other countries in the </w:t>
      </w:r>
      <w:r w:rsidR="00DB3A86">
        <w:rPr>
          <w:rFonts w:ascii="Open Sans" w:hAnsi="Open Sans" w:cs="Open Sans"/>
        </w:rPr>
        <w:t>‘</w:t>
      </w:r>
      <w:r w:rsidR="00500994" w:rsidRPr="7EA2DDC8">
        <w:rPr>
          <w:rFonts w:ascii="Open Sans" w:hAnsi="Open Sans" w:cs="Open Sans"/>
        </w:rPr>
        <w:t>F</w:t>
      </w:r>
      <w:r w:rsidRPr="00AE0AD1">
        <w:rPr>
          <w:rFonts w:ascii="Open Sans" w:hAnsi="Open Sans" w:cs="Open Sans"/>
        </w:rPr>
        <w:t>ive</w:t>
      </w:r>
      <w:r w:rsidR="00500994" w:rsidRPr="7EA2DDC8">
        <w:rPr>
          <w:rFonts w:ascii="Open Sans" w:hAnsi="Open Sans" w:cs="Open Sans"/>
        </w:rPr>
        <w:t xml:space="preserve"> E</w:t>
      </w:r>
      <w:r w:rsidRPr="00AE0AD1">
        <w:rPr>
          <w:rFonts w:ascii="Open Sans" w:hAnsi="Open Sans" w:cs="Open Sans"/>
        </w:rPr>
        <w:t>yes alliance</w:t>
      </w:r>
      <w:r w:rsidR="00DB3A86">
        <w:rPr>
          <w:rFonts w:ascii="Open Sans" w:hAnsi="Open Sans" w:cs="Open Sans"/>
        </w:rPr>
        <w:t>’</w:t>
      </w:r>
      <w:r w:rsidRPr="00AE0AD1">
        <w:rPr>
          <w:rFonts w:ascii="Open Sans" w:hAnsi="Open Sans" w:cs="Open Sans"/>
        </w:rPr>
        <w:t xml:space="preserve"> in authorising its intelligence services to conduct compulsory questioning. She </w:t>
      </w:r>
      <w:r w:rsidR="00561590">
        <w:rPr>
          <w:rFonts w:ascii="Open Sans" w:hAnsi="Open Sans" w:cs="Open Sans"/>
        </w:rPr>
        <w:t xml:space="preserve">has </w:t>
      </w:r>
      <w:r w:rsidRPr="00AE0AD1">
        <w:rPr>
          <w:rFonts w:ascii="Open Sans" w:hAnsi="Open Sans" w:cs="Open Sans"/>
        </w:rPr>
        <w:t>submitted that the removal of the role of an independent issuing authority is at odds with the position in other likeminded countries, where the trend is to increase the requirements for external authorisation for intelligence activities.</w:t>
      </w:r>
      <w:r w:rsidRPr="00AE0AD1">
        <w:rPr>
          <w:rStyle w:val="EndnoteReference"/>
          <w:rFonts w:ascii="Open Sans" w:hAnsi="Open Sans" w:cs="Open Sans"/>
        </w:rPr>
        <w:endnoteReference w:id="54"/>
      </w:r>
    </w:p>
    <w:p w14:paraId="65E862AE" w14:textId="3D48D202"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The powers under contemplation involve very significant restrictions of a number of human rights. The Commission considers that </w:t>
      </w:r>
      <w:r w:rsidR="76D0D3BD" w:rsidRPr="7EA2DDC8">
        <w:rPr>
          <w:rFonts w:ascii="Open Sans" w:hAnsi="Open Sans" w:cs="Open Sans"/>
        </w:rPr>
        <w:t>a</w:t>
      </w:r>
      <w:r w:rsidRPr="00AE0AD1">
        <w:rPr>
          <w:rFonts w:ascii="Open Sans" w:hAnsi="Open Sans" w:cs="Open Sans"/>
        </w:rPr>
        <w:t xml:space="preserve"> requirement that warrants be both issued and supervised by independent persons (who must be current or former judges) is a vital safeguard to ensure that these powers are only authorised where lawful and appropriate. It is likely to ensure applications are well-prepared and documented, and that decisions to issue warrants are made objectively.</w:t>
      </w:r>
    </w:p>
    <w:p w14:paraId="45DD5962" w14:textId="76B945DC" w:rsidR="007745BC" w:rsidRDefault="00A80E4E" w:rsidP="00A80E4E">
      <w:pPr>
        <w:pStyle w:val="SubmissionNormal"/>
        <w:numPr>
          <w:ilvl w:val="0"/>
          <w:numId w:val="0"/>
        </w:numPr>
        <w:ind w:left="792"/>
        <w:rPr>
          <w:rFonts w:ascii="Open Sans" w:hAnsi="Open Sans" w:cs="Open Sans"/>
          <w:b/>
          <w:bCs/>
        </w:rPr>
      </w:pPr>
      <w:r>
        <w:rPr>
          <w:rFonts w:ascii="Open Sans" w:hAnsi="Open Sans" w:cs="Open Sans"/>
          <w:b/>
          <w:bCs/>
        </w:rPr>
        <w:t>Recommendation</w:t>
      </w:r>
      <w:r w:rsidR="00710561">
        <w:rPr>
          <w:rFonts w:ascii="Open Sans" w:hAnsi="Open Sans" w:cs="Open Sans"/>
          <w:b/>
          <w:bCs/>
        </w:rPr>
        <w:t xml:space="preserve"> </w:t>
      </w:r>
      <w:r w:rsidR="007745BC">
        <w:rPr>
          <w:rFonts w:ascii="Open Sans" w:hAnsi="Open Sans" w:cs="Open Sans"/>
          <w:b/>
          <w:bCs/>
        </w:rPr>
        <w:t>4</w:t>
      </w:r>
    </w:p>
    <w:p w14:paraId="5BB7243F" w14:textId="5CF205DB" w:rsidR="00934708" w:rsidRPr="00FE6E65" w:rsidRDefault="00934708" w:rsidP="00FE6E65">
      <w:pPr>
        <w:ind w:left="720"/>
        <w:rPr>
          <w:rFonts w:ascii="Open Sans" w:eastAsia="Times New Roman" w:hAnsi="Open Sans" w:cs="Open Sans"/>
          <w:color w:val="1F1923"/>
          <w:lang w:val="en-US"/>
        </w:rPr>
      </w:pPr>
      <w:r>
        <w:rPr>
          <w:rFonts w:ascii="Open Sans" w:eastAsia="Times New Roman" w:hAnsi="Open Sans" w:cs="Open Sans"/>
          <w:color w:val="1F1923"/>
          <w:lang w:val="en-US"/>
        </w:rPr>
        <w:t>T</w:t>
      </w:r>
      <w:r w:rsidRPr="00045AA8">
        <w:rPr>
          <w:rFonts w:ascii="Open Sans" w:eastAsia="Times New Roman" w:hAnsi="Open Sans" w:cs="Open Sans"/>
          <w:color w:val="1F1923"/>
          <w:lang w:val="en-US"/>
        </w:rPr>
        <w:t xml:space="preserve">he current </w:t>
      </w:r>
      <w:r>
        <w:rPr>
          <w:rFonts w:ascii="Open Sans" w:eastAsia="Times New Roman" w:hAnsi="Open Sans" w:cs="Open Sans"/>
          <w:color w:val="1F1923"/>
          <w:lang w:val="en-US"/>
        </w:rPr>
        <w:t xml:space="preserve">provisions in the ASIO Act requiring </w:t>
      </w:r>
      <w:r w:rsidRPr="00045AA8">
        <w:rPr>
          <w:rFonts w:ascii="Open Sans" w:eastAsia="Times New Roman" w:hAnsi="Open Sans" w:cs="Open Sans"/>
          <w:color w:val="1F1923"/>
          <w:lang w:val="en-US"/>
        </w:rPr>
        <w:t xml:space="preserve">that QWs be issued by an issuing authority on receipt of an application made by the Director-General of ASIO and approved by the Attorney-General </w:t>
      </w:r>
      <w:r>
        <w:rPr>
          <w:rFonts w:ascii="Open Sans" w:eastAsia="Times New Roman" w:hAnsi="Open Sans" w:cs="Open Sans"/>
          <w:color w:val="1F1923"/>
          <w:lang w:val="en-US"/>
        </w:rPr>
        <w:t>should be</w:t>
      </w:r>
      <w:r w:rsidRPr="00045AA8">
        <w:rPr>
          <w:rFonts w:ascii="Open Sans" w:eastAsia="Times New Roman" w:hAnsi="Open Sans" w:cs="Open Sans"/>
          <w:color w:val="1F1923"/>
          <w:lang w:val="en-US"/>
        </w:rPr>
        <w:t xml:space="preserve"> maintained</w:t>
      </w:r>
      <w:r>
        <w:rPr>
          <w:rFonts w:ascii="Open Sans" w:eastAsia="Times New Roman" w:hAnsi="Open Sans" w:cs="Open Sans"/>
          <w:color w:val="1F1923"/>
          <w:lang w:val="en-US"/>
        </w:rPr>
        <w:t xml:space="preserve">. There should be no change to the current requirement that issuing authorities for warrants be </w:t>
      </w:r>
      <w:r w:rsidRPr="7EA2DDC8">
        <w:rPr>
          <w:rFonts w:ascii="Open Sans" w:hAnsi="Open Sans" w:cs="Open Sans"/>
        </w:rPr>
        <w:t>judge</w:t>
      </w:r>
      <w:r>
        <w:rPr>
          <w:rFonts w:ascii="Open Sans" w:hAnsi="Open Sans" w:cs="Open Sans"/>
        </w:rPr>
        <w:t>s</w:t>
      </w:r>
      <w:r w:rsidRPr="7EA2DDC8">
        <w:rPr>
          <w:rFonts w:ascii="Open Sans" w:hAnsi="Open Sans" w:cs="Open Sans"/>
        </w:rPr>
        <w:t xml:space="preserve"> acting </w:t>
      </w:r>
      <w:r>
        <w:rPr>
          <w:rFonts w:ascii="Open Sans" w:hAnsi="Open Sans" w:cs="Open Sans"/>
        </w:rPr>
        <w:t xml:space="preserve">as </w:t>
      </w:r>
      <w:r w:rsidRPr="7EA2DDC8">
        <w:rPr>
          <w:rFonts w:ascii="Open Sans" w:hAnsi="Open Sans" w:cs="Open Sans"/>
        </w:rPr>
        <w:t>persona</w:t>
      </w:r>
      <w:r>
        <w:rPr>
          <w:rFonts w:ascii="Open Sans" w:hAnsi="Open Sans" w:cs="Open Sans"/>
        </w:rPr>
        <w:t>e</w:t>
      </w:r>
      <w:r w:rsidRPr="7EA2DDC8">
        <w:rPr>
          <w:rFonts w:ascii="Open Sans" w:hAnsi="Open Sans" w:cs="Open Sans"/>
        </w:rPr>
        <w:t xml:space="preserve"> </w:t>
      </w:r>
      <w:proofErr w:type="spellStart"/>
      <w:r w:rsidR="00A312A4">
        <w:rPr>
          <w:rFonts w:ascii="Open Sans" w:hAnsi="Open Sans" w:cs="Open Sans"/>
        </w:rPr>
        <w:t>designata</w:t>
      </w:r>
      <w:proofErr w:type="spellEnd"/>
      <w:r w:rsidR="00A312A4">
        <w:rPr>
          <w:rFonts w:ascii="Open Sans" w:hAnsi="Open Sans" w:cs="Open Sans"/>
        </w:rPr>
        <w:t>.</w:t>
      </w:r>
    </w:p>
    <w:p w14:paraId="71A2CA38" w14:textId="3BDE9B6A" w:rsidR="00385C0A" w:rsidRPr="00AE0AD1" w:rsidRDefault="00385C0A" w:rsidP="003137B7">
      <w:pPr>
        <w:pStyle w:val="Heading2"/>
        <w:tabs>
          <w:tab w:val="clear" w:pos="851"/>
          <w:tab w:val="num" w:pos="995"/>
        </w:tabs>
        <w:rPr>
          <w:rFonts w:ascii="Open Sans" w:hAnsi="Open Sans" w:cs="Open Sans"/>
        </w:rPr>
      </w:pPr>
      <w:bookmarkStart w:id="42" w:name="_Toc44496132"/>
      <w:r w:rsidRPr="00AE0AD1">
        <w:rPr>
          <w:rFonts w:ascii="Open Sans" w:hAnsi="Open Sans" w:cs="Open Sans"/>
        </w:rPr>
        <w:t>Questioning and apprehension of minors</w:t>
      </w:r>
      <w:bookmarkEnd w:id="42"/>
    </w:p>
    <w:p w14:paraId="0D34BAB6" w14:textId="2C19D5F1"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One of the most serious concerns raised by the Bill is that it would lower the minimum age of people who could be subject to compulsory questioning detention, from 16 to 14. </w:t>
      </w:r>
    </w:p>
    <w:p w14:paraId="3AEB8F0A" w14:textId="2F500145" w:rsidR="00385C0A" w:rsidRPr="00AE0AD1" w:rsidRDefault="00385C0A" w:rsidP="003137B7">
      <w:pPr>
        <w:pStyle w:val="SubmissionNormal"/>
        <w:tabs>
          <w:tab w:val="num" w:pos="864"/>
        </w:tabs>
        <w:rPr>
          <w:rFonts w:ascii="Open Sans" w:hAnsi="Open Sans" w:cs="Open Sans"/>
        </w:rPr>
      </w:pPr>
      <w:r w:rsidRPr="00AE0AD1">
        <w:rPr>
          <w:rFonts w:ascii="Open Sans" w:hAnsi="Open Sans" w:cs="Open Sans"/>
        </w:rPr>
        <w:t xml:space="preserve">If passed, the Bill provides that the Attorney-General could issue ‘a minor </w:t>
      </w:r>
      <w:r w:rsidR="00E062E2">
        <w:rPr>
          <w:rFonts w:ascii="Open Sans" w:hAnsi="Open Sans" w:cs="Open Sans"/>
        </w:rPr>
        <w:t>QW</w:t>
      </w:r>
      <w:r w:rsidRPr="00AE0AD1">
        <w:rPr>
          <w:rFonts w:ascii="Open Sans" w:hAnsi="Open Sans" w:cs="Open Sans"/>
        </w:rPr>
        <w:t xml:space="preserve">’ if satisfied that: </w:t>
      </w:r>
    </w:p>
    <w:p w14:paraId="79DB51F0" w14:textId="7A573736" w:rsidR="00385C0A" w:rsidRPr="00204046" w:rsidRDefault="00385C0A" w:rsidP="00204046">
      <w:pPr>
        <w:pStyle w:val="ListBullet4"/>
        <w:numPr>
          <w:ilvl w:val="0"/>
          <w:numId w:val="54"/>
        </w:numPr>
        <w:rPr>
          <w:rFonts w:ascii="Open Sans" w:hAnsi="Open Sans" w:cs="Open Sans"/>
          <w:sz w:val="22"/>
          <w:szCs w:val="22"/>
        </w:rPr>
      </w:pPr>
      <w:r w:rsidRPr="00204046">
        <w:rPr>
          <w:rFonts w:ascii="Open Sans" w:hAnsi="Open Sans" w:cs="Open Sans"/>
          <w:sz w:val="22"/>
          <w:szCs w:val="22"/>
        </w:rPr>
        <w:t>the person is at least 14 years old</w:t>
      </w:r>
      <w:r w:rsidR="00EE7287" w:rsidRPr="00204046">
        <w:rPr>
          <w:rFonts w:ascii="Open Sans" w:hAnsi="Open Sans" w:cs="Open Sans"/>
          <w:sz w:val="22"/>
          <w:szCs w:val="22"/>
        </w:rPr>
        <w:t>; and</w:t>
      </w:r>
    </w:p>
    <w:p w14:paraId="6DE36630" w14:textId="68BED54A" w:rsidR="00385C0A" w:rsidRPr="00204046" w:rsidRDefault="00385C0A" w:rsidP="00204046">
      <w:pPr>
        <w:pStyle w:val="ListBullet4"/>
        <w:numPr>
          <w:ilvl w:val="0"/>
          <w:numId w:val="54"/>
        </w:numPr>
        <w:rPr>
          <w:rFonts w:ascii="Open Sans" w:hAnsi="Open Sans" w:cs="Open Sans"/>
          <w:sz w:val="22"/>
          <w:szCs w:val="22"/>
        </w:rPr>
      </w:pPr>
      <w:r w:rsidRPr="00204046">
        <w:rPr>
          <w:rFonts w:ascii="Open Sans" w:hAnsi="Open Sans" w:cs="Open Sans"/>
          <w:sz w:val="22"/>
          <w:szCs w:val="22"/>
        </w:rPr>
        <w:t>there are reasonable grounds for believing that the person has likely engaged in, is likely engaged in, or is likely to engage in activities prejudicial to the protection of, and of the people of, the Commonwealth and the States and Territories from politically motivated violence, whether directed from</w:t>
      </w:r>
      <w:r w:rsidR="006A239A" w:rsidRPr="00204046">
        <w:rPr>
          <w:rFonts w:ascii="Open Sans" w:hAnsi="Open Sans" w:cs="Open Sans"/>
          <w:sz w:val="22"/>
          <w:szCs w:val="22"/>
        </w:rPr>
        <w:t>,</w:t>
      </w:r>
      <w:r w:rsidRPr="00204046">
        <w:rPr>
          <w:rFonts w:ascii="Open Sans" w:hAnsi="Open Sans" w:cs="Open Sans"/>
          <w:sz w:val="22"/>
          <w:szCs w:val="22"/>
        </w:rPr>
        <w:t xml:space="preserve"> or committed within, Australia or not </w:t>
      </w:r>
      <w:r w:rsidR="006A239A" w:rsidRPr="00204046">
        <w:rPr>
          <w:rFonts w:ascii="Open Sans" w:hAnsi="Open Sans" w:cs="Open Sans"/>
          <w:sz w:val="22"/>
          <w:szCs w:val="22"/>
        </w:rPr>
        <w:t>[</w:t>
      </w:r>
      <w:r w:rsidRPr="00204046">
        <w:rPr>
          <w:rFonts w:ascii="Open Sans" w:hAnsi="Open Sans" w:cs="Open Sans"/>
          <w:sz w:val="22"/>
          <w:szCs w:val="22"/>
        </w:rPr>
        <w:t xml:space="preserve">a </w:t>
      </w:r>
      <w:r w:rsidR="006A239A" w:rsidRPr="00204046">
        <w:rPr>
          <w:rFonts w:ascii="Open Sans" w:hAnsi="Open Sans" w:cs="Open Sans"/>
          <w:sz w:val="22"/>
          <w:szCs w:val="22"/>
        </w:rPr>
        <w:t>‘</w:t>
      </w:r>
      <w:r w:rsidRPr="00204046">
        <w:rPr>
          <w:rFonts w:ascii="Open Sans" w:hAnsi="Open Sans" w:cs="Open Sans"/>
          <w:sz w:val="22"/>
          <w:szCs w:val="22"/>
        </w:rPr>
        <w:t>minor questioning matter</w:t>
      </w:r>
      <w:r w:rsidR="006A239A" w:rsidRPr="00204046">
        <w:rPr>
          <w:rFonts w:ascii="Open Sans" w:hAnsi="Open Sans" w:cs="Open Sans"/>
          <w:sz w:val="22"/>
          <w:szCs w:val="22"/>
        </w:rPr>
        <w:t>’]</w:t>
      </w:r>
      <w:r w:rsidR="00EE7287" w:rsidRPr="00204046">
        <w:rPr>
          <w:rFonts w:ascii="Open Sans" w:hAnsi="Open Sans" w:cs="Open Sans"/>
          <w:sz w:val="22"/>
          <w:szCs w:val="22"/>
        </w:rPr>
        <w:t>; and</w:t>
      </w:r>
    </w:p>
    <w:p w14:paraId="47D41EF9" w14:textId="1616B467" w:rsidR="00385C0A" w:rsidRPr="00204046" w:rsidRDefault="00385C0A" w:rsidP="00204046">
      <w:pPr>
        <w:pStyle w:val="ListBullet4"/>
        <w:numPr>
          <w:ilvl w:val="0"/>
          <w:numId w:val="54"/>
        </w:numPr>
        <w:rPr>
          <w:rFonts w:ascii="Open Sans" w:hAnsi="Open Sans" w:cs="Open Sans"/>
          <w:sz w:val="22"/>
          <w:szCs w:val="22"/>
        </w:rPr>
      </w:pPr>
      <w:r w:rsidRPr="00204046">
        <w:rPr>
          <w:rFonts w:ascii="Open Sans" w:hAnsi="Open Sans" w:cs="Open Sans"/>
          <w:sz w:val="22"/>
          <w:szCs w:val="22"/>
        </w:rPr>
        <w:lastRenderedPageBreak/>
        <w:t>there are reasonable grounds for believing that the warrant will substantially assist in the collection of intelligence that is important in relation to a minor questioning matter</w:t>
      </w:r>
      <w:r w:rsidR="00EE7287" w:rsidRPr="00204046">
        <w:rPr>
          <w:rFonts w:ascii="Open Sans" w:hAnsi="Open Sans" w:cs="Open Sans"/>
          <w:sz w:val="22"/>
          <w:szCs w:val="22"/>
        </w:rPr>
        <w:t>; and</w:t>
      </w:r>
    </w:p>
    <w:p w14:paraId="2FB500B6" w14:textId="42B94C77" w:rsidR="00385C0A" w:rsidRPr="00204046" w:rsidRDefault="00385C0A" w:rsidP="00204046">
      <w:pPr>
        <w:pStyle w:val="ListBullet4"/>
        <w:numPr>
          <w:ilvl w:val="0"/>
          <w:numId w:val="54"/>
        </w:numPr>
        <w:rPr>
          <w:rFonts w:ascii="Open Sans" w:hAnsi="Open Sans" w:cs="Open Sans"/>
          <w:sz w:val="22"/>
          <w:szCs w:val="22"/>
        </w:rPr>
      </w:pPr>
      <w:r w:rsidRPr="00204046">
        <w:rPr>
          <w:rFonts w:ascii="Open Sans" w:hAnsi="Open Sans" w:cs="Open Sans"/>
          <w:sz w:val="22"/>
          <w:szCs w:val="22"/>
        </w:rPr>
        <w:t>having regard to other methods</w:t>
      </w:r>
      <w:r w:rsidR="00204046" w:rsidRPr="00204046">
        <w:rPr>
          <w:rFonts w:ascii="Open Sans" w:hAnsi="Open Sans" w:cs="Open Sans"/>
          <w:sz w:val="22"/>
          <w:szCs w:val="22"/>
        </w:rPr>
        <w:t xml:space="preserve"> (</w:t>
      </w:r>
      <w:r w:rsidRPr="00204046">
        <w:rPr>
          <w:rFonts w:ascii="Open Sans" w:hAnsi="Open Sans" w:cs="Open Sans"/>
          <w:sz w:val="22"/>
          <w:szCs w:val="22"/>
        </w:rPr>
        <w:t>if any</w:t>
      </w:r>
      <w:r w:rsidR="00204046" w:rsidRPr="00204046">
        <w:rPr>
          <w:rFonts w:ascii="Open Sans" w:hAnsi="Open Sans" w:cs="Open Sans"/>
          <w:sz w:val="22"/>
          <w:szCs w:val="22"/>
        </w:rPr>
        <w:t>)</w:t>
      </w:r>
      <w:r w:rsidRPr="00204046">
        <w:rPr>
          <w:rFonts w:ascii="Open Sans" w:hAnsi="Open Sans" w:cs="Open Sans"/>
          <w:sz w:val="22"/>
          <w:szCs w:val="22"/>
        </w:rPr>
        <w:t xml:space="preserve"> of collecting intelligence that are likely to be as effective, it is reasonable in all the circumstances for the warrant to be issued.</w:t>
      </w:r>
      <w:r w:rsidRPr="00204046">
        <w:rPr>
          <w:rStyle w:val="EndnoteReference"/>
          <w:rFonts w:ascii="Open Sans" w:eastAsia="Times New Roman" w:hAnsi="Open Sans" w:cs="Open Sans"/>
          <w:sz w:val="22"/>
          <w:szCs w:val="22"/>
        </w:rPr>
        <w:endnoteReference w:id="55"/>
      </w:r>
    </w:p>
    <w:p w14:paraId="4DE9202E" w14:textId="2BB8B0FD"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In its submission to this inquiry, the Department of Home Affairs state</w:t>
      </w:r>
      <w:r w:rsidR="6E1A9260" w:rsidRPr="00AE0AD1">
        <w:rPr>
          <w:rFonts w:ascii="Open Sans" w:hAnsi="Open Sans" w:cs="Open Sans"/>
        </w:rPr>
        <w:t>d</w:t>
      </w:r>
      <w:r w:rsidRPr="00AE0AD1">
        <w:rPr>
          <w:rFonts w:ascii="Open Sans" w:hAnsi="Open Sans" w:cs="Open Sans"/>
        </w:rPr>
        <w:t xml:space="preserve"> that the need for the lowered age is to protect the community from terrorism</w:t>
      </w:r>
      <w:r w:rsidR="00C5398A">
        <w:rPr>
          <w:rFonts w:ascii="Open Sans" w:hAnsi="Open Sans" w:cs="Open Sans"/>
        </w:rPr>
        <w:t xml:space="preserve"> </w:t>
      </w:r>
      <w:r w:rsidR="00212769">
        <w:rPr>
          <w:rFonts w:ascii="Open Sans" w:hAnsi="Open Sans" w:cs="Open Sans"/>
        </w:rPr>
        <w:t>attacks perpetrated by minors</w:t>
      </w:r>
      <w:r w:rsidRPr="00AE0AD1">
        <w:rPr>
          <w:rFonts w:ascii="Open Sans" w:hAnsi="Open Sans" w:cs="Open Sans"/>
        </w:rPr>
        <w:t>, as illustrated by the 2015 politically motivated shooting of NSW Police Force employee by a 15</w:t>
      </w:r>
      <w:r w:rsidR="290301F2" w:rsidRPr="00AE0AD1">
        <w:rPr>
          <w:rFonts w:ascii="Open Sans" w:hAnsi="Open Sans" w:cs="Open Sans"/>
        </w:rPr>
        <w:t>-</w:t>
      </w:r>
      <w:r w:rsidRPr="00AE0AD1">
        <w:rPr>
          <w:rFonts w:ascii="Open Sans" w:hAnsi="Open Sans" w:cs="Open Sans"/>
        </w:rPr>
        <w:t>year</w:t>
      </w:r>
      <w:r w:rsidR="290301F2" w:rsidRPr="00AE0AD1">
        <w:rPr>
          <w:rFonts w:ascii="Open Sans" w:hAnsi="Open Sans" w:cs="Open Sans"/>
        </w:rPr>
        <w:t>-</w:t>
      </w:r>
      <w:r w:rsidRPr="00AE0AD1">
        <w:rPr>
          <w:rFonts w:ascii="Open Sans" w:hAnsi="Open Sans" w:cs="Open Sans"/>
        </w:rPr>
        <w:t>old</w:t>
      </w:r>
      <w:r w:rsidR="290301F2" w:rsidRPr="00AE0AD1">
        <w:rPr>
          <w:rFonts w:ascii="Open Sans" w:hAnsi="Open Sans" w:cs="Open Sans"/>
        </w:rPr>
        <w:t xml:space="preserve"> boy</w:t>
      </w:r>
      <w:r w:rsidRPr="00AE0AD1">
        <w:rPr>
          <w:rFonts w:ascii="Open Sans" w:hAnsi="Open Sans" w:cs="Open Sans"/>
        </w:rPr>
        <w:t>.</w:t>
      </w:r>
      <w:r w:rsidR="0003402C">
        <w:rPr>
          <w:rStyle w:val="EndnoteReference"/>
          <w:rFonts w:cs="Open Sans"/>
        </w:rPr>
        <w:endnoteReference w:id="56"/>
      </w:r>
      <w:r w:rsidRPr="00AE0AD1">
        <w:rPr>
          <w:rFonts w:ascii="Open Sans" w:hAnsi="Open Sans" w:cs="Open Sans"/>
        </w:rPr>
        <w:t xml:space="preserve"> The exclusion of people under the age of 18 years from </w:t>
      </w:r>
      <w:r w:rsidR="00E062E2">
        <w:rPr>
          <w:rFonts w:ascii="Open Sans" w:hAnsi="Open Sans" w:cs="Open Sans"/>
        </w:rPr>
        <w:t>QW</w:t>
      </w:r>
      <w:r w:rsidRPr="00AE0AD1">
        <w:rPr>
          <w:rFonts w:ascii="Open Sans" w:hAnsi="Open Sans" w:cs="Open Sans"/>
        </w:rPr>
        <w:t xml:space="preserve">s, including the </w:t>
      </w:r>
      <w:r w:rsidR="00EE7287">
        <w:rPr>
          <w:rFonts w:ascii="Open Sans" w:hAnsi="Open Sans" w:cs="Open Sans"/>
        </w:rPr>
        <w:t xml:space="preserve">proposed </w:t>
      </w:r>
      <w:r w:rsidRPr="00AE0AD1">
        <w:rPr>
          <w:rFonts w:ascii="Open Sans" w:hAnsi="Open Sans" w:cs="Open Sans"/>
        </w:rPr>
        <w:t xml:space="preserve">apprehension power, would </w:t>
      </w:r>
      <w:r w:rsidR="00A85BD2" w:rsidRPr="00AE0AD1">
        <w:rPr>
          <w:rFonts w:ascii="Open Sans" w:hAnsi="Open Sans" w:cs="Open Sans"/>
        </w:rPr>
        <w:t>‘</w:t>
      </w:r>
      <w:r w:rsidRPr="00AE0AD1">
        <w:rPr>
          <w:rFonts w:ascii="Open Sans" w:hAnsi="Open Sans" w:cs="Open Sans"/>
        </w:rPr>
        <w:t>leave a significant gap in ASIO’s ability to collect crucial intelligence on threats to Australia’s security.</w:t>
      </w:r>
      <w:r w:rsidR="00A85BD2" w:rsidRPr="00AE0AD1">
        <w:rPr>
          <w:rFonts w:ascii="Open Sans" w:hAnsi="Open Sans" w:cs="Open Sans"/>
        </w:rPr>
        <w:t>’</w:t>
      </w:r>
      <w:r w:rsidRPr="00AE0AD1">
        <w:rPr>
          <w:rStyle w:val="EndnoteReference"/>
          <w:rFonts w:ascii="Open Sans" w:hAnsi="Open Sans" w:cs="Open Sans"/>
          <w:color w:val="1F1923"/>
        </w:rPr>
        <w:endnoteReference w:id="57"/>
      </w:r>
    </w:p>
    <w:p w14:paraId="03846B4B" w14:textId="0F1426FE"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 xml:space="preserve">When the </w:t>
      </w:r>
      <w:r w:rsidR="00E062E2">
        <w:rPr>
          <w:rFonts w:ascii="Open Sans" w:hAnsi="Open Sans" w:cs="Open Sans"/>
        </w:rPr>
        <w:t>QW</w:t>
      </w:r>
      <w:r w:rsidRPr="00AE0AD1">
        <w:rPr>
          <w:rFonts w:ascii="Open Sans" w:hAnsi="Open Sans" w:cs="Open Sans"/>
        </w:rPr>
        <w:t xml:space="preserve"> and QDW provisions were first proposed, they were the subject of an inquiry by the PJCAAD. In considering the possible application of this regime to children, the PJCAAD concluded:</w:t>
      </w:r>
    </w:p>
    <w:p w14:paraId="0A14C2EA" w14:textId="7BEDC20F" w:rsidR="00385C0A" w:rsidRPr="00AE0AD1" w:rsidRDefault="00385C0A" w:rsidP="00204046">
      <w:pPr>
        <w:spacing w:before="0" w:after="120"/>
        <w:ind w:left="1440"/>
        <w:jc w:val="both"/>
        <w:rPr>
          <w:rFonts w:ascii="Open Sans" w:eastAsia="Times New Roman" w:hAnsi="Open Sans" w:cs="Open Sans"/>
          <w:color w:val="1F1923"/>
          <w:sz w:val="22"/>
          <w:szCs w:val="22"/>
        </w:rPr>
      </w:pPr>
      <w:r w:rsidRPr="00AE0AD1">
        <w:rPr>
          <w:rFonts w:ascii="Open Sans" w:eastAsia="Times New Roman" w:hAnsi="Open Sans" w:cs="Open Sans"/>
          <w:color w:val="1F1923"/>
          <w:sz w:val="22"/>
          <w:szCs w:val="22"/>
        </w:rPr>
        <w:t>It is a major concern that children could be subject to the provisions in the Bill. The Committee does not support the right to detain</w:t>
      </w:r>
      <w:r w:rsidR="007B0342">
        <w:rPr>
          <w:rFonts w:ascii="Open Sans" w:eastAsia="Times New Roman" w:hAnsi="Open Sans" w:cs="Open Sans"/>
          <w:color w:val="1F1923"/>
          <w:sz w:val="22"/>
          <w:szCs w:val="22"/>
        </w:rPr>
        <w:t xml:space="preserve"> </w:t>
      </w:r>
      <w:r w:rsidRPr="00AE0AD1">
        <w:rPr>
          <w:rFonts w:ascii="Open Sans" w:eastAsia="Times New Roman" w:hAnsi="Open Sans" w:cs="Open Sans"/>
          <w:color w:val="1F1923"/>
          <w:sz w:val="22"/>
          <w:szCs w:val="22"/>
        </w:rPr>
        <w:t xml:space="preserve">… children as provided for under the legislation. There already exists a procedure under the Crimes Act which allows for the questioning of children. </w:t>
      </w:r>
    </w:p>
    <w:p w14:paraId="598633FE" w14:textId="2E275CB7" w:rsidR="00385C0A" w:rsidRPr="00AE0AD1" w:rsidRDefault="00385C0A" w:rsidP="00204046">
      <w:pPr>
        <w:spacing w:before="0" w:after="120"/>
        <w:ind w:left="1440"/>
        <w:jc w:val="both"/>
        <w:rPr>
          <w:rFonts w:ascii="Open Sans" w:eastAsia="Times New Roman" w:hAnsi="Open Sans" w:cs="Open Sans"/>
          <w:color w:val="1F1923"/>
          <w:sz w:val="22"/>
          <w:szCs w:val="22"/>
        </w:rPr>
      </w:pPr>
      <w:r w:rsidRPr="00AE0AD1">
        <w:rPr>
          <w:rFonts w:ascii="Open Sans" w:eastAsia="Times New Roman" w:hAnsi="Open Sans" w:cs="Open Sans"/>
          <w:color w:val="1F1923"/>
          <w:sz w:val="22"/>
          <w:szCs w:val="22"/>
        </w:rPr>
        <w:t>…</w:t>
      </w:r>
    </w:p>
    <w:p w14:paraId="0C857ED4" w14:textId="047F366E" w:rsidR="00385C0A" w:rsidRPr="00AE0AD1" w:rsidRDefault="00385C0A" w:rsidP="00204046">
      <w:pPr>
        <w:spacing w:before="0" w:after="120"/>
        <w:ind w:left="1440"/>
        <w:jc w:val="both"/>
        <w:rPr>
          <w:rFonts w:ascii="Open Sans" w:eastAsia="Times New Roman" w:hAnsi="Open Sans" w:cs="Open Sans"/>
          <w:color w:val="1F1923"/>
          <w:sz w:val="22"/>
          <w:szCs w:val="22"/>
        </w:rPr>
      </w:pPr>
      <w:r w:rsidRPr="00AE0AD1">
        <w:rPr>
          <w:rFonts w:ascii="Open Sans" w:eastAsia="Times New Roman" w:hAnsi="Open Sans" w:cs="Open Sans"/>
          <w:color w:val="1F1923"/>
          <w:sz w:val="22"/>
          <w:szCs w:val="22"/>
        </w:rPr>
        <w:t>Many protections could be put into the legislation with regard to children under the age of 18, however, it is the view of the Committee that it would be simpler and safer to have the legislation not apply to anyone under 18 year [sic] of age.</w:t>
      </w:r>
      <w:r w:rsidR="00824297">
        <w:rPr>
          <w:rStyle w:val="EndnoteReference"/>
          <w:rFonts w:eastAsia="Times New Roman" w:cs="Open Sans"/>
          <w:color w:val="1F1923"/>
          <w:szCs w:val="22"/>
        </w:rPr>
        <w:endnoteReference w:id="58"/>
      </w:r>
    </w:p>
    <w:p w14:paraId="785F3F8A" w14:textId="1E840591"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 xml:space="preserve">The PJCAAD recommended that the relevant Bill be </w:t>
      </w:r>
      <w:r w:rsidR="00A85BD2" w:rsidRPr="00AE0AD1">
        <w:rPr>
          <w:rFonts w:ascii="Open Sans" w:hAnsi="Open Sans" w:cs="Open Sans"/>
        </w:rPr>
        <w:t>‘</w:t>
      </w:r>
      <w:r w:rsidRPr="00AE0AD1">
        <w:rPr>
          <w:rFonts w:ascii="Open Sans" w:hAnsi="Open Sans" w:cs="Open Sans"/>
        </w:rPr>
        <w:t>amended to ensure that no person under the age of eighteen years may be questioned or detained under the legislation</w:t>
      </w:r>
      <w:r w:rsidR="00A85BD2" w:rsidRPr="00AE0AD1">
        <w:rPr>
          <w:rFonts w:ascii="Open Sans" w:hAnsi="Open Sans" w:cs="Open Sans"/>
        </w:rPr>
        <w:t>’</w:t>
      </w:r>
      <w:r w:rsidRPr="00AE0AD1">
        <w:rPr>
          <w:rFonts w:ascii="Open Sans" w:hAnsi="Open Sans" w:cs="Open Sans"/>
        </w:rPr>
        <w:t>.</w:t>
      </w:r>
      <w:r w:rsidR="00D1286D">
        <w:rPr>
          <w:rStyle w:val="EndnoteReference"/>
          <w:rFonts w:cs="Open Sans"/>
        </w:rPr>
        <w:endnoteReference w:id="59"/>
      </w:r>
      <w:r w:rsidRPr="00AE0AD1">
        <w:rPr>
          <w:rFonts w:ascii="Open Sans" w:hAnsi="Open Sans" w:cs="Open Sans"/>
        </w:rPr>
        <w:t xml:space="preserve"> Ultimately, of course, that recommended was not fully implemented. </w:t>
      </w:r>
    </w:p>
    <w:p w14:paraId="791577A2" w14:textId="1D7AC190"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 xml:space="preserve">The preamble to the CRC states that, in light of their physical and mental immaturity, children have special need of safeguards, care and protection. As noted above, article 3 of the CRC requires that in all actions concerning children, the best interests of the child shall be a primary consideration. </w:t>
      </w:r>
    </w:p>
    <w:p w14:paraId="479B6E46" w14:textId="36CABA0A"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 xml:space="preserve">The current provision for detention and compulsory questioning of minors as young as 16 is itself highly controversial. The proposal that children as young as 14 should be subject to apprehension and </w:t>
      </w:r>
      <w:r w:rsidRPr="00AE0AD1">
        <w:rPr>
          <w:rFonts w:ascii="Open Sans" w:hAnsi="Open Sans" w:cs="Open Sans"/>
        </w:rPr>
        <w:lastRenderedPageBreak/>
        <w:t>compulsory questioning</w:t>
      </w:r>
      <w:r w:rsidR="6F9C1EFA" w:rsidRPr="00AE0AD1">
        <w:rPr>
          <w:rFonts w:ascii="Open Sans" w:hAnsi="Open Sans" w:cs="Open Sans"/>
        </w:rPr>
        <w:t>,</w:t>
      </w:r>
      <w:r w:rsidRPr="00AE0AD1">
        <w:rPr>
          <w:rFonts w:ascii="Open Sans" w:hAnsi="Open Sans" w:cs="Open Sans"/>
        </w:rPr>
        <w:t xml:space="preserve"> in circumstances where they might not have their lawyer of choice present to guide and advise them, is even more extraordinary. The Commission consider</w:t>
      </w:r>
      <w:r w:rsidR="1FEC096E" w:rsidRPr="00AE0AD1">
        <w:rPr>
          <w:rFonts w:ascii="Open Sans" w:hAnsi="Open Sans" w:cs="Open Sans"/>
        </w:rPr>
        <w:t>s</w:t>
      </w:r>
      <w:r w:rsidRPr="00AE0AD1">
        <w:rPr>
          <w:rFonts w:ascii="Open Sans" w:hAnsi="Open Sans" w:cs="Open Sans"/>
        </w:rPr>
        <w:t xml:space="preserve"> that </w:t>
      </w:r>
      <w:r w:rsidR="211195AC" w:rsidRPr="00AE0AD1">
        <w:rPr>
          <w:rFonts w:ascii="Open Sans" w:hAnsi="Open Sans" w:cs="Open Sans"/>
        </w:rPr>
        <w:t>no</w:t>
      </w:r>
      <w:r w:rsidRPr="00AE0AD1">
        <w:rPr>
          <w:rFonts w:ascii="Open Sans" w:hAnsi="Open Sans" w:cs="Open Sans"/>
        </w:rPr>
        <w:t xml:space="preserve"> evidence has been made public that supports the claim that it is necessary and proportionate to lower the age of questioning to 14.</w:t>
      </w:r>
      <w:r w:rsidR="00F77C26">
        <w:rPr>
          <w:rFonts w:ascii="Open Sans" w:hAnsi="Open Sans" w:cs="Open Sans"/>
        </w:rPr>
        <w:t xml:space="preserve"> </w:t>
      </w:r>
      <w:r w:rsidRPr="00AE0AD1">
        <w:rPr>
          <w:rFonts w:ascii="Open Sans" w:hAnsi="Open Sans" w:cs="Open Sans"/>
        </w:rPr>
        <w:t xml:space="preserve">Although the Department of Home Affairs points out that one of the seven terrorist attacks conducted in Australia since 2014 involved a young person </w:t>
      </w:r>
      <w:r w:rsidR="00A85BD2" w:rsidRPr="00AE0AD1">
        <w:rPr>
          <w:rFonts w:ascii="Open Sans" w:hAnsi="Open Sans" w:cs="Open Sans"/>
        </w:rPr>
        <w:t>‘</w:t>
      </w:r>
      <w:r w:rsidRPr="00AE0AD1">
        <w:rPr>
          <w:rFonts w:ascii="Open Sans" w:hAnsi="Open Sans" w:cs="Open Sans"/>
        </w:rPr>
        <w:t>of school age</w:t>
      </w:r>
      <w:r w:rsidR="00283C2C" w:rsidRPr="00AE0AD1">
        <w:rPr>
          <w:rFonts w:ascii="Open Sans" w:hAnsi="Open Sans" w:cs="Open Sans"/>
        </w:rPr>
        <w:t>’</w:t>
      </w:r>
      <w:r w:rsidRPr="00AE0AD1">
        <w:rPr>
          <w:rFonts w:ascii="Open Sans" w:hAnsi="Open Sans" w:cs="Open Sans"/>
        </w:rPr>
        <w:t xml:space="preserve">, and three of the 18 disrupted plots have </w:t>
      </w:r>
      <w:r w:rsidR="00283C2C" w:rsidRPr="00AE0AD1">
        <w:rPr>
          <w:rFonts w:ascii="Open Sans" w:hAnsi="Open Sans" w:cs="Open Sans"/>
        </w:rPr>
        <w:t>‘</w:t>
      </w:r>
      <w:r w:rsidRPr="00AE0AD1">
        <w:rPr>
          <w:rFonts w:ascii="Open Sans" w:hAnsi="Open Sans" w:cs="Open Sans"/>
        </w:rPr>
        <w:t>involved minors</w:t>
      </w:r>
      <w:r w:rsidR="00283C2C" w:rsidRPr="00AE0AD1">
        <w:rPr>
          <w:rFonts w:ascii="Open Sans" w:hAnsi="Open Sans" w:cs="Open Sans"/>
        </w:rPr>
        <w:t>’</w:t>
      </w:r>
      <w:r w:rsidRPr="00AE0AD1">
        <w:rPr>
          <w:rFonts w:ascii="Open Sans" w:hAnsi="Open Sans" w:cs="Open Sans"/>
        </w:rPr>
        <w:t xml:space="preserve">, they do not provide any evidence that these minors were in fact below the age of 16. </w:t>
      </w:r>
    </w:p>
    <w:p w14:paraId="30E246FA" w14:textId="089717F9"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The</w:t>
      </w:r>
      <w:r w:rsidR="001C2E95">
        <w:rPr>
          <w:rFonts w:ascii="Open Sans" w:hAnsi="Open Sans" w:cs="Open Sans"/>
        </w:rPr>
        <w:t xml:space="preserve"> Commission acknowledges that the</w:t>
      </w:r>
      <w:r w:rsidRPr="00AE0AD1">
        <w:rPr>
          <w:rFonts w:ascii="Open Sans" w:hAnsi="Open Sans" w:cs="Open Sans"/>
        </w:rPr>
        <w:t xml:space="preserve"> fact that one person aged 15 has</w:t>
      </w:r>
      <w:r w:rsidR="4B41E6C3" w:rsidRPr="7EA2DDC8">
        <w:rPr>
          <w:rFonts w:ascii="Open Sans" w:hAnsi="Open Sans" w:cs="Open Sans"/>
        </w:rPr>
        <w:t>,</w:t>
      </w:r>
      <w:r w:rsidRPr="00AE0AD1">
        <w:rPr>
          <w:rFonts w:ascii="Open Sans" w:hAnsi="Open Sans" w:cs="Open Sans"/>
        </w:rPr>
        <w:t xml:space="preserve"> on one occasion</w:t>
      </w:r>
      <w:r w:rsidR="56DF8044" w:rsidRPr="7EA2DDC8">
        <w:rPr>
          <w:rFonts w:ascii="Open Sans" w:hAnsi="Open Sans" w:cs="Open Sans"/>
        </w:rPr>
        <w:t>,</w:t>
      </w:r>
      <w:r w:rsidRPr="00AE0AD1">
        <w:rPr>
          <w:rFonts w:ascii="Open Sans" w:hAnsi="Open Sans" w:cs="Open Sans"/>
        </w:rPr>
        <w:t xml:space="preserve"> engaged in a ‘lone-wolf’ style attack </w:t>
      </w:r>
      <w:r w:rsidR="001C2E95">
        <w:rPr>
          <w:rFonts w:ascii="Open Sans" w:hAnsi="Open Sans" w:cs="Open Sans"/>
        </w:rPr>
        <w:t xml:space="preserve">adds to the complexity of Australia’s threat </w:t>
      </w:r>
      <w:r w:rsidR="001C2E95" w:rsidRPr="7EA2DDC8">
        <w:rPr>
          <w:rFonts w:ascii="Open Sans" w:hAnsi="Open Sans" w:cs="Open Sans"/>
        </w:rPr>
        <w:t>matrix</w:t>
      </w:r>
      <w:r w:rsidRPr="00AE0AD1">
        <w:rPr>
          <w:rFonts w:ascii="Open Sans" w:hAnsi="Open Sans" w:cs="Open Sans"/>
        </w:rPr>
        <w:t>.</w:t>
      </w:r>
      <w:r w:rsidR="00F77C26">
        <w:rPr>
          <w:rFonts w:ascii="Open Sans" w:hAnsi="Open Sans" w:cs="Open Sans"/>
        </w:rPr>
        <w:t xml:space="preserve"> </w:t>
      </w:r>
      <w:r w:rsidRPr="00AE0AD1">
        <w:rPr>
          <w:rFonts w:ascii="Open Sans" w:hAnsi="Open Sans" w:cs="Open Sans"/>
        </w:rPr>
        <w:t xml:space="preserve">It </w:t>
      </w:r>
      <w:r w:rsidR="001C2E95" w:rsidRPr="7EA2DDC8">
        <w:rPr>
          <w:rFonts w:ascii="Open Sans" w:hAnsi="Open Sans" w:cs="Open Sans"/>
        </w:rPr>
        <w:t>does</w:t>
      </w:r>
      <w:r w:rsidR="001C2E95">
        <w:rPr>
          <w:rFonts w:ascii="Open Sans" w:hAnsi="Open Sans" w:cs="Open Sans"/>
        </w:rPr>
        <w:t xml:space="preserve"> </w:t>
      </w:r>
      <w:r w:rsidR="001C2E95" w:rsidRPr="00AE0AD1">
        <w:rPr>
          <w:rFonts w:ascii="Open Sans" w:hAnsi="Open Sans" w:cs="Open Sans"/>
        </w:rPr>
        <w:t>not</w:t>
      </w:r>
      <w:r w:rsidRPr="00AE0AD1">
        <w:rPr>
          <w:rFonts w:ascii="Open Sans" w:hAnsi="Open Sans" w:cs="Open Sans"/>
        </w:rPr>
        <w:t xml:space="preserve">, however, support a claim that </w:t>
      </w:r>
      <w:r w:rsidR="001C2E95">
        <w:rPr>
          <w:rFonts w:ascii="Open Sans" w:hAnsi="Open Sans" w:cs="Open Sans"/>
        </w:rPr>
        <w:t xml:space="preserve">all </w:t>
      </w:r>
      <w:r w:rsidRPr="00AE0AD1">
        <w:rPr>
          <w:rFonts w:ascii="Open Sans" w:hAnsi="Open Sans" w:cs="Open Sans"/>
        </w:rPr>
        <w:t xml:space="preserve">children </w:t>
      </w:r>
      <w:r w:rsidR="001C2E95">
        <w:rPr>
          <w:rFonts w:ascii="Open Sans" w:hAnsi="Open Sans" w:cs="Open Sans"/>
        </w:rPr>
        <w:t xml:space="preserve">14 and over </w:t>
      </w:r>
      <w:r w:rsidRPr="00AE0AD1">
        <w:rPr>
          <w:rFonts w:ascii="Open Sans" w:hAnsi="Open Sans" w:cs="Open Sans"/>
        </w:rPr>
        <w:t>should be subject to the mandatory questioning regime contemplated by the Bill.</w:t>
      </w:r>
      <w:r w:rsidR="00F77C26">
        <w:rPr>
          <w:rFonts w:ascii="Open Sans" w:hAnsi="Open Sans" w:cs="Open Sans"/>
        </w:rPr>
        <w:t xml:space="preserve"> </w:t>
      </w:r>
      <w:r w:rsidRPr="00AE0AD1">
        <w:rPr>
          <w:rFonts w:ascii="Open Sans" w:hAnsi="Open Sans" w:cs="Open Sans"/>
        </w:rPr>
        <w:t xml:space="preserve">It is noteworthy that it has not been claimed that the existence of these powers would have prevented the 2015 crime referred to above. </w:t>
      </w:r>
    </w:p>
    <w:p w14:paraId="73C9AC99" w14:textId="5C42656D"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 xml:space="preserve">It is also worth noting that, to date, no </w:t>
      </w:r>
      <w:r w:rsidR="00E062E2">
        <w:rPr>
          <w:rFonts w:ascii="Open Sans" w:hAnsi="Open Sans" w:cs="Open Sans"/>
        </w:rPr>
        <w:t>QW</w:t>
      </w:r>
      <w:r w:rsidRPr="00AE0AD1">
        <w:rPr>
          <w:rFonts w:ascii="Open Sans" w:hAnsi="Open Sans" w:cs="Open Sans"/>
        </w:rPr>
        <w:t xml:space="preserve">s have been issued in relation to anyone under the age of 18. The argument that the exclusion of persons </w:t>
      </w:r>
      <w:r w:rsidR="00071B9D">
        <w:rPr>
          <w:rFonts w:ascii="Open Sans" w:hAnsi="Open Sans" w:cs="Open Sans"/>
        </w:rPr>
        <w:t>as young as 14</w:t>
      </w:r>
      <w:r w:rsidRPr="00AE0AD1">
        <w:rPr>
          <w:rFonts w:ascii="Open Sans" w:hAnsi="Open Sans" w:cs="Open Sans"/>
        </w:rPr>
        <w:t xml:space="preserve"> years of age from the proposed apprehension power would </w:t>
      </w:r>
      <w:r w:rsidR="00283C2C" w:rsidRPr="00AE0AD1">
        <w:rPr>
          <w:rFonts w:ascii="Open Sans" w:hAnsi="Open Sans" w:cs="Open Sans"/>
        </w:rPr>
        <w:t>‘</w:t>
      </w:r>
      <w:r w:rsidRPr="00AE0AD1">
        <w:rPr>
          <w:rFonts w:ascii="Open Sans" w:hAnsi="Open Sans" w:cs="Open Sans"/>
        </w:rPr>
        <w:t>leave a critical gap in ASIO’s compulsory questioning powers</w:t>
      </w:r>
      <w:r w:rsidR="00283C2C" w:rsidRPr="00AE0AD1">
        <w:rPr>
          <w:rFonts w:ascii="Open Sans" w:hAnsi="Open Sans" w:cs="Open Sans"/>
        </w:rPr>
        <w:t>’</w:t>
      </w:r>
      <w:r w:rsidRPr="00AE0AD1">
        <w:rPr>
          <w:rFonts w:ascii="Open Sans" w:hAnsi="Open Sans" w:cs="Open Sans"/>
        </w:rPr>
        <w:t xml:space="preserve"> is not justified when there is no supporting evidence that</w:t>
      </w:r>
      <w:r w:rsidR="1A1E68F6" w:rsidRPr="7EA2DDC8">
        <w:rPr>
          <w:rFonts w:ascii="Open Sans" w:hAnsi="Open Sans" w:cs="Open Sans"/>
        </w:rPr>
        <w:t>,</w:t>
      </w:r>
      <w:r w:rsidRPr="00AE0AD1">
        <w:rPr>
          <w:rFonts w:ascii="Open Sans" w:hAnsi="Open Sans" w:cs="Open Sans"/>
        </w:rPr>
        <w:t xml:space="preserve"> to date, a threshold </w:t>
      </w:r>
      <w:r w:rsidR="00071B9D">
        <w:rPr>
          <w:rFonts w:ascii="Open Sans" w:hAnsi="Open Sans" w:cs="Open Sans"/>
        </w:rPr>
        <w:t xml:space="preserve">age </w:t>
      </w:r>
      <w:r w:rsidRPr="00AE0AD1">
        <w:rPr>
          <w:rFonts w:ascii="Open Sans" w:hAnsi="Open Sans" w:cs="Open Sans"/>
        </w:rPr>
        <w:t xml:space="preserve">of 18 </w:t>
      </w:r>
      <w:r w:rsidR="00071B9D">
        <w:rPr>
          <w:rFonts w:ascii="Open Sans" w:hAnsi="Open Sans" w:cs="Open Sans"/>
        </w:rPr>
        <w:t>would have</w:t>
      </w:r>
      <w:r w:rsidR="00071B9D" w:rsidRPr="00AE0AD1">
        <w:rPr>
          <w:rFonts w:ascii="Open Sans" w:hAnsi="Open Sans" w:cs="Open Sans"/>
        </w:rPr>
        <w:t xml:space="preserve"> </w:t>
      </w:r>
      <w:r w:rsidRPr="00AE0AD1">
        <w:rPr>
          <w:rFonts w:ascii="Open Sans" w:hAnsi="Open Sans" w:cs="Open Sans"/>
        </w:rPr>
        <w:t xml:space="preserve">proven too high. </w:t>
      </w:r>
    </w:p>
    <w:p w14:paraId="1AEF6A3D" w14:textId="277F688F" w:rsidR="00385C0A" w:rsidRPr="00AE0AD1" w:rsidRDefault="00385C0A" w:rsidP="003137B7">
      <w:pPr>
        <w:pStyle w:val="SubmissionNormal"/>
        <w:tabs>
          <w:tab w:val="clear" w:pos="4680"/>
          <w:tab w:val="num" w:pos="4104"/>
        </w:tabs>
        <w:rPr>
          <w:rFonts w:ascii="Open Sans" w:hAnsi="Open Sans" w:cs="Open Sans"/>
          <w:b/>
          <w:i/>
        </w:rPr>
      </w:pPr>
      <w:r w:rsidRPr="00AE0AD1">
        <w:rPr>
          <w:rFonts w:ascii="Open Sans" w:hAnsi="Open Sans" w:cs="Open Sans"/>
        </w:rPr>
        <w:t xml:space="preserve">The Commission considers that the proposed amendments have not been demonstrated to be a proportionate, necessary or justified response to the threat to national security. </w:t>
      </w:r>
      <w:r w:rsidR="00071B9D">
        <w:rPr>
          <w:rFonts w:ascii="Open Sans" w:hAnsi="Open Sans" w:cs="Open Sans"/>
        </w:rPr>
        <w:t>T</w:t>
      </w:r>
      <w:r w:rsidRPr="00AE0AD1">
        <w:rPr>
          <w:rFonts w:ascii="Open Sans" w:hAnsi="Open Sans" w:cs="Open Sans"/>
        </w:rPr>
        <w:t xml:space="preserve">he Commission recommends that the provisions lowering the minimum age for subjects of </w:t>
      </w:r>
      <w:r w:rsidR="00E062E2">
        <w:rPr>
          <w:rFonts w:ascii="Open Sans" w:hAnsi="Open Sans" w:cs="Open Sans"/>
        </w:rPr>
        <w:t>QW</w:t>
      </w:r>
      <w:r w:rsidRPr="00AE0AD1">
        <w:rPr>
          <w:rFonts w:ascii="Open Sans" w:hAnsi="Open Sans" w:cs="Open Sans"/>
        </w:rPr>
        <w:t>s from 16 to 14 not be passed.</w:t>
      </w:r>
    </w:p>
    <w:p w14:paraId="44AC7571" w14:textId="77777777" w:rsidR="003A3FF8" w:rsidRPr="00251C74" w:rsidRDefault="003A3FF8" w:rsidP="00251C74">
      <w:pPr>
        <w:pStyle w:val="SubmissionNormal"/>
        <w:numPr>
          <w:ilvl w:val="0"/>
          <w:numId w:val="0"/>
        </w:numPr>
        <w:ind w:left="720"/>
        <w:rPr>
          <w:rFonts w:ascii="Open Sans" w:hAnsi="Open Sans" w:cs="Open Sans"/>
          <w:b/>
          <w:bCs/>
        </w:rPr>
      </w:pPr>
      <w:r w:rsidRPr="00251C74">
        <w:rPr>
          <w:rFonts w:ascii="Open Sans" w:hAnsi="Open Sans" w:cs="Open Sans"/>
          <w:b/>
          <w:bCs/>
        </w:rPr>
        <w:t>Recommendation 5</w:t>
      </w:r>
    </w:p>
    <w:p w14:paraId="75865BCA" w14:textId="03236B36" w:rsidR="00AC701E" w:rsidRPr="00AE0AD1" w:rsidRDefault="003A3FF8" w:rsidP="00633320">
      <w:pPr>
        <w:pStyle w:val="SubmissionNormal"/>
        <w:numPr>
          <w:ilvl w:val="0"/>
          <w:numId w:val="0"/>
        </w:numPr>
        <w:ind w:left="720"/>
        <w:rPr>
          <w:rFonts w:ascii="Open Sans" w:hAnsi="Open Sans" w:cs="Open Sans"/>
          <w:b/>
          <w:i/>
        </w:rPr>
      </w:pPr>
      <w:r>
        <w:rPr>
          <w:rFonts w:ascii="Open Sans" w:hAnsi="Open Sans" w:cs="Open Sans"/>
        </w:rPr>
        <w:t>T</w:t>
      </w:r>
      <w:r w:rsidR="0038161C">
        <w:rPr>
          <w:rFonts w:ascii="Open Sans" w:hAnsi="Open Sans" w:cs="Open Sans"/>
        </w:rPr>
        <w:t>h</w:t>
      </w:r>
      <w:r w:rsidRPr="00251C74">
        <w:rPr>
          <w:rFonts w:ascii="Open Sans" w:hAnsi="Open Sans" w:cs="Open Sans"/>
        </w:rPr>
        <w:t xml:space="preserve">e minimum age for subjects of QWs should not be lowered from 16 to 14. </w:t>
      </w:r>
    </w:p>
    <w:p w14:paraId="6DCB54FD" w14:textId="77777777" w:rsidR="00385C0A" w:rsidRPr="00AE0AD1" w:rsidRDefault="00385C0A" w:rsidP="003137B7">
      <w:pPr>
        <w:pStyle w:val="Heading2"/>
        <w:tabs>
          <w:tab w:val="clear" w:pos="851"/>
          <w:tab w:val="num" w:pos="275"/>
        </w:tabs>
        <w:rPr>
          <w:rFonts w:ascii="Open Sans" w:hAnsi="Open Sans" w:cs="Open Sans"/>
        </w:rPr>
      </w:pPr>
      <w:bookmarkStart w:id="43" w:name="_Toc44496133"/>
      <w:r w:rsidRPr="00AE0AD1">
        <w:rPr>
          <w:rFonts w:ascii="Open Sans" w:hAnsi="Open Sans" w:cs="Open Sans"/>
        </w:rPr>
        <w:t>Prescribed authorities</w:t>
      </w:r>
      <w:bookmarkEnd w:id="43"/>
    </w:p>
    <w:p w14:paraId="2C885BE8" w14:textId="1216CF8A"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 xml:space="preserve">Under the current compulsory questioning regime, a ‘prescribed authority’ </w:t>
      </w:r>
      <w:r w:rsidR="00F21A8D">
        <w:rPr>
          <w:rFonts w:ascii="Open Sans" w:hAnsi="Open Sans" w:cs="Open Sans"/>
        </w:rPr>
        <w:t>oversees</w:t>
      </w:r>
      <w:r w:rsidRPr="00AE0AD1">
        <w:rPr>
          <w:rFonts w:ascii="Open Sans" w:hAnsi="Open Sans" w:cs="Open Sans"/>
        </w:rPr>
        <w:t xml:space="preserve"> and controls the questioning authorised by a </w:t>
      </w:r>
      <w:r w:rsidR="00E062E2">
        <w:rPr>
          <w:rFonts w:ascii="Open Sans" w:hAnsi="Open Sans" w:cs="Open Sans"/>
        </w:rPr>
        <w:t>QW</w:t>
      </w:r>
      <w:r w:rsidRPr="00AE0AD1">
        <w:rPr>
          <w:rFonts w:ascii="Open Sans" w:hAnsi="Open Sans" w:cs="Open Sans"/>
        </w:rPr>
        <w:t xml:space="preserve">. Section 34B of the ASIO Act provides that a prescribed authority is a person, appointed by the Attorney-General, who has served as a judge in one or more superior courts for a period of five years and no longer holds </w:t>
      </w:r>
      <w:r w:rsidRPr="00AE0AD1">
        <w:rPr>
          <w:rFonts w:ascii="Open Sans" w:hAnsi="Open Sans" w:cs="Open Sans"/>
        </w:rPr>
        <w:lastRenderedPageBreak/>
        <w:t>a commission as a judge of a superior court. If there is an insufficient number of former judges available, then persons from other categories, such as current serving</w:t>
      </w:r>
      <w:r w:rsidR="00A65747">
        <w:rPr>
          <w:rFonts w:ascii="Open Sans" w:hAnsi="Open Sans" w:cs="Open Sans"/>
        </w:rPr>
        <w:t xml:space="preserve"> </w:t>
      </w:r>
      <w:r w:rsidRPr="00AE0AD1">
        <w:rPr>
          <w:rFonts w:ascii="Open Sans" w:hAnsi="Open Sans" w:cs="Open Sans"/>
        </w:rPr>
        <w:t>judges</w:t>
      </w:r>
      <w:r w:rsidR="00A65747">
        <w:rPr>
          <w:rFonts w:ascii="Open Sans" w:hAnsi="Open Sans" w:cs="Open Sans"/>
        </w:rPr>
        <w:t xml:space="preserve"> of State and Territory superior courts</w:t>
      </w:r>
      <w:r w:rsidRPr="00AE0AD1">
        <w:rPr>
          <w:rFonts w:ascii="Open Sans" w:hAnsi="Open Sans" w:cs="Open Sans"/>
        </w:rPr>
        <w:t xml:space="preserve">, may be appointed. </w:t>
      </w:r>
    </w:p>
    <w:p w14:paraId="063A9FA3" w14:textId="4B853DD2" w:rsidR="00385C0A" w:rsidRPr="00AE0AD1" w:rsidRDefault="00385C0A" w:rsidP="003137B7">
      <w:pPr>
        <w:pStyle w:val="SubmissionNormal"/>
        <w:tabs>
          <w:tab w:val="clear" w:pos="4680"/>
          <w:tab w:val="num" w:pos="4104"/>
        </w:tabs>
        <w:rPr>
          <w:rFonts w:ascii="Open Sans" w:hAnsi="Open Sans" w:cs="Open Sans"/>
          <w:lang w:eastAsia="en-GB"/>
        </w:rPr>
      </w:pPr>
      <w:r w:rsidRPr="00AE0AD1">
        <w:rPr>
          <w:rFonts w:ascii="Open Sans" w:hAnsi="Open Sans" w:cs="Open Sans"/>
          <w:lang w:eastAsia="en-GB"/>
        </w:rPr>
        <w:t>The Bill amends the existing eligibility criteria in section 34B of the ASIO Act</w:t>
      </w:r>
      <w:r w:rsidR="00C20E4C">
        <w:rPr>
          <w:rFonts w:ascii="Open Sans" w:hAnsi="Open Sans" w:cs="Open Sans"/>
          <w:lang w:eastAsia="en-GB"/>
        </w:rPr>
        <w:t>. If passed, any of the following people could be appointed as prescribed authorities:</w:t>
      </w:r>
    </w:p>
    <w:p w14:paraId="7F78942B" w14:textId="70AC6213" w:rsidR="00C20E4C" w:rsidRDefault="00C20E4C" w:rsidP="003137B7">
      <w:pPr>
        <w:pStyle w:val="ListBullet4"/>
        <w:tabs>
          <w:tab w:val="clear" w:pos="1209"/>
          <w:tab w:val="num" w:pos="633"/>
        </w:tabs>
        <w:rPr>
          <w:rFonts w:ascii="Open Sans" w:hAnsi="Open Sans" w:cs="Open Sans"/>
          <w:lang w:eastAsia="en-GB"/>
        </w:rPr>
      </w:pPr>
      <w:r>
        <w:rPr>
          <w:rFonts w:ascii="Open Sans" w:hAnsi="Open Sans" w:cs="Open Sans"/>
          <w:lang w:eastAsia="en-GB"/>
        </w:rPr>
        <w:t>former judges of superior courts, who served in that capacity for at least five years</w:t>
      </w:r>
    </w:p>
    <w:p w14:paraId="449BA9F1" w14:textId="28DECFCB" w:rsidR="00C20E4C" w:rsidRDefault="00C20E4C" w:rsidP="003137B7">
      <w:pPr>
        <w:pStyle w:val="ListBullet4"/>
        <w:tabs>
          <w:tab w:val="clear" w:pos="1209"/>
          <w:tab w:val="num" w:pos="633"/>
        </w:tabs>
        <w:rPr>
          <w:rFonts w:ascii="Open Sans" w:hAnsi="Open Sans" w:cs="Open Sans"/>
          <w:lang w:eastAsia="en-GB"/>
        </w:rPr>
      </w:pPr>
      <w:r>
        <w:rPr>
          <w:rFonts w:ascii="Open Sans" w:hAnsi="Open Sans" w:cs="Open Sans"/>
          <w:lang w:eastAsia="en-GB"/>
        </w:rPr>
        <w:t>the current President or a current Deputy President of the Administrative Appeals Tribunal, provided that they have held a legal practising certificate for at least five years</w:t>
      </w:r>
    </w:p>
    <w:p w14:paraId="06D67059" w14:textId="38ABF9BB" w:rsidR="00C20E4C" w:rsidRDefault="00C20E4C" w:rsidP="003137B7">
      <w:pPr>
        <w:pStyle w:val="ListBullet4"/>
        <w:tabs>
          <w:tab w:val="clear" w:pos="1209"/>
          <w:tab w:val="num" w:pos="633"/>
        </w:tabs>
        <w:rPr>
          <w:rFonts w:ascii="Open Sans" w:hAnsi="Open Sans" w:cs="Open Sans"/>
          <w:lang w:eastAsia="en-GB"/>
        </w:rPr>
      </w:pPr>
      <w:r>
        <w:rPr>
          <w:rFonts w:ascii="Open Sans" w:hAnsi="Open Sans" w:cs="Open Sans"/>
          <w:lang w:eastAsia="en-GB"/>
        </w:rPr>
        <w:t>legal practitioners with over 10 years of experience who hold a current practising certificate.</w:t>
      </w:r>
      <w:r w:rsidR="005841EB" w:rsidRPr="00AE0AD1">
        <w:rPr>
          <w:rStyle w:val="EndnoteReference"/>
          <w:rFonts w:ascii="Open Sans" w:eastAsia="Times New Roman" w:hAnsi="Open Sans" w:cs="Open Sans"/>
          <w:lang w:eastAsia="en-GB"/>
        </w:rPr>
        <w:endnoteReference w:id="60"/>
      </w:r>
      <w:r>
        <w:rPr>
          <w:rFonts w:ascii="Open Sans" w:hAnsi="Open Sans" w:cs="Open Sans"/>
          <w:lang w:eastAsia="en-GB"/>
        </w:rPr>
        <w:t xml:space="preserve"> </w:t>
      </w:r>
    </w:p>
    <w:p w14:paraId="7AC2FB98" w14:textId="1513CDBC" w:rsidR="005841EB" w:rsidRPr="00AE0AD1" w:rsidRDefault="005841EB" w:rsidP="003137B7">
      <w:pPr>
        <w:pStyle w:val="SubmissionNormal"/>
        <w:tabs>
          <w:tab w:val="clear" w:pos="4680"/>
          <w:tab w:val="num" w:pos="4104"/>
        </w:tabs>
        <w:rPr>
          <w:rFonts w:ascii="Open Sans" w:hAnsi="Open Sans" w:cs="Open Sans"/>
          <w:lang w:eastAsia="en-GB"/>
        </w:rPr>
      </w:pPr>
      <w:r>
        <w:rPr>
          <w:rFonts w:ascii="Open Sans" w:hAnsi="Open Sans" w:cs="Open Sans"/>
          <w:lang w:eastAsia="en-GB"/>
        </w:rPr>
        <w:t>The</w:t>
      </w:r>
      <w:r w:rsidR="005839E5">
        <w:rPr>
          <w:rFonts w:ascii="Open Sans" w:hAnsi="Open Sans" w:cs="Open Sans"/>
          <w:lang w:eastAsia="en-GB"/>
        </w:rPr>
        <w:t xml:space="preserve"> current</w:t>
      </w:r>
      <w:r>
        <w:rPr>
          <w:rFonts w:ascii="Open Sans" w:hAnsi="Open Sans" w:cs="Open Sans"/>
          <w:lang w:eastAsia="en-GB"/>
        </w:rPr>
        <w:t xml:space="preserve"> requirement that no former superior court judges be available before Tribunal members or other legal practitioners could be appointed</w:t>
      </w:r>
      <w:r w:rsidR="00B725B4">
        <w:rPr>
          <w:rFonts w:ascii="Open Sans" w:hAnsi="Open Sans" w:cs="Open Sans"/>
          <w:lang w:eastAsia="en-GB"/>
        </w:rPr>
        <w:t>,</w:t>
      </w:r>
      <w:r w:rsidR="007528A5">
        <w:rPr>
          <w:rFonts w:ascii="Open Sans" w:hAnsi="Open Sans" w:cs="Open Sans"/>
          <w:lang w:eastAsia="en-GB"/>
        </w:rPr>
        <w:t xml:space="preserve"> is removed by the Bill</w:t>
      </w:r>
      <w:r>
        <w:rPr>
          <w:rFonts w:ascii="Open Sans" w:hAnsi="Open Sans" w:cs="Open Sans"/>
          <w:lang w:eastAsia="en-GB"/>
        </w:rPr>
        <w:t>.</w:t>
      </w:r>
    </w:p>
    <w:p w14:paraId="442BAF96" w14:textId="62FDA2D5" w:rsidR="00385C0A" w:rsidRPr="00AE0AD1" w:rsidRDefault="00385C0A" w:rsidP="003137B7">
      <w:pPr>
        <w:pStyle w:val="SubmissionNormal"/>
        <w:tabs>
          <w:tab w:val="clear" w:pos="4680"/>
          <w:tab w:val="num" w:pos="4104"/>
        </w:tabs>
        <w:rPr>
          <w:rFonts w:ascii="Open Sans" w:hAnsi="Open Sans" w:cs="Open Sans"/>
          <w:lang w:eastAsia="en-GB"/>
        </w:rPr>
      </w:pPr>
      <w:r w:rsidRPr="00AE0AD1">
        <w:rPr>
          <w:rFonts w:ascii="Open Sans" w:hAnsi="Open Sans" w:cs="Open Sans"/>
          <w:lang w:eastAsia="en-GB"/>
        </w:rPr>
        <w:t xml:space="preserve">The Department of Home Affairs states that the purpose of broadening the eligibility criteria for the appointment of a prescribed authority is to </w:t>
      </w:r>
      <w:r w:rsidR="00283C2C" w:rsidRPr="00AE0AD1">
        <w:rPr>
          <w:rFonts w:ascii="Open Sans" w:hAnsi="Open Sans" w:cs="Open Sans"/>
          <w:lang w:eastAsia="en-GB"/>
        </w:rPr>
        <w:t>‘</w:t>
      </w:r>
      <w:r w:rsidRPr="00AE0AD1">
        <w:rPr>
          <w:rFonts w:ascii="Open Sans" w:hAnsi="Open Sans" w:cs="Open Sans"/>
          <w:lang w:eastAsia="en-GB"/>
        </w:rPr>
        <w:t xml:space="preserve">increase the pool of suitable candidates and facilitate the development of institutional expertise in supervising compulsory questioning under a </w:t>
      </w:r>
      <w:r w:rsidR="00E062E2">
        <w:rPr>
          <w:rFonts w:ascii="Open Sans" w:hAnsi="Open Sans" w:cs="Open Sans"/>
          <w:lang w:eastAsia="en-GB"/>
        </w:rPr>
        <w:t>QW</w:t>
      </w:r>
      <w:r w:rsidR="3D772779">
        <w:rPr>
          <w:rFonts w:ascii="Open Sans" w:hAnsi="Open Sans" w:cs="Open Sans"/>
          <w:lang w:eastAsia="en-GB"/>
        </w:rPr>
        <w:t>’</w:t>
      </w:r>
      <w:r w:rsidRPr="00AE0AD1">
        <w:rPr>
          <w:rFonts w:ascii="Open Sans" w:hAnsi="Open Sans" w:cs="Open Sans"/>
          <w:lang w:eastAsia="en-GB"/>
        </w:rPr>
        <w:t>.</w:t>
      </w:r>
      <w:r w:rsidRPr="00AE0AD1">
        <w:rPr>
          <w:rStyle w:val="EndnoteReference"/>
          <w:rFonts w:ascii="Open Sans" w:hAnsi="Open Sans" w:cs="Open Sans"/>
          <w:lang w:eastAsia="en-GB"/>
        </w:rPr>
        <w:endnoteReference w:id="61"/>
      </w:r>
      <w:r w:rsidRPr="00AE0AD1">
        <w:rPr>
          <w:rFonts w:ascii="Open Sans" w:hAnsi="Open Sans" w:cs="Open Sans"/>
          <w:lang w:eastAsia="en-GB"/>
        </w:rPr>
        <w:t xml:space="preserve"> </w:t>
      </w:r>
    </w:p>
    <w:p w14:paraId="5AFBF38B" w14:textId="459E537B" w:rsidR="00385C0A" w:rsidRPr="00AE0AD1" w:rsidRDefault="00385C0A" w:rsidP="003137B7">
      <w:pPr>
        <w:pStyle w:val="SubmissionNormal"/>
        <w:tabs>
          <w:tab w:val="clear" w:pos="4680"/>
          <w:tab w:val="num" w:pos="4104"/>
        </w:tabs>
        <w:rPr>
          <w:rFonts w:ascii="Open Sans" w:hAnsi="Open Sans" w:cs="Open Sans"/>
        </w:rPr>
      </w:pPr>
      <w:r w:rsidRPr="00AE0AD1">
        <w:rPr>
          <w:rFonts w:ascii="Open Sans" w:hAnsi="Open Sans" w:cs="Open Sans"/>
        </w:rPr>
        <w:t xml:space="preserve">However, no evidence has been provided to support a claim this is necessary, and given how sparingly </w:t>
      </w:r>
      <w:r w:rsidR="00E062E2">
        <w:rPr>
          <w:rFonts w:ascii="Open Sans" w:hAnsi="Open Sans" w:cs="Open Sans"/>
          <w:color w:val="1F1923"/>
        </w:rPr>
        <w:t>QW</w:t>
      </w:r>
      <w:r w:rsidRPr="00AE0AD1">
        <w:rPr>
          <w:rFonts w:ascii="Open Sans" w:hAnsi="Open Sans" w:cs="Open Sans"/>
          <w:color w:val="1F1923"/>
        </w:rPr>
        <w:t xml:space="preserve">s </w:t>
      </w:r>
      <w:r w:rsidRPr="00AE0AD1">
        <w:rPr>
          <w:rFonts w:ascii="Open Sans" w:hAnsi="Open Sans" w:cs="Open Sans"/>
        </w:rPr>
        <w:t xml:space="preserve">have been used to date, it is hard to envisage any difficulty in finding enough suitably qualified candidates for appointment under the current provisions. </w:t>
      </w:r>
    </w:p>
    <w:p w14:paraId="0EBB0479" w14:textId="4193F987" w:rsidR="00385C0A" w:rsidRPr="00AE0AD1" w:rsidRDefault="007E0D00" w:rsidP="003137B7">
      <w:pPr>
        <w:pStyle w:val="SubmissionNormal"/>
        <w:tabs>
          <w:tab w:val="clear" w:pos="4680"/>
          <w:tab w:val="num" w:pos="4104"/>
        </w:tabs>
        <w:rPr>
          <w:rFonts w:ascii="Open Sans" w:hAnsi="Open Sans" w:cs="Open Sans"/>
        </w:rPr>
      </w:pPr>
      <w:r>
        <w:rPr>
          <w:rFonts w:ascii="Open Sans" w:hAnsi="Open Sans" w:cs="Open Sans"/>
        </w:rPr>
        <w:t xml:space="preserve">Performing the role of a prescribed authority </w:t>
      </w:r>
      <w:r w:rsidR="0C956C82" w:rsidRPr="7EA2DDC8">
        <w:rPr>
          <w:rFonts w:ascii="Open Sans" w:hAnsi="Open Sans" w:cs="Open Sans"/>
        </w:rPr>
        <w:t>requires</w:t>
      </w:r>
      <w:r>
        <w:rPr>
          <w:rFonts w:ascii="Open Sans" w:hAnsi="Open Sans" w:cs="Open Sans"/>
        </w:rPr>
        <w:t xml:space="preserve"> a mixture of independence and </w:t>
      </w:r>
      <w:r w:rsidR="00EA479B">
        <w:rPr>
          <w:rFonts w:ascii="Open Sans" w:hAnsi="Open Sans" w:cs="Open Sans"/>
        </w:rPr>
        <w:t xml:space="preserve">finely-honed legal skills that are associated most particularly with current and </w:t>
      </w:r>
      <w:r w:rsidR="00385C0A" w:rsidRPr="00AE0AD1">
        <w:rPr>
          <w:rFonts w:ascii="Open Sans" w:hAnsi="Open Sans" w:cs="Open Sans"/>
        </w:rPr>
        <w:t>retired judges</w:t>
      </w:r>
      <w:r w:rsidR="00385C0A" w:rsidRPr="7EA2DDC8">
        <w:rPr>
          <w:rFonts w:ascii="Open Sans" w:hAnsi="Open Sans" w:cs="Open Sans"/>
        </w:rPr>
        <w:t>.</w:t>
      </w:r>
      <w:r w:rsidR="00385C0A" w:rsidRPr="00AE0AD1">
        <w:rPr>
          <w:rFonts w:ascii="Open Sans" w:hAnsi="Open Sans" w:cs="Open Sans"/>
        </w:rPr>
        <w:t xml:space="preserve"> Retired judges </w:t>
      </w:r>
      <w:r w:rsidR="00EA479B">
        <w:rPr>
          <w:rFonts w:ascii="Open Sans" w:hAnsi="Open Sans" w:cs="Open Sans"/>
        </w:rPr>
        <w:t xml:space="preserve">generally </w:t>
      </w:r>
      <w:r w:rsidR="00385C0A" w:rsidRPr="00AE0AD1">
        <w:rPr>
          <w:rFonts w:ascii="Open Sans" w:hAnsi="Open Sans" w:cs="Open Sans"/>
        </w:rPr>
        <w:t>are independent from government and will be more likely to have the skills and attributes necessary to perform the relevant functions.</w:t>
      </w:r>
      <w:r w:rsidR="00F77C26">
        <w:rPr>
          <w:rFonts w:ascii="Open Sans" w:hAnsi="Open Sans" w:cs="Open Sans"/>
        </w:rPr>
        <w:t xml:space="preserve"> </w:t>
      </w:r>
      <w:r w:rsidR="00385C0A" w:rsidRPr="00AE0AD1">
        <w:rPr>
          <w:rFonts w:ascii="Open Sans" w:hAnsi="Open Sans" w:cs="Open Sans"/>
        </w:rPr>
        <w:t xml:space="preserve">The exacting qualifications required for persons to be appointed as prescribed authorities provide a vital safeguard against arbitrary exercise of the powers in the ASIO Act. </w:t>
      </w:r>
    </w:p>
    <w:p w14:paraId="734C86C8" w14:textId="77777777" w:rsidR="00CD0FCF" w:rsidRDefault="00827D36" w:rsidP="00EB3948">
      <w:pPr>
        <w:pStyle w:val="SubmissionNormal"/>
        <w:tabs>
          <w:tab w:val="clear" w:pos="4680"/>
          <w:tab w:val="num" w:pos="4104"/>
        </w:tabs>
        <w:ind w:hanging="504"/>
        <w:rPr>
          <w:rFonts w:ascii="Open Sans" w:hAnsi="Open Sans" w:cs="Open Sans"/>
        </w:rPr>
      </w:pPr>
      <w:r>
        <w:rPr>
          <w:rFonts w:ascii="Open Sans" w:hAnsi="Open Sans" w:cs="Open Sans"/>
        </w:rPr>
        <w:t xml:space="preserve">Prescribed authorities oversee questioning by ASIO and exercise a range of functions and powers that can both protect and restrict the rights of </w:t>
      </w:r>
      <w:r>
        <w:rPr>
          <w:rFonts w:ascii="Open Sans" w:hAnsi="Open Sans" w:cs="Open Sans"/>
        </w:rPr>
        <w:lastRenderedPageBreak/>
        <w:t>people subject to questioning. These include</w:t>
      </w:r>
      <w:r w:rsidR="013D61DB" w:rsidRPr="7EA2DDC8">
        <w:rPr>
          <w:rFonts w:ascii="Open Sans" w:hAnsi="Open Sans" w:cs="Open Sans"/>
        </w:rPr>
        <w:t xml:space="preserve">: </w:t>
      </w:r>
      <w:r w:rsidR="004B4F34">
        <w:rPr>
          <w:rFonts w:ascii="Open Sans" w:hAnsi="Open Sans" w:cs="Open Sans"/>
        </w:rPr>
        <w:t xml:space="preserve"> giving directions to allow the subject of a questioning warrant to contact others</w:t>
      </w:r>
      <w:r w:rsidR="5EA522CC" w:rsidRPr="7EA2DDC8">
        <w:rPr>
          <w:rFonts w:ascii="Open Sans" w:hAnsi="Open Sans" w:cs="Open Sans"/>
        </w:rPr>
        <w:t>;</w:t>
      </w:r>
      <w:r w:rsidR="00911BE3">
        <w:rPr>
          <w:rFonts w:ascii="Open Sans" w:hAnsi="Open Sans" w:cs="Open Sans"/>
        </w:rPr>
        <w:t xml:space="preserve"> giv</w:t>
      </w:r>
      <w:r w:rsidR="51826854" w:rsidRPr="7EA2DDC8">
        <w:rPr>
          <w:rFonts w:ascii="Open Sans" w:hAnsi="Open Sans" w:cs="Open Sans"/>
        </w:rPr>
        <w:t>ing</w:t>
      </w:r>
      <w:r w:rsidR="00911BE3">
        <w:rPr>
          <w:rFonts w:ascii="Open Sans" w:hAnsi="Open Sans" w:cs="Open Sans"/>
        </w:rPr>
        <w:t xml:space="preserve"> directions that a subject may only disclose information about the warrant or the questioning in specified ways and to specified people</w:t>
      </w:r>
      <w:r w:rsidR="4ACAC30C" w:rsidRPr="7EA2DDC8">
        <w:rPr>
          <w:rFonts w:ascii="Open Sans" w:hAnsi="Open Sans" w:cs="Open Sans"/>
        </w:rPr>
        <w:t>;</w:t>
      </w:r>
      <w:r w:rsidR="00985159">
        <w:rPr>
          <w:rFonts w:ascii="Open Sans" w:hAnsi="Open Sans" w:cs="Open Sans"/>
        </w:rPr>
        <w:t xml:space="preserve"> </w:t>
      </w:r>
      <w:r w:rsidR="00985159" w:rsidRPr="7EA2DDC8">
        <w:rPr>
          <w:rFonts w:ascii="Open Sans" w:hAnsi="Open Sans" w:cs="Open Sans"/>
        </w:rPr>
        <w:t>appoint</w:t>
      </w:r>
      <w:r w:rsidR="57BA164D" w:rsidRPr="7EA2DDC8">
        <w:rPr>
          <w:rFonts w:ascii="Open Sans" w:hAnsi="Open Sans" w:cs="Open Sans"/>
        </w:rPr>
        <w:t>ing</w:t>
      </w:r>
      <w:r w:rsidR="00985159">
        <w:rPr>
          <w:rFonts w:ascii="Open Sans" w:hAnsi="Open Sans" w:cs="Open Sans"/>
        </w:rPr>
        <w:t xml:space="preserve"> a lawyer for the subject</w:t>
      </w:r>
      <w:r w:rsidR="67513779" w:rsidRPr="7EA2DDC8">
        <w:rPr>
          <w:rFonts w:ascii="Open Sans" w:hAnsi="Open Sans" w:cs="Open Sans"/>
        </w:rPr>
        <w:t>;</w:t>
      </w:r>
      <w:r w:rsidR="00985159">
        <w:rPr>
          <w:rFonts w:ascii="Open Sans" w:hAnsi="Open Sans" w:cs="Open Sans"/>
        </w:rPr>
        <w:t xml:space="preserve"> </w:t>
      </w:r>
      <w:r w:rsidR="00911BE3" w:rsidRPr="7EA2DDC8">
        <w:rPr>
          <w:rFonts w:ascii="Open Sans" w:hAnsi="Open Sans" w:cs="Open Sans"/>
        </w:rPr>
        <w:t>giv</w:t>
      </w:r>
      <w:r w:rsidR="37267EC2" w:rsidRPr="7EA2DDC8">
        <w:rPr>
          <w:rFonts w:ascii="Open Sans" w:hAnsi="Open Sans" w:cs="Open Sans"/>
        </w:rPr>
        <w:t>ing</w:t>
      </w:r>
      <w:r w:rsidR="00911BE3">
        <w:rPr>
          <w:rFonts w:ascii="Open Sans" w:hAnsi="Open Sans" w:cs="Open Sans"/>
        </w:rPr>
        <w:t xml:space="preserve"> directions to</w:t>
      </w:r>
      <w:r w:rsidR="00713EB2">
        <w:rPr>
          <w:rFonts w:ascii="Open Sans" w:hAnsi="Open Sans" w:cs="Open Sans"/>
        </w:rPr>
        <w:t xml:space="preserve"> </w:t>
      </w:r>
      <w:r w:rsidR="00911BE3">
        <w:rPr>
          <w:rFonts w:ascii="Open Sans" w:hAnsi="Open Sans" w:cs="Open Sans"/>
        </w:rPr>
        <w:t>have</w:t>
      </w:r>
      <w:r w:rsidR="00713EB2">
        <w:rPr>
          <w:rFonts w:ascii="Open Sans" w:hAnsi="Open Sans" w:cs="Open Sans"/>
        </w:rPr>
        <w:t xml:space="preserve"> </w:t>
      </w:r>
      <w:r w:rsidR="00911BE3">
        <w:rPr>
          <w:rFonts w:ascii="Open Sans" w:hAnsi="Open Sans" w:cs="Open Sans"/>
        </w:rPr>
        <w:t>a subject’s lawyer</w:t>
      </w:r>
      <w:r w:rsidR="00713EB2">
        <w:rPr>
          <w:rFonts w:ascii="Open Sans" w:hAnsi="Open Sans" w:cs="Open Sans"/>
        </w:rPr>
        <w:t xml:space="preserve"> removed from the place of questioning if deemed to be unduly disruptive</w:t>
      </w:r>
      <w:r w:rsidR="40DE3DC3" w:rsidRPr="7EA2DDC8">
        <w:rPr>
          <w:rFonts w:ascii="Open Sans" w:hAnsi="Open Sans" w:cs="Open Sans"/>
        </w:rPr>
        <w:t>;</w:t>
      </w:r>
      <w:r w:rsidR="00713EB2">
        <w:rPr>
          <w:rFonts w:ascii="Open Sans" w:hAnsi="Open Sans" w:cs="Open Sans"/>
        </w:rPr>
        <w:t xml:space="preserve"> </w:t>
      </w:r>
      <w:r w:rsidR="00985159" w:rsidRPr="7EA2DDC8">
        <w:rPr>
          <w:rFonts w:ascii="Open Sans" w:hAnsi="Open Sans" w:cs="Open Sans"/>
        </w:rPr>
        <w:t>allow</w:t>
      </w:r>
      <w:r w:rsidR="7EFB8B19" w:rsidRPr="7EA2DDC8">
        <w:rPr>
          <w:rFonts w:ascii="Open Sans" w:hAnsi="Open Sans" w:cs="Open Sans"/>
        </w:rPr>
        <w:t>ing</w:t>
      </w:r>
      <w:r w:rsidR="00985159">
        <w:rPr>
          <w:rFonts w:ascii="Open Sans" w:hAnsi="Open Sans" w:cs="Open Sans"/>
        </w:rPr>
        <w:t xml:space="preserve"> questioning to proceed in the absence of lawyer (for adult </w:t>
      </w:r>
      <w:r w:rsidR="00773013">
        <w:rPr>
          <w:rFonts w:ascii="Open Sans" w:hAnsi="Open Sans" w:cs="Open Sans"/>
        </w:rPr>
        <w:t>QWs</w:t>
      </w:r>
      <w:r w:rsidR="00985159" w:rsidRPr="7EA2DDC8">
        <w:rPr>
          <w:rFonts w:ascii="Open Sans" w:hAnsi="Open Sans" w:cs="Open Sans"/>
        </w:rPr>
        <w:t>)</w:t>
      </w:r>
      <w:r w:rsidR="0DCA8AA7" w:rsidRPr="7EA2DDC8">
        <w:rPr>
          <w:rFonts w:ascii="Open Sans" w:hAnsi="Open Sans" w:cs="Open Sans"/>
        </w:rPr>
        <w:t>;</w:t>
      </w:r>
      <w:r w:rsidR="00985159">
        <w:rPr>
          <w:rFonts w:ascii="Open Sans" w:hAnsi="Open Sans" w:cs="Open Sans"/>
        </w:rPr>
        <w:t xml:space="preserve"> </w:t>
      </w:r>
      <w:r w:rsidR="00985159" w:rsidRPr="7EA2DDC8">
        <w:rPr>
          <w:rFonts w:ascii="Open Sans" w:hAnsi="Open Sans" w:cs="Open Sans"/>
        </w:rPr>
        <w:t>giv</w:t>
      </w:r>
      <w:r w:rsidR="4BF62B75" w:rsidRPr="7EA2DDC8">
        <w:rPr>
          <w:rFonts w:ascii="Open Sans" w:hAnsi="Open Sans" w:cs="Open Sans"/>
        </w:rPr>
        <w:t>ing</w:t>
      </w:r>
      <w:r w:rsidR="00985159">
        <w:rPr>
          <w:rFonts w:ascii="Open Sans" w:hAnsi="Open Sans" w:cs="Open Sans"/>
        </w:rPr>
        <w:t xml:space="preserve"> directions in relation to the right of minors to contact a non-lawyer representative</w:t>
      </w:r>
      <w:r w:rsidR="00713EB2">
        <w:rPr>
          <w:rFonts w:ascii="Open Sans" w:hAnsi="Open Sans" w:cs="Open Sans"/>
        </w:rPr>
        <w:t xml:space="preserve"> and authoris</w:t>
      </w:r>
      <w:r w:rsidR="781158CD" w:rsidRPr="7EA2DDC8">
        <w:rPr>
          <w:rFonts w:ascii="Open Sans" w:hAnsi="Open Sans" w:cs="Open Sans"/>
        </w:rPr>
        <w:t>ing</w:t>
      </w:r>
      <w:r w:rsidR="00713EB2">
        <w:rPr>
          <w:rFonts w:ascii="Open Sans" w:hAnsi="Open Sans" w:cs="Open Sans"/>
        </w:rPr>
        <w:t xml:space="preserve"> the removal of a minor’s representative if deemed to be unduly disruptive</w:t>
      </w:r>
      <w:r w:rsidR="323BFA94" w:rsidRPr="7EA2DDC8">
        <w:rPr>
          <w:rFonts w:ascii="Open Sans" w:hAnsi="Open Sans" w:cs="Open Sans"/>
        </w:rPr>
        <w:t>;</w:t>
      </w:r>
      <w:r w:rsidR="004B4F34">
        <w:rPr>
          <w:rFonts w:ascii="Open Sans" w:hAnsi="Open Sans" w:cs="Open Sans"/>
        </w:rPr>
        <w:t xml:space="preserve"> </w:t>
      </w:r>
      <w:r w:rsidR="00985159" w:rsidRPr="7EA2DDC8">
        <w:rPr>
          <w:rFonts w:ascii="Open Sans" w:hAnsi="Open Sans" w:cs="Open Sans"/>
        </w:rPr>
        <w:t>control</w:t>
      </w:r>
      <w:r w:rsidR="2E4284ED" w:rsidRPr="7EA2DDC8">
        <w:rPr>
          <w:rFonts w:ascii="Open Sans" w:hAnsi="Open Sans" w:cs="Open Sans"/>
        </w:rPr>
        <w:t>ling</w:t>
      </w:r>
      <w:r w:rsidR="00985159">
        <w:rPr>
          <w:rFonts w:ascii="Open Sans" w:hAnsi="Open Sans" w:cs="Open Sans"/>
        </w:rPr>
        <w:t xml:space="preserve"> the length of questioning time</w:t>
      </w:r>
      <w:r w:rsidR="00C77926">
        <w:rPr>
          <w:rFonts w:ascii="Open Sans" w:hAnsi="Open Sans" w:cs="Open Sans"/>
        </w:rPr>
        <w:t xml:space="preserve"> by</w:t>
      </w:r>
      <w:r w:rsidR="00985159">
        <w:rPr>
          <w:rFonts w:ascii="Open Sans" w:hAnsi="Open Sans" w:cs="Open Sans"/>
        </w:rPr>
        <w:t xml:space="preserve"> </w:t>
      </w:r>
      <w:r w:rsidR="00C77926">
        <w:rPr>
          <w:rFonts w:ascii="Open Sans" w:hAnsi="Open Sans" w:cs="Open Sans"/>
        </w:rPr>
        <w:t>setting breaks between periods of questioning, extending the maximum questioning time, or de</w:t>
      </w:r>
      <w:r w:rsidR="00911BE3">
        <w:rPr>
          <w:rFonts w:ascii="Open Sans" w:hAnsi="Open Sans" w:cs="Open Sans"/>
        </w:rPr>
        <w:t>fer</w:t>
      </w:r>
      <w:r w:rsidR="00C77926">
        <w:rPr>
          <w:rFonts w:ascii="Open Sans" w:hAnsi="Open Sans" w:cs="Open Sans"/>
        </w:rPr>
        <w:t>ring questioning</w:t>
      </w:r>
      <w:r w:rsidR="00007203">
        <w:rPr>
          <w:rFonts w:ascii="Open Sans" w:hAnsi="Open Sans" w:cs="Open Sans"/>
        </w:rPr>
        <w:t>;</w:t>
      </w:r>
      <w:r w:rsidR="00C77926">
        <w:rPr>
          <w:rFonts w:ascii="Open Sans" w:hAnsi="Open Sans" w:cs="Open Sans"/>
        </w:rPr>
        <w:t xml:space="preserve"> </w:t>
      </w:r>
      <w:r w:rsidR="00911BE3">
        <w:rPr>
          <w:rFonts w:ascii="Open Sans" w:hAnsi="Open Sans" w:cs="Open Sans"/>
        </w:rPr>
        <w:t>giving directions</w:t>
      </w:r>
      <w:r w:rsidR="00C77926">
        <w:rPr>
          <w:rFonts w:ascii="Open Sans" w:hAnsi="Open Sans" w:cs="Open Sans"/>
        </w:rPr>
        <w:t xml:space="preserve"> to inform </w:t>
      </w:r>
      <w:r w:rsidR="00911BE3">
        <w:rPr>
          <w:rFonts w:ascii="Open Sans" w:hAnsi="Open Sans" w:cs="Open Sans"/>
        </w:rPr>
        <w:t>the</w:t>
      </w:r>
      <w:r w:rsidR="00C77926">
        <w:rPr>
          <w:rFonts w:ascii="Open Sans" w:hAnsi="Open Sans" w:cs="Open Sans"/>
        </w:rPr>
        <w:t xml:space="preserve"> subject of their right to </w:t>
      </w:r>
      <w:r w:rsidR="00911BE3">
        <w:rPr>
          <w:rFonts w:ascii="Open Sans" w:hAnsi="Open Sans" w:cs="Open Sans"/>
        </w:rPr>
        <w:t>make a complaint to</w:t>
      </w:r>
      <w:r w:rsidR="00C77926">
        <w:rPr>
          <w:rFonts w:ascii="Open Sans" w:hAnsi="Open Sans" w:cs="Open Sans"/>
        </w:rPr>
        <w:t xml:space="preserve"> the Ombudsman</w:t>
      </w:r>
      <w:r w:rsidR="00911BE3">
        <w:rPr>
          <w:rFonts w:ascii="Open Sans" w:hAnsi="Open Sans" w:cs="Open Sans"/>
        </w:rPr>
        <w:t xml:space="preserve"> or the IGIS</w:t>
      </w:r>
      <w:r w:rsidR="00007203">
        <w:rPr>
          <w:rFonts w:ascii="Open Sans" w:hAnsi="Open Sans" w:cs="Open Sans"/>
        </w:rPr>
        <w:t>;</w:t>
      </w:r>
      <w:r w:rsidR="00911BE3">
        <w:rPr>
          <w:rFonts w:ascii="Open Sans" w:hAnsi="Open Sans" w:cs="Open Sans"/>
        </w:rPr>
        <w:t xml:space="preserve"> and </w:t>
      </w:r>
      <w:r w:rsidR="00911BE3" w:rsidRPr="7EA2DDC8">
        <w:rPr>
          <w:rFonts w:ascii="Open Sans" w:hAnsi="Open Sans" w:cs="Open Sans"/>
        </w:rPr>
        <w:t>defer</w:t>
      </w:r>
      <w:r w:rsidR="6277CCAE" w:rsidRPr="7EA2DDC8">
        <w:rPr>
          <w:rFonts w:ascii="Open Sans" w:hAnsi="Open Sans" w:cs="Open Sans"/>
        </w:rPr>
        <w:t>ring</w:t>
      </w:r>
      <w:r w:rsidR="00911BE3">
        <w:rPr>
          <w:rFonts w:ascii="Open Sans" w:hAnsi="Open Sans" w:cs="Open Sans"/>
        </w:rPr>
        <w:t xml:space="preserve"> questioning in response to concerns raised by the IGIS</w:t>
      </w:r>
      <w:r w:rsidR="00985159">
        <w:rPr>
          <w:rFonts w:ascii="Open Sans" w:hAnsi="Open Sans" w:cs="Open Sans"/>
        </w:rPr>
        <w:t>.</w:t>
      </w:r>
      <w:r w:rsidR="00185E80">
        <w:rPr>
          <w:rFonts w:ascii="Open Sans" w:hAnsi="Open Sans" w:cs="Open Sans"/>
        </w:rPr>
        <w:t xml:space="preserve"> </w:t>
      </w:r>
    </w:p>
    <w:p w14:paraId="37A75BCB" w14:textId="3139039E" w:rsidR="00385C0A" w:rsidRPr="00AE0AD1" w:rsidRDefault="00385C0A" w:rsidP="00EB3948">
      <w:pPr>
        <w:pStyle w:val="SubmissionNormal"/>
        <w:tabs>
          <w:tab w:val="clear" w:pos="4680"/>
          <w:tab w:val="num" w:pos="4104"/>
        </w:tabs>
        <w:ind w:hanging="504"/>
        <w:rPr>
          <w:rFonts w:ascii="Open Sans" w:hAnsi="Open Sans" w:cs="Open Sans"/>
        </w:rPr>
      </w:pPr>
      <w:r w:rsidRPr="00AE0AD1">
        <w:rPr>
          <w:rFonts w:ascii="Open Sans" w:hAnsi="Open Sans" w:cs="Open Sans"/>
        </w:rPr>
        <w:t xml:space="preserve">The fact that the Bill would expand the powers exercisable by prescribed authorities (for example, in some circumstances the Bill would allow the prescribed authority to make directions restricting a person’s choice of lawyer) means that it is essential that the current stringent qualifications for appointment to that role should be maintained. </w:t>
      </w:r>
    </w:p>
    <w:p w14:paraId="2A793950" w14:textId="1B9166C5" w:rsidR="00385C0A" w:rsidRPr="00AE0AD1" w:rsidRDefault="00385C0A" w:rsidP="00EB3948">
      <w:pPr>
        <w:pStyle w:val="SubmissionNormal"/>
        <w:tabs>
          <w:tab w:val="clear" w:pos="4680"/>
          <w:tab w:val="num" w:pos="4104"/>
        </w:tabs>
        <w:ind w:hanging="504"/>
        <w:rPr>
          <w:rFonts w:ascii="Open Sans" w:hAnsi="Open Sans" w:cs="Open Sans"/>
        </w:rPr>
      </w:pPr>
      <w:r w:rsidRPr="00AE0AD1">
        <w:rPr>
          <w:rFonts w:ascii="Open Sans" w:hAnsi="Open Sans" w:cs="Open Sans"/>
        </w:rPr>
        <w:t xml:space="preserve">The Commission </w:t>
      </w:r>
      <w:r w:rsidR="00185E80">
        <w:rPr>
          <w:rFonts w:ascii="Open Sans" w:hAnsi="Open Sans" w:cs="Open Sans"/>
        </w:rPr>
        <w:t>considers</w:t>
      </w:r>
      <w:r w:rsidR="00185E80" w:rsidRPr="00AE0AD1">
        <w:rPr>
          <w:rFonts w:ascii="Open Sans" w:hAnsi="Open Sans" w:cs="Open Sans"/>
        </w:rPr>
        <w:t xml:space="preserve"> </w:t>
      </w:r>
      <w:r w:rsidRPr="00AE0AD1">
        <w:rPr>
          <w:rFonts w:ascii="Open Sans" w:hAnsi="Open Sans" w:cs="Open Sans"/>
        </w:rPr>
        <w:t>that</w:t>
      </w:r>
      <w:r w:rsidR="00185E80">
        <w:rPr>
          <w:rFonts w:ascii="Open Sans" w:hAnsi="Open Sans" w:cs="Open Sans"/>
        </w:rPr>
        <w:t xml:space="preserve"> the</w:t>
      </w:r>
      <w:r w:rsidRPr="00AE0AD1">
        <w:rPr>
          <w:rFonts w:ascii="Open Sans" w:hAnsi="Open Sans" w:cs="Open Sans"/>
        </w:rPr>
        <w:t xml:space="preserve"> provisions of the Bill amending the </w:t>
      </w:r>
      <w:r w:rsidR="00185E80">
        <w:rPr>
          <w:rFonts w:ascii="Open Sans" w:hAnsi="Open Sans" w:cs="Open Sans"/>
        </w:rPr>
        <w:t xml:space="preserve">necessary </w:t>
      </w:r>
      <w:r w:rsidRPr="00AE0AD1">
        <w:rPr>
          <w:rFonts w:ascii="Open Sans" w:hAnsi="Open Sans" w:cs="Open Sans"/>
        </w:rPr>
        <w:t>qualifications of</w:t>
      </w:r>
      <w:r w:rsidR="00185E80">
        <w:rPr>
          <w:rFonts w:ascii="Open Sans" w:hAnsi="Open Sans" w:cs="Open Sans"/>
        </w:rPr>
        <w:t xml:space="preserve"> </w:t>
      </w:r>
      <w:r w:rsidRPr="00AE0AD1">
        <w:rPr>
          <w:rFonts w:ascii="Open Sans" w:hAnsi="Open Sans" w:cs="Open Sans"/>
        </w:rPr>
        <w:t>prescribed authorities</w:t>
      </w:r>
      <w:r w:rsidR="00800A26">
        <w:rPr>
          <w:rFonts w:ascii="Open Sans" w:hAnsi="Open Sans" w:cs="Open Sans"/>
        </w:rPr>
        <w:t xml:space="preserve"> should</w:t>
      </w:r>
      <w:r w:rsidRPr="00AE0AD1">
        <w:rPr>
          <w:rFonts w:ascii="Open Sans" w:hAnsi="Open Sans" w:cs="Open Sans"/>
        </w:rPr>
        <w:t xml:space="preserve"> not be passed. </w:t>
      </w:r>
    </w:p>
    <w:p w14:paraId="4297856A" w14:textId="77777777" w:rsidR="00E34F5B" w:rsidRPr="002250D8" w:rsidRDefault="00E34F5B" w:rsidP="00E34F5B">
      <w:pPr>
        <w:pStyle w:val="SubmissionNormal"/>
        <w:numPr>
          <w:ilvl w:val="0"/>
          <w:numId w:val="0"/>
        </w:numPr>
        <w:ind w:left="792"/>
        <w:rPr>
          <w:rFonts w:ascii="Open Sans" w:hAnsi="Open Sans" w:cs="Open Sans"/>
          <w:b/>
          <w:bCs/>
          <w:lang w:val="en-US"/>
        </w:rPr>
      </w:pPr>
      <w:r w:rsidRPr="002250D8">
        <w:rPr>
          <w:rFonts w:ascii="Open Sans" w:hAnsi="Open Sans" w:cs="Open Sans"/>
          <w:b/>
          <w:bCs/>
          <w:lang w:val="en-US"/>
        </w:rPr>
        <w:t>Recommendation 6</w:t>
      </w:r>
    </w:p>
    <w:p w14:paraId="34204C37" w14:textId="2FA972AF" w:rsidR="006412F9" w:rsidRPr="00AE0AD1" w:rsidRDefault="00ED2D82" w:rsidP="00BC67EA">
      <w:pPr>
        <w:pStyle w:val="SubmissionNormal"/>
        <w:numPr>
          <w:ilvl w:val="0"/>
          <w:numId w:val="0"/>
        </w:numPr>
        <w:ind w:left="792"/>
        <w:rPr>
          <w:rFonts w:ascii="Open Sans" w:hAnsi="Open Sans" w:cs="Open Sans"/>
        </w:rPr>
      </w:pPr>
      <w:r>
        <w:rPr>
          <w:rFonts w:ascii="Open Sans" w:hAnsi="Open Sans" w:cs="Open Sans"/>
          <w:lang w:val="en-US"/>
        </w:rPr>
        <w:t>If the Bill proceeds, t</w:t>
      </w:r>
      <w:r w:rsidR="00E34F5B" w:rsidRPr="002250D8">
        <w:rPr>
          <w:rFonts w:ascii="Open Sans" w:hAnsi="Open Sans" w:cs="Open Sans"/>
          <w:lang w:val="en-US"/>
        </w:rPr>
        <w:t>he provisions that relax the current eligibility requirements for ‘prescribed authorities’ should be deleted.</w:t>
      </w:r>
    </w:p>
    <w:p w14:paraId="07987F3E" w14:textId="77777777" w:rsidR="00385C0A" w:rsidRPr="00AE0AD1" w:rsidRDefault="00385C0A" w:rsidP="003137B7">
      <w:pPr>
        <w:pStyle w:val="Heading2"/>
        <w:tabs>
          <w:tab w:val="clear" w:pos="851"/>
          <w:tab w:val="num" w:pos="275"/>
        </w:tabs>
        <w:rPr>
          <w:rFonts w:ascii="Open Sans" w:hAnsi="Open Sans" w:cs="Open Sans"/>
        </w:rPr>
      </w:pPr>
      <w:r w:rsidRPr="00AE0AD1">
        <w:rPr>
          <w:rFonts w:ascii="Open Sans" w:hAnsi="Open Sans" w:cs="Open Sans"/>
        </w:rPr>
        <w:t xml:space="preserve"> </w:t>
      </w:r>
      <w:bookmarkStart w:id="44" w:name="_Toc44496134"/>
      <w:r w:rsidRPr="00AE0AD1">
        <w:rPr>
          <w:rFonts w:ascii="Open Sans" w:hAnsi="Open Sans" w:cs="Open Sans"/>
        </w:rPr>
        <w:t>Limits on access to legal counsel</w:t>
      </w:r>
      <w:bookmarkEnd w:id="44"/>
    </w:p>
    <w:p w14:paraId="00562473" w14:textId="39F6E7A1" w:rsidR="00385C0A" w:rsidRPr="00AE0AD1" w:rsidRDefault="7A47EE86" w:rsidP="009C7EB0">
      <w:pPr>
        <w:pStyle w:val="SubmissionNormal"/>
        <w:tabs>
          <w:tab w:val="clear" w:pos="4680"/>
          <w:tab w:val="num" w:pos="4104"/>
        </w:tabs>
        <w:ind w:hanging="504"/>
        <w:rPr>
          <w:rFonts w:ascii="Open Sans" w:hAnsi="Open Sans" w:cs="Open Sans"/>
        </w:rPr>
      </w:pPr>
      <w:r w:rsidRPr="7EA2DDC8">
        <w:rPr>
          <w:rFonts w:ascii="Open Sans" w:hAnsi="Open Sans" w:cs="Open Sans"/>
        </w:rPr>
        <w:t>The</w:t>
      </w:r>
      <w:r w:rsidR="00385C0A" w:rsidRPr="00AE0AD1">
        <w:rPr>
          <w:rFonts w:ascii="Open Sans" w:hAnsi="Open Sans" w:cs="Open Sans"/>
        </w:rPr>
        <w:t xml:space="preserve"> Bill </w:t>
      </w:r>
      <w:r w:rsidR="00385C0A" w:rsidRPr="7EA2DDC8">
        <w:rPr>
          <w:rFonts w:ascii="Open Sans" w:hAnsi="Open Sans" w:cs="Open Sans"/>
        </w:rPr>
        <w:t>restrict</w:t>
      </w:r>
      <w:r w:rsidR="7359373B" w:rsidRPr="7EA2DDC8">
        <w:rPr>
          <w:rFonts w:ascii="Open Sans" w:hAnsi="Open Sans" w:cs="Open Sans"/>
        </w:rPr>
        <w:t>s</w:t>
      </w:r>
      <w:r w:rsidR="00385C0A" w:rsidRPr="00AE0AD1">
        <w:rPr>
          <w:rFonts w:ascii="Open Sans" w:hAnsi="Open Sans" w:cs="Open Sans"/>
        </w:rPr>
        <w:t xml:space="preserve"> the right of the subject of an adult </w:t>
      </w:r>
      <w:r w:rsidR="00E062E2">
        <w:rPr>
          <w:rFonts w:ascii="Open Sans" w:hAnsi="Open Sans" w:cs="Open Sans"/>
        </w:rPr>
        <w:t>QW</w:t>
      </w:r>
      <w:r w:rsidR="00385C0A" w:rsidRPr="00AE0AD1">
        <w:rPr>
          <w:rFonts w:ascii="Open Sans" w:hAnsi="Open Sans" w:cs="Open Sans"/>
        </w:rPr>
        <w:t xml:space="preserve"> to access independent legal counsel in a number of ways.</w:t>
      </w:r>
      <w:r w:rsidR="00F77C26">
        <w:rPr>
          <w:rFonts w:ascii="Open Sans" w:hAnsi="Open Sans" w:cs="Open Sans"/>
        </w:rPr>
        <w:t xml:space="preserve"> </w:t>
      </w:r>
    </w:p>
    <w:p w14:paraId="1F787CD9" w14:textId="78B2EB6A" w:rsidR="00385C0A" w:rsidRPr="00AE0AD1" w:rsidRDefault="00385C0A" w:rsidP="00255B7B">
      <w:pPr>
        <w:pStyle w:val="SubmissionNormal"/>
        <w:tabs>
          <w:tab w:val="clear" w:pos="4680"/>
          <w:tab w:val="num" w:pos="4104"/>
        </w:tabs>
        <w:ind w:hanging="504"/>
        <w:rPr>
          <w:rFonts w:ascii="Open Sans" w:hAnsi="Open Sans" w:cs="Open Sans"/>
          <w:color w:val="1F1923"/>
        </w:rPr>
      </w:pPr>
      <w:r w:rsidRPr="00AE0AD1">
        <w:rPr>
          <w:rFonts w:ascii="Open Sans" w:hAnsi="Open Sans" w:cs="Open Sans"/>
          <w:color w:val="1F1923"/>
        </w:rPr>
        <w:t xml:space="preserve">Although the subject of an adult </w:t>
      </w:r>
      <w:r w:rsidR="00E062E2">
        <w:rPr>
          <w:rFonts w:ascii="Open Sans" w:hAnsi="Open Sans" w:cs="Open Sans"/>
          <w:color w:val="1F1923"/>
        </w:rPr>
        <w:t>QW</w:t>
      </w:r>
      <w:r w:rsidRPr="00AE0AD1">
        <w:rPr>
          <w:rFonts w:ascii="Open Sans" w:hAnsi="Open Sans" w:cs="Open Sans"/>
          <w:color w:val="1F1923"/>
        </w:rPr>
        <w:t xml:space="preserve"> may be permitted to contact a lawyer and have them attend during questioning, the Bill restricts this right in a number of ways:</w:t>
      </w:r>
    </w:p>
    <w:p w14:paraId="6C5A584C" w14:textId="1CD8BBBE" w:rsidR="00385C0A" w:rsidRPr="00AE0AD1" w:rsidRDefault="00385C0A" w:rsidP="003137B7">
      <w:pPr>
        <w:pStyle w:val="ListBullet3"/>
        <w:tabs>
          <w:tab w:val="clear" w:pos="926"/>
          <w:tab w:val="num" w:pos="350"/>
        </w:tabs>
        <w:ind w:left="1440"/>
        <w:rPr>
          <w:rFonts w:ascii="Open Sans" w:hAnsi="Open Sans" w:cs="Open Sans"/>
        </w:rPr>
      </w:pPr>
      <w:r w:rsidRPr="00AE0AD1">
        <w:rPr>
          <w:rFonts w:ascii="Open Sans" w:hAnsi="Open Sans" w:cs="Open Sans"/>
        </w:rPr>
        <w:t>The prescribed authority may make a direction denying access to those lawyers of which he or she disapproves, if satisfied that, if the subject is permitted to contact the lawyer, a person involved in activity prejudicial to security may be alerted or that a record or thing the subject might be requested to produce might be destroyed, damaged or altered.</w:t>
      </w:r>
      <w:r w:rsidRPr="00AE0AD1">
        <w:rPr>
          <w:rStyle w:val="EndnoteReference"/>
          <w:rFonts w:ascii="Open Sans" w:eastAsia="Times New Roman" w:hAnsi="Open Sans" w:cs="Open Sans"/>
        </w:rPr>
        <w:endnoteReference w:id="62"/>
      </w:r>
      <w:r w:rsidRPr="00AE0AD1">
        <w:rPr>
          <w:rFonts w:ascii="Open Sans" w:hAnsi="Open Sans" w:cs="Open Sans"/>
        </w:rPr>
        <w:t xml:space="preserve"> </w:t>
      </w:r>
      <w:r w:rsidR="3E7CCD94" w:rsidRPr="00AE0AD1">
        <w:rPr>
          <w:rFonts w:ascii="Open Sans" w:hAnsi="Open Sans" w:cs="Open Sans"/>
        </w:rPr>
        <w:t>For example, i</w:t>
      </w:r>
      <w:r w:rsidRPr="00AE0AD1">
        <w:rPr>
          <w:rFonts w:ascii="Open Sans" w:hAnsi="Open Sans" w:cs="Open Sans"/>
        </w:rPr>
        <w:t xml:space="preserve">f their original </w:t>
      </w:r>
      <w:r w:rsidRPr="00AE0AD1">
        <w:rPr>
          <w:rFonts w:ascii="Open Sans" w:hAnsi="Open Sans" w:cs="Open Sans"/>
        </w:rPr>
        <w:lastRenderedPageBreak/>
        <w:t>choice of lawyer is denied, the subject is entitled to choose another lawyer, but that lawyer may also be rejected.</w:t>
      </w:r>
      <w:r w:rsidRPr="00AE0AD1">
        <w:rPr>
          <w:rStyle w:val="EndnoteReference"/>
          <w:rFonts w:ascii="Open Sans" w:eastAsia="Times New Roman" w:hAnsi="Open Sans" w:cs="Open Sans"/>
        </w:rPr>
        <w:endnoteReference w:id="63"/>
      </w:r>
      <w:r w:rsidRPr="00AE0AD1">
        <w:rPr>
          <w:rFonts w:ascii="Open Sans" w:hAnsi="Open Sans" w:cs="Open Sans"/>
        </w:rPr>
        <w:t xml:space="preserve"> </w:t>
      </w:r>
    </w:p>
    <w:p w14:paraId="60FA4FDC" w14:textId="3EFA3E5E" w:rsidR="00385C0A" w:rsidRPr="00AE0AD1" w:rsidRDefault="00385C0A" w:rsidP="003137B7">
      <w:pPr>
        <w:pStyle w:val="ListBullet3"/>
        <w:tabs>
          <w:tab w:val="clear" w:pos="926"/>
          <w:tab w:val="num" w:pos="350"/>
        </w:tabs>
        <w:ind w:left="1440"/>
        <w:rPr>
          <w:rFonts w:ascii="Open Sans" w:hAnsi="Open Sans" w:cs="Open Sans"/>
        </w:rPr>
      </w:pPr>
      <w:r w:rsidRPr="00AE0AD1">
        <w:rPr>
          <w:rFonts w:ascii="Open Sans" w:hAnsi="Open Sans" w:cs="Open Sans"/>
        </w:rPr>
        <w:t xml:space="preserve">If the </w:t>
      </w:r>
      <w:r w:rsidR="00E062E2">
        <w:rPr>
          <w:rFonts w:ascii="Open Sans" w:hAnsi="Open Sans" w:cs="Open Sans"/>
        </w:rPr>
        <w:t>QW</w:t>
      </w:r>
      <w:r w:rsidRPr="00AE0AD1">
        <w:rPr>
          <w:rFonts w:ascii="Open Sans" w:hAnsi="Open Sans" w:cs="Open Sans"/>
        </w:rPr>
        <w:t xml:space="preserve"> is not to be executed immediately, the subject of the warrant is entitled to contact a lawyer of their choice, but if that lawyer does not arrive in what the prescribed authority deems to be a reasonable amount of time, then the prescribed authority may direct that questioning of the subject can start in the absence of the lawyer.</w:t>
      </w:r>
      <w:r w:rsidRPr="00AE0AD1">
        <w:rPr>
          <w:rStyle w:val="EndnoteReference"/>
          <w:rFonts w:ascii="Open Sans" w:eastAsia="Times New Roman" w:hAnsi="Open Sans" w:cs="Open Sans"/>
        </w:rPr>
        <w:endnoteReference w:id="64"/>
      </w:r>
    </w:p>
    <w:p w14:paraId="7DD690E5" w14:textId="77777777" w:rsidR="00385C0A" w:rsidRPr="00AE0AD1" w:rsidRDefault="00385C0A" w:rsidP="003137B7">
      <w:pPr>
        <w:pStyle w:val="ListBullet3"/>
        <w:tabs>
          <w:tab w:val="clear" w:pos="926"/>
          <w:tab w:val="num" w:pos="350"/>
        </w:tabs>
        <w:ind w:left="1440"/>
        <w:rPr>
          <w:rFonts w:ascii="Open Sans" w:hAnsi="Open Sans" w:cs="Open Sans"/>
        </w:rPr>
      </w:pPr>
      <w:r w:rsidRPr="00AE0AD1">
        <w:rPr>
          <w:rFonts w:ascii="Open Sans" w:hAnsi="Open Sans" w:cs="Open Sans"/>
        </w:rPr>
        <w:t>If the warrant is to be executed immediately, the prescribed authority can make a direction assigning a lawyer to the subject.</w:t>
      </w:r>
      <w:r w:rsidRPr="00AE0AD1">
        <w:rPr>
          <w:rStyle w:val="EndnoteReference"/>
          <w:rFonts w:ascii="Open Sans" w:eastAsia="Times New Roman" w:hAnsi="Open Sans" w:cs="Open Sans"/>
        </w:rPr>
        <w:endnoteReference w:id="65"/>
      </w:r>
      <w:r w:rsidRPr="00AE0AD1">
        <w:rPr>
          <w:rFonts w:ascii="Open Sans" w:hAnsi="Open Sans" w:cs="Open Sans"/>
        </w:rPr>
        <w:t xml:space="preserve"> In that case, the subject of the warrant is entitled to request and contact another lawyer of their own choosing.</w:t>
      </w:r>
      <w:r w:rsidRPr="00AE0AD1">
        <w:rPr>
          <w:rStyle w:val="EndnoteReference"/>
          <w:rFonts w:ascii="Open Sans" w:eastAsia="Times New Roman" w:hAnsi="Open Sans" w:cs="Open Sans"/>
        </w:rPr>
        <w:endnoteReference w:id="66"/>
      </w:r>
      <w:r w:rsidRPr="00AE0AD1">
        <w:rPr>
          <w:rFonts w:ascii="Open Sans" w:hAnsi="Open Sans" w:cs="Open Sans"/>
        </w:rPr>
        <w:t xml:space="preserve"> However, questioning of the subject can begin before that requested lawyer arrives. </w:t>
      </w:r>
    </w:p>
    <w:p w14:paraId="2B81A990" w14:textId="5449F579" w:rsidR="00385C0A" w:rsidRPr="00962267" w:rsidRDefault="00A936F4" w:rsidP="00255B7B">
      <w:pPr>
        <w:pStyle w:val="SubmissionNormal"/>
        <w:tabs>
          <w:tab w:val="clear" w:pos="4680"/>
          <w:tab w:val="num" w:pos="4104"/>
        </w:tabs>
        <w:ind w:hanging="504"/>
        <w:rPr>
          <w:rFonts w:ascii="Open Sans" w:hAnsi="Open Sans" w:cs="Open Sans"/>
          <w:color w:val="1F1923"/>
        </w:rPr>
      </w:pPr>
      <w:r w:rsidRPr="00962267">
        <w:rPr>
          <w:rFonts w:ascii="Open Sans" w:hAnsi="Open Sans" w:cs="Open Sans"/>
          <w:color w:val="1F1923"/>
        </w:rPr>
        <w:t>All</w:t>
      </w:r>
      <w:r w:rsidR="00385C0A" w:rsidRPr="00962267">
        <w:rPr>
          <w:rFonts w:ascii="Open Sans" w:hAnsi="Open Sans" w:cs="Open Sans"/>
          <w:color w:val="1F1923"/>
        </w:rPr>
        <w:t xml:space="preserve"> the directions described in the paragraphs above can be </w:t>
      </w:r>
      <w:r w:rsidR="00AE643B">
        <w:rPr>
          <w:rFonts w:ascii="Open Sans" w:hAnsi="Open Sans" w:cs="Open Sans"/>
          <w:color w:val="1F1923"/>
        </w:rPr>
        <w:t>made</w:t>
      </w:r>
      <w:r w:rsidR="00385C0A" w:rsidRPr="00962267">
        <w:rPr>
          <w:rFonts w:ascii="Open Sans" w:hAnsi="Open Sans" w:cs="Open Sans"/>
          <w:color w:val="1F1923"/>
        </w:rPr>
        <w:t xml:space="preserve"> orally.</w:t>
      </w:r>
      <w:r w:rsidR="00AE643B">
        <w:rPr>
          <w:rFonts w:ascii="Open Sans" w:hAnsi="Open Sans" w:cs="Open Sans"/>
          <w:color w:val="1F1923"/>
        </w:rPr>
        <w:t xml:space="preserve"> Further, under the provisions of the Bill: </w:t>
      </w:r>
    </w:p>
    <w:p w14:paraId="2852C345" w14:textId="3FCB92ED" w:rsidR="00385C0A" w:rsidRPr="00AE0AD1" w:rsidRDefault="00AE643B" w:rsidP="003137B7">
      <w:pPr>
        <w:pStyle w:val="ListBullet3"/>
        <w:tabs>
          <w:tab w:val="clear" w:pos="926"/>
          <w:tab w:val="num" w:pos="576"/>
        </w:tabs>
        <w:ind w:left="1152"/>
        <w:rPr>
          <w:rFonts w:ascii="Open Sans" w:hAnsi="Open Sans" w:cs="Open Sans"/>
        </w:rPr>
      </w:pPr>
      <w:r>
        <w:rPr>
          <w:rFonts w:ascii="Open Sans" w:hAnsi="Open Sans" w:cs="Open Sans"/>
        </w:rPr>
        <w:t>A questioning</w:t>
      </w:r>
      <w:r w:rsidRPr="00AE0AD1">
        <w:rPr>
          <w:rFonts w:ascii="Open Sans" w:hAnsi="Open Sans" w:cs="Open Sans"/>
        </w:rPr>
        <w:t xml:space="preserve"> </w:t>
      </w:r>
      <w:r w:rsidR="00385C0A" w:rsidRPr="00AE0AD1">
        <w:rPr>
          <w:rFonts w:ascii="Open Sans" w:hAnsi="Open Sans" w:cs="Open Sans"/>
        </w:rPr>
        <w:t>subject’s lawyer must play a passive role during any questioning. The lawyer (like the subject of the warrant) is not told why the warrant was issued,</w:t>
      </w:r>
      <w:r w:rsidR="00385C0A" w:rsidRPr="00AE0AD1">
        <w:rPr>
          <w:rStyle w:val="EndnoteReference"/>
          <w:rFonts w:ascii="Open Sans" w:hAnsi="Open Sans" w:cs="Open Sans"/>
        </w:rPr>
        <w:endnoteReference w:id="67"/>
      </w:r>
      <w:r w:rsidR="00385C0A" w:rsidRPr="00AE0AD1">
        <w:rPr>
          <w:rFonts w:ascii="Open Sans" w:hAnsi="Open Sans" w:cs="Open Sans"/>
        </w:rPr>
        <w:t xml:space="preserve"> is not permitted to ask questions, cross-examine, object or </w:t>
      </w:r>
      <w:r w:rsidR="00AE0AD1" w:rsidRPr="00AE0AD1">
        <w:rPr>
          <w:rFonts w:ascii="Open Sans" w:hAnsi="Open Sans" w:cs="Open Sans"/>
        </w:rPr>
        <w:t>‘</w:t>
      </w:r>
      <w:r w:rsidR="00385C0A" w:rsidRPr="00AE0AD1">
        <w:rPr>
          <w:rFonts w:ascii="Open Sans" w:hAnsi="Open Sans" w:cs="Open Sans"/>
        </w:rPr>
        <w:t>intervene in questioning ... except to request clarification of an ambiguous question</w:t>
      </w:r>
      <w:r w:rsidR="00AE0AD1" w:rsidRPr="00AE0AD1">
        <w:rPr>
          <w:rFonts w:ascii="Open Sans" w:hAnsi="Open Sans" w:cs="Open Sans"/>
        </w:rPr>
        <w:t>’</w:t>
      </w:r>
      <w:r w:rsidR="00385C0A" w:rsidRPr="00AE0AD1">
        <w:rPr>
          <w:rFonts w:ascii="Open Sans" w:hAnsi="Open Sans" w:cs="Open Sans"/>
        </w:rPr>
        <w:t xml:space="preserve"> or request a break to provide advice to the subject</w:t>
      </w:r>
      <w:r w:rsidR="00FD638F">
        <w:rPr>
          <w:rFonts w:ascii="Open Sans" w:hAnsi="Open Sans" w:cs="Open Sans"/>
        </w:rPr>
        <w:t>,</w:t>
      </w:r>
      <w:r w:rsidR="00385C0A" w:rsidRPr="00AE0AD1">
        <w:rPr>
          <w:rStyle w:val="EndnoteReference"/>
          <w:rFonts w:ascii="Open Sans" w:hAnsi="Open Sans" w:cs="Open Sans"/>
        </w:rPr>
        <w:endnoteReference w:id="68"/>
      </w:r>
      <w:r w:rsidR="00385C0A" w:rsidRPr="00AE0AD1">
        <w:rPr>
          <w:rFonts w:ascii="Open Sans" w:hAnsi="Open Sans" w:cs="Open Sans"/>
        </w:rPr>
        <w:t xml:space="preserve"> which the prescribed authority has the discretion to approve or deny</w:t>
      </w:r>
      <w:r w:rsidR="00FD638F">
        <w:rPr>
          <w:rFonts w:ascii="Open Sans" w:hAnsi="Open Sans" w:cs="Open Sans"/>
        </w:rPr>
        <w:t>.</w:t>
      </w:r>
      <w:r w:rsidR="00385C0A" w:rsidRPr="00AE0AD1">
        <w:rPr>
          <w:rStyle w:val="EndnoteReference"/>
          <w:rFonts w:ascii="Open Sans" w:hAnsi="Open Sans" w:cs="Open Sans"/>
        </w:rPr>
        <w:endnoteReference w:id="69"/>
      </w:r>
      <w:r w:rsidR="00385C0A" w:rsidRPr="00AE0AD1">
        <w:rPr>
          <w:rFonts w:ascii="Open Sans" w:hAnsi="Open Sans" w:cs="Open Sans"/>
        </w:rPr>
        <w:t xml:space="preserve"> </w:t>
      </w:r>
    </w:p>
    <w:p w14:paraId="0A19EC43" w14:textId="7E0FD4F5" w:rsidR="00385C0A" w:rsidRPr="00AE0AD1" w:rsidRDefault="00AE643B" w:rsidP="003137B7">
      <w:pPr>
        <w:pStyle w:val="ListBullet3"/>
        <w:tabs>
          <w:tab w:val="clear" w:pos="926"/>
          <w:tab w:val="num" w:pos="864"/>
        </w:tabs>
        <w:ind w:left="1152"/>
        <w:rPr>
          <w:rFonts w:ascii="Open Sans" w:hAnsi="Open Sans" w:cs="Open Sans"/>
        </w:rPr>
      </w:pPr>
      <w:r>
        <w:rPr>
          <w:rFonts w:ascii="Open Sans" w:hAnsi="Open Sans" w:cs="Open Sans"/>
        </w:rPr>
        <w:t>A</w:t>
      </w:r>
      <w:r w:rsidRPr="00AE0AD1">
        <w:rPr>
          <w:rFonts w:ascii="Open Sans" w:hAnsi="Open Sans" w:cs="Open Sans"/>
        </w:rPr>
        <w:t xml:space="preserve"> </w:t>
      </w:r>
      <w:r w:rsidR="00385C0A" w:rsidRPr="00AE0AD1">
        <w:rPr>
          <w:rFonts w:ascii="Open Sans" w:hAnsi="Open Sans" w:cs="Open Sans"/>
        </w:rPr>
        <w:t xml:space="preserve">lawyer can be ejected at any time during questioning if deemed by the prescribed authority to be </w:t>
      </w:r>
      <w:r w:rsidR="00283C2C" w:rsidRPr="00AE0AD1">
        <w:rPr>
          <w:rFonts w:ascii="Open Sans" w:hAnsi="Open Sans" w:cs="Open Sans"/>
        </w:rPr>
        <w:t>‘</w:t>
      </w:r>
      <w:r w:rsidR="003137B7">
        <w:rPr>
          <w:rFonts w:ascii="Open Sans" w:hAnsi="Open Sans" w:cs="Open Sans"/>
        </w:rPr>
        <w:t xml:space="preserve">unduly </w:t>
      </w:r>
      <w:r w:rsidR="00385C0A" w:rsidRPr="00AE0AD1">
        <w:rPr>
          <w:rFonts w:ascii="Open Sans" w:hAnsi="Open Sans" w:cs="Open Sans"/>
        </w:rPr>
        <w:t>disrupting</w:t>
      </w:r>
      <w:r w:rsidR="003137B7">
        <w:rPr>
          <w:rFonts w:ascii="Open Sans" w:hAnsi="Open Sans" w:cs="Open Sans"/>
        </w:rPr>
        <w:t>’ the</w:t>
      </w:r>
      <w:r w:rsidR="00385C0A" w:rsidRPr="00AE0AD1">
        <w:rPr>
          <w:rFonts w:ascii="Open Sans" w:hAnsi="Open Sans" w:cs="Open Sans"/>
        </w:rPr>
        <w:t xml:space="preserve"> proceedings.</w:t>
      </w:r>
      <w:r w:rsidR="00385C0A" w:rsidRPr="00AE0AD1">
        <w:rPr>
          <w:rStyle w:val="EndnoteReference"/>
          <w:rFonts w:ascii="Open Sans" w:hAnsi="Open Sans" w:cs="Open Sans"/>
        </w:rPr>
        <w:endnoteReference w:id="70"/>
      </w:r>
      <w:r w:rsidR="00385C0A" w:rsidRPr="00AE0AD1">
        <w:rPr>
          <w:rFonts w:ascii="Open Sans" w:hAnsi="Open Sans" w:cs="Open Sans"/>
        </w:rPr>
        <w:t xml:space="preserve"> </w:t>
      </w:r>
    </w:p>
    <w:p w14:paraId="1F8970AD" w14:textId="7FD06396" w:rsidR="00385C0A" w:rsidRPr="00AE0AD1" w:rsidRDefault="00385C0A" w:rsidP="003137B7">
      <w:pPr>
        <w:pStyle w:val="ListBullet3"/>
        <w:tabs>
          <w:tab w:val="clear" w:pos="926"/>
          <w:tab w:val="num" w:pos="1152"/>
        </w:tabs>
        <w:ind w:left="1152"/>
        <w:rPr>
          <w:rFonts w:ascii="Open Sans" w:hAnsi="Open Sans" w:cs="Open Sans"/>
        </w:rPr>
      </w:pPr>
      <w:r w:rsidRPr="00AE0AD1">
        <w:rPr>
          <w:rFonts w:ascii="Open Sans" w:hAnsi="Open Sans" w:cs="Open Sans"/>
        </w:rPr>
        <w:t xml:space="preserve">There is no safeguard to ensure that a prescribed authority must allow a lawyer and their client to communicate in private either in break time or otherwise, which would mean any communication between the subject and </w:t>
      </w:r>
      <w:r w:rsidR="00FD638F">
        <w:rPr>
          <w:rFonts w:ascii="Open Sans" w:hAnsi="Open Sans" w:cs="Open Sans"/>
        </w:rPr>
        <w:t>their</w:t>
      </w:r>
      <w:r w:rsidRPr="00AE0AD1">
        <w:rPr>
          <w:rFonts w:ascii="Open Sans" w:hAnsi="Open Sans" w:cs="Open Sans"/>
        </w:rPr>
        <w:t xml:space="preserve"> lawyer would be capable of being monitored by ASIO. </w:t>
      </w:r>
    </w:p>
    <w:p w14:paraId="76B4685F" w14:textId="4A5A70F3" w:rsidR="00385C0A" w:rsidRPr="00AE0AD1" w:rsidRDefault="00385C0A" w:rsidP="00255B7B">
      <w:pPr>
        <w:pStyle w:val="SubmissionNormal"/>
        <w:ind w:hanging="504"/>
        <w:rPr>
          <w:rFonts w:ascii="Open Sans" w:hAnsi="Open Sans" w:cs="Open Sans"/>
        </w:rPr>
      </w:pPr>
      <w:r w:rsidRPr="00AE0AD1">
        <w:rPr>
          <w:rFonts w:ascii="Open Sans" w:hAnsi="Open Sans" w:cs="Open Sans"/>
        </w:rPr>
        <w:t xml:space="preserve">It should be noted that a minor must not be questioned under a </w:t>
      </w:r>
      <w:r w:rsidR="00E062E2">
        <w:rPr>
          <w:rFonts w:ascii="Open Sans" w:hAnsi="Open Sans" w:cs="Open Sans"/>
        </w:rPr>
        <w:t>QW</w:t>
      </w:r>
      <w:r w:rsidRPr="00AE0AD1">
        <w:rPr>
          <w:rFonts w:ascii="Open Sans" w:hAnsi="Open Sans" w:cs="Open Sans"/>
        </w:rPr>
        <w:t xml:space="preserve"> in the absence of a lawyer</w:t>
      </w:r>
      <w:r w:rsidR="000405C6">
        <w:rPr>
          <w:rFonts w:ascii="Open Sans" w:hAnsi="Open Sans" w:cs="Open Sans"/>
        </w:rPr>
        <w:t>;</w:t>
      </w:r>
      <w:r w:rsidRPr="00AE0AD1">
        <w:rPr>
          <w:rStyle w:val="EndnoteReference"/>
          <w:rFonts w:ascii="Open Sans" w:hAnsi="Open Sans" w:cs="Open Sans"/>
        </w:rPr>
        <w:endnoteReference w:id="71"/>
      </w:r>
      <w:r w:rsidRPr="00AE0AD1">
        <w:rPr>
          <w:rFonts w:ascii="Open Sans" w:hAnsi="Open Sans" w:cs="Open Sans"/>
        </w:rPr>
        <w:t xml:space="preserve"> however</w:t>
      </w:r>
      <w:r w:rsidR="00FD638F">
        <w:rPr>
          <w:rFonts w:ascii="Open Sans" w:hAnsi="Open Sans" w:cs="Open Sans"/>
        </w:rPr>
        <w:t>,</w:t>
      </w:r>
      <w:r w:rsidRPr="00AE0AD1">
        <w:rPr>
          <w:rFonts w:ascii="Open Sans" w:hAnsi="Open Sans" w:cs="Open Sans"/>
        </w:rPr>
        <w:t xml:space="preserve"> where the warrant includes an </w:t>
      </w:r>
      <w:r w:rsidR="000405C6">
        <w:rPr>
          <w:rFonts w:ascii="Open Sans" w:hAnsi="Open Sans" w:cs="Open Sans"/>
        </w:rPr>
        <w:t>‘</w:t>
      </w:r>
      <w:r w:rsidRPr="00AE0AD1">
        <w:rPr>
          <w:rFonts w:ascii="Open Sans" w:hAnsi="Open Sans" w:cs="Open Sans"/>
        </w:rPr>
        <w:t>immediate appearance requirement</w:t>
      </w:r>
      <w:r w:rsidR="000405C6">
        <w:rPr>
          <w:rFonts w:ascii="Open Sans" w:hAnsi="Open Sans" w:cs="Open Sans"/>
        </w:rPr>
        <w:t>’</w:t>
      </w:r>
      <w:r w:rsidRPr="00AE0AD1">
        <w:rPr>
          <w:rFonts w:ascii="Open Sans" w:hAnsi="Open Sans" w:cs="Open Sans"/>
        </w:rPr>
        <w:t>, the prescribed authority may appoint a lawyer for the subject.</w:t>
      </w:r>
      <w:r w:rsidRPr="00AE0AD1">
        <w:rPr>
          <w:rStyle w:val="EndnoteReference"/>
          <w:rFonts w:ascii="Open Sans" w:hAnsi="Open Sans" w:cs="Open Sans"/>
        </w:rPr>
        <w:endnoteReference w:id="72"/>
      </w:r>
      <w:r w:rsidRPr="00AE0AD1">
        <w:rPr>
          <w:rFonts w:ascii="Open Sans" w:hAnsi="Open Sans" w:cs="Open Sans"/>
        </w:rPr>
        <w:t xml:space="preserve"> </w:t>
      </w:r>
    </w:p>
    <w:p w14:paraId="02150851" w14:textId="4D4E5AA7" w:rsidR="00385C0A" w:rsidRPr="00AE0AD1" w:rsidRDefault="00385C0A" w:rsidP="00255B7B">
      <w:pPr>
        <w:pStyle w:val="SubmissionNormal"/>
        <w:ind w:hanging="504"/>
        <w:rPr>
          <w:rFonts w:ascii="Open Sans" w:hAnsi="Open Sans" w:cs="Open Sans"/>
        </w:rPr>
      </w:pPr>
      <w:r w:rsidRPr="00AE0AD1">
        <w:rPr>
          <w:rFonts w:ascii="Open Sans" w:hAnsi="Open Sans" w:cs="Open Sans"/>
        </w:rPr>
        <w:t>In its submission to the present inquiry</w:t>
      </w:r>
      <w:r w:rsidR="000405C6">
        <w:rPr>
          <w:rFonts w:ascii="Open Sans" w:hAnsi="Open Sans" w:cs="Open Sans"/>
        </w:rPr>
        <w:t>,</w:t>
      </w:r>
      <w:r w:rsidRPr="00AE0AD1">
        <w:rPr>
          <w:rFonts w:ascii="Open Sans" w:hAnsi="Open Sans" w:cs="Open Sans"/>
        </w:rPr>
        <w:t xml:space="preserve"> the Department of Home Affairs </w:t>
      </w:r>
      <w:r w:rsidRPr="7EA2DDC8">
        <w:rPr>
          <w:rFonts w:ascii="Open Sans" w:hAnsi="Open Sans" w:cs="Open Sans"/>
        </w:rPr>
        <w:t>argue</w:t>
      </w:r>
      <w:r w:rsidR="3A0B78E8" w:rsidRPr="7EA2DDC8">
        <w:rPr>
          <w:rFonts w:ascii="Open Sans" w:hAnsi="Open Sans" w:cs="Open Sans"/>
        </w:rPr>
        <w:t>d</w:t>
      </w:r>
      <w:r w:rsidRPr="00AE0AD1">
        <w:rPr>
          <w:rFonts w:ascii="Open Sans" w:hAnsi="Open Sans" w:cs="Open Sans"/>
        </w:rPr>
        <w:t xml:space="preserve"> that the provisions limiting contact with lawyer</w:t>
      </w:r>
      <w:r w:rsidR="00830002">
        <w:rPr>
          <w:rFonts w:ascii="Open Sans" w:hAnsi="Open Sans" w:cs="Open Sans"/>
        </w:rPr>
        <w:t>s</w:t>
      </w:r>
    </w:p>
    <w:p w14:paraId="7BECAC04" w14:textId="51F8979A" w:rsidR="00385C0A" w:rsidRPr="00AE0AD1" w:rsidRDefault="00385C0A" w:rsidP="00283C2C">
      <w:pPr>
        <w:pStyle w:val="SubmissionNormal"/>
        <w:numPr>
          <w:ilvl w:val="0"/>
          <w:numId w:val="0"/>
        </w:numPr>
        <w:ind w:left="1440"/>
        <w:jc w:val="both"/>
        <w:rPr>
          <w:rFonts w:ascii="Open Sans" w:hAnsi="Open Sans" w:cs="Open Sans"/>
          <w:sz w:val="22"/>
          <w:szCs w:val="22"/>
        </w:rPr>
      </w:pPr>
      <w:r w:rsidRPr="00AE0AD1">
        <w:rPr>
          <w:rFonts w:ascii="Open Sans" w:hAnsi="Open Sans" w:cs="Open Sans"/>
          <w:sz w:val="22"/>
          <w:szCs w:val="22"/>
        </w:rPr>
        <w:lastRenderedPageBreak/>
        <w:t>...</w:t>
      </w:r>
      <w:r w:rsidR="00FD638F">
        <w:rPr>
          <w:rFonts w:ascii="Open Sans" w:hAnsi="Open Sans" w:cs="Open Sans"/>
          <w:sz w:val="22"/>
          <w:szCs w:val="22"/>
        </w:rPr>
        <w:t xml:space="preserve"> </w:t>
      </w:r>
      <w:r w:rsidRPr="00AE0AD1">
        <w:rPr>
          <w:rFonts w:ascii="Open Sans" w:hAnsi="Open Sans" w:cs="Open Sans"/>
          <w:sz w:val="22"/>
          <w:szCs w:val="22"/>
        </w:rPr>
        <w:t>are crucial in the context of a security intelligence investigation to ensure that an investigation is not jeopardised due to contact with a particular person who happens to be a lawyer. These provisions are also necessary to prevent a subject from intentionally delaying questioning.</w:t>
      </w:r>
      <w:r w:rsidRPr="00AE0AD1">
        <w:rPr>
          <w:rStyle w:val="EndnoteReference"/>
          <w:rFonts w:ascii="Open Sans" w:hAnsi="Open Sans" w:cs="Open Sans"/>
          <w:sz w:val="22"/>
          <w:szCs w:val="22"/>
        </w:rPr>
        <w:endnoteReference w:id="73"/>
      </w:r>
    </w:p>
    <w:p w14:paraId="4FAFD5E0" w14:textId="48DCCE1B" w:rsidR="00385C0A" w:rsidRPr="00AE0AD1" w:rsidRDefault="00385C0A" w:rsidP="00255B7B">
      <w:pPr>
        <w:pStyle w:val="SubmissionNormal"/>
        <w:ind w:hanging="504"/>
        <w:rPr>
          <w:rFonts w:ascii="Open Sans" w:hAnsi="Open Sans" w:cs="Open Sans"/>
        </w:rPr>
      </w:pPr>
      <w:r w:rsidRPr="00AE0AD1">
        <w:rPr>
          <w:rFonts w:ascii="Open Sans" w:hAnsi="Open Sans" w:cs="Open Sans"/>
        </w:rPr>
        <w:t xml:space="preserve">Despite this argument, the effect of these provisions is that those questioned under the revised regime may be denied the right to effective, or indeed any, legal representation. The restrictions may inhibit full and open communication between the subject and their lawyer. They create a real risk that the person will not understand their legal rights or obligations. Essentially, it means the lawyer is prevented from performing the most basic duties of any legal representative, that is, to advise </w:t>
      </w:r>
      <w:r w:rsidR="008E5478" w:rsidRPr="7EA2DDC8">
        <w:rPr>
          <w:rFonts w:ascii="Open Sans" w:hAnsi="Open Sans" w:cs="Open Sans"/>
        </w:rPr>
        <w:t>their</w:t>
      </w:r>
      <w:r w:rsidRPr="00AE0AD1">
        <w:rPr>
          <w:rFonts w:ascii="Open Sans" w:hAnsi="Open Sans" w:cs="Open Sans"/>
        </w:rPr>
        <w:t xml:space="preserve"> client of their rights, protect the interests of their client and to object to and prevent inappropriate or unlawful questioning or other activity.</w:t>
      </w:r>
      <w:r w:rsidR="00F77C26">
        <w:rPr>
          <w:rFonts w:ascii="Open Sans" w:hAnsi="Open Sans" w:cs="Open Sans"/>
        </w:rPr>
        <w:t xml:space="preserve"> </w:t>
      </w:r>
    </w:p>
    <w:p w14:paraId="254B5153" w14:textId="56555BB3" w:rsidR="00385C0A" w:rsidRPr="003A5D3F" w:rsidRDefault="00385C0A" w:rsidP="00255B7B">
      <w:pPr>
        <w:pStyle w:val="SubmissionNormal"/>
        <w:ind w:hanging="504"/>
        <w:rPr>
          <w:rFonts w:ascii="Open Sans" w:hAnsi="Open Sans" w:cs="Open Sans"/>
        </w:rPr>
      </w:pPr>
      <w:r w:rsidRPr="00AE0AD1">
        <w:rPr>
          <w:rFonts w:ascii="Open Sans" w:hAnsi="Open Sans" w:cs="Open Sans"/>
        </w:rPr>
        <w:t xml:space="preserve">Meaningful access to legal representation is necessary to ensure the subject of a </w:t>
      </w:r>
      <w:r w:rsidR="00E062E2">
        <w:rPr>
          <w:rFonts w:ascii="Open Sans" w:hAnsi="Open Sans" w:cs="Open Sans"/>
        </w:rPr>
        <w:t>QW</w:t>
      </w:r>
      <w:r w:rsidRPr="00AE0AD1">
        <w:rPr>
          <w:rFonts w:ascii="Open Sans" w:hAnsi="Open Sans" w:cs="Open Sans"/>
        </w:rPr>
        <w:t xml:space="preserve"> understands their rights and can exercise those rights to challenge the legality and conditions of their apprehension and any ill-treatment occurring during the apprehension/questioning process. Access to a lawyer is essential to ensure that the severe limitations on human rights occasioned by questioning under warrant are within the boundaries prescribed by law, which is a precondition for any limitation on rights to be permissible under international human rights law. Proper access to legal counsel will generally be necessary for an individual to exercise the right to challenge the lawfulness of detention under article 9(4) of the ICCPR. In the case of people under 18, article 37(6) of the CRC explicitly guarantees the right of any child deprived of liberty to prompt legal assistance. </w:t>
      </w:r>
    </w:p>
    <w:p w14:paraId="39D91DF6" w14:textId="542EDFC4" w:rsidR="00F333C1" w:rsidRPr="00ED2D82" w:rsidRDefault="00F333C1" w:rsidP="00F333C1">
      <w:pPr>
        <w:pStyle w:val="SubmissionNormal"/>
        <w:numPr>
          <w:ilvl w:val="0"/>
          <w:numId w:val="0"/>
        </w:numPr>
        <w:ind w:left="792"/>
        <w:rPr>
          <w:rFonts w:ascii="Open Sans" w:hAnsi="Open Sans" w:cs="Open Sans"/>
          <w:b/>
          <w:bCs/>
          <w:lang w:val="en-US"/>
        </w:rPr>
      </w:pPr>
      <w:r w:rsidRPr="00ED2D82">
        <w:rPr>
          <w:rFonts w:ascii="Open Sans" w:hAnsi="Open Sans" w:cs="Open Sans"/>
          <w:b/>
          <w:bCs/>
          <w:lang w:val="en-US"/>
        </w:rPr>
        <w:t>Recommendation 7</w:t>
      </w:r>
    </w:p>
    <w:p w14:paraId="314AE156" w14:textId="77777777" w:rsidR="00943607" w:rsidRPr="00AE0AD1" w:rsidRDefault="00943607" w:rsidP="00943607">
      <w:pPr>
        <w:ind w:left="720"/>
        <w:rPr>
          <w:rFonts w:ascii="Open Sans" w:eastAsia="Times New Roman" w:hAnsi="Open Sans" w:cs="Open Sans"/>
          <w:color w:val="1F1923"/>
          <w:lang w:val="en-US"/>
        </w:rPr>
      </w:pPr>
      <w:r>
        <w:rPr>
          <w:rFonts w:ascii="Open Sans" w:eastAsia="Times New Roman" w:hAnsi="Open Sans" w:cs="Open Sans"/>
          <w:color w:val="1F1923"/>
          <w:lang w:val="en-US"/>
        </w:rPr>
        <w:t>A</w:t>
      </w:r>
      <w:r w:rsidRPr="00B818BE">
        <w:rPr>
          <w:rFonts w:ascii="Open Sans" w:eastAsia="Times New Roman" w:hAnsi="Open Sans" w:cs="Open Sans"/>
          <w:color w:val="1F1923"/>
          <w:lang w:val="en-US"/>
        </w:rPr>
        <w:t xml:space="preserve">ny person subject to a QW </w:t>
      </w:r>
      <w:r>
        <w:rPr>
          <w:rFonts w:ascii="Open Sans" w:eastAsia="Times New Roman" w:hAnsi="Open Sans" w:cs="Open Sans"/>
          <w:color w:val="1F1923"/>
          <w:lang w:val="en-US"/>
        </w:rPr>
        <w:t>should be</w:t>
      </w:r>
      <w:r w:rsidRPr="00A46CA4">
        <w:rPr>
          <w:rFonts w:ascii="Open Sans" w:eastAsia="Times New Roman" w:hAnsi="Open Sans" w:cs="Open Sans"/>
          <w:color w:val="1F1923"/>
          <w:lang w:val="en-US"/>
        </w:rPr>
        <w:t xml:space="preserve"> afforded the right to independent legal</w:t>
      </w:r>
      <w:r w:rsidRPr="00AE0AD1">
        <w:rPr>
          <w:rFonts w:ascii="Open Sans" w:eastAsia="Times New Roman" w:hAnsi="Open Sans" w:cs="Open Sans"/>
          <w:color w:val="1F1923"/>
          <w:lang w:val="en-US"/>
        </w:rPr>
        <w:t xml:space="preserve"> </w:t>
      </w:r>
      <w:r w:rsidRPr="00CD4612">
        <w:rPr>
          <w:rFonts w:ascii="Open Sans" w:eastAsia="Times New Roman" w:hAnsi="Open Sans" w:cs="Open Sans"/>
          <w:color w:val="1F1923"/>
          <w:lang w:val="en-US"/>
        </w:rPr>
        <w:t>representation at all stages of the questioning process</w:t>
      </w:r>
      <w:r>
        <w:rPr>
          <w:rFonts w:ascii="Open Sans" w:eastAsia="Times New Roman" w:hAnsi="Open Sans" w:cs="Open Sans"/>
          <w:color w:val="1F1923"/>
          <w:lang w:val="en-US"/>
        </w:rPr>
        <w:t>.</w:t>
      </w:r>
    </w:p>
    <w:p w14:paraId="0FD5B63A" w14:textId="77777777" w:rsidR="00385C0A" w:rsidRPr="00AE0AD1" w:rsidRDefault="00385C0A" w:rsidP="00283C2C">
      <w:pPr>
        <w:pStyle w:val="Heading2"/>
        <w:rPr>
          <w:rFonts w:ascii="Open Sans" w:hAnsi="Open Sans" w:cs="Open Sans"/>
        </w:rPr>
      </w:pPr>
      <w:r w:rsidRPr="00AE0AD1">
        <w:rPr>
          <w:rFonts w:ascii="Open Sans" w:hAnsi="Open Sans" w:cs="Open Sans"/>
        </w:rPr>
        <w:t xml:space="preserve"> </w:t>
      </w:r>
      <w:bookmarkStart w:id="45" w:name="_Toc44496135"/>
      <w:r w:rsidRPr="00AE0AD1">
        <w:rPr>
          <w:rFonts w:ascii="Open Sans" w:hAnsi="Open Sans" w:cs="Open Sans"/>
        </w:rPr>
        <w:t>Post-charge questioning</w:t>
      </w:r>
      <w:bookmarkEnd w:id="45"/>
    </w:p>
    <w:p w14:paraId="14BC77FC" w14:textId="59DBAF82" w:rsidR="00385C0A" w:rsidRPr="00AE0AD1" w:rsidRDefault="00385C0A" w:rsidP="00255B7B">
      <w:pPr>
        <w:pStyle w:val="SubmissionNormal"/>
        <w:ind w:hanging="504"/>
        <w:rPr>
          <w:rFonts w:ascii="Open Sans" w:hAnsi="Open Sans" w:cs="Open Sans"/>
        </w:rPr>
      </w:pPr>
      <w:r w:rsidRPr="00AE0AD1">
        <w:rPr>
          <w:rFonts w:ascii="Open Sans" w:hAnsi="Open Sans" w:cs="Open Sans"/>
        </w:rPr>
        <w:t xml:space="preserve">Presently, the ASIO Act is silent on whether ASIO may compulsorily question a person after that person has been charged with an offence. In its submission to the 2017 PJCIS Review, the Attorney-General’s Department stated this is because the purpose of ASIO questioning is </w:t>
      </w:r>
      <w:r w:rsidR="00283C2C" w:rsidRPr="00AE0AD1">
        <w:rPr>
          <w:rFonts w:ascii="Open Sans" w:hAnsi="Open Sans" w:cs="Open Sans"/>
        </w:rPr>
        <w:t>‘</w:t>
      </w:r>
      <w:r w:rsidRPr="00AE0AD1">
        <w:rPr>
          <w:rFonts w:ascii="Open Sans" w:hAnsi="Open Sans" w:cs="Open Sans"/>
        </w:rPr>
        <w:t>to gather intelligence, rather than gathering evidence to support prosecutions</w:t>
      </w:r>
      <w:r w:rsidR="7C217D70" w:rsidRPr="00AE0AD1">
        <w:rPr>
          <w:rFonts w:ascii="Open Sans" w:hAnsi="Open Sans" w:cs="Open Sans"/>
        </w:rPr>
        <w:t>’</w:t>
      </w:r>
      <w:r w:rsidRPr="00AE0AD1">
        <w:rPr>
          <w:rFonts w:ascii="Open Sans" w:hAnsi="Open Sans" w:cs="Open Sans"/>
        </w:rPr>
        <w:t>.</w:t>
      </w:r>
      <w:r w:rsidRPr="00AE0AD1">
        <w:rPr>
          <w:rStyle w:val="EndnoteReference"/>
          <w:rFonts w:ascii="Open Sans" w:hAnsi="Open Sans" w:cs="Open Sans"/>
        </w:rPr>
        <w:endnoteReference w:id="74"/>
      </w:r>
    </w:p>
    <w:p w14:paraId="1D53B8C5" w14:textId="14850247" w:rsidR="00385C0A" w:rsidRDefault="009671A3" w:rsidP="00255B7B">
      <w:pPr>
        <w:pStyle w:val="SubmissionNormal"/>
        <w:ind w:hanging="504"/>
        <w:rPr>
          <w:rFonts w:ascii="Open Sans" w:hAnsi="Open Sans" w:cs="Open Sans"/>
          <w:lang w:eastAsia="en-GB"/>
        </w:rPr>
      </w:pPr>
      <w:r>
        <w:rPr>
          <w:rFonts w:ascii="Open Sans" w:hAnsi="Open Sans" w:cs="Open Sans"/>
          <w:lang w:eastAsia="en-GB"/>
        </w:rPr>
        <w:t>T</w:t>
      </w:r>
      <w:r w:rsidR="00385C0A" w:rsidRPr="00AE0AD1">
        <w:rPr>
          <w:rFonts w:ascii="Open Sans" w:hAnsi="Open Sans" w:cs="Open Sans"/>
          <w:lang w:eastAsia="en-GB"/>
        </w:rPr>
        <w:t xml:space="preserve">he Bill introduces </w:t>
      </w:r>
      <w:r>
        <w:rPr>
          <w:rFonts w:ascii="Open Sans" w:hAnsi="Open Sans" w:cs="Open Sans"/>
          <w:lang w:eastAsia="en-GB"/>
        </w:rPr>
        <w:t xml:space="preserve">explicit </w:t>
      </w:r>
      <w:r w:rsidR="00385C0A" w:rsidRPr="00AE0AD1">
        <w:rPr>
          <w:rFonts w:ascii="Open Sans" w:hAnsi="Open Sans" w:cs="Open Sans"/>
          <w:lang w:eastAsia="en-GB"/>
        </w:rPr>
        <w:t xml:space="preserve">provisions to authorise questioning following the laying of charges or after confiscation application proceedings have </w:t>
      </w:r>
      <w:r w:rsidR="00385C0A" w:rsidRPr="00AE0AD1">
        <w:rPr>
          <w:rFonts w:ascii="Open Sans" w:hAnsi="Open Sans" w:cs="Open Sans"/>
          <w:lang w:eastAsia="en-GB"/>
        </w:rPr>
        <w:lastRenderedPageBreak/>
        <w:t xml:space="preserve">commenced against a person who is the subject of questioning, or where charges or a </w:t>
      </w:r>
      <w:r>
        <w:rPr>
          <w:rFonts w:ascii="Open Sans" w:hAnsi="Open Sans" w:cs="Open Sans"/>
          <w:lang w:eastAsia="en-GB"/>
        </w:rPr>
        <w:t>‘</w:t>
      </w:r>
      <w:r w:rsidR="00385C0A" w:rsidRPr="00AE0AD1">
        <w:rPr>
          <w:rFonts w:ascii="Open Sans" w:hAnsi="Open Sans" w:cs="Open Sans"/>
          <w:lang w:eastAsia="en-GB"/>
        </w:rPr>
        <w:t>confiscation proceeding</w:t>
      </w:r>
      <w:r>
        <w:rPr>
          <w:rFonts w:ascii="Open Sans" w:hAnsi="Open Sans" w:cs="Open Sans"/>
          <w:lang w:eastAsia="en-GB"/>
        </w:rPr>
        <w:t>’</w:t>
      </w:r>
      <w:r w:rsidR="00385C0A" w:rsidRPr="00AE0AD1">
        <w:rPr>
          <w:rFonts w:ascii="Open Sans" w:hAnsi="Open Sans" w:cs="Open Sans"/>
          <w:lang w:eastAsia="en-GB"/>
        </w:rPr>
        <w:t xml:space="preserve"> are imminent against that person, and allows questioning to cover matters that are the subject of those charges or proceedings.</w:t>
      </w:r>
      <w:r w:rsidR="00385C0A" w:rsidRPr="00AE0AD1">
        <w:rPr>
          <w:rStyle w:val="EndnoteReference"/>
          <w:rFonts w:ascii="Open Sans" w:hAnsi="Open Sans" w:cs="Open Sans"/>
          <w:lang w:eastAsia="en-GB"/>
        </w:rPr>
        <w:endnoteReference w:id="75"/>
      </w:r>
      <w:r w:rsidR="00385C0A" w:rsidRPr="00AE0AD1">
        <w:rPr>
          <w:rFonts w:ascii="Open Sans" w:hAnsi="Open Sans" w:cs="Open Sans"/>
          <w:lang w:eastAsia="en-GB"/>
        </w:rPr>
        <w:t xml:space="preserve"> </w:t>
      </w:r>
      <w:r w:rsidR="00F57382">
        <w:rPr>
          <w:rFonts w:ascii="Open Sans" w:hAnsi="Open Sans" w:cs="Open Sans"/>
          <w:lang w:eastAsia="en-GB"/>
        </w:rPr>
        <w:t>The Bill would explicitly allow post-charge questioning material to be used to obtain ‘derivative material’.</w:t>
      </w:r>
      <w:r w:rsidR="00354656">
        <w:rPr>
          <w:rStyle w:val="EndnoteReference"/>
          <w:rFonts w:cs="Open Sans"/>
          <w:lang w:eastAsia="en-GB"/>
        </w:rPr>
        <w:endnoteReference w:id="76"/>
      </w:r>
    </w:p>
    <w:p w14:paraId="540C5174" w14:textId="5C50665C" w:rsidR="00841E53" w:rsidRPr="00AE0AD1" w:rsidRDefault="00841E53" w:rsidP="00255B7B">
      <w:pPr>
        <w:pStyle w:val="SubmissionNormal"/>
        <w:ind w:hanging="504"/>
        <w:rPr>
          <w:rFonts w:ascii="Open Sans" w:hAnsi="Open Sans" w:cs="Open Sans"/>
          <w:lang w:eastAsia="en-GB"/>
        </w:rPr>
      </w:pPr>
      <w:r>
        <w:rPr>
          <w:rFonts w:ascii="Open Sans" w:hAnsi="Open Sans" w:cs="Open Sans"/>
          <w:lang w:eastAsia="en-GB"/>
        </w:rPr>
        <w:t xml:space="preserve">The Bill contains some restrictions on the use and disclosure of ‘post-charge’ questioning material. </w:t>
      </w:r>
    </w:p>
    <w:p w14:paraId="2FE41637" w14:textId="1D98D4FF" w:rsidR="00385C0A" w:rsidRPr="00AE0AD1" w:rsidRDefault="00385C0A" w:rsidP="00255B7B">
      <w:pPr>
        <w:pStyle w:val="SubmissionNormal"/>
        <w:ind w:hanging="504"/>
        <w:rPr>
          <w:rFonts w:ascii="Open Sans" w:hAnsi="Open Sans" w:cs="Open Sans"/>
        </w:rPr>
      </w:pPr>
      <w:r w:rsidRPr="00AE0AD1">
        <w:rPr>
          <w:rFonts w:ascii="Open Sans" w:hAnsi="Open Sans" w:cs="Open Sans"/>
        </w:rPr>
        <w:t xml:space="preserve">The Bill provides that a prescribed authority would be required to give a direction limiting disclosure of information obtained under a </w:t>
      </w:r>
      <w:r w:rsidR="00E062E2">
        <w:rPr>
          <w:rFonts w:ascii="Open Sans" w:hAnsi="Open Sans" w:cs="Open Sans"/>
        </w:rPr>
        <w:t>QW</w:t>
      </w:r>
      <w:r w:rsidRPr="00AE0AD1">
        <w:rPr>
          <w:rFonts w:ascii="Open Sans" w:hAnsi="Open Sans" w:cs="Open Sans"/>
        </w:rPr>
        <w:t xml:space="preserve"> if satisfied that </w:t>
      </w:r>
      <w:r w:rsidR="24B34446" w:rsidRPr="00AE0AD1">
        <w:rPr>
          <w:rFonts w:ascii="Open Sans" w:hAnsi="Open Sans" w:cs="Open Sans"/>
        </w:rPr>
        <w:t>this action was</w:t>
      </w:r>
      <w:r w:rsidRPr="00AE0AD1">
        <w:rPr>
          <w:rFonts w:ascii="Open Sans" w:hAnsi="Open Sans" w:cs="Open Sans"/>
        </w:rPr>
        <w:t xml:space="preserve"> necessary </w:t>
      </w:r>
      <w:r w:rsidR="24B34446" w:rsidRPr="00AE0AD1">
        <w:rPr>
          <w:rFonts w:ascii="Open Sans" w:hAnsi="Open Sans" w:cs="Open Sans"/>
        </w:rPr>
        <w:t>to</w:t>
      </w:r>
      <w:r w:rsidRPr="00AE0AD1">
        <w:rPr>
          <w:rFonts w:ascii="Open Sans" w:hAnsi="Open Sans" w:cs="Open Sans"/>
        </w:rPr>
        <w:t xml:space="preserve">  protect the subject’s right to a fair trial, if the subject has been charged with a related offence or such a charge is imminent.</w:t>
      </w:r>
      <w:r w:rsidRPr="00AE0AD1">
        <w:rPr>
          <w:rStyle w:val="EndnoteReference"/>
          <w:rFonts w:ascii="Open Sans" w:hAnsi="Open Sans" w:cs="Open Sans"/>
        </w:rPr>
        <w:endnoteReference w:id="77"/>
      </w:r>
      <w:r w:rsidR="00973EE6">
        <w:rPr>
          <w:rFonts w:ascii="Open Sans" w:hAnsi="Open Sans" w:cs="Open Sans"/>
        </w:rPr>
        <w:t xml:space="preserve"> </w:t>
      </w:r>
    </w:p>
    <w:p w14:paraId="5C34FBBE" w14:textId="63850770" w:rsidR="00385C0A" w:rsidRPr="00AE0AD1" w:rsidRDefault="008F53A8" w:rsidP="00255B7B">
      <w:pPr>
        <w:pStyle w:val="SubmissionNormal"/>
        <w:ind w:hanging="504"/>
        <w:rPr>
          <w:rFonts w:ascii="Open Sans" w:hAnsi="Open Sans" w:cs="Open Sans"/>
        </w:rPr>
      </w:pPr>
      <w:r>
        <w:rPr>
          <w:rFonts w:ascii="Open Sans" w:hAnsi="Open Sans" w:cs="Open Sans"/>
        </w:rPr>
        <w:t>The Explanatory Memorandum states that the</w:t>
      </w:r>
      <w:r w:rsidR="00385C0A" w:rsidRPr="00AE0AD1">
        <w:rPr>
          <w:rFonts w:ascii="Open Sans" w:hAnsi="Open Sans" w:cs="Open Sans"/>
        </w:rPr>
        <w:t xml:space="preserve"> Bill </w:t>
      </w:r>
      <w:r w:rsidR="007A40A5">
        <w:rPr>
          <w:rFonts w:ascii="Open Sans" w:hAnsi="Open Sans" w:cs="Open Sans"/>
        </w:rPr>
        <w:t xml:space="preserve">would </w:t>
      </w:r>
      <w:r w:rsidR="00385C0A" w:rsidRPr="00AE0AD1">
        <w:rPr>
          <w:rFonts w:ascii="Open Sans" w:hAnsi="Open Sans" w:cs="Open Sans"/>
        </w:rPr>
        <w:t xml:space="preserve">allow for </w:t>
      </w:r>
      <w:r w:rsidR="00431E30">
        <w:rPr>
          <w:rFonts w:ascii="Open Sans" w:hAnsi="Open Sans" w:cs="Open Sans"/>
        </w:rPr>
        <w:t xml:space="preserve">‘post-charge’ disclosure of questioning material or derivative material to a prosecutor only following </w:t>
      </w:r>
      <w:r w:rsidR="00385C0A" w:rsidRPr="00AE0AD1">
        <w:rPr>
          <w:rFonts w:ascii="Open Sans" w:hAnsi="Open Sans" w:cs="Open Sans"/>
        </w:rPr>
        <w:t>a court order</w:t>
      </w:r>
      <w:r w:rsidR="00431E30">
        <w:rPr>
          <w:rFonts w:ascii="Open Sans" w:hAnsi="Open Sans" w:cs="Open Sans"/>
        </w:rPr>
        <w:t>, in circumstances where the</w:t>
      </w:r>
      <w:r w:rsidR="00385C0A" w:rsidRPr="00AE0AD1">
        <w:rPr>
          <w:rFonts w:ascii="Open Sans" w:hAnsi="Open Sans" w:cs="Open Sans"/>
        </w:rPr>
        <w:t xml:space="preserve"> court is satisfied that the disclosure is required in the interests of justice.</w:t>
      </w:r>
      <w:r w:rsidR="00385C0A" w:rsidRPr="00AE0AD1">
        <w:rPr>
          <w:rStyle w:val="EndnoteReference"/>
          <w:rFonts w:ascii="Open Sans" w:hAnsi="Open Sans" w:cs="Open Sans"/>
        </w:rPr>
        <w:endnoteReference w:id="78"/>
      </w:r>
      <w:r w:rsidR="00385C0A" w:rsidRPr="00AE0AD1">
        <w:rPr>
          <w:rFonts w:ascii="Open Sans" w:hAnsi="Open Sans" w:cs="Open Sans"/>
        </w:rPr>
        <w:t xml:space="preserve"> </w:t>
      </w:r>
    </w:p>
    <w:p w14:paraId="77AA97F7" w14:textId="0B300173" w:rsidR="00385C0A" w:rsidRPr="00AE0AD1" w:rsidRDefault="00385C0A" w:rsidP="00255B7B">
      <w:pPr>
        <w:pStyle w:val="SubmissionNormal"/>
        <w:ind w:hanging="504"/>
        <w:rPr>
          <w:rFonts w:ascii="Open Sans" w:hAnsi="Open Sans" w:cs="Open Sans"/>
        </w:rPr>
      </w:pPr>
      <w:r w:rsidRPr="00AE0AD1">
        <w:rPr>
          <w:rFonts w:ascii="Open Sans" w:hAnsi="Open Sans" w:cs="Open Sans"/>
        </w:rPr>
        <w:t xml:space="preserve">The Explanatory Memorandum to the Bill </w:t>
      </w:r>
      <w:r w:rsidR="00C51A04">
        <w:rPr>
          <w:rFonts w:ascii="Open Sans" w:hAnsi="Open Sans" w:cs="Open Sans"/>
        </w:rPr>
        <w:t>states</w:t>
      </w:r>
      <w:r w:rsidR="00C51A04" w:rsidRPr="00AE0AD1">
        <w:rPr>
          <w:rFonts w:ascii="Open Sans" w:hAnsi="Open Sans" w:cs="Open Sans"/>
        </w:rPr>
        <w:t xml:space="preserve"> </w:t>
      </w:r>
      <w:r w:rsidRPr="00AE0AD1">
        <w:rPr>
          <w:rFonts w:ascii="Open Sans" w:hAnsi="Open Sans" w:cs="Open Sans"/>
        </w:rPr>
        <w:t xml:space="preserve">that the objective of the </w:t>
      </w:r>
      <w:r w:rsidR="008F53A8">
        <w:rPr>
          <w:rFonts w:ascii="Open Sans" w:hAnsi="Open Sans" w:cs="Open Sans"/>
        </w:rPr>
        <w:t>post-charge questioning provisions</w:t>
      </w:r>
      <w:r w:rsidR="008F53A8" w:rsidRPr="00AE0AD1">
        <w:rPr>
          <w:rFonts w:ascii="Open Sans" w:hAnsi="Open Sans" w:cs="Open Sans"/>
        </w:rPr>
        <w:t xml:space="preserve"> </w:t>
      </w:r>
      <w:r w:rsidRPr="00AE0AD1">
        <w:rPr>
          <w:rFonts w:ascii="Open Sans" w:hAnsi="Open Sans" w:cs="Open Sans"/>
        </w:rPr>
        <w:t xml:space="preserve">is </w:t>
      </w:r>
      <w:r w:rsidR="00AE0AD1" w:rsidRPr="00AE0AD1">
        <w:rPr>
          <w:rFonts w:ascii="Open Sans" w:hAnsi="Open Sans" w:cs="Open Sans"/>
        </w:rPr>
        <w:t>‘</w:t>
      </w:r>
      <w:r w:rsidRPr="00AE0AD1">
        <w:rPr>
          <w:rFonts w:ascii="Open Sans" w:hAnsi="Open Sans" w:cs="Open Sans"/>
        </w:rPr>
        <w:t xml:space="preserve">to obtain information that is available in the mind of the person subject to a </w:t>
      </w:r>
      <w:r w:rsidR="00E062E2">
        <w:rPr>
          <w:rFonts w:ascii="Open Sans" w:hAnsi="Open Sans" w:cs="Open Sans"/>
        </w:rPr>
        <w:t>QW</w:t>
      </w:r>
      <w:r w:rsidRPr="00AE0AD1">
        <w:rPr>
          <w:rFonts w:ascii="Open Sans" w:hAnsi="Open Sans" w:cs="Open Sans"/>
        </w:rPr>
        <w:t xml:space="preserve"> in order to collect intelligence in relation to ongoing security threats</w:t>
      </w:r>
      <w:r w:rsidR="00AE0AD1" w:rsidRPr="00AE0AD1">
        <w:rPr>
          <w:rFonts w:ascii="Open Sans" w:hAnsi="Open Sans" w:cs="Open Sans"/>
        </w:rPr>
        <w:t>’</w:t>
      </w:r>
      <w:r w:rsidRPr="00AE0AD1">
        <w:rPr>
          <w:rFonts w:ascii="Open Sans" w:hAnsi="Open Sans" w:cs="Open Sans"/>
        </w:rPr>
        <w:t>.</w:t>
      </w:r>
      <w:r w:rsidRPr="00AE0AD1">
        <w:rPr>
          <w:rStyle w:val="EndnoteReference"/>
          <w:rFonts w:ascii="Open Sans" w:hAnsi="Open Sans" w:cs="Open Sans"/>
        </w:rPr>
        <w:endnoteReference w:id="79"/>
      </w:r>
      <w:r w:rsidRPr="00AE0AD1">
        <w:rPr>
          <w:rFonts w:ascii="Open Sans" w:hAnsi="Open Sans" w:cs="Open Sans"/>
        </w:rPr>
        <w:t xml:space="preserve"> The ability to question a person where they have been charged, or charges are imminent, </w:t>
      </w:r>
      <w:r w:rsidR="00AE0AD1" w:rsidRPr="00AE0AD1">
        <w:rPr>
          <w:rFonts w:ascii="Open Sans" w:hAnsi="Open Sans" w:cs="Open Sans"/>
        </w:rPr>
        <w:t>‘</w:t>
      </w:r>
      <w:r w:rsidRPr="00AE0AD1">
        <w:rPr>
          <w:rFonts w:ascii="Open Sans" w:hAnsi="Open Sans" w:cs="Open Sans"/>
        </w:rPr>
        <w:t>is necessary to achieve the legitimate aim of intelligence collection in light of the potential harm caused by ongoing security threats</w:t>
      </w:r>
      <w:r w:rsidR="33A9D8BF" w:rsidRPr="00AE0AD1">
        <w:rPr>
          <w:rFonts w:ascii="Open Sans" w:hAnsi="Open Sans" w:cs="Open Sans"/>
        </w:rPr>
        <w:t>’</w:t>
      </w:r>
      <w:r w:rsidRPr="00AE0AD1">
        <w:rPr>
          <w:rFonts w:ascii="Open Sans" w:hAnsi="Open Sans" w:cs="Open Sans"/>
        </w:rPr>
        <w:t>.</w:t>
      </w:r>
      <w:r w:rsidRPr="00AE0AD1">
        <w:rPr>
          <w:rStyle w:val="EndnoteReference"/>
          <w:rFonts w:ascii="Open Sans" w:hAnsi="Open Sans" w:cs="Open Sans"/>
        </w:rPr>
        <w:endnoteReference w:id="80"/>
      </w:r>
      <w:r w:rsidRPr="00AE0AD1">
        <w:rPr>
          <w:rFonts w:ascii="Open Sans" w:hAnsi="Open Sans" w:cs="Open Sans"/>
        </w:rPr>
        <w:t xml:space="preserve"> </w:t>
      </w:r>
    </w:p>
    <w:p w14:paraId="02D94E9F" w14:textId="4BB43ED7" w:rsidR="001C345F" w:rsidRDefault="00385C0A" w:rsidP="00255B7B">
      <w:pPr>
        <w:pStyle w:val="SubmissionNormal"/>
        <w:ind w:hanging="504"/>
        <w:rPr>
          <w:rFonts w:ascii="Open Sans" w:hAnsi="Open Sans" w:cs="Open Sans"/>
        </w:rPr>
      </w:pPr>
      <w:r w:rsidRPr="00973EE6">
        <w:rPr>
          <w:rFonts w:ascii="Open Sans" w:hAnsi="Open Sans" w:cs="Open Sans"/>
        </w:rPr>
        <w:t xml:space="preserve">The Explanatory Memorandum also asserts that the measures proposed are </w:t>
      </w:r>
      <w:r w:rsidR="00283C2C" w:rsidRPr="00973EE6">
        <w:rPr>
          <w:rFonts w:ascii="Open Sans" w:hAnsi="Open Sans" w:cs="Open Sans"/>
        </w:rPr>
        <w:t>‘</w:t>
      </w:r>
      <w:r w:rsidRPr="00973EE6">
        <w:rPr>
          <w:rFonts w:ascii="Open Sans" w:hAnsi="Open Sans" w:cs="Open Sans"/>
        </w:rPr>
        <w:t>the least rights restrictive means of achieving this necessary purpose</w:t>
      </w:r>
      <w:r w:rsidR="00283C2C" w:rsidRPr="00973EE6">
        <w:rPr>
          <w:rFonts w:ascii="Open Sans" w:hAnsi="Open Sans" w:cs="Open Sans"/>
        </w:rPr>
        <w:t>’</w:t>
      </w:r>
      <w:r w:rsidRPr="00973EE6">
        <w:rPr>
          <w:rFonts w:ascii="Open Sans" w:hAnsi="Open Sans" w:cs="Open Sans"/>
        </w:rPr>
        <w:t>,</w:t>
      </w:r>
      <w:r w:rsidRPr="00AE0AD1">
        <w:rPr>
          <w:rStyle w:val="EndnoteReference"/>
          <w:rFonts w:ascii="Open Sans" w:hAnsi="Open Sans" w:cs="Open Sans"/>
        </w:rPr>
        <w:endnoteReference w:id="81"/>
      </w:r>
      <w:r w:rsidRPr="00973EE6">
        <w:rPr>
          <w:rFonts w:ascii="Open Sans" w:hAnsi="Open Sans" w:cs="Open Sans"/>
        </w:rPr>
        <w:t xml:space="preserve"> </w:t>
      </w:r>
      <w:r w:rsidR="008F53A8" w:rsidRPr="00973EE6">
        <w:rPr>
          <w:rFonts w:ascii="Open Sans" w:hAnsi="Open Sans" w:cs="Open Sans"/>
        </w:rPr>
        <w:t>given that</w:t>
      </w:r>
      <w:r w:rsidRPr="00973EE6">
        <w:rPr>
          <w:rFonts w:ascii="Open Sans" w:hAnsi="Open Sans" w:cs="Open Sans"/>
        </w:rPr>
        <w:t xml:space="preserve"> </w:t>
      </w:r>
      <w:r w:rsidR="02F260D1" w:rsidRPr="00973EE6">
        <w:rPr>
          <w:rFonts w:ascii="Open Sans" w:hAnsi="Open Sans" w:cs="Open Sans"/>
        </w:rPr>
        <w:t>the</w:t>
      </w:r>
      <w:r w:rsidRPr="00973EE6">
        <w:rPr>
          <w:rFonts w:ascii="Open Sans" w:hAnsi="Open Sans" w:cs="Open Sans"/>
        </w:rPr>
        <w:t xml:space="preserve"> questioning material can only be disclosed to a prosecutor </w:t>
      </w:r>
      <w:r w:rsidR="00495590" w:rsidRPr="00973EE6">
        <w:rPr>
          <w:rFonts w:ascii="Open Sans" w:hAnsi="Open Sans" w:cs="Open Sans"/>
        </w:rPr>
        <w:t xml:space="preserve">post-charge </w:t>
      </w:r>
      <w:r w:rsidRPr="00973EE6">
        <w:rPr>
          <w:rFonts w:ascii="Open Sans" w:hAnsi="Open Sans" w:cs="Open Sans"/>
        </w:rPr>
        <w:t xml:space="preserve">under a court order, </w:t>
      </w:r>
      <w:r w:rsidR="00973EE6" w:rsidRPr="00973EE6">
        <w:rPr>
          <w:rFonts w:ascii="Open Sans" w:hAnsi="Open Sans" w:cs="Open Sans"/>
        </w:rPr>
        <w:t>and that there is a</w:t>
      </w:r>
      <w:r w:rsidRPr="00973EE6">
        <w:rPr>
          <w:rFonts w:ascii="Open Sans" w:hAnsi="Open Sans" w:cs="Open Sans"/>
        </w:rPr>
        <w:t xml:space="preserve"> criminal </w:t>
      </w:r>
      <w:r w:rsidR="00973EE6" w:rsidRPr="00973EE6">
        <w:rPr>
          <w:rFonts w:ascii="Open Sans" w:hAnsi="Open Sans" w:cs="Open Sans"/>
        </w:rPr>
        <w:t xml:space="preserve">use </w:t>
      </w:r>
      <w:r w:rsidRPr="00973EE6">
        <w:rPr>
          <w:rFonts w:ascii="Open Sans" w:hAnsi="Open Sans" w:cs="Open Sans"/>
        </w:rPr>
        <w:t>immunity under proposed section 34GD(6)</w:t>
      </w:r>
      <w:r w:rsidR="00973EE6">
        <w:rPr>
          <w:rFonts w:ascii="Open Sans" w:hAnsi="Open Sans" w:cs="Open Sans"/>
        </w:rPr>
        <w:t>.</w:t>
      </w:r>
      <w:r w:rsidRPr="00973EE6">
        <w:rPr>
          <w:rFonts w:ascii="Open Sans" w:hAnsi="Open Sans" w:cs="Open Sans"/>
        </w:rPr>
        <w:t xml:space="preserve"> Th</w:t>
      </w:r>
      <w:r w:rsidR="00973EE6">
        <w:rPr>
          <w:rFonts w:ascii="Open Sans" w:hAnsi="Open Sans" w:cs="Open Sans"/>
        </w:rPr>
        <w:t>at</w:t>
      </w:r>
      <w:r w:rsidRPr="00973EE6">
        <w:rPr>
          <w:rFonts w:ascii="Open Sans" w:hAnsi="Open Sans" w:cs="Open Sans"/>
        </w:rPr>
        <w:t xml:space="preserve"> section provides that, in general, </w:t>
      </w:r>
      <w:r w:rsidRPr="00973EE6">
        <w:rPr>
          <w:rFonts w:ascii="Open Sans" w:hAnsi="Open Sans" w:cs="Open Sans"/>
          <w:lang w:eastAsia="en-GB"/>
        </w:rPr>
        <w:t xml:space="preserve">anything said by the subject, or any record or thing produced by the subject, while appearing before a prescribed authority for questioning under </w:t>
      </w:r>
      <w:r w:rsidR="00973EE6">
        <w:rPr>
          <w:rFonts w:ascii="Open Sans" w:hAnsi="Open Sans" w:cs="Open Sans"/>
          <w:lang w:eastAsia="en-GB"/>
        </w:rPr>
        <w:t>a</w:t>
      </w:r>
      <w:r w:rsidR="00973EE6" w:rsidRPr="00973EE6">
        <w:rPr>
          <w:rFonts w:ascii="Open Sans" w:hAnsi="Open Sans" w:cs="Open Sans"/>
          <w:lang w:eastAsia="en-GB"/>
        </w:rPr>
        <w:t xml:space="preserve"> </w:t>
      </w:r>
      <w:r w:rsidRPr="00973EE6">
        <w:rPr>
          <w:rFonts w:ascii="Open Sans" w:hAnsi="Open Sans" w:cs="Open Sans"/>
          <w:lang w:eastAsia="en-GB"/>
        </w:rPr>
        <w:t>warrant</w:t>
      </w:r>
      <w:r w:rsidR="0BA36D59" w:rsidRPr="00973EE6">
        <w:rPr>
          <w:rFonts w:ascii="Open Sans" w:hAnsi="Open Sans" w:cs="Open Sans"/>
          <w:lang w:eastAsia="en-GB"/>
        </w:rPr>
        <w:t>,</w:t>
      </w:r>
      <w:r w:rsidR="00AE0AD1" w:rsidRPr="00973EE6">
        <w:rPr>
          <w:rFonts w:ascii="Open Sans" w:hAnsi="Open Sans" w:cs="Open Sans"/>
          <w:lang w:eastAsia="en-GB"/>
        </w:rPr>
        <w:t xml:space="preserve"> </w:t>
      </w:r>
      <w:r w:rsidRPr="00973EE6">
        <w:rPr>
          <w:rFonts w:ascii="Open Sans" w:hAnsi="Open Sans" w:cs="Open Sans"/>
          <w:lang w:eastAsia="en-GB"/>
        </w:rPr>
        <w:t>is not admissible in evidence against the subject in a criminal proceeding</w:t>
      </w:r>
      <w:r w:rsidRPr="00973EE6">
        <w:rPr>
          <w:rFonts w:ascii="Open Sans" w:hAnsi="Open Sans" w:cs="Open Sans"/>
        </w:rPr>
        <w:t>.</w:t>
      </w:r>
      <w:r w:rsidRPr="00AE0AD1">
        <w:rPr>
          <w:rStyle w:val="EndnoteReference"/>
          <w:rFonts w:ascii="Open Sans" w:hAnsi="Open Sans" w:cs="Open Sans"/>
        </w:rPr>
        <w:endnoteReference w:id="82"/>
      </w:r>
      <w:r w:rsidRPr="00973EE6">
        <w:rPr>
          <w:rFonts w:ascii="Open Sans" w:hAnsi="Open Sans" w:cs="Open Sans"/>
        </w:rPr>
        <w:t xml:space="preserve"> </w:t>
      </w:r>
      <w:r w:rsidR="00E16445">
        <w:rPr>
          <w:rFonts w:ascii="Open Sans" w:hAnsi="Open Sans" w:cs="Open Sans"/>
        </w:rPr>
        <w:t xml:space="preserve">That provision does not, however, render derivative evidence inadmissible. </w:t>
      </w:r>
    </w:p>
    <w:p w14:paraId="619C277F" w14:textId="4322DAD3" w:rsidR="00E51076" w:rsidRPr="00E16445" w:rsidRDefault="001C345F" w:rsidP="00255B7B">
      <w:pPr>
        <w:pStyle w:val="SubmissionNormal"/>
        <w:ind w:hanging="504"/>
        <w:rPr>
          <w:rFonts w:ascii="Open Sans" w:hAnsi="Open Sans" w:cs="Open Sans"/>
        </w:rPr>
      </w:pPr>
      <w:r>
        <w:rPr>
          <w:rFonts w:ascii="Open Sans" w:hAnsi="Open Sans" w:cs="Open Sans"/>
        </w:rPr>
        <w:t>In his 2012 Review of the current QW provisions, former</w:t>
      </w:r>
      <w:r w:rsidR="00E16445" w:rsidRPr="00E16445">
        <w:rPr>
          <w:rFonts w:ascii="Open Sans" w:hAnsi="Open Sans" w:cs="Open Sans"/>
        </w:rPr>
        <w:t xml:space="preserve"> INSL</w:t>
      </w:r>
      <w:r w:rsidR="002271FF">
        <w:rPr>
          <w:rFonts w:ascii="Open Sans" w:hAnsi="Open Sans" w:cs="Open Sans"/>
        </w:rPr>
        <w:t>M Mr</w:t>
      </w:r>
      <w:r w:rsidR="00E16445" w:rsidRPr="00E16445">
        <w:rPr>
          <w:rFonts w:ascii="Open Sans" w:hAnsi="Open Sans" w:cs="Open Sans"/>
        </w:rPr>
        <w:t xml:space="preserve"> Bret Walker SC</w:t>
      </w:r>
      <w:r w:rsidR="00E16445">
        <w:rPr>
          <w:rFonts w:ascii="Open Sans" w:hAnsi="Open Sans" w:cs="Open Sans"/>
        </w:rPr>
        <w:t>, wrote:</w:t>
      </w:r>
    </w:p>
    <w:p w14:paraId="54588BC3" w14:textId="4976BC08" w:rsidR="00385C0A" w:rsidRDefault="00385C0A" w:rsidP="001C6E2E">
      <w:pPr>
        <w:pStyle w:val="NormalWeb"/>
        <w:spacing w:before="0" w:after="120"/>
        <w:ind w:left="1440"/>
        <w:jc w:val="both"/>
        <w:rPr>
          <w:rFonts w:ascii="Open Sans" w:hAnsi="Open Sans" w:cs="Open Sans"/>
          <w:sz w:val="22"/>
          <w:szCs w:val="22"/>
        </w:rPr>
      </w:pPr>
      <w:r w:rsidRPr="00AE0AD1">
        <w:rPr>
          <w:rFonts w:ascii="Open Sans" w:hAnsi="Open Sans" w:cs="Open Sans"/>
          <w:sz w:val="22"/>
          <w:szCs w:val="22"/>
        </w:rPr>
        <w:t xml:space="preserve">To exert executive force against an accused person to compel answers incriminating him or her of the very matters for which he or she is facing </w:t>
      </w:r>
      <w:r w:rsidRPr="00AE0AD1">
        <w:rPr>
          <w:rFonts w:ascii="Open Sans" w:hAnsi="Open Sans" w:cs="Open Sans"/>
          <w:sz w:val="22"/>
          <w:szCs w:val="22"/>
        </w:rPr>
        <w:lastRenderedPageBreak/>
        <w:t>trial before the judicial power, constitutes a fundamental challenge to the capacity of the judicial power to ensure a fair trial. It would be a mockery of the standard trial judge’s direction to a jury that the accused is under no requirement to give evidence, if simultaneously a statute purported to require the accused to give answers that may be either tendered against the accused at the trial or may lead to other damaging material being tendered at the trial.</w:t>
      </w:r>
      <w:r w:rsidRPr="00AE0AD1">
        <w:rPr>
          <w:rStyle w:val="EndnoteReference"/>
          <w:rFonts w:ascii="Open Sans" w:hAnsi="Open Sans" w:cs="Open Sans"/>
          <w:sz w:val="22"/>
          <w:szCs w:val="22"/>
        </w:rPr>
        <w:endnoteReference w:id="83"/>
      </w:r>
      <w:r w:rsidRPr="00AE0AD1">
        <w:rPr>
          <w:rFonts w:ascii="Open Sans" w:hAnsi="Open Sans" w:cs="Open Sans"/>
          <w:sz w:val="22"/>
          <w:szCs w:val="22"/>
        </w:rPr>
        <w:t xml:space="preserve"> </w:t>
      </w:r>
    </w:p>
    <w:p w14:paraId="6B186B7A" w14:textId="6A2144D9" w:rsidR="001C345F" w:rsidRDefault="001C345F" w:rsidP="001C6E2E">
      <w:pPr>
        <w:pStyle w:val="NormalWeb"/>
        <w:spacing w:before="0" w:after="120"/>
        <w:ind w:left="1440"/>
        <w:jc w:val="both"/>
        <w:rPr>
          <w:rFonts w:ascii="Open Sans" w:hAnsi="Open Sans" w:cs="Open Sans"/>
          <w:sz w:val="22"/>
          <w:szCs w:val="22"/>
        </w:rPr>
      </w:pPr>
      <w:r>
        <w:rPr>
          <w:rFonts w:ascii="Open Sans" w:hAnsi="Open Sans" w:cs="Open Sans"/>
          <w:sz w:val="22"/>
          <w:szCs w:val="22"/>
        </w:rPr>
        <w:t>….</w:t>
      </w:r>
    </w:p>
    <w:p w14:paraId="03EA5240" w14:textId="12B46D3E" w:rsidR="001C345F" w:rsidRPr="00AE0AD1" w:rsidRDefault="001C345F" w:rsidP="001C6E2E">
      <w:pPr>
        <w:pStyle w:val="SubmissionNormal"/>
        <w:numPr>
          <w:ilvl w:val="0"/>
          <w:numId w:val="0"/>
        </w:numPr>
        <w:spacing w:before="0" w:after="120"/>
        <w:ind w:left="1440"/>
        <w:rPr>
          <w:rFonts w:ascii="Open Sans" w:hAnsi="Open Sans" w:cs="Open Sans"/>
          <w:sz w:val="22"/>
          <w:szCs w:val="22"/>
        </w:rPr>
      </w:pPr>
      <w:r>
        <w:rPr>
          <w:rFonts w:ascii="Open Sans" w:hAnsi="Open Sans" w:cs="Open Sans"/>
          <w:sz w:val="22"/>
          <w:szCs w:val="22"/>
        </w:rPr>
        <w:t>[T]</w:t>
      </w:r>
      <w:r w:rsidRPr="00AE0AD1">
        <w:rPr>
          <w:rFonts w:ascii="Open Sans" w:hAnsi="Open Sans" w:cs="Open Sans"/>
          <w:sz w:val="22"/>
          <w:szCs w:val="22"/>
        </w:rPr>
        <w:t>he lack of derivative use immunity leaves open the possibility of answers being compelled to questions in such a way as to arm a prosecution with information, insights and warnings about what might be called loosely the defence ‘case’. That would be of potential great disadvantage to a prosecution even without the tender of any such answers directly against the accused.</w:t>
      </w:r>
      <w:r w:rsidRPr="00AE0AD1">
        <w:rPr>
          <w:rStyle w:val="EndnoteReference"/>
          <w:rFonts w:ascii="Open Sans" w:hAnsi="Open Sans" w:cs="Open Sans"/>
          <w:sz w:val="22"/>
          <w:szCs w:val="22"/>
        </w:rPr>
        <w:endnoteReference w:id="84"/>
      </w:r>
    </w:p>
    <w:p w14:paraId="04CF76EE" w14:textId="4B0AF81B" w:rsidR="00385C0A" w:rsidRPr="005E7727" w:rsidRDefault="00385C0A" w:rsidP="00255B7B">
      <w:pPr>
        <w:pStyle w:val="SubmissionNormal"/>
        <w:ind w:hanging="504"/>
        <w:rPr>
          <w:rFonts w:ascii="Open Sans" w:hAnsi="Open Sans" w:cs="Open Sans"/>
        </w:rPr>
      </w:pPr>
      <w:r w:rsidRPr="00125CD0">
        <w:rPr>
          <w:rFonts w:ascii="Open Sans" w:hAnsi="Open Sans" w:cs="Open Sans"/>
        </w:rPr>
        <w:t xml:space="preserve">As a result, Mr Walker recommended that the </w:t>
      </w:r>
      <w:r w:rsidR="00E062E2">
        <w:rPr>
          <w:rFonts w:ascii="Open Sans" w:hAnsi="Open Sans" w:cs="Open Sans"/>
        </w:rPr>
        <w:t>QW</w:t>
      </w:r>
      <w:r w:rsidRPr="00125CD0">
        <w:rPr>
          <w:rFonts w:ascii="Open Sans" w:hAnsi="Open Sans" w:cs="Open Sans"/>
        </w:rPr>
        <w:t xml:space="preserve"> provisions be amended to make it clear that a person who has been charged with a criminal offence cannot be subject to questioning until </w:t>
      </w:r>
      <w:r w:rsidRPr="00125CD0">
        <w:rPr>
          <w:rFonts w:ascii="Open Sans" w:hAnsi="Open Sans" w:cs="Open Sans"/>
          <w:i/>
        </w:rPr>
        <w:t>the end</w:t>
      </w:r>
      <w:r w:rsidRPr="00125CD0">
        <w:rPr>
          <w:rFonts w:ascii="Open Sans" w:hAnsi="Open Sans" w:cs="Open Sans"/>
        </w:rPr>
        <w:t xml:space="preserve"> of their criminal trial.</w:t>
      </w:r>
      <w:r w:rsidR="00F77C26">
        <w:rPr>
          <w:rFonts w:ascii="Open Sans" w:hAnsi="Open Sans" w:cs="Open Sans"/>
        </w:rPr>
        <w:t xml:space="preserve"> </w:t>
      </w:r>
      <w:r w:rsidRPr="00125CD0">
        <w:rPr>
          <w:rFonts w:ascii="Open Sans" w:hAnsi="Open Sans" w:cs="Open Sans"/>
        </w:rPr>
        <w:t xml:space="preserve">The Commission supports this recommendation. </w:t>
      </w:r>
    </w:p>
    <w:p w14:paraId="14AE2854" w14:textId="77777777" w:rsidR="008F23A3" w:rsidRPr="008F23A3" w:rsidRDefault="008F23A3" w:rsidP="008F23A3">
      <w:pPr>
        <w:pStyle w:val="SubmissionNormal"/>
        <w:numPr>
          <w:ilvl w:val="0"/>
          <w:numId w:val="0"/>
        </w:numPr>
        <w:ind w:left="792"/>
        <w:rPr>
          <w:rFonts w:ascii="Open Sans" w:hAnsi="Open Sans" w:cs="Open Sans"/>
          <w:b/>
          <w:bCs/>
          <w:lang w:val="en-US"/>
        </w:rPr>
      </w:pPr>
      <w:r w:rsidRPr="008F23A3">
        <w:rPr>
          <w:rFonts w:ascii="Open Sans" w:hAnsi="Open Sans" w:cs="Open Sans"/>
          <w:b/>
          <w:bCs/>
          <w:lang w:val="en-US"/>
        </w:rPr>
        <w:t xml:space="preserve">Recommendation 8 </w:t>
      </w:r>
    </w:p>
    <w:p w14:paraId="7EDD0A4F" w14:textId="04BCB9EE" w:rsidR="008F23A3" w:rsidRPr="0015389B" w:rsidRDefault="008F23A3" w:rsidP="0015389B">
      <w:pPr>
        <w:pStyle w:val="SubmissionNormal"/>
        <w:numPr>
          <w:ilvl w:val="0"/>
          <w:numId w:val="0"/>
        </w:numPr>
        <w:ind w:left="792"/>
        <w:rPr>
          <w:rFonts w:ascii="Open Sans" w:hAnsi="Open Sans" w:cs="Open Sans"/>
          <w:lang w:val="en-US"/>
        </w:rPr>
      </w:pPr>
      <w:r w:rsidRPr="008F23A3">
        <w:rPr>
          <w:rFonts w:ascii="Open Sans" w:hAnsi="Open Sans" w:cs="Open Sans"/>
          <w:lang w:val="en-US"/>
        </w:rPr>
        <w:t>The provisions dealing with post-charge questioning should be amended to make it clear that a person who has been charged with a criminal offence cannot be subject to a QW until the end of their criminal trial.</w:t>
      </w:r>
    </w:p>
    <w:p w14:paraId="2597CC18" w14:textId="7EECEDEF" w:rsidR="00385C0A" w:rsidRPr="001C6E2E" w:rsidRDefault="00385C0A" w:rsidP="00385C0A">
      <w:pPr>
        <w:pStyle w:val="Heading1"/>
        <w:rPr>
          <w:rFonts w:ascii="Open Sans" w:hAnsi="Open Sans" w:cs="Open Sans"/>
        </w:rPr>
      </w:pPr>
      <w:bookmarkStart w:id="46" w:name="_Toc44496136"/>
      <w:r w:rsidRPr="001C6E2E">
        <w:rPr>
          <w:rFonts w:ascii="Open Sans" w:hAnsi="Open Sans" w:cs="Open Sans"/>
        </w:rPr>
        <w:t>Recommendations</w:t>
      </w:r>
      <w:bookmarkEnd w:id="46"/>
    </w:p>
    <w:p w14:paraId="264C69BE" w14:textId="78C9DBD9" w:rsidR="00385C0A" w:rsidRPr="001C6E2E" w:rsidRDefault="00385C0A" w:rsidP="00255B7B">
      <w:pPr>
        <w:pStyle w:val="SubmissionNormal"/>
        <w:ind w:hanging="504"/>
        <w:rPr>
          <w:rFonts w:ascii="Open Sans" w:hAnsi="Open Sans" w:cs="Open Sans"/>
        </w:rPr>
      </w:pPr>
      <w:r w:rsidRPr="001C6E2E">
        <w:rPr>
          <w:rFonts w:ascii="Open Sans" w:hAnsi="Open Sans" w:cs="Open Sans"/>
        </w:rPr>
        <w:t xml:space="preserve">For the reasons above, the Commission makes the following recommendations: </w:t>
      </w:r>
    </w:p>
    <w:p w14:paraId="1DCC8553" w14:textId="77777777" w:rsidR="006D7415" w:rsidRPr="006D7415" w:rsidRDefault="006D7415" w:rsidP="006D7415">
      <w:pPr>
        <w:pStyle w:val="SubmissionNormal"/>
        <w:numPr>
          <w:ilvl w:val="0"/>
          <w:numId w:val="0"/>
        </w:numPr>
        <w:ind w:left="331"/>
        <w:rPr>
          <w:rFonts w:ascii="Open Sans" w:hAnsi="Open Sans" w:cs="Open Sans"/>
          <w:b/>
          <w:bCs/>
        </w:rPr>
      </w:pPr>
      <w:r w:rsidRPr="006D7415">
        <w:rPr>
          <w:rFonts w:ascii="Open Sans" w:hAnsi="Open Sans" w:cs="Open Sans"/>
          <w:b/>
          <w:bCs/>
        </w:rPr>
        <w:t>Recommendation 1</w:t>
      </w:r>
    </w:p>
    <w:p w14:paraId="4A238350" w14:textId="77777777" w:rsidR="006D7415" w:rsidRPr="006D7415" w:rsidRDefault="006D7415" w:rsidP="006D7415">
      <w:pPr>
        <w:pStyle w:val="SubmissionNormal"/>
        <w:numPr>
          <w:ilvl w:val="0"/>
          <w:numId w:val="0"/>
        </w:numPr>
        <w:ind w:left="331"/>
        <w:rPr>
          <w:rFonts w:ascii="Open Sans" w:hAnsi="Open Sans" w:cs="Open Sans"/>
          <w:lang w:val="en-US"/>
        </w:rPr>
      </w:pPr>
      <w:r w:rsidRPr="006D7415">
        <w:rPr>
          <w:rFonts w:ascii="Open Sans" w:hAnsi="Open Sans" w:cs="Open Sans"/>
          <w:lang w:val="en-US"/>
        </w:rPr>
        <w:t xml:space="preserve">The provisions of the Bill that would repeal the questioning and detention warrant regime in the ASIO Act should be passed. However, the Bill should be amended to remove the proposed new questioning warrant regime. </w:t>
      </w:r>
    </w:p>
    <w:p w14:paraId="4F717CD0" w14:textId="77777777" w:rsidR="006D7415" w:rsidRPr="006D7415" w:rsidRDefault="006D7415" w:rsidP="00933D02">
      <w:pPr>
        <w:pStyle w:val="SubmissionNormal"/>
        <w:numPr>
          <w:ilvl w:val="0"/>
          <w:numId w:val="0"/>
        </w:numPr>
        <w:ind w:left="331"/>
        <w:rPr>
          <w:rFonts w:ascii="Open Sans" w:hAnsi="Open Sans" w:cs="Open Sans"/>
          <w:lang w:val="en-US"/>
        </w:rPr>
      </w:pPr>
      <w:r w:rsidRPr="006D7415">
        <w:rPr>
          <w:rFonts w:ascii="Open Sans" w:hAnsi="Open Sans" w:cs="Open Sans"/>
          <w:lang w:val="en-US"/>
        </w:rPr>
        <w:t>If, contrary to Recommendation 1, the Bill includes a new questioning warrant regime, the Commission recommends that the Bill be amended as follows.</w:t>
      </w:r>
    </w:p>
    <w:p w14:paraId="4FCE0EDA" w14:textId="77777777" w:rsidR="006D7415" w:rsidRPr="006D7415" w:rsidRDefault="006D7415" w:rsidP="006D7415">
      <w:pPr>
        <w:pStyle w:val="SubmissionNormal"/>
        <w:numPr>
          <w:ilvl w:val="0"/>
          <w:numId w:val="0"/>
        </w:numPr>
        <w:ind w:left="331"/>
        <w:rPr>
          <w:rFonts w:ascii="Open Sans" w:hAnsi="Open Sans" w:cs="Open Sans"/>
          <w:b/>
          <w:bCs/>
          <w:lang w:val="en-US"/>
        </w:rPr>
      </w:pPr>
      <w:r w:rsidRPr="006D7415">
        <w:rPr>
          <w:rFonts w:ascii="Open Sans" w:hAnsi="Open Sans" w:cs="Open Sans"/>
          <w:b/>
          <w:bCs/>
          <w:lang w:val="en-US"/>
        </w:rPr>
        <w:t>Recommendation 2</w:t>
      </w:r>
    </w:p>
    <w:p w14:paraId="2F1CB27D" w14:textId="3B2DBDA7" w:rsidR="006D7415" w:rsidRPr="006D7415" w:rsidRDefault="00946F9E" w:rsidP="006D7415">
      <w:pPr>
        <w:pStyle w:val="SubmissionNormal"/>
        <w:numPr>
          <w:ilvl w:val="0"/>
          <w:numId w:val="0"/>
        </w:numPr>
        <w:ind w:left="331"/>
        <w:rPr>
          <w:rFonts w:ascii="Open Sans" w:hAnsi="Open Sans" w:cs="Open Sans"/>
        </w:rPr>
      </w:pPr>
      <w:r>
        <w:rPr>
          <w:rFonts w:ascii="Open Sans" w:hAnsi="Open Sans" w:cs="Open Sans"/>
        </w:rPr>
        <w:t>If the Bill proceeds, t</w:t>
      </w:r>
      <w:r w:rsidR="006D7415" w:rsidRPr="006D7415">
        <w:rPr>
          <w:rFonts w:ascii="Open Sans" w:hAnsi="Open Sans" w:cs="Open Sans"/>
        </w:rPr>
        <w:t>he provisions allowing for the immediate apprehension of the subject of a QW should be deleted.</w:t>
      </w:r>
    </w:p>
    <w:p w14:paraId="7AF83176" w14:textId="77777777" w:rsidR="006D7415" w:rsidRPr="006D7415" w:rsidRDefault="006D7415" w:rsidP="006D7415">
      <w:pPr>
        <w:pStyle w:val="SubmissionNormal"/>
        <w:numPr>
          <w:ilvl w:val="0"/>
          <w:numId w:val="0"/>
        </w:numPr>
        <w:ind w:left="331"/>
        <w:rPr>
          <w:rFonts w:ascii="Open Sans" w:hAnsi="Open Sans" w:cs="Open Sans"/>
          <w:b/>
          <w:bCs/>
          <w:lang w:val="en-US"/>
        </w:rPr>
      </w:pPr>
      <w:r w:rsidRPr="006D7415">
        <w:rPr>
          <w:rFonts w:ascii="Open Sans" w:hAnsi="Open Sans" w:cs="Open Sans"/>
          <w:b/>
          <w:bCs/>
          <w:lang w:val="en-US"/>
        </w:rPr>
        <w:lastRenderedPageBreak/>
        <w:t>Recommendation 3</w:t>
      </w:r>
    </w:p>
    <w:p w14:paraId="1E8E63B8" w14:textId="77777777" w:rsidR="006D7415" w:rsidRPr="006D7415" w:rsidRDefault="006D7415" w:rsidP="006D7415">
      <w:pPr>
        <w:pStyle w:val="SubmissionNormal"/>
        <w:numPr>
          <w:ilvl w:val="0"/>
          <w:numId w:val="0"/>
        </w:numPr>
        <w:ind w:left="331"/>
        <w:rPr>
          <w:rFonts w:ascii="Open Sans" w:hAnsi="Open Sans" w:cs="Open Sans"/>
          <w:b/>
          <w:bCs/>
        </w:rPr>
      </w:pPr>
      <w:r w:rsidRPr="006D7415">
        <w:rPr>
          <w:rFonts w:ascii="Open Sans" w:hAnsi="Open Sans" w:cs="Open Sans"/>
          <w:lang w:val="en-US"/>
        </w:rPr>
        <w:t xml:space="preserve">There should be no expansion in the kinds of intelligence which can be sought under a QW. That is, a QW should only be able to be issued where </w:t>
      </w:r>
      <w:r w:rsidRPr="006D7415">
        <w:rPr>
          <w:rFonts w:ascii="Open Sans" w:hAnsi="Open Sans" w:cs="Open Sans"/>
        </w:rPr>
        <w:t>the issuing authority is satisfied that there are reasonable grounds for believing that the warrant will substantially assist the collection of intelligence that is important in relation to a terrorism offence.</w:t>
      </w:r>
    </w:p>
    <w:p w14:paraId="57945A64" w14:textId="77777777" w:rsidR="006D7415" w:rsidRPr="006D7415" w:rsidRDefault="006D7415" w:rsidP="006D7415">
      <w:pPr>
        <w:pStyle w:val="SubmissionNormal"/>
        <w:numPr>
          <w:ilvl w:val="0"/>
          <w:numId w:val="0"/>
        </w:numPr>
        <w:ind w:left="331"/>
        <w:rPr>
          <w:rFonts w:ascii="Open Sans" w:hAnsi="Open Sans" w:cs="Open Sans"/>
          <w:b/>
          <w:bCs/>
          <w:lang w:val="en-US"/>
        </w:rPr>
      </w:pPr>
      <w:r w:rsidRPr="006D7415">
        <w:rPr>
          <w:rFonts w:ascii="Open Sans" w:hAnsi="Open Sans" w:cs="Open Sans"/>
          <w:b/>
          <w:bCs/>
        </w:rPr>
        <w:t>Recommendation 4</w:t>
      </w:r>
    </w:p>
    <w:p w14:paraId="715C9248" w14:textId="77777777" w:rsidR="006D7415" w:rsidRPr="006D7415" w:rsidRDefault="006D7415" w:rsidP="006D7415">
      <w:pPr>
        <w:pStyle w:val="SubmissionNormal"/>
        <w:numPr>
          <w:ilvl w:val="0"/>
          <w:numId w:val="0"/>
        </w:numPr>
        <w:ind w:left="331"/>
        <w:rPr>
          <w:rFonts w:ascii="Open Sans" w:hAnsi="Open Sans" w:cs="Open Sans"/>
          <w:lang w:val="en-US"/>
        </w:rPr>
      </w:pPr>
      <w:r w:rsidRPr="006D7415">
        <w:rPr>
          <w:rFonts w:ascii="Open Sans" w:hAnsi="Open Sans" w:cs="Open Sans"/>
          <w:lang w:val="en-US"/>
        </w:rPr>
        <w:t xml:space="preserve">The current provisions in the ASIO Act requiring that QWs be issued by an issuing authority on receipt of an application made by the Director-General of ASIO and approved by the Attorney-General should be maintained. There should be no change to the current requirement that issuing authorities for warrants be </w:t>
      </w:r>
      <w:r w:rsidRPr="006D7415">
        <w:rPr>
          <w:rFonts w:ascii="Open Sans" w:hAnsi="Open Sans" w:cs="Open Sans"/>
        </w:rPr>
        <w:t xml:space="preserve">judges acting as personae </w:t>
      </w:r>
      <w:proofErr w:type="spellStart"/>
      <w:r w:rsidRPr="006D7415">
        <w:rPr>
          <w:rFonts w:ascii="Open Sans" w:hAnsi="Open Sans" w:cs="Open Sans"/>
        </w:rPr>
        <w:t>designata</w:t>
      </w:r>
      <w:proofErr w:type="spellEnd"/>
      <w:r w:rsidRPr="006D7415">
        <w:rPr>
          <w:rFonts w:ascii="Open Sans" w:hAnsi="Open Sans" w:cs="Open Sans"/>
        </w:rPr>
        <w:t>.</w:t>
      </w:r>
    </w:p>
    <w:p w14:paraId="0764B9D6" w14:textId="77777777" w:rsidR="006D7415" w:rsidRPr="006D7415" w:rsidRDefault="006D7415" w:rsidP="006D7415">
      <w:pPr>
        <w:pStyle w:val="SubmissionNormal"/>
        <w:numPr>
          <w:ilvl w:val="0"/>
          <w:numId w:val="0"/>
        </w:numPr>
        <w:ind w:left="331"/>
        <w:rPr>
          <w:rFonts w:ascii="Open Sans" w:hAnsi="Open Sans" w:cs="Open Sans"/>
          <w:b/>
          <w:bCs/>
        </w:rPr>
      </w:pPr>
      <w:r w:rsidRPr="006D7415">
        <w:rPr>
          <w:rFonts w:ascii="Open Sans" w:hAnsi="Open Sans" w:cs="Open Sans"/>
          <w:b/>
          <w:bCs/>
        </w:rPr>
        <w:t>Recommendation 5</w:t>
      </w:r>
    </w:p>
    <w:p w14:paraId="3E3A0CF3" w14:textId="77777777" w:rsidR="006D7415" w:rsidRPr="006D7415" w:rsidRDefault="006D7415" w:rsidP="006D7415">
      <w:pPr>
        <w:pStyle w:val="SubmissionNormal"/>
        <w:numPr>
          <w:ilvl w:val="0"/>
          <w:numId w:val="0"/>
        </w:numPr>
        <w:ind w:left="331"/>
        <w:rPr>
          <w:rFonts w:ascii="Open Sans" w:hAnsi="Open Sans" w:cs="Open Sans"/>
          <w:lang w:val="en-US"/>
        </w:rPr>
      </w:pPr>
      <w:r w:rsidRPr="006D7415">
        <w:rPr>
          <w:rFonts w:ascii="Open Sans" w:hAnsi="Open Sans" w:cs="Open Sans"/>
          <w:lang w:val="en-US"/>
        </w:rPr>
        <w:t xml:space="preserve">The minimum age for subjects of QWs should not be lowered from 16 to 14. </w:t>
      </w:r>
    </w:p>
    <w:p w14:paraId="540FA7AF" w14:textId="77777777" w:rsidR="006D7415" w:rsidRPr="006D7415" w:rsidRDefault="006D7415" w:rsidP="006D7415">
      <w:pPr>
        <w:pStyle w:val="SubmissionNormal"/>
        <w:numPr>
          <w:ilvl w:val="0"/>
          <w:numId w:val="0"/>
        </w:numPr>
        <w:ind w:left="331"/>
        <w:rPr>
          <w:rFonts w:ascii="Open Sans" w:hAnsi="Open Sans" w:cs="Open Sans"/>
          <w:b/>
          <w:bCs/>
          <w:lang w:val="en-US"/>
        </w:rPr>
      </w:pPr>
      <w:r w:rsidRPr="006D7415">
        <w:rPr>
          <w:rFonts w:ascii="Open Sans" w:hAnsi="Open Sans" w:cs="Open Sans"/>
          <w:b/>
          <w:bCs/>
          <w:lang w:val="en-US"/>
        </w:rPr>
        <w:t>Recommendation 6</w:t>
      </w:r>
    </w:p>
    <w:p w14:paraId="77A0C381" w14:textId="6012BD34" w:rsidR="006D7415" w:rsidRPr="006D7415" w:rsidRDefault="00946F9E" w:rsidP="006D7415">
      <w:pPr>
        <w:pStyle w:val="SubmissionNormal"/>
        <w:numPr>
          <w:ilvl w:val="0"/>
          <w:numId w:val="0"/>
        </w:numPr>
        <w:ind w:left="331"/>
        <w:rPr>
          <w:rFonts w:ascii="Open Sans" w:hAnsi="Open Sans" w:cs="Open Sans"/>
          <w:lang w:val="en-US"/>
        </w:rPr>
      </w:pPr>
      <w:r>
        <w:rPr>
          <w:rFonts w:ascii="Open Sans" w:hAnsi="Open Sans" w:cs="Open Sans"/>
          <w:lang w:val="en-US"/>
        </w:rPr>
        <w:t>If the Bill proceeds, t</w:t>
      </w:r>
      <w:r w:rsidR="006D7415" w:rsidRPr="006D7415">
        <w:rPr>
          <w:rFonts w:ascii="Open Sans" w:hAnsi="Open Sans" w:cs="Open Sans"/>
          <w:lang w:val="en-US"/>
        </w:rPr>
        <w:t>he provisions that relax the current eligibility requirements for ‘prescribed authorities’ should be deleted.</w:t>
      </w:r>
    </w:p>
    <w:p w14:paraId="6D793162" w14:textId="77777777" w:rsidR="006D7415" w:rsidRPr="006D7415" w:rsidRDefault="006D7415" w:rsidP="006D7415">
      <w:pPr>
        <w:pStyle w:val="SubmissionNormal"/>
        <w:numPr>
          <w:ilvl w:val="0"/>
          <w:numId w:val="0"/>
        </w:numPr>
        <w:ind w:left="331"/>
        <w:rPr>
          <w:rFonts w:ascii="Open Sans" w:hAnsi="Open Sans" w:cs="Open Sans"/>
          <w:b/>
          <w:bCs/>
          <w:lang w:val="en-US"/>
        </w:rPr>
      </w:pPr>
      <w:r w:rsidRPr="006D7415">
        <w:rPr>
          <w:rFonts w:ascii="Open Sans" w:hAnsi="Open Sans" w:cs="Open Sans"/>
          <w:b/>
          <w:bCs/>
          <w:lang w:val="en-US"/>
        </w:rPr>
        <w:t>Recommendation 7</w:t>
      </w:r>
    </w:p>
    <w:p w14:paraId="5D6870D0" w14:textId="77777777" w:rsidR="006D7415" w:rsidRPr="006D7415" w:rsidRDefault="006D7415" w:rsidP="006D7415">
      <w:pPr>
        <w:pStyle w:val="SubmissionNormal"/>
        <w:numPr>
          <w:ilvl w:val="0"/>
          <w:numId w:val="0"/>
        </w:numPr>
        <w:ind w:left="331"/>
        <w:rPr>
          <w:rFonts w:ascii="Open Sans" w:hAnsi="Open Sans" w:cs="Open Sans"/>
          <w:lang w:val="en-US"/>
        </w:rPr>
      </w:pPr>
      <w:r w:rsidRPr="006D7415">
        <w:rPr>
          <w:rFonts w:ascii="Open Sans" w:hAnsi="Open Sans" w:cs="Open Sans"/>
          <w:lang w:val="en-US"/>
        </w:rPr>
        <w:t>Any person subject to a QW should be afforded the right to independent legal representation at all stages of the questioning process.</w:t>
      </w:r>
    </w:p>
    <w:p w14:paraId="0ABCD147" w14:textId="77777777" w:rsidR="006D7415" w:rsidRPr="006D7415" w:rsidRDefault="006D7415" w:rsidP="006D7415">
      <w:pPr>
        <w:pStyle w:val="SubmissionNormal"/>
        <w:numPr>
          <w:ilvl w:val="0"/>
          <w:numId w:val="0"/>
        </w:numPr>
        <w:ind w:left="331"/>
        <w:rPr>
          <w:rFonts w:ascii="Open Sans" w:hAnsi="Open Sans" w:cs="Open Sans"/>
          <w:b/>
          <w:bCs/>
          <w:lang w:val="en-US"/>
        </w:rPr>
      </w:pPr>
      <w:r w:rsidRPr="006D7415">
        <w:rPr>
          <w:rFonts w:ascii="Open Sans" w:hAnsi="Open Sans" w:cs="Open Sans"/>
          <w:b/>
          <w:bCs/>
          <w:lang w:val="en-US"/>
        </w:rPr>
        <w:t>Recommendation 8</w:t>
      </w:r>
    </w:p>
    <w:p w14:paraId="65DA6B24" w14:textId="2FA97B1A" w:rsidR="00B34946" w:rsidRPr="006D7415" w:rsidRDefault="006D7415" w:rsidP="002043C7">
      <w:pPr>
        <w:pStyle w:val="SubmissionNormal"/>
        <w:numPr>
          <w:ilvl w:val="0"/>
          <w:numId w:val="0"/>
        </w:numPr>
        <w:ind w:left="288"/>
        <w:rPr>
          <w:rFonts w:ascii="Open Sans" w:hAnsi="Open Sans" w:cs="Open Sans"/>
          <w:lang w:val="en-US"/>
        </w:rPr>
      </w:pPr>
      <w:r w:rsidRPr="006D7415">
        <w:rPr>
          <w:rFonts w:ascii="Open Sans" w:hAnsi="Open Sans" w:cs="Open Sans"/>
          <w:lang w:val="en-US"/>
        </w:rPr>
        <w:t>The provisions dealing with post-charge questioning should be amended to make it clear that a person who has been charged with a criminal offence cannot be subject to a QW until the end of their criminal trial.</w:t>
      </w:r>
    </w:p>
    <w:p w14:paraId="65DA6B2F" w14:textId="77777777" w:rsidR="00EB6A76" w:rsidRPr="00AE0AD1" w:rsidRDefault="00EB6A76" w:rsidP="00B63D24">
      <w:pPr>
        <w:rPr>
          <w:rFonts w:ascii="Open Sans" w:hAnsi="Open Sans" w:cs="Open Sans"/>
        </w:rPr>
      </w:pPr>
    </w:p>
    <w:sectPr w:rsidR="00EB6A76" w:rsidRPr="00AE0AD1" w:rsidSect="00B63D24">
      <w:headerReference w:type="even" r:id="rId20"/>
      <w:headerReference w:type="default" r:id="rId21"/>
      <w:footerReference w:type="default" r:id="rId22"/>
      <w:headerReference w:type="first" r:id="rId23"/>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8D15F" w14:textId="77777777" w:rsidR="00104D9F" w:rsidRDefault="00104D9F" w:rsidP="00F14C6D">
      <w:r>
        <w:separator/>
      </w:r>
    </w:p>
  </w:endnote>
  <w:endnote w:type="continuationSeparator" w:id="0">
    <w:p w14:paraId="4CB46FE7" w14:textId="77777777" w:rsidR="00104D9F" w:rsidRDefault="00104D9F" w:rsidP="00F14C6D">
      <w:r>
        <w:continuationSeparator/>
      </w:r>
    </w:p>
  </w:endnote>
  <w:endnote w:type="continuationNotice" w:id="1">
    <w:p w14:paraId="45F59A11" w14:textId="77777777" w:rsidR="00104D9F" w:rsidRDefault="00104D9F">
      <w:pPr>
        <w:spacing w:before="0" w:after="0"/>
      </w:pPr>
    </w:p>
  </w:endnote>
  <w:endnote w:id="2">
    <w:p w14:paraId="1E9D2F57" w14:textId="4E1E36B0" w:rsidR="0007041C" w:rsidRPr="00BF3111" w:rsidRDefault="0007041C">
      <w:pPr>
        <w:pStyle w:val="EndnoteText"/>
        <w:rPr>
          <w:rFonts w:cs="Arial"/>
          <w:lang w:val="en-US"/>
        </w:rPr>
      </w:pPr>
      <w:r w:rsidRPr="00BF3111">
        <w:rPr>
          <w:rStyle w:val="EndnoteReference"/>
          <w:rFonts w:cs="Arial"/>
        </w:rPr>
        <w:endnoteRef/>
      </w:r>
      <w:r w:rsidRPr="00BF3111">
        <w:rPr>
          <w:rFonts w:cs="Arial"/>
        </w:rPr>
        <w:t xml:space="preserve"> Explanatory Memorandum, Australian Security Intelligence Organisation Amendment Bill 2020 (</w:t>
      </w:r>
      <w:proofErr w:type="spellStart"/>
      <w:r w:rsidRPr="00BF3111">
        <w:rPr>
          <w:rFonts w:cs="Arial"/>
        </w:rPr>
        <w:t>Cth</w:t>
      </w:r>
      <w:proofErr w:type="spellEnd"/>
      <w:r w:rsidRPr="00BF3111">
        <w:rPr>
          <w:rFonts w:cs="Arial"/>
        </w:rPr>
        <w:t>) 2 [1].</w:t>
      </w:r>
    </w:p>
  </w:endnote>
  <w:endnote w:id="3">
    <w:p w14:paraId="1A888F7B" w14:textId="463EBCCA" w:rsidR="0007041C" w:rsidRPr="00BF3111" w:rsidRDefault="0007041C" w:rsidP="00EB23D1">
      <w:pPr>
        <w:pStyle w:val="NormalWeb"/>
        <w:spacing w:before="0" w:after="0"/>
        <w:rPr>
          <w:rFonts w:ascii="Arial" w:hAnsi="Arial" w:cs="Arial"/>
          <w:sz w:val="20"/>
          <w:szCs w:val="20"/>
          <w:lang w:eastAsia="en-GB"/>
        </w:rPr>
      </w:pPr>
      <w:r w:rsidRPr="00BF3111">
        <w:rPr>
          <w:rStyle w:val="EndnoteReference"/>
          <w:rFonts w:eastAsiaTheme="minorHAnsi" w:cs="Arial"/>
          <w:szCs w:val="20"/>
        </w:rPr>
        <w:endnoteRef/>
      </w:r>
      <w:r w:rsidRPr="00BF3111">
        <w:rPr>
          <w:rFonts w:ascii="Arial" w:hAnsi="Arial" w:cs="Arial"/>
          <w:sz w:val="20"/>
          <w:szCs w:val="20"/>
        </w:rPr>
        <w:t xml:space="preserve"> </w:t>
      </w:r>
      <w:r w:rsidRPr="00BF3111">
        <w:rPr>
          <w:rFonts w:ascii="Arial" w:hAnsi="Arial" w:cs="Arial"/>
          <w:sz w:val="20"/>
          <w:szCs w:val="20"/>
          <w:lang w:eastAsia="en-GB"/>
        </w:rPr>
        <w:t xml:space="preserve">Parliamentary Joint Committee on Intelligence and Security, Parliament of Australia, </w:t>
      </w:r>
      <w:hyperlink r:id="rId1" w:history="1">
        <w:r w:rsidRPr="00BF3111">
          <w:rPr>
            <w:rStyle w:val="Hyperlink"/>
            <w:rFonts w:ascii="Arial" w:hAnsi="Arial" w:cs="Arial"/>
            <w:i/>
            <w:iCs/>
            <w:sz w:val="20"/>
            <w:szCs w:val="20"/>
            <w:lang w:eastAsia="en-GB"/>
          </w:rPr>
          <w:t>Review of the operation, effectiveness and implications of Division 3 of Part III of the Australian Security Intelligence Organisation Act 1979</w:t>
        </w:r>
      </w:hyperlink>
      <w:r w:rsidRPr="00BF3111">
        <w:rPr>
          <w:rFonts w:ascii="Arial" w:hAnsi="Arial" w:cs="Arial"/>
          <w:i/>
          <w:iCs/>
          <w:sz w:val="20"/>
          <w:szCs w:val="20"/>
          <w:lang w:eastAsia="en-GB"/>
        </w:rPr>
        <w:t xml:space="preserve"> </w:t>
      </w:r>
      <w:r w:rsidRPr="00BF3111">
        <w:rPr>
          <w:rFonts w:ascii="Arial" w:hAnsi="Arial" w:cs="Arial"/>
          <w:sz w:val="20"/>
          <w:szCs w:val="20"/>
          <w:lang w:eastAsia="en-GB"/>
        </w:rPr>
        <w:t xml:space="preserve">(2018). </w:t>
      </w:r>
    </w:p>
  </w:endnote>
  <w:endnote w:id="4">
    <w:p w14:paraId="67D689A6" w14:textId="77777777" w:rsidR="00AE5F47" w:rsidRPr="00BF3111" w:rsidRDefault="00AE5F47" w:rsidP="00AE5F47">
      <w:pPr>
        <w:pStyle w:val="EndnoteText"/>
        <w:rPr>
          <w:rFonts w:cs="Arial"/>
        </w:rPr>
      </w:pPr>
      <w:r w:rsidRPr="00BF3111">
        <w:rPr>
          <w:rStyle w:val="EndnoteReference"/>
          <w:rFonts w:cs="Arial"/>
        </w:rPr>
        <w:endnoteRef/>
      </w:r>
      <w:r>
        <w:rPr>
          <w:rFonts w:cs="Arial"/>
        </w:rPr>
        <w:t xml:space="preserve"> </w:t>
      </w:r>
      <w:r>
        <w:t xml:space="preserve">The Commission has previously expressed concern about inadequate human rights protections in a number of existing provisions of the ASIO Act. See </w:t>
      </w:r>
      <w:r w:rsidRPr="00BF3111">
        <w:rPr>
          <w:rFonts w:cs="Arial"/>
        </w:rPr>
        <w:t>Australian Human Rights Commission</w:t>
      </w:r>
      <w:hyperlink r:id="rId2" w:history="1">
        <w:r w:rsidRPr="00BF3111">
          <w:rPr>
            <w:rStyle w:val="Hyperlink"/>
            <w:rFonts w:cs="Arial"/>
          </w:rPr>
          <w:t>, Submission No 10 to the Parliamentary Joint Committee on Intelligence and Security</w:t>
        </w:r>
      </w:hyperlink>
      <w:r w:rsidRPr="00BF3111">
        <w:rPr>
          <w:rFonts w:cs="Arial"/>
        </w:rPr>
        <w:t xml:space="preserve">, Parliament of Australia, </w:t>
      </w:r>
      <w:r w:rsidRPr="00BF3111">
        <w:rPr>
          <w:rFonts w:cs="Arial"/>
          <w:i/>
          <w:iCs/>
        </w:rPr>
        <w:t>Inquiry into the</w:t>
      </w:r>
      <w:r w:rsidRPr="00BF3111">
        <w:rPr>
          <w:rFonts w:cs="Arial"/>
        </w:rPr>
        <w:t xml:space="preserve"> </w:t>
      </w:r>
      <w:r w:rsidRPr="00BF3111">
        <w:rPr>
          <w:rFonts w:cs="Arial"/>
          <w:i/>
          <w:iCs/>
        </w:rPr>
        <w:t xml:space="preserve">Review of ASIO’s Questioning and Detention Powers, </w:t>
      </w:r>
      <w:r w:rsidRPr="00BF3111">
        <w:rPr>
          <w:rFonts w:cs="Arial"/>
        </w:rPr>
        <w:t>22 January 2018; Australian Human Rights Commission, Submission to the Independent National Security Legislation Monitor</w:t>
      </w:r>
      <w:r w:rsidRPr="00BF3111">
        <w:rPr>
          <w:rFonts w:cs="Arial"/>
          <w:i/>
          <w:iCs/>
        </w:rPr>
        <w:t>, Review of Counter-Terrorism and National Security Legislation</w:t>
      </w:r>
      <w:r w:rsidRPr="00BF3111">
        <w:rPr>
          <w:rFonts w:cs="Arial"/>
        </w:rPr>
        <w:t xml:space="preserve">, 14 September 2012. </w:t>
      </w:r>
    </w:p>
  </w:endnote>
  <w:endnote w:id="5">
    <w:p w14:paraId="6F5B937B" w14:textId="7F3EACD4" w:rsidR="0007041C" w:rsidRPr="00BF3111" w:rsidRDefault="0007041C" w:rsidP="00EB23D1">
      <w:pPr>
        <w:pStyle w:val="EndnoteText"/>
        <w:rPr>
          <w:rFonts w:cs="Arial"/>
        </w:rPr>
      </w:pPr>
      <w:r w:rsidRPr="00BF3111">
        <w:rPr>
          <w:rStyle w:val="EndnoteReference"/>
          <w:rFonts w:cs="Arial"/>
        </w:rPr>
        <w:endnoteRef/>
      </w:r>
      <w:r w:rsidRPr="00BF3111">
        <w:rPr>
          <w:rFonts w:cs="Arial"/>
        </w:rPr>
        <w:t xml:space="preserve"> Australian Human Rights Commission</w:t>
      </w:r>
      <w:hyperlink r:id="rId3" w:history="1">
        <w:r w:rsidRPr="00BF3111">
          <w:rPr>
            <w:rStyle w:val="Hyperlink"/>
            <w:rFonts w:cs="Arial"/>
          </w:rPr>
          <w:t>, Submission No 10 to the Parliamentary Joint Committee on Intelligence and Security</w:t>
        </w:r>
      </w:hyperlink>
      <w:r w:rsidRPr="00BF3111">
        <w:rPr>
          <w:rFonts w:cs="Arial"/>
        </w:rPr>
        <w:t xml:space="preserve">, Parliament of Australia, </w:t>
      </w:r>
      <w:r w:rsidRPr="00BF3111">
        <w:rPr>
          <w:rFonts w:cs="Arial"/>
          <w:i/>
          <w:iCs/>
        </w:rPr>
        <w:t>Inquiry into the</w:t>
      </w:r>
      <w:r w:rsidRPr="00BF3111">
        <w:rPr>
          <w:rFonts w:cs="Arial"/>
        </w:rPr>
        <w:t xml:space="preserve"> </w:t>
      </w:r>
      <w:r w:rsidRPr="00BF3111">
        <w:rPr>
          <w:rFonts w:cs="Arial"/>
          <w:i/>
          <w:iCs/>
        </w:rPr>
        <w:t xml:space="preserve">Review of ASIO’s Questioning and Detention Powers, </w:t>
      </w:r>
      <w:r w:rsidRPr="00BF3111">
        <w:rPr>
          <w:rFonts w:cs="Arial"/>
        </w:rPr>
        <w:t>22 January 2018.</w:t>
      </w:r>
    </w:p>
  </w:endnote>
  <w:endnote w:id="6">
    <w:p w14:paraId="2735D690" w14:textId="23F1ADE8" w:rsidR="0007041C" w:rsidRPr="00BF3111" w:rsidRDefault="0007041C" w:rsidP="00EB23D1">
      <w:pPr>
        <w:pStyle w:val="EndnoteText"/>
        <w:rPr>
          <w:rFonts w:cs="Arial"/>
        </w:rPr>
      </w:pPr>
      <w:r w:rsidRPr="00BF3111">
        <w:rPr>
          <w:rStyle w:val="EndnoteReference"/>
          <w:rFonts w:cs="Arial"/>
        </w:rPr>
        <w:endnoteRef/>
      </w:r>
      <w:r w:rsidRPr="00BF3111">
        <w:rPr>
          <w:rFonts w:cs="Arial"/>
        </w:rPr>
        <w:t xml:space="preserve"> Independent National Security Legislation Monitor, </w:t>
      </w:r>
      <w:r w:rsidRPr="00BF3111">
        <w:rPr>
          <w:rFonts w:cs="Arial"/>
          <w:i/>
          <w:iCs/>
        </w:rPr>
        <w:t xml:space="preserve">Declassified Annual Report: 20th December 2012 </w:t>
      </w:r>
      <w:r w:rsidRPr="00BF3111">
        <w:rPr>
          <w:rFonts w:cs="Arial"/>
        </w:rPr>
        <w:t xml:space="preserve">(2012), </w:t>
      </w:r>
      <w:proofErr w:type="spellStart"/>
      <w:r w:rsidRPr="00BF3111">
        <w:rPr>
          <w:rFonts w:cs="Arial"/>
        </w:rPr>
        <w:t>chs</w:t>
      </w:r>
      <w:proofErr w:type="spellEnd"/>
      <w:r w:rsidRPr="00BF3111">
        <w:rPr>
          <w:rFonts w:cs="Arial"/>
        </w:rPr>
        <w:t xml:space="preserve"> IV and V); Independent National Security Legislation Monitor, </w:t>
      </w:r>
      <w:hyperlink r:id="rId4" w:history="1">
        <w:r w:rsidRPr="00BF3111">
          <w:rPr>
            <w:rStyle w:val="Hyperlink"/>
            <w:rFonts w:cs="Arial"/>
            <w:i/>
            <w:iCs/>
          </w:rPr>
          <w:t>Certain Questioning and Detention Powers in Relation to Terrorism</w:t>
        </w:r>
      </w:hyperlink>
      <w:r w:rsidRPr="00BF3111">
        <w:rPr>
          <w:rFonts w:cs="Arial"/>
          <w:i/>
          <w:iCs/>
        </w:rPr>
        <w:t xml:space="preserve"> </w:t>
      </w:r>
      <w:r w:rsidRPr="00BF3111">
        <w:rPr>
          <w:rFonts w:cs="Arial"/>
        </w:rPr>
        <w:t>(2016), [9.1]-[9.10].</w:t>
      </w:r>
    </w:p>
  </w:endnote>
  <w:endnote w:id="7">
    <w:p w14:paraId="5E5B5D81" w14:textId="0551F47D" w:rsidR="0007041C" w:rsidRPr="00BF3111" w:rsidRDefault="0007041C">
      <w:pPr>
        <w:pStyle w:val="EndnoteText"/>
        <w:rPr>
          <w:rFonts w:cs="Arial"/>
          <w:lang w:val="en-US"/>
        </w:rPr>
      </w:pPr>
      <w:r w:rsidRPr="00BF3111">
        <w:rPr>
          <w:rStyle w:val="EndnoteReference"/>
          <w:rFonts w:cs="Arial"/>
        </w:rPr>
        <w:endnoteRef/>
      </w:r>
      <w:r w:rsidRPr="00BF3111">
        <w:rPr>
          <w:rFonts w:cs="Arial"/>
        </w:rPr>
        <w:t xml:space="preserve"> </w:t>
      </w:r>
      <w:r w:rsidRPr="00BF3111">
        <w:rPr>
          <w:rFonts w:eastAsia="Times New Roman" w:cs="Arial"/>
          <w:lang w:eastAsia="en-GB"/>
        </w:rPr>
        <w:t>Inspector-General of Intelligence and Security,</w:t>
      </w:r>
      <w:r w:rsidRPr="00BF3111">
        <w:rPr>
          <w:rFonts w:cs="Arial"/>
        </w:rPr>
        <w:t xml:space="preserve"> </w:t>
      </w:r>
      <w:hyperlink r:id="rId5" w:history="1">
        <w:r w:rsidRPr="00BF3111">
          <w:rPr>
            <w:rStyle w:val="Hyperlink"/>
            <w:rFonts w:cs="Arial"/>
          </w:rPr>
          <w:t>Submission No 1.2 to the Parliamentary Joint Committee on Intelligence and Security</w:t>
        </w:r>
      </w:hyperlink>
      <w:r w:rsidRPr="00BF3111">
        <w:rPr>
          <w:rFonts w:cs="Arial"/>
        </w:rPr>
        <w:t xml:space="preserve">, Parliament of Australia, </w:t>
      </w:r>
      <w:r w:rsidRPr="00BF3111">
        <w:rPr>
          <w:rFonts w:cs="Arial"/>
          <w:i/>
          <w:iCs/>
        </w:rPr>
        <w:t>Inquiry into the</w:t>
      </w:r>
      <w:r w:rsidRPr="00BF3111">
        <w:rPr>
          <w:rFonts w:cs="Arial"/>
        </w:rPr>
        <w:t xml:space="preserve"> </w:t>
      </w:r>
      <w:r w:rsidRPr="00BF3111">
        <w:rPr>
          <w:rFonts w:cs="Arial"/>
          <w:i/>
          <w:iCs/>
        </w:rPr>
        <w:t xml:space="preserve">Review of ASIO’s Questioning and Detention Powers, </w:t>
      </w:r>
      <w:r w:rsidRPr="00BF3111">
        <w:rPr>
          <w:rFonts w:cs="Arial"/>
        </w:rPr>
        <w:t>22 January 2018,</w:t>
      </w:r>
      <w:r w:rsidRPr="00BF3111">
        <w:rPr>
          <w:rFonts w:eastAsia="Times New Roman" w:cs="Arial"/>
          <w:lang w:eastAsia="en-GB"/>
        </w:rPr>
        <w:t xml:space="preserve"> 6.</w:t>
      </w:r>
    </w:p>
  </w:endnote>
  <w:endnote w:id="8">
    <w:p w14:paraId="18EE2EE9" w14:textId="77777777" w:rsidR="002E2FE7" w:rsidRPr="00BF3111" w:rsidRDefault="002E2FE7" w:rsidP="002E2FE7">
      <w:pPr>
        <w:pStyle w:val="EndnoteText"/>
        <w:rPr>
          <w:rFonts w:cs="Arial"/>
        </w:rPr>
      </w:pPr>
      <w:r w:rsidRPr="00BF3111">
        <w:rPr>
          <w:rStyle w:val="EndnoteReference"/>
          <w:rFonts w:cs="Arial"/>
        </w:rPr>
        <w:endnoteRef/>
      </w:r>
      <w:r w:rsidRPr="00BF3111">
        <w:rPr>
          <w:rFonts w:cs="Arial"/>
        </w:rPr>
        <w:t xml:space="preserve"> </w:t>
      </w:r>
      <w:r w:rsidRPr="00BF3111">
        <w:rPr>
          <w:rFonts w:cs="Arial"/>
          <w:i/>
        </w:rPr>
        <w:t xml:space="preserve">International Covenant on Civil and Political Rights, </w:t>
      </w:r>
      <w:r w:rsidRPr="00BF3111">
        <w:rPr>
          <w:rFonts w:cs="Arial"/>
        </w:rPr>
        <w:t>opened for signature 16 December 1966, 999 UNTS 171 (entered into force 23 March 1976).</w:t>
      </w:r>
    </w:p>
  </w:endnote>
  <w:endnote w:id="9">
    <w:p w14:paraId="048A56E6" w14:textId="77777777" w:rsidR="002E2FE7" w:rsidRPr="00BF3111" w:rsidRDefault="002E2FE7" w:rsidP="002E2FE7">
      <w:pPr>
        <w:pStyle w:val="EndnoteText"/>
        <w:rPr>
          <w:rFonts w:cs="Arial"/>
        </w:rPr>
      </w:pPr>
      <w:r w:rsidRPr="00BF3111">
        <w:rPr>
          <w:rStyle w:val="EndnoteReference"/>
          <w:rFonts w:cs="Arial"/>
        </w:rPr>
        <w:endnoteRef/>
      </w:r>
      <w:r w:rsidRPr="00BF3111">
        <w:rPr>
          <w:rFonts w:cs="Arial"/>
        </w:rPr>
        <w:t xml:space="preserve"> </w:t>
      </w:r>
      <w:r w:rsidRPr="00BF3111">
        <w:rPr>
          <w:rFonts w:cs="Arial"/>
          <w:i/>
          <w:iCs/>
        </w:rPr>
        <w:t xml:space="preserve">Convention on the Rights of the Child, </w:t>
      </w:r>
      <w:r w:rsidRPr="00BF3111">
        <w:rPr>
          <w:rFonts w:cs="Arial"/>
        </w:rPr>
        <w:t>opened for signature 20 November 1989, 1577 UNTS 3 (entered into force 2 September 1990).</w:t>
      </w:r>
    </w:p>
  </w:endnote>
  <w:endnote w:id="10">
    <w:p w14:paraId="4E726671" w14:textId="77777777" w:rsidR="0007041C" w:rsidRPr="00BF3111" w:rsidRDefault="0007041C" w:rsidP="00382A18">
      <w:pPr>
        <w:pStyle w:val="EndnoteText"/>
        <w:rPr>
          <w:rFonts w:cs="Arial"/>
        </w:rPr>
      </w:pPr>
      <w:r w:rsidRPr="00BF3111">
        <w:rPr>
          <w:rFonts w:cs="Arial"/>
        </w:rPr>
        <w:t xml:space="preserve">Commonwealth, </w:t>
      </w:r>
      <w:r w:rsidRPr="00BF3111">
        <w:rPr>
          <w:rFonts w:cs="Arial"/>
          <w:i/>
          <w:iCs/>
        </w:rPr>
        <w:t xml:space="preserve">Parliamentary Debates, </w:t>
      </w:r>
      <w:r w:rsidRPr="00BF3111">
        <w:rPr>
          <w:rFonts w:cs="Arial"/>
        </w:rPr>
        <w:t xml:space="preserve">House of Representatives, 21 March 2002, 1930 (Daryl Williams). </w:t>
      </w:r>
    </w:p>
  </w:endnote>
  <w:endnote w:id="11">
    <w:p w14:paraId="15D0CD87" w14:textId="77777777" w:rsidR="0007041C" w:rsidRPr="00BF3111" w:rsidRDefault="0007041C" w:rsidP="00382A18">
      <w:pPr>
        <w:pStyle w:val="EndnoteText"/>
        <w:rPr>
          <w:rFonts w:cs="Arial"/>
          <w:i/>
          <w:iCs/>
        </w:rPr>
      </w:pPr>
      <w:r w:rsidRPr="00BF3111">
        <w:rPr>
          <w:rStyle w:val="EndnoteReference"/>
          <w:rFonts w:cs="Arial"/>
        </w:rPr>
        <w:endnoteRef/>
      </w:r>
      <w:r w:rsidRPr="00BF3111">
        <w:rPr>
          <w:rFonts w:cs="Arial"/>
        </w:rPr>
        <w:t xml:space="preserve"> Parliamentary Joint Committee on ASIO, ASIS and DSD, </w:t>
      </w:r>
      <w:hyperlink r:id="rId6" w:history="1">
        <w:r w:rsidRPr="00BF3111">
          <w:rPr>
            <w:rStyle w:val="Hyperlink"/>
            <w:rFonts w:cs="Arial"/>
            <w:color w:val="auto"/>
          </w:rPr>
          <w:t>Review of the effectiveness and implications of the Australian Security Intelligence Organisation Act 1979</w:t>
        </w:r>
      </w:hyperlink>
      <w:r w:rsidRPr="00BF3111">
        <w:rPr>
          <w:rFonts w:cs="Arial"/>
          <w:i/>
          <w:iCs/>
        </w:rPr>
        <w:t xml:space="preserve"> </w:t>
      </w:r>
      <w:r w:rsidRPr="00BF3111">
        <w:rPr>
          <w:rFonts w:cs="Arial"/>
        </w:rPr>
        <w:t>(2005).</w:t>
      </w:r>
      <w:r w:rsidRPr="00BF3111">
        <w:rPr>
          <w:rFonts w:cs="Arial"/>
          <w:i/>
          <w:iCs/>
        </w:rPr>
        <w:t xml:space="preserve"> </w:t>
      </w:r>
    </w:p>
  </w:endnote>
  <w:endnote w:id="12">
    <w:p w14:paraId="06696AAB" w14:textId="25DAA21E" w:rsidR="0007041C" w:rsidRPr="00BF3111" w:rsidRDefault="0007041C" w:rsidP="00382A18">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Independent National Security Legislation Monitor, </w:t>
      </w:r>
      <w:hyperlink r:id="rId7" w:history="1">
        <w:r w:rsidRPr="00BF3111">
          <w:rPr>
            <w:rStyle w:val="Hyperlink"/>
            <w:rFonts w:ascii="Arial" w:hAnsi="Arial" w:cs="Arial"/>
            <w:i/>
            <w:iCs/>
            <w:sz w:val="20"/>
            <w:szCs w:val="20"/>
          </w:rPr>
          <w:t>Declassified Annual Report: 20th December 2012</w:t>
        </w:r>
      </w:hyperlink>
      <w:r w:rsidRPr="00BF3111">
        <w:rPr>
          <w:rFonts w:ascii="Arial" w:hAnsi="Arial" w:cs="Arial"/>
          <w:i/>
          <w:iCs/>
          <w:sz w:val="20"/>
          <w:szCs w:val="20"/>
        </w:rPr>
        <w:t xml:space="preserve"> </w:t>
      </w:r>
      <w:r w:rsidRPr="00BF3111">
        <w:rPr>
          <w:rFonts w:ascii="Arial" w:hAnsi="Arial" w:cs="Arial"/>
          <w:sz w:val="20"/>
          <w:szCs w:val="20"/>
        </w:rPr>
        <w:t>(2012).</w:t>
      </w:r>
    </w:p>
  </w:endnote>
  <w:endnote w:id="13">
    <w:p w14:paraId="152DE58F" w14:textId="1C40A4F1" w:rsidR="0007041C" w:rsidRPr="00BF3111" w:rsidRDefault="0007041C" w:rsidP="00382A18">
      <w:pPr>
        <w:pStyle w:val="NormalWeb"/>
        <w:spacing w:before="0" w:after="0"/>
        <w:rPr>
          <w:rFonts w:ascii="Arial" w:hAnsi="Arial" w:cs="Arial"/>
          <w:sz w:val="20"/>
          <w:szCs w:val="20"/>
          <w:lang w:eastAsia="en-GB"/>
        </w:rPr>
      </w:pPr>
      <w:r w:rsidRPr="00BF3111">
        <w:rPr>
          <w:rStyle w:val="EndnoteReference"/>
          <w:rFonts w:cs="Arial"/>
          <w:szCs w:val="20"/>
        </w:rPr>
        <w:endnoteRef/>
      </w:r>
      <w:r w:rsidRPr="00BF3111">
        <w:rPr>
          <w:rFonts w:ascii="Arial" w:hAnsi="Arial" w:cs="Arial"/>
          <w:sz w:val="20"/>
          <w:szCs w:val="20"/>
        </w:rPr>
        <w:t xml:space="preserve"> </w:t>
      </w:r>
      <w:r w:rsidRPr="00BF3111">
        <w:rPr>
          <w:rFonts w:ascii="Arial" w:hAnsi="Arial" w:cs="Arial"/>
          <w:sz w:val="20"/>
          <w:szCs w:val="20"/>
          <w:lang w:eastAsia="en-GB"/>
        </w:rPr>
        <w:t xml:space="preserve">Independent National Security Legislation Monitor, </w:t>
      </w:r>
      <w:hyperlink r:id="rId8" w:history="1">
        <w:r w:rsidRPr="00BF3111">
          <w:rPr>
            <w:rStyle w:val="Hyperlink"/>
            <w:rFonts w:ascii="Arial" w:hAnsi="Arial" w:cs="Arial"/>
            <w:i/>
            <w:iCs/>
            <w:sz w:val="20"/>
            <w:szCs w:val="20"/>
          </w:rPr>
          <w:t>Certain Questioning and Detention Powers in Relation to Terrorism</w:t>
        </w:r>
      </w:hyperlink>
      <w:r w:rsidRPr="00BF3111">
        <w:rPr>
          <w:rFonts w:ascii="Arial" w:hAnsi="Arial" w:cs="Arial"/>
          <w:i/>
          <w:iCs/>
          <w:sz w:val="20"/>
          <w:szCs w:val="20"/>
          <w:lang w:eastAsia="en-GB"/>
        </w:rPr>
        <w:t xml:space="preserve"> </w:t>
      </w:r>
      <w:r w:rsidRPr="00BF3111">
        <w:rPr>
          <w:rFonts w:ascii="Arial" w:hAnsi="Arial" w:cs="Arial"/>
          <w:sz w:val="20"/>
          <w:szCs w:val="20"/>
          <w:lang w:eastAsia="en-GB"/>
        </w:rPr>
        <w:t>(2016).</w:t>
      </w:r>
    </w:p>
  </w:endnote>
  <w:endnote w:id="14">
    <w:p w14:paraId="1CCC64B6" w14:textId="36AADB59" w:rsidR="0007041C" w:rsidRPr="00BF3111" w:rsidRDefault="0007041C" w:rsidP="00382A18">
      <w:pPr>
        <w:pStyle w:val="EndnoteText"/>
        <w:rPr>
          <w:rFonts w:cs="Arial"/>
        </w:rPr>
      </w:pPr>
      <w:r w:rsidRPr="00BF3111">
        <w:rPr>
          <w:rStyle w:val="EndnoteReference"/>
          <w:rFonts w:cs="Arial"/>
        </w:rPr>
        <w:endnoteRef/>
      </w:r>
      <w:r w:rsidRPr="00BF3111">
        <w:rPr>
          <w:rFonts w:cs="Arial"/>
        </w:rPr>
        <w:t xml:space="preserve"> Parliamentary Joint Committee on Intelligence and Security, </w:t>
      </w:r>
      <w:r w:rsidRPr="00BF3111">
        <w:rPr>
          <w:rFonts w:cs="Arial"/>
          <w:i/>
          <w:iCs/>
        </w:rPr>
        <w:t xml:space="preserve">Advisory Report on the Counter-Terrorism Legislation Amendment (Foreign Fighters) Bill 2014 </w:t>
      </w:r>
      <w:r w:rsidRPr="00BF3111">
        <w:rPr>
          <w:rFonts w:cs="Arial"/>
        </w:rPr>
        <w:t xml:space="preserve">(2014). </w:t>
      </w:r>
    </w:p>
  </w:endnote>
  <w:endnote w:id="15">
    <w:p w14:paraId="684051B6" w14:textId="77777777" w:rsidR="0007041C" w:rsidRPr="00BF3111" w:rsidRDefault="0007041C" w:rsidP="00382A18">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Independent National Security Legislation Monitor, </w:t>
      </w:r>
      <w:r w:rsidRPr="00BF3111">
        <w:rPr>
          <w:rFonts w:ascii="Arial" w:hAnsi="Arial" w:cs="Arial"/>
          <w:i/>
          <w:iCs/>
          <w:sz w:val="20"/>
          <w:szCs w:val="20"/>
        </w:rPr>
        <w:t>Certain Questioning and Detention Powers in Relation to Terrorism</w:t>
      </w:r>
      <w:r w:rsidRPr="00BF3111">
        <w:rPr>
          <w:rFonts w:ascii="Arial" w:hAnsi="Arial" w:cs="Arial"/>
          <w:sz w:val="20"/>
          <w:szCs w:val="20"/>
        </w:rPr>
        <w:t xml:space="preserve"> (2016) p.51. </w:t>
      </w:r>
    </w:p>
  </w:endnote>
  <w:endnote w:id="16">
    <w:p w14:paraId="068BAAC8" w14:textId="77777777" w:rsidR="0007041C" w:rsidRPr="00BF3111" w:rsidRDefault="0007041C" w:rsidP="00382A18">
      <w:pPr>
        <w:pStyle w:val="EndnoteText"/>
        <w:rPr>
          <w:rFonts w:cs="Arial"/>
        </w:rPr>
      </w:pPr>
      <w:r w:rsidRPr="00BF3111">
        <w:rPr>
          <w:rStyle w:val="EndnoteReference"/>
          <w:rFonts w:cs="Arial"/>
        </w:rPr>
        <w:endnoteRef/>
      </w:r>
      <w:r w:rsidRPr="00BF3111">
        <w:rPr>
          <w:rFonts w:cs="Arial"/>
        </w:rPr>
        <w:t xml:space="preserve"> 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p.5.</w:t>
      </w:r>
    </w:p>
  </w:endnote>
  <w:endnote w:id="17">
    <w:p w14:paraId="50FFF40F" w14:textId="4B25DA20" w:rsidR="0007041C" w:rsidRPr="00BF3111" w:rsidRDefault="0007041C">
      <w:pPr>
        <w:pStyle w:val="EndnoteText"/>
        <w:rPr>
          <w:rFonts w:cs="Arial"/>
          <w:lang w:val="en-US"/>
        </w:rPr>
      </w:pPr>
      <w:r w:rsidRPr="00BF3111">
        <w:rPr>
          <w:rStyle w:val="EndnoteReference"/>
          <w:rFonts w:cs="Arial"/>
        </w:rPr>
        <w:endnoteRef/>
      </w:r>
      <w:r w:rsidRPr="00BF3111">
        <w:rPr>
          <w:rFonts w:cs="Arial"/>
        </w:rPr>
        <w:t xml:space="preserve"> </w:t>
      </w:r>
      <w:r w:rsidRPr="00BF3111">
        <w:rPr>
          <w:rFonts w:cs="Arial"/>
          <w:i/>
          <w:iCs/>
          <w:color w:val="000000"/>
          <w:shd w:val="clear" w:color="auto" w:fill="FFFFFF"/>
        </w:rPr>
        <w:t>Independent National Security Legislation Monitor Act 2010</w:t>
      </w:r>
      <w:r w:rsidRPr="00BF3111">
        <w:rPr>
          <w:rFonts w:cs="Arial"/>
          <w:color w:val="000000"/>
          <w:shd w:val="clear" w:color="auto" w:fill="FFFFFF"/>
        </w:rPr>
        <w:t xml:space="preserve"> (</w:t>
      </w:r>
      <w:proofErr w:type="spellStart"/>
      <w:r w:rsidRPr="00BF3111">
        <w:rPr>
          <w:rFonts w:cs="Arial"/>
          <w:color w:val="000000"/>
          <w:shd w:val="clear" w:color="auto" w:fill="FFFFFF"/>
        </w:rPr>
        <w:t>Cth</w:t>
      </w:r>
      <w:proofErr w:type="spellEnd"/>
      <w:r w:rsidRPr="00BF3111">
        <w:rPr>
          <w:rFonts w:cs="Arial"/>
          <w:color w:val="000000"/>
          <w:shd w:val="clear" w:color="auto" w:fill="FFFFFF"/>
        </w:rPr>
        <w:t>) s</w:t>
      </w:r>
      <w:r w:rsidRPr="00BF3111">
        <w:rPr>
          <w:rFonts w:cs="Arial"/>
        </w:rPr>
        <w:t>6(b)(ii).</w:t>
      </w:r>
    </w:p>
  </w:endnote>
  <w:endnote w:id="18">
    <w:p w14:paraId="2933D072" w14:textId="6EC21035" w:rsidR="0007041C" w:rsidRPr="00BF3111" w:rsidRDefault="0007041C">
      <w:pPr>
        <w:pStyle w:val="EndnoteText"/>
        <w:rPr>
          <w:rFonts w:cs="Arial"/>
          <w:lang w:val="en-US"/>
        </w:rPr>
      </w:pPr>
      <w:r w:rsidRPr="00BF3111">
        <w:rPr>
          <w:rStyle w:val="EndnoteReference"/>
          <w:rFonts w:cs="Arial"/>
        </w:rPr>
        <w:endnoteRef/>
      </w:r>
      <w:r w:rsidRPr="00BF3111">
        <w:rPr>
          <w:rFonts w:cs="Arial"/>
        </w:rPr>
        <w:t xml:space="preserve"> Independent National Security Legislation Monitor, </w:t>
      </w:r>
      <w:hyperlink r:id="rId9" w:history="1">
        <w:r w:rsidRPr="00BF3111">
          <w:rPr>
            <w:rStyle w:val="Hyperlink"/>
            <w:rFonts w:cs="Arial"/>
            <w:i/>
            <w:iCs/>
          </w:rPr>
          <w:t>Certain Questioning and Detention Powers in Relation to Terrorism</w:t>
        </w:r>
      </w:hyperlink>
      <w:r w:rsidRPr="00BF3111">
        <w:rPr>
          <w:rFonts w:cs="Arial"/>
          <w:i/>
          <w:iCs/>
        </w:rPr>
        <w:t xml:space="preserve"> </w:t>
      </w:r>
      <w:r w:rsidRPr="00BF3111">
        <w:rPr>
          <w:rFonts w:cs="Arial"/>
        </w:rPr>
        <w:t>(2016), 55.</w:t>
      </w:r>
    </w:p>
  </w:endnote>
  <w:endnote w:id="19">
    <w:p w14:paraId="39474900" w14:textId="77777777" w:rsidR="0007041C" w:rsidRPr="00BF3111" w:rsidRDefault="0007041C" w:rsidP="00AA24C0">
      <w:pPr>
        <w:pStyle w:val="EndnoteText"/>
        <w:rPr>
          <w:rFonts w:cs="Arial"/>
        </w:rPr>
      </w:pPr>
      <w:r w:rsidRPr="00BF3111">
        <w:rPr>
          <w:rStyle w:val="EndnoteReference"/>
          <w:rFonts w:cs="Arial"/>
        </w:rPr>
        <w:endnoteRef/>
      </w:r>
      <w:r w:rsidRPr="00BF3111">
        <w:rPr>
          <w:rFonts w:cs="Arial"/>
        </w:rPr>
        <w:t xml:space="preserve"> See, for instance, UN High Commissioner for Human Rights, </w:t>
      </w:r>
      <w:r w:rsidRPr="00BF3111">
        <w:rPr>
          <w:rFonts w:cs="Arial"/>
          <w:i/>
          <w:iCs/>
        </w:rPr>
        <w:t xml:space="preserve">Human rights: a uniting framework </w:t>
      </w:r>
      <w:r w:rsidRPr="00BF3111">
        <w:rPr>
          <w:rFonts w:cs="Arial"/>
        </w:rPr>
        <w:t xml:space="preserve">– </w:t>
      </w:r>
      <w:r w:rsidRPr="00BF3111">
        <w:rPr>
          <w:rFonts w:cs="Arial"/>
          <w:i/>
          <w:iCs/>
        </w:rPr>
        <w:t xml:space="preserve">Report of the High Commissioner submitted pursuant to General Assembly resolution 48/141 </w:t>
      </w:r>
      <w:r w:rsidRPr="00BF3111">
        <w:rPr>
          <w:rFonts w:cs="Arial"/>
        </w:rPr>
        <w:t>UN Doc E/CN.4/2002/18 (27 February 2002), 17-18.</w:t>
      </w:r>
    </w:p>
  </w:endnote>
  <w:endnote w:id="20">
    <w:p w14:paraId="5D1A21BA" w14:textId="7FA94FD2"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Subdivision C of Division 3 of Part III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w:t>
      </w:r>
    </w:p>
  </w:endnote>
  <w:endnote w:id="21">
    <w:p w14:paraId="4E8CD4D4" w14:textId="1D6814F1"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34BA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 xml:space="preserve">). </w:t>
      </w:r>
    </w:p>
  </w:endnote>
  <w:endnote w:id="22">
    <w:p w14:paraId="0BCDB750" w14:textId="3CF81986"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 34BB(1)(b)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 xml:space="preserve">). </w:t>
      </w:r>
    </w:p>
  </w:endnote>
  <w:endnote w:id="23">
    <w:p w14:paraId="6DFE39EC" w14:textId="14F7F775"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 34A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w:t>
      </w:r>
    </w:p>
  </w:endnote>
  <w:endnote w:id="24">
    <w:p w14:paraId="2F64FC9F" w14:textId="3E41C44C" w:rsidR="0007041C" w:rsidRPr="00BF3111" w:rsidRDefault="0007041C" w:rsidP="00291B2D">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 34BE(2)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w:t>
      </w:r>
    </w:p>
  </w:endnote>
  <w:endnote w:id="25">
    <w:p w14:paraId="2BC8BAFE" w14:textId="07DD0BD0"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 34C(1)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w:t>
      </w:r>
    </w:p>
  </w:endnote>
  <w:endnote w:id="26">
    <w:p w14:paraId="4EBA6A34" w14:textId="461AE8E7" w:rsidR="0007041C" w:rsidRPr="00BF3111" w:rsidRDefault="0007041C" w:rsidP="005C6860">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 34C(1)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w:t>
      </w:r>
    </w:p>
  </w:endnote>
  <w:endnote w:id="27">
    <w:p w14:paraId="6089351D" w14:textId="1165C48E"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 34C(2)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w:t>
      </w:r>
    </w:p>
  </w:endnote>
  <w:endnote w:id="28">
    <w:p w14:paraId="0AC78CC7" w14:textId="08323EE0"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34C(4)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29">
    <w:p w14:paraId="24706FB5" w14:textId="0AA2CF33"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34CA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30">
    <w:p w14:paraId="087A3C30" w14:textId="22F3975E"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34BE(3)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31">
    <w:p w14:paraId="5463B136" w14:textId="7602C1B2"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34CD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32">
    <w:p w14:paraId="0F92522A"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UN Human Rights Committee, </w:t>
      </w:r>
      <w:r w:rsidRPr="00BF3111">
        <w:rPr>
          <w:rFonts w:cs="Arial"/>
          <w:i/>
          <w:iCs/>
        </w:rPr>
        <w:t xml:space="preserve">General Comment No 35: Article 9 – Liberty and Security of Person, </w:t>
      </w:r>
      <w:r w:rsidRPr="00BF3111">
        <w:rPr>
          <w:rFonts w:cs="Arial"/>
        </w:rPr>
        <w:t>112</w:t>
      </w:r>
      <w:r w:rsidRPr="00BF3111">
        <w:rPr>
          <w:rFonts w:cs="Arial"/>
          <w:vertAlign w:val="superscript"/>
        </w:rPr>
        <w:t>th</w:t>
      </w:r>
      <w:r w:rsidRPr="00BF3111">
        <w:rPr>
          <w:rFonts w:cs="Arial"/>
        </w:rPr>
        <w:t xml:space="preserve"> </w:t>
      </w:r>
      <w:proofErr w:type="spellStart"/>
      <w:r w:rsidRPr="00BF3111">
        <w:rPr>
          <w:rFonts w:cs="Arial"/>
        </w:rPr>
        <w:t>Sess</w:t>
      </w:r>
      <w:proofErr w:type="spellEnd"/>
      <w:r w:rsidRPr="00BF3111">
        <w:rPr>
          <w:rFonts w:cs="Arial"/>
        </w:rPr>
        <w:t>, UN Doc CCPR/C/35 (2014), [12].</w:t>
      </w:r>
    </w:p>
  </w:endnote>
  <w:endnote w:id="33">
    <w:p w14:paraId="7B66DE29"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IGIS Submission 1.2 (16 October 2017), 6. Being subject to involuntary transport by law enforcement officials amounts to detention. See UN </w:t>
      </w:r>
      <w:proofErr w:type="spellStart"/>
      <w:r w:rsidRPr="00BF3111">
        <w:rPr>
          <w:rFonts w:cs="Arial"/>
        </w:rPr>
        <w:t>UN</w:t>
      </w:r>
      <w:proofErr w:type="spellEnd"/>
      <w:r w:rsidRPr="00BF3111">
        <w:rPr>
          <w:rFonts w:cs="Arial"/>
        </w:rPr>
        <w:t xml:space="preserve"> Human Rights Committee</w:t>
      </w:r>
      <w:r w:rsidRPr="00BF3111">
        <w:rPr>
          <w:rFonts w:cs="Arial"/>
          <w:i/>
          <w:iCs/>
        </w:rPr>
        <w:t>, General Comment No. 35 Article 9 (Liberty and security of person)</w:t>
      </w:r>
      <w:r w:rsidRPr="00BF3111">
        <w:rPr>
          <w:rFonts w:cs="Arial"/>
        </w:rPr>
        <w:t xml:space="preserve">, 112th </w:t>
      </w:r>
      <w:proofErr w:type="spellStart"/>
      <w:r w:rsidRPr="00BF3111">
        <w:rPr>
          <w:rFonts w:cs="Arial"/>
        </w:rPr>
        <w:t>Sess</w:t>
      </w:r>
      <w:proofErr w:type="spellEnd"/>
      <w:r w:rsidRPr="00BF3111">
        <w:rPr>
          <w:rFonts w:cs="Arial"/>
        </w:rPr>
        <w:t>, UN Doc CCPR/C/GC/35 (2014), [5].</w:t>
      </w:r>
    </w:p>
  </w:endnote>
  <w:endnote w:id="34">
    <w:p w14:paraId="3465C0FC" w14:textId="77777777"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Ms Heather Cook, Acting Director-General of Security, ASIO Committee Hansard, Canberra, 16 June 2017, p. 20. </w:t>
      </w:r>
    </w:p>
  </w:endnote>
  <w:endnote w:id="35">
    <w:p w14:paraId="3EA94137" w14:textId="77777777" w:rsidR="00183019" w:rsidRPr="00BF3111" w:rsidRDefault="00183019" w:rsidP="00385C0A">
      <w:pPr>
        <w:pStyle w:val="EndnoteText"/>
        <w:rPr>
          <w:rFonts w:cs="Arial"/>
        </w:rPr>
      </w:pPr>
      <w:r w:rsidRPr="00BF3111">
        <w:rPr>
          <w:rStyle w:val="EndnoteReference"/>
          <w:rFonts w:cs="Arial"/>
        </w:rPr>
        <w:endnoteRef/>
      </w:r>
      <w:r w:rsidRPr="00BF3111">
        <w:rPr>
          <w:rFonts w:cs="Arial"/>
        </w:rPr>
        <w:t xml:space="preserve"> 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p.6.</w:t>
      </w:r>
    </w:p>
  </w:endnote>
  <w:endnote w:id="36">
    <w:p w14:paraId="7E37A142" w14:textId="341BE3DC"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Independent National Security Legislation Monitor, </w:t>
      </w:r>
      <w:hyperlink r:id="rId10" w:history="1">
        <w:r w:rsidRPr="00BF3111">
          <w:rPr>
            <w:rStyle w:val="Hyperlink"/>
            <w:rFonts w:ascii="Arial" w:hAnsi="Arial" w:cs="Arial"/>
            <w:i/>
            <w:iCs/>
            <w:sz w:val="20"/>
            <w:szCs w:val="20"/>
          </w:rPr>
          <w:t>Certain Questioning and Detention Powers in Relation to Terrorism</w:t>
        </w:r>
      </w:hyperlink>
      <w:r w:rsidRPr="00BF3111">
        <w:rPr>
          <w:rFonts w:ascii="Arial" w:hAnsi="Arial" w:cs="Arial"/>
          <w:i/>
          <w:iCs/>
          <w:sz w:val="20"/>
          <w:szCs w:val="20"/>
        </w:rPr>
        <w:t xml:space="preserve"> </w:t>
      </w:r>
      <w:r w:rsidRPr="00BF3111">
        <w:rPr>
          <w:rFonts w:ascii="Arial" w:hAnsi="Arial" w:cs="Arial"/>
          <w:sz w:val="20"/>
          <w:szCs w:val="20"/>
        </w:rPr>
        <w:t>(2016), [9.10].</w:t>
      </w:r>
    </w:p>
  </w:endnote>
  <w:endnote w:id="37">
    <w:p w14:paraId="5A6F5F4B" w14:textId="0ED542B4" w:rsidR="0007041C" w:rsidRPr="00BF3111" w:rsidRDefault="0007041C">
      <w:pPr>
        <w:pStyle w:val="EndnoteText"/>
        <w:rPr>
          <w:rFonts w:cs="Arial"/>
          <w:lang w:val="en-US"/>
        </w:rPr>
      </w:pPr>
      <w:r w:rsidRPr="00BF3111">
        <w:rPr>
          <w:rStyle w:val="EndnoteReference"/>
          <w:rFonts w:cs="Arial"/>
        </w:rPr>
        <w:endnoteRef/>
      </w:r>
      <w:r w:rsidRPr="00BF3111">
        <w:rPr>
          <w:rFonts w:cs="Arial"/>
        </w:rPr>
        <w:t xml:space="preserve"> Independent National Security Legislation Monitor, </w:t>
      </w:r>
      <w:hyperlink r:id="rId11" w:history="1">
        <w:r w:rsidRPr="00BF3111">
          <w:rPr>
            <w:rStyle w:val="Hyperlink"/>
            <w:rFonts w:cs="Arial"/>
            <w:i/>
            <w:iCs/>
          </w:rPr>
          <w:t>Certain Questioning and Detention Powers in Relation to Terrorism</w:t>
        </w:r>
      </w:hyperlink>
      <w:r w:rsidRPr="00BF3111">
        <w:rPr>
          <w:rFonts w:cs="Arial"/>
        </w:rPr>
        <w:t xml:space="preserve"> (2016), [9.10].</w:t>
      </w:r>
    </w:p>
  </w:endnote>
  <w:endnote w:id="38">
    <w:p w14:paraId="37326FB7" w14:textId="77777777"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Professor George Williams AO, Committee Hansard, Canberra, 16 June 2017, p.10. </w:t>
      </w:r>
    </w:p>
  </w:endnote>
  <w:endnote w:id="39">
    <w:p w14:paraId="24F49A5F"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Professor George Williams AO, Committee Hansard, Canberra, 16 June 2017, p.10..</w:t>
      </w:r>
    </w:p>
  </w:endnote>
  <w:endnote w:id="40">
    <w:p w14:paraId="56D2EEA6"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Explanatory Memorandum, Australian Security Intelligence Organisation Amendment Bill 2020 (</w:t>
      </w:r>
      <w:proofErr w:type="spellStart"/>
      <w:r w:rsidRPr="00BF3111">
        <w:rPr>
          <w:rFonts w:cs="Arial"/>
        </w:rPr>
        <w:t>Cth</w:t>
      </w:r>
      <w:proofErr w:type="spellEnd"/>
      <w:r w:rsidRPr="00BF3111">
        <w:rPr>
          <w:rFonts w:cs="Arial"/>
        </w:rPr>
        <w:t>) 5[10].</w:t>
      </w:r>
    </w:p>
  </w:endnote>
  <w:endnote w:id="41">
    <w:p w14:paraId="751A42B9"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Independent National Security Legislation Monitor, </w:t>
      </w:r>
      <w:r w:rsidRPr="00BF3111">
        <w:rPr>
          <w:rFonts w:cs="Arial"/>
          <w:i/>
          <w:iCs/>
        </w:rPr>
        <w:t xml:space="preserve">Certain Questioning and Detention Powers in Relation to Terrorism </w:t>
      </w:r>
      <w:r w:rsidRPr="00BF3111">
        <w:rPr>
          <w:rFonts w:cs="Arial"/>
        </w:rPr>
        <w:t>(2016), [9.10].</w:t>
      </w:r>
    </w:p>
  </w:endnote>
  <w:endnote w:id="42">
    <w:p w14:paraId="0B7EAD0B"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Australian Security Intelligence Organisation Amendment Bill 2020 cl 34BA. See also, the definition of ‘adult questioning matter’ at cl 34A.</w:t>
      </w:r>
    </w:p>
  </w:endnote>
  <w:endnote w:id="43">
    <w:p w14:paraId="15C13FF6"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p.11.</w:t>
      </w:r>
    </w:p>
  </w:endnote>
  <w:endnote w:id="44">
    <w:p w14:paraId="31BF865A"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w:t>
      </w:r>
      <w:r w:rsidRPr="00BF3111">
        <w:rPr>
          <w:rFonts w:eastAsia="Times New Roman" w:cs="Arial"/>
        </w:rPr>
        <w:t xml:space="preserve">Commonwealth, </w:t>
      </w:r>
      <w:r w:rsidRPr="00BF3111">
        <w:rPr>
          <w:rFonts w:eastAsia="Times New Roman" w:cs="Arial"/>
          <w:i/>
          <w:iCs/>
        </w:rPr>
        <w:t>Parliamentary Debates</w:t>
      </w:r>
      <w:r w:rsidRPr="00BF3111">
        <w:rPr>
          <w:rFonts w:eastAsia="Times New Roman" w:cs="Arial"/>
        </w:rPr>
        <w:t>, House of Representatives, 21 March 2002, 1932.</w:t>
      </w:r>
    </w:p>
  </w:endnote>
  <w:endnote w:id="45">
    <w:p w14:paraId="1B91F733"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Commonwealth, </w:t>
      </w:r>
      <w:r w:rsidRPr="00BF3111">
        <w:rPr>
          <w:rFonts w:cs="Arial"/>
          <w:i/>
          <w:iCs/>
        </w:rPr>
        <w:t>Parliamentary Debates</w:t>
      </w:r>
      <w:r w:rsidRPr="00BF3111">
        <w:rPr>
          <w:rFonts w:cs="Arial"/>
        </w:rPr>
        <w:t>, House of Representatives, 12 December 2002, 10 429 (Daryl Williams).</w:t>
      </w:r>
    </w:p>
  </w:endnote>
  <w:endnote w:id="46">
    <w:p w14:paraId="49C52476" w14:textId="640035D9" w:rsidR="0007041C" w:rsidRPr="00BF3111" w:rsidRDefault="0007041C" w:rsidP="00385C0A">
      <w:pPr>
        <w:pStyle w:val="EndnoteText"/>
        <w:rPr>
          <w:rFonts w:cs="Arial"/>
        </w:rPr>
      </w:pPr>
      <w:r w:rsidRPr="00BF3111">
        <w:rPr>
          <w:rStyle w:val="EndnoteReference"/>
          <w:rFonts w:cs="Arial"/>
        </w:rPr>
        <w:endnoteRef/>
      </w:r>
      <w:r w:rsidRPr="00BF3111">
        <w:rPr>
          <w:rFonts w:eastAsia="Times New Roman" w:cs="Arial"/>
          <w:lang w:eastAsia="en-GB"/>
        </w:rPr>
        <w:t>Inspector-General of Intelligence and Security,</w:t>
      </w:r>
      <w:r w:rsidRPr="00BF3111">
        <w:rPr>
          <w:rFonts w:cs="Arial"/>
        </w:rPr>
        <w:t xml:space="preserve"> </w:t>
      </w:r>
      <w:hyperlink r:id="rId12" w:history="1">
        <w:r w:rsidRPr="00BF3111">
          <w:rPr>
            <w:rStyle w:val="Hyperlink"/>
            <w:rFonts w:cs="Arial"/>
          </w:rPr>
          <w:t>Submission No 1.2 to the Parliamentary Joint Committee on Intelligence and Security</w:t>
        </w:r>
      </w:hyperlink>
      <w:r w:rsidRPr="00BF3111">
        <w:rPr>
          <w:rFonts w:cs="Arial"/>
        </w:rPr>
        <w:t xml:space="preserve">, Parliament of Australia, </w:t>
      </w:r>
      <w:r w:rsidRPr="00BF3111">
        <w:rPr>
          <w:rFonts w:cs="Arial"/>
          <w:i/>
          <w:iCs/>
        </w:rPr>
        <w:t>Inquiry into the</w:t>
      </w:r>
      <w:r w:rsidRPr="00BF3111">
        <w:rPr>
          <w:rFonts w:cs="Arial"/>
        </w:rPr>
        <w:t xml:space="preserve"> </w:t>
      </w:r>
      <w:r w:rsidRPr="00BF3111">
        <w:rPr>
          <w:rFonts w:cs="Arial"/>
          <w:i/>
          <w:iCs/>
        </w:rPr>
        <w:t xml:space="preserve">Review of ASIO’s Questioning and Detention Powers, </w:t>
      </w:r>
      <w:r w:rsidRPr="00BF3111">
        <w:rPr>
          <w:rFonts w:cs="Arial"/>
        </w:rPr>
        <w:t>22 January 2018, 2–3.</w:t>
      </w:r>
    </w:p>
  </w:endnote>
  <w:endnote w:id="47">
    <w:p w14:paraId="2B14A0E7" w14:textId="078A6C3B"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 34BA and s 34BB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w:t>
      </w:r>
    </w:p>
  </w:endnote>
  <w:endnote w:id="48">
    <w:p w14:paraId="516D962F" w14:textId="6466C123"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34BG(1)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49">
    <w:p w14:paraId="742761DD" w14:textId="550C5446"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34B(1)(b)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50">
    <w:p w14:paraId="40913680" w14:textId="65823A15" w:rsidR="00AE1FCA" w:rsidRPr="00AE1FCA" w:rsidRDefault="00AE1FCA">
      <w:pPr>
        <w:pStyle w:val="EndnoteText"/>
        <w:rPr>
          <w:lang w:val="en-US"/>
        </w:rPr>
      </w:pPr>
      <w:r>
        <w:rPr>
          <w:rStyle w:val="EndnoteReference"/>
        </w:rPr>
        <w:endnoteRef/>
      </w:r>
      <w:r>
        <w:t xml:space="preserve"> </w:t>
      </w:r>
      <w:r w:rsidRPr="00BF3111">
        <w:rPr>
          <w:rFonts w:cs="Arial"/>
        </w:rPr>
        <w:t>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w:t>
      </w:r>
      <w:r>
        <w:rPr>
          <w:rFonts w:cs="Arial"/>
        </w:rPr>
        <w:t>13</w:t>
      </w:r>
      <w:r w:rsidRPr="00BF3111">
        <w:rPr>
          <w:rFonts w:cs="Arial"/>
        </w:rPr>
        <w:t>.</w:t>
      </w:r>
    </w:p>
  </w:endnote>
  <w:endnote w:id="51">
    <w:p w14:paraId="25E23E7E"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p.8.</w:t>
      </w:r>
    </w:p>
  </w:endnote>
  <w:endnote w:id="52">
    <w:p w14:paraId="1EE3A77A" w14:textId="4512B4C3" w:rsidR="00C07C47" w:rsidRPr="00BF3111" w:rsidRDefault="00C07C47" w:rsidP="00C07C47">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Independent National Security Legislation Monitor, </w:t>
      </w:r>
      <w:r w:rsidRPr="00BF3111">
        <w:rPr>
          <w:rFonts w:ascii="Arial" w:hAnsi="Arial" w:cs="Arial"/>
          <w:i/>
          <w:iCs/>
          <w:sz w:val="20"/>
          <w:szCs w:val="20"/>
        </w:rPr>
        <w:t xml:space="preserve">Certain Questioning and Detention Powers in Relation to Terrorism </w:t>
      </w:r>
      <w:r w:rsidRPr="00BF3111">
        <w:rPr>
          <w:rFonts w:ascii="Arial" w:hAnsi="Arial" w:cs="Arial"/>
          <w:sz w:val="20"/>
          <w:szCs w:val="20"/>
        </w:rPr>
        <w:t>(2016), [9.1</w:t>
      </w:r>
      <w:r>
        <w:rPr>
          <w:rFonts w:ascii="Arial" w:hAnsi="Arial" w:cs="Arial"/>
          <w:sz w:val="20"/>
          <w:szCs w:val="20"/>
        </w:rPr>
        <w:t>9</w:t>
      </w:r>
      <w:r w:rsidRPr="00BF3111">
        <w:rPr>
          <w:rFonts w:ascii="Arial" w:hAnsi="Arial" w:cs="Arial"/>
          <w:sz w:val="20"/>
          <w:szCs w:val="20"/>
        </w:rPr>
        <w:t>]</w:t>
      </w:r>
      <w:r>
        <w:rPr>
          <w:rFonts w:ascii="Arial" w:hAnsi="Arial" w:cs="Arial"/>
          <w:sz w:val="20"/>
          <w:szCs w:val="20"/>
        </w:rPr>
        <w:t>.</w:t>
      </w:r>
    </w:p>
  </w:endnote>
  <w:endnote w:id="53">
    <w:p w14:paraId="73842E21" w14:textId="79AD77CD"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Independent National Security Legislation Monitor, </w:t>
      </w:r>
      <w:r w:rsidRPr="00BF3111">
        <w:rPr>
          <w:rFonts w:ascii="Arial" w:hAnsi="Arial" w:cs="Arial"/>
          <w:i/>
          <w:iCs/>
          <w:sz w:val="20"/>
          <w:szCs w:val="20"/>
        </w:rPr>
        <w:t xml:space="preserve">Certain Questioning and Detention Powers in Relation to Terrorism </w:t>
      </w:r>
      <w:r w:rsidRPr="00BF3111">
        <w:rPr>
          <w:rFonts w:ascii="Arial" w:hAnsi="Arial" w:cs="Arial"/>
          <w:sz w:val="20"/>
          <w:szCs w:val="20"/>
        </w:rPr>
        <w:t>(2016), [9.12]</w:t>
      </w:r>
      <w:r w:rsidR="00C07C47">
        <w:rPr>
          <w:rFonts w:ascii="Arial" w:hAnsi="Arial" w:cs="Arial"/>
          <w:sz w:val="20"/>
          <w:szCs w:val="20"/>
        </w:rPr>
        <w:t>.</w:t>
      </w:r>
    </w:p>
  </w:endnote>
  <w:endnote w:id="54">
    <w:p w14:paraId="30EA9755" w14:textId="6D7B942C"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w:t>
      </w:r>
      <w:r w:rsidRPr="00BF3111">
        <w:rPr>
          <w:rFonts w:eastAsia="Times New Roman" w:cs="Arial"/>
          <w:lang w:eastAsia="en-GB"/>
        </w:rPr>
        <w:t>Inspector-General of Intelligence and Security,</w:t>
      </w:r>
      <w:r w:rsidRPr="00BF3111">
        <w:rPr>
          <w:rFonts w:cs="Arial"/>
        </w:rPr>
        <w:t xml:space="preserve"> </w:t>
      </w:r>
      <w:hyperlink r:id="rId13" w:history="1">
        <w:r w:rsidRPr="00BF3111">
          <w:rPr>
            <w:rStyle w:val="Hyperlink"/>
            <w:rFonts w:cs="Arial"/>
          </w:rPr>
          <w:t>Submission No 1.2 to the Parliamentary Joint Committee on Intelligence and Security</w:t>
        </w:r>
      </w:hyperlink>
      <w:r w:rsidRPr="00BF3111">
        <w:rPr>
          <w:rFonts w:cs="Arial"/>
        </w:rPr>
        <w:t xml:space="preserve">, Parliament of Australia, </w:t>
      </w:r>
      <w:r w:rsidRPr="00BF3111">
        <w:rPr>
          <w:rFonts w:cs="Arial"/>
          <w:i/>
          <w:iCs/>
        </w:rPr>
        <w:t>Inquiry into the</w:t>
      </w:r>
      <w:r w:rsidRPr="00BF3111">
        <w:rPr>
          <w:rFonts w:cs="Arial"/>
        </w:rPr>
        <w:t xml:space="preserve"> </w:t>
      </w:r>
      <w:r w:rsidRPr="00BF3111">
        <w:rPr>
          <w:rFonts w:cs="Arial"/>
          <w:i/>
          <w:iCs/>
        </w:rPr>
        <w:t xml:space="preserve">Review of ASIO’s Questioning and Detention Powers, </w:t>
      </w:r>
      <w:r w:rsidRPr="00BF3111">
        <w:rPr>
          <w:rFonts w:cs="Arial"/>
        </w:rPr>
        <w:t>22 January 2018,</w:t>
      </w:r>
      <w:r w:rsidRPr="00BF3111">
        <w:rPr>
          <w:rFonts w:eastAsia="Times New Roman" w:cs="Arial"/>
          <w:lang w:eastAsia="en-GB"/>
        </w:rPr>
        <w:t xml:space="preserve"> 6.</w:t>
      </w:r>
    </w:p>
  </w:endnote>
  <w:endnote w:id="55">
    <w:p w14:paraId="32BC6EB9" w14:textId="5509E53C"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Proposed s 34BB(1) of the </w:t>
      </w:r>
      <w:r w:rsidRPr="00BF3111">
        <w:rPr>
          <w:rFonts w:ascii="Arial" w:hAnsi="Arial" w:cs="Arial"/>
          <w:i/>
          <w:iCs/>
          <w:sz w:val="20"/>
          <w:szCs w:val="20"/>
        </w:rPr>
        <w:t xml:space="preserve">Australian Security Intelligence Organisation Act 1979 </w:t>
      </w:r>
      <w:r w:rsidRPr="00BF3111">
        <w:rPr>
          <w:rFonts w:ascii="Arial" w:hAnsi="Arial" w:cs="Arial"/>
          <w:sz w:val="20"/>
          <w:szCs w:val="20"/>
        </w:rPr>
        <w:t>(</w:t>
      </w:r>
      <w:proofErr w:type="spellStart"/>
      <w:r w:rsidRPr="00BF3111">
        <w:rPr>
          <w:rFonts w:ascii="Arial" w:hAnsi="Arial" w:cs="Arial"/>
          <w:sz w:val="20"/>
          <w:szCs w:val="20"/>
        </w:rPr>
        <w:t>Cth</w:t>
      </w:r>
      <w:proofErr w:type="spellEnd"/>
      <w:r w:rsidRPr="00BF3111">
        <w:rPr>
          <w:rFonts w:ascii="Arial" w:hAnsi="Arial" w:cs="Arial"/>
          <w:sz w:val="20"/>
          <w:szCs w:val="20"/>
        </w:rPr>
        <w:t>).</w:t>
      </w:r>
    </w:p>
  </w:endnote>
  <w:endnote w:id="56">
    <w:p w14:paraId="676AA06A" w14:textId="5A1A4032" w:rsidR="0003402C" w:rsidRPr="0003402C" w:rsidRDefault="0003402C">
      <w:pPr>
        <w:pStyle w:val="EndnoteText"/>
        <w:rPr>
          <w:lang w:val="en-US"/>
        </w:rPr>
      </w:pPr>
      <w:r>
        <w:rPr>
          <w:rStyle w:val="EndnoteReference"/>
        </w:rPr>
        <w:endnoteRef/>
      </w:r>
      <w:r>
        <w:t xml:space="preserve"> </w:t>
      </w:r>
      <w:r w:rsidRPr="00BF3111">
        <w:rPr>
          <w:rFonts w:cs="Arial"/>
        </w:rPr>
        <w:t>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p.2</w:t>
      </w:r>
      <w:r w:rsidR="00EC4E14">
        <w:rPr>
          <w:rFonts w:cs="Arial"/>
        </w:rPr>
        <w:t>1</w:t>
      </w:r>
      <w:r w:rsidRPr="00BF3111">
        <w:rPr>
          <w:rFonts w:cs="Arial"/>
        </w:rPr>
        <w:t>.</w:t>
      </w:r>
    </w:p>
  </w:endnote>
  <w:endnote w:id="57">
    <w:p w14:paraId="01F076B1"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p.23.</w:t>
      </w:r>
    </w:p>
  </w:endnote>
  <w:endnote w:id="58">
    <w:p w14:paraId="6EE3C50E" w14:textId="05E98724" w:rsidR="00824297" w:rsidRPr="00A8029E" w:rsidRDefault="00824297">
      <w:pPr>
        <w:pStyle w:val="EndnoteText"/>
        <w:rPr>
          <w:lang w:val="en-US"/>
        </w:rPr>
      </w:pPr>
      <w:r>
        <w:rPr>
          <w:rStyle w:val="EndnoteReference"/>
        </w:rPr>
        <w:endnoteRef/>
      </w:r>
      <w:r>
        <w:t xml:space="preserve"> </w:t>
      </w:r>
      <w:r w:rsidR="00D1286D">
        <w:rPr>
          <w:rFonts w:eastAsia="Times New Roman" w:cs="Arial"/>
          <w:lang w:val="en-US"/>
        </w:rPr>
        <w:t xml:space="preserve">Parliamentary Joint Committee on ASIO, ASIS and DSD, </w:t>
      </w:r>
      <w:r w:rsidR="00D1286D">
        <w:rPr>
          <w:rFonts w:eastAsia="Times New Roman" w:cs="Arial"/>
          <w:i/>
          <w:iCs/>
          <w:lang w:val="en-US"/>
        </w:rPr>
        <w:t xml:space="preserve">An Advisory Report on the Australian Security Intelligence </w:t>
      </w:r>
      <w:proofErr w:type="spellStart"/>
      <w:r w:rsidR="00D1286D">
        <w:rPr>
          <w:rFonts w:eastAsia="Times New Roman" w:cs="Arial"/>
          <w:i/>
          <w:iCs/>
          <w:lang w:val="en-US"/>
        </w:rPr>
        <w:t>Organisation</w:t>
      </w:r>
      <w:proofErr w:type="spellEnd"/>
      <w:r w:rsidR="00D1286D">
        <w:rPr>
          <w:rFonts w:eastAsia="Times New Roman" w:cs="Arial"/>
          <w:i/>
          <w:iCs/>
          <w:lang w:val="en-US"/>
        </w:rPr>
        <w:t xml:space="preserve"> Amendment (Terrorism) Bill 2002 </w:t>
      </w:r>
      <w:r w:rsidR="00D1286D">
        <w:rPr>
          <w:rFonts w:eastAsia="Times New Roman" w:cs="Arial"/>
          <w:lang w:val="en-US"/>
        </w:rPr>
        <w:t>(2002), 51 [3.82]-[3.83].</w:t>
      </w:r>
    </w:p>
  </w:endnote>
  <w:endnote w:id="59">
    <w:p w14:paraId="49D651BC" w14:textId="24981CDB" w:rsidR="00D1286D" w:rsidRPr="00A8029E" w:rsidRDefault="00D1286D">
      <w:pPr>
        <w:pStyle w:val="EndnoteText"/>
        <w:rPr>
          <w:lang w:val="en-US"/>
        </w:rPr>
      </w:pPr>
      <w:r>
        <w:rPr>
          <w:rStyle w:val="EndnoteReference"/>
        </w:rPr>
        <w:endnoteRef/>
      </w:r>
      <w:r>
        <w:t xml:space="preserve"> </w:t>
      </w:r>
      <w:r w:rsidR="00A8029E">
        <w:rPr>
          <w:rFonts w:eastAsia="Times New Roman" w:cs="Arial"/>
          <w:lang w:val="en-US"/>
        </w:rPr>
        <w:t xml:space="preserve">Parliamentary Joint Committee on ASIO, ASIS and DSD, </w:t>
      </w:r>
      <w:r w:rsidR="00A8029E">
        <w:rPr>
          <w:rFonts w:eastAsia="Times New Roman" w:cs="Arial"/>
          <w:i/>
          <w:iCs/>
          <w:lang w:val="en-US"/>
        </w:rPr>
        <w:t xml:space="preserve">An Advisory Report on the Australian Security Intelligence </w:t>
      </w:r>
      <w:proofErr w:type="spellStart"/>
      <w:r w:rsidR="00A8029E">
        <w:rPr>
          <w:rFonts w:eastAsia="Times New Roman" w:cs="Arial"/>
          <w:i/>
          <w:iCs/>
          <w:lang w:val="en-US"/>
        </w:rPr>
        <w:t>Organisation</w:t>
      </w:r>
      <w:proofErr w:type="spellEnd"/>
      <w:r w:rsidR="00A8029E">
        <w:rPr>
          <w:rFonts w:eastAsia="Times New Roman" w:cs="Arial"/>
          <w:i/>
          <w:iCs/>
          <w:lang w:val="en-US"/>
        </w:rPr>
        <w:t xml:space="preserve"> Amendment (Terrorism) Bill 2002 </w:t>
      </w:r>
      <w:r w:rsidR="00A8029E">
        <w:rPr>
          <w:rFonts w:eastAsia="Times New Roman" w:cs="Arial"/>
          <w:lang w:val="en-US"/>
        </w:rPr>
        <w:t>(2002), 51 [3.84].</w:t>
      </w:r>
    </w:p>
  </w:endnote>
  <w:endnote w:id="60">
    <w:p w14:paraId="3B065C8F" w14:textId="77777777" w:rsidR="0007041C" w:rsidRPr="00BF3111" w:rsidRDefault="0007041C" w:rsidP="005841EB">
      <w:pPr>
        <w:pStyle w:val="EndnoteText"/>
        <w:rPr>
          <w:rFonts w:cs="Arial"/>
        </w:rPr>
      </w:pPr>
      <w:r w:rsidRPr="00BF3111">
        <w:rPr>
          <w:rStyle w:val="EndnoteReference"/>
          <w:rFonts w:cs="Arial"/>
        </w:rPr>
        <w:endnoteRef/>
      </w:r>
      <w:r w:rsidRPr="00BF3111">
        <w:rPr>
          <w:rFonts w:cs="Arial"/>
        </w:rPr>
        <w:t xml:space="preserve"> Australian Security Intelligence Organisation Amendment Bill 2020 cl 34AD(1).</w:t>
      </w:r>
    </w:p>
  </w:endnote>
  <w:endnote w:id="61">
    <w:p w14:paraId="27CC9E28"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p.34.</w:t>
      </w:r>
    </w:p>
  </w:endnote>
  <w:endnote w:id="62">
    <w:p w14:paraId="6FDC26EA" w14:textId="77AC0689"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34F(4)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63">
    <w:p w14:paraId="6BCDDCA9" w14:textId="1D83AA83"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34F(5)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64">
    <w:p w14:paraId="539730C3" w14:textId="5F311710"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34FB(3)(b)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65">
    <w:p w14:paraId="6A367BEF" w14:textId="794EB8D8"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34FB(2)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66">
    <w:p w14:paraId="473D6A86" w14:textId="5C163638"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34FB(2)(b)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67">
    <w:p w14:paraId="1A2C6355" w14:textId="5B2AF701"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34FH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68">
    <w:p w14:paraId="33EB86C0" w14:textId="1A52DA73"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34FF(3)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69">
    <w:p w14:paraId="6D9D498A" w14:textId="779335A1"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34FF(4)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70">
    <w:p w14:paraId="461B3283" w14:textId="657D691B"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34FF(6)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71">
    <w:p w14:paraId="1C6D9D57" w14:textId="17362852"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34FA(1)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72">
    <w:p w14:paraId="3439CC9A" w14:textId="13B5A0C4"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34FC(2)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73">
    <w:p w14:paraId="286AFA0D" w14:textId="77777777"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Department of Home Affairs, Submission to the Parliamentary Joint Committee</w:t>
      </w:r>
      <w:r w:rsidRPr="00BF3111">
        <w:rPr>
          <w:rFonts w:cs="Arial"/>
          <w:i/>
          <w:iCs/>
        </w:rPr>
        <w:t xml:space="preserve"> </w:t>
      </w:r>
      <w:r w:rsidRPr="00BF3111">
        <w:rPr>
          <w:rFonts w:cs="Arial"/>
        </w:rPr>
        <w:t xml:space="preserve">on Intelligence and Security, Parliament of Australia, </w:t>
      </w:r>
      <w:r w:rsidRPr="00BF3111">
        <w:rPr>
          <w:rFonts w:cs="Arial"/>
          <w:i/>
          <w:iCs/>
        </w:rPr>
        <w:t>Inquiry into the Australian Security Intelligence Amendment Bill 2020</w:t>
      </w:r>
      <w:r w:rsidRPr="00BF3111">
        <w:rPr>
          <w:rFonts w:cs="Arial"/>
        </w:rPr>
        <w:t>, 25 May 2020, p.26.</w:t>
      </w:r>
    </w:p>
  </w:endnote>
  <w:endnote w:id="74">
    <w:p w14:paraId="2B0790DA" w14:textId="20FF002E"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Attorney-General’s Department, </w:t>
      </w:r>
      <w:hyperlink r:id="rId14" w:history="1">
        <w:r w:rsidRPr="00BF3111">
          <w:rPr>
            <w:rStyle w:val="Hyperlink"/>
            <w:rFonts w:ascii="Arial" w:hAnsi="Arial" w:cs="Arial"/>
            <w:sz w:val="20"/>
            <w:szCs w:val="20"/>
          </w:rPr>
          <w:t>Submission No 7 to the Parliamentary Joint Committee on Intelligence and Security</w:t>
        </w:r>
      </w:hyperlink>
      <w:r w:rsidRPr="00BF3111">
        <w:rPr>
          <w:rFonts w:ascii="Arial" w:hAnsi="Arial" w:cs="Arial"/>
          <w:sz w:val="20"/>
          <w:szCs w:val="20"/>
        </w:rPr>
        <w:t xml:space="preserve">, Parliament of Australia, </w:t>
      </w:r>
      <w:r w:rsidRPr="00BF3111">
        <w:rPr>
          <w:rFonts w:ascii="Arial" w:hAnsi="Arial" w:cs="Arial"/>
          <w:i/>
          <w:iCs/>
          <w:sz w:val="20"/>
          <w:szCs w:val="20"/>
        </w:rPr>
        <w:t>Inquiry into the</w:t>
      </w:r>
      <w:r w:rsidRPr="00BF3111">
        <w:rPr>
          <w:rFonts w:ascii="Arial" w:hAnsi="Arial" w:cs="Arial"/>
          <w:sz w:val="20"/>
          <w:szCs w:val="20"/>
        </w:rPr>
        <w:t xml:space="preserve"> </w:t>
      </w:r>
      <w:r w:rsidRPr="00BF3111">
        <w:rPr>
          <w:rFonts w:ascii="Arial" w:hAnsi="Arial" w:cs="Arial"/>
          <w:i/>
          <w:iCs/>
          <w:sz w:val="20"/>
          <w:szCs w:val="20"/>
        </w:rPr>
        <w:t xml:space="preserve">Review of ASIO’s Questioning and Detention Powers, </w:t>
      </w:r>
      <w:r w:rsidRPr="00BF3111">
        <w:rPr>
          <w:rFonts w:ascii="Arial" w:hAnsi="Arial" w:cs="Arial"/>
          <w:sz w:val="20"/>
          <w:szCs w:val="20"/>
        </w:rPr>
        <w:t>22 January 2018, 23.</w:t>
      </w:r>
    </w:p>
  </w:endnote>
  <w:endnote w:id="75">
    <w:p w14:paraId="5C4CC3A6" w14:textId="77777777" w:rsidR="0007041C" w:rsidRPr="00BF3111" w:rsidRDefault="0007041C" w:rsidP="00385C0A">
      <w:pPr>
        <w:pStyle w:val="NormalWeb"/>
        <w:spacing w:before="0" w:after="0"/>
        <w:rPr>
          <w:rFonts w:ascii="Arial" w:hAnsi="Arial" w:cs="Arial"/>
          <w:sz w:val="20"/>
          <w:szCs w:val="20"/>
        </w:rPr>
      </w:pPr>
      <w:r w:rsidRPr="00BF3111">
        <w:rPr>
          <w:rStyle w:val="EndnoteReference"/>
          <w:rFonts w:cs="Arial"/>
          <w:szCs w:val="20"/>
        </w:rPr>
        <w:endnoteRef/>
      </w:r>
      <w:r w:rsidRPr="00BF3111">
        <w:rPr>
          <w:rFonts w:ascii="Arial" w:hAnsi="Arial" w:cs="Arial"/>
          <w:sz w:val="20"/>
          <w:szCs w:val="20"/>
        </w:rPr>
        <w:t xml:space="preserve"> Australian Security Intelligence Organisation Amendment Bill 2020 cl 34BA(1)(d), cl 34BB(1)(e), cl 34DB(1), and Subdivision E. </w:t>
      </w:r>
    </w:p>
  </w:endnote>
  <w:endnote w:id="76">
    <w:p w14:paraId="4DB50C3F" w14:textId="7D701E40" w:rsidR="0007041C" w:rsidRPr="00BF3111" w:rsidRDefault="0007041C">
      <w:pPr>
        <w:pStyle w:val="EndnoteText"/>
        <w:rPr>
          <w:rFonts w:cs="Arial"/>
          <w:lang w:val="en-US"/>
        </w:rPr>
      </w:pPr>
      <w:r w:rsidRPr="00BF3111">
        <w:rPr>
          <w:rStyle w:val="EndnoteReference"/>
          <w:rFonts w:cs="Arial"/>
        </w:rPr>
        <w:endnoteRef/>
      </w:r>
      <w:r w:rsidRPr="00BF3111">
        <w:rPr>
          <w:rFonts w:cs="Arial"/>
        </w:rPr>
        <w:t xml:space="preserve"> Proposed s 34E(1)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77">
    <w:p w14:paraId="07FAA9F3" w14:textId="39E543EA"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34DF(1)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78">
    <w:p w14:paraId="36567F4F" w14:textId="168114DF"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Explanatory Memorandum, Australian Security Intelligence Organisation Amendment Bill 2020 (</w:t>
      </w:r>
      <w:proofErr w:type="spellStart"/>
      <w:r w:rsidRPr="00BF3111">
        <w:rPr>
          <w:rFonts w:cs="Arial"/>
        </w:rPr>
        <w:t>Cth</w:t>
      </w:r>
      <w:proofErr w:type="spellEnd"/>
      <w:r w:rsidRPr="00BF3111">
        <w:rPr>
          <w:rFonts w:cs="Arial"/>
        </w:rPr>
        <w:t xml:space="preserve">) 78 [396]. Proposed s 34EC(1)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79">
    <w:p w14:paraId="60A1AC70" w14:textId="63E083C5"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Explanatory Memorandum, Australian Security Intelligence Organisation Amendment Bill 2020 (</w:t>
      </w:r>
      <w:proofErr w:type="spellStart"/>
      <w:r w:rsidRPr="00BF3111">
        <w:rPr>
          <w:rFonts w:cs="Arial"/>
        </w:rPr>
        <w:t>Cth</w:t>
      </w:r>
      <w:proofErr w:type="spellEnd"/>
      <w:r w:rsidRPr="00BF3111">
        <w:rPr>
          <w:rFonts w:cs="Arial"/>
        </w:rPr>
        <w:t>) 11 [35].</w:t>
      </w:r>
    </w:p>
  </w:endnote>
  <w:endnote w:id="80">
    <w:p w14:paraId="3561280B" w14:textId="372BFC7A" w:rsidR="00183019" w:rsidRPr="00BF3111" w:rsidRDefault="00183019" w:rsidP="00385C0A">
      <w:pPr>
        <w:pStyle w:val="EndnoteText"/>
        <w:rPr>
          <w:rFonts w:cs="Arial"/>
        </w:rPr>
      </w:pPr>
      <w:r w:rsidRPr="00BF3111">
        <w:rPr>
          <w:rStyle w:val="EndnoteReference"/>
          <w:rFonts w:cs="Arial"/>
        </w:rPr>
        <w:endnoteRef/>
      </w:r>
      <w:r w:rsidRPr="00BF3111">
        <w:rPr>
          <w:rFonts w:cs="Arial"/>
        </w:rPr>
        <w:t xml:space="preserve"> Explanatory Memorandum, Australian Security Intelligence Organisation Amendment Bill 2020 (</w:t>
      </w:r>
      <w:proofErr w:type="spellStart"/>
      <w:r w:rsidRPr="00BF3111">
        <w:rPr>
          <w:rFonts w:cs="Arial"/>
        </w:rPr>
        <w:t>Cth</w:t>
      </w:r>
      <w:proofErr w:type="spellEnd"/>
      <w:r w:rsidRPr="00BF3111">
        <w:rPr>
          <w:rFonts w:cs="Arial"/>
        </w:rPr>
        <w:t>) 11 [35].</w:t>
      </w:r>
    </w:p>
  </w:endnote>
  <w:endnote w:id="81">
    <w:p w14:paraId="6B4A024A" w14:textId="2D819AFB"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Explanatory Memorandum, Australian Security Intelligence Organisation Amendment Bill 2020 (</w:t>
      </w:r>
      <w:proofErr w:type="spellStart"/>
      <w:r w:rsidRPr="00BF3111">
        <w:rPr>
          <w:rFonts w:cs="Arial"/>
        </w:rPr>
        <w:t>Cth</w:t>
      </w:r>
      <w:proofErr w:type="spellEnd"/>
      <w:r w:rsidRPr="00BF3111">
        <w:rPr>
          <w:rFonts w:cs="Arial"/>
        </w:rPr>
        <w:t>) 11 [36].</w:t>
      </w:r>
    </w:p>
  </w:endnote>
  <w:endnote w:id="82">
    <w:p w14:paraId="1146B7FD" w14:textId="4A48F058" w:rsidR="0007041C" w:rsidRPr="00BF3111" w:rsidRDefault="0007041C" w:rsidP="00385C0A">
      <w:pPr>
        <w:pStyle w:val="EndnoteText"/>
        <w:rPr>
          <w:rFonts w:cs="Arial"/>
        </w:rPr>
      </w:pPr>
      <w:r w:rsidRPr="00BF3111">
        <w:rPr>
          <w:rStyle w:val="EndnoteReference"/>
          <w:rFonts w:cs="Arial"/>
        </w:rPr>
        <w:endnoteRef/>
      </w:r>
      <w:r w:rsidRPr="00BF3111">
        <w:rPr>
          <w:rFonts w:cs="Arial"/>
        </w:rPr>
        <w:t xml:space="preserve"> Proposed s 34AD(1) of the </w:t>
      </w:r>
      <w:r w:rsidRPr="00BF3111">
        <w:rPr>
          <w:rFonts w:cs="Arial"/>
          <w:i/>
          <w:iCs/>
        </w:rPr>
        <w:t xml:space="preserve">Australian Security Intelligence Organisation Act 1979 </w:t>
      </w:r>
      <w:r w:rsidRPr="00BF3111">
        <w:rPr>
          <w:rFonts w:cs="Arial"/>
        </w:rPr>
        <w:t>(</w:t>
      </w:r>
      <w:proofErr w:type="spellStart"/>
      <w:r w:rsidRPr="00BF3111">
        <w:rPr>
          <w:rFonts w:cs="Arial"/>
        </w:rPr>
        <w:t>Cth</w:t>
      </w:r>
      <w:proofErr w:type="spellEnd"/>
      <w:r w:rsidRPr="00BF3111">
        <w:rPr>
          <w:rFonts w:cs="Arial"/>
        </w:rPr>
        <w:t>).</w:t>
      </w:r>
    </w:p>
  </w:endnote>
  <w:endnote w:id="83">
    <w:p w14:paraId="4A8B070B" w14:textId="77777777" w:rsidR="0007041C" w:rsidRPr="00BF3111" w:rsidRDefault="0007041C" w:rsidP="00385C0A">
      <w:pPr>
        <w:pStyle w:val="NormalWeb"/>
        <w:spacing w:before="0" w:after="0"/>
        <w:rPr>
          <w:rFonts w:ascii="Arial" w:hAnsi="Arial" w:cs="Arial"/>
          <w:i/>
          <w:iCs/>
          <w:sz w:val="20"/>
          <w:szCs w:val="20"/>
        </w:rPr>
      </w:pPr>
      <w:r w:rsidRPr="00BF3111">
        <w:rPr>
          <w:rStyle w:val="EndnoteReference"/>
          <w:rFonts w:cs="Arial"/>
          <w:szCs w:val="20"/>
        </w:rPr>
        <w:endnoteRef/>
      </w:r>
      <w:r w:rsidRPr="00BF3111">
        <w:rPr>
          <w:rFonts w:ascii="Arial" w:hAnsi="Arial" w:cs="Arial"/>
          <w:sz w:val="20"/>
          <w:szCs w:val="20"/>
        </w:rPr>
        <w:t xml:space="preserve"> Independent National Security Legislation Monitor, </w:t>
      </w:r>
      <w:r w:rsidRPr="00BF3111">
        <w:rPr>
          <w:rFonts w:ascii="Arial" w:hAnsi="Arial" w:cs="Arial"/>
          <w:i/>
          <w:iCs/>
          <w:sz w:val="20"/>
          <w:szCs w:val="20"/>
        </w:rPr>
        <w:t xml:space="preserve">Declassified Annual Report 20th December </w:t>
      </w:r>
    </w:p>
    <w:p w14:paraId="529A20B7" w14:textId="77777777" w:rsidR="0007041C" w:rsidRPr="00BF3111" w:rsidRDefault="0007041C" w:rsidP="00385C0A">
      <w:pPr>
        <w:pStyle w:val="NormalWeb"/>
        <w:spacing w:before="0" w:after="0"/>
        <w:rPr>
          <w:rFonts w:ascii="Arial" w:hAnsi="Arial" w:cs="Arial"/>
          <w:sz w:val="20"/>
          <w:szCs w:val="20"/>
        </w:rPr>
      </w:pPr>
      <w:r w:rsidRPr="00BF3111">
        <w:rPr>
          <w:rFonts w:ascii="Arial" w:hAnsi="Arial" w:cs="Arial"/>
          <w:i/>
          <w:iCs/>
          <w:sz w:val="20"/>
          <w:szCs w:val="20"/>
        </w:rPr>
        <w:t>2012</w:t>
      </w:r>
      <w:r w:rsidRPr="00BF3111">
        <w:rPr>
          <w:rFonts w:ascii="Arial" w:hAnsi="Arial" w:cs="Arial"/>
          <w:sz w:val="20"/>
          <w:szCs w:val="20"/>
        </w:rPr>
        <w:t xml:space="preserve"> (2012), p. 93. </w:t>
      </w:r>
    </w:p>
  </w:endnote>
  <w:endnote w:id="84">
    <w:p w14:paraId="4F6209DC" w14:textId="77777777" w:rsidR="0007041C" w:rsidRPr="00BF3111" w:rsidRDefault="0007041C" w:rsidP="001C345F">
      <w:pPr>
        <w:pStyle w:val="NormalWeb"/>
        <w:spacing w:before="0" w:after="0"/>
        <w:rPr>
          <w:rFonts w:ascii="Arial" w:hAnsi="Arial" w:cs="Arial"/>
          <w:i/>
          <w:iCs/>
          <w:sz w:val="20"/>
          <w:szCs w:val="20"/>
        </w:rPr>
      </w:pPr>
      <w:r w:rsidRPr="00BF3111">
        <w:rPr>
          <w:rStyle w:val="EndnoteReference"/>
          <w:rFonts w:cs="Arial"/>
          <w:szCs w:val="20"/>
        </w:rPr>
        <w:endnoteRef/>
      </w:r>
      <w:r w:rsidRPr="00BF3111">
        <w:rPr>
          <w:rFonts w:ascii="Arial" w:hAnsi="Arial" w:cs="Arial"/>
          <w:sz w:val="20"/>
          <w:szCs w:val="20"/>
        </w:rPr>
        <w:t xml:space="preserve"> Independent National Security Legislation Monitor, </w:t>
      </w:r>
      <w:r w:rsidRPr="00BF3111">
        <w:rPr>
          <w:rFonts w:ascii="Arial" w:hAnsi="Arial" w:cs="Arial"/>
          <w:i/>
          <w:iCs/>
          <w:sz w:val="20"/>
          <w:szCs w:val="20"/>
        </w:rPr>
        <w:t xml:space="preserve">Declassified Annual Report 20th December </w:t>
      </w:r>
    </w:p>
    <w:p w14:paraId="7F2127FE" w14:textId="77777777" w:rsidR="0007041C" w:rsidRPr="00BF3111" w:rsidRDefault="0007041C" w:rsidP="001C345F">
      <w:pPr>
        <w:pStyle w:val="EndnoteText"/>
        <w:rPr>
          <w:rFonts w:cs="Arial"/>
        </w:rPr>
      </w:pPr>
      <w:r w:rsidRPr="00BF3111">
        <w:rPr>
          <w:rFonts w:cs="Arial"/>
          <w:i/>
          <w:iCs/>
        </w:rPr>
        <w:t>2012</w:t>
      </w:r>
      <w:r w:rsidRPr="00BF3111">
        <w:rPr>
          <w:rFonts w:cs="Arial"/>
        </w:rPr>
        <w:t xml:space="preserve"> (2012), p. 93.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6B3D" w14:textId="77777777" w:rsidR="0007041C" w:rsidRPr="0090165F" w:rsidRDefault="0007041C" w:rsidP="00162A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6B45" w14:textId="77777777" w:rsidR="0007041C" w:rsidRPr="004A187B" w:rsidRDefault="0007041C" w:rsidP="008B23BC">
    <w:pPr>
      <w:pStyle w:val="Footer"/>
    </w:pPr>
    <w:r>
      <w:rPr>
        <w:noProof/>
      </w:rPr>
      <mc:AlternateContent>
        <mc:Choice Requires="wps">
          <w:drawing>
            <wp:anchor distT="0" distB="0" distL="114300" distR="114300" simplePos="0" relativeHeight="251658245" behindDoc="0" locked="0" layoutInCell="1" allowOverlap="1" wp14:anchorId="65DA6B57" wp14:editId="65DA6B58">
              <wp:simplePos x="0" y="0"/>
              <wp:positionH relativeFrom="column">
                <wp:posOffset>-548005</wp:posOffset>
              </wp:positionH>
              <wp:positionV relativeFrom="paragraph">
                <wp:posOffset>-1305560</wp:posOffset>
              </wp:positionV>
              <wp:extent cx="6071235" cy="8540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14:paraId="65DA6B61" w14:textId="77777777" w:rsidR="0007041C" w:rsidRPr="0003606D" w:rsidRDefault="0007041C" w:rsidP="0003606D">
                          <w:pPr>
                            <w:pStyle w:val="coveraddresses"/>
                          </w:pPr>
                          <w:r w:rsidRPr="0003606D">
                            <w:t>ABN 47 996 232 602</w:t>
                          </w:r>
                        </w:p>
                        <w:p w14:paraId="65DA6B62" w14:textId="77777777" w:rsidR="0007041C" w:rsidRPr="0003606D" w:rsidRDefault="0007041C" w:rsidP="0003606D">
                          <w:pPr>
                            <w:pStyle w:val="coveraddresses"/>
                          </w:pPr>
                          <w:r w:rsidRPr="0003606D">
                            <w:t>Level 3, 175 Pitt Street, Sydney NSW 2000</w:t>
                          </w:r>
                        </w:p>
                        <w:p w14:paraId="65DA6B63" w14:textId="77777777" w:rsidR="0007041C" w:rsidRPr="0003606D" w:rsidRDefault="0007041C" w:rsidP="0003606D">
                          <w:pPr>
                            <w:pStyle w:val="coveraddresses"/>
                          </w:pPr>
                          <w:r w:rsidRPr="0003606D">
                            <w:t>GPO Box 5218, Sydney NSW 2001</w:t>
                          </w:r>
                        </w:p>
                        <w:p w14:paraId="65DA6B64" w14:textId="77777777" w:rsidR="0007041C" w:rsidRPr="0003606D" w:rsidRDefault="0007041C" w:rsidP="0003606D">
                          <w:pPr>
                            <w:pStyle w:val="coveraddresses"/>
                          </w:pPr>
                          <w:r w:rsidRPr="0003606D">
                            <w:t>General enquiries 1300 369 711</w:t>
                          </w:r>
                        </w:p>
                        <w:p w14:paraId="65DA6B65" w14:textId="77777777" w:rsidR="0007041C" w:rsidRPr="0003606D" w:rsidRDefault="0007041C" w:rsidP="0003606D">
                          <w:pPr>
                            <w:pStyle w:val="coveraddresses"/>
                          </w:pPr>
                          <w:r w:rsidRPr="0003606D">
                            <w:t>Complaints info line 1300 656 419</w:t>
                          </w:r>
                        </w:p>
                        <w:p w14:paraId="65DA6B66" w14:textId="77777777" w:rsidR="0007041C" w:rsidRPr="0003606D" w:rsidRDefault="0007041C" w:rsidP="0003606D">
                          <w:pPr>
                            <w:pStyle w:val="coveraddresses"/>
                          </w:pPr>
                          <w:r w:rsidRPr="0003606D">
                            <w:t>TTY 1800 620 241</w:t>
                          </w:r>
                        </w:p>
                        <w:p w14:paraId="65DA6B67" w14:textId="77777777" w:rsidR="0007041C" w:rsidRPr="00B63D24" w:rsidRDefault="0007041C"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A6B57"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" filled="f" stroked="f" strokeweight=".5pt">
              <v:textbox inset="0,0,0,0">
                <w:txbxContent>
                  <w:p w14:paraId="65DA6B61" w14:textId="77777777" w:rsidR="0007041C" w:rsidRPr="0003606D" w:rsidRDefault="0007041C" w:rsidP="0003606D">
                    <w:pPr>
                      <w:pStyle w:val="coveraddresses"/>
                    </w:pPr>
                    <w:r w:rsidRPr="0003606D">
                      <w:t>ABN 47 996 232 602</w:t>
                    </w:r>
                  </w:p>
                  <w:p w14:paraId="65DA6B62" w14:textId="77777777" w:rsidR="0007041C" w:rsidRPr="0003606D" w:rsidRDefault="0007041C" w:rsidP="0003606D">
                    <w:pPr>
                      <w:pStyle w:val="coveraddresses"/>
                    </w:pPr>
                    <w:r w:rsidRPr="0003606D">
                      <w:t>Level 3, 175 Pitt Street, Sydney NSW 2000</w:t>
                    </w:r>
                  </w:p>
                  <w:p w14:paraId="65DA6B63" w14:textId="77777777" w:rsidR="0007041C" w:rsidRPr="0003606D" w:rsidRDefault="0007041C" w:rsidP="0003606D">
                    <w:pPr>
                      <w:pStyle w:val="coveraddresses"/>
                    </w:pPr>
                    <w:r w:rsidRPr="0003606D">
                      <w:t>GPO Box 5218, Sydney NSW 2001</w:t>
                    </w:r>
                  </w:p>
                  <w:p w14:paraId="65DA6B64" w14:textId="77777777" w:rsidR="0007041C" w:rsidRPr="0003606D" w:rsidRDefault="0007041C" w:rsidP="0003606D">
                    <w:pPr>
                      <w:pStyle w:val="coveraddresses"/>
                    </w:pPr>
                    <w:r w:rsidRPr="0003606D">
                      <w:t>General enquiries 1300 369 711</w:t>
                    </w:r>
                  </w:p>
                  <w:p w14:paraId="65DA6B65" w14:textId="77777777" w:rsidR="0007041C" w:rsidRPr="0003606D" w:rsidRDefault="0007041C" w:rsidP="0003606D">
                    <w:pPr>
                      <w:pStyle w:val="coveraddresses"/>
                    </w:pPr>
                    <w:r w:rsidRPr="0003606D">
                      <w:t>Complaints info line 1300 656 419</w:t>
                    </w:r>
                  </w:p>
                  <w:p w14:paraId="65DA6B66" w14:textId="77777777" w:rsidR="0007041C" w:rsidRPr="0003606D" w:rsidRDefault="0007041C" w:rsidP="0003606D">
                    <w:pPr>
                      <w:pStyle w:val="coveraddresses"/>
                    </w:pPr>
                    <w:r w:rsidRPr="0003606D">
                      <w:t>TTY 1800 620 241</w:t>
                    </w:r>
                  </w:p>
                  <w:p w14:paraId="65DA6B67" w14:textId="77777777" w:rsidR="0007041C" w:rsidRPr="00B63D24" w:rsidRDefault="0007041C"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6B49" w14:textId="77777777" w:rsidR="0007041C" w:rsidRPr="0090165F" w:rsidRDefault="0007041C"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6F33D" w14:textId="77777777" w:rsidR="00104D9F" w:rsidRDefault="00104D9F" w:rsidP="00F14C6D">
      <w:r>
        <w:separator/>
      </w:r>
    </w:p>
  </w:footnote>
  <w:footnote w:type="continuationSeparator" w:id="0">
    <w:p w14:paraId="4AD542F2" w14:textId="77777777" w:rsidR="00104D9F" w:rsidRDefault="00104D9F" w:rsidP="00F14C6D">
      <w:r>
        <w:continuationSeparator/>
      </w:r>
    </w:p>
  </w:footnote>
  <w:footnote w:type="continuationNotice" w:id="1">
    <w:p w14:paraId="39A4DFD3" w14:textId="77777777" w:rsidR="00104D9F" w:rsidRDefault="00104D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6B3A" w14:textId="30D4FAA4" w:rsidR="0007041C" w:rsidRDefault="00104D9F">
    <w:pPr>
      <w:pStyle w:val="Header"/>
    </w:pPr>
    <w:r>
      <w:rPr>
        <w:noProof/>
      </w:rPr>
      <w:pict w14:anchorId="1CA61D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3" type="#_x0000_t75" alt="MS word cover1" style="position:absolute;margin-left:0;margin-top:0;width:595.65pt;height:870.15pt;z-index:-251658239;mso-wrap-edited:f;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6B3B" w14:textId="75A032FA" w:rsidR="0007041C" w:rsidRPr="00D27262" w:rsidRDefault="00104D9F" w:rsidP="002B1B65">
    <w:pPr>
      <w:spacing w:before="0" w:after="0"/>
      <w:jc w:val="right"/>
      <w:rPr>
        <w:sz w:val="22"/>
        <w:szCs w:val="22"/>
      </w:rPr>
    </w:pPr>
    <w:r>
      <w:rPr>
        <w:noProof/>
        <w:sz w:val="22"/>
        <w:szCs w:val="22"/>
      </w:rPr>
      <w:pict w14:anchorId="3E30D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2" type="#_x0000_t75" alt="MS word cover1" style="position:absolute;left:0;text-align:left;margin-left:0;margin-top:0;width:595.65pt;height:870.15pt;z-index:-251658238;mso-wrap-edited:f;mso-position-horizontal:center;mso-position-horizontal-relative:margin;mso-position-vertical:center;mso-position-vertical-relative:margin" o:allowincell="f">
          <v:imagedata r:id="rId1" o:title="MS word cover1"/>
          <w10:wrap anchorx="margin" anchory="margin"/>
        </v:shape>
      </w:pict>
    </w:r>
    <w:r w:rsidR="0007041C" w:rsidRPr="00D27262">
      <w:rPr>
        <w:sz w:val="22"/>
        <w:szCs w:val="22"/>
      </w:rPr>
      <w:t>Au</w:t>
    </w:r>
    <w:r w:rsidR="0007041C">
      <w:rPr>
        <w:sz w:val="22"/>
        <w:szCs w:val="22"/>
      </w:rPr>
      <w:t>stralian Human Rights Commission</w:t>
    </w:r>
  </w:p>
  <w:p w14:paraId="65DA6B3C" w14:textId="77777777" w:rsidR="0007041C" w:rsidRDefault="0007041C"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07041C" w:rsidRPr="00B85DD4" w14:paraId="65DA6B43" w14:textId="77777777" w:rsidTr="00165E3C">
      <w:trPr>
        <w:trHeight w:val="1276"/>
      </w:trPr>
      <w:tc>
        <w:tcPr>
          <w:tcW w:w="1508" w:type="dxa"/>
        </w:tcPr>
        <w:p w14:paraId="65DA6B3E" w14:textId="77777777" w:rsidR="0007041C" w:rsidRPr="00B85DD4" w:rsidRDefault="0007041C" w:rsidP="00B520BC">
          <w:pPr>
            <w:pStyle w:val="Header"/>
            <w:tabs>
              <w:tab w:val="left" w:pos="4686"/>
              <w:tab w:val="left" w:pos="7088"/>
              <w:tab w:val="left" w:pos="7242"/>
            </w:tabs>
            <w:ind w:left="-108"/>
            <w:rPr>
              <w:rFonts w:cs="ArialMT"/>
              <w:b/>
              <w:spacing w:val="-20"/>
            </w:rPr>
          </w:pPr>
        </w:p>
      </w:tc>
      <w:tc>
        <w:tcPr>
          <w:tcW w:w="2688" w:type="dxa"/>
          <w:vAlign w:val="center"/>
        </w:tcPr>
        <w:p w14:paraId="65DA6B3F" w14:textId="77777777" w:rsidR="0007041C" w:rsidRPr="00B85DD4" w:rsidRDefault="0007041C" w:rsidP="002B1B65">
          <w:pPr>
            <w:spacing w:before="0" w:after="0"/>
            <w:rPr>
              <w:rFonts w:cs="ArialMT"/>
              <w:i/>
              <w:color w:val="808080"/>
              <w:sz w:val="17"/>
            </w:rPr>
          </w:pPr>
        </w:p>
      </w:tc>
      <w:tc>
        <w:tcPr>
          <w:tcW w:w="2302" w:type="dxa"/>
        </w:tcPr>
        <w:p w14:paraId="65DA6B40" w14:textId="77777777" w:rsidR="0007041C" w:rsidRPr="00B85DD4" w:rsidRDefault="0007041C" w:rsidP="00B520BC">
          <w:pPr>
            <w:pStyle w:val="HeaderFooter"/>
            <w:rPr>
              <w:b/>
              <w:spacing w:val="-20"/>
              <w:sz w:val="40"/>
            </w:rPr>
          </w:pPr>
        </w:p>
      </w:tc>
      <w:tc>
        <w:tcPr>
          <w:tcW w:w="2130" w:type="dxa"/>
        </w:tcPr>
        <w:p w14:paraId="65DA6B41" w14:textId="77777777" w:rsidR="0007041C" w:rsidRPr="00B85DD4" w:rsidRDefault="0007041C" w:rsidP="00B520BC">
          <w:pPr>
            <w:pStyle w:val="HeaderFooter"/>
            <w:rPr>
              <w:b/>
              <w:spacing w:val="-20"/>
              <w:sz w:val="40"/>
            </w:rPr>
          </w:pPr>
        </w:p>
      </w:tc>
      <w:tc>
        <w:tcPr>
          <w:tcW w:w="1721" w:type="dxa"/>
        </w:tcPr>
        <w:p w14:paraId="65DA6B42" w14:textId="77777777" w:rsidR="0007041C" w:rsidRPr="00B85DD4" w:rsidRDefault="0007041C" w:rsidP="00B520BC">
          <w:pPr>
            <w:pStyle w:val="HeaderFooter"/>
            <w:spacing w:before="227" w:after="340"/>
            <w:rPr>
              <w:b/>
              <w:spacing w:val="-20"/>
              <w:sz w:val="40"/>
            </w:rPr>
          </w:pPr>
        </w:p>
      </w:tc>
    </w:tr>
  </w:tbl>
  <w:p w14:paraId="65DA6B44" w14:textId="1DD09303" w:rsidR="0007041C" w:rsidRDefault="00104D9F">
    <w:pPr>
      <w:pStyle w:val="Header"/>
    </w:pPr>
    <w:r>
      <w:rPr>
        <w:rFonts w:cs="ArialMT"/>
        <w:b/>
        <w:noProof/>
        <w:spacing w:val="-20"/>
      </w:rPr>
      <w:pict w14:anchorId="2CD4E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1" type="#_x0000_t75" alt="MS word cover1" style="position:absolute;margin-left:-71.05pt;margin-top:-116pt;width:595.65pt;height:870.15pt;z-index:-251658240;mso-wrap-edited:f;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6B46" w14:textId="65A4AD09" w:rsidR="0007041C" w:rsidRDefault="00104D9F">
    <w:pPr>
      <w:pStyle w:val="Header"/>
    </w:pPr>
    <w:r>
      <w:rPr>
        <w:noProof/>
      </w:rPr>
      <w:pict w14:anchorId="3630B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0" type="#_x0000_t75" alt="MS word cover1" style="position:absolute;margin-left:0;margin-top:0;width:595.65pt;height:870.15pt;z-index:-251658236;mso-wrap-edited:f;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A6B47" w14:textId="77777777" w:rsidR="0007041C" w:rsidRPr="00D27262" w:rsidRDefault="0007041C" w:rsidP="00B34946">
    <w:pPr>
      <w:spacing w:before="0" w:after="60"/>
      <w:jc w:val="right"/>
      <w:rPr>
        <w:sz w:val="22"/>
        <w:szCs w:val="22"/>
      </w:rPr>
    </w:pPr>
    <w:r w:rsidRPr="00D27262">
      <w:rPr>
        <w:sz w:val="22"/>
        <w:szCs w:val="22"/>
      </w:rPr>
      <w:t>Au</w:t>
    </w:r>
    <w:r>
      <w:rPr>
        <w:sz w:val="22"/>
        <w:szCs w:val="22"/>
      </w:rPr>
      <w:t>stralian Human Rights Commission</w:t>
    </w:r>
  </w:p>
  <w:p w14:paraId="65DA6B48" w14:textId="27C68C12" w:rsidR="0007041C" w:rsidRPr="00D729AD" w:rsidRDefault="0007041C" w:rsidP="002F4CE1">
    <w:pPr>
      <w:pStyle w:val="Footer"/>
      <w:spacing w:after="240"/>
      <w:jc w:val="right"/>
      <w:rPr>
        <w:i/>
        <w:szCs w:val="18"/>
      </w:rPr>
    </w:pPr>
    <w:r>
      <w:rPr>
        <w:b/>
        <w:i/>
        <w:szCs w:val="18"/>
      </w:rPr>
      <w:t>Submission to PJCIS</w:t>
    </w:r>
    <w:r w:rsidRPr="00D729AD">
      <w:rPr>
        <w:i/>
        <w:szCs w:val="18"/>
      </w:rPr>
      <w:t xml:space="preserve">, </w:t>
    </w:r>
    <w:r>
      <w:rPr>
        <w:i/>
        <w:szCs w:val="18"/>
      </w:rPr>
      <w:t>Inquiry into the ASIO Amendment Bill 2020</w:t>
    </w:r>
    <w:r w:rsidRPr="00D729AD">
      <w:rPr>
        <w:i/>
        <w:szCs w:val="18"/>
      </w:rPr>
      <w:t xml:space="preserve"> – </w:t>
    </w:r>
    <w:r>
      <w:rPr>
        <w:i/>
        <w:szCs w:val="18"/>
      </w:rPr>
      <w:t>1 July 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07041C" w:rsidRPr="00B85DD4" w14:paraId="65DA6B52" w14:textId="77777777" w:rsidTr="002B1B65">
      <w:trPr>
        <w:trHeight w:val="1603"/>
      </w:trPr>
      <w:tc>
        <w:tcPr>
          <w:tcW w:w="1508" w:type="dxa"/>
        </w:tcPr>
        <w:p w14:paraId="65DA6B4A" w14:textId="77777777" w:rsidR="0007041C" w:rsidRPr="00B85DD4" w:rsidRDefault="7EA2DDC8" w:rsidP="00B520BC">
          <w:pPr>
            <w:pStyle w:val="Header"/>
            <w:tabs>
              <w:tab w:val="left" w:pos="4686"/>
              <w:tab w:val="left" w:pos="7088"/>
              <w:tab w:val="left" w:pos="7242"/>
            </w:tabs>
            <w:ind w:left="-108"/>
            <w:rPr>
              <w:rFonts w:cs="ArialMT"/>
              <w:b/>
              <w:spacing w:val="-20"/>
            </w:rPr>
          </w:pPr>
          <w:r>
            <w:rPr>
              <w:noProof/>
            </w:rPr>
            <w:drawing>
              <wp:inline distT="0" distB="0" distL="0" distR="0" wp14:anchorId="65DA6B5A" wp14:editId="49D72070">
                <wp:extent cx="819150" cy="819150"/>
                <wp:effectExtent l="0" t="0" r="0" b="0"/>
                <wp:docPr id="979830154"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tc>
      <w:tc>
        <w:tcPr>
          <w:tcW w:w="2688" w:type="dxa"/>
          <w:vAlign w:val="center"/>
        </w:tcPr>
        <w:p w14:paraId="65DA6B4B" w14:textId="77777777" w:rsidR="0007041C" w:rsidRPr="00D36BB2" w:rsidRDefault="0007041C" w:rsidP="002B1B65">
          <w:pPr>
            <w:pStyle w:val="LogoType"/>
            <w:pBdr>
              <w:bottom w:val="single" w:sz="4" w:space="1" w:color="808080"/>
            </w:pBdr>
            <w:spacing w:line="240" w:lineRule="auto"/>
          </w:pPr>
          <w:r w:rsidRPr="00D36BB2">
            <w:t>Australian</w:t>
          </w:r>
        </w:p>
        <w:p w14:paraId="65DA6B4C" w14:textId="77777777" w:rsidR="0007041C" w:rsidRPr="00D36BB2" w:rsidRDefault="0007041C" w:rsidP="002B1B65">
          <w:pPr>
            <w:pStyle w:val="LogoType"/>
            <w:pBdr>
              <w:bottom w:val="single" w:sz="4" w:space="1" w:color="808080"/>
            </w:pBdr>
            <w:spacing w:line="240" w:lineRule="auto"/>
          </w:pPr>
          <w:r w:rsidRPr="00D36BB2">
            <w:t>Human Rights</w:t>
          </w:r>
        </w:p>
        <w:p w14:paraId="65DA6B4D" w14:textId="77777777" w:rsidR="0007041C" w:rsidRPr="00D36BB2" w:rsidRDefault="0007041C" w:rsidP="002B1B65">
          <w:pPr>
            <w:pStyle w:val="LogoType"/>
            <w:pBdr>
              <w:bottom w:val="single" w:sz="4" w:space="1" w:color="808080"/>
            </w:pBdr>
            <w:spacing w:line="240" w:lineRule="auto"/>
          </w:pPr>
          <w:r w:rsidRPr="00D36BB2">
            <w:t>Commission</w:t>
          </w:r>
        </w:p>
        <w:p w14:paraId="65DA6B4E" w14:textId="77777777" w:rsidR="0007041C" w:rsidRPr="00B85DD4" w:rsidRDefault="0007041C"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65DA6B4F" w14:textId="77777777" w:rsidR="0007041C" w:rsidRPr="00B85DD4" w:rsidRDefault="0007041C" w:rsidP="00B520BC">
          <w:pPr>
            <w:pStyle w:val="HeaderFooter"/>
            <w:rPr>
              <w:b/>
              <w:spacing w:val="-20"/>
              <w:sz w:val="40"/>
            </w:rPr>
          </w:pPr>
        </w:p>
      </w:tc>
      <w:tc>
        <w:tcPr>
          <w:tcW w:w="2130" w:type="dxa"/>
        </w:tcPr>
        <w:p w14:paraId="65DA6B50" w14:textId="77777777" w:rsidR="0007041C" w:rsidRPr="00B85DD4" w:rsidRDefault="0007041C" w:rsidP="00B520BC">
          <w:pPr>
            <w:pStyle w:val="HeaderFooter"/>
            <w:rPr>
              <w:b/>
              <w:spacing w:val="-20"/>
              <w:sz w:val="40"/>
            </w:rPr>
          </w:pPr>
        </w:p>
      </w:tc>
      <w:tc>
        <w:tcPr>
          <w:tcW w:w="1721" w:type="dxa"/>
        </w:tcPr>
        <w:p w14:paraId="65DA6B51" w14:textId="77777777" w:rsidR="0007041C" w:rsidRPr="00B85DD4" w:rsidRDefault="0007041C" w:rsidP="00B520BC">
          <w:pPr>
            <w:pStyle w:val="HeaderFooter"/>
            <w:spacing w:before="227" w:after="340"/>
            <w:rPr>
              <w:b/>
              <w:spacing w:val="-20"/>
              <w:sz w:val="40"/>
            </w:rPr>
          </w:pPr>
        </w:p>
      </w:tc>
    </w:tr>
  </w:tbl>
  <w:p w14:paraId="65DA6B53" w14:textId="00407ACE" w:rsidR="0007041C" w:rsidRDefault="00104D9F">
    <w:pPr>
      <w:pStyle w:val="Header"/>
    </w:pPr>
    <w:r>
      <w:rPr>
        <w:rFonts w:cs="ArialMT"/>
        <w:b/>
        <w:noProof/>
        <w:spacing w:val="-20"/>
      </w:rPr>
      <w:pict w14:anchorId="73736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49" type="#_x0000_t75" alt="MS word cover1" style="position:absolute;margin-left:0;margin-top:0;width:595.65pt;height:870.15pt;z-index:-251658237;mso-wrap-edited:f;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6AA63B4"/>
    <w:multiLevelType w:val="hybridMultilevel"/>
    <w:tmpl w:val="69F0B586"/>
    <w:lvl w:ilvl="0" w:tplc="B9F20C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A0CC9"/>
    <w:multiLevelType w:val="hybridMultilevel"/>
    <w:tmpl w:val="784EDAD6"/>
    <w:lvl w:ilvl="0" w:tplc="04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0DA237FF"/>
    <w:multiLevelType w:val="hybridMultilevel"/>
    <w:tmpl w:val="2610AB78"/>
    <w:lvl w:ilvl="0" w:tplc="04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C71433"/>
    <w:multiLevelType w:val="hybridMultilevel"/>
    <w:tmpl w:val="985EDC3A"/>
    <w:lvl w:ilvl="0" w:tplc="F2880738">
      <w:numFmt w:val="bullet"/>
      <w:lvlText w:val=""/>
      <w:lvlJc w:val="left"/>
      <w:pPr>
        <w:ind w:left="360" w:hanging="360"/>
      </w:pPr>
      <w:rPr>
        <w:rFonts w:ascii="Symbol" w:eastAsiaTheme="minorHAnsi" w:hAnsi="Symbol" w:cstheme="maj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44A1040"/>
    <w:multiLevelType w:val="hybridMultilevel"/>
    <w:tmpl w:val="288E2444"/>
    <w:lvl w:ilvl="0" w:tplc="04090001">
      <w:start w:val="1"/>
      <w:numFmt w:val="bullet"/>
      <w:lvlText w:val=""/>
      <w:lvlJc w:val="left"/>
      <w:pPr>
        <w:ind w:left="1569" w:hanging="360"/>
      </w:pPr>
      <w:rPr>
        <w:rFonts w:ascii="Symbol" w:hAnsi="Symbol" w:hint="default"/>
      </w:rPr>
    </w:lvl>
    <w:lvl w:ilvl="1" w:tplc="04090003" w:tentative="1">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6" w15:restartNumberingAfterBreak="0">
    <w:nsid w:val="180D5B65"/>
    <w:multiLevelType w:val="multilevel"/>
    <w:tmpl w:val="B92C3F0C"/>
    <w:lvl w:ilvl="0">
      <w:start w:val="1"/>
      <w:numFmt w:val="lowerLetter"/>
      <w:lvlText w:val="(%1)"/>
      <w:lvlJc w:val="left"/>
      <w:pPr>
        <w:ind w:left="1512" w:hanging="360"/>
      </w:pPr>
      <w:rPr>
        <w:rFonts w:ascii="Open Sans" w:eastAsia="MS Mincho" w:hAnsi="Open Sans" w:cs="Open Sans"/>
      </w:rPr>
    </w:lvl>
    <w:lvl w:ilvl="1">
      <w:start w:val="1"/>
      <w:numFmt w:val="bullet"/>
      <w:lvlText w:val="o"/>
      <w:lvlJc w:val="left"/>
      <w:pPr>
        <w:ind w:left="2232" w:hanging="360"/>
      </w:pPr>
      <w:rPr>
        <w:rFonts w:ascii="Courier New" w:hAnsi="Courier New" w:cs="Courier New" w:hint="default"/>
      </w:rPr>
    </w:lvl>
    <w:lvl w:ilvl="2">
      <w:start w:val="3"/>
      <w:numFmt w:val="bullet"/>
      <w:lvlText w:val="-"/>
      <w:lvlJc w:val="left"/>
      <w:pPr>
        <w:ind w:left="2952" w:hanging="360"/>
      </w:pPr>
      <w:rPr>
        <w:rFonts w:ascii="Arial" w:eastAsia="Times New Roman" w:hAnsi="Arial" w:cs="Arial" w:hint="default"/>
        <w:color w:val="1F1923"/>
        <w:sz w:val="24"/>
      </w:rPr>
    </w:lvl>
    <w:lvl w:ilvl="3" w:tentative="1">
      <w:start w:val="1"/>
      <w:numFmt w:val="decimal"/>
      <w:lvlText w:val="%4."/>
      <w:lvlJc w:val="left"/>
      <w:pPr>
        <w:tabs>
          <w:tab w:val="num" w:pos="3672"/>
        </w:tabs>
        <w:ind w:left="3672" w:hanging="360"/>
      </w:pPr>
    </w:lvl>
    <w:lvl w:ilvl="4" w:tentative="1">
      <w:start w:val="1"/>
      <w:numFmt w:val="decimal"/>
      <w:lvlText w:val="%5."/>
      <w:lvlJc w:val="left"/>
      <w:pPr>
        <w:tabs>
          <w:tab w:val="num" w:pos="4392"/>
        </w:tabs>
        <w:ind w:left="4392" w:hanging="360"/>
      </w:pPr>
    </w:lvl>
    <w:lvl w:ilvl="5" w:tentative="1">
      <w:start w:val="1"/>
      <w:numFmt w:val="decimal"/>
      <w:lvlText w:val="%6."/>
      <w:lvlJc w:val="left"/>
      <w:pPr>
        <w:tabs>
          <w:tab w:val="num" w:pos="5112"/>
        </w:tabs>
        <w:ind w:left="5112" w:hanging="360"/>
      </w:pPr>
    </w:lvl>
    <w:lvl w:ilvl="6" w:tentative="1">
      <w:start w:val="1"/>
      <w:numFmt w:val="decimal"/>
      <w:lvlText w:val="%7."/>
      <w:lvlJc w:val="left"/>
      <w:pPr>
        <w:tabs>
          <w:tab w:val="num" w:pos="5832"/>
        </w:tabs>
        <w:ind w:left="5832" w:hanging="360"/>
      </w:pPr>
    </w:lvl>
    <w:lvl w:ilvl="7" w:tentative="1">
      <w:start w:val="1"/>
      <w:numFmt w:val="decimal"/>
      <w:lvlText w:val="%8."/>
      <w:lvlJc w:val="left"/>
      <w:pPr>
        <w:tabs>
          <w:tab w:val="num" w:pos="6552"/>
        </w:tabs>
        <w:ind w:left="6552" w:hanging="360"/>
      </w:pPr>
    </w:lvl>
    <w:lvl w:ilvl="8" w:tentative="1">
      <w:start w:val="1"/>
      <w:numFmt w:val="decimal"/>
      <w:lvlText w:val="%9."/>
      <w:lvlJc w:val="left"/>
      <w:pPr>
        <w:tabs>
          <w:tab w:val="num" w:pos="7272"/>
        </w:tabs>
        <w:ind w:left="7272" w:hanging="360"/>
      </w:pPr>
    </w:lvl>
  </w:abstractNum>
  <w:abstractNum w:abstractNumId="17" w15:restartNumberingAfterBreak="0">
    <w:nsid w:val="1DCB237C"/>
    <w:multiLevelType w:val="hybridMultilevel"/>
    <w:tmpl w:val="3B2C84F6"/>
    <w:lvl w:ilvl="0" w:tplc="8CD40B3C">
      <w:start w:val="1"/>
      <w:numFmt w:val="decimal"/>
      <w:pStyle w:val="SubmissionNormal"/>
      <w:lvlText w:val="%1."/>
      <w:lvlJc w:val="left"/>
      <w:pPr>
        <w:tabs>
          <w:tab w:val="num" w:pos="4680"/>
        </w:tabs>
        <w:ind w:left="792"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2445192"/>
    <w:multiLevelType w:val="hybridMultilevel"/>
    <w:tmpl w:val="7966B48E"/>
    <w:lvl w:ilvl="0" w:tplc="7DA0CFC0">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6F3AB3"/>
    <w:multiLevelType w:val="hybridMultilevel"/>
    <w:tmpl w:val="3530B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A3F6EF3"/>
    <w:multiLevelType w:val="hybridMultilevel"/>
    <w:tmpl w:val="832A6A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F479C9"/>
    <w:multiLevelType w:val="hybridMultilevel"/>
    <w:tmpl w:val="3E1E7F0E"/>
    <w:lvl w:ilvl="0" w:tplc="0409000F">
      <w:start w:val="1"/>
      <w:numFmt w:val="decimal"/>
      <w:lvlText w:val="%1."/>
      <w:lvlJc w:val="left"/>
      <w:pPr>
        <w:ind w:left="1809" w:hanging="360"/>
      </w:pPr>
      <w:rPr>
        <w:rFonts w:hint="default"/>
      </w:r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23" w15:restartNumberingAfterBreak="0">
    <w:nsid w:val="36312D14"/>
    <w:multiLevelType w:val="hybridMultilevel"/>
    <w:tmpl w:val="FF4CC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8212D"/>
    <w:multiLevelType w:val="hybridMultilevel"/>
    <w:tmpl w:val="95EACBE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3C571E53"/>
    <w:multiLevelType w:val="hybridMultilevel"/>
    <w:tmpl w:val="2610AB78"/>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64382A"/>
    <w:multiLevelType w:val="hybridMultilevel"/>
    <w:tmpl w:val="DC484E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1E51F68"/>
    <w:multiLevelType w:val="hybridMultilevel"/>
    <w:tmpl w:val="411C4C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8D4079"/>
    <w:multiLevelType w:val="hybridMultilevel"/>
    <w:tmpl w:val="3F0044C4"/>
    <w:lvl w:ilvl="0" w:tplc="7ABAD76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71DAE"/>
    <w:multiLevelType w:val="hybridMultilevel"/>
    <w:tmpl w:val="A6E2CB9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2" w15:restartNumberingAfterBreak="0">
    <w:nsid w:val="4D366711"/>
    <w:multiLevelType w:val="multilevel"/>
    <w:tmpl w:val="2C3A29C6"/>
    <w:lvl w:ilvl="0">
      <w:start w:val="1"/>
      <w:numFmt w:val="decimal"/>
      <w:lvlText w:val="%1."/>
      <w:lvlJc w:val="left"/>
      <w:pPr>
        <w:ind w:left="720" w:hanging="360"/>
      </w:pPr>
      <w:rPr>
        <w:rFonts w:hint="default"/>
      </w:r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3"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ABD469D"/>
    <w:multiLevelType w:val="multilevel"/>
    <w:tmpl w:val="82B4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C801F7"/>
    <w:multiLevelType w:val="multilevel"/>
    <w:tmpl w:val="0A3C0E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3"/>
      <w:numFmt w:val="bullet"/>
      <w:lvlText w:val="-"/>
      <w:lvlJc w:val="left"/>
      <w:pPr>
        <w:ind w:left="2160" w:hanging="360"/>
      </w:pPr>
      <w:rPr>
        <w:rFonts w:ascii="Arial" w:eastAsia="Times New Roman" w:hAnsi="Arial" w:cs="Arial" w:hint="default"/>
        <w:color w:val="1F1923"/>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F03E65"/>
    <w:multiLevelType w:val="hybridMultilevel"/>
    <w:tmpl w:val="B36CCD48"/>
    <w:lvl w:ilvl="0" w:tplc="7DA0CFC0">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7" w15:restartNumberingAfterBreak="0">
    <w:nsid w:val="5D222D78"/>
    <w:multiLevelType w:val="hybridMultilevel"/>
    <w:tmpl w:val="FDE24F78"/>
    <w:lvl w:ilvl="0" w:tplc="8132D45E">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415236"/>
    <w:multiLevelType w:val="hybridMultilevel"/>
    <w:tmpl w:val="540CB882"/>
    <w:lvl w:ilvl="0" w:tplc="04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92B6233"/>
    <w:multiLevelType w:val="multilevel"/>
    <w:tmpl w:val="0818FCCC"/>
    <w:lvl w:ilvl="0">
      <w:start w:val="1"/>
      <w:numFmt w:val="decimal"/>
      <w:lvlText w:val="%1."/>
      <w:lvlJc w:val="left"/>
      <w:pPr>
        <w:tabs>
          <w:tab w:val="num" w:pos="720"/>
        </w:tabs>
        <w:ind w:left="720" w:hanging="360"/>
      </w:pPr>
    </w:lvl>
    <w:lvl w:ilvl="1">
      <w:numFmt w:val="bullet"/>
      <w:lvlText w:val=""/>
      <w:lvlJc w:val="left"/>
      <w:pPr>
        <w:ind w:left="360" w:hanging="360"/>
      </w:pPr>
      <w:rPr>
        <w:rFonts w:ascii="Symbol" w:eastAsiaTheme="minorHAnsi" w:hAnsi="Symbol" w:cstheme="majorHAnsi"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396AFB"/>
    <w:multiLevelType w:val="hybridMultilevel"/>
    <w:tmpl w:val="CE6ED06A"/>
    <w:lvl w:ilvl="0" w:tplc="3CB448A8">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B307B3"/>
    <w:multiLevelType w:val="multilevel"/>
    <w:tmpl w:val="F8101EB2"/>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Symbol" w:hAnsi="Symbol" w:hint="default"/>
      </w:rPr>
    </w:lvl>
    <w:lvl w:ilvl="2">
      <w:start w:val="3"/>
      <w:numFmt w:val="bullet"/>
      <w:lvlText w:val="-"/>
      <w:lvlJc w:val="left"/>
      <w:pPr>
        <w:ind w:left="2520" w:hanging="360"/>
      </w:pPr>
      <w:rPr>
        <w:rFonts w:ascii="Arial" w:eastAsia="Times New Roman" w:hAnsi="Arial" w:cs="Arial" w:hint="default"/>
        <w:color w:val="1F1923"/>
        <w:sz w:val="24"/>
      </w:rPr>
    </w:lvl>
    <w:lvl w:ilvl="3">
      <w:start w:val="1"/>
      <w:numFmt w:val="lowerLetter"/>
      <w:lvlText w:val="%4)"/>
      <w:lvlJc w:val="left"/>
      <w:pPr>
        <w:ind w:left="3240" w:hanging="360"/>
      </w:pPr>
      <w:rPr>
        <w:rFonts w:hint="default"/>
      </w:rPr>
    </w:lvl>
    <w:lvl w:ilvl="4">
      <w:start w:val="2"/>
      <w:numFmt w:val="lowerLetter"/>
      <w:lvlText w:val="(%5)"/>
      <w:lvlJc w:val="left"/>
      <w:pPr>
        <w:ind w:left="3960" w:hanging="360"/>
      </w:pPr>
      <w:rPr>
        <w:rFonts w:hint="default"/>
      </w:r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726902E1"/>
    <w:multiLevelType w:val="multilevel"/>
    <w:tmpl w:val="322AC978"/>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45103D"/>
    <w:multiLevelType w:val="hybridMultilevel"/>
    <w:tmpl w:val="3FD059B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33"/>
  </w:num>
  <w:num w:numId="13">
    <w:abstractNumId w:val="27"/>
  </w:num>
  <w:num w:numId="14">
    <w:abstractNumId w:val="18"/>
  </w:num>
  <w:num w:numId="15">
    <w:abstractNumId w:val="17"/>
  </w:num>
  <w:num w:numId="16">
    <w:abstractNumId w:val="10"/>
  </w:num>
  <w:num w:numId="17">
    <w:abstractNumId w:val="25"/>
  </w:num>
  <w:num w:numId="18">
    <w:abstractNumId w:val="38"/>
  </w:num>
  <w:num w:numId="19">
    <w:abstractNumId w:val="23"/>
  </w:num>
  <w:num w:numId="20">
    <w:abstractNumId w:val="19"/>
  </w:num>
  <w:num w:numId="21">
    <w:abstractNumId w:val="30"/>
  </w:num>
  <w:num w:numId="22">
    <w:abstractNumId w:val="22"/>
  </w:num>
  <w:num w:numId="23">
    <w:abstractNumId w:val="28"/>
  </w:num>
  <w:num w:numId="24">
    <w:abstractNumId w:val="43"/>
  </w:num>
  <w:num w:numId="25">
    <w:abstractNumId w:val="26"/>
  </w:num>
  <w:num w:numId="26">
    <w:abstractNumId w:val="37"/>
  </w:num>
  <w:num w:numId="27">
    <w:abstractNumId w:val="20"/>
  </w:num>
  <w:num w:numId="28">
    <w:abstractNumId w:val="41"/>
  </w:num>
  <w:num w:numId="29">
    <w:abstractNumId w:val="17"/>
  </w:num>
  <w:num w:numId="30">
    <w:abstractNumId w:val="14"/>
  </w:num>
  <w:num w:numId="31">
    <w:abstractNumId w:val="42"/>
  </w:num>
  <w:num w:numId="32">
    <w:abstractNumId w:val="32"/>
  </w:num>
  <w:num w:numId="33">
    <w:abstractNumId w:val="29"/>
  </w:num>
  <w:num w:numId="34">
    <w:abstractNumId w:val="39"/>
  </w:num>
  <w:num w:numId="35">
    <w:abstractNumId w:val="24"/>
  </w:num>
  <w:num w:numId="36">
    <w:abstractNumId w:val="16"/>
  </w:num>
  <w:num w:numId="37">
    <w:abstractNumId w:val="12"/>
  </w:num>
  <w:num w:numId="38">
    <w:abstractNumId w:val="35"/>
  </w:num>
  <w:num w:numId="39">
    <w:abstractNumId w:val="34"/>
  </w:num>
  <w:num w:numId="40">
    <w:abstractNumId w:val="21"/>
  </w:num>
  <w:num w:numId="41">
    <w:abstractNumId w:val="40"/>
  </w:num>
  <w:num w:numId="42">
    <w:abstractNumId w:val="15"/>
  </w:num>
  <w:num w:numId="43">
    <w:abstractNumId w:val="17"/>
    <w:lvlOverride w:ilvl="0">
      <w:lvl w:ilvl="0" w:tplc="8CD40B3C">
        <w:start w:val="1"/>
        <w:numFmt w:val="decimal"/>
        <w:pStyle w:val="SubmissionNormal"/>
        <w:lvlText w:val="%1."/>
        <w:lvlJc w:val="left"/>
        <w:pPr>
          <w:tabs>
            <w:tab w:val="num" w:pos="720"/>
          </w:tabs>
          <w:ind w:left="720" w:hanging="576"/>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4">
    <w:abstractNumId w:val="11"/>
  </w:num>
  <w:num w:numId="45">
    <w:abstractNumId w:val="31"/>
  </w:num>
  <w:num w:numId="46">
    <w:abstractNumId w:val="31"/>
  </w:num>
  <w:num w:numId="47">
    <w:abstractNumId w:val="31"/>
  </w:num>
  <w:num w:numId="48">
    <w:abstractNumId w:val="31"/>
  </w:num>
  <w:num w:numId="49">
    <w:abstractNumId w:val="17"/>
  </w:num>
  <w:num w:numId="50">
    <w:abstractNumId w:val="31"/>
  </w:num>
  <w:num w:numId="51">
    <w:abstractNumId w:val="31"/>
  </w:num>
  <w:num w:numId="52">
    <w:abstractNumId w:val="17"/>
  </w:num>
  <w:num w:numId="53">
    <w:abstractNumId w:val="17"/>
  </w:num>
  <w:num w:numId="54">
    <w:abstractNumId w:val="36"/>
  </w:num>
  <w:num w:numId="55">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CB"/>
    <w:rsid w:val="00004BFD"/>
    <w:rsid w:val="00007203"/>
    <w:rsid w:val="00011659"/>
    <w:rsid w:val="00013D75"/>
    <w:rsid w:val="00016E21"/>
    <w:rsid w:val="000256F3"/>
    <w:rsid w:val="0003402C"/>
    <w:rsid w:val="0003606D"/>
    <w:rsid w:val="000405C6"/>
    <w:rsid w:val="000420AB"/>
    <w:rsid w:val="0005295A"/>
    <w:rsid w:val="00055E55"/>
    <w:rsid w:val="0005699A"/>
    <w:rsid w:val="000579B1"/>
    <w:rsid w:val="0007041C"/>
    <w:rsid w:val="00071B9D"/>
    <w:rsid w:val="00072D2F"/>
    <w:rsid w:val="00073F5C"/>
    <w:rsid w:val="00074319"/>
    <w:rsid w:val="000910BE"/>
    <w:rsid w:val="000A05C1"/>
    <w:rsid w:val="000A1DB8"/>
    <w:rsid w:val="000A48AC"/>
    <w:rsid w:val="000B0A5D"/>
    <w:rsid w:val="000B48D5"/>
    <w:rsid w:val="000C15B5"/>
    <w:rsid w:val="000C7199"/>
    <w:rsid w:val="000D2D9C"/>
    <w:rsid w:val="000E130A"/>
    <w:rsid w:val="000E5CB0"/>
    <w:rsid w:val="000F0E71"/>
    <w:rsid w:val="000F233B"/>
    <w:rsid w:val="000F3C58"/>
    <w:rsid w:val="00100A93"/>
    <w:rsid w:val="001022CA"/>
    <w:rsid w:val="00103E40"/>
    <w:rsid w:val="00104D9F"/>
    <w:rsid w:val="00107C9A"/>
    <w:rsid w:val="00116699"/>
    <w:rsid w:val="00116A14"/>
    <w:rsid w:val="00121202"/>
    <w:rsid w:val="001220C7"/>
    <w:rsid w:val="00125CD0"/>
    <w:rsid w:val="001262C5"/>
    <w:rsid w:val="00134774"/>
    <w:rsid w:val="0013738A"/>
    <w:rsid w:val="00140274"/>
    <w:rsid w:val="00150B28"/>
    <w:rsid w:val="00151263"/>
    <w:rsid w:val="0015389B"/>
    <w:rsid w:val="00162A8D"/>
    <w:rsid w:val="00165E3C"/>
    <w:rsid w:val="00167FF9"/>
    <w:rsid w:val="00173FB5"/>
    <w:rsid w:val="00175870"/>
    <w:rsid w:val="00176352"/>
    <w:rsid w:val="00183019"/>
    <w:rsid w:val="00185E80"/>
    <w:rsid w:val="00186268"/>
    <w:rsid w:val="001944E8"/>
    <w:rsid w:val="00196E28"/>
    <w:rsid w:val="0019757D"/>
    <w:rsid w:val="001A3FD6"/>
    <w:rsid w:val="001B0353"/>
    <w:rsid w:val="001C1F8B"/>
    <w:rsid w:val="001C2E95"/>
    <w:rsid w:val="001C345F"/>
    <w:rsid w:val="001C6E2E"/>
    <w:rsid w:val="001D58E6"/>
    <w:rsid w:val="001D5E1C"/>
    <w:rsid w:val="001E34B3"/>
    <w:rsid w:val="001E7E2B"/>
    <w:rsid w:val="001F2BBB"/>
    <w:rsid w:val="001F6736"/>
    <w:rsid w:val="00200677"/>
    <w:rsid w:val="00204046"/>
    <w:rsid w:val="002043C7"/>
    <w:rsid w:val="00211FC3"/>
    <w:rsid w:val="00212769"/>
    <w:rsid w:val="00212AC5"/>
    <w:rsid w:val="00224AA3"/>
    <w:rsid w:val="002250D8"/>
    <w:rsid w:val="002271FF"/>
    <w:rsid w:val="00231ED1"/>
    <w:rsid w:val="00232A82"/>
    <w:rsid w:val="0024002C"/>
    <w:rsid w:val="00242624"/>
    <w:rsid w:val="00244F30"/>
    <w:rsid w:val="0024557E"/>
    <w:rsid w:val="00246D33"/>
    <w:rsid w:val="002516AA"/>
    <w:rsid w:val="00251BFD"/>
    <w:rsid w:val="00251C74"/>
    <w:rsid w:val="00253A87"/>
    <w:rsid w:val="0025411B"/>
    <w:rsid w:val="00255B7B"/>
    <w:rsid w:val="00267859"/>
    <w:rsid w:val="00273B02"/>
    <w:rsid w:val="00274A58"/>
    <w:rsid w:val="00282581"/>
    <w:rsid w:val="00283C2C"/>
    <w:rsid w:val="002863D7"/>
    <w:rsid w:val="00287C67"/>
    <w:rsid w:val="00291B2D"/>
    <w:rsid w:val="002A2AF9"/>
    <w:rsid w:val="002A38B6"/>
    <w:rsid w:val="002A5F3A"/>
    <w:rsid w:val="002B1B65"/>
    <w:rsid w:val="002B1EAB"/>
    <w:rsid w:val="002C1866"/>
    <w:rsid w:val="002D47B9"/>
    <w:rsid w:val="002D48C1"/>
    <w:rsid w:val="002E2FE7"/>
    <w:rsid w:val="002E368E"/>
    <w:rsid w:val="002E3E21"/>
    <w:rsid w:val="002E5ADD"/>
    <w:rsid w:val="002F485F"/>
    <w:rsid w:val="002F4CE1"/>
    <w:rsid w:val="00300F22"/>
    <w:rsid w:val="003024F5"/>
    <w:rsid w:val="003042DB"/>
    <w:rsid w:val="00304A37"/>
    <w:rsid w:val="00305DBB"/>
    <w:rsid w:val="00310ED4"/>
    <w:rsid w:val="00312301"/>
    <w:rsid w:val="003137B7"/>
    <w:rsid w:val="0031492A"/>
    <w:rsid w:val="003153F7"/>
    <w:rsid w:val="00316C1A"/>
    <w:rsid w:val="00323C73"/>
    <w:rsid w:val="00325C4D"/>
    <w:rsid w:val="00331141"/>
    <w:rsid w:val="00343CDE"/>
    <w:rsid w:val="00344758"/>
    <w:rsid w:val="00347142"/>
    <w:rsid w:val="0035350F"/>
    <w:rsid w:val="0035398B"/>
    <w:rsid w:val="00354656"/>
    <w:rsid w:val="00354755"/>
    <w:rsid w:val="003565A8"/>
    <w:rsid w:val="003566EA"/>
    <w:rsid w:val="00361223"/>
    <w:rsid w:val="00362005"/>
    <w:rsid w:val="0036207A"/>
    <w:rsid w:val="00362286"/>
    <w:rsid w:val="00371D79"/>
    <w:rsid w:val="00372C79"/>
    <w:rsid w:val="0038076C"/>
    <w:rsid w:val="0038161C"/>
    <w:rsid w:val="00382A18"/>
    <w:rsid w:val="00385C0A"/>
    <w:rsid w:val="003A3FF8"/>
    <w:rsid w:val="003A4C2F"/>
    <w:rsid w:val="003A59E0"/>
    <w:rsid w:val="003A5D3F"/>
    <w:rsid w:val="003A7DA6"/>
    <w:rsid w:val="003B2CCB"/>
    <w:rsid w:val="003B536C"/>
    <w:rsid w:val="003C2BF8"/>
    <w:rsid w:val="003C6D2C"/>
    <w:rsid w:val="003E7BCB"/>
    <w:rsid w:val="003F48FB"/>
    <w:rsid w:val="00405616"/>
    <w:rsid w:val="0041552A"/>
    <w:rsid w:val="00422417"/>
    <w:rsid w:val="00423729"/>
    <w:rsid w:val="00424233"/>
    <w:rsid w:val="0043042B"/>
    <w:rsid w:val="00431E30"/>
    <w:rsid w:val="00442715"/>
    <w:rsid w:val="00460DA1"/>
    <w:rsid w:val="00472020"/>
    <w:rsid w:val="00472EFF"/>
    <w:rsid w:val="00474063"/>
    <w:rsid w:val="00474BF8"/>
    <w:rsid w:val="00476793"/>
    <w:rsid w:val="00480E6E"/>
    <w:rsid w:val="004861F0"/>
    <w:rsid w:val="004902A0"/>
    <w:rsid w:val="00495590"/>
    <w:rsid w:val="004966AC"/>
    <w:rsid w:val="004A187B"/>
    <w:rsid w:val="004A263F"/>
    <w:rsid w:val="004A2D3C"/>
    <w:rsid w:val="004A4BC2"/>
    <w:rsid w:val="004B3114"/>
    <w:rsid w:val="004B4A82"/>
    <w:rsid w:val="004B4F34"/>
    <w:rsid w:val="004B6E8D"/>
    <w:rsid w:val="004C223D"/>
    <w:rsid w:val="004C5785"/>
    <w:rsid w:val="004C7412"/>
    <w:rsid w:val="004D04BF"/>
    <w:rsid w:val="004D6E55"/>
    <w:rsid w:val="004E0DFF"/>
    <w:rsid w:val="004E3789"/>
    <w:rsid w:val="004E47B1"/>
    <w:rsid w:val="004E628D"/>
    <w:rsid w:val="004F01F9"/>
    <w:rsid w:val="004F0ED7"/>
    <w:rsid w:val="004F1C7C"/>
    <w:rsid w:val="004F2FF5"/>
    <w:rsid w:val="00500994"/>
    <w:rsid w:val="005116DF"/>
    <w:rsid w:val="005123F0"/>
    <w:rsid w:val="00513540"/>
    <w:rsid w:val="00513941"/>
    <w:rsid w:val="00526754"/>
    <w:rsid w:val="0053051D"/>
    <w:rsid w:val="005465B0"/>
    <w:rsid w:val="0054662E"/>
    <w:rsid w:val="00546850"/>
    <w:rsid w:val="005531F1"/>
    <w:rsid w:val="0055504F"/>
    <w:rsid w:val="00561590"/>
    <w:rsid w:val="00564208"/>
    <w:rsid w:val="005709EF"/>
    <w:rsid w:val="005714D1"/>
    <w:rsid w:val="00571CEB"/>
    <w:rsid w:val="00576142"/>
    <w:rsid w:val="005839E5"/>
    <w:rsid w:val="005841EB"/>
    <w:rsid w:val="00591951"/>
    <w:rsid w:val="00593D26"/>
    <w:rsid w:val="005944CC"/>
    <w:rsid w:val="005A4A60"/>
    <w:rsid w:val="005B3C58"/>
    <w:rsid w:val="005B68DB"/>
    <w:rsid w:val="005C0E2C"/>
    <w:rsid w:val="005C5D41"/>
    <w:rsid w:val="005C6860"/>
    <w:rsid w:val="005D07A0"/>
    <w:rsid w:val="005D1F34"/>
    <w:rsid w:val="005D30FF"/>
    <w:rsid w:val="005D383D"/>
    <w:rsid w:val="005D765F"/>
    <w:rsid w:val="005E7727"/>
    <w:rsid w:val="005F578D"/>
    <w:rsid w:val="00602789"/>
    <w:rsid w:val="00617D52"/>
    <w:rsid w:val="00633320"/>
    <w:rsid w:val="00633718"/>
    <w:rsid w:val="0063772F"/>
    <w:rsid w:val="006412F9"/>
    <w:rsid w:val="00641655"/>
    <w:rsid w:val="00642B98"/>
    <w:rsid w:val="00650138"/>
    <w:rsid w:val="00653AF5"/>
    <w:rsid w:val="00654793"/>
    <w:rsid w:val="006552B1"/>
    <w:rsid w:val="0066645B"/>
    <w:rsid w:val="00666FDC"/>
    <w:rsid w:val="006757A1"/>
    <w:rsid w:val="00691819"/>
    <w:rsid w:val="00694A09"/>
    <w:rsid w:val="006A00F5"/>
    <w:rsid w:val="006A057A"/>
    <w:rsid w:val="006A239A"/>
    <w:rsid w:val="006A6BB3"/>
    <w:rsid w:val="006B1FA8"/>
    <w:rsid w:val="006B57F3"/>
    <w:rsid w:val="006C45C8"/>
    <w:rsid w:val="006D0F1D"/>
    <w:rsid w:val="006D5EE5"/>
    <w:rsid w:val="006D7415"/>
    <w:rsid w:val="006E5AB5"/>
    <w:rsid w:val="006F2C70"/>
    <w:rsid w:val="006F7856"/>
    <w:rsid w:val="00700ED4"/>
    <w:rsid w:val="00705186"/>
    <w:rsid w:val="00707313"/>
    <w:rsid w:val="00710561"/>
    <w:rsid w:val="00713E0A"/>
    <w:rsid w:val="00713EB2"/>
    <w:rsid w:val="0071566A"/>
    <w:rsid w:val="007253F8"/>
    <w:rsid w:val="00730F1B"/>
    <w:rsid w:val="00732F68"/>
    <w:rsid w:val="00737FA6"/>
    <w:rsid w:val="00743727"/>
    <w:rsid w:val="007528A5"/>
    <w:rsid w:val="00753F0C"/>
    <w:rsid w:val="007540BF"/>
    <w:rsid w:val="00762238"/>
    <w:rsid w:val="00766A82"/>
    <w:rsid w:val="0076751D"/>
    <w:rsid w:val="00770DCB"/>
    <w:rsid w:val="00773013"/>
    <w:rsid w:val="007745BC"/>
    <w:rsid w:val="00775485"/>
    <w:rsid w:val="007777C1"/>
    <w:rsid w:val="0078305B"/>
    <w:rsid w:val="007909D1"/>
    <w:rsid w:val="00791A05"/>
    <w:rsid w:val="007A0816"/>
    <w:rsid w:val="007A40A5"/>
    <w:rsid w:val="007A4D56"/>
    <w:rsid w:val="007B0342"/>
    <w:rsid w:val="007B0635"/>
    <w:rsid w:val="007B2254"/>
    <w:rsid w:val="007B46BC"/>
    <w:rsid w:val="007C12BD"/>
    <w:rsid w:val="007C36F3"/>
    <w:rsid w:val="007D06D6"/>
    <w:rsid w:val="007D3CAA"/>
    <w:rsid w:val="007D3E60"/>
    <w:rsid w:val="007E0D00"/>
    <w:rsid w:val="007E5B88"/>
    <w:rsid w:val="007E6EA2"/>
    <w:rsid w:val="007F0D0B"/>
    <w:rsid w:val="007F69A2"/>
    <w:rsid w:val="008007A8"/>
    <w:rsid w:val="00800A26"/>
    <w:rsid w:val="008042D9"/>
    <w:rsid w:val="0081118E"/>
    <w:rsid w:val="00814FC0"/>
    <w:rsid w:val="008155DB"/>
    <w:rsid w:val="008215B0"/>
    <w:rsid w:val="00824297"/>
    <w:rsid w:val="00827D36"/>
    <w:rsid w:val="00830002"/>
    <w:rsid w:val="00830048"/>
    <w:rsid w:val="00841E53"/>
    <w:rsid w:val="00845232"/>
    <w:rsid w:val="008537C1"/>
    <w:rsid w:val="00857CC2"/>
    <w:rsid w:val="00861AFA"/>
    <w:rsid w:val="008724DE"/>
    <w:rsid w:val="008930F3"/>
    <w:rsid w:val="008973BF"/>
    <w:rsid w:val="008A2D4D"/>
    <w:rsid w:val="008A384D"/>
    <w:rsid w:val="008A3D57"/>
    <w:rsid w:val="008A58EF"/>
    <w:rsid w:val="008B23BC"/>
    <w:rsid w:val="008C275F"/>
    <w:rsid w:val="008C3260"/>
    <w:rsid w:val="008C524B"/>
    <w:rsid w:val="008D296B"/>
    <w:rsid w:val="008E3D60"/>
    <w:rsid w:val="008E3F4C"/>
    <w:rsid w:val="008E5478"/>
    <w:rsid w:val="008E6605"/>
    <w:rsid w:val="008F23A3"/>
    <w:rsid w:val="008F53A8"/>
    <w:rsid w:val="008F6B7B"/>
    <w:rsid w:val="0090165F"/>
    <w:rsid w:val="00901B82"/>
    <w:rsid w:val="009053BC"/>
    <w:rsid w:val="00911BE3"/>
    <w:rsid w:val="00912B09"/>
    <w:rsid w:val="0091647C"/>
    <w:rsid w:val="00933D02"/>
    <w:rsid w:val="00934708"/>
    <w:rsid w:val="00941A65"/>
    <w:rsid w:val="00943607"/>
    <w:rsid w:val="00946F9E"/>
    <w:rsid w:val="00947757"/>
    <w:rsid w:val="00947882"/>
    <w:rsid w:val="00953E2F"/>
    <w:rsid w:val="00957CAD"/>
    <w:rsid w:val="00962090"/>
    <w:rsid w:val="00962267"/>
    <w:rsid w:val="00964E31"/>
    <w:rsid w:val="00966C2F"/>
    <w:rsid w:val="009671A3"/>
    <w:rsid w:val="00972728"/>
    <w:rsid w:val="00973EE6"/>
    <w:rsid w:val="0097512B"/>
    <w:rsid w:val="00985159"/>
    <w:rsid w:val="009948AC"/>
    <w:rsid w:val="009960CB"/>
    <w:rsid w:val="0099752F"/>
    <w:rsid w:val="009B363F"/>
    <w:rsid w:val="009B7D08"/>
    <w:rsid w:val="009C4E24"/>
    <w:rsid w:val="009C7A4C"/>
    <w:rsid w:val="009C7EB0"/>
    <w:rsid w:val="009D56BC"/>
    <w:rsid w:val="009D67F6"/>
    <w:rsid w:val="009E0FE1"/>
    <w:rsid w:val="009F2B1B"/>
    <w:rsid w:val="009F589B"/>
    <w:rsid w:val="00A008CB"/>
    <w:rsid w:val="00A0406E"/>
    <w:rsid w:val="00A10A8B"/>
    <w:rsid w:val="00A11307"/>
    <w:rsid w:val="00A116A8"/>
    <w:rsid w:val="00A13AF3"/>
    <w:rsid w:val="00A152E9"/>
    <w:rsid w:val="00A21388"/>
    <w:rsid w:val="00A22F7B"/>
    <w:rsid w:val="00A27791"/>
    <w:rsid w:val="00A312A4"/>
    <w:rsid w:val="00A41355"/>
    <w:rsid w:val="00A41A7F"/>
    <w:rsid w:val="00A43B92"/>
    <w:rsid w:val="00A457A9"/>
    <w:rsid w:val="00A46CA4"/>
    <w:rsid w:val="00A53C93"/>
    <w:rsid w:val="00A54251"/>
    <w:rsid w:val="00A5716C"/>
    <w:rsid w:val="00A6026C"/>
    <w:rsid w:val="00A6179E"/>
    <w:rsid w:val="00A62263"/>
    <w:rsid w:val="00A64316"/>
    <w:rsid w:val="00A65747"/>
    <w:rsid w:val="00A665FF"/>
    <w:rsid w:val="00A761CC"/>
    <w:rsid w:val="00A8029E"/>
    <w:rsid w:val="00A804D9"/>
    <w:rsid w:val="00A80785"/>
    <w:rsid w:val="00A80E4E"/>
    <w:rsid w:val="00A84077"/>
    <w:rsid w:val="00A85BD2"/>
    <w:rsid w:val="00A913B3"/>
    <w:rsid w:val="00A92F92"/>
    <w:rsid w:val="00A936F4"/>
    <w:rsid w:val="00A94DF5"/>
    <w:rsid w:val="00A96892"/>
    <w:rsid w:val="00A972BE"/>
    <w:rsid w:val="00AA2051"/>
    <w:rsid w:val="00AA24C0"/>
    <w:rsid w:val="00AB21A1"/>
    <w:rsid w:val="00AB33E5"/>
    <w:rsid w:val="00AB3BA8"/>
    <w:rsid w:val="00AB447B"/>
    <w:rsid w:val="00AC701E"/>
    <w:rsid w:val="00AC7DBF"/>
    <w:rsid w:val="00AE0AD1"/>
    <w:rsid w:val="00AE1FCA"/>
    <w:rsid w:val="00AE5F47"/>
    <w:rsid w:val="00AE643B"/>
    <w:rsid w:val="00AF31B4"/>
    <w:rsid w:val="00AF418D"/>
    <w:rsid w:val="00B06EF3"/>
    <w:rsid w:val="00B17CE5"/>
    <w:rsid w:val="00B211FB"/>
    <w:rsid w:val="00B22672"/>
    <w:rsid w:val="00B241BB"/>
    <w:rsid w:val="00B24B1D"/>
    <w:rsid w:val="00B26AD9"/>
    <w:rsid w:val="00B277E0"/>
    <w:rsid w:val="00B324EE"/>
    <w:rsid w:val="00B34324"/>
    <w:rsid w:val="00B34946"/>
    <w:rsid w:val="00B36A5D"/>
    <w:rsid w:val="00B400A6"/>
    <w:rsid w:val="00B519FD"/>
    <w:rsid w:val="00B520BC"/>
    <w:rsid w:val="00B60197"/>
    <w:rsid w:val="00B63D24"/>
    <w:rsid w:val="00B712DD"/>
    <w:rsid w:val="00B725B4"/>
    <w:rsid w:val="00B75FC2"/>
    <w:rsid w:val="00B76AE9"/>
    <w:rsid w:val="00B818BE"/>
    <w:rsid w:val="00B82821"/>
    <w:rsid w:val="00B85B55"/>
    <w:rsid w:val="00B86BB7"/>
    <w:rsid w:val="00B924E6"/>
    <w:rsid w:val="00B96E46"/>
    <w:rsid w:val="00BA14BF"/>
    <w:rsid w:val="00BA262D"/>
    <w:rsid w:val="00BA26A2"/>
    <w:rsid w:val="00BA5698"/>
    <w:rsid w:val="00BA624D"/>
    <w:rsid w:val="00BA6BDB"/>
    <w:rsid w:val="00BB06A2"/>
    <w:rsid w:val="00BB0846"/>
    <w:rsid w:val="00BB682F"/>
    <w:rsid w:val="00BC5132"/>
    <w:rsid w:val="00BC67EA"/>
    <w:rsid w:val="00BC68B9"/>
    <w:rsid w:val="00BC79EB"/>
    <w:rsid w:val="00BD4B0D"/>
    <w:rsid w:val="00BD7B23"/>
    <w:rsid w:val="00BD7FCF"/>
    <w:rsid w:val="00BE3B16"/>
    <w:rsid w:val="00BE6873"/>
    <w:rsid w:val="00BF1927"/>
    <w:rsid w:val="00BF3111"/>
    <w:rsid w:val="00BF4EF7"/>
    <w:rsid w:val="00BF5CD7"/>
    <w:rsid w:val="00BF7988"/>
    <w:rsid w:val="00BF7B2D"/>
    <w:rsid w:val="00C03C4E"/>
    <w:rsid w:val="00C07C47"/>
    <w:rsid w:val="00C1272B"/>
    <w:rsid w:val="00C17AC1"/>
    <w:rsid w:val="00C20E4C"/>
    <w:rsid w:val="00C23013"/>
    <w:rsid w:val="00C23B06"/>
    <w:rsid w:val="00C25BDA"/>
    <w:rsid w:val="00C314FD"/>
    <w:rsid w:val="00C33104"/>
    <w:rsid w:val="00C42EB6"/>
    <w:rsid w:val="00C51A04"/>
    <w:rsid w:val="00C53884"/>
    <w:rsid w:val="00C5398A"/>
    <w:rsid w:val="00C5473D"/>
    <w:rsid w:val="00C67B49"/>
    <w:rsid w:val="00C77926"/>
    <w:rsid w:val="00C854D4"/>
    <w:rsid w:val="00C87213"/>
    <w:rsid w:val="00C90556"/>
    <w:rsid w:val="00C9160C"/>
    <w:rsid w:val="00C95B76"/>
    <w:rsid w:val="00CA0D78"/>
    <w:rsid w:val="00CA1A2E"/>
    <w:rsid w:val="00CA4855"/>
    <w:rsid w:val="00CB24FE"/>
    <w:rsid w:val="00CB3174"/>
    <w:rsid w:val="00CB52D6"/>
    <w:rsid w:val="00CB6049"/>
    <w:rsid w:val="00CD0FCF"/>
    <w:rsid w:val="00CD3D51"/>
    <w:rsid w:val="00CD4612"/>
    <w:rsid w:val="00CD58FD"/>
    <w:rsid w:val="00CE5FEF"/>
    <w:rsid w:val="00CE66CA"/>
    <w:rsid w:val="00CF05F9"/>
    <w:rsid w:val="00CF50C9"/>
    <w:rsid w:val="00D0304D"/>
    <w:rsid w:val="00D0431A"/>
    <w:rsid w:val="00D04AC4"/>
    <w:rsid w:val="00D07C74"/>
    <w:rsid w:val="00D10456"/>
    <w:rsid w:val="00D1286D"/>
    <w:rsid w:val="00D17B59"/>
    <w:rsid w:val="00D221B6"/>
    <w:rsid w:val="00D26316"/>
    <w:rsid w:val="00D2655A"/>
    <w:rsid w:val="00D30A61"/>
    <w:rsid w:val="00D343FA"/>
    <w:rsid w:val="00D418FF"/>
    <w:rsid w:val="00D45A78"/>
    <w:rsid w:val="00D52A35"/>
    <w:rsid w:val="00D5593C"/>
    <w:rsid w:val="00D609EF"/>
    <w:rsid w:val="00D65159"/>
    <w:rsid w:val="00D657D7"/>
    <w:rsid w:val="00D65C76"/>
    <w:rsid w:val="00D6644B"/>
    <w:rsid w:val="00D7124F"/>
    <w:rsid w:val="00D729AD"/>
    <w:rsid w:val="00D734C7"/>
    <w:rsid w:val="00D851E6"/>
    <w:rsid w:val="00D92305"/>
    <w:rsid w:val="00DA2A44"/>
    <w:rsid w:val="00DA2F73"/>
    <w:rsid w:val="00DB3A86"/>
    <w:rsid w:val="00DC23AE"/>
    <w:rsid w:val="00DC462F"/>
    <w:rsid w:val="00DD2AC6"/>
    <w:rsid w:val="00DD62D8"/>
    <w:rsid w:val="00DD6994"/>
    <w:rsid w:val="00DD6A21"/>
    <w:rsid w:val="00DD7BAC"/>
    <w:rsid w:val="00DE60CA"/>
    <w:rsid w:val="00DE7087"/>
    <w:rsid w:val="00E05D13"/>
    <w:rsid w:val="00E0607B"/>
    <w:rsid w:val="00E062E2"/>
    <w:rsid w:val="00E16445"/>
    <w:rsid w:val="00E24FA3"/>
    <w:rsid w:val="00E25F31"/>
    <w:rsid w:val="00E26B28"/>
    <w:rsid w:val="00E31465"/>
    <w:rsid w:val="00E328CD"/>
    <w:rsid w:val="00E34F5B"/>
    <w:rsid w:val="00E35FAE"/>
    <w:rsid w:val="00E36B95"/>
    <w:rsid w:val="00E4003F"/>
    <w:rsid w:val="00E458F6"/>
    <w:rsid w:val="00E45954"/>
    <w:rsid w:val="00E51076"/>
    <w:rsid w:val="00E5336B"/>
    <w:rsid w:val="00E7101A"/>
    <w:rsid w:val="00E73541"/>
    <w:rsid w:val="00E87BE2"/>
    <w:rsid w:val="00E90DF2"/>
    <w:rsid w:val="00E94A22"/>
    <w:rsid w:val="00EA44D9"/>
    <w:rsid w:val="00EA479B"/>
    <w:rsid w:val="00EA6DA3"/>
    <w:rsid w:val="00EB23D1"/>
    <w:rsid w:val="00EB3948"/>
    <w:rsid w:val="00EB3B42"/>
    <w:rsid w:val="00EB4C9F"/>
    <w:rsid w:val="00EB534D"/>
    <w:rsid w:val="00EB6A76"/>
    <w:rsid w:val="00EC4E14"/>
    <w:rsid w:val="00ED15BA"/>
    <w:rsid w:val="00ED2D82"/>
    <w:rsid w:val="00EE44C7"/>
    <w:rsid w:val="00EE6C6F"/>
    <w:rsid w:val="00EE7287"/>
    <w:rsid w:val="00EF299F"/>
    <w:rsid w:val="00F00EF6"/>
    <w:rsid w:val="00F01D11"/>
    <w:rsid w:val="00F038E0"/>
    <w:rsid w:val="00F06F86"/>
    <w:rsid w:val="00F14C6D"/>
    <w:rsid w:val="00F15353"/>
    <w:rsid w:val="00F1606D"/>
    <w:rsid w:val="00F20E68"/>
    <w:rsid w:val="00F21A8D"/>
    <w:rsid w:val="00F30CFC"/>
    <w:rsid w:val="00F333C1"/>
    <w:rsid w:val="00F34051"/>
    <w:rsid w:val="00F41BB7"/>
    <w:rsid w:val="00F441CC"/>
    <w:rsid w:val="00F57382"/>
    <w:rsid w:val="00F6386F"/>
    <w:rsid w:val="00F64D1E"/>
    <w:rsid w:val="00F72043"/>
    <w:rsid w:val="00F77C26"/>
    <w:rsid w:val="00F82927"/>
    <w:rsid w:val="00F94750"/>
    <w:rsid w:val="00FA4916"/>
    <w:rsid w:val="00FA609E"/>
    <w:rsid w:val="00FA72F4"/>
    <w:rsid w:val="00FA7881"/>
    <w:rsid w:val="00FB73FD"/>
    <w:rsid w:val="00FD01B5"/>
    <w:rsid w:val="00FD49F3"/>
    <w:rsid w:val="00FD638F"/>
    <w:rsid w:val="00FE5185"/>
    <w:rsid w:val="00FE6E65"/>
    <w:rsid w:val="00FE797A"/>
    <w:rsid w:val="00FF26EF"/>
    <w:rsid w:val="00FF4210"/>
    <w:rsid w:val="00FF76DD"/>
    <w:rsid w:val="00FF7CF6"/>
    <w:rsid w:val="013D61DB"/>
    <w:rsid w:val="024A8404"/>
    <w:rsid w:val="02568EE2"/>
    <w:rsid w:val="02F260D1"/>
    <w:rsid w:val="0743482A"/>
    <w:rsid w:val="09276A46"/>
    <w:rsid w:val="0A33B350"/>
    <w:rsid w:val="0B6783B9"/>
    <w:rsid w:val="0BA36D59"/>
    <w:rsid w:val="0C015954"/>
    <w:rsid w:val="0C956C82"/>
    <w:rsid w:val="0DCA8AA7"/>
    <w:rsid w:val="0E4D98A4"/>
    <w:rsid w:val="0E674F17"/>
    <w:rsid w:val="0E829F2A"/>
    <w:rsid w:val="0EADA37F"/>
    <w:rsid w:val="0F3A9A76"/>
    <w:rsid w:val="11382685"/>
    <w:rsid w:val="15A60240"/>
    <w:rsid w:val="16B9CE4C"/>
    <w:rsid w:val="17299645"/>
    <w:rsid w:val="182F1EDB"/>
    <w:rsid w:val="1996249D"/>
    <w:rsid w:val="19C805D0"/>
    <w:rsid w:val="1A1E68F6"/>
    <w:rsid w:val="1A74B481"/>
    <w:rsid w:val="1AC54C36"/>
    <w:rsid w:val="1C213BD9"/>
    <w:rsid w:val="1C77B6CC"/>
    <w:rsid w:val="1C89B4EA"/>
    <w:rsid w:val="1D34A20E"/>
    <w:rsid w:val="1ECBCF67"/>
    <w:rsid w:val="1F24ED93"/>
    <w:rsid w:val="1FA15D8C"/>
    <w:rsid w:val="1FC924B7"/>
    <w:rsid w:val="1FEC096E"/>
    <w:rsid w:val="20D1B8EE"/>
    <w:rsid w:val="211195AC"/>
    <w:rsid w:val="2181402A"/>
    <w:rsid w:val="24684AF1"/>
    <w:rsid w:val="24B34446"/>
    <w:rsid w:val="290301F2"/>
    <w:rsid w:val="298B5687"/>
    <w:rsid w:val="2992222C"/>
    <w:rsid w:val="29D891CB"/>
    <w:rsid w:val="2ABEC1C3"/>
    <w:rsid w:val="2BA3D55F"/>
    <w:rsid w:val="2C813EA8"/>
    <w:rsid w:val="2DD3C754"/>
    <w:rsid w:val="2E4284ED"/>
    <w:rsid w:val="2F2CFD2B"/>
    <w:rsid w:val="2FF56F59"/>
    <w:rsid w:val="3157E4D2"/>
    <w:rsid w:val="31AA462F"/>
    <w:rsid w:val="323BFA94"/>
    <w:rsid w:val="33A9D8BF"/>
    <w:rsid w:val="35B3E511"/>
    <w:rsid w:val="36A498E5"/>
    <w:rsid w:val="37267EC2"/>
    <w:rsid w:val="3840D999"/>
    <w:rsid w:val="396D3A37"/>
    <w:rsid w:val="3A0B78E8"/>
    <w:rsid w:val="3B13513D"/>
    <w:rsid w:val="3B576A72"/>
    <w:rsid w:val="3BC3D890"/>
    <w:rsid w:val="3BECBA9E"/>
    <w:rsid w:val="3D772779"/>
    <w:rsid w:val="3E7CCD94"/>
    <w:rsid w:val="3F119C89"/>
    <w:rsid w:val="3FA98526"/>
    <w:rsid w:val="40DE3DC3"/>
    <w:rsid w:val="411E6887"/>
    <w:rsid w:val="44C9C550"/>
    <w:rsid w:val="45DC8531"/>
    <w:rsid w:val="45DDA0F3"/>
    <w:rsid w:val="46382D21"/>
    <w:rsid w:val="49B4D0D2"/>
    <w:rsid w:val="4ACAC30C"/>
    <w:rsid w:val="4B41E6C3"/>
    <w:rsid w:val="4B9935A9"/>
    <w:rsid w:val="4BF62B75"/>
    <w:rsid w:val="4C759244"/>
    <w:rsid w:val="4C8B87CA"/>
    <w:rsid w:val="4D724C29"/>
    <w:rsid w:val="4FFA2CD8"/>
    <w:rsid w:val="50142105"/>
    <w:rsid w:val="50668A0A"/>
    <w:rsid w:val="50F99CF8"/>
    <w:rsid w:val="51826854"/>
    <w:rsid w:val="536DB5C1"/>
    <w:rsid w:val="54563D61"/>
    <w:rsid w:val="54DD1A0C"/>
    <w:rsid w:val="56524F43"/>
    <w:rsid w:val="5652A680"/>
    <w:rsid w:val="56BCD303"/>
    <w:rsid w:val="56DF8044"/>
    <w:rsid w:val="57B498BA"/>
    <w:rsid w:val="57BA164D"/>
    <w:rsid w:val="57DA8CB1"/>
    <w:rsid w:val="58E7D504"/>
    <w:rsid w:val="59A180D1"/>
    <w:rsid w:val="59EBF032"/>
    <w:rsid w:val="5BDE58EE"/>
    <w:rsid w:val="5EA522CC"/>
    <w:rsid w:val="620F2899"/>
    <w:rsid w:val="6277CCAE"/>
    <w:rsid w:val="62A33F12"/>
    <w:rsid w:val="62AE1F7C"/>
    <w:rsid w:val="6336017C"/>
    <w:rsid w:val="639B737D"/>
    <w:rsid w:val="660F6A3C"/>
    <w:rsid w:val="670C86DF"/>
    <w:rsid w:val="674A83BE"/>
    <w:rsid w:val="67513779"/>
    <w:rsid w:val="6AB0B204"/>
    <w:rsid w:val="6CAFC1B4"/>
    <w:rsid w:val="6D1D4CAF"/>
    <w:rsid w:val="6D427577"/>
    <w:rsid w:val="6E1A9260"/>
    <w:rsid w:val="6F7DAD3E"/>
    <w:rsid w:val="6F9C1EFA"/>
    <w:rsid w:val="70051486"/>
    <w:rsid w:val="719E144A"/>
    <w:rsid w:val="7214A63B"/>
    <w:rsid w:val="72B97E49"/>
    <w:rsid w:val="7359373B"/>
    <w:rsid w:val="75DDEC7E"/>
    <w:rsid w:val="76D0D3BD"/>
    <w:rsid w:val="775C7E24"/>
    <w:rsid w:val="781158CD"/>
    <w:rsid w:val="79CED13A"/>
    <w:rsid w:val="7A47EE86"/>
    <w:rsid w:val="7BC9AC78"/>
    <w:rsid w:val="7C217D70"/>
    <w:rsid w:val="7C564370"/>
    <w:rsid w:val="7EA2DDC8"/>
    <w:rsid w:val="7EFB8B19"/>
    <w:rsid w:val="7FA1FC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5DA6B04"/>
  <w15:chartTrackingRefBased/>
  <w15:docId w15:val="{8A597F6B-71AD-4BDA-A1F6-AEF2F436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uiPriority="99"/>
    <w:lsdException w:name="line number" w:locked="1"/>
    <w:lsdException w:name="page number" w:locked="1"/>
    <w:lsdException w:name="endnote reference" w:uiPriority="99" w:qFormat="1"/>
    <w:lsdException w:name="endnote text" w:uiPriority="99"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uiPriority w:val="99"/>
    <w:qFormat/>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aliases w:val="QUOTE"/>
    <w:uiPriority w:val="99"/>
    <w:qFormat/>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uiPriority w:val="99"/>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paragraph" w:styleId="ListParagraph">
    <w:name w:val="List Paragraph"/>
    <w:basedOn w:val="Normal"/>
    <w:uiPriority w:val="34"/>
    <w:qFormat/>
    <w:rsid w:val="00EB23D1"/>
    <w:pPr>
      <w:spacing w:before="0" w:after="0"/>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unhideWhenUsed/>
    <w:locked/>
    <w:rsid w:val="00EB23D1"/>
    <w:rPr>
      <w:sz w:val="16"/>
      <w:szCs w:val="16"/>
    </w:rPr>
  </w:style>
  <w:style w:type="paragraph" w:styleId="CommentText">
    <w:name w:val="annotation text"/>
    <w:basedOn w:val="Normal"/>
    <w:link w:val="CommentTextChar"/>
    <w:uiPriority w:val="99"/>
    <w:unhideWhenUsed/>
    <w:locked/>
    <w:rsid w:val="00EB23D1"/>
    <w:pPr>
      <w:spacing w:before="0" w:after="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B23D1"/>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nhideWhenUsed/>
    <w:locked/>
    <w:rsid w:val="004966AC"/>
    <w:pPr>
      <w:spacing w:before="240" w:after="240"/>
    </w:pPr>
    <w:rPr>
      <w:rFonts w:ascii="Arial" w:eastAsia="MS Mincho" w:hAnsi="Arial" w:cs="Times New Roman"/>
      <w:b/>
      <w:bCs/>
      <w:lang w:eastAsia="en-AU"/>
    </w:rPr>
  </w:style>
  <w:style w:type="character" w:customStyle="1" w:styleId="CommentSubjectChar">
    <w:name w:val="Comment Subject Char"/>
    <w:basedOn w:val="CommentTextChar"/>
    <w:link w:val="CommentSubject"/>
    <w:rsid w:val="004966AC"/>
    <w:rPr>
      <w:rFonts w:ascii="Arial" w:eastAsia="MS Mincho" w:hAnsi="Arial" w:cstheme="minorBidi"/>
      <w:b/>
      <w:bCs/>
      <w:lang w:eastAsia="en-US"/>
    </w:rPr>
  </w:style>
  <w:style w:type="paragraph" w:styleId="Index1">
    <w:name w:val="index 1"/>
    <w:basedOn w:val="Normal"/>
    <w:next w:val="Normal"/>
    <w:autoRedefine/>
    <w:locked/>
    <w:rsid w:val="007B2254"/>
    <w:pPr>
      <w:spacing w:before="0" w:after="0"/>
      <w:ind w:left="240" w:hanging="240"/>
    </w:pPr>
  </w:style>
  <w:style w:type="paragraph" w:styleId="Index2">
    <w:name w:val="index 2"/>
    <w:basedOn w:val="Normal"/>
    <w:next w:val="Normal"/>
    <w:autoRedefine/>
    <w:locked/>
    <w:rsid w:val="007B2254"/>
    <w:pPr>
      <w:spacing w:before="0" w:after="0"/>
      <w:ind w:left="480" w:hanging="240"/>
    </w:pPr>
  </w:style>
  <w:style w:type="paragraph" w:styleId="Index3">
    <w:name w:val="index 3"/>
    <w:basedOn w:val="Normal"/>
    <w:next w:val="Normal"/>
    <w:autoRedefine/>
    <w:locked/>
    <w:rsid w:val="007B2254"/>
    <w:pPr>
      <w:spacing w:before="0" w:after="0"/>
      <w:ind w:left="720" w:hanging="240"/>
    </w:pPr>
  </w:style>
  <w:style w:type="character" w:styleId="UnresolvedMention">
    <w:name w:val="Unresolved Mention"/>
    <w:basedOn w:val="DefaultParagraphFont"/>
    <w:uiPriority w:val="99"/>
    <w:semiHidden/>
    <w:unhideWhenUsed/>
    <w:rsid w:val="00C314FD"/>
    <w:rPr>
      <w:color w:val="605E5C"/>
      <w:shd w:val="clear" w:color="auto" w:fill="E1DFDD"/>
    </w:rPr>
  </w:style>
  <w:style w:type="paragraph" w:styleId="Revision">
    <w:name w:val="Revision"/>
    <w:hidden/>
    <w:uiPriority w:val="99"/>
    <w:semiHidden/>
    <w:rsid w:val="007D06D6"/>
    <w:rPr>
      <w:rFonts w:ascii="Arial" w:eastAsia="MS Mincho"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21943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s://australianhrc.sharepoint.com/sites/PolicyExternalProjects/HRS_ParliamentaryScrutiny19/C-T/CT%20subs/2020.06.26%20Draft%20submission%20to%20PJCIS%20Review%20of%20ASIO%20Amendment%20Bill%202020%20AM.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inslm.gov.au/reviews-reports/certain-questioning-and-detention-powers-relation-terorism" TargetMode="External"/><Relationship Id="rId13" Type="http://schemas.openxmlformats.org/officeDocument/2006/relationships/hyperlink" Target="https://www.aph.gov.au/Parliamentary_Business/Committees/Joint/Intelligence_and_Security/ASIO/Submissions" TargetMode="External"/><Relationship Id="rId3" Type="http://schemas.openxmlformats.org/officeDocument/2006/relationships/hyperlink" Target="https://www.aph.gov.au/Parliamentary_Business/Committees/Joint/Intelligence_and_Security/ASIO/Submissions" TargetMode="External"/><Relationship Id="rId7" Type="http://schemas.openxmlformats.org/officeDocument/2006/relationships/hyperlink" Target="https://www.pmc.gov.au/sites/default/files/publications/INSLM_Annual_Report_20121220.pdf" TargetMode="External"/><Relationship Id="rId12" Type="http://schemas.openxmlformats.org/officeDocument/2006/relationships/hyperlink" Target="https://www.aph.gov.au/Parliamentary_Business/Committees/Joint/Intelligence_and_Security/ASIO/Submissions" TargetMode="External"/><Relationship Id="rId2" Type="http://schemas.openxmlformats.org/officeDocument/2006/relationships/hyperlink" Target="https://www.aph.gov.au/Parliamentary_Business/Committees/Joint/Intelligence_and_Security/ASIO/Submissions" TargetMode="External"/><Relationship Id="rId1" Type="http://schemas.openxmlformats.org/officeDocument/2006/relationships/hyperlink" Target="https://www.aph.gov.au/Parliamentary_Business/Committees/Joint/Intelligence_and_Security/ASIO/Report" TargetMode="External"/><Relationship Id="rId6" Type="http://schemas.openxmlformats.org/officeDocument/2006/relationships/hyperlink" Target="https://www.aph.gov.au/Parliamentary_Business/Committees/House_of_Representatives_Committees?url=pjcaad/asio_ques_detention/report.htm" TargetMode="External"/><Relationship Id="rId11" Type="http://schemas.openxmlformats.org/officeDocument/2006/relationships/hyperlink" Target="https://www.inslm.gov.au/reviews-reports/certain-questioning-and-detention-powers-relation-terorism" TargetMode="External"/><Relationship Id="rId5" Type="http://schemas.openxmlformats.org/officeDocument/2006/relationships/hyperlink" Target="https://www.aph.gov.au/Parliamentary_Business/Committees/Joint/Intelligence_and_Security/ASIO/Submissions" TargetMode="External"/><Relationship Id="rId10" Type="http://schemas.openxmlformats.org/officeDocument/2006/relationships/hyperlink" Target="https://www.inslm.gov.au/reviews-reports/certain-questioning-and-detention-powers-relation-terorism" TargetMode="External"/><Relationship Id="rId4" Type="http://schemas.openxmlformats.org/officeDocument/2006/relationships/hyperlink" Target="https://www.inslm.gov.au/reviews-reports/certain-questioning-and-detention-powers-relation-terorism" TargetMode="External"/><Relationship Id="rId9" Type="http://schemas.openxmlformats.org/officeDocument/2006/relationships/hyperlink" Target="https://www.inslm.gov.au/reviews-reports/certain-questioning-and-detention-powers-relation-terorism" TargetMode="External"/><Relationship Id="rId14" Type="http://schemas.openxmlformats.org/officeDocument/2006/relationships/hyperlink" Target="https://www.aph.gov.au/Parliamentary_Business/Committees/Joint/Intelligence_and_Security/ASIO/Sub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der xmlns="6500fe01-343b-4fb9-a1b0-68ac19d62e01" xsi:nil="true"/>
    <TaxCatchAll xmlns="6500fe01-343b-4fb9-a1b0-68ac19d62e01"/>
    <TaxKeywordTaxHTField xmlns="6500fe01-343b-4fb9-a1b0-68ac19d62e01">
      <Terms xmlns="http://schemas.microsoft.com/office/infopath/2007/PartnerControls"/>
    </TaxKeywordTaxHTField>
    <Has_x0020_Attachments xmlns="f38bc97f-71db-45c8-93e4-332747d752e1" xsi:nil="true"/>
    <From1 xmlns="f38bc97f-71db-45c8-93e4-332747d752e1" xsi:nil="true"/>
    <To xmlns="f38bc97f-71db-45c8-93e4-332747d752e1" xsi:nil="true"/>
    <Subdivider xmlns="f38bc97f-71db-45c8-93e4-332747d752e1" xsi:nil="true"/>
    <Open_x0020_in_x0020_Outlook xmlns="f38bc97f-71db-45c8-93e4-332747d752e1" xsi:nil="true"/>
    <fbe8333e833142b1aa4e528d7d71931d xmlns="f38bc97f-71db-45c8-93e4-332747d752e1">
      <Terms xmlns="http://schemas.microsoft.com/office/infopath/2007/PartnerControls"/>
    </fbe8333e833142b1aa4e528d7d71931d>
    <Download xmlns="f38bc97f-71db-45c8-93e4-332747d752e1" xsi:nil="true"/>
    <Received_x002f_Sent xmlns="f38bc97f-71db-45c8-93e4-332747d752e1" xsi:nil="true"/>
    <_dlc_DocId xmlns="6500fe01-343b-4fb9-a1b0-68ac19d62e01">RUUPY3S2X5Q7-1550657363-3964</_dlc_DocId>
    <_dlc_DocIdUrl xmlns="6500fe01-343b-4fb9-a1b0-68ac19d62e01">
      <Url>https://australianhrc.sharepoint.com/sites/PolicyExternalProjects/_layouts/15/DocIdRedir.aspx?ID=RUUPY3S2X5Q7-1550657363-3964</Url>
      <Description>RUUPY3S2X5Q7-1550657363-3964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4D1487658F835419ADC3363FFD4FEF8" ma:contentTypeVersion="1722" ma:contentTypeDescription="Create a new document." ma:contentTypeScope="" ma:versionID="005167ad7dd591bf2fcb19302e978f77">
  <xsd:schema xmlns:xsd="http://www.w3.org/2001/XMLSchema" xmlns:xs="http://www.w3.org/2001/XMLSchema" xmlns:p="http://schemas.microsoft.com/office/2006/metadata/properties" xmlns:ns2="f38bc97f-71db-45c8-93e4-332747d752e1" xmlns:ns3="6500fe01-343b-4fb9-a1b0-68ac19d62e01" xmlns:ns4="ac8ba506-6265-4c21-a7fd-e180f1d990c1" targetNamespace="http://schemas.microsoft.com/office/2006/metadata/properties" ma:root="true" ma:fieldsID="46ee222a494b01dd80fb5af5121a2d28" ns2:_="" ns3:_="" ns4:_="">
    <xsd:import namespace="f38bc97f-71db-45c8-93e4-332747d752e1"/>
    <xsd:import namespace="6500fe01-343b-4fb9-a1b0-68ac19d62e01"/>
    <xsd:import namespace="ac8ba506-6265-4c21-a7fd-e180f1d990c1"/>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ternalName="Download" ma:readOnly="false">
      <xsd:simpleType>
        <xsd:restriction base="dms:Text">
          <xsd:maxLength value="255"/>
        </xsd:restriction>
      </xsd:simpleType>
    </xsd:element>
    <xsd:element name="Open_x0020_in_x0020_Outlook" ma:index="25" nillable="true" ma:displayName="Open in Outlook" ma:hidden="true" ma:internalName="Open_x0020_in_x0020_Outlook" ma:readOnly="false">
      <xsd:simpleType>
        <xsd:restriction base="dms:Text">
          <xsd:maxLength value="255"/>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8ba506-6265-4c21-a7fd-e180f1d990c1"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0ACD18A-6465-4AE4-B139-A41DE48CFCE1}">
  <ds:schemaRefs>
    <ds:schemaRef ds:uri="Microsoft.SharePoint.Taxonomy.ContentTypeSync"/>
  </ds:schemaRefs>
</ds:datastoreItem>
</file>

<file path=customXml/itemProps2.xml><?xml version="1.0" encoding="utf-8"?>
<ds:datastoreItem xmlns:ds="http://schemas.openxmlformats.org/officeDocument/2006/customXml" ds:itemID="{8D69B865-29EF-4704-8BB1-E12297F3E663}">
  <ds:schemaRefs>
    <ds:schemaRef ds:uri="http://schemas.microsoft.com/sharepoint/v3/contenttype/forms"/>
  </ds:schemaRefs>
</ds:datastoreItem>
</file>

<file path=customXml/itemProps3.xml><?xml version="1.0" encoding="utf-8"?>
<ds:datastoreItem xmlns:ds="http://schemas.openxmlformats.org/officeDocument/2006/customXml" ds:itemID="{74FBD4FA-3A1F-4A9F-BC38-52E93CCB8AC5}">
  <ds:schemaRefs>
    <ds:schemaRef ds:uri="http://schemas.microsoft.com/office/2006/metadata/properties"/>
    <ds:schemaRef ds:uri="http://schemas.microsoft.com/office/infopath/2007/PartnerControls"/>
    <ds:schemaRef ds:uri="6500fe01-343b-4fb9-a1b0-68ac19d62e01"/>
    <ds:schemaRef ds:uri="f38bc97f-71db-45c8-93e4-332747d752e1"/>
  </ds:schemaRefs>
</ds:datastoreItem>
</file>

<file path=customXml/itemProps4.xml><?xml version="1.0" encoding="utf-8"?>
<ds:datastoreItem xmlns:ds="http://schemas.openxmlformats.org/officeDocument/2006/customXml" ds:itemID="{FE6B2CA3-24CB-DB4A-BCBA-E62A144F055F}">
  <ds:schemaRefs>
    <ds:schemaRef ds:uri="http://schemas.openxmlformats.org/officeDocument/2006/bibliography"/>
  </ds:schemaRefs>
</ds:datastoreItem>
</file>

<file path=customXml/itemProps5.xml><?xml version="1.0" encoding="utf-8"?>
<ds:datastoreItem xmlns:ds="http://schemas.openxmlformats.org/officeDocument/2006/customXml" ds:itemID="{4371C9C8-E28D-41B3-BAED-5B50E8FEA012}">
  <ds:schemaRefs>
    <ds:schemaRef ds:uri="http://schemas.microsoft.com/sharepoint/events"/>
  </ds:schemaRefs>
</ds:datastoreItem>
</file>

<file path=customXml/itemProps6.xml><?xml version="1.0" encoding="utf-8"?>
<ds:datastoreItem xmlns:ds="http://schemas.openxmlformats.org/officeDocument/2006/customXml" ds:itemID="{CC82DECB-98DB-43D9-BBEE-295440C98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c97f-71db-45c8-93e4-332747d752e1"/>
    <ds:schemaRef ds:uri="6500fe01-343b-4fb9-a1b0-68ac19d62e01"/>
    <ds:schemaRef ds:uri="ac8ba506-6265-4c21-a7fd-e180f1d99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A277E3E-9637-4BEA-A17B-B41E9C9E09F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33</Pages>
  <Words>9504</Words>
  <Characters>54175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submission template</vt:lpstr>
    </vt:vector>
  </TitlesOfParts>
  <Company>Human Rights and Equal Opportunity Commission</Company>
  <LinksUpToDate>false</LinksUpToDate>
  <CharactersWithSpaces>63552</CharactersWithSpaces>
  <SharedDoc>false</SharedDoc>
  <HLinks>
    <vt:vector size="228" baseType="variant">
      <vt:variant>
        <vt:i4>1900597</vt:i4>
      </vt:variant>
      <vt:variant>
        <vt:i4>140</vt:i4>
      </vt:variant>
      <vt:variant>
        <vt:i4>0</vt:i4>
      </vt:variant>
      <vt:variant>
        <vt:i4>5</vt:i4>
      </vt:variant>
      <vt:variant>
        <vt:lpwstr/>
      </vt:variant>
      <vt:variant>
        <vt:lpwstr>_Toc44496136</vt:lpwstr>
      </vt:variant>
      <vt:variant>
        <vt:i4>1966133</vt:i4>
      </vt:variant>
      <vt:variant>
        <vt:i4>134</vt:i4>
      </vt:variant>
      <vt:variant>
        <vt:i4>0</vt:i4>
      </vt:variant>
      <vt:variant>
        <vt:i4>5</vt:i4>
      </vt:variant>
      <vt:variant>
        <vt:lpwstr/>
      </vt:variant>
      <vt:variant>
        <vt:lpwstr>_Toc44496135</vt:lpwstr>
      </vt:variant>
      <vt:variant>
        <vt:i4>2031669</vt:i4>
      </vt:variant>
      <vt:variant>
        <vt:i4>128</vt:i4>
      </vt:variant>
      <vt:variant>
        <vt:i4>0</vt:i4>
      </vt:variant>
      <vt:variant>
        <vt:i4>5</vt:i4>
      </vt:variant>
      <vt:variant>
        <vt:lpwstr/>
      </vt:variant>
      <vt:variant>
        <vt:lpwstr>_Toc44496134</vt:lpwstr>
      </vt:variant>
      <vt:variant>
        <vt:i4>1572917</vt:i4>
      </vt:variant>
      <vt:variant>
        <vt:i4>122</vt:i4>
      </vt:variant>
      <vt:variant>
        <vt:i4>0</vt:i4>
      </vt:variant>
      <vt:variant>
        <vt:i4>5</vt:i4>
      </vt:variant>
      <vt:variant>
        <vt:lpwstr/>
      </vt:variant>
      <vt:variant>
        <vt:lpwstr>_Toc44496133</vt:lpwstr>
      </vt:variant>
      <vt:variant>
        <vt:i4>1638453</vt:i4>
      </vt:variant>
      <vt:variant>
        <vt:i4>116</vt:i4>
      </vt:variant>
      <vt:variant>
        <vt:i4>0</vt:i4>
      </vt:variant>
      <vt:variant>
        <vt:i4>5</vt:i4>
      </vt:variant>
      <vt:variant>
        <vt:lpwstr/>
      </vt:variant>
      <vt:variant>
        <vt:lpwstr>_Toc44496132</vt:lpwstr>
      </vt:variant>
      <vt:variant>
        <vt:i4>1703989</vt:i4>
      </vt:variant>
      <vt:variant>
        <vt:i4>110</vt:i4>
      </vt:variant>
      <vt:variant>
        <vt:i4>0</vt:i4>
      </vt:variant>
      <vt:variant>
        <vt:i4>5</vt:i4>
      </vt:variant>
      <vt:variant>
        <vt:lpwstr/>
      </vt:variant>
      <vt:variant>
        <vt:lpwstr>_Toc44496131</vt:lpwstr>
      </vt:variant>
      <vt:variant>
        <vt:i4>1769525</vt:i4>
      </vt:variant>
      <vt:variant>
        <vt:i4>104</vt:i4>
      </vt:variant>
      <vt:variant>
        <vt:i4>0</vt:i4>
      </vt:variant>
      <vt:variant>
        <vt:i4>5</vt:i4>
      </vt:variant>
      <vt:variant>
        <vt:lpwstr/>
      </vt:variant>
      <vt:variant>
        <vt:lpwstr>_Toc44496130</vt:lpwstr>
      </vt:variant>
      <vt:variant>
        <vt:i4>1179700</vt:i4>
      </vt:variant>
      <vt:variant>
        <vt:i4>98</vt:i4>
      </vt:variant>
      <vt:variant>
        <vt:i4>0</vt:i4>
      </vt:variant>
      <vt:variant>
        <vt:i4>5</vt:i4>
      </vt:variant>
      <vt:variant>
        <vt:lpwstr/>
      </vt:variant>
      <vt:variant>
        <vt:lpwstr>_Toc44496129</vt:lpwstr>
      </vt:variant>
      <vt:variant>
        <vt:i4>1245236</vt:i4>
      </vt:variant>
      <vt:variant>
        <vt:i4>92</vt:i4>
      </vt:variant>
      <vt:variant>
        <vt:i4>0</vt:i4>
      </vt:variant>
      <vt:variant>
        <vt:i4>5</vt:i4>
      </vt:variant>
      <vt:variant>
        <vt:lpwstr/>
      </vt:variant>
      <vt:variant>
        <vt:lpwstr>_Toc44496128</vt:lpwstr>
      </vt:variant>
      <vt:variant>
        <vt:i4>1835060</vt:i4>
      </vt:variant>
      <vt:variant>
        <vt:i4>86</vt:i4>
      </vt:variant>
      <vt:variant>
        <vt:i4>0</vt:i4>
      </vt:variant>
      <vt:variant>
        <vt:i4>5</vt:i4>
      </vt:variant>
      <vt:variant>
        <vt:lpwstr/>
      </vt:variant>
      <vt:variant>
        <vt:lpwstr>_Toc44496127</vt:lpwstr>
      </vt:variant>
      <vt:variant>
        <vt:i4>1900596</vt:i4>
      </vt:variant>
      <vt:variant>
        <vt:i4>80</vt:i4>
      </vt:variant>
      <vt:variant>
        <vt:i4>0</vt:i4>
      </vt:variant>
      <vt:variant>
        <vt:i4>5</vt:i4>
      </vt:variant>
      <vt:variant>
        <vt:lpwstr/>
      </vt:variant>
      <vt:variant>
        <vt:lpwstr>_Toc44496126</vt:lpwstr>
      </vt:variant>
      <vt:variant>
        <vt:i4>1966132</vt:i4>
      </vt:variant>
      <vt:variant>
        <vt:i4>74</vt:i4>
      </vt:variant>
      <vt:variant>
        <vt:i4>0</vt:i4>
      </vt:variant>
      <vt:variant>
        <vt:i4>5</vt:i4>
      </vt:variant>
      <vt:variant>
        <vt:lpwstr/>
      </vt:variant>
      <vt:variant>
        <vt:lpwstr>_Toc44496125</vt:lpwstr>
      </vt:variant>
      <vt:variant>
        <vt:i4>2031668</vt:i4>
      </vt:variant>
      <vt:variant>
        <vt:i4>68</vt:i4>
      </vt:variant>
      <vt:variant>
        <vt:i4>0</vt:i4>
      </vt:variant>
      <vt:variant>
        <vt:i4>5</vt:i4>
      </vt:variant>
      <vt:variant>
        <vt:lpwstr/>
      </vt:variant>
      <vt:variant>
        <vt:lpwstr>_Toc44496124</vt:lpwstr>
      </vt:variant>
      <vt:variant>
        <vt:i4>1572916</vt:i4>
      </vt:variant>
      <vt:variant>
        <vt:i4>62</vt:i4>
      </vt:variant>
      <vt:variant>
        <vt:i4>0</vt:i4>
      </vt:variant>
      <vt:variant>
        <vt:i4>5</vt:i4>
      </vt:variant>
      <vt:variant>
        <vt:lpwstr/>
      </vt:variant>
      <vt:variant>
        <vt:lpwstr>_Toc44496123</vt:lpwstr>
      </vt:variant>
      <vt:variant>
        <vt:i4>1638452</vt:i4>
      </vt:variant>
      <vt:variant>
        <vt:i4>56</vt:i4>
      </vt:variant>
      <vt:variant>
        <vt:i4>0</vt:i4>
      </vt:variant>
      <vt:variant>
        <vt:i4>5</vt:i4>
      </vt:variant>
      <vt:variant>
        <vt:lpwstr/>
      </vt:variant>
      <vt:variant>
        <vt:lpwstr>_Toc44496122</vt:lpwstr>
      </vt:variant>
      <vt:variant>
        <vt:i4>1703988</vt:i4>
      </vt:variant>
      <vt:variant>
        <vt:i4>50</vt:i4>
      </vt:variant>
      <vt:variant>
        <vt:i4>0</vt:i4>
      </vt:variant>
      <vt:variant>
        <vt:i4>5</vt:i4>
      </vt:variant>
      <vt:variant>
        <vt:lpwstr/>
      </vt:variant>
      <vt:variant>
        <vt:lpwstr>_Toc44496121</vt:lpwstr>
      </vt:variant>
      <vt:variant>
        <vt:i4>1769524</vt:i4>
      </vt:variant>
      <vt:variant>
        <vt:i4>44</vt:i4>
      </vt:variant>
      <vt:variant>
        <vt:i4>0</vt:i4>
      </vt:variant>
      <vt:variant>
        <vt:i4>5</vt:i4>
      </vt:variant>
      <vt:variant>
        <vt:lpwstr/>
      </vt:variant>
      <vt:variant>
        <vt:lpwstr>_Toc44496120</vt:lpwstr>
      </vt:variant>
      <vt:variant>
        <vt:i4>1179703</vt:i4>
      </vt:variant>
      <vt:variant>
        <vt:i4>38</vt:i4>
      </vt:variant>
      <vt:variant>
        <vt:i4>0</vt:i4>
      </vt:variant>
      <vt:variant>
        <vt:i4>5</vt:i4>
      </vt:variant>
      <vt:variant>
        <vt:lpwstr/>
      </vt:variant>
      <vt:variant>
        <vt:lpwstr>_Toc44496119</vt:lpwstr>
      </vt:variant>
      <vt:variant>
        <vt:i4>1245239</vt:i4>
      </vt:variant>
      <vt:variant>
        <vt:i4>32</vt:i4>
      </vt:variant>
      <vt:variant>
        <vt:i4>0</vt:i4>
      </vt:variant>
      <vt:variant>
        <vt:i4>5</vt:i4>
      </vt:variant>
      <vt:variant>
        <vt:lpwstr/>
      </vt:variant>
      <vt:variant>
        <vt:lpwstr>_Toc44496118</vt:lpwstr>
      </vt:variant>
      <vt:variant>
        <vt:i4>1835063</vt:i4>
      </vt:variant>
      <vt:variant>
        <vt:i4>26</vt:i4>
      </vt:variant>
      <vt:variant>
        <vt:i4>0</vt:i4>
      </vt:variant>
      <vt:variant>
        <vt:i4>5</vt:i4>
      </vt:variant>
      <vt:variant>
        <vt:lpwstr/>
      </vt:variant>
      <vt:variant>
        <vt:lpwstr>_Toc44496117</vt:lpwstr>
      </vt:variant>
      <vt:variant>
        <vt:i4>1900599</vt:i4>
      </vt:variant>
      <vt:variant>
        <vt:i4>20</vt:i4>
      </vt:variant>
      <vt:variant>
        <vt:i4>0</vt:i4>
      </vt:variant>
      <vt:variant>
        <vt:i4>5</vt:i4>
      </vt:variant>
      <vt:variant>
        <vt:lpwstr/>
      </vt:variant>
      <vt:variant>
        <vt:lpwstr>_Toc44496116</vt:lpwstr>
      </vt:variant>
      <vt:variant>
        <vt:i4>1966135</vt:i4>
      </vt:variant>
      <vt:variant>
        <vt:i4>14</vt:i4>
      </vt:variant>
      <vt:variant>
        <vt:i4>0</vt:i4>
      </vt:variant>
      <vt:variant>
        <vt:i4>5</vt:i4>
      </vt:variant>
      <vt:variant>
        <vt:lpwstr/>
      </vt:variant>
      <vt:variant>
        <vt:lpwstr>_Toc44496115</vt:lpwstr>
      </vt:variant>
      <vt:variant>
        <vt:i4>2031671</vt:i4>
      </vt:variant>
      <vt:variant>
        <vt:i4>8</vt:i4>
      </vt:variant>
      <vt:variant>
        <vt:i4>0</vt:i4>
      </vt:variant>
      <vt:variant>
        <vt:i4>5</vt:i4>
      </vt:variant>
      <vt:variant>
        <vt:lpwstr/>
      </vt:variant>
      <vt:variant>
        <vt:lpwstr>_Toc44496114</vt:lpwstr>
      </vt:variant>
      <vt:variant>
        <vt:i4>8257590</vt:i4>
      </vt:variant>
      <vt:variant>
        <vt:i4>2</vt:i4>
      </vt:variant>
      <vt:variant>
        <vt:i4>0</vt:i4>
      </vt:variant>
      <vt:variant>
        <vt:i4>5</vt:i4>
      </vt:variant>
      <vt:variant>
        <vt:lpwstr>https://australianhrc.sharepoint.com/sites/PolicyExternalProjects/HRS_ParliamentaryScrutiny19/C-T/CT subs/2020.06.26 Draft submission to PJCIS Review of ASIO Amendment Bill 2020 AM.docx</vt:lpwstr>
      </vt:variant>
      <vt:variant>
        <vt:lpwstr>_Toc44496113</vt:lpwstr>
      </vt:variant>
      <vt:variant>
        <vt:i4>6094964</vt:i4>
      </vt:variant>
      <vt:variant>
        <vt:i4>39</vt:i4>
      </vt:variant>
      <vt:variant>
        <vt:i4>0</vt:i4>
      </vt:variant>
      <vt:variant>
        <vt:i4>5</vt:i4>
      </vt:variant>
      <vt:variant>
        <vt:lpwstr>https://www.aph.gov.au/Parliamentary_Business/Committees/Joint/Intelligence_and_Security/ASIO/Submissions</vt:lpwstr>
      </vt:variant>
      <vt:variant>
        <vt:lpwstr/>
      </vt:variant>
      <vt:variant>
        <vt:i4>6094964</vt:i4>
      </vt:variant>
      <vt:variant>
        <vt:i4>36</vt:i4>
      </vt:variant>
      <vt:variant>
        <vt:i4>0</vt:i4>
      </vt:variant>
      <vt:variant>
        <vt:i4>5</vt:i4>
      </vt:variant>
      <vt:variant>
        <vt:lpwstr>https://www.aph.gov.au/Parliamentary_Business/Committees/Joint/Intelligence_and_Security/ASIO/Submissions</vt:lpwstr>
      </vt:variant>
      <vt:variant>
        <vt:lpwstr/>
      </vt:variant>
      <vt:variant>
        <vt:i4>6094964</vt:i4>
      </vt:variant>
      <vt:variant>
        <vt:i4>33</vt:i4>
      </vt:variant>
      <vt:variant>
        <vt:i4>0</vt:i4>
      </vt:variant>
      <vt:variant>
        <vt:i4>5</vt:i4>
      </vt:variant>
      <vt:variant>
        <vt:lpwstr>https://www.aph.gov.au/Parliamentary_Business/Committees/Joint/Intelligence_and_Security/ASIO/Submissions</vt:lpwstr>
      </vt:variant>
      <vt:variant>
        <vt:lpwstr/>
      </vt:variant>
      <vt:variant>
        <vt:i4>8257599</vt:i4>
      </vt:variant>
      <vt:variant>
        <vt:i4>30</vt:i4>
      </vt:variant>
      <vt:variant>
        <vt:i4>0</vt:i4>
      </vt:variant>
      <vt:variant>
        <vt:i4>5</vt:i4>
      </vt:variant>
      <vt:variant>
        <vt:lpwstr>https://www.inslm.gov.au/reviews-reports/certain-questioning-and-detention-powers-relation-terorism</vt:lpwstr>
      </vt:variant>
      <vt:variant>
        <vt:lpwstr/>
      </vt:variant>
      <vt:variant>
        <vt:i4>8257599</vt:i4>
      </vt:variant>
      <vt:variant>
        <vt:i4>27</vt:i4>
      </vt:variant>
      <vt:variant>
        <vt:i4>0</vt:i4>
      </vt:variant>
      <vt:variant>
        <vt:i4>5</vt:i4>
      </vt:variant>
      <vt:variant>
        <vt:lpwstr>https://www.inslm.gov.au/reviews-reports/certain-questioning-and-detention-powers-relation-terorism</vt:lpwstr>
      </vt:variant>
      <vt:variant>
        <vt:lpwstr/>
      </vt:variant>
      <vt:variant>
        <vt:i4>8257599</vt:i4>
      </vt:variant>
      <vt:variant>
        <vt:i4>24</vt:i4>
      </vt:variant>
      <vt:variant>
        <vt:i4>0</vt:i4>
      </vt:variant>
      <vt:variant>
        <vt:i4>5</vt:i4>
      </vt:variant>
      <vt:variant>
        <vt:lpwstr>https://www.inslm.gov.au/reviews-reports/certain-questioning-and-detention-powers-relation-terorism</vt:lpwstr>
      </vt:variant>
      <vt:variant>
        <vt:lpwstr/>
      </vt:variant>
      <vt:variant>
        <vt:i4>8257599</vt:i4>
      </vt:variant>
      <vt:variant>
        <vt:i4>21</vt:i4>
      </vt:variant>
      <vt:variant>
        <vt:i4>0</vt:i4>
      </vt:variant>
      <vt:variant>
        <vt:i4>5</vt:i4>
      </vt:variant>
      <vt:variant>
        <vt:lpwstr>https://www.inslm.gov.au/reviews-reports/certain-questioning-and-detention-powers-relation-terorism</vt:lpwstr>
      </vt:variant>
      <vt:variant>
        <vt:lpwstr/>
      </vt:variant>
      <vt:variant>
        <vt:i4>1048619</vt:i4>
      </vt:variant>
      <vt:variant>
        <vt:i4>18</vt:i4>
      </vt:variant>
      <vt:variant>
        <vt:i4>0</vt:i4>
      </vt:variant>
      <vt:variant>
        <vt:i4>5</vt:i4>
      </vt:variant>
      <vt:variant>
        <vt:lpwstr>https://www.pmc.gov.au/sites/default/files/publications/INSLM_Annual_Report_20121220.pdf</vt:lpwstr>
      </vt:variant>
      <vt:variant>
        <vt:lpwstr/>
      </vt:variant>
      <vt:variant>
        <vt:i4>6094940</vt:i4>
      </vt:variant>
      <vt:variant>
        <vt:i4>15</vt:i4>
      </vt:variant>
      <vt:variant>
        <vt:i4>0</vt:i4>
      </vt:variant>
      <vt:variant>
        <vt:i4>5</vt:i4>
      </vt:variant>
      <vt:variant>
        <vt:lpwstr>https://www.aph.gov.au/Parliamentary_Business/Committees/House_of_Representatives_Committees?url=pjcaad/asio_ques_detention/report.htm</vt:lpwstr>
      </vt:variant>
      <vt:variant>
        <vt:lpwstr/>
      </vt:variant>
      <vt:variant>
        <vt:i4>6094964</vt:i4>
      </vt:variant>
      <vt:variant>
        <vt:i4>12</vt:i4>
      </vt:variant>
      <vt:variant>
        <vt:i4>0</vt:i4>
      </vt:variant>
      <vt:variant>
        <vt:i4>5</vt:i4>
      </vt:variant>
      <vt:variant>
        <vt:lpwstr>https://www.aph.gov.au/Parliamentary_Business/Committees/Joint/Intelligence_and_Security/ASIO/Submissions</vt:lpwstr>
      </vt:variant>
      <vt:variant>
        <vt:lpwstr/>
      </vt:variant>
      <vt:variant>
        <vt:i4>8257599</vt:i4>
      </vt:variant>
      <vt:variant>
        <vt:i4>9</vt:i4>
      </vt:variant>
      <vt:variant>
        <vt:i4>0</vt:i4>
      </vt:variant>
      <vt:variant>
        <vt:i4>5</vt:i4>
      </vt:variant>
      <vt:variant>
        <vt:lpwstr>https://www.inslm.gov.au/reviews-reports/certain-questioning-and-detention-powers-relation-terorism</vt:lpwstr>
      </vt:variant>
      <vt:variant>
        <vt:lpwstr/>
      </vt:variant>
      <vt:variant>
        <vt:i4>6094964</vt:i4>
      </vt:variant>
      <vt:variant>
        <vt:i4>6</vt:i4>
      </vt:variant>
      <vt:variant>
        <vt:i4>0</vt:i4>
      </vt:variant>
      <vt:variant>
        <vt:i4>5</vt:i4>
      </vt:variant>
      <vt:variant>
        <vt:lpwstr>https://www.aph.gov.au/Parliamentary_Business/Committees/Joint/Intelligence_and_Security/ASIO/Submissions</vt:lpwstr>
      </vt:variant>
      <vt:variant>
        <vt:lpwstr/>
      </vt:variant>
      <vt:variant>
        <vt:i4>6094964</vt:i4>
      </vt:variant>
      <vt:variant>
        <vt:i4>3</vt:i4>
      </vt:variant>
      <vt:variant>
        <vt:i4>0</vt:i4>
      </vt:variant>
      <vt:variant>
        <vt:i4>5</vt:i4>
      </vt:variant>
      <vt:variant>
        <vt:lpwstr>https://www.aph.gov.au/Parliamentary_Business/Committees/Joint/Intelligence_and_Security/ASIO/Submissions</vt:lpwstr>
      </vt:variant>
      <vt:variant>
        <vt:lpwstr/>
      </vt:variant>
      <vt:variant>
        <vt:i4>5177440</vt:i4>
      </vt:variant>
      <vt:variant>
        <vt:i4>0</vt:i4>
      </vt:variant>
      <vt:variant>
        <vt:i4>0</vt:i4>
      </vt:variant>
      <vt:variant>
        <vt:i4>5</vt:i4>
      </vt:variant>
      <vt:variant>
        <vt:lpwstr>https://www.aph.gov.au/Parliamentary_Business/Committees/Joint/Intelligence_and_Security/ASIO/Report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dc:title>
  <dc:subject/>
  <dc:creator>Catherine Earl</dc:creator>
  <cp:keywords/>
  <dc:description/>
  <cp:lastModifiedBy>Alexandra Meagher</cp:lastModifiedBy>
  <cp:revision>80</cp:revision>
  <cp:lastPrinted>2020-07-01T11:53:00Z</cp:lastPrinted>
  <dcterms:created xsi:type="dcterms:W3CDTF">2020-07-01T01:46:00Z</dcterms:created>
  <dcterms:modified xsi:type="dcterms:W3CDTF">2020-07-01T11:53:00Z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0x010100C4D1487658F835419ADC3363FFD4FEF8</vt:lpwstr>
  </property>
  <property fmtid="{D5CDD505-2E9C-101B-9397-08002B2CF9AE}" pid="3" name="DocSet Type">
    <vt:lpwstr>Planning</vt:lpwstr>
  </property>
  <property fmtid="{D5CDD505-2E9C-101B-9397-08002B2CF9AE}" pid="4" name="Order">
    <vt:r8>100</vt:r8>
  </property>
  <property fmtid="{D5CDD505-2E9C-101B-9397-08002B2CF9AE}" pid="5" name="Business Unit">
    <vt:lpwstr>Policy</vt:lpwstr>
  </property>
  <property fmtid="{D5CDD505-2E9C-101B-9397-08002B2CF9AE}" pid="6" name="DocSet Check">
    <vt:lpwstr/>
  </property>
  <property fmtid="{D5CDD505-2E9C-101B-9397-08002B2CF9AE}" pid="7" name="Library">
    <vt:lpwstr>Team Planning</vt:lpwstr>
  </property>
  <property fmtid="{D5CDD505-2E9C-101B-9397-08002B2CF9AE}" pid="8" name="Project Team">
    <vt:lpwstr>ADT</vt:lpwstr>
  </property>
  <property fmtid="{D5CDD505-2E9C-101B-9397-08002B2CF9AE}" pid="9" name="TaxKeyword">
    <vt:lpwstr/>
  </property>
  <property fmtid="{D5CDD505-2E9C-101B-9397-08002B2CF9AE}" pid="10" name="Document Type">
    <vt:lpwstr/>
  </property>
  <property fmtid="{D5CDD505-2E9C-101B-9397-08002B2CF9AE}" pid="11" name="_dlc_DocIdItemGuid">
    <vt:lpwstr>02a5ebc2-1372-4cbd-9f83-8ff462f80f8e</vt:lpwstr>
  </property>
</Properties>
</file>