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53F57" w14:textId="5921DAC6" w:rsidR="00824071" w:rsidRDefault="00824071" w:rsidP="00824071">
      <w:pPr>
        <w:rPr>
          <w:rFonts w:ascii="Open Sans" w:hAnsi="Open Sans" w:cs="Open Sans"/>
          <w:b/>
          <w:sz w:val="36"/>
          <w:szCs w:val="36"/>
        </w:rPr>
      </w:pPr>
      <w:r>
        <w:rPr>
          <w:noProof/>
          <w:lang w:val="en-US"/>
        </w:rPr>
        <mc:AlternateContent>
          <mc:Choice Requires="wps">
            <w:drawing>
              <wp:anchor distT="0" distB="0" distL="114300" distR="114300" simplePos="0" relativeHeight="251665408" behindDoc="0" locked="0" layoutInCell="1" allowOverlap="1" wp14:anchorId="35FEC02D" wp14:editId="02D2BE5E">
                <wp:simplePos x="0" y="0"/>
                <wp:positionH relativeFrom="margin">
                  <wp:align>right</wp:align>
                </wp:positionH>
                <wp:positionV relativeFrom="paragraph">
                  <wp:posOffset>2595880</wp:posOffset>
                </wp:positionV>
                <wp:extent cx="3775075" cy="3613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1EFFBE09" w14:textId="003E99EC" w:rsidR="00824071" w:rsidRPr="003E6E21" w:rsidRDefault="00B42491" w:rsidP="00824071">
                            <w:pPr>
                              <w:pStyle w:val="Date"/>
                              <w:rPr>
                                <w:color w:val="auto"/>
                              </w:rPr>
                            </w:pPr>
                            <w:r w:rsidRPr="00B42491">
                              <w:rPr>
                                <w:color w:val="auto"/>
                              </w:rPr>
                              <w:t>15</w:t>
                            </w:r>
                            <w:r w:rsidR="00824071" w:rsidRPr="00B42491">
                              <w:rPr>
                                <w:color w:val="auto"/>
                              </w:rPr>
                              <w:t xml:space="preserve"> December 2020</w:t>
                            </w:r>
                          </w:p>
                          <w:p w14:paraId="542A251A" w14:textId="77777777" w:rsidR="00824071" w:rsidRDefault="00824071" w:rsidP="00824071"/>
                          <w:p w14:paraId="6FDE3B5F" w14:textId="77777777" w:rsidR="00824071" w:rsidRPr="00B74219" w:rsidRDefault="00824071" w:rsidP="00824071">
                            <w:pPr>
                              <w:pStyle w:val="Date"/>
                            </w:pPr>
                            <w:r>
                              <w:t>31 July 2019</w:t>
                            </w:r>
                          </w:p>
                          <w:p w14:paraId="3B989F0D" w14:textId="77777777" w:rsidR="00824071" w:rsidRDefault="00824071" w:rsidP="00824071"/>
                          <w:p w14:paraId="691A9328" w14:textId="77777777" w:rsidR="00824071" w:rsidRPr="00B74219" w:rsidRDefault="00824071" w:rsidP="00824071">
                            <w:pPr>
                              <w:pStyle w:val="Date"/>
                            </w:pPr>
                            <w:r w:rsidRPr="00C27179">
                              <w:rPr>
                                <w:highlight w:val="yellow"/>
                              </w:rPr>
                              <w:t>31 September 2020</w:t>
                            </w:r>
                          </w:p>
                          <w:p w14:paraId="3B8C52C7" w14:textId="77777777" w:rsidR="00824071" w:rsidRDefault="00824071" w:rsidP="00824071"/>
                          <w:p w14:paraId="11506FB1" w14:textId="77777777" w:rsidR="00824071" w:rsidRPr="00B74219" w:rsidRDefault="00824071" w:rsidP="00824071">
                            <w:pPr>
                              <w:pStyle w:val="Date"/>
                            </w:pPr>
                            <w:r>
                              <w:t>31 July 2019</w:t>
                            </w:r>
                          </w:p>
                          <w:p w14:paraId="55D99325" w14:textId="77777777" w:rsidR="00824071" w:rsidRDefault="00824071" w:rsidP="00824071"/>
                          <w:p w14:paraId="16EED4FA" w14:textId="77777777" w:rsidR="00824071" w:rsidRPr="00B74219" w:rsidRDefault="00824071" w:rsidP="00824071">
                            <w:pPr>
                              <w:pStyle w:val="Date"/>
                            </w:pPr>
                            <w:r w:rsidRPr="00C27179">
                              <w:rPr>
                                <w:highlight w:val="yellow"/>
                              </w:rPr>
                              <w:t>31 September 2020</w:t>
                            </w:r>
                          </w:p>
                          <w:p w14:paraId="636D28D3" w14:textId="77777777" w:rsidR="00824071" w:rsidRDefault="00824071" w:rsidP="00824071"/>
                          <w:p w14:paraId="6DC414B8" w14:textId="77777777" w:rsidR="00824071" w:rsidRPr="00B74219" w:rsidRDefault="00824071" w:rsidP="00824071">
                            <w:pPr>
                              <w:pStyle w:val="Date"/>
                            </w:pPr>
                            <w:r>
                              <w:t>31 July 2019</w:t>
                            </w:r>
                          </w:p>
                          <w:p w14:paraId="165BD088" w14:textId="77777777" w:rsidR="00824071" w:rsidRDefault="00824071" w:rsidP="00824071"/>
                          <w:p w14:paraId="5B5BA448" w14:textId="77777777" w:rsidR="00824071" w:rsidRPr="00B74219" w:rsidRDefault="00824071" w:rsidP="00824071">
                            <w:pPr>
                              <w:pStyle w:val="Date"/>
                            </w:pPr>
                            <w:r w:rsidRPr="00C27179">
                              <w:rPr>
                                <w:highlight w:val="yellow"/>
                              </w:rPr>
                              <w:t>31 September 2020</w:t>
                            </w:r>
                          </w:p>
                          <w:p w14:paraId="65BA44CE" w14:textId="77777777" w:rsidR="00824071" w:rsidRDefault="00824071" w:rsidP="00824071"/>
                          <w:p w14:paraId="35EE8D32" w14:textId="77777777" w:rsidR="00824071" w:rsidRPr="00B74219" w:rsidRDefault="00824071" w:rsidP="00824071">
                            <w:pPr>
                              <w:pStyle w:val="Date"/>
                            </w:pPr>
                            <w:r>
                              <w:t>31 July 2019</w:t>
                            </w:r>
                          </w:p>
                          <w:p w14:paraId="1BAB8265" w14:textId="77777777" w:rsidR="00824071" w:rsidRDefault="00824071" w:rsidP="00824071"/>
                          <w:p w14:paraId="1DB61E42" w14:textId="77777777" w:rsidR="00824071" w:rsidRPr="003E6E21" w:rsidRDefault="00824071" w:rsidP="00824071">
                            <w:pPr>
                              <w:pStyle w:val="Date"/>
                              <w:rPr>
                                <w:color w:val="auto"/>
                              </w:rPr>
                            </w:pPr>
                            <w:r w:rsidRPr="00BF057C">
                              <w:rPr>
                                <w:color w:val="auto"/>
                                <w:highlight w:val="yellow"/>
                              </w:rPr>
                              <w:t>15</w:t>
                            </w:r>
                            <w:r w:rsidRPr="003E6E21">
                              <w:rPr>
                                <w:color w:val="auto"/>
                              </w:rPr>
                              <w:t xml:space="preserve"> </w:t>
                            </w:r>
                            <w:r>
                              <w:rPr>
                                <w:color w:val="auto"/>
                              </w:rPr>
                              <w:t>Octo</w:t>
                            </w:r>
                            <w:r w:rsidRPr="003E6E21">
                              <w:rPr>
                                <w:color w:val="auto"/>
                              </w:rPr>
                              <w:t>ber 2020</w:t>
                            </w:r>
                          </w:p>
                          <w:p w14:paraId="6EB37AFA" w14:textId="77777777" w:rsidR="00824071" w:rsidRDefault="00824071" w:rsidP="00824071"/>
                          <w:p w14:paraId="7681C114" w14:textId="77777777" w:rsidR="00824071" w:rsidRPr="00B74219" w:rsidRDefault="00824071" w:rsidP="00824071">
                            <w:pPr>
                              <w:pStyle w:val="Date"/>
                            </w:pPr>
                            <w:r>
                              <w:t>31 July 2019</w:t>
                            </w:r>
                          </w:p>
                          <w:p w14:paraId="6AD90AA2" w14:textId="77777777" w:rsidR="00824071" w:rsidRDefault="00824071" w:rsidP="00824071"/>
                          <w:p w14:paraId="2379D81F" w14:textId="77777777" w:rsidR="00824071" w:rsidRPr="00B74219" w:rsidRDefault="00824071" w:rsidP="00824071">
                            <w:pPr>
                              <w:pStyle w:val="Date"/>
                            </w:pPr>
                            <w:r w:rsidRPr="00C27179">
                              <w:rPr>
                                <w:highlight w:val="yellow"/>
                              </w:rPr>
                              <w:t>31 September 2020</w:t>
                            </w:r>
                          </w:p>
                          <w:p w14:paraId="1464ED10" w14:textId="77777777" w:rsidR="00824071" w:rsidRDefault="00824071" w:rsidP="00824071"/>
                          <w:p w14:paraId="7EE74371" w14:textId="77777777" w:rsidR="00824071" w:rsidRPr="00B74219" w:rsidRDefault="00824071" w:rsidP="00824071">
                            <w:pPr>
                              <w:pStyle w:val="Date"/>
                            </w:pPr>
                            <w:r>
                              <w:t>31 July 2019</w:t>
                            </w:r>
                          </w:p>
                          <w:p w14:paraId="091354F1" w14:textId="77777777" w:rsidR="00824071" w:rsidRDefault="00824071" w:rsidP="00824071"/>
                          <w:p w14:paraId="45AE6403" w14:textId="77777777" w:rsidR="00824071" w:rsidRPr="00B74219" w:rsidRDefault="00824071" w:rsidP="00824071">
                            <w:pPr>
                              <w:pStyle w:val="Date"/>
                            </w:pPr>
                            <w:r w:rsidRPr="00C27179">
                              <w:rPr>
                                <w:highlight w:val="yellow"/>
                              </w:rPr>
                              <w:t>31 September 2020</w:t>
                            </w:r>
                          </w:p>
                          <w:p w14:paraId="4E3FA559" w14:textId="77777777" w:rsidR="00824071" w:rsidRDefault="00824071" w:rsidP="00824071"/>
                          <w:p w14:paraId="7AB73480" w14:textId="77777777" w:rsidR="00824071" w:rsidRPr="00B74219" w:rsidRDefault="00824071" w:rsidP="00824071">
                            <w:pPr>
                              <w:pStyle w:val="Date"/>
                            </w:pPr>
                            <w:r>
                              <w:t>31 July 2019</w:t>
                            </w:r>
                          </w:p>
                          <w:p w14:paraId="6166054A" w14:textId="77777777" w:rsidR="00824071" w:rsidRDefault="00824071" w:rsidP="00824071"/>
                          <w:p w14:paraId="21E5CC37" w14:textId="77777777" w:rsidR="00824071" w:rsidRPr="00B74219" w:rsidRDefault="00824071" w:rsidP="00824071">
                            <w:pPr>
                              <w:pStyle w:val="Date"/>
                            </w:pPr>
                            <w:r w:rsidRPr="00C27179">
                              <w:rPr>
                                <w:highlight w:val="yellow"/>
                              </w:rPr>
                              <w:t>31 September 2020</w:t>
                            </w:r>
                          </w:p>
                          <w:p w14:paraId="07D815C7" w14:textId="77777777" w:rsidR="00824071" w:rsidRDefault="00824071" w:rsidP="00824071"/>
                          <w:p w14:paraId="07C824D3" w14:textId="77777777" w:rsidR="00824071" w:rsidRPr="00B74219" w:rsidRDefault="00824071" w:rsidP="00824071">
                            <w:pPr>
                              <w:pStyle w:val="Date"/>
                            </w:pPr>
                            <w:r>
                              <w:t>31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EC02D" id="_x0000_t202" coordsize="21600,21600" o:spt="202" path="m,l,21600r21600,l21600,xe">
                <v:stroke joinstyle="miter"/>
                <v:path gradientshapeok="t" o:connecttype="rect"/>
              </v:shapetype>
              <v:shape id="Text Box 4" o:spid="_x0000_s1026" type="#_x0000_t202" style="position:absolute;margin-left:246.05pt;margin-top:204.4pt;width:297.25pt;height:28.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" filled="f" stroked="f" strokeweight=".5pt">
                <v:textbox>
                  <w:txbxContent>
                    <w:p w14:paraId="1EFFBE09" w14:textId="003E99EC" w:rsidR="00824071" w:rsidRPr="003E6E21" w:rsidRDefault="00B42491" w:rsidP="00824071">
                      <w:pPr>
                        <w:pStyle w:val="Date"/>
                        <w:rPr>
                          <w:color w:val="auto"/>
                        </w:rPr>
                      </w:pPr>
                      <w:r w:rsidRPr="00B42491">
                        <w:rPr>
                          <w:color w:val="auto"/>
                        </w:rPr>
                        <w:t>15</w:t>
                      </w:r>
                      <w:r w:rsidR="00824071" w:rsidRPr="00B42491">
                        <w:rPr>
                          <w:color w:val="auto"/>
                        </w:rPr>
                        <w:t xml:space="preserve"> December 2020</w:t>
                      </w:r>
                    </w:p>
                    <w:p w14:paraId="542A251A" w14:textId="77777777" w:rsidR="00824071" w:rsidRDefault="00824071" w:rsidP="00824071"/>
                    <w:p w14:paraId="6FDE3B5F" w14:textId="77777777" w:rsidR="00824071" w:rsidRPr="00B74219" w:rsidRDefault="00824071" w:rsidP="00824071">
                      <w:pPr>
                        <w:pStyle w:val="Date"/>
                      </w:pPr>
                      <w:r>
                        <w:t>31 July 2019</w:t>
                      </w:r>
                    </w:p>
                    <w:p w14:paraId="3B989F0D" w14:textId="77777777" w:rsidR="00824071" w:rsidRDefault="00824071" w:rsidP="00824071"/>
                    <w:p w14:paraId="691A9328" w14:textId="77777777" w:rsidR="00824071" w:rsidRPr="00B74219" w:rsidRDefault="00824071" w:rsidP="00824071">
                      <w:pPr>
                        <w:pStyle w:val="Date"/>
                      </w:pPr>
                      <w:r w:rsidRPr="00C27179">
                        <w:rPr>
                          <w:highlight w:val="yellow"/>
                        </w:rPr>
                        <w:t>31 September 2020</w:t>
                      </w:r>
                    </w:p>
                    <w:p w14:paraId="3B8C52C7" w14:textId="77777777" w:rsidR="00824071" w:rsidRDefault="00824071" w:rsidP="00824071"/>
                    <w:p w14:paraId="11506FB1" w14:textId="77777777" w:rsidR="00824071" w:rsidRPr="00B74219" w:rsidRDefault="00824071" w:rsidP="00824071">
                      <w:pPr>
                        <w:pStyle w:val="Date"/>
                      </w:pPr>
                      <w:r>
                        <w:t>31 July 2019</w:t>
                      </w:r>
                    </w:p>
                    <w:p w14:paraId="55D99325" w14:textId="77777777" w:rsidR="00824071" w:rsidRDefault="00824071" w:rsidP="00824071"/>
                    <w:p w14:paraId="16EED4FA" w14:textId="77777777" w:rsidR="00824071" w:rsidRPr="00B74219" w:rsidRDefault="00824071" w:rsidP="00824071">
                      <w:pPr>
                        <w:pStyle w:val="Date"/>
                      </w:pPr>
                      <w:r w:rsidRPr="00C27179">
                        <w:rPr>
                          <w:highlight w:val="yellow"/>
                        </w:rPr>
                        <w:t>31 September 2020</w:t>
                      </w:r>
                    </w:p>
                    <w:p w14:paraId="636D28D3" w14:textId="77777777" w:rsidR="00824071" w:rsidRDefault="00824071" w:rsidP="00824071"/>
                    <w:p w14:paraId="6DC414B8" w14:textId="77777777" w:rsidR="00824071" w:rsidRPr="00B74219" w:rsidRDefault="00824071" w:rsidP="00824071">
                      <w:pPr>
                        <w:pStyle w:val="Date"/>
                      </w:pPr>
                      <w:r>
                        <w:t>31 July 2019</w:t>
                      </w:r>
                    </w:p>
                    <w:p w14:paraId="165BD088" w14:textId="77777777" w:rsidR="00824071" w:rsidRDefault="00824071" w:rsidP="00824071"/>
                    <w:p w14:paraId="5B5BA448" w14:textId="77777777" w:rsidR="00824071" w:rsidRPr="00B74219" w:rsidRDefault="00824071" w:rsidP="00824071">
                      <w:pPr>
                        <w:pStyle w:val="Date"/>
                      </w:pPr>
                      <w:r w:rsidRPr="00C27179">
                        <w:rPr>
                          <w:highlight w:val="yellow"/>
                        </w:rPr>
                        <w:t>31 September 2020</w:t>
                      </w:r>
                    </w:p>
                    <w:p w14:paraId="65BA44CE" w14:textId="77777777" w:rsidR="00824071" w:rsidRDefault="00824071" w:rsidP="00824071"/>
                    <w:p w14:paraId="35EE8D32" w14:textId="77777777" w:rsidR="00824071" w:rsidRPr="00B74219" w:rsidRDefault="00824071" w:rsidP="00824071">
                      <w:pPr>
                        <w:pStyle w:val="Date"/>
                      </w:pPr>
                      <w:r>
                        <w:t>31 July 2019</w:t>
                      </w:r>
                    </w:p>
                    <w:p w14:paraId="1BAB8265" w14:textId="77777777" w:rsidR="00824071" w:rsidRDefault="00824071" w:rsidP="00824071"/>
                    <w:p w14:paraId="1DB61E42" w14:textId="77777777" w:rsidR="00824071" w:rsidRPr="003E6E21" w:rsidRDefault="00824071" w:rsidP="00824071">
                      <w:pPr>
                        <w:pStyle w:val="Date"/>
                        <w:rPr>
                          <w:color w:val="auto"/>
                        </w:rPr>
                      </w:pPr>
                      <w:r w:rsidRPr="00BF057C">
                        <w:rPr>
                          <w:color w:val="auto"/>
                          <w:highlight w:val="yellow"/>
                        </w:rPr>
                        <w:t>15</w:t>
                      </w:r>
                      <w:r w:rsidRPr="003E6E21">
                        <w:rPr>
                          <w:color w:val="auto"/>
                        </w:rPr>
                        <w:t xml:space="preserve"> </w:t>
                      </w:r>
                      <w:r>
                        <w:rPr>
                          <w:color w:val="auto"/>
                        </w:rPr>
                        <w:t>Octo</w:t>
                      </w:r>
                      <w:r w:rsidRPr="003E6E21">
                        <w:rPr>
                          <w:color w:val="auto"/>
                        </w:rPr>
                        <w:t>ber 2020</w:t>
                      </w:r>
                    </w:p>
                    <w:p w14:paraId="6EB37AFA" w14:textId="77777777" w:rsidR="00824071" w:rsidRDefault="00824071" w:rsidP="00824071"/>
                    <w:p w14:paraId="7681C114" w14:textId="77777777" w:rsidR="00824071" w:rsidRPr="00B74219" w:rsidRDefault="00824071" w:rsidP="00824071">
                      <w:pPr>
                        <w:pStyle w:val="Date"/>
                      </w:pPr>
                      <w:r>
                        <w:t>31 July 2019</w:t>
                      </w:r>
                    </w:p>
                    <w:p w14:paraId="6AD90AA2" w14:textId="77777777" w:rsidR="00824071" w:rsidRDefault="00824071" w:rsidP="00824071"/>
                    <w:p w14:paraId="2379D81F" w14:textId="77777777" w:rsidR="00824071" w:rsidRPr="00B74219" w:rsidRDefault="00824071" w:rsidP="00824071">
                      <w:pPr>
                        <w:pStyle w:val="Date"/>
                      </w:pPr>
                      <w:r w:rsidRPr="00C27179">
                        <w:rPr>
                          <w:highlight w:val="yellow"/>
                        </w:rPr>
                        <w:t>31 September 2020</w:t>
                      </w:r>
                    </w:p>
                    <w:p w14:paraId="1464ED10" w14:textId="77777777" w:rsidR="00824071" w:rsidRDefault="00824071" w:rsidP="00824071"/>
                    <w:p w14:paraId="7EE74371" w14:textId="77777777" w:rsidR="00824071" w:rsidRPr="00B74219" w:rsidRDefault="00824071" w:rsidP="00824071">
                      <w:pPr>
                        <w:pStyle w:val="Date"/>
                      </w:pPr>
                      <w:r>
                        <w:t>31 July 2019</w:t>
                      </w:r>
                    </w:p>
                    <w:p w14:paraId="091354F1" w14:textId="77777777" w:rsidR="00824071" w:rsidRDefault="00824071" w:rsidP="00824071"/>
                    <w:p w14:paraId="45AE6403" w14:textId="77777777" w:rsidR="00824071" w:rsidRPr="00B74219" w:rsidRDefault="00824071" w:rsidP="00824071">
                      <w:pPr>
                        <w:pStyle w:val="Date"/>
                      </w:pPr>
                      <w:r w:rsidRPr="00C27179">
                        <w:rPr>
                          <w:highlight w:val="yellow"/>
                        </w:rPr>
                        <w:t>31 September 2020</w:t>
                      </w:r>
                    </w:p>
                    <w:p w14:paraId="4E3FA559" w14:textId="77777777" w:rsidR="00824071" w:rsidRDefault="00824071" w:rsidP="00824071"/>
                    <w:p w14:paraId="7AB73480" w14:textId="77777777" w:rsidR="00824071" w:rsidRPr="00B74219" w:rsidRDefault="00824071" w:rsidP="00824071">
                      <w:pPr>
                        <w:pStyle w:val="Date"/>
                      </w:pPr>
                      <w:r>
                        <w:t>31 July 2019</w:t>
                      </w:r>
                    </w:p>
                    <w:p w14:paraId="6166054A" w14:textId="77777777" w:rsidR="00824071" w:rsidRDefault="00824071" w:rsidP="00824071"/>
                    <w:p w14:paraId="21E5CC37" w14:textId="77777777" w:rsidR="00824071" w:rsidRPr="00B74219" w:rsidRDefault="00824071" w:rsidP="00824071">
                      <w:pPr>
                        <w:pStyle w:val="Date"/>
                      </w:pPr>
                      <w:r w:rsidRPr="00C27179">
                        <w:rPr>
                          <w:highlight w:val="yellow"/>
                        </w:rPr>
                        <w:t>31 September 2020</w:t>
                      </w:r>
                    </w:p>
                    <w:p w14:paraId="07D815C7" w14:textId="77777777" w:rsidR="00824071" w:rsidRDefault="00824071" w:rsidP="00824071"/>
                    <w:p w14:paraId="07C824D3" w14:textId="77777777" w:rsidR="00824071" w:rsidRPr="00B74219" w:rsidRDefault="00824071" w:rsidP="00824071">
                      <w:pPr>
                        <w:pStyle w:val="Date"/>
                      </w:pPr>
                      <w:r>
                        <w:t>31 July 2019</w:t>
                      </w:r>
                    </w:p>
                  </w:txbxContent>
                </v:textbox>
                <w10:wrap anchorx="margin"/>
              </v:shape>
            </w:pict>
          </mc:Fallback>
        </mc:AlternateContent>
      </w:r>
      <w:r>
        <w:rPr>
          <w:noProof/>
          <w:lang w:val="en-US"/>
        </w:rPr>
        <mc:AlternateContent>
          <mc:Choice Requires="wps">
            <w:drawing>
              <wp:anchor distT="0" distB="0" distL="114300" distR="114300" simplePos="0" relativeHeight="251663360" behindDoc="0" locked="0" layoutInCell="1" allowOverlap="1" wp14:anchorId="0970DE2C" wp14:editId="744F30B6">
                <wp:simplePos x="0" y="0"/>
                <wp:positionH relativeFrom="column">
                  <wp:posOffset>2406015</wp:posOffset>
                </wp:positionH>
                <wp:positionV relativeFrom="paragraph">
                  <wp:posOffset>2165985</wp:posOffset>
                </wp:positionV>
                <wp:extent cx="3339465" cy="50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9465" cy="504825"/>
                        </a:xfrm>
                        <a:prstGeom prst="rect">
                          <a:avLst/>
                        </a:prstGeom>
                        <a:noFill/>
                        <a:ln w="6350">
                          <a:noFill/>
                        </a:ln>
                        <a:effectLst/>
                      </wps:spPr>
                      <wps:txbx>
                        <w:txbxContent>
                          <w:p w14:paraId="7E901A58" w14:textId="1D634E5B" w:rsidR="00824071" w:rsidRPr="0091762E" w:rsidRDefault="00824071" w:rsidP="00824071">
                            <w:pPr>
                              <w:pStyle w:val="Subtitle"/>
                              <w:spacing w:before="120"/>
                              <w:rPr>
                                <w:sz w:val="32"/>
                                <w:szCs w:val="32"/>
                              </w:rPr>
                            </w:pPr>
                            <w:bookmarkStart w:id="0" w:name="_Toc53148991"/>
                            <w:bookmarkStart w:id="1" w:name="_Toc15547567"/>
                            <w:r>
                              <w:rPr>
                                <w:sz w:val="32"/>
                                <w:szCs w:val="32"/>
                              </w:rPr>
                              <w:t xml:space="preserve">[2020] </w:t>
                            </w:r>
                            <w:r w:rsidRPr="00B63FF8">
                              <w:rPr>
                                <w:caps w:val="0"/>
                                <w:sz w:val="32"/>
                                <w:szCs w:val="32"/>
                              </w:rPr>
                              <w:t>AusHRC</w:t>
                            </w:r>
                            <w:r>
                              <w:rPr>
                                <w:sz w:val="32"/>
                                <w:szCs w:val="32"/>
                              </w:rPr>
                              <w:t xml:space="preserve"> 139</w:t>
                            </w:r>
                            <w:r w:rsidRPr="0091762E">
                              <w:rPr>
                                <w:sz w:val="32"/>
                                <w:szCs w:val="32"/>
                              </w:rPr>
                              <w:t xml:space="preserve"> </w:t>
                            </w:r>
                          </w:p>
                          <w:p w14:paraId="794F94AE" w14:textId="77777777" w:rsidR="00824071" w:rsidRDefault="00824071" w:rsidP="00824071"/>
                          <w:p w14:paraId="7D07DB02"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3169C90C" w14:textId="77777777" w:rsidR="00824071" w:rsidRDefault="00824071" w:rsidP="00824071"/>
                          <w:p w14:paraId="4252ABCC"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78959429" w14:textId="77777777" w:rsidR="00824071" w:rsidRDefault="00824071" w:rsidP="00824071"/>
                          <w:p w14:paraId="1D61EE0B"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50F5ED4B" w14:textId="77777777" w:rsidR="00824071" w:rsidRDefault="00824071" w:rsidP="00824071"/>
                          <w:p w14:paraId="059D3329"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7AC0685C" w14:textId="77777777" w:rsidR="00824071" w:rsidRDefault="00824071" w:rsidP="00824071"/>
                          <w:p w14:paraId="427081AA"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712B347E" w14:textId="77777777" w:rsidR="00824071" w:rsidRDefault="00824071" w:rsidP="00824071"/>
                          <w:p w14:paraId="2189A888"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39132C78" w14:textId="77777777" w:rsidR="00824071" w:rsidRDefault="00824071" w:rsidP="00824071"/>
                          <w:p w14:paraId="2F9DC0E0"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51FD1D94" w14:textId="77777777" w:rsidR="00824071" w:rsidRDefault="00824071" w:rsidP="00824071"/>
                          <w:p w14:paraId="76648630"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138</w:t>
                            </w:r>
                            <w:r w:rsidRPr="0091762E">
                              <w:rPr>
                                <w:sz w:val="32"/>
                                <w:szCs w:val="32"/>
                              </w:rPr>
                              <w:t xml:space="preserve"> </w:t>
                            </w:r>
                          </w:p>
                          <w:p w14:paraId="097CCDF6" w14:textId="77777777" w:rsidR="00824071" w:rsidRDefault="00824071" w:rsidP="00824071"/>
                          <w:p w14:paraId="13F606D9"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60717A50" w14:textId="77777777" w:rsidR="00824071" w:rsidRDefault="00824071" w:rsidP="00824071"/>
                          <w:p w14:paraId="7C6E33D6"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2AC7A4B6" w14:textId="77777777" w:rsidR="00824071" w:rsidRDefault="00824071" w:rsidP="00824071"/>
                          <w:p w14:paraId="48069948"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40333DB7" w14:textId="77777777" w:rsidR="00824071" w:rsidRDefault="00824071" w:rsidP="00824071"/>
                          <w:p w14:paraId="08D3782A"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33B59F34" w14:textId="77777777" w:rsidR="00824071" w:rsidRDefault="00824071" w:rsidP="00824071"/>
                          <w:p w14:paraId="59A94D5B"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4F097021" w14:textId="77777777" w:rsidR="00824071" w:rsidRDefault="00824071" w:rsidP="00824071"/>
                          <w:p w14:paraId="381F742F"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137</w:t>
                            </w:r>
                            <w:r w:rsidRPr="0091762E">
                              <w:rPr>
                                <w:sz w:val="32"/>
                                <w:szCs w:val="32"/>
                              </w:rPr>
                              <w:t xml:space="preserve"> </w:t>
                            </w:r>
                          </w:p>
                          <w:p w14:paraId="29B912E1" w14:textId="77777777" w:rsidR="00824071" w:rsidRDefault="00824071" w:rsidP="00824071"/>
                          <w:p w14:paraId="3C16197B" w14:textId="77777777" w:rsidR="00824071" w:rsidRPr="0091762E" w:rsidRDefault="00824071" w:rsidP="00824071">
                            <w:pPr>
                              <w:pStyle w:val="Subtitle"/>
                              <w:spacing w:before="120"/>
                              <w:rPr>
                                <w:sz w:val="32"/>
                                <w:szCs w:val="32"/>
                              </w:rPr>
                            </w:pPr>
                            <w:r>
                              <w:rPr>
                                <w:sz w:val="32"/>
                                <w:szCs w:val="32"/>
                              </w:rPr>
                              <w:t xml:space="preserve">[2019] </w:t>
                            </w:r>
                            <w:r w:rsidRPr="00B63FF8">
                              <w:rPr>
                                <w:caps w:val="0"/>
                                <w:sz w:val="32"/>
                                <w:szCs w:val="32"/>
                              </w:rPr>
                              <w:t>AusHRC</w:t>
                            </w:r>
                            <w:r>
                              <w:rPr>
                                <w:sz w:val="32"/>
                                <w:szCs w:val="32"/>
                              </w:rPr>
                              <w:t xml:space="preserve"> 132</w:t>
                            </w:r>
                            <w:r w:rsidRPr="0091762E">
                              <w:rPr>
                                <w:sz w:val="32"/>
                                <w:szCs w:val="32"/>
                              </w:rPr>
                              <w:t xml:space="preserve"> </w:t>
                            </w:r>
                          </w:p>
                          <w:p w14:paraId="36DC520F" w14:textId="77777777" w:rsidR="00824071" w:rsidRDefault="00824071" w:rsidP="00824071"/>
                          <w:p w14:paraId="3D44E324" w14:textId="77777777" w:rsidR="00824071" w:rsidRPr="0091762E" w:rsidRDefault="00824071" w:rsidP="00824071">
                            <w:pPr>
                              <w:pStyle w:val="Subtitle"/>
                              <w:spacing w:before="120"/>
                              <w:rPr>
                                <w:sz w:val="32"/>
                                <w:szCs w:val="32"/>
                              </w:rPr>
                            </w:pPr>
                            <w:r>
                              <w:rPr>
                                <w:sz w:val="32"/>
                                <w:szCs w:val="32"/>
                              </w:rPr>
                              <w:t xml:space="preserve">[2020] </w:t>
                            </w:r>
                            <w:r w:rsidRPr="00B63FF8">
                              <w:rPr>
                                <w:caps w:val="0"/>
                                <w:sz w:val="32"/>
                                <w:szCs w:val="32"/>
                              </w:rPr>
                              <w:t>AusHRC</w:t>
                            </w:r>
                            <w:r>
                              <w:rPr>
                                <w:sz w:val="32"/>
                                <w:szCs w:val="32"/>
                              </w:rPr>
                              <w:t xml:space="preserve"> 138</w:t>
                            </w:r>
                            <w:bookmarkEnd w:id="0"/>
                            <w:r w:rsidRPr="0091762E">
                              <w:rPr>
                                <w:sz w:val="32"/>
                                <w:szCs w:val="32"/>
                              </w:rPr>
                              <w:t xml:space="preserve"> </w:t>
                            </w:r>
                          </w:p>
                          <w:p w14:paraId="16CA9FD1" w14:textId="77777777" w:rsidR="00824071" w:rsidRDefault="00824071" w:rsidP="00824071"/>
                          <w:p w14:paraId="7661D031" w14:textId="77777777" w:rsidR="00824071" w:rsidRPr="0091762E" w:rsidRDefault="00824071" w:rsidP="00824071">
                            <w:pPr>
                              <w:pStyle w:val="Subtitle"/>
                              <w:spacing w:before="120"/>
                              <w:rPr>
                                <w:sz w:val="32"/>
                                <w:szCs w:val="32"/>
                              </w:rPr>
                            </w:pPr>
                            <w:bookmarkStart w:id="2" w:name="_Toc53148992"/>
                            <w:r>
                              <w:rPr>
                                <w:sz w:val="32"/>
                                <w:szCs w:val="32"/>
                              </w:rPr>
                              <w:t xml:space="preserve">[2019] </w:t>
                            </w:r>
                            <w:r w:rsidRPr="00B63FF8">
                              <w:rPr>
                                <w:caps w:val="0"/>
                                <w:sz w:val="32"/>
                                <w:szCs w:val="32"/>
                              </w:rPr>
                              <w:t>AusHRC</w:t>
                            </w:r>
                            <w:r>
                              <w:rPr>
                                <w:sz w:val="32"/>
                                <w:szCs w:val="32"/>
                              </w:rPr>
                              <w:t xml:space="preserve"> 132</w:t>
                            </w:r>
                            <w:bookmarkEnd w:id="2"/>
                            <w:r w:rsidRPr="0091762E">
                              <w:rPr>
                                <w:sz w:val="32"/>
                                <w:szCs w:val="32"/>
                              </w:rPr>
                              <w:t xml:space="preserve"> </w:t>
                            </w:r>
                          </w:p>
                          <w:p w14:paraId="217CDBA4" w14:textId="77777777" w:rsidR="00824071" w:rsidRDefault="00824071" w:rsidP="00824071"/>
                          <w:p w14:paraId="4E02F586" w14:textId="77777777" w:rsidR="00824071" w:rsidRPr="0091762E" w:rsidRDefault="00824071" w:rsidP="00824071">
                            <w:pPr>
                              <w:pStyle w:val="Subtitle"/>
                              <w:spacing w:before="120"/>
                              <w:rPr>
                                <w:sz w:val="32"/>
                                <w:szCs w:val="32"/>
                              </w:rPr>
                            </w:pPr>
                            <w:bookmarkStart w:id="3" w:name="_Toc53148993"/>
                            <w:r>
                              <w:rPr>
                                <w:sz w:val="32"/>
                                <w:szCs w:val="32"/>
                              </w:rPr>
                              <w:t xml:space="preserve">[2020] </w:t>
                            </w:r>
                            <w:r w:rsidRPr="00B63FF8">
                              <w:rPr>
                                <w:caps w:val="0"/>
                                <w:sz w:val="32"/>
                                <w:szCs w:val="32"/>
                              </w:rPr>
                              <w:t>AusHRC</w:t>
                            </w:r>
                            <w:r>
                              <w:rPr>
                                <w:sz w:val="32"/>
                                <w:szCs w:val="32"/>
                              </w:rPr>
                              <w:t xml:space="preserve"> 137</w:t>
                            </w:r>
                            <w:bookmarkEnd w:id="3"/>
                            <w:r w:rsidRPr="0091762E">
                              <w:rPr>
                                <w:sz w:val="32"/>
                                <w:szCs w:val="32"/>
                              </w:rPr>
                              <w:t xml:space="preserve"> </w:t>
                            </w:r>
                          </w:p>
                          <w:p w14:paraId="6291F270" w14:textId="77777777" w:rsidR="00824071" w:rsidRDefault="00824071" w:rsidP="00824071"/>
                          <w:p w14:paraId="140EADF3" w14:textId="77777777" w:rsidR="00824071" w:rsidRPr="0091762E" w:rsidRDefault="00824071" w:rsidP="00824071">
                            <w:pPr>
                              <w:pStyle w:val="Subtitle"/>
                              <w:spacing w:before="120"/>
                              <w:rPr>
                                <w:sz w:val="32"/>
                                <w:szCs w:val="32"/>
                              </w:rPr>
                            </w:pPr>
                            <w:bookmarkStart w:id="4" w:name="_Toc53148994"/>
                            <w:r>
                              <w:rPr>
                                <w:sz w:val="32"/>
                                <w:szCs w:val="32"/>
                              </w:rPr>
                              <w:t xml:space="preserve">[2019] </w:t>
                            </w:r>
                            <w:r w:rsidRPr="00B63FF8">
                              <w:rPr>
                                <w:caps w:val="0"/>
                                <w:sz w:val="32"/>
                                <w:szCs w:val="32"/>
                              </w:rPr>
                              <w:t>AusHRC</w:t>
                            </w:r>
                            <w:r>
                              <w:rPr>
                                <w:sz w:val="32"/>
                                <w:szCs w:val="32"/>
                              </w:rPr>
                              <w:t xml:space="preserve"> 132</w:t>
                            </w:r>
                            <w:bookmarkEnd w:id="4"/>
                            <w:r w:rsidRPr="0091762E">
                              <w:rPr>
                                <w:sz w:val="32"/>
                                <w:szCs w:val="32"/>
                              </w:rPr>
                              <w:t xml:space="preserve"> </w:t>
                            </w:r>
                          </w:p>
                          <w:p w14:paraId="1233EF0A" w14:textId="77777777" w:rsidR="00824071" w:rsidRDefault="00824071" w:rsidP="00824071"/>
                          <w:p w14:paraId="6D66091A" w14:textId="77777777" w:rsidR="00824071" w:rsidRPr="0091762E" w:rsidRDefault="00824071" w:rsidP="00824071">
                            <w:pPr>
                              <w:pStyle w:val="Subtitle"/>
                              <w:spacing w:before="120"/>
                              <w:rPr>
                                <w:sz w:val="32"/>
                                <w:szCs w:val="32"/>
                              </w:rPr>
                            </w:pPr>
                            <w:bookmarkStart w:id="5" w:name="_Toc53148995"/>
                            <w:r>
                              <w:rPr>
                                <w:sz w:val="32"/>
                                <w:szCs w:val="32"/>
                              </w:rPr>
                              <w:t xml:space="preserve">[2020] </w:t>
                            </w:r>
                            <w:r w:rsidRPr="00B63FF8">
                              <w:rPr>
                                <w:caps w:val="0"/>
                                <w:sz w:val="32"/>
                                <w:szCs w:val="32"/>
                              </w:rPr>
                              <w:t>AusHRC</w:t>
                            </w:r>
                            <w:r>
                              <w:rPr>
                                <w:sz w:val="32"/>
                                <w:szCs w:val="32"/>
                              </w:rPr>
                              <w:t xml:space="preserve"> 137</w:t>
                            </w:r>
                            <w:bookmarkEnd w:id="5"/>
                            <w:r w:rsidRPr="0091762E">
                              <w:rPr>
                                <w:sz w:val="32"/>
                                <w:szCs w:val="32"/>
                              </w:rPr>
                              <w:t xml:space="preserve"> </w:t>
                            </w:r>
                          </w:p>
                          <w:p w14:paraId="7E782CAB" w14:textId="77777777" w:rsidR="00824071" w:rsidRDefault="00824071" w:rsidP="00824071"/>
                          <w:p w14:paraId="635690A2" w14:textId="77777777" w:rsidR="00824071" w:rsidRPr="0091762E" w:rsidRDefault="00824071" w:rsidP="00824071">
                            <w:pPr>
                              <w:pStyle w:val="Subtitle"/>
                              <w:spacing w:before="120"/>
                              <w:rPr>
                                <w:sz w:val="32"/>
                                <w:szCs w:val="32"/>
                              </w:rPr>
                            </w:pPr>
                            <w:bookmarkStart w:id="6" w:name="_Toc53148996"/>
                            <w:r>
                              <w:rPr>
                                <w:sz w:val="32"/>
                                <w:szCs w:val="32"/>
                              </w:rPr>
                              <w:t xml:space="preserve">[2019] </w:t>
                            </w:r>
                            <w:r w:rsidRPr="00B63FF8">
                              <w:rPr>
                                <w:caps w:val="0"/>
                                <w:sz w:val="32"/>
                                <w:szCs w:val="32"/>
                              </w:rPr>
                              <w:t>AusHRC</w:t>
                            </w:r>
                            <w:r>
                              <w:rPr>
                                <w:sz w:val="32"/>
                                <w:szCs w:val="32"/>
                              </w:rPr>
                              <w:t xml:space="preserve"> 132</w:t>
                            </w:r>
                            <w:bookmarkEnd w:id="6"/>
                            <w:r w:rsidRPr="0091762E">
                              <w:rPr>
                                <w:sz w:val="32"/>
                                <w:szCs w:val="32"/>
                              </w:rPr>
                              <w:t xml:space="preserve"> </w:t>
                            </w:r>
                          </w:p>
                          <w:p w14:paraId="0AF78214" w14:textId="77777777" w:rsidR="00824071" w:rsidRDefault="00824071" w:rsidP="00824071"/>
                          <w:p w14:paraId="5445E9F8" w14:textId="77777777" w:rsidR="00824071" w:rsidRPr="0091762E" w:rsidRDefault="00824071" w:rsidP="00824071">
                            <w:pPr>
                              <w:pStyle w:val="Subtitle"/>
                              <w:spacing w:before="120"/>
                              <w:rPr>
                                <w:sz w:val="32"/>
                                <w:szCs w:val="32"/>
                              </w:rPr>
                            </w:pPr>
                            <w:bookmarkStart w:id="7" w:name="_Toc53148997"/>
                            <w:r>
                              <w:rPr>
                                <w:sz w:val="32"/>
                                <w:szCs w:val="32"/>
                              </w:rPr>
                              <w:t xml:space="preserve">[2020] </w:t>
                            </w:r>
                            <w:r w:rsidRPr="00B63FF8">
                              <w:rPr>
                                <w:caps w:val="0"/>
                                <w:sz w:val="32"/>
                                <w:szCs w:val="32"/>
                              </w:rPr>
                              <w:t>AusHRC</w:t>
                            </w:r>
                            <w:r>
                              <w:rPr>
                                <w:sz w:val="32"/>
                                <w:szCs w:val="32"/>
                              </w:rPr>
                              <w:t xml:space="preserve"> 137</w:t>
                            </w:r>
                            <w:bookmarkEnd w:id="7"/>
                            <w:r w:rsidRPr="0091762E">
                              <w:rPr>
                                <w:sz w:val="32"/>
                                <w:szCs w:val="32"/>
                              </w:rPr>
                              <w:t xml:space="preserve"> </w:t>
                            </w:r>
                          </w:p>
                          <w:p w14:paraId="192DAB7C" w14:textId="77777777" w:rsidR="00824071" w:rsidRDefault="00824071" w:rsidP="00824071"/>
                          <w:p w14:paraId="0818661A" w14:textId="77777777" w:rsidR="00824071" w:rsidRPr="0091762E" w:rsidRDefault="00824071" w:rsidP="00824071">
                            <w:pPr>
                              <w:pStyle w:val="Subtitle"/>
                              <w:spacing w:before="120"/>
                              <w:rPr>
                                <w:sz w:val="32"/>
                                <w:szCs w:val="32"/>
                              </w:rPr>
                            </w:pPr>
                            <w:bookmarkStart w:id="8" w:name="_Toc53148998"/>
                            <w:r>
                              <w:rPr>
                                <w:sz w:val="32"/>
                                <w:szCs w:val="32"/>
                              </w:rPr>
                              <w:t xml:space="preserve">[2019] </w:t>
                            </w:r>
                            <w:r w:rsidRPr="00B63FF8">
                              <w:rPr>
                                <w:caps w:val="0"/>
                                <w:sz w:val="32"/>
                                <w:szCs w:val="32"/>
                              </w:rPr>
                              <w:t>AusHRC</w:t>
                            </w:r>
                            <w:r>
                              <w:rPr>
                                <w:sz w:val="32"/>
                                <w:szCs w:val="32"/>
                              </w:rPr>
                              <w:t xml:space="preserve"> 132</w:t>
                            </w:r>
                            <w:bookmarkEnd w:id="8"/>
                            <w:r w:rsidRPr="0091762E">
                              <w:rPr>
                                <w:sz w:val="32"/>
                                <w:szCs w:val="32"/>
                              </w:rPr>
                              <w:t xml:space="preserve"> </w:t>
                            </w:r>
                          </w:p>
                          <w:p w14:paraId="2B11B3CF" w14:textId="77777777" w:rsidR="00824071" w:rsidRDefault="00824071" w:rsidP="00824071"/>
                          <w:p w14:paraId="612BE729" w14:textId="77777777" w:rsidR="00824071" w:rsidRPr="0091762E" w:rsidRDefault="00824071" w:rsidP="00824071">
                            <w:pPr>
                              <w:pStyle w:val="Subtitle"/>
                              <w:spacing w:before="120"/>
                              <w:rPr>
                                <w:sz w:val="32"/>
                                <w:szCs w:val="32"/>
                              </w:rPr>
                            </w:pPr>
                            <w:bookmarkStart w:id="9" w:name="_Toc53148999"/>
                            <w:r>
                              <w:rPr>
                                <w:sz w:val="32"/>
                                <w:szCs w:val="32"/>
                              </w:rPr>
                              <w:t xml:space="preserve">[2020] </w:t>
                            </w:r>
                            <w:r w:rsidRPr="00B63FF8">
                              <w:rPr>
                                <w:caps w:val="0"/>
                                <w:sz w:val="32"/>
                                <w:szCs w:val="32"/>
                              </w:rPr>
                              <w:t>AusHRC</w:t>
                            </w:r>
                            <w:r>
                              <w:rPr>
                                <w:sz w:val="32"/>
                                <w:szCs w:val="32"/>
                              </w:rPr>
                              <w:t xml:space="preserve"> 138</w:t>
                            </w:r>
                            <w:bookmarkEnd w:id="9"/>
                            <w:r w:rsidRPr="0091762E">
                              <w:rPr>
                                <w:sz w:val="32"/>
                                <w:szCs w:val="32"/>
                              </w:rPr>
                              <w:t xml:space="preserve"> </w:t>
                            </w:r>
                          </w:p>
                          <w:p w14:paraId="6C4FFD5D" w14:textId="77777777" w:rsidR="00824071" w:rsidRDefault="00824071" w:rsidP="00824071"/>
                          <w:p w14:paraId="53B7C116" w14:textId="77777777" w:rsidR="00824071" w:rsidRPr="0091762E" w:rsidRDefault="00824071" w:rsidP="00824071">
                            <w:pPr>
                              <w:pStyle w:val="Subtitle"/>
                              <w:spacing w:before="120"/>
                              <w:rPr>
                                <w:sz w:val="32"/>
                                <w:szCs w:val="32"/>
                              </w:rPr>
                            </w:pPr>
                            <w:bookmarkStart w:id="10" w:name="_Toc53149000"/>
                            <w:r>
                              <w:rPr>
                                <w:sz w:val="32"/>
                                <w:szCs w:val="32"/>
                              </w:rPr>
                              <w:t xml:space="preserve">[2019] </w:t>
                            </w:r>
                            <w:r w:rsidRPr="00B63FF8">
                              <w:rPr>
                                <w:caps w:val="0"/>
                                <w:sz w:val="32"/>
                                <w:szCs w:val="32"/>
                              </w:rPr>
                              <w:t>AusHRC</w:t>
                            </w:r>
                            <w:r>
                              <w:rPr>
                                <w:sz w:val="32"/>
                                <w:szCs w:val="32"/>
                              </w:rPr>
                              <w:t xml:space="preserve"> 132</w:t>
                            </w:r>
                            <w:bookmarkEnd w:id="10"/>
                            <w:r w:rsidRPr="0091762E">
                              <w:rPr>
                                <w:sz w:val="32"/>
                                <w:szCs w:val="32"/>
                              </w:rPr>
                              <w:t xml:space="preserve"> </w:t>
                            </w:r>
                          </w:p>
                          <w:p w14:paraId="4B773CD6" w14:textId="77777777" w:rsidR="00824071" w:rsidRDefault="00824071" w:rsidP="00824071"/>
                          <w:p w14:paraId="3865C166" w14:textId="77777777" w:rsidR="00824071" w:rsidRPr="0091762E" w:rsidRDefault="00824071" w:rsidP="00824071">
                            <w:pPr>
                              <w:pStyle w:val="Subtitle"/>
                              <w:spacing w:before="120"/>
                              <w:rPr>
                                <w:sz w:val="32"/>
                                <w:szCs w:val="32"/>
                              </w:rPr>
                            </w:pPr>
                            <w:bookmarkStart w:id="11" w:name="_Toc53149001"/>
                            <w:r>
                              <w:rPr>
                                <w:sz w:val="32"/>
                                <w:szCs w:val="32"/>
                              </w:rPr>
                              <w:t xml:space="preserve">[2020] </w:t>
                            </w:r>
                            <w:r w:rsidRPr="00B63FF8">
                              <w:rPr>
                                <w:caps w:val="0"/>
                                <w:sz w:val="32"/>
                                <w:szCs w:val="32"/>
                              </w:rPr>
                              <w:t>AusHRC</w:t>
                            </w:r>
                            <w:r>
                              <w:rPr>
                                <w:sz w:val="32"/>
                                <w:szCs w:val="32"/>
                              </w:rPr>
                              <w:t xml:space="preserve"> 137</w:t>
                            </w:r>
                            <w:bookmarkEnd w:id="11"/>
                            <w:r w:rsidRPr="0091762E">
                              <w:rPr>
                                <w:sz w:val="32"/>
                                <w:szCs w:val="32"/>
                              </w:rPr>
                              <w:t xml:space="preserve"> </w:t>
                            </w:r>
                          </w:p>
                          <w:p w14:paraId="32B92FDC" w14:textId="77777777" w:rsidR="00824071" w:rsidRDefault="00824071" w:rsidP="00824071"/>
                          <w:p w14:paraId="056DE18B" w14:textId="77777777" w:rsidR="00824071" w:rsidRPr="0091762E" w:rsidRDefault="00824071" w:rsidP="00824071">
                            <w:pPr>
                              <w:pStyle w:val="Subtitle"/>
                              <w:spacing w:before="120"/>
                              <w:rPr>
                                <w:sz w:val="32"/>
                                <w:szCs w:val="32"/>
                              </w:rPr>
                            </w:pPr>
                            <w:bookmarkStart w:id="12" w:name="_Toc53149002"/>
                            <w:r>
                              <w:rPr>
                                <w:sz w:val="32"/>
                                <w:szCs w:val="32"/>
                              </w:rPr>
                              <w:t xml:space="preserve">[2019] </w:t>
                            </w:r>
                            <w:r w:rsidRPr="00B63FF8">
                              <w:rPr>
                                <w:caps w:val="0"/>
                                <w:sz w:val="32"/>
                                <w:szCs w:val="32"/>
                              </w:rPr>
                              <w:t>AusHRC</w:t>
                            </w:r>
                            <w:r>
                              <w:rPr>
                                <w:sz w:val="32"/>
                                <w:szCs w:val="32"/>
                              </w:rPr>
                              <w:t xml:space="preserve"> 132</w:t>
                            </w:r>
                            <w:bookmarkEnd w:id="12"/>
                            <w:r w:rsidRPr="0091762E">
                              <w:rPr>
                                <w:sz w:val="32"/>
                                <w:szCs w:val="32"/>
                              </w:rPr>
                              <w:t xml:space="preserve"> </w:t>
                            </w:r>
                          </w:p>
                          <w:p w14:paraId="63724412" w14:textId="77777777" w:rsidR="00824071" w:rsidRDefault="00824071" w:rsidP="00824071"/>
                          <w:p w14:paraId="31AA57AF" w14:textId="77777777" w:rsidR="00824071" w:rsidRPr="0091762E" w:rsidRDefault="00824071" w:rsidP="00824071">
                            <w:pPr>
                              <w:pStyle w:val="Subtitle"/>
                              <w:spacing w:before="120"/>
                              <w:rPr>
                                <w:sz w:val="32"/>
                                <w:szCs w:val="32"/>
                              </w:rPr>
                            </w:pPr>
                            <w:bookmarkStart w:id="13" w:name="_Toc53149003"/>
                            <w:r>
                              <w:rPr>
                                <w:sz w:val="32"/>
                                <w:szCs w:val="32"/>
                              </w:rPr>
                              <w:t xml:space="preserve">[2020] </w:t>
                            </w:r>
                            <w:r w:rsidRPr="00B63FF8">
                              <w:rPr>
                                <w:caps w:val="0"/>
                                <w:sz w:val="32"/>
                                <w:szCs w:val="32"/>
                              </w:rPr>
                              <w:t>AusHRC</w:t>
                            </w:r>
                            <w:r>
                              <w:rPr>
                                <w:sz w:val="32"/>
                                <w:szCs w:val="32"/>
                              </w:rPr>
                              <w:t xml:space="preserve"> 137</w:t>
                            </w:r>
                            <w:bookmarkEnd w:id="13"/>
                            <w:r w:rsidRPr="0091762E">
                              <w:rPr>
                                <w:sz w:val="32"/>
                                <w:szCs w:val="32"/>
                              </w:rPr>
                              <w:t xml:space="preserve"> </w:t>
                            </w:r>
                          </w:p>
                          <w:p w14:paraId="6EF292B0" w14:textId="77777777" w:rsidR="00824071" w:rsidRDefault="00824071" w:rsidP="00824071"/>
                          <w:p w14:paraId="6AF25A07" w14:textId="77777777" w:rsidR="00824071" w:rsidRPr="0091762E" w:rsidRDefault="00824071" w:rsidP="00824071">
                            <w:pPr>
                              <w:pStyle w:val="Subtitle"/>
                              <w:spacing w:before="120"/>
                              <w:rPr>
                                <w:sz w:val="32"/>
                                <w:szCs w:val="32"/>
                              </w:rPr>
                            </w:pPr>
                            <w:bookmarkStart w:id="14" w:name="_Toc53149004"/>
                            <w:r>
                              <w:rPr>
                                <w:sz w:val="32"/>
                                <w:szCs w:val="32"/>
                              </w:rPr>
                              <w:t xml:space="preserve">[2019] </w:t>
                            </w:r>
                            <w:r w:rsidRPr="00B63FF8">
                              <w:rPr>
                                <w:caps w:val="0"/>
                                <w:sz w:val="32"/>
                                <w:szCs w:val="32"/>
                              </w:rPr>
                              <w:t>AusHRC</w:t>
                            </w:r>
                            <w:r>
                              <w:rPr>
                                <w:sz w:val="32"/>
                                <w:szCs w:val="32"/>
                              </w:rPr>
                              <w:t xml:space="preserve"> 132</w:t>
                            </w:r>
                            <w:bookmarkEnd w:id="14"/>
                            <w:r w:rsidRPr="0091762E">
                              <w:rPr>
                                <w:sz w:val="32"/>
                                <w:szCs w:val="32"/>
                              </w:rPr>
                              <w:t xml:space="preserve"> </w:t>
                            </w:r>
                          </w:p>
                          <w:p w14:paraId="6E74B48D" w14:textId="77777777" w:rsidR="00824071" w:rsidRDefault="00824071" w:rsidP="00824071"/>
                          <w:p w14:paraId="0E3F88BA" w14:textId="77777777" w:rsidR="00824071" w:rsidRPr="0091762E" w:rsidRDefault="00824071" w:rsidP="00824071">
                            <w:pPr>
                              <w:pStyle w:val="Subtitle"/>
                              <w:spacing w:before="120"/>
                              <w:rPr>
                                <w:sz w:val="32"/>
                                <w:szCs w:val="32"/>
                              </w:rPr>
                            </w:pPr>
                            <w:bookmarkStart w:id="15" w:name="_Toc53149005"/>
                            <w:r>
                              <w:rPr>
                                <w:sz w:val="32"/>
                                <w:szCs w:val="32"/>
                              </w:rPr>
                              <w:t xml:space="preserve">[2020] </w:t>
                            </w:r>
                            <w:r w:rsidRPr="00B63FF8">
                              <w:rPr>
                                <w:caps w:val="0"/>
                                <w:sz w:val="32"/>
                                <w:szCs w:val="32"/>
                              </w:rPr>
                              <w:t>AusHRC</w:t>
                            </w:r>
                            <w:r>
                              <w:rPr>
                                <w:sz w:val="32"/>
                                <w:szCs w:val="32"/>
                              </w:rPr>
                              <w:t xml:space="preserve"> 137</w:t>
                            </w:r>
                            <w:bookmarkEnd w:id="15"/>
                            <w:r w:rsidRPr="0091762E">
                              <w:rPr>
                                <w:sz w:val="32"/>
                                <w:szCs w:val="32"/>
                              </w:rPr>
                              <w:t xml:space="preserve"> </w:t>
                            </w:r>
                          </w:p>
                          <w:p w14:paraId="366CF2A8" w14:textId="77777777" w:rsidR="00824071" w:rsidRDefault="00824071" w:rsidP="00824071"/>
                          <w:p w14:paraId="0CA5DB85" w14:textId="77777777" w:rsidR="00824071" w:rsidRPr="0091762E" w:rsidRDefault="00824071" w:rsidP="00824071">
                            <w:pPr>
                              <w:pStyle w:val="Subtitle"/>
                              <w:spacing w:before="120"/>
                              <w:rPr>
                                <w:sz w:val="32"/>
                                <w:szCs w:val="32"/>
                              </w:rPr>
                            </w:pPr>
                            <w:bookmarkStart w:id="16" w:name="_Toc53149006"/>
                            <w:r>
                              <w:rPr>
                                <w:sz w:val="32"/>
                                <w:szCs w:val="32"/>
                              </w:rPr>
                              <w:t xml:space="preserve">[2019] </w:t>
                            </w:r>
                            <w:r w:rsidRPr="00B63FF8">
                              <w:rPr>
                                <w:caps w:val="0"/>
                                <w:sz w:val="32"/>
                                <w:szCs w:val="32"/>
                              </w:rPr>
                              <w:t>AusHRC</w:t>
                            </w:r>
                            <w:r>
                              <w:rPr>
                                <w:sz w:val="32"/>
                                <w:szCs w:val="32"/>
                              </w:rPr>
                              <w:t xml:space="preserve"> 132</w:t>
                            </w:r>
                            <w:bookmarkEnd w:id="1"/>
                            <w:bookmarkEnd w:id="16"/>
                            <w:r w:rsidRPr="0091762E">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DE2C" id="Text Box 3" o:spid="_x0000_s1027" type="#_x0000_t202" style="position:absolute;margin-left:189.45pt;margin-top:170.55pt;width:262.9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" filled="f" stroked="f" strokeweight=".5pt">
                <v:textbox>
                  <w:txbxContent>
                    <w:p w14:paraId="7E901A58" w14:textId="1D634E5B" w:rsidR="00824071" w:rsidRPr="0091762E" w:rsidRDefault="00824071" w:rsidP="00824071">
                      <w:pPr>
                        <w:pStyle w:val="Subtitle"/>
                        <w:spacing w:before="120"/>
                        <w:rPr>
                          <w:sz w:val="32"/>
                          <w:szCs w:val="32"/>
                        </w:rPr>
                      </w:pPr>
                      <w:bookmarkStart w:id="17" w:name="_Toc53148991"/>
                      <w:bookmarkStart w:id="18" w:name="_Toc15547567"/>
                      <w:r>
                        <w:rPr>
                          <w:sz w:val="32"/>
                          <w:szCs w:val="32"/>
                        </w:rPr>
                        <w:t xml:space="preserve">[2020] </w:t>
                      </w:r>
                      <w:proofErr w:type="spellStart"/>
                      <w:r w:rsidRPr="00B63FF8">
                        <w:rPr>
                          <w:caps w:val="0"/>
                          <w:sz w:val="32"/>
                          <w:szCs w:val="32"/>
                        </w:rPr>
                        <w:t>AusHRC</w:t>
                      </w:r>
                      <w:proofErr w:type="spellEnd"/>
                      <w:r>
                        <w:rPr>
                          <w:sz w:val="32"/>
                          <w:szCs w:val="32"/>
                        </w:rPr>
                        <w:t xml:space="preserve"> 13</w:t>
                      </w:r>
                      <w:r>
                        <w:rPr>
                          <w:sz w:val="32"/>
                          <w:szCs w:val="32"/>
                        </w:rPr>
                        <w:t>9</w:t>
                      </w:r>
                      <w:r w:rsidRPr="0091762E">
                        <w:rPr>
                          <w:sz w:val="32"/>
                          <w:szCs w:val="32"/>
                        </w:rPr>
                        <w:t xml:space="preserve"> </w:t>
                      </w:r>
                    </w:p>
                    <w:p w14:paraId="794F94AE" w14:textId="77777777" w:rsidR="00824071" w:rsidRDefault="00824071" w:rsidP="00824071"/>
                    <w:p w14:paraId="7D07DB02"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3169C90C" w14:textId="77777777" w:rsidR="00824071" w:rsidRDefault="00824071" w:rsidP="00824071"/>
                    <w:p w14:paraId="4252ABCC"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78959429" w14:textId="77777777" w:rsidR="00824071" w:rsidRDefault="00824071" w:rsidP="00824071"/>
                    <w:p w14:paraId="1D61EE0B"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50F5ED4B" w14:textId="77777777" w:rsidR="00824071" w:rsidRDefault="00824071" w:rsidP="00824071"/>
                    <w:p w14:paraId="059D3329"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7AC0685C" w14:textId="77777777" w:rsidR="00824071" w:rsidRDefault="00824071" w:rsidP="00824071"/>
                    <w:p w14:paraId="427081AA"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712B347E" w14:textId="77777777" w:rsidR="00824071" w:rsidRDefault="00824071" w:rsidP="00824071"/>
                    <w:p w14:paraId="2189A888"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39132C78" w14:textId="77777777" w:rsidR="00824071" w:rsidRDefault="00824071" w:rsidP="00824071"/>
                    <w:p w14:paraId="2F9DC0E0"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51FD1D94" w14:textId="77777777" w:rsidR="00824071" w:rsidRDefault="00824071" w:rsidP="00824071"/>
                    <w:p w14:paraId="76648630"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138</w:t>
                      </w:r>
                      <w:r w:rsidRPr="0091762E">
                        <w:rPr>
                          <w:sz w:val="32"/>
                          <w:szCs w:val="32"/>
                        </w:rPr>
                        <w:t xml:space="preserve"> </w:t>
                      </w:r>
                    </w:p>
                    <w:p w14:paraId="097CCDF6" w14:textId="77777777" w:rsidR="00824071" w:rsidRDefault="00824071" w:rsidP="00824071"/>
                    <w:p w14:paraId="13F606D9"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60717A50" w14:textId="77777777" w:rsidR="00824071" w:rsidRDefault="00824071" w:rsidP="00824071"/>
                    <w:p w14:paraId="7C6E33D6"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2AC7A4B6" w14:textId="77777777" w:rsidR="00824071" w:rsidRDefault="00824071" w:rsidP="00824071"/>
                    <w:p w14:paraId="48069948"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40333DB7" w14:textId="77777777" w:rsidR="00824071" w:rsidRDefault="00824071" w:rsidP="00824071"/>
                    <w:p w14:paraId="08D3782A"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33B59F34" w14:textId="77777777" w:rsidR="00824071" w:rsidRDefault="00824071" w:rsidP="00824071"/>
                    <w:p w14:paraId="59A94D5B"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4F097021" w14:textId="77777777" w:rsidR="00824071" w:rsidRDefault="00824071" w:rsidP="00824071"/>
                    <w:p w14:paraId="381F742F"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137</w:t>
                      </w:r>
                      <w:r w:rsidRPr="0091762E">
                        <w:rPr>
                          <w:sz w:val="32"/>
                          <w:szCs w:val="32"/>
                        </w:rPr>
                        <w:t xml:space="preserve"> </w:t>
                      </w:r>
                    </w:p>
                    <w:p w14:paraId="29B912E1" w14:textId="77777777" w:rsidR="00824071" w:rsidRDefault="00824071" w:rsidP="00824071"/>
                    <w:p w14:paraId="3C16197B" w14:textId="77777777" w:rsidR="00824071" w:rsidRPr="0091762E" w:rsidRDefault="00824071" w:rsidP="00824071">
                      <w:pPr>
                        <w:pStyle w:val="Subtitle"/>
                        <w:spacing w:before="120"/>
                        <w:rPr>
                          <w:sz w:val="32"/>
                          <w:szCs w:val="32"/>
                        </w:rPr>
                      </w:pPr>
                      <w:r>
                        <w:rPr>
                          <w:sz w:val="32"/>
                          <w:szCs w:val="32"/>
                        </w:rPr>
                        <w:t xml:space="preserve">[2019] </w:t>
                      </w:r>
                      <w:proofErr w:type="spellStart"/>
                      <w:r w:rsidRPr="00B63FF8">
                        <w:rPr>
                          <w:caps w:val="0"/>
                          <w:sz w:val="32"/>
                          <w:szCs w:val="32"/>
                        </w:rPr>
                        <w:t>AusHRC</w:t>
                      </w:r>
                      <w:proofErr w:type="spellEnd"/>
                      <w:r>
                        <w:rPr>
                          <w:sz w:val="32"/>
                          <w:szCs w:val="32"/>
                        </w:rPr>
                        <w:t xml:space="preserve"> 132</w:t>
                      </w:r>
                      <w:r w:rsidRPr="0091762E">
                        <w:rPr>
                          <w:sz w:val="32"/>
                          <w:szCs w:val="32"/>
                        </w:rPr>
                        <w:t xml:space="preserve"> </w:t>
                      </w:r>
                    </w:p>
                    <w:p w14:paraId="36DC520F" w14:textId="77777777" w:rsidR="00824071" w:rsidRDefault="00824071" w:rsidP="00824071"/>
                    <w:p w14:paraId="3D44E324" w14:textId="77777777" w:rsidR="00824071" w:rsidRPr="0091762E" w:rsidRDefault="00824071" w:rsidP="00824071">
                      <w:pPr>
                        <w:pStyle w:val="Subtitle"/>
                        <w:spacing w:before="120"/>
                        <w:rPr>
                          <w:sz w:val="32"/>
                          <w:szCs w:val="32"/>
                        </w:rPr>
                      </w:pPr>
                      <w:r>
                        <w:rPr>
                          <w:sz w:val="32"/>
                          <w:szCs w:val="32"/>
                        </w:rPr>
                        <w:t xml:space="preserve">[2020] </w:t>
                      </w:r>
                      <w:proofErr w:type="spellStart"/>
                      <w:r w:rsidRPr="00B63FF8">
                        <w:rPr>
                          <w:caps w:val="0"/>
                          <w:sz w:val="32"/>
                          <w:szCs w:val="32"/>
                        </w:rPr>
                        <w:t>AusHRC</w:t>
                      </w:r>
                      <w:proofErr w:type="spellEnd"/>
                      <w:r>
                        <w:rPr>
                          <w:sz w:val="32"/>
                          <w:szCs w:val="32"/>
                        </w:rPr>
                        <w:t xml:space="preserve"> 138</w:t>
                      </w:r>
                      <w:bookmarkEnd w:id="17"/>
                      <w:r w:rsidRPr="0091762E">
                        <w:rPr>
                          <w:sz w:val="32"/>
                          <w:szCs w:val="32"/>
                        </w:rPr>
                        <w:t xml:space="preserve"> </w:t>
                      </w:r>
                    </w:p>
                    <w:p w14:paraId="16CA9FD1" w14:textId="77777777" w:rsidR="00824071" w:rsidRDefault="00824071" w:rsidP="00824071"/>
                    <w:p w14:paraId="7661D031" w14:textId="77777777" w:rsidR="00824071" w:rsidRPr="0091762E" w:rsidRDefault="00824071" w:rsidP="00824071">
                      <w:pPr>
                        <w:pStyle w:val="Subtitle"/>
                        <w:spacing w:before="120"/>
                        <w:rPr>
                          <w:sz w:val="32"/>
                          <w:szCs w:val="32"/>
                        </w:rPr>
                      </w:pPr>
                      <w:bookmarkStart w:id="19" w:name="_Toc53148992"/>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19"/>
                      <w:r w:rsidRPr="0091762E">
                        <w:rPr>
                          <w:sz w:val="32"/>
                          <w:szCs w:val="32"/>
                        </w:rPr>
                        <w:t xml:space="preserve"> </w:t>
                      </w:r>
                    </w:p>
                    <w:p w14:paraId="217CDBA4" w14:textId="77777777" w:rsidR="00824071" w:rsidRDefault="00824071" w:rsidP="00824071"/>
                    <w:p w14:paraId="4E02F586" w14:textId="77777777" w:rsidR="00824071" w:rsidRPr="0091762E" w:rsidRDefault="00824071" w:rsidP="00824071">
                      <w:pPr>
                        <w:pStyle w:val="Subtitle"/>
                        <w:spacing w:before="120"/>
                        <w:rPr>
                          <w:sz w:val="32"/>
                          <w:szCs w:val="32"/>
                        </w:rPr>
                      </w:pPr>
                      <w:bookmarkStart w:id="20" w:name="_Toc53148993"/>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20"/>
                      <w:r w:rsidRPr="0091762E">
                        <w:rPr>
                          <w:sz w:val="32"/>
                          <w:szCs w:val="32"/>
                        </w:rPr>
                        <w:t xml:space="preserve"> </w:t>
                      </w:r>
                    </w:p>
                    <w:p w14:paraId="6291F270" w14:textId="77777777" w:rsidR="00824071" w:rsidRDefault="00824071" w:rsidP="00824071"/>
                    <w:p w14:paraId="140EADF3" w14:textId="77777777" w:rsidR="00824071" w:rsidRPr="0091762E" w:rsidRDefault="00824071" w:rsidP="00824071">
                      <w:pPr>
                        <w:pStyle w:val="Subtitle"/>
                        <w:spacing w:before="120"/>
                        <w:rPr>
                          <w:sz w:val="32"/>
                          <w:szCs w:val="32"/>
                        </w:rPr>
                      </w:pPr>
                      <w:bookmarkStart w:id="21" w:name="_Toc53148994"/>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21"/>
                      <w:r w:rsidRPr="0091762E">
                        <w:rPr>
                          <w:sz w:val="32"/>
                          <w:szCs w:val="32"/>
                        </w:rPr>
                        <w:t xml:space="preserve"> </w:t>
                      </w:r>
                    </w:p>
                    <w:p w14:paraId="1233EF0A" w14:textId="77777777" w:rsidR="00824071" w:rsidRDefault="00824071" w:rsidP="00824071"/>
                    <w:p w14:paraId="6D66091A" w14:textId="77777777" w:rsidR="00824071" w:rsidRPr="0091762E" w:rsidRDefault="00824071" w:rsidP="00824071">
                      <w:pPr>
                        <w:pStyle w:val="Subtitle"/>
                        <w:spacing w:before="120"/>
                        <w:rPr>
                          <w:sz w:val="32"/>
                          <w:szCs w:val="32"/>
                        </w:rPr>
                      </w:pPr>
                      <w:bookmarkStart w:id="22" w:name="_Toc53148995"/>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22"/>
                      <w:r w:rsidRPr="0091762E">
                        <w:rPr>
                          <w:sz w:val="32"/>
                          <w:szCs w:val="32"/>
                        </w:rPr>
                        <w:t xml:space="preserve"> </w:t>
                      </w:r>
                    </w:p>
                    <w:p w14:paraId="7E782CAB" w14:textId="77777777" w:rsidR="00824071" w:rsidRDefault="00824071" w:rsidP="00824071"/>
                    <w:p w14:paraId="635690A2" w14:textId="77777777" w:rsidR="00824071" w:rsidRPr="0091762E" w:rsidRDefault="00824071" w:rsidP="00824071">
                      <w:pPr>
                        <w:pStyle w:val="Subtitle"/>
                        <w:spacing w:before="120"/>
                        <w:rPr>
                          <w:sz w:val="32"/>
                          <w:szCs w:val="32"/>
                        </w:rPr>
                      </w:pPr>
                      <w:bookmarkStart w:id="23" w:name="_Toc53148996"/>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23"/>
                      <w:r w:rsidRPr="0091762E">
                        <w:rPr>
                          <w:sz w:val="32"/>
                          <w:szCs w:val="32"/>
                        </w:rPr>
                        <w:t xml:space="preserve"> </w:t>
                      </w:r>
                    </w:p>
                    <w:p w14:paraId="0AF78214" w14:textId="77777777" w:rsidR="00824071" w:rsidRDefault="00824071" w:rsidP="00824071"/>
                    <w:p w14:paraId="5445E9F8" w14:textId="77777777" w:rsidR="00824071" w:rsidRPr="0091762E" w:rsidRDefault="00824071" w:rsidP="00824071">
                      <w:pPr>
                        <w:pStyle w:val="Subtitle"/>
                        <w:spacing w:before="120"/>
                        <w:rPr>
                          <w:sz w:val="32"/>
                          <w:szCs w:val="32"/>
                        </w:rPr>
                      </w:pPr>
                      <w:bookmarkStart w:id="24" w:name="_Toc53148997"/>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24"/>
                      <w:r w:rsidRPr="0091762E">
                        <w:rPr>
                          <w:sz w:val="32"/>
                          <w:szCs w:val="32"/>
                        </w:rPr>
                        <w:t xml:space="preserve"> </w:t>
                      </w:r>
                    </w:p>
                    <w:p w14:paraId="192DAB7C" w14:textId="77777777" w:rsidR="00824071" w:rsidRDefault="00824071" w:rsidP="00824071"/>
                    <w:p w14:paraId="0818661A" w14:textId="77777777" w:rsidR="00824071" w:rsidRPr="0091762E" w:rsidRDefault="00824071" w:rsidP="00824071">
                      <w:pPr>
                        <w:pStyle w:val="Subtitle"/>
                        <w:spacing w:before="120"/>
                        <w:rPr>
                          <w:sz w:val="32"/>
                          <w:szCs w:val="32"/>
                        </w:rPr>
                      </w:pPr>
                      <w:bookmarkStart w:id="25" w:name="_Toc53148998"/>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25"/>
                      <w:r w:rsidRPr="0091762E">
                        <w:rPr>
                          <w:sz w:val="32"/>
                          <w:szCs w:val="32"/>
                        </w:rPr>
                        <w:t xml:space="preserve"> </w:t>
                      </w:r>
                    </w:p>
                    <w:p w14:paraId="2B11B3CF" w14:textId="77777777" w:rsidR="00824071" w:rsidRDefault="00824071" w:rsidP="00824071"/>
                    <w:p w14:paraId="612BE729" w14:textId="77777777" w:rsidR="00824071" w:rsidRPr="0091762E" w:rsidRDefault="00824071" w:rsidP="00824071">
                      <w:pPr>
                        <w:pStyle w:val="Subtitle"/>
                        <w:spacing w:before="120"/>
                        <w:rPr>
                          <w:sz w:val="32"/>
                          <w:szCs w:val="32"/>
                        </w:rPr>
                      </w:pPr>
                      <w:bookmarkStart w:id="26" w:name="_Toc53148999"/>
                      <w:r>
                        <w:rPr>
                          <w:sz w:val="32"/>
                          <w:szCs w:val="32"/>
                        </w:rPr>
                        <w:t xml:space="preserve">[2020] </w:t>
                      </w:r>
                      <w:proofErr w:type="spellStart"/>
                      <w:r w:rsidRPr="00B63FF8">
                        <w:rPr>
                          <w:caps w:val="0"/>
                          <w:sz w:val="32"/>
                          <w:szCs w:val="32"/>
                        </w:rPr>
                        <w:t>AusHRC</w:t>
                      </w:r>
                      <w:proofErr w:type="spellEnd"/>
                      <w:r>
                        <w:rPr>
                          <w:sz w:val="32"/>
                          <w:szCs w:val="32"/>
                        </w:rPr>
                        <w:t xml:space="preserve"> 138</w:t>
                      </w:r>
                      <w:bookmarkEnd w:id="26"/>
                      <w:r w:rsidRPr="0091762E">
                        <w:rPr>
                          <w:sz w:val="32"/>
                          <w:szCs w:val="32"/>
                        </w:rPr>
                        <w:t xml:space="preserve"> </w:t>
                      </w:r>
                    </w:p>
                    <w:p w14:paraId="6C4FFD5D" w14:textId="77777777" w:rsidR="00824071" w:rsidRDefault="00824071" w:rsidP="00824071"/>
                    <w:p w14:paraId="53B7C116" w14:textId="77777777" w:rsidR="00824071" w:rsidRPr="0091762E" w:rsidRDefault="00824071" w:rsidP="00824071">
                      <w:pPr>
                        <w:pStyle w:val="Subtitle"/>
                        <w:spacing w:before="120"/>
                        <w:rPr>
                          <w:sz w:val="32"/>
                          <w:szCs w:val="32"/>
                        </w:rPr>
                      </w:pPr>
                      <w:bookmarkStart w:id="27" w:name="_Toc53149000"/>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27"/>
                      <w:r w:rsidRPr="0091762E">
                        <w:rPr>
                          <w:sz w:val="32"/>
                          <w:szCs w:val="32"/>
                        </w:rPr>
                        <w:t xml:space="preserve"> </w:t>
                      </w:r>
                    </w:p>
                    <w:p w14:paraId="4B773CD6" w14:textId="77777777" w:rsidR="00824071" w:rsidRDefault="00824071" w:rsidP="00824071"/>
                    <w:p w14:paraId="3865C166" w14:textId="77777777" w:rsidR="00824071" w:rsidRPr="0091762E" w:rsidRDefault="00824071" w:rsidP="00824071">
                      <w:pPr>
                        <w:pStyle w:val="Subtitle"/>
                        <w:spacing w:before="120"/>
                        <w:rPr>
                          <w:sz w:val="32"/>
                          <w:szCs w:val="32"/>
                        </w:rPr>
                      </w:pPr>
                      <w:bookmarkStart w:id="28" w:name="_Toc53149001"/>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28"/>
                      <w:r w:rsidRPr="0091762E">
                        <w:rPr>
                          <w:sz w:val="32"/>
                          <w:szCs w:val="32"/>
                        </w:rPr>
                        <w:t xml:space="preserve"> </w:t>
                      </w:r>
                    </w:p>
                    <w:p w14:paraId="32B92FDC" w14:textId="77777777" w:rsidR="00824071" w:rsidRDefault="00824071" w:rsidP="00824071"/>
                    <w:p w14:paraId="056DE18B" w14:textId="77777777" w:rsidR="00824071" w:rsidRPr="0091762E" w:rsidRDefault="00824071" w:rsidP="00824071">
                      <w:pPr>
                        <w:pStyle w:val="Subtitle"/>
                        <w:spacing w:before="120"/>
                        <w:rPr>
                          <w:sz w:val="32"/>
                          <w:szCs w:val="32"/>
                        </w:rPr>
                      </w:pPr>
                      <w:bookmarkStart w:id="29" w:name="_Toc53149002"/>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29"/>
                      <w:r w:rsidRPr="0091762E">
                        <w:rPr>
                          <w:sz w:val="32"/>
                          <w:szCs w:val="32"/>
                        </w:rPr>
                        <w:t xml:space="preserve"> </w:t>
                      </w:r>
                    </w:p>
                    <w:p w14:paraId="63724412" w14:textId="77777777" w:rsidR="00824071" w:rsidRDefault="00824071" w:rsidP="00824071"/>
                    <w:p w14:paraId="31AA57AF" w14:textId="77777777" w:rsidR="00824071" w:rsidRPr="0091762E" w:rsidRDefault="00824071" w:rsidP="00824071">
                      <w:pPr>
                        <w:pStyle w:val="Subtitle"/>
                        <w:spacing w:before="120"/>
                        <w:rPr>
                          <w:sz w:val="32"/>
                          <w:szCs w:val="32"/>
                        </w:rPr>
                      </w:pPr>
                      <w:bookmarkStart w:id="30" w:name="_Toc53149003"/>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30"/>
                      <w:r w:rsidRPr="0091762E">
                        <w:rPr>
                          <w:sz w:val="32"/>
                          <w:szCs w:val="32"/>
                        </w:rPr>
                        <w:t xml:space="preserve"> </w:t>
                      </w:r>
                    </w:p>
                    <w:p w14:paraId="6EF292B0" w14:textId="77777777" w:rsidR="00824071" w:rsidRDefault="00824071" w:rsidP="00824071"/>
                    <w:p w14:paraId="6AF25A07" w14:textId="77777777" w:rsidR="00824071" w:rsidRPr="0091762E" w:rsidRDefault="00824071" w:rsidP="00824071">
                      <w:pPr>
                        <w:pStyle w:val="Subtitle"/>
                        <w:spacing w:before="120"/>
                        <w:rPr>
                          <w:sz w:val="32"/>
                          <w:szCs w:val="32"/>
                        </w:rPr>
                      </w:pPr>
                      <w:bookmarkStart w:id="31" w:name="_Toc53149004"/>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31"/>
                      <w:r w:rsidRPr="0091762E">
                        <w:rPr>
                          <w:sz w:val="32"/>
                          <w:szCs w:val="32"/>
                        </w:rPr>
                        <w:t xml:space="preserve"> </w:t>
                      </w:r>
                    </w:p>
                    <w:p w14:paraId="6E74B48D" w14:textId="77777777" w:rsidR="00824071" w:rsidRDefault="00824071" w:rsidP="00824071"/>
                    <w:p w14:paraId="0E3F88BA" w14:textId="77777777" w:rsidR="00824071" w:rsidRPr="0091762E" w:rsidRDefault="00824071" w:rsidP="00824071">
                      <w:pPr>
                        <w:pStyle w:val="Subtitle"/>
                        <w:spacing w:before="120"/>
                        <w:rPr>
                          <w:sz w:val="32"/>
                          <w:szCs w:val="32"/>
                        </w:rPr>
                      </w:pPr>
                      <w:bookmarkStart w:id="32" w:name="_Toc53149005"/>
                      <w:r>
                        <w:rPr>
                          <w:sz w:val="32"/>
                          <w:szCs w:val="32"/>
                        </w:rPr>
                        <w:t xml:space="preserve">[2020] </w:t>
                      </w:r>
                      <w:proofErr w:type="spellStart"/>
                      <w:r w:rsidRPr="00B63FF8">
                        <w:rPr>
                          <w:caps w:val="0"/>
                          <w:sz w:val="32"/>
                          <w:szCs w:val="32"/>
                        </w:rPr>
                        <w:t>AusHRC</w:t>
                      </w:r>
                      <w:proofErr w:type="spellEnd"/>
                      <w:r>
                        <w:rPr>
                          <w:sz w:val="32"/>
                          <w:szCs w:val="32"/>
                        </w:rPr>
                        <w:t xml:space="preserve"> 137</w:t>
                      </w:r>
                      <w:bookmarkEnd w:id="32"/>
                      <w:r w:rsidRPr="0091762E">
                        <w:rPr>
                          <w:sz w:val="32"/>
                          <w:szCs w:val="32"/>
                        </w:rPr>
                        <w:t xml:space="preserve"> </w:t>
                      </w:r>
                    </w:p>
                    <w:p w14:paraId="366CF2A8" w14:textId="77777777" w:rsidR="00824071" w:rsidRDefault="00824071" w:rsidP="00824071"/>
                    <w:p w14:paraId="0CA5DB85" w14:textId="77777777" w:rsidR="00824071" w:rsidRPr="0091762E" w:rsidRDefault="00824071" w:rsidP="00824071">
                      <w:pPr>
                        <w:pStyle w:val="Subtitle"/>
                        <w:spacing w:before="120"/>
                        <w:rPr>
                          <w:sz w:val="32"/>
                          <w:szCs w:val="32"/>
                        </w:rPr>
                      </w:pPr>
                      <w:bookmarkStart w:id="33" w:name="_Toc53149006"/>
                      <w:r>
                        <w:rPr>
                          <w:sz w:val="32"/>
                          <w:szCs w:val="32"/>
                        </w:rPr>
                        <w:t xml:space="preserve">[2019] </w:t>
                      </w:r>
                      <w:proofErr w:type="spellStart"/>
                      <w:r w:rsidRPr="00B63FF8">
                        <w:rPr>
                          <w:caps w:val="0"/>
                          <w:sz w:val="32"/>
                          <w:szCs w:val="32"/>
                        </w:rPr>
                        <w:t>AusHRC</w:t>
                      </w:r>
                      <w:proofErr w:type="spellEnd"/>
                      <w:r>
                        <w:rPr>
                          <w:sz w:val="32"/>
                          <w:szCs w:val="32"/>
                        </w:rPr>
                        <w:t xml:space="preserve"> 132</w:t>
                      </w:r>
                      <w:bookmarkEnd w:id="18"/>
                      <w:bookmarkEnd w:id="33"/>
                      <w:r w:rsidRPr="0091762E">
                        <w:rPr>
                          <w:sz w:val="32"/>
                          <w:szCs w:val="32"/>
                        </w:rPr>
                        <w:t xml:space="preserve"> </w:t>
                      </w:r>
                    </w:p>
                  </w:txbxContent>
                </v:textbox>
              </v:shape>
            </w:pict>
          </mc:Fallback>
        </mc:AlternateContent>
      </w:r>
      <w:r>
        <w:rPr>
          <w:rFonts w:ascii="Open Sans" w:hAnsi="Open Sans" w:cs="Open Sans"/>
          <w:noProof/>
          <w:szCs w:val="24"/>
        </w:rPr>
        <mc:AlternateContent>
          <mc:Choice Requires="wps">
            <w:drawing>
              <wp:anchor distT="0" distB="0" distL="114300" distR="114300" simplePos="0" relativeHeight="251661312" behindDoc="0" locked="0" layoutInCell="1" allowOverlap="1" wp14:anchorId="34A5CD28" wp14:editId="7F4C95C7">
                <wp:simplePos x="0" y="0"/>
                <wp:positionH relativeFrom="margin">
                  <wp:posOffset>2254250</wp:posOffset>
                </wp:positionH>
                <wp:positionV relativeFrom="paragraph">
                  <wp:posOffset>689610</wp:posOffset>
                </wp:positionV>
                <wp:extent cx="3524250" cy="1539240"/>
                <wp:effectExtent l="0" t="0" r="0" b="3810"/>
                <wp:wrapNone/>
                <wp:docPr id="7" name="Rectangle 7"/>
                <wp:cNvGraphicFramePr/>
                <a:graphic xmlns:a="http://schemas.openxmlformats.org/drawingml/2006/main">
                  <a:graphicData uri="http://schemas.microsoft.com/office/word/2010/wordprocessingShape">
                    <wps:wsp>
                      <wps:cNvSpPr/>
                      <wps:spPr>
                        <a:xfrm>
                          <a:off x="0" y="0"/>
                          <a:ext cx="3524250" cy="1539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F411C" w14:textId="3779DF04" w:rsidR="00824071" w:rsidRPr="00824071" w:rsidRDefault="00824071" w:rsidP="00824071">
                            <w:pPr>
                              <w:spacing w:after="60" w:line="360" w:lineRule="auto"/>
                              <w:jc w:val="right"/>
                              <w:rPr>
                                <w:b/>
                                <w:bCs/>
                                <w:color w:val="2E74B5" w:themeColor="accent5" w:themeShade="BF"/>
                                <w:sz w:val="40"/>
                                <w:szCs w:val="40"/>
                              </w:rPr>
                            </w:pPr>
                            <w:r w:rsidRPr="00824071">
                              <w:rPr>
                                <w:b/>
                                <w:bCs/>
                                <w:color w:val="2E74B5" w:themeColor="accent5" w:themeShade="BF"/>
                                <w:sz w:val="40"/>
                                <w:szCs w:val="40"/>
                              </w:rPr>
                              <w:t xml:space="preserve">LF v Commonwealth </w:t>
                            </w:r>
                          </w:p>
                          <w:p w14:paraId="3E117250" w14:textId="3F58D3F3" w:rsidR="00824071" w:rsidRPr="00824071" w:rsidRDefault="00824071" w:rsidP="00824071">
                            <w:pPr>
                              <w:spacing w:after="60" w:line="360" w:lineRule="auto"/>
                              <w:jc w:val="right"/>
                              <w:rPr>
                                <w:b/>
                                <w:bCs/>
                                <w:color w:val="2E74B5" w:themeColor="accent5" w:themeShade="BF"/>
                                <w:sz w:val="40"/>
                                <w:szCs w:val="40"/>
                              </w:rPr>
                            </w:pPr>
                            <w:r w:rsidRPr="00824071">
                              <w:rPr>
                                <w:b/>
                                <w:bCs/>
                                <w:color w:val="2E74B5" w:themeColor="accent5" w:themeShade="BF"/>
                                <w:sz w:val="40"/>
                                <w:szCs w:val="40"/>
                              </w:rPr>
                              <w:t xml:space="preserve">of Australia (Department of   Home Affairs) </w:t>
                            </w:r>
                          </w:p>
                          <w:p w14:paraId="3E5B482C" w14:textId="77777777" w:rsidR="00824071" w:rsidRDefault="00824071" w:rsidP="00824071">
                            <w:pPr>
                              <w:jc w:val="center"/>
                            </w:pPr>
                          </w:p>
                          <w:p w14:paraId="4EEC830B" w14:textId="77777777" w:rsidR="00824071" w:rsidRDefault="00824071" w:rsidP="00824071"/>
                          <w:p w14:paraId="626C2CA3" w14:textId="77777777" w:rsidR="0082407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6AF95BC7" w14:textId="77777777" w:rsidR="00824071" w:rsidRPr="006551C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7B42D714" w14:textId="77777777" w:rsidR="00824071" w:rsidRDefault="00824071" w:rsidP="00824071">
                            <w:pPr>
                              <w:jc w:val="center"/>
                            </w:pPr>
                          </w:p>
                          <w:p w14:paraId="4E4208C9" w14:textId="77777777" w:rsidR="00824071" w:rsidRDefault="00824071" w:rsidP="00824071"/>
                          <w:p w14:paraId="5657DDDC" w14:textId="77777777" w:rsidR="0082407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03E72EC5" w14:textId="77777777" w:rsidR="00824071" w:rsidRPr="006551C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56F9F9FB" w14:textId="77777777" w:rsidR="00824071" w:rsidRDefault="00824071" w:rsidP="00824071">
                            <w:pPr>
                              <w:jc w:val="center"/>
                            </w:pPr>
                          </w:p>
                          <w:p w14:paraId="4EF7F7C9" w14:textId="77777777" w:rsidR="00824071" w:rsidRDefault="00824071" w:rsidP="00824071"/>
                          <w:p w14:paraId="19E9BF8D" w14:textId="77777777" w:rsidR="0082407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37663C6B" w14:textId="77777777" w:rsidR="00824071" w:rsidRPr="006551C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6828B78D" w14:textId="77777777" w:rsidR="00824071" w:rsidRDefault="00824071" w:rsidP="00824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5CD28" id="Rectangle 7" o:spid="_x0000_s1028" style="position:absolute;margin-left:177.5pt;margin-top:54.3pt;width:277.5pt;height:12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" filled="f" stroked="f" strokeweight="1pt">
                <v:textbox>
                  <w:txbxContent>
                    <w:p w14:paraId="041F411C" w14:textId="3779DF04" w:rsidR="00824071" w:rsidRPr="00824071" w:rsidRDefault="00824071" w:rsidP="00824071">
                      <w:pPr>
                        <w:spacing w:after="60" w:line="360" w:lineRule="auto"/>
                        <w:jc w:val="right"/>
                        <w:rPr>
                          <w:b/>
                          <w:bCs/>
                          <w:color w:val="2E74B5" w:themeColor="accent5" w:themeShade="BF"/>
                          <w:sz w:val="40"/>
                          <w:szCs w:val="40"/>
                        </w:rPr>
                      </w:pPr>
                      <w:r w:rsidRPr="00824071">
                        <w:rPr>
                          <w:b/>
                          <w:bCs/>
                          <w:color w:val="2E74B5" w:themeColor="accent5" w:themeShade="BF"/>
                          <w:sz w:val="40"/>
                          <w:szCs w:val="40"/>
                        </w:rPr>
                        <w:t>LF</w:t>
                      </w:r>
                      <w:r w:rsidRPr="00824071">
                        <w:rPr>
                          <w:b/>
                          <w:bCs/>
                          <w:color w:val="2E74B5" w:themeColor="accent5" w:themeShade="BF"/>
                          <w:sz w:val="40"/>
                          <w:szCs w:val="40"/>
                        </w:rPr>
                        <w:t xml:space="preserve"> v Commonwealth </w:t>
                      </w:r>
                    </w:p>
                    <w:p w14:paraId="3E117250" w14:textId="3F58D3F3" w:rsidR="00824071" w:rsidRPr="00824071" w:rsidRDefault="00824071" w:rsidP="00824071">
                      <w:pPr>
                        <w:spacing w:after="60" w:line="360" w:lineRule="auto"/>
                        <w:jc w:val="right"/>
                        <w:rPr>
                          <w:b/>
                          <w:bCs/>
                          <w:color w:val="2E74B5" w:themeColor="accent5" w:themeShade="BF"/>
                          <w:sz w:val="40"/>
                          <w:szCs w:val="40"/>
                        </w:rPr>
                      </w:pPr>
                      <w:r w:rsidRPr="00824071">
                        <w:rPr>
                          <w:b/>
                          <w:bCs/>
                          <w:color w:val="2E74B5" w:themeColor="accent5" w:themeShade="BF"/>
                          <w:sz w:val="40"/>
                          <w:szCs w:val="40"/>
                        </w:rPr>
                        <w:t xml:space="preserve">of Australia (Department of </w:t>
                      </w:r>
                      <w:r w:rsidRPr="00824071">
                        <w:rPr>
                          <w:b/>
                          <w:bCs/>
                          <w:color w:val="2E74B5" w:themeColor="accent5" w:themeShade="BF"/>
                          <w:sz w:val="40"/>
                          <w:szCs w:val="40"/>
                        </w:rPr>
                        <w:t xml:space="preserve">  </w:t>
                      </w:r>
                      <w:r w:rsidRPr="00824071">
                        <w:rPr>
                          <w:b/>
                          <w:bCs/>
                          <w:color w:val="2E74B5" w:themeColor="accent5" w:themeShade="BF"/>
                          <w:sz w:val="40"/>
                          <w:szCs w:val="40"/>
                        </w:rPr>
                        <w:t xml:space="preserve">Home Affairs) </w:t>
                      </w:r>
                    </w:p>
                    <w:p w14:paraId="3E5B482C" w14:textId="77777777" w:rsidR="00824071" w:rsidRDefault="00824071" w:rsidP="00824071">
                      <w:pPr>
                        <w:jc w:val="center"/>
                      </w:pPr>
                    </w:p>
                    <w:p w14:paraId="4EEC830B" w14:textId="77777777" w:rsidR="00824071" w:rsidRDefault="00824071" w:rsidP="00824071"/>
                    <w:p w14:paraId="626C2CA3" w14:textId="77777777" w:rsidR="0082407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6AF95BC7" w14:textId="77777777" w:rsidR="00824071" w:rsidRPr="006551C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7B42D714" w14:textId="77777777" w:rsidR="00824071" w:rsidRDefault="00824071" w:rsidP="00824071">
                      <w:pPr>
                        <w:jc w:val="center"/>
                      </w:pPr>
                    </w:p>
                    <w:p w14:paraId="4E4208C9" w14:textId="77777777" w:rsidR="00824071" w:rsidRDefault="00824071" w:rsidP="00824071"/>
                    <w:p w14:paraId="5657DDDC" w14:textId="77777777" w:rsidR="0082407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03E72EC5" w14:textId="77777777" w:rsidR="00824071" w:rsidRPr="006551C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56F9F9FB" w14:textId="77777777" w:rsidR="00824071" w:rsidRDefault="00824071" w:rsidP="00824071">
                      <w:pPr>
                        <w:jc w:val="center"/>
                      </w:pPr>
                    </w:p>
                    <w:p w14:paraId="4EF7F7C9" w14:textId="77777777" w:rsidR="00824071" w:rsidRDefault="00824071" w:rsidP="00824071"/>
                    <w:p w14:paraId="19E9BF8D" w14:textId="77777777" w:rsidR="0082407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PD v Commonwealth </w:t>
                      </w:r>
                    </w:p>
                    <w:p w14:paraId="37663C6B" w14:textId="77777777" w:rsidR="00824071" w:rsidRPr="006551C1" w:rsidRDefault="00824071" w:rsidP="00824071">
                      <w:pPr>
                        <w:spacing w:line="432" w:lineRule="auto"/>
                        <w:jc w:val="right"/>
                        <w:rPr>
                          <w:b/>
                          <w:bCs/>
                          <w:color w:val="2E74B5" w:themeColor="accent5" w:themeShade="BF"/>
                          <w:sz w:val="36"/>
                          <w:szCs w:val="36"/>
                        </w:rPr>
                      </w:pPr>
                      <w:r w:rsidRPr="006551C1">
                        <w:rPr>
                          <w:b/>
                          <w:bCs/>
                          <w:color w:val="2E74B5" w:themeColor="accent5" w:themeShade="BF"/>
                          <w:sz w:val="36"/>
                          <w:szCs w:val="36"/>
                        </w:rPr>
                        <w:t xml:space="preserve">of Australia (Department of Home Affairs) </w:t>
                      </w:r>
                    </w:p>
                    <w:p w14:paraId="6828B78D" w14:textId="77777777" w:rsidR="00824071" w:rsidRDefault="00824071" w:rsidP="00824071">
                      <w:pPr>
                        <w:jc w:val="center"/>
                      </w:pPr>
                    </w:p>
                  </w:txbxContent>
                </v:textbox>
                <w10:wrap anchorx="margin"/>
              </v:rect>
            </w:pict>
          </mc:Fallback>
        </mc:AlternateContent>
      </w:r>
      <w:r>
        <w:rPr>
          <w:rFonts w:ascii="Open Sans" w:hAnsi="Open Sans" w:cs="Open Sans"/>
          <w:b/>
          <w:noProof/>
          <w:sz w:val="36"/>
          <w:szCs w:val="36"/>
        </w:rPr>
        <w:drawing>
          <wp:anchor distT="0" distB="0" distL="114300" distR="114300" simplePos="0" relativeHeight="251659264" behindDoc="1" locked="0" layoutInCell="0" allowOverlap="1" wp14:anchorId="5EF0A0E3" wp14:editId="4BBF7227">
            <wp:simplePos x="0" y="0"/>
            <wp:positionH relativeFrom="page">
              <wp:align>left</wp:align>
            </wp:positionH>
            <wp:positionV relativeFrom="page">
              <wp:posOffset>18415</wp:posOffset>
            </wp:positionV>
            <wp:extent cx="7563485" cy="10838815"/>
            <wp:effectExtent l="0" t="0" r="0" b="635"/>
            <wp:wrapSquare wrapText="bothSides"/>
            <wp:docPr id="1" name="Picture 1" descr="MS word co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066017" descr="MS word cover1"/>
                    <pic:cNvPicPr>
                      <a:picLocks noChangeAspect="1" noChangeArrowheads="1"/>
                    </pic:cNvPicPr>
                  </pic:nvPicPr>
                  <pic:blipFill rotWithShape="1">
                    <a:blip r:embed="rId7">
                      <a:extLst>
                        <a:ext uri="{28A0092B-C50C-407E-A947-70E740481C1C}">
                          <a14:useLocalDpi xmlns:a14="http://schemas.microsoft.com/office/drawing/2010/main" val="0"/>
                        </a:ext>
                      </a:extLst>
                    </a:blip>
                    <a:srcRect t="1486"/>
                    <a:stretch/>
                  </pic:blipFill>
                  <pic:spPr bwMode="auto">
                    <a:xfrm>
                      <a:off x="0" y="0"/>
                      <a:ext cx="7563485" cy="10838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E8A552" w14:textId="503F8455" w:rsidR="00824071" w:rsidRDefault="00824071" w:rsidP="00824071">
      <w:pPr>
        <w:rPr>
          <w:rFonts w:ascii="Open Sans" w:hAnsi="Open Sans" w:cs="Open Sans"/>
          <w:b/>
          <w:sz w:val="36"/>
          <w:szCs w:val="36"/>
        </w:rPr>
      </w:pPr>
    </w:p>
    <w:p w14:paraId="2B9A5AB0" w14:textId="77777777" w:rsidR="00824071" w:rsidRDefault="00824071" w:rsidP="00824071">
      <w:pPr>
        <w:tabs>
          <w:tab w:val="left" w:pos="1692"/>
        </w:tabs>
        <w:rPr>
          <w:rFonts w:ascii="Open Sans" w:hAnsi="Open Sans" w:cs="Open Sans"/>
          <w:b/>
          <w:sz w:val="36"/>
          <w:szCs w:val="36"/>
        </w:rPr>
      </w:pPr>
    </w:p>
    <w:p w14:paraId="5309C54D" w14:textId="08BF3D2B" w:rsidR="00824071" w:rsidRPr="00772985" w:rsidRDefault="00824071" w:rsidP="00824071">
      <w:pPr>
        <w:tabs>
          <w:tab w:val="left" w:pos="1692"/>
        </w:tabs>
        <w:rPr>
          <w:rFonts w:ascii="Open Sans" w:hAnsi="Open Sans" w:cs="Open Sans"/>
          <w:b/>
          <w:sz w:val="36"/>
          <w:szCs w:val="36"/>
        </w:rPr>
      </w:pPr>
      <w:r>
        <w:rPr>
          <w:rFonts w:ascii="Open Sans" w:hAnsi="Open Sans" w:cs="Open Sans"/>
          <w:b/>
          <w:sz w:val="36"/>
          <w:szCs w:val="36"/>
        </w:rPr>
        <w:t>LF</w:t>
      </w:r>
      <w:r w:rsidRPr="00772985">
        <w:rPr>
          <w:rFonts w:ascii="Open Sans" w:hAnsi="Open Sans" w:cs="Open Sans"/>
          <w:b/>
          <w:sz w:val="36"/>
          <w:szCs w:val="36"/>
        </w:rPr>
        <w:t xml:space="preserve"> v Commonwealth (Department of Home Affairs)</w:t>
      </w:r>
    </w:p>
    <w:p w14:paraId="38E30B4A" w14:textId="77777777" w:rsidR="00824071" w:rsidRPr="00772985" w:rsidRDefault="00824071" w:rsidP="00824071">
      <w:pPr>
        <w:rPr>
          <w:rFonts w:ascii="Open Sans" w:hAnsi="Open Sans" w:cs="Open Sans"/>
          <w:szCs w:val="24"/>
        </w:rPr>
      </w:pPr>
    </w:p>
    <w:p w14:paraId="7934FA6F" w14:textId="50965582" w:rsidR="00824071" w:rsidRPr="00C27179" w:rsidRDefault="00824071" w:rsidP="00824071">
      <w:pPr>
        <w:rPr>
          <w:rFonts w:ascii="Open Sans" w:hAnsi="Open Sans" w:cs="Open Sans"/>
          <w:sz w:val="32"/>
          <w:szCs w:val="32"/>
        </w:rPr>
      </w:pPr>
      <w:r w:rsidRPr="00C27179">
        <w:rPr>
          <w:rFonts w:ascii="Open Sans" w:hAnsi="Open Sans" w:cs="Open Sans"/>
          <w:sz w:val="32"/>
          <w:szCs w:val="32"/>
        </w:rPr>
        <w:t xml:space="preserve">[2020] </w:t>
      </w:r>
      <w:proofErr w:type="spellStart"/>
      <w:r w:rsidRPr="00C27179">
        <w:rPr>
          <w:rFonts w:ascii="Open Sans" w:hAnsi="Open Sans" w:cs="Open Sans"/>
          <w:sz w:val="32"/>
          <w:szCs w:val="32"/>
        </w:rPr>
        <w:t>AusHRC</w:t>
      </w:r>
      <w:proofErr w:type="spellEnd"/>
      <w:r w:rsidRPr="00C27179">
        <w:rPr>
          <w:rFonts w:ascii="Open Sans" w:hAnsi="Open Sans" w:cs="Open Sans"/>
          <w:sz w:val="32"/>
          <w:szCs w:val="32"/>
        </w:rPr>
        <w:t xml:space="preserve"> 13</w:t>
      </w:r>
      <w:r>
        <w:rPr>
          <w:rFonts w:ascii="Open Sans" w:hAnsi="Open Sans" w:cs="Open Sans"/>
          <w:sz w:val="32"/>
          <w:szCs w:val="32"/>
        </w:rPr>
        <w:t>9</w:t>
      </w:r>
    </w:p>
    <w:p w14:paraId="00786B64" w14:textId="49BFCAD0" w:rsidR="00824071" w:rsidRPr="00772985" w:rsidRDefault="00824071" w:rsidP="00824071">
      <w:pPr>
        <w:rPr>
          <w:rFonts w:ascii="Open Sans" w:hAnsi="Open Sans" w:cs="Open Sans"/>
          <w:szCs w:val="24"/>
        </w:rPr>
      </w:pPr>
    </w:p>
    <w:p w14:paraId="26BC8092" w14:textId="708AE161" w:rsidR="00824071" w:rsidRPr="00772985" w:rsidRDefault="00824071" w:rsidP="00824071">
      <w:pPr>
        <w:rPr>
          <w:rFonts w:ascii="Open Sans" w:hAnsi="Open Sans" w:cs="Open Sans"/>
          <w:i/>
          <w:szCs w:val="24"/>
        </w:rPr>
      </w:pPr>
      <w:r w:rsidRPr="009D0048">
        <w:rPr>
          <w:rFonts w:ascii="Open Sans" w:hAnsi="Open Sans" w:cs="Open Sans"/>
          <w:i/>
          <w:szCs w:val="24"/>
        </w:rPr>
        <w:t>Report into arbitrary detention</w:t>
      </w:r>
      <w:r>
        <w:rPr>
          <w:rFonts w:ascii="Open Sans" w:hAnsi="Open Sans" w:cs="Open Sans"/>
          <w:i/>
          <w:szCs w:val="24"/>
        </w:rPr>
        <w:t xml:space="preserve"> </w:t>
      </w:r>
    </w:p>
    <w:p w14:paraId="289D1F15" w14:textId="77777777" w:rsidR="00824071" w:rsidRPr="00772985" w:rsidRDefault="00824071" w:rsidP="00824071">
      <w:pPr>
        <w:rPr>
          <w:rFonts w:ascii="Open Sans" w:hAnsi="Open Sans" w:cs="Open Sans"/>
          <w:szCs w:val="24"/>
        </w:rPr>
      </w:pPr>
    </w:p>
    <w:p w14:paraId="2EBE36E5" w14:textId="77777777" w:rsidR="00824071" w:rsidRDefault="00824071" w:rsidP="00824071">
      <w:pPr>
        <w:rPr>
          <w:rFonts w:ascii="Open Sans" w:hAnsi="Open Sans" w:cs="Open Sans"/>
          <w:szCs w:val="24"/>
        </w:rPr>
      </w:pPr>
    </w:p>
    <w:p w14:paraId="524CAB3F" w14:textId="77777777" w:rsidR="00824071" w:rsidRDefault="00824071" w:rsidP="00824071">
      <w:pPr>
        <w:rPr>
          <w:rFonts w:ascii="Open Sans" w:hAnsi="Open Sans" w:cs="Open Sans"/>
          <w:szCs w:val="24"/>
        </w:rPr>
      </w:pPr>
    </w:p>
    <w:p w14:paraId="62526CFC" w14:textId="77777777" w:rsidR="00824071" w:rsidRPr="00772985" w:rsidRDefault="00824071" w:rsidP="00824071">
      <w:pPr>
        <w:rPr>
          <w:rFonts w:ascii="Open Sans" w:hAnsi="Open Sans" w:cs="Open Sans"/>
          <w:szCs w:val="24"/>
        </w:rPr>
      </w:pPr>
    </w:p>
    <w:p w14:paraId="0F2BE0A8" w14:textId="77777777" w:rsidR="00824071" w:rsidRDefault="00824071" w:rsidP="00824071">
      <w:pPr>
        <w:rPr>
          <w:rFonts w:ascii="Open Sans" w:hAnsi="Open Sans" w:cs="Open Sans"/>
          <w:szCs w:val="24"/>
        </w:rPr>
      </w:pPr>
      <w:r w:rsidRPr="00772985">
        <w:rPr>
          <w:rFonts w:ascii="Open Sans" w:hAnsi="Open Sans" w:cs="Open Sans"/>
          <w:szCs w:val="24"/>
        </w:rPr>
        <w:t>Australian Human Rights Commission 20</w:t>
      </w:r>
      <w:r>
        <w:rPr>
          <w:rFonts w:ascii="Open Sans" w:hAnsi="Open Sans" w:cs="Open Sans"/>
          <w:szCs w:val="24"/>
        </w:rPr>
        <w:t>20</w:t>
      </w:r>
    </w:p>
    <w:p w14:paraId="50693850" w14:textId="77777777" w:rsidR="00824071" w:rsidRDefault="00824071" w:rsidP="00824071">
      <w:pPr>
        <w:spacing w:after="0" w:line="240" w:lineRule="auto"/>
        <w:rPr>
          <w:rFonts w:ascii="Open Sans" w:hAnsi="Open Sans" w:cs="Open Sans"/>
          <w:sz w:val="24"/>
          <w:szCs w:val="28"/>
        </w:rPr>
      </w:pPr>
    </w:p>
    <w:p w14:paraId="3F0781E5" w14:textId="77777777" w:rsidR="00824071" w:rsidRDefault="00824071" w:rsidP="00824071">
      <w:pPr>
        <w:spacing w:after="0" w:line="240" w:lineRule="auto"/>
        <w:rPr>
          <w:rFonts w:ascii="Open Sans" w:hAnsi="Open Sans" w:cs="Open Sans"/>
          <w:sz w:val="24"/>
          <w:szCs w:val="28"/>
        </w:rPr>
      </w:pPr>
    </w:p>
    <w:p w14:paraId="43ADD5D1" w14:textId="6A3D9FA1" w:rsidR="00824071" w:rsidRDefault="00824071" w:rsidP="00824071">
      <w:pPr>
        <w:spacing w:after="0" w:line="240" w:lineRule="auto"/>
        <w:rPr>
          <w:rFonts w:ascii="Open Sans" w:hAnsi="Open Sans" w:cs="Open Sans"/>
          <w:sz w:val="24"/>
          <w:szCs w:val="28"/>
        </w:rPr>
      </w:pPr>
    </w:p>
    <w:p w14:paraId="6DCDC771" w14:textId="77777777" w:rsidR="00824071" w:rsidRDefault="00824071" w:rsidP="00824071">
      <w:pPr>
        <w:spacing w:after="0" w:line="240" w:lineRule="auto"/>
        <w:rPr>
          <w:rFonts w:ascii="Open Sans" w:hAnsi="Open Sans" w:cs="Open Sans"/>
          <w:sz w:val="24"/>
          <w:szCs w:val="28"/>
        </w:rPr>
      </w:pPr>
    </w:p>
    <w:p w14:paraId="7EEA4404" w14:textId="316AE0A4" w:rsidR="00824071" w:rsidRDefault="00824071" w:rsidP="00824071">
      <w:pPr>
        <w:spacing w:after="0" w:line="240" w:lineRule="auto"/>
        <w:rPr>
          <w:rFonts w:ascii="Open Sans" w:hAnsi="Open Sans" w:cs="Open Sans"/>
          <w:sz w:val="24"/>
          <w:szCs w:val="28"/>
        </w:rPr>
      </w:pPr>
    </w:p>
    <w:p w14:paraId="49B39A92" w14:textId="77777777" w:rsidR="00824071" w:rsidRDefault="00824071" w:rsidP="00824071">
      <w:pPr>
        <w:spacing w:after="0" w:line="240" w:lineRule="auto"/>
        <w:rPr>
          <w:rFonts w:ascii="Open Sans" w:hAnsi="Open Sans" w:cs="Open Sans"/>
          <w:sz w:val="24"/>
          <w:szCs w:val="28"/>
        </w:rPr>
      </w:pPr>
    </w:p>
    <w:p w14:paraId="78DF1F46" w14:textId="77777777" w:rsidR="00824071" w:rsidRDefault="00824071" w:rsidP="00824071">
      <w:pPr>
        <w:spacing w:after="0" w:line="240" w:lineRule="auto"/>
        <w:rPr>
          <w:rFonts w:ascii="Open Sans" w:hAnsi="Open Sans" w:cs="Open Sans"/>
          <w:sz w:val="24"/>
          <w:szCs w:val="28"/>
        </w:rPr>
      </w:pPr>
    </w:p>
    <w:p w14:paraId="2E45BB85" w14:textId="77777777" w:rsidR="00824071" w:rsidRDefault="00824071" w:rsidP="00824071">
      <w:pPr>
        <w:spacing w:after="0" w:line="240" w:lineRule="auto"/>
        <w:rPr>
          <w:rFonts w:ascii="Open Sans" w:hAnsi="Open Sans" w:cs="Open Sans"/>
          <w:sz w:val="24"/>
          <w:szCs w:val="28"/>
        </w:rPr>
      </w:pPr>
    </w:p>
    <w:p w14:paraId="23BA61E9" w14:textId="77777777" w:rsidR="00824071" w:rsidRDefault="00824071" w:rsidP="00824071">
      <w:pPr>
        <w:spacing w:after="0" w:line="240" w:lineRule="auto"/>
        <w:rPr>
          <w:rFonts w:ascii="Open Sans" w:hAnsi="Open Sans" w:cs="Open Sans"/>
          <w:sz w:val="24"/>
          <w:szCs w:val="28"/>
        </w:rPr>
      </w:pPr>
    </w:p>
    <w:p w14:paraId="153A899D" w14:textId="77777777" w:rsidR="00824071" w:rsidRDefault="00824071" w:rsidP="00824071">
      <w:pPr>
        <w:spacing w:after="0" w:line="240" w:lineRule="auto"/>
        <w:rPr>
          <w:rFonts w:ascii="Open Sans" w:hAnsi="Open Sans" w:cs="Open Sans"/>
          <w:sz w:val="24"/>
          <w:szCs w:val="28"/>
        </w:rPr>
      </w:pPr>
    </w:p>
    <w:p w14:paraId="73A9579C" w14:textId="77777777" w:rsidR="00824071" w:rsidRDefault="00824071" w:rsidP="00824071">
      <w:pPr>
        <w:spacing w:after="0" w:line="240" w:lineRule="auto"/>
        <w:rPr>
          <w:rFonts w:ascii="Open Sans" w:hAnsi="Open Sans" w:cs="Open Sans"/>
          <w:sz w:val="24"/>
          <w:szCs w:val="28"/>
        </w:rPr>
      </w:pPr>
    </w:p>
    <w:p w14:paraId="1920E84C" w14:textId="77777777" w:rsidR="00824071" w:rsidRDefault="00824071" w:rsidP="00824071">
      <w:pPr>
        <w:spacing w:after="0" w:line="240" w:lineRule="auto"/>
        <w:rPr>
          <w:rFonts w:ascii="Open Sans" w:hAnsi="Open Sans" w:cs="Open Sans"/>
          <w:sz w:val="24"/>
          <w:szCs w:val="28"/>
        </w:rPr>
      </w:pPr>
    </w:p>
    <w:p w14:paraId="23530C6F" w14:textId="77777777" w:rsidR="00824071" w:rsidRDefault="00824071" w:rsidP="00824071">
      <w:pPr>
        <w:spacing w:after="0" w:line="240" w:lineRule="auto"/>
        <w:rPr>
          <w:rFonts w:ascii="Open Sans" w:hAnsi="Open Sans" w:cs="Open Sans"/>
          <w:sz w:val="24"/>
          <w:szCs w:val="28"/>
        </w:rPr>
      </w:pPr>
    </w:p>
    <w:p w14:paraId="53E5C494" w14:textId="77777777" w:rsidR="00824071" w:rsidRDefault="00824071" w:rsidP="00824071">
      <w:pPr>
        <w:spacing w:after="0" w:line="240" w:lineRule="auto"/>
        <w:rPr>
          <w:rFonts w:ascii="Open Sans" w:hAnsi="Open Sans" w:cs="Open Sans"/>
          <w:sz w:val="24"/>
          <w:szCs w:val="28"/>
        </w:rPr>
      </w:pPr>
    </w:p>
    <w:p w14:paraId="66EE5BE2" w14:textId="77777777" w:rsidR="00824071" w:rsidRDefault="00824071" w:rsidP="00824071">
      <w:pPr>
        <w:spacing w:after="0" w:line="240" w:lineRule="auto"/>
        <w:rPr>
          <w:rFonts w:ascii="Open Sans" w:hAnsi="Open Sans" w:cs="Open Sans"/>
          <w:sz w:val="24"/>
          <w:szCs w:val="28"/>
        </w:rPr>
      </w:pPr>
    </w:p>
    <w:p w14:paraId="1DE94C36" w14:textId="77777777" w:rsidR="00824071" w:rsidRDefault="00824071" w:rsidP="00824071">
      <w:pPr>
        <w:spacing w:after="0" w:line="240" w:lineRule="auto"/>
        <w:rPr>
          <w:rFonts w:ascii="Open Sans" w:hAnsi="Open Sans" w:cs="Open Sans"/>
          <w:sz w:val="24"/>
          <w:szCs w:val="28"/>
        </w:rPr>
      </w:pPr>
    </w:p>
    <w:p w14:paraId="769E2327" w14:textId="36E05C11" w:rsidR="00824071" w:rsidRDefault="00824071" w:rsidP="00824071">
      <w:pPr>
        <w:spacing w:after="0" w:line="240" w:lineRule="auto"/>
        <w:rPr>
          <w:rFonts w:ascii="Open Sans" w:hAnsi="Open Sans" w:cs="Open Sans"/>
          <w:sz w:val="24"/>
          <w:szCs w:val="28"/>
        </w:rPr>
      </w:pPr>
    </w:p>
    <w:p w14:paraId="5838CBF2" w14:textId="15F4DF9A" w:rsidR="00824071" w:rsidRDefault="00824071" w:rsidP="00824071">
      <w:pPr>
        <w:spacing w:after="0" w:line="240" w:lineRule="auto"/>
        <w:rPr>
          <w:rFonts w:ascii="Open Sans" w:hAnsi="Open Sans" w:cs="Open Sans"/>
          <w:sz w:val="24"/>
          <w:szCs w:val="28"/>
        </w:rPr>
      </w:pPr>
    </w:p>
    <w:p w14:paraId="6E32E4DE" w14:textId="31831541" w:rsidR="00824071" w:rsidRDefault="00824071" w:rsidP="00824071">
      <w:pPr>
        <w:spacing w:after="0" w:line="240" w:lineRule="auto"/>
        <w:rPr>
          <w:rFonts w:ascii="Open Sans" w:hAnsi="Open Sans" w:cs="Open Sans"/>
          <w:sz w:val="24"/>
          <w:szCs w:val="28"/>
        </w:rPr>
      </w:pPr>
    </w:p>
    <w:p w14:paraId="0CD33B27" w14:textId="1E910729" w:rsidR="00824071" w:rsidRDefault="00824071" w:rsidP="00824071">
      <w:pPr>
        <w:spacing w:after="0" w:line="240" w:lineRule="auto"/>
        <w:rPr>
          <w:rFonts w:ascii="Open Sans" w:hAnsi="Open Sans" w:cs="Open Sans"/>
          <w:sz w:val="24"/>
          <w:szCs w:val="28"/>
        </w:rPr>
      </w:pPr>
    </w:p>
    <w:p w14:paraId="3CCC6804" w14:textId="77777777" w:rsidR="00824071" w:rsidRDefault="00824071" w:rsidP="00824071">
      <w:pPr>
        <w:spacing w:after="0" w:line="240" w:lineRule="auto"/>
        <w:rPr>
          <w:rFonts w:ascii="Open Sans" w:hAnsi="Open Sans" w:cs="Open Sans"/>
          <w:sz w:val="24"/>
          <w:szCs w:val="28"/>
        </w:rPr>
      </w:pPr>
    </w:p>
    <w:p w14:paraId="3B1B2BCF" w14:textId="77777777" w:rsidR="00824071" w:rsidRDefault="00824071" w:rsidP="00824071">
      <w:pPr>
        <w:spacing w:after="0" w:line="240" w:lineRule="auto"/>
        <w:rPr>
          <w:rFonts w:ascii="Open Sans" w:hAnsi="Open Sans" w:cs="Open Sans"/>
          <w:sz w:val="24"/>
          <w:szCs w:val="28"/>
        </w:rPr>
      </w:pPr>
    </w:p>
    <w:p w14:paraId="494CF188" w14:textId="48FEEEBD" w:rsidR="00824071" w:rsidRPr="00593313" w:rsidRDefault="00824071" w:rsidP="00824071">
      <w:pPr>
        <w:spacing w:after="0" w:line="240" w:lineRule="auto"/>
        <w:rPr>
          <w:rFonts w:ascii="Open Sans" w:hAnsi="Open Sans" w:cs="Open Sans"/>
          <w:sz w:val="24"/>
          <w:szCs w:val="28"/>
        </w:rPr>
      </w:pPr>
      <w:r w:rsidRPr="00593313">
        <w:rPr>
          <w:rFonts w:ascii="Open Sans" w:hAnsi="Open Sans" w:cs="Open Sans"/>
          <w:sz w:val="24"/>
          <w:szCs w:val="28"/>
        </w:rPr>
        <w:lastRenderedPageBreak/>
        <w:t>The Hon Christian Porter MP</w:t>
      </w:r>
    </w:p>
    <w:p w14:paraId="27DAD5CF" w14:textId="77777777" w:rsidR="00824071" w:rsidRPr="00593313" w:rsidRDefault="00824071" w:rsidP="00824071">
      <w:pPr>
        <w:spacing w:after="0" w:line="240" w:lineRule="auto"/>
        <w:rPr>
          <w:rFonts w:ascii="Open Sans" w:hAnsi="Open Sans" w:cs="Open Sans"/>
          <w:sz w:val="24"/>
          <w:szCs w:val="28"/>
        </w:rPr>
      </w:pPr>
      <w:r w:rsidRPr="00593313">
        <w:rPr>
          <w:rFonts w:ascii="Open Sans" w:hAnsi="Open Sans" w:cs="Open Sans"/>
          <w:sz w:val="24"/>
          <w:szCs w:val="28"/>
        </w:rPr>
        <w:t>Attorney-General</w:t>
      </w:r>
    </w:p>
    <w:p w14:paraId="11493327" w14:textId="77777777" w:rsidR="00824071" w:rsidRPr="00593313" w:rsidRDefault="00824071" w:rsidP="00824071">
      <w:pPr>
        <w:spacing w:after="0" w:line="240" w:lineRule="auto"/>
        <w:rPr>
          <w:rFonts w:ascii="Open Sans" w:hAnsi="Open Sans" w:cs="Open Sans"/>
          <w:sz w:val="24"/>
          <w:szCs w:val="28"/>
        </w:rPr>
      </w:pPr>
      <w:r w:rsidRPr="00593313">
        <w:rPr>
          <w:rFonts w:ascii="Open Sans" w:hAnsi="Open Sans" w:cs="Open Sans"/>
          <w:sz w:val="24"/>
          <w:szCs w:val="28"/>
        </w:rPr>
        <w:t xml:space="preserve">Parliament House </w:t>
      </w:r>
    </w:p>
    <w:p w14:paraId="403C278D" w14:textId="77777777" w:rsidR="00824071" w:rsidRPr="00593313" w:rsidRDefault="00824071" w:rsidP="00824071">
      <w:pPr>
        <w:spacing w:after="0" w:line="240" w:lineRule="auto"/>
        <w:rPr>
          <w:rFonts w:ascii="Open Sans" w:hAnsi="Open Sans" w:cs="Open Sans"/>
          <w:sz w:val="24"/>
          <w:szCs w:val="28"/>
        </w:rPr>
      </w:pPr>
      <w:r w:rsidRPr="00593313">
        <w:rPr>
          <w:rFonts w:ascii="Open Sans" w:hAnsi="Open Sans" w:cs="Open Sans"/>
          <w:sz w:val="24"/>
          <w:szCs w:val="28"/>
        </w:rPr>
        <w:t xml:space="preserve">Canberra ACT 2600 </w:t>
      </w:r>
    </w:p>
    <w:p w14:paraId="5EC61188" w14:textId="77777777" w:rsidR="00824071" w:rsidRPr="00593313" w:rsidRDefault="00824071" w:rsidP="00824071">
      <w:pPr>
        <w:spacing w:after="0" w:line="240" w:lineRule="auto"/>
        <w:rPr>
          <w:rFonts w:ascii="Open Sans" w:hAnsi="Open Sans" w:cs="Open Sans"/>
          <w:sz w:val="24"/>
          <w:szCs w:val="28"/>
        </w:rPr>
      </w:pPr>
    </w:p>
    <w:p w14:paraId="6F9B68EB" w14:textId="77777777" w:rsidR="00824071" w:rsidRPr="00593313" w:rsidRDefault="00824071" w:rsidP="00824071">
      <w:pPr>
        <w:spacing w:after="0" w:line="240" w:lineRule="auto"/>
        <w:rPr>
          <w:rFonts w:ascii="Open Sans" w:hAnsi="Open Sans" w:cs="Open Sans"/>
          <w:sz w:val="24"/>
          <w:szCs w:val="28"/>
        </w:rPr>
      </w:pPr>
    </w:p>
    <w:p w14:paraId="3814E965" w14:textId="77777777" w:rsidR="00824071" w:rsidRPr="00593313" w:rsidRDefault="00824071" w:rsidP="00824071">
      <w:pPr>
        <w:spacing w:after="0" w:line="240" w:lineRule="auto"/>
        <w:rPr>
          <w:rFonts w:ascii="Open Sans" w:hAnsi="Open Sans" w:cs="Open Sans"/>
          <w:sz w:val="24"/>
          <w:szCs w:val="28"/>
        </w:rPr>
      </w:pPr>
      <w:r w:rsidRPr="00593313">
        <w:rPr>
          <w:rFonts w:ascii="Open Sans" w:hAnsi="Open Sans" w:cs="Open Sans"/>
          <w:sz w:val="24"/>
          <w:szCs w:val="28"/>
        </w:rPr>
        <w:t xml:space="preserve">Dear Attorney </w:t>
      </w:r>
    </w:p>
    <w:p w14:paraId="154AA26F" w14:textId="77777777" w:rsidR="00824071" w:rsidRPr="00593313" w:rsidRDefault="00824071" w:rsidP="00824071">
      <w:pPr>
        <w:spacing w:after="0" w:line="240" w:lineRule="auto"/>
        <w:rPr>
          <w:rFonts w:ascii="Open Sans" w:hAnsi="Open Sans" w:cs="Open Sans"/>
          <w:sz w:val="24"/>
          <w:szCs w:val="28"/>
        </w:rPr>
      </w:pPr>
    </w:p>
    <w:p w14:paraId="6B462E86" w14:textId="77777777" w:rsidR="00824071" w:rsidRPr="00593313" w:rsidRDefault="00824071" w:rsidP="00824071">
      <w:pPr>
        <w:spacing w:after="0" w:line="240" w:lineRule="auto"/>
        <w:rPr>
          <w:rFonts w:ascii="Open Sans" w:hAnsi="Open Sans" w:cs="Open Sans"/>
          <w:sz w:val="24"/>
          <w:szCs w:val="28"/>
        </w:rPr>
      </w:pPr>
      <w:r w:rsidRPr="00593313">
        <w:rPr>
          <w:rFonts w:ascii="Open Sans" w:hAnsi="Open Sans" w:cs="Open Sans"/>
          <w:sz w:val="24"/>
          <w:szCs w:val="28"/>
        </w:rPr>
        <w:t xml:space="preserve">I have completed my report pursuant to s 11(1)(f) of the </w:t>
      </w:r>
      <w:r w:rsidRPr="00593313">
        <w:rPr>
          <w:rFonts w:ascii="Open Sans" w:hAnsi="Open Sans" w:cs="Open Sans"/>
          <w:i/>
          <w:iCs/>
          <w:sz w:val="24"/>
          <w:szCs w:val="28"/>
        </w:rPr>
        <w:t>Australian Human Rights Commission Act 1986</w:t>
      </w:r>
      <w:r w:rsidRPr="00593313">
        <w:rPr>
          <w:rFonts w:ascii="Open Sans" w:hAnsi="Open Sans" w:cs="Open Sans"/>
          <w:sz w:val="24"/>
          <w:szCs w:val="28"/>
        </w:rPr>
        <w:t xml:space="preserve"> (</w:t>
      </w:r>
      <w:proofErr w:type="spellStart"/>
      <w:r w:rsidRPr="00593313">
        <w:rPr>
          <w:rFonts w:ascii="Open Sans" w:hAnsi="Open Sans" w:cs="Open Sans"/>
          <w:sz w:val="24"/>
          <w:szCs w:val="28"/>
        </w:rPr>
        <w:t>Cth</w:t>
      </w:r>
      <w:proofErr w:type="spellEnd"/>
      <w:r w:rsidRPr="00593313">
        <w:rPr>
          <w:rFonts w:ascii="Open Sans" w:hAnsi="Open Sans" w:cs="Open Sans"/>
          <w:sz w:val="24"/>
          <w:szCs w:val="28"/>
        </w:rPr>
        <w:t>)</w:t>
      </w:r>
      <w:r>
        <w:rPr>
          <w:rFonts w:ascii="Open Sans" w:hAnsi="Open Sans" w:cs="Open Sans"/>
          <w:sz w:val="24"/>
          <w:szCs w:val="28"/>
        </w:rPr>
        <w:t xml:space="preserve"> (AHRC Act)</w:t>
      </w:r>
      <w:r w:rsidRPr="00593313">
        <w:rPr>
          <w:rFonts w:ascii="Open Sans" w:hAnsi="Open Sans" w:cs="Open Sans"/>
          <w:sz w:val="24"/>
          <w:szCs w:val="28"/>
        </w:rPr>
        <w:t xml:space="preserve"> into the human rights complaint of Mr LF, alleging a breach of his human rights by the Department of Home Affairs (Department). </w:t>
      </w:r>
    </w:p>
    <w:p w14:paraId="7E73BF57" w14:textId="77777777" w:rsidR="00824071" w:rsidRPr="00593313" w:rsidRDefault="00824071" w:rsidP="00824071">
      <w:pPr>
        <w:spacing w:after="0" w:line="240" w:lineRule="auto"/>
        <w:rPr>
          <w:rFonts w:ascii="Open Sans" w:hAnsi="Open Sans" w:cs="Open Sans"/>
          <w:sz w:val="24"/>
          <w:szCs w:val="28"/>
        </w:rPr>
      </w:pPr>
    </w:p>
    <w:p w14:paraId="398065C4" w14:textId="38469737" w:rsidR="00824071" w:rsidRDefault="00824071" w:rsidP="00824071">
      <w:pPr>
        <w:spacing w:after="0" w:line="240" w:lineRule="auto"/>
        <w:rPr>
          <w:rFonts w:ascii="Open Sans" w:hAnsi="Open Sans" w:cs="Open Sans"/>
          <w:sz w:val="24"/>
          <w:szCs w:val="28"/>
        </w:rPr>
      </w:pPr>
      <w:r w:rsidRPr="00593313">
        <w:rPr>
          <w:rFonts w:ascii="Open Sans" w:hAnsi="Open Sans" w:cs="Open Sans"/>
          <w:sz w:val="24"/>
          <w:szCs w:val="28"/>
        </w:rPr>
        <w:t>Mr LF was detained in an immigration detention centre in Australia</w:t>
      </w:r>
      <w:r>
        <w:rPr>
          <w:rFonts w:ascii="Open Sans" w:hAnsi="Open Sans" w:cs="Open Sans"/>
          <w:sz w:val="24"/>
          <w:szCs w:val="28"/>
        </w:rPr>
        <w:t xml:space="preserve"> between</w:t>
      </w:r>
      <w:r w:rsidRPr="00593313">
        <w:rPr>
          <w:rFonts w:ascii="Open Sans" w:hAnsi="Open Sans" w:cs="Open Sans"/>
          <w:sz w:val="24"/>
          <w:szCs w:val="28"/>
        </w:rPr>
        <w:t xml:space="preserve"> </w:t>
      </w:r>
      <w:r w:rsidRPr="00D85723">
        <w:rPr>
          <w:rFonts w:ascii="Open Sans" w:hAnsi="Open Sans" w:cs="Open Sans"/>
          <w:sz w:val="24"/>
          <w:szCs w:val="28"/>
        </w:rPr>
        <w:t>12</w:t>
      </w:r>
      <w:r w:rsidR="00BE3572">
        <w:rPr>
          <w:rFonts w:ascii="Open Sans" w:hAnsi="Open Sans" w:cs="Open Sans"/>
          <w:sz w:val="24"/>
          <w:szCs w:val="28"/>
        </w:rPr>
        <w:t> </w:t>
      </w:r>
      <w:r w:rsidRPr="00D85723">
        <w:rPr>
          <w:rFonts w:ascii="Open Sans" w:hAnsi="Open Sans" w:cs="Open Sans"/>
          <w:sz w:val="24"/>
          <w:szCs w:val="28"/>
        </w:rPr>
        <w:t>February 2018 and 12 October 2018</w:t>
      </w:r>
      <w:r w:rsidRPr="00593313">
        <w:rPr>
          <w:rFonts w:ascii="Open Sans" w:hAnsi="Open Sans" w:cs="Open Sans"/>
          <w:sz w:val="24"/>
          <w:szCs w:val="28"/>
        </w:rPr>
        <w:t xml:space="preserve">. </w:t>
      </w:r>
      <w:r>
        <w:rPr>
          <w:rFonts w:ascii="Open Sans" w:hAnsi="Open Sans" w:cs="Open Sans"/>
          <w:sz w:val="24"/>
          <w:szCs w:val="28"/>
        </w:rPr>
        <w:t>He</w:t>
      </w:r>
      <w:r w:rsidRPr="00593313">
        <w:rPr>
          <w:rFonts w:ascii="Open Sans" w:hAnsi="Open Sans" w:cs="Open Sans"/>
          <w:sz w:val="24"/>
          <w:szCs w:val="28"/>
        </w:rPr>
        <w:t xml:space="preserve"> complains that </w:t>
      </w:r>
      <w:r>
        <w:rPr>
          <w:rFonts w:ascii="Open Sans" w:hAnsi="Open Sans" w:cs="Open Sans"/>
          <w:sz w:val="24"/>
          <w:szCs w:val="28"/>
        </w:rPr>
        <w:t>his</w:t>
      </w:r>
      <w:r w:rsidRPr="00593313">
        <w:rPr>
          <w:rFonts w:ascii="Open Sans" w:hAnsi="Open Sans" w:cs="Open Sans"/>
          <w:sz w:val="24"/>
          <w:szCs w:val="28"/>
        </w:rPr>
        <w:t xml:space="preserve"> detention was arbitrary, contrary to article 9(1) of the </w:t>
      </w:r>
      <w:r w:rsidRPr="00D85723">
        <w:rPr>
          <w:rFonts w:ascii="Open Sans" w:hAnsi="Open Sans" w:cs="Open Sans"/>
          <w:i/>
          <w:iCs/>
          <w:sz w:val="24"/>
          <w:szCs w:val="28"/>
        </w:rPr>
        <w:t>International Covenant on Civil and Political Rights</w:t>
      </w:r>
      <w:r w:rsidRPr="00593313">
        <w:rPr>
          <w:rFonts w:ascii="Open Sans" w:hAnsi="Open Sans" w:cs="Open Sans"/>
          <w:sz w:val="24"/>
          <w:szCs w:val="28"/>
        </w:rPr>
        <w:t xml:space="preserve"> (ICCPR). </w:t>
      </w:r>
    </w:p>
    <w:p w14:paraId="0DCCDF1B" w14:textId="77777777" w:rsidR="00824071" w:rsidRDefault="00824071" w:rsidP="00824071">
      <w:pPr>
        <w:spacing w:after="0" w:line="240" w:lineRule="auto"/>
        <w:rPr>
          <w:rFonts w:ascii="Open Sans" w:hAnsi="Open Sans" w:cs="Open Sans"/>
          <w:sz w:val="24"/>
          <w:szCs w:val="28"/>
        </w:rPr>
      </w:pPr>
    </w:p>
    <w:p w14:paraId="0797CC8E" w14:textId="77777777" w:rsidR="00824071" w:rsidRDefault="00824071" w:rsidP="00824071">
      <w:pPr>
        <w:keepNext/>
        <w:tabs>
          <w:tab w:val="num" w:pos="1080"/>
        </w:tabs>
        <w:spacing w:after="0" w:line="240" w:lineRule="auto"/>
        <w:rPr>
          <w:rFonts w:ascii="Open Sans" w:hAnsi="Open Sans" w:cs="Open Sans"/>
          <w:sz w:val="24"/>
          <w:szCs w:val="24"/>
        </w:rPr>
      </w:pPr>
      <w:r>
        <w:rPr>
          <w:rFonts w:ascii="Open Sans" w:hAnsi="Open Sans" w:cs="Open Sans"/>
          <w:sz w:val="24"/>
          <w:szCs w:val="24"/>
        </w:rPr>
        <w:t>As a result of this inquiry, I have found</w:t>
      </w:r>
      <w:r w:rsidRPr="00593313">
        <w:rPr>
          <w:rFonts w:ascii="Open Sans" w:hAnsi="Open Sans" w:cs="Open Sans"/>
          <w:sz w:val="24"/>
          <w:szCs w:val="24"/>
        </w:rPr>
        <w:t xml:space="preserve"> that the Department</w:t>
      </w:r>
      <w:r>
        <w:rPr>
          <w:rFonts w:ascii="Open Sans" w:hAnsi="Open Sans" w:cs="Open Sans"/>
          <w:sz w:val="24"/>
          <w:szCs w:val="24"/>
        </w:rPr>
        <w:t>’s decision</w:t>
      </w:r>
      <w:r w:rsidRPr="00593313">
        <w:rPr>
          <w:rFonts w:ascii="Open Sans" w:hAnsi="Open Sans" w:cs="Open Sans"/>
          <w:sz w:val="24"/>
          <w:szCs w:val="24"/>
        </w:rPr>
        <w:t xml:space="preserve"> not to invite the Minister to consider exercising his discretion under s 195A and s 197AB </w:t>
      </w:r>
      <w:r>
        <w:rPr>
          <w:rFonts w:ascii="Open Sans" w:hAnsi="Open Sans" w:cs="Open Sans"/>
          <w:sz w:val="24"/>
          <w:szCs w:val="24"/>
        </w:rPr>
        <w:t xml:space="preserve">of the </w:t>
      </w:r>
      <w:r w:rsidRPr="00FE19E6">
        <w:rPr>
          <w:rFonts w:ascii="Open Sans" w:hAnsi="Open Sans" w:cs="Open Sans"/>
          <w:i/>
          <w:iCs/>
          <w:sz w:val="24"/>
          <w:szCs w:val="24"/>
        </w:rPr>
        <w:t>Migration Act 1958</w:t>
      </w:r>
      <w:r>
        <w:rPr>
          <w:rFonts w:ascii="Open Sans" w:hAnsi="Open Sans" w:cs="Open Sans"/>
          <w:sz w:val="24"/>
          <w:szCs w:val="24"/>
        </w:rPr>
        <w:t xml:space="preserve"> (</w:t>
      </w:r>
      <w:proofErr w:type="spellStart"/>
      <w:r>
        <w:rPr>
          <w:rFonts w:ascii="Open Sans" w:hAnsi="Open Sans" w:cs="Open Sans"/>
          <w:sz w:val="24"/>
          <w:szCs w:val="24"/>
        </w:rPr>
        <w:t>Cth</w:t>
      </w:r>
      <w:proofErr w:type="spellEnd"/>
      <w:r>
        <w:rPr>
          <w:rFonts w:ascii="Open Sans" w:hAnsi="Open Sans" w:cs="Open Sans"/>
          <w:sz w:val="24"/>
          <w:szCs w:val="24"/>
        </w:rPr>
        <w:t xml:space="preserve">) </w:t>
      </w:r>
      <w:r w:rsidRPr="00593313">
        <w:rPr>
          <w:rFonts w:ascii="Open Sans" w:hAnsi="Open Sans" w:cs="Open Sans"/>
          <w:sz w:val="24"/>
          <w:szCs w:val="24"/>
        </w:rPr>
        <w:t xml:space="preserve">for the periods of Mr LF’s detention from 12 February 2018 to 16 May 2018 and 27 June 2018 to 7 September 2018 contributed to the continued detention of Mr LF, without consideration of whether that detention was justified in the particular circumstances of Mr LF’s case, and was inconsistent with or contrary to article 9(1) of the ICCPR. </w:t>
      </w:r>
    </w:p>
    <w:p w14:paraId="658F0A79" w14:textId="77777777" w:rsidR="00824071" w:rsidRDefault="00824071" w:rsidP="00824071">
      <w:pPr>
        <w:keepNext/>
        <w:tabs>
          <w:tab w:val="num" w:pos="1080"/>
        </w:tabs>
        <w:spacing w:after="0" w:line="240" w:lineRule="auto"/>
        <w:rPr>
          <w:rFonts w:ascii="Open Sans" w:hAnsi="Open Sans" w:cs="Open Sans"/>
          <w:sz w:val="24"/>
          <w:szCs w:val="24"/>
        </w:rPr>
      </w:pPr>
    </w:p>
    <w:p w14:paraId="3B91A836" w14:textId="08807B77" w:rsidR="00824071" w:rsidRDefault="00824071" w:rsidP="00824071">
      <w:pPr>
        <w:keepNext/>
        <w:tabs>
          <w:tab w:val="num" w:pos="1080"/>
        </w:tabs>
        <w:spacing w:after="0" w:line="240" w:lineRule="auto"/>
        <w:rPr>
          <w:rFonts w:ascii="Open Sans" w:hAnsi="Open Sans" w:cs="Open Sans"/>
          <w:sz w:val="24"/>
          <w:szCs w:val="24"/>
        </w:rPr>
      </w:pPr>
      <w:r>
        <w:rPr>
          <w:rFonts w:ascii="Open Sans" w:hAnsi="Open Sans" w:cs="Open Sans"/>
          <w:sz w:val="24"/>
          <w:szCs w:val="24"/>
        </w:rPr>
        <w:t>On 13 October 2020, I provided the Department with a notice issued under s</w:t>
      </w:r>
      <w:r w:rsidR="00BE3572">
        <w:rPr>
          <w:rFonts w:ascii="Open Sans" w:hAnsi="Open Sans" w:cs="Open Sans"/>
          <w:sz w:val="24"/>
          <w:szCs w:val="24"/>
        </w:rPr>
        <w:t> </w:t>
      </w:r>
      <w:r>
        <w:rPr>
          <w:rFonts w:ascii="Open Sans" w:hAnsi="Open Sans" w:cs="Open Sans"/>
          <w:sz w:val="24"/>
          <w:szCs w:val="24"/>
        </w:rPr>
        <w:t xml:space="preserve">29(2) of the AHRC Act setting out my findings and recommendations in this matter. The Department provided its response to my findings and recommendations on 13 November 2020. That response can be found in Part 9 of this report. </w:t>
      </w:r>
    </w:p>
    <w:p w14:paraId="5DEEFACE" w14:textId="77777777" w:rsidR="00824071" w:rsidRDefault="00824071" w:rsidP="00824071">
      <w:pPr>
        <w:keepNext/>
        <w:tabs>
          <w:tab w:val="num" w:pos="1080"/>
        </w:tabs>
        <w:spacing w:after="0" w:line="240" w:lineRule="auto"/>
        <w:rPr>
          <w:rFonts w:ascii="Open Sans" w:hAnsi="Open Sans" w:cs="Open Sans"/>
          <w:sz w:val="24"/>
          <w:szCs w:val="24"/>
        </w:rPr>
      </w:pPr>
    </w:p>
    <w:p w14:paraId="34188CD9" w14:textId="77777777" w:rsidR="00824071" w:rsidRDefault="00824071" w:rsidP="00824071">
      <w:pPr>
        <w:keepNext/>
        <w:tabs>
          <w:tab w:val="num" w:pos="1080"/>
        </w:tabs>
        <w:spacing w:after="0" w:line="240" w:lineRule="auto"/>
        <w:rPr>
          <w:rFonts w:ascii="Open Sans" w:hAnsi="Open Sans" w:cs="Open Sans"/>
          <w:sz w:val="24"/>
          <w:szCs w:val="24"/>
        </w:rPr>
      </w:pPr>
      <w:r>
        <w:rPr>
          <w:rFonts w:ascii="Open Sans" w:hAnsi="Open Sans" w:cs="Open Sans"/>
          <w:sz w:val="24"/>
          <w:szCs w:val="24"/>
        </w:rPr>
        <w:t xml:space="preserve">I enclose a copy of my report. </w:t>
      </w:r>
    </w:p>
    <w:p w14:paraId="2CE03CC5" w14:textId="77777777" w:rsidR="00824071" w:rsidRDefault="00824071" w:rsidP="00824071">
      <w:pPr>
        <w:keepNext/>
        <w:tabs>
          <w:tab w:val="num" w:pos="1080"/>
        </w:tabs>
        <w:spacing w:after="0" w:line="240" w:lineRule="auto"/>
        <w:rPr>
          <w:rFonts w:ascii="Open Sans" w:hAnsi="Open Sans" w:cs="Open Sans"/>
          <w:sz w:val="24"/>
          <w:szCs w:val="24"/>
        </w:rPr>
      </w:pPr>
    </w:p>
    <w:p w14:paraId="31882689" w14:textId="77777777" w:rsidR="00824071" w:rsidRDefault="00824071" w:rsidP="00824071">
      <w:pPr>
        <w:keepNext/>
        <w:tabs>
          <w:tab w:val="num" w:pos="1080"/>
        </w:tabs>
        <w:spacing w:after="0" w:line="240" w:lineRule="auto"/>
        <w:rPr>
          <w:rFonts w:ascii="Open Sans" w:hAnsi="Open Sans" w:cs="Open Sans"/>
          <w:sz w:val="24"/>
          <w:szCs w:val="24"/>
        </w:rPr>
      </w:pPr>
      <w:r>
        <w:rPr>
          <w:rFonts w:ascii="Open Sans" w:hAnsi="Open Sans" w:cs="Open Sans"/>
          <w:sz w:val="24"/>
          <w:szCs w:val="24"/>
        </w:rPr>
        <w:t xml:space="preserve">Yours sincerely, </w:t>
      </w:r>
    </w:p>
    <w:p w14:paraId="4F3B2EDC" w14:textId="77777777" w:rsidR="00824071" w:rsidRDefault="00824071" w:rsidP="00824071">
      <w:pPr>
        <w:keepNext/>
        <w:tabs>
          <w:tab w:val="num" w:pos="1080"/>
        </w:tabs>
        <w:spacing w:after="0" w:line="240" w:lineRule="auto"/>
        <w:rPr>
          <w:rFonts w:ascii="Open Sans" w:hAnsi="Open Sans" w:cs="Open Sans"/>
          <w:sz w:val="24"/>
          <w:szCs w:val="24"/>
        </w:rPr>
      </w:pPr>
    </w:p>
    <w:p w14:paraId="0C1FE79F" w14:textId="72C6782A" w:rsidR="00824071" w:rsidRDefault="00A460AF" w:rsidP="00824071">
      <w:pPr>
        <w:spacing w:after="0" w:line="240" w:lineRule="auto"/>
        <w:rPr>
          <w:rFonts w:ascii="Open Sans" w:hAnsi="Open Sans" w:cs="Open Sans"/>
          <w:sz w:val="24"/>
          <w:szCs w:val="28"/>
        </w:rPr>
      </w:pPr>
      <w:r>
        <w:rPr>
          <w:noProof/>
        </w:rPr>
        <w:drawing>
          <wp:inline distT="0" distB="0" distL="0" distR="0" wp14:anchorId="533FCF2C" wp14:editId="51FBBFDF">
            <wp:extent cx="3191581" cy="7905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7325" cy="799429"/>
                    </a:xfrm>
                    <a:prstGeom prst="rect">
                      <a:avLst/>
                    </a:prstGeom>
                  </pic:spPr>
                </pic:pic>
              </a:graphicData>
            </a:graphic>
          </wp:inline>
        </w:drawing>
      </w:r>
    </w:p>
    <w:p w14:paraId="3F05875E" w14:textId="77777777" w:rsidR="00824071" w:rsidRPr="003F061F" w:rsidRDefault="00824071" w:rsidP="00824071">
      <w:pPr>
        <w:spacing w:after="0"/>
        <w:rPr>
          <w:rFonts w:ascii="Open Sans" w:hAnsi="Open Sans" w:cs="Open Sans"/>
          <w:szCs w:val="24"/>
        </w:rPr>
      </w:pPr>
      <w:r w:rsidRPr="003F061F">
        <w:rPr>
          <w:rFonts w:ascii="Open Sans" w:hAnsi="Open Sans" w:cs="Open Sans"/>
          <w:szCs w:val="24"/>
        </w:rPr>
        <w:t>Emeritus Professor Rosalind Croucher AM</w:t>
      </w:r>
    </w:p>
    <w:p w14:paraId="52270904" w14:textId="77777777" w:rsidR="00824071" w:rsidRPr="003F061F" w:rsidRDefault="00824071" w:rsidP="00824071">
      <w:pPr>
        <w:spacing w:after="0"/>
        <w:rPr>
          <w:rFonts w:ascii="Open Sans" w:hAnsi="Open Sans" w:cs="Open Sans"/>
          <w:b/>
          <w:szCs w:val="24"/>
        </w:rPr>
      </w:pPr>
      <w:r w:rsidRPr="003F061F">
        <w:rPr>
          <w:rFonts w:ascii="Open Sans" w:hAnsi="Open Sans" w:cs="Open Sans"/>
          <w:b/>
          <w:szCs w:val="24"/>
        </w:rPr>
        <w:t xml:space="preserve">President </w:t>
      </w:r>
    </w:p>
    <w:p w14:paraId="3E91CD59" w14:textId="77777777" w:rsidR="00824071" w:rsidRDefault="00824071" w:rsidP="00824071">
      <w:pPr>
        <w:spacing w:after="0"/>
        <w:rPr>
          <w:rFonts w:ascii="Open Sans" w:hAnsi="Open Sans" w:cs="Open Sans"/>
          <w:szCs w:val="24"/>
        </w:rPr>
      </w:pPr>
      <w:r w:rsidRPr="003F061F">
        <w:rPr>
          <w:rFonts w:ascii="Open Sans" w:hAnsi="Open Sans" w:cs="Open Sans"/>
          <w:szCs w:val="24"/>
        </w:rPr>
        <w:t>Australian Human Rights Commission</w:t>
      </w:r>
    </w:p>
    <w:p w14:paraId="5912D7A8" w14:textId="42FCD992" w:rsidR="00126285" w:rsidRDefault="00824071" w:rsidP="00A460AF">
      <w:pPr>
        <w:spacing w:after="0"/>
        <w:rPr>
          <w:rFonts w:ascii="Open Sans" w:hAnsi="Open Sans" w:cs="Open Sans"/>
          <w:szCs w:val="24"/>
        </w:rPr>
      </w:pPr>
      <w:r w:rsidRPr="00B42491">
        <w:rPr>
          <w:rFonts w:ascii="Open Sans" w:hAnsi="Open Sans" w:cs="Open Sans"/>
          <w:szCs w:val="24"/>
        </w:rPr>
        <w:t>December 2020</w:t>
      </w:r>
      <w:r w:rsidR="00126285">
        <w:rPr>
          <w:rFonts w:ascii="Open Sans" w:hAnsi="Open Sans" w:cs="Open Sans"/>
          <w:szCs w:val="24"/>
        </w:rPr>
        <w:br w:type="page"/>
      </w:r>
    </w:p>
    <w:p w14:paraId="5EA776D6" w14:textId="77777777" w:rsidR="00126285" w:rsidRPr="00E95FE0" w:rsidRDefault="00126285" w:rsidP="00824071">
      <w:pPr>
        <w:spacing w:after="0"/>
        <w:rPr>
          <w:rFonts w:ascii="Open Sans" w:hAnsi="Open Sans" w:cs="Open Sans"/>
          <w:szCs w:val="24"/>
        </w:rPr>
      </w:pPr>
    </w:p>
    <w:sdt>
      <w:sdtPr>
        <w:rPr>
          <w:rFonts w:ascii="Open Sans" w:eastAsiaTheme="minorHAnsi" w:hAnsi="Open Sans" w:cs="Open Sans"/>
          <w:b w:val="0"/>
          <w:spacing w:val="0"/>
          <w:sz w:val="24"/>
          <w:szCs w:val="22"/>
          <w:lang w:val="en-AU"/>
        </w:rPr>
        <w:id w:val="-512752674"/>
        <w:docPartObj>
          <w:docPartGallery w:val="Table of Contents"/>
          <w:docPartUnique/>
        </w:docPartObj>
      </w:sdtPr>
      <w:sdtEndPr>
        <w:rPr>
          <w:bCs/>
          <w:noProof/>
          <w:sz w:val="22"/>
        </w:rPr>
      </w:sdtEndPr>
      <w:sdtContent>
        <w:p w14:paraId="7060EB14" w14:textId="77777777" w:rsidR="00824071" w:rsidRPr="00E95FE0" w:rsidRDefault="00824071" w:rsidP="00824071">
          <w:pPr>
            <w:pStyle w:val="TOCHeading"/>
            <w:rPr>
              <w:rFonts w:ascii="Open Sans" w:hAnsi="Open Sans" w:cs="Open Sans"/>
            </w:rPr>
          </w:pPr>
          <w:r w:rsidRPr="00E95FE0">
            <w:rPr>
              <w:rFonts w:ascii="Open Sans" w:hAnsi="Open Sans" w:cs="Open Sans"/>
            </w:rPr>
            <w:t>Contents</w:t>
          </w:r>
        </w:p>
        <w:p w14:paraId="5127431E" w14:textId="77777777" w:rsidR="00824071" w:rsidRPr="00E95FE0" w:rsidRDefault="00824071" w:rsidP="00824071">
          <w:pPr>
            <w:rPr>
              <w:lang w:val="en-US"/>
            </w:rPr>
          </w:pPr>
        </w:p>
        <w:p w14:paraId="6A46C29E" w14:textId="77777777" w:rsidR="00824071" w:rsidRDefault="00824071" w:rsidP="00824071">
          <w:pPr>
            <w:pStyle w:val="TOC1"/>
            <w:rPr>
              <w:rFonts w:asciiTheme="minorHAnsi" w:eastAsiaTheme="minorEastAsia" w:hAnsiTheme="minorHAnsi" w:cstheme="minorBidi"/>
              <w:b w:val="0"/>
              <w:noProof/>
              <w:spacing w:val="0"/>
              <w:sz w:val="22"/>
              <w:szCs w:val="22"/>
              <w:lang w:val="en-US"/>
            </w:rPr>
          </w:pPr>
          <w:r w:rsidRPr="00E95FE0">
            <w:rPr>
              <w:rFonts w:ascii="Open Sans" w:hAnsi="Open Sans" w:cs="Open Sans"/>
            </w:rPr>
            <w:fldChar w:fldCharType="begin"/>
          </w:r>
          <w:r w:rsidRPr="00E95FE0">
            <w:rPr>
              <w:rFonts w:ascii="Open Sans" w:hAnsi="Open Sans" w:cs="Open Sans"/>
            </w:rPr>
            <w:instrText xml:space="preserve"> TOC \o "1-3" \h \z \u </w:instrText>
          </w:r>
          <w:r w:rsidRPr="00E95FE0">
            <w:rPr>
              <w:rFonts w:ascii="Open Sans" w:hAnsi="Open Sans" w:cs="Open Sans"/>
            </w:rPr>
            <w:fldChar w:fldCharType="separate"/>
          </w:r>
          <w:hyperlink w:anchor="_Toc57217330" w:history="1">
            <w:r w:rsidRPr="00C2468A">
              <w:rPr>
                <w:rStyle w:val="Hyperlink"/>
                <w:rFonts w:ascii="Open Sans" w:hAnsi="Open Sans"/>
                <w:noProof/>
              </w:rPr>
              <w:t>1</w:t>
            </w:r>
            <w:r>
              <w:rPr>
                <w:rFonts w:asciiTheme="minorHAnsi" w:eastAsiaTheme="minorEastAsia" w:hAnsiTheme="minorHAnsi" w:cstheme="minorBidi"/>
                <w:b w:val="0"/>
                <w:noProof/>
                <w:spacing w:val="0"/>
                <w:sz w:val="22"/>
                <w:szCs w:val="22"/>
                <w:lang w:val="en-US"/>
              </w:rPr>
              <w:tab/>
            </w:r>
            <w:r w:rsidRPr="00C2468A">
              <w:rPr>
                <w:rStyle w:val="Hyperlink"/>
                <w:rFonts w:ascii="Open Sans" w:hAnsi="Open Sans" w:cs="Open Sans"/>
                <w:noProof/>
              </w:rPr>
              <w:t>Introduction to this inquiry</w:t>
            </w:r>
            <w:r>
              <w:rPr>
                <w:noProof/>
                <w:webHidden/>
              </w:rPr>
              <w:tab/>
            </w:r>
            <w:r>
              <w:rPr>
                <w:noProof/>
                <w:webHidden/>
              </w:rPr>
              <w:fldChar w:fldCharType="begin"/>
            </w:r>
            <w:r>
              <w:rPr>
                <w:noProof/>
                <w:webHidden/>
              </w:rPr>
              <w:instrText xml:space="preserve"> PAGEREF _Toc57217330 \h </w:instrText>
            </w:r>
            <w:r>
              <w:rPr>
                <w:noProof/>
                <w:webHidden/>
              </w:rPr>
            </w:r>
            <w:r>
              <w:rPr>
                <w:noProof/>
                <w:webHidden/>
              </w:rPr>
              <w:fldChar w:fldCharType="separate"/>
            </w:r>
            <w:r>
              <w:rPr>
                <w:noProof/>
                <w:webHidden/>
              </w:rPr>
              <w:t>1</w:t>
            </w:r>
            <w:r>
              <w:rPr>
                <w:noProof/>
                <w:webHidden/>
              </w:rPr>
              <w:fldChar w:fldCharType="end"/>
            </w:r>
          </w:hyperlink>
        </w:p>
        <w:p w14:paraId="37A516BE"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31" w:history="1">
            <w:r w:rsidR="00824071" w:rsidRPr="00C2468A">
              <w:rPr>
                <w:rStyle w:val="Hyperlink"/>
                <w:rFonts w:ascii="Open Sans" w:hAnsi="Open Sans"/>
                <w:noProof/>
              </w:rPr>
              <w:t>2</w:t>
            </w:r>
            <w:r w:rsidR="00824071">
              <w:rPr>
                <w:rFonts w:asciiTheme="minorHAnsi" w:eastAsiaTheme="minorEastAsia" w:hAnsiTheme="minorHAnsi" w:cstheme="minorBidi"/>
                <w:b w:val="0"/>
                <w:noProof/>
                <w:spacing w:val="0"/>
                <w:sz w:val="22"/>
                <w:szCs w:val="22"/>
                <w:lang w:val="en-US"/>
              </w:rPr>
              <w:tab/>
            </w:r>
            <w:r w:rsidR="00824071" w:rsidRPr="00C2468A">
              <w:rPr>
                <w:rStyle w:val="Hyperlink"/>
                <w:rFonts w:ascii="Open Sans" w:hAnsi="Open Sans" w:cs="Open Sans"/>
                <w:noProof/>
              </w:rPr>
              <w:t>Summary of findings and recommendations</w:t>
            </w:r>
            <w:r w:rsidR="00824071">
              <w:rPr>
                <w:noProof/>
                <w:webHidden/>
              </w:rPr>
              <w:tab/>
            </w:r>
            <w:r w:rsidR="00824071">
              <w:rPr>
                <w:noProof/>
                <w:webHidden/>
              </w:rPr>
              <w:fldChar w:fldCharType="begin"/>
            </w:r>
            <w:r w:rsidR="00824071">
              <w:rPr>
                <w:noProof/>
                <w:webHidden/>
              </w:rPr>
              <w:instrText xml:space="preserve"> PAGEREF _Toc57217331 \h </w:instrText>
            </w:r>
            <w:r w:rsidR="00824071">
              <w:rPr>
                <w:noProof/>
                <w:webHidden/>
              </w:rPr>
            </w:r>
            <w:r w:rsidR="00824071">
              <w:rPr>
                <w:noProof/>
                <w:webHidden/>
              </w:rPr>
              <w:fldChar w:fldCharType="separate"/>
            </w:r>
            <w:r w:rsidR="00824071">
              <w:rPr>
                <w:noProof/>
                <w:webHidden/>
              </w:rPr>
              <w:t>2</w:t>
            </w:r>
            <w:r w:rsidR="00824071">
              <w:rPr>
                <w:noProof/>
                <w:webHidden/>
              </w:rPr>
              <w:fldChar w:fldCharType="end"/>
            </w:r>
          </w:hyperlink>
        </w:p>
        <w:p w14:paraId="53664DB7"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32" w:history="1">
            <w:r w:rsidR="00824071" w:rsidRPr="00C2468A">
              <w:rPr>
                <w:rStyle w:val="Hyperlink"/>
                <w:rFonts w:ascii="Open Sans" w:hAnsi="Open Sans"/>
                <w:noProof/>
              </w:rPr>
              <w:t>3</w:t>
            </w:r>
            <w:r w:rsidR="00824071">
              <w:rPr>
                <w:rFonts w:asciiTheme="minorHAnsi" w:eastAsiaTheme="minorEastAsia" w:hAnsiTheme="minorHAnsi" w:cstheme="minorBidi"/>
                <w:b w:val="0"/>
                <w:noProof/>
                <w:spacing w:val="0"/>
                <w:sz w:val="22"/>
                <w:szCs w:val="22"/>
                <w:lang w:val="en-US"/>
              </w:rPr>
              <w:tab/>
            </w:r>
            <w:r w:rsidR="00824071" w:rsidRPr="00C2468A">
              <w:rPr>
                <w:rStyle w:val="Hyperlink"/>
                <w:rFonts w:ascii="Open Sans" w:hAnsi="Open Sans" w:cs="Open Sans"/>
                <w:noProof/>
              </w:rPr>
              <w:t>Background</w:t>
            </w:r>
            <w:r w:rsidR="00824071">
              <w:rPr>
                <w:noProof/>
                <w:webHidden/>
              </w:rPr>
              <w:tab/>
            </w:r>
            <w:r w:rsidR="00824071">
              <w:rPr>
                <w:noProof/>
                <w:webHidden/>
              </w:rPr>
              <w:fldChar w:fldCharType="begin"/>
            </w:r>
            <w:r w:rsidR="00824071">
              <w:rPr>
                <w:noProof/>
                <w:webHidden/>
              </w:rPr>
              <w:instrText xml:space="preserve"> PAGEREF _Toc57217332 \h </w:instrText>
            </w:r>
            <w:r w:rsidR="00824071">
              <w:rPr>
                <w:noProof/>
                <w:webHidden/>
              </w:rPr>
            </w:r>
            <w:r w:rsidR="00824071">
              <w:rPr>
                <w:noProof/>
                <w:webHidden/>
              </w:rPr>
              <w:fldChar w:fldCharType="separate"/>
            </w:r>
            <w:r w:rsidR="00824071">
              <w:rPr>
                <w:noProof/>
                <w:webHidden/>
              </w:rPr>
              <w:t>3</w:t>
            </w:r>
            <w:r w:rsidR="00824071">
              <w:rPr>
                <w:noProof/>
                <w:webHidden/>
              </w:rPr>
              <w:fldChar w:fldCharType="end"/>
            </w:r>
          </w:hyperlink>
        </w:p>
        <w:p w14:paraId="16C04564"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33" w:history="1">
            <w:r w:rsidR="00824071" w:rsidRPr="00C2468A">
              <w:rPr>
                <w:rStyle w:val="Hyperlink"/>
                <w:noProof/>
              </w:rPr>
              <w:t>4</w:t>
            </w:r>
            <w:r w:rsidR="00824071">
              <w:rPr>
                <w:rFonts w:asciiTheme="minorHAnsi" w:eastAsiaTheme="minorEastAsia" w:hAnsiTheme="minorHAnsi" w:cstheme="minorBidi"/>
                <w:b w:val="0"/>
                <w:noProof/>
                <w:spacing w:val="0"/>
                <w:sz w:val="22"/>
                <w:szCs w:val="22"/>
                <w:lang w:val="en-US"/>
              </w:rPr>
              <w:tab/>
            </w:r>
            <w:r w:rsidR="00824071" w:rsidRPr="00C2468A">
              <w:rPr>
                <w:rStyle w:val="Hyperlink"/>
                <w:noProof/>
              </w:rPr>
              <w:t>Conciliation</w:t>
            </w:r>
            <w:r w:rsidR="00824071">
              <w:rPr>
                <w:noProof/>
                <w:webHidden/>
              </w:rPr>
              <w:tab/>
            </w:r>
            <w:r w:rsidR="00824071">
              <w:rPr>
                <w:noProof/>
                <w:webHidden/>
              </w:rPr>
              <w:fldChar w:fldCharType="begin"/>
            </w:r>
            <w:r w:rsidR="00824071">
              <w:rPr>
                <w:noProof/>
                <w:webHidden/>
              </w:rPr>
              <w:instrText xml:space="preserve"> PAGEREF _Toc57217333 \h </w:instrText>
            </w:r>
            <w:r w:rsidR="00824071">
              <w:rPr>
                <w:noProof/>
                <w:webHidden/>
              </w:rPr>
            </w:r>
            <w:r w:rsidR="00824071">
              <w:rPr>
                <w:noProof/>
                <w:webHidden/>
              </w:rPr>
              <w:fldChar w:fldCharType="separate"/>
            </w:r>
            <w:r w:rsidR="00824071">
              <w:rPr>
                <w:noProof/>
                <w:webHidden/>
              </w:rPr>
              <w:t>5</w:t>
            </w:r>
            <w:r w:rsidR="00824071">
              <w:rPr>
                <w:noProof/>
                <w:webHidden/>
              </w:rPr>
              <w:fldChar w:fldCharType="end"/>
            </w:r>
          </w:hyperlink>
        </w:p>
        <w:p w14:paraId="6932D3FC"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34" w:history="1">
            <w:r w:rsidR="00824071" w:rsidRPr="00C2468A">
              <w:rPr>
                <w:rStyle w:val="Hyperlink"/>
                <w:noProof/>
              </w:rPr>
              <w:t>5</w:t>
            </w:r>
            <w:r w:rsidR="00824071">
              <w:rPr>
                <w:rFonts w:asciiTheme="minorHAnsi" w:eastAsiaTheme="minorEastAsia" w:hAnsiTheme="minorHAnsi" w:cstheme="minorBidi"/>
                <w:b w:val="0"/>
                <w:noProof/>
                <w:spacing w:val="0"/>
                <w:sz w:val="22"/>
                <w:szCs w:val="22"/>
                <w:lang w:val="en-US"/>
              </w:rPr>
              <w:tab/>
            </w:r>
            <w:r w:rsidR="00824071" w:rsidRPr="00C2468A">
              <w:rPr>
                <w:rStyle w:val="Hyperlink"/>
                <w:noProof/>
              </w:rPr>
              <w:t>Procedural history of this inquiry</w:t>
            </w:r>
            <w:r w:rsidR="00824071">
              <w:rPr>
                <w:noProof/>
                <w:webHidden/>
              </w:rPr>
              <w:tab/>
            </w:r>
            <w:r w:rsidR="00824071">
              <w:rPr>
                <w:noProof/>
                <w:webHidden/>
              </w:rPr>
              <w:fldChar w:fldCharType="begin"/>
            </w:r>
            <w:r w:rsidR="00824071">
              <w:rPr>
                <w:noProof/>
                <w:webHidden/>
              </w:rPr>
              <w:instrText xml:space="preserve"> PAGEREF _Toc57217334 \h </w:instrText>
            </w:r>
            <w:r w:rsidR="00824071">
              <w:rPr>
                <w:noProof/>
                <w:webHidden/>
              </w:rPr>
            </w:r>
            <w:r w:rsidR="00824071">
              <w:rPr>
                <w:noProof/>
                <w:webHidden/>
              </w:rPr>
              <w:fldChar w:fldCharType="separate"/>
            </w:r>
            <w:r w:rsidR="00824071">
              <w:rPr>
                <w:noProof/>
                <w:webHidden/>
              </w:rPr>
              <w:t>5</w:t>
            </w:r>
            <w:r w:rsidR="00824071">
              <w:rPr>
                <w:noProof/>
                <w:webHidden/>
              </w:rPr>
              <w:fldChar w:fldCharType="end"/>
            </w:r>
          </w:hyperlink>
        </w:p>
        <w:p w14:paraId="5DFB4F66"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35" w:history="1">
            <w:r w:rsidR="00824071" w:rsidRPr="00C2468A">
              <w:rPr>
                <w:rStyle w:val="Hyperlink"/>
                <w:rFonts w:ascii="Open Sans" w:hAnsi="Open Sans"/>
                <w:noProof/>
              </w:rPr>
              <w:t>6</w:t>
            </w:r>
            <w:r w:rsidR="00824071">
              <w:rPr>
                <w:rFonts w:asciiTheme="minorHAnsi" w:eastAsiaTheme="minorEastAsia" w:hAnsiTheme="minorHAnsi" w:cstheme="minorBidi"/>
                <w:b w:val="0"/>
                <w:noProof/>
                <w:spacing w:val="0"/>
                <w:sz w:val="22"/>
                <w:szCs w:val="22"/>
                <w:lang w:val="en-US"/>
              </w:rPr>
              <w:tab/>
            </w:r>
            <w:r w:rsidR="00824071" w:rsidRPr="00C2468A">
              <w:rPr>
                <w:rStyle w:val="Hyperlink"/>
                <w:rFonts w:ascii="Open Sans" w:hAnsi="Open Sans" w:cs="Open Sans"/>
                <w:noProof/>
              </w:rPr>
              <w:t>Legislative framework</w:t>
            </w:r>
            <w:r w:rsidR="00824071">
              <w:rPr>
                <w:noProof/>
                <w:webHidden/>
              </w:rPr>
              <w:tab/>
            </w:r>
            <w:r w:rsidR="00824071">
              <w:rPr>
                <w:noProof/>
                <w:webHidden/>
              </w:rPr>
              <w:fldChar w:fldCharType="begin"/>
            </w:r>
            <w:r w:rsidR="00824071">
              <w:rPr>
                <w:noProof/>
                <w:webHidden/>
              </w:rPr>
              <w:instrText xml:space="preserve"> PAGEREF _Toc57217335 \h </w:instrText>
            </w:r>
            <w:r w:rsidR="00824071">
              <w:rPr>
                <w:noProof/>
                <w:webHidden/>
              </w:rPr>
            </w:r>
            <w:r w:rsidR="00824071">
              <w:rPr>
                <w:noProof/>
                <w:webHidden/>
              </w:rPr>
              <w:fldChar w:fldCharType="separate"/>
            </w:r>
            <w:r w:rsidR="00824071">
              <w:rPr>
                <w:noProof/>
                <w:webHidden/>
              </w:rPr>
              <w:t>5</w:t>
            </w:r>
            <w:r w:rsidR="00824071">
              <w:rPr>
                <w:noProof/>
                <w:webHidden/>
              </w:rPr>
              <w:fldChar w:fldCharType="end"/>
            </w:r>
          </w:hyperlink>
        </w:p>
        <w:p w14:paraId="0D21E8A1" w14:textId="77777777" w:rsidR="00824071" w:rsidRDefault="006023A9" w:rsidP="00824071">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7217336" w:history="1">
            <w:r w:rsidR="00824071" w:rsidRPr="00C2468A">
              <w:rPr>
                <w:rStyle w:val="Hyperlink"/>
                <w:iCs/>
                <w:noProof/>
              </w:rPr>
              <w:t>6.1</w:t>
            </w:r>
            <w:r w:rsidR="00824071">
              <w:rPr>
                <w:rFonts w:asciiTheme="minorHAnsi" w:eastAsiaTheme="minorEastAsia" w:hAnsiTheme="minorHAnsi" w:cstheme="minorBidi"/>
                <w:b w:val="0"/>
                <w:i w:val="0"/>
                <w:noProof/>
                <w:spacing w:val="0"/>
                <w:sz w:val="22"/>
                <w:szCs w:val="22"/>
                <w:lang w:val="en-US"/>
              </w:rPr>
              <w:tab/>
            </w:r>
            <w:r w:rsidR="00824071" w:rsidRPr="00C2468A">
              <w:rPr>
                <w:rStyle w:val="Hyperlink"/>
                <w:rFonts w:cs="Open Sans"/>
                <w:noProof/>
              </w:rPr>
              <w:t>Functions of the Commission</w:t>
            </w:r>
            <w:r w:rsidR="00824071">
              <w:rPr>
                <w:noProof/>
                <w:webHidden/>
              </w:rPr>
              <w:tab/>
            </w:r>
            <w:r w:rsidR="00824071">
              <w:rPr>
                <w:noProof/>
                <w:webHidden/>
              </w:rPr>
              <w:fldChar w:fldCharType="begin"/>
            </w:r>
            <w:r w:rsidR="00824071">
              <w:rPr>
                <w:noProof/>
                <w:webHidden/>
              </w:rPr>
              <w:instrText xml:space="preserve"> PAGEREF _Toc57217336 \h </w:instrText>
            </w:r>
            <w:r w:rsidR="00824071">
              <w:rPr>
                <w:noProof/>
                <w:webHidden/>
              </w:rPr>
            </w:r>
            <w:r w:rsidR="00824071">
              <w:rPr>
                <w:noProof/>
                <w:webHidden/>
              </w:rPr>
              <w:fldChar w:fldCharType="separate"/>
            </w:r>
            <w:r w:rsidR="00824071">
              <w:rPr>
                <w:noProof/>
                <w:webHidden/>
              </w:rPr>
              <w:t>5</w:t>
            </w:r>
            <w:r w:rsidR="00824071">
              <w:rPr>
                <w:noProof/>
                <w:webHidden/>
              </w:rPr>
              <w:fldChar w:fldCharType="end"/>
            </w:r>
          </w:hyperlink>
        </w:p>
        <w:p w14:paraId="68E62388" w14:textId="77777777" w:rsidR="00824071" w:rsidRDefault="006023A9" w:rsidP="00824071">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7217337" w:history="1">
            <w:r w:rsidR="00824071" w:rsidRPr="00C2468A">
              <w:rPr>
                <w:rStyle w:val="Hyperlink"/>
                <w:iCs/>
                <w:noProof/>
              </w:rPr>
              <w:t>6.2</w:t>
            </w:r>
            <w:r w:rsidR="00824071">
              <w:rPr>
                <w:rFonts w:asciiTheme="minorHAnsi" w:eastAsiaTheme="minorEastAsia" w:hAnsiTheme="minorHAnsi" w:cstheme="minorBidi"/>
                <w:b w:val="0"/>
                <w:i w:val="0"/>
                <w:noProof/>
                <w:spacing w:val="0"/>
                <w:sz w:val="22"/>
                <w:szCs w:val="22"/>
                <w:lang w:val="en-US"/>
              </w:rPr>
              <w:tab/>
            </w:r>
            <w:r w:rsidR="00824071" w:rsidRPr="00C2468A">
              <w:rPr>
                <w:rStyle w:val="Hyperlink"/>
                <w:rFonts w:cs="Open Sans"/>
                <w:noProof/>
              </w:rPr>
              <w:t>What is an ‘act’ or ‘practice’?</w:t>
            </w:r>
            <w:r w:rsidR="00824071">
              <w:rPr>
                <w:noProof/>
                <w:webHidden/>
              </w:rPr>
              <w:tab/>
            </w:r>
            <w:r w:rsidR="00824071">
              <w:rPr>
                <w:noProof/>
                <w:webHidden/>
              </w:rPr>
              <w:fldChar w:fldCharType="begin"/>
            </w:r>
            <w:r w:rsidR="00824071">
              <w:rPr>
                <w:noProof/>
                <w:webHidden/>
              </w:rPr>
              <w:instrText xml:space="preserve"> PAGEREF _Toc57217337 \h </w:instrText>
            </w:r>
            <w:r w:rsidR="00824071">
              <w:rPr>
                <w:noProof/>
                <w:webHidden/>
              </w:rPr>
            </w:r>
            <w:r w:rsidR="00824071">
              <w:rPr>
                <w:noProof/>
                <w:webHidden/>
              </w:rPr>
              <w:fldChar w:fldCharType="separate"/>
            </w:r>
            <w:r w:rsidR="00824071">
              <w:rPr>
                <w:noProof/>
                <w:webHidden/>
              </w:rPr>
              <w:t>5</w:t>
            </w:r>
            <w:r w:rsidR="00824071">
              <w:rPr>
                <w:noProof/>
                <w:webHidden/>
              </w:rPr>
              <w:fldChar w:fldCharType="end"/>
            </w:r>
          </w:hyperlink>
        </w:p>
        <w:p w14:paraId="5FEDF757" w14:textId="77777777" w:rsidR="00824071" w:rsidRDefault="006023A9" w:rsidP="00824071">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7217338" w:history="1">
            <w:r w:rsidR="00824071" w:rsidRPr="00C2468A">
              <w:rPr>
                <w:rStyle w:val="Hyperlink"/>
                <w:iCs/>
                <w:noProof/>
              </w:rPr>
              <w:t>6.3</w:t>
            </w:r>
            <w:r w:rsidR="00824071">
              <w:rPr>
                <w:rFonts w:asciiTheme="minorHAnsi" w:eastAsiaTheme="minorEastAsia" w:hAnsiTheme="minorHAnsi" w:cstheme="minorBidi"/>
                <w:b w:val="0"/>
                <w:i w:val="0"/>
                <w:noProof/>
                <w:spacing w:val="0"/>
                <w:sz w:val="22"/>
                <w:szCs w:val="22"/>
                <w:lang w:val="en-US"/>
              </w:rPr>
              <w:tab/>
            </w:r>
            <w:r w:rsidR="00824071" w:rsidRPr="00C2468A">
              <w:rPr>
                <w:rStyle w:val="Hyperlink"/>
                <w:rFonts w:cs="Open Sans"/>
                <w:noProof/>
              </w:rPr>
              <w:t>What is a human right?</w:t>
            </w:r>
            <w:r w:rsidR="00824071">
              <w:rPr>
                <w:noProof/>
                <w:webHidden/>
              </w:rPr>
              <w:tab/>
            </w:r>
            <w:r w:rsidR="00824071">
              <w:rPr>
                <w:noProof/>
                <w:webHidden/>
              </w:rPr>
              <w:fldChar w:fldCharType="begin"/>
            </w:r>
            <w:r w:rsidR="00824071">
              <w:rPr>
                <w:noProof/>
                <w:webHidden/>
              </w:rPr>
              <w:instrText xml:space="preserve"> PAGEREF _Toc57217338 \h </w:instrText>
            </w:r>
            <w:r w:rsidR="00824071">
              <w:rPr>
                <w:noProof/>
                <w:webHidden/>
              </w:rPr>
            </w:r>
            <w:r w:rsidR="00824071">
              <w:rPr>
                <w:noProof/>
                <w:webHidden/>
              </w:rPr>
              <w:fldChar w:fldCharType="separate"/>
            </w:r>
            <w:r w:rsidR="00824071">
              <w:rPr>
                <w:noProof/>
                <w:webHidden/>
              </w:rPr>
              <w:t>6</w:t>
            </w:r>
            <w:r w:rsidR="00824071">
              <w:rPr>
                <w:noProof/>
                <w:webHidden/>
              </w:rPr>
              <w:fldChar w:fldCharType="end"/>
            </w:r>
          </w:hyperlink>
        </w:p>
        <w:p w14:paraId="4736A3C4"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39" w:history="1">
            <w:r w:rsidR="00824071" w:rsidRPr="00C2468A">
              <w:rPr>
                <w:rStyle w:val="Hyperlink"/>
                <w:rFonts w:ascii="Open Sans" w:hAnsi="Open Sans"/>
                <w:noProof/>
              </w:rPr>
              <w:t>7</w:t>
            </w:r>
            <w:r w:rsidR="00824071">
              <w:rPr>
                <w:rFonts w:asciiTheme="minorHAnsi" w:eastAsiaTheme="minorEastAsia" w:hAnsiTheme="minorHAnsi" w:cstheme="minorBidi"/>
                <w:b w:val="0"/>
                <w:noProof/>
                <w:spacing w:val="0"/>
                <w:sz w:val="22"/>
                <w:szCs w:val="22"/>
                <w:lang w:val="en-US"/>
              </w:rPr>
              <w:tab/>
            </w:r>
            <w:r w:rsidR="00824071" w:rsidRPr="00C2468A">
              <w:rPr>
                <w:rStyle w:val="Hyperlink"/>
                <w:rFonts w:ascii="Open Sans" w:hAnsi="Open Sans" w:cs="Open Sans"/>
                <w:noProof/>
              </w:rPr>
              <w:t>Arbitrary detention</w:t>
            </w:r>
            <w:r w:rsidR="00824071">
              <w:rPr>
                <w:noProof/>
                <w:webHidden/>
              </w:rPr>
              <w:tab/>
            </w:r>
            <w:r w:rsidR="00824071">
              <w:rPr>
                <w:noProof/>
                <w:webHidden/>
              </w:rPr>
              <w:fldChar w:fldCharType="begin"/>
            </w:r>
            <w:r w:rsidR="00824071">
              <w:rPr>
                <w:noProof/>
                <w:webHidden/>
              </w:rPr>
              <w:instrText xml:space="preserve"> PAGEREF _Toc57217339 \h </w:instrText>
            </w:r>
            <w:r w:rsidR="00824071">
              <w:rPr>
                <w:noProof/>
                <w:webHidden/>
              </w:rPr>
            </w:r>
            <w:r w:rsidR="00824071">
              <w:rPr>
                <w:noProof/>
                <w:webHidden/>
              </w:rPr>
              <w:fldChar w:fldCharType="separate"/>
            </w:r>
            <w:r w:rsidR="00824071">
              <w:rPr>
                <w:noProof/>
                <w:webHidden/>
              </w:rPr>
              <w:t>6</w:t>
            </w:r>
            <w:r w:rsidR="00824071">
              <w:rPr>
                <w:noProof/>
                <w:webHidden/>
              </w:rPr>
              <w:fldChar w:fldCharType="end"/>
            </w:r>
          </w:hyperlink>
        </w:p>
        <w:p w14:paraId="163563E8" w14:textId="77777777" w:rsidR="00824071" w:rsidRDefault="006023A9" w:rsidP="00824071">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7217340" w:history="1">
            <w:r w:rsidR="00824071" w:rsidRPr="00C2468A">
              <w:rPr>
                <w:rStyle w:val="Hyperlink"/>
                <w:iCs/>
                <w:noProof/>
              </w:rPr>
              <w:t>7.1</w:t>
            </w:r>
            <w:r w:rsidR="00824071">
              <w:rPr>
                <w:rFonts w:asciiTheme="minorHAnsi" w:eastAsiaTheme="minorEastAsia" w:hAnsiTheme="minorHAnsi" w:cstheme="minorBidi"/>
                <w:b w:val="0"/>
                <w:i w:val="0"/>
                <w:noProof/>
                <w:spacing w:val="0"/>
                <w:sz w:val="22"/>
                <w:szCs w:val="22"/>
                <w:lang w:val="en-US"/>
              </w:rPr>
              <w:tab/>
            </w:r>
            <w:r w:rsidR="00824071" w:rsidRPr="00C2468A">
              <w:rPr>
                <w:rStyle w:val="Hyperlink"/>
                <w:rFonts w:cs="Open Sans"/>
                <w:noProof/>
              </w:rPr>
              <w:t>Law on article 9 of the ICCPR</w:t>
            </w:r>
            <w:r w:rsidR="00824071">
              <w:rPr>
                <w:noProof/>
                <w:webHidden/>
              </w:rPr>
              <w:tab/>
            </w:r>
            <w:r w:rsidR="00824071">
              <w:rPr>
                <w:noProof/>
                <w:webHidden/>
              </w:rPr>
              <w:fldChar w:fldCharType="begin"/>
            </w:r>
            <w:r w:rsidR="00824071">
              <w:rPr>
                <w:noProof/>
                <w:webHidden/>
              </w:rPr>
              <w:instrText xml:space="preserve"> PAGEREF _Toc57217340 \h </w:instrText>
            </w:r>
            <w:r w:rsidR="00824071">
              <w:rPr>
                <w:noProof/>
                <w:webHidden/>
              </w:rPr>
            </w:r>
            <w:r w:rsidR="00824071">
              <w:rPr>
                <w:noProof/>
                <w:webHidden/>
              </w:rPr>
              <w:fldChar w:fldCharType="separate"/>
            </w:r>
            <w:r w:rsidR="00824071">
              <w:rPr>
                <w:noProof/>
                <w:webHidden/>
              </w:rPr>
              <w:t>6</w:t>
            </w:r>
            <w:r w:rsidR="00824071">
              <w:rPr>
                <w:noProof/>
                <w:webHidden/>
              </w:rPr>
              <w:fldChar w:fldCharType="end"/>
            </w:r>
          </w:hyperlink>
        </w:p>
        <w:p w14:paraId="19467C9F" w14:textId="77777777" w:rsidR="00824071" w:rsidRDefault="006023A9" w:rsidP="00824071">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7217341" w:history="1">
            <w:r w:rsidR="00824071" w:rsidRPr="00C2468A">
              <w:rPr>
                <w:rStyle w:val="Hyperlink"/>
                <w:iCs/>
                <w:noProof/>
              </w:rPr>
              <w:t>7.2</w:t>
            </w:r>
            <w:r w:rsidR="00824071">
              <w:rPr>
                <w:rFonts w:asciiTheme="minorHAnsi" w:eastAsiaTheme="minorEastAsia" w:hAnsiTheme="minorHAnsi" w:cstheme="minorBidi"/>
                <w:b w:val="0"/>
                <w:i w:val="0"/>
                <w:noProof/>
                <w:spacing w:val="0"/>
                <w:sz w:val="22"/>
                <w:szCs w:val="22"/>
                <w:lang w:val="en-US"/>
              </w:rPr>
              <w:tab/>
            </w:r>
            <w:r w:rsidR="00824071" w:rsidRPr="00C2468A">
              <w:rPr>
                <w:rStyle w:val="Hyperlink"/>
                <w:rFonts w:cs="Open Sans"/>
                <w:noProof/>
              </w:rPr>
              <w:t>Act or practice of the Commonwealth</w:t>
            </w:r>
            <w:r w:rsidR="00824071">
              <w:rPr>
                <w:noProof/>
                <w:webHidden/>
              </w:rPr>
              <w:tab/>
            </w:r>
            <w:r w:rsidR="00824071">
              <w:rPr>
                <w:noProof/>
                <w:webHidden/>
              </w:rPr>
              <w:fldChar w:fldCharType="begin"/>
            </w:r>
            <w:r w:rsidR="00824071">
              <w:rPr>
                <w:noProof/>
                <w:webHidden/>
              </w:rPr>
              <w:instrText xml:space="preserve"> PAGEREF _Toc57217341 \h </w:instrText>
            </w:r>
            <w:r w:rsidR="00824071">
              <w:rPr>
                <w:noProof/>
                <w:webHidden/>
              </w:rPr>
            </w:r>
            <w:r w:rsidR="00824071">
              <w:rPr>
                <w:noProof/>
                <w:webHidden/>
              </w:rPr>
              <w:fldChar w:fldCharType="separate"/>
            </w:r>
            <w:r w:rsidR="00824071">
              <w:rPr>
                <w:noProof/>
                <w:webHidden/>
              </w:rPr>
              <w:t>7</w:t>
            </w:r>
            <w:r w:rsidR="00824071">
              <w:rPr>
                <w:noProof/>
                <w:webHidden/>
              </w:rPr>
              <w:fldChar w:fldCharType="end"/>
            </w:r>
          </w:hyperlink>
        </w:p>
        <w:p w14:paraId="4027A239" w14:textId="77777777" w:rsidR="00824071" w:rsidRDefault="006023A9" w:rsidP="00824071">
          <w:pPr>
            <w:pStyle w:val="TOC2"/>
            <w:tabs>
              <w:tab w:val="right" w:leader="dot" w:pos="9060"/>
            </w:tabs>
            <w:rPr>
              <w:rFonts w:asciiTheme="minorHAnsi" w:eastAsiaTheme="minorEastAsia" w:hAnsiTheme="minorHAnsi" w:cstheme="minorBidi"/>
              <w:b w:val="0"/>
              <w:i w:val="0"/>
              <w:noProof/>
              <w:spacing w:val="0"/>
              <w:sz w:val="22"/>
              <w:szCs w:val="22"/>
              <w:lang w:val="en-US"/>
            </w:rPr>
          </w:pPr>
          <w:hyperlink w:anchor="_Toc57217342" w:history="1">
            <w:r w:rsidR="00824071" w:rsidRPr="00C2468A">
              <w:rPr>
                <w:rStyle w:val="Hyperlink"/>
                <w:iCs/>
                <w:noProof/>
              </w:rPr>
              <w:t>7.3</w:t>
            </w:r>
            <w:r w:rsidR="00824071">
              <w:rPr>
                <w:rFonts w:asciiTheme="minorHAnsi" w:eastAsiaTheme="minorEastAsia" w:hAnsiTheme="minorHAnsi" w:cstheme="minorBidi"/>
                <w:b w:val="0"/>
                <w:i w:val="0"/>
                <w:noProof/>
                <w:spacing w:val="0"/>
                <w:sz w:val="22"/>
                <w:szCs w:val="22"/>
                <w:lang w:val="en-US"/>
              </w:rPr>
              <w:tab/>
            </w:r>
            <w:r w:rsidR="00824071" w:rsidRPr="00C2468A">
              <w:rPr>
                <w:rStyle w:val="Hyperlink"/>
                <w:rFonts w:cs="Open Sans"/>
                <w:noProof/>
              </w:rPr>
              <w:t>Findings</w:t>
            </w:r>
            <w:r w:rsidR="00824071">
              <w:rPr>
                <w:noProof/>
                <w:webHidden/>
              </w:rPr>
              <w:tab/>
            </w:r>
            <w:r w:rsidR="00824071">
              <w:rPr>
                <w:noProof/>
                <w:webHidden/>
              </w:rPr>
              <w:fldChar w:fldCharType="begin"/>
            </w:r>
            <w:r w:rsidR="00824071">
              <w:rPr>
                <w:noProof/>
                <w:webHidden/>
              </w:rPr>
              <w:instrText xml:space="preserve"> PAGEREF _Toc57217342 \h </w:instrText>
            </w:r>
            <w:r w:rsidR="00824071">
              <w:rPr>
                <w:noProof/>
                <w:webHidden/>
              </w:rPr>
            </w:r>
            <w:r w:rsidR="00824071">
              <w:rPr>
                <w:noProof/>
                <w:webHidden/>
              </w:rPr>
              <w:fldChar w:fldCharType="separate"/>
            </w:r>
            <w:r w:rsidR="00824071">
              <w:rPr>
                <w:noProof/>
                <w:webHidden/>
              </w:rPr>
              <w:t>8</w:t>
            </w:r>
            <w:r w:rsidR="00824071">
              <w:rPr>
                <w:noProof/>
                <w:webHidden/>
              </w:rPr>
              <w:fldChar w:fldCharType="end"/>
            </w:r>
          </w:hyperlink>
        </w:p>
        <w:p w14:paraId="4B8742F7"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46" w:history="1">
            <w:r w:rsidR="00824071" w:rsidRPr="00C2468A">
              <w:rPr>
                <w:rStyle w:val="Hyperlink"/>
                <w:rFonts w:ascii="Open Sans" w:hAnsi="Open Sans"/>
                <w:noProof/>
              </w:rPr>
              <w:t>8</w:t>
            </w:r>
            <w:r w:rsidR="00824071">
              <w:rPr>
                <w:rFonts w:asciiTheme="minorHAnsi" w:eastAsiaTheme="minorEastAsia" w:hAnsiTheme="minorHAnsi" w:cstheme="minorBidi"/>
                <w:b w:val="0"/>
                <w:noProof/>
                <w:spacing w:val="0"/>
                <w:sz w:val="22"/>
                <w:szCs w:val="22"/>
                <w:lang w:val="en-US"/>
              </w:rPr>
              <w:tab/>
            </w:r>
            <w:r w:rsidR="00824071" w:rsidRPr="00C2468A">
              <w:rPr>
                <w:rStyle w:val="Hyperlink"/>
                <w:rFonts w:ascii="Open Sans" w:hAnsi="Open Sans" w:cs="Open Sans"/>
                <w:noProof/>
              </w:rPr>
              <w:t>Recommendations</w:t>
            </w:r>
            <w:r w:rsidR="00824071">
              <w:rPr>
                <w:noProof/>
                <w:webHidden/>
              </w:rPr>
              <w:tab/>
            </w:r>
            <w:r w:rsidR="00824071">
              <w:rPr>
                <w:noProof/>
                <w:webHidden/>
              </w:rPr>
              <w:fldChar w:fldCharType="begin"/>
            </w:r>
            <w:r w:rsidR="00824071">
              <w:rPr>
                <w:noProof/>
                <w:webHidden/>
              </w:rPr>
              <w:instrText xml:space="preserve"> PAGEREF _Toc57217346 \h </w:instrText>
            </w:r>
            <w:r w:rsidR="00824071">
              <w:rPr>
                <w:noProof/>
                <w:webHidden/>
              </w:rPr>
            </w:r>
            <w:r w:rsidR="00824071">
              <w:rPr>
                <w:noProof/>
                <w:webHidden/>
              </w:rPr>
              <w:fldChar w:fldCharType="separate"/>
            </w:r>
            <w:r w:rsidR="00824071">
              <w:rPr>
                <w:noProof/>
                <w:webHidden/>
              </w:rPr>
              <w:t>14</w:t>
            </w:r>
            <w:r w:rsidR="00824071">
              <w:rPr>
                <w:noProof/>
                <w:webHidden/>
              </w:rPr>
              <w:fldChar w:fldCharType="end"/>
            </w:r>
          </w:hyperlink>
        </w:p>
        <w:p w14:paraId="1F20EAE7" w14:textId="77777777" w:rsidR="00824071" w:rsidRDefault="006023A9" w:rsidP="00824071">
          <w:pPr>
            <w:pStyle w:val="TOC1"/>
            <w:rPr>
              <w:rFonts w:asciiTheme="minorHAnsi" w:eastAsiaTheme="minorEastAsia" w:hAnsiTheme="minorHAnsi" w:cstheme="minorBidi"/>
              <w:b w:val="0"/>
              <w:noProof/>
              <w:spacing w:val="0"/>
              <w:sz w:val="22"/>
              <w:szCs w:val="22"/>
              <w:lang w:val="en-US"/>
            </w:rPr>
          </w:pPr>
          <w:hyperlink w:anchor="_Toc57217347" w:history="1">
            <w:r w:rsidR="00824071" w:rsidRPr="00C2468A">
              <w:rPr>
                <w:rStyle w:val="Hyperlink"/>
                <w:rFonts w:ascii="Open Sans" w:hAnsi="Open Sans"/>
                <w:noProof/>
              </w:rPr>
              <w:t>9</w:t>
            </w:r>
            <w:r w:rsidR="00824071">
              <w:rPr>
                <w:rFonts w:asciiTheme="minorHAnsi" w:eastAsiaTheme="minorEastAsia" w:hAnsiTheme="minorHAnsi" w:cstheme="minorBidi"/>
                <w:b w:val="0"/>
                <w:noProof/>
                <w:spacing w:val="0"/>
                <w:sz w:val="22"/>
                <w:szCs w:val="22"/>
                <w:lang w:val="en-US"/>
              </w:rPr>
              <w:tab/>
            </w:r>
            <w:r w:rsidR="00824071" w:rsidRPr="00C2468A">
              <w:rPr>
                <w:rStyle w:val="Hyperlink"/>
                <w:rFonts w:ascii="Open Sans" w:hAnsi="Open Sans" w:cs="Open Sans"/>
                <w:noProof/>
              </w:rPr>
              <w:t>The Department’s response to my findings and recommendations</w:t>
            </w:r>
            <w:r w:rsidR="00824071">
              <w:rPr>
                <w:noProof/>
                <w:webHidden/>
              </w:rPr>
              <w:tab/>
            </w:r>
            <w:r w:rsidR="00824071">
              <w:rPr>
                <w:noProof/>
                <w:webHidden/>
              </w:rPr>
              <w:fldChar w:fldCharType="begin"/>
            </w:r>
            <w:r w:rsidR="00824071">
              <w:rPr>
                <w:noProof/>
                <w:webHidden/>
              </w:rPr>
              <w:instrText xml:space="preserve"> PAGEREF _Toc57217347 \h </w:instrText>
            </w:r>
            <w:r w:rsidR="00824071">
              <w:rPr>
                <w:noProof/>
                <w:webHidden/>
              </w:rPr>
            </w:r>
            <w:r w:rsidR="00824071">
              <w:rPr>
                <w:noProof/>
                <w:webHidden/>
              </w:rPr>
              <w:fldChar w:fldCharType="separate"/>
            </w:r>
            <w:r w:rsidR="00824071">
              <w:rPr>
                <w:noProof/>
                <w:webHidden/>
              </w:rPr>
              <w:t>15</w:t>
            </w:r>
            <w:r w:rsidR="00824071">
              <w:rPr>
                <w:noProof/>
                <w:webHidden/>
              </w:rPr>
              <w:fldChar w:fldCharType="end"/>
            </w:r>
          </w:hyperlink>
        </w:p>
        <w:p w14:paraId="4CE06C58" w14:textId="77777777" w:rsidR="00824071" w:rsidRPr="00E95FE0" w:rsidRDefault="00824071" w:rsidP="00824071">
          <w:pPr>
            <w:spacing w:after="60"/>
            <w:rPr>
              <w:rFonts w:ascii="Open Sans" w:hAnsi="Open Sans" w:cs="Open Sans"/>
            </w:rPr>
          </w:pPr>
          <w:r w:rsidRPr="00E95FE0">
            <w:rPr>
              <w:rFonts w:ascii="Open Sans" w:hAnsi="Open Sans" w:cs="Open Sans"/>
              <w:b/>
              <w:bCs/>
              <w:noProof/>
            </w:rPr>
            <w:fldChar w:fldCharType="end"/>
          </w:r>
        </w:p>
      </w:sdtContent>
    </w:sdt>
    <w:p w14:paraId="58A9504C" w14:textId="77777777" w:rsidR="00824071" w:rsidRPr="00E95FE0" w:rsidRDefault="00824071" w:rsidP="00824071">
      <w:pPr>
        <w:rPr>
          <w:rFonts w:ascii="Open Sans" w:hAnsi="Open Sans" w:cs="Open Sans"/>
        </w:rPr>
      </w:pPr>
    </w:p>
    <w:p w14:paraId="727A55C3" w14:textId="77777777" w:rsidR="00824071" w:rsidRPr="00E95FE0" w:rsidRDefault="00824071" w:rsidP="00824071">
      <w:pPr>
        <w:rPr>
          <w:rFonts w:ascii="Open Sans" w:hAnsi="Open Sans" w:cs="Open Sans"/>
        </w:rPr>
      </w:pPr>
    </w:p>
    <w:p w14:paraId="5A391818" w14:textId="77777777" w:rsidR="00824071" w:rsidRPr="00E95FE0" w:rsidRDefault="00824071" w:rsidP="00824071">
      <w:pPr>
        <w:rPr>
          <w:rFonts w:ascii="Open Sans" w:hAnsi="Open Sans" w:cs="Open Sans"/>
        </w:rPr>
      </w:pPr>
    </w:p>
    <w:p w14:paraId="5B5E2D1B" w14:textId="77777777" w:rsidR="00824071" w:rsidRPr="00E95FE0" w:rsidRDefault="00824071" w:rsidP="00824071">
      <w:pPr>
        <w:rPr>
          <w:rFonts w:ascii="Open Sans" w:hAnsi="Open Sans" w:cs="Open Sans"/>
          <w:b/>
          <w:szCs w:val="24"/>
        </w:rPr>
        <w:sectPr w:rsidR="00824071" w:rsidRPr="00E95FE0" w:rsidSect="00B75196">
          <w:footerReference w:type="even" r:id="rId9"/>
          <w:footerReference w:type="default" r:id="rId10"/>
          <w:endnotePr>
            <w:numFmt w:val="decimal"/>
          </w:endnotePr>
          <w:pgSz w:w="11906" w:h="16838" w:code="9"/>
          <w:pgMar w:top="1134" w:right="1418" w:bottom="1134" w:left="1418" w:header="709" w:footer="709" w:gutter="0"/>
          <w:cols w:space="708"/>
          <w:docGrid w:linePitch="360"/>
        </w:sectPr>
      </w:pPr>
      <w:r w:rsidRPr="00E95FE0">
        <w:rPr>
          <w:rFonts w:ascii="Open Sans" w:hAnsi="Open Sans" w:cs="Open Sans"/>
          <w:b/>
          <w:szCs w:val="24"/>
        </w:rPr>
        <w:br w:type="page"/>
      </w:r>
    </w:p>
    <w:p w14:paraId="46F53D39" w14:textId="77777777" w:rsidR="00824071" w:rsidRPr="00E95FE0" w:rsidRDefault="00824071" w:rsidP="00824071">
      <w:pPr>
        <w:pStyle w:val="Heading1"/>
        <w:tabs>
          <w:tab w:val="clear" w:pos="9781"/>
          <w:tab w:val="num" w:pos="709"/>
          <w:tab w:val="left" w:pos="8930"/>
          <w:tab w:val="num" w:pos="9630"/>
        </w:tabs>
        <w:ind w:left="720" w:hanging="720"/>
        <w:rPr>
          <w:rFonts w:ascii="Open Sans" w:hAnsi="Open Sans" w:cs="Open Sans"/>
          <w:szCs w:val="36"/>
        </w:rPr>
      </w:pPr>
      <w:bookmarkStart w:id="17" w:name="_Toc452472689"/>
      <w:bookmarkStart w:id="18" w:name="_Toc487445596"/>
      <w:bookmarkStart w:id="19" w:name="_Toc487531381"/>
      <w:bookmarkStart w:id="20" w:name="_Toc487531400"/>
      <w:bookmarkStart w:id="21" w:name="_Toc487531470"/>
      <w:bookmarkStart w:id="22" w:name="_Toc487531590"/>
      <w:bookmarkStart w:id="23" w:name="_Toc57217330"/>
      <w:r w:rsidRPr="00E95FE0">
        <w:rPr>
          <w:rFonts w:ascii="Open Sans" w:hAnsi="Open Sans" w:cs="Open Sans"/>
          <w:szCs w:val="36"/>
        </w:rPr>
        <w:lastRenderedPageBreak/>
        <w:t>Introduction to this inquiry</w:t>
      </w:r>
      <w:bookmarkEnd w:id="17"/>
      <w:bookmarkEnd w:id="18"/>
      <w:bookmarkEnd w:id="19"/>
      <w:bookmarkEnd w:id="20"/>
      <w:bookmarkEnd w:id="21"/>
      <w:bookmarkEnd w:id="22"/>
      <w:bookmarkEnd w:id="23"/>
      <w:r w:rsidRPr="00E95FE0">
        <w:rPr>
          <w:rFonts w:ascii="Open Sans" w:hAnsi="Open Sans" w:cs="Open Sans"/>
          <w:szCs w:val="36"/>
        </w:rPr>
        <w:t xml:space="preserve"> </w:t>
      </w:r>
    </w:p>
    <w:p w14:paraId="493A9A6F" w14:textId="50F9552B" w:rsidR="00824071" w:rsidRPr="002018CC" w:rsidRDefault="00824071" w:rsidP="002018CC">
      <w:pPr>
        <w:numPr>
          <w:ilvl w:val="0"/>
          <w:numId w:val="3"/>
        </w:numPr>
        <w:spacing w:before="240" w:after="240" w:line="240" w:lineRule="auto"/>
        <w:rPr>
          <w:rFonts w:ascii="Open Sans" w:hAnsi="Open Sans" w:cs="Open Sans"/>
          <w:sz w:val="24"/>
          <w:szCs w:val="28"/>
        </w:rPr>
      </w:pPr>
      <w:bookmarkStart w:id="24" w:name="_Toc430854474"/>
      <w:bookmarkStart w:id="25" w:name="_Toc435187441"/>
      <w:bookmarkStart w:id="26" w:name="_Toc453855975"/>
      <w:bookmarkStart w:id="27" w:name="_Toc453856985"/>
      <w:r w:rsidRPr="00593313">
        <w:rPr>
          <w:rFonts w:ascii="Open Sans" w:hAnsi="Open Sans" w:cs="Open Sans"/>
          <w:sz w:val="24"/>
          <w:szCs w:val="28"/>
        </w:rPr>
        <w:t xml:space="preserve">This is a </w:t>
      </w:r>
      <w:r w:rsidR="002018CC">
        <w:rPr>
          <w:rFonts w:ascii="Open Sans" w:hAnsi="Open Sans" w:cs="Open Sans"/>
          <w:sz w:val="24"/>
          <w:szCs w:val="28"/>
        </w:rPr>
        <w:t>report</w:t>
      </w:r>
      <w:r w:rsidRPr="002018CC">
        <w:rPr>
          <w:rFonts w:ascii="Open Sans" w:hAnsi="Open Sans" w:cs="Open Sans"/>
          <w:sz w:val="24"/>
          <w:szCs w:val="28"/>
        </w:rPr>
        <w:t xml:space="preserve"> setting out the findings of the Australian Human Rights Commission (Commission) following an inquiry into a complaint by </w:t>
      </w:r>
      <w:bookmarkEnd w:id="24"/>
      <w:bookmarkEnd w:id="25"/>
      <w:bookmarkEnd w:id="26"/>
      <w:bookmarkEnd w:id="27"/>
      <w:r w:rsidRPr="002018CC">
        <w:rPr>
          <w:rFonts w:ascii="Open Sans" w:hAnsi="Open Sans" w:cs="Open Sans"/>
          <w:sz w:val="24"/>
          <w:szCs w:val="28"/>
        </w:rPr>
        <w:t xml:space="preserve">Mr LF against the Commonwealth of Australia, Department of Home Affairs (Department) alleging a breach of his human rights.  </w:t>
      </w:r>
    </w:p>
    <w:p w14:paraId="68436F49" w14:textId="427328F0"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8"/>
        </w:rPr>
        <w:t xml:space="preserve">This is a complaint of arbitrary detention contrary to article 9(1) of the </w:t>
      </w:r>
      <w:r w:rsidRPr="00593313">
        <w:rPr>
          <w:rFonts w:ascii="Open Sans" w:hAnsi="Open Sans" w:cs="Open Sans"/>
          <w:sz w:val="24"/>
          <w:szCs w:val="24"/>
        </w:rPr>
        <w:t>International Covenant on Civil and Political Rights (ICCPR).</w:t>
      </w:r>
      <w:r w:rsidRPr="00593313">
        <w:rPr>
          <w:rFonts w:ascii="Open Sans" w:hAnsi="Open Sans" w:cs="Open Sans"/>
          <w:sz w:val="24"/>
          <w:szCs w:val="24"/>
          <w:vertAlign w:val="superscript"/>
        </w:rPr>
        <w:endnoteReference w:id="1"/>
      </w:r>
      <w:r w:rsidRPr="00593313">
        <w:rPr>
          <w:rFonts w:ascii="Open Sans" w:hAnsi="Open Sans" w:cs="Open Sans"/>
          <w:sz w:val="24"/>
          <w:szCs w:val="24"/>
        </w:rPr>
        <w:t xml:space="preserve"> The right to liberty and freedom from arbitrary detention is not protected in the Australian Constitution</w:t>
      </w:r>
      <w:r w:rsidR="00126285">
        <w:rPr>
          <w:rFonts w:ascii="Open Sans" w:hAnsi="Open Sans" w:cs="Open Sans"/>
          <w:sz w:val="24"/>
          <w:szCs w:val="24"/>
        </w:rPr>
        <w:t xml:space="preserve"> or in other legislation</w:t>
      </w:r>
      <w:r w:rsidRPr="00593313">
        <w:rPr>
          <w:rFonts w:ascii="Open Sans" w:hAnsi="Open Sans" w:cs="Open Sans"/>
          <w:sz w:val="24"/>
          <w:szCs w:val="24"/>
        </w:rPr>
        <w:t xml:space="preserve">. The High Court has upheld the legality of indefinite detention under the </w:t>
      </w:r>
      <w:r w:rsidRPr="00593313">
        <w:rPr>
          <w:rFonts w:ascii="Open Sans" w:hAnsi="Open Sans" w:cs="Open Sans"/>
          <w:i/>
          <w:iCs/>
          <w:sz w:val="24"/>
          <w:szCs w:val="24"/>
        </w:rPr>
        <w:t>Migration Act 1958</w:t>
      </w:r>
      <w:r w:rsidRPr="00593313">
        <w:rPr>
          <w:rFonts w:ascii="Open Sans" w:hAnsi="Open Sans" w:cs="Open Sans"/>
          <w:sz w:val="24"/>
          <w:szCs w:val="24"/>
        </w:rPr>
        <w:t xml:space="preserve"> (</w:t>
      </w:r>
      <w:proofErr w:type="spellStart"/>
      <w:r w:rsidRPr="00593313">
        <w:rPr>
          <w:rFonts w:ascii="Open Sans" w:hAnsi="Open Sans" w:cs="Open Sans"/>
          <w:sz w:val="24"/>
          <w:szCs w:val="24"/>
        </w:rPr>
        <w:t>Cth</w:t>
      </w:r>
      <w:proofErr w:type="spellEnd"/>
      <w:r w:rsidRPr="00593313">
        <w:rPr>
          <w:rFonts w:ascii="Open Sans" w:hAnsi="Open Sans" w:cs="Open Sans"/>
          <w:sz w:val="24"/>
          <w:szCs w:val="24"/>
        </w:rPr>
        <w:t>).</w:t>
      </w:r>
      <w:r w:rsidRPr="00593313">
        <w:rPr>
          <w:rFonts w:ascii="Open Sans" w:hAnsi="Open Sans" w:cs="Open Sans"/>
          <w:sz w:val="24"/>
          <w:szCs w:val="24"/>
          <w:vertAlign w:val="superscript"/>
        </w:rPr>
        <w:endnoteReference w:id="2"/>
      </w:r>
      <w:r w:rsidRPr="00593313">
        <w:rPr>
          <w:rFonts w:ascii="Open Sans" w:hAnsi="Open Sans" w:cs="Open Sans"/>
          <w:sz w:val="24"/>
          <w:szCs w:val="24"/>
          <w:vertAlign w:val="superscript"/>
        </w:rPr>
        <w:t xml:space="preserve"> </w:t>
      </w:r>
      <w:r w:rsidRPr="00593313">
        <w:rPr>
          <w:rFonts w:ascii="Open Sans" w:hAnsi="Open Sans" w:cs="Open Sans"/>
          <w:sz w:val="24"/>
          <w:szCs w:val="24"/>
        </w:rPr>
        <w:t xml:space="preserve">As a result, there are limited avenues for an individual to challenge their detention. </w:t>
      </w:r>
    </w:p>
    <w:p w14:paraId="7E1130FC"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The Commission’s ability to inquire into human rights complaints, including arbitrary detention, is narrow in scope, being limited to a discretionary ‘act’ or ‘practice’ of the Commonwealth that is alleged to breach a person’s human rights.  </w:t>
      </w:r>
    </w:p>
    <w:p w14:paraId="74914235" w14:textId="23AC1E16"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In order to avoid detention being arbitrary under international human rights law, detention must be justified as reasonable, necessary, and proportionate on the basis of the individual’s particular circumstances. Furthermore, there is an obligation on the Commonwealth to demonstrate that there was not a less invasive way than </w:t>
      </w:r>
      <w:r w:rsidR="00126285">
        <w:rPr>
          <w:rFonts w:ascii="Open Sans" w:hAnsi="Open Sans" w:cs="Open Sans"/>
          <w:sz w:val="24"/>
          <w:szCs w:val="24"/>
        </w:rPr>
        <w:t xml:space="preserve">closed </w:t>
      </w:r>
      <w:r w:rsidRPr="00593313">
        <w:rPr>
          <w:rFonts w:ascii="Open Sans" w:hAnsi="Open Sans" w:cs="Open Sans"/>
          <w:sz w:val="24"/>
          <w:szCs w:val="24"/>
        </w:rPr>
        <w:t xml:space="preserve">detention to achieve the ends of the immigration policy, for example the imposition of reporting obligations, sureties or other conditions, in order to avoid the conclusion that detention was ‘arbitrary’. </w:t>
      </w:r>
    </w:p>
    <w:p w14:paraId="03A5E577"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The approach under current Government policy is contrary to what is required under human rights obligations Australia has committed to by ratifying the ICCPR. The Department conducts monthly case reviews that consider if a person’s placement in detention is justified. However, these reviews focus on whether there is any need for an individual to be released from detention, rather than whether it is necessary to continue to detain the individual for reasons specific to them, such as a risk of absconding or a threat to national security. </w:t>
      </w:r>
    </w:p>
    <w:p w14:paraId="0E60C39A"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In this case, Mr LF arrived in Australia on a student visa on 19 February 2017. In November 2017, he was charged with a number of offences. As a result of those charges, Mr LF’s student visa was cancelled under s 116(1)(e)(</w:t>
      </w:r>
      <w:proofErr w:type="spellStart"/>
      <w:r w:rsidRPr="00593313">
        <w:rPr>
          <w:rFonts w:ascii="Open Sans" w:hAnsi="Open Sans" w:cs="Open Sans"/>
          <w:sz w:val="24"/>
          <w:szCs w:val="24"/>
        </w:rPr>
        <w:t>i</w:t>
      </w:r>
      <w:proofErr w:type="spellEnd"/>
      <w:r w:rsidRPr="00593313">
        <w:rPr>
          <w:rFonts w:ascii="Open Sans" w:hAnsi="Open Sans" w:cs="Open Sans"/>
          <w:sz w:val="24"/>
          <w:szCs w:val="24"/>
        </w:rPr>
        <w:t xml:space="preserve">) of the </w:t>
      </w:r>
      <w:r w:rsidRPr="00593313">
        <w:rPr>
          <w:rFonts w:ascii="Open Sans" w:hAnsi="Open Sans" w:cs="Open Sans"/>
          <w:i/>
          <w:iCs/>
          <w:sz w:val="24"/>
          <w:szCs w:val="24"/>
        </w:rPr>
        <w:t>Migration Act 1958</w:t>
      </w:r>
      <w:r w:rsidRPr="00593313">
        <w:rPr>
          <w:rFonts w:ascii="Open Sans" w:hAnsi="Open Sans" w:cs="Open Sans"/>
          <w:sz w:val="24"/>
          <w:szCs w:val="24"/>
        </w:rPr>
        <w:t xml:space="preserve"> (</w:t>
      </w:r>
      <w:proofErr w:type="spellStart"/>
      <w:r w:rsidRPr="00593313">
        <w:rPr>
          <w:rFonts w:ascii="Open Sans" w:hAnsi="Open Sans" w:cs="Open Sans"/>
          <w:sz w:val="24"/>
          <w:szCs w:val="24"/>
        </w:rPr>
        <w:t>Cth</w:t>
      </w:r>
      <w:proofErr w:type="spellEnd"/>
      <w:r w:rsidRPr="00593313">
        <w:rPr>
          <w:rFonts w:ascii="Open Sans" w:hAnsi="Open Sans" w:cs="Open Sans"/>
          <w:sz w:val="24"/>
          <w:szCs w:val="24"/>
        </w:rPr>
        <w:t xml:space="preserve">) on 17 January 2018. </w:t>
      </w:r>
    </w:p>
    <w:p w14:paraId="313C955B"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lastRenderedPageBreak/>
        <w:t xml:space="preserve">Mr LF applied to the Administrative Appeals Tribunal (AAT) for review of the decision to cancel his student visa and was granted a Bridging Visa E (BVE). </w:t>
      </w:r>
    </w:p>
    <w:p w14:paraId="7C3A968D" w14:textId="4C303458"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On 12 February 2018, Mr LF’s BVE was cancelled and he was detained under </w:t>
      </w:r>
      <w:r w:rsidR="00126285" w:rsidRPr="00593313">
        <w:rPr>
          <w:rFonts w:ascii="Open Sans" w:hAnsi="Open Sans" w:cs="Open Sans"/>
          <w:sz w:val="24"/>
          <w:szCs w:val="24"/>
        </w:rPr>
        <w:t>s</w:t>
      </w:r>
      <w:r w:rsidR="00126285">
        <w:rPr>
          <w:rFonts w:ascii="Open Sans" w:hAnsi="Open Sans" w:cs="Open Sans"/>
          <w:sz w:val="24"/>
          <w:szCs w:val="24"/>
        </w:rPr>
        <w:t> </w:t>
      </w:r>
      <w:r w:rsidRPr="00593313">
        <w:rPr>
          <w:rFonts w:ascii="Open Sans" w:hAnsi="Open Sans" w:cs="Open Sans"/>
          <w:sz w:val="24"/>
          <w:szCs w:val="24"/>
        </w:rPr>
        <w:t xml:space="preserve">189(1) of the </w:t>
      </w:r>
      <w:r w:rsidRPr="00593313">
        <w:rPr>
          <w:rFonts w:ascii="Open Sans" w:hAnsi="Open Sans" w:cs="Open Sans"/>
          <w:i/>
          <w:iCs/>
          <w:sz w:val="24"/>
          <w:szCs w:val="24"/>
        </w:rPr>
        <w:t>Migration Act</w:t>
      </w:r>
      <w:r w:rsidRPr="00593313">
        <w:rPr>
          <w:rFonts w:ascii="Open Sans" w:hAnsi="Open Sans" w:cs="Open Sans"/>
          <w:sz w:val="24"/>
          <w:szCs w:val="24"/>
        </w:rPr>
        <w:t>.</w:t>
      </w:r>
    </w:p>
    <w:p w14:paraId="6EAE9EE6"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On 23 July 2018, the AAT affirmed the Minister’s decision to cancel Mr LF’s student visa and, on 30 August 2018, Mr LF applied to the Federal Circuit Court for judicial review of the AAT’s decision. </w:t>
      </w:r>
    </w:p>
    <w:p w14:paraId="3C12CB2D" w14:textId="20888C14"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On 12 October 2018, Mr LF was granted a BVE without application and released from immigration detention. </w:t>
      </w:r>
    </w:p>
    <w:p w14:paraId="38094D4C"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On 21 December 2018, the Federal Circuit Court remitted the matter back to the AAT for merits review. </w:t>
      </w:r>
    </w:p>
    <w:p w14:paraId="57E72F2E"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On 31 July 2019, the AAT set aside the Minister’s decision to cancel Mr LF’s student visa and substituted a decision not to cancel the visa.</w:t>
      </w:r>
    </w:p>
    <w:p w14:paraId="5B09D7FE"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Mr LF complains that his detention between 12 February 2018 and 12 October 2018 was arbitrary, and therefore inconsistent with or contrary to article 9(1) of the ICCPR.</w:t>
      </w:r>
      <w:r w:rsidRPr="00593313">
        <w:rPr>
          <w:rStyle w:val="EndnoteReference"/>
          <w:rFonts w:ascii="Open Sans" w:hAnsi="Open Sans" w:cs="Open Sans"/>
          <w:sz w:val="24"/>
          <w:szCs w:val="24"/>
        </w:rPr>
        <w:endnoteReference w:id="3"/>
      </w:r>
    </w:p>
    <w:p w14:paraId="23B014C6"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This inquiry is being undertaken pursuant to s 11(1)(f) of the AHRC Act</w:t>
      </w:r>
      <w:r w:rsidRPr="00593313">
        <w:rPr>
          <w:rFonts w:ascii="Open Sans" w:hAnsi="Open Sans" w:cs="Open Sans"/>
          <w:i/>
          <w:sz w:val="24"/>
          <w:szCs w:val="24"/>
        </w:rPr>
        <w:t>.</w:t>
      </w:r>
      <w:r w:rsidRPr="00593313">
        <w:rPr>
          <w:rFonts w:ascii="Open Sans" w:hAnsi="Open Sans" w:cs="Open Sans"/>
          <w:sz w:val="24"/>
          <w:szCs w:val="24"/>
        </w:rPr>
        <w:t xml:space="preserve"> </w:t>
      </w:r>
    </w:p>
    <w:p w14:paraId="3519C02E" w14:textId="54787813" w:rsidR="00824071" w:rsidRPr="00593313" w:rsidRDefault="00824071" w:rsidP="00824071">
      <w:pPr>
        <w:pStyle w:val="SubmissionNormal"/>
        <w:numPr>
          <w:ilvl w:val="0"/>
          <w:numId w:val="3"/>
        </w:numPr>
        <w:rPr>
          <w:rFonts w:ascii="Open Sans" w:hAnsi="Open Sans" w:cs="Open Sans"/>
        </w:rPr>
      </w:pPr>
      <w:r w:rsidRPr="00593313">
        <w:rPr>
          <w:rFonts w:ascii="Open Sans" w:hAnsi="Open Sans" w:cs="Open Sans"/>
        </w:rPr>
        <w:t xml:space="preserve">This </w:t>
      </w:r>
      <w:r w:rsidR="002018CC">
        <w:rPr>
          <w:rFonts w:ascii="Open Sans" w:hAnsi="Open Sans" w:cs="Open Sans"/>
        </w:rPr>
        <w:t>report</w:t>
      </w:r>
      <w:r w:rsidRPr="00593313">
        <w:rPr>
          <w:rFonts w:ascii="Open Sans" w:hAnsi="Open Sans" w:cs="Open Sans"/>
        </w:rPr>
        <w:t xml:space="preserve"> is issued pursuant to s 29(2) of the AHRC Act setting out the findings of the Commission in relation to Mr LF’s complaint.</w:t>
      </w:r>
    </w:p>
    <w:p w14:paraId="37EE6CCB" w14:textId="77777777" w:rsidR="00824071" w:rsidRPr="00593313" w:rsidRDefault="00824071" w:rsidP="00824071">
      <w:pPr>
        <w:pStyle w:val="ListParagraph"/>
        <w:numPr>
          <w:ilvl w:val="0"/>
          <w:numId w:val="3"/>
        </w:numPr>
        <w:rPr>
          <w:rFonts w:ascii="Open Sans" w:hAnsi="Open Sans" w:cs="Open Sans"/>
          <w:spacing w:val="0"/>
          <w:szCs w:val="24"/>
          <w:lang w:eastAsia="en-AU"/>
        </w:rPr>
      </w:pPr>
      <w:r w:rsidRPr="00593313">
        <w:rPr>
          <w:rFonts w:ascii="Open Sans" w:hAnsi="Open Sans" w:cs="Open Sans"/>
          <w:spacing w:val="0"/>
          <w:szCs w:val="24"/>
          <w:lang w:eastAsia="en-AU"/>
        </w:rPr>
        <w:t xml:space="preserve">Mr LF has requested that his name not be published in connection with this inquiry. I consider that the preservation of his anonymity is necessary to protect his human rights. Accordingly, I have given a direction under s 14(2) of the AHRC Act and refer to the complainant as Mr ‘LF’ in this document. </w:t>
      </w:r>
    </w:p>
    <w:p w14:paraId="50D0778B" w14:textId="77777777" w:rsidR="00824071" w:rsidRPr="00FC1628" w:rsidRDefault="00824071" w:rsidP="00824071">
      <w:pPr>
        <w:pStyle w:val="Heading1"/>
        <w:tabs>
          <w:tab w:val="clear" w:pos="9781"/>
          <w:tab w:val="left" w:pos="720"/>
          <w:tab w:val="left" w:pos="7200"/>
        </w:tabs>
        <w:ind w:left="720" w:right="22" w:hanging="720"/>
        <w:rPr>
          <w:rFonts w:ascii="Open Sans" w:hAnsi="Open Sans" w:cs="Open Sans"/>
        </w:rPr>
      </w:pPr>
      <w:bookmarkStart w:id="28" w:name="_Toc57217331"/>
      <w:bookmarkStart w:id="29" w:name="_Toc4159040"/>
      <w:r w:rsidRPr="00FC1628">
        <w:rPr>
          <w:rFonts w:ascii="Open Sans" w:hAnsi="Open Sans" w:cs="Open Sans"/>
        </w:rPr>
        <w:t>Summary of findings and</w:t>
      </w:r>
      <w:r>
        <w:rPr>
          <w:rFonts w:ascii="Open Sans" w:hAnsi="Open Sans" w:cs="Open Sans"/>
        </w:rPr>
        <w:t xml:space="preserve"> </w:t>
      </w:r>
      <w:r w:rsidRPr="00FC1628">
        <w:rPr>
          <w:rFonts w:ascii="Open Sans" w:hAnsi="Open Sans" w:cs="Open Sans"/>
        </w:rPr>
        <w:t>recommendations</w:t>
      </w:r>
      <w:bookmarkEnd w:id="28"/>
    </w:p>
    <w:p w14:paraId="6886FA7E" w14:textId="77777777" w:rsidR="00824071" w:rsidRPr="00593313" w:rsidRDefault="00824071" w:rsidP="00824071">
      <w:pPr>
        <w:keepNext/>
        <w:numPr>
          <w:ilvl w:val="0"/>
          <w:numId w:val="3"/>
        </w:numPr>
        <w:tabs>
          <w:tab w:val="clear" w:pos="720"/>
          <w:tab w:val="num" w:pos="1080"/>
        </w:tabs>
        <w:spacing w:before="240" w:after="240" w:line="240" w:lineRule="auto"/>
        <w:rPr>
          <w:rFonts w:ascii="Open Sans" w:hAnsi="Open Sans" w:cs="Open Sans"/>
          <w:sz w:val="24"/>
          <w:szCs w:val="24"/>
        </w:rPr>
      </w:pPr>
      <w:r w:rsidRPr="00593313">
        <w:rPr>
          <w:rFonts w:ascii="Open Sans" w:hAnsi="Open Sans" w:cs="Open Sans"/>
          <w:sz w:val="24"/>
          <w:szCs w:val="24"/>
        </w:rPr>
        <w:t xml:space="preserve">As a result of this inquiry, I find that the decision of the Department not to invite the Minister to consider exercising his discretion under s 195A and s 197AB for the periods of Mr LF’s detention from 12 February 2018 to 16 May 2018 and 27 June 2018 to 7 September 2018 contributed to the continued detention of Mr LF, without consideration of whether that detention was justified in the particular circumstances of Mr LF’s case, and was inconsistent with or contrary to article 9(1) of the ICCPR. </w:t>
      </w:r>
    </w:p>
    <w:p w14:paraId="28249694" w14:textId="77777777" w:rsidR="00AF0154" w:rsidRDefault="00AF0154" w:rsidP="00AF0154">
      <w:pPr>
        <w:pStyle w:val="ListParagraph"/>
        <w:spacing w:before="240" w:after="240"/>
        <w:contextualSpacing w:val="0"/>
        <w:rPr>
          <w:rFonts w:ascii="Open Sans" w:hAnsi="Open Sans" w:cs="Open Sans"/>
          <w:szCs w:val="24"/>
        </w:rPr>
      </w:pPr>
    </w:p>
    <w:p w14:paraId="1D449C4D" w14:textId="70EF51DE" w:rsidR="00824071" w:rsidRPr="00593313" w:rsidRDefault="00824071" w:rsidP="00824071">
      <w:pPr>
        <w:pStyle w:val="ListParagraph"/>
        <w:numPr>
          <w:ilvl w:val="0"/>
          <w:numId w:val="3"/>
        </w:numPr>
        <w:spacing w:before="240" w:after="240"/>
        <w:contextualSpacing w:val="0"/>
        <w:rPr>
          <w:rFonts w:ascii="Open Sans" w:hAnsi="Open Sans" w:cs="Open Sans"/>
          <w:szCs w:val="24"/>
        </w:rPr>
      </w:pPr>
      <w:r w:rsidRPr="00593313">
        <w:rPr>
          <w:rFonts w:ascii="Open Sans" w:hAnsi="Open Sans" w:cs="Open Sans"/>
          <w:szCs w:val="24"/>
        </w:rPr>
        <w:lastRenderedPageBreak/>
        <w:t>I make the following recommendation:</w:t>
      </w:r>
    </w:p>
    <w:p w14:paraId="6C2CF85B" w14:textId="77777777" w:rsidR="00824071" w:rsidRPr="00593313" w:rsidRDefault="00824071" w:rsidP="00824071">
      <w:pPr>
        <w:spacing w:before="240" w:after="240"/>
        <w:ind w:left="720"/>
        <w:rPr>
          <w:rFonts w:ascii="Open Sans" w:hAnsi="Open Sans" w:cs="Open Sans"/>
          <w:b/>
          <w:bCs/>
          <w:sz w:val="24"/>
          <w:szCs w:val="24"/>
        </w:rPr>
      </w:pPr>
      <w:r w:rsidRPr="00593313">
        <w:rPr>
          <w:rFonts w:ascii="Open Sans" w:hAnsi="Open Sans" w:cs="Open Sans"/>
          <w:b/>
          <w:bCs/>
          <w:sz w:val="24"/>
          <w:szCs w:val="24"/>
        </w:rPr>
        <w:t xml:space="preserve">Recommendation </w:t>
      </w:r>
    </w:p>
    <w:p w14:paraId="1440B8B7" w14:textId="77777777" w:rsidR="00824071" w:rsidRPr="00593313" w:rsidRDefault="00824071" w:rsidP="00824071">
      <w:pPr>
        <w:pStyle w:val="ListParagraph"/>
        <w:spacing w:before="240" w:after="240"/>
        <w:rPr>
          <w:rFonts w:ascii="Open Sans" w:hAnsi="Open Sans" w:cs="Open Sans"/>
          <w:szCs w:val="24"/>
        </w:rPr>
      </w:pPr>
      <w:r w:rsidRPr="00593313">
        <w:rPr>
          <w:rFonts w:ascii="Open Sans" w:hAnsi="Open Sans" w:cs="Open Sans"/>
          <w:szCs w:val="24"/>
        </w:rPr>
        <w:t xml:space="preserve">The Department should regularly conduct open periodic reviews of the necessity of detention for people in immigration detention centres. The reviews should focus on whether detention in an immigration detention centre is necessary in the specific case and, if detention is not considered necessary, the identification of alternate means of detention or the grant of a visa should be considered. </w:t>
      </w:r>
    </w:p>
    <w:p w14:paraId="11FB0F7D" w14:textId="77777777" w:rsidR="00824071" w:rsidRPr="004133A9" w:rsidRDefault="00824071" w:rsidP="00824071">
      <w:pPr>
        <w:pStyle w:val="Heading1"/>
        <w:tabs>
          <w:tab w:val="clear" w:pos="9781"/>
        </w:tabs>
        <w:ind w:left="720" w:hanging="720"/>
        <w:rPr>
          <w:rFonts w:ascii="Open Sans" w:hAnsi="Open Sans" w:cs="Open Sans"/>
        </w:rPr>
      </w:pPr>
      <w:bookmarkStart w:id="30" w:name="_Toc498937192"/>
      <w:bookmarkStart w:id="31" w:name="_Toc57217332"/>
      <w:bookmarkEnd w:id="30"/>
      <w:r w:rsidRPr="00E95FE0">
        <w:rPr>
          <w:rFonts w:ascii="Open Sans" w:hAnsi="Open Sans" w:cs="Open Sans"/>
        </w:rPr>
        <w:t>Background</w:t>
      </w:r>
      <w:bookmarkEnd w:id="29"/>
      <w:bookmarkEnd w:id="31"/>
    </w:p>
    <w:p w14:paraId="678DDB11"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Mr LF is a national of Bangladesh. He arrived in Australia on 19 February 2017 on a student visa. </w:t>
      </w:r>
    </w:p>
    <w:p w14:paraId="4819FEE8"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On 16 November 2017, Mr LF was charged with four counts of ‘assault with act of indecency’, one count of common assault and three counts of ‘behave in an offensive manner in/near a public place/school’. Because of those charges, Mr LF’s student visa was cancelled on 17 January 2018 under s 116(1)(e)(</w:t>
      </w:r>
      <w:proofErr w:type="spellStart"/>
      <w:r w:rsidRPr="00593313">
        <w:rPr>
          <w:rFonts w:ascii="Open Sans" w:hAnsi="Open Sans" w:cs="Open Sans"/>
          <w:sz w:val="24"/>
          <w:szCs w:val="28"/>
        </w:rPr>
        <w:t>i</w:t>
      </w:r>
      <w:proofErr w:type="spellEnd"/>
      <w:r w:rsidRPr="00593313">
        <w:rPr>
          <w:rFonts w:ascii="Open Sans" w:hAnsi="Open Sans" w:cs="Open Sans"/>
          <w:sz w:val="24"/>
          <w:szCs w:val="28"/>
        </w:rPr>
        <w:t xml:space="preserve">) of the </w:t>
      </w:r>
      <w:r w:rsidRPr="00593313">
        <w:rPr>
          <w:rFonts w:ascii="Open Sans" w:hAnsi="Open Sans" w:cs="Open Sans"/>
          <w:i/>
          <w:sz w:val="24"/>
          <w:szCs w:val="28"/>
        </w:rPr>
        <w:t xml:space="preserve">Migration Act 1958 </w:t>
      </w:r>
      <w:r w:rsidRPr="00593313">
        <w:rPr>
          <w:rFonts w:ascii="Open Sans" w:hAnsi="Open Sans" w:cs="Open Sans"/>
          <w:sz w:val="24"/>
          <w:szCs w:val="28"/>
        </w:rPr>
        <w:t>(</w:t>
      </w:r>
      <w:proofErr w:type="spellStart"/>
      <w:r w:rsidRPr="00593313">
        <w:rPr>
          <w:rFonts w:ascii="Open Sans" w:hAnsi="Open Sans" w:cs="Open Sans"/>
          <w:sz w:val="24"/>
          <w:szCs w:val="28"/>
        </w:rPr>
        <w:t>Cth</w:t>
      </w:r>
      <w:proofErr w:type="spellEnd"/>
      <w:r w:rsidRPr="00593313">
        <w:rPr>
          <w:rFonts w:ascii="Open Sans" w:hAnsi="Open Sans" w:cs="Open Sans"/>
          <w:sz w:val="24"/>
          <w:szCs w:val="28"/>
        </w:rPr>
        <w:t>).</w:t>
      </w:r>
    </w:p>
    <w:p w14:paraId="2854DB0E"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20 January 2018, Mr LF applied to the AAT for merits review of the decision to cancel his student visa. On 23 January 2018, Mr LF was granted a BVE and he remained in the community. </w:t>
      </w:r>
    </w:p>
    <w:p w14:paraId="5A647A95" w14:textId="619FA136" w:rsidR="00824071" w:rsidRPr="00593313" w:rsidRDefault="00824071" w:rsidP="00824071">
      <w:pPr>
        <w:numPr>
          <w:ilvl w:val="0"/>
          <w:numId w:val="3"/>
        </w:numPr>
        <w:spacing w:before="240" w:after="240" w:line="240" w:lineRule="auto"/>
        <w:rPr>
          <w:rFonts w:ascii="Open Sans" w:hAnsi="Open Sans" w:cs="Open Sans"/>
          <w:sz w:val="24"/>
          <w:szCs w:val="28"/>
        </w:rPr>
      </w:pPr>
      <w:bookmarkStart w:id="32" w:name="_Ref37313462"/>
      <w:r w:rsidRPr="00593313">
        <w:rPr>
          <w:rFonts w:ascii="Open Sans" w:hAnsi="Open Sans" w:cs="Open Sans"/>
          <w:sz w:val="24"/>
          <w:szCs w:val="28"/>
        </w:rPr>
        <w:t xml:space="preserve">On 12 February 2018, Mr LF’s BVE was cancelled under s 116(1)(g) of the </w:t>
      </w:r>
      <w:r w:rsidRPr="00593313">
        <w:rPr>
          <w:rFonts w:ascii="Open Sans" w:hAnsi="Open Sans" w:cs="Open Sans"/>
          <w:i/>
          <w:iCs/>
          <w:sz w:val="24"/>
          <w:szCs w:val="28"/>
        </w:rPr>
        <w:t>Migration Act</w:t>
      </w:r>
      <w:r w:rsidRPr="00593313">
        <w:rPr>
          <w:rFonts w:ascii="Open Sans" w:hAnsi="Open Sans" w:cs="Open Sans"/>
          <w:sz w:val="24"/>
          <w:szCs w:val="28"/>
        </w:rPr>
        <w:t xml:space="preserve"> and r 2.43(1)(p)(ii) of the </w:t>
      </w:r>
      <w:r w:rsidRPr="00593313">
        <w:rPr>
          <w:rFonts w:ascii="Open Sans" w:hAnsi="Open Sans" w:cs="Open Sans"/>
          <w:i/>
          <w:iCs/>
          <w:sz w:val="24"/>
          <w:szCs w:val="28"/>
        </w:rPr>
        <w:t>Migration Regulations 1994</w:t>
      </w:r>
      <w:r w:rsidRPr="00593313">
        <w:rPr>
          <w:rFonts w:ascii="Open Sans" w:hAnsi="Open Sans" w:cs="Open Sans"/>
          <w:sz w:val="24"/>
          <w:szCs w:val="28"/>
        </w:rPr>
        <w:t xml:space="preserve"> (</w:t>
      </w:r>
      <w:proofErr w:type="spellStart"/>
      <w:r w:rsidRPr="00593313">
        <w:rPr>
          <w:rFonts w:ascii="Open Sans" w:hAnsi="Open Sans" w:cs="Open Sans"/>
          <w:sz w:val="24"/>
          <w:szCs w:val="28"/>
        </w:rPr>
        <w:t>Cth</w:t>
      </w:r>
      <w:proofErr w:type="spellEnd"/>
      <w:r w:rsidRPr="00593313">
        <w:rPr>
          <w:rFonts w:ascii="Open Sans" w:hAnsi="Open Sans" w:cs="Open Sans"/>
          <w:sz w:val="24"/>
          <w:szCs w:val="28"/>
        </w:rPr>
        <w:t xml:space="preserve">), which provides for cancellation of a visa where the holder has been charged with an offence. As a result, Mr LF was detained and transferred to Villawood </w:t>
      </w:r>
      <w:r w:rsidR="000512DE">
        <w:rPr>
          <w:rFonts w:ascii="Open Sans" w:hAnsi="Open Sans" w:cs="Open Sans"/>
          <w:sz w:val="24"/>
          <w:szCs w:val="28"/>
        </w:rPr>
        <w:t xml:space="preserve">Immigration </w:t>
      </w:r>
      <w:r w:rsidRPr="00593313">
        <w:rPr>
          <w:rFonts w:ascii="Open Sans" w:hAnsi="Open Sans" w:cs="Open Sans"/>
          <w:sz w:val="24"/>
          <w:szCs w:val="28"/>
        </w:rPr>
        <w:t>Detention Facility (VIDF).</w:t>
      </w:r>
      <w:bookmarkEnd w:id="32"/>
      <w:r w:rsidRPr="00593313">
        <w:rPr>
          <w:rFonts w:ascii="Open Sans" w:hAnsi="Open Sans" w:cs="Open Sans"/>
          <w:sz w:val="24"/>
          <w:szCs w:val="28"/>
        </w:rPr>
        <w:t xml:space="preserve"> </w:t>
      </w:r>
    </w:p>
    <w:p w14:paraId="5BBF7F71" w14:textId="77777777" w:rsidR="00824071" w:rsidRPr="00593313" w:rsidRDefault="00824071" w:rsidP="00824071">
      <w:pPr>
        <w:numPr>
          <w:ilvl w:val="0"/>
          <w:numId w:val="3"/>
        </w:numPr>
        <w:spacing w:before="240" w:after="240" w:line="240" w:lineRule="auto"/>
        <w:rPr>
          <w:rFonts w:ascii="Open Sans" w:hAnsi="Open Sans" w:cs="Open Sans"/>
          <w:sz w:val="24"/>
          <w:szCs w:val="28"/>
        </w:rPr>
      </w:pPr>
      <w:bookmarkStart w:id="33" w:name="_Ref37750875"/>
      <w:r w:rsidRPr="00593313">
        <w:rPr>
          <w:rFonts w:ascii="Open Sans" w:hAnsi="Open Sans" w:cs="Open Sans"/>
          <w:sz w:val="24"/>
          <w:szCs w:val="28"/>
        </w:rPr>
        <w:t xml:space="preserve">On 14 February 2018, Mr LF lodged an application for a BVE. However, the application was deemed invalid for failing to meet Item 1305(3)(g) of Schedule 1 of the </w:t>
      </w:r>
      <w:r w:rsidRPr="00593313">
        <w:rPr>
          <w:rFonts w:ascii="Open Sans" w:hAnsi="Open Sans" w:cs="Open Sans"/>
          <w:i/>
          <w:iCs/>
          <w:sz w:val="24"/>
          <w:szCs w:val="28"/>
        </w:rPr>
        <w:t>Migration Regulations</w:t>
      </w:r>
      <w:r w:rsidRPr="00593313">
        <w:rPr>
          <w:rFonts w:ascii="Open Sans" w:hAnsi="Open Sans" w:cs="Open Sans"/>
          <w:sz w:val="24"/>
          <w:szCs w:val="28"/>
        </w:rPr>
        <w:t xml:space="preserve">, a requirement that the applicant has not previously held a visa which was cancelled on a ground specified in r 2.43(1)(p). As set out in paragraph </w:t>
      </w:r>
      <w:r w:rsidRPr="00593313">
        <w:rPr>
          <w:rFonts w:ascii="Open Sans" w:hAnsi="Open Sans" w:cs="Open Sans"/>
          <w:sz w:val="24"/>
          <w:szCs w:val="28"/>
        </w:rPr>
        <w:fldChar w:fldCharType="begin"/>
      </w:r>
      <w:r w:rsidRPr="00593313">
        <w:rPr>
          <w:rFonts w:ascii="Open Sans" w:hAnsi="Open Sans" w:cs="Open Sans"/>
          <w:sz w:val="24"/>
          <w:szCs w:val="28"/>
        </w:rPr>
        <w:instrText xml:space="preserve"> REF _Ref37313462 \r \h </w:instrText>
      </w:r>
      <w:r>
        <w:rPr>
          <w:rFonts w:ascii="Open Sans" w:hAnsi="Open Sans" w:cs="Open Sans"/>
          <w:sz w:val="24"/>
          <w:szCs w:val="28"/>
        </w:rPr>
        <w:instrText xml:space="preserve"> \* MERGEFORMAT </w:instrText>
      </w:r>
      <w:r w:rsidRPr="00593313">
        <w:rPr>
          <w:rFonts w:ascii="Open Sans" w:hAnsi="Open Sans" w:cs="Open Sans"/>
          <w:sz w:val="24"/>
          <w:szCs w:val="28"/>
        </w:rPr>
      </w:r>
      <w:r w:rsidRPr="00593313">
        <w:rPr>
          <w:rFonts w:ascii="Open Sans" w:hAnsi="Open Sans" w:cs="Open Sans"/>
          <w:sz w:val="24"/>
          <w:szCs w:val="28"/>
        </w:rPr>
        <w:fldChar w:fldCharType="separate"/>
      </w:r>
      <w:r w:rsidRPr="00593313">
        <w:rPr>
          <w:rFonts w:ascii="Open Sans" w:hAnsi="Open Sans" w:cs="Open Sans"/>
          <w:sz w:val="24"/>
          <w:szCs w:val="28"/>
        </w:rPr>
        <w:t>22</w:t>
      </w:r>
      <w:r w:rsidRPr="00593313">
        <w:rPr>
          <w:rFonts w:ascii="Open Sans" w:hAnsi="Open Sans" w:cs="Open Sans"/>
          <w:sz w:val="24"/>
          <w:szCs w:val="28"/>
        </w:rPr>
        <w:fldChar w:fldCharType="end"/>
      </w:r>
      <w:r w:rsidRPr="00593313">
        <w:rPr>
          <w:rFonts w:ascii="Open Sans" w:hAnsi="Open Sans" w:cs="Open Sans"/>
          <w:sz w:val="24"/>
          <w:szCs w:val="28"/>
        </w:rPr>
        <w:t xml:space="preserve"> above, Mr LF’s BVE had been cancelled pursuant to r 2.43(1)(p)(ii) of the </w:t>
      </w:r>
      <w:r w:rsidRPr="00593313">
        <w:rPr>
          <w:rFonts w:ascii="Open Sans" w:hAnsi="Open Sans" w:cs="Open Sans"/>
          <w:i/>
          <w:iCs/>
          <w:sz w:val="24"/>
          <w:szCs w:val="28"/>
        </w:rPr>
        <w:t>Migration Regulations</w:t>
      </w:r>
      <w:r w:rsidRPr="00593313">
        <w:rPr>
          <w:rFonts w:ascii="Open Sans" w:hAnsi="Open Sans" w:cs="Open Sans"/>
          <w:sz w:val="24"/>
          <w:szCs w:val="28"/>
        </w:rPr>
        <w:t>.</w:t>
      </w:r>
      <w:bookmarkEnd w:id="33"/>
      <w:r w:rsidRPr="00593313">
        <w:rPr>
          <w:rFonts w:ascii="Open Sans" w:hAnsi="Open Sans" w:cs="Open Sans"/>
          <w:sz w:val="24"/>
          <w:szCs w:val="28"/>
        </w:rPr>
        <w:t xml:space="preserve"> </w:t>
      </w:r>
    </w:p>
    <w:p w14:paraId="5C88FFAB"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16 May 2018, Mr LF was convicted of three counts of ‘assault with act of indecency’ and acquitted of the charge of common assault, with the remaining charges being withdrawn. He was sentenced to 12 months’ imprisonment with a non-parole period of nine months and transferred to criminal custody. </w:t>
      </w:r>
    </w:p>
    <w:p w14:paraId="0EC5395C"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lastRenderedPageBreak/>
        <w:t xml:space="preserve">On 27 June 2018, Mr LF was released from criminal custody on bail pending the outcome of his appeal against his criminal convictions and was detained under s 189(1) of the </w:t>
      </w:r>
      <w:r w:rsidRPr="00593313">
        <w:rPr>
          <w:rFonts w:ascii="Open Sans" w:hAnsi="Open Sans" w:cs="Open Sans"/>
          <w:i/>
          <w:iCs/>
          <w:sz w:val="24"/>
          <w:szCs w:val="28"/>
        </w:rPr>
        <w:t>Migration Act</w:t>
      </w:r>
      <w:r w:rsidRPr="00593313">
        <w:rPr>
          <w:rFonts w:ascii="Open Sans" w:hAnsi="Open Sans" w:cs="Open Sans"/>
          <w:sz w:val="24"/>
          <w:szCs w:val="28"/>
        </w:rPr>
        <w:t xml:space="preserve"> and transferred to VIDF.</w:t>
      </w:r>
    </w:p>
    <w:p w14:paraId="3F364A06"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23 July 2018, the AAT affirmed the Minister’s decision to cancel Mr LF’s student visa after refusing to grant an adjournment pending the outcome of Mr LF’s appeal against his criminal convictions. </w:t>
      </w:r>
    </w:p>
    <w:p w14:paraId="20C2AC96"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On 30 August 2018, Mr LF applied to the Federal Circuit Court for review of the AAT’s decision to affirm the Minister’s decision to cancel his student visa while the appeal against his convictions remained unresolved.</w:t>
      </w:r>
    </w:p>
    <w:p w14:paraId="6763B940"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7 September 2018, Mr LF’s appeal against his criminal convictions was successful and his criminal charges were dismissed. </w:t>
      </w:r>
    </w:p>
    <w:p w14:paraId="77C6C661"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10 September 2018, Mr LF lodged a request for Ministerial Intervention pursuant to s 351 of the </w:t>
      </w:r>
      <w:r w:rsidRPr="00593313">
        <w:rPr>
          <w:rFonts w:ascii="Open Sans" w:hAnsi="Open Sans" w:cs="Open Sans"/>
          <w:i/>
          <w:iCs/>
          <w:sz w:val="24"/>
          <w:szCs w:val="28"/>
        </w:rPr>
        <w:t xml:space="preserve">Migration Act, </w:t>
      </w:r>
      <w:r w:rsidRPr="00593313">
        <w:rPr>
          <w:rFonts w:ascii="Open Sans" w:hAnsi="Open Sans" w:cs="Open Sans"/>
          <w:sz w:val="24"/>
          <w:szCs w:val="28"/>
        </w:rPr>
        <w:t xml:space="preserve">which allows the Minister to substitute a more favourable decision for the decision of the Tribunal in relation to the cancellation of his student visa. </w:t>
      </w:r>
    </w:p>
    <w:p w14:paraId="1FB57A4A"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20 September 2018, Mr LF lodged two applications for a BVE, one of which was deemed invalid under Item 1305(3)(a) of Schedule 1 of the </w:t>
      </w:r>
      <w:r w:rsidRPr="00593313">
        <w:rPr>
          <w:rFonts w:ascii="Open Sans" w:hAnsi="Open Sans" w:cs="Open Sans"/>
          <w:i/>
          <w:iCs/>
          <w:sz w:val="24"/>
          <w:szCs w:val="28"/>
        </w:rPr>
        <w:t xml:space="preserve">Migration Regulations </w:t>
      </w:r>
      <w:r w:rsidRPr="00593313">
        <w:rPr>
          <w:rFonts w:ascii="Open Sans" w:hAnsi="Open Sans" w:cs="Open Sans"/>
          <w:sz w:val="24"/>
          <w:szCs w:val="28"/>
        </w:rPr>
        <w:t xml:space="preserve">on the same day. That provision requires the visa application to be made in an approved form, in a specified way and at a specified place. The second application was deemed invalid on the following day pursuant to Item 1305(3)(g) of Schedule 1 of the </w:t>
      </w:r>
      <w:r w:rsidRPr="00593313">
        <w:rPr>
          <w:rFonts w:ascii="Open Sans" w:hAnsi="Open Sans" w:cs="Open Sans"/>
          <w:i/>
          <w:iCs/>
          <w:sz w:val="24"/>
          <w:szCs w:val="28"/>
        </w:rPr>
        <w:t xml:space="preserve">Migration Regulations. </w:t>
      </w:r>
      <w:r w:rsidRPr="00593313">
        <w:rPr>
          <w:rFonts w:ascii="Open Sans" w:hAnsi="Open Sans" w:cs="Open Sans"/>
          <w:sz w:val="24"/>
          <w:szCs w:val="28"/>
        </w:rPr>
        <w:t xml:space="preserve">As set out above in paragraph </w:t>
      </w:r>
      <w:r w:rsidRPr="00593313">
        <w:rPr>
          <w:rFonts w:ascii="Open Sans" w:hAnsi="Open Sans" w:cs="Open Sans"/>
          <w:sz w:val="24"/>
          <w:szCs w:val="28"/>
        </w:rPr>
        <w:fldChar w:fldCharType="begin"/>
      </w:r>
      <w:r w:rsidRPr="00593313">
        <w:rPr>
          <w:rFonts w:ascii="Open Sans" w:hAnsi="Open Sans" w:cs="Open Sans"/>
          <w:sz w:val="24"/>
          <w:szCs w:val="28"/>
        </w:rPr>
        <w:instrText xml:space="preserve"> REF _Ref37750875 \r \h </w:instrText>
      </w:r>
      <w:r>
        <w:rPr>
          <w:rFonts w:ascii="Open Sans" w:hAnsi="Open Sans" w:cs="Open Sans"/>
          <w:sz w:val="24"/>
          <w:szCs w:val="28"/>
        </w:rPr>
        <w:instrText xml:space="preserve"> \* MERGEFORMAT </w:instrText>
      </w:r>
      <w:r w:rsidRPr="00593313">
        <w:rPr>
          <w:rFonts w:ascii="Open Sans" w:hAnsi="Open Sans" w:cs="Open Sans"/>
          <w:sz w:val="24"/>
          <w:szCs w:val="28"/>
        </w:rPr>
      </w:r>
      <w:r w:rsidRPr="00593313">
        <w:rPr>
          <w:rFonts w:ascii="Open Sans" w:hAnsi="Open Sans" w:cs="Open Sans"/>
          <w:sz w:val="24"/>
          <w:szCs w:val="28"/>
        </w:rPr>
        <w:fldChar w:fldCharType="separate"/>
      </w:r>
      <w:r w:rsidRPr="00593313">
        <w:rPr>
          <w:rFonts w:ascii="Open Sans" w:hAnsi="Open Sans" w:cs="Open Sans"/>
          <w:sz w:val="24"/>
          <w:szCs w:val="28"/>
        </w:rPr>
        <w:t>23</w:t>
      </w:r>
      <w:r w:rsidRPr="00593313">
        <w:rPr>
          <w:rFonts w:ascii="Open Sans" w:hAnsi="Open Sans" w:cs="Open Sans"/>
          <w:sz w:val="24"/>
          <w:szCs w:val="28"/>
        </w:rPr>
        <w:fldChar w:fldCharType="end"/>
      </w:r>
      <w:r w:rsidRPr="00593313">
        <w:rPr>
          <w:rFonts w:ascii="Open Sans" w:hAnsi="Open Sans" w:cs="Open Sans"/>
          <w:sz w:val="24"/>
          <w:szCs w:val="28"/>
        </w:rPr>
        <w:t xml:space="preserve">, this provision requires that the applicant has not previously held a visa which was cancelled on a ground specified in r 2.43(1)(p). </w:t>
      </w:r>
    </w:p>
    <w:p w14:paraId="102136E3"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25 September 2018, Mr LF’s request for Ministerial Intervention pursuant to s 351 of the </w:t>
      </w:r>
      <w:r w:rsidRPr="00593313">
        <w:rPr>
          <w:rFonts w:ascii="Open Sans" w:hAnsi="Open Sans" w:cs="Open Sans"/>
          <w:i/>
          <w:iCs/>
          <w:sz w:val="24"/>
          <w:szCs w:val="28"/>
        </w:rPr>
        <w:t>Migration Act</w:t>
      </w:r>
      <w:r w:rsidRPr="00593313">
        <w:rPr>
          <w:rFonts w:ascii="Open Sans" w:hAnsi="Open Sans" w:cs="Open Sans"/>
          <w:sz w:val="24"/>
          <w:szCs w:val="28"/>
        </w:rPr>
        <w:t xml:space="preserve"> was found not to have met the guidelines for referral to the Minister. </w:t>
      </w:r>
    </w:p>
    <w:p w14:paraId="6543594F"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10 October 2018, Mr LF requested Ministerial intervention pursuant to s 195A of the </w:t>
      </w:r>
      <w:r w:rsidRPr="00593313">
        <w:rPr>
          <w:rFonts w:ascii="Open Sans" w:hAnsi="Open Sans" w:cs="Open Sans"/>
          <w:i/>
          <w:iCs/>
          <w:sz w:val="24"/>
          <w:szCs w:val="28"/>
        </w:rPr>
        <w:t>Migration Act</w:t>
      </w:r>
      <w:r w:rsidRPr="00593313">
        <w:rPr>
          <w:rFonts w:ascii="Open Sans" w:hAnsi="Open Sans" w:cs="Open Sans"/>
          <w:sz w:val="24"/>
          <w:szCs w:val="28"/>
        </w:rPr>
        <w:t>, which allows the Minister to exercise his discretion to grant a visa to a person in immigration detention, subject to any conditions necessary to take into account their specific circumstances.</w:t>
      </w:r>
    </w:p>
    <w:p w14:paraId="63C62A67"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12 October 2018, Mr LF was granted a BVE without application pursuant to r 2.25 of the </w:t>
      </w:r>
      <w:r w:rsidRPr="00593313">
        <w:rPr>
          <w:rFonts w:ascii="Open Sans" w:hAnsi="Open Sans" w:cs="Open Sans"/>
          <w:i/>
          <w:iCs/>
          <w:sz w:val="24"/>
          <w:szCs w:val="28"/>
        </w:rPr>
        <w:t>Migration Regulations</w:t>
      </w:r>
      <w:r w:rsidRPr="00593313">
        <w:rPr>
          <w:rFonts w:ascii="Open Sans" w:hAnsi="Open Sans" w:cs="Open Sans"/>
          <w:sz w:val="24"/>
          <w:szCs w:val="28"/>
        </w:rPr>
        <w:t xml:space="preserve"> and was released from detention. </w:t>
      </w:r>
    </w:p>
    <w:p w14:paraId="4455912D"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19 December 2018, the Minister withdrew from the Federal Circuit Court judicial review proceedings, accepting that the decision of the AAT was affected by jurisdictional error as a result of its decision to refuse to </w:t>
      </w:r>
      <w:r w:rsidRPr="00593313">
        <w:rPr>
          <w:rFonts w:ascii="Open Sans" w:hAnsi="Open Sans" w:cs="Open Sans"/>
          <w:sz w:val="24"/>
          <w:szCs w:val="28"/>
        </w:rPr>
        <w:lastRenderedPageBreak/>
        <w:t xml:space="preserve">grant an adjournment pending the outcome of Mr LF’s appeal against his criminal convictions.  </w:t>
      </w:r>
    </w:p>
    <w:p w14:paraId="21AF4A6F"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21 December 2018, the Federal Circuit Court remitted the matter back to the AAT for merits review. </w:t>
      </w:r>
    </w:p>
    <w:p w14:paraId="5CC74B0E"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On 31 July 2019, the AAT set aside the Minister’s decision to cancel Mr LF’s student visa and substituted a decision not to cancel the visa. </w:t>
      </w:r>
    </w:p>
    <w:p w14:paraId="649743E8" w14:textId="77777777" w:rsidR="00824071" w:rsidRPr="00E95FE0" w:rsidRDefault="00824071" w:rsidP="00824071">
      <w:pPr>
        <w:pStyle w:val="Heading1"/>
        <w:tabs>
          <w:tab w:val="clear" w:pos="9781"/>
        </w:tabs>
        <w:ind w:left="720" w:hanging="720"/>
      </w:pPr>
      <w:bookmarkStart w:id="34" w:name="_Toc12522083"/>
      <w:bookmarkStart w:id="35" w:name="_Toc57217333"/>
      <w:bookmarkStart w:id="36" w:name="_Toc12522084"/>
      <w:bookmarkStart w:id="37" w:name="_Toc452472691"/>
      <w:bookmarkStart w:id="38" w:name="_Toc487445598"/>
      <w:bookmarkStart w:id="39" w:name="_Toc487531383"/>
      <w:bookmarkStart w:id="40" w:name="_Toc487531402"/>
      <w:bookmarkStart w:id="41" w:name="_Toc487531472"/>
      <w:bookmarkStart w:id="42" w:name="_Toc487531592"/>
      <w:bookmarkStart w:id="43" w:name="_Toc511049481"/>
      <w:bookmarkStart w:id="44" w:name="_Toc4159041"/>
      <w:r w:rsidRPr="00E95FE0">
        <w:t>Conciliation</w:t>
      </w:r>
      <w:bookmarkEnd w:id="34"/>
      <w:bookmarkEnd w:id="35"/>
    </w:p>
    <w:p w14:paraId="1A1503BC" w14:textId="77777777" w:rsidR="00824071" w:rsidRPr="00E95FE0" w:rsidRDefault="00824071" w:rsidP="00824071">
      <w:pPr>
        <w:pStyle w:val="SubmissionNormal"/>
        <w:numPr>
          <w:ilvl w:val="0"/>
          <w:numId w:val="3"/>
        </w:numPr>
        <w:rPr>
          <w:rFonts w:ascii="Open Sans" w:hAnsi="Open Sans" w:cs="Open Sans"/>
        </w:rPr>
      </w:pPr>
      <w:r w:rsidRPr="00E95FE0">
        <w:rPr>
          <w:rFonts w:ascii="Open Sans" w:hAnsi="Open Sans" w:cs="Open Sans"/>
        </w:rPr>
        <w:t>The Commonwealth indicated that it did not want to participate in conciliation of the matter.</w:t>
      </w:r>
    </w:p>
    <w:p w14:paraId="333CFEB7" w14:textId="77777777" w:rsidR="00824071" w:rsidRPr="00E95FE0" w:rsidRDefault="00824071" w:rsidP="00824071">
      <w:pPr>
        <w:pStyle w:val="Heading1"/>
        <w:tabs>
          <w:tab w:val="num" w:pos="709"/>
        </w:tabs>
        <w:ind w:left="709" w:hanging="709"/>
      </w:pPr>
      <w:bookmarkStart w:id="45" w:name="_Toc57217334"/>
      <w:r w:rsidRPr="00E95FE0">
        <w:t>Procedural history of this inquiry</w:t>
      </w:r>
      <w:bookmarkEnd w:id="36"/>
      <w:bookmarkEnd w:id="45"/>
    </w:p>
    <w:p w14:paraId="46048DE5" w14:textId="77777777" w:rsidR="00824071" w:rsidRPr="00900D57" w:rsidRDefault="00824071" w:rsidP="00824071">
      <w:pPr>
        <w:pStyle w:val="SubmissionNormal"/>
        <w:numPr>
          <w:ilvl w:val="0"/>
          <w:numId w:val="3"/>
        </w:numPr>
        <w:rPr>
          <w:rFonts w:ascii="Open Sans" w:hAnsi="Open Sans" w:cs="Open Sans"/>
        </w:rPr>
      </w:pPr>
      <w:r w:rsidRPr="002D0574">
        <w:rPr>
          <w:rFonts w:ascii="Open Sans" w:hAnsi="Open Sans" w:cs="Open Sans"/>
        </w:rPr>
        <w:t xml:space="preserve">On 4 June 2020, I issued a preliminary view in this matter and gave </w:t>
      </w:r>
      <w:r>
        <w:rPr>
          <w:rFonts w:ascii="Open Sans" w:hAnsi="Open Sans" w:cs="Open Sans"/>
        </w:rPr>
        <w:t>Mr LF and</w:t>
      </w:r>
      <w:r w:rsidRPr="002D0574">
        <w:rPr>
          <w:rFonts w:ascii="Open Sans" w:hAnsi="Open Sans" w:cs="Open Sans"/>
        </w:rPr>
        <w:t xml:space="preserve"> the Department an opportunity to respond to my </w:t>
      </w:r>
      <w:r w:rsidRPr="00900D57">
        <w:rPr>
          <w:rFonts w:ascii="Open Sans" w:hAnsi="Open Sans" w:cs="Open Sans"/>
        </w:rPr>
        <w:t xml:space="preserve">preliminary findings. </w:t>
      </w:r>
    </w:p>
    <w:p w14:paraId="37C454BF" w14:textId="77777777" w:rsidR="00824071" w:rsidRPr="00900D57" w:rsidRDefault="00824071" w:rsidP="00824071">
      <w:pPr>
        <w:pStyle w:val="SubmissionNormal"/>
        <w:numPr>
          <w:ilvl w:val="0"/>
          <w:numId w:val="3"/>
        </w:numPr>
        <w:rPr>
          <w:rFonts w:ascii="Open Sans" w:hAnsi="Open Sans" w:cs="Open Sans"/>
        </w:rPr>
      </w:pPr>
      <w:r w:rsidRPr="00900D57">
        <w:rPr>
          <w:rFonts w:ascii="Open Sans" w:hAnsi="Open Sans" w:cs="Open Sans"/>
        </w:rPr>
        <w:t xml:space="preserve">On 4, 8, 10 and 13 June, 29 July, 3 and 19 August 2020, Mr </w:t>
      </w:r>
      <w:r>
        <w:rPr>
          <w:rFonts w:ascii="Open Sans" w:hAnsi="Open Sans" w:cs="Open Sans"/>
        </w:rPr>
        <w:t>LF</w:t>
      </w:r>
      <w:r w:rsidRPr="00900D57">
        <w:rPr>
          <w:rFonts w:ascii="Open Sans" w:hAnsi="Open Sans" w:cs="Open Sans"/>
        </w:rPr>
        <w:t xml:space="preserve"> provided responses to my preliminary view.</w:t>
      </w:r>
    </w:p>
    <w:p w14:paraId="01F3F2F7" w14:textId="77777777" w:rsidR="00824071" w:rsidRPr="002D0574" w:rsidRDefault="00824071" w:rsidP="00824071">
      <w:pPr>
        <w:pStyle w:val="SubmissionNormal"/>
        <w:numPr>
          <w:ilvl w:val="0"/>
          <w:numId w:val="3"/>
        </w:numPr>
        <w:rPr>
          <w:rFonts w:ascii="Open Sans" w:hAnsi="Open Sans" w:cs="Open Sans"/>
        </w:rPr>
      </w:pPr>
      <w:r w:rsidRPr="002D0574">
        <w:rPr>
          <w:rFonts w:ascii="Open Sans" w:hAnsi="Open Sans" w:cs="Open Sans"/>
        </w:rPr>
        <w:t xml:space="preserve">On </w:t>
      </w:r>
      <w:r>
        <w:rPr>
          <w:rFonts w:ascii="Open Sans" w:hAnsi="Open Sans" w:cs="Open Sans"/>
        </w:rPr>
        <w:t>30 July</w:t>
      </w:r>
      <w:r w:rsidRPr="002D0574">
        <w:rPr>
          <w:rFonts w:ascii="Open Sans" w:hAnsi="Open Sans" w:cs="Open Sans"/>
        </w:rPr>
        <w:t xml:space="preserve"> 2020, the Department responded to my preliminary view. </w:t>
      </w:r>
    </w:p>
    <w:p w14:paraId="06BC9D77" w14:textId="77777777" w:rsidR="00824071" w:rsidRPr="00E95FE0" w:rsidRDefault="00824071" w:rsidP="00824071">
      <w:pPr>
        <w:pStyle w:val="Heading1"/>
        <w:tabs>
          <w:tab w:val="clear" w:pos="9781"/>
          <w:tab w:val="num" w:pos="709"/>
          <w:tab w:val="left" w:pos="810"/>
        </w:tabs>
        <w:ind w:left="720" w:hanging="720"/>
        <w:rPr>
          <w:rFonts w:ascii="Open Sans" w:hAnsi="Open Sans" w:cs="Open Sans"/>
          <w:szCs w:val="36"/>
        </w:rPr>
      </w:pPr>
      <w:bookmarkStart w:id="46" w:name="_Toc57217335"/>
      <w:r w:rsidRPr="00E95FE0">
        <w:rPr>
          <w:rFonts w:ascii="Open Sans" w:hAnsi="Open Sans" w:cs="Open Sans"/>
          <w:szCs w:val="36"/>
        </w:rPr>
        <w:t>Legislative framework</w:t>
      </w:r>
      <w:bookmarkEnd w:id="37"/>
      <w:bookmarkEnd w:id="38"/>
      <w:bookmarkEnd w:id="39"/>
      <w:bookmarkEnd w:id="40"/>
      <w:bookmarkEnd w:id="41"/>
      <w:bookmarkEnd w:id="42"/>
      <w:bookmarkEnd w:id="43"/>
      <w:bookmarkEnd w:id="44"/>
      <w:bookmarkEnd w:id="46"/>
    </w:p>
    <w:p w14:paraId="0CF18666" w14:textId="77777777" w:rsidR="00824071" w:rsidRPr="00E95FE0" w:rsidRDefault="00824071" w:rsidP="00824071">
      <w:pPr>
        <w:pStyle w:val="Heading2"/>
        <w:tabs>
          <w:tab w:val="clear" w:pos="1135"/>
          <w:tab w:val="num" w:pos="709"/>
        </w:tabs>
        <w:ind w:left="4394" w:hanging="4394"/>
        <w:rPr>
          <w:rFonts w:cs="Open Sans"/>
          <w:i/>
          <w:szCs w:val="28"/>
        </w:rPr>
      </w:pPr>
      <w:bookmarkStart w:id="47" w:name="_Toc452472692"/>
      <w:bookmarkStart w:id="48" w:name="_Toc487445599"/>
      <w:bookmarkStart w:id="49" w:name="_Toc487531384"/>
      <w:bookmarkStart w:id="50" w:name="_Toc487531403"/>
      <w:bookmarkStart w:id="51" w:name="_Toc487531473"/>
      <w:bookmarkStart w:id="52" w:name="_Toc487531593"/>
      <w:bookmarkStart w:id="53" w:name="_Toc511049482"/>
      <w:bookmarkStart w:id="54" w:name="_Toc4159042"/>
      <w:bookmarkStart w:id="55" w:name="_Toc57217336"/>
      <w:r w:rsidRPr="00E95FE0">
        <w:rPr>
          <w:rFonts w:cs="Open Sans"/>
          <w:szCs w:val="28"/>
        </w:rPr>
        <w:t>Functions of the Commission</w:t>
      </w:r>
      <w:bookmarkEnd w:id="47"/>
      <w:bookmarkEnd w:id="48"/>
      <w:bookmarkEnd w:id="49"/>
      <w:bookmarkEnd w:id="50"/>
      <w:bookmarkEnd w:id="51"/>
      <w:bookmarkEnd w:id="52"/>
      <w:bookmarkEnd w:id="53"/>
      <w:bookmarkEnd w:id="54"/>
      <w:bookmarkEnd w:id="55"/>
    </w:p>
    <w:p w14:paraId="28BDA8F3" w14:textId="77777777" w:rsidR="00824071" w:rsidRPr="00593313" w:rsidRDefault="00824071" w:rsidP="00824071">
      <w:pPr>
        <w:numPr>
          <w:ilvl w:val="0"/>
          <w:numId w:val="3"/>
        </w:numPr>
        <w:tabs>
          <w:tab w:val="num" w:pos="960"/>
        </w:tabs>
        <w:spacing w:before="240" w:after="240" w:line="240" w:lineRule="auto"/>
        <w:rPr>
          <w:rFonts w:ascii="Open Sans" w:hAnsi="Open Sans" w:cs="Open Sans"/>
          <w:sz w:val="24"/>
          <w:szCs w:val="28"/>
        </w:rPr>
      </w:pPr>
      <w:r w:rsidRPr="00593313">
        <w:rPr>
          <w:rFonts w:ascii="Open Sans" w:hAnsi="Open Sans" w:cs="Open Sans"/>
          <w:sz w:val="24"/>
          <w:szCs w:val="28"/>
        </w:rPr>
        <w:t xml:space="preserve">Section 11(1)(f) of the AHRC Act provides that the Commission has the function to inquire into any act or practice that may be inconsistent with, or contrary to, any human right. </w:t>
      </w:r>
    </w:p>
    <w:p w14:paraId="0F073BD0" w14:textId="77777777" w:rsidR="00824071" w:rsidRPr="00593313" w:rsidRDefault="00824071" w:rsidP="00824071">
      <w:pPr>
        <w:numPr>
          <w:ilvl w:val="0"/>
          <w:numId w:val="3"/>
        </w:numPr>
        <w:tabs>
          <w:tab w:val="num" w:pos="960"/>
        </w:tabs>
        <w:spacing w:before="240" w:after="240" w:line="240" w:lineRule="auto"/>
        <w:rPr>
          <w:rFonts w:ascii="Open Sans" w:hAnsi="Open Sans" w:cs="Open Sans"/>
          <w:sz w:val="24"/>
          <w:szCs w:val="28"/>
        </w:rPr>
      </w:pPr>
      <w:r w:rsidRPr="00593313">
        <w:rPr>
          <w:rFonts w:ascii="Open Sans" w:hAnsi="Open Sans" w:cs="Open Sans"/>
          <w:sz w:val="24"/>
          <w:szCs w:val="28"/>
        </w:rPr>
        <w:t xml:space="preserve">Section 20(1)(b) of the AHRC Act requires the Commission to perform this function when a complaint is made to it in writing alleging that an act is inconsistent with, or contrary to, any human right. </w:t>
      </w:r>
    </w:p>
    <w:p w14:paraId="238E5CBA" w14:textId="77777777" w:rsidR="00824071" w:rsidRPr="00593313" w:rsidRDefault="00824071" w:rsidP="00824071">
      <w:pPr>
        <w:numPr>
          <w:ilvl w:val="0"/>
          <w:numId w:val="3"/>
        </w:numPr>
        <w:tabs>
          <w:tab w:val="num" w:pos="960"/>
        </w:tabs>
        <w:spacing w:before="240" w:after="240" w:line="240" w:lineRule="auto"/>
        <w:rPr>
          <w:rFonts w:ascii="Open Sans" w:hAnsi="Open Sans" w:cs="Open Sans"/>
          <w:sz w:val="24"/>
          <w:szCs w:val="28"/>
        </w:rPr>
      </w:pPr>
      <w:r w:rsidRPr="00593313">
        <w:rPr>
          <w:rFonts w:ascii="Open Sans" w:hAnsi="Open Sans" w:cs="Open Sans"/>
          <w:sz w:val="24"/>
          <w:szCs w:val="28"/>
        </w:rPr>
        <w:t>Section 8(6) of the AHRC Act requires that the functions of the Commission under s 11(1)(f) be performed by the President.</w:t>
      </w:r>
    </w:p>
    <w:p w14:paraId="27880DF5" w14:textId="77777777" w:rsidR="00824071" w:rsidRPr="00E95FE0" w:rsidRDefault="00824071" w:rsidP="00824071">
      <w:pPr>
        <w:pStyle w:val="Heading2"/>
        <w:tabs>
          <w:tab w:val="clear" w:pos="1135"/>
          <w:tab w:val="num" w:pos="709"/>
        </w:tabs>
        <w:ind w:left="4394" w:hanging="4394"/>
        <w:rPr>
          <w:rFonts w:cs="Open Sans"/>
          <w:i/>
        </w:rPr>
      </w:pPr>
      <w:bookmarkStart w:id="56" w:name="_Toc4159043"/>
      <w:bookmarkStart w:id="57" w:name="_Toc57217337"/>
      <w:r w:rsidRPr="00E95FE0">
        <w:rPr>
          <w:rFonts w:cs="Open Sans"/>
        </w:rPr>
        <w:t>What is an ‘act’ or ‘practice</w:t>
      </w:r>
      <w:r>
        <w:rPr>
          <w:rFonts w:cs="Open Sans"/>
        </w:rPr>
        <w:t>’</w:t>
      </w:r>
      <w:r w:rsidRPr="00E95FE0">
        <w:rPr>
          <w:rFonts w:cs="Open Sans"/>
        </w:rPr>
        <w:t>?</w:t>
      </w:r>
      <w:bookmarkEnd w:id="56"/>
      <w:bookmarkEnd w:id="57"/>
    </w:p>
    <w:p w14:paraId="298C474C"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The terms ‘act’ and ‘practice’ are defined in s 3(1) of the AHRC Act to include an act done or a practice engaged in by or on behalf of the </w:t>
      </w:r>
      <w:r w:rsidRPr="00593313">
        <w:rPr>
          <w:rFonts w:ascii="Open Sans" w:hAnsi="Open Sans" w:cs="Open Sans"/>
          <w:sz w:val="24"/>
          <w:szCs w:val="24"/>
        </w:rPr>
        <w:lastRenderedPageBreak/>
        <w:t>Commonwealth or an authority of the Commonwealth or under an enactment.</w:t>
      </w:r>
    </w:p>
    <w:p w14:paraId="0597F98B"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Section 3(3) provides that the reference to, or to the doing of, an act includes a reference to a refusal or failure to do an act.</w:t>
      </w:r>
    </w:p>
    <w:p w14:paraId="324CEF30"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The functions of the Commission identified in s 11(1)(f) of the AHRC Act are only engaged where the act complained of is not one required by law to be taken, that is, where the relevant act or practice is within the discretion of the Commonwealth.</w:t>
      </w:r>
      <w:r w:rsidRPr="00593313">
        <w:rPr>
          <w:rStyle w:val="EndnoteReference"/>
          <w:rFonts w:ascii="Open Sans" w:hAnsi="Open Sans" w:cs="Open Sans"/>
          <w:sz w:val="24"/>
          <w:szCs w:val="24"/>
        </w:rPr>
        <w:endnoteReference w:id="4"/>
      </w:r>
      <w:r w:rsidRPr="00593313">
        <w:rPr>
          <w:rFonts w:ascii="Open Sans" w:hAnsi="Open Sans" w:cs="Open Sans"/>
          <w:sz w:val="24"/>
          <w:szCs w:val="24"/>
        </w:rPr>
        <w:t xml:space="preserve"> </w:t>
      </w:r>
    </w:p>
    <w:p w14:paraId="4C80C5ED" w14:textId="77777777" w:rsidR="00824071" w:rsidRPr="00E95FE0" w:rsidRDefault="00824071" w:rsidP="00824071">
      <w:pPr>
        <w:pStyle w:val="Heading2"/>
        <w:tabs>
          <w:tab w:val="clear" w:pos="1135"/>
          <w:tab w:val="num" w:pos="709"/>
        </w:tabs>
        <w:ind w:left="4394" w:hanging="4394"/>
        <w:rPr>
          <w:rFonts w:cs="Open Sans"/>
          <w:i/>
          <w:szCs w:val="28"/>
        </w:rPr>
      </w:pPr>
      <w:bookmarkStart w:id="58" w:name="_Toc452472694"/>
      <w:bookmarkStart w:id="59" w:name="_Toc487445601"/>
      <w:bookmarkStart w:id="60" w:name="_Toc487531386"/>
      <w:bookmarkStart w:id="61" w:name="_Toc487531405"/>
      <w:bookmarkStart w:id="62" w:name="_Toc487531475"/>
      <w:bookmarkStart w:id="63" w:name="_Toc487531595"/>
      <w:bookmarkStart w:id="64" w:name="_Toc511049484"/>
      <w:bookmarkStart w:id="65" w:name="_Toc4159044"/>
      <w:bookmarkStart w:id="66" w:name="_Toc57217338"/>
      <w:r w:rsidRPr="00E95FE0">
        <w:rPr>
          <w:rFonts w:cs="Open Sans"/>
          <w:szCs w:val="28"/>
        </w:rPr>
        <w:t>What is a human right?</w:t>
      </w:r>
      <w:bookmarkEnd w:id="58"/>
      <w:bookmarkEnd w:id="59"/>
      <w:bookmarkEnd w:id="60"/>
      <w:bookmarkEnd w:id="61"/>
      <w:bookmarkEnd w:id="62"/>
      <w:bookmarkEnd w:id="63"/>
      <w:bookmarkEnd w:id="64"/>
      <w:bookmarkEnd w:id="65"/>
      <w:bookmarkEnd w:id="66"/>
    </w:p>
    <w:p w14:paraId="0335E580" w14:textId="77777777" w:rsidR="00824071" w:rsidRPr="00593313" w:rsidRDefault="00824071" w:rsidP="00824071">
      <w:pPr>
        <w:numPr>
          <w:ilvl w:val="0"/>
          <w:numId w:val="3"/>
        </w:numPr>
        <w:tabs>
          <w:tab w:val="num" w:pos="960"/>
        </w:tabs>
        <w:spacing w:before="240" w:after="240" w:line="240" w:lineRule="auto"/>
        <w:rPr>
          <w:rFonts w:ascii="Open Sans" w:hAnsi="Open Sans" w:cs="Open Sans"/>
          <w:sz w:val="24"/>
          <w:szCs w:val="28"/>
        </w:rPr>
      </w:pPr>
      <w:r w:rsidRPr="00593313">
        <w:rPr>
          <w:rFonts w:ascii="Open Sans" w:hAnsi="Open Sans" w:cs="Open Sans"/>
          <w:sz w:val="24"/>
          <w:szCs w:val="28"/>
        </w:rPr>
        <w:t xml:space="preserve">The phrase ‘human rights’ is defined by s 3(1) of the AHRC Act to include the rights and freedoms recognised in the ICCPR. </w:t>
      </w:r>
    </w:p>
    <w:p w14:paraId="45B20F28" w14:textId="77777777" w:rsidR="00824071" w:rsidRPr="00593313" w:rsidRDefault="00824071" w:rsidP="00824071">
      <w:pPr>
        <w:keepNext/>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Article 9(1) of the ICCPR relevantly provides:</w:t>
      </w:r>
    </w:p>
    <w:p w14:paraId="5AFC3917" w14:textId="77777777" w:rsidR="00824071" w:rsidRPr="00E95FE0" w:rsidRDefault="00824071" w:rsidP="00824071">
      <w:pPr>
        <w:spacing w:before="240" w:after="240"/>
        <w:ind w:left="1418"/>
        <w:rPr>
          <w:rFonts w:ascii="Open Sans" w:hAnsi="Open Sans" w:cs="Open Sans"/>
          <w:iCs/>
        </w:rPr>
      </w:pPr>
      <w:r w:rsidRPr="00E95FE0">
        <w:rPr>
          <w:rFonts w:ascii="Open Sans" w:hAnsi="Open Sans" w:cs="Open Sans"/>
          <w:iCs/>
        </w:rPr>
        <w:t>Everyone has the right to liberty and security of person. No one shall be subjected to arbitrary arrest or detention. No one shall be deprived of his liberty except on such grounds and in accordance with such procedure as are established by law.</w:t>
      </w:r>
    </w:p>
    <w:p w14:paraId="192703BF" w14:textId="77777777" w:rsidR="00824071" w:rsidRPr="00E95FE0" w:rsidRDefault="00824071" w:rsidP="00824071">
      <w:pPr>
        <w:pStyle w:val="Heading1"/>
        <w:tabs>
          <w:tab w:val="clear" w:pos="9781"/>
          <w:tab w:val="num" w:pos="709"/>
          <w:tab w:val="left" w:pos="810"/>
          <w:tab w:val="num" w:pos="8930"/>
        </w:tabs>
        <w:ind w:left="720" w:hanging="720"/>
        <w:rPr>
          <w:rFonts w:ascii="Open Sans" w:hAnsi="Open Sans" w:cs="Open Sans"/>
          <w:szCs w:val="36"/>
        </w:rPr>
      </w:pPr>
      <w:bookmarkStart w:id="67" w:name="_Toc452472695"/>
      <w:bookmarkStart w:id="68" w:name="_Toc487445602"/>
      <w:bookmarkStart w:id="69" w:name="_Toc487531387"/>
      <w:bookmarkStart w:id="70" w:name="_Toc487531406"/>
      <w:bookmarkStart w:id="71" w:name="_Toc487531476"/>
      <w:bookmarkStart w:id="72" w:name="_Toc487531596"/>
      <w:bookmarkStart w:id="73" w:name="_Toc511049485"/>
      <w:bookmarkStart w:id="74" w:name="_Toc4159045"/>
      <w:bookmarkStart w:id="75" w:name="_Toc57217339"/>
      <w:r w:rsidRPr="00E95FE0">
        <w:rPr>
          <w:rFonts w:ascii="Open Sans" w:hAnsi="Open Sans" w:cs="Open Sans"/>
          <w:szCs w:val="36"/>
        </w:rPr>
        <w:t>Arbitrary detention</w:t>
      </w:r>
      <w:bookmarkEnd w:id="67"/>
      <w:bookmarkEnd w:id="68"/>
      <w:bookmarkEnd w:id="69"/>
      <w:bookmarkEnd w:id="70"/>
      <w:bookmarkEnd w:id="71"/>
      <w:bookmarkEnd w:id="72"/>
      <w:bookmarkEnd w:id="73"/>
      <w:bookmarkEnd w:id="74"/>
      <w:bookmarkEnd w:id="75"/>
    </w:p>
    <w:p w14:paraId="08C76871" w14:textId="77777777" w:rsidR="00824071" w:rsidRPr="00593313" w:rsidRDefault="00824071" w:rsidP="00824071">
      <w:pPr>
        <w:numPr>
          <w:ilvl w:val="0"/>
          <w:numId w:val="3"/>
        </w:numPr>
        <w:spacing w:before="240" w:after="240" w:line="240" w:lineRule="auto"/>
        <w:rPr>
          <w:rFonts w:ascii="Open Sans" w:hAnsi="Open Sans" w:cs="Open Sans"/>
          <w:sz w:val="24"/>
          <w:szCs w:val="24"/>
        </w:rPr>
      </w:pPr>
      <w:bookmarkStart w:id="76" w:name="_Toc452472696"/>
      <w:bookmarkStart w:id="77" w:name="_Toc487445603"/>
      <w:bookmarkStart w:id="78" w:name="_Toc487531388"/>
      <w:bookmarkStart w:id="79" w:name="_Toc487531407"/>
      <w:bookmarkStart w:id="80" w:name="_Toc487531477"/>
      <w:bookmarkStart w:id="81" w:name="_Toc487531597"/>
      <w:bookmarkStart w:id="82" w:name="_Toc511049486"/>
      <w:bookmarkStart w:id="83" w:name="_Toc4159046"/>
      <w:r w:rsidRPr="00593313">
        <w:rPr>
          <w:rFonts w:ascii="Open Sans" w:hAnsi="Open Sans" w:cs="Open Sans"/>
          <w:sz w:val="24"/>
          <w:szCs w:val="24"/>
        </w:rPr>
        <w:t xml:space="preserve">Mr LF complains about his detention in an immigration detention centre. This requires consideration to be given to whether his detention was ‘arbitrary’, contrary to article 9(1) of the ICCPR. </w:t>
      </w:r>
    </w:p>
    <w:p w14:paraId="64FE776A" w14:textId="77777777" w:rsidR="00824071" w:rsidRPr="00E95FE0" w:rsidRDefault="00824071" w:rsidP="00824071">
      <w:pPr>
        <w:pStyle w:val="Heading2"/>
        <w:tabs>
          <w:tab w:val="clear" w:pos="1135"/>
          <w:tab w:val="num" w:pos="709"/>
        </w:tabs>
        <w:ind w:left="4394" w:hanging="4394"/>
        <w:rPr>
          <w:rFonts w:cs="Open Sans"/>
          <w:i/>
        </w:rPr>
      </w:pPr>
      <w:bookmarkStart w:id="84" w:name="_Toc57217340"/>
      <w:r w:rsidRPr="00E95FE0">
        <w:rPr>
          <w:rFonts w:cs="Open Sans"/>
        </w:rPr>
        <w:t>Law on article 9 of the ICCPR</w:t>
      </w:r>
      <w:bookmarkEnd w:id="76"/>
      <w:bookmarkEnd w:id="77"/>
      <w:bookmarkEnd w:id="78"/>
      <w:bookmarkEnd w:id="79"/>
      <w:bookmarkEnd w:id="80"/>
      <w:bookmarkEnd w:id="81"/>
      <w:bookmarkEnd w:id="82"/>
      <w:bookmarkEnd w:id="83"/>
      <w:bookmarkEnd w:id="84"/>
      <w:r w:rsidRPr="00E95FE0">
        <w:rPr>
          <w:rFonts w:cs="Open Sans"/>
        </w:rPr>
        <w:t xml:space="preserve"> </w:t>
      </w:r>
    </w:p>
    <w:p w14:paraId="1137F879"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The following principles relating to arbitrary detention within the meaning of article 9 of the ICCPR arise from international human rights jurisprudence:</w:t>
      </w:r>
    </w:p>
    <w:p w14:paraId="2B440111" w14:textId="77777777" w:rsidR="00824071" w:rsidRPr="00593313" w:rsidRDefault="00824071" w:rsidP="00824071">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szCs w:val="24"/>
        </w:rPr>
      </w:pPr>
      <w:r w:rsidRPr="00593313">
        <w:rPr>
          <w:rFonts w:ascii="Open Sans" w:hAnsi="Open Sans" w:cs="Open Sans"/>
          <w:szCs w:val="24"/>
        </w:rPr>
        <w:t>‘detention’ includes immigration detention</w:t>
      </w:r>
      <w:r w:rsidRPr="00593313">
        <w:rPr>
          <w:rStyle w:val="EndnoteReference"/>
          <w:rFonts w:ascii="Open Sans" w:hAnsi="Open Sans" w:cs="Open Sans"/>
          <w:sz w:val="24"/>
          <w:szCs w:val="24"/>
        </w:rPr>
        <w:endnoteReference w:id="5"/>
      </w:r>
    </w:p>
    <w:p w14:paraId="6AE9AB1C" w14:textId="77777777" w:rsidR="00824071" w:rsidRPr="00593313" w:rsidRDefault="00824071" w:rsidP="00824071">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szCs w:val="24"/>
        </w:rPr>
      </w:pPr>
      <w:r w:rsidRPr="00593313">
        <w:rPr>
          <w:rFonts w:ascii="Open Sans" w:hAnsi="Open Sans" w:cs="Open Sans"/>
          <w:szCs w:val="24"/>
        </w:rPr>
        <w:t>lawful detention may become ‘arbitrary’ when a person’s deprivation of liberty becomes unjust, unreasonable, or disproportionate in the particular circumstances</w:t>
      </w:r>
      <w:r w:rsidRPr="00593313">
        <w:rPr>
          <w:rStyle w:val="EndnoteReference"/>
          <w:rFonts w:ascii="Open Sans" w:hAnsi="Open Sans" w:cs="Open Sans"/>
          <w:sz w:val="24"/>
          <w:szCs w:val="24"/>
        </w:rPr>
        <w:endnoteReference w:id="6"/>
      </w:r>
    </w:p>
    <w:p w14:paraId="21564B62" w14:textId="77777777" w:rsidR="00824071" w:rsidRPr="00593313" w:rsidRDefault="00824071" w:rsidP="00824071">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szCs w:val="24"/>
        </w:rPr>
      </w:pPr>
      <w:r w:rsidRPr="00593313">
        <w:rPr>
          <w:rFonts w:ascii="Open Sans" w:hAnsi="Open Sans" w:cs="Open Sans"/>
          <w:szCs w:val="24"/>
        </w:rPr>
        <w:t>‘arbitrariness’ is not to be equated with ‘against the law’; it must be interpreted more broadly to include elements of inappropriateness, injustice or lack of predictability</w:t>
      </w:r>
      <w:r w:rsidRPr="00593313">
        <w:rPr>
          <w:rStyle w:val="EndnoteReference"/>
          <w:rFonts w:ascii="Open Sans" w:hAnsi="Open Sans" w:cs="Open Sans"/>
          <w:sz w:val="24"/>
          <w:szCs w:val="24"/>
        </w:rPr>
        <w:endnoteReference w:id="7"/>
      </w:r>
      <w:r w:rsidRPr="00593313">
        <w:rPr>
          <w:rFonts w:ascii="Open Sans" w:hAnsi="Open Sans" w:cs="Open Sans"/>
          <w:szCs w:val="24"/>
        </w:rPr>
        <w:t xml:space="preserve"> </w:t>
      </w:r>
    </w:p>
    <w:p w14:paraId="0696ABF9" w14:textId="77777777" w:rsidR="00824071" w:rsidRPr="00593313" w:rsidRDefault="00824071" w:rsidP="00824071">
      <w:pPr>
        <w:pStyle w:val="ListParagraph"/>
        <w:widowControl w:val="0"/>
        <w:numPr>
          <w:ilvl w:val="0"/>
          <w:numId w:val="4"/>
        </w:numPr>
        <w:tabs>
          <w:tab w:val="left" w:pos="1701"/>
        </w:tabs>
        <w:autoSpaceDE w:val="0"/>
        <w:autoSpaceDN w:val="0"/>
        <w:spacing w:before="120" w:after="120" w:line="300" w:lineRule="exact"/>
        <w:ind w:left="1700" w:hanging="562"/>
        <w:contextualSpacing w:val="0"/>
        <w:rPr>
          <w:rFonts w:ascii="Open Sans" w:hAnsi="Open Sans" w:cs="Open Sans"/>
          <w:szCs w:val="24"/>
        </w:rPr>
      </w:pPr>
      <w:bookmarkStart w:id="86" w:name="_bookmark4"/>
      <w:bookmarkEnd w:id="86"/>
      <w:r w:rsidRPr="00593313">
        <w:rPr>
          <w:rFonts w:ascii="Open Sans" w:hAnsi="Open Sans" w:cs="Open Sans"/>
          <w:szCs w:val="24"/>
        </w:rPr>
        <w:t>detention should not continue beyond the period for which a State party can provide appropriate justification.</w:t>
      </w:r>
      <w:r w:rsidRPr="00593313">
        <w:rPr>
          <w:rStyle w:val="EndnoteReference"/>
          <w:rFonts w:ascii="Open Sans" w:hAnsi="Open Sans" w:cs="Open Sans"/>
          <w:sz w:val="24"/>
          <w:szCs w:val="24"/>
        </w:rPr>
        <w:endnoteReference w:id="8"/>
      </w:r>
      <w:r w:rsidRPr="00593313">
        <w:rPr>
          <w:rFonts w:ascii="Open Sans" w:hAnsi="Open Sans" w:cs="Open Sans"/>
          <w:szCs w:val="24"/>
        </w:rPr>
        <w:t xml:space="preserve"> </w:t>
      </w:r>
    </w:p>
    <w:p w14:paraId="5D5019DD"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lastRenderedPageBreak/>
        <w:t xml:space="preserve">In </w:t>
      </w:r>
      <w:r w:rsidRPr="00593313">
        <w:rPr>
          <w:rFonts w:ascii="Open Sans" w:hAnsi="Open Sans" w:cs="Open Sans"/>
          <w:i/>
          <w:sz w:val="24"/>
          <w:szCs w:val="24"/>
        </w:rPr>
        <w:t>Van Alphen v The Netherlands</w:t>
      </w:r>
      <w:r w:rsidRPr="00593313">
        <w:rPr>
          <w:rFonts w:ascii="Open Sans" w:hAnsi="Open Sans" w:cs="Open Sans"/>
          <w:sz w:val="24"/>
          <w:szCs w:val="24"/>
        </w:rPr>
        <w:t xml:space="preserve"> the United Nations Human Rights Committee (UN HR Committee) found detention for a period of two months to be ‘arbitrary’ because the State Party did not show that remand in custody was necessary to prevent flight, interference with evidence or recurrence of crime.</w:t>
      </w:r>
      <w:r w:rsidRPr="00593313">
        <w:rPr>
          <w:rStyle w:val="EndnoteReference"/>
          <w:rFonts w:ascii="Open Sans" w:hAnsi="Open Sans" w:cs="Open Sans"/>
          <w:sz w:val="24"/>
          <w:szCs w:val="24"/>
        </w:rPr>
        <w:endnoteReference w:id="9"/>
      </w:r>
      <w:r w:rsidRPr="00593313">
        <w:rPr>
          <w:rStyle w:val="EndnoteReference"/>
          <w:rFonts w:ascii="Open Sans" w:hAnsi="Open Sans" w:cs="Open Sans"/>
          <w:sz w:val="24"/>
          <w:szCs w:val="24"/>
        </w:rPr>
        <w:t xml:space="preserve"> </w:t>
      </w:r>
    </w:p>
    <w:p w14:paraId="64FD2C24"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The UN HR Committee has stated in several communications that there is an obligation on the State Party to demonstrate that there was not a less invasive way than detention to achieve the ends of the State Party’s immigration policy (for example the imposition of reporting obligations, sureties or other conditions) in order to avoid the conclusion that detention was ‘arbitrary’.</w:t>
      </w:r>
      <w:r w:rsidRPr="00593313">
        <w:rPr>
          <w:rFonts w:ascii="Open Sans" w:hAnsi="Open Sans" w:cs="Open Sans"/>
          <w:sz w:val="24"/>
          <w:szCs w:val="24"/>
          <w:vertAlign w:val="superscript"/>
        </w:rPr>
        <w:endnoteReference w:id="10"/>
      </w:r>
      <w:r w:rsidRPr="00593313">
        <w:rPr>
          <w:rFonts w:ascii="Open Sans" w:hAnsi="Open Sans" w:cs="Open Sans"/>
          <w:sz w:val="24"/>
          <w:szCs w:val="24"/>
        </w:rPr>
        <w:t xml:space="preserve"> </w:t>
      </w:r>
    </w:p>
    <w:p w14:paraId="5F9360C1" w14:textId="77777777" w:rsidR="00824071" w:rsidRPr="00E95FE0" w:rsidRDefault="00824071" w:rsidP="00824071">
      <w:pPr>
        <w:pStyle w:val="ListParagraph"/>
        <w:keepNext/>
        <w:widowControl w:val="0"/>
        <w:numPr>
          <w:ilvl w:val="0"/>
          <w:numId w:val="3"/>
        </w:numPr>
        <w:tabs>
          <w:tab w:val="left" w:pos="797"/>
          <w:tab w:val="left" w:pos="798"/>
        </w:tabs>
        <w:autoSpaceDE w:val="0"/>
        <w:autoSpaceDN w:val="0"/>
        <w:spacing w:before="120" w:after="60" w:line="300" w:lineRule="exact"/>
        <w:contextualSpacing w:val="0"/>
        <w:rPr>
          <w:rFonts w:ascii="Open Sans" w:hAnsi="Open Sans" w:cs="Open Sans"/>
          <w:szCs w:val="24"/>
        </w:rPr>
      </w:pPr>
      <w:r w:rsidRPr="00E95FE0">
        <w:rPr>
          <w:rFonts w:ascii="Open Sans" w:hAnsi="Open Sans" w:cs="Open Sans"/>
          <w:szCs w:val="24"/>
        </w:rPr>
        <w:t>Relevant jurisprudence of the UN HR Committee on the right to liberty is collected in a general comment on article 9 of the ICCPR published on 16 December 2014. It makes the following comments about immigration detention in particular, based on previous decisions by the Committee:</w:t>
      </w:r>
    </w:p>
    <w:p w14:paraId="33F3B9BC" w14:textId="77777777" w:rsidR="00824071" w:rsidRPr="00E95FE0" w:rsidRDefault="00824071" w:rsidP="00824071">
      <w:pPr>
        <w:spacing w:before="120" w:after="60" w:line="300" w:lineRule="exact"/>
        <w:ind w:left="1701"/>
        <w:rPr>
          <w:rFonts w:ascii="Open Sans" w:hAnsi="Open Sans" w:cs="Open Sans"/>
        </w:rPr>
      </w:pPr>
      <w:r w:rsidRPr="00E95FE0">
        <w:rPr>
          <w:rFonts w:ascii="Open Sans" w:hAnsi="Open Sans" w:cs="Open Sans"/>
        </w:rPr>
        <w:t>Detention in the course of proceedings for the control of immigration is not per se arbitrary, but the detention must be justified as reasonable, necessary and proportionate in the light of the circumstances and reassessed as it extends in time. Asylum seekers who unlawfully enter a State party’s territory 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w:t>
      </w:r>
      <w:r w:rsidRPr="00E95FE0">
        <w:rPr>
          <w:rStyle w:val="EndnoteReference"/>
          <w:rFonts w:ascii="Open Sans" w:hAnsi="Open Sans" w:cs="Open Sans"/>
        </w:rPr>
        <w:endnoteReference w:id="11"/>
      </w:r>
      <w:r w:rsidRPr="00E95FE0">
        <w:rPr>
          <w:rFonts w:ascii="Open Sans" w:hAnsi="Open Sans" w:cs="Open Sans"/>
        </w:rPr>
        <w:t xml:space="preserve"> </w:t>
      </w:r>
    </w:p>
    <w:p w14:paraId="2829312C" w14:textId="7A35E768" w:rsidR="00824071" w:rsidRPr="00593313" w:rsidRDefault="00824071" w:rsidP="00824071">
      <w:pPr>
        <w:pStyle w:val="ListParagraph"/>
        <w:keepNext/>
        <w:widowControl w:val="0"/>
        <w:numPr>
          <w:ilvl w:val="0"/>
          <w:numId w:val="3"/>
        </w:numPr>
        <w:tabs>
          <w:tab w:val="left" w:pos="797"/>
          <w:tab w:val="left" w:pos="798"/>
        </w:tabs>
        <w:autoSpaceDE w:val="0"/>
        <w:autoSpaceDN w:val="0"/>
        <w:spacing w:before="120" w:after="60" w:line="300" w:lineRule="exact"/>
        <w:contextualSpacing w:val="0"/>
        <w:rPr>
          <w:rFonts w:ascii="Open Sans" w:hAnsi="Open Sans" w:cs="Open Sans"/>
          <w:szCs w:val="24"/>
        </w:rPr>
      </w:pPr>
      <w:r w:rsidRPr="00593313">
        <w:rPr>
          <w:rFonts w:ascii="Open Sans" w:hAnsi="Open Sans" w:cs="Open Sans"/>
          <w:szCs w:val="24"/>
          <w:lang w:val="en"/>
        </w:rPr>
        <w:t>Under international law</w:t>
      </w:r>
      <w:r w:rsidR="00126285">
        <w:rPr>
          <w:rFonts w:ascii="Open Sans" w:hAnsi="Open Sans" w:cs="Open Sans"/>
          <w:szCs w:val="24"/>
          <w:lang w:val="en"/>
        </w:rPr>
        <w:t>,</w:t>
      </w:r>
      <w:r w:rsidRPr="00593313">
        <w:rPr>
          <w:rFonts w:ascii="Open Sans" w:hAnsi="Open Sans" w:cs="Open Sans"/>
          <w:szCs w:val="24"/>
          <w:lang w:val="en"/>
        </w:rPr>
        <w:t xml:space="preserve"> the guiding standard for restricting rights is</w:t>
      </w:r>
      <w:r w:rsidRPr="00593313">
        <w:rPr>
          <w:rFonts w:ascii="Open Sans" w:hAnsi="Open Sans" w:cs="Open Sans"/>
          <w:szCs w:val="24"/>
        </w:rPr>
        <w:t xml:space="preserve"> proportionality, which means that deprivation of liberty (in this case, continuing immigration detention) must be necessary and proportionate to a legitimate aim of the State Party (in this case, the Commonwealth of Australia) in order to avoid being ‘arbitrary’.</w:t>
      </w:r>
      <w:r w:rsidRPr="00593313">
        <w:rPr>
          <w:rStyle w:val="EndnoteReference"/>
          <w:rFonts w:ascii="Open Sans" w:hAnsi="Open Sans" w:cs="Open Sans"/>
          <w:sz w:val="24"/>
          <w:szCs w:val="24"/>
        </w:rPr>
        <w:endnoteReference w:id="12"/>
      </w:r>
      <w:r w:rsidRPr="00593313">
        <w:rPr>
          <w:rFonts w:ascii="Open Sans" w:hAnsi="Open Sans" w:cs="Open Sans"/>
          <w:szCs w:val="24"/>
        </w:rPr>
        <w:t xml:space="preserve"> </w:t>
      </w:r>
    </w:p>
    <w:p w14:paraId="4F503096" w14:textId="77777777" w:rsidR="00824071" w:rsidRPr="00593313" w:rsidRDefault="00824071" w:rsidP="00824071">
      <w:pPr>
        <w:numPr>
          <w:ilvl w:val="0"/>
          <w:numId w:val="3"/>
        </w:numPr>
        <w:spacing w:before="240" w:after="240" w:line="240" w:lineRule="auto"/>
        <w:rPr>
          <w:rFonts w:ascii="Open Sans" w:hAnsi="Open Sans" w:cs="Open Sans"/>
          <w:sz w:val="24"/>
          <w:szCs w:val="24"/>
          <w:lang w:val="en"/>
        </w:rPr>
      </w:pPr>
      <w:r w:rsidRPr="00593313">
        <w:rPr>
          <w:rFonts w:ascii="Open Sans" w:hAnsi="Open Sans" w:cs="Open Sans"/>
          <w:sz w:val="24"/>
          <w:szCs w:val="24"/>
          <w:lang w:val="en"/>
        </w:rPr>
        <w:t xml:space="preserve">It is therefore necessary to consider whether the detention of </w:t>
      </w:r>
      <w:proofErr w:type="spellStart"/>
      <w:r w:rsidRPr="00593313">
        <w:rPr>
          <w:rFonts w:ascii="Open Sans" w:hAnsi="Open Sans" w:cs="Open Sans"/>
          <w:sz w:val="24"/>
          <w:szCs w:val="24"/>
          <w:lang w:val="en"/>
        </w:rPr>
        <w:t>Mr</w:t>
      </w:r>
      <w:proofErr w:type="spellEnd"/>
      <w:r w:rsidRPr="00593313">
        <w:rPr>
          <w:rFonts w:ascii="Open Sans" w:hAnsi="Open Sans" w:cs="Open Sans"/>
          <w:sz w:val="24"/>
          <w:szCs w:val="24"/>
          <w:lang w:val="en"/>
        </w:rPr>
        <w:t xml:space="preserve"> LF in closed detention facilities can be </w:t>
      </w:r>
      <w:r w:rsidRPr="00593313">
        <w:rPr>
          <w:rFonts w:ascii="Open Sans" w:hAnsi="Open Sans" w:cs="Open Sans"/>
          <w:sz w:val="24"/>
          <w:szCs w:val="24"/>
        </w:rPr>
        <w:t xml:space="preserve">justified as reasonable, necessary and proportionate on the basis of particular reasons specific to him, and in light of the available alternatives to closed detention. </w:t>
      </w:r>
      <w:r w:rsidRPr="00593313">
        <w:rPr>
          <w:rFonts w:ascii="Open Sans" w:hAnsi="Open Sans" w:cs="Open Sans"/>
          <w:sz w:val="24"/>
          <w:szCs w:val="24"/>
          <w:lang w:val="en"/>
        </w:rPr>
        <w:t xml:space="preserve">If his detention cannot be justified on these grounds, it will be </w:t>
      </w:r>
      <w:r w:rsidRPr="00593313">
        <w:rPr>
          <w:rFonts w:ascii="Open Sans" w:hAnsi="Open Sans" w:cs="Open Sans"/>
          <w:sz w:val="24"/>
          <w:szCs w:val="24"/>
        </w:rPr>
        <w:t xml:space="preserve">disproportionate to the Commonwealth’s legitimate aim of ensuring the effective operation of </w:t>
      </w:r>
      <w:r w:rsidRPr="00593313">
        <w:rPr>
          <w:rFonts w:ascii="Open Sans" w:hAnsi="Open Sans" w:cs="Open Sans"/>
          <w:sz w:val="24"/>
          <w:szCs w:val="24"/>
        </w:rPr>
        <w:lastRenderedPageBreak/>
        <w:t xml:space="preserve">Australia’s migration system and therefore considered ‘arbitrary’ under article 9 of the ICCPR. </w:t>
      </w:r>
    </w:p>
    <w:p w14:paraId="5264CEE5" w14:textId="77777777" w:rsidR="00824071" w:rsidRPr="00E95FE0" w:rsidRDefault="00824071" w:rsidP="00824071">
      <w:pPr>
        <w:pStyle w:val="Heading2"/>
        <w:tabs>
          <w:tab w:val="clear" w:pos="1135"/>
          <w:tab w:val="num" w:pos="709"/>
          <w:tab w:val="num" w:pos="1702"/>
        </w:tabs>
        <w:spacing w:after="240"/>
        <w:ind w:left="851"/>
        <w:rPr>
          <w:rFonts w:cs="Open Sans"/>
          <w:i/>
        </w:rPr>
      </w:pPr>
      <w:bookmarkStart w:id="88" w:name="_Toc452472697"/>
      <w:bookmarkStart w:id="89" w:name="_Toc487445604"/>
      <w:bookmarkStart w:id="90" w:name="_Toc487531389"/>
      <w:bookmarkStart w:id="91" w:name="_Toc487531408"/>
      <w:bookmarkStart w:id="92" w:name="_Toc487531478"/>
      <w:bookmarkStart w:id="93" w:name="_Toc487531598"/>
      <w:bookmarkStart w:id="94" w:name="_Toc511049487"/>
      <w:bookmarkStart w:id="95" w:name="_Toc4159047"/>
      <w:bookmarkStart w:id="96" w:name="_Toc57217341"/>
      <w:r w:rsidRPr="00E95FE0">
        <w:rPr>
          <w:rFonts w:cs="Open Sans"/>
        </w:rPr>
        <w:t>Act or practice of the Commonwealth</w:t>
      </w:r>
      <w:bookmarkEnd w:id="88"/>
      <w:bookmarkEnd w:id="89"/>
      <w:bookmarkEnd w:id="90"/>
      <w:bookmarkEnd w:id="91"/>
      <w:bookmarkEnd w:id="92"/>
      <w:bookmarkEnd w:id="93"/>
      <w:bookmarkEnd w:id="94"/>
      <w:bookmarkEnd w:id="95"/>
      <w:bookmarkEnd w:id="96"/>
    </w:p>
    <w:p w14:paraId="00621052"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Mr LF was an unlawful non-citizen, meaning the </w:t>
      </w:r>
      <w:r w:rsidRPr="00593313">
        <w:rPr>
          <w:rFonts w:ascii="Open Sans" w:hAnsi="Open Sans" w:cs="Open Sans"/>
          <w:i/>
          <w:iCs/>
          <w:sz w:val="24"/>
          <w:szCs w:val="28"/>
        </w:rPr>
        <w:t>Migration Act</w:t>
      </w:r>
      <w:r w:rsidRPr="00593313">
        <w:rPr>
          <w:rFonts w:ascii="Open Sans" w:hAnsi="Open Sans" w:cs="Open Sans"/>
          <w:sz w:val="24"/>
          <w:szCs w:val="28"/>
        </w:rPr>
        <w:t xml:space="preserve"> required that he be detained.</w:t>
      </w:r>
    </w:p>
    <w:p w14:paraId="4D18C732"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However, there are a number of powers that the Minister could have exercised either to grant a visa, or to allow detention in a less restrictive manner, than in a closed immigration detention centre.  </w:t>
      </w:r>
    </w:p>
    <w:p w14:paraId="4A9EA5DA" w14:textId="202101D3"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Section 197AB of the </w:t>
      </w:r>
      <w:r w:rsidRPr="00593313">
        <w:rPr>
          <w:rFonts w:ascii="Open Sans" w:hAnsi="Open Sans" w:cs="Open Sans"/>
          <w:i/>
          <w:iCs/>
          <w:sz w:val="24"/>
          <w:szCs w:val="28"/>
        </w:rPr>
        <w:t>Migration Act</w:t>
      </w:r>
      <w:r w:rsidRPr="00593313">
        <w:rPr>
          <w:rFonts w:ascii="Open Sans" w:hAnsi="Open Sans" w:cs="Open Sans"/>
          <w:sz w:val="24"/>
          <w:szCs w:val="28"/>
        </w:rPr>
        <w:t xml:space="preserve"> permits the Minister, where </w:t>
      </w:r>
      <w:r w:rsidR="00126285">
        <w:rPr>
          <w:rFonts w:ascii="Open Sans" w:hAnsi="Open Sans" w:cs="Open Sans"/>
          <w:sz w:val="24"/>
          <w:szCs w:val="28"/>
        </w:rPr>
        <w:t>the Minister</w:t>
      </w:r>
      <w:r w:rsidR="00126285" w:rsidRPr="00593313">
        <w:rPr>
          <w:rFonts w:ascii="Open Sans" w:hAnsi="Open Sans" w:cs="Open Sans"/>
          <w:sz w:val="24"/>
          <w:szCs w:val="28"/>
        </w:rPr>
        <w:t xml:space="preserve"> </w:t>
      </w:r>
      <w:r w:rsidR="00126285">
        <w:rPr>
          <w:rFonts w:ascii="Open Sans" w:hAnsi="Open Sans" w:cs="Open Sans"/>
          <w:sz w:val="24"/>
          <w:szCs w:val="28"/>
        </w:rPr>
        <w:t>considers</w:t>
      </w:r>
      <w:r w:rsidR="00126285" w:rsidRPr="00593313">
        <w:rPr>
          <w:rFonts w:ascii="Open Sans" w:hAnsi="Open Sans" w:cs="Open Sans"/>
          <w:sz w:val="24"/>
          <w:szCs w:val="28"/>
        </w:rPr>
        <w:t xml:space="preserve"> </w:t>
      </w:r>
      <w:r w:rsidRPr="00593313">
        <w:rPr>
          <w:rFonts w:ascii="Open Sans" w:hAnsi="Open Sans" w:cs="Open Sans"/>
          <w:sz w:val="24"/>
          <w:szCs w:val="28"/>
        </w:rPr>
        <w:t>that it is in the public interest to do so, to make a residence determination to allow a person to reside in a specified place instead of being detained in closed immigration detention. A ‘specified place’ may be a place in the community. The residence determination may be made subject to other conditions</w:t>
      </w:r>
      <w:r w:rsidR="00126285">
        <w:rPr>
          <w:rFonts w:ascii="Open Sans" w:hAnsi="Open Sans" w:cs="Open Sans"/>
          <w:sz w:val="24"/>
          <w:szCs w:val="28"/>
        </w:rPr>
        <w:t>,</w:t>
      </w:r>
      <w:r w:rsidRPr="00593313">
        <w:rPr>
          <w:rFonts w:ascii="Open Sans" w:hAnsi="Open Sans" w:cs="Open Sans"/>
          <w:sz w:val="24"/>
          <w:szCs w:val="28"/>
        </w:rPr>
        <w:t xml:space="preserve"> such as reporting requirements. </w:t>
      </w:r>
    </w:p>
    <w:p w14:paraId="434D7882" w14:textId="71D4170A"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8"/>
        </w:rPr>
        <w:t>In addition to the power to make a residence determination under</w:t>
      </w:r>
      <w:r w:rsidR="008C240E">
        <w:rPr>
          <w:rFonts w:ascii="Open Sans" w:hAnsi="Open Sans" w:cs="Open Sans"/>
          <w:sz w:val="24"/>
          <w:szCs w:val="28"/>
        </w:rPr>
        <w:t xml:space="preserve"> </w:t>
      </w:r>
      <w:r w:rsidR="00126285" w:rsidRPr="00593313">
        <w:rPr>
          <w:rFonts w:ascii="Open Sans" w:hAnsi="Open Sans" w:cs="Open Sans"/>
          <w:sz w:val="24"/>
          <w:szCs w:val="28"/>
        </w:rPr>
        <w:t>s</w:t>
      </w:r>
      <w:r w:rsidR="00126285">
        <w:rPr>
          <w:rFonts w:ascii="Open Sans" w:hAnsi="Open Sans" w:cs="Open Sans"/>
          <w:sz w:val="24"/>
          <w:szCs w:val="28"/>
        </w:rPr>
        <w:t> </w:t>
      </w:r>
      <w:r w:rsidRPr="00593313">
        <w:rPr>
          <w:rFonts w:ascii="Open Sans" w:hAnsi="Open Sans" w:cs="Open Sans"/>
          <w:sz w:val="24"/>
          <w:szCs w:val="28"/>
        </w:rPr>
        <w:t xml:space="preserve">197AB, the Minister also has a discretionary non-compellable power under </w:t>
      </w:r>
      <w:r w:rsidR="00126285" w:rsidRPr="00593313">
        <w:rPr>
          <w:rFonts w:ascii="Open Sans" w:hAnsi="Open Sans" w:cs="Open Sans"/>
          <w:sz w:val="24"/>
          <w:szCs w:val="28"/>
        </w:rPr>
        <w:t>s</w:t>
      </w:r>
      <w:r w:rsidR="00126285">
        <w:rPr>
          <w:rFonts w:ascii="Open Sans" w:hAnsi="Open Sans" w:cs="Open Sans"/>
          <w:sz w:val="24"/>
          <w:szCs w:val="28"/>
        </w:rPr>
        <w:t> </w:t>
      </w:r>
      <w:r w:rsidRPr="00593313">
        <w:rPr>
          <w:rFonts w:ascii="Open Sans" w:hAnsi="Open Sans" w:cs="Open Sans"/>
          <w:sz w:val="24"/>
          <w:szCs w:val="28"/>
        </w:rPr>
        <w:t xml:space="preserve">195A of the </w:t>
      </w:r>
      <w:r w:rsidRPr="00593313">
        <w:rPr>
          <w:rFonts w:ascii="Open Sans" w:hAnsi="Open Sans" w:cs="Open Sans"/>
          <w:i/>
          <w:iCs/>
          <w:sz w:val="24"/>
          <w:szCs w:val="28"/>
        </w:rPr>
        <w:t>Migration Act</w:t>
      </w:r>
      <w:r w:rsidRPr="00593313">
        <w:rPr>
          <w:rFonts w:ascii="Open Sans" w:hAnsi="Open Sans" w:cs="Open Sans"/>
          <w:sz w:val="24"/>
          <w:szCs w:val="28"/>
        </w:rPr>
        <w:t xml:space="preserve"> to grant a visa to a person in immigration detention, again subject to any conditions necessary to take into account their specific circumstances. </w:t>
      </w:r>
    </w:p>
    <w:p w14:paraId="0E14E4AD" w14:textId="77777777" w:rsidR="00824071" w:rsidRPr="00593313" w:rsidRDefault="00824071" w:rsidP="00824071">
      <w:pPr>
        <w:numPr>
          <w:ilvl w:val="0"/>
          <w:numId w:val="3"/>
        </w:numPr>
        <w:spacing w:before="240" w:after="240" w:line="240" w:lineRule="auto"/>
        <w:rPr>
          <w:rFonts w:ascii="Open Sans" w:hAnsi="Open Sans" w:cs="Open Sans"/>
          <w:sz w:val="24"/>
          <w:szCs w:val="28"/>
        </w:rPr>
      </w:pPr>
      <w:r w:rsidRPr="00593313">
        <w:rPr>
          <w:rFonts w:ascii="Open Sans" w:hAnsi="Open Sans" w:cs="Open Sans"/>
          <w:sz w:val="24"/>
          <w:szCs w:val="24"/>
        </w:rPr>
        <w:t>I consider the following act of the Commonwealth as relevant to this inquiry:</w:t>
      </w:r>
    </w:p>
    <w:p w14:paraId="52958555" w14:textId="77777777" w:rsidR="00824071" w:rsidRPr="00593313" w:rsidRDefault="00824071" w:rsidP="00824071">
      <w:pPr>
        <w:numPr>
          <w:ilvl w:val="1"/>
          <w:numId w:val="3"/>
        </w:numPr>
        <w:spacing w:before="240" w:after="240" w:line="240" w:lineRule="auto"/>
        <w:rPr>
          <w:rFonts w:ascii="Open Sans" w:hAnsi="Open Sans" w:cs="Open Sans"/>
          <w:sz w:val="24"/>
          <w:szCs w:val="28"/>
        </w:rPr>
      </w:pPr>
      <w:r w:rsidRPr="00593313">
        <w:rPr>
          <w:rFonts w:ascii="Open Sans" w:hAnsi="Open Sans" w:cs="Open Sans"/>
          <w:sz w:val="24"/>
          <w:szCs w:val="28"/>
        </w:rPr>
        <w:t xml:space="preserve">The decision of the Department not to refer the case to the Minister in order for the Minister to assess whether to exercise his discretionary powers under s 195A or s 197AB of the </w:t>
      </w:r>
      <w:r w:rsidRPr="00593313">
        <w:rPr>
          <w:rFonts w:ascii="Open Sans" w:hAnsi="Open Sans" w:cs="Open Sans"/>
          <w:i/>
          <w:iCs/>
          <w:sz w:val="24"/>
          <w:szCs w:val="28"/>
        </w:rPr>
        <w:t>Migration Act</w:t>
      </w:r>
      <w:r w:rsidRPr="00593313">
        <w:rPr>
          <w:rFonts w:ascii="Open Sans" w:hAnsi="Open Sans" w:cs="Open Sans"/>
          <w:sz w:val="24"/>
          <w:szCs w:val="28"/>
        </w:rPr>
        <w:t>.</w:t>
      </w:r>
    </w:p>
    <w:p w14:paraId="4D28E877" w14:textId="77777777" w:rsidR="00824071" w:rsidRPr="00E95FE0" w:rsidRDefault="00824071" w:rsidP="00824071">
      <w:pPr>
        <w:pStyle w:val="Heading2"/>
        <w:tabs>
          <w:tab w:val="clear" w:pos="1135"/>
          <w:tab w:val="num" w:pos="709"/>
        </w:tabs>
        <w:ind w:left="4394" w:hanging="4394"/>
        <w:rPr>
          <w:rFonts w:cs="Open Sans"/>
          <w:i/>
        </w:rPr>
      </w:pPr>
      <w:bookmarkStart w:id="97" w:name="_Toc57217342"/>
      <w:r w:rsidRPr="00E95FE0">
        <w:rPr>
          <w:rFonts w:cs="Open Sans"/>
        </w:rPr>
        <w:t>Findings</w:t>
      </w:r>
      <w:bookmarkEnd w:id="97"/>
    </w:p>
    <w:p w14:paraId="356B0E39"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Mr LF was held in immigration detention for a period of 200 days between 12 February 2018 and 12 October 2018. </w:t>
      </w:r>
    </w:p>
    <w:p w14:paraId="670D773F"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On 21 October 2017, the Hon Peter Dutton MP, Minister for Home Affairs, re</w:t>
      </w:r>
      <w:r w:rsidRPr="00593313">
        <w:rPr>
          <w:rFonts w:ascii="Open Sans" w:hAnsi="Open Sans" w:cs="Open Sans"/>
          <w:sz w:val="24"/>
          <w:szCs w:val="24"/>
        </w:rPr>
        <w:noBreakHyphen/>
        <w:t xml:space="preserve">issued guidelines to explain the circumstances in which he may wish to consider exercising his residence determination power under s 197AB of the </w:t>
      </w:r>
      <w:r w:rsidRPr="00593313">
        <w:rPr>
          <w:rFonts w:ascii="Open Sans" w:hAnsi="Open Sans" w:cs="Open Sans"/>
          <w:i/>
          <w:iCs/>
          <w:sz w:val="24"/>
          <w:szCs w:val="24"/>
        </w:rPr>
        <w:t>Migration Act</w:t>
      </w:r>
      <w:r w:rsidRPr="00593313">
        <w:rPr>
          <w:rFonts w:ascii="Open Sans" w:hAnsi="Open Sans" w:cs="Open Sans"/>
          <w:sz w:val="24"/>
          <w:szCs w:val="24"/>
        </w:rPr>
        <w:t>.</w:t>
      </w:r>
      <w:r w:rsidRPr="00593313">
        <w:rPr>
          <w:rFonts w:ascii="Open Sans" w:hAnsi="Open Sans" w:cs="Open Sans"/>
          <w:sz w:val="24"/>
          <w:szCs w:val="24"/>
          <w:vertAlign w:val="superscript"/>
        </w:rPr>
        <w:endnoteReference w:id="13"/>
      </w:r>
      <w:r w:rsidRPr="00593313">
        <w:rPr>
          <w:rFonts w:ascii="Open Sans" w:hAnsi="Open Sans" w:cs="Open Sans"/>
          <w:sz w:val="24"/>
          <w:szCs w:val="24"/>
        </w:rPr>
        <w:t xml:space="preserve"> </w:t>
      </w:r>
    </w:p>
    <w:p w14:paraId="0AA4A43A"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These guidelines provide that the Minister would not expect referral of cases where a person does not meet the character test under s 501 of the </w:t>
      </w:r>
      <w:r w:rsidRPr="00593313">
        <w:rPr>
          <w:rFonts w:ascii="Open Sans" w:hAnsi="Open Sans" w:cs="Open Sans"/>
          <w:i/>
          <w:iCs/>
          <w:sz w:val="24"/>
          <w:szCs w:val="24"/>
        </w:rPr>
        <w:t>Migration Act</w:t>
      </w:r>
      <w:r w:rsidRPr="00593313">
        <w:rPr>
          <w:rFonts w:ascii="Open Sans" w:hAnsi="Open Sans" w:cs="Open Sans"/>
          <w:sz w:val="24"/>
          <w:szCs w:val="24"/>
        </w:rPr>
        <w:t xml:space="preserve"> unless there were exceptional circumstances.</w:t>
      </w:r>
    </w:p>
    <w:p w14:paraId="693CED9B"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lastRenderedPageBreak/>
        <w:t>The guidelines also state that the Minister will consider cases where there are ‘unique or exceptional circumstances’.</w:t>
      </w:r>
    </w:p>
    <w:p w14:paraId="61743769"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The phrase ‘unique or exceptional circumstances’ is not defined in any of the guidelines, however it is defined in similar guidelines relating to the Minister’s power to grant visas in the public interest.</w:t>
      </w:r>
      <w:r w:rsidRPr="00593313">
        <w:rPr>
          <w:rFonts w:ascii="Open Sans" w:hAnsi="Open Sans" w:cs="Open Sans"/>
          <w:sz w:val="24"/>
          <w:szCs w:val="24"/>
          <w:vertAlign w:val="superscript"/>
        </w:rPr>
        <w:endnoteReference w:id="14"/>
      </w:r>
      <w:r w:rsidRPr="00593313">
        <w:rPr>
          <w:rFonts w:ascii="Open Sans" w:hAnsi="Open Sans" w:cs="Open Sans"/>
          <w:sz w:val="24"/>
          <w:szCs w:val="24"/>
        </w:rPr>
        <w:t xml:space="preserve"> In those guidelines, factors that are relevant to an assessment of unique or exceptional circumstances include:</w:t>
      </w:r>
    </w:p>
    <w:p w14:paraId="427EAAC2" w14:textId="77777777" w:rsidR="00824071" w:rsidRPr="00593313" w:rsidRDefault="00824071" w:rsidP="00824071">
      <w:pPr>
        <w:numPr>
          <w:ilvl w:val="1"/>
          <w:numId w:val="3"/>
        </w:numPr>
        <w:spacing w:before="120" w:after="120" w:line="240" w:lineRule="auto"/>
        <w:rPr>
          <w:rFonts w:ascii="Open Sans" w:hAnsi="Open Sans" w:cs="Open Sans"/>
          <w:sz w:val="24"/>
          <w:szCs w:val="24"/>
        </w:rPr>
      </w:pPr>
      <w:r w:rsidRPr="00593313">
        <w:rPr>
          <w:rFonts w:ascii="Open Sans" w:hAnsi="Open Sans" w:cs="Open Sans"/>
          <w:sz w:val="24"/>
          <w:szCs w:val="24"/>
        </w:rPr>
        <w:t xml:space="preserve">circumstances that may bring Australia’s obligations as a party to the ICCPR into consideration </w:t>
      </w:r>
    </w:p>
    <w:p w14:paraId="1069B8BC" w14:textId="77777777" w:rsidR="00824071" w:rsidRPr="00593313" w:rsidRDefault="00824071" w:rsidP="00824071">
      <w:pPr>
        <w:numPr>
          <w:ilvl w:val="1"/>
          <w:numId w:val="3"/>
        </w:numPr>
        <w:spacing w:before="120" w:after="120" w:line="240" w:lineRule="auto"/>
        <w:rPr>
          <w:rFonts w:ascii="Open Sans" w:hAnsi="Open Sans" w:cs="Open Sans"/>
          <w:sz w:val="24"/>
          <w:szCs w:val="24"/>
        </w:rPr>
      </w:pPr>
      <w:r w:rsidRPr="00593313">
        <w:rPr>
          <w:rFonts w:ascii="Open Sans" w:hAnsi="Open Sans" w:cs="Open Sans"/>
          <w:sz w:val="24"/>
          <w:szCs w:val="24"/>
        </w:rPr>
        <w:t>the length of time the person has been present in Australia (including time spent in detention) and their level of integration into the Australian community</w:t>
      </w:r>
    </w:p>
    <w:p w14:paraId="42E0B91F" w14:textId="77777777" w:rsidR="00824071" w:rsidRPr="00593313" w:rsidRDefault="00824071" w:rsidP="00824071">
      <w:pPr>
        <w:numPr>
          <w:ilvl w:val="1"/>
          <w:numId w:val="3"/>
        </w:numPr>
        <w:spacing w:before="120" w:after="120" w:line="240" w:lineRule="auto"/>
        <w:rPr>
          <w:rFonts w:ascii="Open Sans" w:hAnsi="Open Sans" w:cs="Open Sans"/>
          <w:sz w:val="24"/>
          <w:szCs w:val="24"/>
        </w:rPr>
      </w:pPr>
      <w:r w:rsidRPr="00593313">
        <w:rPr>
          <w:rFonts w:ascii="Open Sans" w:hAnsi="Open Sans" w:cs="Open Sans"/>
          <w:sz w:val="24"/>
          <w:szCs w:val="24"/>
        </w:rPr>
        <w:t>compassionate circumstances regarding the age and/or health and/or psychological state of the person such that a failure to recognise them would result in irreparable harm and continuing hardship to the person.</w:t>
      </w:r>
    </w:p>
    <w:p w14:paraId="422AB646"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Similarly, guidelines have been published in relation to the exercise of the Minister’s power under s 195A of the </w:t>
      </w:r>
      <w:r w:rsidRPr="00593313">
        <w:rPr>
          <w:rFonts w:ascii="Open Sans" w:hAnsi="Open Sans" w:cs="Open Sans"/>
          <w:i/>
          <w:iCs/>
          <w:sz w:val="24"/>
          <w:szCs w:val="24"/>
        </w:rPr>
        <w:t>Migration Act</w:t>
      </w:r>
      <w:r w:rsidRPr="00593313">
        <w:rPr>
          <w:rFonts w:ascii="Open Sans" w:hAnsi="Open Sans" w:cs="Open Sans"/>
          <w:sz w:val="24"/>
          <w:szCs w:val="24"/>
        </w:rPr>
        <w:t xml:space="preserve"> to grant a visa to a person in immigration detention.</w:t>
      </w:r>
    </w:p>
    <w:p w14:paraId="7B9F775D"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 xml:space="preserve">In April 2016, Minister Dutton re-issued s 195A guidelines, which are the current guidelines in use by the Department. These guidelines provide that the Minister would not expect referral of cases where a person does not meet the character test under s 501 of the </w:t>
      </w:r>
      <w:r w:rsidRPr="00593313">
        <w:rPr>
          <w:rFonts w:ascii="Open Sans" w:hAnsi="Open Sans" w:cs="Open Sans"/>
          <w:i/>
          <w:iCs/>
          <w:sz w:val="24"/>
          <w:szCs w:val="24"/>
        </w:rPr>
        <w:t>Migration Act</w:t>
      </w:r>
      <w:r w:rsidRPr="00593313">
        <w:rPr>
          <w:rFonts w:ascii="Open Sans" w:hAnsi="Open Sans" w:cs="Open Sans"/>
          <w:sz w:val="24"/>
          <w:szCs w:val="24"/>
        </w:rPr>
        <w:t xml:space="preserve">. Although there is no exception for unique or exceptional circumstances—unlike the other ministerial intervention guidelines referred to above—under these guidelines the Minister will consider cases where there are compelling or compassionate circumstances. </w:t>
      </w:r>
    </w:p>
    <w:p w14:paraId="2FB3261E" w14:textId="77777777" w:rsidR="00824071" w:rsidRPr="00593313" w:rsidRDefault="00824071" w:rsidP="00824071">
      <w:pPr>
        <w:numPr>
          <w:ilvl w:val="0"/>
          <w:numId w:val="3"/>
        </w:numPr>
        <w:spacing w:before="240" w:after="240" w:line="240" w:lineRule="auto"/>
        <w:rPr>
          <w:rFonts w:ascii="Open Sans" w:hAnsi="Open Sans" w:cs="Open Sans"/>
          <w:sz w:val="24"/>
          <w:szCs w:val="24"/>
        </w:rPr>
      </w:pPr>
      <w:r w:rsidRPr="00593313">
        <w:rPr>
          <w:rFonts w:ascii="Open Sans" w:hAnsi="Open Sans" w:cs="Open Sans"/>
          <w:sz w:val="24"/>
          <w:szCs w:val="24"/>
        </w:rPr>
        <w:t>In response to the Commission’s question regarding whether alternative, less restrictive detention options had been considered, on 30 January 2020 the Department advised that:</w:t>
      </w:r>
    </w:p>
    <w:p w14:paraId="06CA2624" w14:textId="77777777" w:rsidR="00824071" w:rsidRPr="00D84BCB" w:rsidRDefault="00824071" w:rsidP="00824071">
      <w:pPr>
        <w:spacing w:before="240" w:after="240"/>
        <w:ind w:left="1440"/>
        <w:rPr>
          <w:rFonts w:ascii="Open Sans" w:hAnsi="Open Sans" w:cs="Open Sans"/>
        </w:rPr>
      </w:pPr>
      <w:r>
        <w:rPr>
          <w:rFonts w:ascii="Open Sans" w:hAnsi="Open Sans" w:cs="Open Sans"/>
        </w:rPr>
        <w:t>Mr [LF]</w:t>
      </w:r>
      <w:r w:rsidRPr="00AF4846">
        <w:rPr>
          <w:rFonts w:ascii="Open Sans" w:hAnsi="Open Sans" w:cs="Open Sans"/>
        </w:rPr>
        <w:t xml:space="preserve"> did not present with</w:t>
      </w:r>
      <w:r w:rsidRPr="00263AF8">
        <w:rPr>
          <w:rFonts w:ascii="Open Sans" w:hAnsi="Open Sans" w:cs="Open Sans"/>
        </w:rPr>
        <w:t xml:space="preserve"> any significant health or welfare issues or vulnerabilities. Furthermore, no issues were identified through the Detention Review Committee. Given the Department’s cancellation decision under section 116 of the Act, and as the evidence before the Department indicated </w:t>
      </w:r>
      <w:r>
        <w:rPr>
          <w:rFonts w:ascii="Open Sans" w:hAnsi="Open Sans" w:cs="Open Sans"/>
        </w:rPr>
        <w:t>Mr [LF]</w:t>
      </w:r>
      <w:r w:rsidRPr="00263AF8">
        <w:rPr>
          <w:rFonts w:ascii="Open Sans" w:hAnsi="Open Sans" w:cs="Open Sans"/>
        </w:rPr>
        <w:t xml:space="preserve"> could be appropriately managed in a detention centre environment, </w:t>
      </w:r>
      <w:r>
        <w:rPr>
          <w:rFonts w:ascii="Open Sans" w:hAnsi="Open Sans" w:cs="Open Sans"/>
        </w:rPr>
        <w:t>Mr [LF]</w:t>
      </w:r>
      <w:r w:rsidRPr="00263AF8">
        <w:rPr>
          <w:rFonts w:ascii="Open Sans" w:hAnsi="Open Sans" w:cs="Open Sans"/>
        </w:rPr>
        <w:t xml:space="preserve">’s case was not considered as one that should be referred for </w:t>
      </w:r>
      <w:r w:rsidRPr="00E00B75">
        <w:rPr>
          <w:rFonts w:ascii="Open Sans" w:hAnsi="Open Sans" w:cs="Open Sans"/>
        </w:rPr>
        <w:t>Ministerial Intervention consideration under either section 195A or 197AB.</w:t>
      </w:r>
      <w:r>
        <w:rPr>
          <w:rFonts w:ascii="Open Sans" w:hAnsi="Open Sans" w:cs="Open Sans"/>
        </w:rPr>
        <w:t xml:space="preserve"> </w:t>
      </w:r>
    </w:p>
    <w:p w14:paraId="1425F35F" w14:textId="77777777" w:rsidR="00824071" w:rsidRDefault="00824071" w:rsidP="00824071">
      <w:pPr>
        <w:pStyle w:val="ListParagraph"/>
        <w:numPr>
          <w:ilvl w:val="0"/>
          <w:numId w:val="3"/>
        </w:numPr>
        <w:spacing w:before="240" w:after="240"/>
        <w:contextualSpacing w:val="0"/>
        <w:rPr>
          <w:rFonts w:ascii="Open Sans" w:hAnsi="Open Sans" w:cs="Open Sans"/>
        </w:rPr>
      </w:pPr>
      <w:r>
        <w:rPr>
          <w:rFonts w:ascii="Open Sans" w:hAnsi="Open Sans" w:cs="Open Sans"/>
        </w:rPr>
        <w:lastRenderedPageBreak/>
        <w:t>In response to my preliminary view, on 30 July 2020 the Department further stated that:</w:t>
      </w:r>
    </w:p>
    <w:p w14:paraId="0EF63125" w14:textId="77777777" w:rsidR="00824071" w:rsidRDefault="00824071" w:rsidP="00824071">
      <w:pPr>
        <w:spacing w:before="240" w:after="240"/>
        <w:ind w:left="1440"/>
        <w:rPr>
          <w:rFonts w:ascii="Open Sans" w:hAnsi="Open Sans" w:cs="Open Sans"/>
        </w:rPr>
      </w:pPr>
      <w:r>
        <w:rPr>
          <w:rFonts w:ascii="Open Sans" w:hAnsi="Open Sans" w:cs="Open Sans"/>
        </w:rPr>
        <w:t xml:space="preserve">The Department conducts formal monthly reviews of efforts to resolve the status of detainees in held immigration detention. The purpose of these reviews is to ensure that: </w:t>
      </w:r>
    </w:p>
    <w:p w14:paraId="15C823AC" w14:textId="77777777" w:rsidR="00824071" w:rsidRDefault="00824071" w:rsidP="00824071">
      <w:pPr>
        <w:pStyle w:val="ListParagraph"/>
        <w:numPr>
          <w:ilvl w:val="2"/>
          <w:numId w:val="5"/>
        </w:numPr>
        <w:spacing w:before="240" w:after="240"/>
        <w:rPr>
          <w:rFonts w:ascii="Open Sans" w:hAnsi="Open Sans" w:cs="Open Sans"/>
          <w:sz w:val="22"/>
          <w:szCs w:val="22"/>
        </w:rPr>
      </w:pPr>
      <w:r>
        <w:rPr>
          <w:rFonts w:ascii="Open Sans" w:hAnsi="Open Sans" w:cs="Open Sans"/>
          <w:sz w:val="22"/>
          <w:szCs w:val="22"/>
        </w:rPr>
        <w:t xml:space="preserve">Where a person is managed in a held detention environment, that the detention remains lawful and reasonable. </w:t>
      </w:r>
    </w:p>
    <w:p w14:paraId="3A0D3F0C" w14:textId="77777777" w:rsidR="00824071" w:rsidRDefault="00824071" w:rsidP="00824071">
      <w:pPr>
        <w:pStyle w:val="ListParagraph"/>
        <w:numPr>
          <w:ilvl w:val="2"/>
          <w:numId w:val="5"/>
        </w:numPr>
        <w:spacing w:before="240" w:after="240"/>
        <w:rPr>
          <w:rFonts w:ascii="Open Sans" w:hAnsi="Open Sans" w:cs="Open Sans"/>
          <w:sz w:val="22"/>
          <w:szCs w:val="22"/>
        </w:rPr>
      </w:pPr>
      <w:r>
        <w:rPr>
          <w:rFonts w:ascii="Open Sans" w:hAnsi="Open Sans" w:cs="Open Sans"/>
          <w:sz w:val="22"/>
          <w:szCs w:val="22"/>
        </w:rPr>
        <w:t xml:space="preserve">The location of the person remains appropriate to the person’s situation and conducive to status resolution. </w:t>
      </w:r>
    </w:p>
    <w:p w14:paraId="293886BA" w14:textId="77777777" w:rsidR="00824071" w:rsidRDefault="00824071" w:rsidP="00824071">
      <w:pPr>
        <w:pStyle w:val="ListParagraph"/>
        <w:numPr>
          <w:ilvl w:val="2"/>
          <w:numId w:val="5"/>
        </w:numPr>
        <w:spacing w:before="240" w:after="240"/>
        <w:rPr>
          <w:rFonts w:ascii="Open Sans" w:hAnsi="Open Sans" w:cs="Open Sans"/>
          <w:sz w:val="22"/>
          <w:szCs w:val="22"/>
        </w:rPr>
      </w:pPr>
      <w:r>
        <w:rPr>
          <w:rFonts w:ascii="Open Sans" w:hAnsi="Open Sans" w:cs="Open Sans"/>
          <w:sz w:val="22"/>
          <w:szCs w:val="22"/>
        </w:rPr>
        <w:t xml:space="preserve">Regardless of which location a person is being managed in, their case is progressing and departmental activity is underway to reach an outcome. </w:t>
      </w:r>
    </w:p>
    <w:p w14:paraId="78955F77" w14:textId="77777777" w:rsidR="00824071" w:rsidRPr="001F1627" w:rsidRDefault="00824071" w:rsidP="00824071">
      <w:pPr>
        <w:pStyle w:val="ListParagraph"/>
        <w:numPr>
          <w:ilvl w:val="2"/>
          <w:numId w:val="5"/>
        </w:numPr>
        <w:spacing w:before="240" w:after="240"/>
        <w:rPr>
          <w:rFonts w:ascii="Open Sans" w:hAnsi="Open Sans" w:cs="Open Sans"/>
          <w:sz w:val="22"/>
          <w:szCs w:val="22"/>
        </w:rPr>
      </w:pPr>
      <w:r>
        <w:rPr>
          <w:rFonts w:ascii="Open Sans" w:hAnsi="Open Sans" w:cs="Open Sans"/>
          <w:sz w:val="22"/>
          <w:szCs w:val="22"/>
        </w:rPr>
        <w:t xml:space="preserve">That appropriate services are being provided in an effective and cost efficient manner. </w:t>
      </w:r>
    </w:p>
    <w:p w14:paraId="157C4687" w14:textId="77777777" w:rsidR="00824071" w:rsidRDefault="00824071" w:rsidP="00824071">
      <w:pPr>
        <w:spacing w:before="240" w:after="240"/>
        <w:ind w:left="1440"/>
        <w:rPr>
          <w:rFonts w:ascii="Open Sans" w:hAnsi="Open Sans" w:cs="Open Sans"/>
        </w:rPr>
      </w:pPr>
      <w:r>
        <w:rPr>
          <w:rFonts w:ascii="Open Sans" w:hAnsi="Open Sans" w:cs="Open Sans"/>
        </w:rPr>
        <w:t xml:space="preserve">The Department conducted monthly reviews of Mr [LF]’s case during the periods of his immigration detention and the reviews did not identify any vulnerabilities or other reasons to consider community placement. </w:t>
      </w:r>
    </w:p>
    <w:p w14:paraId="5BAA6AE7" w14:textId="77777777" w:rsidR="00824071" w:rsidRDefault="00824071" w:rsidP="00824071">
      <w:pPr>
        <w:pStyle w:val="SubmissionNormal"/>
        <w:numPr>
          <w:ilvl w:val="0"/>
          <w:numId w:val="3"/>
        </w:numPr>
        <w:rPr>
          <w:rFonts w:ascii="Open Sans" w:hAnsi="Open Sans" w:cs="Open Sans"/>
        </w:rPr>
      </w:pPr>
      <w:r w:rsidRPr="007115B8">
        <w:rPr>
          <w:rFonts w:ascii="Open Sans" w:hAnsi="Open Sans" w:cs="Open Sans"/>
        </w:rPr>
        <w:t>In order to avoid detention being arbitrary under international human rights law</w:t>
      </w:r>
      <w:r w:rsidRPr="001B1708">
        <w:rPr>
          <w:rFonts w:ascii="Open Sans" w:hAnsi="Open Sans" w:cs="Open Sans"/>
        </w:rPr>
        <w:t xml:space="preserve">, </w:t>
      </w:r>
      <w:r w:rsidRPr="00870D07">
        <w:rPr>
          <w:rFonts w:ascii="Open Sans" w:hAnsi="Open Sans" w:cs="Open Sans"/>
        </w:rPr>
        <w:t>detention must be justi</w:t>
      </w:r>
      <w:r w:rsidRPr="007A7194">
        <w:rPr>
          <w:rFonts w:ascii="Open Sans" w:hAnsi="Open Sans" w:cs="Open Sans"/>
        </w:rPr>
        <w:t xml:space="preserve">fied as reasonable, necessary, and proportionate on the basis of </w:t>
      </w:r>
      <w:r w:rsidRPr="005C6C1B">
        <w:rPr>
          <w:rFonts w:ascii="Open Sans" w:hAnsi="Open Sans" w:cs="Open Sans"/>
        </w:rPr>
        <w:t xml:space="preserve">the </w:t>
      </w:r>
      <w:r w:rsidRPr="001A691D">
        <w:rPr>
          <w:rFonts w:ascii="Open Sans" w:hAnsi="Open Sans" w:cs="Open Sans"/>
        </w:rPr>
        <w:t>individual’s</w:t>
      </w:r>
      <w:r w:rsidRPr="00A94153">
        <w:rPr>
          <w:rFonts w:ascii="Open Sans" w:hAnsi="Open Sans" w:cs="Open Sans"/>
        </w:rPr>
        <w:t xml:space="preserve"> particular circumstances</w:t>
      </w:r>
      <w:r w:rsidRPr="00AB641B">
        <w:rPr>
          <w:rFonts w:ascii="Open Sans" w:hAnsi="Open Sans" w:cs="Open Sans"/>
        </w:rPr>
        <w:t>.</w:t>
      </w:r>
      <w:r w:rsidRPr="00704B8F">
        <w:rPr>
          <w:rFonts w:ascii="Open Sans" w:hAnsi="Open Sans" w:cs="Open Sans"/>
        </w:rPr>
        <w:t xml:space="preserve"> Furthermore, </w:t>
      </w:r>
      <w:r w:rsidRPr="00DA226F">
        <w:rPr>
          <w:rFonts w:ascii="Open Sans" w:hAnsi="Open Sans" w:cs="Open Sans"/>
        </w:rPr>
        <w:t xml:space="preserve">there is an </w:t>
      </w:r>
      <w:r w:rsidRPr="00C8145E">
        <w:rPr>
          <w:rFonts w:ascii="Open Sans" w:hAnsi="Open Sans" w:cs="Open Sans"/>
        </w:rPr>
        <w:t xml:space="preserve">obligation on the Commonwealth </w:t>
      </w:r>
      <w:r w:rsidRPr="000218FB">
        <w:rPr>
          <w:rFonts w:ascii="Open Sans" w:hAnsi="Open Sans" w:cs="Open Sans"/>
        </w:rPr>
        <w:t xml:space="preserve">to demonstrate that there was </w:t>
      </w:r>
      <w:r w:rsidRPr="00072835">
        <w:rPr>
          <w:rFonts w:ascii="Open Sans" w:hAnsi="Open Sans" w:cs="Open Sans"/>
        </w:rPr>
        <w:t>not a less invasive way than detention to achieve the ends of the immigration policy (for exampl</w:t>
      </w:r>
      <w:r w:rsidRPr="00107D5C">
        <w:rPr>
          <w:rFonts w:ascii="Open Sans" w:hAnsi="Open Sans" w:cs="Open Sans"/>
        </w:rPr>
        <w:t>e the imposition of reporting obligations, sureties or other conditions) in order to avoid the conclusion that detention was ‘arbitrary’</w:t>
      </w:r>
      <w:r w:rsidRPr="007115B8">
        <w:rPr>
          <w:rFonts w:ascii="Open Sans" w:hAnsi="Open Sans" w:cs="Open Sans"/>
        </w:rPr>
        <w:t>.</w:t>
      </w:r>
    </w:p>
    <w:p w14:paraId="33D41329" w14:textId="77777777" w:rsidR="00824071" w:rsidRDefault="00824071" w:rsidP="00824071">
      <w:pPr>
        <w:pStyle w:val="SubmissionNormal"/>
        <w:numPr>
          <w:ilvl w:val="0"/>
          <w:numId w:val="3"/>
        </w:numPr>
        <w:rPr>
          <w:rFonts w:ascii="Open Sans" w:hAnsi="Open Sans" w:cs="Open Sans"/>
          <w:spacing w:val="-5"/>
          <w:szCs w:val="20"/>
          <w:lang w:eastAsia="en-US"/>
        </w:rPr>
      </w:pPr>
      <w:r w:rsidRPr="00CD44B8">
        <w:rPr>
          <w:rFonts w:ascii="Open Sans" w:hAnsi="Open Sans" w:cs="Open Sans"/>
          <w:spacing w:val="-5"/>
          <w:szCs w:val="20"/>
          <w:lang w:eastAsia="en-US"/>
        </w:rPr>
        <w:t xml:space="preserve">To comply with these obligations the Department would need to conduct an individualised risk assessment to determine whether any risks an individual may pose to the community could be mitigated, and ongoing reviews to determine whether detention continues to be necessary. </w:t>
      </w:r>
    </w:p>
    <w:p w14:paraId="69EFCD4E" w14:textId="77777777" w:rsidR="00824071" w:rsidRPr="006E0A86" w:rsidRDefault="00824071" w:rsidP="00824071">
      <w:pPr>
        <w:pStyle w:val="Heading3"/>
        <w:rPr>
          <w:b/>
          <w:bCs w:val="0"/>
          <w:i/>
          <w:iCs/>
        </w:rPr>
      </w:pPr>
      <w:bookmarkStart w:id="98" w:name="_Toc57217343"/>
      <w:r w:rsidRPr="006E0A86">
        <w:rPr>
          <w:b/>
          <w:bCs w:val="0"/>
          <w:iCs/>
        </w:rPr>
        <w:t>Detention between 12 February 2018 and 16 May 2018</w:t>
      </w:r>
      <w:bookmarkEnd w:id="98"/>
    </w:p>
    <w:p w14:paraId="2FA41921" w14:textId="77777777" w:rsidR="00824071" w:rsidRDefault="00824071" w:rsidP="00824071">
      <w:pPr>
        <w:pStyle w:val="ListParagraph"/>
        <w:numPr>
          <w:ilvl w:val="0"/>
          <w:numId w:val="3"/>
        </w:numPr>
        <w:spacing w:before="240" w:after="240"/>
        <w:contextualSpacing w:val="0"/>
        <w:rPr>
          <w:rFonts w:ascii="Open Sans" w:hAnsi="Open Sans" w:cs="Open Sans"/>
        </w:rPr>
      </w:pPr>
      <w:r>
        <w:rPr>
          <w:rFonts w:ascii="Open Sans" w:hAnsi="Open Sans" w:cs="Open Sans"/>
        </w:rPr>
        <w:t xml:space="preserve">In respect of the period from 12 February 2018 to 16 May 2018, the Department’s response of 30 July 2020 stated that: </w:t>
      </w:r>
    </w:p>
    <w:p w14:paraId="4564E121" w14:textId="77777777" w:rsidR="00824071" w:rsidRDefault="00824071" w:rsidP="00824071">
      <w:pPr>
        <w:spacing w:before="240" w:after="240"/>
        <w:ind w:left="1440"/>
        <w:rPr>
          <w:rFonts w:ascii="Open Sans" w:hAnsi="Open Sans" w:cs="Open Sans"/>
        </w:rPr>
      </w:pPr>
      <w:r w:rsidRPr="00644AE7">
        <w:rPr>
          <w:rFonts w:ascii="Open Sans" w:hAnsi="Open Sans" w:cs="Open Sans"/>
        </w:rPr>
        <w:t xml:space="preserve">From the time </w:t>
      </w:r>
      <w:r>
        <w:rPr>
          <w:rFonts w:ascii="Open Sans" w:hAnsi="Open Sans" w:cs="Open Sans"/>
        </w:rPr>
        <w:t>Mr [LF]</w:t>
      </w:r>
      <w:r w:rsidRPr="00644AE7">
        <w:rPr>
          <w:rFonts w:ascii="Open Sans" w:hAnsi="Open Sans" w:cs="Open Sans"/>
        </w:rPr>
        <w:t xml:space="preserve"> was detained on 12 February 2018 to 16 May 2018, his case was regularly reviewed. In each review, the Department took into account </w:t>
      </w:r>
      <w:r>
        <w:rPr>
          <w:rFonts w:ascii="Open Sans" w:hAnsi="Open Sans" w:cs="Open Sans"/>
        </w:rPr>
        <w:t>Mr [LF]</w:t>
      </w:r>
      <w:r w:rsidRPr="00644AE7">
        <w:rPr>
          <w:rFonts w:ascii="Open Sans" w:hAnsi="Open Sans" w:cs="Open Sans"/>
        </w:rPr>
        <w:t xml:space="preserve">’s circumstances, including his immigration pathway, ongoing criminal charges, as well as his health and welfare needs were being met in immigration detention. Given </w:t>
      </w:r>
      <w:r>
        <w:rPr>
          <w:rFonts w:ascii="Open Sans" w:hAnsi="Open Sans" w:cs="Open Sans"/>
        </w:rPr>
        <w:t>Mr [LF]</w:t>
      </w:r>
      <w:r w:rsidRPr="00644AE7">
        <w:rPr>
          <w:rFonts w:ascii="Open Sans" w:hAnsi="Open Sans" w:cs="Open Sans"/>
        </w:rPr>
        <w:t xml:space="preserve">’s criminal charges were not yet resolved and the absence of evidence that his health could not be managed in a held detention environment, it was considered there was </w:t>
      </w:r>
      <w:r w:rsidRPr="00644AE7">
        <w:rPr>
          <w:rFonts w:ascii="Open Sans" w:hAnsi="Open Sans" w:cs="Open Sans"/>
        </w:rPr>
        <w:lastRenderedPageBreak/>
        <w:t>no need to refer his case for assessment under sections 195A or 197AB of the Act.</w:t>
      </w:r>
      <w:r>
        <w:rPr>
          <w:rFonts w:ascii="Open Sans" w:hAnsi="Open Sans" w:cs="Open Sans"/>
        </w:rPr>
        <w:t xml:space="preserve"> </w:t>
      </w:r>
    </w:p>
    <w:p w14:paraId="4A1D762B" w14:textId="77777777" w:rsidR="00824071" w:rsidRPr="000B42F1" w:rsidRDefault="00824071" w:rsidP="00824071">
      <w:pPr>
        <w:pStyle w:val="SubmissionNormal"/>
        <w:numPr>
          <w:ilvl w:val="0"/>
          <w:numId w:val="3"/>
        </w:numPr>
        <w:rPr>
          <w:rFonts w:ascii="Open Sans" w:hAnsi="Open Sans" w:cs="Open Sans"/>
          <w:spacing w:val="-5"/>
          <w:szCs w:val="20"/>
          <w:lang w:eastAsia="en-US"/>
        </w:rPr>
      </w:pPr>
      <w:r w:rsidRPr="000B42F1">
        <w:rPr>
          <w:rFonts w:ascii="Open Sans" w:hAnsi="Open Sans" w:cs="Open Sans"/>
          <w:spacing w:val="-5"/>
          <w:szCs w:val="20"/>
          <w:lang w:eastAsia="en-US"/>
        </w:rPr>
        <w:t xml:space="preserve">As highlighted in the Department’s response, its monthly case reviews focus on whether there is any need for an individual to be released from detention, rather than whether it is necessary to continue to detain the individual. The reviews of Mr </w:t>
      </w:r>
      <w:r>
        <w:rPr>
          <w:rFonts w:ascii="Open Sans" w:hAnsi="Open Sans" w:cs="Open Sans"/>
          <w:spacing w:val="-5"/>
          <w:szCs w:val="20"/>
          <w:lang w:eastAsia="en-US"/>
        </w:rPr>
        <w:t>LF</w:t>
      </w:r>
      <w:r w:rsidRPr="000B42F1">
        <w:rPr>
          <w:rFonts w:ascii="Open Sans" w:hAnsi="Open Sans" w:cs="Open Sans"/>
          <w:spacing w:val="-5"/>
          <w:szCs w:val="20"/>
          <w:lang w:eastAsia="en-US"/>
        </w:rPr>
        <w:t>’s detention did not consider the necessity of his detention.</w:t>
      </w:r>
    </w:p>
    <w:p w14:paraId="674B3EE3" w14:textId="77777777" w:rsidR="00824071" w:rsidRDefault="00824071" w:rsidP="00824071">
      <w:pPr>
        <w:pStyle w:val="ListParagraph"/>
        <w:numPr>
          <w:ilvl w:val="0"/>
          <w:numId w:val="3"/>
        </w:numPr>
        <w:spacing w:before="240" w:after="240"/>
        <w:contextualSpacing w:val="0"/>
        <w:rPr>
          <w:rFonts w:ascii="Open Sans" w:hAnsi="Open Sans" w:cs="Open Sans"/>
        </w:rPr>
      </w:pPr>
      <w:r w:rsidRPr="0018457C">
        <w:rPr>
          <w:rFonts w:ascii="Open Sans" w:hAnsi="Open Sans" w:cs="Open Sans"/>
        </w:rPr>
        <w:t xml:space="preserve">While Mr </w:t>
      </w:r>
      <w:r>
        <w:rPr>
          <w:rFonts w:ascii="Open Sans" w:hAnsi="Open Sans" w:cs="Open Sans"/>
        </w:rPr>
        <w:t>LF</w:t>
      </w:r>
      <w:r w:rsidRPr="0018457C">
        <w:rPr>
          <w:rFonts w:ascii="Open Sans" w:hAnsi="Open Sans" w:cs="Open Sans"/>
        </w:rPr>
        <w:t xml:space="preserve"> was charged with crimes that were sufficiently serious to attract a term of imprisonment, this does not mean that Mr </w:t>
      </w:r>
      <w:r>
        <w:rPr>
          <w:rFonts w:ascii="Open Sans" w:hAnsi="Open Sans" w:cs="Open Sans"/>
        </w:rPr>
        <w:t>LF</w:t>
      </w:r>
      <w:r w:rsidRPr="0018457C">
        <w:rPr>
          <w:rFonts w:ascii="Open Sans" w:hAnsi="Open Sans" w:cs="Open Sans"/>
        </w:rPr>
        <w:t xml:space="preserve"> would necessarily have failed the character test in s 501 of the </w:t>
      </w:r>
      <w:r w:rsidRPr="0018457C">
        <w:rPr>
          <w:rFonts w:ascii="Open Sans" w:hAnsi="Open Sans" w:cs="Open Sans"/>
          <w:i/>
          <w:iCs/>
        </w:rPr>
        <w:t>Migration Act</w:t>
      </w:r>
      <w:r w:rsidRPr="008F406A">
        <w:rPr>
          <w:rFonts w:ascii="Open Sans" w:hAnsi="Open Sans" w:cs="Open Sans"/>
        </w:rPr>
        <w:t xml:space="preserve"> prior to his conviction and sentencing on 16 May 2018. </w:t>
      </w:r>
      <w:r w:rsidRPr="00C1417F">
        <w:rPr>
          <w:rFonts w:ascii="Open Sans" w:hAnsi="Open Sans" w:cs="Open Sans"/>
        </w:rPr>
        <w:t xml:space="preserve">The Commission understands that the Court had determined </w:t>
      </w:r>
      <w:r w:rsidRPr="0018457C">
        <w:rPr>
          <w:rFonts w:ascii="Open Sans" w:hAnsi="Open Sans" w:cs="Open Sans"/>
        </w:rPr>
        <w:t xml:space="preserve">Mr </w:t>
      </w:r>
      <w:r>
        <w:rPr>
          <w:rFonts w:ascii="Open Sans" w:hAnsi="Open Sans" w:cs="Open Sans"/>
        </w:rPr>
        <w:t>LF</w:t>
      </w:r>
      <w:r w:rsidRPr="0018457C">
        <w:rPr>
          <w:rFonts w:ascii="Open Sans" w:hAnsi="Open Sans" w:cs="Open Sans"/>
        </w:rPr>
        <w:t xml:space="preserve"> to be an appropriate candidate to be released on bail, and granted bail, during this period from February to May while he awaited his trial. </w:t>
      </w:r>
    </w:p>
    <w:p w14:paraId="4CB8808D" w14:textId="77777777" w:rsidR="00824071" w:rsidRDefault="00824071" w:rsidP="00824071">
      <w:pPr>
        <w:pStyle w:val="ListParagraph"/>
        <w:numPr>
          <w:ilvl w:val="0"/>
          <w:numId w:val="3"/>
        </w:numPr>
        <w:spacing w:before="240" w:after="240"/>
        <w:contextualSpacing w:val="0"/>
        <w:rPr>
          <w:rFonts w:ascii="Open Sans" w:hAnsi="Open Sans" w:cs="Open Sans"/>
        </w:rPr>
      </w:pPr>
      <w:r w:rsidRPr="0018457C">
        <w:rPr>
          <w:rFonts w:ascii="Open Sans" w:hAnsi="Open Sans" w:cs="Open Sans"/>
        </w:rPr>
        <w:t xml:space="preserve">Further, on 23 January 2018 the Minister granted </w:t>
      </w:r>
      <w:r>
        <w:rPr>
          <w:rFonts w:ascii="Open Sans" w:hAnsi="Open Sans" w:cs="Open Sans"/>
        </w:rPr>
        <w:t xml:space="preserve">Mr LF’s application for </w:t>
      </w:r>
      <w:r w:rsidRPr="0018457C">
        <w:rPr>
          <w:rFonts w:ascii="Open Sans" w:hAnsi="Open Sans" w:cs="Open Sans"/>
        </w:rPr>
        <w:t xml:space="preserve">a BVE and Mr </w:t>
      </w:r>
      <w:r>
        <w:rPr>
          <w:rFonts w:ascii="Open Sans" w:hAnsi="Open Sans" w:cs="Open Sans"/>
        </w:rPr>
        <w:t>LF</w:t>
      </w:r>
      <w:r w:rsidRPr="0018457C">
        <w:rPr>
          <w:rFonts w:ascii="Open Sans" w:hAnsi="Open Sans" w:cs="Open Sans"/>
        </w:rPr>
        <w:t xml:space="preserve"> was released into the community, after he had been charged with the offences. That BVE was then cancelled on the grounds that Mr </w:t>
      </w:r>
      <w:r>
        <w:rPr>
          <w:rFonts w:ascii="Open Sans" w:hAnsi="Open Sans" w:cs="Open Sans"/>
        </w:rPr>
        <w:t>LF</w:t>
      </w:r>
      <w:r w:rsidRPr="0018457C">
        <w:rPr>
          <w:rFonts w:ascii="Open Sans" w:hAnsi="Open Sans" w:cs="Open Sans"/>
        </w:rPr>
        <w:t xml:space="preserve"> had been charged with the offences. </w:t>
      </w:r>
      <w:r>
        <w:rPr>
          <w:rFonts w:ascii="Open Sans" w:hAnsi="Open Sans" w:cs="Open Sans"/>
        </w:rPr>
        <w:t>T</w:t>
      </w:r>
      <w:r w:rsidRPr="0018457C">
        <w:rPr>
          <w:rFonts w:ascii="Open Sans" w:hAnsi="Open Sans" w:cs="Open Sans"/>
        </w:rPr>
        <w:t>he grant indicates that</w:t>
      </w:r>
      <w:r>
        <w:rPr>
          <w:rFonts w:ascii="Open Sans" w:hAnsi="Open Sans" w:cs="Open Sans"/>
        </w:rPr>
        <w:t>, at least at that time,</w:t>
      </w:r>
      <w:r w:rsidRPr="0018457C">
        <w:rPr>
          <w:rFonts w:ascii="Open Sans" w:hAnsi="Open Sans" w:cs="Open Sans"/>
        </w:rPr>
        <w:t xml:space="preserve"> the Minister considered</w:t>
      </w:r>
      <w:r>
        <w:rPr>
          <w:rFonts w:ascii="Open Sans" w:hAnsi="Open Sans" w:cs="Open Sans"/>
        </w:rPr>
        <w:t xml:space="preserve"> </w:t>
      </w:r>
      <w:r w:rsidRPr="0018457C">
        <w:rPr>
          <w:rFonts w:ascii="Open Sans" w:hAnsi="Open Sans" w:cs="Open Sans"/>
        </w:rPr>
        <w:t xml:space="preserve">that Mr </w:t>
      </w:r>
      <w:r>
        <w:rPr>
          <w:rFonts w:ascii="Open Sans" w:hAnsi="Open Sans" w:cs="Open Sans"/>
        </w:rPr>
        <w:t>LF</w:t>
      </w:r>
      <w:r w:rsidRPr="0018457C">
        <w:rPr>
          <w:rFonts w:ascii="Open Sans" w:hAnsi="Open Sans" w:cs="Open Sans"/>
        </w:rPr>
        <w:t xml:space="preserve"> was an appropriate candidate to be released into the community pending resolution of the matters relating to his visa. </w:t>
      </w:r>
      <w:r>
        <w:rPr>
          <w:rFonts w:ascii="Open Sans" w:hAnsi="Open Sans" w:cs="Open Sans"/>
        </w:rPr>
        <w:t xml:space="preserve">In response to my preliminary view, the Department stated on 30 July 2020 in respect of the grant of Mr LF’s BVE that: </w:t>
      </w:r>
    </w:p>
    <w:p w14:paraId="5D288540" w14:textId="77777777" w:rsidR="00824071" w:rsidRPr="001F1627" w:rsidRDefault="00824071" w:rsidP="00824071">
      <w:pPr>
        <w:pStyle w:val="ListParagraph"/>
        <w:spacing w:before="240" w:after="240"/>
        <w:ind w:left="1440"/>
        <w:contextualSpacing w:val="0"/>
        <w:rPr>
          <w:rFonts w:ascii="Open Sans" w:hAnsi="Open Sans" w:cs="Open Sans"/>
          <w:sz w:val="22"/>
          <w:szCs w:val="22"/>
        </w:rPr>
      </w:pPr>
      <w:r w:rsidRPr="001F1627">
        <w:rPr>
          <w:rFonts w:ascii="Open Sans" w:hAnsi="Open Sans" w:cs="Open Sans"/>
          <w:sz w:val="22"/>
          <w:szCs w:val="22"/>
        </w:rPr>
        <w:t>Mr [</w:t>
      </w:r>
      <w:r>
        <w:rPr>
          <w:rFonts w:ascii="Open Sans" w:hAnsi="Open Sans" w:cs="Open Sans"/>
          <w:sz w:val="22"/>
          <w:szCs w:val="22"/>
        </w:rPr>
        <w:t>LF</w:t>
      </w:r>
      <w:r w:rsidRPr="001F1627">
        <w:rPr>
          <w:rFonts w:ascii="Open Sans" w:hAnsi="Open Sans" w:cs="Open Sans"/>
          <w:sz w:val="22"/>
          <w:szCs w:val="22"/>
        </w:rPr>
        <w:t xml:space="preserve">]’s application was granted in accordance with section 65 of the Act as the delegate was of the view that Mr </w:t>
      </w:r>
      <w:r>
        <w:rPr>
          <w:rFonts w:ascii="Open Sans" w:hAnsi="Open Sans" w:cs="Open Sans"/>
          <w:sz w:val="22"/>
          <w:szCs w:val="22"/>
        </w:rPr>
        <w:t>[LF]</w:t>
      </w:r>
      <w:r w:rsidRPr="001F1627">
        <w:rPr>
          <w:rFonts w:ascii="Open Sans" w:hAnsi="Open Sans" w:cs="Open Sans"/>
          <w:sz w:val="22"/>
          <w:szCs w:val="22"/>
        </w:rPr>
        <w:t xml:space="preserve"> met the requirements for grant, including regulation 050.212(4)(b) of the </w:t>
      </w:r>
      <w:r w:rsidRPr="001F1627">
        <w:rPr>
          <w:rFonts w:ascii="Open Sans" w:hAnsi="Open Sans" w:cs="Open Sans"/>
          <w:i/>
          <w:iCs/>
          <w:sz w:val="22"/>
          <w:szCs w:val="22"/>
        </w:rPr>
        <w:t>Migration Regulations 1994</w:t>
      </w:r>
      <w:r w:rsidRPr="001F1627">
        <w:rPr>
          <w:rFonts w:ascii="Open Sans" w:hAnsi="Open Sans" w:cs="Open Sans"/>
          <w:sz w:val="22"/>
          <w:szCs w:val="22"/>
        </w:rPr>
        <w:t xml:space="preserve"> (the Regulations) having applied for merits review of the Student visa cancellation decision. Condition 8564 – “Must not engage in criminal conduct” was imposed on Mr [</w:t>
      </w:r>
      <w:r>
        <w:rPr>
          <w:rFonts w:ascii="Open Sans" w:hAnsi="Open Sans" w:cs="Open Sans"/>
          <w:sz w:val="22"/>
          <w:szCs w:val="22"/>
        </w:rPr>
        <w:t>LF</w:t>
      </w:r>
      <w:r w:rsidRPr="001F1627">
        <w:rPr>
          <w:rFonts w:ascii="Open Sans" w:hAnsi="Open Sans" w:cs="Open Sans"/>
          <w:sz w:val="22"/>
          <w:szCs w:val="22"/>
        </w:rPr>
        <w:t>]’s BVE. At the time of grant, the delegate was satisfied that Mr [</w:t>
      </w:r>
      <w:r>
        <w:rPr>
          <w:rFonts w:ascii="Open Sans" w:hAnsi="Open Sans" w:cs="Open Sans"/>
          <w:sz w:val="22"/>
          <w:szCs w:val="22"/>
        </w:rPr>
        <w:t>LF</w:t>
      </w:r>
      <w:r w:rsidRPr="001F1627">
        <w:rPr>
          <w:rFonts w:ascii="Open Sans" w:hAnsi="Open Sans" w:cs="Open Sans"/>
          <w:sz w:val="22"/>
          <w:szCs w:val="22"/>
        </w:rPr>
        <w:t xml:space="preserve">] would abide by all the conditions imposed on the visa per regulation 050.223 and 050.618. </w:t>
      </w:r>
    </w:p>
    <w:p w14:paraId="768CD4E5" w14:textId="77777777" w:rsidR="00824071" w:rsidRDefault="00824071" w:rsidP="00824071">
      <w:pPr>
        <w:pStyle w:val="ListParagraph"/>
        <w:spacing w:before="240" w:after="240"/>
        <w:ind w:left="1440"/>
        <w:contextualSpacing w:val="0"/>
        <w:rPr>
          <w:rFonts w:ascii="Open Sans" w:hAnsi="Open Sans" w:cs="Open Sans"/>
          <w:sz w:val="22"/>
          <w:szCs w:val="22"/>
        </w:rPr>
      </w:pPr>
      <w:r w:rsidRPr="001F1627">
        <w:rPr>
          <w:rFonts w:ascii="Open Sans" w:hAnsi="Open Sans" w:cs="Open Sans"/>
          <w:sz w:val="22"/>
          <w:szCs w:val="22"/>
        </w:rPr>
        <w:t>On 12 February 2018, Mr [</w:t>
      </w:r>
      <w:r>
        <w:rPr>
          <w:rFonts w:ascii="Open Sans" w:hAnsi="Open Sans" w:cs="Open Sans"/>
          <w:sz w:val="22"/>
          <w:szCs w:val="22"/>
        </w:rPr>
        <w:t>LF</w:t>
      </w:r>
      <w:r w:rsidRPr="001F1627">
        <w:rPr>
          <w:rFonts w:ascii="Open Sans" w:hAnsi="Open Sans" w:cs="Open Sans"/>
          <w:sz w:val="22"/>
          <w:szCs w:val="22"/>
        </w:rPr>
        <w:t>]’s BVE was cancelled under section 116(1)(g) of the Act as prescribed grounds existed under reg 2.43(1)(p)(ii) of the Regulations. The delegate had regard to Ministerial Direction 63, which requires delegates to consider applying regulation 2.43(1)(p) for criminal behaviour of any nature. This is a primary consideration, which was given more weight by the delegate over the secondary considerations listed in Direction 63. Because of the BVE cancellation, Mr [</w:t>
      </w:r>
      <w:r>
        <w:rPr>
          <w:rFonts w:ascii="Open Sans" w:hAnsi="Open Sans" w:cs="Open Sans"/>
          <w:sz w:val="22"/>
          <w:szCs w:val="22"/>
        </w:rPr>
        <w:t>LF</w:t>
      </w:r>
      <w:r w:rsidRPr="001F1627">
        <w:rPr>
          <w:rFonts w:ascii="Open Sans" w:hAnsi="Open Sans" w:cs="Open Sans"/>
          <w:sz w:val="22"/>
          <w:szCs w:val="22"/>
        </w:rPr>
        <w:t>] was detained under s</w:t>
      </w:r>
      <w:r>
        <w:rPr>
          <w:rFonts w:ascii="Open Sans" w:hAnsi="Open Sans" w:cs="Open Sans"/>
          <w:sz w:val="22"/>
          <w:szCs w:val="22"/>
        </w:rPr>
        <w:t> </w:t>
      </w:r>
      <w:r w:rsidRPr="001F1627">
        <w:rPr>
          <w:rFonts w:ascii="Open Sans" w:hAnsi="Open Sans" w:cs="Open Sans"/>
          <w:sz w:val="22"/>
          <w:szCs w:val="22"/>
        </w:rPr>
        <w:t xml:space="preserve">189(1) of the Act. </w:t>
      </w:r>
    </w:p>
    <w:p w14:paraId="13D03D92" w14:textId="77777777" w:rsidR="00824071" w:rsidRPr="001F1627" w:rsidRDefault="00824071" w:rsidP="00824071">
      <w:pPr>
        <w:pStyle w:val="ListParagraph"/>
        <w:numPr>
          <w:ilvl w:val="0"/>
          <w:numId w:val="3"/>
        </w:numPr>
        <w:spacing w:before="240" w:after="240"/>
        <w:contextualSpacing w:val="0"/>
        <w:rPr>
          <w:rFonts w:ascii="Open Sans" w:hAnsi="Open Sans" w:cs="Open Sans"/>
        </w:rPr>
      </w:pPr>
      <w:r>
        <w:rPr>
          <w:rFonts w:ascii="Open Sans" w:hAnsi="Open Sans" w:cs="Open Sans"/>
        </w:rPr>
        <w:t xml:space="preserve">The Department’s response does not address the fact that Mr LF had already been charged with the offences prior to the grant of the BVE. The Department states that the delegate was satisfied at the time of grant that Mr LF would abide by all of the conditions imposed on the BVE. In fact, Mr LF did </w:t>
      </w:r>
      <w:r>
        <w:rPr>
          <w:rFonts w:ascii="Open Sans" w:hAnsi="Open Sans" w:cs="Open Sans"/>
        </w:rPr>
        <w:lastRenderedPageBreak/>
        <w:t xml:space="preserve">not commit and was not charged with any further offences after the time </w:t>
      </w:r>
      <w:r w:rsidRPr="001F1627">
        <w:rPr>
          <w:rFonts w:ascii="Open Sans" w:hAnsi="Open Sans" w:cs="Open Sans"/>
        </w:rPr>
        <w:t xml:space="preserve">he had been granted the BVE. </w:t>
      </w:r>
      <w:r>
        <w:rPr>
          <w:rFonts w:ascii="Open Sans" w:hAnsi="Open Sans" w:cs="Open Sans"/>
        </w:rPr>
        <w:t xml:space="preserve">The acts relied on to cancel the visa existed prior to its grant. </w:t>
      </w:r>
    </w:p>
    <w:p w14:paraId="36D6BE91" w14:textId="5D56EA62" w:rsidR="00824071" w:rsidRPr="001F1627" w:rsidRDefault="00824071" w:rsidP="00824071">
      <w:pPr>
        <w:pStyle w:val="ListParagraph"/>
        <w:numPr>
          <w:ilvl w:val="0"/>
          <w:numId w:val="3"/>
        </w:numPr>
        <w:spacing w:before="240" w:after="240"/>
        <w:contextualSpacing w:val="0"/>
        <w:rPr>
          <w:rFonts w:ascii="Open Sans" w:hAnsi="Open Sans" w:cs="Open Sans"/>
        </w:rPr>
      </w:pPr>
      <w:r w:rsidRPr="001F1627">
        <w:rPr>
          <w:rFonts w:ascii="Open Sans" w:hAnsi="Open Sans" w:cs="Open Sans"/>
        </w:rPr>
        <w:t xml:space="preserve">In the circumstances, it appears that prior to 16 May 2018, the Ministerial Guidelines did not prevent the Department referring Mr </w:t>
      </w:r>
      <w:r>
        <w:rPr>
          <w:rFonts w:ascii="Open Sans" w:hAnsi="Open Sans" w:cs="Open Sans"/>
        </w:rPr>
        <w:t>LF</w:t>
      </w:r>
      <w:r w:rsidRPr="001F1627">
        <w:rPr>
          <w:rFonts w:ascii="Open Sans" w:hAnsi="Open Sans" w:cs="Open Sans"/>
        </w:rPr>
        <w:t xml:space="preserve">’s case to the Minister to consider the exercise of his discretionary powers. It is my view that the Department should have referred Mr </w:t>
      </w:r>
      <w:r>
        <w:rPr>
          <w:rFonts w:ascii="Open Sans" w:hAnsi="Open Sans" w:cs="Open Sans"/>
        </w:rPr>
        <w:t>LF</w:t>
      </w:r>
      <w:r w:rsidRPr="001F1627">
        <w:rPr>
          <w:rFonts w:ascii="Open Sans" w:hAnsi="Open Sans" w:cs="Open Sans"/>
        </w:rPr>
        <w:t xml:space="preserve"> to the Minister to consider exercising his discretion under s 195A and s 197AB of the </w:t>
      </w:r>
      <w:r w:rsidRPr="001F1627">
        <w:rPr>
          <w:rFonts w:ascii="Open Sans" w:hAnsi="Open Sans" w:cs="Open Sans"/>
          <w:i/>
          <w:iCs/>
        </w:rPr>
        <w:t>Migration Act</w:t>
      </w:r>
      <w:r w:rsidRPr="001F1627">
        <w:rPr>
          <w:rFonts w:ascii="Open Sans" w:hAnsi="Open Sans" w:cs="Open Sans"/>
        </w:rPr>
        <w:t xml:space="preserve">. It is my view that Mr </w:t>
      </w:r>
      <w:r>
        <w:rPr>
          <w:rFonts w:ascii="Open Sans" w:hAnsi="Open Sans" w:cs="Open Sans"/>
        </w:rPr>
        <w:t>LF</w:t>
      </w:r>
      <w:r w:rsidRPr="001F1627">
        <w:rPr>
          <w:rFonts w:ascii="Open Sans" w:hAnsi="Open Sans" w:cs="Open Sans"/>
        </w:rPr>
        <w:t xml:space="preserve">’s continued detention during the period of 12 February 2018 to 16 May 2018 without consideration of less restrictive alternatives and without referral to the Minister has not been justified and appears to be more than was necessary and </w:t>
      </w:r>
      <w:r w:rsidR="00126285">
        <w:rPr>
          <w:rFonts w:ascii="Open Sans" w:hAnsi="Open Sans" w:cs="Open Sans"/>
        </w:rPr>
        <w:t xml:space="preserve">was </w:t>
      </w:r>
      <w:r w:rsidRPr="001F1627">
        <w:rPr>
          <w:rFonts w:ascii="Open Sans" w:hAnsi="Open Sans" w:cs="Open Sans"/>
        </w:rPr>
        <w:t xml:space="preserve">disproportionate in the circumstances. </w:t>
      </w:r>
    </w:p>
    <w:p w14:paraId="675980D0" w14:textId="77777777" w:rsidR="00824071" w:rsidRPr="00B30DB4" w:rsidRDefault="00824071" w:rsidP="00824071">
      <w:pPr>
        <w:pStyle w:val="Heading3"/>
        <w:rPr>
          <w:b/>
          <w:bCs w:val="0"/>
          <w:i/>
          <w:iCs/>
        </w:rPr>
      </w:pPr>
      <w:bookmarkStart w:id="99" w:name="_Toc57217344"/>
      <w:r w:rsidRPr="00B30DB4">
        <w:rPr>
          <w:b/>
          <w:bCs w:val="0"/>
          <w:iCs/>
        </w:rPr>
        <w:t>Detention between 27 June 2018 and 7 September 2018</w:t>
      </w:r>
      <w:bookmarkEnd w:id="99"/>
    </w:p>
    <w:p w14:paraId="6FAF97FB" w14:textId="77777777" w:rsidR="00824071" w:rsidRDefault="00824071" w:rsidP="00824071">
      <w:pPr>
        <w:pStyle w:val="ListParagraph"/>
        <w:numPr>
          <w:ilvl w:val="0"/>
          <w:numId w:val="3"/>
        </w:numPr>
        <w:spacing w:before="240" w:after="240"/>
        <w:contextualSpacing w:val="0"/>
        <w:rPr>
          <w:rFonts w:ascii="Open Sans" w:hAnsi="Open Sans" w:cs="Open Sans"/>
        </w:rPr>
      </w:pPr>
      <w:r>
        <w:rPr>
          <w:rFonts w:ascii="Open Sans" w:hAnsi="Open Sans" w:cs="Open Sans"/>
        </w:rPr>
        <w:t xml:space="preserve">In respect of the period of 27 June 2018 to 7 September 2018, the Department stated in its response to my preliminary view that: </w:t>
      </w:r>
    </w:p>
    <w:p w14:paraId="3E667204" w14:textId="77777777" w:rsidR="00824071" w:rsidRDefault="00824071" w:rsidP="00824071">
      <w:pPr>
        <w:spacing w:before="240" w:after="240"/>
        <w:ind w:left="1440"/>
        <w:rPr>
          <w:rFonts w:ascii="Open Sans" w:hAnsi="Open Sans" w:cs="Open Sans"/>
        </w:rPr>
      </w:pPr>
      <w:r>
        <w:rPr>
          <w:rFonts w:ascii="Open Sans" w:hAnsi="Open Sans" w:cs="Open Sans"/>
        </w:rPr>
        <w:t>F</w:t>
      </w:r>
      <w:r w:rsidRPr="003A5978">
        <w:rPr>
          <w:rFonts w:ascii="Open Sans" w:hAnsi="Open Sans" w:cs="Open Sans"/>
        </w:rPr>
        <w:t xml:space="preserve">rom the time </w:t>
      </w:r>
      <w:r>
        <w:rPr>
          <w:rFonts w:ascii="Open Sans" w:hAnsi="Open Sans" w:cs="Open Sans"/>
        </w:rPr>
        <w:t>Mr [LF]</w:t>
      </w:r>
      <w:r w:rsidRPr="003A5978">
        <w:rPr>
          <w:rFonts w:ascii="Open Sans" w:hAnsi="Open Sans" w:cs="Open Sans"/>
        </w:rPr>
        <w:t xml:space="preserve"> was </w:t>
      </w:r>
      <w:r>
        <w:rPr>
          <w:rFonts w:ascii="Open Sans" w:hAnsi="Open Sans" w:cs="Open Sans"/>
        </w:rPr>
        <w:t>re-</w:t>
      </w:r>
      <w:r w:rsidRPr="003A5978">
        <w:rPr>
          <w:rFonts w:ascii="Open Sans" w:hAnsi="Open Sans" w:cs="Open Sans"/>
        </w:rPr>
        <w:t xml:space="preserve">detained on </w:t>
      </w:r>
      <w:r>
        <w:rPr>
          <w:rFonts w:ascii="Open Sans" w:hAnsi="Open Sans" w:cs="Open Sans"/>
        </w:rPr>
        <w:t>27 June</w:t>
      </w:r>
      <w:r w:rsidRPr="003A5978">
        <w:rPr>
          <w:rFonts w:ascii="Open Sans" w:hAnsi="Open Sans" w:cs="Open Sans"/>
        </w:rPr>
        <w:t xml:space="preserve"> 2018 to </w:t>
      </w:r>
      <w:r>
        <w:rPr>
          <w:rFonts w:ascii="Open Sans" w:hAnsi="Open Sans" w:cs="Open Sans"/>
        </w:rPr>
        <w:t>7 September</w:t>
      </w:r>
      <w:r w:rsidRPr="003A5978">
        <w:rPr>
          <w:rFonts w:ascii="Open Sans" w:hAnsi="Open Sans" w:cs="Open Sans"/>
        </w:rPr>
        <w:t xml:space="preserve"> 2018, his case was regularly reviewed. In each review, the Department took into account</w:t>
      </w:r>
      <w:r>
        <w:rPr>
          <w:rFonts w:ascii="Open Sans" w:hAnsi="Open Sans" w:cs="Open Sans"/>
        </w:rPr>
        <w:t xml:space="preserve"> Mr [LF]’s circumstances, including his ongoing appeal of his criminal conviction as well as his health and welfare needs. No circumstances were identified indicating a visa grant or a less restrictive detention placement under residence determination arrangements were appropriate in Mr [LF]’s circumstances. As such, he was not referred for assessment against sections 195A or 197AB of the Act. </w:t>
      </w:r>
    </w:p>
    <w:p w14:paraId="7B30EAC7" w14:textId="77777777" w:rsidR="00824071" w:rsidRDefault="00824071" w:rsidP="00824071">
      <w:pPr>
        <w:spacing w:before="240" w:after="240"/>
        <w:ind w:left="1440"/>
        <w:rPr>
          <w:rFonts w:ascii="Open Sans" w:hAnsi="Open Sans" w:cs="Open Sans"/>
        </w:rPr>
      </w:pPr>
      <w:r>
        <w:rPr>
          <w:rFonts w:ascii="Open Sans" w:hAnsi="Open Sans" w:cs="Open Sans"/>
        </w:rPr>
        <w:t xml:space="preserve">On 6 August 2018, a departmental delegate refused to grant a Criminal Justice Stay Visa (CJSV) in respect of Mr [LF]. The delegate was not satisfied Mr [LF] met the requirements for the grant of a CJSV, as the frequency of the offences and the predatory approach allegedly exhibited by Mr [LF] led the delegate to form the view that Mr [LF] presented a high risk of harm to the safety of the community. The NSW Office of the Director of Public Prosecutions, who indicated their belief that Mr [LF] represented a danger to the community, supported this view. </w:t>
      </w:r>
    </w:p>
    <w:p w14:paraId="1EABC0A4" w14:textId="77777777" w:rsidR="00824071" w:rsidRPr="000B42F1" w:rsidRDefault="00824071" w:rsidP="00824071">
      <w:pPr>
        <w:pStyle w:val="SubmissionNormal"/>
        <w:numPr>
          <w:ilvl w:val="0"/>
          <w:numId w:val="3"/>
        </w:numPr>
        <w:rPr>
          <w:rFonts w:ascii="Open Sans" w:hAnsi="Open Sans" w:cs="Open Sans"/>
          <w:spacing w:val="-5"/>
          <w:szCs w:val="20"/>
          <w:lang w:eastAsia="en-US"/>
        </w:rPr>
      </w:pPr>
      <w:r w:rsidRPr="000B42F1">
        <w:rPr>
          <w:rFonts w:ascii="Open Sans" w:hAnsi="Open Sans" w:cs="Open Sans"/>
          <w:spacing w:val="-5"/>
          <w:szCs w:val="20"/>
          <w:lang w:eastAsia="en-US"/>
        </w:rPr>
        <w:t xml:space="preserve">As </w:t>
      </w:r>
      <w:r>
        <w:rPr>
          <w:rFonts w:ascii="Open Sans" w:hAnsi="Open Sans" w:cs="Open Sans"/>
          <w:spacing w:val="-5"/>
          <w:szCs w:val="20"/>
          <w:lang w:eastAsia="en-US"/>
        </w:rPr>
        <w:t>shown</w:t>
      </w:r>
      <w:r w:rsidRPr="000B42F1">
        <w:rPr>
          <w:rFonts w:ascii="Open Sans" w:hAnsi="Open Sans" w:cs="Open Sans"/>
          <w:spacing w:val="-5"/>
          <w:szCs w:val="20"/>
          <w:lang w:eastAsia="en-US"/>
        </w:rPr>
        <w:t xml:space="preserve"> in the Department’s response, its monthly case reviews focus on whether there is any need for an individual to be released from detention, rather than whether it is necessary to continue to detain the individual. The reviews of Mr </w:t>
      </w:r>
      <w:r>
        <w:rPr>
          <w:rFonts w:ascii="Open Sans" w:hAnsi="Open Sans" w:cs="Open Sans"/>
          <w:spacing w:val="-5"/>
          <w:szCs w:val="20"/>
          <w:lang w:eastAsia="en-US"/>
        </w:rPr>
        <w:t>LF</w:t>
      </w:r>
      <w:r w:rsidRPr="000B42F1">
        <w:rPr>
          <w:rFonts w:ascii="Open Sans" w:hAnsi="Open Sans" w:cs="Open Sans"/>
          <w:spacing w:val="-5"/>
          <w:szCs w:val="20"/>
          <w:lang w:eastAsia="en-US"/>
        </w:rPr>
        <w:t>’s detention did not consider the necessity of his detention.</w:t>
      </w:r>
    </w:p>
    <w:p w14:paraId="3E0A203B" w14:textId="77777777" w:rsidR="00824071" w:rsidRPr="00111FF2" w:rsidRDefault="00824071" w:rsidP="00824071">
      <w:pPr>
        <w:pStyle w:val="ListParagraph"/>
        <w:numPr>
          <w:ilvl w:val="0"/>
          <w:numId w:val="3"/>
        </w:numPr>
        <w:spacing w:before="240" w:after="240"/>
        <w:contextualSpacing w:val="0"/>
        <w:rPr>
          <w:rFonts w:ascii="Open Sans" w:hAnsi="Open Sans" w:cs="Open Sans"/>
        </w:rPr>
      </w:pPr>
      <w:r w:rsidRPr="00111FF2">
        <w:rPr>
          <w:rFonts w:ascii="Open Sans" w:hAnsi="Open Sans" w:cs="Open Sans"/>
        </w:rPr>
        <w:t xml:space="preserve">After being convicted and sentenced of three of the charges against him on 16 May 2018, while Mr </w:t>
      </w:r>
      <w:r>
        <w:rPr>
          <w:rFonts w:ascii="Open Sans" w:hAnsi="Open Sans" w:cs="Open Sans"/>
        </w:rPr>
        <w:t>LF</w:t>
      </w:r>
      <w:r w:rsidRPr="00111FF2">
        <w:rPr>
          <w:rFonts w:ascii="Open Sans" w:hAnsi="Open Sans" w:cs="Open Sans"/>
        </w:rPr>
        <w:t xml:space="preserve"> would not have met the character test in s 501 of the </w:t>
      </w:r>
      <w:r w:rsidRPr="00111FF2">
        <w:rPr>
          <w:rFonts w:ascii="Open Sans" w:hAnsi="Open Sans" w:cs="Open Sans"/>
          <w:i/>
          <w:iCs/>
        </w:rPr>
        <w:t>Migration Act</w:t>
      </w:r>
      <w:r w:rsidRPr="00111FF2">
        <w:rPr>
          <w:rFonts w:ascii="Open Sans" w:hAnsi="Open Sans" w:cs="Open Sans"/>
        </w:rPr>
        <w:t xml:space="preserve">, the Court determined Mr </w:t>
      </w:r>
      <w:r>
        <w:rPr>
          <w:rFonts w:ascii="Open Sans" w:hAnsi="Open Sans" w:cs="Open Sans"/>
        </w:rPr>
        <w:t>LF</w:t>
      </w:r>
      <w:r w:rsidRPr="00111FF2">
        <w:rPr>
          <w:rFonts w:ascii="Open Sans" w:hAnsi="Open Sans" w:cs="Open Sans"/>
        </w:rPr>
        <w:t xml:space="preserve"> to be an appropriate candidate </w:t>
      </w:r>
      <w:r w:rsidRPr="00111FF2">
        <w:rPr>
          <w:rFonts w:ascii="Open Sans" w:hAnsi="Open Sans" w:cs="Open Sans"/>
        </w:rPr>
        <w:lastRenderedPageBreak/>
        <w:t xml:space="preserve">to be released on bail, and granted bail, in June 2018 pending the outcome of his appeal against his convictions. </w:t>
      </w:r>
    </w:p>
    <w:p w14:paraId="25834A4E" w14:textId="7084D669" w:rsidR="00824071" w:rsidRPr="00111FF2" w:rsidRDefault="00824071" w:rsidP="00824071">
      <w:pPr>
        <w:pStyle w:val="ListParagraph"/>
        <w:numPr>
          <w:ilvl w:val="0"/>
          <w:numId w:val="3"/>
        </w:numPr>
        <w:spacing w:before="240" w:after="240"/>
        <w:contextualSpacing w:val="0"/>
        <w:rPr>
          <w:rFonts w:ascii="Open Sans" w:hAnsi="Open Sans" w:cs="Open Sans"/>
        </w:rPr>
      </w:pPr>
      <w:r w:rsidRPr="00111FF2">
        <w:rPr>
          <w:rFonts w:ascii="Open Sans" w:hAnsi="Open Sans" w:cs="Open Sans"/>
        </w:rPr>
        <w:t xml:space="preserve">In circumstances where the Court considered it unnecessary for Mr </w:t>
      </w:r>
      <w:r>
        <w:rPr>
          <w:rFonts w:ascii="Open Sans" w:hAnsi="Open Sans" w:cs="Open Sans"/>
        </w:rPr>
        <w:t>LF</w:t>
      </w:r>
      <w:r w:rsidRPr="00111FF2">
        <w:rPr>
          <w:rFonts w:ascii="Open Sans" w:hAnsi="Open Sans" w:cs="Open Sans"/>
        </w:rPr>
        <w:t xml:space="preserve"> to be detained and that it was appropriate for Mr </w:t>
      </w:r>
      <w:r>
        <w:rPr>
          <w:rFonts w:ascii="Open Sans" w:hAnsi="Open Sans" w:cs="Open Sans"/>
        </w:rPr>
        <w:t>LF</w:t>
      </w:r>
      <w:r w:rsidRPr="00111FF2">
        <w:rPr>
          <w:rFonts w:ascii="Open Sans" w:hAnsi="Open Sans" w:cs="Open Sans"/>
        </w:rPr>
        <w:t xml:space="preserve"> to reside in less restrictive conditions pending the outcome of his appeal, it is arguable that Mr </w:t>
      </w:r>
      <w:r>
        <w:rPr>
          <w:rFonts w:ascii="Open Sans" w:hAnsi="Open Sans" w:cs="Open Sans"/>
        </w:rPr>
        <w:t>LF</w:t>
      </w:r>
      <w:r w:rsidRPr="00111FF2">
        <w:rPr>
          <w:rFonts w:ascii="Open Sans" w:hAnsi="Open Sans" w:cs="Open Sans"/>
        </w:rPr>
        <w:t xml:space="preserve"> showed unique or exceptional circumstances, warranting consideration by the Department and the Minister for less restrictive options than detention. As noted above, it is open to the Minister to exercise </w:t>
      </w:r>
      <w:r w:rsidR="00126285">
        <w:rPr>
          <w:rFonts w:ascii="Open Sans" w:hAnsi="Open Sans" w:cs="Open Sans"/>
        </w:rPr>
        <w:t>the</w:t>
      </w:r>
      <w:r w:rsidR="00126285" w:rsidRPr="00111FF2">
        <w:rPr>
          <w:rFonts w:ascii="Open Sans" w:hAnsi="Open Sans" w:cs="Open Sans"/>
        </w:rPr>
        <w:t xml:space="preserve"> </w:t>
      </w:r>
      <w:r w:rsidRPr="00111FF2">
        <w:rPr>
          <w:rFonts w:ascii="Open Sans" w:hAnsi="Open Sans" w:cs="Open Sans"/>
        </w:rPr>
        <w:t>discretionary powers to grant a visa or make a residence determination, subject to conditions necessary to mitigate any identified risk. These conditions can include reporting obligations, and other ‘bail like’ conditions.</w:t>
      </w:r>
    </w:p>
    <w:p w14:paraId="38C66821" w14:textId="77777777" w:rsidR="00824071" w:rsidRPr="00111FF2" w:rsidRDefault="00824071" w:rsidP="00824071">
      <w:pPr>
        <w:pStyle w:val="ListParagraph"/>
        <w:numPr>
          <w:ilvl w:val="0"/>
          <w:numId w:val="3"/>
        </w:numPr>
        <w:spacing w:before="240" w:after="240"/>
        <w:contextualSpacing w:val="0"/>
        <w:rPr>
          <w:rFonts w:ascii="Open Sans" w:hAnsi="Open Sans" w:cs="Open Sans"/>
        </w:rPr>
      </w:pPr>
      <w:r w:rsidRPr="00111FF2">
        <w:rPr>
          <w:rFonts w:ascii="Open Sans" w:hAnsi="Open Sans" w:cs="Open Sans"/>
        </w:rPr>
        <w:t xml:space="preserve">In my view, it is at least arguable that, between Mr </w:t>
      </w:r>
      <w:r>
        <w:rPr>
          <w:rFonts w:ascii="Open Sans" w:hAnsi="Open Sans" w:cs="Open Sans"/>
        </w:rPr>
        <w:t>LF</w:t>
      </w:r>
      <w:r w:rsidRPr="00111FF2">
        <w:rPr>
          <w:rFonts w:ascii="Open Sans" w:hAnsi="Open Sans" w:cs="Open Sans"/>
        </w:rPr>
        <w:t xml:space="preserve">’s release on bail on 27 June 2018 and the outcome of his appeal on 7 September 2018, Mr </w:t>
      </w:r>
      <w:r>
        <w:rPr>
          <w:rFonts w:ascii="Open Sans" w:hAnsi="Open Sans" w:cs="Open Sans"/>
        </w:rPr>
        <w:t>LF</w:t>
      </w:r>
      <w:r w:rsidRPr="00111FF2">
        <w:rPr>
          <w:rFonts w:ascii="Open Sans" w:hAnsi="Open Sans" w:cs="Open Sans"/>
        </w:rPr>
        <w:t xml:space="preserve"> exhibited exceptional circumstances warranting referral to the Minister for consideration of the exercise of his discretion under s 195A and s 197AB of the </w:t>
      </w:r>
      <w:r w:rsidRPr="00111FF2">
        <w:rPr>
          <w:rFonts w:ascii="Open Sans" w:hAnsi="Open Sans" w:cs="Open Sans"/>
          <w:i/>
          <w:iCs/>
        </w:rPr>
        <w:t>Migration Act</w:t>
      </w:r>
      <w:r w:rsidRPr="00111FF2">
        <w:rPr>
          <w:rFonts w:ascii="Open Sans" w:hAnsi="Open Sans" w:cs="Open Sans"/>
        </w:rPr>
        <w:t xml:space="preserve">. As a result, Mr </w:t>
      </w:r>
      <w:r>
        <w:rPr>
          <w:rFonts w:ascii="Open Sans" w:hAnsi="Open Sans" w:cs="Open Sans"/>
        </w:rPr>
        <w:t>LF</w:t>
      </w:r>
      <w:r w:rsidRPr="00111FF2">
        <w:rPr>
          <w:rFonts w:ascii="Open Sans" w:hAnsi="Open Sans" w:cs="Open Sans"/>
        </w:rPr>
        <w:t xml:space="preserve">’s continued immigration detention during this period may have been more than was necessary and disproportionate in the circumstances. </w:t>
      </w:r>
    </w:p>
    <w:p w14:paraId="2E959301" w14:textId="77777777" w:rsidR="00824071" w:rsidRPr="00702800" w:rsidRDefault="00824071" w:rsidP="00824071">
      <w:pPr>
        <w:pStyle w:val="Heading3"/>
        <w:rPr>
          <w:b/>
          <w:bCs w:val="0"/>
          <w:i/>
          <w:iCs/>
        </w:rPr>
      </w:pPr>
      <w:bookmarkStart w:id="100" w:name="_Toc57217345"/>
      <w:r w:rsidRPr="00702800">
        <w:rPr>
          <w:b/>
          <w:bCs w:val="0"/>
          <w:iCs/>
        </w:rPr>
        <w:t>Detention between 7 September 2018 and 12 October 2018</w:t>
      </w:r>
      <w:bookmarkEnd w:id="100"/>
    </w:p>
    <w:p w14:paraId="3B355F1C" w14:textId="77777777" w:rsidR="00824071" w:rsidRPr="00702800" w:rsidRDefault="00824071" w:rsidP="00824071">
      <w:pPr>
        <w:pStyle w:val="ListParagraph"/>
        <w:numPr>
          <w:ilvl w:val="0"/>
          <w:numId w:val="3"/>
        </w:numPr>
        <w:spacing w:before="240" w:after="240"/>
        <w:contextualSpacing w:val="0"/>
        <w:rPr>
          <w:rFonts w:ascii="Open Sans" w:hAnsi="Open Sans" w:cs="Open Sans"/>
        </w:rPr>
      </w:pPr>
      <w:r w:rsidRPr="00702800">
        <w:rPr>
          <w:rFonts w:ascii="Open Sans" w:hAnsi="Open Sans" w:cs="Open Sans"/>
        </w:rPr>
        <w:t xml:space="preserve">Mr </w:t>
      </w:r>
      <w:r>
        <w:rPr>
          <w:rFonts w:ascii="Open Sans" w:hAnsi="Open Sans" w:cs="Open Sans"/>
        </w:rPr>
        <w:t>LF</w:t>
      </w:r>
      <w:r w:rsidRPr="00702800">
        <w:rPr>
          <w:rFonts w:ascii="Open Sans" w:hAnsi="Open Sans" w:cs="Open Sans"/>
        </w:rPr>
        <w:t xml:space="preserve"> continued to be held in detention for 35 days, between 7 September 2018 and 12 October 2018, after his appeal against his convictions was successful and all charges against him had been dismissed. During this period, Mr </w:t>
      </w:r>
      <w:r>
        <w:rPr>
          <w:rFonts w:ascii="Open Sans" w:hAnsi="Open Sans" w:cs="Open Sans"/>
        </w:rPr>
        <w:t>LF</w:t>
      </w:r>
      <w:r w:rsidRPr="00702800">
        <w:rPr>
          <w:rFonts w:ascii="Open Sans" w:hAnsi="Open Sans" w:cs="Open Sans"/>
        </w:rPr>
        <w:t xml:space="preserve"> made two BVE applications and requested Ministerial Intervention under s 351 of the </w:t>
      </w:r>
      <w:r w:rsidRPr="00702800">
        <w:rPr>
          <w:rFonts w:ascii="Open Sans" w:hAnsi="Open Sans" w:cs="Open Sans"/>
          <w:i/>
          <w:iCs/>
        </w:rPr>
        <w:t xml:space="preserve">Migration Act. </w:t>
      </w:r>
      <w:r w:rsidRPr="00702800">
        <w:rPr>
          <w:rFonts w:ascii="Open Sans" w:hAnsi="Open Sans" w:cs="Open Sans"/>
        </w:rPr>
        <w:t xml:space="preserve">Both applications were deemed invalid and the request for Ministerial Intervention was denied for failing to meet the guidelines for referral to the Minister. It was not until 12 October 2018 that Mr </w:t>
      </w:r>
      <w:r>
        <w:rPr>
          <w:rFonts w:ascii="Open Sans" w:hAnsi="Open Sans" w:cs="Open Sans"/>
        </w:rPr>
        <w:t>LF</w:t>
      </w:r>
      <w:r w:rsidRPr="00702800">
        <w:rPr>
          <w:rFonts w:ascii="Open Sans" w:hAnsi="Open Sans" w:cs="Open Sans"/>
        </w:rPr>
        <w:t xml:space="preserve"> was granted a BVE without application and was released from detention. </w:t>
      </w:r>
    </w:p>
    <w:p w14:paraId="098E9589" w14:textId="77777777" w:rsidR="00824071" w:rsidRDefault="00824071" w:rsidP="00824071">
      <w:pPr>
        <w:pStyle w:val="ListParagraph"/>
        <w:numPr>
          <w:ilvl w:val="0"/>
          <w:numId w:val="3"/>
        </w:numPr>
        <w:spacing w:before="240" w:after="240"/>
        <w:contextualSpacing w:val="0"/>
        <w:rPr>
          <w:rFonts w:ascii="Open Sans" w:hAnsi="Open Sans" w:cs="Open Sans"/>
        </w:rPr>
      </w:pPr>
      <w:r w:rsidRPr="00702800">
        <w:rPr>
          <w:rFonts w:ascii="Open Sans" w:hAnsi="Open Sans" w:cs="Open Sans"/>
        </w:rPr>
        <w:t xml:space="preserve">In respect of </w:t>
      </w:r>
      <w:r>
        <w:rPr>
          <w:rFonts w:ascii="Open Sans" w:hAnsi="Open Sans" w:cs="Open Sans"/>
        </w:rPr>
        <w:t xml:space="preserve">this period, the Department stated in its response to my preliminary view that: </w:t>
      </w:r>
    </w:p>
    <w:p w14:paraId="3E0B4C83" w14:textId="77777777" w:rsidR="00824071" w:rsidRDefault="00824071" w:rsidP="00824071">
      <w:pPr>
        <w:spacing w:before="240" w:after="240"/>
        <w:ind w:left="1440"/>
        <w:rPr>
          <w:rFonts w:ascii="Open Sans" w:hAnsi="Open Sans" w:cs="Open Sans"/>
        </w:rPr>
      </w:pPr>
      <w:r>
        <w:rPr>
          <w:rFonts w:ascii="Open Sans" w:hAnsi="Open Sans" w:cs="Open Sans"/>
        </w:rPr>
        <w:t xml:space="preserve">On 7 September 2018, Mr [LF]’s appeal of his criminal convictions was upheld and all criminal charges were dismissed. </w:t>
      </w:r>
    </w:p>
    <w:p w14:paraId="528309B7" w14:textId="77777777" w:rsidR="00824071" w:rsidRDefault="00824071" w:rsidP="00824071">
      <w:pPr>
        <w:spacing w:before="240" w:after="240"/>
        <w:ind w:left="1440"/>
        <w:rPr>
          <w:rFonts w:ascii="Open Sans" w:hAnsi="Open Sans" w:cs="Open Sans"/>
        </w:rPr>
      </w:pPr>
      <w:r>
        <w:rPr>
          <w:rFonts w:ascii="Open Sans" w:hAnsi="Open Sans" w:cs="Open Sans"/>
        </w:rPr>
        <w:t xml:space="preserve">On 10 September 2018, Mr [LF] lodged a section 351 Ministerial Intervention request, which was assessed by the Department as not meeting the guidelines. On 25 September 2018, the request was finalised by the Department without referral to the Minister. </w:t>
      </w:r>
    </w:p>
    <w:p w14:paraId="0818A04E" w14:textId="77777777" w:rsidR="00824071" w:rsidRDefault="00824071" w:rsidP="00824071">
      <w:pPr>
        <w:spacing w:before="240" w:after="240"/>
        <w:ind w:left="1440"/>
        <w:rPr>
          <w:rFonts w:ascii="Open Sans" w:hAnsi="Open Sans" w:cs="Open Sans"/>
        </w:rPr>
      </w:pPr>
      <w:r>
        <w:rPr>
          <w:rFonts w:ascii="Open Sans" w:hAnsi="Open Sans" w:cs="Open Sans"/>
        </w:rPr>
        <w:t xml:space="preserve">As Mr [LF] was unable to lodge a BVE application due to his previous BVE cancellation under section 116(1)(g) of the Act, an assessment was </w:t>
      </w:r>
      <w:r>
        <w:rPr>
          <w:rFonts w:ascii="Open Sans" w:hAnsi="Open Sans" w:cs="Open Sans"/>
        </w:rPr>
        <w:lastRenderedPageBreak/>
        <w:t xml:space="preserve">undertaken to determine if he met the criteria for grant without application under Regulation 2.25. </w:t>
      </w:r>
    </w:p>
    <w:p w14:paraId="33CA7640" w14:textId="77777777" w:rsidR="00824071" w:rsidRPr="000B42F1" w:rsidRDefault="00824071" w:rsidP="00824071">
      <w:pPr>
        <w:spacing w:before="240" w:after="240"/>
        <w:ind w:left="1440"/>
        <w:rPr>
          <w:rFonts w:ascii="Open Sans" w:hAnsi="Open Sans" w:cs="Open Sans"/>
          <w:b/>
          <w:bCs/>
        </w:rPr>
      </w:pPr>
      <w:r>
        <w:rPr>
          <w:rFonts w:ascii="Open Sans" w:hAnsi="Open Sans" w:cs="Open Sans"/>
        </w:rPr>
        <w:t xml:space="preserve">In Mr [LF]’s case, the delegate </w:t>
      </w:r>
      <w:r w:rsidRPr="00126196">
        <w:rPr>
          <w:rFonts w:ascii="Open Sans" w:hAnsi="Open Sans" w:cs="Open Sans"/>
        </w:rPr>
        <w:t>was required to seek advice from an external agency on whether he posed a national security risk due to an allegation the Department had received. Upon receiving</w:t>
      </w:r>
      <w:r>
        <w:rPr>
          <w:rFonts w:ascii="Open Sans" w:hAnsi="Open Sans" w:cs="Open Sans"/>
        </w:rPr>
        <w:t xml:space="preserve"> final advice that there were no objections</w:t>
      </w:r>
      <w:r w:rsidRPr="00F8638B">
        <w:rPr>
          <w:rFonts w:ascii="Open Sans" w:hAnsi="Open Sans" w:cs="Open Sans"/>
        </w:rPr>
        <w:t xml:space="preserve"> to grant a visa from a national security perspective and being satisfied that all other visa criteria were met, the delegate granted </w:t>
      </w:r>
      <w:r w:rsidRPr="000B42F1">
        <w:rPr>
          <w:rFonts w:ascii="Open Sans" w:hAnsi="Open Sans" w:cs="Open Sans"/>
        </w:rPr>
        <w:t>Mr [</w:t>
      </w:r>
      <w:r>
        <w:rPr>
          <w:rFonts w:ascii="Open Sans" w:hAnsi="Open Sans" w:cs="Open Sans"/>
        </w:rPr>
        <w:t>LF</w:t>
      </w:r>
      <w:r w:rsidRPr="000B42F1">
        <w:rPr>
          <w:rFonts w:ascii="Open Sans" w:hAnsi="Open Sans" w:cs="Open Sans"/>
        </w:rPr>
        <w:t xml:space="preserve">] a BVE on 12 October 2018 and he was subsequently released from immigration detention. </w:t>
      </w:r>
    </w:p>
    <w:p w14:paraId="79274BA4" w14:textId="4D23F56C" w:rsidR="00824071" w:rsidRDefault="00824071" w:rsidP="00824071">
      <w:pPr>
        <w:pStyle w:val="ListParagraph"/>
        <w:numPr>
          <w:ilvl w:val="0"/>
          <w:numId w:val="3"/>
        </w:numPr>
        <w:spacing w:before="240" w:after="240"/>
        <w:contextualSpacing w:val="0"/>
        <w:rPr>
          <w:rFonts w:ascii="Open Sans" w:hAnsi="Open Sans" w:cs="Open Sans"/>
        </w:rPr>
      </w:pPr>
      <w:bookmarkStart w:id="101" w:name="_Toc498937221"/>
      <w:bookmarkStart w:id="102" w:name="_Toc498937222"/>
      <w:bookmarkStart w:id="103" w:name="_Toc498937223"/>
      <w:bookmarkStart w:id="104" w:name="_Toc498937224"/>
      <w:bookmarkStart w:id="105" w:name="_Toc498937225"/>
      <w:bookmarkStart w:id="106" w:name="_Toc498937226"/>
      <w:bookmarkStart w:id="107" w:name="_Toc498937227"/>
      <w:bookmarkStart w:id="108" w:name="_Ref472516244"/>
      <w:bookmarkStart w:id="109" w:name="_Toc473014822"/>
      <w:bookmarkEnd w:id="101"/>
      <w:bookmarkEnd w:id="102"/>
      <w:bookmarkEnd w:id="103"/>
      <w:bookmarkEnd w:id="104"/>
      <w:bookmarkEnd w:id="105"/>
      <w:bookmarkEnd w:id="106"/>
      <w:bookmarkEnd w:id="107"/>
      <w:r>
        <w:rPr>
          <w:rFonts w:ascii="Open Sans" w:hAnsi="Open Sans" w:cs="Open Sans"/>
        </w:rPr>
        <w:t>In the usual course, following</w:t>
      </w:r>
      <w:r w:rsidRPr="00696D48">
        <w:rPr>
          <w:rFonts w:ascii="Open Sans" w:hAnsi="Open Sans" w:cs="Open Sans"/>
        </w:rPr>
        <w:t xml:space="preserve"> Mr </w:t>
      </w:r>
      <w:r>
        <w:rPr>
          <w:rFonts w:ascii="Open Sans" w:hAnsi="Open Sans" w:cs="Open Sans"/>
        </w:rPr>
        <w:t>LF</w:t>
      </w:r>
      <w:r w:rsidRPr="00696D48">
        <w:rPr>
          <w:rFonts w:ascii="Open Sans" w:hAnsi="Open Sans" w:cs="Open Sans"/>
        </w:rPr>
        <w:t xml:space="preserve">’s successful appeal and the dismissal of all charges against him on 7 September 2018, the Department should immediately </w:t>
      </w:r>
      <w:r w:rsidR="00126285" w:rsidRPr="00696D48">
        <w:rPr>
          <w:rFonts w:ascii="Open Sans" w:hAnsi="Open Sans" w:cs="Open Sans"/>
        </w:rPr>
        <w:t xml:space="preserve">have </w:t>
      </w:r>
      <w:r w:rsidRPr="00696D48">
        <w:rPr>
          <w:rFonts w:ascii="Open Sans" w:hAnsi="Open Sans" w:cs="Open Sans"/>
        </w:rPr>
        <w:t xml:space="preserve">referred Mr </w:t>
      </w:r>
      <w:r>
        <w:rPr>
          <w:rFonts w:ascii="Open Sans" w:hAnsi="Open Sans" w:cs="Open Sans"/>
        </w:rPr>
        <w:t>LF</w:t>
      </w:r>
      <w:r w:rsidRPr="00696D48">
        <w:rPr>
          <w:rFonts w:ascii="Open Sans" w:hAnsi="Open Sans" w:cs="Open Sans"/>
        </w:rPr>
        <w:t xml:space="preserve"> to the Minister for consideration of the exercise of his discretion under s 195A and s 197AB of the </w:t>
      </w:r>
      <w:r w:rsidRPr="00696D48">
        <w:rPr>
          <w:rFonts w:ascii="Open Sans" w:hAnsi="Open Sans" w:cs="Open Sans"/>
          <w:i/>
          <w:iCs/>
        </w:rPr>
        <w:t xml:space="preserve">Migration Act. </w:t>
      </w:r>
      <w:r>
        <w:rPr>
          <w:rFonts w:ascii="Open Sans" w:hAnsi="Open Sans" w:cs="Open Sans"/>
        </w:rPr>
        <w:t>However, the Department’s response of 30 July 2020 to my preliminary view states that an allegation was made to the Department that required it to ‘seek advice from an external agency on whether he posed a national security risk</w:t>
      </w:r>
      <w:r w:rsidR="00126285">
        <w:rPr>
          <w:rFonts w:ascii="Open Sans" w:hAnsi="Open Sans" w:cs="Open Sans"/>
        </w:rPr>
        <w:t>’</w:t>
      </w:r>
      <w:r>
        <w:rPr>
          <w:rFonts w:ascii="Open Sans" w:hAnsi="Open Sans" w:cs="Open Sans"/>
        </w:rPr>
        <w:t>. This is the first time during the Commission’s inquiry into Mr LF’s complaint that the Department has provided this information. I note the Department has not said when the allegation was made, or how quickly the Department sought advice from the external agency. We do know that the allegation did not ultimately prevent Mr LF’s release from immigration detention.</w:t>
      </w:r>
    </w:p>
    <w:p w14:paraId="738DBCF9" w14:textId="77777777" w:rsidR="00824071" w:rsidRPr="006B1B6C" w:rsidRDefault="00824071" w:rsidP="00824071">
      <w:pPr>
        <w:pStyle w:val="ListParagraph"/>
        <w:numPr>
          <w:ilvl w:val="0"/>
          <w:numId w:val="3"/>
        </w:numPr>
        <w:spacing w:before="240" w:after="240"/>
        <w:contextualSpacing w:val="0"/>
        <w:rPr>
          <w:rFonts w:ascii="Open Sans" w:hAnsi="Open Sans" w:cs="Open Sans"/>
        </w:rPr>
      </w:pPr>
      <w:r>
        <w:rPr>
          <w:rFonts w:ascii="Open Sans" w:hAnsi="Open Sans" w:cs="Open Sans"/>
        </w:rPr>
        <w:t>However, in the circumstances, in light of the Department’s assertion that an allegation was made that required advice from an external agency as to whether he posed a national security risk, it is not possible to form a concluded view as to whether Mr LF’s</w:t>
      </w:r>
      <w:r w:rsidRPr="00111FF2">
        <w:rPr>
          <w:rFonts w:ascii="Open Sans" w:hAnsi="Open Sans" w:cs="Open Sans"/>
        </w:rPr>
        <w:t xml:space="preserve"> continued immigration detention during this period </w:t>
      </w:r>
      <w:r>
        <w:rPr>
          <w:rFonts w:ascii="Open Sans" w:hAnsi="Open Sans" w:cs="Open Sans"/>
        </w:rPr>
        <w:t>was</w:t>
      </w:r>
      <w:r w:rsidRPr="00111FF2">
        <w:rPr>
          <w:rFonts w:ascii="Open Sans" w:hAnsi="Open Sans" w:cs="Open Sans"/>
        </w:rPr>
        <w:t xml:space="preserve"> more than </w:t>
      </w:r>
      <w:r>
        <w:rPr>
          <w:rFonts w:ascii="Open Sans" w:hAnsi="Open Sans" w:cs="Open Sans"/>
        </w:rPr>
        <w:t xml:space="preserve">was </w:t>
      </w:r>
      <w:r w:rsidRPr="00111FF2">
        <w:rPr>
          <w:rFonts w:ascii="Open Sans" w:hAnsi="Open Sans" w:cs="Open Sans"/>
        </w:rPr>
        <w:t xml:space="preserve">necessary </w:t>
      </w:r>
      <w:r>
        <w:rPr>
          <w:rFonts w:ascii="Open Sans" w:hAnsi="Open Sans" w:cs="Open Sans"/>
        </w:rPr>
        <w:t>or</w:t>
      </w:r>
      <w:r w:rsidRPr="00111FF2">
        <w:rPr>
          <w:rFonts w:ascii="Open Sans" w:hAnsi="Open Sans" w:cs="Open Sans"/>
        </w:rPr>
        <w:t xml:space="preserve"> disproportionate in the circumstances.</w:t>
      </w:r>
    </w:p>
    <w:p w14:paraId="1F9799F7" w14:textId="77777777" w:rsidR="00824071" w:rsidRPr="001375D9" w:rsidRDefault="00824071" w:rsidP="00824071">
      <w:pPr>
        <w:pStyle w:val="Heading1"/>
        <w:tabs>
          <w:tab w:val="clear" w:pos="9781"/>
          <w:tab w:val="num" w:pos="709"/>
        </w:tabs>
        <w:spacing w:before="240" w:after="240"/>
        <w:ind w:left="720" w:hanging="720"/>
        <w:rPr>
          <w:rFonts w:ascii="Open Sans" w:hAnsi="Open Sans" w:cs="Open Sans"/>
        </w:rPr>
      </w:pPr>
      <w:bookmarkStart w:id="110" w:name="_Toc57217346"/>
      <w:r w:rsidRPr="001375D9">
        <w:rPr>
          <w:rFonts w:ascii="Open Sans" w:hAnsi="Open Sans" w:cs="Open Sans"/>
        </w:rPr>
        <w:t>Recommendation</w:t>
      </w:r>
      <w:bookmarkEnd w:id="108"/>
      <w:bookmarkEnd w:id="109"/>
      <w:r w:rsidRPr="001375D9">
        <w:rPr>
          <w:rFonts w:ascii="Open Sans" w:hAnsi="Open Sans" w:cs="Open Sans"/>
        </w:rPr>
        <w:t>s</w:t>
      </w:r>
      <w:bookmarkEnd w:id="110"/>
    </w:p>
    <w:p w14:paraId="15FA55CD" w14:textId="77777777" w:rsidR="00824071" w:rsidRPr="00F26619" w:rsidRDefault="00824071" w:rsidP="00824071">
      <w:pPr>
        <w:keepNext/>
        <w:numPr>
          <w:ilvl w:val="0"/>
          <w:numId w:val="3"/>
        </w:numPr>
        <w:tabs>
          <w:tab w:val="clear" w:pos="720"/>
          <w:tab w:val="num" w:pos="1080"/>
        </w:tabs>
        <w:spacing w:before="240" w:after="240" w:line="240" w:lineRule="auto"/>
        <w:rPr>
          <w:rFonts w:ascii="Open Sans" w:hAnsi="Open Sans" w:cs="Open Sans"/>
          <w:sz w:val="24"/>
          <w:szCs w:val="24"/>
        </w:rPr>
      </w:pPr>
      <w:bookmarkStart w:id="111" w:name="_Toc438218056"/>
      <w:r w:rsidRPr="00F26619">
        <w:rPr>
          <w:rFonts w:ascii="Open Sans" w:hAnsi="Open Sans" w:cs="Open Sans"/>
          <w:sz w:val="24"/>
          <w:szCs w:val="24"/>
        </w:rPr>
        <w:t>As a result of this inquiry, I find that the decision of the Department not to invite the Minister to consider exercising his discretion under s 195A and s 197AB for the periods of Mr LF’s detention from 12 February 2018 to 16 May 2018 and 27 June 2018 to 7 September 2018 contributed to the continued detention of Mr LF, without consideration of whether that detention was justified in the particular circumstances of Mr LF’s case was inconsistent with or contrary to article 9(1) of the ICCPR.</w:t>
      </w:r>
    </w:p>
    <w:p w14:paraId="3FBA4E5F" w14:textId="77777777" w:rsidR="00824071" w:rsidRPr="00F26619" w:rsidRDefault="00824071" w:rsidP="00824071">
      <w:pPr>
        <w:pStyle w:val="ListParagraph"/>
        <w:numPr>
          <w:ilvl w:val="0"/>
          <w:numId w:val="3"/>
        </w:numPr>
        <w:spacing w:before="240" w:after="240"/>
        <w:contextualSpacing w:val="0"/>
        <w:rPr>
          <w:rFonts w:ascii="Open Sans" w:hAnsi="Open Sans" w:cs="Open Sans"/>
          <w:szCs w:val="24"/>
        </w:rPr>
      </w:pPr>
      <w:r w:rsidRPr="00F26619">
        <w:rPr>
          <w:rFonts w:ascii="Open Sans" w:hAnsi="Open Sans" w:cs="Open Sans"/>
          <w:szCs w:val="24"/>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F26619">
        <w:rPr>
          <w:rStyle w:val="EndnoteReference"/>
          <w:rFonts w:ascii="Open Sans" w:hAnsi="Open Sans" w:cs="Open Sans"/>
          <w:sz w:val="24"/>
          <w:szCs w:val="24"/>
        </w:rPr>
        <w:endnoteReference w:id="15"/>
      </w:r>
      <w:r w:rsidRPr="00F26619">
        <w:rPr>
          <w:rFonts w:ascii="Open Sans" w:hAnsi="Open Sans" w:cs="Open Sans"/>
          <w:szCs w:val="24"/>
        </w:rPr>
        <w:t xml:space="preserve"> The Commission may </w:t>
      </w:r>
      <w:r w:rsidRPr="00F26619">
        <w:rPr>
          <w:rFonts w:ascii="Open Sans" w:hAnsi="Open Sans" w:cs="Open Sans"/>
          <w:szCs w:val="24"/>
        </w:rPr>
        <w:lastRenderedPageBreak/>
        <w:t>include in the notice any recommendation for preventing a repetition of the act or a continuation of the practice.</w:t>
      </w:r>
      <w:r w:rsidRPr="00F26619">
        <w:rPr>
          <w:rStyle w:val="EndnoteReference"/>
          <w:rFonts w:ascii="Open Sans" w:hAnsi="Open Sans" w:cs="Open Sans"/>
          <w:sz w:val="24"/>
          <w:szCs w:val="24"/>
        </w:rPr>
        <w:endnoteReference w:id="16"/>
      </w:r>
      <w:r w:rsidRPr="00F26619">
        <w:rPr>
          <w:rFonts w:ascii="Open Sans" w:hAnsi="Open Sans" w:cs="Open Sans"/>
          <w:szCs w:val="24"/>
        </w:rPr>
        <w:t xml:space="preserve"> The Commission may also recommend other action to remedy or reduce the loss or damage suffered by a person.</w:t>
      </w:r>
      <w:r w:rsidRPr="00F26619">
        <w:rPr>
          <w:rStyle w:val="EndnoteReference"/>
          <w:rFonts w:ascii="Open Sans" w:hAnsi="Open Sans" w:cs="Open Sans"/>
          <w:sz w:val="24"/>
          <w:szCs w:val="24"/>
        </w:rPr>
        <w:endnoteReference w:id="17"/>
      </w:r>
      <w:bookmarkEnd w:id="111"/>
    </w:p>
    <w:p w14:paraId="695D757D" w14:textId="77777777" w:rsidR="00824071" w:rsidRPr="00F26619" w:rsidRDefault="00824071" w:rsidP="00824071">
      <w:pPr>
        <w:pStyle w:val="ListParagraph"/>
        <w:numPr>
          <w:ilvl w:val="0"/>
          <w:numId w:val="3"/>
        </w:numPr>
        <w:spacing w:before="240" w:after="240"/>
        <w:contextualSpacing w:val="0"/>
        <w:rPr>
          <w:rFonts w:ascii="Open Sans" w:hAnsi="Open Sans" w:cs="Open Sans"/>
          <w:szCs w:val="24"/>
        </w:rPr>
      </w:pPr>
      <w:r w:rsidRPr="00F26619">
        <w:rPr>
          <w:rFonts w:ascii="Open Sans" w:hAnsi="Open Sans" w:cs="Open Sans"/>
          <w:szCs w:val="24"/>
        </w:rPr>
        <w:t>The detention review processes conducted by the Department consider whether there are any circumstances that indicate a detainee cannot be appropriately managed within a detention centre environment. Reviews do not consider whether detention is necessary or proportionate. They focus on whether there is any need for an individual to be released from detention, rather than if there is necessity in continuing to detain the individual.</w:t>
      </w:r>
      <w:r w:rsidRPr="002F1572">
        <w:rPr>
          <w:rFonts w:ascii="Open Sans" w:hAnsi="Open Sans" w:cs="Open Sans"/>
        </w:rPr>
        <w:t xml:space="preserve"> </w:t>
      </w:r>
      <w:r w:rsidRPr="00F26619">
        <w:rPr>
          <w:rFonts w:ascii="Open Sans" w:hAnsi="Open Sans" w:cs="Open Sans"/>
          <w:szCs w:val="24"/>
        </w:rPr>
        <w:t xml:space="preserve">Accordingly, the current review process does not adequately safeguard against arbitrary detention. </w:t>
      </w:r>
    </w:p>
    <w:p w14:paraId="41713A97" w14:textId="77777777" w:rsidR="00824071" w:rsidRPr="00F26619" w:rsidRDefault="00824071" w:rsidP="00824071">
      <w:pPr>
        <w:spacing w:before="240" w:after="240"/>
        <w:ind w:left="720"/>
        <w:rPr>
          <w:rFonts w:ascii="Open Sans" w:hAnsi="Open Sans" w:cs="Open Sans"/>
          <w:b/>
          <w:sz w:val="24"/>
          <w:szCs w:val="24"/>
        </w:rPr>
      </w:pPr>
      <w:r w:rsidRPr="00F26619">
        <w:rPr>
          <w:rFonts w:ascii="Open Sans" w:hAnsi="Open Sans" w:cs="Open Sans"/>
          <w:b/>
          <w:bCs/>
          <w:sz w:val="24"/>
          <w:szCs w:val="24"/>
        </w:rPr>
        <w:t xml:space="preserve">Recommendation  </w:t>
      </w:r>
    </w:p>
    <w:p w14:paraId="2FE18833" w14:textId="77777777" w:rsidR="00824071" w:rsidRPr="00F26619" w:rsidRDefault="00824071" w:rsidP="00824071">
      <w:pPr>
        <w:pStyle w:val="ListParagraph"/>
        <w:spacing w:before="240" w:after="240"/>
        <w:rPr>
          <w:rFonts w:ascii="Open Sans" w:hAnsi="Open Sans" w:cs="Open Sans"/>
          <w:szCs w:val="24"/>
        </w:rPr>
      </w:pPr>
      <w:r w:rsidRPr="00F26619">
        <w:rPr>
          <w:rFonts w:ascii="Open Sans" w:hAnsi="Open Sans" w:cs="Open Sans"/>
          <w:szCs w:val="24"/>
        </w:rPr>
        <w:t xml:space="preserve">The Department should regularly conduct open periodic reviews of the necessity of detention for people in immigration detention centres. The reviews should focus on whether detention in an immigration detention centre is necessary in the specific case and if detention is not considered necessary, the identification of alternate means of detention or the grant of a visa should be considered. </w:t>
      </w:r>
    </w:p>
    <w:p w14:paraId="7A32E218" w14:textId="77777777" w:rsidR="00824071" w:rsidRPr="001375D9" w:rsidRDefault="00824071" w:rsidP="00824071">
      <w:pPr>
        <w:pStyle w:val="Heading1"/>
        <w:tabs>
          <w:tab w:val="clear" w:pos="9781"/>
          <w:tab w:val="num" w:pos="709"/>
        </w:tabs>
        <w:spacing w:before="240" w:after="240"/>
        <w:ind w:left="720" w:hanging="720"/>
        <w:rPr>
          <w:rFonts w:ascii="Open Sans" w:hAnsi="Open Sans" w:cs="Open Sans"/>
        </w:rPr>
      </w:pPr>
      <w:bookmarkStart w:id="112" w:name="_Toc57217347"/>
      <w:r>
        <w:rPr>
          <w:rFonts w:ascii="Open Sans" w:hAnsi="Open Sans" w:cs="Open Sans"/>
        </w:rPr>
        <w:t>The Department’s response to my findings and r</w:t>
      </w:r>
      <w:r w:rsidRPr="001375D9">
        <w:rPr>
          <w:rFonts w:ascii="Open Sans" w:hAnsi="Open Sans" w:cs="Open Sans"/>
        </w:rPr>
        <w:t>ecommendations</w:t>
      </w:r>
      <w:bookmarkEnd w:id="112"/>
    </w:p>
    <w:p w14:paraId="0D189D32" w14:textId="77777777" w:rsidR="00824071" w:rsidRPr="002A3F8D" w:rsidRDefault="00824071" w:rsidP="00824071">
      <w:pPr>
        <w:pStyle w:val="ListParagraph"/>
        <w:numPr>
          <w:ilvl w:val="0"/>
          <w:numId w:val="3"/>
        </w:numPr>
        <w:spacing w:before="240" w:after="240"/>
        <w:contextualSpacing w:val="0"/>
        <w:rPr>
          <w:rFonts w:ascii="Open Sans" w:hAnsi="Open Sans" w:cs="Open Sans"/>
        </w:rPr>
      </w:pPr>
      <w:r>
        <w:rPr>
          <w:rFonts w:ascii="Open Sans" w:hAnsi="Open Sans" w:cs="Open Sans"/>
          <w:szCs w:val="24"/>
        </w:rPr>
        <w:t xml:space="preserve">On 13 October 2020, I provided the Department with a notice of my findings and recommendations. </w:t>
      </w:r>
    </w:p>
    <w:p w14:paraId="04533EFD" w14:textId="77777777" w:rsidR="00824071" w:rsidRPr="002A3F8D" w:rsidRDefault="00824071" w:rsidP="00824071">
      <w:pPr>
        <w:pStyle w:val="ListParagraph"/>
        <w:numPr>
          <w:ilvl w:val="0"/>
          <w:numId w:val="3"/>
        </w:numPr>
        <w:spacing w:before="240" w:after="240"/>
        <w:contextualSpacing w:val="0"/>
        <w:rPr>
          <w:rFonts w:ascii="Open Sans" w:hAnsi="Open Sans" w:cs="Open Sans"/>
        </w:rPr>
      </w:pPr>
      <w:r>
        <w:rPr>
          <w:rFonts w:ascii="Open Sans" w:hAnsi="Open Sans" w:cs="Open Sans"/>
          <w:szCs w:val="24"/>
        </w:rPr>
        <w:t xml:space="preserve">On 13 November 2020, the Department provided the following response to my findings and recommendations: </w:t>
      </w:r>
    </w:p>
    <w:p w14:paraId="08A42FC1" w14:textId="77777777" w:rsidR="00824071" w:rsidRPr="003F6B07" w:rsidRDefault="00824071" w:rsidP="00824071">
      <w:pPr>
        <w:pStyle w:val="ListParagraph"/>
        <w:spacing w:after="240"/>
        <w:ind w:left="1440"/>
        <w:contextualSpacing w:val="0"/>
        <w:rPr>
          <w:rFonts w:ascii="Open Sans" w:eastAsiaTheme="minorHAnsi" w:hAnsi="Open Sans" w:cs="Open Sans"/>
          <w:b/>
          <w:bCs/>
          <w:spacing w:val="0"/>
          <w:sz w:val="22"/>
          <w:szCs w:val="22"/>
        </w:rPr>
      </w:pPr>
      <w:r w:rsidRPr="003F6B07">
        <w:rPr>
          <w:rFonts w:ascii="Open Sans" w:eastAsiaTheme="minorHAnsi" w:hAnsi="Open Sans" w:cs="Open Sans"/>
          <w:b/>
          <w:bCs/>
          <w:spacing w:val="0"/>
          <w:sz w:val="22"/>
          <w:szCs w:val="22"/>
        </w:rPr>
        <w:t xml:space="preserve">Arbitrary Detention </w:t>
      </w:r>
    </w:p>
    <w:p w14:paraId="1DC8A94D" w14:textId="77777777" w:rsidR="00824071" w:rsidRPr="003F6B07" w:rsidRDefault="00824071" w:rsidP="00824071">
      <w:pPr>
        <w:pStyle w:val="ListParagraph"/>
        <w:spacing w:after="240"/>
        <w:ind w:left="1440"/>
        <w:contextualSpacing w:val="0"/>
        <w:rPr>
          <w:rFonts w:ascii="Open Sans" w:eastAsiaTheme="minorHAnsi" w:hAnsi="Open Sans" w:cs="Open Sans"/>
          <w:spacing w:val="0"/>
          <w:sz w:val="22"/>
          <w:szCs w:val="22"/>
        </w:rPr>
      </w:pPr>
      <w:r w:rsidRPr="003F6B07">
        <w:rPr>
          <w:rFonts w:ascii="Open Sans" w:eastAsiaTheme="minorHAnsi" w:hAnsi="Open Sans" w:cs="Open Sans"/>
          <w:spacing w:val="0"/>
          <w:sz w:val="22"/>
          <w:szCs w:val="22"/>
        </w:rPr>
        <w:t xml:space="preserve">The Department notes the Commission’s recommendation, and does not agree that detention review processes conducted by the Department do not consider whether detention is necessary or proportionate. </w:t>
      </w:r>
    </w:p>
    <w:p w14:paraId="3613AC91" w14:textId="77777777" w:rsidR="00824071" w:rsidRPr="003F6B07" w:rsidRDefault="00824071" w:rsidP="00824071">
      <w:pPr>
        <w:pStyle w:val="ListParagraph"/>
        <w:spacing w:after="240"/>
        <w:ind w:left="1440"/>
        <w:contextualSpacing w:val="0"/>
        <w:rPr>
          <w:rFonts w:ascii="Open Sans" w:eastAsiaTheme="minorHAnsi" w:hAnsi="Open Sans" w:cs="Open Sans"/>
          <w:spacing w:val="0"/>
          <w:sz w:val="22"/>
          <w:szCs w:val="22"/>
        </w:rPr>
      </w:pPr>
      <w:r w:rsidRPr="003F6B07">
        <w:rPr>
          <w:rFonts w:ascii="Open Sans" w:eastAsiaTheme="minorHAnsi" w:hAnsi="Open Sans" w:cs="Open Sans"/>
          <w:spacing w:val="0"/>
          <w:sz w:val="22"/>
          <w:szCs w:val="22"/>
        </w:rPr>
        <w:t xml:space="preserve">The Department has a framework in place of regular reviews, escalation and referral points to ensure that people are detained in the most appropriate placement to manage their health and welfare, and to manage the resolution of their immigration status. The Department also maintains that review mechanisms regularly consider the necessity of detention and where appropriate, identify alternate means of detention or the grant of a visa. </w:t>
      </w:r>
    </w:p>
    <w:p w14:paraId="2BCFF5FE" w14:textId="77777777" w:rsidR="00824071" w:rsidRPr="003F6B07" w:rsidRDefault="00824071" w:rsidP="00824071">
      <w:pPr>
        <w:pStyle w:val="ListParagraph"/>
        <w:spacing w:after="240"/>
        <w:ind w:left="1440"/>
        <w:contextualSpacing w:val="0"/>
        <w:rPr>
          <w:rFonts w:ascii="Open Sans" w:eastAsiaTheme="minorHAnsi" w:hAnsi="Open Sans" w:cs="Open Sans"/>
          <w:spacing w:val="0"/>
          <w:sz w:val="22"/>
          <w:szCs w:val="22"/>
        </w:rPr>
      </w:pPr>
      <w:r w:rsidRPr="003F6B07">
        <w:rPr>
          <w:rFonts w:ascii="Open Sans" w:eastAsiaTheme="minorHAnsi" w:hAnsi="Open Sans" w:cs="Open Sans"/>
          <w:spacing w:val="0"/>
          <w:sz w:val="22"/>
          <w:szCs w:val="22"/>
        </w:rPr>
        <w:t xml:space="preserve">Detention Review Managers conduct an initial review of the exercise of powers to detain under section 189 of the Migration Act 1958 (the Act), </w:t>
      </w:r>
      <w:r w:rsidRPr="003F6B07">
        <w:rPr>
          <w:rFonts w:ascii="Open Sans" w:eastAsiaTheme="minorHAnsi" w:hAnsi="Open Sans" w:cs="Open Sans"/>
          <w:spacing w:val="0"/>
          <w:sz w:val="22"/>
          <w:szCs w:val="22"/>
        </w:rPr>
        <w:lastRenderedPageBreak/>
        <w:t xml:space="preserve">providing independent assurance regarding the lawfulness and reasonableness of the decision to detain. </w:t>
      </w:r>
    </w:p>
    <w:p w14:paraId="641CD768" w14:textId="77777777" w:rsidR="00824071" w:rsidRPr="003F6B07" w:rsidRDefault="00824071" w:rsidP="00824071">
      <w:pPr>
        <w:pStyle w:val="ListParagraph"/>
        <w:spacing w:after="240"/>
        <w:ind w:left="1440"/>
        <w:contextualSpacing w:val="0"/>
        <w:rPr>
          <w:rFonts w:ascii="Open Sans" w:eastAsiaTheme="minorHAnsi" w:hAnsi="Open Sans" w:cs="Open Sans"/>
          <w:spacing w:val="0"/>
          <w:sz w:val="22"/>
          <w:szCs w:val="22"/>
        </w:rPr>
      </w:pPr>
      <w:r w:rsidRPr="003F6B07">
        <w:rPr>
          <w:rFonts w:ascii="Open Sans" w:eastAsiaTheme="minorHAnsi" w:hAnsi="Open Sans" w:cs="Open Sans"/>
          <w:spacing w:val="0"/>
          <w:sz w:val="22"/>
          <w:szCs w:val="22"/>
        </w:rPr>
        <w:t xml:space="preserve">Each detainee’s case is reviewed monthly by a Status Resolution Officer to ensure that emerging vulnerabilities or barriers to case progression are identified and referred for action. In addition, the Status Resolution Officer also considers whether ongoing detention remains appropriate and refers relevant cases for further action. Monthly detention review committees also provide formal executive level oversight of the placement and status resolution progress of each immigration detainee. </w:t>
      </w:r>
    </w:p>
    <w:p w14:paraId="41808B38" w14:textId="77777777" w:rsidR="00824071" w:rsidRPr="003F6B07" w:rsidRDefault="00824071" w:rsidP="00824071">
      <w:pPr>
        <w:pStyle w:val="ListParagraph"/>
        <w:spacing w:after="240"/>
        <w:ind w:left="1440"/>
        <w:contextualSpacing w:val="0"/>
        <w:rPr>
          <w:rFonts w:ascii="Open Sans" w:eastAsiaTheme="minorHAnsi" w:hAnsi="Open Sans" w:cs="Open Sans"/>
          <w:spacing w:val="0"/>
          <w:sz w:val="22"/>
          <w:szCs w:val="22"/>
        </w:rPr>
      </w:pPr>
      <w:r w:rsidRPr="003F6B07">
        <w:rPr>
          <w:rFonts w:ascii="Open Sans" w:eastAsiaTheme="minorHAnsi" w:hAnsi="Open Sans" w:cs="Open Sans"/>
          <w:spacing w:val="0"/>
          <w:sz w:val="22"/>
          <w:szCs w:val="22"/>
        </w:rPr>
        <w:t xml:space="preserve">The Department proactively continues to identify and utilise alternatives to held detention. Status Resolution Officers use the Community Protection Assessment Tool to assess the most appropriate placement for an unlawful non-citizen while status resolution processes are being undertaken. Placement includes looking at alternatives to an immigration detention centre, such as in the community on a bridging visa, or under a residence determination placement. The tool also assesses the types of support or conditions that may be appropriate and is generally reviewed every three to six months and/or when there is a significant change in an individual’s circumstances. </w:t>
      </w:r>
    </w:p>
    <w:p w14:paraId="7B69C665" w14:textId="77777777" w:rsidR="00824071" w:rsidRPr="003F6B07" w:rsidRDefault="00824071" w:rsidP="00824071">
      <w:pPr>
        <w:pStyle w:val="ListParagraph"/>
        <w:spacing w:after="240"/>
        <w:ind w:left="1440"/>
        <w:contextualSpacing w:val="0"/>
        <w:rPr>
          <w:rFonts w:ascii="Open Sans" w:hAnsi="Open Sans" w:cs="Open Sans"/>
          <w:sz w:val="22"/>
          <w:szCs w:val="22"/>
        </w:rPr>
      </w:pPr>
      <w:r w:rsidRPr="003F6B07">
        <w:rPr>
          <w:rFonts w:ascii="Open Sans" w:eastAsiaTheme="minorHAnsi" w:hAnsi="Open Sans" w:cs="Open Sans"/>
          <w:spacing w:val="0"/>
          <w:sz w:val="22"/>
          <w:szCs w:val="22"/>
        </w:rPr>
        <w:t>Using the Community Protection Assessment Tool, Status Resolution Officers assess and determine whether the</w:t>
      </w:r>
      <w:r w:rsidRPr="003F6B07">
        <w:rPr>
          <w:rFonts w:ascii="Open Sans" w:hAnsi="Open Sans" w:cs="Open Sans"/>
          <w:sz w:val="22"/>
          <w:szCs w:val="22"/>
        </w:rPr>
        <w:t xml:space="preserve"> detainee meets the legislative requirements and criteria for a bridging visa to allow the non-citizen to temporarily reside lawfully in the community while they resolve their immigration status. Status Resolution Officers identify cases where the Minister is the only person with the power to grant the non-citizen a visa or to make a residence determination in order to allow an unlawful non-citizen to reside in community detention. Where the case is determined to meet the Ministerial Intervention Guidelines, the case is referred to the Minister for consideration under section 195A of the Act to grant a visa to a person in immigration detention, or under section 197AB of the Act, allowing a detainee to reside in the community. The Department notes that the Minister’s powers under sections 195A and 197AB of the Act cannot be delegated and are non-compellable. The Minister is under no obligation to consider a case or to make a decision on a case. The Minister is also not required to provide an explanation for the decision and is not bound by any timeframes. </w:t>
      </w:r>
    </w:p>
    <w:p w14:paraId="23ED15D7" w14:textId="77777777" w:rsidR="00824071" w:rsidRPr="003F6B07" w:rsidRDefault="00824071" w:rsidP="00824071">
      <w:pPr>
        <w:pStyle w:val="ListParagraph"/>
        <w:spacing w:after="240"/>
        <w:ind w:left="1440"/>
        <w:contextualSpacing w:val="0"/>
        <w:rPr>
          <w:rFonts w:ascii="Open Sans" w:hAnsi="Open Sans" w:cs="Open Sans"/>
          <w:b/>
          <w:bCs/>
          <w:sz w:val="22"/>
          <w:szCs w:val="22"/>
        </w:rPr>
      </w:pPr>
      <w:r w:rsidRPr="003F6B07">
        <w:rPr>
          <w:rFonts w:ascii="Open Sans" w:hAnsi="Open Sans" w:cs="Open Sans"/>
          <w:b/>
          <w:bCs/>
          <w:sz w:val="22"/>
          <w:szCs w:val="22"/>
        </w:rPr>
        <w:t xml:space="preserve">Report Findings </w:t>
      </w:r>
    </w:p>
    <w:p w14:paraId="596BAA67" w14:textId="77777777" w:rsidR="00824071" w:rsidRPr="003F6B07" w:rsidRDefault="00824071" w:rsidP="00824071">
      <w:pPr>
        <w:pStyle w:val="ListParagraph"/>
        <w:spacing w:after="240"/>
        <w:ind w:left="1440"/>
        <w:contextualSpacing w:val="0"/>
        <w:rPr>
          <w:rFonts w:ascii="Open Sans" w:hAnsi="Open Sans" w:cs="Open Sans"/>
          <w:i/>
          <w:iCs/>
          <w:sz w:val="22"/>
          <w:szCs w:val="22"/>
        </w:rPr>
      </w:pPr>
      <w:r w:rsidRPr="003F6B07">
        <w:rPr>
          <w:rFonts w:ascii="Open Sans" w:hAnsi="Open Sans" w:cs="Open Sans"/>
          <w:i/>
          <w:iCs/>
          <w:sz w:val="22"/>
          <w:szCs w:val="22"/>
        </w:rPr>
        <w:t xml:space="preserve">Bridging Visa Grant </w:t>
      </w:r>
    </w:p>
    <w:p w14:paraId="12750E55" w14:textId="77777777" w:rsidR="00824071" w:rsidRPr="003F6B07" w:rsidRDefault="00824071" w:rsidP="00824071">
      <w:pPr>
        <w:pStyle w:val="ListParagraph"/>
        <w:spacing w:after="240"/>
        <w:ind w:left="1440"/>
        <w:contextualSpacing w:val="0"/>
        <w:rPr>
          <w:rFonts w:ascii="Open Sans" w:hAnsi="Open Sans" w:cs="Open Sans"/>
          <w:sz w:val="22"/>
          <w:szCs w:val="22"/>
        </w:rPr>
      </w:pPr>
      <w:r w:rsidRPr="003F6B07">
        <w:rPr>
          <w:rFonts w:ascii="Open Sans" w:hAnsi="Open Sans" w:cs="Open Sans"/>
          <w:sz w:val="22"/>
          <w:szCs w:val="22"/>
        </w:rPr>
        <w:t xml:space="preserve">In relation to paragraph 76 of the report, the Department reiterates that Mr LF’s Bridging E Visa (BVE) was granted in association with his application to the Administrative Appeals Tribunal for review of his Student visa cancellation in relation to which he satisfied the BVE criteria. Condition 8564 – “Must not engage in criminal conduct” was imposed on Mr LF’s BVE, however it only considers whether Mr LF will be involved in future criminal conduct and does </w:t>
      </w:r>
      <w:r w:rsidRPr="003F6B07">
        <w:rPr>
          <w:rFonts w:ascii="Open Sans" w:hAnsi="Open Sans" w:cs="Open Sans"/>
          <w:sz w:val="22"/>
          <w:szCs w:val="22"/>
        </w:rPr>
        <w:lastRenderedPageBreak/>
        <w:t>not consider risk to the community or community protection. However, due to the seriousness of Mr LF’s ongoing criminal matters and community protection risk concerns at the time, his case was referred to Australian Border Force Field Compliance for consideration and further action.</w:t>
      </w:r>
    </w:p>
    <w:p w14:paraId="2FB38F59" w14:textId="77777777" w:rsidR="00824071" w:rsidRPr="003F6B07" w:rsidRDefault="00824071" w:rsidP="00824071">
      <w:pPr>
        <w:pStyle w:val="ListParagraph"/>
        <w:spacing w:after="240"/>
        <w:ind w:left="1440"/>
        <w:contextualSpacing w:val="0"/>
        <w:rPr>
          <w:rFonts w:ascii="Open Sans" w:hAnsi="Open Sans" w:cs="Open Sans"/>
          <w:i/>
          <w:iCs/>
          <w:sz w:val="22"/>
          <w:szCs w:val="22"/>
        </w:rPr>
      </w:pPr>
      <w:r w:rsidRPr="003F6B07">
        <w:rPr>
          <w:rFonts w:ascii="Open Sans" w:hAnsi="Open Sans" w:cs="Open Sans"/>
          <w:i/>
          <w:iCs/>
          <w:sz w:val="22"/>
          <w:szCs w:val="22"/>
        </w:rPr>
        <w:t xml:space="preserve">Unique or Exceptional Circumstances </w:t>
      </w:r>
    </w:p>
    <w:p w14:paraId="168F1337" w14:textId="77777777" w:rsidR="00824071" w:rsidRPr="003F6B07" w:rsidRDefault="00824071" w:rsidP="00824071">
      <w:pPr>
        <w:pStyle w:val="ListParagraph"/>
        <w:spacing w:after="240"/>
        <w:ind w:left="1440"/>
        <w:contextualSpacing w:val="0"/>
        <w:rPr>
          <w:rFonts w:ascii="Open Sans" w:hAnsi="Open Sans" w:cs="Open Sans"/>
          <w:sz w:val="22"/>
          <w:szCs w:val="22"/>
        </w:rPr>
      </w:pPr>
      <w:r w:rsidRPr="003F6B07">
        <w:rPr>
          <w:rFonts w:ascii="Open Sans" w:hAnsi="Open Sans" w:cs="Open Sans"/>
          <w:sz w:val="22"/>
          <w:szCs w:val="22"/>
        </w:rPr>
        <w:t xml:space="preserve">In paragraph 81 of the report, in which the Commission states that it is arguable that Mr LF showed unique or exceptional circumstances, warranting consideration by the Department and the Minister for less restrictive options than detention, the Department’s view remains that being granted bail for ongoing criminal charges would generally not be considered a unique or exceptional circumstance, and that there was no evidence before the Department that Mr LF met any of the criteria warranting referral of his case for consideration against the Ministerial Intervention Guidelines. </w:t>
      </w:r>
    </w:p>
    <w:p w14:paraId="09E0DC35" w14:textId="77777777" w:rsidR="00824071" w:rsidRPr="003F6B07" w:rsidRDefault="00824071" w:rsidP="00824071">
      <w:pPr>
        <w:pStyle w:val="ListParagraph"/>
        <w:spacing w:after="240"/>
        <w:ind w:left="1440"/>
        <w:contextualSpacing w:val="0"/>
        <w:rPr>
          <w:rFonts w:ascii="Open Sans" w:hAnsi="Open Sans" w:cs="Open Sans"/>
          <w:i/>
          <w:iCs/>
          <w:sz w:val="22"/>
          <w:szCs w:val="22"/>
        </w:rPr>
      </w:pPr>
      <w:r w:rsidRPr="003F6B07">
        <w:rPr>
          <w:rFonts w:ascii="Open Sans" w:hAnsi="Open Sans" w:cs="Open Sans"/>
          <w:i/>
          <w:iCs/>
          <w:sz w:val="22"/>
          <w:szCs w:val="22"/>
        </w:rPr>
        <w:t xml:space="preserve">Allegation </w:t>
      </w:r>
    </w:p>
    <w:p w14:paraId="126C8BB6" w14:textId="77777777" w:rsidR="00824071" w:rsidRPr="003F6B07" w:rsidRDefault="00824071" w:rsidP="00824071">
      <w:pPr>
        <w:pStyle w:val="ListParagraph"/>
        <w:spacing w:after="240"/>
        <w:ind w:left="1440"/>
        <w:contextualSpacing w:val="0"/>
        <w:rPr>
          <w:rFonts w:ascii="Open Sans" w:hAnsi="Open Sans" w:cs="Open Sans"/>
          <w:sz w:val="22"/>
          <w:szCs w:val="22"/>
        </w:rPr>
      </w:pPr>
      <w:r w:rsidRPr="003F6B07">
        <w:rPr>
          <w:rFonts w:ascii="Open Sans" w:hAnsi="Open Sans" w:cs="Open Sans"/>
          <w:sz w:val="22"/>
          <w:szCs w:val="22"/>
        </w:rPr>
        <w:t>At paragraph 86 of the report, in which the Commission states that it is not possible to form a concluded view as to whether Mr LF’s continued immigration detention during the period 7 September to 12 October 2018 was more than was necessary or disproportionate in the circumstances, the Department advises that the allegations were received in April 2018 and were being investigated. Once Mr LF’s criminal matters were finalised, and he was being considered for a BVE grant without application under regulation 2.25 of the Migration Regulations 1994, the delegate immediately sought advice from the external agency as to whether Mr LF posed a national security risk based on the allegations. The BVE was then granted to Mr LF on the same day the final advice was received that there were no objections to grant Mr LF a visa from a national security perspective.</w:t>
      </w:r>
    </w:p>
    <w:p w14:paraId="348629AB" w14:textId="34AE58E9" w:rsidR="00824071" w:rsidRPr="00A460AF" w:rsidRDefault="00A460AF" w:rsidP="006023A9">
      <w:pPr>
        <w:pStyle w:val="ListParagraph"/>
        <w:spacing w:before="240" w:after="240"/>
        <w:ind w:left="0"/>
        <w:rPr>
          <w:rFonts w:ascii="Open Sans" w:hAnsi="Open Sans" w:cs="Open Sans"/>
        </w:rPr>
      </w:pPr>
      <w:r>
        <w:rPr>
          <w:noProof/>
        </w:rPr>
        <w:drawing>
          <wp:inline distT="0" distB="0" distL="0" distR="0" wp14:anchorId="490F88D3" wp14:editId="7400EC2D">
            <wp:extent cx="3191581" cy="7905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7325" cy="799429"/>
                    </a:xfrm>
                    <a:prstGeom prst="rect">
                      <a:avLst/>
                    </a:prstGeom>
                  </pic:spPr>
                </pic:pic>
              </a:graphicData>
            </a:graphic>
          </wp:inline>
        </w:drawing>
      </w:r>
    </w:p>
    <w:p w14:paraId="19F956A5" w14:textId="77777777" w:rsidR="00824071" w:rsidRPr="003F061F" w:rsidRDefault="00824071" w:rsidP="00824071">
      <w:pPr>
        <w:spacing w:after="0"/>
        <w:rPr>
          <w:rFonts w:ascii="Open Sans" w:hAnsi="Open Sans" w:cs="Open Sans"/>
          <w:szCs w:val="24"/>
        </w:rPr>
      </w:pPr>
      <w:r w:rsidRPr="003F061F">
        <w:rPr>
          <w:rFonts w:ascii="Open Sans" w:hAnsi="Open Sans" w:cs="Open Sans"/>
          <w:szCs w:val="24"/>
        </w:rPr>
        <w:t>Emeritus Professor Rosalind Croucher AM</w:t>
      </w:r>
    </w:p>
    <w:p w14:paraId="0D7DC366" w14:textId="77777777" w:rsidR="00824071" w:rsidRPr="003F061F" w:rsidRDefault="00824071" w:rsidP="00824071">
      <w:pPr>
        <w:spacing w:after="0"/>
        <w:rPr>
          <w:rFonts w:ascii="Open Sans" w:hAnsi="Open Sans" w:cs="Open Sans"/>
          <w:b/>
          <w:szCs w:val="24"/>
        </w:rPr>
      </w:pPr>
      <w:r w:rsidRPr="003F061F">
        <w:rPr>
          <w:rFonts w:ascii="Open Sans" w:hAnsi="Open Sans" w:cs="Open Sans"/>
          <w:b/>
          <w:szCs w:val="24"/>
        </w:rPr>
        <w:t xml:space="preserve">President </w:t>
      </w:r>
    </w:p>
    <w:p w14:paraId="2CBDD029" w14:textId="77777777" w:rsidR="00824071" w:rsidRDefault="00824071" w:rsidP="00824071">
      <w:pPr>
        <w:spacing w:after="0"/>
        <w:rPr>
          <w:rFonts w:ascii="Open Sans" w:hAnsi="Open Sans" w:cs="Open Sans"/>
          <w:szCs w:val="24"/>
        </w:rPr>
      </w:pPr>
      <w:r w:rsidRPr="003F061F">
        <w:rPr>
          <w:rFonts w:ascii="Open Sans" w:hAnsi="Open Sans" w:cs="Open Sans"/>
          <w:szCs w:val="24"/>
        </w:rPr>
        <w:t>Australian Human Rights Commission</w:t>
      </w:r>
    </w:p>
    <w:p w14:paraId="08E77FE7" w14:textId="77777777" w:rsidR="00824071" w:rsidRPr="003F061F" w:rsidRDefault="00824071" w:rsidP="00824071">
      <w:pPr>
        <w:spacing w:after="0"/>
        <w:rPr>
          <w:rFonts w:ascii="Open Sans" w:hAnsi="Open Sans" w:cs="Open Sans"/>
          <w:szCs w:val="24"/>
        </w:rPr>
      </w:pPr>
    </w:p>
    <w:p w14:paraId="34226D94" w14:textId="537560C8" w:rsidR="00824071" w:rsidRPr="003F061F" w:rsidRDefault="00B42491" w:rsidP="00824071">
      <w:pPr>
        <w:spacing w:after="0"/>
        <w:rPr>
          <w:rFonts w:ascii="Open Sans" w:hAnsi="Open Sans" w:cs="Open Sans"/>
          <w:szCs w:val="24"/>
        </w:rPr>
      </w:pPr>
      <w:r>
        <w:rPr>
          <w:rFonts w:ascii="Open Sans" w:hAnsi="Open Sans" w:cs="Open Sans"/>
          <w:szCs w:val="24"/>
        </w:rPr>
        <w:t xml:space="preserve">15 </w:t>
      </w:r>
      <w:r w:rsidR="002018CC">
        <w:rPr>
          <w:rFonts w:ascii="Open Sans" w:hAnsi="Open Sans" w:cs="Open Sans"/>
          <w:szCs w:val="24"/>
        </w:rPr>
        <w:t>December</w:t>
      </w:r>
      <w:r w:rsidR="00824071">
        <w:rPr>
          <w:rFonts w:ascii="Open Sans" w:hAnsi="Open Sans" w:cs="Open Sans"/>
          <w:szCs w:val="24"/>
        </w:rPr>
        <w:t xml:space="preserve"> </w:t>
      </w:r>
      <w:r w:rsidR="00824071" w:rsidRPr="00E60F82">
        <w:rPr>
          <w:rFonts w:ascii="Open Sans" w:hAnsi="Open Sans" w:cs="Open Sans"/>
          <w:szCs w:val="24"/>
        </w:rPr>
        <w:t>20</w:t>
      </w:r>
      <w:r w:rsidR="00824071">
        <w:rPr>
          <w:rFonts w:ascii="Open Sans" w:hAnsi="Open Sans" w:cs="Open Sans"/>
          <w:szCs w:val="24"/>
        </w:rPr>
        <w:t>20</w:t>
      </w:r>
    </w:p>
    <w:p w14:paraId="60743AEE" w14:textId="50676577" w:rsidR="000119BF" w:rsidRDefault="000119BF"/>
    <w:p w14:paraId="29AC75E0" w14:textId="1EB17905" w:rsidR="00D94358" w:rsidRDefault="00D94358"/>
    <w:p w14:paraId="197C72B6" w14:textId="564964F1" w:rsidR="00AF0154" w:rsidRDefault="00AF0154"/>
    <w:p w14:paraId="58B24D90" w14:textId="77777777" w:rsidR="00AF0154" w:rsidRDefault="00AF0154"/>
    <w:sectPr w:rsidR="00AF0154" w:rsidSect="00CA267C">
      <w:footerReference w:type="default" r:id="rId11"/>
      <w:endnotePr>
        <w:numFmt w:val="decimal"/>
      </w:endnotePr>
      <w:type w:val="continuous"/>
      <w:pgSz w:w="11906" w:h="16838" w:code="9"/>
      <w:pgMar w:top="1134" w:right="146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FAFF9" w14:textId="77777777" w:rsidR="0046124F" w:rsidRDefault="0046124F" w:rsidP="00824071">
      <w:pPr>
        <w:spacing w:after="0" w:line="240" w:lineRule="auto"/>
      </w:pPr>
      <w:r>
        <w:separator/>
      </w:r>
    </w:p>
  </w:endnote>
  <w:endnote w:type="continuationSeparator" w:id="0">
    <w:p w14:paraId="4A9A04AD" w14:textId="77777777" w:rsidR="0046124F" w:rsidRDefault="0046124F" w:rsidP="00824071">
      <w:pPr>
        <w:spacing w:after="0" w:line="240" w:lineRule="auto"/>
      </w:pPr>
      <w:r>
        <w:continuationSeparator/>
      </w:r>
    </w:p>
  </w:endnote>
  <w:endnote w:id="1">
    <w:p w14:paraId="74081A05" w14:textId="77777777" w:rsidR="00824071" w:rsidRPr="00F20A2F" w:rsidRDefault="00824071" w:rsidP="00824071">
      <w:pPr>
        <w:pStyle w:val="EndnoteText"/>
        <w:tabs>
          <w:tab w:val="left" w:pos="284"/>
        </w:tabs>
        <w:ind w:left="284" w:hanging="284"/>
        <w:rPr>
          <w:rFonts w:ascii="Open Sans" w:hAnsi="Open Sans" w:cs="Open Sans"/>
          <w:sz w:val="20"/>
        </w:rPr>
      </w:pPr>
      <w:r w:rsidRPr="00F20A2F">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t xml:space="preserve">Opened for signature 16 December 1966, 999 UNTS 171 </w:t>
      </w:r>
      <w:r w:rsidRPr="00F20A2F">
        <w:rPr>
          <w:rFonts w:ascii="Open Sans" w:hAnsi="Open Sans" w:cs="Open Sans"/>
          <w:sz w:val="20"/>
        </w:rPr>
        <w:t>(</w:t>
      </w:r>
      <w:r>
        <w:rPr>
          <w:rFonts w:ascii="Open Sans" w:hAnsi="Open Sans" w:cs="Open Sans"/>
          <w:sz w:val="20"/>
        </w:rPr>
        <w:t>entered into force 23 March</w:t>
      </w:r>
      <w:r w:rsidRPr="00F20A2F">
        <w:rPr>
          <w:rFonts w:ascii="Open Sans" w:hAnsi="Open Sans" w:cs="Open Sans"/>
          <w:sz w:val="20"/>
        </w:rPr>
        <w:t xml:space="preserve"> 19</w:t>
      </w:r>
      <w:r>
        <w:rPr>
          <w:rFonts w:ascii="Open Sans" w:hAnsi="Open Sans" w:cs="Open Sans"/>
          <w:sz w:val="20"/>
        </w:rPr>
        <w:t>7</w:t>
      </w:r>
      <w:r w:rsidRPr="00F20A2F">
        <w:rPr>
          <w:rFonts w:ascii="Open Sans" w:hAnsi="Open Sans" w:cs="Open Sans"/>
          <w:sz w:val="20"/>
        </w:rPr>
        <w:t>6), [1980] ATS 23 (entered into force for Australia</w:t>
      </w:r>
      <w:r>
        <w:rPr>
          <w:rFonts w:ascii="Open Sans" w:hAnsi="Open Sans" w:cs="Open Sans"/>
          <w:sz w:val="20"/>
        </w:rPr>
        <w:t xml:space="preserve"> </w:t>
      </w:r>
      <w:r w:rsidRPr="00F20A2F">
        <w:rPr>
          <w:rFonts w:ascii="Open Sans" w:hAnsi="Open Sans" w:cs="Open Sans"/>
          <w:sz w:val="20"/>
        </w:rPr>
        <w:t>13 November 1980).</w:t>
      </w:r>
    </w:p>
  </w:endnote>
  <w:endnote w:id="2">
    <w:p w14:paraId="75DB280D" w14:textId="77777777" w:rsidR="00824071" w:rsidRPr="009C5847" w:rsidRDefault="00824071" w:rsidP="00824071">
      <w:pPr>
        <w:pStyle w:val="EndnoteText"/>
        <w:tabs>
          <w:tab w:val="left" w:pos="284"/>
        </w:tabs>
        <w:ind w:left="284" w:hanging="284"/>
        <w:rPr>
          <w:rStyle w:val="EndnoteReference"/>
          <w:rFonts w:ascii="Open Sans" w:hAnsi="Open Sans" w:cs="Open Sans"/>
        </w:rPr>
      </w:pPr>
      <w:r w:rsidRPr="00247CB4">
        <w:rPr>
          <w:rStyle w:val="EndnoteReference"/>
          <w:rFonts w:ascii="Open Sans" w:hAnsi="Open Sans" w:cs="Open Sans"/>
        </w:rPr>
        <w:endnoteRef/>
      </w:r>
      <w:r w:rsidRPr="00247CB4">
        <w:rPr>
          <w:rStyle w:val="EndnoteReference"/>
          <w:rFonts w:ascii="Open Sans" w:hAnsi="Open Sans" w:cs="Open Sans"/>
        </w:rPr>
        <w:t xml:space="preserve">   </w:t>
      </w:r>
      <w:r>
        <w:rPr>
          <w:rFonts w:ascii="Open Sans" w:hAnsi="Open Sans" w:cs="Open Sans"/>
        </w:rPr>
        <w:tab/>
      </w:r>
      <w:r w:rsidRPr="00B26316">
        <w:rPr>
          <w:rFonts w:ascii="Open Sans" w:hAnsi="Open Sans" w:cs="Open Sans"/>
          <w:i/>
          <w:iCs/>
          <w:sz w:val="20"/>
        </w:rPr>
        <w:t>Al-Kateb v Goodwin</w:t>
      </w:r>
      <w:r>
        <w:rPr>
          <w:rFonts w:ascii="Open Sans" w:hAnsi="Open Sans" w:cs="Open Sans"/>
          <w:sz w:val="20"/>
        </w:rPr>
        <w:t xml:space="preserve"> (2004) 219 CLR 562. </w:t>
      </w:r>
      <w:r>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p>
  </w:endnote>
  <w:endnote w:id="3">
    <w:p w14:paraId="739C6CD6" w14:textId="77777777" w:rsidR="00824071" w:rsidRPr="00F20A2F" w:rsidRDefault="00824071" w:rsidP="00824071">
      <w:pPr>
        <w:pStyle w:val="EndnoteText"/>
        <w:tabs>
          <w:tab w:val="left" w:pos="284"/>
        </w:tabs>
        <w:ind w:left="284" w:hanging="284"/>
        <w:rPr>
          <w:rFonts w:ascii="Open Sans" w:hAnsi="Open Sans" w:cs="Open Sans"/>
          <w:sz w:val="20"/>
        </w:rPr>
      </w:pPr>
      <w:r w:rsidRPr="00F20A2F">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(New York, 16 December 1966), 999 UNTS 171, [1980] ATS 23 (entered into force for Australia</w:t>
      </w:r>
      <w:r>
        <w:rPr>
          <w:rFonts w:ascii="Open Sans" w:hAnsi="Open Sans" w:cs="Open Sans"/>
          <w:sz w:val="20"/>
        </w:rPr>
        <w:t xml:space="preserve"> </w:t>
      </w:r>
      <w:r w:rsidRPr="00F20A2F">
        <w:rPr>
          <w:rFonts w:ascii="Open Sans" w:hAnsi="Open Sans" w:cs="Open Sans"/>
          <w:sz w:val="20"/>
        </w:rPr>
        <w:t>13 November 1980).</w:t>
      </w:r>
    </w:p>
  </w:endnote>
  <w:endnote w:id="4">
    <w:p w14:paraId="53084028" w14:textId="77777777" w:rsidR="00824071" w:rsidRPr="00F20A2F" w:rsidRDefault="00824071" w:rsidP="00824071">
      <w:pPr>
        <w:pStyle w:val="EndnoteText"/>
        <w:tabs>
          <w:tab w:val="left" w:pos="284"/>
        </w:tabs>
        <w:ind w:left="284" w:hanging="284"/>
        <w:rPr>
          <w:rFonts w:ascii="Open Sans" w:hAnsi="Open Sans" w:cs="Open Sans"/>
          <w:sz w:val="20"/>
        </w:rPr>
      </w:pPr>
      <w:r w:rsidRPr="00F20A2F">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See</w:t>
      </w:r>
      <w:r w:rsidRPr="00F20A2F">
        <w:rPr>
          <w:rFonts w:ascii="Open Sans" w:hAnsi="Open Sans" w:cs="Open Sans"/>
          <w:spacing w:val="-4"/>
          <w:sz w:val="20"/>
        </w:rPr>
        <w:t xml:space="preserve"> </w:t>
      </w:r>
      <w:r w:rsidRPr="00F20A2F">
        <w:rPr>
          <w:rFonts w:ascii="Open Sans" w:hAnsi="Open Sans" w:cs="Open Sans"/>
          <w:i/>
          <w:sz w:val="20"/>
        </w:rPr>
        <w:t>Secretary,</w:t>
      </w:r>
      <w:r w:rsidRPr="00F20A2F">
        <w:rPr>
          <w:rFonts w:ascii="Open Sans" w:hAnsi="Open Sans" w:cs="Open Sans"/>
          <w:i/>
          <w:spacing w:val="-4"/>
          <w:sz w:val="20"/>
        </w:rPr>
        <w:t xml:space="preserve"> </w:t>
      </w:r>
      <w:r w:rsidRPr="00F20A2F">
        <w:rPr>
          <w:rFonts w:ascii="Open Sans" w:hAnsi="Open Sans" w:cs="Open Sans"/>
          <w:i/>
          <w:sz w:val="20"/>
        </w:rPr>
        <w:t>Department of Defence v</w:t>
      </w:r>
      <w:r w:rsidRPr="00F20A2F">
        <w:rPr>
          <w:rFonts w:ascii="Open Sans" w:hAnsi="Open Sans" w:cs="Open Sans"/>
          <w:i/>
          <w:spacing w:val="-4"/>
          <w:sz w:val="20"/>
        </w:rPr>
        <w:t xml:space="preserve"> </w:t>
      </w:r>
      <w:r w:rsidRPr="00F20A2F">
        <w:rPr>
          <w:rFonts w:ascii="Open Sans" w:hAnsi="Open Sans" w:cs="Open Sans"/>
          <w:i/>
          <w:sz w:val="20"/>
        </w:rPr>
        <w:t>HREOC, Burgess</w:t>
      </w:r>
      <w:r w:rsidRPr="00F20A2F">
        <w:rPr>
          <w:rFonts w:ascii="Open Sans" w:hAnsi="Open Sans" w:cs="Open Sans"/>
          <w:i/>
          <w:spacing w:val="-4"/>
          <w:sz w:val="20"/>
        </w:rPr>
        <w:t xml:space="preserve"> </w:t>
      </w:r>
      <w:r w:rsidRPr="00F20A2F">
        <w:rPr>
          <w:rFonts w:ascii="Open Sans" w:hAnsi="Open Sans" w:cs="Open Sans"/>
          <w:i/>
          <w:sz w:val="20"/>
        </w:rPr>
        <w:t>&amp;</w:t>
      </w:r>
      <w:r w:rsidRPr="00F20A2F">
        <w:rPr>
          <w:rFonts w:ascii="Open Sans" w:hAnsi="Open Sans" w:cs="Open Sans"/>
          <w:i/>
          <w:spacing w:val="-4"/>
          <w:sz w:val="20"/>
        </w:rPr>
        <w:t xml:space="preserve"> </w:t>
      </w:r>
      <w:r w:rsidRPr="00F20A2F">
        <w:rPr>
          <w:rFonts w:ascii="Open Sans" w:hAnsi="Open Sans" w:cs="Open Sans"/>
          <w:i/>
          <w:sz w:val="20"/>
        </w:rPr>
        <w:t>Ors</w:t>
      </w:r>
      <w:r w:rsidRPr="00F20A2F">
        <w:rPr>
          <w:rFonts w:ascii="Open Sans" w:hAnsi="Open Sans" w:cs="Open Sans"/>
          <w:i/>
          <w:spacing w:val="-3"/>
          <w:sz w:val="20"/>
        </w:rPr>
        <w:t xml:space="preserve"> </w:t>
      </w:r>
      <w:r w:rsidRPr="00F20A2F">
        <w:rPr>
          <w:rFonts w:ascii="Open Sans" w:hAnsi="Open Sans" w:cs="Open Sans"/>
          <w:sz w:val="20"/>
        </w:rPr>
        <w:t>(1997)</w:t>
      </w:r>
      <w:r w:rsidRPr="00F20A2F">
        <w:rPr>
          <w:rFonts w:ascii="Open Sans" w:hAnsi="Open Sans" w:cs="Open Sans"/>
          <w:spacing w:val="-4"/>
          <w:sz w:val="20"/>
        </w:rPr>
        <w:t xml:space="preserve"> </w:t>
      </w:r>
      <w:r w:rsidRPr="00F20A2F">
        <w:rPr>
          <w:rFonts w:ascii="Open Sans" w:hAnsi="Open Sans" w:cs="Open Sans"/>
          <w:sz w:val="20"/>
        </w:rPr>
        <w:t>78 FCR</w:t>
      </w:r>
      <w:r w:rsidRPr="00F20A2F">
        <w:rPr>
          <w:rFonts w:ascii="Open Sans" w:hAnsi="Open Sans" w:cs="Open Sans"/>
          <w:spacing w:val="-4"/>
          <w:sz w:val="20"/>
        </w:rPr>
        <w:t xml:space="preserve"> </w:t>
      </w:r>
      <w:r w:rsidRPr="00F20A2F">
        <w:rPr>
          <w:rFonts w:ascii="Open Sans" w:hAnsi="Open Sans" w:cs="Open Sans"/>
          <w:sz w:val="20"/>
        </w:rPr>
        <w:t xml:space="preserve">208, where Branson J found that the Commission could not, in conducting its inquiry, disregard the legal obligations of the Secretary in exercising a statutory power. Note in particular 212-3 and 214-5. </w:t>
      </w:r>
    </w:p>
  </w:endnote>
  <w:endnote w:id="5">
    <w:p w14:paraId="7E922674" w14:textId="77777777" w:rsidR="00824071" w:rsidRPr="00F20A2F" w:rsidRDefault="00824071" w:rsidP="00824071">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 xml:space="preserve">Human Rights Committee, </w:t>
      </w:r>
      <w:r w:rsidRPr="00F20A2F">
        <w:rPr>
          <w:rFonts w:ascii="Open Sans" w:hAnsi="Open Sans" w:cs="Open Sans"/>
          <w:i/>
          <w:sz w:val="20"/>
        </w:rPr>
        <w:t>General Comment No. 35</w:t>
      </w:r>
      <w:r w:rsidRPr="00F20A2F">
        <w:rPr>
          <w:rFonts w:ascii="Open Sans" w:hAnsi="Open Sans" w:cs="Open Sans"/>
          <w:sz w:val="20"/>
        </w:rPr>
        <w:t xml:space="preserve"> </w:t>
      </w:r>
      <w:r w:rsidRPr="00F20A2F">
        <w:rPr>
          <w:rFonts w:ascii="Open Sans" w:hAnsi="Open Sans" w:cs="Open Sans"/>
          <w:i/>
          <w:sz w:val="20"/>
        </w:rPr>
        <w:t>Article 9 (Liberty and security of person)</w:t>
      </w:r>
      <w:r w:rsidRPr="00F20A2F">
        <w:rPr>
          <w:rFonts w:ascii="Open Sans" w:hAnsi="Open Sans" w:cs="Open Sans"/>
          <w:sz w:val="20"/>
        </w:rPr>
        <w:t>, 112</w:t>
      </w:r>
      <w:r w:rsidRPr="00F20A2F">
        <w:rPr>
          <w:rFonts w:ascii="Open Sans" w:hAnsi="Open Sans" w:cs="Open Sans"/>
          <w:sz w:val="20"/>
          <w:vertAlign w:val="superscript"/>
        </w:rPr>
        <w:t>th</w:t>
      </w:r>
      <w:r w:rsidRPr="00F20A2F">
        <w:rPr>
          <w:rFonts w:ascii="Open Sans" w:hAnsi="Open Sans" w:cs="Open Sans"/>
          <w:sz w:val="20"/>
        </w:rPr>
        <w:t xml:space="preserve"> </w:t>
      </w:r>
      <w:r>
        <w:rPr>
          <w:rFonts w:ascii="Open Sans" w:hAnsi="Open Sans" w:cs="Open Sans"/>
          <w:sz w:val="20"/>
        </w:rPr>
        <w:t>s</w:t>
      </w:r>
      <w:r w:rsidRPr="00F20A2F">
        <w:rPr>
          <w:rFonts w:ascii="Open Sans" w:hAnsi="Open Sans" w:cs="Open Sans"/>
          <w:sz w:val="20"/>
        </w:rPr>
        <w:t>ess, UN Doc CCPR/C/GC/35</w:t>
      </w:r>
      <w:r w:rsidRPr="00F20A2F">
        <w:rPr>
          <w:rFonts w:ascii="Open Sans" w:hAnsi="Open Sans" w:cs="Open Sans"/>
          <w:i/>
          <w:sz w:val="20"/>
        </w:rPr>
        <w:t xml:space="preserve"> </w:t>
      </w:r>
      <w:r>
        <w:rPr>
          <w:rFonts w:ascii="Open Sans" w:hAnsi="Open Sans" w:cs="Open Sans"/>
          <w:sz w:val="20"/>
        </w:rPr>
        <w:t>(16 December 2014)</w:t>
      </w:r>
      <w:r w:rsidRPr="00F20A2F">
        <w:rPr>
          <w:rFonts w:ascii="Open Sans" w:hAnsi="Open Sans" w:cs="Open Sans"/>
          <w:i/>
          <w:color w:val="231F20"/>
          <w:sz w:val="20"/>
        </w:rPr>
        <w:t xml:space="preserve">. </w:t>
      </w:r>
      <w:r w:rsidRPr="00F20A2F">
        <w:rPr>
          <w:rFonts w:ascii="Open Sans" w:hAnsi="Open Sans" w:cs="Open Sans"/>
          <w:color w:val="231F20"/>
          <w:sz w:val="20"/>
        </w:rPr>
        <w:t xml:space="preserve">See also </w:t>
      </w:r>
      <w:r w:rsidRPr="00F20A2F">
        <w:rPr>
          <w:rFonts w:ascii="Open Sans" w:hAnsi="Open Sans" w:cs="Open Sans"/>
          <w:sz w:val="20"/>
        </w:rPr>
        <w:t xml:space="preserve">Human Rights Committee, </w:t>
      </w:r>
      <w:r>
        <w:rPr>
          <w:rFonts w:ascii="Open Sans" w:hAnsi="Open Sans" w:cs="Open Sans"/>
          <w:i/>
          <w:iCs/>
          <w:sz w:val="20"/>
        </w:rPr>
        <w:t xml:space="preserve">Views: </w:t>
      </w:r>
      <w:r w:rsidRPr="00F20A2F">
        <w:rPr>
          <w:rFonts w:ascii="Open Sans" w:hAnsi="Open Sans" w:cs="Open Sans"/>
          <w:bCs/>
          <w:i/>
          <w:sz w:val="20"/>
        </w:rPr>
        <w:t>Communication No. 560/1993</w:t>
      </w:r>
      <w:r w:rsidRPr="00F20A2F">
        <w:rPr>
          <w:rFonts w:ascii="Open Sans" w:hAnsi="Open Sans" w:cs="Open Sans"/>
          <w:bCs/>
          <w:sz w:val="20"/>
        </w:rPr>
        <w:t>, 59</w:t>
      </w:r>
      <w:r w:rsidRPr="00F20A2F">
        <w:rPr>
          <w:rFonts w:ascii="Open Sans" w:hAnsi="Open Sans" w:cs="Open Sans"/>
          <w:bCs/>
          <w:sz w:val="20"/>
          <w:vertAlign w:val="superscript"/>
        </w:rPr>
        <w:t>th</w:t>
      </w:r>
      <w:r w:rsidRPr="00F20A2F">
        <w:rPr>
          <w:rFonts w:ascii="Open Sans" w:hAnsi="Open Sans" w:cs="Open Sans"/>
          <w:bCs/>
          <w:sz w:val="20"/>
        </w:rPr>
        <w:t xml:space="preserve"> </w:t>
      </w:r>
      <w:r>
        <w:rPr>
          <w:rFonts w:ascii="Open Sans" w:hAnsi="Open Sans" w:cs="Open Sans"/>
          <w:bCs/>
          <w:sz w:val="20"/>
        </w:rPr>
        <w:t>s</w:t>
      </w:r>
      <w:r w:rsidRPr="00F20A2F">
        <w:rPr>
          <w:rFonts w:ascii="Open Sans" w:hAnsi="Open Sans" w:cs="Open Sans"/>
          <w:bCs/>
          <w:sz w:val="20"/>
        </w:rPr>
        <w:t>ess,</w:t>
      </w:r>
      <w:r w:rsidRPr="00F20A2F">
        <w:rPr>
          <w:rFonts w:ascii="Open Sans" w:hAnsi="Open Sans" w:cs="Open Sans"/>
          <w:b/>
          <w:bCs/>
          <w:sz w:val="20"/>
        </w:rPr>
        <w:t xml:space="preserve"> </w:t>
      </w:r>
      <w:r w:rsidRPr="00F20A2F">
        <w:rPr>
          <w:rFonts w:ascii="Open Sans" w:hAnsi="Open Sans" w:cs="Open Sans"/>
          <w:sz w:val="20"/>
        </w:rPr>
        <w:t>UN</w:t>
      </w:r>
      <w:r w:rsidRPr="00F20A2F">
        <w:rPr>
          <w:rFonts w:ascii="Open Sans" w:hAnsi="Open Sans" w:cs="Open Sans"/>
          <w:spacing w:val="-4"/>
          <w:sz w:val="20"/>
        </w:rPr>
        <w:t xml:space="preserve"> </w:t>
      </w:r>
      <w:r w:rsidRPr="00F20A2F">
        <w:rPr>
          <w:rFonts w:ascii="Open Sans" w:hAnsi="Open Sans" w:cs="Open Sans"/>
          <w:sz w:val="20"/>
        </w:rPr>
        <w:t>Doc</w:t>
      </w:r>
      <w:r w:rsidRPr="00F20A2F">
        <w:rPr>
          <w:rFonts w:ascii="Open Sans" w:hAnsi="Open Sans" w:cs="Open Sans"/>
          <w:spacing w:val="-4"/>
          <w:sz w:val="20"/>
        </w:rPr>
        <w:t xml:space="preserve"> </w:t>
      </w:r>
      <w:r w:rsidRPr="00F20A2F">
        <w:rPr>
          <w:rFonts w:ascii="Open Sans" w:hAnsi="Open Sans" w:cs="Open Sans"/>
          <w:sz w:val="20"/>
        </w:rPr>
        <w:t>CCPR/C/59/D/560/1993 (1997) (‘</w:t>
      </w:r>
      <w:r w:rsidRPr="00F20A2F">
        <w:rPr>
          <w:rFonts w:ascii="Open Sans" w:hAnsi="Open Sans" w:cs="Open Sans"/>
          <w:i/>
          <w:sz w:val="20"/>
        </w:rPr>
        <w:t>A</w:t>
      </w:r>
      <w:r w:rsidRPr="00F20A2F">
        <w:rPr>
          <w:rFonts w:ascii="Open Sans" w:hAnsi="Open Sans" w:cs="Open Sans"/>
          <w:i/>
          <w:spacing w:val="-10"/>
          <w:sz w:val="20"/>
        </w:rPr>
        <w:t xml:space="preserve"> </w:t>
      </w:r>
      <w:r w:rsidRPr="00F20A2F">
        <w:rPr>
          <w:rFonts w:ascii="Open Sans" w:hAnsi="Open Sans" w:cs="Open Sans"/>
          <w:i/>
          <w:sz w:val="20"/>
        </w:rPr>
        <w:t>v</w:t>
      </w:r>
      <w:r w:rsidRPr="00F20A2F">
        <w:rPr>
          <w:rFonts w:ascii="Open Sans" w:hAnsi="Open Sans" w:cs="Open Sans"/>
          <w:i/>
          <w:spacing w:val="-10"/>
          <w:sz w:val="20"/>
        </w:rPr>
        <w:t xml:space="preserve"> </w:t>
      </w:r>
      <w:r w:rsidRPr="00F20A2F">
        <w:rPr>
          <w:rFonts w:ascii="Open Sans" w:hAnsi="Open Sans" w:cs="Open Sans"/>
          <w:i/>
          <w:sz w:val="20"/>
        </w:rPr>
        <w:t>Australia</w:t>
      </w:r>
      <w:r w:rsidRPr="00F20A2F">
        <w:rPr>
          <w:rFonts w:ascii="Open Sans" w:hAnsi="Open Sans" w:cs="Open Sans"/>
          <w:spacing w:val="-4"/>
          <w:sz w:val="20"/>
        </w:rPr>
        <w:t>’);</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bCs/>
          <w:i/>
          <w:sz w:val="20"/>
          <w:lang w:val="en"/>
        </w:rPr>
        <w:t>Communication No. 900/1999</w:t>
      </w:r>
      <w:r w:rsidRPr="00F20A2F">
        <w:rPr>
          <w:rFonts w:ascii="Open Sans" w:hAnsi="Open Sans" w:cs="Open Sans"/>
          <w:bCs/>
          <w:sz w:val="20"/>
          <w:lang w:val="en"/>
        </w:rPr>
        <w:t>, 67</w:t>
      </w:r>
      <w:r w:rsidRPr="00F20A2F">
        <w:rPr>
          <w:rFonts w:ascii="Open Sans" w:hAnsi="Open Sans" w:cs="Open Sans"/>
          <w:bCs/>
          <w:sz w:val="20"/>
          <w:vertAlign w:val="superscript"/>
          <w:lang w:val="en"/>
        </w:rPr>
        <w:t>th</w:t>
      </w:r>
      <w:r w:rsidRPr="00F20A2F">
        <w:rPr>
          <w:rFonts w:ascii="Open Sans" w:hAnsi="Open Sans" w:cs="Open Sans"/>
          <w:bCs/>
          <w:sz w:val="20"/>
          <w:lang w:val="en"/>
        </w:rPr>
        <w:t xml:space="preserve"> </w:t>
      </w:r>
      <w:r>
        <w:rPr>
          <w:rFonts w:ascii="Open Sans" w:hAnsi="Open Sans" w:cs="Open Sans"/>
          <w:bCs/>
          <w:sz w:val="20"/>
          <w:lang w:val="en"/>
        </w:rPr>
        <w:t>s</w:t>
      </w:r>
      <w:r w:rsidRPr="00F20A2F">
        <w:rPr>
          <w:rFonts w:ascii="Open Sans" w:hAnsi="Open Sans" w:cs="Open Sans"/>
          <w:bCs/>
          <w:sz w:val="20"/>
          <w:lang w:val="en"/>
        </w:rPr>
        <w:t xml:space="preserve">ess, </w:t>
      </w:r>
      <w:r w:rsidRPr="00F20A2F">
        <w:rPr>
          <w:rFonts w:ascii="Open Sans" w:hAnsi="Open Sans" w:cs="Open Sans"/>
          <w:sz w:val="20"/>
        </w:rPr>
        <w:t>UN Doc CCPR/C/76/D/900/1999 (2002)</w:t>
      </w:r>
      <w:r w:rsidRPr="00F20A2F">
        <w:rPr>
          <w:rFonts w:ascii="Open Sans" w:hAnsi="Open Sans" w:cs="Open Sans"/>
          <w:i/>
          <w:sz w:val="20"/>
        </w:rPr>
        <w:t xml:space="preserve"> </w:t>
      </w:r>
      <w:r w:rsidRPr="00F20A2F">
        <w:rPr>
          <w:rFonts w:ascii="Open Sans" w:hAnsi="Open Sans" w:cs="Open Sans"/>
          <w:sz w:val="20"/>
        </w:rPr>
        <w:t>(‘</w:t>
      </w:r>
      <w:r w:rsidRPr="00F20A2F">
        <w:rPr>
          <w:rFonts w:ascii="Open Sans" w:hAnsi="Open Sans" w:cs="Open Sans"/>
          <w:i/>
          <w:sz w:val="20"/>
        </w:rPr>
        <w:t>C v</w:t>
      </w:r>
      <w:r w:rsidRPr="00F20A2F">
        <w:rPr>
          <w:rFonts w:ascii="Open Sans" w:hAnsi="Open Sans" w:cs="Open Sans"/>
          <w:i/>
          <w:spacing w:val="-10"/>
          <w:sz w:val="20"/>
        </w:rPr>
        <w:t xml:space="preserve"> </w:t>
      </w:r>
      <w:r w:rsidRPr="00F20A2F">
        <w:rPr>
          <w:rFonts w:ascii="Open Sans" w:hAnsi="Open Sans" w:cs="Open Sans"/>
          <w:i/>
          <w:sz w:val="20"/>
        </w:rPr>
        <w:t>Australia</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i/>
          <w:sz w:val="20"/>
        </w:rPr>
        <w:t>Communication No 1014/2001</w:t>
      </w:r>
      <w:r w:rsidRPr="00F20A2F">
        <w:rPr>
          <w:rFonts w:ascii="Open Sans" w:hAnsi="Open Sans" w:cs="Open Sans"/>
          <w:sz w:val="20"/>
        </w:rPr>
        <w:t>, 78</w:t>
      </w:r>
      <w:r w:rsidRPr="00F20A2F">
        <w:rPr>
          <w:rFonts w:ascii="Open Sans" w:hAnsi="Open Sans" w:cs="Open Sans"/>
          <w:sz w:val="20"/>
          <w:vertAlign w:val="superscript"/>
        </w:rPr>
        <w:t>th</w:t>
      </w:r>
      <w:r w:rsidRPr="00F20A2F">
        <w:rPr>
          <w:rFonts w:ascii="Open Sans" w:hAnsi="Open Sans" w:cs="Open Sans"/>
          <w:sz w:val="20"/>
        </w:rPr>
        <w:t xml:space="preserve"> </w:t>
      </w:r>
      <w:r>
        <w:rPr>
          <w:rFonts w:ascii="Open Sans" w:hAnsi="Open Sans" w:cs="Open Sans"/>
          <w:sz w:val="20"/>
        </w:rPr>
        <w:t>s</w:t>
      </w:r>
      <w:r w:rsidRPr="00F20A2F">
        <w:rPr>
          <w:rFonts w:ascii="Open Sans" w:hAnsi="Open Sans" w:cs="Open Sans"/>
          <w:sz w:val="20"/>
        </w:rPr>
        <w:t>ess, CCPR/C/78/D/1014/2001 (2003) (‘</w:t>
      </w:r>
      <w:r w:rsidRPr="00F20A2F">
        <w:rPr>
          <w:rFonts w:ascii="Open Sans" w:hAnsi="Open Sans" w:cs="Open Sans"/>
          <w:i/>
          <w:sz w:val="20"/>
        </w:rPr>
        <w:t>Baban v</w:t>
      </w:r>
      <w:r w:rsidRPr="00F20A2F">
        <w:rPr>
          <w:rFonts w:ascii="Open Sans" w:hAnsi="Open Sans" w:cs="Open Sans"/>
          <w:i/>
          <w:spacing w:val="-11"/>
          <w:sz w:val="20"/>
        </w:rPr>
        <w:t xml:space="preserve"> </w:t>
      </w:r>
      <w:r w:rsidRPr="00F20A2F">
        <w:rPr>
          <w:rFonts w:ascii="Open Sans" w:hAnsi="Open Sans" w:cs="Open Sans"/>
          <w:i/>
          <w:sz w:val="20"/>
        </w:rPr>
        <w:t>Australia</w:t>
      </w:r>
      <w:r w:rsidRPr="00F20A2F">
        <w:rPr>
          <w:rFonts w:ascii="Open Sans" w:hAnsi="Open Sans" w:cs="Open Sans"/>
          <w:sz w:val="20"/>
        </w:rPr>
        <w:t xml:space="preserve">’).  </w:t>
      </w:r>
    </w:p>
  </w:endnote>
  <w:endnote w:id="6">
    <w:p w14:paraId="47DA2DDF" w14:textId="77777777" w:rsidR="00824071" w:rsidRPr="003B400F" w:rsidRDefault="00824071" w:rsidP="00824071">
      <w:pPr>
        <w:pStyle w:val="TOC7"/>
        <w:tabs>
          <w:tab w:val="left" w:pos="284"/>
        </w:tabs>
        <w:spacing w:after="0"/>
        <w:ind w:left="284" w:hanging="284"/>
        <w:rPr>
          <w:rFonts w:ascii="Open Sans" w:hAnsi="Open Sans" w:cs="Open Sans"/>
          <w:sz w:val="20"/>
        </w:rPr>
      </w:pPr>
      <w:r w:rsidRPr="00AF44D2">
        <w:rPr>
          <w:rStyle w:val="EndnoteReference"/>
          <w:rFonts w:ascii="Open Sans" w:hAnsi="Open Sans" w:cs="Open Sans"/>
        </w:rPr>
        <w:endnoteRef/>
      </w:r>
      <w:r>
        <w:rPr>
          <w:rFonts w:ascii="Open Sans" w:hAnsi="Open Sans" w:cs="Open Sans"/>
          <w:sz w:val="20"/>
        </w:rPr>
        <w:t xml:space="preserve"> </w:t>
      </w:r>
      <w:r>
        <w:rPr>
          <w:rFonts w:ascii="Open Sans" w:hAnsi="Open Sans" w:cs="Open Sans"/>
          <w:sz w:val="20"/>
        </w:rPr>
        <w:tab/>
      </w:r>
      <w:r w:rsidRPr="00AF44D2">
        <w:rPr>
          <w:rFonts w:ascii="Open Sans" w:hAnsi="Open Sans" w:cs="Open Sans"/>
          <w:sz w:val="20"/>
        </w:rPr>
        <w:t xml:space="preserve">Human Rights Committee, </w:t>
      </w:r>
      <w:r w:rsidRPr="00AF44D2">
        <w:rPr>
          <w:rFonts w:ascii="Open Sans" w:hAnsi="Open Sans" w:cs="Open Sans"/>
          <w:i/>
          <w:sz w:val="20"/>
        </w:rPr>
        <w:t>General Comment No. 35</w:t>
      </w:r>
      <w:r w:rsidRPr="00AF44D2">
        <w:rPr>
          <w:rFonts w:ascii="Open Sans" w:hAnsi="Open Sans" w:cs="Open Sans"/>
          <w:sz w:val="20"/>
        </w:rPr>
        <w:t xml:space="preserve"> </w:t>
      </w:r>
      <w:r w:rsidRPr="00AF44D2">
        <w:rPr>
          <w:rFonts w:ascii="Open Sans" w:hAnsi="Open Sans" w:cs="Open Sans"/>
          <w:i/>
          <w:sz w:val="20"/>
        </w:rPr>
        <w:t>Article 9 (Liberty and security of person)</w:t>
      </w:r>
      <w:r w:rsidRPr="003B400F">
        <w:rPr>
          <w:rFonts w:ascii="Open Sans" w:hAnsi="Open Sans" w:cs="Open Sans"/>
          <w:sz w:val="20"/>
        </w:rPr>
        <w:t>, 112</w:t>
      </w:r>
      <w:r w:rsidRPr="003B400F">
        <w:rPr>
          <w:rFonts w:ascii="Open Sans" w:hAnsi="Open Sans" w:cs="Open Sans"/>
          <w:sz w:val="20"/>
          <w:vertAlign w:val="superscript"/>
        </w:rPr>
        <w:t>th</w:t>
      </w:r>
      <w:r w:rsidRPr="003B400F">
        <w:rPr>
          <w:rFonts w:ascii="Open Sans" w:hAnsi="Open Sans" w:cs="Open Sans"/>
          <w:sz w:val="20"/>
        </w:rPr>
        <w:t xml:space="preserve"> </w:t>
      </w:r>
      <w:r>
        <w:rPr>
          <w:rFonts w:ascii="Open Sans" w:hAnsi="Open Sans" w:cs="Open Sans"/>
          <w:sz w:val="20"/>
        </w:rPr>
        <w:t>s</w:t>
      </w:r>
      <w:r w:rsidRPr="003B400F">
        <w:rPr>
          <w:rFonts w:ascii="Open Sans" w:hAnsi="Open Sans" w:cs="Open Sans"/>
          <w:sz w:val="20"/>
        </w:rPr>
        <w:t>ess, UN Doc CCPR/C/GC/35</w:t>
      </w:r>
      <w:r w:rsidRPr="003B400F">
        <w:rPr>
          <w:rFonts w:ascii="Open Sans" w:hAnsi="Open Sans" w:cs="Open Sans"/>
          <w:i/>
          <w:sz w:val="20"/>
        </w:rPr>
        <w:t xml:space="preserve"> </w:t>
      </w:r>
      <w:r w:rsidRPr="003B400F">
        <w:rPr>
          <w:rFonts w:ascii="Open Sans" w:hAnsi="Open Sans" w:cs="Open Sans"/>
          <w:sz w:val="20"/>
        </w:rPr>
        <w:t>(</w:t>
      </w:r>
      <w:r>
        <w:rPr>
          <w:rFonts w:ascii="Open Sans" w:hAnsi="Open Sans" w:cs="Open Sans"/>
          <w:sz w:val="20"/>
        </w:rPr>
        <w:t xml:space="preserve">16 December </w:t>
      </w:r>
      <w:r w:rsidRPr="003B400F">
        <w:rPr>
          <w:rFonts w:ascii="Open Sans" w:hAnsi="Open Sans" w:cs="Open Sans"/>
          <w:sz w:val="20"/>
        </w:rPr>
        <w:t xml:space="preserve">2014) </w:t>
      </w:r>
      <w:r w:rsidRPr="003B400F">
        <w:rPr>
          <w:rFonts w:ascii="Open Sans" w:hAnsi="Open Sans" w:cs="Open Sans"/>
          <w:color w:val="231F20"/>
          <w:sz w:val="20"/>
        </w:rPr>
        <w:t>[18];</w:t>
      </w:r>
      <w:r w:rsidRPr="003B400F">
        <w:rPr>
          <w:rFonts w:ascii="Open Sans" w:hAnsi="Open Sans" w:cs="Open Sans"/>
          <w:sz w:val="20"/>
        </w:rPr>
        <w:t xml:space="preserve"> Human Rights Committee, </w:t>
      </w:r>
      <w:r w:rsidRPr="003B400F">
        <w:rPr>
          <w:rFonts w:ascii="Open Sans" w:hAnsi="Open Sans" w:cs="Open Sans"/>
          <w:i/>
          <w:sz w:val="20"/>
        </w:rPr>
        <w:t>General Comment No. 31,</w:t>
      </w:r>
      <w:r w:rsidRPr="003B400F">
        <w:rPr>
          <w:rFonts w:ascii="Open Sans" w:hAnsi="Open Sans" w:cs="Open Sans"/>
          <w:sz w:val="20"/>
        </w:rPr>
        <w:t xml:space="preserve"> </w:t>
      </w:r>
      <w:r w:rsidRPr="003B400F">
        <w:rPr>
          <w:rFonts w:ascii="Open Sans" w:hAnsi="Open Sans" w:cs="Open Sans"/>
          <w:i/>
          <w:sz w:val="20"/>
        </w:rPr>
        <w:t>Nature of the General Legal Obligation Imposed on States Parties to the Covenant</w:t>
      </w:r>
      <w:r w:rsidRPr="003B400F">
        <w:rPr>
          <w:rFonts w:ascii="Open Sans" w:hAnsi="Open Sans" w:cs="Open Sans"/>
          <w:sz w:val="20"/>
        </w:rPr>
        <w:t>, UN Doc CCPR/C/21/Rev.1/Add.13 (</w:t>
      </w:r>
      <w:r>
        <w:rPr>
          <w:rFonts w:ascii="Open Sans" w:hAnsi="Open Sans" w:cs="Open Sans"/>
          <w:sz w:val="20"/>
        </w:rPr>
        <w:t xml:space="preserve">26 May </w:t>
      </w:r>
      <w:r w:rsidRPr="003B400F">
        <w:rPr>
          <w:rFonts w:ascii="Open Sans" w:hAnsi="Open Sans" w:cs="Open Sans"/>
          <w:sz w:val="20"/>
        </w:rPr>
        <w:t>2004) [6].</w:t>
      </w:r>
    </w:p>
  </w:endnote>
  <w:endnote w:id="7">
    <w:p w14:paraId="181E9610" w14:textId="77777777" w:rsidR="00824071" w:rsidRPr="00F20A2F" w:rsidRDefault="00824071" w:rsidP="00824071">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i/>
          <w:sz w:val="20"/>
        </w:rPr>
        <w:t xml:space="preserve">Manga v Attorney-General </w:t>
      </w:r>
      <w:r w:rsidRPr="00F20A2F">
        <w:rPr>
          <w:rFonts w:ascii="Open Sans" w:hAnsi="Open Sans" w:cs="Open Sans"/>
          <w:sz w:val="20"/>
        </w:rPr>
        <w:t xml:space="preserve">[2000] 2 NZLR 65 [40]–[42] (Hammond J). See also the views of the Human Rights Committee in </w:t>
      </w:r>
      <w:r>
        <w:rPr>
          <w:rFonts w:ascii="Open Sans" w:hAnsi="Open Sans" w:cs="Open Sans"/>
          <w:i/>
          <w:iCs/>
          <w:sz w:val="20"/>
        </w:rPr>
        <w:t xml:space="preserve">Views: </w:t>
      </w:r>
      <w:r w:rsidRPr="00F20A2F">
        <w:rPr>
          <w:rFonts w:ascii="Open Sans" w:hAnsi="Open Sans" w:cs="Open Sans"/>
          <w:i/>
          <w:iCs/>
          <w:sz w:val="20"/>
        </w:rPr>
        <w:t>Communication No. 305/1988,</w:t>
      </w:r>
      <w:r w:rsidRPr="00F20A2F">
        <w:rPr>
          <w:rFonts w:ascii="Open Sans" w:hAnsi="Open Sans" w:cs="Open Sans"/>
          <w:i/>
          <w:spacing w:val="-3"/>
          <w:sz w:val="20"/>
        </w:rPr>
        <w:t xml:space="preserve"> </w:t>
      </w:r>
      <w:r w:rsidRPr="00F20A2F">
        <w:rPr>
          <w:rFonts w:ascii="Open Sans" w:hAnsi="Open Sans" w:cs="Open Sans"/>
          <w:spacing w:val="-3"/>
          <w:sz w:val="20"/>
        </w:rPr>
        <w:t>39</w:t>
      </w:r>
      <w:r w:rsidRPr="00F20A2F">
        <w:rPr>
          <w:rFonts w:ascii="Open Sans" w:hAnsi="Open Sans" w:cs="Open Sans"/>
          <w:spacing w:val="-3"/>
          <w:sz w:val="20"/>
          <w:vertAlign w:val="superscript"/>
        </w:rPr>
        <w:t>th</w:t>
      </w:r>
      <w:r w:rsidRPr="00F20A2F">
        <w:rPr>
          <w:rFonts w:ascii="Open Sans" w:hAnsi="Open Sans" w:cs="Open Sans"/>
          <w:spacing w:val="-3"/>
          <w:sz w:val="20"/>
        </w:rPr>
        <w:t xml:space="preserve"> </w:t>
      </w:r>
      <w:r>
        <w:rPr>
          <w:rFonts w:ascii="Open Sans" w:hAnsi="Open Sans" w:cs="Open Sans"/>
          <w:spacing w:val="-3"/>
          <w:sz w:val="20"/>
        </w:rPr>
        <w:t>s</w:t>
      </w:r>
      <w:r w:rsidRPr="00F20A2F">
        <w:rPr>
          <w:rFonts w:ascii="Open Sans" w:hAnsi="Open Sans" w:cs="Open Sans"/>
          <w:spacing w:val="-3"/>
          <w:sz w:val="20"/>
        </w:rPr>
        <w:t xml:space="preserve">ess, </w:t>
      </w:r>
      <w:r w:rsidRPr="00F20A2F">
        <w:rPr>
          <w:rFonts w:ascii="Open Sans" w:hAnsi="Open Sans" w:cs="Open Sans"/>
          <w:sz w:val="20"/>
        </w:rPr>
        <w:t>UN Doc CCPR/C/39/D/305/1988 (1990) (‘</w:t>
      </w:r>
      <w:r w:rsidRPr="00F20A2F">
        <w:rPr>
          <w:rFonts w:ascii="Open Sans" w:hAnsi="Open Sans" w:cs="Open Sans"/>
          <w:i/>
          <w:spacing w:val="-3"/>
          <w:sz w:val="20"/>
        </w:rPr>
        <w:t xml:space="preserve">Van </w:t>
      </w:r>
      <w:r w:rsidRPr="00F20A2F">
        <w:rPr>
          <w:rFonts w:ascii="Open Sans" w:hAnsi="Open Sans" w:cs="Open Sans"/>
          <w:i/>
          <w:sz w:val="20"/>
        </w:rPr>
        <w:t>Alphen v The Netherlands</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bCs/>
          <w:i/>
          <w:sz w:val="20"/>
        </w:rPr>
        <w:t>Communication No. 560/1993</w:t>
      </w:r>
      <w:r w:rsidRPr="00F20A2F">
        <w:rPr>
          <w:rFonts w:ascii="Open Sans" w:hAnsi="Open Sans" w:cs="Open Sans"/>
          <w:bCs/>
          <w:sz w:val="20"/>
        </w:rPr>
        <w:t>, 59</w:t>
      </w:r>
      <w:r w:rsidRPr="00F20A2F">
        <w:rPr>
          <w:rFonts w:ascii="Open Sans" w:hAnsi="Open Sans" w:cs="Open Sans"/>
          <w:bCs/>
          <w:sz w:val="20"/>
          <w:vertAlign w:val="superscript"/>
        </w:rPr>
        <w:t>th</w:t>
      </w:r>
      <w:r w:rsidRPr="00F20A2F">
        <w:rPr>
          <w:rFonts w:ascii="Open Sans" w:hAnsi="Open Sans" w:cs="Open Sans"/>
          <w:bCs/>
          <w:sz w:val="20"/>
        </w:rPr>
        <w:t xml:space="preserve"> </w:t>
      </w:r>
      <w:r>
        <w:rPr>
          <w:rFonts w:ascii="Open Sans" w:hAnsi="Open Sans" w:cs="Open Sans"/>
          <w:bCs/>
          <w:sz w:val="20"/>
        </w:rPr>
        <w:t>s</w:t>
      </w:r>
      <w:r w:rsidRPr="00F20A2F">
        <w:rPr>
          <w:rFonts w:ascii="Open Sans" w:hAnsi="Open Sans" w:cs="Open Sans"/>
          <w:bCs/>
          <w:sz w:val="20"/>
        </w:rPr>
        <w:t>ess,</w:t>
      </w:r>
      <w:r w:rsidRPr="00F20A2F">
        <w:rPr>
          <w:rFonts w:ascii="Open Sans" w:hAnsi="Open Sans" w:cs="Open Sans"/>
          <w:b/>
          <w:bCs/>
          <w:sz w:val="20"/>
        </w:rPr>
        <w:t xml:space="preserve"> </w:t>
      </w:r>
      <w:r w:rsidRPr="00F20A2F">
        <w:rPr>
          <w:rFonts w:ascii="Open Sans" w:hAnsi="Open Sans" w:cs="Open Sans"/>
          <w:sz w:val="20"/>
        </w:rPr>
        <w:t>UN</w:t>
      </w:r>
      <w:r w:rsidRPr="00F20A2F">
        <w:rPr>
          <w:rFonts w:ascii="Open Sans" w:hAnsi="Open Sans" w:cs="Open Sans"/>
          <w:spacing w:val="-4"/>
          <w:sz w:val="20"/>
        </w:rPr>
        <w:t xml:space="preserve"> </w:t>
      </w:r>
      <w:r w:rsidRPr="00F20A2F">
        <w:rPr>
          <w:rFonts w:ascii="Open Sans" w:hAnsi="Open Sans" w:cs="Open Sans"/>
          <w:sz w:val="20"/>
        </w:rPr>
        <w:t>Doc</w:t>
      </w:r>
      <w:r w:rsidRPr="00F20A2F">
        <w:rPr>
          <w:rFonts w:ascii="Open Sans" w:hAnsi="Open Sans" w:cs="Open Sans"/>
          <w:spacing w:val="-4"/>
          <w:sz w:val="20"/>
        </w:rPr>
        <w:t xml:space="preserve"> </w:t>
      </w:r>
      <w:r w:rsidRPr="00F20A2F">
        <w:rPr>
          <w:rFonts w:ascii="Open Sans" w:hAnsi="Open Sans" w:cs="Open Sans"/>
          <w:sz w:val="20"/>
        </w:rPr>
        <w:t>CCPR/C/59/D/560/1993 (1997) (‘</w:t>
      </w:r>
      <w:r w:rsidRPr="00F20A2F">
        <w:rPr>
          <w:rFonts w:ascii="Open Sans" w:hAnsi="Open Sans" w:cs="Open Sans"/>
          <w:i/>
          <w:sz w:val="20"/>
        </w:rPr>
        <w:t>A</w:t>
      </w:r>
      <w:r w:rsidRPr="00F20A2F">
        <w:rPr>
          <w:rFonts w:ascii="Open Sans" w:hAnsi="Open Sans" w:cs="Open Sans"/>
          <w:i/>
          <w:spacing w:val="-10"/>
          <w:sz w:val="20"/>
        </w:rPr>
        <w:t xml:space="preserve"> </w:t>
      </w:r>
      <w:r w:rsidRPr="00F20A2F">
        <w:rPr>
          <w:rFonts w:ascii="Open Sans" w:hAnsi="Open Sans" w:cs="Open Sans"/>
          <w:i/>
          <w:sz w:val="20"/>
        </w:rPr>
        <w:t>v</w:t>
      </w:r>
      <w:r w:rsidRPr="00F20A2F">
        <w:rPr>
          <w:rFonts w:ascii="Open Sans" w:hAnsi="Open Sans" w:cs="Open Sans"/>
          <w:i/>
          <w:spacing w:val="-10"/>
          <w:sz w:val="20"/>
        </w:rPr>
        <w:t xml:space="preserve"> </w:t>
      </w:r>
      <w:r w:rsidRPr="00F20A2F">
        <w:rPr>
          <w:rFonts w:ascii="Open Sans" w:hAnsi="Open Sans" w:cs="Open Sans"/>
          <w:i/>
          <w:sz w:val="20"/>
        </w:rPr>
        <w:t>Australia</w:t>
      </w:r>
      <w:r w:rsidRPr="00F20A2F">
        <w:rPr>
          <w:rFonts w:ascii="Open Sans" w:hAnsi="Open Sans" w:cs="Open Sans"/>
          <w:spacing w:val="-4"/>
          <w:sz w:val="20"/>
        </w:rPr>
        <w:t>’)</w:t>
      </w:r>
      <w:r>
        <w:rPr>
          <w:rFonts w:ascii="Open Sans" w:hAnsi="Open Sans" w:cs="Open Sans"/>
          <w:spacing w:val="-4"/>
          <w:sz w:val="20"/>
        </w:rPr>
        <w:t xml:space="preserve">; </w:t>
      </w:r>
      <w:r w:rsidRPr="00F20A2F">
        <w:rPr>
          <w:rFonts w:ascii="Open Sans" w:hAnsi="Open Sans" w:cs="Open Sans"/>
          <w:sz w:val="20"/>
        </w:rPr>
        <w:t xml:space="preserve"> Human Rights Committee, </w:t>
      </w:r>
      <w:r>
        <w:rPr>
          <w:rFonts w:ascii="Open Sans" w:hAnsi="Open Sans" w:cs="Open Sans"/>
          <w:i/>
          <w:iCs/>
          <w:sz w:val="20"/>
        </w:rPr>
        <w:t xml:space="preserve">Views: </w:t>
      </w:r>
      <w:r w:rsidRPr="00F20A2F">
        <w:rPr>
          <w:rFonts w:ascii="Open Sans" w:hAnsi="Open Sans" w:cs="Open Sans"/>
          <w:bCs/>
          <w:i/>
          <w:sz w:val="20"/>
        </w:rPr>
        <w:t xml:space="preserve">Communication No. 631/1995, </w:t>
      </w:r>
      <w:r w:rsidRPr="00F20A2F">
        <w:rPr>
          <w:rFonts w:ascii="Open Sans" w:hAnsi="Open Sans" w:cs="Open Sans"/>
          <w:bCs/>
          <w:sz w:val="20"/>
        </w:rPr>
        <w:t>67</w:t>
      </w:r>
      <w:r w:rsidRPr="00F20A2F">
        <w:rPr>
          <w:rFonts w:ascii="Open Sans" w:hAnsi="Open Sans" w:cs="Open Sans"/>
          <w:bCs/>
          <w:sz w:val="20"/>
          <w:vertAlign w:val="superscript"/>
        </w:rPr>
        <w:t>th</w:t>
      </w:r>
      <w:r w:rsidRPr="00F20A2F">
        <w:rPr>
          <w:rFonts w:ascii="Open Sans" w:hAnsi="Open Sans" w:cs="Open Sans"/>
          <w:bCs/>
          <w:sz w:val="20"/>
        </w:rPr>
        <w:t xml:space="preserve"> </w:t>
      </w:r>
      <w:r>
        <w:rPr>
          <w:rFonts w:ascii="Open Sans" w:hAnsi="Open Sans" w:cs="Open Sans"/>
          <w:bCs/>
          <w:sz w:val="20"/>
        </w:rPr>
        <w:t>s</w:t>
      </w:r>
      <w:r w:rsidRPr="00F20A2F">
        <w:rPr>
          <w:rFonts w:ascii="Open Sans" w:hAnsi="Open Sans" w:cs="Open Sans"/>
          <w:bCs/>
          <w:sz w:val="20"/>
        </w:rPr>
        <w:t>ess,</w:t>
      </w:r>
      <w:r w:rsidRPr="00F20A2F">
        <w:rPr>
          <w:rFonts w:ascii="Open Sans" w:hAnsi="Open Sans" w:cs="Open Sans"/>
          <w:b/>
          <w:bCs/>
          <w:sz w:val="20"/>
        </w:rPr>
        <w:t xml:space="preserve"> </w:t>
      </w:r>
      <w:r w:rsidRPr="00F20A2F">
        <w:rPr>
          <w:rFonts w:ascii="Open Sans" w:hAnsi="Open Sans" w:cs="Open Sans"/>
          <w:sz w:val="20"/>
        </w:rPr>
        <w:t>UN Doc</w:t>
      </w:r>
      <w:r w:rsidRPr="00F20A2F">
        <w:rPr>
          <w:rFonts w:ascii="Open Sans" w:hAnsi="Open Sans" w:cs="Open Sans"/>
          <w:spacing w:val="-24"/>
          <w:sz w:val="20"/>
        </w:rPr>
        <w:t xml:space="preserve"> </w:t>
      </w:r>
      <w:bookmarkStart w:id="85" w:name="_bookmark15"/>
      <w:bookmarkEnd w:id="85"/>
      <w:r w:rsidRPr="00F20A2F">
        <w:rPr>
          <w:rFonts w:ascii="Open Sans" w:hAnsi="Open Sans" w:cs="Open Sans"/>
          <w:sz w:val="20"/>
        </w:rPr>
        <w:t>CCPR/C/67/D/631/1995 (1999)</w:t>
      </w:r>
      <w:r w:rsidRPr="00F20A2F">
        <w:rPr>
          <w:rFonts w:ascii="Open Sans" w:hAnsi="Open Sans" w:cs="Open Sans"/>
          <w:i/>
          <w:sz w:val="20"/>
        </w:rPr>
        <w:t xml:space="preserve"> </w:t>
      </w:r>
      <w:r w:rsidRPr="00F20A2F">
        <w:rPr>
          <w:rFonts w:ascii="Open Sans" w:hAnsi="Open Sans" w:cs="Open Sans"/>
          <w:sz w:val="20"/>
        </w:rPr>
        <w:t>(‘</w:t>
      </w:r>
      <w:r w:rsidRPr="00F20A2F">
        <w:rPr>
          <w:rFonts w:ascii="Open Sans" w:hAnsi="Open Sans" w:cs="Open Sans"/>
          <w:i/>
          <w:sz w:val="20"/>
        </w:rPr>
        <w:t>Spakmo</w:t>
      </w:r>
      <w:r w:rsidRPr="00F20A2F">
        <w:rPr>
          <w:rFonts w:ascii="Open Sans" w:hAnsi="Open Sans" w:cs="Open Sans"/>
          <w:i/>
          <w:spacing w:val="-3"/>
          <w:sz w:val="20"/>
        </w:rPr>
        <w:t xml:space="preserve"> </w:t>
      </w:r>
      <w:r w:rsidRPr="00F20A2F">
        <w:rPr>
          <w:rFonts w:ascii="Open Sans" w:hAnsi="Open Sans" w:cs="Open Sans"/>
          <w:i/>
          <w:sz w:val="20"/>
        </w:rPr>
        <w:t>v</w:t>
      </w:r>
      <w:r w:rsidRPr="00F20A2F">
        <w:rPr>
          <w:rFonts w:ascii="Open Sans" w:hAnsi="Open Sans" w:cs="Open Sans"/>
          <w:i/>
          <w:spacing w:val="-3"/>
          <w:sz w:val="20"/>
        </w:rPr>
        <w:t xml:space="preserve"> </w:t>
      </w:r>
      <w:r w:rsidRPr="00F20A2F">
        <w:rPr>
          <w:rFonts w:ascii="Open Sans" w:hAnsi="Open Sans" w:cs="Open Sans"/>
          <w:i/>
          <w:sz w:val="20"/>
        </w:rPr>
        <w:t>Norway</w:t>
      </w:r>
      <w:r w:rsidRPr="00F20A2F">
        <w:rPr>
          <w:rFonts w:ascii="Open Sans" w:hAnsi="Open Sans" w:cs="Open Sans"/>
          <w:sz w:val="20"/>
        </w:rPr>
        <w:t>’).</w:t>
      </w:r>
    </w:p>
  </w:endnote>
  <w:endnote w:id="8">
    <w:p w14:paraId="686F9351" w14:textId="77777777" w:rsidR="00824071" w:rsidRPr="00F20A2F" w:rsidRDefault="00824071" w:rsidP="00824071">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bookmarkStart w:id="87" w:name="_bookmark16"/>
      <w:bookmarkEnd w:id="87"/>
      <w:r>
        <w:rPr>
          <w:rFonts w:ascii="Open Sans" w:hAnsi="Open Sans" w:cs="Open Sans"/>
          <w:sz w:val="20"/>
        </w:rPr>
        <w:tab/>
      </w:r>
      <w:r w:rsidRPr="00A54004">
        <w:rPr>
          <w:rFonts w:ascii="Open Sans" w:hAnsi="Open Sans" w:cs="Open Sans"/>
          <w:sz w:val="20"/>
        </w:rPr>
        <w:t xml:space="preserve">Human Rights Committee, </w:t>
      </w:r>
      <w:r w:rsidRPr="00A54004">
        <w:rPr>
          <w:rFonts w:ascii="Open Sans" w:hAnsi="Open Sans" w:cs="Open Sans"/>
          <w:i/>
          <w:sz w:val="20"/>
        </w:rPr>
        <w:t>General Comment 31,</w:t>
      </w:r>
      <w:r w:rsidRPr="00A54004">
        <w:rPr>
          <w:rFonts w:ascii="Open Sans" w:hAnsi="Open Sans" w:cs="Open Sans"/>
          <w:sz w:val="20"/>
        </w:rPr>
        <w:t xml:space="preserve"> </w:t>
      </w:r>
      <w:r w:rsidRPr="00A54004">
        <w:rPr>
          <w:rFonts w:ascii="Open Sans" w:hAnsi="Open Sans" w:cs="Open Sans"/>
          <w:i/>
          <w:sz w:val="20"/>
        </w:rPr>
        <w:t>Nature of the General Legal Obligation Imposed on States Parties to the Covenant</w:t>
      </w:r>
      <w:r w:rsidRPr="00A54004">
        <w:rPr>
          <w:rFonts w:ascii="Open Sans" w:hAnsi="Open Sans" w:cs="Open Sans"/>
          <w:sz w:val="20"/>
        </w:rPr>
        <w:t>, UN Doc CCPR/C/21/Rev.1/Add.13 (26 May 2004) [6]</w:t>
      </w:r>
      <w:r w:rsidRPr="00A54004">
        <w:rPr>
          <w:rFonts w:ascii="Open Sans" w:hAnsi="Open Sans" w:cs="Open Sans"/>
          <w:color w:val="231F20"/>
          <w:sz w:val="20"/>
        </w:rPr>
        <w:t xml:space="preserve">; </w:t>
      </w:r>
      <w:r w:rsidRPr="00A54004">
        <w:rPr>
          <w:rFonts w:ascii="Open Sans" w:hAnsi="Open Sans" w:cs="Open Sans"/>
          <w:sz w:val="20"/>
        </w:rPr>
        <w:t xml:space="preserve">Human Rights Committee, </w:t>
      </w:r>
      <w:r w:rsidRPr="00A54004">
        <w:rPr>
          <w:rFonts w:ascii="Open Sans" w:hAnsi="Open Sans" w:cs="Open Sans"/>
          <w:i/>
          <w:sz w:val="20"/>
        </w:rPr>
        <w:t>General Comment No. 35</w:t>
      </w:r>
      <w:r w:rsidRPr="00A54004">
        <w:rPr>
          <w:rFonts w:ascii="Open Sans" w:hAnsi="Open Sans" w:cs="Open Sans"/>
          <w:sz w:val="20"/>
        </w:rPr>
        <w:t xml:space="preserve"> </w:t>
      </w:r>
      <w:r w:rsidRPr="00A54004">
        <w:rPr>
          <w:rFonts w:ascii="Open Sans" w:hAnsi="Open Sans" w:cs="Open Sans"/>
          <w:i/>
          <w:sz w:val="20"/>
        </w:rPr>
        <w:t>Article 9 (Liberty and security of person)</w:t>
      </w:r>
      <w:r w:rsidRPr="00A54004">
        <w:rPr>
          <w:rFonts w:ascii="Open Sans" w:hAnsi="Open Sans" w:cs="Open Sans"/>
          <w:sz w:val="20"/>
        </w:rPr>
        <w:t>, 112</w:t>
      </w:r>
      <w:r w:rsidRPr="00A54004">
        <w:rPr>
          <w:rFonts w:ascii="Open Sans" w:hAnsi="Open Sans" w:cs="Open Sans"/>
          <w:sz w:val="20"/>
          <w:vertAlign w:val="superscript"/>
        </w:rPr>
        <w:t>th</w:t>
      </w:r>
      <w:r w:rsidRPr="00A54004">
        <w:rPr>
          <w:rFonts w:ascii="Open Sans" w:hAnsi="Open Sans" w:cs="Open Sans"/>
          <w:sz w:val="20"/>
        </w:rPr>
        <w:t xml:space="preserve"> </w:t>
      </w:r>
      <w:r>
        <w:rPr>
          <w:rFonts w:ascii="Open Sans" w:hAnsi="Open Sans" w:cs="Open Sans"/>
          <w:sz w:val="20"/>
        </w:rPr>
        <w:t>s</w:t>
      </w:r>
      <w:r w:rsidRPr="00A54004">
        <w:rPr>
          <w:rFonts w:ascii="Open Sans" w:hAnsi="Open Sans" w:cs="Open Sans"/>
          <w:sz w:val="20"/>
        </w:rPr>
        <w:t>ess, UN Doc CCPR/C/GC/35</w:t>
      </w:r>
      <w:r w:rsidRPr="00A54004">
        <w:rPr>
          <w:rFonts w:ascii="Open Sans" w:hAnsi="Open Sans" w:cs="Open Sans"/>
          <w:i/>
          <w:sz w:val="20"/>
        </w:rPr>
        <w:t xml:space="preserve"> </w:t>
      </w:r>
      <w:r w:rsidRPr="00A54004">
        <w:rPr>
          <w:rFonts w:ascii="Open Sans" w:hAnsi="Open Sans" w:cs="Open Sans"/>
          <w:sz w:val="20"/>
        </w:rPr>
        <w:t xml:space="preserve">(16 December 2014);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rPr>
        <w:t>Communication No. 560/1993</w:t>
      </w:r>
      <w:r w:rsidRPr="00C01166">
        <w:rPr>
          <w:rFonts w:ascii="Open Sans" w:hAnsi="Open Sans" w:cs="Open Sans"/>
          <w:bCs/>
          <w:sz w:val="20"/>
        </w:rPr>
        <w:t>, 59</w:t>
      </w:r>
      <w:r w:rsidRPr="00C01166">
        <w:rPr>
          <w:rFonts w:ascii="Open Sans" w:hAnsi="Open Sans" w:cs="Open Sans"/>
          <w:bCs/>
          <w:sz w:val="20"/>
          <w:vertAlign w:val="superscript"/>
        </w:rPr>
        <w:t>th</w:t>
      </w:r>
      <w:r w:rsidRPr="00C01166">
        <w:rPr>
          <w:rFonts w:ascii="Open Sans" w:hAnsi="Open Sans" w:cs="Open Sans"/>
          <w:bCs/>
          <w:sz w:val="20"/>
        </w:rPr>
        <w:t xml:space="preserve"> sess,</w:t>
      </w:r>
      <w:r w:rsidRPr="00C01166">
        <w:rPr>
          <w:rFonts w:ascii="Open Sans" w:hAnsi="Open Sans" w:cs="Open Sans"/>
          <w:b/>
          <w:bCs/>
          <w:sz w:val="20"/>
        </w:rPr>
        <w:t xml:space="preserve"> </w:t>
      </w:r>
      <w:r w:rsidRPr="00C01166">
        <w:rPr>
          <w:rFonts w:ascii="Open Sans" w:hAnsi="Open Sans" w:cs="Open Sans"/>
          <w:sz w:val="20"/>
        </w:rPr>
        <w:t>UN</w:t>
      </w:r>
      <w:r w:rsidRPr="00C01166">
        <w:rPr>
          <w:rFonts w:ascii="Open Sans" w:hAnsi="Open Sans" w:cs="Open Sans"/>
          <w:spacing w:val="-4"/>
          <w:sz w:val="20"/>
        </w:rPr>
        <w:t xml:space="preserve"> </w:t>
      </w:r>
      <w:r w:rsidRPr="00C01166">
        <w:rPr>
          <w:rFonts w:ascii="Open Sans" w:hAnsi="Open Sans" w:cs="Open Sans"/>
          <w:sz w:val="20"/>
        </w:rPr>
        <w:t>Doc</w:t>
      </w:r>
      <w:r w:rsidRPr="00C01166">
        <w:rPr>
          <w:rFonts w:ascii="Open Sans" w:hAnsi="Open Sans" w:cs="Open Sans"/>
          <w:spacing w:val="-4"/>
          <w:sz w:val="20"/>
        </w:rPr>
        <w:t xml:space="preserve"> </w:t>
      </w:r>
      <w:r w:rsidRPr="00C01166">
        <w:rPr>
          <w:rFonts w:ascii="Open Sans" w:hAnsi="Open Sans" w:cs="Open Sans"/>
          <w:sz w:val="20"/>
        </w:rPr>
        <w:t>CCPR/C/59/D/560/1993 (3 April 1997) (‘</w:t>
      </w:r>
      <w:r w:rsidRPr="00C01166">
        <w:rPr>
          <w:rFonts w:ascii="Open Sans" w:hAnsi="Open Sans" w:cs="Open Sans"/>
          <w:i/>
          <w:sz w:val="20"/>
        </w:rPr>
        <w:t>A</w:t>
      </w:r>
      <w:r w:rsidRPr="00C01166">
        <w:rPr>
          <w:rFonts w:ascii="Open Sans" w:hAnsi="Open Sans" w:cs="Open Sans"/>
          <w:i/>
          <w:spacing w:val="-10"/>
          <w:sz w:val="20"/>
        </w:rPr>
        <w:t xml:space="preserve"> </w:t>
      </w:r>
      <w:r w:rsidRPr="00C01166">
        <w:rPr>
          <w:rFonts w:ascii="Open Sans" w:hAnsi="Open Sans" w:cs="Open Sans"/>
          <w:i/>
          <w:sz w:val="20"/>
        </w:rPr>
        <w:t>v</w:t>
      </w:r>
      <w:r w:rsidRPr="00C01166">
        <w:rPr>
          <w:rFonts w:ascii="Open Sans" w:hAnsi="Open Sans" w:cs="Open Sans"/>
          <w:i/>
          <w:spacing w:val="-10"/>
          <w:sz w:val="20"/>
        </w:rPr>
        <w:t xml:space="preserve"> </w:t>
      </w:r>
      <w:r w:rsidRPr="00C01166">
        <w:rPr>
          <w:rFonts w:ascii="Open Sans" w:hAnsi="Open Sans" w:cs="Open Sans"/>
          <w:i/>
          <w:sz w:val="20"/>
        </w:rPr>
        <w:t>Australia</w:t>
      </w:r>
      <w:r w:rsidRPr="00C01166">
        <w:rPr>
          <w:rFonts w:ascii="Open Sans" w:hAnsi="Open Sans" w:cs="Open Sans"/>
          <w:spacing w:val="-4"/>
          <w:sz w:val="20"/>
        </w:rPr>
        <w:t xml:space="preserve">’) </w:t>
      </w:r>
      <w:r w:rsidRPr="00A54004">
        <w:rPr>
          <w:rFonts w:ascii="Open Sans" w:hAnsi="Open Sans" w:cs="Open Sans"/>
          <w:color w:val="231F20"/>
          <w:sz w:val="20"/>
        </w:rPr>
        <w:t>(the fact that the author may abscond if released into the community was not sufficient reason to justify holding the author in immigration detention for four</w:t>
      </w:r>
      <w:r w:rsidRPr="00A54004">
        <w:rPr>
          <w:rFonts w:ascii="Open Sans" w:hAnsi="Open Sans" w:cs="Open Sans"/>
          <w:color w:val="231F20"/>
          <w:spacing w:val="-4"/>
          <w:sz w:val="20"/>
        </w:rPr>
        <w:t xml:space="preserve"> </w:t>
      </w:r>
      <w:r w:rsidRPr="00A54004">
        <w:rPr>
          <w:rFonts w:ascii="Open Sans" w:hAnsi="Open Sans" w:cs="Open Sans"/>
          <w:color w:val="231F20"/>
          <w:sz w:val="20"/>
        </w:rPr>
        <w:t>years);</w:t>
      </w:r>
      <w:r w:rsidRPr="00A54004">
        <w:rPr>
          <w:rFonts w:ascii="Open Sans" w:hAnsi="Open Sans" w:cs="Open Sans"/>
          <w:i/>
          <w:sz w:val="20"/>
        </w:rPr>
        <w:t xml:space="preserve">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lang w:val="en"/>
        </w:rPr>
        <w:t>Communication No. 900/1999</w:t>
      </w:r>
      <w:r w:rsidRPr="00C01166">
        <w:rPr>
          <w:rFonts w:ascii="Open Sans" w:hAnsi="Open Sans" w:cs="Open Sans"/>
          <w:bCs/>
          <w:sz w:val="20"/>
          <w:lang w:val="en"/>
        </w:rPr>
        <w:t>, 76</w:t>
      </w:r>
      <w:r w:rsidRPr="00C01166">
        <w:rPr>
          <w:rFonts w:ascii="Open Sans" w:hAnsi="Open Sans" w:cs="Open Sans"/>
          <w:bCs/>
          <w:sz w:val="20"/>
          <w:vertAlign w:val="superscript"/>
          <w:lang w:val="en"/>
        </w:rPr>
        <w:t>th</w:t>
      </w:r>
      <w:r w:rsidRPr="00C01166">
        <w:rPr>
          <w:rFonts w:ascii="Open Sans" w:hAnsi="Open Sans" w:cs="Open Sans"/>
          <w:bCs/>
          <w:sz w:val="20"/>
          <w:lang w:val="en"/>
        </w:rPr>
        <w:t xml:space="preserve"> sess, </w:t>
      </w:r>
      <w:r w:rsidRPr="00C01166">
        <w:rPr>
          <w:rFonts w:ascii="Open Sans" w:hAnsi="Open Sans" w:cs="Open Sans"/>
          <w:sz w:val="20"/>
        </w:rPr>
        <w:t>UN Doc CCPR/C/76/D/900/1999 (28 October 2002)</w:t>
      </w:r>
      <w:r w:rsidRPr="00C01166">
        <w:rPr>
          <w:rFonts w:ascii="Open Sans" w:hAnsi="Open Sans" w:cs="Open Sans"/>
          <w:i/>
          <w:sz w:val="20"/>
        </w:rPr>
        <w:t xml:space="preserve"> </w:t>
      </w:r>
      <w:r w:rsidRPr="00C01166">
        <w:rPr>
          <w:rFonts w:ascii="Open Sans" w:hAnsi="Open Sans" w:cs="Open Sans"/>
          <w:sz w:val="20"/>
        </w:rPr>
        <w:t>(‘</w:t>
      </w:r>
      <w:r w:rsidRPr="00C01166">
        <w:rPr>
          <w:rFonts w:ascii="Open Sans" w:hAnsi="Open Sans" w:cs="Open Sans"/>
          <w:i/>
          <w:sz w:val="20"/>
        </w:rPr>
        <w:t>C v</w:t>
      </w:r>
      <w:r w:rsidRPr="00C01166">
        <w:rPr>
          <w:rFonts w:ascii="Open Sans" w:hAnsi="Open Sans" w:cs="Open Sans"/>
          <w:i/>
          <w:spacing w:val="-10"/>
          <w:sz w:val="20"/>
        </w:rPr>
        <w:t xml:space="preserve"> </w:t>
      </w:r>
      <w:r w:rsidRPr="00C01166">
        <w:rPr>
          <w:rFonts w:ascii="Open Sans" w:hAnsi="Open Sans" w:cs="Open Sans"/>
          <w:i/>
          <w:sz w:val="20"/>
        </w:rPr>
        <w:t>Australia</w:t>
      </w:r>
      <w:r w:rsidRPr="00C01166">
        <w:rPr>
          <w:rFonts w:ascii="Open Sans" w:hAnsi="Open Sans" w:cs="Open Sans"/>
          <w:sz w:val="20"/>
        </w:rPr>
        <w:t>’).</w:t>
      </w:r>
      <w:r w:rsidRPr="009746C9">
        <w:rPr>
          <w:rFonts w:ascii="Open Sans" w:hAnsi="Open Sans" w:cs="Open Sans"/>
        </w:rPr>
        <w:t xml:space="preserve"> </w:t>
      </w:r>
    </w:p>
  </w:endnote>
  <w:endnote w:id="9">
    <w:p w14:paraId="1B736A69" w14:textId="77777777" w:rsidR="00824071" w:rsidRPr="00F20A2F" w:rsidRDefault="00824071" w:rsidP="00824071">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i/>
          <w:iCs/>
          <w:sz w:val="20"/>
        </w:rPr>
        <w:t>Communication No. 305/1988,</w:t>
      </w:r>
      <w:r w:rsidRPr="00C01166">
        <w:rPr>
          <w:rFonts w:ascii="Open Sans" w:hAnsi="Open Sans" w:cs="Open Sans"/>
          <w:i/>
          <w:spacing w:val="-3"/>
          <w:sz w:val="20"/>
        </w:rPr>
        <w:t xml:space="preserve"> </w:t>
      </w:r>
      <w:r w:rsidRPr="00C01166">
        <w:rPr>
          <w:rFonts w:ascii="Open Sans" w:hAnsi="Open Sans" w:cs="Open Sans"/>
          <w:spacing w:val="-3"/>
          <w:sz w:val="20"/>
        </w:rPr>
        <w:t>39</w:t>
      </w:r>
      <w:r w:rsidRPr="00C01166">
        <w:rPr>
          <w:rFonts w:ascii="Open Sans" w:hAnsi="Open Sans" w:cs="Open Sans"/>
          <w:spacing w:val="-3"/>
          <w:sz w:val="20"/>
          <w:vertAlign w:val="superscript"/>
        </w:rPr>
        <w:t>th</w:t>
      </w:r>
      <w:r w:rsidRPr="00C01166">
        <w:rPr>
          <w:rFonts w:ascii="Open Sans" w:hAnsi="Open Sans" w:cs="Open Sans"/>
          <w:spacing w:val="-3"/>
          <w:sz w:val="20"/>
        </w:rPr>
        <w:t xml:space="preserve"> sess, </w:t>
      </w:r>
      <w:r w:rsidRPr="00C01166">
        <w:rPr>
          <w:rFonts w:ascii="Open Sans" w:hAnsi="Open Sans" w:cs="Open Sans"/>
          <w:sz w:val="20"/>
        </w:rPr>
        <w:t>UN Doc CCPR/C/39/D/305/1988 (23 July 1990) (‘</w:t>
      </w:r>
      <w:r w:rsidRPr="00C01166">
        <w:rPr>
          <w:rFonts w:ascii="Open Sans" w:hAnsi="Open Sans" w:cs="Open Sans"/>
          <w:i/>
          <w:spacing w:val="-3"/>
          <w:sz w:val="20"/>
        </w:rPr>
        <w:t xml:space="preserve">Van </w:t>
      </w:r>
      <w:r w:rsidRPr="00C01166">
        <w:rPr>
          <w:rFonts w:ascii="Open Sans" w:hAnsi="Open Sans" w:cs="Open Sans"/>
          <w:i/>
          <w:sz w:val="20"/>
        </w:rPr>
        <w:t>Alphen v The Netherlands</w:t>
      </w:r>
      <w:r w:rsidRPr="00C01166">
        <w:rPr>
          <w:rFonts w:ascii="Open Sans" w:hAnsi="Open Sans" w:cs="Open Sans"/>
          <w:sz w:val="20"/>
        </w:rPr>
        <w:t>’).</w:t>
      </w:r>
    </w:p>
  </w:endnote>
  <w:endnote w:id="10">
    <w:p w14:paraId="35C60BC5" w14:textId="77777777" w:rsidR="00824071" w:rsidRPr="00F20A2F" w:rsidRDefault="00824071" w:rsidP="00824071">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lang w:val="en"/>
        </w:rPr>
        <w:t>Communication No. 900/1999</w:t>
      </w:r>
      <w:r w:rsidRPr="00C01166">
        <w:rPr>
          <w:rFonts w:ascii="Open Sans" w:hAnsi="Open Sans" w:cs="Open Sans"/>
          <w:bCs/>
          <w:sz w:val="20"/>
          <w:lang w:val="en"/>
        </w:rPr>
        <w:t>, 76</w:t>
      </w:r>
      <w:r w:rsidRPr="00C01166">
        <w:rPr>
          <w:rFonts w:ascii="Open Sans" w:hAnsi="Open Sans" w:cs="Open Sans"/>
          <w:bCs/>
          <w:sz w:val="20"/>
          <w:vertAlign w:val="superscript"/>
          <w:lang w:val="en"/>
        </w:rPr>
        <w:t>th</w:t>
      </w:r>
      <w:r w:rsidRPr="00C01166">
        <w:rPr>
          <w:rFonts w:ascii="Open Sans" w:hAnsi="Open Sans" w:cs="Open Sans"/>
          <w:bCs/>
          <w:sz w:val="20"/>
          <w:lang w:val="en"/>
        </w:rPr>
        <w:t xml:space="preserve"> sess, </w:t>
      </w:r>
      <w:r w:rsidRPr="00C01166">
        <w:rPr>
          <w:rFonts w:ascii="Open Sans" w:hAnsi="Open Sans" w:cs="Open Sans"/>
          <w:sz w:val="20"/>
        </w:rPr>
        <w:t>UN Doc CCPR/C/76/D/900/1999 (28 October 2002)</w:t>
      </w:r>
      <w:r w:rsidRPr="00C01166">
        <w:rPr>
          <w:rFonts w:ascii="Open Sans" w:hAnsi="Open Sans" w:cs="Open Sans"/>
          <w:i/>
          <w:sz w:val="20"/>
        </w:rPr>
        <w:t xml:space="preserve"> </w:t>
      </w:r>
      <w:r w:rsidRPr="00C01166">
        <w:rPr>
          <w:rFonts w:ascii="Open Sans" w:hAnsi="Open Sans" w:cs="Open Sans"/>
          <w:sz w:val="20"/>
        </w:rPr>
        <w:t>(‘</w:t>
      </w:r>
      <w:r w:rsidRPr="00C01166">
        <w:rPr>
          <w:rFonts w:ascii="Open Sans" w:hAnsi="Open Sans" w:cs="Open Sans"/>
          <w:i/>
          <w:sz w:val="20"/>
        </w:rPr>
        <w:t>C v</w:t>
      </w:r>
      <w:r w:rsidRPr="00C01166">
        <w:rPr>
          <w:rFonts w:ascii="Open Sans" w:hAnsi="Open Sans" w:cs="Open Sans"/>
          <w:i/>
          <w:spacing w:val="-10"/>
          <w:sz w:val="20"/>
        </w:rPr>
        <w:t xml:space="preserve"> </w:t>
      </w:r>
      <w:r w:rsidRPr="00C01166">
        <w:rPr>
          <w:rFonts w:ascii="Open Sans" w:hAnsi="Open Sans" w:cs="Open Sans"/>
          <w:i/>
          <w:sz w:val="20"/>
        </w:rPr>
        <w:t>Australia</w:t>
      </w:r>
      <w:r w:rsidRPr="00C01166">
        <w:rPr>
          <w:rFonts w:ascii="Open Sans" w:hAnsi="Open Sans" w:cs="Open Sans"/>
          <w:sz w:val="20"/>
        </w:rPr>
        <w:t>’)</w:t>
      </w:r>
      <w:r w:rsidRPr="00C01166">
        <w:rPr>
          <w:rFonts w:ascii="Open Sans" w:hAnsi="Open Sans" w:cs="Open Sans"/>
          <w:color w:val="231F20"/>
          <w:sz w:val="20"/>
        </w:rPr>
        <w:t>;</w:t>
      </w:r>
      <w:r w:rsidRPr="00C01166">
        <w:rPr>
          <w:rFonts w:ascii="Open Sans" w:hAnsi="Open Sans" w:cs="Open Sans"/>
          <w:sz w:val="20"/>
        </w:rPr>
        <w:t xml:space="preserve"> Human Rights Committee, </w:t>
      </w:r>
      <w:r w:rsidRPr="00C01166">
        <w:rPr>
          <w:rFonts w:ascii="Open Sans" w:hAnsi="Open Sans" w:cs="Open Sans"/>
          <w:i/>
          <w:sz w:val="20"/>
        </w:rPr>
        <w:t xml:space="preserve">Views: </w:t>
      </w:r>
      <w:r w:rsidRPr="00C01166">
        <w:rPr>
          <w:rFonts w:ascii="Open Sans" w:hAnsi="Open Sans" w:cs="Open Sans"/>
          <w:bCs/>
          <w:i/>
          <w:sz w:val="20"/>
        </w:rPr>
        <w:t>Communications Nos. 1255,1256,1259,1260,1266,1268,1270 &amp;1288/2004</w:t>
      </w:r>
      <w:r w:rsidRPr="00C01166">
        <w:rPr>
          <w:rFonts w:ascii="Open Sans" w:hAnsi="Open Sans" w:cs="Open Sans"/>
          <w:bCs/>
          <w:sz w:val="20"/>
        </w:rPr>
        <w:t>, 90</w:t>
      </w:r>
      <w:r w:rsidRPr="00C01166">
        <w:rPr>
          <w:rFonts w:ascii="Open Sans" w:hAnsi="Open Sans" w:cs="Open Sans"/>
          <w:bCs/>
          <w:sz w:val="20"/>
          <w:vertAlign w:val="superscript"/>
        </w:rPr>
        <w:t>th</w:t>
      </w:r>
      <w:r w:rsidRPr="00C01166">
        <w:rPr>
          <w:rFonts w:ascii="Open Sans" w:hAnsi="Open Sans" w:cs="Open Sans"/>
          <w:bCs/>
          <w:sz w:val="20"/>
        </w:rPr>
        <w:t xml:space="preserve"> sess, </w:t>
      </w:r>
      <w:r w:rsidRPr="00C01166">
        <w:rPr>
          <w:rFonts w:ascii="Open Sans" w:hAnsi="Open Sans" w:cs="Open Sans"/>
          <w:sz w:val="20"/>
        </w:rPr>
        <w:t>UN</w:t>
      </w:r>
      <w:r w:rsidRPr="00C01166">
        <w:rPr>
          <w:rFonts w:ascii="Open Sans" w:hAnsi="Open Sans" w:cs="Open Sans"/>
          <w:spacing w:val="-6"/>
          <w:sz w:val="20"/>
        </w:rPr>
        <w:t xml:space="preserve"> </w:t>
      </w:r>
      <w:r w:rsidRPr="00C01166">
        <w:rPr>
          <w:rFonts w:ascii="Open Sans" w:hAnsi="Open Sans" w:cs="Open Sans"/>
          <w:sz w:val="20"/>
        </w:rPr>
        <w:t>Doc</w:t>
      </w:r>
      <w:r w:rsidRPr="00C01166">
        <w:rPr>
          <w:rFonts w:ascii="Open Sans" w:hAnsi="Open Sans" w:cs="Open Sans"/>
          <w:spacing w:val="-6"/>
          <w:sz w:val="20"/>
        </w:rPr>
        <w:t xml:space="preserve"> </w:t>
      </w:r>
      <w:r w:rsidRPr="00C01166">
        <w:rPr>
          <w:rFonts w:ascii="Open Sans" w:hAnsi="Open Sans" w:cs="Open Sans"/>
          <w:sz w:val="20"/>
        </w:rPr>
        <w:t xml:space="preserve">CCPR/C/90/D/1255 </w:t>
      </w:r>
      <w:r w:rsidRPr="00C01166">
        <w:rPr>
          <w:rFonts w:ascii="Open Sans" w:hAnsi="Open Sans" w:cs="Open Sans"/>
          <w:bCs/>
          <w:i/>
          <w:sz w:val="20"/>
        </w:rPr>
        <w:t>1256,1259,1260,1266,1268,1270 &amp;1288</w:t>
      </w:r>
      <w:r w:rsidRPr="00C01166">
        <w:rPr>
          <w:rFonts w:ascii="Open Sans" w:hAnsi="Open Sans" w:cs="Open Sans"/>
          <w:sz w:val="20"/>
        </w:rPr>
        <w:t>/2004 (20 July 2007) (‘</w:t>
      </w:r>
      <w:r w:rsidRPr="00C01166">
        <w:rPr>
          <w:rFonts w:ascii="Open Sans" w:hAnsi="Open Sans" w:cs="Open Sans"/>
          <w:i/>
          <w:sz w:val="20"/>
        </w:rPr>
        <w:t>Shams &amp; Ors v Australia</w:t>
      </w:r>
      <w:r w:rsidRPr="00C01166">
        <w:rPr>
          <w:rFonts w:ascii="Open Sans" w:hAnsi="Open Sans" w:cs="Open Sans"/>
          <w:sz w:val="20"/>
        </w:rPr>
        <w:t xml:space="preserve">’); Human Rights Committee, </w:t>
      </w:r>
      <w:r w:rsidRPr="00C01166">
        <w:rPr>
          <w:rFonts w:ascii="Open Sans" w:hAnsi="Open Sans" w:cs="Open Sans"/>
          <w:i/>
          <w:sz w:val="20"/>
        </w:rPr>
        <w:t>Views: Communication No 1014/2001</w:t>
      </w:r>
      <w:r w:rsidRPr="00C01166">
        <w:rPr>
          <w:rFonts w:ascii="Open Sans" w:hAnsi="Open Sans" w:cs="Open Sans"/>
          <w:sz w:val="20"/>
        </w:rPr>
        <w:t>, 78</w:t>
      </w:r>
      <w:r w:rsidRPr="00C01166">
        <w:rPr>
          <w:rFonts w:ascii="Open Sans" w:hAnsi="Open Sans" w:cs="Open Sans"/>
          <w:sz w:val="20"/>
          <w:vertAlign w:val="superscript"/>
        </w:rPr>
        <w:t>th</w:t>
      </w:r>
      <w:r w:rsidRPr="00C01166">
        <w:rPr>
          <w:rFonts w:ascii="Open Sans" w:hAnsi="Open Sans" w:cs="Open Sans"/>
          <w:sz w:val="20"/>
        </w:rPr>
        <w:t xml:space="preserve"> sess, CCPR/C/78/D/1014/2001 (18 September 2003) (‘</w:t>
      </w:r>
      <w:r w:rsidRPr="00C01166">
        <w:rPr>
          <w:rFonts w:ascii="Open Sans" w:hAnsi="Open Sans" w:cs="Open Sans"/>
          <w:i/>
          <w:sz w:val="20"/>
        </w:rPr>
        <w:t>Baban v</w:t>
      </w:r>
      <w:r w:rsidRPr="00C01166">
        <w:rPr>
          <w:rFonts w:ascii="Open Sans" w:hAnsi="Open Sans" w:cs="Open Sans"/>
          <w:i/>
          <w:spacing w:val="-11"/>
          <w:sz w:val="20"/>
        </w:rPr>
        <w:t xml:space="preserve"> </w:t>
      </w:r>
      <w:r w:rsidRPr="00C01166">
        <w:rPr>
          <w:rFonts w:ascii="Open Sans" w:hAnsi="Open Sans" w:cs="Open Sans"/>
          <w:i/>
          <w:sz w:val="20"/>
        </w:rPr>
        <w:t>Australia</w:t>
      </w:r>
      <w:r w:rsidRPr="00C01166">
        <w:rPr>
          <w:rFonts w:ascii="Open Sans" w:hAnsi="Open Sans" w:cs="Open Sans"/>
          <w:sz w:val="20"/>
        </w:rPr>
        <w:t>’);</w:t>
      </w:r>
      <w:r w:rsidRPr="00C01166">
        <w:rPr>
          <w:rFonts w:ascii="Open Sans" w:hAnsi="Open Sans" w:cs="Open Sans"/>
          <w:i/>
          <w:sz w:val="20"/>
        </w:rPr>
        <w:t xml:space="preserve">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bCs/>
          <w:i/>
          <w:sz w:val="20"/>
          <w:lang w:val="en"/>
        </w:rPr>
        <w:t>Communication No. 1050/2002</w:t>
      </w:r>
      <w:r w:rsidRPr="00C01166">
        <w:rPr>
          <w:rFonts w:ascii="Open Sans" w:hAnsi="Open Sans" w:cs="Open Sans"/>
          <w:bCs/>
          <w:sz w:val="20"/>
          <w:lang w:val="en"/>
        </w:rPr>
        <w:t>, 87</w:t>
      </w:r>
      <w:r w:rsidRPr="00C01166">
        <w:rPr>
          <w:rFonts w:ascii="Open Sans" w:hAnsi="Open Sans" w:cs="Open Sans"/>
          <w:bCs/>
          <w:sz w:val="20"/>
          <w:vertAlign w:val="superscript"/>
          <w:lang w:val="en"/>
        </w:rPr>
        <w:t>th</w:t>
      </w:r>
      <w:r w:rsidRPr="00C01166">
        <w:rPr>
          <w:rFonts w:ascii="Open Sans" w:hAnsi="Open Sans" w:cs="Open Sans"/>
          <w:bCs/>
          <w:sz w:val="20"/>
          <w:lang w:val="en"/>
        </w:rPr>
        <w:t xml:space="preserve"> sess,</w:t>
      </w:r>
      <w:r w:rsidRPr="00C01166">
        <w:rPr>
          <w:rFonts w:ascii="Open Sans" w:hAnsi="Open Sans" w:cs="Open Sans"/>
          <w:sz w:val="20"/>
          <w:lang w:val="en"/>
        </w:rPr>
        <w:t xml:space="preserve"> </w:t>
      </w:r>
      <w:r w:rsidRPr="00C01166">
        <w:rPr>
          <w:rFonts w:ascii="Open Sans" w:hAnsi="Open Sans" w:cs="Open Sans"/>
          <w:sz w:val="20"/>
        </w:rPr>
        <w:t>CCPR/C/87/D/1050/2002 (9 August 2006)</w:t>
      </w:r>
      <w:r w:rsidRPr="00C01166">
        <w:rPr>
          <w:rFonts w:ascii="Open Sans" w:hAnsi="Open Sans" w:cs="Open Sans"/>
          <w:i/>
          <w:sz w:val="20"/>
        </w:rPr>
        <w:t xml:space="preserve"> </w:t>
      </w:r>
      <w:r w:rsidRPr="00C01166">
        <w:rPr>
          <w:rFonts w:ascii="Open Sans" w:hAnsi="Open Sans" w:cs="Open Sans"/>
          <w:sz w:val="20"/>
        </w:rPr>
        <w:t>(‘</w:t>
      </w:r>
      <w:r w:rsidRPr="00C01166">
        <w:rPr>
          <w:rFonts w:ascii="Open Sans" w:hAnsi="Open Sans" w:cs="Open Sans"/>
          <w:i/>
          <w:sz w:val="20"/>
        </w:rPr>
        <w:t>D</w:t>
      </w:r>
      <w:r w:rsidRPr="00C01166">
        <w:rPr>
          <w:rFonts w:ascii="Open Sans" w:hAnsi="Open Sans" w:cs="Open Sans"/>
          <w:i/>
          <w:spacing w:val="-6"/>
          <w:sz w:val="20"/>
        </w:rPr>
        <w:t xml:space="preserve"> </w:t>
      </w:r>
      <w:r w:rsidRPr="00C01166">
        <w:rPr>
          <w:rFonts w:ascii="Open Sans" w:hAnsi="Open Sans" w:cs="Open Sans"/>
          <w:i/>
          <w:sz w:val="20"/>
        </w:rPr>
        <w:t>and E and their two children v</w:t>
      </w:r>
      <w:r w:rsidRPr="00C01166">
        <w:rPr>
          <w:rFonts w:ascii="Open Sans" w:hAnsi="Open Sans" w:cs="Open Sans"/>
          <w:i/>
          <w:spacing w:val="-38"/>
          <w:sz w:val="20"/>
        </w:rPr>
        <w:t xml:space="preserve">  </w:t>
      </w:r>
      <w:r w:rsidRPr="00C01166">
        <w:rPr>
          <w:rFonts w:ascii="Open Sans" w:hAnsi="Open Sans" w:cs="Open Sans"/>
          <w:i/>
          <w:sz w:val="20"/>
        </w:rPr>
        <w:t>Australia</w:t>
      </w:r>
      <w:r w:rsidRPr="00C01166">
        <w:rPr>
          <w:rFonts w:ascii="Open Sans" w:hAnsi="Open Sans" w:cs="Open Sans"/>
          <w:sz w:val="20"/>
        </w:rPr>
        <w:t>’).</w:t>
      </w:r>
    </w:p>
  </w:endnote>
  <w:endnote w:id="11">
    <w:p w14:paraId="09BE654D" w14:textId="77777777" w:rsidR="00824071" w:rsidRPr="003B400F" w:rsidRDefault="00824071" w:rsidP="00824071">
      <w:pPr>
        <w:tabs>
          <w:tab w:val="left" w:pos="284"/>
          <w:tab w:val="left" w:pos="567"/>
        </w:tabs>
        <w:spacing w:line="249" w:lineRule="auto"/>
        <w:ind w:left="284" w:right="553" w:hanging="284"/>
        <w:contextualSpacing/>
        <w:rPr>
          <w:rFonts w:ascii="Open Sans" w:hAnsi="Open Sans" w:cs="Open Sans"/>
          <w:sz w:val="20"/>
        </w:rPr>
      </w:pPr>
      <w:r w:rsidRPr="00AF44D2">
        <w:rPr>
          <w:rStyle w:val="EndnoteReference"/>
          <w:rFonts w:ascii="Open Sans" w:hAnsi="Open Sans" w:cs="Open Sans"/>
        </w:rPr>
        <w:endnoteRef/>
      </w:r>
      <w:r w:rsidRPr="00AF44D2">
        <w:rPr>
          <w:rFonts w:ascii="Open Sans" w:hAnsi="Open Sans" w:cs="Open Sans"/>
          <w:sz w:val="20"/>
        </w:rPr>
        <w:t xml:space="preserve"> </w:t>
      </w:r>
      <w:r>
        <w:rPr>
          <w:rFonts w:ascii="Open Sans" w:hAnsi="Open Sans" w:cs="Open Sans"/>
          <w:sz w:val="20"/>
        </w:rPr>
        <w:tab/>
      </w:r>
      <w:r w:rsidRPr="003B400F">
        <w:rPr>
          <w:rFonts w:ascii="Open Sans" w:hAnsi="Open Sans" w:cs="Open Sans"/>
          <w:sz w:val="20"/>
        </w:rPr>
        <w:t xml:space="preserve">Human Rights Committee, </w:t>
      </w:r>
      <w:r w:rsidRPr="003B400F">
        <w:rPr>
          <w:rFonts w:ascii="Open Sans" w:hAnsi="Open Sans" w:cs="Open Sans"/>
          <w:i/>
          <w:sz w:val="20"/>
        </w:rPr>
        <w:t>General Comment No. 35</w:t>
      </w:r>
      <w:r w:rsidRPr="003B400F">
        <w:rPr>
          <w:rFonts w:ascii="Open Sans" w:hAnsi="Open Sans" w:cs="Open Sans"/>
          <w:sz w:val="20"/>
        </w:rPr>
        <w:t xml:space="preserve"> </w:t>
      </w:r>
      <w:r w:rsidRPr="003B400F">
        <w:rPr>
          <w:rFonts w:ascii="Open Sans" w:hAnsi="Open Sans" w:cs="Open Sans"/>
          <w:i/>
          <w:sz w:val="20"/>
        </w:rPr>
        <w:t>Article 9 (Liberty and security of person)</w:t>
      </w:r>
      <w:r w:rsidRPr="003B400F">
        <w:rPr>
          <w:rFonts w:ascii="Open Sans" w:hAnsi="Open Sans" w:cs="Open Sans"/>
          <w:sz w:val="20"/>
        </w:rPr>
        <w:t>, 112</w:t>
      </w:r>
      <w:r w:rsidRPr="003B400F">
        <w:rPr>
          <w:rFonts w:ascii="Open Sans" w:hAnsi="Open Sans" w:cs="Open Sans"/>
          <w:sz w:val="20"/>
          <w:vertAlign w:val="superscript"/>
        </w:rPr>
        <w:t>th</w:t>
      </w:r>
      <w:r w:rsidRPr="003B400F">
        <w:rPr>
          <w:rFonts w:ascii="Open Sans" w:hAnsi="Open Sans" w:cs="Open Sans"/>
          <w:sz w:val="20"/>
        </w:rPr>
        <w:t xml:space="preserve"> Sess, UN Doc CCPR/C/GC/35</w:t>
      </w:r>
      <w:r w:rsidRPr="003B400F">
        <w:rPr>
          <w:rFonts w:ascii="Open Sans" w:hAnsi="Open Sans" w:cs="Open Sans"/>
          <w:i/>
          <w:sz w:val="20"/>
        </w:rPr>
        <w:t xml:space="preserve"> </w:t>
      </w:r>
      <w:r w:rsidRPr="003B400F">
        <w:rPr>
          <w:rFonts w:ascii="Open Sans" w:hAnsi="Open Sans" w:cs="Open Sans"/>
          <w:sz w:val="20"/>
        </w:rPr>
        <w:t>(</w:t>
      </w:r>
      <w:r>
        <w:rPr>
          <w:rFonts w:ascii="Open Sans" w:hAnsi="Open Sans" w:cs="Open Sans"/>
          <w:sz w:val="20"/>
        </w:rPr>
        <w:t xml:space="preserve">16 December </w:t>
      </w:r>
      <w:r w:rsidRPr="003B400F">
        <w:rPr>
          <w:rFonts w:ascii="Open Sans" w:hAnsi="Open Sans" w:cs="Open Sans"/>
          <w:sz w:val="20"/>
        </w:rPr>
        <w:t>2014) [18], footnotes omitted.</w:t>
      </w:r>
    </w:p>
  </w:endnote>
  <w:endnote w:id="12">
    <w:p w14:paraId="6841018E" w14:textId="77777777" w:rsidR="00824071" w:rsidRPr="003B400F" w:rsidRDefault="00824071" w:rsidP="002018CC">
      <w:pPr>
        <w:tabs>
          <w:tab w:val="left" w:pos="567"/>
        </w:tabs>
        <w:spacing w:after="0"/>
        <w:ind w:left="284" w:hanging="284"/>
        <w:rPr>
          <w:rFonts w:ascii="Open Sans" w:hAnsi="Open Sans" w:cs="Open Sans"/>
          <w:sz w:val="20"/>
        </w:rPr>
      </w:pPr>
      <w:r w:rsidRPr="00AF44D2">
        <w:rPr>
          <w:rStyle w:val="EndnoteReference"/>
          <w:rFonts w:ascii="Open Sans" w:hAnsi="Open Sans" w:cs="Open Sans"/>
        </w:rPr>
        <w:endnoteRef/>
      </w:r>
      <w:r w:rsidRPr="00AF44D2">
        <w:rPr>
          <w:rFonts w:ascii="Open Sans" w:hAnsi="Open Sans" w:cs="Open Sans"/>
          <w:sz w:val="20"/>
        </w:rPr>
        <w:t xml:space="preserve"> </w:t>
      </w:r>
      <w:r>
        <w:rPr>
          <w:rFonts w:ascii="Open Sans" w:hAnsi="Open Sans" w:cs="Open Sans"/>
          <w:sz w:val="20"/>
        </w:rPr>
        <w:tab/>
      </w:r>
      <w:r w:rsidRPr="003B400F">
        <w:rPr>
          <w:rFonts w:ascii="Open Sans" w:hAnsi="Open Sans" w:cs="Open Sans"/>
          <w:sz w:val="20"/>
        </w:rPr>
        <w:t xml:space="preserve">Human Rights Committee, </w:t>
      </w:r>
      <w:r w:rsidRPr="003B400F">
        <w:rPr>
          <w:rFonts w:ascii="Open Sans" w:hAnsi="Open Sans" w:cs="Open Sans"/>
          <w:i/>
          <w:sz w:val="20"/>
        </w:rPr>
        <w:t xml:space="preserve">General </w:t>
      </w:r>
      <w:r w:rsidRPr="00704467">
        <w:rPr>
          <w:rFonts w:ascii="Open Sans" w:hAnsi="Open Sans" w:cs="Open Sans"/>
          <w:i/>
          <w:sz w:val="20"/>
        </w:rPr>
        <w:t>Comment 31,</w:t>
      </w:r>
      <w:r w:rsidRPr="00704467">
        <w:rPr>
          <w:rFonts w:ascii="Open Sans" w:hAnsi="Open Sans" w:cs="Open Sans"/>
          <w:sz w:val="20"/>
        </w:rPr>
        <w:t xml:space="preserve"> </w:t>
      </w:r>
      <w:r w:rsidRPr="00704467">
        <w:rPr>
          <w:rFonts w:ascii="Open Sans" w:hAnsi="Open Sans" w:cs="Open Sans"/>
          <w:i/>
          <w:sz w:val="20"/>
        </w:rPr>
        <w:t>Nature of the General Legal Obligation Imposed on States Parties to the Covenant</w:t>
      </w:r>
      <w:r w:rsidRPr="00704467">
        <w:rPr>
          <w:rFonts w:ascii="Open Sans" w:hAnsi="Open Sans" w:cs="Open Sans"/>
          <w:sz w:val="20"/>
        </w:rPr>
        <w:t xml:space="preserve">, UN Doc CCPR/C/21/Rev.1/Add.13 (26 May 2004) [6]; </w:t>
      </w:r>
      <w:r w:rsidRPr="00C01166">
        <w:rPr>
          <w:rFonts w:ascii="Open Sans" w:hAnsi="Open Sans" w:cs="Open Sans"/>
          <w:sz w:val="20"/>
        </w:rPr>
        <w:t xml:space="preserve">Human Rights Committee, </w:t>
      </w:r>
      <w:r w:rsidRPr="00C01166">
        <w:rPr>
          <w:rFonts w:ascii="Open Sans" w:hAnsi="Open Sans" w:cs="Open Sans"/>
          <w:i/>
          <w:sz w:val="20"/>
        </w:rPr>
        <w:t xml:space="preserve">Views: </w:t>
      </w:r>
      <w:r w:rsidRPr="00C01166">
        <w:rPr>
          <w:rFonts w:ascii="Open Sans" w:hAnsi="Open Sans" w:cs="Open Sans"/>
          <w:i/>
          <w:iCs/>
          <w:sz w:val="20"/>
        </w:rPr>
        <w:t>Communication No. 305/1988,</w:t>
      </w:r>
      <w:r w:rsidRPr="00C01166">
        <w:rPr>
          <w:rFonts w:ascii="Open Sans" w:hAnsi="Open Sans" w:cs="Open Sans"/>
          <w:i/>
          <w:spacing w:val="-3"/>
          <w:sz w:val="20"/>
        </w:rPr>
        <w:t xml:space="preserve"> </w:t>
      </w:r>
      <w:r w:rsidRPr="00C01166">
        <w:rPr>
          <w:rFonts w:ascii="Open Sans" w:hAnsi="Open Sans" w:cs="Open Sans"/>
          <w:spacing w:val="-3"/>
          <w:sz w:val="20"/>
        </w:rPr>
        <w:t>39</w:t>
      </w:r>
      <w:r w:rsidRPr="00C01166">
        <w:rPr>
          <w:rFonts w:ascii="Open Sans" w:hAnsi="Open Sans" w:cs="Open Sans"/>
          <w:spacing w:val="-3"/>
          <w:sz w:val="20"/>
          <w:vertAlign w:val="superscript"/>
        </w:rPr>
        <w:t>th</w:t>
      </w:r>
      <w:r w:rsidRPr="00C01166">
        <w:rPr>
          <w:rFonts w:ascii="Open Sans" w:hAnsi="Open Sans" w:cs="Open Sans"/>
          <w:spacing w:val="-3"/>
          <w:sz w:val="20"/>
        </w:rPr>
        <w:t xml:space="preserve"> sess, </w:t>
      </w:r>
      <w:r w:rsidRPr="00C01166">
        <w:rPr>
          <w:rFonts w:ascii="Open Sans" w:hAnsi="Open Sans" w:cs="Open Sans"/>
          <w:sz w:val="20"/>
        </w:rPr>
        <w:t>UN Doc CCPR/C/39/D/305/1988 (23 July 1990) (‘</w:t>
      </w:r>
      <w:r w:rsidRPr="00C01166">
        <w:rPr>
          <w:rFonts w:ascii="Open Sans" w:hAnsi="Open Sans" w:cs="Open Sans"/>
          <w:i/>
          <w:spacing w:val="-3"/>
          <w:sz w:val="20"/>
        </w:rPr>
        <w:t xml:space="preserve">Van </w:t>
      </w:r>
      <w:r w:rsidRPr="00C01166">
        <w:rPr>
          <w:rFonts w:ascii="Open Sans" w:hAnsi="Open Sans" w:cs="Open Sans"/>
          <w:i/>
          <w:sz w:val="20"/>
        </w:rPr>
        <w:t>Alphen v The Netherlands</w:t>
      </w:r>
      <w:r w:rsidRPr="00C01166">
        <w:rPr>
          <w:rFonts w:ascii="Open Sans" w:hAnsi="Open Sans" w:cs="Open Sans"/>
          <w:sz w:val="20"/>
        </w:rPr>
        <w:t>’)</w:t>
      </w:r>
      <w:r w:rsidRPr="00704467">
        <w:rPr>
          <w:rFonts w:ascii="Open Sans" w:hAnsi="Open Sans" w:cs="Open Sans"/>
          <w:sz w:val="20"/>
        </w:rPr>
        <w:t xml:space="preserve">; Human Rights Committee, </w:t>
      </w:r>
      <w:r w:rsidRPr="00704467">
        <w:rPr>
          <w:rFonts w:ascii="Open Sans" w:hAnsi="Open Sans" w:cs="Open Sans"/>
          <w:i/>
          <w:sz w:val="20"/>
        </w:rPr>
        <w:t xml:space="preserve">Views: </w:t>
      </w:r>
      <w:r w:rsidRPr="00704467">
        <w:rPr>
          <w:rFonts w:ascii="Open Sans" w:hAnsi="Open Sans" w:cs="Open Sans"/>
          <w:bCs/>
          <w:i/>
          <w:sz w:val="20"/>
        </w:rPr>
        <w:t>Communication No. 560/1993</w:t>
      </w:r>
      <w:r w:rsidRPr="00704467">
        <w:rPr>
          <w:rFonts w:ascii="Open Sans" w:hAnsi="Open Sans" w:cs="Open Sans"/>
          <w:bCs/>
          <w:sz w:val="20"/>
        </w:rPr>
        <w:t>, 59</w:t>
      </w:r>
      <w:r w:rsidRPr="00704467">
        <w:rPr>
          <w:rFonts w:ascii="Open Sans" w:hAnsi="Open Sans" w:cs="Open Sans"/>
          <w:bCs/>
          <w:sz w:val="20"/>
          <w:vertAlign w:val="superscript"/>
        </w:rPr>
        <w:t>th</w:t>
      </w:r>
      <w:r w:rsidRPr="00704467">
        <w:rPr>
          <w:rFonts w:ascii="Open Sans" w:hAnsi="Open Sans" w:cs="Open Sans"/>
          <w:bCs/>
          <w:sz w:val="20"/>
        </w:rPr>
        <w:t xml:space="preserve"> sess,</w:t>
      </w:r>
      <w:r w:rsidRPr="00704467">
        <w:rPr>
          <w:rFonts w:ascii="Open Sans" w:hAnsi="Open Sans" w:cs="Open Sans"/>
          <w:b/>
          <w:bCs/>
          <w:sz w:val="20"/>
        </w:rPr>
        <w:t xml:space="preserve"> </w:t>
      </w:r>
      <w:r w:rsidRPr="00704467">
        <w:rPr>
          <w:rFonts w:ascii="Open Sans" w:hAnsi="Open Sans" w:cs="Open Sans"/>
          <w:sz w:val="20"/>
        </w:rPr>
        <w:t>UN</w:t>
      </w:r>
      <w:r w:rsidRPr="00704467">
        <w:rPr>
          <w:rFonts w:ascii="Open Sans" w:hAnsi="Open Sans" w:cs="Open Sans"/>
          <w:spacing w:val="-4"/>
          <w:sz w:val="20"/>
        </w:rPr>
        <w:t xml:space="preserve"> </w:t>
      </w:r>
      <w:r w:rsidRPr="00704467">
        <w:rPr>
          <w:rFonts w:ascii="Open Sans" w:hAnsi="Open Sans" w:cs="Open Sans"/>
          <w:sz w:val="20"/>
        </w:rPr>
        <w:t>Doc</w:t>
      </w:r>
      <w:r w:rsidRPr="00704467">
        <w:rPr>
          <w:rFonts w:ascii="Open Sans" w:hAnsi="Open Sans" w:cs="Open Sans"/>
          <w:spacing w:val="-4"/>
          <w:sz w:val="20"/>
        </w:rPr>
        <w:t xml:space="preserve"> </w:t>
      </w:r>
      <w:r w:rsidRPr="00704467">
        <w:rPr>
          <w:rFonts w:ascii="Open Sans" w:hAnsi="Open Sans" w:cs="Open Sans"/>
          <w:sz w:val="20"/>
        </w:rPr>
        <w:t>CCPR/C/59/D/560/1993 (3 April 1997) (‘</w:t>
      </w:r>
      <w:r w:rsidRPr="00704467">
        <w:rPr>
          <w:rFonts w:ascii="Open Sans" w:hAnsi="Open Sans" w:cs="Open Sans"/>
          <w:i/>
          <w:sz w:val="20"/>
        </w:rPr>
        <w:t>A</w:t>
      </w:r>
      <w:r w:rsidRPr="00704467">
        <w:rPr>
          <w:rFonts w:ascii="Open Sans" w:hAnsi="Open Sans" w:cs="Open Sans"/>
          <w:i/>
          <w:spacing w:val="-10"/>
          <w:sz w:val="20"/>
        </w:rPr>
        <w:t xml:space="preserve"> </w:t>
      </w:r>
      <w:r w:rsidRPr="00704467">
        <w:rPr>
          <w:rFonts w:ascii="Open Sans" w:hAnsi="Open Sans" w:cs="Open Sans"/>
          <w:i/>
          <w:sz w:val="20"/>
        </w:rPr>
        <w:t>v</w:t>
      </w:r>
      <w:r w:rsidRPr="00704467">
        <w:rPr>
          <w:rFonts w:ascii="Open Sans" w:hAnsi="Open Sans" w:cs="Open Sans"/>
          <w:i/>
          <w:spacing w:val="-10"/>
          <w:sz w:val="20"/>
        </w:rPr>
        <w:t xml:space="preserve"> </w:t>
      </w:r>
      <w:r w:rsidRPr="00704467">
        <w:rPr>
          <w:rFonts w:ascii="Open Sans" w:hAnsi="Open Sans" w:cs="Open Sans"/>
          <w:i/>
          <w:sz w:val="20"/>
        </w:rPr>
        <w:t>Australia</w:t>
      </w:r>
      <w:r w:rsidRPr="00704467">
        <w:rPr>
          <w:rFonts w:ascii="Open Sans" w:hAnsi="Open Sans" w:cs="Open Sans"/>
          <w:spacing w:val="-4"/>
          <w:sz w:val="20"/>
        </w:rPr>
        <w:t>’)</w:t>
      </w:r>
      <w:r w:rsidRPr="00704467">
        <w:rPr>
          <w:rFonts w:ascii="Open Sans" w:hAnsi="Open Sans" w:cs="Open Sans"/>
          <w:sz w:val="20"/>
        </w:rPr>
        <w:t xml:space="preserve">; Human Rights Committee, </w:t>
      </w:r>
      <w:r w:rsidRPr="00704467">
        <w:rPr>
          <w:rFonts w:ascii="Open Sans" w:hAnsi="Open Sans" w:cs="Open Sans"/>
          <w:i/>
          <w:sz w:val="20"/>
        </w:rPr>
        <w:t xml:space="preserve">Views </w:t>
      </w:r>
      <w:r w:rsidRPr="00704467">
        <w:rPr>
          <w:rFonts w:ascii="Open Sans" w:hAnsi="Open Sans" w:cs="Open Sans"/>
          <w:bCs/>
          <w:i/>
          <w:sz w:val="20"/>
          <w:lang w:val="en"/>
        </w:rPr>
        <w:t>Communication No. 900/1999</w:t>
      </w:r>
      <w:r w:rsidRPr="00704467">
        <w:rPr>
          <w:rFonts w:ascii="Open Sans" w:hAnsi="Open Sans" w:cs="Open Sans"/>
          <w:bCs/>
          <w:sz w:val="20"/>
          <w:lang w:val="en"/>
        </w:rPr>
        <w:t>, 76</w:t>
      </w:r>
      <w:r w:rsidRPr="00704467">
        <w:rPr>
          <w:rFonts w:ascii="Open Sans" w:hAnsi="Open Sans" w:cs="Open Sans"/>
          <w:bCs/>
          <w:sz w:val="20"/>
          <w:vertAlign w:val="superscript"/>
          <w:lang w:val="en"/>
        </w:rPr>
        <w:t>th</w:t>
      </w:r>
      <w:r w:rsidRPr="00704467">
        <w:rPr>
          <w:rFonts w:ascii="Open Sans" w:hAnsi="Open Sans" w:cs="Open Sans"/>
          <w:bCs/>
          <w:sz w:val="20"/>
          <w:lang w:val="en"/>
        </w:rPr>
        <w:t xml:space="preserve"> sess, </w:t>
      </w:r>
      <w:r w:rsidRPr="00704467">
        <w:rPr>
          <w:rFonts w:ascii="Open Sans" w:hAnsi="Open Sans" w:cs="Open Sans"/>
          <w:sz w:val="20"/>
        </w:rPr>
        <w:t>UN Doc CCPR/C/76/D/900/1999 (28 October 2002)</w:t>
      </w:r>
      <w:r w:rsidRPr="00704467">
        <w:rPr>
          <w:rFonts w:ascii="Open Sans" w:hAnsi="Open Sans" w:cs="Open Sans"/>
          <w:i/>
          <w:sz w:val="20"/>
        </w:rPr>
        <w:t xml:space="preserve"> </w:t>
      </w:r>
      <w:r w:rsidRPr="00704467">
        <w:rPr>
          <w:rFonts w:ascii="Open Sans" w:hAnsi="Open Sans" w:cs="Open Sans"/>
          <w:sz w:val="20"/>
        </w:rPr>
        <w:t>(‘</w:t>
      </w:r>
      <w:r w:rsidRPr="00704467">
        <w:rPr>
          <w:rFonts w:ascii="Open Sans" w:hAnsi="Open Sans" w:cs="Open Sans"/>
          <w:i/>
          <w:sz w:val="20"/>
        </w:rPr>
        <w:t>C v</w:t>
      </w:r>
      <w:r w:rsidRPr="00704467">
        <w:rPr>
          <w:rFonts w:ascii="Open Sans" w:hAnsi="Open Sans" w:cs="Open Sans"/>
          <w:i/>
          <w:spacing w:val="-10"/>
          <w:sz w:val="20"/>
        </w:rPr>
        <w:t xml:space="preserve"> </w:t>
      </w:r>
      <w:r w:rsidRPr="00704467">
        <w:rPr>
          <w:rFonts w:ascii="Open Sans" w:hAnsi="Open Sans" w:cs="Open Sans"/>
          <w:i/>
          <w:sz w:val="20"/>
        </w:rPr>
        <w:t>Australia</w:t>
      </w:r>
      <w:r w:rsidRPr="00704467">
        <w:rPr>
          <w:rFonts w:ascii="Open Sans" w:hAnsi="Open Sans" w:cs="Open Sans"/>
          <w:sz w:val="20"/>
        </w:rPr>
        <w:t>’).</w:t>
      </w:r>
      <w:r w:rsidRPr="009746C9">
        <w:rPr>
          <w:rFonts w:ascii="Open Sans" w:hAnsi="Open Sans" w:cs="Open Sans"/>
          <w:sz w:val="20"/>
        </w:rPr>
        <w:t xml:space="preserve"> </w:t>
      </w:r>
    </w:p>
  </w:endnote>
  <w:endnote w:id="13">
    <w:p w14:paraId="20E58279" w14:textId="77777777" w:rsidR="00824071" w:rsidRPr="00F20A2F" w:rsidRDefault="00824071" w:rsidP="002018CC">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 xml:space="preserve">The Hon Peter Dutton MP, Minister for Immigration and Border Protection, </w:t>
      </w:r>
      <w:r w:rsidRPr="00F20A2F">
        <w:rPr>
          <w:rFonts w:ascii="Open Sans" w:hAnsi="Open Sans" w:cs="Open Sans"/>
          <w:i/>
          <w:sz w:val="20"/>
        </w:rPr>
        <w:t>Minister for Immigration and Border Protection’s Residence Determination Power under section 197AB and section 197AD of the Migration Act 1958</w:t>
      </w:r>
      <w:r w:rsidRPr="00F20A2F">
        <w:rPr>
          <w:rFonts w:ascii="Open Sans" w:hAnsi="Open Sans" w:cs="Open Sans"/>
          <w:sz w:val="20"/>
        </w:rPr>
        <w:t xml:space="preserve">, </w:t>
      </w:r>
      <w:r>
        <w:rPr>
          <w:rFonts w:ascii="Open Sans" w:hAnsi="Open Sans" w:cs="Open Sans"/>
          <w:sz w:val="20"/>
        </w:rPr>
        <w:t>21</w:t>
      </w:r>
      <w:r w:rsidRPr="00F20A2F">
        <w:rPr>
          <w:rFonts w:ascii="Open Sans" w:hAnsi="Open Sans" w:cs="Open Sans"/>
          <w:sz w:val="20"/>
        </w:rPr>
        <w:t xml:space="preserve"> </w:t>
      </w:r>
      <w:r>
        <w:rPr>
          <w:rFonts w:ascii="Open Sans" w:hAnsi="Open Sans" w:cs="Open Sans"/>
          <w:sz w:val="20"/>
        </w:rPr>
        <w:t>October 2017</w:t>
      </w:r>
      <w:r w:rsidRPr="00F20A2F">
        <w:rPr>
          <w:rFonts w:ascii="Open Sans" w:hAnsi="Open Sans" w:cs="Open Sans"/>
          <w:sz w:val="20"/>
        </w:rPr>
        <w:t xml:space="preserve">. The guidelines are incorporated into the Department’s Procedures Advice Manual.  </w:t>
      </w:r>
    </w:p>
  </w:endnote>
  <w:endnote w:id="14">
    <w:p w14:paraId="1FCB264A" w14:textId="77777777" w:rsidR="00824071" w:rsidRPr="00F20A2F" w:rsidRDefault="00824071" w:rsidP="00824071">
      <w:pPr>
        <w:pStyle w:val="EndnoteText"/>
        <w:tabs>
          <w:tab w:val="left" w:pos="284"/>
        </w:tabs>
        <w:ind w:left="284" w:hanging="284"/>
        <w:rPr>
          <w:rFonts w:ascii="Open Sans" w:hAnsi="Open Sans" w:cs="Open Sans"/>
          <w:sz w:val="20"/>
        </w:rPr>
      </w:pPr>
      <w:r w:rsidRPr="00AF44D2">
        <w:rPr>
          <w:rStyle w:val="EndnoteReference"/>
          <w:rFonts w:ascii="Open Sans" w:hAnsi="Open Sans" w:cs="Open Sans"/>
        </w:rPr>
        <w:endnoteRef/>
      </w:r>
      <w:r w:rsidRPr="00F20A2F">
        <w:rPr>
          <w:rFonts w:ascii="Open Sans" w:hAnsi="Open Sans" w:cs="Open Sans"/>
          <w:sz w:val="20"/>
        </w:rPr>
        <w:t xml:space="preserve"> </w:t>
      </w:r>
      <w:r>
        <w:rPr>
          <w:rFonts w:ascii="Open Sans" w:hAnsi="Open Sans" w:cs="Open Sans"/>
          <w:sz w:val="20"/>
        </w:rPr>
        <w:tab/>
      </w:r>
      <w:r w:rsidRPr="00F20A2F">
        <w:rPr>
          <w:rFonts w:ascii="Open Sans" w:hAnsi="Open Sans" w:cs="Open Sans"/>
          <w:sz w:val="20"/>
        </w:rPr>
        <w:t xml:space="preserve">The Hon Chris Bowen MP, Minister for Immigration and Citizenship, </w:t>
      </w:r>
      <w:r w:rsidRPr="00F20A2F">
        <w:rPr>
          <w:rFonts w:ascii="Open Sans" w:hAnsi="Open Sans" w:cs="Open Sans"/>
          <w:i/>
          <w:sz w:val="20"/>
        </w:rPr>
        <w:t>Minister’s guidelines on ministerial powers (s345, s 351, s 417 and s 501J)</w:t>
      </w:r>
      <w:r w:rsidRPr="00F20A2F">
        <w:rPr>
          <w:rFonts w:ascii="Open Sans" w:hAnsi="Open Sans" w:cs="Open Sans"/>
          <w:sz w:val="20"/>
        </w:rPr>
        <w:t xml:space="preserve">, 24 March 2012 (reissued on 10 October 2015). The guidelines are incorporated into the Department’s Procedures Advice Manual.  </w:t>
      </w:r>
    </w:p>
  </w:endnote>
  <w:endnote w:id="15">
    <w:p w14:paraId="4F889F8D" w14:textId="77777777" w:rsidR="00824071" w:rsidRPr="00E23403" w:rsidRDefault="00824071" w:rsidP="00824071">
      <w:pPr>
        <w:pStyle w:val="EndnoteText"/>
        <w:tabs>
          <w:tab w:val="left" w:pos="284"/>
        </w:tabs>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ascii="Open Sans" w:hAnsi="Open Sans" w:cs="Open Sans"/>
          <w:i/>
          <w:sz w:val="20"/>
        </w:rPr>
        <w:t>Australian Human Rights Commission Act 1986 (Cth) s</w:t>
      </w:r>
      <w:r w:rsidRPr="00E23403">
        <w:rPr>
          <w:rStyle w:val="EndnoteReference"/>
          <w:rFonts w:ascii="Open Sans" w:hAnsi="Open Sans" w:cs="Open Sans"/>
        </w:rPr>
        <w:t xml:space="preserve"> </w:t>
      </w:r>
      <w:r w:rsidRPr="00E23403">
        <w:rPr>
          <w:rFonts w:ascii="Open Sans" w:hAnsi="Open Sans" w:cs="Open Sans"/>
          <w:sz w:val="20"/>
        </w:rPr>
        <w:t>29(2)(a).</w:t>
      </w:r>
    </w:p>
  </w:endnote>
  <w:endnote w:id="16">
    <w:p w14:paraId="475DC6AE" w14:textId="77777777" w:rsidR="00824071" w:rsidRPr="00E23403" w:rsidRDefault="00824071" w:rsidP="00824071">
      <w:pPr>
        <w:pStyle w:val="EndnoteText"/>
        <w:tabs>
          <w:tab w:val="left" w:pos="284"/>
        </w:tabs>
        <w:ind w:left="284" w:hanging="284"/>
        <w:rPr>
          <w:rStyle w:val="EndnoteReference"/>
          <w:rFonts w:ascii="Open Sans" w:hAnsi="Open Sans" w:cs="Open Sans"/>
        </w:rPr>
      </w:pPr>
      <w:r w:rsidRPr="00E23403">
        <w:rPr>
          <w:rStyle w:val="EndnoteReference"/>
          <w:rFonts w:ascii="Open Sans" w:hAnsi="Open Sans" w:cs="Open Sans"/>
        </w:rPr>
        <w:endnoteRef/>
      </w:r>
      <w:r w:rsidRPr="00E23403">
        <w:rPr>
          <w:rStyle w:val="EndnoteReference"/>
          <w:rFonts w:ascii="Open Sans" w:hAnsi="Open Sans" w:cs="Open Sans"/>
        </w:rPr>
        <w:t xml:space="preserve"> </w:t>
      </w:r>
      <w:r w:rsidRPr="00E23403">
        <w:rPr>
          <w:rStyle w:val="EndnoteReference"/>
          <w:rFonts w:ascii="Open Sans" w:hAnsi="Open Sans" w:cs="Open Sans"/>
        </w:rPr>
        <w:tab/>
      </w:r>
      <w:r w:rsidRPr="00E23403">
        <w:rPr>
          <w:rFonts w:ascii="Open Sans" w:hAnsi="Open Sans" w:cs="Open Sans"/>
          <w:i/>
          <w:sz w:val="20"/>
        </w:rPr>
        <w:t xml:space="preserve">Australian Human Rights Commission Act 1986 (Cth) </w:t>
      </w:r>
      <w:r w:rsidRPr="00E23403">
        <w:rPr>
          <w:rFonts w:ascii="Open Sans" w:hAnsi="Open Sans" w:cs="Open Sans"/>
          <w:sz w:val="20"/>
        </w:rPr>
        <w:t>s 29(2)(b).</w:t>
      </w:r>
    </w:p>
  </w:endnote>
  <w:endnote w:id="17">
    <w:p w14:paraId="739BCE9C" w14:textId="77777777" w:rsidR="00824071" w:rsidRPr="009F78BD" w:rsidRDefault="00824071" w:rsidP="00824071">
      <w:pPr>
        <w:pStyle w:val="EndnoteText"/>
        <w:tabs>
          <w:tab w:val="left" w:pos="284"/>
        </w:tabs>
        <w:ind w:left="284" w:hanging="284"/>
        <w:rPr>
          <w:rFonts w:ascii="Open Sans" w:hAnsi="Open Sans" w:cs="Open Sans"/>
          <w:sz w:val="20"/>
        </w:rPr>
      </w:pPr>
      <w:r w:rsidRPr="009F78BD">
        <w:rPr>
          <w:rStyle w:val="EndnoteReference"/>
          <w:rFonts w:ascii="Open Sans" w:hAnsi="Open Sans" w:cs="Open Sans"/>
        </w:rPr>
        <w:endnoteRef/>
      </w:r>
      <w:r w:rsidRPr="009F78BD">
        <w:rPr>
          <w:rStyle w:val="EndnoteReference"/>
          <w:rFonts w:ascii="Open Sans" w:hAnsi="Open Sans" w:cs="Open Sans"/>
        </w:rPr>
        <w:t xml:space="preserve"> </w:t>
      </w:r>
      <w:r w:rsidRPr="009F78BD">
        <w:rPr>
          <w:rStyle w:val="EndnoteReference"/>
          <w:rFonts w:ascii="Open Sans" w:hAnsi="Open Sans" w:cs="Open Sans"/>
        </w:rPr>
        <w:tab/>
      </w:r>
      <w:r w:rsidRPr="009F78BD">
        <w:rPr>
          <w:rFonts w:ascii="Open Sans" w:hAnsi="Open Sans" w:cs="Open Sans"/>
          <w:i/>
          <w:sz w:val="20"/>
        </w:rPr>
        <w:t>Australian Human Rights Commission Act 1986</w:t>
      </w:r>
      <w:r w:rsidRPr="009F78BD">
        <w:rPr>
          <w:rFonts w:ascii="Open Sans" w:hAnsi="Open Sans" w:cs="Open Sans"/>
          <w:sz w:val="20"/>
        </w:rPr>
        <w:t xml:space="preserve"> (Cth) s 29(2)(c).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228DD" w14:textId="77777777" w:rsidR="00824071" w:rsidRDefault="00824071" w:rsidP="009D2E6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59F6793B" w14:textId="77777777" w:rsidR="00824071" w:rsidRDefault="00824071" w:rsidP="00087C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B810" w14:textId="77777777" w:rsidR="00824071" w:rsidRDefault="00824071" w:rsidP="009D2E68">
    <w:pPr>
      <w:pStyle w:val="Footer"/>
      <w:framePr w:wrap="around" w:vAnchor="text" w:hAnchor="margin" w:xAlign="right" w:y="1"/>
      <w:rPr>
        <w:rStyle w:val="PageNumber"/>
        <w:sz w:val="24"/>
      </w:rPr>
    </w:pPr>
  </w:p>
  <w:p w14:paraId="1709E993" w14:textId="77777777" w:rsidR="00824071" w:rsidRDefault="00824071" w:rsidP="00FF32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8073C" w14:textId="77777777" w:rsidR="00D2466B" w:rsidRDefault="002018CC" w:rsidP="009D2E68">
    <w:pPr>
      <w:pStyle w:val="Footer"/>
      <w:framePr w:wrap="around" w:vAnchor="text" w:hAnchor="margin" w:xAlign="right"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122A7D50" w14:textId="77777777" w:rsidR="00D2466B" w:rsidRDefault="006023A9" w:rsidP="00087C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BFA3" w14:textId="77777777" w:rsidR="0046124F" w:rsidRDefault="0046124F" w:rsidP="00824071">
      <w:pPr>
        <w:spacing w:after="0" w:line="240" w:lineRule="auto"/>
      </w:pPr>
      <w:r>
        <w:separator/>
      </w:r>
    </w:p>
  </w:footnote>
  <w:footnote w:type="continuationSeparator" w:id="0">
    <w:p w14:paraId="226EB2DB" w14:textId="77777777" w:rsidR="0046124F" w:rsidRDefault="0046124F" w:rsidP="00824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119"/>
    <w:multiLevelType w:val="hybridMultilevel"/>
    <w:tmpl w:val="A740CB70"/>
    <w:lvl w:ilvl="0" w:tplc="107E1B0E">
      <w:start w:val="1"/>
      <w:numFmt w:val="lowerLetter"/>
      <w:lvlText w:val="(%1)"/>
      <w:lvlJc w:val="left"/>
      <w:pPr>
        <w:ind w:left="2002" w:hanging="341"/>
      </w:pPr>
      <w:rPr>
        <w:rFonts w:ascii="Arial" w:eastAsia="Arial" w:hAnsi="Arial" w:cs="Arial" w:hint="default"/>
        <w:color w:val="231F20"/>
        <w:w w:val="100"/>
        <w:sz w:val="22"/>
        <w:szCs w:val="22"/>
      </w:rPr>
    </w:lvl>
    <w:lvl w:ilvl="1" w:tplc="70A87D8E">
      <w:numFmt w:val="bullet"/>
      <w:lvlText w:val="•"/>
      <w:lvlJc w:val="left"/>
      <w:pPr>
        <w:ind w:left="2787" w:hanging="341"/>
      </w:pPr>
      <w:rPr>
        <w:rFonts w:hint="default"/>
      </w:rPr>
    </w:lvl>
    <w:lvl w:ilvl="2" w:tplc="4F307122">
      <w:numFmt w:val="bullet"/>
      <w:lvlText w:val="•"/>
      <w:lvlJc w:val="left"/>
      <w:pPr>
        <w:ind w:left="3574" w:hanging="341"/>
      </w:pPr>
      <w:rPr>
        <w:rFonts w:hint="default"/>
      </w:rPr>
    </w:lvl>
    <w:lvl w:ilvl="3" w:tplc="BB740586">
      <w:numFmt w:val="bullet"/>
      <w:lvlText w:val="•"/>
      <w:lvlJc w:val="left"/>
      <w:pPr>
        <w:ind w:left="4360" w:hanging="341"/>
      </w:pPr>
      <w:rPr>
        <w:rFonts w:hint="default"/>
      </w:rPr>
    </w:lvl>
    <w:lvl w:ilvl="4" w:tplc="67DA88C4">
      <w:numFmt w:val="bullet"/>
      <w:lvlText w:val="•"/>
      <w:lvlJc w:val="left"/>
      <w:pPr>
        <w:ind w:left="5147" w:hanging="341"/>
      </w:pPr>
      <w:rPr>
        <w:rFonts w:hint="default"/>
      </w:rPr>
    </w:lvl>
    <w:lvl w:ilvl="5" w:tplc="5C220676">
      <w:numFmt w:val="bullet"/>
      <w:lvlText w:val="•"/>
      <w:lvlJc w:val="left"/>
      <w:pPr>
        <w:ind w:left="5933" w:hanging="341"/>
      </w:pPr>
      <w:rPr>
        <w:rFonts w:hint="default"/>
      </w:rPr>
    </w:lvl>
    <w:lvl w:ilvl="6" w:tplc="1E3C4BD6">
      <w:numFmt w:val="bullet"/>
      <w:lvlText w:val="•"/>
      <w:lvlJc w:val="left"/>
      <w:pPr>
        <w:ind w:left="6720" w:hanging="341"/>
      </w:pPr>
      <w:rPr>
        <w:rFonts w:hint="default"/>
      </w:rPr>
    </w:lvl>
    <w:lvl w:ilvl="7" w:tplc="BEC88B9E">
      <w:numFmt w:val="bullet"/>
      <w:lvlText w:val="•"/>
      <w:lvlJc w:val="left"/>
      <w:pPr>
        <w:ind w:left="7506" w:hanging="341"/>
      </w:pPr>
      <w:rPr>
        <w:rFonts w:hint="default"/>
      </w:rPr>
    </w:lvl>
    <w:lvl w:ilvl="8" w:tplc="B1B29696">
      <w:numFmt w:val="bullet"/>
      <w:lvlText w:val="•"/>
      <w:lvlJc w:val="left"/>
      <w:pPr>
        <w:ind w:left="8293" w:hanging="341"/>
      </w:pPr>
      <w:rPr>
        <w:rFonts w:hint="default"/>
      </w:rPr>
    </w:lvl>
  </w:abstractNum>
  <w:abstractNum w:abstractNumId="1" w15:restartNumberingAfterBreak="0">
    <w:nsid w:val="1DCB237C"/>
    <w:multiLevelType w:val="hybridMultilevel"/>
    <w:tmpl w:val="CB0E8624"/>
    <w:lvl w:ilvl="0" w:tplc="FFFFFFFF">
      <w:start w:val="1"/>
      <w:numFmt w:val="decimal"/>
      <w:pStyle w:val="SubmissionNormal"/>
      <w:lvlText w:val="%1."/>
      <w:lvlJc w:val="left"/>
      <w:pPr>
        <w:tabs>
          <w:tab w:val="num" w:pos="3240"/>
        </w:tabs>
        <w:ind w:left="324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297817C3"/>
    <w:multiLevelType w:val="multilevel"/>
    <w:tmpl w:val="F1889610"/>
    <w:lvl w:ilvl="0">
      <w:start w:val="1"/>
      <w:numFmt w:val="decimal"/>
      <w:pStyle w:val="Heading1"/>
      <w:lvlText w:val="%1"/>
      <w:lvlJc w:val="left"/>
      <w:pPr>
        <w:tabs>
          <w:tab w:val="num" w:pos="9781"/>
        </w:tabs>
        <w:ind w:left="9781" w:hanging="851"/>
      </w:pPr>
      <w:rPr>
        <w:rFonts w:cs="Times New Roman" w:hint="default"/>
      </w:rPr>
    </w:lvl>
    <w:lvl w:ilvl="1">
      <w:start w:val="1"/>
      <w:numFmt w:val="decimal"/>
      <w:pStyle w:val="Heading2"/>
      <w:lvlText w:val="%1.%2"/>
      <w:lvlJc w:val="left"/>
      <w:pPr>
        <w:tabs>
          <w:tab w:val="num" w:pos="851"/>
        </w:tabs>
        <w:ind w:left="851" w:hanging="851"/>
      </w:pPr>
      <w:rPr>
        <w:rFonts w:cs="Times New Roman" w:hint="default"/>
        <w:b/>
        <w:i w:val="0"/>
        <w:iCs/>
      </w:rPr>
    </w:lvl>
    <w:lvl w:ilvl="2">
      <w:start w:val="1"/>
      <w:numFmt w:val="lowerLetter"/>
      <w:pStyle w:val="Heading3"/>
      <w:lvlText w:val="(%3)"/>
      <w:lvlJc w:val="left"/>
      <w:pPr>
        <w:tabs>
          <w:tab w:val="num" w:pos="851"/>
        </w:tabs>
        <w:ind w:left="851" w:hanging="851"/>
      </w:pPr>
      <w:rPr>
        <w:rFonts w:ascii="Arial" w:hAnsi="Arial" w:cs="Times New Roman" w:hint="default"/>
        <w:b/>
        <w:bCs/>
        <w:i w:val="0"/>
        <w:iCs/>
        <w:sz w:val="24"/>
      </w:rPr>
    </w:lvl>
    <w:lvl w:ilvl="3">
      <w:start w:val="1"/>
      <w:numFmt w:val="lowerRoman"/>
      <w:pStyle w:val="Heading4"/>
      <w:lvlText w:val="(%4)"/>
      <w:lvlJc w:val="left"/>
      <w:pPr>
        <w:tabs>
          <w:tab w:val="num" w:pos="851"/>
        </w:tabs>
        <w:ind w:left="851" w:hanging="851"/>
      </w:pPr>
      <w:rPr>
        <w:rFonts w:cs="Times New Roman" w:hint="default"/>
        <w:b w:val="0"/>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74C74663"/>
    <w:multiLevelType w:val="hybridMultilevel"/>
    <w:tmpl w:val="4B742E6E"/>
    <w:lvl w:ilvl="0" w:tplc="1D3AB68C">
      <w:start w:val="1"/>
      <w:numFmt w:val="decimal"/>
      <w:lvlText w:val="%1."/>
      <w:lvlJc w:val="left"/>
      <w:pPr>
        <w:tabs>
          <w:tab w:val="num" w:pos="720"/>
        </w:tabs>
        <w:ind w:left="720" w:hanging="720"/>
      </w:pPr>
      <w:rPr>
        <w:rFonts w:cs="Times New Roman" w:hint="default"/>
        <w:b w:val="0"/>
        <w:i w:val="0"/>
        <w:sz w:val="24"/>
        <w:szCs w:val="24"/>
      </w:rPr>
    </w:lvl>
    <w:lvl w:ilvl="1" w:tplc="A3F2E37C">
      <w:start w:val="1"/>
      <w:numFmt w:val="bullet"/>
      <w:lvlText w:val=""/>
      <w:lvlJc w:val="left"/>
      <w:pPr>
        <w:tabs>
          <w:tab w:val="num" w:pos="1440"/>
        </w:tabs>
        <w:ind w:left="1440" w:hanging="360"/>
      </w:pPr>
      <w:rPr>
        <w:rFonts w:ascii="Symbol" w:hAnsi="Symbol" w:hint="default"/>
        <w:b w:val="0"/>
        <w:sz w:val="22"/>
        <w:szCs w:val="22"/>
      </w:rPr>
    </w:lvl>
    <w:lvl w:ilvl="2" w:tplc="0C09001B">
      <w:start w:val="1"/>
      <w:numFmt w:val="lowerRoman"/>
      <w:lvlText w:val="%3."/>
      <w:lvlJc w:val="right"/>
      <w:pPr>
        <w:tabs>
          <w:tab w:val="num" w:pos="2160"/>
        </w:tabs>
        <w:ind w:left="2160" w:hanging="180"/>
      </w:pPr>
      <w:rPr>
        <w:rFonts w:cs="Times New Roman"/>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A931E30"/>
    <w:multiLevelType w:val="hybridMultilevel"/>
    <w:tmpl w:val="79E8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71"/>
    <w:rsid w:val="000119BF"/>
    <w:rsid w:val="000512DE"/>
    <w:rsid w:val="00126285"/>
    <w:rsid w:val="002018CC"/>
    <w:rsid w:val="0046124F"/>
    <w:rsid w:val="006023A9"/>
    <w:rsid w:val="006B4D0F"/>
    <w:rsid w:val="00824071"/>
    <w:rsid w:val="00830DBD"/>
    <w:rsid w:val="008C240E"/>
    <w:rsid w:val="00A460AF"/>
    <w:rsid w:val="00AF0154"/>
    <w:rsid w:val="00B42491"/>
    <w:rsid w:val="00BE3572"/>
    <w:rsid w:val="00D031C8"/>
    <w:rsid w:val="00D9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69CC"/>
  <w15:chartTrackingRefBased/>
  <w15:docId w15:val="{F258E207-F8F7-4E46-98F8-38A6D1C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071"/>
  </w:style>
  <w:style w:type="paragraph" w:styleId="Heading1">
    <w:name w:val="heading 1"/>
    <w:basedOn w:val="Normal"/>
    <w:next w:val="Normal"/>
    <w:link w:val="Heading1Char"/>
    <w:qFormat/>
    <w:rsid w:val="00824071"/>
    <w:pPr>
      <w:keepNext/>
      <w:keepLines/>
      <w:numPr>
        <w:numId w:val="1"/>
      </w:numPr>
      <w:spacing w:before="360" w:after="0" w:line="240" w:lineRule="auto"/>
      <w:outlineLvl w:val="0"/>
    </w:pPr>
    <w:rPr>
      <w:rFonts w:ascii="Arial" w:eastAsia="Times New Roman" w:hAnsi="Arial" w:cs="Times New Roman"/>
      <w:b/>
      <w:bCs/>
      <w:spacing w:val="-5"/>
      <w:sz w:val="36"/>
      <w:szCs w:val="28"/>
    </w:rPr>
  </w:style>
  <w:style w:type="paragraph" w:styleId="Heading2">
    <w:name w:val="heading 2"/>
    <w:basedOn w:val="Heading1"/>
    <w:next w:val="Normal"/>
    <w:link w:val="Heading2Char"/>
    <w:qFormat/>
    <w:rsid w:val="00824071"/>
    <w:pPr>
      <w:numPr>
        <w:ilvl w:val="1"/>
      </w:numPr>
      <w:tabs>
        <w:tab w:val="clear" w:pos="851"/>
        <w:tab w:val="num" w:pos="1135"/>
      </w:tabs>
      <w:ind w:left="1135"/>
      <w:outlineLvl w:val="1"/>
    </w:pPr>
    <w:rPr>
      <w:rFonts w:ascii="Open Sans" w:hAnsi="Open Sans"/>
      <w:bCs w:val="0"/>
      <w:color w:val="000000"/>
      <w:sz w:val="28"/>
      <w:szCs w:val="26"/>
    </w:rPr>
  </w:style>
  <w:style w:type="paragraph" w:styleId="Heading3">
    <w:name w:val="heading 3"/>
    <w:basedOn w:val="Heading2"/>
    <w:next w:val="Normal"/>
    <w:link w:val="Heading3Char"/>
    <w:qFormat/>
    <w:rsid w:val="00824071"/>
    <w:pPr>
      <w:numPr>
        <w:ilvl w:val="2"/>
      </w:numPr>
      <w:outlineLvl w:val="2"/>
    </w:pPr>
    <w:rPr>
      <w:b w:val="0"/>
      <w:bCs/>
      <w:color w:val="auto"/>
      <w:sz w:val="24"/>
    </w:rPr>
  </w:style>
  <w:style w:type="paragraph" w:styleId="Heading4">
    <w:name w:val="heading 4"/>
    <w:basedOn w:val="Heading3"/>
    <w:next w:val="Normal"/>
    <w:link w:val="Heading4Char"/>
    <w:qFormat/>
    <w:rsid w:val="00824071"/>
    <w:pPr>
      <w:numPr>
        <w:ilvl w:val="3"/>
      </w:numPr>
      <w:outlineLvl w:val="3"/>
    </w:pPr>
    <w:rPr>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071"/>
    <w:rPr>
      <w:rFonts w:ascii="Arial" w:eastAsia="Times New Roman" w:hAnsi="Arial" w:cs="Times New Roman"/>
      <w:b/>
      <w:bCs/>
      <w:spacing w:val="-5"/>
      <w:sz w:val="36"/>
      <w:szCs w:val="28"/>
    </w:rPr>
  </w:style>
  <w:style w:type="character" w:customStyle="1" w:styleId="Heading2Char">
    <w:name w:val="Heading 2 Char"/>
    <w:basedOn w:val="DefaultParagraphFont"/>
    <w:link w:val="Heading2"/>
    <w:rsid w:val="00824071"/>
    <w:rPr>
      <w:rFonts w:ascii="Open Sans" w:eastAsia="Times New Roman" w:hAnsi="Open Sans" w:cs="Times New Roman"/>
      <w:b/>
      <w:color w:val="000000"/>
      <w:spacing w:val="-5"/>
      <w:sz w:val="28"/>
      <w:szCs w:val="26"/>
    </w:rPr>
  </w:style>
  <w:style w:type="character" w:customStyle="1" w:styleId="Heading3Char">
    <w:name w:val="Heading 3 Char"/>
    <w:basedOn w:val="DefaultParagraphFont"/>
    <w:link w:val="Heading3"/>
    <w:rsid w:val="00824071"/>
    <w:rPr>
      <w:rFonts w:ascii="Open Sans" w:eastAsia="Times New Roman" w:hAnsi="Open Sans" w:cs="Times New Roman"/>
      <w:bCs/>
      <w:spacing w:val="-5"/>
      <w:sz w:val="24"/>
      <w:szCs w:val="26"/>
    </w:rPr>
  </w:style>
  <w:style w:type="character" w:customStyle="1" w:styleId="Heading4Char">
    <w:name w:val="Heading 4 Char"/>
    <w:basedOn w:val="DefaultParagraphFont"/>
    <w:link w:val="Heading4"/>
    <w:rsid w:val="00824071"/>
    <w:rPr>
      <w:rFonts w:ascii="Open Sans" w:eastAsia="Times New Roman" w:hAnsi="Open Sans" w:cs="Times New Roman"/>
      <w:i/>
      <w:iCs/>
      <w:spacing w:val="-5"/>
      <w:sz w:val="24"/>
      <w:szCs w:val="26"/>
    </w:rPr>
  </w:style>
  <w:style w:type="paragraph" w:styleId="Footer">
    <w:name w:val="footer"/>
    <w:basedOn w:val="Normal"/>
    <w:link w:val="FooterChar"/>
    <w:uiPriority w:val="99"/>
    <w:rsid w:val="00824071"/>
    <w:pPr>
      <w:tabs>
        <w:tab w:val="center" w:pos="4513"/>
        <w:tab w:val="right" w:pos="9026"/>
      </w:tabs>
      <w:spacing w:after="0" w:line="240" w:lineRule="auto"/>
      <w:jc w:val="right"/>
    </w:pPr>
    <w:rPr>
      <w:rFonts w:ascii="Arial" w:eastAsia="Times New Roman" w:hAnsi="Arial" w:cs="Times New Roman"/>
      <w:spacing w:val="-5"/>
      <w:szCs w:val="20"/>
    </w:rPr>
  </w:style>
  <w:style w:type="character" w:customStyle="1" w:styleId="FooterChar">
    <w:name w:val="Footer Char"/>
    <w:basedOn w:val="DefaultParagraphFont"/>
    <w:link w:val="Footer"/>
    <w:uiPriority w:val="99"/>
    <w:rsid w:val="00824071"/>
    <w:rPr>
      <w:rFonts w:ascii="Arial" w:eastAsia="Times New Roman" w:hAnsi="Arial" w:cs="Times New Roman"/>
      <w:spacing w:val="-5"/>
      <w:szCs w:val="20"/>
    </w:rPr>
  </w:style>
  <w:style w:type="paragraph" w:styleId="TOC1">
    <w:name w:val="toc 1"/>
    <w:basedOn w:val="Normal"/>
    <w:next w:val="Normal"/>
    <w:autoRedefine/>
    <w:uiPriority w:val="39"/>
    <w:qFormat/>
    <w:rsid w:val="00824071"/>
    <w:pPr>
      <w:tabs>
        <w:tab w:val="right" w:leader="dot" w:pos="9060"/>
      </w:tabs>
      <w:spacing w:after="0" w:line="240" w:lineRule="auto"/>
      <w:ind w:left="720" w:hanging="720"/>
    </w:pPr>
    <w:rPr>
      <w:rFonts w:ascii="Arial" w:eastAsia="Times New Roman" w:hAnsi="Arial" w:cs="Times New Roman"/>
      <w:b/>
      <w:spacing w:val="-5"/>
      <w:sz w:val="24"/>
      <w:szCs w:val="20"/>
    </w:rPr>
  </w:style>
  <w:style w:type="paragraph" w:styleId="TOC2">
    <w:name w:val="toc 2"/>
    <w:basedOn w:val="Normal"/>
    <w:next w:val="Normal"/>
    <w:autoRedefine/>
    <w:uiPriority w:val="39"/>
    <w:qFormat/>
    <w:rsid w:val="00824071"/>
    <w:pPr>
      <w:spacing w:after="0" w:line="240" w:lineRule="auto"/>
      <w:ind w:left="958" w:hanging="720"/>
    </w:pPr>
    <w:rPr>
      <w:rFonts w:ascii="Arial" w:eastAsia="Times New Roman" w:hAnsi="Arial" w:cs="Times New Roman"/>
      <w:b/>
      <w:i/>
      <w:spacing w:val="-5"/>
      <w:sz w:val="24"/>
      <w:szCs w:val="20"/>
    </w:rPr>
  </w:style>
  <w:style w:type="character" w:styleId="Hyperlink">
    <w:name w:val="Hyperlink"/>
    <w:basedOn w:val="DefaultParagraphFont"/>
    <w:uiPriority w:val="99"/>
    <w:rsid w:val="00824071"/>
    <w:rPr>
      <w:rFonts w:cs="Times New Roman"/>
      <w:color w:val="0000FF"/>
      <w:u w:val="single"/>
    </w:rPr>
  </w:style>
  <w:style w:type="paragraph" w:styleId="TOCHeading">
    <w:name w:val="TOC Heading"/>
    <w:basedOn w:val="Normal"/>
    <w:next w:val="Normal"/>
    <w:uiPriority w:val="39"/>
    <w:qFormat/>
    <w:rsid w:val="00824071"/>
    <w:pPr>
      <w:spacing w:after="0" w:line="240" w:lineRule="auto"/>
    </w:pPr>
    <w:rPr>
      <w:rFonts w:ascii="Arial" w:eastAsia="Times New Roman" w:hAnsi="Arial" w:cs="Times New Roman"/>
      <w:b/>
      <w:spacing w:val="-5"/>
      <w:sz w:val="28"/>
      <w:szCs w:val="20"/>
      <w:lang w:val="en-US"/>
    </w:rPr>
  </w:style>
  <w:style w:type="paragraph" w:styleId="EndnoteText">
    <w:name w:val="endnote text"/>
    <w:basedOn w:val="Normal"/>
    <w:link w:val="EndnoteTextChar"/>
    <w:qFormat/>
    <w:rsid w:val="00824071"/>
    <w:pPr>
      <w:spacing w:after="0" w:line="240" w:lineRule="auto"/>
    </w:pPr>
    <w:rPr>
      <w:rFonts w:ascii="Arial" w:eastAsia="Times New Roman" w:hAnsi="Arial" w:cs="Times New Roman"/>
      <w:spacing w:val="-5"/>
      <w:sz w:val="24"/>
      <w:szCs w:val="20"/>
    </w:rPr>
  </w:style>
  <w:style w:type="character" w:customStyle="1" w:styleId="EndnoteTextChar">
    <w:name w:val="Endnote Text Char"/>
    <w:basedOn w:val="DefaultParagraphFont"/>
    <w:link w:val="EndnoteText"/>
    <w:rsid w:val="00824071"/>
    <w:rPr>
      <w:rFonts w:ascii="Arial" w:eastAsia="Times New Roman" w:hAnsi="Arial" w:cs="Times New Roman"/>
      <w:spacing w:val="-5"/>
      <w:sz w:val="24"/>
      <w:szCs w:val="20"/>
    </w:rPr>
  </w:style>
  <w:style w:type="character" w:styleId="EndnoteReference">
    <w:name w:val="endnote reference"/>
    <w:aliases w:val="QUOTE"/>
    <w:basedOn w:val="DefaultParagraphFont"/>
    <w:qFormat/>
    <w:rsid w:val="00824071"/>
    <w:rPr>
      <w:rFonts w:ascii="Arial" w:hAnsi="Arial" w:cs="Times New Roman"/>
      <w:sz w:val="20"/>
      <w:vertAlign w:val="superscript"/>
    </w:rPr>
  </w:style>
  <w:style w:type="character" w:styleId="PageNumber">
    <w:name w:val="page number"/>
    <w:basedOn w:val="DefaultParagraphFont"/>
    <w:rsid w:val="00824071"/>
    <w:rPr>
      <w:rFonts w:cs="Times New Roman"/>
    </w:rPr>
  </w:style>
  <w:style w:type="paragraph" w:customStyle="1" w:styleId="SubmissionNormal">
    <w:name w:val="Submission Normal"/>
    <w:aliases w:val="No Spacing,No Spacing1,No Spacing11,No Spacing111"/>
    <w:basedOn w:val="Normal"/>
    <w:link w:val="SubmissionNormalChar"/>
    <w:qFormat/>
    <w:rsid w:val="00824071"/>
    <w:pPr>
      <w:numPr>
        <w:numId w:val="2"/>
      </w:numPr>
      <w:spacing w:before="240" w:after="240" w:line="240" w:lineRule="auto"/>
    </w:pPr>
    <w:rPr>
      <w:rFonts w:ascii="Arial" w:eastAsia="Times New Roman" w:hAnsi="Arial" w:cs="Times New Roman"/>
      <w:sz w:val="24"/>
      <w:szCs w:val="24"/>
      <w:lang w:eastAsia="en-AU"/>
    </w:rPr>
  </w:style>
  <w:style w:type="character" w:customStyle="1" w:styleId="SubmissionNormalChar">
    <w:name w:val="Submission Normal Char"/>
    <w:aliases w:val="No Spacing Char,No Spacing1 Char"/>
    <w:basedOn w:val="DefaultParagraphFont"/>
    <w:link w:val="SubmissionNormal"/>
    <w:locked/>
    <w:rsid w:val="00824071"/>
    <w:rPr>
      <w:rFonts w:ascii="Arial" w:eastAsia="Times New Roman" w:hAnsi="Arial" w:cs="Times New Roman"/>
      <w:sz w:val="24"/>
      <w:szCs w:val="24"/>
      <w:lang w:eastAsia="en-AU"/>
    </w:rPr>
  </w:style>
  <w:style w:type="paragraph" w:styleId="ListParagraph">
    <w:name w:val="List Paragraph"/>
    <w:basedOn w:val="Normal"/>
    <w:uiPriority w:val="1"/>
    <w:qFormat/>
    <w:rsid w:val="00824071"/>
    <w:pPr>
      <w:spacing w:after="0" w:line="240" w:lineRule="auto"/>
      <w:ind w:left="720"/>
      <w:contextualSpacing/>
    </w:pPr>
    <w:rPr>
      <w:rFonts w:ascii="Arial" w:eastAsia="Times New Roman" w:hAnsi="Arial" w:cs="Times New Roman"/>
      <w:spacing w:val="-5"/>
      <w:sz w:val="24"/>
      <w:szCs w:val="20"/>
    </w:rPr>
  </w:style>
  <w:style w:type="paragraph" w:styleId="TOC7">
    <w:name w:val="toc 7"/>
    <w:basedOn w:val="Normal"/>
    <w:next w:val="Normal"/>
    <w:autoRedefine/>
    <w:uiPriority w:val="39"/>
    <w:unhideWhenUsed/>
    <w:rsid w:val="00824071"/>
    <w:pPr>
      <w:spacing w:after="100" w:line="240" w:lineRule="auto"/>
    </w:pPr>
    <w:rPr>
      <w:rFonts w:ascii="Arial" w:eastAsia="Times New Roman" w:hAnsi="Arial" w:cs="Times New Roman"/>
      <w:spacing w:val="-5"/>
      <w:sz w:val="24"/>
      <w:szCs w:val="20"/>
    </w:rPr>
  </w:style>
  <w:style w:type="paragraph" w:styleId="Subtitle">
    <w:name w:val="Subtitle"/>
    <w:basedOn w:val="Normal"/>
    <w:link w:val="SubtitleChar"/>
    <w:qFormat/>
    <w:rsid w:val="00824071"/>
    <w:pPr>
      <w:spacing w:before="40" w:after="0" w:line="240" w:lineRule="auto"/>
      <w:jc w:val="right"/>
      <w:outlineLvl w:val="1"/>
    </w:pPr>
    <w:rPr>
      <w:rFonts w:ascii="Arial" w:eastAsia="MS Mincho" w:hAnsi="Arial" w:cs="Arial"/>
      <w:b/>
      <w:caps/>
      <w:sz w:val="26"/>
      <w:szCs w:val="24"/>
      <w:lang w:eastAsia="en-AU"/>
    </w:rPr>
  </w:style>
  <w:style w:type="character" w:customStyle="1" w:styleId="SubtitleChar">
    <w:name w:val="Subtitle Char"/>
    <w:basedOn w:val="DefaultParagraphFont"/>
    <w:link w:val="Subtitle"/>
    <w:rsid w:val="00824071"/>
    <w:rPr>
      <w:rFonts w:ascii="Arial" w:eastAsia="MS Mincho" w:hAnsi="Arial" w:cs="Arial"/>
      <w:b/>
      <w:caps/>
      <w:sz w:val="26"/>
      <w:szCs w:val="24"/>
      <w:lang w:eastAsia="en-AU"/>
    </w:rPr>
  </w:style>
  <w:style w:type="paragraph" w:styleId="Date">
    <w:name w:val="Date"/>
    <w:basedOn w:val="Normal"/>
    <w:next w:val="Normal"/>
    <w:link w:val="DateChar"/>
    <w:semiHidden/>
    <w:rsid w:val="00824071"/>
    <w:pPr>
      <w:spacing w:before="120" w:after="120" w:line="240" w:lineRule="auto"/>
      <w:jc w:val="right"/>
    </w:pPr>
    <w:rPr>
      <w:rFonts w:ascii="Arial" w:eastAsia="MS Mincho" w:hAnsi="Arial" w:cs="Times New Roman"/>
      <w:color w:val="595959"/>
      <w:sz w:val="26"/>
      <w:szCs w:val="24"/>
      <w:lang w:eastAsia="en-AU"/>
    </w:rPr>
  </w:style>
  <w:style w:type="character" w:customStyle="1" w:styleId="DateChar">
    <w:name w:val="Date Char"/>
    <w:basedOn w:val="DefaultParagraphFont"/>
    <w:link w:val="Date"/>
    <w:semiHidden/>
    <w:rsid w:val="00824071"/>
    <w:rPr>
      <w:rFonts w:ascii="Arial" w:eastAsia="MS Mincho" w:hAnsi="Arial" w:cs="Times New Roman"/>
      <w:color w:val="595959"/>
      <w:sz w:val="26"/>
      <w:szCs w:val="24"/>
      <w:lang w:eastAsia="en-AU"/>
    </w:rPr>
  </w:style>
  <w:style w:type="paragraph" w:styleId="BalloonText">
    <w:name w:val="Balloon Text"/>
    <w:basedOn w:val="Normal"/>
    <w:link w:val="BalloonTextChar"/>
    <w:uiPriority w:val="99"/>
    <w:semiHidden/>
    <w:unhideWhenUsed/>
    <w:rsid w:val="00830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DBD"/>
    <w:rPr>
      <w:rFonts w:ascii="Segoe UI" w:hAnsi="Segoe UI" w:cs="Segoe UI"/>
      <w:sz w:val="18"/>
      <w:szCs w:val="18"/>
    </w:rPr>
  </w:style>
  <w:style w:type="character" w:styleId="CommentReference">
    <w:name w:val="annotation reference"/>
    <w:basedOn w:val="DefaultParagraphFont"/>
    <w:uiPriority w:val="99"/>
    <w:semiHidden/>
    <w:unhideWhenUsed/>
    <w:rsid w:val="00126285"/>
    <w:rPr>
      <w:sz w:val="16"/>
      <w:szCs w:val="16"/>
    </w:rPr>
  </w:style>
  <w:style w:type="paragraph" w:styleId="CommentText">
    <w:name w:val="annotation text"/>
    <w:basedOn w:val="Normal"/>
    <w:link w:val="CommentTextChar"/>
    <w:uiPriority w:val="99"/>
    <w:semiHidden/>
    <w:unhideWhenUsed/>
    <w:rsid w:val="00126285"/>
    <w:pPr>
      <w:spacing w:line="240" w:lineRule="auto"/>
    </w:pPr>
    <w:rPr>
      <w:sz w:val="20"/>
      <w:szCs w:val="20"/>
    </w:rPr>
  </w:style>
  <w:style w:type="character" w:customStyle="1" w:styleId="CommentTextChar">
    <w:name w:val="Comment Text Char"/>
    <w:basedOn w:val="DefaultParagraphFont"/>
    <w:link w:val="CommentText"/>
    <w:uiPriority w:val="99"/>
    <w:semiHidden/>
    <w:rsid w:val="00126285"/>
    <w:rPr>
      <w:sz w:val="20"/>
      <w:szCs w:val="20"/>
    </w:rPr>
  </w:style>
  <w:style w:type="paragraph" w:styleId="CommentSubject">
    <w:name w:val="annotation subject"/>
    <w:basedOn w:val="CommentText"/>
    <w:next w:val="CommentText"/>
    <w:link w:val="CommentSubjectChar"/>
    <w:uiPriority w:val="99"/>
    <w:semiHidden/>
    <w:unhideWhenUsed/>
    <w:rsid w:val="00126285"/>
    <w:rPr>
      <w:b/>
      <w:bCs/>
    </w:rPr>
  </w:style>
  <w:style w:type="character" w:customStyle="1" w:styleId="CommentSubjectChar">
    <w:name w:val="Comment Subject Char"/>
    <w:basedOn w:val="CommentTextChar"/>
    <w:link w:val="CommentSubject"/>
    <w:uiPriority w:val="99"/>
    <w:semiHidden/>
    <w:rsid w:val="00126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7043</Words>
  <Characters>35853</Characters>
  <Application>Microsoft Office Word</Application>
  <DocSecurity>0</DocSecurity>
  <Lines>746</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Xu</dc:creator>
  <cp:keywords/>
  <dc:description/>
  <cp:lastModifiedBy>Melissa De Abreu</cp:lastModifiedBy>
  <cp:revision>3</cp:revision>
  <dcterms:created xsi:type="dcterms:W3CDTF">2020-12-15T02:50:00Z</dcterms:created>
  <dcterms:modified xsi:type="dcterms:W3CDTF">2020-12-15T02:52:00Z</dcterms:modified>
</cp:coreProperties>
</file>