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4035D" w14:textId="73C74AA6" w:rsidR="00A355F9" w:rsidRDefault="7A933547" w:rsidP="00A355F9">
      <w:pPr>
        <w:pStyle w:val="MainTitle"/>
      </w:pPr>
      <w:r>
        <w:t xml:space="preserve">  </w:t>
      </w:r>
      <w:r w:rsidR="00A355F9">
        <w:t>N</w:t>
      </w:r>
      <w:r w:rsidR="00EE1DDE">
        <w:t>ext Steps</w:t>
      </w:r>
    </w:p>
    <w:p w14:paraId="3F51FB13" w14:textId="776690D0" w:rsidR="00A355F9" w:rsidRDefault="00EE1DDE" w:rsidP="00A355F9">
      <w:pPr>
        <w:pStyle w:val="MainTitle"/>
      </w:pPr>
      <w:r>
        <w:t>in Supported Employment:</w:t>
      </w:r>
    </w:p>
    <w:p w14:paraId="4719DE25" w14:textId="5EF73D33" w:rsidR="00A355F9" w:rsidRDefault="00EE1DDE" w:rsidP="00A355F9">
      <w:pPr>
        <w:pStyle w:val="MainTitle"/>
      </w:pPr>
      <w:r>
        <w:t>Consultation on the way forward</w:t>
      </w:r>
    </w:p>
    <w:p w14:paraId="466C0DE7" w14:textId="77777777" w:rsidR="00817C73" w:rsidRDefault="00817C73" w:rsidP="00817C73">
      <w:pPr>
        <w:pStyle w:val="Subtitle"/>
      </w:pPr>
      <w:bookmarkStart w:id="0" w:name="_Toc515873204"/>
      <w:bookmarkStart w:id="1" w:name="_Toc198117079"/>
      <w:bookmarkStart w:id="2" w:name="_Toc198117200"/>
      <w:bookmarkStart w:id="3" w:name="_Toc199235018"/>
      <w:bookmarkStart w:id="4" w:name="_Toc199520784"/>
      <w:bookmarkStart w:id="5" w:name="_Toc199520829"/>
      <w:bookmarkStart w:id="6" w:name="_Toc199834444"/>
      <w:bookmarkStart w:id="7" w:name="_Toc199972364"/>
      <w:bookmarkStart w:id="8" w:name="_Toc200468674"/>
      <w:bookmarkStart w:id="9" w:name="_Toc200558552"/>
      <w:bookmarkStart w:id="10" w:name="_Toc200740418"/>
      <w:bookmarkStart w:id="11" w:name="_Toc201164166"/>
      <w:bookmarkStart w:id="12" w:name="_Toc201935338"/>
      <w:bookmarkStart w:id="13" w:name="_Toc202436633"/>
      <w:bookmarkStart w:id="14" w:name="_Toc202518614"/>
      <w:r>
        <w:t>Australian Human Rights Commission</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p w14:paraId="3A5E364D" w14:textId="6F4ED816" w:rsidR="00817C73" w:rsidRDefault="00817C73" w:rsidP="00817C73">
      <w:pPr>
        <w:pStyle w:val="Subtitle"/>
      </w:pPr>
      <w:bookmarkStart w:id="15" w:name="_Toc515873205"/>
      <w:bookmarkStart w:id="16" w:name="_Toc198117080"/>
      <w:bookmarkStart w:id="17" w:name="_Toc198117201"/>
      <w:bookmarkStart w:id="18" w:name="_Toc199235019"/>
      <w:bookmarkStart w:id="19" w:name="_Toc199520785"/>
      <w:bookmarkStart w:id="20" w:name="_Toc199520830"/>
      <w:bookmarkStart w:id="21" w:name="_Toc199834445"/>
      <w:bookmarkStart w:id="22" w:name="_Toc199972365"/>
      <w:bookmarkStart w:id="23" w:name="_Toc200468675"/>
      <w:bookmarkStart w:id="24" w:name="_Toc200558553"/>
      <w:bookmarkStart w:id="25" w:name="_Toc200740419"/>
      <w:bookmarkStart w:id="26" w:name="_Toc201164167"/>
      <w:bookmarkStart w:id="27" w:name="_Toc201935339"/>
      <w:bookmarkStart w:id="28" w:name="_Toc202436634"/>
      <w:bookmarkStart w:id="29" w:name="_Toc202518615"/>
      <w:r>
        <w:t xml:space="preserve">Submission to </w:t>
      </w:r>
      <w:bookmarkEnd w:id="15"/>
      <w:r w:rsidR="00EE1DDE">
        <w:t>Department of Social Services</w:t>
      </w:r>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4B560A94" w14:textId="677F6511" w:rsidR="00F220A5" w:rsidRPr="00817C73" w:rsidRDefault="00E36E11" w:rsidP="00F220A5">
      <w:pPr>
        <w:pStyle w:val="Date"/>
      </w:pPr>
      <w:r w:rsidRPr="00E36E11">
        <w:t>0</w:t>
      </w:r>
      <w:r w:rsidR="00F77579">
        <w:t>4</w:t>
      </w:r>
      <w:r w:rsidRPr="00E36E11">
        <w:t xml:space="preserve"> July 2025</w:t>
      </w:r>
    </w:p>
    <w:p w14:paraId="3EE0AB1B" w14:textId="77777777" w:rsidR="00AC636D" w:rsidRDefault="00AC636D" w:rsidP="00AC636D"/>
    <w:p w14:paraId="4C10EE65" w14:textId="77777777" w:rsidR="009E4BD0" w:rsidRPr="00AC636D" w:rsidRDefault="009E4BD0" w:rsidP="00AC636D">
      <w:pPr>
        <w:sectPr w:rsidR="009E4BD0" w:rsidRPr="00AC636D" w:rsidSect="00AC636D">
          <w:headerReference w:type="even" r:id="rId14"/>
          <w:headerReference w:type="default" r:id="rId15"/>
          <w:headerReference w:type="first" r:id="rId16"/>
          <w:footerReference w:type="first" r:id="rId17"/>
          <w:type w:val="continuous"/>
          <w:pgSz w:w="11906" w:h="16838" w:code="9"/>
          <w:pgMar w:top="228" w:right="1700" w:bottom="1134" w:left="1418" w:header="277" w:footer="1361" w:gutter="0"/>
          <w:pgNumType w:start="2"/>
          <w:cols w:space="708"/>
          <w:titlePg/>
          <w:docGrid w:linePitch="360"/>
        </w:sectPr>
      </w:pPr>
    </w:p>
    <w:bookmarkStart w:id="30" w:name="_Toc209316062" w:displacedByCustomXml="next"/>
    <w:bookmarkEnd w:id="30" w:displacedByCustomXml="next"/>
    <w:bookmarkStart w:id="31" w:name="_Toc198117202" w:displacedByCustomXml="next"/>
    <w:bookmarkStart w:id="32" w:name="_Toc209941766" w:displacedByCustomXml="next"/>
    <w:bookmarkStart w:id="33" w:name="_Toc209578266" w:displacedByCustomXml="next"/>
    <w:bookmarkStart w:id="34" w:name="_Toc207761830" w:displacedByCustomXml="next"/>
    <w:sdt>
      <w:sdtPr>
        <w:rPr>
          <w:b w:val="0"/>
          <w:i w:val="0"/>
          <w:noProof w:val="0"/>
        </w:rPr>
        <w:id w:val="1754167417"/>
        <w:docPartObj>
          <w:docPartGallery w:val="Table of Contents"/>
          <w:docPartUnique/>
        </w:docPartObj>
      </w:sdtPr>
      <w:sdtEndPr>
        <w:rPr>
          <w:bCs/>
          <w:noProof/>
        </w:rPr>
      </w:sdtEndPr>
      <w:sdtContent>
        <w:p w14:paraId="33E84EB6" w14:textId="77777777" w:rsidR="001F37A4" w:rsidRDefault="00CB7EF0" w:rsidP="00EF1573">
          <w:pPr>
            <w:pStyle w:val="TOC2"/>
          </w:pPr>
          <w:r w:rsidRPr="00EF1573">
            <w:rPr>
              <w:i w:val="0"/>
              <w:iCs/>
            </w:rPr>
            <w:t>Contents</w:t>
          </w:r>
          <w:r>
            <w:rPr>
              <w:i w:val="0"/>
              <w:iCs/>
              <w:noProof w:val="0"/>
              <w:lang w:val="en-US" w:eastAsia="en-US"/>
            </w:rPr>
            <w:fldChar w:fldCharType="begin"/>
          </w:r>
          <w:r w:rsidRPr="00EF1573">
            <w:rPr>
              <w:i w:val="0"/>
              <w:iCs/>
            </w:rPr>
            <w:instrText xml:space="preserve"> TOC \o "1-3" \h \z \u </w:instrText>
          </w:r>
          <w:r>
            <w:rPr>
              <w:i w:val="0"/>
              <w:iCs/>
              <w:noProof w:val="0"/>
              <w:lang w:val="en-US" w:eastAsia="en-US"/>
            </w:rPr>
            <w:fldChar w:fldCharType="separate"/>
          </w:r>
        </w:p>
        <w:p w14:paraId="08618921" w14:textId="4EEBF280" w:rsidR="001F37A4" w:rsidRDefault="001F37A4">
          <w:pPr>
            <w:pStyle w:val="TOC1"/>
            <w:rPr>
              <w:rFonts w:asciiTheme="minorHAnsi" w:eastAsiaTheme="minorEastAsia" w:hAnsiTheme="minorHAnsi" w:cstheme="minorBidi"/>
              <w:b w:val="0"/>
              <w:kern w:val="2"/>
              <w14:ligatures w14:val="standardContextual"/>
            </w:rPr>
          </w:pPr>
          <w:hyperlink w:anchor="_Toc202518616" w:history="1">
            <w:r w:rsidRPr="00804894">
              <w:rPr>
                <w:rStyle w:val="Hyperlink"/>
              </w:rPr>
              <w:t>1</w:t>
            </w:r>
            <w:r>
              <w:rPr>
                <w:rFonts w:asciiTheme="minorHAnsi" w:eastAsiaTheme="minorEastAsia" w:hAnsiTheme="minorHAnsi" w:cstheme="minorBidi"/>
                <w:b w:val="0"/>
                <w:kern w:val="2"/>
                <w14:ligatures w14:val="standardContextual"/>
              </w:rPr>
              <w:tab/>
            </w:r>
            <w:r w:rsidRPr="00804894">
              <w:rPr>
                <w:rStyle w:val="Hyperlink"/>
              </w:rPr>
              <w:t>Introduction</w:t>
            </w:r>
            <w:r>
              <w:rPr>
                <w:webHidden/>
              </w:rPr>
              <w:tab/>
            </w:r>
            <w:r>
              <w:rPr>
                <w:webHidden/>
              </w:rPr>
              <w:fldChar w:fldCharType="begin"/>
            </w:r>
            <w:r>
              <w:rPr>
                <w:webHidden/>
              </w:rPr>
              <w:instrText xml:space="preserve"> PAGEREF _Toc202518616 \h </w:instrText>
            </w:r>
            <w:r>
              <w:rPr>
                <w:webHidden/>
              </w:rPr>
            </w:r>
            <w:r>
              <w:rPr>
                <w:webHidden/>
              </w:rPr>
              <w:fldChar w:fldCharType="separate"/>
            </w:r>
            <w:r w:rsidR="00E64544">
              <w:rPr>
                <w:webHidden/>
              </w:rPr>
              <w:t>3</w:t>
            </w:r>
            <w:r>
              <w:rPr>
                <w:webHidden/>
              </w:rPr>
              <w:fldChar w:fldCharType="end"/>
            </w:r>
          </w:hyperlink>
        </w:p>
        <w:p w14:paraId="20D679FA" w14:textId="77AE3511" w:rsidR="001F37A4" w:rsidRPr="001F37A4" w:rsidRDefault="001F37A4">
          <w:pPr>
            <w:pStyle w:val="TOC2"/>
            <w:rPr>
              <w:rFonts w:asciiTheme="minorHAnsi" w:eastAsiaTheme="minorEastAsia" w:hAnsiTheme="minorHAnsi" w:cstheme="minorBidi"/>
              <w:b w:val="0"/>
              <w:bCs/>
              <w:i w:val="0"/>
              <w:iCs/>
              <w:kern w:val="2"/>
              <w14:ligatures w14:val="standardContextual"/>
            </w:rPr>
          </w:pPr>
          <w:hyperlink w:anchor="_Toc202518617" w:history="1">
            <w:r w:rsidRPr="001F37A4">
              <w:rPr>
                <w:rStyle w:val="Hyperlink"/>
                <w:b w:val="0"/>
                <w:bCs/>
                <w:i w:val="0"/>
                <w:iCs/>
              </w:rPr>
              <w:t>1.1</w:t>
            </w:r>
            <w:r w:rsidRPr="001F37A4">
              <w:rPr>
                <w:rFonts w:asciiTheme="minorHAnsi" w:eastAsiaTheme="minorEastAsia" w:hAnsiTheme="minorHAnsi" w:cstheme="minorBidi"/>
                <w:b w:val="0"/>
                <w:bCs/>
                <w:i w:val="0"/>
                <w:iCs/>
                <w:kern w:val="2"/>
                <w14:ligatures w14:val="standardContextual"/>
              </w:rPr>
              <w:tab/>
            </w:r>
            <w:r w:rsidRPr="001F37A4">
              <w:rPr>
                <w:rStyle w:val="Hyperlink"/>
                <w:b w:val="0"/>
                <w:bCs/>
                <w:i w:val="0"/>
                <w:iCs/>
              </w:rPr>
              <w:t>The role of the Australian Human Rights Commission</w:t>
            </w:r>
            <w:r w:rsidRPr="001F37A4">
              <w:rPr>
                <w:b w:val="0"/>
                <w:bCs/>
                <w:i w:val="0"/>
                <w:iCs/>
                <w:webHidden/>
              </w:rPr>
              <w:tab/>
            </w:r>
            <w:r w:rsidRPr="001F37A4">
              <w:rPr>
                <w:b w:val="0"/>
                <w:bCs/>
                <w:i w:val="0"/>
                <w:iCs/>
                <w:webHidden/>
              </w:rPr>
              <w:fldChar w:fldCharType="begin"/>
            </w:r>
            <w:r w:rsidRPr="001F37A4">
              <w:rPr>
                <w:b w:val="0"/>
                <w:bCs/>
                <w:i w:val="0"/>
                <w:iCs/>
                <w:webHidden/>
              </w:rPr>
              <w:instrText xml:space="preserve"> PAGEREF _Toc202518617 \h </w:instrText>
            </w:r>
            <w:r w:rsidRPr="001F37A4">
              <w:rPr>
                <w:b w:val="0"/>
                <w:bCs/>
                <w:i w:val="0"/>
                <w:iCs/>
                <w:webHidden/>
              </w:rPr>
            </w:r>
            <w:r w:rsidRPr="001F37A4">
              <w:rPr>
                <w:b w:val="0"/>
                <w:bCs/>
                <w:i w:val="0"/>
                <w:iCs/>
                <w:webHidden/>
              </w:rPr>
              <w:fldChar w:fldCharType="separate"/>
            </w:r>
            <w:r w:rsidR="00E64544">
              <w:rPr>
                <w:b w:val="0"/>
                <w:bCs/>
                <w:i w:val="0"/>
                <w:iCs/>
                <w:webHidden/>
              </w:rPr>
              <w:t>3</w:t>
            </w:r>
            <w:r w:rsidRPr="001F37A4">
              <w:rPr>
                <w:b w:val="0"/>
                <w:bCs/>
                <w:i w:val="0"/>
                <w:iCs/>
                <w:webHidden/>
              </w:rPr>
              <w:fldChar w:fldCharType="end"/>
            </w:r>
          </w:hyperlink>
        </w:p>
        <w:p w14:paraId="5F122E21" w14:textId="5C2A4E29" w:rsidR="001F37A4" w:rsidRPr="001F37A4" w:rsidRDefault="001F37A4">
          <w:pPr>
            <w:pStyle w:val="TOC2"/>
            <w:rPr>
              <w:rFonts w:asciiTheme="minorHAnsi" w:eastAsiaTheme="minorEastAsia" w:hAnsiTheme="minorHAnsi" w:cstheme="minorBidi"/>
              <w:b w:val="0"/>
              <w:bCs/>
              <w:i w:val="0"/>
              <w:iCs/>
              <w:kern w:val="2"/>
              <w14:ligatures w14:val="standardContextual"/>
            </w:rPr>
          </w:pPr>
          <w:hyperlink w:anchor="_Toc202518618" w:history="1">
            <w:r w:rsidRPr="001F37A4">
              <w:rPr>
                <w:rStyle w:val="Hyperlink"/>
                <w:b w:val="0"/>
                <w:bCs/>
                <w:i w:val="0"/>
                <w:iCs/>
              </w:rPr>
              <w:t>1.2</w:t>
            </w:r>
            <w:r w:rsidRPr="001F37A4">
              <w:rPr>
                <w:rFonts w:asciiTheme="minorHAnsi" w:eastAsiaTheme="minorEastAsia" w:hAnsiTheme="minorHAnsi" w:cstheme="minorBidi"/>
                <w:b w:val="0"/>
                <w:bCs/>
                <w:i w:val="0"/>
                <w:iCs/>
                <w:kern w:val="2"/>
                <w14:ligatures w14:val="standardContextual"/>
              </w:rPr>
              <w:tab/>
            </w:r>
            <w:r w:rsidRPr="001F37A4">
              <w:rPr>
                <w:rStyle w:val="Hyperlink"/>
                <w:b w:val="0"/>
                <w:bCs/>
                <w:i w:val="0"/>
                <w:iCs/>
              </w:rPr>
              <w:t>Note on terminology</w:t>
            </w:r>
            <w:r w:rsidRPr="001F37A4">
              <w:rPr>
                <w:b w:val="0"/>
                <w:bCs/>
                <w:i w:val="0"/>
                <w:iCs/>
                <w:webHidden/>
              </w:rPr>
              <w:tab/>
            </w:r>
            <w:r w:rsidRPr="001F37A4">
              <w:rPr>
                <w:b w:val="0"/>
                <w:bCs/>
                <w:i w:val="0"/>
                <w:iCs/>
                <w:webHidden/>
              </w:rPr>
              <w:fldChar w:fldCharType="begin"/>
            </w:r>
            <w:r w:rsidRPr="001F37A4">
              <w:rPr>
                <w:b w:val="0"/>
                <w:bCs/>
                <w:i w:val="0"/>
                <w:iCs/>
                <w:webHidden/>
              </w:rPr>
              <w:instrText xml:space="preserve"> PAGEREF _Toc202518618 \h </w:instrText>
            </w:r>
            <w:r w:rsidRPr="001F37A4">
              <w:rPr>
                <w:b w:val="0"/>
                <w:bCs/>
                <w:i w:val="0"/>
                <w:iCs/>
                <w:webHidden/>
              </w:rPr>
            </w:r>
            <w:r w:rsidRPr="001F37A4">
              <w:rPr>
                <w:b w:val="0"/>
                <w:bCs/>
                <w:i w:val="0"/>
                <w:iCs/>
                <w:webHidden/>
              </w:rPr>
              <w:fldChar w:fldCharType="separate"/>
            </w:r>
            <w:r w:rsidR="00E64544">
              <w:rPr>
                <w:b w:val="0"/>
                <w:bCs/>
                <w:i w:val="0"/>
                <w:iCs/>
                <w:webHidden/>
              </w:rPr>
              <w:t>4</w:t>
            </w:r>
            <w:r w:rsidRPr="001F37A4">
              <w:rPr>
                <w:b w:val="0"/>
                <w:bCs/>
                <w:i w:val="0"/>
                <w:iCs/>
                <w:webHidden/>
              </w:rPr>
              <w:fldChar w:fldCharType="end"/>
            </w:r>
          </w:hyperlink>
        </w:p>
        <w:p w14:paraId="57809EAC" w14:textId="12254D35" w:rsidR="001F37A4" w:rsidRDefault="001F37A4">
          <w:pPr>
            <w:pStyle w:val="TOC1"/>
            <w:rPr>
              <w:rFonts w:asciiTheme="minorHAnsi" w:eastAsiaTheme="minorEastAsia" w:hAnsiTheme="minorHAnsi" w:cstheme="minorBidi"/>
              <w:b w:val="0"/>
              <w:kern w:val="2"/>
              <w14:ligatures w14:val="standardContextual"/>
            </w:rPr>
          </w:pPr>
          <w:hyperlink w:anchor="_Toc202518619" w:history="1">
            <w:r w:rsidRPr="00804894">
              <w:rPr>
                <w:rStyle w:val="Hyperlink"/>
              </w:rPr>
              <w:t>2</w:t>
            </w:r>
            <w:r>
              <w:rPr>
                <w:rFonts w:asciiTheme="minorHAnsi" w:eastAsiaTheme="minorEastAsia" w:hAnsiTheme="minorHAnsi" w:cstheme="minorBidi"/>
                <w:b w:val="0"/>
                <w:kern w:val="2"/>
                <w14:ligatures w14:val="standardContextual"/>
              </w:rPr>
              <w:tab/>
            </w:r>
            <w:r w:rsidRPr="00804894">
              <w:rPr>
                <w:rStyle w:val="Hyperlink"/>
              </w:rPr>
              <w:t>Recommendations</w:t>
            </w:r>
            <w:r>
              <w:rPr>
                <w:webHidden/>
              </w:rPr>
              <w:tab/>
            </w:r>
            <w:r>
              <w:rPr>
                <w:webHidden/>
              </w:rPr>
              <w:fldChar w:fldCharType="begin"/>
            </w:r>
            <w:r>
              <w:rPr>
                <w:webHidden/>
              </w:rPr>
              <w:instrText xml:space="preserve"> PAGEREF _Toc202518619 \h </w:instrText>
            </w:r>
            <w:r>
              <w:rPr>
                <w:webHidden/>
              </w:rPr>
            </w:r>
            <w:r>
              <w:rPr>
                <w:webHidden/>
              </w:rPr>
              <w:fldChar w:fldCharType="separate"/>
            </w:r>
            <w:r w:rsidR="00E64544">
              <w:rPr>
                <w:webHidden/>
              </w:rPr>
              <w:t>4</w:t>
            </w:r>
            <w:r>
              <w:rPr>
                <w:webHidden/>
              </w:rPr>
              <w:fldChar w:fldCharType="end"/>
            </w:r>
          </w:hyperlink>
        </w:p>
        <w:p w14:paraId="7C5421E5" w14:textId="3F0E9600" w:rsidR="001F37A4" w:rsidRDefault="001F37A4">
          <w:pPr>
            <w:pStyle w:val="TOC1"/>
            <w:rPr>
              <w:rFonts w:asciiTheme="minorHAnsi" w:eastAsiaTheme="minorEastAsia" w:hAnsiTheme="minorHAnsi" w:cstheme="minorBidi"/>
              <w:b w:val="0"/>
              <w:kern w:val="2"/>
              <w14:ligatures w14:val="standardContextual"/>
            </w:rPr>
          </w:pPr>
          <w:hyperlink w:anchor="_Toc202518620" w:history="1">
            <w:r w:rsidRPr="00804894">
              <w:rPr>
                <w:rStyle w:val="Hyperlink"/>
              </w:rPr>
              <w:t>3</w:t>
            </w:r>
            <w:r>
              <w:rPr>
                <w:rFonts w:asciiTheme="minorHAnsi" w:eastAsiaTheme="minorEastAsia" w:hAnsiTheme="minorHAnsi" w:cstheme="minorBidi"/>
                <w:b w:val="0"/>
                <w:kern w:val="2"/>
                <w14:ligatures w14:val="standardContextual"/>
              </w:rPr>
              <w:tab/>
            </w:r>
            <w:r w:rsidRPr="00804894">
              <w:rPr>
                <w:rStyle w:val="Hyperlink"/>
              </w:rPr>
              <w:t>Human rights and supported employment</w:t>
            </w:r>
            <w:r>
              <w:rPr>
                <w:webHidden/>
              </w:rPr>
              <w:tab/>
            </w:r>
            <w:r>
              <w:rPr>
                <w:webHidden/>
              </w:rPr>
              <w:fldChar w:fldCharType="begin"/>
            </w:r>
            <w:r>
              <w:rPr>
                <w:webHidden/>
              </w:rPr>
              <w:instrText xml:space="preserve"> PAGEREF _Toc202518620 \h </w:instrText>
            </w:r>
            <w:r>
              <w:rPr>
                <w:webHidden/>
              </w:rPr>
            </w:r>
            <w:r>
              <w:rPr>
                <w:webHidden/>
              </w:rPr>
              <w:fldChar w:fldCharType="separate"/>
            </w:r>
            <w:r w:rsidR="00E64544">
              <w:rPr>
                <w:webHidden/>
              </w:rPr>
              <w:t>7</w:t>
            </w:r>
            <w:r>
              <w:rPr>
                <w:webHidden/>
              </w:rPr>
              <w:fldChar w:fldCharType="end"/>
            </w:r>
          </w:hyperlink>
        </w:p>
        <w:p w14:paraId="42A5403C" w14:textId="094818E2" w:rsidR="001F37A4" w:rsidRPr="001F37A4" w:rsidRDefault="001F37A4">
          <w:pPr>
            <w:pStyle w:val="TOC2"/>
            <w:rPr>
              <w:rFonts w:asciiTheme="minorHAnsi" w:eastAsiaTheme="minorEastAsia" w:hAnsiTheme="minorHAnsi" w:cstheme="minorBidi"/>
              <w:b w:val="0"/>
              <w:bCs/>
              <w:i w:val="0"/>
              <w:iCs/>
              <w:kern w:val="2"/>
              <w14:ligatures w14:val="standardContextual"/>
            </w:rPr>
          </w:pPr>
          <w:hyperlink w:anchor="_Toc202518621" w:history="1">
            <w:r w:rsidRPr="001F37A4">
              <w:rPr>
                <w:rStyle w:val="Hyperlink"/>
                <w:b w:val="0"/>
                <w:bCs/>
                <w:i w:val="0"/>
                <w:iCs/>
              </w:rPr>
              <w:t>3.1</w:t>
            </w:r>
            <w:r w:rsidRPr="001F37A4">
              <w:rPr>
                <w:rFonts w:asciiTheme="minorHAnsi" w:eastAsiaTheme="minorEastAsia" w:hAnsiTheme="minorHAnsi" w:cstheme="minorBidi"/>
                <w:b w:val="0"/>
                <w:bCs/>
                <w:i w:val="0"/>
                <w:iCs/>
                <w:kern w:val="2"/>
                <w14:ligatures w14:val="standardContextual"/>
              </w:rPr>
              <w:tab/>
            </w:r>
            <w:r w:rsidRPr="001F37A4">
              <w:rPr>
                <w:rStyle w:val="Hyperlink"/>
                <w:b w:val="0"/>
                <w:bCs/>
                <w:i w:val="0"/>
                <w:iCs/>
              </w:rPr>
              <w:t>The right to work</w:t>
            </w:r>
            <w:r w:rsidRPr="001F37A4">
              <w:rPr>
                <w:b w:val="0"/>
                <w:bCs/>
                <w:i w:val="0"/>
                <w:iCs/>
                <w:webHidden/>
              </w:rPr>
              <w:tab/>
            </w:r>
            <w:r w:rsidRPr="001F37A4">
              <w:rPr>
                <w:b w:val="0"/>
                <w:bCs/>
                <w:i w:val="0"/>
                <w:iCs/>
                <w:webHidden/>
              </w:rPr>
              <w:fldChar w:fldCharType="begin"/>
            </w:r>
            <w:r w:rsidRPr="001F37A4">
              <w:rPr>
                <w:b w:val="0"/>
                <w:bCs/>
                <w:i w:val="0"/>
                <w:iCs/>
                <w:webHidden/>
              </w:rPr>
              <w:instrText xml:space="preserve"> PAGEREF _Toc202518621 \h </w:instrText>
            </w:r>
            <w:r w:rsidRPr="001F37A4">
              <w:rPr>
                <w:b w:val="0"/>
                <w:bCs/>
                <w:i w:val="0"/>
                <w:iCs/>
                <w:webHidden/>
              </w:rPr>
            </w:r>
            <w:r w:rsidRPr="001F37A4">
              <w:rPr>
                <w:b w:val="0"/>
                <w:bCs/>
                <w:i w:val="0"/>
                <w:iCs/>
                <w:webHidden/>
              </w:rPr>
              <w:fldChar w:fldCharType="separate"/>
            </w:r>
            <w:r w:rsidR="00E64544">
              <w:rPr>
                <w:b w:val="0"/>
                <w:bCs/>
                <w:i w:val="0"/>
                <w:iCs/>
                <w:webHidden/>
              </w:rPr>
              <w:t>7</w:t>
            </w:r>
            <w:r w:rsidRPr="001F37A4">
              <w:rPr>
                <w:b w:val="0"/>
                <w:bCs/>
                <w:i w:val="0"/>
                <w:iCs/>
                <w:webHidden/>
              </w:rPr>
              <w:fldChar w:fldCharType="end"/>
            </w:r>
          </w:hyperlink>
        </w:p>
        <w:p w14:paraId="589E02F4" w14:textId="5081BD74" w:rsidR="001F37A4" w:rsidRPr="001F37A4" w:rsidRDefault="001F37A4">
          <w:pPr>
            <w:pStyle w:val="TOC2"/>
            <w:rPr>
              <w:rFonts w:asciiTheme="minorHAnsi" w:eastAsiaTheme="minorEastAsia" w:hAnsiTheme="minorHAnsi" w:cstheme="minorBidi"/>
              <w:b w:val="0"/>
              <w:bCs/>
              <w:i w:val="0"/>
              <w:iCs/>
              <w:kern w:val="2"/>
              <w14:ligatures w14:val="standardContextual"/>
            </w:rPr>
          </w:pPr>
          <w:hyperlink w:anchor="_Toc202518622" w:history="1">
            <w:r w:rsidRPr="001F37A4">
              <w:rPr>
                <w:rStyle w:val="Hyperlink"/>
                <w:b w:val="0"/>
                <w:bCs/>
                <w:i w:val="0"/>
                <w:iCs/>
              </w:rPr>
              <w:t>3.2</w:t>
            </w:r>
            <w:r w:rsidRPr="001F37A4">
              <w:rPr>
                <w:rFonts w:asciiTheme="minorHAnsi" w:eastAsiaTheme="minorEastAsia" w:hAnsiTheme="minorHAnsi" w:cstheme="minorBidi"/>
                <w:b w:val="0"/>
                <w:bCs/>
                <w:i w:val="0"/>
                <w:iCs/>
                <w:kern w:val="2"/>
                <w14:ligatures w14:val="standardContextual"/>
              </w:rPr>
              <w:tab/>
            </w:r>
            <w:r w:rsidRPr="001F37A4">
              <w:rPr>
                <w:rStyle w:val="Hyperlink"/>
                <w:b w:val="0"/>
                <w:bCs/>
                <w:i w:val="0"/>
                <w:iCs/>
              </w:rPr>
              <w:t>Supported employment in Australia</w:t>
            </w:r>
            <w:r w:rsidRPr="001F37A4">
              <w:rPr>
                <w:b w:val="0"/>
                <w:bCs/>
                <w:i w:val="0"/>
                <w:iCs/>
                <w:webHidden/>
              </w:rPr>
              <w:tab/>
            </w:r>
            <w:r w:rsidRPr="001F37A4">
              <w:rPr>
                <w:b w:val="0"/>
                <w:bCs/>
                <w:i w:val="0"/>
                <w:iCs/>
                <w:webHidden/>
              </w:rPr>
              <w:fldChar w:fldCharType="begin"/>
            </w:r>
            <w:r w:rsidRPr="001F37A4">
              <w:rPr>
                <w:b w:val="0"/>
                <w:bCs/>
                <w:i w:val="0"/>
                <w:iCs/>
                <w:webHidden/>
              </w:rPr>
              <w:instrText xml:space="preserve"> PAGEREF _Toc202518622 \h </w:instrText>
            </w:r>
            <w:r w:rsidRPr="001F37A4">
              <w:rPr>
                <w:b w:val="0"/>
                <w:bCs/>
                <w:i w:val="0"/>
                <w:iCs/>
                <w:webHidden/>
              </w:rPr>
            </w:r>
            <w:r w:rsidRPr="001F37A4">
              <w:rPr>
                <w:b w:val="0"/>
                <w:bCs/>
                <w:i w:val="0"/>
                <w:iCs/>
                <w:webHidden/>
              </w:rPr>
              <w:fldChar w:fldCharType="separate"/>
            </w:r>
            <w:r w:rsidR="00E64544">
              <w:rPr>
                <w:b w:val="0"/>
                <w:bCs/>
                <w:i w:val="0"/>
                <w:iCs/>
                <w:webHidden/>
              </w:rPr>
              <w:t>8</w:t>
            </w:r>
            <w:r w:rsidRPr="001F37A4">
              <w:rPr>
                <w:b w:val="0"/>
                <w:bCs/>
                <w:i w:val="0"/>
                <w:iCs/>
                <w:webHidden/>
              </w:rPr>
              <w:fldChar w:fldCharType="end"/>
            </w:r>
          </w:hyperlink>
        </w:p>
        <w:p w14:paraId="40E43D95" w14:textId="746A3670" w:rsidR="001F37A4" w:rsidRDefault="001F37A4">
          <w:pPr>
            <w:pStyle w:val="TOC1"/>
            <w:rPr>
              <w:rFonts w:asciiTheme="minorHAnsi" w:eastAsiaTheme="minorEastAsia" w:hAnsiTheme="minorHAnsi" w:cstheme="minorBidi"/>
              <w:b w:val="0"/>
              <w:kern w:val="2"/>
              <w14:ligatures w14:val="standardContextual"/>
            </w:rPr>
          </w:pPr>
          <w:hyperlink w:anchor="_Toc202518623" w:history="1">
            <w:r w:rsidRPr="00804894">
              <w:rPr>
                <w:rStyle w:val="Hyperlink"/>
              </w:rPr>
              <w:t>4</w:t>
            </w:r>
            <w:r>
              <w:rPr>
                <w:rFonts w:asciiTheme="minorHAnsi" w:eastAsiaTheme="minorEastAsia" w:hAnsiTheme="minorHAnsi" w:cstheme="minorBidi"/>
                <w:b w:val="0"/>
                <w:kern w:val="2"/>
                <w14:ligatures w14:val="standardContextual"/>
              </w:rPr>
              <w:tab/>
            </w:r>
            <w:r w:rsidRPr="00804894">
              <w:rPr>
                <w:rStyle w:val="Hyperlink"/>
              </w:rPr>
              <w:t>Developing a National Inclusive Employment Roadmap</w:t>
            </w:r>
            <w:r>
              <w:rPr>
                <w:webHidden/>
              </w:rPr>
              <w:tab/>
            </w:r>
            <w:r>
              <w:rPr>
                <w:webHidden/>
              </w:rPr>
              <w:fldChar w:fldCharType="begin"/>
            </w:r>
            <w:r>
              <w:rPr>
                <w:webHidden/>
              </w:rPr>
              <w:instrText xml:space="preserve"> PAGEREF _Toc202518623 \h </w:instrText>
            </w:r>
            <w:r>
              <w:rPr>
                <w:webHidden/>
              </w:rPr>
            </w:r>
            <w:r>
              <w:rPr>
                <w:webHidden/>
              </w:rPr>
              <w:fldChar w:fldCharType="separate"/>
            </w:r>
            <w:r w:rsidR="00E64544">
              <w:rPr>
                <w:webHidden/>
              </w:rPr>
              <w:t>10</w:t>
            </w:r>
            <w:r>
              <w:rPr>
                <w:webHidden/>
              </w:rPr>
              <w:fldChar w:fldCharType="end"/>
            </w:r>
          </w:hyperlink>
        </w:p>
        <w:p w14:paraId="0F1B4909" w14:textId="7A15E00A" w:rsidR="001F37A4" w:rsidRPr="001F37A4" w:rsidRDefault="001F37A4">
          <w:pPr>
            <w:pStyle w:val="TOC2"/>
            <w:rPr>
              <w:rFonts w:asciiTheme="minorHAnsi" w:eastAsiaTheme="minorEastAsia" w:hAnsiTheme="minorHAnsi" w:cstheme="minorBidi"/>
              <w:b w:val="0"/>
              <w:bCs/>
              <w:i w:val="0"/>
              <w:iCs/>
              <w:kern w:val="2"/>
              <w14:ligatures w14:val="standardContextual"/>
            </w:rPr>
          </w:pPr>
          <w:hyperlink w:anchor="_Toc202518624" w:history="1">
            <w:r w:rsidRPr="001F37A4">
              <w:rPr>
                <w:rStyle w:val="Hyperlink"/>
                <w:b w:val="0"/>
                <w:bCs/>
                <w:i w:val="0"/>
                <w:iCs/>
              </w:rPr>
              <w:t>4.1</w:t>
            </w:r>
            <w:r w:rsidRPr="001F37A4">
              <w:rPr>
                <w:rFonts w:asciiTheme="minorHAnsi" w:eastAsiaTheme="minorEastAsia" w:hAnsiTheme="minorHAnsi" w:cstheme="minorBidi"/>
                <w:b w:val="0"/>
                <w:bCs/>
                <w:i w:val="0"/>
                <w:iCs/>
                <w:kern w:val="2"/>
                <w14:ligatures w14:val="standardContextual"/>
              </w:rPr>
              <w:tab/>
            </w:r>
            <w:r w:rsidRPr="001F37A4">
              <w:rPr>
                <w:rStyle w:val="Hyperlink"/>
                <w:b w:val="0"/>
                <w:bCs/>
                <w:i w:val="0"/>
                <w:iCs/>
              </w:rPr>
              <w:t>The role of a roadmap to realise the right to work and employment</w:t>
            </w:r>
            <w:r w:rsidRPr="001F37A4">
              <w:rPr>
                <w:b w:val="0"/>
                <w:bCs/>
                <w:i w:val="0"/>
                <w:iCs/>
                <w:webHidden/>
              </w:rPr>
              <w:tab/>
            </w:r>
            <w:r w:rsidRPr="001F37A4">
              <w:rPr>
                <w:b w:val="0"/>
                <w:bCs/>
                <w:i w:val="0"/>
                <w:iCs/>
                <w:webHidden/>
              </w:rPr>
              <w:fldChar w:fldCharType="begin"/>
            </w:r>
            <w:r w:rsidRPr="001F37A4">
              <w:rPr>
                <w:b w:val="0"/>
                <w:bCs/>
                <w:i w:val="0"/>
                <w:iCs/>
                <w:webHidden/>
              </w:rPr>
              <w:instrText xml:space="preserve"> PAGEREF _Toc202518624 \h </w:instrText>
            </w:r>
            <w:r w:rsidRPr="001F37A4">
              <w:rPr>
                <w:b w:val="0"/>
                <w:bCs/>
                <w:i w:val="0"/>
                <w:iCs/>
                <w:webHidden/>
              </w:rPr>
            </w:r>
            <w:r w:rsidRPr="001F37A4">
              <w:rPr>
                <w:b w:val="0"/>
                <w:bCs/>
                <w:i w:val="0"/>
                <w:iCs/>
                <w:webHidden/>
              </w:rPr>
              <w:fldChar w:fldCharType="separate"/>
            </w:r>
            <w:r w:rsidR="00E64544">
              <w:rPr>
                <w:b w:val="0"/>
                <w:bCs/>
                <w:i w:val="0"/>
                <w:iCs/>
                <w:webHidden/>
              </w:rPr>
              <w:t>10</w:t>
            </w:r>
            <w:r w:rsidRPr="001F37A4">
              <w:rPr>
                <w:b w:val="0"/>
                <w:bCs/>
                <w:i w:val="0"/>
                <w:iCs/>
                <w:webHidden/>
              </w:rPr>
              <w:fldChar w:fldCharType="end"/>
            </w:r>
          </w:hyperlink>
        </w:p>
        <w:p w14:paraId="24CD91D2" w14:textId="37DAC649" w:rsidR="001F37A4" w:rsidRPr="001F37A4" w:rsidRDefault="001F37A4">
          <w:pPr>
            <w:pStyle w:val="TOC2"/>
            <w:rPr>
              <w:rFonts w:asciiTheme="minorHAnsi" w:eastAsiaTheme="minorEastAsia" w:hAnsiTheme="minorHAnsi" w:cstheme="minorBidi"/>
              <w:b w:val="0"/>
              <w:bCs/>
              <w:i w:val="0"/>
              <w:iCs/>
              <w:kern w:val="2"/>
              <w14:ligatures w14:val="standardContextual"/>
            </w:rPr>
          </w:pPr>
          <w:hyperlink w:anchor="_Toc202518625" w:history="1">
            <w:r w:rsidRPr="001F37A4">
              <w:rPr>
                <w:rStyle w:val="Hyperlink"/>
                <w:b w:val="0"/>
                <w:bCs/>
                <w:i w:val="0"/>
                <w:iCs/>
              </w:rPr>
              <w:t>4.2</w:t>
            </w:r>
            <w:r w:rsidRPr="001F37A4">
              <w:rPr>
                <w:rFonts w:asciiTheme="minorHAnsi" w:eastAsiaTheme="minorEastAsia" w:hAnsiTheme="minorHAnsi" w:cstheme="minorBidi"/>
                <w:b w:val="0"/>
                <w:bCs/>
                <w:i w:val="0"/>
                <w:iCs/>
                <w:kern w:val="2"/>
                <w14:ligatures w14:val="standardContextual"/>
              </w:rPr>
              <w:tab/>
            </w:r>
            <w:r w:rsidRPr="001F37A4">
              <w:rPr>
                <w:rStyle w:val="Hyperlink"/>
                <w:b w:val="0"/>
                <w:bCs/>
                <w:i w:val="0"/>
                <w:iCs/>
              </w:rPr>
              <w:t>CRPD Obligations</w:t>
            </w:r>
            <w:r w:rsidRPr="001F37A4">
              <w:rPr>
                <w:b w:val="0"/>
                <w:bCs/>
                <w:i w:val="0"/>
                <w:iCs/>
                <w:webHidden/>
              </w:rPr>
              <w:tab/>
            </w:r>
            <w:r w:rsidRPr="001F37A4">
              <w:rPr>
                <w:b w:val="0"/>
                <w:bCs/>
                <w:i w:val="0"/>
                <w:iCs/>
                <w:webHidden/>
              </w:rPr>
              <w:fldChar w:fldCharType="begin"/>
            </w:r>
            <w:r w:rsidRPr="001F37A4">
              <w:rPr>
                <w:b w:val="0"/>
                <w:bCs/>
                <w:i w:val="0"/>
                <w:iCs/>
                <w:webHidden/>
              </w:rPr>
              <w:instrText xml:space="preserve"> PAGEREF _Toc202518625 \h </w:instrText>
            </w:r>
            <w:r w:rsidRPr="001F37A4">
              <w:rPr>
                <w:b w:val="0"/>
                <w:bCs/>
                <w:i w:val="0"/>
                <w:iCs/>
                <w:webHidden/>
              </w:rPr>
            </w:r>
            <w:r w:rsidRPr="001F37A4">
              <w:rPr>
                <w:b w:val="0"/>
                <w:bCs/>
                <w:i w:val="0"/>
                <w:iCs/>
                <w:webHidden/>
              </w:rPr>
              <w:fldChar w:fldCharType="separate"/>
            </w:r>
            <w:r w:rsidR="00E64544">
              <w:rPr>
                <w:b w:val="0"/>
                <w:bCs/>
                <w:i w:val="0"/>
                <w:iCs/>
                <w:webHidden/>
              </w:rPr>
              <w:t>11</w:t>
            </w:r>
            <w:r w:rsidRPr="001F37A4">
              <w:rPr>
                <w:b w:val="0"/>
                <w:bCs/>
                <w:i w:val="0"/>
                <w:iCs/>
                <w:webHidden/>
              </w:rPr>
              <w:fldChar w:fldCharType="end"/>
            </w:r>
          </w:hyperlink>
        </w:p>
        <w:p w14:paraId="7D5FFDED" w14:textId="12FF1AFC" w:rsidR="001F37A4" w:rsidRDefault="001F37A4">
          <w:pPr>
            <w:pStyle w:val="TOC1"/>
            <w:rPr>
              <w:rFonts w:asciiTheme="minorHAnsi" w:eastAsiaTheme="minorEastAsia" w:hAnsiTheme="minorHAnsi" w:cstheme="minorBidi"/>
              <w:b w:val="0"/>
              <w:kern w:val="2"/>
              <w14:ligatures w14:val="standardContextual"/>
            </w:rPr>
          </w:pPr>
          <w:hyperlink w:anchor="_Toc202518626" w:history="1">
            <w:r w:rsidRPr="00804894">
              <w:rPr>
                <w:rStyle w:val="Hyperlink"/>
              </w:rPr>
              <w:t>5</w:t>
            </w:r>
            <w:r>
              <w:rPr>
                <w:rFonts w:asciiTheme="minorHAnsi" w:eastAsiaTheme="minorEastAsia" w:hAnsiTheme="minorHAnsi" w:cstheme="minorBidi"/>
                <w:b w:val="0"/>
                <w:kern w:val="2"/>
                <w14:ligatures w14:val="standardContextual"/>
              </w:rPr>
              <w:tab/>
            </w:r>
            <w:r w:rsidRPr="00804894">
              <w:rPr>
                <w:rStyle w:val="Hyperlink"/>
              </w:rPr>
              <w:t>Increasing open and inclusive employment opportunities</w:t>
            </w:r>
            <w:r>
              <w:rPr>
                <w:webHidden/>
              </w:rPr>
              <w:tab/>
            </w:r>
            <w:r>
              <w:rPr>
                <w:webHidden/>
              </w:rPr>
              <w:fldChar w:fldCharType="begin"/>
            </w:r>
            <w:r>
              <w:rPr>
                <w:webHidden/>
              </w:rPr>
              <w:instrText xml:space="preserve"> PAGEREF _Toc202518626 \h </w:instrText>
            </w:r>
            <w:r>
              <w:rPr>
                <w:webHidden/>
              </w:rPr>
            </w:r>
            <w:r>
              <w:rPr>
                <w:webHidden/>
              </w:rPr>
              <w:fldChar w:fldCharType="separate"/>
            </w:r>
            <w:r w:rsidR="00E64544">
              <w:rPr>
                <w:webHidden/>
              </w:rPr>
              <w:t>12</w:t>
            </w:r>
            <w:r>
              <w:rPr>
                <w:webHidden/>
              </w:rPr>
              <w:fldChar w:fldCharType="end"/>
            </w:r>
          </w:hyperlink>
        </w:p>
        <w:p w14:paraId="669D68BA" w14:textId="23A69908" w:rsidR="001F37A4" w:rsidRPr="001F37A4" w:rsidRDefault="001F37A4">
          <w:pPr>
            <w:pStyle w:val="TOC2"/>
            <w:rPr>
              <w:rFonts w:asciiTheme="minorHAnsi" w:eastAsiaTheme="minorEastAsia" w:hAnsiTheme="minorHAnsi" w:cstheme="minorBidi"/>
              <w:b w:val="0"/>
              <w:bCs/>
              <w:i w:val="0"/>
              <w:iCs/>
              <w:kern w:val="2"/>
              <w14:ligatures w14:val="standardContextual"/>
            </w:rPr>
          </w:pPr>
          <w:hyperlink w:anchor="_Toc202518627" w:history="1">
            <w:r w:rsidRPr="001F37A4">
              <w:rPr>
                <w:rStyle w:val="Hyperlink"/>
                <w:b w:val="0"/>
                <w:bCs/>
                <w:i w:val="0"/>
                <w:iCs/>
              </w:rPr>
              <w:t>5.1</w:t>
            </w:r>
            <w:r w:rsidRPr="001F37A4">
              <w:rPr>
                <w:rFonts w:asciiTheme="minorHAnsi" w:eastAsiaTheme="minorEastAsia" w:hAnsiTheme="minorHAnsi" w:cstheme="minorBidi"/>
                <w:b w:val="0"/>
                <w:bCs/>
                <w:i w:val="0"/>
                <w:iCs/>
                <w:kern w:val="2"/>
                <w14:ligatures w14:val="standardContextual"/>
              </w:rPr>
              <w:tab/>
            </w:r>
            <w:r w:rsidRPr="001F37A4">
              <w:rPr>
                <w:rStyle w:val="Hyperlink"/>
                <w:b w:val="0"/>
                <w:bCs/>
                <w:i w:val="0"/>
                <w:iCs/>
              </w:rPr>
              <w:t>Increasing employer capacity and demand</w:t>
            </w:r>
            <w:r w:rsidRPr="001F37A4">
              <w:rPr>
                <w:b w:val="0"/>
                <w:bCs/>
                <w:i w:val="0"/>
                <w:iCs/>
                <w:webHidden/>
              </w:rPr>
              <w:tab/>
            </w:r>
            <w:r w:rsidRPr="001F37A4">
              <w:rPr>
                <w:b w:val="0"/>
                <w:bCs/>
                <w:i w:val="0"/>
                <w:iCs/>
                <w:webHidden/>
              </w:rPr>
              <w:fldChar w:fldCharType="begin"/>
            </w:r>
            <w:r w:rsidRPr="001F37A4">
              <w:rPr>
                <w:b w:val="0"/>
                <w:bCs/>
                <w:i w:val="0"/>
                <w:iCs/>
                <w:webHidden/>
              </w:rPr>
              <w:instrText xml:space="preserve"> PAGEREF _Toc202518627 \h </w:instrText>
            </w:r>
            <w:r w:rsidRPr="001F37A4">
              <w:rPr>
                <w:b w:val="0"/>
                <w:bCs/>
                <w:i w:val="0"/>
                <w:iCs/>
                <w:webHidden/>
              </w:rPr>
            </w:r>
            <w:r w:rsidRPr="001F37A4">
              <w:rPr>
                <w:b w:val="0"/>
                <w:bCs/>
                <w:i w:val="0"/>
                <w:iCs/>
                <w:webHidden/>
              </w:rPr>
              <w:fldChar w:fldCharType="separate"/>
            </w:r>
            <w:r w:rsidR="00E64544">
              <w:rPr>
                <w:b w:val="0"/>
                <w:bCs/>
                <w:i w:val="0"/>
                <w:iCs/>
                <w:webHidden/>
              </w:rPr>
              <w:t>12</w:t>
            </w:r>
            <w:r w:rsidRPr="001F37A4">
              <w:rPr>
                <w:b w:val="0"/>
                <w:bCs/>
                <w:i w:val="0"/>
                <w:iCs/>
                <w:webHidden/>
              </w:rPr>
              <w:fldChar w:fldCharType="end"/>
            </w:r>
          </w:hyperlink>
        </w:p>
        <w:p w14:paraId="3FC79CAF" w14:textId="246540E3" w:rsidR="001F37A4" w:rsidRPr="001F37A4" w:rsidRDefault="001F37A4">
          <w:pPr>
            <w:pStyle w:val="TOC2"/>
            <w:rPr>
              <w:rFonts w:asciiTheme="minorHAnsi" w:eastAsiaTheme="minorEastAsia" w:hAnsiTheme="minorHAnsi" w:cstheme="minorBidi"/>
              <w:b w:val="0"/>
              <w:bCs/>
              <w:i w:val="0"/>
              <w:iCs/>
              <w:kern w:val="2"/>
              <w14:ligatures w14:val="standardContextual"/>
            </w:rPr>
          </w:pPr>
          <w:hyperlink w:anchor="_Toc202518628" w:history="1">
            <w:r w:rsidRPr="001F37A4">
              <w:rPr>
                <w:rStyle w:val="Hyperlink"/>
                <w:b w:val="0"/>
                <w:bCs/>
                <w:i w:val="0"/>
                <w:iCs/>
              </w:rPr>
              <w:t>5.2</w:t>
            </w:r>
            <w:r w:rsidRPr="001F37A4">
              <w:rPr>
                <w:rFonts w:asciiTheme="minorHAnsi" w:eastAsiaTheme="minorEastAsia" w:hAnsiTheme="minorHAnsi" w:cstheme="minorBidi"/>
                <w:b w:val="0"/>
                <w:bCs/>
                <w:i w:val="0"/>
                <w:iCs/>
                <w:kern w:val="2"/>
                <w14:ligatures w14:val="standardContextual"/>
              </w:rPr>
              <w:tab/>
            </w:r>
            <w:r w:rsidRPr="001F37A4">
              <w:rPr>
                <w:rStyle w:val="Hyperlink"/>
                <w:b w:val="0"/>
                <w:bCs/>
                <w:i w:val="0"/>
                <w:iCs/>
              </w:rPr>
              <w:t>Role of service providers</w:t>
            </w:r>
            <w:r w:rsidRPr="001F37A4">
              <w:rPr>
                <w:b w:val="0"/>
                <w:bCs/>
                <w:i w:val="0"/>
                <w:iCs/>
                <w:webHidden/>
              </w:rPr>
              <w:tab/>
            </w:r>
            <w:r w:rsidRPr="001F37A4">
              <w:rPr>
                <w:b w:val="0"/>
                <w:bCs/>
                <w:i w:val="0"/>
                <w:iCs/>
                <w:webHidden/>
              </w:rPr>
              <w:fldChar w:fldCharType="begin"/>
            </w:r>
            <w:r w:rsidRPr="001F37A4">
              <w:rPr>
                <w:b w:val="0"/>
                <w:bCs/>
                <w:i w:val="0"/>
                <w:iCs/>
                <w:webHidden/>
              </w:rPr>
              <w:instrText xml:space="preserve"> PAGEREF _Toc202518628 \h </w:instrText>
            </w:r>
            <w:r w:rsidRPr="001F37A4">
              <w:rPr>
                <w:b w:val="0"/>
                <w:bCs/>
                <w:i w:val="0"/>
                <w:iCs/>
                <w:webHidden/>
              </w:rPr>
            </w:r>
            <w:r w:rsidRPr="001F37A4">
              <w:rPr>
                <w:b w:val="0"/>
                <w:bCs/>
                <w:i w:val="0"/>
                <w:iCs/>
                <w:webHidden/>
              </w:rPr>
              <w:fldChar w:fldCharType="separate"/>
            </w:r>
            <w:r w:rsidR="00E64544">
              <w:rPr>
                <w:b w:val="0"/>
                <w:bCs/>
                <w:i w:val="0"/>
                <w:iCs/>
                <w:webHidden/>
              </w:rPr>
              <w:t>14</w:t>
            </w:r>
            <w:r w:rsidRPr="001F37A4">
              <w:rPr>
                <w:b w:val="0"/>
                <w:bCs/>
                <w:i w:val="0"/>
                <w:iCs/>
                <w:webHidden/>
              </w:rPr>
              <w:fldChar w:fldCharType="end"/>
            </w:r>
          </w:hyperlink>
        </w:p>
        <w:p w14:paraId="67D2BBBD" w14:textId="7F407CA4" w:rsidR="001F37A4" w:rsidRPr="001F37A4" w:rsidRDefault="001F37A4">
          <w:pPr>
            <w:pStyle w:val="TOC2"/>
            <w:rPr>
              <w:rFonts w:asciiTheme="minorHAnsi" w:eastAsiaTheme="minorEastAsia" w:hAnsiTheme="minorHAnsi" w:cstheme="minorBidi"/>
              <w:b w:val="0"/>
              <w:bCs/>
              <w:i w:val="0"/>
              <w:iCs/>
              <w:kern w:val="2"/>
              <w14:ligatures w14:val="standardContextual"/>
            </w:rPr>
          </w:pPr>
          <w:hyperlink w:anchor="_Toc202518629" w:history="1">
            <w:r w:rsidRPr="001F37A4">
              <w:rPr>
                <w:rStyle w:val="Hyperlink"/>
                <w:b w:val="0"/>
                <w:bCs/>
                <w:i w:val="0"/>
                <w:iCs/>
              </w:rPr>
              <w:t>5.3</w:t>
            </w:r>
            <w:r w:rsidRPr="001F37A4">
              <w:rPr>
                <w:rFonts w:asciiTheme="minorHAnsi" w:eastAsiaTheme="minorEastAsia" w:hAnsiTheme="minorHAnsi" w:cstheme="minorBidi"/>
                <w:b w:val="0"/>
                <w:bCs/>
                <w:i w:val="0"/>
                <w:iCs/>
                <w:kern w:val="2"/>
                <w14:ligatures w14:val="standardContextual"/>
              </w:rPr>
              <w:tab/>
            </w:r>
            <w:r w:rsidRPr="001F37A4">
              <w:rPr>
                <w:rStyle w:val="Hyperlink"/>
                <w:b w:val="0"/>
                <w:bCs/>
                <w:i w:val="0"/>
                <w:iCs/>
              </w:rPr>
              <w:t>Funding</w:t>
            </w:r>
            <w:r w:rsidRPr="001F37A4">
              <w:rPr>
                <w:b w:val="0"/>
                <w:bCs/>
                <w:i w:val="0"/>
                <w:iCs/>
                <w:webHidden/>
              </w:rPr>
              <w:tab/>
            </w:r>
            <w:r w:rsidRPr="001F37A4">
              <w:rPr>
                <w:b w:val="0"/>
                <w:bCs/>
                <w:i w:val="0"/>
                <w:iCs/>
                <w:webHidden/>
              </w:rPr>
              <w:fldChar w:fldCharType="begin"/>
            </w:r>
            <w:r w:rsidRPr="001F37A4">
              <w:rPr>
                <w:b w:val="0"/>
                <w:bCs/>
                <w:i w:val="0"/>
                <w:iCs/>
                <w:webHidden/>
              </w:rPr>
              <w:instrText xml:space="preserve"> PAGEREF _Toc202518629 \h </w:instrText>
            </w:r>
            <w:r w:rsidRPr="001F37A4">
              <w:rPr>
                <w:b w:val="0"/>
                <w:bCs/>
                <w:i w:val="0"/>
                <w:iCs/>
                <w:webHidden/>
              </w:rPr>
            </w:r>
            <w:r w:rsidRPr="001F37A4">
              <w:rPr>
                <w:b w:val="0"/>
                <w:bCs/>
                <w:i w:val="0"/>
                <w:iCs/>
                <w:webHidden/>
              </w:rPr>
              <w:fldChar w:fldCharType="separate"/>
            </w:r>
            <w:r w:rsidR="00E64544">
              <w:rPr>
                <w:b w:val="0"/>
                <w:bCs/>
                <w:i w:val="0"/>
                <w:iCs/>
                <w:webHidden/>
              </w:rPr>
              <w:t>17</w:t>
            </w:r>
            <w:r w:rsidRPr="001F37A4">
              <w:rPr>
                <w:b w:val="0"/>
                <w:bCs/>
                <w:i w:val="0"/>
                <w:iCs/>
                <w:webHidden/>
              </w:rPr>
              <w:fldChar w:fldCharType="end"/>
            </w:r>
          </w:hyperlink>
        </w:p>
        <w:p w14:paraId="1A793D85" w14:textId="132440C0" w:rsidR="001F37A4" w:rsidRPr="001F37A4" w:rsidRDefault="001F37A4">
          <w:pPr>
            <w:pStyle w:val="TOC2"/>
            <w:rPr>
              <w:rFonts w:asciiTheme="minorHAnsi" w:eastAsiaTheme="minorEastAsia" w:hAnsiTheme="minorHAnsi" w:cstheme="minorBidi"/>
              <w:b w:val="0"/>
              <w:bCs/>
              <w:i w:val="0"/>
              <w:iCs/>
              <w:kern w:val="2"/>
              <w14:ligatures w14:val="standardContextual"/>
            </w:rPr>
          </w:pPr>
          <w:hyperlink w:anchor="_Toc202518630" w:history="1">
            <w:r w:rsidRPr="001F37A4">
              <w:rPr>
                <w:rStyle w:val="Hyperlink"/>
                <w:b w:val="0"/>
                <w:bCs/>
                <w:i w:val="0"/>
                <w:iCs/>
              </w:rPr>
              <w:t>5.4</w:t>
            </w:r>
            <w:r w:rsidRPr="001F37A4">
              <w:rPr>
                <w:rFonts w:asciiTheme="minorHAnsi" w:eastAsiaTheme="minorEastAsia" w:hAnsiTheme="minorHAnsi" w:cstheme="minorBidi"/>
                <w:b w:val="0"/>
                <w:bCs/>
                <w:i w:val="0"/>
                <w:iCs/>
                <w:kern w:val="2"/>
                <w14:ligatures w14:val="standardContextual"/>
              </w:rPr>
              <w:tab/>
            </w:r>
            <w:r w:rsidRPr="001F37A4">
              <w:rPr>
                <w:rStyle w:val="Hyperlink"/>
                <w:b w:val="0"/>
                <w:bCs/>
                <w:i w:val="0"/>
                <w:iCs/>
              </w:rPr>
              <w:t>Improve NDIS system architecture to facilitate open employment for NDIS participants.</w:t>
            </w:r>
            <w:r w:rsidRPr="001F37A4">
              <w:rPr>
                <w:b w:val="0"/>
                <w:bCs/>
                <w:i w:val="0"/>
                <w:iCs/>
                <w:webHidden/>
              </w:rPr>
              <w:tab/>
            </w:r>
            <w:r w:rsidRPr="001F37A4">
              <w:rPr>
                <w:b w:val="0"/>
                <w:bCs/>
                <w:i w:val="0"/>
                <w:iCs/>
                <w:webHidden/>
              </w:rPr>
              <w:fldChar w:fldCharType="begin"/>
            </w:r>
            <w:r w:rsidRPr="001F37A4">
              <w:rPr>
                <w:b w:val="0"/>
                <w:bCs/>
                <w:i w:val="0"/>
                <w:iCs/>
                <w:webHidden/>
              </w:rPr>
              <w:instrText xml:space="preserve"> PAGEREF _Toc202518630 \h </w:instrText>
            </w:r>
            <w:r w:rsidRPr="001F37A4">
              <w:rPr>
                <w:b w:val="0"/>
                <w:bCs/>
                <w:i w:val="0"/>
                <w:iCs/>
                <w:webHidden/>
              </w:rPr>
            </w:r>
            <w:r w:rsidRPr="001F37A4">
              <w:rPr>
                <w:b w:val="0"/>
                <w:bCs/>
                <w:i w:val="0"/>
                <w:iCs/>
                <w:webHidden/>
              </w:rPr>
              <w:fldChar w:fldCharType="separate"/>
            </w:r>
            <w:r w:rsidR="00E64544">
              <w:rPr>
                <w:b w:val="0"/>
                <w:bCs/>
                <w:i w:val="0"/>
                <w:iCs/>
                <w:webHidden/>
              </w:rPr>
              <w:t>18</w:t>
            </w:r>
            <w:r w:rsidRPr="001F37A4">
              <w:rPr>
                <w:b w:val="0"/>
                <w:bCs/>
                <w:i w:val="0"/>
                <w:iCs/>
                <w:webHidden/>
              </w:rPr>
              <w:fldChar w:fldCharType="end"/>
            </w:r>
          </w:hyperlink>
        </w:p>
        <w:p w14:paraId="3839D475" w14:textId="2DE0C014" w:rsidR="001F37A4" w:rsidRPr="001F37A4" w:rsidRDefault="001F37A4">
          <w:pPr>
            <w:pStyle w:val="TOC2"/>
            <w:rPr>
              <w:rFonts w:asciiTheme="minorHAnsi" w:eastAsiaTheme="minorEastAsia" w:hAnsiTheme="minorHAnsi" w:cstheme="minorBidi"/>
              <w:b w:val="0"/>
              <w:bCs/>
              <w:i w:val="0"/>
              <w:iCs/>
              <w:kern w:val="2"/>
              <w14:ligatures w14:val="standardContextual"/>
            </w:rPr>
          </w:pPr>
          <w:hyperlink w:anchor="_Toc202518631" w:history="1">
            <w:r w:rsidRPr="001F37A4">
              <w:rPr>
                <w:rStyle w:val="Hyperlink"/>
                <w:b w:val="0"/>
                <w:bCs/>
                <w:i w:val="0"/>
                <w:iCs/>
              </w:rPr>
              <w:t>5.5</w:t>
            </w:r>
            <w:r w:rsidRPr="001F37A4">
              <w:rPr>
                <w:rFonts w:asciiTheme="minorHAnsi" w:eastAsiaTheme="minorEastAsia" w:hAnsiTheme="minorHAnsi" w:cstheme="minorBidi"/>
                <w:b w:val="0"/>
                <w:bCs/>
                <w:i w:val="0"/>
                <w:iCs/>
                <w:kern w:val="2"/>
                <w14:ligatures w14:val="standardContextual"/>
              </w:rPr>
              <w:tab/>
            </w:r>
            <w:r w:rsidRPr="001F37A4">
              <w:rPr>
                <w:rStyle w:val="Hyperlink"/>
                <w:b w:val="0"/>
                <w:bCs/>
                <w:i w:val="0"/>
                <w:iCs/>
              </w:rPr>
              <w:t>The public service should lead the way</w:t>
            </w:r>
            <w:r w:rsidRPr="001F37A4">
              <w:rPr>
                <w:b w:val="0"/>
                <w:bCs/>
                <w:i w:val="0"/>
                <w:iCs/>
                <w:webHidden/>
              </w:rPr>
              <w:tab/>
            </w:r>
            <w:r w:rsidRPr="001F37A4">
              <w:rPr>
                <w:b w:val="0"/>
                <w:bCs/>
                <w:i w:val="0"/>
                <w:iCs/>
                <w:webHidden/>
              </w:rPr>
              <w:fldChar w:fldCharType="begin"/>
            </w:r>
            <w:r w:rsidRPr="001F37A4">
              <w:rPr>
                <w:b w:val="0"/>
                <w:bCs/>
                <w:i w:val="0"/>
                <w:iCs/>
                <w:webHidden/>
              </w:rPr>
              <w:instrText xml:space="preserve"> PAGEREF _Toc202518631 \h </w:instrText>
            </w:r>
            <w:r w:rsidRPr="001F37A4">
              <w:rPr>
                <w:b w:val="0"/>
                <w:bCs/>
                <w:i w:val="0"/>
                <w:iCs/>
                <w:webHidden/>
              </w:rPr>
            </w:r>
            <w:r w:rsidRPr="001F37A4">
              <w:rPr>
                <w:b w:val="0"/>
                <w:bCs/>
                <w:i w:val="0"/>
                <w:iCs/>
                <w:webHidden/>
              </w:rPr>
              <w:fldChar w:fldCharType="separate"/>
            </w:r>
            <w:r w:rsidR="00E64544">
              <w:rPr>
                <w:b w:val="0"/>
                <w:bCs/>
                <w:i w:val="0"/>
                <w:iCs/>
                <w:webHidden/>
              </w:rPr>
              <w:t>20</w:t>
            </w:r>
            <w:r w:rsidRPr="001F37A4">
              <w:rPr>
                <w:b w:val="0"/>
                <w:bCs/>
                <w:i w:val="0"/>
                <w:iCs/>
                <w:webHidden/>
              </w:rPr>
              <w:fldChar w:fldCharType="end"/>
            </w:r>
          </w:hyperlink>
        </w:p>
        <w:p w14:paraId="1D986EBD" w14:textId="79685EB5" w:rsidR="001F37A4" w:rsidRPr="001F37A4" w:rsidRDefault="001F37A4">
          <w:pPr>
            <w:pStyle w:val="TOC2"/>
            <w:rPr>
              <w:rFonts w:asciiTheme="minorHAnsi" w:eastAsiaTheme="minorEastAsia" w:hAnsiTheme="minorHAnsi" w:cstheme="minorBidi"/>
              <w:b w:val="0"/>
              <w:bCs/>
              <w:i w:val="0"/>
              <w:iCs/>
              <w:kern w:val="2"/>
              <w14:ligatures w14:val="standardContextual"/>
            </w:rPr>
          </w:pPr>
          <w:hyperlink w:anchor="_Toc202518632" w:history="1">
            <w:r w:rsidRPr="001F37A4">
              <w:rPr>
                <w:rStyle w:val="Hyperlink"/>
                <w:b w:val="0"/>
                <w:bCs/>
                <w:i w:val="0"/>
                <w:iCs/>
              </w:rPr>
              <w:t>5.6</w:t>
            </w:r>
            <w:r w:rsidRPr="001F37A4">
              <w:rPr>
                <w:rFonts w:asciiTheme="minorHAnsi" w:eastAsiaTheme="minorEastAsia" w:hAnsiTheme="minorHAnsi" w:cstheme="minorBidi"/>
                <w:b w:val="0"/>
                <w:bCs/>
                <w:i w:val="0"/>
                <w:iCs/>
                <w:kern w:val="2"/>
                <w14:ligatures w14:val="standardContextual"/>
              </w:rPr>
              <w:tab/>
            </w:r>
            <w:r w:rsidRPr="001F37A4">
              <w:rPr>
                <w:rStyle w:val="Hyperlink"/>
                <w:b w:val="0"/>
                <w:bCs/>
                <w:i w:val="0"/>
                <w:iCs/>
              </w:rPr>
              <w:t>Greater focus on transitions from education to employment</w:t>
            </w:r>
            <w:r w:rsidRPr="001F37A4">
              <w:rPr>
                <w:b w:val="0"/>
                <w:bCs/>
                <w:i w:val="0"/>
                <w:iCs/>
                <w:webHidden/>
              </w:rPr>
              <w:tab/>
            </w:r>
            <w:r w:rsidRPr="001F37A4">
              <w:rPr>
                <w:b w:val="0"/>
                <w:bCs/>
                <w:i w:val="0"/>
                <w:iCs/>
                <w:webHidden/>
              </w:rPr>
              <w:fldChar w:fldCharType="begin"/>
            </w:r>
            <w:r w:rsidRPr="001F37A4">
              <w:rPr>
                <w:b w:val="0"/>
                <w:bCs/>
                <w:i w:val="0"/>
                <w:iCs/>
                <w:webHidden/>
              </w:rPr>
              <w:instrText xml:space="preserve"> PAGEREF _Toc202518632 \h </w:instrText>
            </w:r>
            <w:r w:rsidRPr="001F37A4">
              <w:rPr>
                <w:b w:val="0"/>
                <w:bCs/>
                <w:i w:val="0"/>
                <w:iCs/>
                <w:webHidden/>
              </w:rPr>
            </w:r>
            <w:r w:rsidRPr="001F37A4">
              <w:rPr>
                <w:b w:val="0"/>
                <w:bCs/>
                <w:i w:val="0"/>
                <w:iCs/>
                <w:webHidden/>
              </w:rPr>
              <w:fldChar w:fldCharType="separate"/>
            </w:r>
            <w:r w:rsidR="00E64544">
              <w:rPr>
                <w:b w:val="0"/>
                <w:bCs/>
                <w:i w:val="0"/>
                <w:iCs/>
                <w:webHidden/>
              </w:rPr>
              <w:t>21</w:t>
            </w:r>
            <w:r w:rsidRPr="001F37A4">
              <w:rPr>
                <w:b w:val="0"/>
                <w:bCs/>
                <w:i w:val="0"/>
                <w:iCs/>
                <w:webHidden/>
              </w:rPr>
              <w:fldChar w:fldCharType="end"/>
            </w:r>
          </w:hyperlink>
        </w:p>
        <w:p w14:paraId="08294C09" w14:textId="23AD0418" w:rsidR="00CB7EF0" w:rsidRDefault="00CB7EF0" w:rsidP="00CB7EF0">
          <w:pPr>
            <w:rPr>
              <w:b/>
              <w:bCs/>
              <w:noProof/>
            </w:rPr>
          </w:pPr>
          <w:r>
            <w:rPr>
              <w:b/>
              <w:bCs/>
              <w:noProof/>
            </w:rPr>
            <w:fldChar w:fldCharType="end"/>
          </w:r>
        </w:p>
      </w:sdtContent>
    </w:sdt>
    <w:p w14:paraId="18722A2D" w14:textId="052C1B8B" w:rsidR="00CB7EF0" w:rsidRPr="00CB7EF0" w:rsidRDefault="00CB7EF0" w:rsidP="00CB7EF0">
      <w:r>
        <w:br w:type="page"/>
      </w:r>
    </w:p>
    <w:p w14:paraId="1281750C" w14:textId="02FC4890" w:rsidR="006B007E" w:rsidRDefault="009F2764" w:rsidP="006B007E">
      <w:pPr>
        <w:pStyle w:val="Heading1"/>
      </w:pPr>
      <w:bookmarkStart w:id="35" w:name="_Toc202518616"/>
      <w:r w:rsidRPr="009E08D1">
        <w:lastRenderedPageBreak/>
        <w:t>Introduction</w:t>
      </w:r>
      <w:bookmarkEnd w:id="34"/>
      <w:bookmarkEnd w:id="33"/>
      <w:bookmarkEnd w:id="32"/>
      <w:bookmarkEnd w:id="31"/>
      <w:bookmarkEnd w:id="35"/>
      <w:r w:rsidR="00900DEC">
        <w:t xml:space="preserve"> </w:t>
      </w:r>
    </w:p>
    <w:p w14:paraId="49C789BC" w14:textId="300818F8" w:rsidR="007C094D" w:rsidRDefault="007C094D" w:rsidP="00DC29A9">
      <w:pPr>
        <w:pStyle w:val="Heading2"/>
      </w:pPr>
      <w:bookmarkStart w:id="36" w:name="_Toc202518617"/>
      <w:r>
        <w:t>The role of the Australian Human Rights Commission</w:t>
      </w:r>
      <w:bookmarkEnd w:id="36"/>
    </w:p>
    <w:p w14:paraId="06FBC6A5" w14:textId="4C0D192B" w:rsidR="007C094D" w:rsidRDefault="007C094D" w:rsidP="007C094D">
      <w:r>
        <w:t>The Australian Human Rights Commission (</w:t>
      </w:r>
      <w:r w:rsidR="083B9534">
        <w:t xml:space="preserve">the </w:t>
      </w:r>
      <w:r w:rsidRPr="3097DD7B">
        <w:t>Commission</w:t>
      </w:r>
      <w:r>
        <w:t>) welcomes the opportunity to provide a submission to the Department of Social Services</w:t>
      </w:r>
      <w:r w:rsidR="00B9327C">
        <w:t>’</w:t>
      </w:r>
      <w:r>
        <w:t xml:space="preserve"> (</w:t>
      </w:r>
      <w:r w:rsidRPr="3097DD7B">
        <w:t>DSS</w:t>
      </w:r>
      <w:r>
        <w:t xml:space="preserve">) consultation on </w:t>
      </w:r>
      <w:r w:rsidR="00492B62" w:rsidRPr="00D65787">
        <w:rPr>
          <w:i/>
        </w:rPr>
        <w:t>N</w:t>
      </w:r>
      <w:r w:rsidRPr="00D65787">
        <w:rPr>
          <w:i/>
        </w:rPr>
        <w:t xml:space="preserve">ext </w:t>
      </w:r>
      <w:r w:rsidR="00492B62" w:rsidRPr="00D65787">
        <w:rPr>
          <w:i/>
        </w:rPr>
        <w:t>S</w:t>
      </w:r>
      <w:r w:rsidRPr="00D65787">
        <w:rPr>
          <w:i/>
        </w:rPr>
        <w:t xml:space="preserve">teps in </w:t>
      </w:r>
      <w:r w:rsidR="00492B62" w:rsidRPr="00D65787">
        <w:rPr>
          <w:i/>
        </w:rPr>
        <w:t>S</w:t>
      </w:r>
      <w:r w:rsidRPr="00D65787">
        <w:rPr>
          <w:i/>
        </w:rPr>
        <w:t xml:space="preserve">upported </w:t>
      </w:r>
      <w:r w:rsidR="00800154" w:rsidRPr="00D65787">
        <w:rPr>
          <w:i/>
        </w:rPr>
        <w:t>E</w:t>
      </w:r>
      <w:r w:rsidRPr="00D65787">
        <w:rPr>
          <w:i/>
        </w:rPr>
        <w:t>mployment</w:t>
      </w:r>
      <w:r>
        <w:t>.</w:t>
      </w:r>
      <w:r>
        <w:rPr>
          <w:rStyle w:val="EndnoteReference"/>
        </w:rPr>
        <w:endnoteReference w:id="1"/>
      </w:r>
    </w:p>
    <w:p w14:paraId="19C5F2B8" w14:textId="1BB4EECD" w:rsidR="003E4E04" w:rsidRDefault="007C094D" w:rsidP="007C094D">
      <w:r>
        <w:t xml:space="preserve">The Commission is Australia’s National Human Rights Institution, established under the </w:t>
      </w:r>
      <w:r w:rsidRPr="008E1101">
        <w:rPr>
          <w:i/>
          <w:iCs/>
        </w:rPr>
        <w:t>Australian Human Rights Commission Act 1986</w:t>
      </w:r>
      <w:r>
        <w:t xml:space="preserve"> (Cth) (AHRC Act)</w:t>
      </w:r>
      <w:r w:rsidR="003E4E04">
        <w:t>.</w:t>
      </w:r>
      <w:r>
        <w:rPr>
          <w:rStyle w:val="EndnoteReference"/>
        </w:rPr>
        <w:endnoteReference w:id="2"/>
      </w:r>
      <w:r>
        <w:t xml:space="preserve"> The Commission provides independent and impartial services</w:t>
      </w:r>
      <w:r w:rsidR="00587FD2">
        <w:t>, policy development and research</w:t>
      </w:r>
      <w:r>
        <w:t xml:space="preserve"> to promote and protect human rights and fundamental freedoms in Australia.</w:t>
      </w:r>
      <w:r w:rsidR="00587FD2">
        <w:rPr>
          <w:rStyle w:val="EndnoteReference"/>
        </w:rPr>
        <w:endnoteReference w:id="3"/>
      </w:r>
      <w:r w:rsidR="00587FD2">
        <w:t xml:space="preserve"> </w:t>
      </w:r>
      <w:r>
        <w:t xml:space="preserve"> </w:t>
      </w:r>
    </w:p>
    <w:p w14:paraId="1C1C10EB" w14:textId="76879A26" w:rsidR="007C094D" w:rsidRDefault="007C094D" w:rsidP="007C094D">
      <w:r w:rsidRPr="004F28EB">
        <w:t>The Commission investigates and conciliates complaints of unlawful discrimination</w:t>
      </w:r>
      <w:r w:rsidR="006A0BC6" w:rsidRPr="004F28EB">
        <w:t xml:space="preserve">, including under the </w:t>
      </w:r>
      <w:r w:rsidR="006A0BC6" w:rsidRPr="004F28EB">
        <w:rPr>
          <w:i/>
          <w:iCs/>
        </w:rPr>
        <w:t>Disability Discrimination Act 1992</w:t>
      </w:r>
      <w:r w:rsidR="006A0BC6" w:rsidRPr="004F28EB">
        <w:t xml:space="preserve"> (Cth)</w:t>
      </w:r>
      <w:r w:rsidR="00E21B47" w:rsidRPr="004F28EB">
        <w:t xml:space="preserve">. </w:t>
      </w:r>
      <w:r w:rsidR="0066293B" w:rsidRPr="00C1615B">
        <w:t xml:space="preserve">The Disability Discrimination Act </w:t>
      </w:r>
      <w:r w:rsidR="00587FD2">
        <w:t>makes it unlawful</w:t>
      </w:r>
      <w:r w:rsidR="0066293B" w:rsidRPr="00C1615B">
        <w:t xml:space="preserve"> </w:t>
      </w:r>
      <w:r w:rsidR="00587FD2">
        <w:t>to</w:t>
      </w:r>
      <w:r w:rsidR="0066293B" w:rsidRPr="00C1615B">
        <w:t xml:space="preserve"> discriminat</w:t>
      </w:r>
      <w:r w:rsidR="00587FD2">
        <w:t>e on the basis of disability</w:t>
      </w:r>
      <w:r w:rsidR="006D2675">
        <w:t xml:space="preserve"> in employment and other areas of public life</w:t>
      </w:r>
      <w:r w:rsidR="0066293B" w:rsidRPr="00C1615B">
        <w:t xml:space="preserve"> and </w:t>
      </w:r>
      <w:r w:rsidR="00587FD2">
        <w:t>requires</w:t>
      </w:r>
      <w:r w:rsidR="0066293B" w:rsidRPr="00C1615B">
        <w:t xml:space="preserve"> reasonable adjustment</w:t>
      </w:r>
      <w:r w:rsidR="003B2BF1">
        <w:t>s to be provided</w:t>
      </w:r>
      <w:r w:rsidR="0066293B" w:rsidRPr="00C1615B">
        <w:t xml:space="preserve"> so people with disability can participate in employment on an equal basis with others.</w:t>
      </w:r>
      <w:r w:rsidR="0066293B" w:rsidRPr="00C1615B">
        <w:rPr>
          <w:rStyle w:val="EndnoteReference"/>
        </w:rPr>
        <w:endnoteReference w:id="4"/>
      </w:r>
      <w:r w:rsidR="0066293B" w:rsidRPr="00C1615B">
        <w:t xml:space="preserve"> </w:t>
      </w:r>
      <w:r w:rsidR="00E21B47" w:rsidRPr="004F28EB">
        <w:t>Th</w:t>
      </w:r>
      <w:r w:rsidR="00C1615B" w:rsidRPr="004F28EB">
        <w:t>e</w:t>
      </w:r>
      <w:r w:rsidR="00E21B47" w:rsidRPr="004F28EB">
        <w:t xml:space="preserve"> Commission also has </w:t>
      </w:r>
      <w:r w:rsidR="003B2BF1">
        <w:t xml:space="preserve">broad </w:t>
      </w:r>
      <w:r w:rsidR="00E21B47" w:rsidRPr="004F28EB">
        <w:t xml:space="preserve">functions to </w:t>
      </w:r>
      <w:r w:rsidRPr="004F28EB">
        <w:t>promote compliance and understanding of the</w:t>
      </w:r>
      <w:r w:rsidR="00E21B47" w:rsidRPr="004F28EB">
        <w:t xml:space="preserve"> Disability Discrimination</w:t>
      </w:r>
      <w:r w:rsidRPr="004F28EB">
        <w:t xml:space="preserve"> Act</w:t>
      </w:r>
      <w:r w:rsidR="003B2BF1">
        <w:t>, led by the Disability Discrimination Commissioner</w:t>
      </w:r>
      <w:r w:rsidRPr="004F28EB">
        <w:t>.</w:t>
      </w:r>
      <w:r w:rsidRPr="004F28EB">
        <w:rPr>
          <w:rStyle w:val="EndnoteReference"/>
        </w:rPr>
        <w:endnoteReference w:id="5"/>
      </w:r>
      <w:r w:rsidRPr="00C1615B">
        <w:t xml:space="preserve"> </w:t>
      </w:r>
      <w:r w:rsidR="0066293B" w:rsidRPr="005269F6" w:rsidDel="0066293B">
        <w:t xml:space="preserve"> </w:t>
      </w:r>
    </w:p>
    <w:p w14:paraId="6D5BACAB" w14:textId="08E96232" w:rsidR="0B8394C2" w:rsidRDefault="1B89FBC4" w:rsidP="00880D16">
      <w:pPr>
        <w:pStyle w:val="NoSpacing"/>
        <w:spacing w:before="120" w:after="120"/>
        <w:rPr>
          <w:rFonts w:eastAsia="Open Sans" w:cs="Open Sans"/>
        </w:rPr>
      </w:pPr>
      <w:r w:rsidRPr="3B0DD5DC">
        <w:rPr>
          <w:rFonts w:eastAsia="Open Sans" w:cs="Open Sans"/>
          <w:color w:val="000000" w:themeColor="text1"/>
        </w:rPr>
        <w:t xml:space="preserve">The </w:t>
      </w:r>
      <w:r w:rsidR="0F6EE66F" w:rsidRPr="3B0DD5DC">
        <w:rPr>
          <w:rFonts w:eastAsia="Open Sans" w:cs="Open Sans"/>
          <w:color w:val="000000" w:themeColor="text1"/>
        </w:rPr>
        <w:t xml:space="preserve">mandate </w:t>
      </w:r>
      <w:r w:rsidR="381B6F87" w:rsidRPr="3B0DD5DC">
        <w:rPr>
          <w:rFonts w:eastAsia="Open Sans" w:cs="Open Sans"/>
          <w:color w:val="000000" w:themeColor="text1"/>
        </w:rPr>
        <w:t xml:space="preserve">of the Disability Discrimination </w:t>
      </w:r>
      <w:r w:rsidR="0F6EE66F" w:rsidRPr="3B0DD5DC">
        <w:rPr>
          <w:rFonts w:eastAsia="Open Sans" w:cs="Open Sans"/>
          <w:color w:val="000000" w:themeColor="text1"/>
        </w:rPr>
        <w:t>Commissioner i</w:t>
      </w:r>
      <w:r w:rsidR="47986689" w:rsidRPr="3B0DD5DC">
        <w:rPr>
          <w:rFonts w:eastAsia="Open Sans" w:cs="Open Sans"/>
          <w:color w:val="000000" w:themeColor="text1"/>
        </w:rPr>
        <w:t xml:space="preserve">ncludes promoting implementation of the standards and principles of </w:t>
      </w:r>
      <w:r w:rsidR="0F6EE66F" w:rsidRPr="3B0DD5DC">
        <w:rPr>
          <w:rFonts w:eastAsia="Open Sans" w:cs="Open Sans"/>
          <w:color w:val="000000" w:themeColor="text1"/>
        </w:rPr>
        <w:t xml:space="preserve">Australia’s </w:t>
      </w:r>
      <w:r w:rsidR="0906A10E" w:rsidRPr="3B0DD5DC">
        <w:rPr>
          <w:rFonts w:eastAsia="Open Sans" w:cs="Open Sans"/>
          <w:color w:val="000000" w:themeColor="text1"/>
        </w:rPr>
        <w:t xml:space="preserve">human rights obligations, in </w:t>
      </w:r>
      <w:r w:rsidR="0F6EE66F" w:rsidRPr="3B0DD5DC">
        <w:rPr>
          <w:rFonts w:eastAsia="Open Sans" w:cs="Open Sans"/>
          <w:color w:val="000000" w:themeColor="text1"/>
        </w:rPr>
        <w:t xml:space="preserve">particular </w:t>
      </w:r>
      <w:r w:rsidR="29BB59AE" w:rsidRPr="3B0DD5DC">
        <w:rPr>
          <w:rFonts w:eastAsia="Open Sans" w:cs="Open Sans"/>
          <w:color w:val="000000" w:themeColor="text1"/>
        </w:rPr>
        <w:t xml:space="preserve">the </w:t>
      </w:r>
      <w:r w:rsidR="0F6EE66F" w:rsidRPr="3B0DD5DC">
        <w:rPr>
          <w:rFonts w:eastAsia="Open Sans" w:cs="Open Sans"/>
          <w:color w:val="000000" w:themeColor="text1"/>
        </w:rPr>
        <w:t xml:space="preserve">United Nations </w:t>
      </w:r>
      <w:r w:rsidR="0F6EE66F" w:rsidRPr="3B0DD5DC">
        <w:rPr>
          <w:rFonts w:eastAsia="Open Sans" w:cs="Open Sans"/>
          <w:i/>
          <w:iCs/>
          <w:color w:val="000000" w:themeColor="text1"/>
        </w:rPr>
        <w:t xml:space="preserve">Convention on the Rights of Persons with Disabilities </w:t>
      </w:r>
      <w:r w:rsidR="0F6EE66F" w:rsidRPr="3B0DD5DC">
        <w:rPr>
          <w:rFonts w:eastAsia="Open Sans" w:cs="Open Sans"/>
          <w:color w:val="000000" w:themeColor="text1"/>
        </w:rPr>
        <w:t>(</w:t>
      </w:r>
      <w:r w:rsidR="0F6EE66F" w:rsidRPr="00880D16">
        <w:rPr>
          <w:rFonts w:eastAsia="Open Sans" w:cs="Open Sans"/>
          <w:color w:val="000000" w:themeColor="text1"/>
        </w:rPr>
        <w:t>CRPD</w:t>
      </w:r>
      <w:r w:rsidR="0F6EE66F" w:rsidRPr="3B0DD5DC">
        <w:rPr>
          <w:rFonts w:eastAsia="Open Sans" w:cs="Open Sans"/>
          <w:color w:val="000000" w:themeColor="text1"/>
        </w:rPr>
        <w:t xml:space="preserve">). </w:t>
      </w:r>
      <w:r w:rsidR="0F6EE66F" w:rsidRPr="3B0DD5DC">
        <w:rPr>
          <w:rFonts w:eastAsia="Open Sans" w:cs="Open Sans"/>
        </w:rPr>
        <w:t xml:space="preserve"> </w:t>
      </w:r>
    </w:p>
    <w:p w14:paraId="7BC1BF1D" w14:textId="79B1BD1B" w:rsidR="007C094D" w:rsidRPr="00C0511C" w:rsidRDefault="007C094D" w:rsidP="007C094D">
      <w:r>
        <w:t xml:space="preserve">The Commission </w:t>
      </w:r>
      <w:r w:rsidR="000B03C9">
        <w:t>deliver</w:t>
      </w:r>
      <w:r w:rsidR="00E920D0">
        <w:t>s</w:t>
      </w:r>
      <w:r w:rsidR="00024185">
        <w:t xml:space="preserve"> </w:t>
      </w:r>
      <w:r w:rsidRPr="00880D16">
        <w:rPr>
          <w:i/>
          <w:iCs/>
        </w:rPr>
        <w:t>Equality at Work</w:t>
      </w:r>
      <w:r>
        <w:t xml:space="preserve"> (</w:t>
      </w:r>
      <w:r w:rsidR="00E920D0">
        <w:t xml:space="preserve">the second phase of the </w:t>
      </w:r>
      <w:r>
        <w:t>IncludeAbility</w:t>
      </w:r>
      <w:r w:rsidR="00E920D0">
        <w:t xml:space="preserve"> project</w:t>
      </w:r>
      <w:r>
        <w:t>)</w:t>
      </w:r>
      <w:r w:rsidR="00E920D0">
        <w:t>.</w:t>
      </w:r>
      <w:r w:rsidR="00AA7268">
        <w:rPr>
          <w:rStyle w:val="EndnoteReference"/>
        </w:rPr>
        <w:endnoteReference w:id="6"/>
      </w:r>
      <w:r w:rsidR="00E920D0">
        <w:t xml:space="preserve"> This project</w:t>
      </w:r>
      <w:r>
        <w:t xml:space="preserve"> </w:t>
      </w:r>
      <w:r w:rsidR="00A01B5F">
        <w:t>builds</w:t>
      </w:r>
      <w:r w:rsidR="00A41D05">
        <w:t xml:space="preserve"> the</w:t>
      </w:r>
      <w:r>
        <w:t xml:space="preserve"> capacity of employers to employ people with disability and </w:t>
      </w:r>
      <w:r w:rsidR="00250059">
        <w:t>pathways</w:t>
      </w:r>
      <w:r>
        <w:t xml:space="preserve"> from segregate</w:t>
      </w:r>
      <w:r w:rsidR="00BE5D9B">
        <w:t>d to</w:t>
      </w:r>
      <w:r>
        <w:t xml:space="preserve"> open employment. </w:t>
      </w:r>
      <w:r w:rsidR="005527BB">
        <w:t>T</w:t>
      </w:r>
      <w:r>
        <w:t xml:space="preserve">he project </w:t>
      </w:r>
      <w:r w:rsidR="005527BB">
        <w:t xml:space="preserve">has </w:t>
      </w:r>
      <w:r>
        <w:t>work</w:t>
      </w:r>
      <w:r w:rsidR="005527BB">
        <w:t>ed with</w:t>
      </w:r>
      <w:r>
        <w:t xml:space="preserve"> supported employment </w:t>
      </w:r>
      <w:r w:rsidR="006F19A1">
        <w:t xml:space="preserve">providers </w:t>
      </w:r>
      <w:r w:rsidR="00446E3F">
        <w:t>to create</w:t>
      </w:r>
      <w:r>
        <w:t xml:space="preserve"> positive </w:t>
      </w:r>
      <w:r w:rsidR="00446E3F">
        <w:t>em</w:t>
      </w:r>
      <w:r w:rsidR="00744F43">
        <w:t xml:space="preserve">ployment </w:t>
      </w:r>
      <w:r>
        <w:t xml:space="preserve">outcomes for both people with disability and employers. </w:t>
      </w:r>
    </w:p>
    <w:p w14:paraId="75BD9EE8" w14:textId="7CE7B2AD" w:rsidR="00E35A0C" w:rsidRDefault="00E35A0C" w:rsidP="00E35A0C">
      <w:r>
        <w:t>The Commission’s position has been made clear in past submissions to both domestic and international bodies</w:t>
      </w:r>
      <w:r>
        <w:rPr>
          <w:rStyle w:val="EndnoteReference"/>
        </w:rPr>
        <w:endnoteReference w:id="7"/>
      </w:r>
      <w:r>
        <w:t xml:space="preserve"> and remains consistent: people with disability have a right to work in open employment, with equal pay, and without discrimination. This includes access to</w:t>
      </w:r>
      <w:r w:rsidRPr="00F0122E">
        <w:t xml:space="preserve"> individualised support</w:t>
      </w:r>
      <w:r>
        <w:t xml:space="preserve"> regardless of perceived productivity and support needs. </w:t>
      </w:r>
    </w:p>
    <w:p w14:paraId="0DA15844" w14:textId="1ED339F5" w:rsidR="003B7673" w:rsidRDefault="003B7673" w:rsidP="003B7673">
      <w:pPr>
        <w:pStyle w:val="Heading2"/>
      </w:pPr>
      <w:bookmarkStart w:id="37" w:name="_Toc202518618"/>
      <w:r>
        <w:lastRenderedPageBreak/>
        <w:t>Note on terminology</w:t>
      </w:r>
      <w:bookmarkEnd w:id="37"/>
    </w:p>
    <w:p w14:paraId="3312D30A" w14:textId="1FB3DDFA" w:rsidR="003B7673" w:rsidRDefault="003B7673">
      <w:r>
        <w:t xml:space="preserve">The discussion paper </w:t>
      </w:r>
      <w:r w:rsidR="00AE15B8">
        <w:t xml:space="preserve">refers to people requiring </w:t>
      </w:r>
      <w:r>
        <w:t xml:space="preserve">supported employment </w:t>
      </w:r>
      <w:r w:rsidR="00AE15B8">
        <w:t xml:space="preserve">as </w:t>
      </w:r>
      <w:r>
        <w:t xml:space="preserve">people with ‘high support </w:t>
      </w:r>
      <w:proofErr w:type="gramStart"/>
      <w:r>
        <w:t>needs’</w:t>
      </w:r>
      <w:proofErr w:type="gramEnd"/>
      <w:r>
        <w:t>. In this submission, the Commission</w:t>
      </w:r>
      <w:r w:rsidR="00AE15B8">
        <w:t xml:space="preserve"> uses</w:t>
      </w:r>
      <w:r>
        <w:t xml:space="preserve"> ‘people facing greater barriers to employment’, unless it is necessary to refer explicitly to support needs. </w:t>
      </w:r>
      <w:r w:rsidR="00852568">
        <w:t>This re-framing</w:t>
      </w:r>
      <w:r>
        <w:t xml:space="preserve"> emphasises </w:t>
      </w:r>
      <w:r w:rsidR="6290E6DF">
        <w:t xml:space="preserve">the impact of ableism which results in </w:t>
      </w:r>
      <w:r>
        <w:t xml:space="preserve">systemic </w:t>
      </w:r>
      <w:r w:rsidR="6A197725">
        <w:t xml:space="preserve">inequality and </w:t>
      </w:r>
      <w:r>
        <w:t>discrimination</w:t>
      </w:r>
      <w:r w:rsidR="651CBE6D">
        <w:t xml:space="preserve"> and</w:t>
      </w:r>
      <w:r>
        <w:t xml:space="preserve"> low expectations, rather than the individuals' support needs</w:t>
      </w:r>
      <w:r w:rsidR="434278A5">
        <w:t xml:space="preserve">. </w:t>
      </w:r>
    </w:p>
    <w:p w14:paraId="43F33EF5" w14:textId="52579251" w:rsidR="3B0DD5DC" w:rsidRDefault="43F3F921" w:rsidP="00C76023">
      <w:pPr>
        <w:rPr>
          <w:i/>
          <w:iCs/>
        </w:rPr>
      </w:pPr>
      <w:r w:rsidRPr="00C76023">
        <w:t xml:space="preserve">The use of the term ‘supported employment’ in </w:t>
      </w:r>
      <w:r w:rsidR="1FC405A1" w:rsidRPr="00C76023">
        <w:t xml:space="preserve">the discussion paper refers to </w:t>
      </w:r>
      <w:r w:rsidR="57D96E02" w:rsidRPr="00C76023">
        <w:t>the</w:t>
      </w:r>
      <w:r w:rsidR="1FC405A1" w:rsidRPr="00C76023">
        <w:t xml:space="preserve"> disability employment program</w:t>
      </w:r>
      <w:r w:rsidR="0DC57065" w:rsidRPr="00C76023">
        <w:t xml:space="preserve"> aimed at ensuring people with disability with high support needs receive extra support while they are at work. In this submission, </w:t>
      </w:r>
      <w:r w:rsidR="0B239F55" w:rsidRPr="00C76023">
        <w:t xml:space="preserve">unless referring </w:t>
      </w:r>
      <w:r w:rsidR="789E7838" w:rsidRPr="00C76023">
        <w:t xml:space="preserve">specifically </w:t>
      </w:r>
      <w:r w:rsidR="0B239F55" w:rsidRPr="00C76023">
        <w:t xml:space="preserve">to the </w:t>
      </w:r>
      <w:r w:rsidR="2A081E1C" w:rsidRPr="00C76023">
        <w:t>‘supported employment program’,</w:t>
      </w:r>
      <w:r w:rsidR="0B239F55" w:rsidRPr="00C76023">
        <w:t xml:space="preserve"> </w:t>
      </w:r>
      <w:r w:rsidR="0DC57065" w:rsidRPr="00C76023">
        <w:t xml:space="preserve">the Commission uses the term ‘supported employment’ to refer more broadly to </w:t>
      </w:r>
      <w:r w:rsidR="4B57471D" w:rsidRPr="00C76023">
        <w:t>supports that are required by people with disability to exercise their right to work on an equal basis with others</w:t>
      </w:r>
      <w:r w:rsidR="128C809A" w:rsidRPr="00C76023">
        <w:t>. This reflects the terminology in the CRPD General Comment No</w:t>
      </w:r>
      <w:r w:rsidR="4B57471D" w:rsidRPr="00C76023">
        <w:t>.</w:t>
      </w:r>
      <w:r w:rsidR="128C809A" w:rsidRPr="00C76023">
        <w:t xml:space="preserve"> 8 (2022) on the right of persons with disabilities to work and </w:t>
      </w:r>
      <w:r w:rsidR="128C809A" w:rsidRPr="00BE787F">
        <w:t>employment.</w:t>
      </w:r>
    </w:p>
    <w:p w14:paraId="78D1F088" w14:textId="77777777" w:rsidR="00D03307" w:rsidRDefault="00D03307" w:rsidP="00C76023">
      <w:pPr>
        <w:pStyle w:val="Heading1"/>
      </w:pPr>
      <w:bookmarkStart w:id="38" w:name="_Toc198117203"/>
      <w:bookmarkStart w:id="39" w:name="_Toc202518619"/>
      <w:r>
        <w:t>Recommendations</w:t>
      </w:r>
      <w:bookmarkEnd w:id="38"/>
      <w:bookmarkEnd w:id="39"/>
    </w:p>
    <w:p w14:paraId="2905821A" w14:textId="1E7F6EFB" w:rsidR="003423F4" w:rsidRDefault="003423F4" w:rsidP="003423F4">
      <w:r>
        <w:t>The commission recommends</w:t>
      </w:r>
      <w:r w:rsidR="00C4280D">
        <w:t xml:space="preserve">: </w:t>
      </w:r>
    </w:p>
    <w:p w14:paraId="06358D5F" w14:textId="77777777" w:rsidR="00491931" w:rsidRPr="004916BC" w:rsidRDefault="00491931" w:rsidP="00491931">
      <w:pPr>
        <w:rPr>
          <w:b/>
          <w:bCs/>
        </w:rPr>
      </w:pPr>
      <w:r>
        <w:rPr>
          <w:b/>
          <w:bCs/>
        </w:rPr>
        <w:t>Recommendation 1: The Australian Government should commit to d</w:t>
      </w:r>
      <w:r w:rsidRPr="00EF15D0">
        <w:rPr>
          <w:b/>
          <w:bCs/>
        </w:rPr>
        <w:t xml:space="preserve">eveloping and implementing a </w:t>
      </w:r>
      <w:r>
        <w:rPr>
          <w:b/>
          <w:bCs/>
        </w:rPr>
        <w:t>N</w:t>
      </w:r>
      <w:r w:rsidRPr="00EF15D0">
        <w:rPr>
          <w:b/>
          <w:bCs/>
        </w:rPr>
        <w:t xml:space="preserve">ational </w:t>
      </w:r>
      <w:r>
        <w:rPr>
          <w:b/>
          <w:bCs/>
        </w:rPr>
        <w:t>I</w:t>
      </w:r>
      <w:r w:rsidRPr="00EF15D0">
        <w:rPr>
          <w:b/>
          <w:bCs/>
        </w:rPr>
        <w:t xml:space="preserve">nclusive </w:t>
      </w:r>
      <w:r>
        <w:rPr>
          <w:b/>
          <w:bCs/>
        </w:rPr>
        <w:t>E</w:t>
      </w:r>
      <w:r w:rsidRPr="00EF15D0">
        <w:rPr>
          <w:b/>
          <w:bCs/>
        </w:rPr>
        <w:t xml:space="preserve">mployment </w:t>
      </w:r>
      <w:r>
        <w:rPr>
          <w:b/>
          <w:bCs/>
        </w:rPr>
        <w:t>R</w:t>
      </w:r>
      <w:r w:rsidRPr="00EF15D0">
        <w:rPr>
          <w:b/>
          <w:bCs/>
        </w:rPr>
        <w:t>oadmap</w:t>
      </w:r>
      <w:r w:rsidRPr="2F8003BC">
        <w:rPr>
          <w:b/>
          <w:bCs/>
        </w:rPr>
        <w:t>.</w:t>
      </w:r>
      <w:r>
        <w:rPr>
          <w:b/>
          <w:bCs/>
        </w:rPr>
        <w:t xml:space="preserve"> The roadmap should: </w:t>
      </w:r>
    </w:p>
    <w:p w14:paraId="4F7D1A4D" w14:textId="77777777" w:rsidR="00491931" w:rsidRDefault="00491931" w:rsidP="00E513BC">
      <w:pPr>
        <w:pStyle w:val="ListParagraph"/>
        <w:numPr>
          <w:ilvl w:val="0"/>
          <w:numId w:val="17"/>
        </w:numPr>
        <w:rPr>
          <w:b/>
          <w:bCs/>
          <w:i/>
          <w:iCs/>
        </w:rPr>
      </w:pPr>
      <w:r w:rsidRPr="73E10FD6">
        <w:rPr>
          <w:b/>
          <w:bCs/>
        </w:rPr>
        <w:t xml:space="preserve">Be underpinned by the standards and principles of the </w:t>
      </w:r>
      <w:r w:rsidRPr="00627346">
        <w:rPr>
          <w:b/>
          <w:bCs/>
          <w:i/>
          <w:iCs/>
        </w:rPr>
        <w:t>Convention on the Rights of Persons with Disabilities</w:t>
      </w:r>
      <w:r>
        <w:rPr>
          <w:b/>
          <w:bCs/>
          <w:i/>
          <w:iCs/>
        </w:rPr>
        <w:t xml:space="preserve">, </w:t>
      </w:r>
      <w:r w:rsidRPr="73E10FD6">
        <w:rPr>
          <w:b/>
          <w:bCs/>
        </w:rPr>
        <w:t xml:space="preserve">including </w:t>
      </w:r>
      <w:r>
        <w:rPr>
          <w:b/>
          <w:bCs/>
        </w:rPr>
        <w:t xml:space="preserve">article 27. </w:t>
      </w:r>
    </w:p>
    <w:p w14:paraId="0D66DCEF" w14:textId="77777777" w:rsidR="00491931" w:rsidRPr="00D01BA9" w:rsidRDefault="00491931" w:rsidP="00E513BC">
      <w:pPr>
        <w:pStyle w:val="ListParagraph"/>
        <w:numPr>
          <w:ilvl w:val="0"/>
          <w:numId w:val="17"/>
        </w:numPr>
        <w:rPr>
          <w:b/>
          <w:bCs/>
          <w:i/>
          <w:iCs/>
        </w:rPr>
      </w:pPr>
      <w:r w:rsidRPr="007D7DAC">
        <w:rPr>
          <w:b/>
          <w:bCs/>
        </w:rPr>
        <w:t xml:space="preserve">Be informed by </w:t>
      </w:r>
      <w:r>
        <w:rPr>
          <w:b/>
          <w:bCs/>
        </w:rPr>
        <w:t>the</w:t>
      </w:r>
      <w:r w:rsidRPr="007D7DAC">
        <w:rPr>
          <w:b/>
          <w:bCs/>
        </w:rPr>
        <w:t xml:space="preserve"> guidance provided under General Comment No. 8 by the Committee on the Rights of Persons with Disabilities.</w:t>
      </w:r>
      <w:r>
        <w:rPr>
          <w:rStyle w:val="EndnoteReference"/>
          <w:b/>
          <w:bCs/>
        </w:rPr>
        <w:endnoteReference w:id="8"/>
      </w:r>
      <w:r w:rsidRPr="007D7DAC">
        <w:rPr>
          <w:b/>
          <w:bCs/>
        </w:rPr>
        <w:t xml:space="preserve"> </w:t>
      </w:r>
    </w:p>
    <w:p w14:paraId="3E3671F3" w14:textId="77777777" w:rsidR="00491931" w:rsidRPr="004916BC" w:rsidRDefault="00491931" w:rsidP="00E513BC">
      <w:pPr>
        <w:pStyle w:val="ListParagraph"/>
        <w:numPr>
          <w:ilvl w:val="0"/>
          <w:numId w:val="17"/>
        </w:numPr>
        <w:rPr>
          <w:b/>
          <w:bCs/>
          <w:i/>
          <w:iCs/>
        </w:rPr>
      </w:pPr>
      <w:proofErr w:type="gramStart"/>
      <w:r>
        <w:rPr>
          <w:b/>
          <w:bCs/>
        </w:rPr>
        <w:t>Be</w:t>
      </w:r>
      <w:proofErr w:type="gramEnd"/>
      <w:r>
        <w:rPr>
          <w:b/>
          <w:bCs/>
        </w:rPr>
        <w:t xml:space="preserve"> co-designed with people with disability and their representative organisations and involve people with disability in governance processes to ensure accountability.</w:t>
      </w:r>
    </w:p>
    <w:p w14:paraId="49BE48CD" w14:textId="77777777" w:rsidR="00491931" w:rsidRPr="00297A77" w:rsidRDefault="00491931" w:rsidP="00E513BC">
      <w:pPr>
        <w:pStyle w:val="ListParagraph"/>
        <w:numPr>
          <w:ilvl w:val="0"/>
          <w:numId w:val="17"/>
        </w:numPr>
        <w:rPr>
          <w:b/>
          <w:bCs/>
        </w:rPr>
      </w:pPr>
      <w:r>
        <w:rPr>
          <w:b/>
          <w:bCs/>
        </w:rPr>
        <w:t>Have time limited actions to</w:t>
      </w:r>
      <w:r w:rsidRPr="00297A77">
        <w:rPr>
          <w:b/>
          <w:bCs/>
        </w:rPr>
        <w:t xml:space="preserve"> transition away from segregated settings (ADEs) to the open labour market</w:t>
      </w:r>
      <w:r>
        <w:rPr>
          <w:b/>
          <w:bCs/>
        </w:rPr>
        <w:t xml:space="preserve"> and to eliminate sub-minimum wages and </w:t>
      </w:r>
      <w:r w:rsidRPr="00297A77">
        <w:rPr>
          <w:b/>
          <w:bCs/>
        </w:rPr>
        <w:t>ensure the application of labour rights in segregated employment settings during transition.</w:t>
      </w:r>
      <w:r w:rsidRPr="00297A77">
        <w:rPr>
          <w:rStyle w:val="EndnoteReference"/>
          <w:b/>
          <w:bCs/>
        </w:rPr>
        <w:endnoteReference w:id="9"/>
      </w:r>
    </w:p>
    <w:p w14:paraId="23FBABED" w14:textId="77777777" w:rsidR="00491931" w:rsidRDefault="00491931" w:rsidP="00E513BC">
      <w:pPr>
        <w:pStyle w:val="ListParagraph"/>
        <w:numPr>
          <w:ilvl w:val="0"/>
          <w:numId w:val="17"/>
        </w:numPr>
        <w:rPr>
          <w:b/>
          <w:bCs/>
          <w:i/>
          <w:iCs/>
        </w:rPr>
      </w:pPr>
      <w:r>
        <w:rPr>
          <w:b/>
          <w:bCs/>
        </w:rPr>
        <w:lastRenderedPageBreak/>
        <w:t xml:space="preserve">Seek to address systemic and structural barriers to employment experienced by people with disability across both private and public sectors and broader policy areas.  </w:t>
      </w:r>
    </w:p>
    <w:p w14:paraId="08FF7992" w14:textId="77777777" w:rsidR="00491931" w:rsidRDefault="00491931" w:rsidP="00491931">
      <w:pPr>
        <w:rPr>
          <w:b/>
          <w:bCs/>
        </w:rPr>
      </w:pPr>
      <w:r w:rsidRPr="000D3716">
        <w:rPr>
          <w:b/>
          <w:bCs/>
        </w:rPr>
        <w:t xml:space="preserve">Recommendation </w:t>
      </w:r>
      <w:r>
        <w:rPr>
          <w:b/>
          <w:bCs/>
        </w:rPr>
        <w:t>2</w:t>
      </w:r>
      <w:r w:rsidRPr="000D3716">
        <w:rPr>
          <w:b/>
          <w:bCs/>
        </w:rPr>
        <w:t xml:space="preserve">: </w:t>
      </w:r>
      <w:r>
        <w:rPr>
          <w:b/>
          <w:bCs/>
        </w:rPr>
        <w:t xml:space="preserve">A National Inclusive Employment Roadmap should include a comprehensive action plan with sufficient allocation of resources, explicit </w:t>
      </w:r>
      <w:r w:rsidRPr="1B83E774">
        <w:rPr>
          <w:b/>
          <w:bCs/>
        </w:rPr>
        <w:t xml:space="preserve">measurable </w:t>
      </w:r>
      <w:r>
        <w:rPr>
          <w:b/>
          <w:bCs/>
        </w:rPr>
        <w:t xml:space="preserve">targets and benchmarks and human rights indicators.   </w:t>
      </w:r>
      <w:r w:rsidRPr="000D3716">
        <w:rPr>
          <w:b/>
          <w:bCs/>
        </w:rPr>
        <w:t xml:space="preserve"> </w:t>
      </w:r>
    </w:p>
    <w:p w14:paraId="4BE77AAE" w14:textId="77777777" w:rsidR="00491931" w:rsidRDefault="00491931" w:rsidP="00491931">
      <w:pPr>
        <w:rPr>
          <w:b/>
        </w:rPr>
      </w:pPr>
      <w:r w:rsidRPr="00043746">
        <w:rPr>
          <w:b/>
          <w:bCs/>
        </w:rPr>
        <w:t xml:space="preserve">Recommendation </w:t>
      </w:r>
      <w:r>
        <w:rPr>
          <w:b/>
          <w:bCs/>
        </w:rPr>
        <w:t>3</w:t>
      </w:r>
      <w:r w:rsidRPr="00043746">
        <w:rPr>
          <w:b/>
          <w:bCs/>
        </w:rPr>
        <w:t xml:space="preserve">: </w:t>
      </w:r>
      <w:r w:rsidRPr="00043746">
        <w:rPr>
          <w:b/>
        </w:rPr>
        <w:t xml:space="preserve">The Australian Government should </w:t>
      </w:r>
      <w:r>
        <w:rPr>
          <w:b/>
        </w:rPr>
        <w:t>implement specific</w:t>
      </w:r>
      <w:r w:rsidRPr="00043746">
        <w:rPr>
          <w:b/>
        </w:rPr>
        <w:t xml:space="preserve"> measures and dedicated funding to increase employer demand, capability, and the development of inclusive, accessible workplace cultures that uphold the rights and meet the needs of employees with disability.</w:t>
      </w:r>
    </w:p>
    <w:p w14:paraId="0A5A383C" w14:textId="77777777" w:rsidR="00491931" w:rsidRPr="00084625" w:rsidRDefault="00491931" w:rsidP="00491931">
      <w:pPr>
        <w:spacing w:line="278" w:lineRule="auto"/>
        <w:rPr>
          <w:b/>
        </w:rPr>
      </w:pPr>
      <w:r>
        <w:rPr>
          <w:b/>
        </w:rPr>
        <w:t xml:space="preserve">Recommendation 4: The Australian Government should urgently reform the </w:t>
      </w:r>
      <w:r>
        <w:rPr>
          <w:b/>
          <w:i/>
          <w:iCs/>
        </w:rPr>
        <w:t xml:space="preserve">Disability Discrimination Act 1992 </w:t>
      </w:r>
      <w:r>
        <w:rPr>
          <w:b/>
        </w:rPr>
        <w:t xml:space="preserve">(Cth), as recommended by the Disability Royal Commission and the Australian Human Rights Commission. </w:t>
      </w:r>
    </w:p>
    <w:p w14:paraId="422C132A" w14:textId="77777777" w:rsidR="00491931" w:rsidRDefault="00491931" w:rsidP="00491931">
      <w:pPr>
        <w:spacing w:line="259" w:lineRule="auto"/>
        <w:rPr>
          <w:b/>
          <w:bCs/>
        </w:rPr>
      </w:pPr>
      <w:r w:rsidRPr="003B7413">
        <w:rPr>
          <w:b/>
          <w:bCs/>
        </w:rPr>
        <w:t xml:space="preserve">Recommendation </w:t>
      </w:r>
      <w:r>
        <w:rPr>
          <w:b/>
          <w:bCs/>
        </w:rPr>
        <w:t>5:</w:t>
      </w:r>
      <w:r w:rsidRPr="003B7413">
        <w:rPr>
          <w:b/>
          <w:bCs/>
        </w:rPr>
        <w:t xml:space="preserve"> </w:t>
      </w:r>
      <w:r w:rsidRPr="002A2550">
        <w:rPr>
          <w:b/>
          <w:bCs/>
        </w:rPr>
        <w:t>Australian Disability Enterprises (ADEs)</w:t>
      </w:r>
      <w:r>
        <w:rPr>
          <w:b/>
          <w:bCs/>
        </w:rPr>
        <w:t xml:space="preserve"> should</w:t>
      </w:r>
      <w:r w:rsidRPr="002A2550">
        <w:rPr>
          <w:b/>
          <w:bCs/>
        </w:rPr>
        <w:t xml:space="preserve"> be supported to transition into labour market intermediaries that deliver </w:t>
      </w:r>
      <w:r w:rsidRPr="00571F5F">
        <w:rPr>
          <w:b/>
          <w:bCs/>
        </w:rPr>
        <w:t>employment</w:t>
      </w:r>
      <w:r w:rsidRPr="002A2550">
        <w:rPr>
          <w:b/>
          <w:bCs/>
        </w:rPr>
        <w:t xml:space="preserve"> supports </w:t>
      </w:r>
      <w:r w:rsidRPr="65267401">
        <w:rPr>
          <w:b/>
          <w:bCs/>
        </w:rPr>
        <w:t xml:space="preserve">to both job seekers and employers </w:t>
      </w:r>
      <w:r w:rsidRPr="002A2550">
        <w:rPr>
          <w:b/>
          <w:bCs/>
        </w:rPr>
        <w:t>exclusively within open employment settings.</w:t>
      </w:r>
    </w:p>
    <w:p w14:paraId="2FE80308" w14:textId="77777777" w:rsidR="00491931" w:rsidRDefault="00491931" w:rsidP="00491931">
      <w:pPr>
        <w:spacing w:line="259" w:lineRule="auto"/>
        <w:rPr>
          <w:b/>
          <w:bCs/>
        </w:rPr>
      </w:pPr>
      <w:r>
        <w:rPr>
          <w:b/>
          <w:bCs/>
        </w:rPr>
        <w:t xml:space="preserve">Recommendation 6: The Australian Government ensure that reforms to supported employment are designed to complement and integrate with the broader disability employment service system. </w:t>
      </w:r>
    </w:p>
    <w:p w14:paraId="72C91C66" w14:textId="77777777" w:rsidR="00491931" w:rsidRPr="00FD5191" w:rsidRDefault="00491931" w:rsidP="00491931">
      <w:pPr>
        <w:rPr>
          <w:b/>
          <w:bCs/>
        </w:rPr>
      </w:pPr>
      <w:r w:rsidRPr="00FD5191">
        <w:rPr>
          <w:b/>
          <w:bCs/>
        </w:rPr>
        <w:t xml:space="preserve">Recommendation </w:t>
      </w:r>
      <w:r>
        <w:rPr>
          <w:b/>
          <w:bCs/>
        </w:rPr>
        <w:t>7:</w:t>
      </w:r>
      <w:r w:rsidRPr="00FD5191">
        <w:rPr>
          <w:b/>
          <w:bCs/>
        </w:rPr>
        <w:t xml:space="preserve"> </w:t>
      </w:r>
      <w:r>
        <w:rPr>
          <w:b/>
          <w:bCs/>
        </w:rPr>
        <w:t>T</w:t>
      </w:r>
      <w:r w:rsidRPr="00FD5191">
        <w:rPr>
          <w:b/>
          <w:bCs/>
        </w:rPr>
        <w:t xml:space="preserve">he Australian Government establish a sustainable </w:t>
      </w:r>
      <w:r>
        <w:rPr>
          <w:b/>
          <w:bCs/>
        </w:rPr>
        <w:t xml:space="preserve">supported employment </w:t>
      </w:r>
      <w:r w:rsidRPr="00FD5191">
        <w:rPr>
          <w:b/>
          <w:bCs/>
        </w:rPr>
        <w:t xml:space="preserve">funding model that is commensurate with the level of support required to enable people </w:t>
      </w:r>
      <w:r>
        <w:rPr>
          <w:b/>
          <w:bCs/>
        </w:rPr>
        <w:t>with disability</w:t>
      </w:r>
      <w:r w:rsidRPr="00FD5191">
        <w:rPr>
          <w:b/>
          <w:bCs/>
        </w:rPr>
        <w:t xml:space="preserve"> to obtain and maintain employment in open and inclusive settings. This model should:</w:t>
      </w:r>
    </w:p>
    <w:p w14:paraId="285374BC" w14:textId="77777777" w:rsidR="00491931" w:rsidRPr="00FD5191" w:rsidRDefault="00491931" w:rsidP="00E513BC">
      <w:pPr>
        <w:pStyle w:val="ListParagraph"/>
        <w:numPr>
          <w:ilvl w:val="0"/>
          <w:numId w:val="24"/>
        </w:numPr>
        <w:rPr>
          <w:b/>
          <w:bCs/>
        </w:rPr>
      </w:pPr>
      <w:r w:rsidRPr="00FD5191">
        <w:rPr>
          <w:b/>
          <w:bCs/>
        </w:rPr>
        <w:t>Recognise the true cost of job customisation, workplace adjustments, and ongoing support</w:t>
      </w:r>
    </w:p>
    <w:p w14:paraId="24B2178E" w14:textId="77777777" w:rsidR="00491931" w:rsidRPr="00FD5191" w:rsidRDefault="00491931" w:rsidP="00E513BC">
      <w:pPr>
        <w:pStyle w:val="ListParagraph"/>
        <w:numPr>
          <w:ilvl w:val="0"/>
          <w:numId w:val="24"/>
        </w:numPr>
        <w:rPr>
          <w:b/>
          <w:bCs/>
        </w:rPr>
      </w:pPr>
      <w:r w:rsidRPr="00FD5191">
        <w:rPr>
          <w:b/>
          <w:bCs/>
        </w:rPr>
        <w:t>Provide adequate and flexible funding to service providers and employers to deliver these supports</w:t>
      </w:r>
    </w:p>
    <w:p w14:paraId="5F3E7275" w14:textId="77777777" w:rsidR="00491931" w:rsidRPr="00FD5191" w:rsidRDefault="00491931" w:rsidP="00E513BC">
      <w:pPr>
        <w:pStyle w:val="ListParagraph"/>
        <w:numPr>
          <w:ilvl w:val="0"/>
          <w:numId w:val="24"/>
        </w:numPr>
        <w:rPr>
          <w:b/>
          <w:bCs/>
        </w:rPr>
      </w:pPr>
      <w:r w:rsidRPr="00FD5191">
        <w:rPr>
          <w:b/>
          <w:bCs/>
        </w:rPr>
        <w:t>Ensure that funding is not limited by rigid program boundaries (e.g. NDIS vs employment services)</w:t>
      </w:r>
      <w:r>
        <w:rPr>
          <w:b/>
          <w:bCs/>
        </w:rPr>
        <w:t xml:space="preserve"> </w:t>
      </w:r>
      <w:r w:rsidRPr="00FD5191">
        <w:rPr>
          <w:b/>
          <w:bCs/>
        </w:rPr>
        <w:t>but instead reflects the holistic needs of the individual</w:t>
      </w:r>
      <w:r>
        <w:rPr>
          <w:b/>
          <w:bCs/>
        </w:rPr>
        <w:t xml:space="preserve"> and is made universally available. </w:t>
      </w:r>
    </w:p>
    <w:p w14:paraId="79B9E477" w14:textId="77777777" w:rsidR="00491931" w:rsidRPr="00084625" w:rsidRDefault="00491931" w:rsidP="00E513BC">
      <w:pPr>
        <w:pStyle w:val="ListParagraph"/>
        <w:numPr>
          <w:ilvl w:val="0"/>
          <w:numId w:val="24"/>
        </w:numPr>
        <w:rPr>
          <w:bCs/>
        </w:rPr>
      </w:pPr>
      <w:r w:rsidRPr="00FD5191">
        <w:rPr>
          <w:b/>
          <w:bCs/>
        </w:rPr>
        <w:t>Be informed by evidence from pilot programs, and evaluations of the Structural Adjustment Fund and other grant-funded initiatives.</w:t>
      </w:r>
    </w:p>
    <w:p w14:paraId="6B7EB3FF" w14:textId="77777777" w:rsidR="00491931" w:rsidRPr="00C4516C" w:rsidRDefault="00491931" w:rsidP="00491931">
      <w:pPr>
        <w:spacing w:before="0" w:after="160" w:line="259" w:lineRule="auto"/>
        <w:rPr>
          <w:b/>
        </w:rPr>
      </w:pPr>
      <w:r>
        <w:rPr>
          <w:b/>
        </w:rPr>
        <w:lastRenderedPageBreak/>
        <w:t xml:space="preserve">Recommendation 8: </w:t>
      </w:r>
      <w:r w:rsidRPr="00C4516C">
        <w:rPr>
          <w:b/>
        </w:rPr>
        <w:t>The Australian Government</w:t>
      </w:r>
      <w:r>
        <w:rPr>
          <w:b/>
        </w:rPr>
        <w:t xml:space="preserve"> </w:t>
      </w:r>
      <w:r w:rsidRPr="00C4516C">
        <w:rPr>
          <w:b/>
        </w:rPr>
        <w:t xml:space="preserve">improve the NDIS system architecture to </w:t>
      </w:r>
      <w:r>
        <w:rPr>
          <w:b/>
        </w:rPr>
        <w:t xml:space="preserve">align </w:t>
      </w:r>
      <w:r w:rsidRPr="00C4516C">
        <w:rPr>
          <w:b/>
        </w:rPr>
        <w:t>funding structures to </w:t>
      </w:r>
      <w:r w:rsidRPr="00C4516C">
        <w:rPr>
          <w:b/>
          <w:bCs/>
        </w:rPr>
        <w:t>incentivise open employment pathways</w:t>
      </w:r>
      <w:r w:rsidRPr="00C4516C">
        <w:rPr>
          <w:b/>
        </w:rPr>
        <w:t> over segregated models</w:t>
      </w:r>
      <w:r>
        <w:rPr>
          <w:b/>
        </w:rPr>
        <w:t xml:space="preserve">, </w:t>
      </w:r>
      <w:r w:rsidRPr="00C4516C">
        <w:rPr>
          <w:b/>
        </w:rPr>
        <w:t>includ</w:t>
      </w:r>
      <w:r>
        <w:rPr>
          <w:b/>
        </w:rPr>
        <w:t>ing</w:t>
      </w:r>
      <w:r w:rsidRPr="00C4516C">
        <w:rPr>
          <w:b/>
        </w:rPr>
        <w:t>:</w:t>
      </w:r>
    </w:p>
    <w:p w14:paraId="76CC26C2" w14:textId="77777777" w:rsidR="00491931" w:rsidRPr="00C4516C" w:rsidRDefault="00491931" w:rsidP="00E513BC">
      <w:pPr>
        <w:numPr>
          <w:ilvl w:val="0"/>
          <w:numId w:val="25"/>
        </w:numPr>
        <w:spacing w:before="0" w:after="160" w:line="259" w:lineRule="auto"/>
        <w:rPr>
          <w:b/>
        </w:rPr>
      </w:pPr>
      <w:r w:rsidRPr="00C4516C">
        <w:rPr>
          <w:b/>
        </w:rPr>
        <w:t>Ensuring consistent and reliable access to employment supports in NDIS plans, including skill development</w:t>
      </w:r>
      <w:r>
        <w:rPr>
          <w:b/>
        </w:rPr>
        <w:t xml:space="preserve"> and ongoing employment supports</w:t>
      </w:r>
    </w:p>
    <w:p w14:paraId="10F7DAB0" w14:textId="77777777" w:rsidR="00491931" w:rsidRPr="00C4516C" w:rsidRDefault="00491931" w:rsidP="00E513BC">
      <w:pPr>
        <w:numPr>
          <w:ilvl w:val="0"/>
          <w:numId w:val="25"/>
        </w:numPr>
        <w:spacing w:before="0" w:after="160" w:line="259" w:lineRule="auto"/>
        <w:rPr>
          <w:b/>
        </w:rPr>
      </w:pPr>
      <w:r w:rsidRPr="00C4516C">
        <w:rPr>
          <w:b/>
        </w:rPr>
        <w:t>Establishing mechanisms for </w:t>
      </w:r>
      <w:r w:rsidRPr="00C4516C">
        <w:rPr>
          <w:b/>
          <w:bCs/>
        </w:rPr>
        <w:t>rapid plan adjustments</w:t>
      </w:r>
      <w:r w:rsidRPr="00C4516C">
        <w:rPr>
          <w:b/>
        </w:rPr>
        <w:t> in response to changes in employment status or opportunities</w:t>
      </w:r>
    </w:p>
    <w:p w14:paraId="0F8D4F4F" w14:textId="77777777" w:rsidR="00491931" w:rsidRPr="00084625" w:rsidRDefault="00491931" w:rsidP="00E513BC">
      <w:pPr>
        <w:numPr>
          <w:ilvl w:val="0"/>
          <w:numId w:val="25"/>
        </w:numPr>
        <w:spacing w:before="0" w:after="160" w:line="259" w:lineRule="auto"/>
        <w:rPr>
          <w:b/>
        </w:rPr>
      </w:pPr>
      <w:r w:rsidRPr="00C4516C">
        <w:rPr>
          <w:b/>
        </w:rPr>
        <w:t>Providing clear guidance and training to planners and providers on employment-related supports and their role in facilitating inclusive employment outcomes</w:t>
      </w:r>
    </w:p>
    <w:p w14:paraId="3B28341C" w14:textId="77777777" w:rsidR="00491931" w:rsidRDefault="00491931" w:rsidP="00491931">
      <w:pPr>
        <w:spacing w:line="259" w:lineRule="auto"/>
        <w:rPr>
          <w:b/>
        </w:rPr>
      </w:pPr>
      <w:r>
        <w:rPr>
          <w:b/>
        </w:rPr>
        <w:t>Recommendation 9: The Australian Government publicly respond to the NDIS Review and i</w:t>
      </w:r>
      <w:r w:rsidRPr="002614B1">
        <w:rPr>
          <w:b/>
        </w:rPr>
        <w:t>mplement</w:t>
      </w:r>
      <w:r>
        <w:rPr>
          <w:b/>
        </w:rPr>
        <w:t xml:space="preserve"> </w:t>
      </w:r>
      <w:r w:rsidRPr="002614B1">
        <w:rPr>
          <w:b/>
        </w:rPr>
        <w:t xml:space="preserve">recommendations to </w:t>
      </w:r>
      <w:r>
        <w:rPr>
          <w:b/>
        </w:rPr>
        <w:t xml:space="preserve">improve </w:t>
      </w:r>
      <w:r w:rsidRPr="002614B1">
        <w:rPr>
          <w:b/>
        </w:rPr>
        <w:t>planning processes and coordination across employment and disability support systems.</w:t>
      </w:r>
    </w:p>
    <w:p w14:paraId="1063E8AC" w14:textId="77777777" w:rsidR="00491931" w:rsidRPr="0076653A" w:rsidRDefault="00491931" w:rsidP="00491931">
      <w:pPr>
        <w:rPr>
          <w:b/>
        </w:rPr>
      </w:pPr>
      <w:r>
        <w:rPr>
          <w:b/>
        </w:rPr>
        <w:t>Recommendation 10: All Australian</w:t>
      </w:r>
      <w:r w:rsidRPr="0076653A">
        <w:rPr>
          <w:b/>
        </w:rPr>
        <w:t xml:space="preserve"> governments strengthen their role as model employers by:</w:t>
      </w:r>
    </w:p>
    <w:p w14:paraId="63E1C16F" w14:textId="77777777" w:rsidR="00491931" w:rsidRPr="0076653A" w:rsidRDefault="00491931" w:rsidP="00E513BC">
      <w:pPr>
        <w:numPr>
          <w:ilvl w:val="0"/>
          <w:numId w:val="23"/>
        </w:numPr>
        <w:rPr>
          <w:b/>
        </w:rPr>
      </w:pPr>
      <w:r w:rsidRPr="0076653A">
        <w:rPr>
          <w:b/>
        </w:rPr>
        <w:t>Expanding and resourcing disability employment strategies across public sector agencies</w:t>
      </w:r>
      <w:r>
        <w:rPr>
          <w:b/>
        </w:rPr>
        <w:t xml:space="preserve"> with clear targets and accountability measures.</w:t>
      </w:r>
    </w:p>
    <w:p w14:paraId="66C6ACF1" w14:textId="77777777" w:rsidR="00491931" w:rsidRPr="0076653A" w:rsidRDefault="00491931" w:rsidP="00E513BC">
      <w:pPr>
        <w:numPr>
          <w:ilvl w:val="0"/>
          <w:numId w:val="23"/>
        </w:numPr>
        <w:rPr>
          <w:b/>
        </w:rPr>
      </w:pPr>
      <w:r w:rsidRPr="0076653A">
        <w:rPr>
          <w:b/>
        </w:rPr>
        <w:t>Embedding inclusive employment practices</w:t>
      </w:r>
      <w:r>
        <w:rPr>
          <w:b/>
        </w:rPr>
        <w:t xml:space="preserve"> and programs</w:t>
      </w:r>
      <w:r w:rsidRPr="0076653A">
        <w:rPr>
          <w:b/>
        </w:rPr>
        <w:t xml:space="preserve">, including </w:t>
      </w:r>
      <w:r>
        <w:rPr>
          <w:b/>
        </w:rPr>
        <w:t xml:space="preserve">affirmative measures, </w:t>
      </w:r>
      <w:r w:rsidRPr="0076653A">
        <w:rPr>
          <w:b/>
        </w:rPr>
        <w:t xml:space="preserve">customised employment and career development </w:t>
      </w:r>
      <w:r>
        <w:rPr>
          <w:b/>
        </w:rPr>
        <w:t>opportunities</w:t>
      </w:r>
    </w:p>
    <w:p w14:paraId="6EE58FC9" w14:textId="77777777" w:rsidR="00491931" w:rsidRPr="00084625" w:rsidRDefault="00491931" w:rsidP="00E513BC">
      <w:pPr>
        <w:numPr>
          <w:ilvl w:val="0"/>
          <w:numId w:val="23"/>
        </w:numPr>
        <w:rPr>
          <w:b/>
        </w:rPr>
      </w:pPr>
      <w:r>
        <w:rPr>
          <w:b/>
        </w:rPr>
        <w:t>Leveraging</w:t>
      </w:r>
      <w:r w:rsidRPr="004B06E6">
        <w:rPr>
          <w:b/>
        </w:rPr>
        <w:t xml:space="preserve"> public sector leadership to influence broader labour market reform through procurement, partnerships, and pilot programs.</w:t>
      </w:r>
    </w:p>
    <w:p w14:paraId="77CA03FB" w14:textId="77777777" w:rsidR="00491931" w:rsidRPr="00BA7441" w:rsidRDefault="00491931" w:rsidP="00491931">
      <w:pPr>
        <w:rPr>
          <w:b/>
        </w:rPr>
      </w:pPr>
      <w:r>
        <w:rPr>
          <w:b/>
          <w:bCs/>
        </w:rPr>
        <w:t xml:space="preserve">Recommendation 11: A National Inclusive Employment Roadmap should be developed alongside, and aligned with, a rights-based National Roadmap to Inclusive Education. </w:t>
      </w:r>
    </w:p>
    <w:p w14:paraId="5E4049C6" w14:textId="509CC906" w:rsidR="00990BD2" w:rsidRPr="00491931" w:rsidRDefault="00491931" w:rsidP="00491931">
      <w:r w:rsidRPr="00BA7441">
        <w:rPr>
          <w:b/>
          <w:bCs/>
        </w:rPr>
        <w:t xml:space="preserve">Recommendation </w:t>
      </w:r>
      <w:r>
        <w:rPr>
          <w:b/>
          <w:bCs/>
        </w:rPr>
        <w:t>12</w:t>
      </w:r>
      <w:r>
        <w:t>:</w:t>
      </w:r>
      <w:r w:rsidRPr="00B94C58">
        <w:rPr>
          <w:b/>
          <w:bCs/>
        </w:rPr>
        <w:t xml:space="preserve"> </w:t>
      </w:r>
      <w:r>
        <w:rPr>
          <w:b/>
          <w:bCs/>
        </w:rPr>
        <w:t>National Roadmap</w:t>
      </w:r>
      <w:r>
        <w:rPr>
          <w:b/>
        </w:rPr>
        <w:t xml:space="preserve"> to </w:t>
      </w:r>
      <w:r>
        <w:rPr>
          <w:b/>
          <w:bCs/>
        </w:rPr>
        <w:t>Inclusive Education should include actions</w:t>
      </w:r>
      <w:r>
        <w:rPr>
          <w:b/>
        </w:rPr>
        <w:t xml:space="preserve"> to assist young people with disability to make informed and empowered choices about their employment pathways, including where and how they work. </w:t>
      </w:r>
      <w:r w:rsidRPr="006E64FA">
        <w:t xml:space="preserve"> </w:t>
      </w:r>
      <w:r w:rsidR="00990BD2">
        <w:rPr>
          <w:b/>
          <w:bCs/>
        </w:rPr>
        <w:br w:type="page"/>
      </w:r>
    </w:p>
    <w:p w14:paraId="7F52503D" w14:textId="76AB94AA" w:rsidR="00511727" w:rsidRDefault="00511727" w:rsidP="003A0ED2">
      <w:pPr>
        <w:pStyle w:val="Heading1"/>
      </w:pPr>
      <w:bookmarkStart w:id="40" w:name="_Toc202518620"/>
      <w:bookmarkStart w:id="41" w:name="_Toc198117204"/>
      <w:r>
        <w:lastRenderedPageBreak/>
        <w:t>Human rights</w:t>
      </w:r>
      <w:r w:rsidR="00284142">
        <w:t xml:space="preserve"> and supported employment</w:t>
      </w:r>
      <w:bookmarkEnd w:id="40"/>
      <w:r w:rsidR="00284142">
        <w:t xml:space="preserve"> </w:t>
      </w:r>
    </w:p>
    <w:p w14:paraId="59459925" w14:textId="123FB7AE" w:rsidR="00960397" w:rsidRPr="00C0511C" w:rsidRDefault="00960397" w:rsidP="00960397">
      <w:pPr>
        <w:pStyle w:val="Heading2"/>
      </w:pPr>
      <w:bookmarkStart w:id="42" w:name="_Toc202518621"/>
      <w:r>
        <w:t>The right to work</w:t>
      </w:r>
      <w:bookmarkEnd w:id="42"/>
      <w:r>
        <w:t xml:space="preserve"> </w:t>
      </w:r>
    </w:p>
    <w:p w14:paraId="5E110179" w14:textId="52E6CD06" w:rsidR="00960397" w:rsidRDefault="00960397" w:rsidP="00960397">
      <w:r>
        <w:t>The right to work on an equal basis with others is a fundamental universal human right recognised in international human rights treaties.</w:t>
      </w:r>
      <w:r>
        <w:rPr>
          <w:rStyle w:val="EndnoteReference"/>
        </w:rPr>
        <w:endnoteReference w:id="10"/>
      </w:r>
      <w:r w:rsidRPr="00F5684D">
        <w:t xml:space="preserve"> </w:t>
      </w:r>
      <w:r>
        <w:t>It</w:t>
      </w:r>
      <w:r w:rsidRPr="005528B6">
        <w:t xml:space="preserve"> forms an inseparable and inherent part of human dignity.</w:t>
      </w:r>
      <w:r>
        <w:t xml:space="preserve"> </w:t>
      </w:r>
      <w:r w:rsidRPr="005528B6">
        <w:t xml:space="preserve">Meaningful work and employment </w:t>
      </w:r>
      <w:r>
        <w:t xml:space="preserve">are related to </w:t>
      </w:r>
      <w:r w:rsidR="1B0D06DD">
        <w:t xml:space="preserve">the </w:t>
      </w:r>
      <w:r>
        <w:t>realisation of other human rights, such as</w:t>
      </w:r>
      <w:r w:rsidRPr="005528B6">
        <w:t xml:space="preserve"> </w:t>
      </w:r>
      <w:r w:rsidR="5F18968D" w:rsidRPr="005528B6">
        <w:t xml:space="preserve">adequate standard of </w:t>
      </w:r>
      <w:r w:rsidR="006F2874" w:rsidRPr="005528B6">
        <w:t>living and</w:t>
      </w:r>
      <w:r w:rsidR="79A90CCD" w:rsidRPr="005528B6">
        <w:t xml:space="preserve"> </w:t>
      </w:r>
      <w:r w:rsidRPr="005528B6">
        <w:t xml:space="preserve">physical and mental </w:t>
      </w:r>
      <w:r w:rsidR="006D0CFD" w:rsidRPr="005528B6">
        <w:t>health and</w:t>
      </w:r>
      <w:r w:rsidR="6E51BB4A" w:rsidRPr="005528B6">
        <w:t xml:space="preserve"> is critical to one’s</w:t>
      </w:r>
      <w:r w:rsidRPr="005528B6">
        <w:t xml:space="preserve"> sense of identity and role within the community</w:t>
      </w:r>
      <w:r>
        <w:t xml:space="preserve">. </w:t>
      </w:r>
    </w:p>
    <w:p w14:paraId="4D72616A" w14:textId="617AA406" w:rsidR="00960397" w:rsidRDefault="00960397" w:rsidP="00960397">
      <w:pPr>
        <w:rPr>
          <w:rStyle w:val="EndnoteReference"/>
        </w:rPr>
      </w:pPr>
      <w:r>
        <w:t xml:space="preserve">The </w:t>
      </w:r>
      <w:r w:rsidRPr="006D625F">
        <w:t>United Nations</w:t>
      </w:r>
      <w:r w:rsidRPr="000C3DF6">
        <w:rPr>
          <w:b/>
          <w:bCs/>
        </w:rPr>
        <w:t xml:space="preserve"> </w:t>
      </w:r>
      <w:r w:rsidRPr="000C3DF6">
        <w:rPr>
          <w:i/>
        </w:rPr>
        <w:t>Convention on the Rights of Persons with Disabilities</w:t>
      </w:r>
      <w:r>
        <w:t xml:space="preserve"> (</w:t>
      </w:r>
      <w:r w:rsidRPr="00A928A9">
        <w:t>CRPD</w:t>
      </w:r>
      <w:r>
        <w:t xml:space="preserve">) is the principal binding </w:t>
      </w:r>
      <w:r w:rsidR="006F2874">
        <w:t>international instrument</w:t>
      </w:r>
      <w:r>
        <w:t xml:space="preserve"> that guarantees </w:t>
      </w:r>
      <w:r w:rsidR="6532375C">
        <w:t>the</w:t>
      </w:r>
      <w:r w:rsidR="0F271143">
        <w:t xml:space="preserve"> human</w:t>
      </w:r>
      <w:r w:rsidR="6532375C">
        <w:t xml:space="preserve"> rights of </w:t>
      </w:r>
      <w:r>
        <w:t>people with disability</w:t>
      </w:r>
      <w:r w:rsidR="14E8C4FA">
        <w:t xml:space="preserve"> on an equal basis with others</w:t>
      </w:r>
      <w:r>
        <w:t xml:space="preserve">. </w:t>
      </w:r>
      <w:r w:rsidR="5A3F64DA">
        <w:t xml:space="preserve">Equality and </w:t>
      </w:r>
      <w:r w:rsidR="2E3B0314">
        <w:t>n</w:t>
      </w:r>
      <w:r>
        <w:t>on-discrimination is a general principle and standalone right protected by the CRPD.</w:t>
      </w:r>
      <w:r w:rsidR="00AB0FC5">
        <w:rPr>
          <w:rStyle w:val="EndnoteReference"/>
        </w:rPr>
        <w:endnoteReference w:id="11"/>
      </w:r>
      <w:r>
        <w:t xml:space="preserve"> CRPD </w:t>
      </w:r>
      <w:r w:rsidRPr="00032F51">
        <w:t>Article 27</w:t>
      </w:r>
      <w:r>
        <w:t xml:space="preserve"> (work and employment) affirms the right of people with disability to work on an equal basis with others, including equal opportunity to gain a living by wo</w:t>
      </w:r>
      <w:r w:rsidRPr="0047215B">
        <w:t>rk freely chosen in a</w:t>
      </w:r>
      <w:r>
        <w:t xml:space="preserve"> </w:t>
      </w:r>
      <w:r w:rsidRPr="0047215B">
        <w:t>labour market</w:t>
      </w:r>
      <w:r w:rsidR="00276057">
        <w:t xml:space="preserve">, equal remuneration, </w:t>
      </w:r>
      <w:r w:rsidRPr="0047215B">
        <w:t>and to a work environment that is open, inclusive and accessible</w:t>
      </w:r>
      <w:r>
        <w:t>.</w:t>
      </w:r>
      <w:r>
        <w:rPr>
          <w:rStyle w:val="EndnoteReference"/>
        </w:rPr>
        <w:endnoteReference w:id="12"/>
      </w:r>
      <w:r>
        <w:t xml:space="preserve"> </w:t>
      </w:r>
      <w:r w:rsidR="00051226">
        <w:t xml:space="preserve">As a party to the CRPD, Australia has agreed to protect these rights. </w:t>
      </w:r>
    </w:p>
    <w:p w14:paraId="326B5364" w14:textId="4CF4BDE1" w:rsidR="00703E9E" w:rsidRDefault="00703E9E" w:rsidP="00703E9E">
      <w:r>
        <w:t xml:space="preserve">In </w:t>
      </w:r>
      <w:r w:rsidRPr="0027537F">
        <w:rPr>
          <w:i/>
          <w:iCs/>
        </w:rPr>
        <w:t xml:space="preserve">General Comment No. 8 (2022) on the right of persons with disabilities to work and employment </w:t>
      </w:r>
      <w:r w:rsidRPr="00055E3E">
        <w:t>(</w:t>
      </w:r>
      <w:r w:rsidRPr="00BA7961">
        <w:t>General Comment No. 8</w:t>
      </w:r>
      <w:r w:rsidRPr="00055E3E">
        <w:t>),</w:t>
      </w:r>
      <w:r>
        <w:t xml:space="preserve"> the </w:t>
      </w:r>
      <w:r w:rsidR="006B1AE9">
        <w:t>United Nations Committee on the Rights of Persons with Disabilities (</w:t>
      </w:r>
      <w:r>
        <w:t>CRPD Committee</w:t>
      </w:r>
      <w:r w:rsidR="006B1AE9">
        <w:t>)</w:t>
      </w:r>
      <w:r>
        <w:t xml:space="preserve"> is clear that governments have an obligation to promote the right to </w:t>
      </w:r>
      <w:r w:rsidDel="00703E9E">
        <w:t>supported</w:t>
      </w:r>
      <w:r>
        <w:t xml:space="preserve"> employment in an open labour market.</w:t>
      </w:r>
      <w:r w:rsidRPr="006906C4">
        <w:rPr>
          <w:vertAlign w:val="superscript"/>
        </w:rPr>
        <w:endnoteReference w:id="13"/>
      </w:r>
      <w:r>
        <w:t xml:space="preserve"> It highlights that the obligation to provide supported employment is a key element of the requirement to provide reasonable accommodation (or adjustments) in the workplace,</w:t>
      </w:r>
      <w:r>
        <w:rPr>
          <w:rStyle w:val="EndnoteReference"/>
        </w:rPr>
        <w:endnoteReference w:id="14"/>
      </w:r>
      <w:r>
        <w:t xml:space="preserve"> and that ‘</w:t>
      </w:r>
      <w:r w:rsidRPr="0028538D">
        <w:t>programmes and financial support for the provision of personal assistance</w:t>
      </w:r>
      <w:r>
        <w:t xml:space="preserve"> is</w:t>
      </w:r>
      <w:r w:rsidRPr="0028538D">
        <w:t xml:space="preserve"> critical to ensuring </w:t>
      </w:r>
      <w:r>
        <w:t>[the]</w:t>
      </w:r>
      <w:r w:rsidRPr="0028538D">
        <w:t xml:space="preserve"> right to work</w:t>
      </w:r>
      <w:r>
        <w:t>’ for people with disability</w:t>
      </w:r>
      <w:r w:rsidRPr="0028538D">
        <w:t>.</w:t>
      </w:r>
      <w:r>
        <w:rPr>
          <w:rStyle w:val="EndnoteReference"/>
        </w:rPr>
        <w:endnoteReference w:id="15"/>
      </w:r>
    </w:p>
    <w:p w14:paraId="5A6AEA82" w14:textId="1F660418" w:rsidR="00703E9E" w:rsidRDefault="00703E9E" w:rsidP="00880D16">
      <w:pPr>
        <w:spacing w:after="0" w:line="259" w:lineRule="auto"/>
      </w:pPr>
      <w:r>
        <w:t xml:space="preserve">The CRPD Committee has </w:t>
      </w:r>
      <w:r w:rsidR="1E926D28">
        <w:t xml:space="preserve">confirmed </w:t>
      </w:r>
      <w:r>
        <w:t xml:space="preserve">that </w:t>
      </w:r>
      <w:r w:rsidRPr="00055E3E">
        <w:t xml:space="preserve">segregated employment </w:t>
      </w:r>
      <w:r>
        <w:t>settings</w:t>
      </w:r>
      <w:r w:rsidRPr="00055E3E">
        <w:t xml:space="preserve"> are inconsistent with the right</w:t>
      </w:r>
      <w:r>
        <w:t>s provided for under Article 27</w:t>
      </w:r>
      <w:r>
        <w:rPr>
          <w:rStyle w:val="EndnoteReference"/>
        </w:rPr>
        <w:endnoteReference w:id="16"/>
      </w:r>
      <w:r w:rsidR="004F0004">
        <w:t>,</w:t>
      </w:r>
      <w:r>
        <w:t xml:space="preserve"> </w:t>
      </w:r>
      <w:r w:rsidRPr="00055E3E">
        <w:t>and</w:t>
      </w:r>
      <w:r w:rsidR="004F0004">
        <w:t xml:space="preserve"> that</w:t>
      </w:r>
      <w:r w:rsidRPr="00055E3E">
        <w:t xml:space="preserve"> </w:t>
      </w:r>
      <w:r w:rsidR="76ECEBCD" w:rsidRPr="00055E3E">
        <w:t xml:space="preserve">they </w:t>
      </w:r>
      <w:r w:rsidRPr="00055E3E">
        <w:t>have the potential to limit the rights of people with disability to ‘choice, consent and freedom from coercion’.</w:t>
      </w:r>
      <w:r>
        <w:rPr>
          <w:rStyle w:val="EndnoteReference"/>
        </w:rPr>
        <w:endnoteReference w:id="17"/>
      </w:r>
      <w:r>
        <w:t xml:space="preserve"> </w:t>
      </w:r>
      <w:r w:rsidR="00384018">
        <w:t>T</w:t>
      </w:r>
      <w:r>
        <w:t xml:space="preserve">he </w:t>
      </w:r>
      <w:r w:rsidRPr="00731E66">
        <w:t>CRPD Committee has</w:t>
      </w:r>
      <w:r>
        <w:t xml:space="preserve"> also</w:t>
      </w:r>
      <w:r w:rsidRPr="00731E66">
        <w:t xml:space="preserve"> stated th</w:t>
      </w:r>
      <w:r>
        <w:t xml:space="preserve">at </w:t>
      </w:r>
      <w:r w:rsidRPr="00731E66">
        <w:t>‘payment below the minimum wage on the basis of disability’ is not justifiable under any circumstance</w:t>
      </w:r>
      <w:r>
        <w:t>,</w:t>
      </w:r>
      <w:r>
        <w:rPr>
          <w:rStyle w:val="EndnoteReference"/>
        </w:rPr>
        <w:endnoteReference w:id="18"/>
      </w:r>
      <w:r>
        <w:t xml:space="preserve"> and that State Parties should ensure that ‘workplaces … in the process of making the transition away from segregated employment are not exempt from paying equal remuneration for work of equal value’.</w:t>
      </w:r>
      <w:r>
        <w:rPr>
          <w:rStyle w:val="EndnoteReference"/>
        </w:rPr>
        <w:endnoteReference w:id="19"/>
      </w:r>
      <w:r>
        <w:t xml:space="preserve"> </w:t>
      </w:r>
    </w:p>
    <w:p w14:paraId="52B36C7F" w14:textId="77777777" w:rsidR="00703E9E" w:rsidRDefault="00703E9E" w:rsidP="00703E9E">
      <w:r>
        <w:lastRenderedPageBreak/>
        <w:t xml:space="preserve">The </w:t>
      </w:r>
      <w:r w:rsidRPr="004B71FA">
        <w:t>CRPD Committee</w:t>
      </w:r>
      <w:r>
        <w:t xml:space="preserve"> </w:t>
      </w:r>
      <w:r w:rsidRPr="00CF3009">
        <w:t xml:space="preserve">has </w:t>
      </w:r>
      <w:r>
        <w:t xml:space="preserve">advised </w:t>
      </w:r>
      <w:r w:rsidRPr="00CF3009">
        <w:t xml:space="preserve">that </w:t>
      </w:r>
      <w:r>
        <w:t>A</w:t>
      </w:r>
      <w:r w:rsidRPr="00CF3009">
        <w:t>rticle 27</w:t>
      </w:r>
      <w:r>
        <w:t xml:space="preserve"> of the CRPD</w:t>
      </w:r>
      <w:r w:rsidRPr="00CF3009">
        <w:t xml:space="preserve"> ‘implies an obligation on the part of States Parties to create an enabling and conducive environment for employment, including in the private sector’</w:t>
      </w:r>
      <w:r>
        <w:t>.</w:t>
      </w:r>
      <w:r w:rsidRPr="006906C4">
        <w:rPr>
          <w:vertAlign w:val="superscript"/>
        </w:rPr>
        <w:endnoteReference w:id="20"/>
      </w:r>
      <w:r>
        <w:t xml:space="preserve"> </w:t>
      </w:r>
    </w:p>
    <w:p w14:paraId="5A4AD676" w14:textId="5CC0E6DC" w:rsidR="005F6A90" w:rsidRDefault="00D0115C" w:rsidP="00A03A5C">
      <w:pPr>
        <w:spacing w:after="0"/>
      </w:pPr>
      <w:r>
        <w:t>Facilitating the transition</w:t>
      </w:r>
      <w:r w:rsidR="00A267F1">
        <w:t xml:space="preserve"> away from </w:t>
      </w:r>
      <w:r>
        <w:t>segregated settings</w:t>
      </w:r>
      <w:r w:rsidR="00776FF5">
        <w:t xml:space="preserve"> into the open labour </w:t>
      </w:r>
      <w:r w:rsidR="00A267F1">
        <w:t>market and</w:t>
      </w:r>
      <w:r>
        <w:t xml:space="preserve"> eliminating</w:t>
      </w:r>
      <w:r w:rsidR="00DD4935">
        <w:t xml:space="preserve"> policies that permit the payment of sub-minimum wages</w:t>
      </w:r>
      <w:r>
        <w:t xml:space="preserve"> </w:t>
      </w:r>
      <w:r w:rsidR="00DD4935">
        <w:t>to people with disability</w:t>
      </w:r>
      <w:r w:rsidR="005F6A90">
        <w:t xml:space="preserve"> are </w:t>
      </w:r>
      <w:r>
        <w:t>core obligation</w:t>
      </w:r>
      <w:r w:rsidR="005F6A90">
        <w:t>s</w:t>
      </w:r>
      <w:r>
        <w:t xml:space="preserve"> of article 27.</w:t>
      </w:r>
      <w:r>
        <w:rPr>
          <w:rStyle w:val="EndnoteReference"/>
        </w:rPr>
        <w:endnoteReference w:id="21"/>
      </w:r>
    </w:p>
    <w:p w14:paraId="485613DC" w14:textId="537BC88B" w:rsidR="00703E9E" w:rsidRPr="00B762B9" w:rsidRDefault="00703E9E" w:rsidP="00703E9E">
      <w:pPr>
        <w:spacing w:after="0" w:line="259" w:lineRule="auto"/>
      </w:pPr>
      <w:r w:rsidRPr="00396C25">
        <w:t xml:space="preserve">A rights-based approach to supported employment </w:t>
      </w:r>
      <w:r>
        <w:t>negates t</w:t>
      </w:r>
      <w:r w:rsidRPr="007270BE">
        <w:t>he</w:t>
      </w:r>
      <w:r w:rsidRPr="00396C25">
        <w:t xml:space="preserve"> need to maintain segregated systems of employment designed exclusively for people </w:t>
      </w:r>
      <w:r w:rsidR="3777D2A7" w:rsidRPr="00396C25">
        <w:t>with</w:t>
      </w:r>
      <w:r w:rsidRPr="00396C25">
        <w:t xml:space="preserve"> disability. The CRPD</w:t>
      </w:r>
      <w:r>
        <w:t xml:space="preserve"> Committee </w:t>
      </w:r>
      <w:r w:rsidR="008D15C2">
        <w:t>urges</w:t>
      </w:r>
      <w:r w:rsidRPr="00055E3E">
        <w:t xml:space="preserve"> Sta</w:t>
      </w:r>
      <w:r>
        <w:t>te</w:t>
      </w:r>
      <w:r w:rsidRPr="00055E3E">
        <w:t xml:space="preserve"> Parties to</w:t>
      </w:r>
      <w:r>
        <w:t xml:space="preserve"> </w:t>
      </w:r>
      <w:r w:rsidRPr="00055E3E">
        <w:t>phase out segregated employment</w:t>
      </w:r>
      <w:r>
        <w:t xml:space="preserve"> </w:t>
      </w:r>
      <w:r w:rsidRPr="00055E3E">
        <w:t>by adopting ‘concrete action plans, with resources, timeframes and monitoring mechanisms that ensure the transition from segregated employment to the open labour market’</w:t>
      </w:r>
      <w:r>
        <w:t>.</w:t>
      </w:r>
      <w:r>
        <w:rPr>
          <w:rStyle w:val="EndnoteReference"/>
        </w:rPr>
        <w:endnoteReference w:id="22"/>
      </w:r>
    </w:p>
    <w:p w14:paraId="1B06C902" w14:textId="09EC3753" w:rsidR="00960397" w:rsidRDefault="00960397" w:rsidP="00C64AF8">
      <w:pPr>
        <w:pStyle w:val="Heading2"/>
      </w:pPr>
      <w:bookmarkStart w:id="43" w:name="_Toc202518622"/>
      <w:r>
        <w:t>Supported employment in Australia</w:t>
      </w:r>
      <w:bookmarkEnd w:id="43"/>
    </w:p>
    <w:p w14:paraId="4959DE7B" w14:textId="3BCAA8BD" w:rsidR="00730328" w:rsidRDefault="00730328" w:rsidP="00730328">
      <w:r>
        <w:t xml:space="preserve">Australia </w:t>
      </w:r>
      <w:r w:rsidRPr="005528B6">
        <w:t>has one of the lowest employment rates for people with disability in the OECD</w:t>
      </w:r>
      <w:r>
        <w:t>, with</w:t>
      </w:r>
      <w:r w:rsidRPr="005528B6">
        <w:t xml:space="preserve"> persistently low labour force participation rates of people with disability over three decades.</w:t>
      </w:r>
      <w:r>
        <w:rPr>
          <w:rStyle w:val="EndnoteReference"/>
        </w:rPr>
        <w:endnoteReference w:id="23"/>
      </w:r>
      <w:r>
        <w:t xml:space="preserve"> </w:t>
      </w:r>
      <w:r w:rsidR="541DBDB3">
        <w:t>P</w:t>
      </w:r>
      <w:r>
        <w:t xml:space="preserve">eople with disability continue to be excluded from mainstream employment and segregated into supported employment settings </w:t>
      </w:r>
      <w:r w:rsidR="00673B54">
        <w:t xml:space="preserve">designed exclusively for people with disability </w:t>
      </w:r>
      <w:r>
        <w:t>- Australian Disability Enterprises (</w:t>
      </w:r>
      <w:r w:rsidRPr="007C00AE">
        <w:t>ADE</w:t>
      </w:r>
      <w:r>
        <w:t xml:space="preserve">) - and paid sub-minimum wages under the Supported Wage System, based on productivity assessments. </w:t>
      </w:r>
    </w:p>
    <w:p w14:paraId="348F03E6" w14:textId="4A30E4C9" w:rsidR="001E2EBD" w:rsidRDefault="001E2EBD" w:rsidP="001E2EBD">
      <w:r>
        <w:t>These policies and programs are underpinned by ableism</w:t>
      </w:r>
      <w:r w:rsidRPr="0061572D">
        <w:rPr>
          <w:vertAlign w:val="superscript"/>
        </w:rPr>
        <w:endnoteReference w:id="24"/>
      </w:r>
      <w:r w:rsidRPr="0061572D">
        <w:rPr>
          <w:vertAlign w:val="superscript"/>
        </w:rPr>
        <w:t xml:space="preserve"> </w:t>
      </w:r>
      <w:r>
        <w:t xml:space="preserve">which </w:t>
      </w:r>
      <w:r w:rsidRPr="005528B6">
        <w:t>informs low expectations and negative attitudes towards people with disability</w:t>
      </w:r>
      <w:r>
        <w:t xml:space="preserve"> </w:t>
      </w:r>
      <w:r w:rsidRPr="00E37ACD">
        <w:rPr>
          <w:rFonts w:cs="Open Sans"/>
        </w:rPr>
        <w:t>and justif</w:t>
      </w:r>
      <w:r>
        <w:rPr>
          <w:rFonts w:cs="Open Sans"/>
        </w:rPr>
        <w:t>ies</w:t>
      </w:r>
      <w:r w:rsidRPr="00E37ACD">
        <w:rPr>
          <w:rFonts w:cs="Open Sans"/>
        </w:rPr>
        <w:t xml:space="preserve"> differential treatment and exclusio</w:t>
      </w:r>
      <w:r>
        <w:rPr>
          <w:rFonts w:cs="Open Sans"/>
        </w:rPr>
        <w:t>n</w:t>
      </w:r>
      <w:r>
        <w:t xml:space="preserve">. </w:t>
      </w:r>
      <w:r w:rsidRPr="00151944">
        <w:t>Ableism, like racism and sexism</w:t>
      </w:r>
      <w:r w:rsidR="00CC4E89">
        <w:t>,</w:t>
      </w:r>
      <w:r w:rsidRPr="00151944">
        <w:t xml:space="preserve"> permeates law, policy and practice and societal attitudes</w:t>
      </w:r>
      <w:r>
        <w:t xml:space="preserve">, and requires concerted efforts to actively dismantle and combat.  </w:t>
      </w:r>
    </w:p>
    <w:p w14:paraId="4A834C0D" w14:textId="23490048" w:rsidR="007141D4" w:rsidRDefault="00D36D74" w:rsidP="007141D4">
      <w:r w:rsidRPr="00435E72">
        <w:t xml:space="preserve">In its most recent Concluding Observations on Australia, the </w:t>
      </w:r>
      <w:r w:rsidRPr="007C00AE">
        <w:t>CRPD Committee</w:t>
      </w:r>
      <w:r>
        <w:t xml:space="preserve"> expressed </w:t>
      </w:r>
      <w:r w:rsidRPr="00435E72">
        <w:t>concern</w:t>
      </w:r>
      <w:r>
        <w:t xml:space="preserve">s </w:t>
      </w:r>
      <w:r w:rsidRPr="00435E72">
        <w:t xml:space="preserve">about ‘[t]he low labour force participation of people with disability’ and ‘the ongoing segregation of people with disability employed through </w:t>
      </w:r>
      <w:r>
        <w:t>[ADEs]</w:t>
      </w:r>
      <w:r w:rsidRPr="00435E72">
        <w:t xml:space="preserve"> and the fact that such persons receive a sub-minimum wage’.</w:t>
      </w:r>
      <w:r>
        <w:rPr>
          <w:rStyle w:val="EndnoteReference"/>
        </w:rPr>
        <w:endnoteReference w:id="25"/>
      </w:r>
      <w:r w:rsidR="007141D4">
        <w:t xml:space="preserve"> The CRPD Committee recommended: </w:t>
      </w:r>
    </w:p>
    <w:p w14:paraId="2A09632B" w14:textId="642AE71C" w:rsidR="007141D4" w:rsidRDefault="007141D4" w:rsidP="00E513BC">
      <w:pPr>
        <w:pStyle w:val="ListParagraph"/>
        <w:numPr>
          <w:ilvl w:val="0"/>
          <w:numId w:val="20"/>
        </w:numPr>
        <w:contextualSpacing/>
      </w:pPr>
      <w:r>
        <w:t>The government ensure ADEs operate in accordance with Article 27 and provide services to enable people with disability to transition into open, inclusive and accessible employment, with equal remuneration.</w:t>
      </w:r>
      <w:r w:rsidR="003661C0">
        <w:rPr>
          <w:rStyle w:val="EndnoteReference"/>
        </w:rPr>
        <w:endnoteReference w:id="26"/>
      </w:r>
    </w:p>
    <w:p w14:paraId="452E374C" w14:textId="673A0C1B" w:rsidR="007141D4" w:rsidRDefault="007141D4" w:rsidP="00E513BC">
      <w:pPr>
        <w:pStyle w:val="ListParagraph"/>
        <w:numPr>
          <w:ilvl w:val="0"/>
          <w:numId w:val="20"/>
        </w:numPr>
        <w:contextualSpacing/>
      </w:pPr>
      <w:r>
        <w:t>The government implement measures to address systemic and structural barriers to employment experienced by people with disability</w:t>
      </w:r>
      <w:r w:rsidR="00DD0E88">
        <w:t>.</w:t>
      </w:r>
      <w:r w:rsidR="00DD0E88">
        <w:rPr>
          <w:rStyle w:val="EndnoteReference"/>
        </w:rPr>
        <w:endnoteReference w:id="27"/>
      </w:r>
    </w:p>
    <w:p w14:paraId="6D1C9786" w14:textId="190C2DD0" w:rsidR="00D36D74" w:rsidRDefault="00D36D74" w:rsidP="00D36D74">
      <w:pPr>
        <w:spacing w:line="259" w:lineRule="auto"/>
      </w:pPr>
    </w:p>
    <w:p w14:paraId="537F69B9" w14:textId="3DB13387" w:rsidR="00FB514C" w:rsidRDefault="00FB514C" w:rsidP="00FB514C">
      <w:pPr>
        <w:contextualSpacing/>
      </w:pPr>
      <w:r>
        <w:t>Segregated employment and sub-minimum wages for people with disability are human rights concerns that are shared by the United Nations Committee on Economic, Social and Cultural Rights (CESCR Committee).</w:t>
      </w:r>
      <w:r w:rsidRPr="5E79F96D">
        <w:rPr>
          <w:rStyle w:val="EndnoteReference"/>
        </w:rPr>
        <w:endnoteReference w:id="28"/>
      </w:r>
    </w:p>
    <w:p w14:paraId="662069DF" w14:textId="77777777" w:rsidR="00FB514C" w:rsidRDefault="00FB514C" w:rsidP="00880D16">
      <w:pPr>
        <w:contextualSpacing/>
      </w:pPr>
    </w:p>
    <w:p w14:paraId="0E1B1AB1" w14:textId="2C8986C2" w:rsidR="00AE3919" w:rsidRDefault="00703E9E" w:rsidP="00AE3919">
      <w:r>
        <w:t xml:space="preserve">The Commission acknowledges the significant work of the </w:t>
      </w:r>
      <w:r>
        <w:rPr>
          <w:i/>
          <w:iCs/>
        </w:rPr>
        <w:t xml:space="preserve">Royal Commission into Violence, Abuse, Neglect, and Exploitation of People with Disability </w:t>
      </w:r>
      <w:r>
        <w:t>(</w:t>
      </w:r>
      <w:r w:rsidRPr="00E34567">
        <w:t>Disability Royal Commission</w:t>
      </w:r>
      <w:r>
        <w:t xml:space="preserve">), which examined the experiences of people with disability in both segregated and open employment. </w:t>
      </w:r>
      <w:r w:rsidR="00AE3919">
        <w:t xml:space="preserve">The Disability Royal Commission highlighted concerns with supported employment </w:t>
      </w:r>
      <w:r w:rsidR="00AE3919" w:rsidRPr="002064CA">
        <w:t>including limitations on the exercise of choice and control for people with disability working in ADEs, increased vulnerability to, and experiences of</w:t>
      </w:r>
      <w:r w:rsidR="009A06E1">
        <w:t xml:space="preserve">, </w:t>
      </w:r>
      <w:r w:rsidR="00AE3919" w:rsidRPr="002064CA">
        <w:t>violence, abuse, neglect and exploitation, and unfair treatment related to sub-minimum wages.</w:t>
      </w:r>
      <w:r w:rsidR="00AE3919">
        <w:rPr>
          <w:rStyle w:val="EndnoteReference"/>
        </w:rPr>
        <w:endnoteReference w:id="29"/>
      </w:r>
    </w:p>
    <w:p w14:paraId="55E2920E" w14:textId="4EC95B6E" w:rsidR="00703E9E" w:rsidRDefault="00703E9E">
      <w:pPr>
        <w:spacing w:line="259" w:lineRule="auto"/>
      </w:pPr>
      <w:r>
        <w:t>While Royal Commissioners held differing views on the future of segregated employment, the Disability Royal Commission made many recommendations to improve employment inclusivity and accessibility.</w:t>
      </w:r>
      <w:r>
        <w:rPr>
          <w:rStyle w:val="EndnoteReference"/>
        </w:rPr>
        <w:endnoteReference w:id="30"/>
      </w:r>
      <w:r>
        <w:t xml:space="preserve"> The findings of the Disability Royal Commission and the evidence shared by people with disability should be the basis for determining the next steps in supported employment, grounded in </w:t>
      </w:r>
      <w:r w:rsidR="33BD407E">
        <w:t>the CRPD.</w:t>
      </w:r>
      <w:r>
        <w:t xml:space="preserve"> </w:t>
      </w:r>
    </w:p>
    <w:p w14:paraId="1EFFDC1C" w14:textId="77777777" w:rsidR="00777F1D" w:rsidRDefault="007E4AC6" w:rsidP="007E4AC6">
      <w:r>
        <w:t xml:space="preserve">The CRPD allows for the progressive realisation of </w:t>
      </w:r>
      <w:r w:rsidRPr="00E854AA">
        <w:t>economic, social and cultural rights</w:t>
      </w:r>
      <w:r>
        <w:t xml:space="preserve"> – such as the right to employment – but requires States to take expeditious and targeted action to reduce inequality, using the </w:t>
      </w:r>
      <w:r w:rsidRPr="00097EB4">
        <w:t>maximum available resources</w:t>
      </w:r>
      <w:r>
        <w:t>.</w:t>
      </w:r>
      <w:r>
        <w:rPr>
          <w:rStyle w:val="EndnoteReference"/>
        </w:rPr>
        <w:endnoteReference w:id="31"/>
      </w:r>
      <w:r w:rsidR="00777F1D">
        <w:t xml:space="preserve"> </w:t>
      </w:r>
    </w:p>
    <w:p w14:paraId="064F520D" w14:textId="7B0236DE" w:rsidR="007E4AC6" w:rsidRDefault="007E4AC6" w:rsidP="007E4AC6">
      <w:r>
        <w:t>Progressive realisation does not apply to the core minimum obligation to ensure non-discrimination and equal protection of employment.</w:t>
      </w:r>
      <w:r>
        <w:rPr>
          <w:rStyle w:val="EndnoteReference"/>
        </w:rPr>
        <w:endnoteReference w:id="32"/>
      </w:r>
      <w:r>
        <w:t xml:space="preserve"> </w:t>
      </w:r>
    </w:p>
    <w:p w14:paraId="445ABFCF" w14:textId="3B1782B3" w:rsidR="004E6E47" w:rsidRDefault="007E4AC6" w:rsidP="007E4AC6">
      <w:r>
        <w:t>The Australian Government</w:t>
      </w:r>
      <w:r w:rsidRPr="00A178A4">
        <w:t xml:space="preserve"> </w:t>
      </w:r>
      <w:r>
        <w:t xml:space="preserve">has made </w:t>
      </w:r>
      <w:r w:rsidR="002950EB">
        <w:t>limited</w:t>
      </w:r>
      <w:r>
        <w:t xml:space="preserve"> progress in </w:t>
      </w:r>
      <w:r w:rsidR="1AD5BEC2">
        <w:t>reducing</w:t>
      </w:r>
      <w:r>
        <w:t xml:space="preserve"> </w:t>
      </w:r>
      <w:r w:rsidR="1AD5BEC2">
        <w:t xml:space="preserve">segregated employment </w:t>
      </w:r>
      <w:r>
        <w:t xml:space="preserve">in </w:t>
      </w:r>
      <w:r w:rsidR="005E636D">
        <w:t>almost two decades</w:t>
      </w:r>
      <w:r w:rsidR="6AA5C6AB">
        <w:t xml:space="preserve"> </w:t>
      </w:r>
      <w:r w:rsidR="000124F7">
        <w:t>despite</w:t>
      </w:r>
      <w:r>
        <w:t xml:space="preserve"> recurrent </w:t>
      </w:r>
      <w:r w:rsidR="6FDE24E0">
        <w:t>recommendations</w:t>
      </w:r>
      <w:r>
        <w:t xml:space="preserve"> </w:t>
      </w:r>
      <w:r w:rsidR="00673F89">
        <w:t>highlighting the need to</w:t>
      </w:r>
      <w:r>
        <w:t xml:space="preserve"> reform segregated</w:t>
      </w:r>
      <w:r w:rsidR="00742D65">
        <w:t xml:space="preserve"> and supported</w:t>
      </w:r>
      <w:r>
        <w:t xml:space="preserve"> employment in line with human rights principles, including</w:t>
      </w:r>
      <w:r w:rsidR="00EC51F8">
        <w:t>:</w:t>
      </w:r>
    </w:p>
    <w:p w14:paraId="606F1AEF" w14:textId="3334159F" w:rsidR="004E6E47" w:rsidRDefault="007141D4" w:rsidP="00E513BC">
      <w:pPr>
        <w:pStyle w:val="ListParagraph"/>
        <w:numPr>
          <w:ilvl w:val="0"/>
          <w:numId w:val="26"/>
        </w:numPr>
      </w:pPr>
      <w:r>
        <w:t>t</w:t>
      </w:r>
      <w:r w:rsidR="007E4AC6">
        <w:t>he ratification of the CRPD in 2008</w:t>
      </w:r>
    </w:p>
    <w:p w14:paraId="3C3B19F0" w14:textId="3984F4F7" w:rsidR="004E6E47" w:rsidRDefault="007E4AC6" w:rsidP="00E513BC">
      <w:pPr>
        <w:pStyle w:val="ListParagraph"/>
        <w:numPr>
          <w:ilvl w:val="0"/>
          <w:numId w:val="26"/>
        </w:numPr>
      </w:pPr>
      <w:r>
        <w:t xml:space="preserve">the </w:t>
      </w:r>
      <w:r w:rsidRPr="00902D40">
        <w:t xml:space="preserve">Full </w:t>
      </w:r>
      <w:r w:rsidR="28AEAAF0">
        <w:t>Bench</w:t>
      </w:r>
      <w:r w:rsidRPr="00902D40">
        <w:t xml:space="preserve"> of the Federal Court’s decision</w:t>
      </w:r>
      <w:r>
        <w:t xml:space="preserve"> in </w:t>
      </w:r>
      <w:proofErr w:type="spellStart"/>
      <w:r w:rsidRPr="004E6E47">
        <w:rPr>
          <w:i/>
          <w:iCs/>
        </w:rPr>
        <w:t>Nojin</w:t>
      </w:r>
      <w:proofErr w:type="spellEnd"/>
      <w:r w:rsidRPr="004E6E47">
        <w:rPr>
          <w:i/>
          <w:iCs/>
        </w:rPr>
        <w:t xml:space="preserve"> v Commonwealth of Australia </w:t>
      </w:r>
      <w:r w:rsidRPr="00F32D25">
        <w:t xml:space="preserve">(2012) </w:t>
      </w:r>
      <w:r>
        <w:t xml:space="preserve">that the use of the </w:t>
      </w:r>
      <w:r w:rsidRPr="007B3384">
        <w:t xml:space="preserve">Business Services Wage Assessment Tool </w:t>
      </w:r>
      <w:r>
        <w:t xml:space="preserve">was </w:t>
      </w:r>
      <w:r w:rsidRPr="00833D72">
        <w:t>unlawful indirect discrimination</w:t>
      </w:r>
      <w:r>
        <w:rPr>
          <w:rStyle w:val="EndnoteReference"/>
        </w:rPr>
        <w:endnoteReference w:id="33"/>
      </w:r>
      <w:r>
        <w:t xml:space="preserve"> </w:t>
      </w:r>
    </w:p>
    <w:p w14:paraId="7C49BA70" w14:textId="395EEBEF" w:rsidR="009E0BEE" w:rsidRDefault="007141D4" w:rsidP="00E513BC">
      <w:pPr>
        <w:pStyle w:val="ListParagraph"/>
        <w:numPr>
          <w:ilvl w:val="0"/>
          <w:numId w:val="20"/>
        </w:numPr>
        <w:spacing w:after="0"/>
        <w:contextualSpacing/>
      </w:pPr>
      <w:r>
        <w:t>t</w:t>
      </w:r>
      <w:r w:rsidR="009E0BEE">
        <w:t xml:space="preserve">he CRPD Committee’s </w:t>
      </w:r>
      <w:r>
        <w:t xml:space="preserve">2019 </w:t>
      </w:r>
      <w:r w:rsidR="009E0BEE">
        <w:t xml:space="preserve">Concluding Observations </w:t>
      </w:r>
      <w:r>
        <w:t>and recommendations</w:t>
      </w:r>
    </w:p>
    <w:p w14:paraId="2C0B7C6A" w14:textId="5FDFF36F" w:rsidR="007E4AC6" w:rsidRDefault="007E4AC6" w:rsidP="00E513BC">
      <w:pPr>
        <w:pStyle w:val="ListParagraph"/>
        <w:numPr>
          <w:ilvl w:val="0"/>
          <w:numId w:val="26"/>
        </w:numPr>
        <w:spacing w:after="0"/>
      </w:pPr>
      <w:r>
        <w:lastRenderedPageBreak/>
        <w:t>the Disability Royal Commission’s findings and recommendations in 2023.</w:t>
      </w:r>
    </w:p>
    <w:p w14:paraId="2AF25F85" w14:textId="4D636C31" w:rsidR="00A73C27" w:rsidRDefault="00B7765A" w:rsidP="007E4AC6">
      <w:r>
        <w:t>To</w:t>
      </w:r>
      <w:r w:rsidR="007E4AC6">
        <w:t xml:space="preserve"> </w:t>
      </w:r>
      <w:r w:rsidR="00392DBF">
        <w:t xml:space="preserve">progressively </w:t>
      </w:r>
      <w:r w:rsidR="007E4AC6">
        <w:t>realise the right to work for people with disability</w:t>
      </w:r>
      <w:r w:rsidR="5B5138F2">
        <w:t>,</w:t>
      </w:r>
      <w:r w:rsidR="007E4AC6">
        <w:t xml:space="preserve"> urgent </w:t>
      </w:r>
      <w:r w:rsidR="36A73B18">
        <w:t>action</w:t>
      </w:r>
      <w:r w:rsidR="00FB7490">
        <w:t>s</w:t>
      </w:r>
      <w:r w:rsidR="36A73B18">
        <w:t xml:space="preserve"> with </w:t>
      </w:r>
      <w:r w:rsidR="007E4AC6">
        <w:t>explicit targets and benchmarks, and sufficient allocation of resources</w:t>
      </w:r>
      <w:r w:rsidR="00EC51F8">
        <w:t>,</w:t>
      </w:r>
      <w:r w:rsidR="007E4AC6">
        <w:t xml:space="preserve"> </w:t>
      </w:r>
      <w:r w:rsidR="0121A22D">
        <w:t>are required</w:t>
      </w:r>
      <w:r w:rsidR="007E4AC6">
        <w:t xml:space="preserve">. </w:t>
      </w:r>
      <w:r w:rsidR="00FB7490">
        <w:t>Maintaining segregated employment and subminimum wages is not an example of progressive realisation of the right to work.</w:t>
      </w:r>
      <w:r w:rsidR="00FB7490">
        <w:rPr>
          <w:rStyle w:val="EndnoteReference"/>
        </w:rPr>
        <w:endnoteReference w:id="34"/>
      </w:r>
      <w:r w:rsidR="00FB7490">
        <w:t xml:space="preserve"> </w:t>
      </w:r>
    </w:p>
    <w:p w14:paraId="428EE58B" w14:textId="751F9399" w:rsidR="00BD787A" w:rsidRDefault="00C805A2" w:rsidP="00C23BF2">
      <w:pPr>
        <w:pStyle w:val="Heading1"/>
      </w:pPr>
      <w:bookmarkStart w:id="44" w:name="_Toc202518623"/>
      <w:r>
        <w:t xml:space="preserve">Developing </w:t>
      </w:r>
      <w:r w:rsidR="006A37F4">
        <w:t xml:space="preserve">a </w:t>
      </w:r>
      <w:r>
        <w:t>N</w:t>
      </w:r>
      <w:r w:rsidR="006F76E3">
        <w:t xml:space="preserve">ational </w:t>
      </w:r>
      <w:r>
        <w:t>I</w:t>
      </w:r>
      <w:r w:rsidR="00EE2573">
        <w:t xml:space="preserve">nclusive </w:t>
      </w:r>
      <w:r>
        <w:t>E</w:t>
      </w:r>
      <w:r w:rsidR="00EE2573">
        <w:t xml:space="preserve">mployment </w:t>
      </w:r>
      <w:r>
        <w:t>R</w:t>
      </w:r>
      <w:r w:rsidR="00EE2573">
        <w:t>oadmap</w:t>
      </w:r>
      <w:bookmarkEnd w:id="44"/>
      <w:r w:rsidR="00EE2573">
        <w:t xml:space="preserve"> </w:t>
      </w:r>
    </w:p>
    <w:p w14:paraId="5FFE813F" w14:textId="68C5D042" w:rsidR="00F3204F" w:rsidRPr="00893061" w:rsidRDefault="00F3204F" w:rsidP="00F3204F">
      <w:pPr>
        <w:pStyle w:val="Heading2"/>
      </w:pPr>
      <w:bookmarkStart w:id="45" w:name="_Toc202518624"/>
      <w:r>
        <w:t>The role of a roadmap to</w:t>
      </w:r>
      <w:r w:rsidR="007D4CC0">
        <w:t xml:space="preserve"> </w:t>
      </w:r>
      <w:r>
        <w:t>realise the right to work and employment</w:t>
      </w:r>
      <w:bookmarkEnd w:id="45"/>
      <w:r>
        <w:t xml:space="preserve"> </w:t>
      </w:r>
    </w:p>
    <w:p w14:paraId="41B14686" w14:textId="74254702" w:rsidR="00F3204F" w:rsidRDefault="00F3204F" w:rsidP="00F3204F">
      <w:r>
        <w:t xml:space="preserve">Question 4 of the Discussion paper seeks feedback on a roadmap </w:t>
      </w:r>
      <w:r w:rsidRPr="00232A6B">
        <w:t>to guide further reform in the supported employment sector</w:t>
      </w:r>
      <w:r>
        <w:t xml:space="preserve">. </w:t>
      </w:r>
      <w:r w:rsidR="00821973">
        <w:t>T</w:t>
      </w:r>
      <w:r>
        <w:t xml:space="preserve">he Australian Government must develop a holistic plan that seeks to reorient Government-funded services towards supporting the employment of people with disability in the open labour market. </w:t>
      </w:r>
    </w:p>
    <w:p w14:paraId="169F5DCD" w14:textId="5342BB3B" w:rsidR="00F3204F" w:rsidRDefault="00F3204F" w:rsidP="00F3204F">
      <w:r>
        <w:t xml:space="preserve">The Commission supports </w:t>
      </w:r>
      <w:r w:rsidR="64A14724">
        <w:t xml:space="preserve">the tenor </w:t>
      </w:r>
      <w:r w:rsidR="1887D305">
        <w:t xml:space="preserve">of </w:t>
      </w:r>
      <w:r>
        <w:t xml:space="preserve">recommendation 7.32 of the Disability Royal Commission that the Australia Government develops a National Inclusive Employment Roadmap to </w:t>
      </w:r>
      <w:r w:rsidR="2DCB20CE">
        <w:t>end</w:t>
      </w:r>
      <w:r>
        <w:t xml:space="preserve"> segregated employment</w:t>
      </w:r>
      <w:r w:rsidR="1179C1DE">
        <w:t xml:space="preserve"> and eliminate subminimum wages for people with disability</w:t>
      </w:r>
      <w:r w:rsidR="009E50AD">
        <w:t>.</w:t>
      </w:r>
      <w:r w:rsidR="499FC1B1">
        <w:t xml:space="preserve"> </w:t>
      </w:r>
      <w:r w:rsidR="009E50AD">
        <w:t xml:space="preserve"> </w:t>
      </w:r>
      <w:r w:rsidR="1C10B787">
        <w:t xml:space="preserve">This Roadmap will require specific steps to be taken that progressively reduce any inequality and </w:t>
      </w:r>
      <w:r w:rsidR="0226D213">
        <w:t xml:space="preserve">that are done so in as expeditious manner as possible and within the maximum available resources. </w:t>
      </w:r>
    </w:p>
    <w:p w14:paraId="051310FB" w14:textId="2A744B31" w:rsidR="00F3204F" w:rsidRDefault="00F3204F" w:rsidP="00F3204F">
      <w:r>
        <w:t>T</w:t>
      </w:r>
      <w:r w:rsidRPr="00D91F99">
        <w:t>he Disability Royal Commission</w:t>
      </w:r>
      <w:r>
        <w:t>’s findings illustrated how</w:t>
      </w:r>
      <w:r w:rsidRPr="00D91F99">
        <w:t xml:space="preserve"> systemic issues</w:t>
      </w:r>
      <w:r>
        <w:t xml:space="preserve"> hinder the ability of</w:t>
      </w:r>
      <w:r w:rsidRPr="00D91F99">
        <w:t xml:space="preserve"> people with disability to exercise choice and control over where and how they work and who provides their support.</w:t>
      </w:r>
      <w:r>
        <w:rPr>
          <w:rStyle w:val="EndnoteReference"/>
        </w:rPr>
        <w:endnoteReference w:id="35"/>
      </w:r>
      <w:r w:rsidRPr="00D91F99">
        <w:t xml:space="preserve"> </w:t>
      </w:r>
      <w:r>
        <w:t xml:space="preserve">For some </w:t>
      </w:r>
      <w:r w:rsidRPr="00D91F99">
        <w:t>people with disability</w:t>
      </w:r>
      <w:r>
        <w:t>, segregated employment settings</w:t>
      </w:r>
      <w:r w:rsidR="01B9B3EF">
        <w:t xml:space="preserve"> are their only option</w:t>
      </w:r>
      <w:r>
        <w:t>.</w:t>
      </w:r>
    </w:p>
    <w:p w14:paraId="11E854EF" w14:textId="776CA17F" w:rsidR="00F3204F" w:rsidRDefault="00F3204F" w:rsidP="00A03A5C">
      <w:r>
        <w:t xml:space="preserve">To </w:t>
      </w:r>
      <w:r w:rsidR="00FF10BA">
        <w:t>meet its obligations under</w:t>
      </w:r>
      <w:r>
        <w:t xml:space="preserve"> article 27 of the CRPD, Australia </w:t>
      </w:r>
      <w:r w:rsidR="00346197">
        <w:t xml:space="preserve">must </w:t>
      </w:r>
      <w:r w:rsidR="00220A69">
        <w:t xml:space="preserve">take </w:t>
      </w:r>
      <w:r w:rsidR="00F20EE8">
        <w:t xml:space="preserve">targeted action to </w:t>
      </w:r>
      <w:r w:rsidR="00CA4EA5">
        <w:t>transform</w:t>
      </w:r>
      <w:r w:rsidR="00346197">
        <w:t xml:space="preserve"> its</w:t>
      </w:r>
      <w:r w:rsidR="00FA7E9D">
        <w:t xml:space="preserve"> current labour market systems</w:t>
      </w:r>
      <w:r w:rsidR="00206EAD">
        <w:t xml:space="preserve"> </w:t>
      </w:r>
      <w:r>
        <w:t xml:space="preserve">to ensure </w:t>
      </w:r>
      <w:r w:rsidR="00206EAD">
        <w:t xml:space="preserve">that </w:t>
      </w:r>
      <w:r>
        <w:t xml:space="preserve">all people with disability have </w:t>
      </w:r>
      <w:r w:rsidR="008879C2">
        <w:t xml:space="preserve">access to freely chosen </w:t>
      </w:r>
      <w:r w:rsidR="00EB7CB8">
        <w:t xml:space="preserve">employment in </w:t>
      </w:r>
      <w:r>
        <w:t xml:space="preserve">open and inclusive </w:t>
      </w:r>
      <w:r w:rsidR="00702642">
        <w:t>environments</w:t>
      </w:r>
      <w:r>
        <w:t>.</w:t>
      </w:r>
      <w:r w:rsidR="006D3E30">
        <w:t xml:space="preserve"> </w:t>
      </w:r>
    </w:p>
    <w:p w14:paraId="190F0934" w14:textId="55165171" w:rsidR="00F3204F" w:rsidRDefault="003C3B1E" w:rsidP="00F3204F">
      <w:r>
        <w:t xml:space="preserve">This submission recommends the </w:t>
      </w:r>
      <w:r w:rsidR="004E3F04">
        <w:t>foundation</w:t>
      </w:r>
      <w:r w:rsidR="000514F9">
        <w:t xml:space="preserve">al </w:t>
      </w:r>
      <w:r w:rsidR="005976C6">
        <w:t>aspects</w:t>
      </w:r>
      <w:r w:rsidR="00F3204F">
        <w:t xml:space="preserve"> </w:t>
      </w:r>
      <w:r w:rsidR="002012AB">
        <w:t>of</w:t>
      </w:r>
      <w:r w:rsidR="00F3204F">
        <w:t xml:space="preserve"> a National Roadmap that promote </w:t>
      </w:r>
      <w:r w:rsidR="003000A6">
        <w:t>inclusive</w:t>
      </w:r>
      <w:r w:rsidR="005C6FCB">
        <w:t xml:space="preserve">, accessible, safe and healthy working </w:t>
      </w:r>
      <w:r w:rsidR="006962DE">
        <w:t>environments</w:t>
      </w:r>
      <w:r w:rsidR="00977356">
        <w:t>,</w:t>
      </w:r>
      <w:r w:rsidR="00696FD5">
        <w:rPr>
          <w:rStyle w:val="EndnoteReference"/>
        </w:rPr>
        <w:endnoteReference w:id="36"/>
      </w:r>
      <w:r w:rsidR="00F3204F">
        <w:t xml:space="preserve"> </w:t>
      </w:r>
      <w:r w:rsidR="00EC51D9">
        <w:t xml:space="preserve">ensure </w:t>
      </w:r>
      <w:r w:rsidR="00F3204F">
        <w:t>just and favourable conditions of work,</w:t>
      </w:r>
      <w:r w:rsidR="00E10D3F">
        <w:t xml:space="preserve"> and</w:t>
      </w:r>
      <w:r w:rsidR="00F3204F">
        <w:t xml:space="preserve"> </w:t>
      </w:r>
      <w:r w:rsidR="008B43E2">
        <w:t xml:space="preserve">promote </w:t>
      </w:r>
      <w:r w:rsidR="00F3204F">
        <w:t xml:space="preserve">equality and non-discrimination in the workplace across both private and public sectors. </w:t>
      </w:r>
    </w:p>
    <w:p w14:paraId="70E0C217" w14:textId="630040F9" w:rsidR="00F3204F" w:rsidRDefault="00F3204F" w:rsidP="00F3204F">
      <w:r>
        <w:lastRenderedPageBreak/>
        <w:t>To achieve its objectives</w:t>
      </w:r>
      <w:r w:rsidR="00A14DE4">
        <w:t>,</w:t>
      </w:r>
      <w:r>
        <w:t xml:space="preserve"> a National Roadmap must </w:t>
      </w:r>
      <w:r w:rsidR="00FE7C49">
        <w:t xml:space="preserve">also </w:t>
      </w:r>
      <w:r>
        <w:t>address</w:t>
      </w:r>
      <w:r w:rsidR="00E10D3F">
        <w:t xml:space="preserve"> broader</w:t>
      </w:r>
      <w:r w:rsidR="00A3131C">
        <w:t xml:space="preserve"> </w:t>
      </w:r>
      <w:r>
        <w:t>systemic and structural barriers to employment. The Roadmap should involve coordinated efforts across government portfolios</w:t>
      </w:r>
      <w:r w:rsidR="00580D08">
        <w:t>,</w:t>
      </w:r>
      <w:r>
        <w:t xml:space="preserve"> acknowledging the</w:t>
      </w:r>
      <w:r w:rsidR="007C7AFA">
        <w:t>ir</w:t>
      </w:r>
      <w:r>
        <w:t xml:space="preserve"> interrelated nature with employment outcomes, such as:  </w:t>
      </w:r>
    </w:p>
    <w:p w14:paraId="7982E104" w14:textId="42528FE7" w:rsidR="00F3204F" w:rsidRPr="00A03A5C" w:rsidRDefault="00F3204F" w:rsidP="00E513BC">
      <w:pPr>
        <w:pStyle w:val="ListParagraph"/>
        <w:numPr>
          <w:ilvl w:val="0"/>
          <w:numId w:val="18"/>
        </w:numPr>
        <w:contextualSpacing/>
        <w:rPr>
          <w:b/>
          <w:bCs/>
          <w:i/>
          <w:iCs/>
        </w:rPr>
      </w:pPr>
      <w:r>
        <w:t xml:space="preserve">Social security reform to ensure people with disability </w:t>
      </w:r>
      <w:r w:rsidR="00B7642A">
        <w:t>do not lose the benefit of disability allowances when they start working</w:t>
      </w:r>
      <w:r>
        <w:t xml:space="preserve"> </w:t>
      </w:r>
      <w:r w:rsidR="00B95ADD">
        <w:t xml:space="preserve">and are not </w:t>
      </w:r>
      <w:r>
        <w:t>disincentivised from seeking employment, ensuring the system is responsive and flexible to individual circumstances and provides an adequate standard of living</w:t>
      </w:r>
      <w:r w:rsidRPr="00A03A5C">
        <w:rPr>
          <w:i/>
          <w:iCs/>
        </w:rPr>
        <w:t>.</w:t>
      </w:r>
      <w:r w:rsidRPr="00A03A5C">
        <w:rPr>
          <w:rStyle w:val="HTMLDefinition"/>
          <w:i w:val="0"/>
          <w:vertAlign w:val="superscript"/>
        </w:rPr>
        <w:endnoteReference w:id="37"/>
      </w:r>
    </w:p>
    <w:p w14:paraId="2CFF4F9D" w14:textId="0B30B351" w:rsidR="00F3204F" w:rsidRPr="008143F5" w:rsidRDefault="00F3204F" w:rsidP="00E513BC">
      <w:pPr>
        <w:pStyle w:val="ListParagraph"/>
        <w:numPr>
          <w:ilvl w:val="0"/>
          <w:numId w:val="18"/>
        </w:numPr>
        <w:contextualSpacing/>
      </w:pPr>
      <w:r w:rsidRPr="008143F5">
        <w:t>Address</w:t>
      </w:r>
      <w:r>
        <w:t xml:space="preserve">ing </w:t>
      </w:r>
      <w:r w:rsidRPr="008143F5">
        <w:t>current issues with education to employment transition</w:t>
      </w:r>
      <w:r w:rsidR="00D76C7D">
        <w:t>s</w:t>
      </w:r>
      <w:r w:rsidRPr="008143F5">
        <w:t xml:space="preserve"> by providing more supports for young people with</w:t>
      </w:r>
      <w:r>
        <w:t xml:space="preserve"> </w:t>
      </w:r>
      <w:r w:rsidRPr="008143F5">
        <w:t>disability to pursue careers in open employment.</w:t>
      </w:r>
    </w:p>
    <w:p w14:paraId="599E08EF" w14:textId="4A755C42" w:rsidR="00F3204F" w:rsidRDefault="00F3204F" w:rsidP="00E513BC">
      <w:pPr>
        <w:pStyle w:val="ListParagraph"/>
        <w:numPr>
          <w:ilvl w:val="0"/>
          <w:numId w:val="18"/>
        </w:numPr>
        <w:contextualSpacing/>
      </w:pPr>
      <w:r w:rsidRPr="008143F5">
        <w:t xml:space="preserve">Reform to the </w:t>
      </w:r>
      <w:r w:rsidR="00BB6A82">
        <w:t>Disability Discrimination Act</w:t>
      </w:r>
      <w:r w:rsidRPr="008143F5">
        <w:t xml:space="preserve"> to strengthen anti-discrimination protections, including via </w:t>
      </w:r>
      <w:r w:rsidR="32D63A92" w:rsidRPr="008143F5">
        <w:t xml:space="preserve">a </w:t>
      </w:r>
      <w:r w:rsidRPr="008143F5">
        <w:t>positive dut</w:t>
      </w:r>
      <w:r w:rsidR="3A175EA9" w:rsidRPr="008143F5">
        <w:t>y</w:t>
      </w:r>
      <w:r w:rsidRPr="008143F5">
        <w:t xml:space="preserve"> to eliminate disability discrimination and to provide adjustments, and to support employers to understand their obligations.</w:t>
      </w:r>
      <w:r w:rsidR="00434FD8">
        <w:rPr>
          <w:rStyle w:val="EndnoteReference"/>
        </w:rPr>
        <w:endnoteReference w:id="38"/>
      </w:r>
    </w:p>
    <w:p w14:paraId="1EC99CEE" w14:textId="13BE8F62" w:rsidR="00F3204F" w:rsidRPr="003606D9" w:rsidRDefault="00F3204F" w:rsidP="00F3204F">
      <w:pPr>
        <w:rPr>
          <w:highlight w:val="yellow"/>
        </w:rPr>
      </w:pPr>
      <w:r w:rsidRPr="00A03A5C">
        <w:t xml:space="preserve">Section </w:t>
      </w:r>
      <w:r w:rsidR="00BB2CB7" w:rsidRPr="00A03A5C">
        <w:t>5</w:t>
      </w:r>
      <w:r w:rsidRPr="00A03A5C">
        <w:t xml:space="preserve"> </w:t>
      </w:r>
      <w:r w:rsidRPr="00EA399C">
        <w:t xml:space="preserve">of this submission explores specific actions </w:t>
      </w:r>
      <w:r w:rsidR="009B3D60" w:rsidRPr="00EA399C">
        <w:t>to</w:t>
      </w:r>
      <w:r w:rsidR="00EA399C" w:rsidRPr="00EA399C">
        <w:t xml:space="preserve"> reform supported employment policy</w:t>
      </w:r>
      <w:r w:rsidR="00125194">
        <w:t xml:space="preserve"> </w:t>
      </w:r>
      <w:r w:rsidR="00EA399C" w:rsidRPr="00EA399C">
        <w:t xml:space="preserve">by </w:t>
      </w:r>
      <w:r w:rsidR="009B3D60" w:rsidRPr="00EA399C">
        <w:t>increas</w:t>
      </w:r>
      <w:r w:rsidR="00EA399C" w:rsidRPr="00EA399C">
        <w:t>ing</w:t>
      </w:r>
      <w:r w:rsidR="00895256" w:rsidRPr="00EA399C">
        <w:t xml:space="preserve"> </w:t>
      </w:r>
      <w:r w:rsidR="007C7AFA" w:rsidRPr="00EA399C">
        <w:t>accessible, inclusive</w:t>
      </w:r>
      <w:r w:rsidR="0080346B" w:rsidRPr="00EA399C">
        <w:t xml:space="preserve">, </w:t>
      </w:r>
      <w:r w:rsidR="009B3D60" w:rsidRPr="00EA399C">
        <w:t>and open employment opportunities</w:t>
      </w:r>
      <w:r w:rsidR="00AF4A76">
        <w:t>. These actions will support the transition away from segregated employment</w:t>
      </w:r>
      <w:r w:rsidR="00B37C27">
        <w:t xml:space="preserve">. </w:t>
      </w:r>
    </w:p>
    <w:p w14:paraId="379623B6" w14:textId="66226C38" w:rsidR="00F3204F" w:rsidRPr="008900DA" w:rsidRDefault="004B621F" w:rsidP="00F3204F">
      <w:pPr>
        <w:pStyle w:val="Heading2"/>
      </w:pPr>
      <w:bookmarkStart w:id="46" w:name="_Toc202518625"/>
      <w:r>
        <w:t>CRPD Obligations</w:t>
      </w:r>
      <w:bookmarkEnd w:id="46"/>
      <w:r w:rsidR="00F3204F">
        <w:t xml:space="preserve"> </w:t>
      </w:r>
    </w:p>
    <w:p w14:paraId="15E4E160" w14:textId="4BF81E40" w:rsidR="00F3204F" w:rsidRDefault="00F3204F" w:rsidP="00F3204F">
      <w:r>
        <w:t xml:space="preserve">A National Roadmap must be co-designed with people with disability and </w:t>
      </w:r>
      <w:r w:rsidR="00644FC2">
        <w:t>meet CRPD obligations, meaning</w:t>
      </w:r>
      <w:r>
        <w:t xml:space="preserve"> with the objective</w:t>
      </w:r>
      <w:r w:rsidR="001B2A1E">
        <w:t>s</w:t>
      </w:r>
      <w:r>
        <w:t xml:space="preserve"> to respect, protect and fulfil</w:t>
      </w:r>
      <w:r>
        <w:rPr>
          <w:rStyle w:val="EndnoteReference"/>
        </w:rPr>
        <w:endnoteReference w:id="39"/>
      </w:r>
      <w:r>
        <w:t xml:space="preserve"> the right to employment and work for people with disability</w:t>
      </w:r>
      <w:r w:rsidR="001B2A1E">
        <w:t>.</w:t>
      </w:r>
      <w:r w:rsidR="0026227E">
        <w:t xml:space="preserve"> </w:t>
      </w:r>
    </w:p>
    <w:p w14:paraId="08A6D4B4" w14:textId="5C5C2B35" w:rsidR="00F3204F" w:rsidRDefault="00F3204F" w:rsidP="00E513BC">
      <w:pPr>
        <w:pStyle w:val="ListParagraph"/>
        <w:numPr>
          <w:ilvl w:val="0"/>
          <w:numId w:val="19"/>
        </w:numPr>
        <w:contextualSpacing/>
      </w:pPr>
      <w:r w:rsidRPr="00AB6031">
        <w:rPr>
          <w:b/>
          <w:bCs/>
        </w:rPr>
        <w:t xml:space="preserve">Respect: </w:t>
      </w:r>
      <w:r>
        <w:t xml:space="preserve">The </w:t>
      </w:r>
      <w:r w:rsidR="001B2A1E">
        <w:t>R</w:t>
      </w:r>
      <w:r>
        <w:t xml:space="preserve">oadmap should include actions to reform or abolish any systems and policies that interfere with the enjoyment of the right to work and that deny or limit equal access </w:t>
      </w:r>
      <w:proofErr w:type="gramStart"/>
      <w:r w:rsidR="001B2A1E">
        <w:t>on the basis of</w:t>
      </w:r>
      <w:proofErr w:type="gramEnd"/>
      <w:r>
        <w:t xml:space="preserve"> disability,</w:t>
      </w:r>
      <w:r>
        <w:rPr>
          <w:rStyle w:val="EndnoteReference"/>
        </w:rPr>
        <w:endnoteReference w:id="40"/>
      </w:r>
      <w:r>
        <w:t xml:space="preserve"> </w:t>
      </w:r>
      <w:r w:rsidR="00555008">
        <w:t>such as</w:t>
      </w:r>
      <w:r>
        <w:t xml:space="preserve"> the </w:t>
      </w:r>
      <w:r w:rsidR="009510EF">
        <w:t>Supported Wage System</w:t>
      </w:r>
      <w:r>
        <w:t xml:space="preserve">. </w:t>
      </w:r>
    </w:p>
    <w:p w14:paraId="033AB30B" w14:textId="1F70D56F" w:rsidR="00F3204F" w:rsidRDefault="00F3204F" w:rsidP="00E513BC">
      <w:pPr>
        <w:pStyle w:val="ListParagraph"/>
        <w:numPr>
          <w:ilvl w:val="0"/>
          <w:numId w:val="19"/>
        </w:numPr>
        <w:contextualSpacing/>
      </w:pPr>
      <w:r w:rsidRPr="00AB6031">
        <w:rPr>
          <w:b/>
          <w:bCs/>
        </w:rPr>
        <w:t xml:space="preserve">Protect: </w:t>
      </w:r>
      <w:r>
        <w:t xml:space="preserve">The </w:t>
      </w:r>
      <w:r w:rsidR="001B2A1E">
        <w:t>R</w:t>
      </w:r>
      <w:r>
        <w:t>oadmap should include measures to eliminate disability discrimination in employment across all sectors</w:t>
      </w:r>
      <w:r w:rsidR="00092319">
        <w:t xml:space="preserve">. </w:t>
      </w:r>
      <w:r>
        <w:t xml:space="preserve">This includes protecting people with disability from all forms of discrimination in employment (e.g. denial of reasonable adjustments) and </w:t>
      </w:r>
      <w:r w:rsidRPr="0066519B">
        <w:t>adopting legislation, policies and programmes that explicitly recogni</w:t>
      </w:r>
      <w:r w:rsidR="00FE18A9">
        <w:t>s</w:t>
      </w:r>
      <w:r w:rsidRPr="0066519B">
        <w:t>e multiple and intersectional discrimination</w:t>
      </w:r>
      <w:r>
        <w:t>.</w:t>
      </w:r>
      <w:r>
        <w:rPr>
          <w:rStyle w:val="EndnoteReference"/>
        </w:rPr>
        <w:endnoteReference w:id="41"/>
      </w:r>
    </w:p>
    <w:p w14:paraId="7DF36291" w14:textId="76F902DE" w:rsidR="00F3204F" w:rsidRDefault="00F3204F" w:rsidP="00E513BC">
      <w:pPr>
        <w:pStyle w:val="ListParagraph"/>
        <w:numPr>
          <w:ilvl w:val="0"/>
          <w:numId w:val="19"/>
        </w:numPr>
        <w:contextualSpacing/>
      </w:pPr>
      <w:r w:rsidRPr="00AB6031">
        <w:rPr>
          <w:b/>
          <w:bCs/>
        </w:rPr>
        <w:t xml:space="preserve">Fulfil: </w:t>
      </w:r>
      <w:r>
        <w:t xml:space="preserve">The </w:t>
      </w:r>
      <w:r w:rsidR="00897C8A">
        <w:t>R</w:t>
      </w:r>
      <w:r>
        <w:t>oadmap should include actions that facilitate,</w:t>
      </w:r>
      <w:r>
        <w:rPr>
          <w:rStyle w:val="EndnoteReference"/>
        </w:rPr>
        <w:endnoteReference w:id="42"/>
      </w:r>
      <w:r>
        <w:t xml:space="preserve"> provide</w:t>
      </w:r>
      <w:r>
        <w:rPr>
          <w:rStyle w:val="EndnoteReference"/>
        </w:rPr>
        <w:endnoteReference w:id="43"/>
      </w:r>
      <w:r>
        <w:t xml:space="preserve"> and promote</w:t>
      </w:r>
      <w:r>
        <w:rPr>
          <w:rStyle w:val="EndnoteReference"/>
        </w:rPr>
        <w:endnoteReference w:id="44"/>
      </w:r>
      <w:r>
        <w:t xml:space="preserve"> the right to employment for people with disability including adopting appropriate </w:t>
      </w:r>
      <w:r w:rsidRPr="00F541EB">
        <w:t xml:space="preserve">legislative, administrative, budgetary, judicial, </w:t>
      </w:r>
      <w:r w:rsidRPr="00F541EB">
        <w:lastRenderedPageBreak/>
        <w:t>promotional and other measures towards ensuring work environments are open, inclusive and accessible.</w:t>
      </w:r>
      <w:r>
        <w:rPr>
          <w:rStyle w:val="EndnoteReference"/>
        </w:rPr>
        <w:endnoteReference w:id="45"/>
      </w:r>
      <w:r>
        <w:t xml:space="preserve"> </w:t>
      </w:r>
    </w:p>
    <w:p w14:paraId="7223947D" w14:textId="79D594EF" w:rsidR="003F10EE" w:rsidRDefault="009A1B63" w:rsidP="003F10EE">
      <w:pPr>
        <w:contextualSpacing/>
      </w:pPr>
      <w:r>
        <w:t>The standards and principles of the CRPD, such as those outlined in Article 3</w:t>
      </w:r>
      <w:r w:rsidR="00CD2572">
        <w:t xml:space="preserve"> (general principles)</w:t>
      </w:r>
      <w:r>
        <w:t>,</w:t>
      </w:r>
      <w:r w:rsidR="00CD2572">
        <w:rPr>
          <w:rStyle w:val="EndnoteReference"/>
        </w:rPr>
        <w:endnoteReference w:id="46"/>
      </w:r>
      <w:r>
        <w:t xml:space="preserve"> </w:t>
      </w:r>
      <w:r w:rsidR="00CD2572">
        <w:t xml:space="preserve">should underpin the development and implementation of a National Roadmap </w:t>
      </w:r>
      <w:r w:rsidR="00164418">
        <w:t xml:space="preserve">and are integral to realising the </w:t>
      </w:r>
      <w:r w:rsidR="004677FC">
        <w:t xml:space="preserve">above obligations. </w:t>
      </w:r>
    </w:p>
    <w:p w14:paraId="7568117B" w14:textId="77777777" w:rsidR="00CD2572" w:rsidRDefault="00CD2572" w:rsidP="00880D16">
      <w:pPr>
        <w:contextualSpacing/>
      </w:pPr>
    </w:p>
    <w:p w14:paraId="4F095ABF" w14:textId="7B544E4C" w:rsidR="00F3204F" w:rsidRPr="004916BC" w:rsidRDefault="00F3204F" w:rsidP="00F3204F">
      <w:pPr>
        <w:rPr>
          <w:b/>
          <w:bCs/>
        </w:rPr>
      </w:pPr>
      <w:r>
        <w:rPr>
          <w:b/>
          <w:bCs/>
        </w:rPr>
        <w:t xml:space="preserve">Recommendation </w:t>
      </w:r>
      <w:r w:rsidR="00C64AF8">
        <w:rPr>
          <w:b/>
          <w:bCs/>
        </w:rPr>
        <w:t>1</w:t>
      </w:r>
      <w:r>
        <w:rPr>
          <w:b/>
          <w:bCs/>
        </w:rPr>
        <w:t>: The Australian Government should commit to d</w:t>
      </w:r>
      <w:r w:rsidRPr="00EF15D0">
        <w:rPr>
          <w:b/>
          <w:bCs/>
        </w:rPr>
        <w:t xml:space="preserve">eveloping and implementing a </w:t>
      </w:r>
      <w:r>
        <w:rPr>
          <w:b/>
          <w:bCs/>
        </w:rPr>
        <w:t>N</w:t>
      </w:r>
      <w:r w:rsidRPr="00EF15D0">
        <w:rPr>
          <w:b/>
          <w:bCs/>
        </w:rPr>
        <w:t xml:space="preserve">ational </w:t>
      </w:r>
      <w:r>
        <w:rPr>
          <w:b/>
          <w:bCs/>
        </w:rPr>
        <w:t>I</w:t>
      </w:r>
      <w:r w:rsidRPr="00EF15D0">
        <w:rPr>
          <w:b/>
          <w:bCs/>
        </w:rPr>
        <w:t xml:space="preserve">nclusive </w:t>
      </w:r>
      <w:r>
        <w:rPr>
          <w:b/>
          <w:bCs/>
        </w:rPr>
        <w:t>E</w:t>
      </w:r>
      <w:r w:rsidRPr="00EF15D0">
        <w:rPr>
          <w:b/>
          <w:bCs/>
        </w:rPr>
        <w:t xml:space="preserve">mployment </w:t>
      </w:r>
      <w:r>
        <w:rPr>
          <w:b/>
          <w:bCs/>
        </w:rPr>
        <w:t>R</w:t>
      </w:r>
      <w:r w:rsidRPr="00EF15D0">
        <w:rPr>
          <w:b/>
          <w:bCs/>
        </w:rPr>
        <w:t>oadmap</w:t>
      </w:r>
      <w:r w:rsidR="0378A31F" w:rsidRPr="2F8003BC">
        <w:rPr>
          <w:b/>
          <w:bCs/>
        </w:rPr>
        <w:t>.</w:t>
      </w:r>
      <w:r w:rsidR="006F2874">
        <w:rPr>
          <w:b/>
          <w:bCs/>
        </w:rPr>
        <w:t xml:space="preserve"> </w:t>
      </w:r>
      <w:r>
        <w:rPr>
          <w:b/>
          <w:bCs/>
        </w:rPr>
        <w:t xml:space="preserve">The roadmap should: </w:t>
      </w:r>
    </w:p>
    <w:p w14:paraId="34EB363E" w14:textId="77A063E9" w:rsidR="00F3204F" w:rsidRDefault="0923C91E" w:rsidP="00E513BC">
      <w:pPr>
        <w:pStyle w:val="ListParagraph"/>
        <w:numPr>
          <w:ilvl w:val="0"/>
          <w:numId w:val="27"/>
        </w:numPr>
        <w:rPr>
          <w:b/>
          <w:bCs/>
          <w:i/>
          <w:iCs/>
        </w:rPr>
      </w:pPr>
      <w:r w:rsidRPr="73E10FD6">
        <w:rPr>
          <w:b/>
          <w:bCs/>
        </w:rPr>
        <w:t xml:space="preserve">Be underpinned by the standards and principles of the </w:t>
      </w:r>
      <w:r w:rsidR="00F3204F" w:rsidRPr="00627346">
        <w:rPr>
          <w:b/>
          <w:bCs/>
          <w:i/>
          <w:iCs/>
        </w:rPr>
        <w:t>Convention on the Rights of Persons with Disabilities</w:t>
      </w:r>
      <w:r w:rsidR="00F3204F">
        <w:rPr>
          <w:b/>
          <w:bCs/>
          <w:i/>
          <w:iCs/>
        </w:rPr>
        <w:t xml:space="preserve">, </w:t>
      </w:r>
      <w:r w:rsidR="265B3EB2" w:rsidRPr="73E10FD6">
        <w:rPr>
          <w:b/>
          <w:bCs/>
        </w:rPr>
        <w:t xml:space="preserve">including </w:t>
      </w:r>
      <w:r w:rsidR="00F3204F">
        <w:rPr>
          <w:b/>
          <w:bCs/>
        </w:rPr>
        <w:t xml:space="preserve">article 27. </w:t>
      </w:r>
    </w:p>
    <w:p w14:paraId="3E8CAEBB" w14:textId="4A591EF6" w:rsidR="00F3204F" w:rsidRPr="00D01BA9" w:rsidRDefault="08756541" w:rsidP="00E513BC">
      <w:pPr>
        <w:pStyle w:val="ListParagraph"/>
        <w:numPr>
          <w:ilvl w:val="0"/>
          <w:numId w:val="27"/>
        </w:numPr>
        <w:rPr>
          <w:b/>
          <w:bCs/>
          <w:i/>
          <w:iCs/>
        </w:rPr>
      </w:pPr>
      <w:r w:rsidRPr="007D7DAC">
        <w:rPr>
          <w:b/>
          <w:bCs/>
        </w:rPr>
        <w:t xml:space="preserve">Be informed by </w:t>
      </w:r>
      <w:r w:rsidR="00F3204F">
        <w:rPr>
          <w:b/>
          <w:bCs/>
        </w:rPr>
        <w:t>the</w:t>
      </w:r>
      <w:r w:rsidR="00F3204F" w:rsidRPr="007D7DAC">
        <w:rPr>
          <w:b/>
          <w:bCs/>
        </w:rPr>
        <w:t xml:space="preserve"> guidance provided under General Comment No. 8 by the Committee on the Rights of Persons with Disabilities.</w:t>
      </w:r>
      <w:r w:rsidR="00F3204F">
        <w:rPr>
          <w:rStyle w:val="EndnoteReference"/>
          <w:b/>
          <w:bCs/>
        </w:rPr>
        <w:endnoteReference w:id="47"/>
      </w:r>
      <w:r w:rsidR="00F3204F" w:rsidRPr="007D7DAC">
        <w:rPr>
          <w:b/>
          <w:bCs/>
        </w:rPr>
        <w:t xml:space="preserve"> </w:t>
      </w:r>
    </w:p>
    <w:p w14:paraId="36181D57" w14:textId="7C38F8EC" w:rsidR="00F3204F" w:rsidRPr="004916BC" w:rsidRDefault="00F3204F" w:rsidP="00E513BC">
      <w:pPr>
        <w:pStyle w:val="ListParagraph"/>
        <w:numPr>
          <w:ilvl w:val="0"/>
          <w:numId w:val="27"/>
        </w:numPr>
        <w:rPr>
          <w:b/>
          <w:bCs/>
          <w:i/>
          <w:iCs/>
        </w:rPr>
      </w:pPr>
      <w:proofErr w:type="gramStart"/>
      <w:r>
        <w:rPr>
          <w:b/>
          <w:bCs/>
        </w:rPr>
        <w:t>Be</w:t>
      </w:r>
      <w:proofErr w:type="gramEnd"/>
      <w:r>
        <w:rPr>
          <w:b/>
          <w:bCs/>
        </w:rPr>
        <w:t xml:space="preserve"> co-designed with people with disability</w:t>
      </w:r>
      <w:r w:rsidR="00F92194">
        <w:rPr>
          <w:b/>
          <w:bCs/>
        </w:rPr>
        <w:t xml:space="preserve"> and</w:t>
      </w:r>
      <w:r>
        <w:rPr>
          <w:b/>
          <w:bCs/>
        </w:rPr>
        <w:t xml:space="preserve"> their representative </w:t>
      </w:r>
      <w:r w:rsidR="00297A77">
        <w:rPr>
          <w:b/>
          <w:bCs/>
        </w:rPr>
        <w:t>organisations and</w:t>
      </w:r>
      <w:r w:rsidR="001F02A9">
        <w:rPr>
          <w:b/>
          <w:bCs/>
        </w:rPr>
        <w:t xml:space="preserve"> involve people with disability in governance processes to ensure accountability.</w:t>
      </w:r>
    </w:p>
    <w:p w14:paraId="432F9929" w14:textId="05267F3B" w:rsidR="001F02A9" w:rsidRPr="00297A77" w:rsidRDefault="001F02A9" w:rsidP="00E513BC">
      <w:pPr>
        <w:pStyle w:val="ListParagraph"/>
        <w:numPr>
          <w:ilvl w:val="0"/>
          <w:numId w:val="27"/>
        </w:numPr>
        <w:rPr>
          <w:b/>
          <w:bCs/>
        </w:rPr>
      </w:pPr>
      <w:r>
        <w:rPr>
          <w:b/>
          <w:bCs/>
        </w:rPr>
        <w:t>Have time limited actions to</w:t>
      </w:r>
      <w:r w:rsidRPr="00297A77">
        <w:rPr>
          <w:b/>
          <w:bCs/>
        </w:rPr>
        <w:t xml:space="preserve"> transition away from segregated settings (ADEs) to the open labour market</w:t>
      </w:r>
      <w:r w:rsidR="00C22A0C">
        <w:rPr>
          <w:b/>
          <w:bCs/>
        </w:rPr>
        <w:t xml:space="preserve"> and to</w:t>
      </w:r>
      <w:r w:rsidR="00371445">
        <w:rPr>
          <w:b/>
          <w:bCs/>
        </w:rPr>
        <w:t xml:space="preserve"> </w:t>
      </w:r>
      <w:r w:rsidR="00583FAB">
        <w:rPr>
          <w:b/>
          <w:bCs/>
        </w:rPr>
        <w:t xml:space="preserve">eliminate sub-minimum </w:t>
      </w:r>
      <w:r w:rsidR="006F2874">
        <w:rPr>
          <w:b/>
          <w:bCs/>
        </w:rPr>
        <w:t>wages and</w:t>
      </w:r>
      <w:r w:rsidR="229E999E">
        <w:rPr>
          <w:b/>
          <w:bCs/>
        </w:rPr>
        <w:t xml:space="preserve"> </w:t>
      </w:r>
      <w:r w:rsidRPr="00297A77">
        <w:rPr>
          <w:b/>
          <w:bCs/>
        </w:rPr>
        <w:t>ensur</w:t>
      </w:r>
      <w:r w:rsidR="665267AE" w:rsidRPr="00297A77">
        <w:rPr>
          <w:b/>
          <w:bCs/>
        </w:rPr>
        <w:t>e</w:t>
      </w:r>
      <w:r w:rsidRPr="00297A77">
        <w:rPr>
          <w:b/>
          <w:bCs/>
        </w:rPr>
        <w:t xml:space="preserve"> the </w:t>
      </w:r>
      <w:r w:rsidR="02CD550E" w:rsidRPr="00297A77">
        <w:rPr>
          <w:b/>
          <w:bCs/>
        </w:rPr>
        <w:t xml:space="preserve">application </w:t>
      </w:r>
      <w:r w:rsidRPr="00297A77">
        <w:rPr>
          <w:b/>
          <w:bCs/>
        </w:rPr>
        <w:t xml:space="preserve">of labour rights in segregated employment settings </w:t>
      </w:r>
      <w:r w:rsidR="03984ACD" w:rsidRPr="00297A77">
        <w:rPr>
          <w:b/>
          <w:bCs/>
        </w:rPr>
        <w:t>during transition</w:t>
      </w:r>
      <w:r w:rsidRPr="00297A77">
        <w:rPr>
          <w:b/>
          <w:bCs/>
        </w:rPr>
        <w:t>.</w:t>
      </w:r>
      <w:r w:rsidRPr="00297A77">
        <w:rPr>
          <w:rStyle w:val="EndnoteReference"/>
          <w:b/>
          <w:bCs/>
        </w:rPr>
        <w:endnoteReference w:id="48"/>
      </w:r>
    </w:p>
    <w:p w14:paraId="562A718A" w14:textId="688C34F2" w:rsidR="00F3204F" w:rsidRDefault="00F3204F" w:rsidP="00E513BC">
      <w:pPr>
        <w:pStyle w:val="ListParagraph"/>
        <w:numPr>
          <w:ilvl w:val="0"/>
          <w:numId w:val="27"/>
        </w:numPr>
        <w:rPr>
          <w:b/>
          <w:bCs/>
          <w:i/>
          <w:iCs/>
        </w:rPr>
      </w:pPr>
      <w:r>
        <w:rPr>
          <w:b/>
          <w:bCs/>
        </w:rPr>
        <w:t>Seek to address systemic and structural barriers to employment experienced by people with disability across both private and public sectors</w:t>
      </w:r>
      <w:r w:rsidR="009A5D14">
        <w:rPr>
          <w:b/>
          <w:bCs/>
        </w:rPr>
        <w:t xml:space="preserve"> and broader</w:t>
      </w:r>
      <w:r w:rsidR="002F67AD">
        <w:rPr>
          <w:b/>
          <w:bCs/>
        </w:rPr>
        <w:t xml:space="preserve"> policy areas</w:t>
      </w:r>
      <w:r>
        <w:rPr>
          <w:b/>
          <w:bCs/>
        </w:rPr>
        <w:t xml:space="preserve">.  </w:t>
      </w:r>
    </w:p>
    <w:p w14:paraId="5219B619" w14:textId="41F88D06" w:rsidR="00F3204F" w:rsidRPr="009B3D60" w:rsidRDefault="00F3204F" w:rsidP="00F3204F">
      <w:pPr>
        <w:rPr>
          <w:b/>
          <w:bCs/>
        </w:rPr>
      </w:pPr>
      <w:r w:rsidRPr="000D3716">
        <w:rPr>
          <w:b/>
          <w:bCs/>
        </w:rPr>
        <w:t xml:space="preserve">Recommendation </w:t>
      </w:r>
      <w:r w:rsidR="00E36E11">
        <w:rPr>
          <w:b/>
          <w:bCs/>
        </w:rPr>
        <w:t>2</w:t>
      </w:r>
      <w:r w:rsidRPr="000D3716">
        <w:rPr>
          <w:b/>
          <w:bCs/>
        </w:rPr>
        <w:t xml:space="preserve">: </w:t>
      </w:r>
      <w:r>
        <w:rPr>
          <w:b/>
          <w:bCs/>
        </w:rPr>
        <w:t>A National Inclusive Employment Roadmap should include a comprehensive action plan with sufficient allocation of resources</w:t>
      </w:r>
      <w:r w:rsidR="00FD7D45">
        <w:rPr>
          <w:b/>
          <w:bCs/>
        </w:rPr>
        <w:t>,</w:t>
      </w:r>
      <w:r>
        <w:rPr>
          <w:b/>
          <w:bCs/>
        </w:rPr>
        <w:t xml:space="preserve"> </w:t>
      </w:r>
      <w:r w:rsidR="006600C2">
        <w:rPr>
          <w:b/>
          <w:bCs/>
        </w:rPr>
        <w:t xml:space="preserve">explicit </w:t>
      </w:r>
      <w:r w:rsidR="41F328DD" w:rsidRPr="1B83E774">
        <w:rPr>
          <w:b/>
          <w:bCs/>
        </w:rPr>
        <w:t xml:space="preserve">measurable </w:t>
      </w:r>
      <w:r w:rsidR="006600C2">
        <w:rPr>
          <w:b/>
          <w:bCs/>
        </w:rPr>
        <w:t>targets and benchmarks</w:t>
      </w:r>
      <w:r w:rsidR="009951E8">
        <w:rPr>
          <w:b/>
          <w:bCs/>
        </w:rPr>
        <w:t xml:space="preserve"> and</w:t>
      </w:r>
      <w:r>
        <w:rPr>
          <w:b/>
          <w:bCs/>
        </w:rPr>
        <w:t xml:space="preserve"> human rights indicators.   </w:t>
      </w:r>
      <w:r w:rsidRPr="000D3716">
        <w:rPr>
          <w:b/>
          <w:bCs/>
        </w:rPr>
        <w:t xml:space="preserve"> </w:t>
      </w:r>
    </w:p>
    <w:p w14:paraId="484CE530" w14:textId="29E3440E" w:rsidR="004D2AC4" w:rsidRDefault="00BB1252" w:rsidP="00583AAB">
      <w:pPr>
        <w:pStyle w:val="Heading1"/>
      </w:pPr>
      <w:bookmarkStart w:id="47" w:name="_Toc200468700"/>
      <w:bookmarkStart w:id="48" w:name="_Toc200558562"/>
      <w:bookmarkStart w:id="49" w:name="_Toc200468701"/>
      <w:bookmarkStart w:id="50" w:name="_Toc200558563"/>
      <w:bookmarkStart w:id="51" w:name="_Toc200468702"/>
      <w:bookmarkStart w:id="52" w:name="_Toc200558564"/>
      <w:bookmarkStart w:id="53" w:name="_Toc200468703"/>
      <w:bookmarkStart w:id="54" w:name="_Toc200558565"/>
      <w:bookmarkStart w:id="55" w:name="_Toc198117213"/>
      <w:bookmarkStart w:id="56" w:name="_Toc202518626"/>
      <w:bookmarkEnd w:id="41"/>
      <w:bookmarkEnd w:id="47"/>
      <w:bookmarkEnd w:id="48"/>
      <w:bookmarkEnd w:id="49"/>
      <w:bookmarkEnd w:id="50"/>
      <w:bookmarkEnd w:id="51"/>
      <w:bookmarkEnd w:id="52"/>
      <w:bookmarkEnd w:id="53"/>
      <w:bookmarkEnd w:id="54"/>
      <w:r>
        <w:t>I</w:t>
      </w:r>
      <w:r w:rsidR="006701DB">
        <w:t>ncreas</w:t>
      </w:r>
      <w:r>
        <w:t>ing</w:t>
      </w:r>
      <w:r w:rsidR="006701DB">
        <w:t xml:space="preserve"> open and inclusive employment opportunities</w:t>
      </w:r>
      <w:bookmarkEnd w:id="55"/>
      <w:bookmarkEnd w:id="56"/>
      <w:r w:rsidR="006701DB">
        <w:t xml:space="preserve"> </w:t>
      </w:r>
    </w:p>
    <w:p w14:paraId="07913930" w14:textId="0D30EE6C" w:rsidR="00D26C8D" w:rsidRPr="006E6402" w:rsidRDefault="00AD785E" w:rsidP="006E6402">
      <w:pPr>
        <w:pStyle w:val="Heading2"/>
      </w:pPr>
      <w:bookmarkStart w:id="57" w:name="_Toc202518627"/>
      <w:r w:rsidRPr="006E6402">
        <w:t>Increasing employer capacity and demand</w:t>
      </w:r>
      <w:bookmarkEnd w:id="57"/>
      <w:r w:rsidRPr="006E6402">
        <w:t xml:space="preserve"> </w:t>
      </w:r>
    </w:p>
    <w:p w14:paraId="5237B785" w14:textId="7F216C51" w:rsidR="00782A40" w:rsidRPr="00703FA9" w:rsidRDefault="007970E1" w:rsidP="0046209B">
      <w:r>
        <w:t xml:space="preserve">A </w:t>
      </w:r>
      <w:r w:rsidR="00D95BF5">
        <w:t xml:space="preserve">National </w:t>
      </w:r>
      <w:r>
        <w:t xml:space="preserve">Inclusive Employment </w:t>
      </w:r>
      <w:r w:rsidR="00D95BF5">
        <w:t>Roadmap</w:t>
      </w:r>
      <w:r w:rsidR="00583AAB">
        <w:t xml:space="preserve"> </w:t>
      </w:r>
      <w:r w:rsidR="00D95BF5">
        <w:t xml:space="preserve">should </w:t>
      </w:r>
      <w:r w:rsidR="00583AAB">
        <w:t xml:space="preserve">include </w:t>
      </w:r>
      <w:r w:rsidR="00D95BF5">
        <w:t xml:space="preserve">funding </w:t>
      </w:r>
      <w:r w:rsidR="00583AAB">
        <w:t>and policy to</w:t>
      </w:r>
      <w:r w:rsidR="00D95BF5">
        <w:t xml:space="preserve"> support </w:t>
      </w:r>
      <w:r w:rsidR="00464E5E">
        <w:t>hiring</w:t>
      </w:r>
      <w:r w:rsidR="00EE66E2">
        <w:t xml:space="preserve"> people with </w:t>
      </w:r>
      <w:r w:rsidR="00B46796">
        <w:t>disability</w:t>
      </w:r>
      <w:r w:rsidR="00A97E11">
        <w:t xml:space="preserve"> </w:t>
      </w:r>
      <w:r w:rsidR="001659EB">
        <w:t xml:space="preserve">facing </w:t>
      </w:r>
      <w:r w:rsidR="00A97E11">
        <w:t>greater barriers to employment</w:t>
      </w:r>
      <w:r w:rsidR="000C3412">
        <w:t xml:space="preserve"> and to challenge </w:t>
      </w:r>
      <w:r w:rsidR="00583AAB">
        <w:t xml:space="preserve">ableist </w:t>
      </w:r>
      <w:r w:rsidR="00980F12">
        <w:t xml:space="preserve">employer </w:t>
      </w:r>
      <w:r w:rsidR="00583AAB">
        <w:t>attitudes</w:t>
      </w:r>
      <w:r w:rsidR="114FBD46">
        <w:t xml:space="preserve">. </w:t>
      </w:r>
      <w:r w:rsidR="00782A40" w:rsidRPr="00FB4DC4">
        <w:t xml:space="preserve">Effective employment policy for people with disability must address both supply and demand. While current government </w:t>
      </w:r>
      <w:r w:rsidR="00782A40" w:rsidRPr="00FB4DC4">
        <w:lastRenderedPageBreak/>
        <w:t xml:space="preserve">initiatives (such as Disability Employment Services, </w:t>
      </w:r>
      <w:r w:rsidR="00DD382A">
        <w:t>and</w:t>
      </w:r>
      <w:r w:rsidR="00782A40" w:rsidRPr="00FB4DC4">
        <w:t xml:space="preserve"> </w:t>
      </w:r>
      <w:r w:rsidR="00DE2677">
        <w:t>In</w:t>
      </w:r>
      <w:r w:rsidR="005B5595">
        <w:t>formation, Linkages and Capacity Building</w:t>
      </w:r>
      <w:r w:rsidR="00782A40" w:rsidRPr="00FB4DC4">
        <w:t xml:space="preserve"> grant programs) largely focus on improving job seeker readiness</w:t>
      </w:r>
      <w:r w:rsidR="00703FA9" w:rsidRPr="00FB4DC4">
        <w:t xml:space="preserve"> and qualifications</w:t>
      </w:r>
      <w:r w:rsidR="00782A40" w:rsidRPr="00FB4DC4">
        <w:t xml:space="preserve">, the Disability Royal Commission highlighted how pervasive negative attitudes and low expectations among employers </w:t>
      </w:r>
      <w:r w:rsidR="00703FA9" w:rsidRPr="00FB4DC4">
        <w:t>had the most significant impact on the employment and life outcomes for people with disability.</w:t>
      </w:r>
      <w:r w:rsidR="00724AB1">
        <w:rPr>
          <w:rStyle w:val="EndnoteReference"/>
        </w:rPr>
        <w:endnoteReference w:id="49"/>
      </w:r>
    </w:p>
    <w:p w14:paraId="0BD94885" w14:textId="12E2952F" w:rsidR="00353A95" w:rsidRDefault="00353A95" w:rsidP="00353A95">
      <w:pPr>
        <w:suppressAutoHyphens/>
        <w:spacing w:before="120" w:after="120"/>
      </w:pPr>
      <w:r>
        <w:t xml:space="preserve">Similarly, the evaluation of </w:t>
      </w:r>
      <w:r w:rsidR="004123E9">
        <w:t>the</w:t>
      </w:r>
      <w:r w:rsidR="00724AB1">
        <w:t xml:space="preserve"> first phase of the</w:t>
      </w:r>
      <w:r w:rsidR="004123E9">
        <w:t xml:space="preserve"> Commission’s </w:t>
      </w:r>
      <w:r w:rsidR="00724AB1" w:rsidRPr="00614173">
        <w:rPr>
          <w:i/>
        </w:rPr>
        <w:t>Equality at Work</w:t>
      </w:r>
      <w:r w:rsidR="00EE2049">
        <w:t xml:space="preserve"> project</w:t>
      </w:r>
      <w:r w:rsidR="00724AB1">
        <w:t xml:space="preserve"> </w:t>
      </w:r>
      <w:r w:rsidR="00EE2049">
        <w:t>(formerly IncludeAbility)</w:t>
      </w:r>
      <w:r>
        <w:t xml:space="preserve"> found that ‘</w:t>
      </w:r>
      <w:r w:rsidRPr="00F52F77">
        <w:t>the biggest barrier for a person with disability is low expectations of the employer</w:t>
      </w:r>
      <w:r>
        <w:t>’.</w:t>
      </w:r>
      <w:r w:rsidR="00F06B09">
        <w:rPr>
          <w:rStyle w:val="EndnoteReference"/>
        </w:rPr>
        <w:endnoteReference w:id="50"/>
      </w:r>
      <w:r>
        <w:t xml:space="preserve"> The evaluation </w:t>
      </w:r>
      <w:r w:rsidR="00A06BB3">
        <w:t xml:space="preserve">highlighted </w:t>
      </w:r>
      <w:r>
        <w:t xml:space="preserve">that </w:t>
      </w:r>
      <w:r w:rsidRPr="00F52F77">
        <w:t xml:space="preserve">a general lack of awareness about disability and lack of contact with people with disability </w:t>
      </w:r>
      <w:r>
        <w:t xml:space="preserve">frequently acts </w:t>
      </w:r>
      <w:r w:rsidRPr="00F52F77">
        <w:t>as drivers of negative attitudes about their employment potential</w:t>
      </w:r>
      <w:r>
        <w:t>.</w:t>
      </w:r>
      <w:r>
        <w:rPr>
          <w:rStyle w:val="EndnoteReference"/>
        </w:rPr>
        <w:endnoteReference w:id="51"/>
      </w:r>
    </w:p>
    <w:p w14:paraId="1BD4F10D" w14:textId="53097F0F" w:rsidR="00DD1D2D" w:rsidRDefault="00353A95" w:rsidP="00CE0720">
      <w:r>
        <w:t xml:space="preserve">The Disability Royal Commission </w:t>
      </w:r>
      <w:r w:rsidR="00DF78F5">
        <w:t xml:space="preserve">heard that </w:t>
      </w:r>
      <w:r w:rsidR="00ED623B" w:rsidRPr="0095059F">
        <w:t xml:space="preserve">some people with disability who had worked in both </w:t>
      </w:r>
      <w:proofErr w:type="gramStart"/>
      <w:r w:rsidR="00AF4BFF" w:rsidRPr="0095059F">
        <w:t>ADEs</w:t>
      </w:r>
      <w:proofErr w:type="gramEnd"/>
      <w:r w:rsidR="00ED623B" w:rsidRPr="0095059F">
        <w:t xml:space="preserve"> and open employment chose to return to ADEs</w:t>
      </w:r>
      <w:r w:rsidR="00E911AA">
        <w:t xml:space="preserve">, </w:t>
      </w:r>
      <w:r w:rsidR="00E44E58" w:rsidRPr="0095059F">
        <w:t>despite</w:t>
      </w:r>
      <w:r w:rsidR="00ED623B" w:rsidRPr="0095059F">
        <w:t xml:space="preserve"> lower wages received</w:t>
      </w:r>
      <w:r w:rsidR="00E911AA">
        <w:t xml:space="preserve">, </w:t>
      </w:r>
      <w:r w:rsidR="00ED623B" w:rsidRPr="0095059F">
        <w:t xml:space="preserve">because </w:t>
      </w:r>
      <w:r w:rsidR="00ED623B">
        <w:t xml:space="preserve">of </w:t>
      </w:r>
      <w:r w:rsidR="00D775AB">
        <w:t xml:space="preserve">the </w:t>
      </w:r>
      <w:r w:rsidR="00ED623B" w:rsidRPr="00774A27">
        <w:t>harassment, discrimination and social isolation</w:t>
      </w:r>
      <w:r w:rsidR="00ED623B">
        <w:t xml:space="preserve"> </w:t>
      </w:r>
      <w:r w:rsidR="00ED623B" w:rsidRPr="0095059F">
        <w:t>they experience</w:t>
      </w:r>
      <w:r w:rsidR="00052F71">
        <w:t>d</w:t>
      </w:r>
      <w:r w:rsidR="00ED623B" w:rsidRPr="0095059F">
        <w:t xml:space="preserve"> in open employment</w:t>
      </w:r>
      <w:r w:rsidR="003D4A0F">
        <w:t>.</w:t>
      </w:r>
      <w:r w:rsidR="00E942CD">
        <w:rPr>
          <w:rStyle w:val="EndnoteReference"/>
        </w:rPr>
        <w:endnoteReference w:id="52"/>
      </w:r>
      <w:r w:rsidR="00ED623B">
        <w:t xml:space="preserve"> </w:t>
      </w:r>
    </w:p>
    <w:p w14:paraId="445ED1D1" w14:textId="1F06A864" w:rsidR="001A6E5A" w:rsidRPr="0095059F" w:rsidRDefault="00E845B7" w:rsidP="00CE0720">
      <w:r>
        <w:t>S</w:t>
      </w:r>
      <w:r w:rsidR="0089688A">
        <w:t xml:space="preserve">egregated </w:t>
      </w:r>
      <w:r w:rsidR="00076E6D">
        <w:t>employment reduc</w:t>
      </w:r>
      <w:r w:rsidR="00760B2C">
        <w:t>e</w:t>
      </w:r>
      <w:r>
        <w:t>s</w:t>
      </w:r>
      <w:r w:rsidR="00076E6D">
        <w:t xml:space="preserve"> the imperative </w:t>
      </w:r>
      <w:r w:rsidR="00C54FFD">
        <w:t>for employers and government</w:t>
      </w:r>
      <w:r w:rsidR="00760B2C">
        <w:t>s</w:t>
      </w:r>
      <w:r w:rsidR="00C54FFD">
        <w:t xml:space="preserve"> to eliminate </w:t>
      </w:r>
      <w:r w:rsidR="00AC38AC">
        <w:t xml:space="preserve">workplace </w:t>
      </w:r>
      <w:r w:rsidR="00C54FFD">
        <w:t xml:space="preserve">discrimination </w:t>
      </w:r>
      <w:r w:rsidR="00AC38AC">
        <w:t>against</w:t>
      </w:r>
      <w:r w:rsidR="00C54FFD">
        <w:t xml:space="preserve"> people with disability</w:t>
      </w:r>
      <w:r w:rsidR="00685E8C">
        <w:t xml:space="preserve"> and</w:t>
      </w:r>
      <w:r w:rsidR="00A71F8C">
        <w:t xml:space="preserve"> reinforces </w:t>
      </w:r>
      <w:r w:rsidR="00DD1D2D">
        <w:t>structural and cultural barriers in the workplace</w:t>
      </w:r>
      <w:r w:rsidR="00685E8C">
        <w:t xml:space="preserve">. </w:t>
      </w:r>
      <w:r w:rsidR="00834F61" w:rsidRPr="00FB4DC4">
        <w:t xml:space="preserve">As a result, many employers </w:t>
      </w:r>
      <w:r w:rsidR="003F2EE2">
        <w:t xml:space="preserve">across industries </w:t>
      </w:r>
      <w:r w:rsidR="00834F61" w:rsidRPr="00FB4DC4">
        <w:t>lack the knowledge, experience, and willingness to offer meaningful</w:t>
      </w:r>
      <w:r w:rsidR="00834F61">
        <w:t xml:space="preserve"> and safe</w:t>
      </w:r>
      <w:r w:rsidR="00834F61" w:rsidRPr="00FB4DC4">
        <w:t xml:space="preserve"> work to people with higher or ongoing support needs</w:t>
      </w:r>
      <w:r w:rsidR="00834F61">
        <w:t>.</w:t>
      </w:r>
    </w:p>
    <w:p w14:paraId="072AECFA" w14:textId="01E14BB0" w:rsidR="008C5AC1" w:rsidRPr="0095059F" w:rsidRDefault="00DB413C" w:rsidP="00CE0720">
      <w:r>
        <w:t>There are a</w:t>
      </w:r>
      <w:r w:rsidR="008C5AC1" w:rsidRPr="00012AFF">
        <w:t xml:space="preserve"> range of evidence-based practices that enable mainstream workplaces to offer inclusive and accessible employment for people with </w:t>
      </w:r>
      <w:r w:rsidR="008C5AC1">
        <w:t>disability</w:t>
      </w:r>
      <w:r w:rsidR="008A6E65">
        <w:t>.</w:t>
      </w:r>
      <w:r w:rsidR="008C5AC1">
        <w:rPr>
          <w:rStyle w:val="EndnoteReference"/>
        </w:rPr>
        <w:endnoteReference w:id="53"/>
      </w:r>
      <w:r w:rsidR="008C5AC1" w:rsidRPr="00012AFF">
        <w:t xml:space="preserve"> These include on-the-job training, flexible recruitment, customised job design, ongoing support and workplace cultural change.</w:t>
      </w:r>
    </w:p>
    <w:p w14:paraId="571F2104" w14:textId="082A00C6" w:rsidR="0018164B" w:rsidRDefault="0018164B" w:rsidP="0018164B">
      <w:pPr>
        <w:rPr>
          <w:b/>
        </w:rPr>
      </w:pPr>
      <w:r w:rsidRPr="00043746">
        <w:rPr>
          <w:b/>
          <w:bCs/>
        </w:rPr>
        <w:t xml:space="preserve">Recommendation </w:t>
      </w:r>
      <w:r w:rsidR="00E36E11">
        <w:rPr>
          <w:b/>
          <w:bCs/>
        </w:rPr>
        <w:t>3</w:t>
      </w:r>
      <w:r w:rsidRPr="00043746">
        <w:rPr>
          <w:b/>
          <w:bCs/>
        </w:rPr>
        <w:t xml:space="preserve">: </w:t>
      </w:r>
      <w:r w:rsidRPr="00043746">
        <w:rPr>
          <w:b/>
        </w:rPr>
        <w:t xml:space="preserve">The Australian Government should </w:t>
      </w:r>
      <w:r>
        <w:rPr>
          <w:b/>
        </w:rPr>
        <w:t>implement specific</w:t>
      </w:r>
      <w:r w:rsidRPr="00043746">
        <w:rPr>
          <w:b/>
        </w:rPr>
        <w:t xml:space="preserve"> measures and dedicated funding to increase employer demand, capability, and the development of inclusive, accessible workplace cultures that uphold the rights and meet the needs of employees with disability.</w:t>
      </w:r>
    </w:p>
    <w:p w14:paraId="75AC8801" w14:textId="36F9C724" w:rsidR="0005060C" w:rsidRDefault="0018164B" w:rsidP="0018164B">
      <w:r>
        <w:t>Both the Disability Royal Commission and the Commission recommend reform to the Disability Discrimination Act to strengthen workplace</w:t>
      </w:r>
      <w:r w:rsidR="00766928">
        <w:t>s</w:t>
      </w:r>
      <w:r>
        <w:rPr>
          <w:rStyle w:val="EndnoteReference"/>
        </w:rPr>
        <w:endnoteReference w:id="54"/>
      </w:r>
      <w:r w:rsidRPr="005A24F6">
        <w:t xml:space="preserve"> </w:t>
      </w:r>
      <w:r>
        <w:t xml:space="preserve">by introducing </w:t>
      </w:r>
      <w:r w:rsidR="28083B42">
        <w:t>a</w:t>
      </w:r>
      <w:r>
        <w:t xml:space="preserve"> positive dut</w:t>
      </w:r>
      <w:r w:rsidR="7AC02FAB">
        <w:t>y</w:t>
      </w:r>
      <w:r>
        <w:t xml:space="preserve"> to eliminate disability discrimination and to provide adjustments. The Government should prioritise its commitment to review the Disability Discrimination Act as a necessary component of supported employment reform. </w:t>
      </w:r>
    </w:p>
    <w:p w14:paraId="478EC51E" w14:textId="2D10DBEA" w:rsidR="00BF72B8" w:rsidRDefault="008618F3" w:rsidP="00BC2869">
      <w:pPr>
        <w:rPr>
          <w:b/>
        </w:rPr>
      </w:pPr>
      <w:r>
        <w:rPr>
          <w:b/>
        </w:rPr>
        <w:t xml:space="preserve">Recommendation </w:t>
      </w:r>
      <w:r w:rsidR="00E36E11">
        <w:rPr>
          <w:b/>
        </w:rPr>
        <w:t>4</w:t>
      </w:r>
      <w:r>
        <w:rPr>
          <w:b/>
        </w:rPr>
        <w:t xml:space="preserve">: </w:t>
      </w:r>
      <w:r w:rsidR="0018661E">
        <w:rPr>
          <w:b/>
        </w:rPr>
        <w:t xml:space="preserve">The Australian Government should </w:t>
      </w:r>
      <w:r w:rsidR="00CE1DEC">
        <w:rPr>
          <w:b/>
        </w:rPr>
        <w:t>urgently</w:t>
      </w:r>
      <w:r w:rsidR="0018661E">
        <w:rPr>
          <w:b/>
        </w:rPr>
        <w:t xml:space="preserve"> reform the </w:t>
      </w:r>
      <w:r w:rsidR="0018661E">
        <w:rPr>
          <w:b/>
          <w:i/>
          <w:iCs/>
        </w:rPr>
        <w:t xml:space="preserve">Disability </w:t>
      </w:r>
      <w:r w:rsidR="005032DE">
        <w:rPr>
          <w:b/>
          <w:i/>
          <w:iCs/>
        </w:rPr>
        <w:t>Di</w:t>
      </w:r>
      <w:r w:rsidR="0018661E">
        <w:rPr>
          <w:b/>
          <w:i/>
          <w:iCs/>
        </w:rPr>
        <w:t xml:space="preserve">scrimination Act 1992 </w:t>
      </w:r>
      <w:r w:rsidR="0018661E">
        <w:rPr>
          <w:b/>
        </w:rPr>
        <w:t>(Cth)</w:t>
      </w:r>
      <w:r w:rsidR="00CE1DEC">
        <w:rPr>
          <w:b/>
        </w:rPr>
        <w:t>,</w:t>
      </w:r>
      <w:r w:rsidR="000B77C0">
        <w:rPr>
          <w:b/>
        </w:rPr>
        <w:t xml:space="preserve"> as recommended by the Disability Royal Commission and the Australian Human Rights Commission</w:t>
      </w:r>
      <w:r w:rsidR="00F93635">
        <w:rPr>
          <w:b/>
        </w:rPr>
        <w:t xml:space="preserve">. </w:t>
      </w:r>
    </w:p>
    <w:tbl>
      <w:tblPr>
        <w:tblStyle w:val="TableGrid"/>
        <w:tblW w:w="0" w:type="auto"/>
        <w:tblLook w:val="04A0" w:firstRow="1" w:lastRow="0" w:firstColumn="1" w:lastColumn="0" w:noHBand="0" w:noVBand="1"/>
      </w:tblPr>
      <w:tblGrid>
        <w:gridCol w:w="9060"/>
      </w:tblGrid>
      <w:tr w:rsidR="003F762F" w14:paraId="3B0A030F" w14:textId="77777777">
        <w:tc>
          <w:tcPr>
            <w:tcW w:w="9060" w:type="dxa"/>
          </w:tcPr>
          <w:p w14:paraId="1375BC87" w14:textId="2641B7B5" w:rsidR="000D073A" w:rsidRDefault="007068D4" w:rsidP="003F762F">
            <w:pPr>
              <w:rPr>
                <w:b/>
                <w:shd w:val="clear" w:color="auto" w:fill="FFFFFF"/>
                <w:lang w:val="en-US"/>
              </w:rPr>
            </w:pPr>
            <w:r>
              <w:rPr>
                <w:b/>
                <w:shd w:val="clear" w:color="auto" w:fill="FFFFFF"/>
                <w:lang w:val="en-US"/>
              </w:rPr>
              <w:lastRenderedPageBreak/>
              <w:t>Success Story</w:t>
            </w:r>
            <w:r w:rsidR="000D073A" w:rsidRPr="389B4422">
              <w:rPr>
                <w:b/>
                <w:shd w:val="clear" w:color="auto" w:fill="FFFFFF"/>
                <w:lang w:val="en-US"/>
              </w:rPr>
              <w:t xml:space="preserve">: </w:t>
            </w:r>
            <w:r w:rsidR="000D073A" w:rsidRPr="00614173">
              <w:rPr>
                <w:b/>
                <w:i/>
                <w:shd w:val="clear" w:color="auto" w:fill="FFFFFF"/>
                <w:lang w:val="en-US"/>
              </w:rPr>
              <w:t>Equality at Work</w:t>
            </w:r>
            <w:r w:rsidR="000D073A" w:rsidRPr="389B4422">
              <w:rPr>
                <w:b/>
                <w:shd w:val="clear" w:color="auto" w:fill="FFFFFF"/>
                <w:lang w:val="en-US"/>
              </w:rPr>
              <w:t xml:space="preserve"> – phase two of the IncludeAbility project. </w:t>
            </w:r>
          </w:p>
          <w:p w14:paraId="249C7FC0" w14:textId="7B675E83" w:rsidR="0099335F" w:rsidRDefault="00207E77" w:rsidP="003F762F">
            <w:r>
              <w:t xml:space="preserve">The Commission’s </w:t>
            </w:r>
            <w:r w:rsidRPr="00614173">
              <w:rPr>
                <w:i/>
              </w:rPr>
              <w:t>Equality at Work</w:t>
            </w:r>
            <w:r>
              <w:t xml:space="preserve"> project (for</w:t>
            </w:r>
            <w:r w:rsidR="00E678E8">
              <w:t>merly IncludeAbility) is a national initiative</w:t>
            </w:r>
            <w:r w:rsidR="0099335F">
              <w:t xml:space="preserve"> </w:t>
            </w:r>
            <w:r w:rsidR="0099335F" w:rsidRPr="0099335F">
              <w:t>that aims to fulfil the right of people with disability to employment on an equal basis with others. Since 2020, the project has worked with proactive employers to pilot inclusive employment models and build organisational capacity to recruit and retain people with disability.</w:t>
            </w:r>
          </w:p>
          <w:p w14:paraId="14CE4F8B" w14:textId="27597F47" w:rsidR="00E95BFD" w:rsidRPr="00143EE9" w:rsidRDefault="00D71661" w:rsidP="00E95BFD">
            <w:pPr>
              <w:rPr>
                <w:shd w:val="clear" w:color="auto" w:fill="FFFFFF"/>
                <w:lang w:val="en-US"/>
              </w:rPr>
            </w:pPr>
            <w:r w:rsidRPr="00D71661">
              <w:rPr>
                <w:shd w:val="clear" w:color="auto" w:fill="FFFFFF"/>
                <w:lang w:val="en-US"/>
              </w:rPr>
              <w:t xml:space="preserve">The initiative is co-designed with people with </w:t>
            </w:r>
            <w:proofErr w:type="gramStart"/>
            <w:r w:rsidRPr="00D71661">
              <w:rPr>
                <w:shd w:val="clear" w:color="auto" w:fill="FFFFFF"/>
                <w:lang w:val="en-US"/>
              </w:rPr>
              <w:t>disability</w:t>
            </w:r>
            <w:proofErr w:type="gramEnd"/>
            <w:r w:rsidRPr="00D71661">
              <w:rPr>
                <w:shd w:val="clear" w:color="auto" w:fill="FFFFFF"/>
                <w:lang w:val="en-US"/>
              </w:rPr>
              <w:t xml:space="preserve"> and leverages </w:t>
            </w:r>
            <w:r w:rsidR="6A92766B" w:rsidRPr="00D71661">
              <w:rPr>
                <w:shd w:val="clear" w:color="auto" w:fill="FFFFFF"/>
                <w:lang w:val="en-US"/>
              </w:rPr>
              <w:t>their expertise</w:t>
            </w:r>
            <w:r w:rsidR="25000512" w:rsidRPr="00D71661">
              <w:rPr>
                <w:shd w:val="clear" w:color="auto" w:fill="FFFFFF"/>
                <w:lang w:val="en-US"/>
              </w:rPr>
              <w:t xml:space="preserve"> </w:t>
            </w:r>
            <w:r w:rsidRPr="00D71661">
              <w:rPr>
                <w:shd w:val="clear" w:color="auto" w:fill="FFFFFF"/>
                <w:lang w:val="en-US"/>
              </w:rPr>
              <w:t>to inform employer practices and build inclusive workplace cultures.</w:t>
            </w:r>
            <w:r w:rsidR="00397C64" w:rsidRPr="196BA5DD">
              <w:rPr>
                <w:shd w:val="clear" w:color="auto" w:fill="FFFFFF"/>
                <w:lang w:val="en-US"/>
              </w:rPr>
              <w:t xml:space="preserve"> All pilot employment opportunities are in open employment and offer competitive wages that are at or above the national minimum wage</w:t>
            </w:r>
            <w:r w:rsidR="00397C64">
              <w:rPr>
                <w:shd w:val="clear" w:color="auto" w:fill="FFFFFF"/>
                <w:lang w:val="en-US"/>
              </w:rPr>
              <w:t>.</w:t>
            </w:r>
          </w:p>
          <w:p w14:paraId="65943E24" w14:textId="12CCFF7F" w:rsidR="00F75F48" w:rsidRPr="00143EE9" w:rsidRDefault="00F75F48" w:rsidP="003F762F">
            <w:pPr>
              <w:rPr>
                <w:shd w:val="clear" w:color="auto" w:fill="FFFFFF"/>
                <w:lang w:val="en-US"/>
              </w:rPr>
            </w:pPr>
            <w:r w:rsidRPr="00F75F48">
              <w:rPr>
                <w:shd w:val="clear" w:color="auto" w:fill="FFFFFF"/>
                <w:lang w:val="en-US"/>
              </w:rPr>
              <w:t xml:space="preserve">The Commission provides tailored support to participating employers, drawing on its statutory expertise in human rights and its experience in conciliating disability discrimination complaints. This support includes </w:t>
            </w:r>
            <w:r w:rsidR="00E73F5E">
              <w:rPr>
                <w:shd w:val="clear" w:color="auto" w:fill="FFFFFF"/>
                <w:lang w:val="en-US"/>
              </w:rPr>
              <w:t xml:space="preserve">training, </w:t>
            </w:r>
            <w:r w:rsidRPr="00F75F48">
              <w:rPr>
                <w:shd w:val="clear" w:color="auto" w:fill="FFFFFF"/>
                <w:lang w:val="en-US"/>
              </w:rPr>
              <w:t>guidance on inclusive recruitment</w:t>
            </w:r>
            <w:r w:rsidR="00280FDF">
              <w:rPr>
                <w:shd w:val="clear" w:color="auto" w:fill="FFFFFF"/>
                <w:lang w:val="en-US"/>
              </w:rPr>
              <w:t xml:space="preserve"> </w:t>
            </w:r>
            <w:r w:rsidR="002A36B9">
              <w:rPr>
                <w:shd w:val="clear" w:color="auto" w:fill="FFFFFF"/>
                <w:lang w:val="en-US"/>
              </w:rPr>
              <w:t>and</w:t>
            </w:r>
            <w:r w:rsidRPr="00F75F48">
              <w:rPr>
                <w:shd w:val="clear" w:color="auto" w:fill="FFFFFF"/>
                <w:lang w:val="en-US"/>
              </w:rPr>
              <w:t xml:space="preserve"> workplace adjustments. The pilots also </w:t>
            </w:r>
            <w:r w:rsidR="00280FDF">
              <w:rPr>
                <w:shd w:val="clear" w:color="auto" w:fill="FFFFFF"/>
                <w:lang w:val="en-US"/>
              </w:rPr>
              <w:t xml:space="preserve">establish </w:t>
            </w:r>
            <w:r w:rsidRPr="00F75F48">
              <w:rPr>
                <w:shd w:val="clear" w:color="auto" w:fill="FFFFFF"/>
                <w:lang w:val="en-US"/>
              </w:rPr>
              <w:t>communities of practice, enabling employers to share insights and build sector-wide capa</w:t>
            </w:r>
            <w:r w:rsidR="00280FDF">
              <w:rPr>
                <w:shd w:val="clear" w:color="auto" w:fill="FFFFFF"/>
                <w:lang w:val="en-US"/>
              </w:rPr>
              <w:t>bil</w:t>
            </w:r>
            <w:r w:rsidRPr="00F75F48">
              <w:rPr>
                <w:shd w:val="clear" w:color="auto" w:fill="FFFFFF"/>
                <w:lang w:val="en-US"/>
              </w:rPr>
              <w:t>ity.</w:t>
            </w:r>
          </w:p>
          <w:p w14:paraId="1D149E4F" w14:textId="07357B62" w:rsidR="003F762F" w:rsidRPr="00AF7DB5" w:rsidRDefault="003F762F" w:rsidP="00BC2869">
            <w:pPr>
              <w:rPr>
                <w:shd w:val="clear" w:color="auto" w:fill="FFFFFF"/>
                <w:lang w:val="en-US"/>
              </w:rPr>
            </w:pPr>
            <w:r w:rsidRPr="196BA5DD">
              <w:rPr>
                <w:shd w:val="clear" w:color="auto" w:fill="FFFFFF"/>
                <w:lang w:val="en-US"/>
              </w:rPr>
              <w:t xml:space="preserve">These pilots offer a practical prototype for </w:t>
            </w:r>
            <w:r w:rsidR="00280FDF">
              <w:rPr>
                <w:shd w:val="clear" w:color="auto" w:fill="FFFFFF"/>
                <w:lang w:val="en-US"/>
              </w:rPr>
              <w:t>addressing the</w:t>
            </w:r>
            <w:r w:rsidR="00F67AD0">
              <w:rPr>
                <w:shd w:val="clear" w:color="auto" w:fill="FFFFFF"/>
                <w:lang w:val="en-US"/>
              </w:rPr>
              <w:t xml:space="preserve"> barriers</w:t>
            </w:r>
            <w:r w:rsidR="00280FDF">
              <w:rPr>
                <w:shd w:val="clear" w:color="auto" w:fill="FFFFFF"/>
                <w:lang w:val="en-US"/>
              </w:rPr>
              <w:t xml:space="preserve"> people with disability</w:t>
            </w:r>
            <w:r w:rsidR="00F67AD0">
              <w:rPr>
                <w:shd w:val="clear" w:color="auto" w:fill="FFFFFF"/>
                <w:lang w:val="en-US"/>
              </w:rPr>
              <w:t xml:space="preserve"> </w:t>
            </w:r>
            <w:proofErr w:type="gramStart"/>
            <w:r w:rsidR="00280FDF">
              <w:rPr>
                <w:shd w:val="clear" w:color="auto" w:fill="FFFFFF"/>
                <w:lang w:val="en-US"/>
              </w:rPr>
              <w:t>face</w:t>
            </w:r>
            <w:proofErr w:type="gramEnd"/>
            <w:r w:rsidR="00F67AD0">
              <w:rPr>
                <w:shd w:val="clear" w:color="auto" w:fill="FFFFFF"/>
                <w:lang w:val="en-US"/>
              </w:rPr>
              <w:t xml:space="preserve"> access</w:t>
            </w:r>
            <w:r w:rsidR="00BB32C2">
              <w:rPr>
                <w:shd w:val="clear" w:color="auto" w:fill="FFFFFF"/>
                <w:lang w:val="en-US"/>
              </w:rPr>
              <w:t xml:space="preserve">ing equal employment </w:t>
            </w:r>
            <w:r w:rsidR="00280FDF">
              <w:rPr>
                <w:shd w:val="clear" w:color="auto" w:fill="FFFFFF"/>
                <w:lang w:val="en-US"/>
              </w:rPr>
              <w:t>opportunities</w:t>
            </w:r>
            <w:r w:rsidR="00BB32C2">
              <w:rPr>
                <w:shd w:val="clear" w:color="auto" w:fill="FFFFFF"/>
                <w:lang w:val="en-US"/>
              </w:rPr>
              <w:t>.</w:t>
            </w:r>
            <w:r w:rsidR="00280FDF">
              <w:rPr>
                <w:shd w:val="clear" w:color="auto" w:fill="FFFFFF"/>
                <w:lang w:val="en-US"/>
              </w:rPr>
              <w:t xml:space="preserve"> They </w:t>
            </w:r>
            <w:r w:rsidR="00995DB2">
              <w:rPr>
                <w:shd w:val="clear" w:color="auto" w:fill="FFFFFF"/>
                <w:lang w:val="en-US"/>
              </w:rPr>
              <w:t xml:space="preserve">equip </w:t>
            </w:r>
            <w:r w:rsidRPr="196BA5DD">
              <w:rPr>
                <w:shd w:val="clear" w:color="auto" w:fill="FFFFFF"/>
                <w:lang w:val="en-US"/>
              </w:rPr>
              <w:t xml:space="preserve">organisations </w:t>
            </w:r>
            <w:r w:rsidR="00A01A3F">
              <w:rPr>
                <w:shd w:val="clear" w:color="auto" w:fill="FFFFFF"/>
                <w:lang w:val="en-US"/>
              </w:rPr>
              <w:t xml:space="preserve">to </w:t>
            </w:r>
            <w:r w:rsidR="00995DB2">
              <w:rPr>
                <w:shd w:val="clear" w:color="auto" w:fill="FFFFFF"/>
                <w:lang w:val="en-US"/>
              </w:rPr>
              <w:t>asses</w:t>
            </w:r>
            <w:r w:rsidR="00A01A3F">
              <w:rPr>
                <w:shd w:val="clear" w:color="auto" w:fill="FFFFFF"/>
                <w:lang w:val="en-US"/>
              </w:rPr>
              <w:t>s</w:t>
            </w:r>
            <w:r w:rsidR="00995DB2">
              <w:rPr>
                <w:shd w:val="clear" w:color="auto" w:fill="FFFFFF"/>
                <w:lang w:val="en-US"/>
              </w:rPr>
              <w:t xml:space="preserve"> and improv</w:t>
            </w:r>
            <w:r w:rsidR="00A01A3F">
              <w:rPr>
                <w:shd w:val="clear" w:color="auto" w:fill="FFFFFF"/>
                <w:lang w:val="en-US"/>
              </w:rPr>
              <w:t>e</w:t>
            </w:r>
            <w:r w:rsidR="00995DB2">
              <w:rPr>
                <w:shd w:val="clear" w:color="auto" w:fill="FFFFFF"/>
                <w:lang w:val="en-US"/>
              </w:rPr>
              <w:t xml:space="preserve"> </w:t>
            </w:r>
            <w:r w:rsidRPr="196BA5DD">
              <w:rPr>
                <w:shd w:val="clear" w:color="auto" w:fill="FFFFFF"/>
                <w:lang w:val="en-US"/>
              </w:rPr>
              <w:t xml:space="preserve">their policies, practices and processes to uphold the rights of their employees with disability.  </w:t>
            </w:r>
          </w:p>
        </w:tc>
      </w:tr>
    </w:tbl>
    <w:p w14:paraId="05B7BCFB" w14:textId="1FD6D4C3" w:rsidR="00B7304F" w:rsidRDefault="00B7304F" w:rsidP="00BF72B8">
      <w:pPr>
        <w:pStyle w:val="Heading2"/>
      </w:pPr>
      <w:bookmarkStart w:id="58" w:name="_Toc202518628"/>
      <w:r w:rsidRPr="0063603A">
        <w:t>Role of service providers</w:t>
      </w:r>
      <w:bookmarkEnd w:id="58"/>
      <w:r w:rsidRPr="0063603A">
        <w:t xml:space="preserve"> </w:t>
      </w:r>
    </w:p>
    <w:p w14:paraId="3841CF8D" w14:textId="6DAE6C99" w:rsidR="00E009F1" w:rsidRDefault="006B3967" w:rsidP="00FB592D">
      <w:r w:rsidRPr="000C172B">
        <w:t xml:space="preserve">In response to Question 6 of the Discussion Paper, the Commission </w:t>
      </w:r>
      <w:r w:rsidR="00C96A14">
        <w:t>acknowledges</w:t>
      </w:r>
      <w:r w:rsidR="001F74D3">
        <w:t xml:space="preserve"> that workplaces providing </w:t>
      </w:r>
      <w:r w:rsidR="00E009F1">
        <w:t>specialised</w:t>
      </w:r>
      <w:r w:rsidR="001F74D3">
        <w:t xml:space="preserve"> employment opportunities have historically played a role in supporting people with disability, particularly those facing greater employment barriers. However, the Commission </w:t>
      </w:r>
      <w:r w:rsidR="00E009F1">
        <w:t xml:space="preserve">advocates for a future in which these services evolve to operate exclusively within open and inclusive employment settings. </w:t>
      </w:r>
    </w:p>
    <w:p w14:paraId="32079860" w14:textId="74DAABFA" w:rsidR="001B1970" w:rsidRDefault="00E009F1" w:rsidP="00FB592D">
      <w:r>
        <w:t xml:space="preserve">The Commission </w:t>
      </w:r>
      <w:r w:rsidR="006B3967" w:rsidRPr="000C172B">
        <w:t xml:space="preserve">recommends that </w:t>
      </w:r>
      <w:r w:rsidR="00BF72B8">
        <w:t>ADEs</w:t>
      </w:r>
      <w:r w:rsidR="006B3967" w:rsidRPr="000C172B">
        <w:t xml:space="preserve"> be supported to </w:t>
      </w:r>
      <w:r w:rsidR="005813CB">
        <w:t>transform</w:t>
      </w:r>
      <w:r w:rsidR="006B3967" w:rsidRPr="000C172B">
        <w:t xml:space="preserve"> into labour market intermediaries that deliver </w:t>
      </w:r>
      <w:r w:rsidR="00833674" w:rsidRPr="00571F5F">
        <w:t xml:space="preserve">employment </w:t>
      </w:r>
      <w:r w:rsidR="006B3967" w:rsidRPr="00571F5F">
        <w:t>supports</w:t>
      </w:r>
      <w:r w:rsidR="006B3967" w:rsidRPr="000C172B">
        <w:t xml:space="preserve"> </w:t>
      </w:r>
      <w:r w:rsidR="00536DD0">
        <w:t>to both job seeker</w:t>
      </w:r>
      <w:r>
        <w:t>s</w:t>
      </w:r>
      <w:r w:rsidR="00536DD0">
        <w:t xml:space="preserve"> and employer</w:t>
      </w:r>
      <w:r>
        <w:t>s in the open labour market</w:t>
      </w:r>
      <w:r w:rsidR="007805A8">
        <w:t xml:space="preserve">, with dedicated </w:t>
      </w:r>
      <w:r w:rsidR="00F44464">
        <w:t>funding and resource</w:t>
      </w:r>
      <w:r w:rsidR="00BA221F">
        <w:t>s</w:t>
      </w:r>
      <w:r w:rsidR="00040BB4">
        <w:t xml:space="preserve"> to deliver these services</w:t>
      </w:r>
      <w:r w:rsidR="006B3967" w:rsidRPr="000C172B">
        <w:t>.</w:t>
      </w:r>
      <w:r w:rsidR="006310E5">
        <w:t xml:space="preserve"> </w:t>
      </w:r>
    </w:p>
    <w:p w14:paraId="73290982" w14:textId="453C369A" w:rsidR="00FB592D" w:rsidRDefault="00FB592D" w:rsidP="00FB592D">
      <w:r w:rsidRPr="004473A5">
        <w:t xml:space="preserve">A recent survey of supported employment providers found that many are still exploring how to offer alternative employment pathways. When asked if they support employees to pursue mainstream employment goals, 20% said no with </w:t>
      </w:r>
      <w:r w:rsidRPr="004473A5">
        <w:lastRenderedPageBreak/>
        <w:t>no plans to do so, while another 27% said no but intend to in the future</w:t>
      </w:r>
      <w:r>
        <w:t xml:space="preserve">, </w:t>
      </w:r>
      <w:r w:rsidRPr="004473A5">
        <w:t>highlighting a growing interest in expanding services to build on employees’ goals and skills</w:t>
      </w:r>
      <w:r>
        <w:t>.</w:t>
      </w:r>
      <w:r>
        <w:rPr>
          <w:rStyle w:val="EndnoteReference"/>
        </w:rPr>
        <w:endnoteReference w:id="55"/>
      </w:r>
    </w:p>
    <w:p w14:paraId="4BB2FF82" w14:textId="77777777" w:rsidR="006E3325" w:rsidRDefault="006E3325" w:rsidP="006E3325">
      <w:pPr>
        <w:spacing w:before="0" w:after="160" w:line="259" w:lineRule="auto"/>
      </w:pPr>
      <w:r>
        <w:t>M</w:t>
      </w:r>
      <w:r w:rsidRPr="00012AFF">
        <w:t>any ADEs are already evolving their services with support from the Supported Employment Structural Adjustment Fund</w:t>
      </w:r>
      <w:r>
        <w:t xml:space="preserve"> and exploring innovative methods to job development, such as customised employment.</w:t>
      </w:r>
      <w:r>
        <w:rPr>
          <w:rStyle w:val="EndnoteReference"/>
        </w:rPr>
        <w:endnoteReference w:id="56"/>
      </w:r>
      <w:r w:rsidRPr="005B7BEB">
        <w:t xml:space="preserve"> </w:t>
      </w:r>
      <w:r>
        <w:t>T</w:t>
      </w:r>
      <w:r w:rsidRPr="00012AFF">
        <w:t>h</w:t>
      </w:r>
      <w:r>
        <w:t>ese</w:t>
      </w:r>
      <w:r w:rsidRPr="00012AFF">
        <w:t xml:space="preserve"> support</w:t>
      </w:r>
      <w:r>
        <w:t>s</w:t>
      </w:r>
      <w:r w:rsidRPr="000C172B">
        <w:t xml:space="preserve"> must be </w:t>
      </w:r>
      <w:r w:rsidRPr="00012AFF">
        <w:t xml:space="preserve">decoupled from segregated settings </w:t>
      </w:r>
      <w:r>
        <w:t xml:space="preserve">and </w:t>
      </w:r>
      <w:r w:rsidRPr="00012AFF">
        <w:t>embedded in</w:t>
      </w:r>
      <w:r w:rsidRPr="000C172B">
        <w:t xml:space="preserve"> </w:t>
      </w:r>
      <w:r>
        <w:t>the open labour market.</w:t>
      </w:r>
      <w:r w:rsidRPr="00012AFF">
        <w:t xml:space="preserve"> </w:t>
      </w:r>
      <w:r w:rsidRPr="005B7BEB">
        <w:t xml:space="preserve"> </w:t>
      </w:r>
    </w:p>
    <w:p w14:paraId="2D010E05" w14:textId="7EB88AA3" w:rsidR="006E3325" w:rsidRDefault="006E3325" w:rsidP="006E3325">
      <w:pPr>
        <w:spacing w:before="0" w:after="160" w:line="259" w:lineRule="auto"/>
      </w:pPr>
      <w:r>
        <w:t>The transition aligns</w:t>
      </w:r>
      <w:r w:rsidRPr="000C172B">
        <w:t xml:space="preserve"> with international best practice</w:t>
      </w:r>
      <w:r>
        <w:t xml:space="preserve">, </w:t>
      </w:r>
      <w:r w:rsidR="00C622A2">
        <w:t>such as</w:t>
      </w:r>
      <w:r w:rsidRPr="00012AFF">
        <w:t xml:space="preserve"> </w:t>
      </w:r>
      <w:r w:rsidR="007A68A5">
        <w:t xml:space="preserve">the </w:t>
      </w:r>
      <w:r w:rsidRPr="000C172B">
        <w:t>supported employment model</w:t>
      </w:r>
      <w:r w:rsidR="00C622A2">
        <w:t xml:space="preserve"> </w:t>
      </w:r>
      <w:r w:rsidR="00180AE8">
        <w:t xml:space="preserve">implemented </w:t>
      </w:r>
      <w:r w:rsidR="00C622A2">
        <w:t xml:space="preserve">in the </w:t>
      </w:r>
      <w:r w:rsidRPr="00012AFF">
        <w:t>UK, which delivers</w:t>
      </w:r>
      <w:r w:rsidRPr="000C172B">
        <w:t xml:space="preserve"> individualised, on-the-job support in</w:t>
      </w:r>
      <w:r>
        <w:t xml:space="preserve"> open and</w:t>
      </w:r>
      <w:r w:rsidRPr="000C172B">
        <w:t xml:space="preserve"> </w:t>
      </w:r>
      <w:r w:rsidRPr="00012AFF">
        <w:t>inclusive settings</w:t>
      </w:r>
      <w:r>
        <w:t>.</w:t>
      </w:r>
      <w:r>
        <w:rPr>
          <w:rStyle w:val="EndnoteReference"/>
        </w:rPr>
        <w:endnoteReference w:id="57"/>
      </w:r>
      <w:r>
        <w:t xml:space="preserve"> I</w:t>
      </w:r>
      <w:r w:rsidRPr="007350AC">
        <w:t>t also reflects Australia’s obligations under the Convention on the Rights of Persons with Disabilities, particularly Article 27, which affirms the right to work on an equal basis with others.</w:t>
      </w:r>
    </w:p>
    <w:p w14:paraId="24B21E70" w14:textId="6C5D7C29" w:rsidR="006E3325" w:rsidRDefault="006E3325" w:rsidP="006E3325">
      <w:pPr>
        <w:spacing w:before="0" w:after="160" w:line="259" w:lineRule="auto"/>
        <w:rPr>
          <w:b/>
          <w:bCs/>
        </w:rPr>
      </w:pPr>
      <w:r w:rsidRPr="003B7413">
        <w:rPr>
          <w:b/>
          <w:bCs/>
        </w:rPr>
        <w:t xml:space="preserve">Recommendation </w:t>
      </w:r>
      <w:r w:rsidR="00E36E11">
        <w:rPr>
          <w:b/>
          <w:bCs/>
        </w:rPr>
        <w:t>5</w:t>
      </w:r>
      <w:r w:rsidR="00913D0D">
        <w:rPr>
          <w:b/>
          <w:bCs/>
        </w:rPr>
        <w:t>:</w:t>
      </w:r>
      <w:r w:rsidRPr="003B7413">
        <w:rPr>
          <w:b/>
          <w:bCs/>
        </w:rPr>
        <w:t xml:space="preserve"> </w:t>
      </w:r>
      <w:r w:rsidRPr="002A2550">
        <w:rPr>
          <w:b/>
          <w:bCs/>
        </w:rPr>
        <w:t>Australian Disability Enterprises (ADEs)</w:t>
      </w:r>
      <w:r w:rsidR="005300AF">
        <w:rPr>
          <w:b/>
          <w:bCs/>
        </w:rPr>
        <w:t xml:space="preserve"> should</w:t>
      </w:r>
      <w:r w:rsidRPr="002A2550">
        <w:rPr>
          <w:b/>
          <w:bCs/>
        </w:rPr>
        <w:t xml:space="preserve"> be supported to transition into labour market intermediaries that deliver </w:t>
      </w:r>
      <w:r w:rsidRPr="00571F5F">
        <w:rPr>
          <w:b/>
          <w:bCs/>
        </w:rPr>
        <w:t>employment</w:t>
      </w:r>
      <w:r w:rsidRPr="002A2550">
        <w:rPr>
          <w:b/>
          <w:bCs/>
        </w:rPr>
        <w:t xml:space="preserve"> supports </w:t>
      </w:r>
      <w:r w:rsidR="0672E92F" w:rsidRPr="65267401">
        <w:rPr>
          <w:b/>
          <w:bCs/>
        </w:rPr>
        <w:t xml:space="preserve">to both job seekers and employers </w:t>
      </w:r>
      <w:r w:rsidRPr="002A2550">
        <w:rPr>
          <w:b/>
          <w:bCs/>
        </w:rPr>
        <w:t>exclusively within open employment settings.</w:t>
      </w:r>
    </w:p>
    <w:p w14:paraId="101AF769" w14:textId="74F175B9" w:rsidR="00D040C3" w:rsidRPr="002C5733" w:rsidRDefault="00D040C3" w:rsidP="00D040C3">
      <w:pPr>
        <w:spacing w:before="0" w:after="160" w:line="259" w:lineRule="auto"/>
      </w:pPr>
      <w:r w:rsidRPr="00BB481C">
        <w:t>Employment policies and programs must prioritise supported employment pathways, including self-employment and vocational training.</w:t>
      </w:r>
      <w:r w:rsidR="005140C5">
        <w:rPr>
          <w:rStyle w:val="EndnoteReference"/>
        </w:rPr>
        <w:endnoteReference w:id="58"/>
      </w:r>
      <w:r w:rsidRPr="00BB481C">
        <w:t xml:space="preserve"> The Australian Government must provide targeted investment in services that facilitate job seeker choice and control, deliver tailored and sustained support in open employment,</w:t>
      </w:r>
      <w:r w:rsidR="001D5C9F">
        <w:rPr>
          <w:rStyle w:val="EndnoteReference"/>
        </w:rPr>
        <w:endnoteReference w:id="59"/>
      </w:r>
      <w:r w:rsidRPr="00BB481C">
        <w:t xml:space="preserve"> and seek to build employer capability to meet obligations.</w:t>
      </w:r>
    </w:p>
    <w:p w14:paraId="574046B3" w14:textId="356235B6" w:rsidR="00463931" w:rsidRDefault="00463931" w:rsidP="00DF5188">
      <w:pPr>
        <w:spacing w:before="0" w:after="160" w:line="259" w:lineRule="auto"/>
      </w:pPr>
      <w:r>
        <w:t>While ADEs are a key stakeholder in this transition, other service providers also play a critical role in delivering employment supports in open settings.</w:t>
      </w:r>
      <w:r w:rsidR="00844BB1">
        <w:t xml:space="preserve"> </w:t>
      </w:r>
      <w:r w:rsidR="0082716D">
        <w:t xml:space="preserve">It is essential that reforms to supported employment </w:t>
      </w:r>
      <w:r w:rsidR="005C4DFE">
        <w:t xml:space="preserve">consider the </w:t>
      </w:r>
      <w:r w:rsidR="00A508CA">
        <w:t xml:space="preserve">role </w:t>
      </w:r>
      <w:r w:rsidR="00FA44FB">
        <w:t>of</w:t>
      </w:r>
      <w:r w:rsidR="00A62126">
        <w:t>,</w:t>
      </w:r>
      <w:r w:rsidR="00FA44FB">
        <w:t xml:space="preserve"> </w:t>
      </w:r>
      <w:r w:rsidR="00A508CA">
        <w:t>and</w:t>
      </w:r>
      <w:r w:rsidR="005C4DFE">
        <w:t xml:space="preserve"> co-exist with</w:t>
      </w:r>
      <w:r w:rsidR="00A62126">
        <w:t>,</w:t>
      </w:r>
      <w:r w:rsidR="005C4DFE">
        <w:t xml:space="preserve"> </w:t>
      </w:r>
      <w:r w:rsidR="001F1C99">
        <w:t>established programs</w:t>
      </w:r>
      <w:r w:rsidR="001E4615">
        <w:t>.</w:t>
      </w:r>
      <w:r>
        <w:t xml:space="preserve"> These include: </w:t>
      </w:r>
    </w:p>
    <w:p w14:paraId="30565B3D" w14:textId="77777777" w:rsidR="00404863" w:rsidRDefault="00463931" w:rsidP="00E513BC">
      <w:pPr>
        <w:pStyle w:val="ListParagraph"/>
        <w:numPr>
          <w:ilvl w:val="0"/>
          <w:numId w:val="21"/>
        </w:numPr>
        <w:spacing w:before="0" w:after="160" w:line="259" w:lineRule="auto"/>
      </w:pPr>
      <w:r>
        <w:t xml:space="preserve">Inclusive Employment Australia, the new disability employment </w:t>
      </w:r>
      <w:r w:rsidR="00331AC1">
        <w:t>program commencing late 2025, which will offer customised, person-centred support to peo</w:t>
      </w:r>
      <w:r w:rsidR="00404863">
        <w:t xml:space="preserve">ple with disability </w:t>
      </w:r>
    </w:p>
    <w:p w14:paraId="06ECE952" w14:textId="46B1A14E" w:rsidR="00A94BA7" w:rsidRDefault="00404863" w:rsidP="00E513BC">
      <w:pPr>
        <w:pStyle w:val="ListParagraph"/>
        <w:numPr>
          <w:ilvl w:val="0"/>
          <w:numId w:val="21"/>
        </w:numPr>
        <w:spacing w:before="0" w:after="160" w:line="259" w:lineRule="auto"/>
      </w:pPr>
      <w:r>
        <w:t>The Centre for Inclusive Employment, which will provide</w:t>
      </w:r>
      <w:r w:rsidR="00A94BA7">
        <w:t xml:space="preserve"> evidence-based guidance and training to employment service providers across programs such as Workforce Australia, the Community Development Program and the NDIS</w:t>
      </w:r>
      <w:r w:rsidR="0007366B">
        <w:t>.</w:t>
      </w:r>
      <w:r w:rsidR="00A94BA7">
        <w:t xml:space="preserve"> </w:t>
      </w:r>
    </w:p>
    <w:p w14:paraId="65315923" w14:textId="27861770" w:rsidR="00463931" w:rsidRDefault="00A94BA7" w:rsidP="00E513BC">
      <w:pPr>
        <w:pStyle w:val="ListParagraph"/>
        <w:numPr>
          <w:ilvl w:val="0"/>
          <w:numId w:val="21"/>
        </w:numPr>
        <w:spacing w:before="0" w:after="160" w:line="259" w:lineRule="auto"/>
      </w:pPr>
      <w:r>
        <w:t xml:space="preserve">NDIS-funded </w:t>
      </w:r>
      <w:r w:rsidR="009B20A1">
        <w:t xml:space="preserve">individualised </w:t>
      </w:r>
      <w:r w:rsidR="004647CE">
        <w:t xml:space="preserve">personal and </w:t>
      </w:r>
      <w:r w:rsidR="009B20A1">
        <w:t>employment</w:t>
      </w:r>
      <w:r w:rsidR="006E67FB">
        <w:t xml:space="preserve"> supports</w:t>
      </w:r>
      <w:r w:rsidR="00023FEC">
        <w:t>, inc</w:t>
      </w:r>
      <w:r w:rsidR="00F20C8A">
        <w:t>luding</w:t>
      </w:r>
      <w:r w:rsidR="00023FEC">
        <w:t xml:space="preserve"> those</w:t>
      </w:r>
      <w:r w:rsidR="009B20A1">
        <w:t xml:space="preserve"> that </w:t>
      </w:r>
      <w:r w:rsidR="00927862">
        <w:t xml:space="preserve">are designed to </w:t>
      </w:r>
      <w:r w:rsidR="009B20A1">
        <w:t>facilitate transitions to open employment</w:t>
      </w:r>
      <w:r w:rsidR="0007366B">
        <w:t>.</w:t>
      </w:r>
      <w:r w:rsidR="009B20A1">
        <w:t xml:space="preserve"> </w:t>
      </w:r>
    </w:p>
    <w:p w14:paraId="1FD3C62C" w14:textId="3C6E995A" w:rsidR="00ED0BD3" w:rsidRDefault="00ED0BD3" w:rsidP="00E513BC">
      <w:pPr>
        <w:pStyle w:val="ListParagraph"/>
        <w:numPr>
          <w:ilvl w:val="0"/>
          <w:numId w:val="21"/>
        </w:numPr>
        <w:spacing w:before="0" w:after="160" w:line="259" w:lineRule="auto"/>
      </w:pPr>
      <w:r>
        <w:lastRenderedPageBreak/>
        <w:t>Social enterprises</w:t>
      </w:r>
      <w:r w:rsidR="00702834">
        <w:t xml:space="preserve"> offering </w:t>
      </w:r>
      <w:r w:rsidR="002F474B">
        <w:t xml:space="preserve">open </w:t>
      </w:r>
      <w:r w:rsidR="00702834">
        <w:t>employment opportunities</w:t>
      </w:r>
      <w:r w:rsidR="00127FC3">
        <w:t xml:space="preserve"> designed to build employment skills</w:t>
      </w:r>
      <w:r w:rsidR="00975EF3">
        <w:t xml:space="preserve"> aligned with </w:t>
      </w:r>
      <w:r w:rsidR="00BC13B9">
        <w:t>individual’s</w:t>
      </w:r>
      <w:r w:rsidR="00975EF3">
        <w:t xml:space="preserve"> </w:t>
      </w:r>
      <w:r w:rsidR="006473FF">
        <w:t>goals and interests.</w:t>
      </w:r>
      <w:r w:rsidR="002F474B">
        <w:t xml:space="preserve"> </w:t>
      </w:r>
      <w:r w:rsidR="005000AE">
        <w:t xml:space="preserve"> </w:t>
      </w:r>
    </w:p>
    <w:p w14:paraId="12AC0E33" w14:textId="523EE3F7" w:rsidR="006264A6" w:rsidRDefault="00702834" w:rsidP="00E513BC">
      <w:pPr>
        <w:pStyle w:val="ListParagraph"/>
        <w:numPr>
          <w:ilvl w:val="0"/>
          <w:numId w:val="21"/>
        </w:numPr>
        <w:spacing w:before="0" w:after="160" w:line="259" w:lineRule="auto"/>
      </w:pPr>
      <w:r>
        <w:t>Job Access</w:t>
      </w:r>
      <w:r w:rsidR="00CE638D">
        <w:t xml:space="preserve"> which</w:t>
      </w:r>
      <w:r w:rsidR="006264A6" w:rsidRPr="006264A6">
        <w:t xml:space="preserve"> plays a vital role in connecting employers with resources, funding (such as the Employment Assistance Fund), and expert advice to create inclusive workplaces</w:t>
      </w:r>
      <w:r w:rsidR="00F81D86">
        <w:t xml:space="preserve">. </w:t>
      </w:r>
    </w:p>
    <w:p w14:paraId="2E85A2DE" w14:textId="522D698F" w:rsidR="002C5733" w:rsidRDefault="00FE566F" w:rsidP="002C5733">
      <w:pPr>
        <w:spacing w:before="0" w:after="160" w:line="259" w:lineRule="auto"/>
      </w:pPr>
      <w:r>
        <w:t xml:space="preserve">Strategic </w:t>
      </w:r>
      <w:r w:rsidR="002C5733" w:rsidRPr="002C5733">
        <w:t>reform</w:t>
      </w:r>
      <w:r w:rsidR="00767F73">
        <w:t xml:space="preserve"> across </w:t>
      </w:r>
      <w:r w:rsidR="0024156A">
        <w:t>service</w:t>
      </w:r>
      <w:r w:rsidR="00767F73">
        <w:t>s</w:t>
      </w:r>
      <w:r w:rsidR="002C5733">
        <w:t xml:space="preserve"> </w:t>
      </w:r>
      <w:r w:rsidR="002C5733" w:rsidRPr="00A03A5C">
        <w:t>will facilitate continuity of support, alignment of employment pathways</w:t>
      </w:r>
      <w:r w:rsidR="002C5733">
        <w:t>,</w:t>
      </w:r>
      <w:r w:rsidR="002C5733" w:rsidRPr="0024156A">
        <w:t xml:space="preserve"> avoid duplication, and enable a cohesive and coordinated approach to inclusive employment.</w:t>
      </w:r>
    </w:p>
    <w:p w14:paraId="1341934B" w14:textId="2401CDED" w:rsidR="00BC3C28" w:rsidRDefault="00555991" w:rsidP="006B3967">
      <w:pPr>
        <w:spacing w:before="0" w:after="160" w:line="259" w:lineRule="auto"/>
        <w:rPr>
          <w:b/>
          <w:bCs/>
        </w:rPr>
      </w:pPr>
      <w:r w:rsidRPr="00B317B8">
        <w:t xml:space="preserve">The Commission also notes the value of employer-focused pilots, </w:t>
      </w:r>
      <w:r w:rsidR="00844BB1">
        <w:t>such as the</w:t>
      </w:r>
      <w:r w:rsidR="00844BB1" w:rsidRPr="00A94347">
        <w:t> Tourism Local Navigators Pilot,</w:t>
      </w:r>
      <w:r w:rsidR="00844BB1">
        <w:t xml:space="preserve"> </w:t>
      </w:r>
      <w:r w:rsidR="00E815ED">
        <w:t>t</w:t>
      </w:r>
      <w:r w:rsidR="00844BB1" w:rsidRPr="00A94347">
        <w:t>he Career Pathways Pilot</w:t>
      </w:r>
      <w:r w:rsidR="00844BB1">
        <w:t xml:space="preserve"> </w:t>
      </w:r>
      <w:r>
        <w:t xml:space="preserve">and other grant funded </w:t>
      </w:r>
      <w:r w:rsidR="00E759DB">
        <w:t>employment programs</w:t>
      </w:r>
      <w:r w:rsidR="00844BB1">
        <w:t xml:space="preserve"> and initiatives, including the Commission’s </w:t>
      </w:r>
      <w:r w:rsidR="00844BB1" w:rsidRPr="00614173">
        <w:rPr>
          <w:i/>
        </w:rPr>
        <w:t>Equality at Work</w:t>
      </w:r>
      <w:r w:rsidR="00844BB1">
        <w:t xml:space="preserve"> project. </w:t>
      </w:r>
      <w:r w:rsidR="00844BB1" w:rsidRPr="009F70FB">
        <w:t xml:space="preserve">These pilots demonstrate the potential for mainstream employers to become more inclusive and confident in hiring people with </w:t>
      </w:r>
      <w:r w:rsidR="00B317B8" w:rsidRPr="009F70FB">
        <w:t>disability and</w:t>
      </w:r>
      <w:r w:rsidR="00844BB1" w:rsidRPr="009F70FB">
        <w:t xml:space="preserve"> should be scaled and embedded into broader employment reform efforts</w:t>
      </w:r>
      <w:r w:rsidR="00844BB1" w:rsidRPr="00555991">
        <w:rPr>
          <w:b/>
          <w:bCs/>
        </w:rPr>
        <w:t>.</w:t>
      </w:r>
    </w:p>
    <w:p w14:paraId="55C8B4B2" w14:textId="0906DD40" w:rsidR="00842CE0" w:rsidRDefault="00842CE0" w:rsidP="006B3967">
      <w:pPr>
        <w:spacing w:before="0" w:after="160" w:line="259" w:lineRule="auto"/>
        <w:rPr>
          <w:b/>
          <w:bCs/>
        </w:rPr>
      </w:pPr>
      <w:r>
        <w:rPr>
          <w:b/>
          <w:bCs/>
        </w:rPr>
        <w:t xml:space="preserve">Recommendation </w:t>
      </w:r>
      <w:r w:rsidR="00E36E11">
        <w:rPr>
          <w:b/>
          <w:bCs/>
        </w:rPr>
        <w:t>6</w:t>
      </w:r>
      <w:r w:rsidR="00992D50">
        <w:rPr>
          <w:b/>
          <w:bCs/>
        </w:rPr>
        <w:t>:</w:t>
      </w:r>
      <w:r w:rsidR="002C5733">
        <w:rPr>
          <w:b/>
          <w:bCs/>
        </w:rPr>
        <w:t xml:space="preserve"> </w:t>
      </w:r>
      <w:r w:rsidR="00C8097C">
        <w:rPr>
          <w:b/>
          <w:bCs/>
        </w:rPr>
        <w:t xml:space="preserve">The Australian </w:t>
      </w:r>
      <w:r w:rsidR="002C5733">
        <w:rPr>
          <w:b/>
          <w:bCs/>
        </w:rPr>
        <w:t>Government</w:t>
      </w:r>
      <w:r w:rsidR="00992D50">
        <w:rPr>
          <w:b/>
          <w:bCs/>
        </w:rPr>
        <w:t xml:space="preserve"> </w:t>
      </w:r>
      <w:r w:rsidR="002C5733">
        <w:rPr>
          <w:b/>
          <w:bCs/>
        </w:rPr>
        <w:t xml:space="preserve">ensure </w:t>
      </w:r>
      <w:r w:rsidR="00121F98">
        <w:rPr>
          <w:b/>
          <w:bCs/>
        </w:rPr>
        <w:t xml:space="preserve">that reforms to supported employment are designed to complement </w:t>
      </w:r>
      <w:r w:rsidR="000E1A5B">
        <w:rPr>
          <w:b/>
          <w:bCs/>
        </w:rPr>
        <w:t xml:space="preserve">and integrate with the broader </w:t>
      </w:r>
      <w:r w:rsidR="00496C1D">
        <w:rPr>
          <w:b/>
          <w:bCs/>
        </w:rPr>
        <w:t xml:space="preserve">disability employment </w:t>
      </w:r>
      <w:r w:rsidR="00E9568B">
        <w:rPr>
          <w:b/>
          <w:bCs/>
        </w:rPr>
        <w:t>service system</w:t>
      </w:r>
      <w:r w:rsidR="00F81065">
        <w:rPr>
          <w:b/>
          <w:bCs/>
        </w:rPr>
        <w:t xml:space="preserve">. </w:t>
      </w:r>
    </w:p>
    <w:tbl>
      <w:tblPr>
        <w:tblStyle w:val="TableGrid"/>
        <w:tblW w:w="0" w:type="auto"/>
        <w:tblLook w:val="04A0" w:firstRow="1" w:lastRow="0" w:firstColumn="1" w:lastColumn="0" w:noHBand="0" w:noVBand="1"/>
      </w:tblPr>
      <w:tblGrid>
        <w:gridCol w:w="9060"/>
      </w:tblGrid>
      <w:tr w:rsidR="00CA564A" w14:paraId="33336AD3" w14:textId="77777777">
        <w:tc>
          <w:tcPr>
            <w:tcW w:w="9060" w:type="dxa"/>
          </w:tcPr>
          <w:p w14:paraId="04D443FC" w14:textId="347EFBF1" w:rsidR="00B0398B" w:rsidRDefault="00641E78" w:rsidP="00DF7196">
            <w:pPr>
              <w:spacing w:after="160" w:line="259" w:lineRule="auto"/>
              <w:rPr>
                <w:b/>
                <w:bCs/>
              </w:rPr>
            </w:pPr>
            <w:r>
              <w:rPr>
                <w:b/>
                <w:bCs/>
              </w:rPr>
              <w:t xml:space="preserve">Success </w:t>
            </w:r>
            <w:r w:rsidR="00B72426">
              <w:rPr>
                <w:b/>
                <w:bCs/>
              </w:rPr>
              <w:t>Story 2</w:t>
            </w:r>
            <w:r w:rsidR="00B0398B" w:rsidRPr="00B7304F">
              <w:rPr>
                <w:b/>
                <w:bCs/>
              </w:rPr>
              <w:t xml:space="preserve">: </w:t>
            </w:r>
            <w:r w:rsidR="00B0398B" w:rsidRPr="00614173">
              <w:rPr>
                <w:b/>
                <w:i/>
              </w:rPr>
              <w:t xml:space="preserve">Equality at </w:t>
            </w:r>
            <w:r w:rsidR="00C33A39" w:rsidRPr="00614173">
              <w:rPr>
                <w:b/>
                <w:i/>
              </w:rPr>
              <w:t>W</w:t>
            </w:r>
            <w:r w:rsidR="00B0398B" w:rsidRPr="00614173">
              <w:rPr>
                <w:b/>
                <w:i/>
              </w:rPr>
              <w:t>ork</w:t>
            </w:r>
            <w:r w:rsidR="00B0398B">
              <w:rPr>
                <w:b/>
                <w:bCs/>
              </w:rPr>
              <w:t xml:space="preserve"> (</w:t>
            </w:r>
            <w:r w:rsidR="00B0398B" w:rsidRPr="00B7304F">
              <w:rPr>
                <w:b/>
                <w:bCs/>
              </w:rPr>
              <w:t>IncludeAbility</w:t>
            </w:r>
            <w:r w:rsidR="00B0398B">
              <w:rPr>
                <w:b/>
                <w:bCs/>
              </w:rPr>
              <w:t xml:space="preserve">) </w:t>
            </w:r>
            <w:r w:rsidR="00B0398B" w:rsidRPr="00B7304F">
              <w:rPr>
                <w:b/>
                <w:bCs/>
              </w:rPr>
              <w:t>Perth pilot</w:t>
            </w:r>
          </w:p>
          <w:p w14:paraId="49018B0F" w14:textId="16D95A6F" w:rsidR="00E815ED" w:rsidRDefault="00DF7196" w:rsidP="00DF7196">
            <w:pPr>
              <w:spacing w:after="160" w:line="259" w:lineRule="auto"/>
            </w:pPr>
            <w:r w:rsidRPr="00FB2D7D">
              <w:t xml:space="preserve">The IncludeAbility Perth Pilot </w:t>
            </w:r>
            <w:r w:rsidR="009F7957">
              <w:t>Employment Program</w:t>
            </w:r>
            <w:r w:rsidRPr="00FB2D7D">
              <w:t xml:space="preserve"> was a collaborative initiative between the Commission, Woolworths, and Good Sammy</w:t>
            </w:r>
            <w:r>
              <w:t xml:space="preserve"> (ADE). It was </w:t>
            </w:r>
            <w:r w:rsidRPr="00FB2D7D">
              <w:t xml:space="preserve">designed to explore new pathways for employing young people with intellectual or cognitive </w:t>
            </w:r>
            <w:r>
              <w:t>disability</w:t>
            </w:r>
            <w:r w:rsidRPr="00FB2D7D">
              <w:t xml:space="preserve"> in open employment. </w:t>
            </w:r>
          </w:p>
          <w:p w14:paraId="1E799B3D" w14:textId="74E47B57" w:rsidR="00DF7196" w:rsidRPr="00FB2D7D" w:rsidRDefault="00DF7196" w:rsidP="00DF7196">
            <w:pPr>
              <w:spacing w:after="160" w:line="259" w:lineRule="auto"/>
            </w:pPr>
            <w:r w:rsidRPr="00FB2D7D">
              <w:t>Fifteen individuals employed at Good Sammy were offered roles in Woolworths stores across Perth, working eight hours per week for twelve weeks at full award wages.</w:t>
            </w:r>
          </w:p>
          <w:p w14:paraId="3A45327A" w14:textId="77777777" w:rsidR="00DF7196" w:rsidRPr="00FB2D7D" w:rsidRDefault="00DF7196" w:rsidP="00DF7196">
            <w:pPr>
              <w:spacing w:before="0" w:after="160" w:line="259" w:lineRule="auto"/>
            </w:pPr>
            <w:r w:rsidRPr="00FB2D7D">
              <w:t xml:space="preserve">Good </w:t>
            </w:r>
            <w:r>
              <w:t xml:space="preserve">Sammy facilitated the </w:t>
            </w:r>
            <w:r w:rsidRPr="00FB2D7D">
              <w:t>job customisation process, ensuring that each participant’s interests and abilities were matched with suitable tasks at Woolworths. This approach required rethinking job design and challenging conventional assumptions about role requirements. Throughout the pilot, Good Sammy, alongside the Commission, provided intensive wraparound support to both the employees and Woolworths managers. This included ongoing guidance, problem-solving, and disability rights training, which helped create a more inclusive and supportive work environment.</w:t>
            </w:r>
          </w:p>
          <w:p w14:paraId="0DCE021A" w14:textId="2C67EF70" w:rsidR="00CA564A" w:rsidRPr="00DF7196" w:rsidRDefault="00DF7196" w:rsidP="00DF7196">
            <w:r w:rsidRPr="00FB2D7D">
              <w:lastRenderedPageBreak/>
              <w:t xml:space="preserve">At the end of the pilot, twelve of the fifteen participants were offered ongoing roles with Woolworths, demonstrating the effectiveness of the model. The pilot </w:t>
            </w:r>
            <w:r w:rsidR="00911532">
              <w:t>demonstrated how ADEs can undertake an intermediary role</w:t>
            </w:r>
            <w:r w:rsidR="0096529B">
              <w:t xml:space="preserve"> to support employers and employees to transition to open employment</w:t>
            </w:r>
            <w:r w:rsidRPr="00FB2D7D">
              <w:t>.</w:t>
            </w:r>
            <w:r>
              <w:t xml:space="preserve"> T</w:t>
            </w:r>
            <w:r w:rsidRPr="00FB2D7D">
              <w:t>he evaluation highlighted the</w:t>
            </w:r>
            <w:r>
              <w:t xml:space="preserve"> valuable expertise of ADEs, and the</w:t>
            </w:r>
            <w:r w:rsidRPr="00FB2D7D">
              <w:t xml:space="preserve"> level of support required for success.</w:t>
            </w:r>
          </w:p>
        </w:tc>
      </w:tr>
    </w:tbl>
    <w:p w14:paraId="2DAC1A12" w14:textId="3488E5D0" w:rsidR="00E23DAE" w:rsidRDefault="00E23DAE" w:rsidP="0053645E">
      <w:pPr>
        <w:pStyle w:val="Heading2"/>
        <w:rPr>
          <w:bCs/>
        </w:rPr>
      </w:pPr>
      <w:bookmarkStart w:id="59" w:name="_Toc200558569"/>
      <w:bookmarkStart w:id="60" w:name="_Toc200558570"/>
      <w:bookmarkStart w:id="61" w:name="_Toc200558571"/>
      <w:bookmarkStart w:id="62" w:name="_Toc200558572"/>
      <w:bookmarkStart w:id="63" w:name="_Toc200558573"/>
      <w:bookmarkStart w:id="64" w:name="_Toc200558574"/>
      <w:bookmarkStart w:id="65" w:name="_Toc200558575"/>
      <w:bookmarkStart w:id="66" w:name="_Toc200558577"/>
      <w:bookmarkStart w:id="67" w:name="_Toc202518629"/>
      <w:bookmarkEnd w:id="59"/>
      <w:bookmarkEnd w:id="60"/>
      <w:bookmarkEnd w:id="61"/>
      <w:bookmarkEnd w:id="62"/>
      <w:bookmarkEnd w:id="63"/>
      <w:bookmarkEnd w:id="64"/>
      <w:bookmarkEnd w:id="65"/>
      <w:bookmarkEnd w:id="66"/>
      <w:r>
        <w:rPr>
          <w:bCs/>
        </w:rPr>
        <w:lastRenderedPageBreak/>
        <w:t>Funding</w:t>
      </w:r>
      <w:bookmarkEnd w:id="67"/>
      <w:r>
        <w:rPr>
          <w:bCs/>
        </w:rPr>
        <w:t xml:space="preserve"> </w:t>
      </w:r>
    </w:p>
    <w:p w14:paraId="30AB511A" w14:textId="339FF736" w:rsidR="005A3724" w:rsidRDefault="005A3724" w:rsidP="005A3724">
      <w:r>
        <w:t xml:space="preserve">Findings from the IncludeAbility evaluation </w:t>
      </w:r>
      <w:r w:rsidR="00C4495B">
        <w:t xml:space="preserve">highlight the resource-intensive nature of successful inclusive employment models. </w:t>
      </w:r>
      <w:r>
        <w:t xml:space="preserve">In the </w:t>
      </w:r>
      <w:r w:rsidR="00A31679">
        <w:t xml:space="preserve">IncludeAbility </w:t>
      </w:r>
      <w:r>
        <w:t xml:space="preserve">Perth </w:t>
      </w:r>
      <w:r w:rsidR="00A31679">
        <w:t>P</w:t>
      </w:r>
      <w:r>
        <w:t>ilot</w:t>
      </w:r>
      <w:r w:rsidR="00F3525B">
        <w:t xml:space="preserve">, </w:t>
      </w:r>
      <w:r>
        <w:t xml:space="preserve">the level of job customisation, workplace adjustments and </w:t>
      </w:r>
      <w:r w:rsidR="00F3525B">
        <w:t xml:space="preserve">ongoing </w:t>
      </w:r>
      <w:r>
        <w:t>supports required a substantial investment of human</w:t>
      </w:r>
      <w:r w:rsidR="00F3525B">
        <w:t xml:space="preserve"> and organisational </w:t>
      </w:r>
      <w:r>
        <w:t>resources by</w:t>
      </w:r>
      <w:r w:rsidR="00F3525B">
        <w:t xml:space="preserve"> </w:t>
      </w:r>
      <w:r w:rsidR="00DF08DF">
        <w:t>Woolworths</w:t>
      </w:r>
      <w:r>
        <w:t>, Good Sammy and the Commission</w:t>
      </w:r>
      <w:r w:rsidR="00005F16">
        <w:t>.</w:t>
      </w:r>
    </w:p>
    <w:p w14:paraId="37531309" w14:textId="57486FB2" w:rsidR="005A3724" w:rsidRDefault="00005F16" w:rsidP="005A3724">
      <w:r>
        <w:t>T</w:t>
      </w:r>
      <w:r w:rsidR="005A3724">
        <w:t xml:space="preserve">his level of intensive and highly adaptive </w:t>
      </w:r>
      <w:r w:rsidR="000B22AA">
        <w:t xml:space="preserve">employee </w:t>
      </w:r>
      <w:r w:rsidR="00FC4C03">
        <w:t xml:space="preserve">and organisational </w:t>
      </w:r>
      <w:r w:rsidR="005A3724">
        <w:t>support i</w:t>
      </w:r>
      <w:r>
        <w:t>s</w:t>
      </w:r>
      <w:r w:rsidR="005A3724">
        <w:t xml:space="preserve"> beyond what most employers and employment service providers </w:t>
      </w:r>
      <w:r w:rsidR="000F5F43">
        <w:t>deliver</w:t>
      </w:r>
      <w:r w:rsidR="00756AB5">
        <w:t xml:space="preserve"> </w:t>
      </w:r>
      <w:r w:rsidR="005A3724">
        <w:t xml:space="preserve">within their </w:t>
      </w:r>
      <w:r w:rsidR="007D5F4F">
        <w:t xml:space="preserve">existing </w:t>
      </w:r>
      <w:r w:rsidR="005A3724">
        <w:t>business model</w:t>
      </w:r>
      <w:r w:rsidR="008C2271">
        <w:t>s</w:t>
      </w:r>
      <w:r w:rsidR="005A3724">
        <w:t>.</w:t>
      </w:r>
      <w:r w:rsidR="00317D15">
        <w:rPr>
          <w:rStyle w:val="EndnoteReference"/>
        </w:rPr>
        <w:endnoteReference w:id="60"/>
      </w:r>
      <w:r w:rsidR="0028509A">
        <w:t xml:space="preserve"> </w:t>
      </w:r>
    </w:p>
    <w:p w14:paraId="33F8F9F6" w14:textId="05C220E3" w:rsidR="0060141B" w:rsidRDefault="007D5F4F" w:rsidP="005A3724">
      <w:r>
        <w:t>Th</w:t>
      </w:r>
      <w:r w:rsidR="008610AF">
        <w:t>is emphasises</w:t>
      </w:r>
      <w:r>
        <w:t xml:space="preserve"> the need for a clear and sustainable </w:t>
      </w:r>
      <w:r w:rsidR="005A3724">
        <w:t>policy response</w:t>
      </w:r>
      <w:r w:rsidR="0060141B">
        <w:t xml:space="preserve"> to address:</w:t>
      </w:r>
    </w:p>
    <w:p w14:paraId="2B5F7600" w14:textId="33718223" w:rsidR="00E23DAE" w:rsidRDefault="00E732CA" w:rsidP="00E513BC">
      <w:pPr>
        <w:pStyle w:val="ListParagraph"/>
        <w:numPr>
          <w:ilvl w:val="0"/>
          <w:numId w:val="22"/>
        </w:numPr>
      </w:pPr>
      <w:r>
        <w:t>W</w:t>
      </w:r>
      <w:r w:rsidR="005A3724">
        <w:t>ho bears the cost</w:t>
      </w:r>
      <w:r>
        <w:t xml:space="preserve"> of providing</w:t>
      </w:r>
      <w:r w:rsidR="005A3724">
        <w:t xml:space="preserve"> necessary level</w:t>
      </w:r>
      <w:r w:rsidR="001B7D3D">
        <w:t>s</w:t>
      </w:r>
      <w:r w:rsidR="005A3724">
        <w:t xml:space="preserve"> of adjustment and </w:t>
      </w:r>
      <w:r>
        <w:t>support</w:t>
      </w:r>
      <w:r w:rsidR="00C87A90">
        <w:t>, including clarit</w:t>
      </w:r>
      <w:r w:rsidR="0046563B">
        <w:t>y around supported employment pathways</w:t>
      </w:r>
    </w:p>
    <w:p w14:paraId="52DA470B" w14:textId="2533334C" w:rsidR="00E732CA" w:rsidRDefault="00E732CA" w:rsidP="00E513BC">
      <w:pPr>
        <w:pStyle w:val="ListParagraph"/>
        <w:numPr>
          <w:ilvl w:val="0"/>
          <w:numId w:val="22"/>
        </w:numPr>
      </w:pPr>
      <w:r>
        <w:t xml:space="preserve">How </w:t>
      </w:r>
      <w:r w:rsidR="00640F9F">
        <w:t>funding</w:t>
      </w:r>
      <w:r>
        <w:t xml:space="preserve"> is structure</w:t>
      </w:r>
      <w:r w:rsidR="00640F9F">
        <w:t>d</w:t>
      </w:r>
      <w:r>
        <w:t xml:space="preserve"> to enable </w:t>
      </w:r>
      <w:r w:rsidR="00640F9F">
        <w:t>inclusive</w:t>
      </w:r>
      <w:r>
        <w:t xml:space="preserve"> employment at scale </w:t>
      </w:r>
    </w:p>
    <w:p w14:paraId="0AEFD321" w14:textId="389ED1C3" w:rsidR="006B0832" w:rsidRDefault="00E732CA" w:rsidP="00E513BC">
      <w:pPr>
        <w:pStyle w:val="ListParagraph"/>
        <w:numPr>
          <w:ilvl w:val="0"/>
          <w:numId w:val="22"/>
        </w:numPr>
      </w:pPr>
      <w:r>
        <w:t xml:space="preserve">What </w:t>
      </w:r>
      <w:r w:rsidR="00640F9F">
        <w:t>mechanics</w:t>
      </w:r>
      <w:r>
        <w:t xml:space="preserve"> are needed to ensure that employers – </w:t>
      </w:r>
      <w:r w:rsidR="00640F9F">
        <w:t>particularly</w:t>
      </w:r>
      <w:r>
        <w:t xml:space="preserve"> small and medium enterprises, can access the resources</w:t>
      </w:r>
      <w:r w:rsidR="00640F9F">
        <w:t xml:space="preserve"> </w:t>
      </w:r>
      <w:r w:rsidR="00440955">
        <w:t>to enable employment.</w:t>
      </w:r>
      <w:r w:rsidR="00440955">
        <w:rPr>
          <w:rStyle w:val="EndnoteReference"/>
        </w:rPr>
        <w:endnoteReference w:id="61"/>
      </w:r>
    </w:p>
    <w:p w14:paraId="7A73CEAE" w14:textId="10C90840" w:rsidR="006B0832" w:rsidRDefault="006B0832" w:rsidP="00A03A5C">
      <w:r>
        <w:t xml:space="preserve">Funding must be adequate </w:t>
      </w:r>
      <w:r w:rsidR="00BD0C15">
        <w:t xml:space="preserve">and flexible </w:t>
      </w:r>
      <w:r>
        <w:t>to ensure the sustainability of employment supports across all stages of the employment journey</w:t>
      </w:r>
      <w:r w:rsidR="00B603BB">
        <w:t>.</w:t>
      </w:r>
    </w:p>
    <w:p w14:paraId="31F74741" w14:textId="627200E0" w:rsidR="00784C04" w:rsidRPr="00FD5191" w:rsidRDefault="00784C04" w:rsidP="00784C04">
      <w:pPr>
        <w:rPr>
          <w:b/>
          <w:bCs/>
        </w:rPr>
      </w:pPr>
      <w:r w:rsidRPr="00FD5191">
        <w:rPr>
          <w:b/>
          <w:bCs/>
        </w:rPr>
        <w:t xml:space="preserve">Recommendation </w:t>
      </w:r>
      <w:r w:rsidR="00E36E11">
        <w:rPr>
          <w:b/>
          <w:bCs/>
        </w:rPr>
        <w:t>7</w:t>
      </w:r>
      <w:r w:rsidR="00ED184D">
        <w:rPr>
          <w:b/>
          <w:bCs/>
        </w:rPr>
        <w:t>:</w:t>
      </w:r>
      <w:r w:rsidRPr="00FD5191">
        <w:rPr>
          <w:b/>
          <w:bCs/>
        </w:rPr>
        <w:t xml:space="preserve"> </w:t>
      </w:r>
      <w:r w:rsidR="007726F9">
        <w:rPr>
          <w:b/>
          <w:bCs/>
        </w:rPr>
        <w:t>T</w:t>
      </w:r>
      <w:r w:rsidRPr="00FD5191">
        <w:rPr>
          <w:b/>
          <w:bCs/>
        </w:rPr>
        <w:t xml:space="preserve">he Australian Government establish a sustainable </w:t>
      </w:r>
      <w:r w:rsidR="00E57584">
        <w:rPr>
          <w:b/>
          <w:bCs/>
        </w:rPr>
        <w:t xml:space="preserve">supported employment </w:t>
      </w:r>
      <w:r w:rsidRPr="00FD5191">
        <w:rPr>
          <w:b/>
          <w:bCs/>
        </w:rPr>
        <w:t xml:space="preserve">funding model that is commensurate with the level of support required to enable people </w:t>
      </w:r>
      <w:r w:rsidR="00925931">
        <w:rPr>
          <w:b/>
          <w:bCs/>
        </w:rPr>
        <w:t>with disability</w:t>
      </w:r>
      <w:r w:rsidRPr="00FD5191">
        <w:rPr>
          <w:b/>
          <w:bCs/>
        </w:rPr>
        <w:t xml:space="preserve"> to obtain and maintain employment in open and inclusive settings. This model should:</w:t>
      </w:r>
    </w:p>
    <w:p w14:paraId="1C2B5348" w14:textId="56BB9C9D" w:rsidR="00784C04" w:rsidRPr="00FD5191" w:rsidRDefault="00784C04" w:rsidP="00E513BC">
      <w:pPr>
        <w:pStyle w:val="ListParagraph"/>
        <w:numPr>
          <w:ilvl w:val="0"/>
          <w:numId w:val="28"/>
        </w:numPr>
        <w:rPr>
          <w:b/>
          <w:bCs/>
        </w:rPr>
      </w:pPr>
      <w:r w:rsidRPr="00FD5191">
        <w:rPr>
          <w:b/>
          <w:bCs/>
        </w:rPr>
        <w:t>Recognise the true cost of job customisation, workplace adjustments, and ongoing support</w:t>
      </w:r>
    </w:p>
    <w:p w14:paraId="62F16EB7" w14:textId="40E0796B" w:rsidR="00784C04" w:rsidRPr="00FD5191" w:rsidRDefault="00784C04" w:rsidP="00E513BC">
      <w:pPr>
        <w:pStyle w:val="ListParagraph"/>
        <w:numPr>
          <w:ilvl w:val="0"/>
          <w:numId w:val="28"/>
        </w:numPr>
        <w:rPr>
          <w:b/>
          <w:bCs/>
        </w:rPr>
      </w:pPr>
      <w:r w:rsidRPr="00FD5191">
        <w:rPr>
          <w:b/>
          <w:bCs/>
        </w:rPr>
        <w:t>Provide adequate and flexible funding to service providers and employers to deliver these supports</w:t>
      </w:r>
    </w:p>
    <w:p w14:paraId="0200DA87" w14:textId="1A3F5612" w:rsidR="00784C04" w:rsidRPr="00FD5191" w:rsidRDefault="00784C04" w:rsidP="00E513BC">
      <w:pPr>
        <w:pStyle w:val="ListParagraph"/>
        <w:numPr>
          <w:ilvl w:val="0"/>
          <w:numId w:val="28"/>
        </w:numPr>
        <w:rPr>
          <w:b/>
          <w:bCs/>
        </w:rPr>
      </w:pPr>
      <w:r w:rsidRPr="00FD5191">
        <w:rPr>
          <w:b/>
          <w:bCs/>
        </w:rPr>
        <w:lastRenderedPageBreak/>
        <w:t>Ensure that funding is not limited by rigid program boundaries (e.g. NDIS vs employment services)</w:t>
      </w:r>
      <w:r w:rsidR="00AE244E">
        <w:rPr>
          <w:b/>
          <w:bCs/>
        </w:rPr>
        <w:t xml:space="preserve"> </w:t>
      </w:r>
      <w:r w:rsidRPr="00FD5191">
        <w:rPr>
          <w:b/>
          <w:bCs/>
        </w:rPr>
        <w:t>but instead reflects the holistic needs of the individual</w:t>
      </w:r>
      <w:r w:rsidR="00AE244E">
        <w:rPr>
          <w:b/>
          <w:bCs/>
        </w:rPr>
        <w:t xml:space="preserve"> and is made universally available. </w:t>
      </w:r>
    </w:p>
    <w:p w14:paraId="7D2D82EB" w14:textId="7760B527" w:rsidR="005A3724" w:rsidRPr="006A1A5B" w:rsidRDefault="00784C04" w:rsidP="00E513BC">
      <w:pPr>
        <w:pStyle w:val="ListParagraph"/>
        <w:numPr>
          <w:ilvl w:val="0"/>
          <w:numId w:val="28"/>
        </w:numPr>
        <w:rPr>
          <w:bCs/>
        </w:rPr>
      </w:pPr>
      <w:r w:rsidRPr="00FD5191">
        <w:rPr>
          <w:b/>
          <w:bCs/>
        </w:rPr>
        <w:t>Be informed by evidence from pilot programs, and evaluations of the Structural Adjustment Fund and other grant-funded initiatives.</w:t>
      </w:r>
    </w:p>
    <w:p w14:paraId="32ACC03D" w14:textId="7171969E" w:rsidR="0053645E" w:rsidRPr="00BA5E42" w:rsidRDefault="00D22562" w:rsidP="0053645E">
      <w:pPr>
        <w:pStyle w:val="Heading2"/>
        <w:rPr>
          <w:bCs/>
        </w:rPr>
      </w:pPr>
      <w:bookmarkStart w:id="68" w:name="_Toc202518630"/>
      <w:r>
        <w:t xml:space="preserve">Improve </w:t>
      </w:r>
      <w:r w:rsidR="00FF46A5">
        <w:t>NDIS</w:t>
      </w:r>
      <w:r w:rsidR="0053645E" w:rsidRPr="00BA5E42">
        <w:t xml:space="preserve"> system architecture</w:t>
      </w:r>
      <w:r>
        <w:t xml:space="preserve"> to facilitate open employment</w:t>
      </w:r>
      <w:r w:rsidR="00FE1319">
        <w:t xml:space="preserve"> for NDIS participants.</w:t>
      </w:r>
      <w:bookmarkEnd w:id="68"/>
    </w:p>
    <w:p w14:paraId="4A07407E" w14:textId="191FF008" w:rsidR="00D8131B" w:rsidRDefault="00824837" w:rsidP="00D8131B">
      <w:pPr>
        <w:spacing w:before="0" w:after="160" w:line="259" w:lineRule="auto"/>
      </w:pPr>
      <w:r>
        <w:rPr>
          <w:shd w:val="clear" w:color="auto" w:fill="FFFFFF"/>
          <w:lang w:val="en-US"/>
        </w:rPr>
        <w:t>T</w:t>
      </w:r>
      <w:r w:rsidRPr="00FE1319">
        <w:rPr>
          <w:shd w:val="clear" w:color="auto" w:fill="FFFFFF"/>
          <w:lang w:val="en-US"/>
        </w:rPr>
        <w:t>he N</w:t>
      </w:r>
      <w:r w:rsidR="00FF46A5">
        <w:rPr>
          <w:shd w:val="clear" w:color="auto" w:fill="FFFFFF"/>
          <w:lang w:val="en-US"/>
        </w:rPr>
        <w:t>ational Disability Insurance Scheme (</w:t>
      </w:r>
      <w:r w:rsidRPr="00FE1319">
        <w:rPr>
          <w:shd w:val="clear" w:color="auto" w:fill="FFFFFF"/>
          <w:lang w:val="en-US"/>
        </w:rPr>
        <w:t>NDIS</w:t>
      </w:r>
      <w:r w:rsidR="00FF46A5">
        <w:rPr>
          <w:shd w:val="clear" w:color="auto" w:fill="FFFFFF"/>
          <w:lang w:val="en-US"/>
        </w:rPr>
        <w:t>)</w:t>
      </w:r>
      <w:r w:rsidRPr="00FE1319">
        <w:rPr>
          <w:shd w:val="clear" w:color="auto" w:fill="FFFFFF"/>
          <w:lang w:val="en-US"/>
        </w:rPr>
        <w:t xml:space="preserve"> </w:t>
      </w:r>
      <w:r>
        <w:rPr>
          <w:shd w:val="clear" w:color="auto" w:fill="FFFFFF"/>
          <w:lang w:val="en-US"/>
        </w:rPr>
        <w:t xml:space="preserve">is a critical </w:t>
      </w:r>
      <w:r w:rsidRPr="00FE1319">
        <w:rPr>
          <w:shd w:val="clear" w:color="auto" w:fill="FFFFFF"/>
          <w:lang w:val="en-US"/>
        </w:rPr>
        <w:t xml:space="preserve">mechanism for </w:t>
      </w:r>
      <w:r w:rsidR="00C9591F">
        <w:rPr>
          <w:shd w:val="clear" w:color="auto" w:fill="FFFFFF"/>
          <w:lang w:val="en-US"/>
        </w:rPr>
        <w:t>supporting</w:t>
      </w:r>
      <w:r w:rsidRPr="00FE1319">
        <w:rPr>
          <w:shd w:val="clear" w:color="auto" w:fill="FFFFFF"/>
          <w:lang w:val="en-US"/>
        </w:rPr>
        <w:t xml:space="preserve"> </w:t>
      </w:r>
      <w:r>
        <w:rPr>
          <w:shd w:val="clear" w:color="auto" w:fill="FFFFFF"/>
          <w:lang w:val="en-US"/>
        </w:rPr>
        <w:t>p</w:t>
      </w:r>
      <w:r w:rsidRPr="00FE1319">
        <w:rPr>
          <w:shd w:val="clear" w:color="auto" w:fill="FFFFFF"/>
          <w:lang w:val="en-US"/>
        </w:rPr>
        <w:t xml:space="preserve">eople with </w:t>
      </w:r>
      <w:proofErr w:type="gramStart"/>
      <w:r w:rsidRPr="00FE1319">
        <w:rPr>
          <w:shd w:val="clear" w:color="auto" w:fill="FFFFFF"/>
          <w:lang w:val="en-US"/>
        </w:rPr>
        <w:t>disability</w:t>
      </w:r>
      <w:proofErr w:type="gramEnd"/>
      <w:r w:rsidRPr="00FE1319">
        <w:rPr>
          <w:shd w:val="clear" w:color="auto" w:fill="FFFFFF"/>
          <w:lang w:val="en-US"/>
        </w:rPr>
        <w:t xml:space="preserve"> to </w:t>
      </w:r>
      <w:r>
        <w:rPr>
          <w:shd w:val="clear" w:color="auto" w:fill="FFFFFF"/>
          <w:lang w:val="en-US"/>
        </w:rPr>
        <w:t>pursue</w:t>
      </w:r>
      <w:r w:rsidRPr="00FE1319">
        <w:rPr>
          <w:shd w:val="clear" w:color="auto" w:fill="FFFFFF"/>
          <w:lang w:val="en-US"/>
        </w:rPr>
        <w:t xml:space="preserve"> their employment </w:t>
      </w:r>
      <w:r>
        <w:rPr>
          <w:shd w:val="clear" w:color="auto" w:fill="FFFFFF"/>
          <w:lang w:val="en-US"/>
        </w:rPr>
        <w:t>goals</w:t>
      </w:r>
      <w:r w:rsidRPr="00FE1319">
        <w:rPr>
          <w:shd w:val="clear" w:color="auto" w:fill="FFFFFF"/>
          <w:lang w:val="en-US"/>
        </w:rPr>
        <w:t>.</w:t>
      </w:r>
      <w:r w:rsidR="00D8131B">
        <w:rPr>
          <w:shd w:val="clear" w:color="auto" w:fill="FFFFFF"/>
          <w:lang w:val="en-US"/>
        </w:rPr>
        <w:t xml:space="preserve"> </w:t>
      </w:r>
      <w:r w:rsidR="001F1281" w:rsidRPr="001F1281">
        <w:rPr>
          <w:shd w:val="clear" w:color="auto" w:fill="FFFFFF"/>
          <w:lang w:val="en-US"/>
        </w:rPr>
        <w:t>However, its current system architecture presents persistent barriers that limit its</w:t>
      </w:r>
      <w:r w:rsidR="001F1281">
        <w:rPr>
          <w:shd w:val="clear" w:color="auto" w:fill="FFFFFF"/>
          <w:lang w:val="en-US"/>
        </w:rPr>
        <w:t xml:space="preserve"> </w:t>
      </w:r>
      <w:r w:rsidR="001F1281" w:rsidRPr="001F1281">
        <w:rPr>
          <w:shd w:val="clear" w:color="auto" w:fill="FFFFFF"/>
          <w:lang w:val="en-US"/>
        </w:rPr>
        <w:t>effectiveness in facilitating transitions to open employment</w:t>
      </w:r>
      <w:r w:rsidR="001F1281">
        <w:rPr>
          <w:shd w:val="clear" w:color="auto" w:fill="FFFFFF"/>
          <w:lang w:val="en-US"/>
        </w:rPr>
        <w:t xml:space="preserve">, </w:t>
      </w:r>
      <w:r w:rsidR="001F1281" w:rsidRPr="001F1281">
        <w:rPr>
          <w:shd w:val="clear" w:color="auto" w:fill="FFFFFF"/>
          <w:lang w:val="en-US"/>
        </w:rPr>
        <w:t>particularly for people facing greater employment barriers.</w:t>
      </w:r>
    </w:p>
    <w:p w14:paraId="12D4539E" w14:textId="6A690747" w:rsidR="00AC1EC0" w:rsidRDefault="00AC1EC0" w:rsidP="00AC1EC0">
      <w:pPr>
        <w:spacing w:before="0" w:after="160" w:line="259" w:lineRule="auto"/>
      </w:pPr>
      <w:r>
        <w:t>Employees working in segregated employment are primarily NDIS participants</w:t>
      </w:r>
      <w:r w:rsidR="00B02D5B">
        <w:t>:</w:t>
      </w:r>
      <w:r>
        <w:t xml:space="preserve"> </w:t>
      </w:r>
      <w:r w:rsidR="00B02D5B">
        <w:t>28% of</w:t>
      </w:r>
      <w:r>
        <w:t xml:space="preserve"> NDIS participants aged 15 and over who had a paid job were working in </w:t>
      </w:r>
      <w:r w:rsidR="00573734">
        <w:t>an ADE</w:t>
      </w:r>
      <w:r w:rsidR="00E7522D">
        <w:t>.</w:t>
      </w:r>
      <w:r w:rsidR="0049238F">
        <w:rPr>
          <w:rStyle w:val="EndnoteReference"/>
        </w:rPr>
        <w:endnoteReference w:id="62"/>
      </w:r>
    </w:p>
    <w:p w14:paraId="133852EB" w14:textId="2F74A069" w:rsidR="0049238F" w:rsidRDefault="003A1F9B" w:rsidP="000C1C82">
      <w:pPr>
        <w:spacing w:before="0" w:after="160" w:line="259" w:lineRule="auto"/>
      </w:pPr>
      <w:r>
        <w:t>The NDIS was</w:t>
      </w:r>
      <w:r w:rsidR="008D7D2E" w:rsidRPr="002103CF">
        <w:t xml:space="preserve"> designed to support people in segregated employment to transition into open, mainstream workplaces. However, </w:t>
      </w:r>
      <w:r w:rsidR="00067440">
        <w:t>the Disability Royal Commission found that</w:t>
      </w:r>
      <w:r w:rsidR="008D7D2E" w:rsidRPr="002103CF">
        <w:t xml:space="preserve"> persistent systemic barriers in the NDIS, such as inconsistent access to employment supports, limited provider capacity</w:t>
      </w:r>
      <w:r w:rsidR="0049238F">
        <w:t xml:space="preserve"> and knowledge</w:t>
      </w:r>
      <w:r w:rsidR="008D7D2E" w:rsidRPr="002103CF">
        <w:t xml:space="preserve">, and complex planning processes, continue to prevent this </w:t>
      </w:r>
      <w:r w:rsidR="001F1281">
        <w:t xml:space="preserve">vision </w:t>
      </w:r>
      <w:r w:rsidR="008D7D2E" w:rsidRPr="002103CF">
        <w:t>from being realised in practice</w:t>
      </w:r>
      <w:r w:rsidR="0048095F">
        <w:t>.</w:t>
      </w:r>
      <w:r w:rsidR="0049238F">
        <w:rPr>
          <w:rStyle w:val="EndnoteReference"/>
        </w:rPr>
        <w:endnoteReference w:id="63"/>
      </w:r>
      <w:r w:rsidR="0049238F">
        <w:t xml:space="preserve"> </w:t>
      </w:r>
    </w:p>
    <w:p w14:paraId="3E4EC9AF" w14:textId="5D726D26" w:rsidR="00033ED4" w:rsidRDefault="004E4928" w:rsidP="00F06A11">
      <w:pPr>
        <w:spacing w:before="0" w:after="160" w:line="259" w:lineRule="auto"/>
      </w:pPr>
      <w:r>
        <w:t>T</w:t>
      </w:r>
      <w:r w:rsidR="00710D13" w:rsidRPr="00710D13">
        <w:t xml:space="preserve">he structure of NDIS funding itself presents systemic issues. </w:t>
      </w:r>
      <w:r w:rsidR="007C5A69">
        <w:t>Open e</w:t>
      </w:r>
      <w:r w:rsidR="00710D13" w:rsidRPr="00710D13">
        <w:t xml:space="preserve">mployment supports in </w:t>
      </w:r>
      <w:r w:rsidR="00816E7C">
        <w:t>participant</w:t>
      </w:r>
      <w:r w:rsidR="006742B3">
        <w:t xml:space="preserve"> </w:t>
      </w:r>
      <w:r w:rsidR="00710D13" w:rsidRPr="00710D13">
        <w:t>plans are often inconsistent</w:t>
      </w:r>
      <w:r w:rsidR="00BB32D4">
        <w:t>, inflexible</w:t>
      </w:r>
      <w:r w:rsidR="00644BF0">
        <w:t xml:space="preserve"> </w:t>
      </w:r>
      <w:r w:rsidR="00710D13" w:rsidRPr="00710D13">
        <w:t xml:space="preserve">and subject to change at each review, making it difficult for </w:t>
      </w:r>
      <w:r w:rsidR="00816E7C">
        <w:t>individuals</w:t>
      </w:r>
      <w:r w:rsidR="00710D13" w:rsidRPr="00710D13">
        <w:t xml:space="preserve"> to rely on ongoing assistance. </w:t>
      </w:r>
      <w:r w:rsidR="00816E7C">
        <w:t>Participants</w:t>
      </w:r>
      <w:r w:rsidR="00710D13" w:rsidRPr="00710D13">
        <w:t xml:space="preserve"> who successfully gain open employment may see their funding reduced, limiting access to the supports that enable </w:t>
      </w:r>
      <w:r w:rsidR="006742B3">
        <w:t>employment to be sustained</w:t>
      </w:r>
      <w:r w:rsidR="00696060">
        <w:t>.</w:t>
      </w:r>
      <w:r w:rsidR="00710D13">
        <w:rPr>
          <w:rStyle w:val="EndnoteReference"/>
        </w:rPr>
        <w:endnoteReference w:id="64"/>
      </w:r>
      <w:r w:rsidR="00710D13" w:rsidRPr="00710D13">
        <w:t xml:space="preserve"> In contrast, </w:t>
      </w:r>
      <w:r w:rsidR="00325C83">
        <w:t>NDIS funding</w:t>
      </w:r>
      <w:r w:rsidR="00710D13" w:rsidRPr="00710D13">
        <w:t xml:space="preserve"> for</w:t>
      </w:r>
      <w:r w:rsidR="00282CEB">
        <w:t xml:space="preserve"> </w:t>
      </w:r>
      <w:r w:rsidR="006A6F5C">
        <w:t>segregated</w:t>
      </w:r>
      <w:r w:rsidR="00C53116">
        <w:t xml:space="preserve"> </w:t>
      </w:r>
      <w:r w:rsidR="00282CEB">
        <w:t xml:space="preserve">employment services </w:t>
      </w:r>
      <w:r w:rsidR="00710D13" w:rsidRPr="00710D13">
        <w:t>tends to be more stable and predictable</w:t>
      </w:r>
      <w:r w:rsidR="006A6F5C">
        <w:t xml:space="preserve"> </w:t>
      </w:r>
      <w:r w:rsidR="00666333">
        <w:t>making it easier for</w:t>
      </w:r>
      <w:r w:rsidR="00742515">
        <w:t xml:space="preserve"> </w:t>
      </w:r>
      <w:r w:rsidR="009E50A7">
        <w:t>providers</w:t>
      </w:r>
      <w:r w:rsidR="00742515">
        <w:t xml:space="preserve"> to plan and deliver services</w:t>
      </w:r>
      <w:r w:rsidR="00666333">
        <w:t xml:space="preserve">. </w:t>
      </w:r>
    </w:p>
    <w:p w14:paraId="6C4DC4D4" w14:textId="4A39BBC9" w:rsidR="00816E7C" w:rsidRDefault="00710D13" w:rsidP="00816E7C">
      <w:r w:rsidRPr="00710D13">
        <w:t xml:space="preserve">This disparity </w:t>
      </w:r>
      <w:r w:rsidR="00816E7C">
        <w:t xml:space="preserve">not only </w:t>
      </w:r>
      <w:r w:rsidR="00606DA3">
        <w:t>undermines</w:t>
      </w:r>
      <w:r w:rsidR="00816E7C">
        <w:t xml:space="preserve"> the NDIS’ original intent to promote inclusion and </w:t>
      </w:r>
      <w:r w:rsidR="00404D6B">
        <w:t>independence but</w:t>
      </w:r>
      <w:r w:rsidR="004C6F19">
        <w:t xml:space="preserve"> also create</w:t>
      </w:r>
      <w:r w:rsidR="00606DA3">
        <w:t>s</w:t>
      </w:r>
      <w:r w:rsidR="004C6F19">
        <w:t xml:space="preserve"> an incentive structure that favours segregated employment models</w:t>
      </w:r>
      <w:r w:rsidR="00A61383">
        <w:t>.</w:t>
      </w:r>
      <w:r w:rsidR="00586C18">
        <w:t xml:space="preserve"> It</w:t>
      </w:r>
      <w:r w:rsidRPr="00710D13">
        <w:t xml:space="preserve"> disincentivises providers from adopting more flexible, person-centred models like customised employment, as the lack of consistent funding streams makes these approaches difficult to sustain</w:t>
      </w:r>
      <w:r w:rsidR="003C2076">
        <w:t>.</w:t>
      </w:r>
      <w:r w:rsidR="000F6E57">
        <w:rPr>
          <w:rStyle w:val="EndnoteReference"/>
        </w:rPr>
        <w:endnoteReference w:id="65"/>
      </w:r>
    </w:p>
    <w:p w14:paraId="32F4E67E" w14:textId="46E17349" w:rsidR="00816E7C" w:rsidRDefault="00A4413A" w:rsidP="00816E7C">
      <w:r w:rsidRPr="00DF6E47">
        <w:lastRenderedPageBreak/>
        <w:t>The</w:t>
      </w:r>
      <w:r w:rsidR="00816E7C" w:rsidRPr="00DF6E47">
        <w:t xml:space="preserve"> </w:t>
      </w:r>
      <w:r w:rsidR="00816E7C" w:rsidRPr="00A03A5C">
        <w:t>IncludeAbility</w:t>
      </w:r>
      <w:r w:rsidR="00816E7C">
        <w:t xml:space="preserve"> Perth Pilot</w:t>
      </w:r>
      <w:r>
        <w:t xml:space="preserve"> illustrate</w:t>
      </w:r>
      <w:r w:rsidR="008847C8">
        <w:t>d</w:t>
      </w:r>
      <w:r>
        <w:t xml:space="preserve"> these challenges. </w:t>
      </w:r>
      <w:r w:rsidR="00816E7C">
        <w:t>Good Sammy</w:t>
      </w:r>
      <w:r>
        <w:t>, the participating ADE, was</w:t>
      </w:r>
      <w:r w:rsidR="00816E7C">
        <w:t xml:space="preserve"> unable to draw on NDIS plan funding to support pilot participants working in roles in Woolworths due to the rapid</w:t>
      </w:r>
      <w:r w:rsidR="00816E7C" w:rsidRPr="00FA5BEA">
        <w:t xml:space="preserve"> turnaround </w:t>
      </w:r>
      <w:r w:rsidR="00816E7C">
        <w:t xml:space="preserve">time </w:t>
      </w:r>
      <w:r w:rsidR="00816E7C" w:rsidRPr="00FA5BEA">
        <w:t xml:space="preserve">for </w:t>
      </w:r>
      <w:r w:rsidR="00816E7C">
        <w:t xml:space="preserve">delivering the </w:t>
      </w:r>
      <w:r w:rsidR="00816E7C" w:rsidRPr="00FA5BEA">
        <w:t>pilot</w:t>
      </w:r>
      <w:r w:rsidR="00816E7C">
        <w:t xml:space="preserve">. </w:t>
      </w:r>
      <w:r w:rsidR="000179BA">
        <w:t>Individual</w:t>
      </w:r>
      <w:r w:rsidR="00E94379">
        <w:t>’</w:t>
      </w:r>
      <w:r w:rsidR="000179BA">
        <w:t xml:space="preserve">s NDIS </w:t>
      </w:r>
      <w:r w:rsidR="00816E7C" w:rsidRPr="00FA5BEA">
        <w:t>plans could not be reviewed in time</w:t>
      </w:r>
      <w:r>
        <w:t xml:space="preserve"> to reflect their </w:t>
      </w:r>
      <w:r w:rsidR="002C6ED0">
        <w:t>new employment circumstances</w:t>
      </w:r>
      <w:r w:rsidR="00816E7C" w:rsidRPr="00FA5BEA">
        <w:t xml:space="preserve">. Good Sammy </w:t>
      </w:r>
      <w:r w:rsidR="00816E7C">
        <w:t xml:space="preserve">noted that to be effective, </w:t>
      </w:r>
      <w:r w:rsidR="00816E7C" w:rsidRPr="00FA5BEA">
        <w:t>future initiative</w:t>
      </w:r>
      <w:r w:rsidR="00C612EA">
        <w:t>s</w:t>
      </w:r>
      <w:r w:rsidR="00816E7C" w:rsidRPr="00FA5BEA">
        <w:t xml:space="preserve"> would require the N</w:t>
      </w:r>
      <w:r w:rsidR="00816E7C">
        <w:t xml:space="preserve">ational </w:t>
      </w:r>
      <w:r w:rsidR="00816E7C" w:rsidRPr="00FA5BEA">
        <w:t>D</w:t>
      </w:r>
      <w:r w:rsidR="00816E7C">
        <w:t xml:space="preserve">isability </w:t>
      </w:r>
      <w:r w:rsidR="00816E7C" w:rsidRPr="00FA5BEA">
        <w:t>I</w:t>
      </w:r>
      <w:r w:rsidR="00816E7C">
        <w:t xml:space="preserve">nsurance </w:t>
      </w:r>
      <w:r w:rsidR="00816E7C" w:rsidRPr="00FA5BEA">
        <w:t>A</w:t>
      </w:r>
      <w:r w:rsidR="00816E7C">
        <w:t xml:space="preserve">gency </w:t>
      </w:r>
      <w:r w:rsidR="00816E7C" w:rsidRPr="00FA5BEA">
        <w:t xml:space="preserve">to be able to respond quickly to a change in circumstance (such as starting employment) and </w:t>
      </w:r>
      <w:r w:rsidR="004D6AED">
        <w:t xml:space="preserve">provide the necessary funds </w:t>
      </w:r>
      <w:r w:rsidR="00BD5964">
        <w:t xml:space="preserve">for </w:t>
      </w:r>
      <w:r w:rsidR="001F0F82">
        <w:t xml:space="preserve">individualised </w:t>
      </w:r>
      <w:r w:rsidR="00BD5964">
        <w:t xml:space="preserve">support across </w:t>
      </w:r>
      <w:r w:rsidR="006D20F2">
        <w:t>all stages of the employment journey</w:t>
      </w:r>
      <w:r w:rsidR="001F0F82">
        <w:t>, including recruitment, onboarding and</w:t>
      </w:r>
      <w:r w:rsidR="00B54576">
        <w:t xml:space="preserve"> ongoing</w:t>
      </w:r>
      <w:r w:rsidR="001F0F82">
        <w:t xml:space="preserve"> </w:t>
      </w:r>
      <w:r w:rsidR="003D4B94">
        <w:t>employment</w:t>
      </w:r>
      <w:r w:rsidR="000310B9">
        <w:t xml:space="preserve"> support</w:t>
      </w:r>
      <w:r w:rsidR="00816E7C">
        <w:t>.</w:t>
      </w:r>
      <w:r w:rsidR="00816E7C">
        <w:rPr>
          <w:rStyle w:val="EndnoteReference"/>
        </w:rPr>
        <w:endnoteReference w:id="66"/>
      </w:r>
      <w:r w:rsidR="00816E7C" w:rsidRPr="00FA5BEA">
        <w:t> </w:t>
      </w:r>
    </w:p>
    <w:p w14:paraId="42160257" w14:textId="36457053" w:rsidR="00235CB7" w:rsidRPr="00FA5BEA" w:rsidRDefault="00A4413A" w:rsidP="002103CF">
      <w:r>
        <w:t xml:space="preserve">Without sustained and responsive support, NDIS participants are at risk of losing </w:t>
      </w:r>
      <w:r w:rsidR="004E2B4B">
        <w:t xml:space="preserve">opportunities in open </w:t>
      </w:r>
      <w:r>
        <w:t xml:space="preserve">employment due to </w:t>
      </w:r>
      <w:r w:rsidRPr="00C62693">
        <w:t>unmet needs in skill development,</w:t>
      </w:r>
      <w:r>
        <w:t xml:space="preserve"> </w:t>
      </w:r>
      <w:r w:rsidR="00656BB3">
        <w:t xml:space="preserve">role customisation </w:t>
      </w:r>
      <w:r w:rsidR="00CF0CE9">
        <w:t xml:space="preserve">and </w:t>
      </w:r>
      <w:r w:rsidR="009864D1">
        <w:t>on-the-</w:t>
      </w:r>
      <w:r>
        <w:t xml:space="preserve">job </w:t>
      </w:r>
      <w:r w:rsidR="00CF0CE9">
        <w:t>support</w:t>
      </w:r>
      <w:r>
        <w:t xml:space="preserve">. This reinforces the gap in options for ongoing support in open employment and limits the capacity of the NDIS to deliver on its promise of inclusion and economic participation. </w:t>
      </w:r>
    </w:p>
    <w:p w14:paraId="48795D9F" w14:textId="016EDD3A" w:rsidR="002614B1" w:rsidRPr="0076133F" w:rsidRDefault="00FB5161" w:rsidP="00A03A5C">
      <w:pPr>
        <w:spacing w:before="0" w:after="160" w:line="259" w:lineRule="auto"/>
        <w:rPr>
          <w:bCs/>
        </w:rPr>
      </w:pPr>
      <w:r>
        <w:rPr>
          <w:bCs/>
        </w:rPr>
        <w:t xml:space="preserve">The </w:t>
      </w:r>
      <w:r w:rsidR="002614B1" w:rsidRPr="0076133F">
        <w:rPr>
          <w:bCs/>
        </w:rPr>
        <w:t>Independent Review of the NDIS (NDIS Review)</w:t>
      </w:r>
      <w:r w:rsidR="002614B1">
        <w:rPr>
          <w:bCs/>
        </w:rPr>
        <w:t xml:space="preserve"> </w:t>
      </w:r>
      <w:r>
        <w:rPr>
          <w:bCs/>
        </w:rPr>
        <w:t>c</w:t>
      </w:r>
      <w:r w:rsidR="00A14DD4" w:rsidRPr="00A14DD4">
        <w:rPr>
          <w:bCs/>
        </w:rPr>
        <w:t>all</w:t>
      </w:r>
      <w:r>
        <w:rPr>
          <w:bCs/>
        </w:rPr>
        <w:t>ed</w:t>
      </w:r>
      <w:r w:rsidR="00A14DD4" w:rsidRPr="00A14DD4">
        <w:rPr>
          <w:bCs/>
        </w:rPr>
        <w:t xml:space="preserve"> for the development of a unified system of support for people with disability</w:t>
      </w:r>
      <w:r w:rsidR="002614B1">
        <w:rPr>
          <w:bCs/>
        </w:rPr>
        <w:t>.</w:t>
      </w:r>
      <w:r w:rsidR="00296819">
        <w:rPr>
          <w:rStyle w:val="EndnoteReference"/>
          <w:bCs/>
        </w:rPr>
        <w:endnoteReference w:id="67"/>
      </w:r>
      <w:r w:rsidR="002614B1">
        <w:rPr>
          <w:bCs/>
        </w:rPr>
        <w:t xml:space="preserve"> </w:t>
      </w:r>
      <w:r w:rsidR="00BC095B">
        <w:rPr>
          <w:bCs/>
        </w:rPr>
        <w:t>T</w:t>
      </w:r>
      <w:r w:rsidR="00BC095B" w:rsidRPr="00BC095B">
        <w:rPr>
          <w:bCs/>
        </w:rPr>
        <w:t xml:space="preserve">he Commission </w:t>
      </w:r>
      <w:r w:rsidR="007E36D8">
        <w:rPr>
          <w:bCs/>
        </w:rPr>
        <w:t xml:space="preserve">supports </w:t>
      </w:r>
      <w:r w:rsidR="00FE68CA">
        <w:rPr>
          <w:bCs/>
        </w:rPr>
        <w:t>A</w:t>
      </w:r>
      <w:r w:rsidR="00BC095B" w:rsidRPr="00BC095B">
        <w:rPr>
          <w:bCs/>
        </w:rPr>
        <w:t xml:space="preserve">ction 1.7 which seeks stronger links between the NDIS, Disability Employment Services and related initiatives to </w:t>
      </w:r>
      <w:r w:rsidR="00A67552">
        <w:rPr>
          <w:bCs/>
        </w:rPr>
        <w:t xml:space="preserve">improve </w:t>
      </w:r>
      <w:r w:rsidR="00BC095B" w:rsidRPr="00BC095B">
        <w:rPr>
          <w:bCs/>
        </w:rPr>
        <w:t>employment outcomes</w:t>
      </w:r>
      <w:r w:rsidR="00BC095B">
        <w:rPr>
          <w:bCs/>
        </w:rPr>
        <w:t>.</w:t>
      </w:r>
      <w:r w:rsidR="00534E44">
        <w:rPr>
          <w:rStyle w:val="EndnoteReference"/>
          <w:bCs/>
        </w:rPr>
        <w:endnoteReference w:id="68"/>
      </w:r>
      <w:r w:rsidR="00BC095B">
        <w:rPr>
          <w:bCs/>
        </w:rPr>
        <w:t xml:space="preserve"> </w:t>
      </w:r>
      <w:r w:rsidR="0040598E">
        <w:rPr>
          <w:bCs/>
        </w:rPr>
        <w:t xml:space="preserve">The </w:t>
      </w:r>
      <w:r w:rsidR="002614B1">
        <w:rPr>
          <w:bCs/>
        </w:rPr>
        <w:t xml:space="preserve">Government </w:t>
      </w:r>
      <w:r w:rsidR="00FE68CA">
        <w:rPr>
          <w:bCs/>
        </w:rPr>
        <w:t xml:space="preserve">should prioritise this as an essential element of supported employment reform. </w:t>
      </w:r>
    </w:p>
    <w:p w14:paraId="5225B649" w14:textId="3F0BFA75" w:rsidR="00C4516C" w:rsidRPr="00C4516C" w:rsidRDefault="00ED103A" w:rsidP="00C4516C">
      <w:pPr>
        <w:spacing w:before="0" w:after="160" w:line="259" w:lineRule="auto"/>
        <w:rPr>
          <w:b/>
        </w:rPr>
      </w:pPr>
      <w:r>
        <w:rPr>
          <w:b/>
        </w:rPr>
        <w:t>R</w:t>
      </w:r>
      <w:r w:rsidR="002C5C99">
        <w:rPr>
          <w:b/>
        </w:rPr>
        <w:t xml:space="preserve">ecommendation </w:t>
      </w:r>
      <w:r w:rsidR="00E36E11">
        <w:rPr>
          <w:b/>
        </w:rPr>
        <w:t>8</w:t>
      </w:r>
      <w:r w:rsidR="002C5C99">
        <w:rPr>
          <w:b/>
        </w:rPr>
        <w:t xml:space="preserve">: </w:t>
      </w:r>
      <w:r w:rsidR="00C4516C" w:rsidRPr="00C4516C">
        <w:rPr>
          <w:b/>
        </w:rPr>
        <w:t>The Australian Government</w:t>
      </w:r>
      <w:r w:rsidR="002C5C99">
        <w:rPr>
          <w:b/>
        </w:rPr>
        <w:t xml:space="preserve"> </w:t>
      </w:r>
      <w:r w:rsidR="00C4516C" w:rsidRPr="00C4516C">
        <w:rPr>
          <w:b/>
        </w:rPr>
        <w:t xml:space="preserve">improve the NDIS system architecture to </w:t>
      </w:r>
      <w:r>
        <w:rPr>
          <w:b/>
        </w:rPr>
        <w:t xml:space="preserve">align </w:t>
      </w:r>
      <w:r w:rsidRPr="00C4516C">
        <w:rPr>
          <w:b/>
        </w:rPr>
        <w:t>funding structures to</w:t>
      </w:r>
      <w:r w:rsidR="00825013">
        <w:rPr>
          <w:b/>
        </w:rPr>
        <w:t xml:space="preserve"> </w:t>
      </w:r>
      <w:r w:rsidRPr="00C4516C">
        <w:rPr>
          <w:b/>
          <w:bCs/>
        </w:rPr>
        <w:t>incentivise open employment pathways</w:t>
      </w:r>
      <w:r w:rsidR="00825013">
        <w:rPr>
          <w:b/>
        </w:rPr>
        <w:t xml:space="preserve"> </w:t>
      </w:r>
      <w:r w:rsidRPr="00C4516C">
        <w:rPr>
          <w:b/>
        </w:rPr>
        <w:t>over segregated models</w:t>
      </w:r>
      <w:r>
        <w:rPr>
          <w:b/>
        </w:rPr>
        <w:t xml:space="preserve">, </w:t>
      </w:r>
      <w:r w:rsidR="00C4516C" w:rsidRPr="00C4516C">
        <w:rPr>
          <w:b/>
        </w:rPr>
        <w:t>includ</w:t>
      </w:r>
      <w:r w:rsidR="003C1765">
        <w:rPr>
          <w:b/>
        </w:rPr>
        <w:t>ing</w:t>
      </w:r>
      <w:r w:rsidR="00C4516C" w:rsidRPr="00C4516C">
        <w:rPr>
          <w:b/>
        </w:rPr>
        <w:t>:</w:t>
      </w:r>
    </w:p>
    <w:p w14:paraId="0BCEF2ED" w14:textId="6C095AEE" w:rsidR="00C4516C" w:rsidRPr="00C4516C" w:rsidRDefault="00C4516C" w:rsidP="00E513BC">
      <w:pPr>
        <w:numPr>
          <w:ilvl w:val="0"/>
          <w:numId w:val="29"/>
        </w:numPr>
        <w:spacing w:before="0" w:after="160" w:line="259" w:lineRule="auto"/>
        <w:rPr>
          <w:b/>
        </w:rPr>
      </w:pPr>
      <w:r w:rsidRPr="00C4516C">
        <w:rPr>
          <w:b/>
        </w:rPr>
        <w:t>Ensuring consistent and reliable access to employment supports in NDIS plans, including skill development</w:t>
      </w:r>
      <w:r w:rsidR="003C1765">
        <w:rPr>
          <w:b/>
        </w:rPr>
        <w:t xml:space="preserve"> and ongoing employment supports</w:t>
      </w:r>
    </w:p>
    <w:p w14:paraId="120D1CAD" w14:textId="4E2F9D5D" w:rsidR="0054153E" w:rsidRPr="00C4516C" w:rsidRDefault="00C4516C" w:rsidP="00E513BC">
      <w:pPr>
        <w:numPr>
          <w:ilvl w:val="0"/>
          <w:numId w:val="29"/>
        </w:numPr>
        <w:spacing w:before="0" w:after="160" w:line="259" w:lineRule="auto"/>
        <w:rPr>
          <w:b/>
        </w:rPr>
      </w:pPr>
      <w:r w:rsidRPr="00C4516C">
        <w:rPr>
          <w:b/>
        </w:rPr>
        <w:t>Establishing mechanisms for</w:t>
      </w:r>
      <w:r w:rsidR="007A0021">
        <w:rPr>
          <w:b/>
        </w:rPr>
        <w:t xml:space="preserve"> </w:t>
      </w:r>
      <w:r w:rsidRPr="00C4516C">
        <w:rPr>
          <w:b/>
          <w:bCs/>
        </w:rPr>
        <w:t>rapid plan adjustments</w:t>
      </w:r>
      <w:r w:rsidR="007A0021">
        <w:rPr>
          <w:b/>
        </w:rPr>
        <w:t xml:space="preserve"> </w:t>
      </w:r>
      <w:r w:rsidRPr="00C4516C">
        <w:rPr>
          <w:b/>
        </w:rPr>
        <w:t>in response to changes in employment status or opportunities</w:t>
      </w:r>
    </w:p>
    <w:p w14:paraId="7F2200B1" w14:textId="4831AEFD" w:rsidR="002614B1" w:rsidRDefault="00C4516C" w:rsidP="00E513BC">
      <w:pPr>
        <w:numPr>
          <w:ilvl w:val="0"/>
          <w:numId w:val="29"/>
        </w:numPr>
        <w:spacing w:before="0" w:after="160" w:line="259" w:lineRule="auto"/>
        <w:rPr>
          <w:b/>
        </w:rPr>
      </w:pPr>
      <w:r w:rsidRPr="00C4516C">
        <w:rPr>
          <w:b/>
        </w:rPr>
        <w:t>Providing clear guidance and training to planners and providers on employment-related supports and their role in facilitating inclusive employment outcomes</w:t>
      </w:r>
    </w:p>
    <w:p w14:paraId="47C976FB" w14:textId="54F7DCD4" w:rsidR="00C4516C" w:rsidRPr="002614B1" w:rsidRDefault="008E7D26" w:rsidP="00A03A5C">
      <w:pPr>
        <w:spacing w:before="0" w:after="160" w:line="259" w:lineRule="auto"/>
        <w:rPr>
          <w:b/>
        </w:rPr>
      </w:pPr>
      <w:r>
        <w:rPr>
          <w:b/>
        </w:rPr>
        <w:t xml:space="preserve">Recommendation </w:t>
      </w:r>
      <w:r w:rsidR="00E36E11">
        <w:rPr>
          <w:b/>
        </w:rPr>
        <w:t>9</w:t>
      </w:r>
      <w:r>
        <w:rPr>
          <w:b/>
        </w:rPr>
        <w:t>: The Australian Government publicly respond to the NDIS Review and i</w:t>
      </w:r>
      <w:r w:rsidR="00C4516C" w:rsidRPr="002614B1">
        <w:rPr>
          <w:b/>
        </w:rPr>
        <w:t>mplement</w:t>
      </w:r>
      <w:r>
        <w:rPr>
          <w:b/>
        </w:rPr>
        <w:t xml:space="preserve"> </w:t>
      </w:r>
      <w:r w:rsidR="00C4516C" w:rsidRPr="002614B1">
        <w:rPr>
          <w:b/>
        </w:rPr>
        <w:t xml:space="preserve">recommendations to </w:t>
      </w:r>
      <w:r w:rsidR="00817F61">
        <w:rPr>
          <w:b/>
        </w:rPr>
        <w:t xml:space="preserve">improve </w:t>
      </w:r>
      <w:r w:rsidR="00C4516C" w:rsidRPr="002614B1">
        <w:rPr>
          <w:b/>
        </w:rPr>
        <w:t>planning processes and coordination across employment and disability support systems.</w:t>
      </w:r>
    </w:p>
    <w:p w14:paraId="12D53AB5" w14:textId="5EAD6F0D" w:rsidR="004F21B8" w:rsidRPr="0063603A" w:rsidRDefault="008552C7" w:rsidP="004F21B8">
      <w:pPr>
        <w:pStyle w:val="Heading2"/>
        <w:rPr>
          <w:bCs/>
        </w:rPr>
      </w:pPr>
      <w:bookmarkStart w:id="69" w:name="_Toc200558579"/>
      <w:bookmarkStart w:id="70" w:name="_Toc200558580"/>
      <w:bookmarkStart w:id="71" w:name="_Toc200558581"/>
      <w:bookmarkStart w:id="72" w:name="_Toc200558582"/>
      <w:bookmarkStart w:id="73" w:name="_Toc200558583"/>
      <w:bookmarkStart w:id="74" w:name="_Toc200558584"/>
      <w:bookmarkStart w:id="75" w:name="_Toc202518631"/>
      <w:bookmarkEnd w:id="69"/>
      <w:bookmarkEnd w:id="70"/>
      <w:bookmarkEnd w:id="71"/>
      <w:bookmarkEnd w:id="72"/>
      <w:bookmarkEnd w:id="73"/>
      <w:bookmarkEnd w:id="74"/>
      <w:r>
        <w:lastRenderedPageBreak/>
        <w:t>The</w:t>
      </w:r>
      <w:r w:rsidR="004F21B8" w:rsidRPr="0063603A">
        <w:t xml:space="preserve"> public service </w:t>
      </w:r>
      <w:r w:rsidR="00E66CB4">
        <w:t>should</w:t>
      </w:r>
      <w:r w:rsidR="004F21B8" w:rsidRPr="0063603A">
        <w:t xml:space="preserve"> lead the way</w:t>
      </w:r>
      <w:bookmarkEnd w:id="75"/>
      <w:r w:rsidR="004F21B8" w:rsidRPr="0063603A">
        <w:t xml:space="preserve"> </w:t>
      </w:r>
    </w:p>
    <w:p w14:paraId="0228DB41" w14:textId="77777777" w:rsidR="00FF18C9" w:rsidRDefault="004644A4" w:rsidP="004644A4">
      <w:pPr>
        <w:spacing w:before="0" w:after="160" w:line="259" w:lineRule="auto"/>
      </w:pPr>
      <w:r w:rsidRPr="00451759">
        <w:t>The public service has a unique responsibility to lead by example as a model employer that reflects the diversity of the community it serves.</w:t>
      </w:r>
      <w:r w:rsidR="00714924">
        <w:rPr>
          <w:rStyle w:val="EndnoteReference"/>
        </w:rPr>
        <w:endnoteReference w:id="69"/>
      </w:r>
      <w:r w:rsidRPr="00451759">
        <w:t xml:space="preserve"> Federal, state, and territory governments should take proactive steps to increase employment opportunities for people with</w:t>
      </w:r>
      <w:r>
        <w:t xml:space="preserve"> disability, particularly those who </w:t>
      </w:r>
      <w:r w:rsidR="00553DE6">
        <w:t xml:space="preserve">face </w:t>
      </w:r>
      <w:r>
        <w:t>greater barriers to employment such as people with</w:t>
      </w:r>
      <w:r w:rsidRPr="00451759">
        <w:t xml:space="preserve"> intellectual and cognitive disability</w:t>
      </w:r>
      <w:r>
        <w:t xml:space="preserve">. </w:t>
      </w:r>
    </w:p>
    <w:p w14:paraId="656F7CF3" w14:textId="1533E019" w:rsidR="004644A4" w:rsidRDefault="00EE3835" w:rsidP="004644A4">
      <w:pPr>
        <w:spacing w:before="0" w:after="160" w:line="259" w:lineRule="auto"/>
      </w:pPr>
      <w:r w:rsidRPr="00EE3835">
        <w:t xml:space="preserve">As </w:t>
      </w:r>
      <w:r w:rsidR="00553DE6" w:rsidRPr="00EE3835">
        <w:t>large, structured</w:t>
      </w:r>
      <w:r w:rsidRPr="00EE3835">
        <w:t xml:space="preserve"> employers with significant influence over workplace culture and policy, public sector agencies are well-positioned to demonstrate best practice in disability employment and set benchmarks for other sectors to follow</w:t>
      </w:r>
      <w:r>
        <w:t>.</w:t>
      </w:r>
    </w:p>
    <w:p w14:paraId="3E5D5DD4" w14:textId="121195A2" w:rsidR="00AF7E85" w:rsidRDefault="004644A4" w:rsidP="004644A4">
      <w:pPr>
        <w:spacing w:before="0" w:after="160" w:line="259" w:lineRule="auto"/>
        <w:rPr>
          <w:rFonts w:cs="Open Sans"/>
          <w:highlight w:val="yellow"/>
        </w:rPr>
      </w:pPr>
      <w:r w:rsidRPr="00451759">
        <w:t xml:space="preserve">The </w:t>
      </w:r>
      <w:r>
        <w:t>Disability Royal Commission</w:t>
      </w:r>
      <w:r w:rsidRPr="00451759">
        <w:t xml:space="preserve"> </w:t>
      </w:r>
      <w:r>
        <w:t>recommended</w:t>
      </w:r>
      <w:r w:rsidRPr="00451759">
        <w:t xml:space="preserve"> that public sector agencies</w:t>
      </w:r>
      <w:r w:rsidR="00831A87">
        <w:t xml:space="preserve"> </w:t>
      </w:r>
      <w:r w:rsidRPr="00451759">
        <w:t xml:space="preserve">adopt </w:t>
      </w:r>
      <w:r w:rsidR="00D92617">
        <w:t xml:space="preserve">disability </w:t>
      </w:r>
      <w:r w:rsidRPr="00451759">
        <w:t>employment targets</w:t>
      </w:r>
      <w:r w:rsidR="00831A87">
        <w:t xml:space="preserve"> across all levels</w:t>
      </w:r>
      <w:r w:rsidR="00D92617">
        <w:t xml:space="preserve">, including specific targets for </w:t>
      </w:r>
      <w:r w:rsidR="00573BD1">
        <w:t xml:space="preserve">new-hires and </w:t>
      </w:r>
      <w:r w:rsidR="00D92617">
        <w:t xml:space="preserve">people with </w:t>
      </w:r>
      <w:r w:rsidRPr="00451759">
        <w:t xml:space="preserve">intellectual </w:t>
      </w:r>
      <w:r w:rsidR="00D92617">
        <w:t>disability and cognitive disability</w:t>
      </w:r>
      <w:r w:rsidR="00824D72">
        <w:t>.</w:t>
      </w:r>
      <w:r w:rsidR="00824D72">
        <w:rPr>
          <w:rStyle w:val="EndnoteReference"/>
        </w:rPr>
        <w:endnoteReference w:id="70"/>
      </w:r>
      <w:r w:rsidR="00824D72">
        <w:t xml:space="preserve"> </w:t>
      </w:r>
      <w:r w:rsidRPr="00191BE6">
        <w:t xml:space="preserve">To ensure these targets are meaningful and achievable, they must be supported by </w:t>
      </w:r>
      <w:r w:rsidR="005D1EC3">
        <w:t>initiatives</w:t>
      </w:r>
      <w:r w:rsidRPr="00191BE6">
        <w:t xml:space="preserve"> </w:t>
      </w:r>
      <w:r w:rsidR="003F234F">
        <w:t>that</w:t>
      </w:r>
      <w:r>
        <w:t xml:space="preserve"> improve accessibility, organisational culture, and inclusion</w:t>
      </w:r>
      <w:r w:rsidR="004B492A">
        <w:t>.</w:t>
      </w:r>
    </w:p>
    <w:p w14:paraId="65849464" w14:textId="77777777" w:rsidR="002418ED" w:rsidRDefault="00CC62F4" w:rsidP="00CC62F4">
      <w:pPr>
        <w:spacing w:before="0" w:after="160" w:line="259" w:lineRule="auto"/>
      </w:pPr>
      <w:r>
        <w:t xml:space="preserve">A </w:t>
      </w:r>
      <w:r w:rsidRPr="003F4649">
        <w:t>programmatic approach</w:t>
      </w:r>
      <w:r>
        <w:t xml:space="preserve"> is</w:t>
      </w:r>
      <w:r w:rsidRPr="003F4649">
        <w:t xml:space="preserve"> recommended</w:t>
      </w:r>
      <w:r>
        <w:t xml:space="preserve"> </w:t>
      </w:r>
      <w:r w:rsidRPr="003F4649">
        <w:t>whereby governments</w:t>
      </w:r>
      <w:r w:rsidR="00425412">
        <w:t xml:space="preserve"> </w:t>
      </w:r>
      <w:r w:rsidRPr="003F4649">
        <w:t xml:space="preserve">develop </w:t>
      </w:r>
      <w:r w:rsidR="001A2301">
        <w:t xml:space="preserve">disability employment strategies that include </w:t>
      </w:r>
      <w:r w:rsidRPr="003F4649">
        <w:t>tailored recruitment and retention</w:t>
      </w:r>
      <w:r w:rsidR="00A55DE1">
        <w:t xml:space="preserve"> </w:t>
      </w:r>
      <w:r w:rsidR="00111B63">
        <w:t xml:space="preserve">initiatives </w:t>
      </w:r>
      <w:r w:rsidR="00EC6AB2">
        <w:t xml:space="preserve">with </w:t>
      </w:r>
      <w:r w:rsidR="00111B63">
        <w:t xml:space="preserve">transparent reporting and </w:t>
      </w:r>
      <w:r w:rsidR="00714924">
        <w:t xml:space="preserve">accountability </w:t>
      </w:r>
      <w:r w:rsidR="00714924" w:rsidRPr="00F644F7">
        <w:t>measures</w:t>
      </w:r>
      <w:r w:rsidR="005B3CA3" w:rsidRPr="00F644F7">
        <w:t>.</w:t>
      </w:r>
      <w:r w:rsidR="00714924" w:rsidRPr="00F644F7">
        <w:rPr>
          <w:rStyle w:val="EndnoteReference"/>
        </w:rPr>
        <w:endnoteReference w:id="71"/>
      </w:r>
      <w:r w:rsidR="00714924" w:rsidRPr="00F644F7">
        <w:t xml:space="preserve"> </w:t>
      </w:r>
      <w:r w:rsidR="00DC5EA2" w:rsidRPr="00F644F7">
        <w:t>Exampl</w:t>
      </w:r>
      <w:r w:rsidR="00883757" w:rsidRPr="00F644F7">
        <w:t>es</w:t>
      </w:r>
      <w:r w:rsidR="00883757">
        <w:t xml:space="preserve"> include</w:t>
      </w:r>
      <w:r w:rsidR="00384EA0">
        <w:t xml:space="preserve"> affirmative</w:t>
      </w:r>
      <w:r w:rsidR="001E79E7">
        <w:t xml:space="preserve"> </w:t>
      </w:r>
      <w:r w:rsidRPr="003F4649">
        <w:t>measures, as outlined in the Australian Human Rights Commission’s </w:t>
      </w:r>
      <w:r w:rsidRPr="003F4649">
        <w:rPr>
          <w:i/>
          <w:iCs/>
        </w:rPr>
        <w:t>Targeted Recruitment Guidelines</w:t>
      </w:r>
      <w:r>
        <w:rPr>
          <w:i/>
          <w:iCs/>
        </w:rPr>
        <w:t>,</w:t>
      </w:r>
      <w:r>
        <w:rPr>
          <w:rStyle w:val="EndnoteReference"/>
          <w:i/>
          <w:iCs/>
        </w:rPr>
        <w:endnoteReference w:id="72"/>
      </w:r>
      <w:r w:rsidRPr="003F4649">
        <w:t xml:space="preserve"> or the establishment of designated intake streams such as the Victorian Government’s Graduate Program Disability Stream and Youth Employment Service Disability Stream. </w:t>
      </w:r>
    </w:p>
    <w:p w14:paraId="53A23E5C" w14:textId="3206FED3" w:rsidR="00301543" w:rsidRDefault="002418ED" w:rsidP="00CC62F4">
      <w:pPr>
        <w:spacing w:before="0" w:after="160" w:line="259" w:lineRule="auto"/>
      </w:pPr>
      <w:r>
        <w:t>Programs could</w:t>
      </w:r>
      <w:r w:rsidR="002E06D5">
        <w:t xml:space="preserve"> </w:t>
      </w:r>
      <w:r w:rsidR="004D2824">
        <w:t xml:space="preserve">also </w:t>
      </w:r>
      <w:r>
        <w:t>implement</w:t>
      </w:r>
      <w:r w:rsidR="002E06D5">
        <w:t xml:space="preserve"> </w:t>
      </w:r>
      <w:r w:rsidR="005666C2">
        <w:t>w</w:t>
      </w:r>
      <w:r w:rsidR="002E06D5">
        <w:t>ork-based learning approach</w:t>
      </w:r>
      <w:r w:rsidR="004D2824">
        <w:t xml:space="preserve">es </w:t>
      </w:r>
      <w:r>
        <w:t>that</w:t>
      </w:r>
      <w:r w:rsidR="004D2824">
        <w:t xml:space="preserve"> support on the job training</w:t>
      </w:r>
      <w:r w:rsidR="006E7310">
        <w:t xml:space="preserve"> as opposed to pre-work</w:t>
      </w:r>
      <w:r w:rsidR="004D3638">
        <w:t xml:space="preserve"> training</w:t>
      </w:r>
      <w:r w:rsidR="005666C2">
        <w:t xml:space="preserve">. </w:t>
      </w:r>
      <w:r w:rsidR="00CC62F4" w:rsidRPr="003F4649">
        <w:t>These approaches provide structured pathways into public sector employment and help address systemic barriers to inclusion.</w:t>
      </w:r>
      <w:r w:rsidR="007462C7">
        <w:rPr>
          <w:rStyle w:val="EndnoteReference"/>
        </w:rPr>
        <w:endnoteReference w:id="73"/>
      </w:r>
      <w:r w:rsidR="00CC62F4">
        <w:t xml:space="preserve"> </w:t>
      </w:r>
    </w:p>
    <w:p w14:paraId="72FB0D97" w14:textId="41C18FD5" w:rsidR="00CC62F4" w:rsidRDefault="00CC62F4" w:rsidP="00CC62F4">
      <w:pPr>
        <w:spacing w:before="0" w:after="160" w:line="259" w:lineRule="auto"/>
      </w:pPr>
      <w:r>
        <w:t>As required by Article 27(1)(e) of the CRPD, initiatives must also create and promote opportunities for career advancement for people with disability.</w:t>
      </w:r>
      <w:r w:rsidR="001411A6">
        <w:rPr>
          <w:rStyle w:val="EndnoteReference"/>
        </w:rPr>
        <w:endnoteReference w:id="74"/>
      </w:r>
    </w:p>
    <w:p w14:paraId="74C930E1" w14:textId="6F409F43" w:rsidR="00EE30CF" w:rsidRDefault="00CC62F4" w:rsidP="00EE30CF">
      <w:r>
        <w:t>These programs should be co-designed</w:t>
      </w:r>
      <w:r w:rsidR="00CE70A3">
        <w:t xml:space="preserve"> </w:t>
      </w:r>
      <w:r w:rsidR="00571F5F">
        <w:t xml:space="preserve">and implemented </w:t>
      </w:r>
      <w:r>
        <w:t xml:space="preserve">in conjunction with people with </w:t>
      </w:r>
      <w:r w:rsidR="00C4037C">
        <w:t>disability</w:t>
      </w:r>
      <w:r w:rsidR="008C765A">
        <w:t xml:space="preserve"> and their </w:t>
      </w:r>
      <w:r>
        <w:t>representative bodies.</w:t>
      </w:r>
    </w:p>
    <w:p w14:paraId="43A79A9F" w14:textId="5E39AB44" w:rsidR="004644A4" w:rsidRPr="00823093" w:rsidRDefault="004644A4" w:rsidP="00EE30CF">
      <w:r w:rsidRPr="00823093">
        <w:t xml:space="preserve">The Commission is aware that the Australian Public Service Commission is </w:t>
      </w:r>
      <w:r w:rsidR="0055251E">
        <w:t>implementing</w:t>
      </w:r>
      <w:r w:rsidRPr="00823093">
        <w:t xml:space="preserve"> recommendations made by the Disability Royal Commission, including via co-design processes. This is a positive step </w:t>
      </w:r>
      <w:r w:rsidR="00D96515">
        <w:t>that</w:t>
      </w:r>
      <w:r w:rsidR="00D96515" w:rsidRPr="00823093">
        <w:t xml:space="preserve"> </w:t>
      </w:r>
      <w:r w:rsidRPr="00823093">
        <w:t xml:space="preserve">requires ongoing commitment. </w:t>
      </w:r>
    </w:p>
    <w:p w14:paraId="30906F40" w14:textId="6ADA17F2" w:rsidR="0076653A" w:rsidRPr="0076653A" w:rsidRDefault="00053F41" w:rsidP="0076653A">
      <w:pPr>
        <w:rPr>
          <w:b/>
        </w:rPr>
      </w:pPr>
      <w:r>
        <w:rPr>
          <w:b/>
        </w:rPr>
        <w:t xml:space="preserve">Recommendation </w:t>
      </w:r>
      <w:r w:rsidR="00E36E11">
        <w:rPr>
          <w:b/>
        </w:rPr>
        <w:t>10</w:t>
      </w:r>
      <w:r>
        <w:rPr>
          <w:b/>
        </w:rPr>
        <w:t xml:space="preserve">: </w:t>
      </w:r>
      <w:r w:rsidR="00AE244E">
        <w:rPr>
          <w:b/>
        </w:rPr>
        <w:t>All Australian</w:t>
      </w:r>
      <w:r w:rsidR="0076653A" w:rsidRPr="0076653A">
        <w:rPr>
          <w:b/>
        </w:rPr>
        <w:t xml:space="preserve"> governments strengthen their role as model employers by:</w:t>
      </w:r>
    </w:p>
    <w:p w14:paraId="3008BB06" w14:textId="6CBE6DE1" w:rsidR="0076653A" w:rsidRPr="0076653A" w:rsidRDefault="0076653A" w:rsidP="00E513BC">
      <w:pPr>
        <w:numPr>
          <w:ilvl w:val="0"/>
          <w:numId w:val="30"/>
        </w:numPr>
        <w:rPr>
          <w:b/>
        </w:rPr>
      </w:pPr>
      <w:r w:rsidRPr="0076653A">
        <w:rPr>
          <w:b/>
        </w:rPr>
        <w:lastRenderedPageBreak/>
        <w:t>Expanding and resourcing disability employment strategies across public sector agencies</w:t>
      </w:r>
      <w:r w:rsidR="00073C15">
        <w:rPr>
          <w:b/>
        </w:rPr>
        <w:t xml:space="preserve"> with clear targets </w:t>
      </w:r>
      <w:r w:rsidR="003C32C6">
        <w:rPr>
          <w:b/>
        </w:rPr>
        <w:t>and accountability measures.</w:t>
      </w:r>
    </w:p>
    <w:p w14:paraId="4EE8E4BE" w14:textId="2419B551" w:rsidR="004B06E6" w:rsidRPr="0076653A" w:rsidRDefault="0076653A" w:rsidP="00E513BC">
      <w:pPr>
        <w:numPr>
          <w:ilvl w:val="0"/>
          <w:numId w:val="30"/>
        </w:numPr>
        <w:rPr>
          <w:b/>
        </w:rPr>
      </w:pPr>
      <w:r w:rsidRPr="0076653A">
        <w:rPr>
          <w:b/>
        </w:rPr>
        <w:t>Embedding inclusive employment practices</w:t>
      </w:r>
      <w:r w:rsidR="00E65E3B">
        <w:rPr>
          <w:b/>
        </w:rPr>
        <w:t xml:space="preserve"> and programs</w:t>
      </w:r>
      <w:r w:rsidRPr="0076653A">
        <w:rPr>
          <w:b/>
        </w:rPr>
        <w:t xml:space="preserve">, including </w:t>
      </w:r>
      <w:r w:rsidR="00A00834">
        <w:rPr>
          <w:b/>
        </w:rPr>
        <w:t>affirmative measures</w:t>
      </w:r>
      <w:r w:rsidR="005B78D2">
        <w:rPr>
          <w:b/>
        </w:rPr>
        <w:t xml:space="preserve">, </w:t>
      </w:r>
      <w:r w:rsidRPr="0076653A">
        <w:rPr>
          <w:b/>
        </w:rPr>
        <w:t xml:space="preserve">customised employment and career development </w:t>
      </w:r>
      <w:r w:rsidR="00941B9D">
        <w:rPr>
          <w:b/>
        </w:rPr>
        <w:t>opportunities</w:t>
      </w:r>
    </w:p>
    <w:p w14:paraId="2E4CEB35" w14:textId="62088DFD" w:rsidR="00053F41" w:rsidRPr="00656A5F" w:rsidRDefault="00B870BF" w:rsidP="00E513BC">
      <w:pPr>
        <w:numPr>
          <w:ilvl w:val="0"/>
          <w:numId w:val="30"/>
        </w:numPr>
        <w:rPr>
          <w:b/>
        </w:rPr>
      </w:pPr>
      <w:r>
        <w:rPr>
          <w:b/>
        </w:rPr>
        <w:t>Leveraging</w:t>
      </w:r>
      <w:r w:rsidR="0076653A" w:rsidRPr="004B06E6">
        <w:rPr>
          <w:b/>
        </w:rPr>
        <w:t xml:space="preserve"> public sector leadership to influence broader labour market reform through procurement, partnerships, and pilot programs.</w:t>
      </w:r>
    </w:p>
    <w:p w14:paraId="1FCA03EE" w14:textId="323A2176" w:rsidR="009B64D2" w:rsidRDefault="009B64D2" w:rsidP="009B64D2">
      <w:pPr>
        <w:pStyle w:val="Heading2"/>
      </w:pPr>
      <w:bookmarkStart w:id="76" w:name="_Toc200558586"/>
      <w:bookmarkStart w:id="77" w:name="_Toc200558587"/>
      <w:bookmarkStart w:id="78" w:name="_Toc200558588"/>
      <w:bookmarkStart w:id="79" w:name="_Toc200558589"/>
      <w:bookmarkStart w:id="80" w:name="_Toc200558590"/>
      <w:bookmarkStart w:id="81" w:name="_Toc200558591"/>
      <w:bookmarkStart w:id="82" w:name="_Toc200558592"/>
      <w:bookmarkStart w:id="83" w:name="_Toc200558593"/>
      <w:bookmarkStart w:id="84" w:name="_Toc200558594"/>
      <w:bookmarkStart w:id="85" w:name="_Toc202518632"/>
      <w:bookmarkEnd w:id="76"/>
      <w:bookmarkEnd w:id="77"/>
      <w:bookmarkEnd w:id="78"/>
      <w:bookmarkEnd w:id="79"/>
      <w:bookmarkEnd w:id="80"/>
      <w:bookmarkEnd w:id="81"/>
      <w:bookmarkEnd w:id="82"/>
      <w:bookmarkEnd w:id="83"/>
      <w:bookmarkEnd w:id="84"/>
      <w:r w:rsidRPr="00D273B1">
        <w:t>Greater focus on transitions from education to employment</w:t>
      </w:r>
      <w:bookmarkEnd w:id="85"/>
    </w:p>
    <w:p w14:paraId="5A07E429" w14:textId="5E4AC69F" w:rsidR="008E003D" w:rsidRPr="0058351D" w:rsidRDefault="008E003D" w:rsidP="008E003D">
      <w:pPr>
        <w:spacing w:before="0" w:after="160" w:line="259" w:lineRule="auto"/>
      </w:pPr>
      <w:r w:rsidRPr="0058351D">
        <w:t>A</w:t>
      </w:r>
      <w:r w:rsidR="00EB218A">
        <w:t xml:space="preserve"> </w:t>
      </w:r>
      <w:r w:rsidRPr="0058351D">
        <w:t>National Inclusive Employment Roadmap</w:t>
      </w:r>
      <w:r w:rsidR="00EB218A">
        <w:t xml:space="preserve"> </w:t>
      </w:r>
      <w:r w:rsidRPr="0058351D">
        <w:t>must be developed in parallel with, and aligned to, a</w:t>
      </w:r>
      <w:r w:rsidR="00EB218A">
        <w:t xml:space="preserve"> </w:t>
      </w:r>
      <w:r w:rsidRPr="0058351D">
        <w:t>National Roadmap to Inclusive Education</w:t>
      </w:r>
      <w:r w:rsidR="00B13104">
        <w:t>,</w:t>
      </w:r>
      <w:r w:rsidR="000B43C9">
        <w:t xml:space="preserve"> </w:t>
      </w:r>
      <w:r w:rsidR="009608D4">
        <w:t>as outlined in</w:t>
      </w:r>
      <w:r w:rsidR="007F1F6B">
        <w:t xml:space="preserve"> recomme</w:t>
      </w:r>
      <w:r w:rsidR="009608D4">
        <w:t>ndations</w:t>
      </w:r>
      <w:r w:rsidR="008D16D0">
        <w:t xml:space="preserve"> 7.13 and 7.14 of the Disability Royal Commission</w:t>
      </w:r>
      <w:r w:rsidR="00D72FC9">
        <w:t>.</w:t>
      </w:r>
      <w:r w:rsidR="00656A5F">
        <w:rPr>
          <w:rStyle w:val="EndnoteReference"/>
        </w:rPr>
        <w:endnoteReference w:id="75"/>
      </w:r>
      <w:r w:rsidR="00D72FC9">
        <w:t xml:space="preserve"> </w:t>
      </w:r>
      <w:r w:rsidRPr="0058351D">
        <w:t>This alignment is critical to dismantling the cycle of segregation that begins in education and continues into employment for people with disability.</w:t>
      </w:r>
    </w:p>
    <w:p w14:paraId="2249250D" w14:textId="4228738B" w:rsidR="00247A9F" w:rsidRDefault="008E003D" w:rsidP="00555F2C">
      <w:pPr>
        <w:spacing w:before="0" w:after="160" w:line="259" w:lineRule="auto"/>
      </w:pPr>
      <w:r w:rsidRPr="0058351D">
        <w:t>It is well established that early intervention in career development has the greatest impact on long-term employment outcomes.</w:t>
      </w:r>
      <w:r w:rsidR="00826005">
        <w:rPr>
          <w:rStyle w:val="EndnoteReference"/>
        </w:rPr>
        <w:endnoteReference w:id="76"/>
      </w:r>
      <w:r w:rsidRPr="0058351D">
        <w:t xml:space="preserve"> Yet, current systems are failing to support young people with disability</w:t>
      </w:r>
      <w:r>
        <w:t xml:space="preserve"> </w:t>
      </w:r>
      <w:r w:rsidRPr="0058351D">
        <w:t>to transition successfully into open employment. The D</w:t>
      </w:r>
      <w:r w:rsidR="008F4519">
        <w:t>isability Royal Commission</w:t>
      </w:r>
      <w:r w:rsidRPr="0058351D">
        <w:t xml:space="preserve"> heard extensive evidence that low societal expectations begin early in life and have a corrosive effect on young people’s aspirations and opportunities</w:t>
      </w:r>
      <w:r w:rsidR="00F677FF">
        <w:t>,</w:t>
      </w:r>
      <w:r>
        <w:rPr>
          <w:rStyle w:val="EndnoteReference"/>
        </w:rPr>
        <w:endnoteReference w:id="77"/>
      </w:r>
      <w:r w:rsidR="00FD5CD5">
        <w:t xml:space="preserve"> and</w:t>
      </w:r>
      <w:r w:rsidRPr="0058351D">
        <w:t xml:space="preserve"> identified a strong correlation between segregated schooling and subsequent segregation in employment</w:t>
      </w:r>
      <w:r w:rsidR="00F677FF">
        <w:t>.</w:t>
      </w:r>
      <w:r>
        <w:rPr>
          <w:rStyle w:val="EndnoteReference"/>
        </w:rPr>
        <w:endnoteReference w:id="78"/>
      </w:r>
      <w:r w:rsidRPr="0058351D">
        <w:t xml:space="preserve"> </w:t>
      </w:r>
      <w:r>
        <w:t>This segregation contributes to</w:t>
      </w:r>
      <w:r w:rsidRPr="0058351D">
        <w:t xml:space="preserve"> exclusion from career planning and work experience and default referrals to ADEs rather than support to pursue inclusive, meaningful employment</w:t>
      </w:r>
      <w:r w:rsidR="008627A4">
        <w:t xml:space="preserve"> in an open labour market</w:t>
      </w:r>
      <w:r w:rsidR="005739A6">
        <w:t>.</w:t>
      </w:r>
      <w:r w:rsidR="009B1C5A">
        <w:rPr>
          <w:rStyle w:val="EndnoteReference"/>
        </w:rPr>
        <w:endnoteReference w:id="79"/>
      </w:r>
      <w:r w:rsidR="00247A9F">
        <w:t xml:space="preserve"> </w:t>
      </w:r>
      <w:r>
        <w:t>Supports for career planning conversations, work experience and training</w:t>
      </w:r>
      <w:r w:rsidRPr="0058351D">
        <w:t xml:space="preserve"> must begin during school years and continue into adulthood. </w:t>
      </w:r>
    </w:p>
    <w:p w14:paraId="1BF0CBAB" w14:textId="408EC02A" w:rsidR="00911A02" w:rsidRPr="00911A02" w:rsidRDefault="00247A9F" w:rsidP="00555F2C">
      <w:pPr>
        <w:spacing w:before="0" w:after="160" w:line="259" w:lineRule="auto"/>
      </w:pPr>
      <w:r>
        <w:t>T</w:t>
      </w:r>
      <w:r w:rsidR="008E003D" w:rsidRPr="0058351D">
        <w:t>he National Roadmap to Inclusive Employment must be designed in tandem with inclusive education reforms</w:t>
      </w:r>
      <w:r w:rsidR="00555F2C">
        <w:t xml:space="preserve"> that uphold the right of people with disability to education on an equal basis with others</w:t>
      </w:r>
      <w:r w:rsidR="008E003D" w:rsidRPr="0058351D">
        <w:t xml:space="preserve">. </w:t>
      </w:r>
    </w:p>
    <w:p w14:paraId="43A170F1" w14:textId="58668BC5" w:rsidR="00BE1F79" w:rsidRPr="00BA7441" w:rsidRDefault="00BE1F79" w:rsidP="005D4218">
      <w:pPr>
        <w:rPr>
          <w:b/>
        </w:rPr>
      </w:pPr>
      <w:r>
        <w:rPr>
          <w:b/>
          <w:bCs/>
        </w:rPr>
        <w:t xml:space="preserve">Recommendation </w:t>
      </w:r>
      <w:r w:rsidR="005300AF">
        <w:rPr>
          <w:b/>
          <w:bCs/>
        </w:rPr>
        <w:t>1</w:t>
      </w:r>
      <w:r w:rsidR="00E36E11">
        <w:rPr>
          <w:b/>
          <w:bCs/>
        </w:rPr>
        <w:t>1</w:t>
      </w:r>
      <w:r>
        <w:rPr>
          <w:b/>
          <w:bCs/>
        </w:rPr>
        <w:t xml:space="preserve">: A National Inclusive Employment Roadmap should be developed alongside, and aligned with, a </w:t>
      </w:r>
      <w:r w:rsidR="00DC4B98">
        <w:rPr>
          <w:b/>
          <w:bCs/>
        </w:rPr>
        <w:t>rights-based</w:t>
      </w:r>
      <w:r>
        <w:rPr>
          <w:b/>
          <w:bCs/>
        </w:rPr>
        <w:t xml:space="preserve"> National Roadmap to Inclusive Education</w:t>
      </w:r>
      <w:r w:rsidR="00713DFF">
        <w:rPr>
          <w:b/>
          <w:bCs/>
        </w:rPr>
        <w:t xml:space="preserve">. </w:t>
      </w:r>
    </w:p>
    <w:p w14:paraId="39B6CFC7" w14:textId="1A493914" w:rsidR="00405610" w:rsidRPr="00E37861" w:rsidRDefault="00667765" w:rsidP="00405610">
      <w:r w:rsidRPr="00BA7441">
        <w:rPr>
          <w:b/>
          <w:bCs/>
        </w:rPr>
        <w:lastRenderedPageBreak/>
        <w:t>Recommen</w:t>
      </w:r>
      <w:r w:rsidR="00B94C58" w:rsidRPr="00BA7441">
        <w:rPr>
          <w:b/>
          <w:bCs/>
        </w:rPr>
        <w:t xml:space="preserve">dation </w:t>
      </w:r>
      <w:r w:rsidR="005300AF">
        <w:rPr>
          <w:b/>
          <w:bCs/>
        </w:rPr>
        <w:t>1</w:t>
      </w:r>
      <w:r w:rsidR="00E36E11">
        <w:rPr>
          <w:b/>
          <w:bCs/>
        </w:rPr>
        <w:t>2</w:t>
      </w:r>
      <w:r w:rsidR="00B94C58">
        <w:t>:</w:t>
      </w:r>
      <w:r w:rsidR="00B94C58" w:rsidRPr="00B94C58">
        <w:rPr>
          <w:b/>
          <w:bCs/>
        </w:rPr>
        <w:t xml:space="preserve"> </w:t>
      </w:r>
      <w:r w:rsidR="00B94C58">
        <w:rPr>
          <w:b/>
          <w:bCs/>
        </w:rPr>
        <w:t>National Roadmap</w:t>
      </w:r>
      <w:r>
        <w:rPr>
          <w:b/>
        </w:rPr>
        <w:t xml:space="preserve"> to </w:t>
      </w:r>
      <w:r w:rsidR="00B94C58">
        <w:rPr>
          <w:b/>
          <w:bCs/>
        </w:rPr>
        <w:t>Inclusive Education should include actions</w:t>
      </w:r>
      <w:r>
        <w:rPr>
          <w:b/>
        </w:rPr>
        <w:t xml:space="preserve"> to assist young people with disability to make informed </w:t>
      </w:r>
      <w:r w:rsidR="00831909">
        <w:rPr>
          <w:b/>
        </w:rPr>
        <w:t>and empowered</w:t>
      </w:r>
      <w:r>
        <w:rPr>
          <w:b/>
        </w:rPr>
        <w:t xml:space="preserve"> choices about </w:t>
      </w:r>
      <w:r w:rsidR="00F51491">
        <w:rPr>
          <w:b/>
        </w:rPr>
        <w:t>their employment pathways, including</w:t>
      </w:r>
      <w:r>
        <w:rPr>
          <w:b/>
        </w:rPr>
        <w:t xml:space="preserve"> where and how they work. </w:t>
      </w:r>
      <w:r w:rsidRPr="006E64FA">
        <w:t xml:space="preserve"> </w:t>
      </w:r>
    </w:p>
    <w:sectPr w:rsidR="00405610" w:rsidRPr="00E37861" w:rsidSect="00492012">
      <w:headerReference w:type="even" r:id="rId18"/>
      <w:headerReference w:type="default" r:id="rId19"/>
      <w:footerReference w:type="even" r:id="rId20"/>
      <w:footerReference w:type="default" r:id="rId21"/>
      <w:headerReference w:type="first" r:id="rId22"/>
      <w:footerReference w:type="first" r:id="rId23"/>
      <w:endnotePr>
        <w:numFmt w:val="decimal"/>
      </w:endnotePr>
      <w:pgSz w:w="11906" w:h="16838" w:code="9"/>
      <w:pgMar w:top="1560" w:right="1418" w:bottom="1134" w:left="1418" w:header="907" w:footer="283"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913AF" w14:textId="77777777" w:rsidR="00AE0B03" w:rsidRDefault="00AE0B03" w:rsidP="00F14C6D">
      <w:r>
        <w:separator/>
      </w:r>
    </w:p>
  </w:endnote>
  <w:endnote w:type="continuationSeparator" w:id="0">
    <w:p w14:paraId="7F42BAF1" w14:textId="77777777" w:rsidR="00AE0B03" w:rsidRDefault="00AE0B03" w:rsidP="00F14C6D">
      <w:r>
        <w:continuationSeparator/>
      </w:r>
    </w:p>
  </w:endnote>
  <w:endnote w:id="1">
    <w:p w14:paraId="590F1F50" w14:textId="77777777" w:rsidR="007C094D" w:rsidRDefault="007C094D" w:rsidP="007C094D">
      <w:pPr>
        <w:pStyle w:val="EndnoteText"/>
      </w:pPr>
      <w:r>
        <w:rPr>
          <w:rStyle w:val="EndnoteReference"/>
        </w:rPr>
        <w:endnoteRef/>
      </w:r>
      <w:r>
        <w:t xml:space="preserve"> See Department of Social Services, ‘Next Steps in Supported Employment: consultation on the way forward’ (webpage) &lt;</w:t>
      </w:r>
      <w:r w:rsidRPr="000A5F23">
        <w:t>https://engage.dss.gov.au/next-steps-in-supported-employment-consultation-on-the-way-forward</w:t>
      </w:r>
      <w:r>
        <w:t>/&gt;.</w:t>
      </w:r>
    </w:p>
  </w:endnote>
  <w:endnote w:id="2">
    <w:p w14:paraId="343124EB" w14:textId="77777777" w:rsidR="007C094D" w:rsidRPr="0016306F" w:rsidRDefault="007C094D" w:rsidP="007C094D">
      <w:pPr>
        <w:pStyle w:val="EndnoteText"/>
        <w:rPr>
          <w:rFonts w:cs="Open Sans"/>
        </w:rPr>
      </w:pPr>
      <w:r w:rsidRPr="0016306F">
        <w:rPr>
          <w:rStyle w:val="EndnoteReference"/>
          <w:rFonts w:cs="Open Sans"/>
        </w:rPr>
        <w:endnoteRef/>
      </w:r>
      <w:r w:rsidRPr="0016306F">
        <w:rPr>
          <w:rFonts w:cs="Open Sans"/>
        </w:rPr>
        <w:t xml:space="preserve"> </w:t>
      </w:r>
      <w:r>
        <w:rPr>
          <w:rFonts w:cs="Open Sans"/>
          <w:i/>
          <w:iCs/>
        </w:rPr>
        <w:t xml:space="preserve">Australian Human Rights Commission Act 1986 </w:t>
      </w:r>
      <w:r>
        <w:rPr>
          <w:rFonts w:cs="Open Sans"/>
        </w:rPr>
        <w:t>(Cth)</w:t>
      </w:r>
      <w:r w:rsidRPr="0016306F">
        <w:rPr>
          <w:rFonts w:cs="Open Sans"/>
        </w:rPr>
        <w:t xml:space="preserve"> s 7.</w:t>
      </w:r>
    </w:p>
  </w:endnote>
  <w:endnote w:id="3">
    <w:p w14:paraId="3BC5EC53" w14:textId="77777777" w:rsidR="00587FD2" w:rsidRPr="0016306F" w:rsidRDefault="00587FD2" w:rsidP="00587FD2">
      <w:pPr>
        <w:pStyle w:val="EndnoteText"/>
        <w:rPr>
          <w:rFonts w:cs="Open Sans"/>
        </w:rPr>
      </w:pPr>
      <w:r w:rsidRPr="0016306F">
        <w:rPr>
          <w:rStyle w:val="EndnoteReference"/>
          <w:rFonts w:cs="Open Sans"/>
        </w:rPr>
        <w:endnoteRef/>
      </w:r>
      <w:r w:rsidRPr="0016306F">
        <w:rPr>
          <w:rFonts w:cs="Open Sans"/>
        </w:rPr>
        <w:t xml:space="preserve"> </w:t>
      </w:r>
      <w:r>
        <w:rPr>
          <w:rFonts w:cs="Open Sans"/>
        </w:rPr>
        <w:t>Ibid</w:t>
      </w:r>
      <w:r w:rsidRPr="0016306F">
        <w:rPr>
          <w:rFonts w:cs="Open Sans"/>
        </w:rPr>
        <w:t xml:space="preserve"> s 11(1)(g). </w:t>
      </w:r>
    </w:p>
  </w:endnote>
  <w:endnote w:id="4">
    <w:p w14:paraId="526ADCEB" w14:textId="6304ED5C" w:rsidR="0066293B" w:rsidRPr="006A49E9" w:rsidRDefault="0066293B" w:rsidP="0066293B">
      <w:pPr>
        <w:pStyle w:val="EndnoteText"/>
      </w:pPr>
      <w:r>
        <w:rPr>
          <w:rStyle w:val="EndnoteReference"/>
        </w:rPr>
        <w:endnoteRef/>
      </w:r>
      <w:r>
        <w:t xml:space="preserve"> </w:t>
      </w:r>
      <w:r w:rsidR="00881394">
        <w:rPr>
          <w:i/>
          <w:iCs/>
        </w:rPr>
        <w:t>Disability Discrimination Act 1992</w:t>
      </w:r>
      <w:r w:rsidR="00773870">
        <w:rPr>
          <w:i/>
          <w:iCs/>
        </w:rPr>
        <w:t xml:space="preserve"> </w:t>
      </w:r>
      <w:r w:rsidR="00773870">
        <w:t xml:space="preserve">(Cth) ss 3, </w:t>
      </w:r>
      <w:r w:rsidR="00427E9F">
        <w:t>5, 6,</w:t>
      </w:r>
      <w:r w:rsidR="006A49E9">
        <w:t xml:space="preserve"> 15-21B. </w:t>
      </w:r>
    </w:p>
  </w:endnote>
  <w:endnote w:id="5">
    <w:p w14:paraId="39493C2C" w14:textId="1909B31D" w:rsidR="007C094D" w:rsidRDefault="007C094D" w:rsidP="007C094D">
      <w:pPr>
        <w:pStyle w:val="EndnoteText"/>
      </w:pPr>
      <w:r>
        <w:rPr>
          <w:rStyle w:val="EndnoteReference"/>
        </w:rPr>
        <w:endnoteRef/>
      </w:r>
      <w:r>
        <w:t xml:space="preserve"> </w:t>
      </w:r>
      <w:r w:rsidR="006A49E9">
        <w:t>Ibid</w:t>
      </w:r>
      <w:r>
        <w:t xml:space="preserve"> s 67.</w:t>
      </w:r>
      <w:r w:rsidR="006A49E9">
        <w:t xml:space="preserve"> </w:t>
      </w:r>
    </w:p>
  </w:endnote>
  <w:endnote w:id="6">
    <w:p w14:paraId="7A81820A" w14:textId="5A24BD7B" w:rsidR="00AA7268" w:rsidRDefault="00AA7268">
      <w:pPr>
        <w:pStyle w:val="EndnoteText"/>
      </w:pPr>
      <w:r>
        <w:rPr>
          <w:rStyle w:val="EndnoteReference"/>
        </w:rPr>
        <w:endnoteRef/>
      </w:r>
      <w:r>
        <w:t xml:space="preserve"> </w:t>
      </w:r>
      <w:r w:rsidR="00123EA0">
        <w:t>See Australian Human Rights Commission, ‘</w:t>
      </w:r>
      <w:r w:rsidR="003260F3">
        <w:t>IncludeAbility – Equality at Work’ (Web Page, 2025) &lt;</w:t>
      </w:r>
      <w:r w:rsidR="00A13504" w:rsidRPr="00A13504">
        <w:t>https://humanrights.gov.au/our-work/disability-rights/includeability-equality-work</w:t>
      </w:r>
      <w:r w:rsidR="00A13504">
        <w:t xml:space="preserve">&gt;. </w:t>
      </w:r>
    </w:p>
  </w:endnote>
  <w:endnote w:id="7">
    <w:p w14:paraId="0FDABEFD" w14:textId="2FEC70F9" w:rsidR="00E35A0C" w:rsidRDefault="00E35A0C" w:rsidP="004118E1">
      <w:pPr>
        <w:pStyle w:val="EndnoteText"/>
      </w:pPr>
      <w:r>
        <w:rPr>
          <w:rStyle w:val="EndnoteReference"/>
        </w:rPr>
        <w:endnoteRef/>
      </w:r>
      <w:r>
        <w:t xml:space="preserve"> </w:t>
      </w:r>
      <w:r w:rsidR="00EF5ACF">
        <w:t xml:space="preserve">Australian Human Rights Commission, </w:t>
      </w:r>
      <w:r w:rsidR="00761844">
        <w:rPr>
          <w:i/>
          <w:iCs/>
        </w:rPr>
        <w:t xml:space="preserve">Willing to Work: National Inquiry into Employment Discrimination Against Older Australians and Australians with Disability </w:t>
      </w:r>
      <w:r w:rsidR="00761844">
        <w:t xml:space="preserve">(Final Report, </w:t>
      </w:r>
      <w:r w:rsidR="002319FC">
        <w:t>May 2016) &lt;</w:t>
      </w:r>
      <w:hyperlink r:id="rId1" w:history="1">
        <w:r w:rsidR="002319FC" w:rsidRPr="004466D0">
          <w:rPr>
            <w:rStyle w:val="Hyperlink"/>
          </w:rPr>
          <w:t>https://humanrights.gov.au/our-work/disability-rights/publications/willing-work-national-inquiry-employment-discrimination</w:t>
        </w:r>
      </w:hyperlink>
      <w:r w:rsidR="002319FC">
        <w:t xml:space="preserve">&gt;; </w:t>
      </w:r>
      <w:r w:rsidR="00605E22" w:rsidRPr="00FB5A7A">
        <w:t xml:space="preserve">Australian Human Rights Commission submission to the Special Rapporteur on Contemporary Forms of Slavery, Tomoya Obokata, </w:t>
      </w:r>
      <w:r w:rsidR="00605E22" w:rsidRPr="00FB5A7A">
        <w:rPr>
          <w:i/>
          <w:iCs/>
        </w:rPr>
        <w:t xml:space="preserve">Call for input on country visit to Australia </w:t>
      </w:r>
      <w:r w:rsidR="00605E22" w:rsidRPr="00FB5A7A">
        <w:t xml:space="preserve">(15 July 2024) </w:t>
      </w:r>
      <w:r w:rsidR="00956EAC" w:rsidRPr="00FB5A7A">
        <w:t xml:space="preserve">8-9 </w:t>
      </w:r>
      <w:r w:rsidR="004F5215" w:rsidRPr="00FB5A7A">
        <w:t>[28]-[41]</w:t>
      </w:r>
      <w:r w:rsidR="00114B64" w:rsidRPr="00FB5A7A">
        <w:t xml:space="preserve"> &lt; https://humanrights.gov.au/our-work/legal/submission/call-input-country-visit-australia&gt;</w:t>
      </w:r>
      <w:r w:rsidR="004F5215" w:rsidRPr="00FB5A7A">
        <w:t>;</w:t>
      </w:r>
      <w:r w:rsidR="004F5215">
        <w:t xml:space="preserve"> </w:t>
      </w:r>
      <w:r w:rsidR="00AB4396">
        <w:t>Australian Human Rights Commission</w:t>
      </w:r>
      <w:r w:rsidR="00230336">
        <w:t xml:space="preserve">, </w:t>
      </w:r>
      <w:r w:rsidR="008D3670">
        <w:t>sub</w:t>
      </w:r>
      <w:r w:rsidR="00CC213A">
        <w:t xml:space="preserve">mission to the </w:t>
      </w:r>
      <w:r w:rsidR="00CC213A" w:rsidRPr="00CC213A">
        <w:t>Royal Commission into Violence, Abuse, Neglect and Exploitation of People with Disability</w:t>
      </w:r>
      <w:r w:rsidR="00CC213A">
        <w:t xml:space="preserve">, </w:t>
      </w:r>
      <w:r w:rsidR="00CC213A">
        <w:rPr>
          <w:i/>
          <w:iCs/>
        </w:rPr>
        <w:t>Employment Issues Paper</w:t>
      </w:r>
      <w:r w:rsidR="00CC213A">
        <w:t xml:space="preserve"> (</w:t>
      </w:r>
      <w:r w:rsidR="003202B8">
        <w:t>24 September 2020) &lt;</w:t>
      </w:r>
      <w:r w:rsidR="003202B8" w:rsidRPr="003202B8">
        <w:t xml:space="preserve"> </w:t>
      </w:r>
      <w:hyperlink r:id="rId2" w:history="1">
        <w:r w:rsidR="003202B8" w:rsidRPr="0061502C">
          <w:rPr>
            <w:rStyle w:val="Hyperlink"/>
          </w:rPr>
          <w:t>https://humanrights.gov.au/our-work/legal/submission/people-disability-and-employment-2020</w:t>
        </w:r>
      </w:hyperlink>
      <w:r w:rsidR="003202B8">
        <w:t xml:space="preserve">&gt;; </w:t>
      </w:r>
      <w:r w:rsidR="00565354" w:rsidRPr="00565354">
        <w:t xml:space="preserve">Australian Human Rights Commission submission to the United Nations Committee on the Rights of Persons with Disabilities, </w:t>
      </w:r>
      <w:r w:rsidR="00565354" w:rsidRPr="00565354">
        <w:rPr>
          <w:i/>
          <w:iCs/>
        </w:rPr>
        <w:t xml:space="preserve">Combined Second and Third Periodic review of Australia </w:t>
      </w:r>
      <w:r w:rsidR="00565354" w:rsidRPr="00565354">
        <w:t>(25 July 2019)</w:t>
      </w:r>
      <w:r w:rsidR="00565354">
        <w:t xml:space="preserve"> </w:t>
      </w:r>
      <w:r w:rsidR="004118E1" w:rsidRPr="004118E1">
        <w:t>[106]-[111</w:t>
      </w:r>
      <w:r w:rsidR="004118E1">
        <w:t>]</w:t>
      </w:r>
      <w:r w:rsidR="000F0D3D">
        <w:t xml:space="preserve"> &lt;</w:t>
      </w:r>
      <w:r w:rsidR="000F0D3D" w:rsidRPr="000F0D3D">
        <w:t xml:space="preserve"> </w:t>
      </w:r>
      <w:hyperlink r:id="rId3" w:history="1">
        <w:r w:rsidR="000F0D3D" w:rsidRPr="00502C05">
          <w:rPr>
            <w:rStyle w:val="Hyperlink"/>
          </w:rPr>
          <w:t>https://humanrights.gov.au/sites/default/files/int_crpd_nhs_aus_35594_e.pdf</w:t>
        </w:r>
      </w:hyperlink>
      <w:r w:rsidR="000F0D3D">
        <w:t xml:space="preserve">&gt;. </w:t>
      </w:r>
    </w:p>
  </w:endnote>
  <w:endnote w:id="8">
    <w:p w14:paraId="70383958" w14:textId="1E39A51A" w:rsidR="00491931" w:rsidRDefault="00491931" w:rsidP="00491931">
      <w:pPr>
        <w:pStyle w:val="EndnoteText"/>
      </w:pPr>
      <w:r>
        <w:rPr>
          <w:rStyle w:val="EndnoteReference"/>
        </w:rPr>
        <w:endnoteRef/>
      </w:r>
      <w:r>
        <w:t xml:space="preserve"> See </w:t>
      </w:r>
      <w:r w:rsidR="007C6CDF" w:rsidRPr="007C6CDF">
        <w:t xml:space="preserve">United Nations Committee on the Rights of Persons with Disabilities, </w:t>
      </w:r>
      <w:r w:rsidR="007C6CDF" w:rsidRPr="007C6CDF">
        <w:rPr>
          <w:i/>
          <w:iCs/>
        </w:rPr>
        <w:t>General Comment No 8 (2022) on the right of persons with disabilities to work and employment,</w:t>
      </w:r>
      <w:r w:rsidR="007C6CDF" w:rsidRPr="007C6CDF">
        <w:t xml:space="preserve"> UN Doc CRPD/C/GC/8 (7 October 2022)</w:t>
      </w:r>
      <w:r w:rsidR="007C6CDF" w:rsidRPr="007C6CDF">
        <w:rPr>
          <w:i/>
          <w:iCs/>
        </w:rPr>
        <w:t xml:space="preserve"> </w:t>
      </w:r>
      <w:r w:rsidR="007C6CDF" w:rsidRPr="007C6CDF">
        <w:t>[64(b)] (‘</w:t>
      </w:r>
      <w:r w:rsidR="007C6CDF" w:rsidRPr="007C6CDF">
        <w:rPr>
          <w:i/>
          <w:iCs/>
        </w:rPr>
        <w:t>CRPD General Comment No. 8</w:t>
      </w:r>
      <w:r w:rsidR="007C6CDF" w:rsidRPr="007C6CDF">
        <w:t>’).</w:t>
      </w:r>
    </w:p>
  </w:endnote>
  <w:endnote w:id="9">
    <w:p w14:paraId="37FCE1F3" w14:textId="0B2ACB8B" w:rsidR="00491931" w:rsidRDefault="00491931" w:rsidP="00491931">
      <w:pPr>
        <w:pStyle w:val="EndnoteText"/>
      </w:pPr>
      <w:r>
        <w:rPr>
          <w:rStyle w:val="EndnoteReference"/>
        </w:rPr>
        <w:endnoteRef/>
      </w:r>
      <w:r>
        <w:t xml:space="preserve"> Ibid [64(a)].</w:t>
      </w:r>
    </w:p>
  </w:endnote>
  <w:endnote w:id="10">
    <w:p w14:paraId="227D5FDE" w14:textId="236DA53C" w:rsidR="00960397" w:rsidRDefault="00960397" w:rsidP="00960397">
      <w:pPr>
        <w:pStyle w:val="EndnoteText"/>
      </w:pPr>
      <w:r>
        <w:rPr>
          <w:rStyle w:val="EndnoteReference"/>
        </w:rPr>
        <w:endnoteRef/>
      </w:r>
      <w:r>
        <w:t xml:space="preserve"> </w:t>
      </w:r>
      <w:r w:rsidRPr="000D2E2F">
        <w:t>The right to work guarantees all people the opportunity to earn a living through freely chosen work, free from discrimination, and with access to just and favourable working conditions, including equal pay for equal work</w:t>
      </w:r>
      <w:r w:rsidR="004118E1">
        <w:t xml:space="preserve">: </w:t>
      </w:r>
      <w:r w:rsidR="00686036">
        <w:t xml:space="preserve">See </w:t>
      </w:r>
      <w:r w:rsidR="00686036" w:rsidRPr="00686036">
        <w:rPr>
          <w:i/>
          <w:iCs/>
        </w:rPr>
        <w:t xml:space="preserve">Universal Declaration of Human Rights, </w:t>
      </w:r>
      <w:r w:rsidR="00686036" w:rsidRPr="00686036">
        <w:t>GA Res 217A (III), UN GAOR, UN Doc A/810 (10 December 1948)</w:t>
      </w:r>
      <w:r>
        <w:rPr>
          <w:i/>
          <w:iCs/>
        </w:rPr>
        <w:t xml:space="preserve"> </w:t>
      </w:r>
      <w:r>
        <w:t xml:space="preserve">arts 23 and 24; </w:t>
      </w:r>
      <w:r w:rsidR="00686036">
        <w:rPr>
          <w:i/>
          <w:iCs/>
        </w:rPr>
        <w:t>I</w:t>
      </w:r>
      <w:r w:rsidR="00686036" w:rsidRPr="00686036">
        <w:rPr>
          <w:i/>
          <w:iCs/>
        </w:rPr>
        <w:t xml:space="preserve">nternational Covenant on Economic, Social and Cultural Rights, </w:t>
      </w:r>
      <w:r w:rsidR="00686036" w:rsidRPr="00686036">
        <w:t>opened for signature 16 December 1966, GA RES 2200A (XXI) (entered into force 3 January 1976)</w:t>
      </w:r>
      <w:r w:rsidR="00686036">
        <w:t xml:space="preserve"> </w:t>
      </w:r>
      <w:r>
        <w:t xml:space="preserve">arts 6, 7 and 8(1); and the </w:t>
      </w:r>
      <w:r w:rsidR="00AB0FC5" w:rsidRPr="00AB0FC5">
        <w:rPr>
          <w:i/>
          <w:iCs/>
        </w:rPr>
        <w:t xml:space="preserve">United Nations International Covenant on Civil and Political Rights, </w:t>
      </w:r>
      <w:r w:rsidR="00AB0FC5" w:rsidRPr="00AB0FC5">
        <w:t>GA 2200A (XXI) (23 March 1976, adopted 16 December 1966)</w:t>
      </w:r>
      <w:r w:rsidR="00AB0FC5" w:rsidRPr="00AB0FC5">
        <w:rPr>
          <w:i/>
          <w:iCs/>
        </w:rPr>
        <w:t xml:space="preserve"> </w:t>
      </w:r>
      <w:r>
        <w:t xml:space="preserve">arts 8 and 22. </w:t>
      </w:r>
    </w:p>
  </w:endnote>
  <w:endnote w:id="11">
    <w:p w14:paraId="70DDA22D" w14:textId="7C6DFF2E" w:rsidR="00AB0FC5" w:rsidRPr="00156ED9" w:rsidRDefault="00AB0FC5">
      <w:pPr>
        <w:pStyle w:val="EndnoteText"/>
      </w:pPr>
      <w:r>
        <w:rPr>
          <w:rStyle w:val="EndnoteReference"/>
        </w:rPr>
        <w:endnoteRef/>
      </w:r>
      <w:r>
        <w:t xml:space="preserve"> </w:t>
      </w:r>
      <w:r w:rsidR="00662648" w:rsidRPr="00662648">
        <w:rPr>
          <w:i/>
          <w:iCs/>
        </w:rPr>
        <w:t>United Nations Convention on the Rights of Persons with Disabilities</w:t>
      </w:r>
      <w:r w:rsidR="00662648" w:rsidRPr="00662648">
        <w:t>, opened for signature 30 March 2007, 2515 UNTS 3 (entered into force 3 May 2008)</w:t>
      </w:r>
      <w:r w:rsidR="00662648">
        <w:t xml:space="preserve"> art 3(b), art 5</w:t>
      </w:r>
      <w:r w:rsidR="00156ED9">
        <w:t xml:space="preserve"> (‘</w:t>
      </w:r>
      <w:r w:rsidR="00156ED9">
        <w:rPr>
          <w:i/>
          <w:iCs/>
        </w:rPr>
        <w:t>CRPD</w:t>
      </w:r>
      <w:r w:rsidR="00156ED9">
        <w:t xml:space="preserve">’). </w:t>
      </w:r>
    </w:p>
  </w:endnote>
  <w:endnote w:id="12">
    <w:p w14:paraId="3ED39A72" w14:textId="3AD7F467" w:rsidR="00960397" w:rsidRPr="00156ED9" w:rsidRDefault="00960397" w:rsidP="00960397">
      <w:pPr>
        <w:pStyle w:val="EndnoteText"/>
        <w:rPr>
          <w:b/>
          <w:bCs/>
          <w:highlight w:val="yellow"/>
        </w:rPr>
      </w:pPr>
      <w:r>
        <w:rPr>
          <w:rStyle w:val="EndnoteReference"/>
        </w:rPr>
        <w:endnoteRef/>
      </w:r>
      <w:r>
        <w:t xml:space="preserve"> </w:t>
      </w:r>
      <w:r w:rsidR="00156ED9" w:rsidRPr="00156ED9">
        <w:t>Ibid</w:t>
      </w:r>
      <w:r w:rsidRPr="00156ED9">
        <w:t xml:space="preserve"> art 27.</w:t>
      </w:r>
    </w:p>
  </w:endnote>
  <w:endnote w:id="13">
    <w:p w14:paraId="0220CAFD" w14:textId="34D253F5" w:rsidR="00703E9E" w:rsidRPr="002D7ECF" w:rsidRDefault="00703E9E" w:rsidP="00703E9E">
      <w:pPr>
        <w:pStyle w:val="EndnoteText"/>
      </w:pPr>
      <w:r w:rsidRPr="003074C1">
        <w:rPr>
          <w:rStyle w:val="EndnoteReference"/>
        </w:rPr>
        <w:endnoteRef/>
      </w:r>
      <w:r w:rsidRPr="003074C1">
        <w:t xml:space="preserve"> </w:t>
      </w:r>
      <w:r w:rsidR="002D7ECF" w:rsidRPr="003074C1">
        <w:rPr>
          <w:i/>
          <w:iCs/>
        </w:rPr>
        <w:t>CRPD General Comment No</w:t>
      </w:r>
      <w:r w:rsidR="00393579" w:rsidRPr="003074C1">
        <w:rPr>
          <w:i/>
          <w:iCs/>
        </w:rPr>
        <w:t>.</w:t>
      </w:r>
      <w:r w:rsidR="002D7ECF" w:rsidRPr="003074C1">
        <w:rPr>
          <w:i/>
          <w:iCs/>
        </w:rPr>
        <w:t xml:space="preserve"> 8</w:t>
      </w:r>
      <w:r w:rsidR="003074C1" w:rsidRPr="003074C1">
        <w:t xml:space="preserve"> (n 8) [64(b)]</w:t>
      </w:r>
    </w:p>
  </w:endnote>
  <w:endnote w:id="14">
    <w:p w14:paraId="3F180515" w14:textId="57BA5991" w:rsidR="00703E9E" w:rsidRPr="007F4983" w:rsidRDefault="00703E9E" w:rsidP="00703E9E">
      <w:pPr>
        <w:pStyle w:val="EndnoteText"/>
        <w:rPr>
          <w:b/>
          <w:bCs/>
        </w:rPr>
      </w:pPr>
      <w:r>
        <w:rPr>
          <w:rStyle w:val="EndnoteReference"/>
        </w:rPr>
        <w:endnoteRef/>
      </w:r>
      <w:r>
        <w:t xml:space="preserve"> </w:t>
      </w:r>
      <w:r w:rsidR="007F4983">
        <w:t xml:space="preserve">Ibid </w:t>
      </w:r>
      <w:r>
        <w:t>[19]</w:t>
      </w:r>
      <w:r w:rsidR="007F4983">
        <w:t xml:space="preserve"> </w:t>
      </w:r>
    </w:p>
  </w:endnote>
  <w:endnote w:id="15">
    <w:p w14:paraId="1787C0D0" w14:textId="3EABB0BA" w:rsidR="00703E9E" w:rsidRPr="007F4983" w:rsidRDefault="00703E9E" w:rsidP="00703E9E">
      <w:pPr>
        <w:pStyle w:val="EndnoteText"/>
      </w:pPr>
      <w:r>
        <w:rPr>
          <w:rStyle w:val="EndnoteReference"/>
        </w:rPr>
        <w:endnoteRef/>
      </w:r>
      <w:r>
        <w:t xml:space="preserve"> </w:t>
      </w:r>
      <w:r w:rsidR="007F4983">
        <w:t>Ibid</w:t>
      </w:r>
      <w:r>
        <w:t xml:space="preserve"> [74]</w:t>
      </w:r>
      <w:r w:rsidR="007F4983">
        <w:t xml:space="preserve">; See </w:t>
      </w:r>
      <w:r w:rsidR="00236027">
        <w:t>generally</w:t>
      </w:r>
      <w:r w:rsidR="007F4983">
        <w:t xml:space="preserve"> </w:t>
      </w:r>
      <w:r w:rsidR="007F4983">
        <w:rPr>
          <w:i/>
          <w:iCs/>
        </w:rPr>
        <w:t xml:space="preserve">CPRD </w:t>
      </w:r>
      <w:r w:rsidR="00236027">
        <w:t>(</w:t>
      </w:r>
      <w:r w:rsidR="007F4983">
        <w:t xml:space="preserve">n </w:t>
      </w:r>
      <w:r w:rsidR="0095178E">
        <w:t>11</w:t>
      </w:r>
      <w:r w:rsidR="00236027">
        <w:t xml:space="preserve">) art 19(b). </w:t>
      </w:r>
    </w:p>
  </w:endnote>
  <w:endnote w:id="16">
    <w:p w14:paraId="4DFCAF4C" w14:textId="61273E21" w:rsidR="00703E9E" w:rsidRDefault="00703E9E" w:rsidP="00703E9E">
      <w:pPr>
        <w:pStyle w:val="EndnoteText"/>
      </w:pPr>
      <w:r>
        <w:rPr>
          <w:rStyle w:val="EndnoteReference"/>
        </w:rPr>
        <w:endnoteRef/>
      </w:r>
      <w:r>
        <w:t xml:space="preserve"> </w:t>
      </w:r>
      <w:r w:rsidR="00A52249" w:rsidRPr="00A52249">
        <w:rPr>
          <w:i/>
          <w:iCs/>
        </w:rPr>
        <w:t xml:space="preserve">CRPD </w:t>
      </w:r>
      <w:r w:rsidRPr="00A52249">
        <w:rPr>
          <w:i/>
          <w:iCs/>
        </w:rPr>
        <w:t xml:space="preserve">General Comment </w:t>
      </w:r>
      <w:r w:rsidR="00393579">
        <w:rPr>
          <w:i/>
          <w:iCs/>
        </w:rPr>
        <w:t xml:space="preserve">No. </w:t>
      </w:r>
      <w:r w:rsidRPr="00A52249">
        <w:rPr>
          <w:i/>
          <w:iCs/>
        </w:rPr>
        <w:t>8</w:t>
      </w:r>
      <w:r>
        <w:t xml:space="preserve"> </w:t>
      </w:r>
      <w:r w:rsidR="00A52249">
        <w:t xml:space="preserve">(n </w:t>
      </w:r>
      <w:r w:rsidR="0095178E">
        <w:t>8</w:t>
      </w:r>
      <w:r w:rsidR="00A52249">
        <w:t xml:space="preserve">) </w:t>
      </w:r>
      <w:r>
        <w:t>[12], [15]</w:t>
      </w:r>
      <w:r w:rsidR="00EB3174">
        <w:t>; See also United Nations</w:t>
      </w:r>
      <w:r w:rsidR="00EB3174" w:rsidRPr="00EB3174">
        <w:t xml:space="preserve"> Committee</w:t>
      </w:r>
      <w:r w:rsidR="00EB3174">
        <w:t xml:space="preserve"> on Economic, Social</w:t>
      </w:r>
      <w:r w:rsidR="005C0DBE">
        <w:t xml:space="preserve"> and Cultural Rights</w:t>
      </w:r>
      <w:r w:rsidR="00EB3174" w:rsidRPr="00EB3174">
        <w:t xml:space="preserve">, </w:t>
      </w:r>
      <w:r w:rsidR="00EB3174" w:rsidRPr="005C0DBE">
        <w:rPr>
          <w:i/>
          <w:iCs/>
        </w:rPr>
        <w:t>General Comment No. 5: Persons with disabilities</w:t>
      </w:r>
      <w:r w:rsidR="00EB3174" w:rsidRPr="00EB3174">
        <w:t>, UN Doc E/1995/22 (9 December 1994) [21].</w:t>
      </w:r>
    </w:p>
  </w:endnote>
  <w:endnote w:id="17">
    <w:p w14:paraId="71DDD83D" w14:textId="3468E654" w:rsidR="00703E9E" w:rsidRDefault="00703E9E" w:rsidP="00703E9E">
      <w:pPr>
        <w:pStyle w:val="EndnoteText"/>
      </w:pPr>
      <w:r>
        <w:rPr>
          <w:rStyle w:val="EndnoteReference"/>
        </w:rPr>
        <w:endnoteRef/>
      </w:r>
      <w:r>
        <w:t xml:space="preserve"> </w:t>
      </w:r>
      <w:r w:rsidR="00332D57" w:rsidRPr="00A52249">
        <w:rPr>
          <w:i/>
          <w:iCs/>
        </w:rPr>
        <w:t xml:space="preserve">CRPD General Comment </w:t>
      </w:r>
      <w:r w:rsidR="00393579">
        <w:rPr>
          <w:i/>
          <w:iCs/>
        </w:rPr>
        <w:t xml:space="preserve">No. </w:t>
      </w:r>
      <w:r w:rsidR="00332D57" w:rsidRPr="00A52249">
        <w:rPr>
          <w:i/>
          <w:iCs/>
        </w:rPr>
        <w:t>8</w:t>
      </w:r>
      <w:r w:rsidR="00332D57">
        <w:t xml:space="preserve"> (n </w:t>
      </w:r>
      <w:r w:rsidR="0095178E">
        <w:t>8</w:t>
      </w:r>
      <w:r w:rsidR="00332D57">
        <w:t>)</w:t>
      </w:r>
      <w:r>
        <w:t xml:space="preserve"> [53</w:t>
      </w:r>
      <w:r w:rsidR="00A52249">
        <w:t>]</w:t>
      </w:r>
      <w:r w:rsidR="00332D57">
        <w:t xml:space="preserve">. </w:t>
      </w:r>
    </w:p>
  </w:endnote>
  <w:endnote w:id="18">
    <w:p w14:paraId="66BD8FFF" w14:textId="6A2EB8E8" w:rsidR="00703E9E" w:rsidRPr="00F06623" w:rsidRDefault="00703E9E" w:rsidP="00F06623">
      <w:pPr>
        <w:pStyle w:val="EndnoteText"/>
        <w:rPr>
          <w:i/>
          <w:iCs/>
        </w:rPr>
      </w:pPr>
      <w:r>
        <w:rPr>
          <w:rStyle w:val="EndnoteReference"/>
        </w:rPr>
        <w:endnoteRef/>
      </w:r>
      <w:r>
        <w:t xml:space="preserve"> </w:t>
      </w:r>
      <w:r w:rsidR="00332D57">
        <w:t xml:space="preserve">Ibid </w:t>
      </w:r>
      <w:r>
        <w:t>[26]</w:t>
      </w:r>
      <w:r w:rsidR="0095178E">
        <w:t xml:space="preserve">; </w:t>
      </w:r>
      <w:r w:rsidR="00332D57">
        <w:t>The United Nations Committee on Economic, Social and Cultural Rights</w:t>
      </w:r>
      <w:r w:rsidR="00725CED">
        <w:t xml:space="preserve"> has</w:t>
      </w:r>
      <w:r w:rsidR="000A3304">
        <w:t xml:space="preserve"> </w:t>
      </w:r>
      <w:r w:rsidR="00725CED">
        <w:t xml:space="preserve">also </w:t>
      </w:r>
      <w:r w:rsidR="00725CED" w:rsidRPr="00725CED">
        <w:t>commented that persons with disability ‘must not suffer wage discrimination due to a perceived reduced capacity of work’</w:t>
      </w:r>
      <w:r w:rsidR="00553B97">
        <w:t xml:space="preserve">: </w:t>
      </w:r>
      <w:r w:rsidR="00F06623">
        <w:t>United Nations</w:t>
      </w:r>
      <w:r w:rsidR="00F06623" w:rsidRPr="00EB3174">
        <w:t xml:space="preserve"> Committee</w:t>
      </w:r>
      <w:r w:rsidR="00F06623">
        <w:t xml:space="preserve"> on Economic, Social and Cultural Rights</w:t>
      </w:r>
      <w:r w:rsidR="00F06623" w:rsidRPr="00EB3174">
        <w:t>,</w:t>
      </w:r>
      <w:r w:rsidR="00F06623">
        <w:t xml:space="preserve"> </w:t>
      </w:r>
      <w:r w:rsidR="00F06623" w:rsidRPr="00F06623">
        <w:rPr>
          <w:i/>
          <w:iCs/>
        </w:rPr>
        <w:t>General Comment No. 23 (2016) on the right to just and favourable conditions of work</w:t>
      </w:r>
      <w:r w:rsidR="00F06623">
        <w:t>, UN Doc E/C.12/GC/23 (27 April 2016) [47(c)]</w:t>
      </w:r>
      <w:r w:rsidR="00885FE8">
        <w:t xml:space="preserve">; See also, for example, </w:t>
      </w:r>
      <w:r w:rsidR="00553B97" w:rsidRPr="00553B97">
        <w:t xml:space="preserve">CRPD Committee, </w:t>
      </w:r>
      <w:r w:rsidR="00553B97" w:rsidRPr="00553B97">
        <w:rPr>
          <w:i/>
          <w:iCs/>
        </w:rPr>
        <w:t>Concluding Observations on initial report of New Zealand</w:t>
      </w:r>
      <w:r w:rsidR="00553B97" w:rsidRPr="00553B97">
        <w:t>, UN Doc CRPD/C/NZL/CO/1 (31 October 2014) [57]-[58]</w:t>
      </w:r>
      <w:r w:rsidR="00553B97">
        <w:t xml:space="preserve">; </w:t>
      </w:r>
      <w:r w:rsidR="00553B97" w:rsidRPr="00553B97">
        <w:t>See also Ilias Bantekas et al</w:t>
      </w:r>
      <w:r w:rsidR="00553B97">
        <w:t>,</w:t>
      </w:r>
      <w:r w:rsidR="00553B97" w:rsidRPr="00553B97">
        <w:t xml:space="preserve"> </w:t>
      </w:r>
      <w:r w:rsidR="00553B97" w:rsidRPr="00553B97">
        <w:rPr>
          <w:i/>
          <w:iCs/>
        </w:rPr>
        <w:t xml:space="preserve">The UN Convention on the Rights of Persons with Disabilities: A Commentary </w:t>
      </w:r>
      <w:r w:rsidR="00553B97" w:rsidRPr="00553B97">
        <w:t>(Oxford University Press, 2018) 778.</w:t>
      </w:r>
    </w:p>
  </w:endnote>
  <w:endnote w:id="19">
    <w:p w14:paraId="114A22F3" w14:textId="05E94899" w:rsidR="00703E9E" w:rsidRDefault="00703E9E" w:rsidP="00703E9E">
      <w:pPr>
        <w:pStyle w:val="EndnoteText"/>
      </w:pPr>
      <w:r>
        <w:rPr>
          <w:rStyle w:val="EndnoteReference"/>
        </w:rPr>
        <w:endnoteRef/>
      </w:r>
      <w:r>
        <w:t xml:space="preserve"> </w:t>
      </w:r>
      <w:r w:rsidR="00393579" w:rsidRPr="00A52249">
        <w:rPr>
          <w:i/>
          <w:iCs/>
        </w:rPr>
        <w:t xml:space="preserve">CRPD General Comment </w:t>
      </w:r>
      <w:r w:rsidR="00393579">
        <w:rPr>
          <w:i/>
          <w:iCs/>
        </w:rPr>
        <w:t xml:space="preserve">No. </w:t>
      </w:r>
      <w:r w:rsidR="00393579" w:rsidRPr="00A52249">
        <w:rPr>
          <w:i/>
          <w:iCs/>
        </w:rPr>
        <w:t>8</w:t>
      </w:r>
      <w:r w:rsidR="00393579">
        <w:t xml:space="preserve"> (n </w:t>
      </w:r>
      <w:r w:rsidR="00140675">
        <w:t>8</w:t>
      </w:r>
      <w:r w:rsidR="00393579">
        <w:t xml:space="preserve">) </w:t>
      </w:r>
      <w:r>
        <w:t>[28]</w:t>
      </w:r>
      <w:r w:rsidR="00956EAC">
        <w:t>.</w:t>
      </w:r>
    </w:p>
  </w:endnote>
  <w:endnote w:id="20">
    <w:p w14:paraId="642B7AAC" w14:textId="77777777" w:rsidR="00703E9E" w:rsidRDefault="00703E9E" w:rsidP="00703E9E">
      <w:pPr>
        <w:pStyle w:val="EndnoteText"/>
      </w:pPr>
      <w:r>
        <w:rPr>
          <w:rStyle w:val="EndnoteReference"/>
        </w:rPr>
        <w:endnoteRef/>
      </w:r>
      <w:r>
        <w:t xml:space="preserve"> </w:t>
      </w:r>
      <w:r w:rsidRPr="000D3716">
        <w:rPr>
          <w:i/>
          <w:iCs/>
        </w:rPr>
        <w:t>Groninger et al v Germany</w:t>
      </w:r>
      <w:r w:rsidRPr="00DB3A78">
        <w:t>, Communication No. 002/2010, UN Doc CRPD/C/D/2/2010 (7 July 2014) [6.2].</w:t>
      </w:r>
    </w:p>
  </w:endnote>
  <w:endnote w:id="21">
    <w:p w14:paraId="5A25261A" w14:textId="73AF9CCA" w:rsidR="00D0115C" w:rsidRPr="00655F34" w:rsidRDefault="00D0115C" w:rsidP="00D0115C">
      <w:pPr>
        <w:pStyle w:val="EndnoteText"/>
        <w:rPr>
          <w:b/>
          <w:bCs/>
        </w:rPr>
      </w:pPr>
      <w:r>
        <w:rPr>
          <w:rStyle w:val="EndnoteReference"/>
        </w:rPr>
        <w:endnoteRef/>
      </w:r>
      <w:r>
        <w:t xml:space="preserve"> </w:t>
      </w:r>
      <w:r w:rsidR="00F14922" w:rsidRPr="00A52249">
        <w:rPr>
          <w:i/>
          <w:iCs/>
        </w:rPr>
        <w:t xml:space="preserve">CRPD General Comment </w:t>
      </w:r>
      <w:r w:rsidR="00F14922">
        <w:rPr>
          <w:i/>
          <w:iCs/>
        </w:rPr>
        <w:t xml:space="preserve">No. </w:t>
      </w:r>
      <w:r w:rsidR="00F14922" w:rsidRPr="00A52249">
        <w:rPr>
          <w:i/>
          <w:iCs/>
        </w:rPr>
        <w:t>8</w:t>
      </w:r>
      <w:r w:rsidR="00F14922">
        <w:t xml:space="preserve"> (n </w:t>
      </w:r>
      <w:r w:rsidR="00140675">
        <w:t>8</w:t>
      </w:r>
      <w:r w:rsidR="00F14922">
        <w:t xml:space="preserve">) </w:t>
      </w:r>
      <w:r>
        <w:t xml:space="preserve">[63(a)]. </w:t>
      </w:r>
    </w:p>
  </w:endnote>
  <w:endnote w:id="22">
    <w:p w14:paraId="730E13BD" w14:textId="0496E200" w:rsidR="00703E9E" w:rsidRDefault="00703E9E" w:rsidP="00703E9E">
      <w:pPr>
        <w:pStyle w:val="EndnoteText"/>
      </w:pPr>
      <w:r>
        <w:rPr>
          <w:rStyle w:val="EndnoteReference"/>
        </w:rPr>
        <w:endnoteRef/>
      </w:r>
      <w:r>
        <w:t xml:space="preserve"> </w:t>
      </w:r>
      <w:r w:rsidR="00F14922">
        <w:t>Ibid</w:t>
      </w:r>
      <w:r w:rsidR="0010436A">
        <w:t xml:space="preserve"> </w:t>
      </w:r>
      <w:r>
        <w:t>[82].</w:t>
      </w:r>
    </w:p>
  </w:endnote>
  <w:endnote w:id="23">
    <w:p w14:paraId="150979AF" w14:textId="5D819287" w:rsidR="00730328" w:rsidRDefault="00730328" w:rsidP="00AC32EE">
      <w:pPr>
        <w:pStyle w:val="EndnoteText"/>
      </w:pPr>
      <w:r>
        <w:rPr>
          <w:rStyle w:val="EndnoteReference"/>
        </w:rPr>
        <w:endnoteRef/>
      </w:r>
      <w:r w:rsidR="00CE4E0A">
        <w:t xml:space="preserve"> </w:t>
      </w:r>
      <w:r w:rsidR="0047383C">
        <w:t>T</w:t>
      </w:r>
      <w:r w:rsidR="00191AB7">
        <w:t xml:space="preserve">he labour force participation rate of people with disability aged 15-64 years </w:t>
      </w:r>
      <w:r w:rsidR="0026597E">
        <w:t>has only seen an increase of</w:t>
      </w:r>
      <w:r w:rsidR="006C19B5">
        <w:t xml:space="preserve"> 5.6% between 1993 and </w:t>
      </w:r>
      <w:r w:rsidR="005233B7">
        <w:t>2022 and</w:t>
      </w:r>
      <w:r w:rsidR="000F784F">
        <w:t xml:space="preserve"> remains significantly lower than that of people without disability (60.5% and 8</w:t>
      </w:r>
      <w:r w:rsidR="00C77D3A">
        <w:t xml:space="preserve">4.9% respectively). </w:t>
      </w:r>
      <w:r w:rsidR="00DC579E">
        <w:t xml:space="preserve">Latest data </w:t>
      </w:r>
      <w:r w:rsidR="00EA78B1">
        <w:t>indicates</w:t>
      </w:r>
      <w:r w:rsidR="00DC579E">
        <w:t xml:space="preserve"> that t</w:t>
      </w:r>
      <w:r w:rsidR="005233B7">
        <w:t xml:space="preserve">he employment rate of people with disability </w:t>
      </w:r>
      <w:r w:rsidR="00DC579E">
        <w:t xml:space="preserve">aged 15-64 years </w:t>
      </w:r>
      <w:r w:rsidR="005233B7">
        <w:t xml:space="preserve">is 56.1% compared to </w:t>
      </w:r>
      <w:r w:rsidR="00DC579E">
        <w:t xml:space="preserve">82.3% of people without disability: </w:t>
      </w:r>
      <w:r w:rsidR="0023674F">
        <w:t>Australian Bureau of Statistics</w:t>
      </w:r>
      <w:r w:rsidR="004678EE">
        <w:t xml:space="preserve">, </w:t>
      </w:r>
      <w:r w:rsidR="004678EE">
        <w:rPr>
          <w:i/>
          <w:iCs/>
        </w:rPr>
        <w:t xml:space="preserve">Disability and Labour Force Participation, 2012 </w:t>
      </w:r>
      <w:r w:rsidR="004678EE">
        <w:t>(Cat</w:t>
      </w:r>
      <w:r w:rsidR="00580981">
        <w:t xml:space="preserve">alogue No </w:t>
      </w:r>
      <w:r w:rsidR="00580981" w:rsidRPr="00580981">
        <w:t>4433.0.55.006</w:t>
      </w:r>
      <w:r w:rsidR="00580981">
        <w:t xml:space="preserve">, 5 February 2015) </w:t>
      </w:r>
      <w:r w:rsidR="00B31F88">
        <w:t>&lt;</w:t>
      </w:r>
      <w:r w:rsidR="00B31F88" w:rsidRPr="00B31F88">
        <w:t xml:space="preserve"> </w:t>
      </w:r>
      <w:hyperlink r:id="rId4" w:history="1">
        <w:r w:rsidR="00B31F88" w:rsidRPr="004466D0">
          <w:rPr>
            <w:rStyle w:val="Hyperlink"/>
          </w:rPr>
          <w:t>https://www.abs.gov.au/ausstats/abs@.nsf/mf/4433.0.55.006</w:t>
        </w:r>
      </w:hyperlink>
      <w:r w:rsidR="00B31F88">
        <w:t>&gt;</w:t>
      </w:r>
      <w:r w:rsidR="00640749">
        <w:t>;</w:t>
      </w:r>
      <w:r w:rsidR="00B31F88">
        <w:t xml:space="preserve"> </w:t>
      </w:r>
      <w:r w:rsidR="00CA7F5A">
        <w:t xml:space="preserve">Australian Institute of Health and Welfare, ‘People with Disability in Australia’, </w:t>
      </w:r>
      <w:r w:rsidR="00CA7F5A">
        <w:rPr>
          <w:i/>
          <w:iCs/>
        </w:rPr>
        <w:t xml:space="preserve">Labour Force Participation </w:t>
      </w:r>
      <w:r w:rsidR="00CA7F5A">
        <w:t>(Web Report, 23 April 2024) &lt;</w:t>
      </w:r>
      <w:hyperlink r:id="rId5" w:history="1">
        <w:r w:rsidR="00CA7F5A" w:rsidRPr="004466D0">
          <w:rPr>
            <w:rStyle w:val="Hyperlink"/>
          </w:rPr>
          <w:t>https://www.aihw.gov.au/reports/disability/people-with-disability-in-australia/contents/employment/labour-force-participation</w:t>
        </w:r>
      </w:hyperlink>
      <w:r w:rsidR="00CA7F5A">
        <w:t xml:space="preserve">&gt;; </w:t>
      </w:r>
      <w:r w:rsidR="00580981">
        <w:t>Australian Bureau of Statistics,</w:t>
      </w:r>
      <w:r w:rsidR="00B31F88" w:rsidRPr="00B31F88">
        <w:t xml:space="preserve"> </w:t>
      </w:r>
      <w:r w:rsidR="00B31F88" w:rsidRPr="00580981">
        <w:rPr>
          <w:i/>
          <w:iCs/>
        </w:rPr>
        <w:t>Disability, Ageing and Carers, Australia</w:t>
      </w:r>
      <w:r w:rsidR="00991089">
        <w:rPr>
          <w:i/>
          <w:iCs/>
        </w:rPr>
        <w:t xml:space="preserve"> 2022</w:t>
      </w:r>
      <w:r w:rsidR="00B31F88" w:rsidRPr="00580981">
        <w:rPr>
          <w:i/>
          <w:iCs/>
        </w:rPr>
        <w:t>: Summary of Findings</w:t>
      </w:r>
      <w:r w:rsidR="00B31F88">
        <w:t xml:space="preserve"> (4 July </w:t>
      </w:r>
      <w:r w:rsidR="00642588">
        <w:t>2024)</w:t>
      </w:r>
      <w:r w:rsidR="00B31F88">
        <w:t xml:space="preserve"> </w:t>
      </w:r>
      <w:r w:rsidR="00580981">
        <w:t>&lt;</w:t>
      </w:r>
      <w:r w:rsidR="00991089" w:rsidRPr="00991089">
        <w:t>https://www.abs.gov.au/statistics/health/disability/disability-ageing-and-carers-australia-summary-findings/latest-release</w:t>
      </w:r>
      <w:r w:rsidR="00991089">
        <w:t>&gt;</w:t>
      </w:r>
      <w:r w:rsidR="00CA7F5A">
        <w:t>.</w:t>
      </w:r>
    </w:p>
  </w:endnote>
  <w:endnote w:id="24">
    <w:p w14:paraId="6D955669" w14:textId="5A5B4B7E" w:rsidR="001E2EBD" w:rsidRDefault="001E2EBD" w:rsidP="001E2EBD">
      <w:pPr>
        <w:pStyle w:val="EndnoteText"/>
      </w:pPr>
      <w:r>
        <w:rPr>
          <w:rStyle w:val="EndnoteReference"/>
        </w:rPr>
        <w:endnoteRef/>
      </w:r>
      <w:r>
        <w:t xml:space="preserve"> Ableism is the foundation of the medical and charity models of disability and leads to ‘</w:t>
      </w:r>
      <w:r w:rsidRPr="00AF69E9">
        <w:t>social prejudice, inequality and discrimination</w:t>
      </w:r>
      <w:r>
        <w:t xml:space="preserve"> against [people] with [disability]’: </w:t>
      </w:r>
      <w:r>
        <w:rPr>
          <w:i/>
          <w:iCs/>
        </w:rPr>
        <w:t xml:space="preserve">CRPD General Comment No. 8 </w:t>
      </w:r>
      <w:r>
        <w:t xml:space="preserve">(n </w:t>
      </w:r>
      <w:r w:rsidR="006334B3">
        <w:t>8</w:t>
      </w:r>
      <w:r>
        <w:t xml:space="preserve">) [3]. </w:t>
      </w:r>
    </w:p>
  </w:endnote>
  <w:endnote w:id="25">
    <w:p w14:paraId="3DE6F096" w14:textId="673E2911" w:rsidR="00D36D74" w:rsidRDefault="00D36D74" w:rsidP="00D36D74">
      <w:pPr>
        <w:pStyle w:val="EndnoteText"/>
      </w:pPr>
      <w:r>
        <w:rPr>
          <w:rStyle w:val="EndnoteReference"/>
        </w:rPr>
        <w:endnoteRef/>
      </w:r>
      <w:r>
        <w:t xml:space="preserve"> United Nations </w:t>
      </w:r>
      <w:r w:rsidRPr="008C02C6">
        <w:t xml:space="preserve">Committee on the Rights of Persons with Disabilities, </w:t>
      </w:r>
      <w:r w:rsidRPr="008C02C6">
        <w:rPr>
          <w:i/>
          <w:iCs/>
        </w:rPr>
        <w:t>Concluding observations on the combined second and third periodic reports of Australia</w:t>
      </w:r>
      <w:r w:rsidRPr="008C02C6">
        <w:t xml:space="preserve">, UN Doc CRPD/C/AUS/CO/2-3 (15 October 2019) </w:t>
      </w:r>
      <w:r>
        <w:t>[49(b)</w:t>
      </w:r>
      <w:r w:rsidR="00C34F89">
        <w:t>]-[49</w:t>
      </w:r>
      <w:r>
        <w:t>(c)].</w:t>
      </w:r>
    </w:p>
  </w:endnote>
  <w:endnote w:id="26">
    <w:p w14:paraId="5CF112E2" w14:textId="63BE72EC" w:rsidR="003661C0" w:rsidRDefault="003661C0">
      <w:pPr>
        <w:pStyle w:val="EndnoteText"/>
      </w:pPr>
      <w:r>
        <w:rPr>
          <w:rStyle w:val="EndnoteReference"/>
        </w:rPr>
        <w:endnoteRef/>
      </w:r>
      <w:r>
        <w:t xml:space="preserve"> </w:t>
      </w:r>
      <w:r w:rsidR="00E6179F">
        <w:t xml:space="preserve">United Nations </w:t>
      </w:r>
      <w:r w:rsidR="00E6179F" w:rsidRPr="008C02C6">
        <w:t xml:space="preserve">Committee on the Rights of Persons with Disabilities, </w:t>
      </w:r>
      <w:r w:rsidR="00E6179F" w:rsidRPr="008C02C6">
        <w:rPr>
          <w:i/>
          <w:iCs/>
        </w:rPr>
        <w:t>Concluding observations on the combined second and third periodic reports of Australia</w:t>
      </w:r>
      <w:r w:rsidR="00E6179F" w:rsidRPr="008C02C6">
        <w:t xml:space="preserve">, UN Doc CRPD/C/AUS/CO/2-3 (15 October 2019) </w:t>
      </w:r>
      <w:r w:rsidR="00E6179F">
        <w:t>[50(b)]</w:t>
      </w:r>
      <w:r w:rsidR="002C23E6">
        <w:t>.</w:t>
      </w:r>
    </w:p>
  </w:endnote>
  <w:endnote w:id="27">
    <w:p w14:paraId="38EF4BFD" w14:textId="5988E5B8" w:rsidR="00DD0E88" w:rsidRDefault="00DD0E88">
      <w:pPr>
        <w:pStyle w:val="EndnoteText"/>
      </w:pPr>
      <w:r>
        <w:rPr>
          <w:rStyle w:val="EndnoteReference"/>
        </w:rPr>
        <w:endnoteRef/>
      </w:r>
      <w:r>
        <w:t xml:space="preserve"> Ibid [50(c)].</w:t>
      </w:r>
    </w:p>
  </w:endnote>
  <w:endnote w:id="28">
    <w:p w14:paraId="79D09A94" w14:textId="77777777" w:rsidR="00FB514C" w:rsidRDefault="00FB514C" w:rsidP="00FB514C">
      <w:pPr>
        <w:pStyle w:val="EndnoteText"/>
      </w:pPr>
      <w:r w:rsidRPr="5E79F96D">
        <w:rPr>
          <w:rStyle w:val="EndnoteReference"/>
        </w:rPr>
        <w:endnoteRef/>
      </w:r>
      <w:r>
        <w:t xml:space="preserve"> United Nations Committee on Economic, Social and Cultural Rights, </w:t>
      </w:r>
      <w:r w:rsidRPr="5E79F96D">
        <w:rPr>
          <w:i/>
          <w:iCs/>
        </w:rPr>
        <w:t>General Comment No. 5: Persons with disabilities</w:t>
      </w:r>
      <w:r>
        <w:t>, UN Doc E/1995/22 (9 December 1994) [21].</w:t>
      </w:r>
    </w:p>
  </w:endnote>
  <w:endnote w:id="29">
    <w:p w14:paraId="399FE3EB" w14:textId="64E331DA" w:rsidR="00AE3919" w:rsidRDefault="00AE3919" w:rsidP="00AE3919">
      <w:pPr>
        <w:pStyle w:val="EndnoteText"/>
      </w:pPr>
      <w:r>
        <w:rPr>
          <w:rStyle w:val="EndnoteReference"/>
        </w:rPr>
        <w:endnoteRef/>
      </w:r>
      <w:r>
        <w:t xml:space="preserve"> </w:t>
      </w:r>
      <w:r w:rsidR="00DE1E3A">
        <w:rPr>
          <w:i/>
          <w:iCs/>
        </w:rPr>
        <w:t xml:space="preserve">Royal Commission into Violence, Abuse, Neglect and Exploitation of People with Disability </w:t>
      </w:r>
      <w:r w:rsidR="00DE1E3A">
        <w:t xml:space="preserve">(Final Report, September 2023) </w:t>
      </w:r>
      <w:r>
        <w:t xml:space="preserve">vol 7(b) </w:t>
      </w:r>
      <w:r w:rsidR="00AE5BBF">
        <w:t>470-</w:t>
      </w:r>
      <w:r w:rsidR="009D4F57">
        <w:t xml:space="preserve">90. </w:t>
      </w:r>
    </w:p>
  </w:endnote>
  <w:endnote w:id="30">
    <w:p w14:paraId="3DDD8B72" w14:textId="2660FBEC" w:rsidR="00703E9E" w:rsidRDefault="00703E9E" w:rsidP="00703E9E">
      <w:pPr>
        <w:pStyle w:val="EndnoteText"/>
      </w:pPr>
      <w:r>
        <w:rPr>
          <w:rStyle w:val="EndnoteReference"/>
        </w:rPr>
        <w:endnoteRef/>
      </w:r>
      <w:r>
        <w:t xml:space="preserve"> </w:t>
      </w:r>
      <w:r w:rsidR="009D4F57">
        <w:t xml:space="preserve">See </w:t>
      </w:r>
      <w:r w:rsidR="009D4F57">
        <w:rPr>
          <w:i/>
          <w:iCs/>
        </w:rPr>
        <w:t xml:space="preserve">Royal Commission into Violence, Abuse, Neglect and Exploitation of People with Disability </w:t>
      </w:r>
      <w:r w:rsidR="009D4F57">
        <w:t>(Final Report, September 2023) vol 7(b)</w:t>
      </w:r>
      <w:r w:rsidR="00A138CA">
        <w:t>.</w:t>
      </w:r>
    </w:p>
  </w:endnote>
  <w:endnote w:id="31">
    <w:p w14:paraId="10CFC668" w14:textId="10BA2574" w:rsidR="007E4AC6" w:rsidRPr="00EE36E6" w:rsidRDefault="007E4AC6" w:rsidP="007E4AC6">
      <w:pPr>
        <w:pStyle w:val="EndnoteText"/>
      </w:pPr>
      <w:r>
        <w:rPr>
          <w:rStyle w:val="EndnoteReference"/>
        </w:rPr>
        <w:endnoteRef/>
      </w:r>
      <w:r>
        <w:t xml:space="preserve"> See </w:t>
      </w:r>
      <w:r>
        <w:rPr>
          <w:i/>
          <w:iCs/>
        </w:rPr>
        <w:t xml:space="preserve">CRPD </w:t>
      </w:r>
      <w:r>
        <w:t xml:space="preserve">(n </w:t>
      </w:r>
      <w:r w:rsidR="00140675">
        <w:t>11</w:t>
      </w:r>
      <w:r>
        <w:t xml:space="preserve">) art 4(2). </w:t>
      </w:r>
    </w:p>
  </w:endnote>
  <w:endnote w:id="32">
    <w:p w14:paraId="0DFB390F" w14:textId="64C09BA8" w:rsidR="007E4AC6" w:rsidRPr="00262A52" w:rsidRDefault="007E4AC6" w:rsidP="007E4AC6">
      <w:pPr>
        <w:pStyle w:val="EndnoteText"/>
      </w:pPr>
      <w:r>
        <w:rPr>
          <w:rStyle w:val="EndnoteReference"/>
        </w:rPr>
        <w:endnoteRef/>
      </w:r>
      <w:r>
        <w:t xml:space="preserve"> </w:t>
      </w:r>
      <w:r>
        <w:rPr>
          <w:i/>
          <w:iCs/>
        </w:rPr>
        <w:t xml:space="preserve">CRPD General Comment No. 8 </w:t>
      </w:r>
      <w:r>
        <w:t xml:space="preserve">(n </w:t>
      </w:r>
      <w:r w:rsidR="00140675">
        <w:t>8</w:t>
      </w:r>
      <w:r>
        <w:t xml:space="preserve">) [63]-[64]; see also </w:t>
      </w:r>
      <w:r w:rsidR="008F68E8">
        <w:t xml:space="preserve">United Nations </w:t>
      </w:r>
      <w:r w:rsidRPr="00774EB9">
        <w:t xml:space="preserve">Committee on Economic, Social and Cultural Rights, </w:t>
      </w:r>
      <w:r w:rsidR="00746A74" w:rsidRPr="00774EB9">
        <w:rPr>
          <w:i/>
          <w:iCs/>
        </w:rPr>
        <w:t>General Comment No. 18: The Right to Work</w:t>
      </w:r>
      <w:r w:rsidR="004826D6" w:rsidRPr="00774EB9">
        <w:t xml:space="preserve">, </w:t>
      </w:r>
      <w:r w:rsidR="00BF592B" w:rsidRPr="00774EB9">
        <w:t>35</w:t>
      </w:r>
      <w:r w:rsidR="00BF592B" w:rsidRPr="00774EB9">
        <w:rPr>
          <w:vertAlign w:val="superscript"/>
        </w:rPr>
        <w:t>th</w:t>
      </w:r>
      <w:r w:rsidR="00BF592B" w:rsidRPr="00774EB9">
        <w:t xml:space="preserve"> </w:t>
      </w:r>
      <w:r w:rsidR="004826D6" w:rsidRPr="00774EB9">
        <w:t>sess, UN Doc</w:t>
      </w:r>
      <w:r w:rsidR="00B72BE9" w:rsidRPr="00774EB9">
        <w:t xml:space="preserve"> E/C.12/GC/18</w:t>
      </w:r>
      <w:r w:rsidR="004826D6" w:rsidRPr="00774EB9">
        <w:t xml:space="preserve"> (</w:t>
      </w:r>
      <w:r w:rsidR="00B72BE9" w:rsidRPr="00774EB9">
        <w:t>6 February 2006</w:t>
      </w:r>
      <w:r w:rsidR="004826D6" w:rsidRPr="00774EB9">
        <w:t>)</w:t>
      </w:r>
      <w:r w:rsidRPr="00774EB9">
        <w:t xml:space="preserve"> </w:t>
      </w:r>
      <w:r w:rsidR="00746A74" w:rsidRPr="00774EB9">
        <w:t>[</w:t>
      </w:r>
      <w:r w:rsidRPr="00774EB9">
        <w:t>31</w:t>
      </w:r>
      <w:r w:rsidR="00746A74" w:rsidRPr="00774EB9">
        <w:t>]</w:t>
      </w:r>
      <w:r w:rsidR="00774EB9">
        <w:t>.</w:t>
      </w:r>
    </w:p>
  </w:endnote>
  <w:endnote w:id="33">
    <w:p w14:paraId="22B69712" w14:textId="77777777" w:rsidR="007E4AC6" w:rsidRDefault="007E4AC6" w:rsidP="007E4AC6">
      <w:pPr>
        <w:pStyle w:val="EndnoteText"/>
      </w:pPr>
      <w:r>
        <w:rPr>
          <w:rStyle w:val="EndnoteReference"/>
        </w:rPr>
        <w:endnoteRef/>
      </w:r>
      <w:r>
        <w:t xml:space="preserve"> </w:t>
      </w:r>
      <w:r w:rsidRPr="000019D4">
        <w:rPr>
          <w:i/>
          <w:iCs/>
        </w:rPr>
        <w:t>Nojin v Commonwealth of Australia</w:t>
      </w:r>
      <w:r w:rsidRPr="009F2E8C">
        <w:t xml:space="preserve"> (2012) 208 FCR 1</w:t>
      </w:r>
      <w:r w:rsidRPr="007E60E4">
        <w:t>, [15], [121</w:t>
      </w:r>
      <w:r>
        <w:t>].</w:t>
      </w:r>
    </w:p>
  </w:endnote>
  <w:endnote w:id="34">
    <w:p w14:paraId="28074A92" w14:textId="3399A098" w:rsidR="00FB7490" w:rsidRPr="00EE36E6" w:rsidRDefault="00FB7490" w:rsidP="00FB7490">
      <w:pPr>
        <w:pStyle w:val="EndnoteText"/>
      </w:pPr>
      <w:r>
        <w:rPr>
          <w:rStyle w:val="EndnoteReference"/>
        </w:rPr>
        <w:endnoteRef/>
      </w:r>
      <w:r>
        <w:t xml:space="preserve"> </w:t>
      </w:r>
      <w:r>
        <w:rPr>
          <w:i/>
          <w:iCs/>
        </w:rPr>
        <w:t xml:space="preserve">CRPD General Comment No. 8 </w:t>
      </w:r>
      <w:r>
        <w:t xml:space="preserve">(n </w:t>
      </w:r>
      <w:r w:rsidR="00140675">
        <w:t>8</w:t>
      </w:r>
      <w:r>
        <w:t xml:space="preserve">) [15], [64(c)]. </w:t>
      </w:r>
    </w:p>
  </w:endnote>
  <w:endnote w:id="35">
    <w:p w14:paraId="48118255" w14:textId="1F485622" w:rsidR="00F3204F" w:rsidRDefault="00F3204F" w:rsidP="00F3204F">
      <w:pPr>
        <w:pStyle w:val="EndnoteText"/>
      </w:pPr>
      <w:r>
        <w:rPr>
          <w:rStyle w:val="EndnoteReference"/>
        </w:rPr>
        <w:endnoteRef/>
      </w:r>
      <w:r>
        <w:t xml:space="preserve"> </w:t>
      </w:r>
      <w:r w:rsidR="00F42523">
        <w:rPr>
          <w:i/>
          <w:iCs/>
        </w:rPr>
        <w:t xml:space="preserve">Royal Commission into Violence, Abuse, Neglect and Exploitation of People with Disability </w:t>
      </w:r>
      <w:r w:rsidR="00F42523">
        <w:t xml:space="preserve">(Final Report, September 2023) vol 7(b) </w:t>
      </w:r>
      <w:r>
        <w:t>470-5</w:t>
      </w:r>
      <w:r w:rsidR="00F42523">
        <w:t xml:space="preserve">. </w:t>
      </w:r>
    </w:p>
  </w:endnote>
  <w:endnote w:id="36">
    <w:p w14:paraId="5FA23132" w14:textId="68C2810E" w:rsidR="00696FD5" w:rsidRDefault="00696FD5">
      <w:pPr>
        <w:pStyle w:val="EndnoteText"/>
      </w:pPr>
      <w:r>
        <w:rPr>
          <w:rStyle w:val="EndnoteReference"/>
        </w:rPr>
        <w:endnoteRef/>
      </w:r>
      <w:r>
        <w:t xml:space="preserve"> See </w:t>
      </w:r>
      <w:r w:rsidR="0048311E">
        <w:rPr>
          <w:i/>
          <w:iCs/>
        </w:rPr>
        <w:t xml:space="preserve">CRPD General Comment No. 8 </w:t>
      </w:r>
      <w:r w:rsidR="0048311E">
        <w:t>(n 8)</w:t>
      </w:r>
      <w:r w:rsidR="00401D9E">
        <w:t xml:space="preserve"> </w:t>
      </w:r>
      <w:r w:rsidRPr="00696FD5">
        <w:t>64(f)].</w:t>
      </w:r>
    </w:p>
  </w:endnote>
  <w:endnote w:id="37">
    <w:p w14:paraId="76EDC1E4" w14:textId="3A3E08D3" w:rsidR="00F3204F" w:rsidRDefault="00F3204F" w:rsidP="00F3204F">
      <w:pPr>
        <w:pStyle w:val="EndnoteText"/>
      </w:pPr>
      <w:r>
        <w:rPr>
          <w:rStyle w:val="EndnoteReference"/>
        </w:rPr>
        <w:endnoteRef/>
      </w:r>
      <w:r>
        <w:t xml:space="preserve"> See </w:t>
      </w:r>
      <w:r w:rsidR="00401D9E">
        <w:t>Ibid</w:t>
      </w:r>
      <w:r>
        <w:t xml:space="preserve"> </w:t>
      </w:r>
      <w:r w:rsidR="0010061C">
        <w:t xml:space="preserve">[63(c)], </w:t>
      </w:r>
      <w:r>
        <w:t xml:space="preserve">[78]; </w:t>
      </w:r>
      <w:r w:rsidR="00775EE9">
        <w:t xml:space="preserve">See also </w:t>
      </w:r>
      <w:r w:rsidR="00E518B2">
        <w:rPr>
          <w:i/>
          <w:iCs/>
        </w:rPr>
        <w:t xml:space="preserve">Royal Commission into Violence, Abuse, Neglect and Exploitation Against People with Disability </w:t>
      </w:r>
      <w:r w:rsidR="00E518B2">
        <w:t xml:space="preserve">(Final Report, September 2023) vol 7(b) </w:t>
      </w:r>
      <w:r w:rsidR="00070F3B">
        <w:t xml:space="preserve">406-7, </w:t>
      </w:r>
      <w:r w:rsidR="007F7C3F">
        <w:t xml:space="preserve">469-70, </w:t>
      </w:r>
      <w:r w:rsidR="007C6238">
        <w:t>474-5</w:t>
      </w:r>
      <w:r w:rsidR="00DC1615">
        <w:t>, 495,</w:t>
      </w:r>
      <w:r w:rsidR="00DE0F0D">
        <w:t xml:space="preserve"> 497</w:t>
      </w:r>
      <w:r w:rsidR="00DC28C4">
        <w:t xml:space="preserve"> (including recommendation 7.28). </w:t>
      </w:r>
    </w:p>
  </w:endnote>
  <w:endnote w:id="38">
    <w:p w14:paraId="27452298" w14:textId="1D072857" w:rsidR="00434FD8" w:rsidRDefault="00434FD8">
      <w:pPr>
        <w:pStyle w:val="EndnoteText"/>
      </w:pPr>
      <w:r>
        <w:rPr>
          <w:rStyle w:val="EndnoteReference"/>
        </w:rPr>
        <w:endnoteRef/>
      </w:r>
      <w:r>
        <w:t xml:space="preserve"> </w:t>
      </w:r>
      <w:r w:rsidR="00AA6578">
        <w:t xml:space="preserve">See </w:t>
      </w:r>
      <w:r w:rsidR="00AA6578">
        <w:rPr>
          <w:i/>
          <w:iCs/>
        </w:rPr>
        <w:t xml:space="preserve">Royal Commission into Violence, Abuse, Neglect and Exploitation Against People with Disability </w:t>
      </w:r>
      <w:r w:rsidR="00AA6578">
        <w:t>(Final Report, September 2023) vol 4</w:t>
      </w:r>
      <w:r w:rsidR="00FD1C78">
        <w:t>, vol 7</w:t>
      </w:r>
      <w:r w:rsidR="00AA6578">
        <w:t>;</w:t>
      </w:r>
      <w:r w:rsidR="00FD1C78">
        <w:t xml:space="preserve"> </w:t>
      </w:r>
      <w:r w:rsidR="00AA6578">
        <w:t xml:space="preserve">Australian Human Rights Commission, </w:t>
      </w:r>
      <w:r w:rsidR="00AA6578">
        <w:rPr>
          <w:i/>
          <w:iCs/>
        </w:rPr>
        <w:t xml:space="preserve">Free and Equal: A reform agenda for federal discrimination laws </w:t>
      </w:r>
      <w:r w:rsidR="00AA6578">
        <w:t>(Position Paper, December 2021).</w:t>
      </w:r>
    </w:p>
  </w:endnote>
  <w:endnote w:id="39">
    <w:p w14:paraId="1A34348D" w14:textId="222A2773" w:rsidR="00F3204F" w:rsidRDefault="00F3204F" w:rsidP="00F3204F">
      <w:pPr>
        <w:pStyle w:val="EndnoteText"/>
      </w:pPr>
      <w:r>
        <w:rPr>
          <w:rStyle w:val="EndnoteReference"/>
        </w:rPr>
        <w:endnoteRef/>
      </w:r>
      <w:r>
        <w:t xml:space="preserve"> </w:t>
      </w:r>
      <w:r w:rsidR="00CD6837">
        <w:rPr>
          <w:i/>
          <w:iCs/>
        </w:rPr>
        <w:t xml:space="preserve">CRPD General Comment No. 8 </w:t>
      </w:r>
      <w:r w:rsidR="00CD6837">
        <w:t xml:space="preserve">(n </w:t>
      </w:r>
      <w:r w:rsidR="0048311E">
        <w:t>8</w:t>
      </w:r>
      <w:r w:rsidR="00CD6837">
        <w:t xml:space="preserve">) </w:t>
      </w:r>
      <w:r w:rsidR="00616748">
        <w:t>[5</w:t>
      </w:r>
      <w:r w:rsidR="00D73DD9">
        <w:t>5]-[5</w:t>
      </w:r>
      <w:r w:rsidR="009E1B12">
        <w:t>9].</w:t>
      </w:r>
    </w:p>
  </w:endnote>
  <w:endnote w:id="40">
    <w:p w14:paraId="5FD0CE47" w14:textId="16E5A108" w:rsidR="00F3204F" w:rsidRDefault="00F3204F" w:rsidP="00F3204F">
      <w:pPr>
        <w:pStyle w:val="EndnoteText"/>
      </w:pPr>
      <w:r>
        <w:rPr>
          <w:rStyle w:val="EndnoteReference"/>
        </w:rPr>
        <w:endnoteRef/>
      </w:r>
      <w:r>
        <w:t xml:space="preserve"> </w:t>
      </w:r>
      <w:r w:rsidR="00F85FB7">
        <w:t>Ibid</w:t>
      </w:r>
      <w:r w:rsidR="00401D9E">
        <w:t xml:space="preserve"> </w:t>
      </w:r>
      <w:r>
        <w:t>[57].</w:t>
      </w:r>
    </w:p>
  </w:endnote>
  <w:endnote w:id="41">
    <w:p w14:paraId="04D5D8EF" w14:textId="21886BDC" w:rsidR="00F3204F" w:rsidRDefault="00F3204F" w:rsidP="00D01D4A">
      <w:pPr>
        <w:pStyle w:val="EndnoteText"/>
        <w:ind w:left="0" w:firstLine="0"/>
      </w:pPr>
      <w:r>
        <w:rPr>
          <w:rStyle w:val="EndnoteReference"/>
        </w:rPr>
        <w:endnoteRef/>
      </w:r>
      <w:r w:rsidR="00CD2B3D">
        <w:t xml:space="preserve"> </w:t>
      </w:r>
      <w:r w:rsidR="00401D9E">
        <w:t>Ibid</w:t>
      </w:r>
      <w:r>
        <w:t xml:space="preserve"> [58] </w:t>
      </w:r>
    </w:p>
  </w:endnote>
  <w:endnote w:id="42">
    <w:p w14:paraId="1AEFE97F" w14:textId="285C93C2" w:rsidR="00F3204F" w:rsidRDefault="00F3204F" w:rsidP="00F3204F">
      <w:pPr>
        <w:pStyle w:val="EndnoteText"/>
      </w:pPr>
      <w:r>
        <w:rPr>
          <w:rStyle w:val="EndnoteReference"/>
        </w:rPr>
        <w:endnoteRef/>
      </w:r>
      <w:r>
        <w:t xml:space="preserve"> See </w:t>
      </w:r>
      <w:r w:rsidR="0048311E">
        <w:t>Ibid</w:t>
      </w:r>
      <w:r w:rsidR="00401D9E">
        <w:t xml:space="preserve"> </w:t>
      </w:r>
      <w:r>
        <w:t>[60]</w:t>
      </w:r>
      <w:r w:rsidR="00401D9E">
        <w:t>.</w:t>
      </w:r>
    </w:p>
  </w:endnote>
  <w:endnote w:id="43">
    <w:p w14:paraId="00DD681C" w14:textId="58007AD5" w:rsidR="00F3204F" w:rsidRDefault="00F3204F" w:rsidP="00F3204F">
      <w:pPr>
        <w:pStyle w:val="EndnoteText"/>
      </w:pPr>
      <w:r>
        <w:rPr>
          <w:rStyle w:val="EndnoteReference"/>
        </w:rPr>
        <w:endnoteRef/>
      </w:r>
      <w:r>
        <w:t xml:space="preserve"> See </w:t>
      </w:r>
      <w:r w:rsidR="00401D9E">
        <w:t>Ibid</w:t>
      </w:r>
      <w:r>
        <w:t xml:space="preserve"> [61]</w:t>
      </w:r>
      <w:r w:rsidR="00401D9E">
        <w:t>.</w:t>
      </w:r>
      <w:r w:rsidR="00587964">
        <w:t xml:space="preserve"> </w:t>
      </w:r>
    </w:p>
  </w:endnote>
  <w:endnote w:id="44">
    <w:p w14:paraId="48EFABC6" w14:textId="7BEFF1FC" w:rsidR="00F3204F" w:rsidRDefault="00F3204F" w:rsidP="00F3204F">
      <w:pPr>
        <w:pStyle w:val="EndnoteText"/>
      </w:pPr>
      <w:r>
        <w:rPr>
          <w:rStyle w:val="EndnoteReference"/>
        </w:rPr>
        <w:endnoteRef/>
      </w:r>
      <w:r>
        <w:t xml:space="preserve"> See </w:t>
      </w:r>
      <w:r w:rsidR="00401D9E">
        <w:t>Ibid</w:t>
      </w:r>
      <w:r>
        <w:t xml:space="preserve"> [62]. </w:t>
      </w:r>
    </w:p>
  </w:endnote>
  <w:endnote w:id="45">
    <w:p w14:paraId="2D9DAE36" w14:textId="3F235518" w:rsidR="00F3204F" w:rsidRDefault="00F3204F" w:rsidP="00F3204F">
      <w:pPr>
        <w:pStyle w:val="EndnoteText"/>
      </w:pPr>
      <w:r>
        <w:rPr>
          <w:rStyle w:val="EndnoteReference"/>
        </w:rPr>
        <w:endnoteRef/>
      </w:r>
      <w:r>
        <w:t xml:space="preserve"> </w:t>
      </w:r>
      <w:r w:rsidR="00401D9E">
        <w:t>Ibid</w:t>
      </w:r>
      <w:r>
        <w:t xml:space="preserve"> [59]. </w:t>
      </w:r>
    </w:p>
  </w:endnote>
  <w:endnote w:id="46">
    <w:p w14:paraId="0491241D" w14:textId="64C46500" w:rsidR="00CD2572" w:rsidRPr="00CD2572" w:rsidRDefault="00CD2572">
      <w:pPr>
        <w:pStyle w:val="EndnoteText"/>
      </w:pPr>
      <w:r>
        <w:rPr>
          <w:rStyle w:val="EndnoteReference"/>
        </w:rPr>
        <w:endnoteRef/>
      </w:r>
      <w:r>
        <w:t xml:space="preserve"> See </w:t>
      </w:r>
      <w:r>
        <w:rPr>
          <w:i/>
          <w:iCs/>
        </w:rPr>
        <w:t xml:space="preserve">CRPD </w:t>
      </w:r>
      <w:r>
        <w:t xml:space="preserve">(n </w:t>
      </w:r>
      <w:r w:rsidR="0048311E">
        <w:t>11</w:t>
      </w:r>
      <w:r>
        <w:t xml:space="preserve">) art 3. </w:t>
      </w:r>
    </w:p>
  </w:endnote>
  <w:endnote w:id="47">
    <w:p w14:paraId="15312669" w14:textId="150220C1" w:rsidR="00F3204F" w:rsidRDefault="00F3204F" w:rsidP="00F3204F">
      <w:pPr>
        <w:pStyle w:val="EndnoteText"/>
      </w:pPr>
      <w:r>
        <w:rPr>
          <w:rStyle w:val="EndnoteReference"/>
        </w:rPr>
        <w:endnoteRef/>
      </w:r>
      <w:r>
        <w:t xml:space="preserve"> </w:t>
      </w:r>
      <w:r w:rsidR="00AC123D">
        <w:t xml:space="preserve">See </w:t>
      </w:r>
      <w:r w:rsidR="00587964">
        <w:rPr>
          <w:i/>
          <w:iCs/>
        </w:rPr>
        <w:t xml:space="preserve">CRPD General Comment No. 8 </w:t>
      </w:r>
      <w:r w:rsidR="00587964">
        <w:t xml:space="preserve">(n </w:t>
      </w:r>
      <w:r w:rsidR="0048311E">
        <w:t>8</w:t>
      </w:r>
      <w:r w:rsidR="00587964">
        <w:t>)</w:t>
      </w:r>
      <w:r w:rsidR="00EB5F8F">
        <w:t xml:space="preserve">. </w:t>
      </w:r>
    </w:p>
  </w:endnote>
  <w:endnote w:id="48">
    <w:p w14:paraId="5934311E" w14:textId="431E3EB4" w:rsidR="001F02A9" w:rsidRDefault="001F02A9" w:rsidP="001F02A9">
      <w:pPr>
        <w:pStyle w:val="EndnoteText"/>
      </w:pPr>
      <w:r>
        <w:rPr>
          <w:rStyle w:val="EndnoteReference"/>
        </w:rPr>
        <w:endnoteRef/>
      </w:r>
      <w:r>
        <w:t xml:space="preserve"> </w:t>
      </w:r>
      <w:r w:rsidR="00EB5F8F">
        <w:t xml:space="preserve">Ibid </w:t>
      </w:r>
      <w:r>
        <w:t>[6</w:t>
      </w:r>
      <w:r w:rsidR="006B339D">
        <w:t>4</w:t>
      </w:r>
      <w:r>
        <w:t>(a)]</w:t>
      </w:r>
      <w:r w:rsidR="00587964">
        <w:t>.</w:t>
      </w:r>
    </w:p>
  </w:endnote>
  <w:endnote w:id="49">
    <w:p w14:paraId="3A248720" w14:textId="42226D31" w:rsidR="00724AB1" w:rsidRPr="00C80B1A" w:rsidRDefault="00724AB1">
      <w:pPr>
        <w:pStyle w:val="EndnoteText"/>
        <w:rPr>
          <w:i/>
          <w:iCs/>
        </w:rPr>
      </w:pPr>
      <w:r>
        <w:rPr>
          <w:rStyle w:val="EndnoteReference"/>
        </w:rPr>
        <w:endnoteRef/>
      </w:r>
      <w:r>
        <w:t xml:space="preserve"> </w:t>
      </w:r>
      <w:r w:rsidR="00C80B1A">
        <w:t xml:space="preserve">See </w:t>
      </w:r>
      <w:r w:rsidR="00C80B1A">
        <w:rPr>
          <w:i/>
          <w:iCs/>
        </w:rPr>
        <w:t xml:space="preserve">Royal Commission into Violence, Abuse, Neglect and Exploitation of People with Disability </w:t>
      </w:r>
      <w:r w:rsidR="00C80B1A">
        <w:t>(Final Report, September 2023) vol 7(b) 382</w:t>
      </w:r>
      <w:r w:rsidR="0096481D">
        <w:t>-5,</w:t>
      </w:r>
      <w:r w:rsidR="00262E6A">
        <w:t xml:space="preserve"> 486, 507</w:t>
      </w:r>
      <w:r w:rsidR="00953E1C">
        <w:t xml:space="preserve">-10. </w:t>
      </w:r>
      <w:r w:rsidR="0096481D">
        <w:t xml:space="preserve"> </w:t>
      </w:r>
    </w:p>
  </w:endnote>
  <w:endnote w:id="50">
    <w:p w14:paraId="1566B640" w14:textId="14364CF1" w:rsidR="00F06B09" w:rsidRPr="005722F5" w:rsidRDefault="00F06B09">
      <w:pPr>
        <w:pStyle w:val="EndnoteText"/>
      </w:pPr>
      <w:r>
        <w:rPr>
          <w:rStyle w:val="EndnoteReference"/>
        </w:rPr>
        <w:endnoteRef/>
      </w:r>
      <w:r>
        <w:t xml:space="preserve"> </w:t>
      </w:r>
      <w:r w:rsidR="007A75A4">
        <w:t>Jenny Crosb</w:t>
      </w:r>
      <w:r w:rsidR="005E735F">
        <w:t xml:space="preserve">ies and Erin Wilson, </w:t>
      </w:r>
      <w:r w:rsidR="00DB3291">
        <w:t>Centre for Social Impact</w:t>
      </w:r>
      <w:r w:rsidR="007A170A">
        <w:t xml:space="preserve">, </w:t>
      </w:r>
      <w:r w:rsidR="005B2430">
        <w:rPr>
          <w:i/>
          <w:iCs/>
        </w:rPr>
        <w:t xml:space="preserve">Evaluation of the Australian Human Rights Commission ‘IncludeAbility’ Project 2020-2023 </w:t>
      </w:r>
      <w:r w:rsidR="005B2430">
        <w:t>(Key findings, September 2023) 14</w:t>
      </w:r>
      <w:r w:rsidR="005722F5">
        <w:t xml:space="preserve"> </w:t>
      </w:r>
      <w:r w:rsidR="008B2AB5">
        <w:t>&lt;</w:t>
      </w:r>
      <w:hyperlink r:id="rId6" w:history="1">
        <w:r w:rsidR="008B2AB5" w:rsidRPr="004466D0">
          <w:rPr>
            <w:rStyle w:val="Hyperlink"/>
          </w:rPr>
          <w:t>https://humanrights.gov.au/our-work/disability-rights/includeability-evaluation</w:t>
        </w:r>
      </w:hyperlink>
      <w:r w:rsidR="008B2AB5">
        <w:t xml:space="preserve">&gt; </w:t>
      </w:r>
      <w:r w:rsidR="005722F5">
        <w:t>(‘</w:t>
      </w:r>
      <w:r w:rsidR="005722F5">
        <w:rPr>
          <w:i/>
          <w:iCs/>
        </w:rPr>
        <w:t>IncludeAbility Evaluation 2020-2023</w:t>
      </w:r>
      <w:r w:rsidR="005722F5">
        <w:t>’)</w:t>
      </w:r>
    </w:p>
  </w:endnote>
  <w:endnote w:id="51">
    <w:p w14:paraId="29BFDA34" w14:textId="6C7E718D" w:rsidR="00353A95" w:rsidRPr="00A86E80" w:rsidRDefault="00353A95" w:rsidP="006334B3">
      <w:pPr>
        <w:pStyle w:val="EndnoteText"/>
        <w:ind w:left="0" w:firstLine="0"/>
      </w:pPr>
      <w:r>
        <w:rPr>
          <w:rStyle w:val="EndnoteReference"/>
        </w:rPr>
        <w:endnoteRef/>
      </w:r>
      <w:r>
        <w:t xml:space="preserve"> </w:t>
      </w:r>
      <w:r w:rsidR="00A86E80">
        <w:t>Ibid 13-15.</w:t>
      </w:r>
    </w:p>
  </w:endnote>
  <w:endnote w:id="52">
    <w:p w14:paraId="22E05A15" w14:textId="67D5086D" w:rsidR="00E942CD" w:rsidRDefault="00E942CD">
      <w:pPr>
        <w:pStyle w:val="EndnoteText"/>
      </w:pPr>
      <w:r>
        <w:rPr>
          <w:rStyle w:val="EndnoteReference"/>
        </w:rPr>
        <w:endnoteRef/>
      </w:r>
      <w:r>
        <w:t xml:space="preserve"> </w:t>
      </w:r>
      <w:r w:rsidR="00267EF3">
        <w:t>See</w:t>
      </w:r>
      <w:r w:rsidR="00BC5245">
        <w:t xml:space="preserve"> Royal Commission into Violence, Abuse, Neglect and Exploitation of People with Disability, </w:t>
      </w:r>
      <w:r w:rsidR="00BC5245">
        <w:rPr>
          <w:i/>
          <w:iCs/>
        </w:rPr>
        <w:t xml:space="preserve">Overview of responses to the Employment Issues Paper </w:t>
      </w:r>
      <w:r w:rsidR="00BC5245">
        <w:t xml:space="preserve">(Report, March 2021) </w:t>
      </w:r>
      <w:r w:rsidR="00A6041B">
        <w:t>6 &lt;</w:t>
      </w:r>
      <w:r w:rsidR="00A6041B" w:rsidRPr="00A6041B">
        <w:t>https://disability.royalcommission.gov.au/system/files/2022-03/Overview%20of%20responses%20to%20the%20Employment%20Issues%20paper.pdf</w:t>
      </w:r>
      <w:r w:rsidR="00A6041B">
        <w:t>&gt;;</w:t>
      </w:r>
      <w:r w:rsidR="003D0060">
        <w:t xml:space="preserve"> </w:t>
      </w:r>
      <w:r w:rsidR="0094577D">
        <w:t xml:space="preserve">See </w:t>
      </w:r>
      <w:r w:rsidR="00B53775">
        <w:t>also</w:t>
      </w:r>
      <w:r w:rsidR="0094577D">
        <w:t xml:space="preserve"> </w:t>
      </w:r>
      <w:r w:rsidR="0094577D">
        <w:rPr>
          <w:i/>
          <w:iCs/>
        </w:rPr>
        <w:t xml:space="preserve">Royal Commission into Violence, Abuse, Neglect and Exploitation of People with Disability </w:t>
      </w:r>
      <w:r w:rsidR="0094577D">
        <w:t xml:space="preserve">(Final Report, September 2023) vol 7(b) </w:t>
      </w:r>
      <w:r w:rsidR="00B53775">
        <w:t xml:space="preserve">383, </w:t>
      </w:r>
      <w:r w:rsidR="0094577D">
        <w:t xml:space="preserve">469. </w:t>
      </w:r>
    </w:p>
  </w:endnote>
  <w:endnote w:id="53">
    <w:p w14:paraId="2D8778A9" w14:textId="4C8A1AEC" w:rsidR="008C5AC1" w:rsidRDefault="008C5AC1" w:rsidP="008C5AC1">
      <w:pPr>
        <w:pStyle w:val="EndnoteText"/>
      </w:pPr>
      <w:r>
        <w:rPr>
          <w:rStyle w:val="EndnoteReference"/>
        </w:rPr>
        <w:endnoteRef/>
      </w:r>
      <w:r w:rsidR="00D95835">
        <w:t xml:space="preserve"> See</w:t>
      </w:r>
      <w:r w:rsidR="004476E5">
        <w:t xml:space="preserve"> Lucy Macali et al, Centre for Social Impact, </w:t>
      </w:r>
      <w:r w:rsidR="004476E5">
        <w:rPr>
          <w:i/>
          <w:iCs/>
        </w:rPr>
        <w:t xml:space="preserve">Growing intellectual disability employment in NSW government </w:t>
      </w:r>
      <w:r w:rsidR="004476E5">
        <w:t>(Final Report</w:t>
      </w:r>
      <w:r w:rsidR="00BE60F9">
        <w:t>, May 2025)</w:t>
      </w:r>
      <w:r>
        <w:t xml:space="preserve"> </w:t>
      </w:r>
      <w:r w:rsidR="00BE60F9">
        <w:t>&lt;</w:t>
      </w:r>
      <w:hyperlink r:id="rId7" w:history="1">
        <w:r w:rsidR="00BE60F9" w:rsidRPr="004466D0">
          <w:rPr>
            <w:rStyle w:val="Hyperlink"/>
          </w:rPr>
          <w:t>https://apo.org.au/sites/default/files/resource-files/2025-05/apo-nid330753.pdf</w:t>
        </w:r>
      </w:hyperlink>
      <w:r w:rsidR="00BE60F9">
        <w:t xml:space="preserve">&gt;; </w:t>
      </w:r>
      <w:r w:rsidR="003F7495">
        <w:t xml:space="preserve">J Kregel et al, </w:t>
      </w:r>
      <w:r w:rsidR="003F7495">
        <w:rPr>
          <w:i/>
          <w:iCs/>
        </w:rPr>
        <w:t xml:space="preserve">A Comprehensive </w:t>
      </w:r>
      <w:r w:rsidR="00E3445D">
        <w:rPr>
          <w:i/>
          <w:iCs/>
        </w:rPr>
        <w:t>Review</w:t>
      </w:r>
      <w:r w:rsidR="003F7495">
        <w:rPr>
          <w:i/>
          <w:iCs/>
        </w:rPr>
        <w:t xml:space="preserve"> of Evidence-Based Employment </w:t>
      </w:r>
      <w:r w:rsidR="00D95835">
        <w:rPr>
          <w:i/>
          <w:iCs/>
        </w:rPr>
        <w:t>Practices</w:t>
      </w:r>
      <w:r w:rsidR="003F7495">
        <w:rPr>
          <w:i/>
          <w:iCs/>
        </w:rPr>
        <w:t xml:space="preserve"> for Youth and Adults with Intellectual and Other </w:t>
      </w:r>
      <w:r w:rsidR="00F61C5B">
        <w:rPr>
          <w:i/>
          <w:iCs/>
        </w:rPr>
        <w:t xml:space="preserve">Developmental Disabilities </w:t>
      </w:r>
      <w:r w:rsidR="00F61C5B">
        <w:t>(Final Report, 1 July 2020) &lt;</w:t>
      </w:r>
      <w:hyperlink r:id="rId8" w:history="1">
        <w:r w:rsidR="00F61C5B" w:rsidRPr="004466D0">
          <w:rPr>
            <w:rStyle w:val="Hyperlink"/>
          </w:rPr>
          <w:t>https://engage.dss.gov.au/wp-content/uploads/2022/02/Jobsupport-Evidence-Based-Practices-Review-Final-11.pdf</w:t>
        </w:r>
      </w:hyperlink>
      <w:r w:rsidR="00F61C5B">
        <w:t xml:space="preserve">&gt;; </w:t>
      </w:r>
      <w:r w:rsidR="0053784A">
        <w:t xml:space="preserve">Erin Wilson and Robert Campain, Inclusion Australia, </w:t>
      </w:r>
      <w:r w:rsidR="0053784A">
        <w:rPr>
          <w:i/>
          <w:iCs/>
        </w:rPr>
        <w:t>Fostering employment for people with intellectual disability: the evidence to date</w:t>
      </w:r>
      <w:r w:rsidR="00D95835">
        <w:rPr>
          <w:i/>
          <w:iCs/>
        </w:rPr>
        <w:t xml:space="preserve"> </w:t>
      </w:r>
      <w:r w:rsidR="00D95835">
        <w:t>(Report, August 2020) &lt;</w:t>
      </w:r>
      <w:hyperlink r:id="rId9" w:history="1">
        <w:r w:rsidR="00D95835" w:rsidRPr="004466D0">
          <w:rPr>
            <w:rStyle w:val="Hyperlink"/>
          </w:rPr>
          <w:t>https://www.everyonecanwork.org.au/wp-content/uploads/2020/11/Fostering-employment-for-people-with-intellectual-disability-Accessible.pdf</w:t>
        </w:r>
      </w:hyperlink>
      <w:r w:rsidR="00D95835">
        <w:t xml:space="preserve">&gt;. </w:t>
      </w:r>
    </w:p>
  </w:endnote>
  <w:endnote w:id="54">
    <w:p w14:paraId="0DAE67DF" w14:textId="414B2149" w:rsidR="0018164B" w:rsidRDefault="0018164B" w:rsidP="0018164B">
      <w:pPr>
        <w:pStyle w:val="EndnoteText"/>
      </w:pPr>
      <w:r>
        <w:rPr>
          <w:rStyle w:val="EndnoteReference"/>
        </w:rPr>
        <w:endnoteRef/>
      </w:r>
      <w:r>
        <w:t xml:space="preserve"> </w:t>
      </w:r>
      <w:r w:rsidR="00A603B7">
        <w:t>Recommendations 4.</w:t>
      </w:r>
      <w:r w:rsidR="00B46E43">
        <w:t>23</w:t>
      </w:r>
      <w:r w:rsidR="00A603B7">
        <w:t xml:space="preserve"> – 4.</w:t>
      </w:r>
      <w:r w:rsidR="00384958">
        <w:t>34</w:t>
      </w:r>
      <w:r w:rsidR="00A603B7">
        <w:t xml:space="preserve">: </w:t>
      </w:r>
      <w:r w:rsidR="00D95835">
        <w:rPr>
          <w:i/>
          <w:iCs/>
        </w:rPr>
        <w:t xml:space="preserve">Royal Commission into Violence, Abuse, Neglect and Exploitation Against People with Disability </w:t>
      </w:r>
      <w:r w:rsidR="00D95835">
        <w:t>(Final Report, September 2023) vol 4</w:t>
      </w:r>
      <w:r w:rsidR="00A603B7">
        <w:t xml:space="preserve">; </w:t>
      </w:r>
      <w:r w:rsidR="00384958" w:rsidRPr="00F519EF">
        <w:t>Recommendation</w:t>
      </w:r>
      <w:r w:rsidR="00AF5BA5" w:rsidRPr="00F519EF">
        <w:t xml:space="preserve"> </w:t>
      </w:r>
      <w:r w:rsidR="00384958" w:rsidRPr="00F519EF">
        <w:t>7.</w:t>
      </w:r>
      <w:r w:rsidR="00DE02EE" w:rsidRPr="00F519EF">
        <w:t>26</w:t>
      </w:r>
      <w:r w:rsidR="00C41A6A">
        <w:t>:</w:t>
      </w:r>
      <w:r w:rsidR="0060075A">
        <w:t xml:space="preserve"> </w:t>
      </w:r>
      <w:r w:rsidR="0060075A">
        <w:rPr>
          <w:i/>
          <w:iCs/>
        </w:rPr>
        <w:t xml:space="preserve">Royal Commission into Violence, Abuse, Neglect and Exploitation Against People with Disability </w:t>
      </w:r>
      <w:r w:rsidR="0060075A">
        <w:t xml:space="preserve">(Final Report, September 2023) vol 7(b); </w:t>
      </w:r>
      <w:r w:rsidR="00FB7878">
        <w:t xml:space="preserve">Australian Human Rights Commission, </w:t>
      </w:r>
      <w:r w:rsidR="00FB7878">
        <w:rPr>
          <w:i/>
          <w:iCs/>
        </w:rPr>
        <w:t>Free and Equal: A reform agenda for federal discrimination laws</w:t>
      </w:r>
      <w:r w:rsidR="00BA1672">
        <w:rPr>
          <w:i/>
          <w:iCs/>
        </w:rPr>
        <w:t xml:space="preserve"> </w:t>
      </w:r>
      <w:r w:rsidR="00BA1672">
        <w:t>(Position Paper, December 2021).</w:t>
      </w:r>
    </w:p>
  </w:endnote>
  <w:endnote w:id="55">
    <w:p w14:paraId="6BAB11E6" w14:textId="27F9ED88" w:rsidR="00FB592D" w:rsidRPr="00F519EF" w:rsidRDefault="00FB592D" w:rsidP="00FB592D">
      <w:pPr>
        <w:pStyle w:val="EndnoteText"/>
        <w:rPr>
          <w:highlight w:val="yellow"/>
        </w:rPr>
      </w:pPr>
      <w:r>
        <w:rPr>
          <w:rStyle w:val="EndnoteReference"/>
        </w:rPr>
        <w:endnoteRef/>
      </w:r>
      <w:r>
        <w:t xml:space="preserve"> </w:t>
      </w:r>
      <w:r w:rsidR="006D6314">
        <w:t xml:space="preserve">National Disability Insurance </w:t>
      </w:r>
      <w:r w:rsidR="007562AF">
        <w:t>Agency</w:t>
      </w:r>
      <w:r w:rsidR="003A1096">
        <w:t xml:space="preserve"> (Cth), </w:t>
      </w:r>
      <w:r w:rsidR="003A1096">
        <w:rPr>
          <w:i/>
          <w:iCs/>
        </w:rPr>
        <w:t xml:space="preserve">Supported employment survey report </w:t>
      </w:r>
      <w:r w:rsidR="003A1096">
        <w:t>(Report</w:t>
      </w:r>
      <w:r w:rsidR="003A66EB">
        <w:t>, March 2025) 21</w:t>
      </w:r>
      <w:r w:rsidR="007562AF">
        <w:t xml:space="preserve">. </w:t>
      </w:r>
    </w:p>
  </w:endnote>
  <w:endnote w:id="56">
    <w:p w14:paraId="29803E11" w14:textId="4C1B916F" w:rsidR="006E3325" w:rsidRPr="00F519EF" w:rsidRDefault="006E3325" w:rsidP="006E3325">
      <w:pPr>
        <w:pStyle w:val="EndnoteText"/>
        <w:rPr>
          <w:highlight w:val="yellow"/>
        </w:rPr>
      </w:pPr>
      <w:r w:rsidRPr="0005664D">
        <w:rPr>
          <w:rStyle w:val="EndnoteReference"/>
        </w:rPr>
        <w:endnoteRef/>
      </w:r>
      <w:r w:rsidRPr="0005664D">
        <w:t xml:space="preserve"> </w:t>
      </w:r>
      <w:r w:rsidR="00C91BA3" w:rsidRPr="0005664D">
        <w:t>Ibid</w:t>
      </w:r>
      <w:r w:rsidR="00E17760" w:rsidRPr="0005664D">
        <w:t xml:space="preserve"> </w:t>
      </w:r>
      <w:r w:rsidR="007D5C49" w:rsidRPr="0005664D">
        <w:t xml:space="preserve">8, </w:t>
      </w:r>
      <w:r w:rsidR="00E17760" w:rsidRPr="0005664D">
        <w:t>19, 2</w:t>
      </w:r>
      <w:r w:rsidR="00F715D0" w:rsidRPr="0005664D">
        <w:t>4</w:t>
      </w:r>
      <w:r w:rsidRPr="0005664D">
        <w:t xml:space="preserve">; </w:t>
      </w:r>
      <w:r w:rsidR="0005664D" w:rsidRPr="0005664D">
        <w:t xml:space="preserve">See also </w:t>
      </w:r>
      <w:r w:rsidR="0005664D">
        <w:t xml:space="preserve">Perri Campbell et al, Centre for Social Impact, </w:t>
      </w:r>
      <w:r w:rsidR="0005664D" w:rsidRPr="002B06DA">
        <w:rPr>
          <w:i/>
          <w:iCs/>
        </w:rPr>
        <w:t xml:space="preserve">Connecting Pathways to Employment with the Work Integration Social Enterprise (WISE)-Ability Model </w:t>
      </w:r>
      <w:r w:rsidR="0005664D">
        <w:t>(Final Report, July 2024) &lt;</w:t>
      </w:r>
      <w:hyperlink r:id="rId10" w:history="1">
        <w:r w:rsidR="0005664D" w:rsidRPr="004466D0">
          <w:rPr>
            <w:rStyle w:val="Hyperlink"/>
          </w:rPr>
          <w:t>https://assets.csi.edu.au/assets/research/SF016_SC-Social-Impact-Project-Report_FINAL.pdf</w:t>
        </w:r>
      </w:hyperlink>
      <w:r w:rsidR="0005664D">
        <w:t>&gt;.</w:t>
      </w:r>
    </w:p>
  </w:endnote>
  <w:endnote w:id="57">
    <w:p w14:paraId="6B8DDCFA" w14:textId="5037F11C" w:rsidR="006E3325" w:rsidRPr="00CC08AB" w:rsidRDefault="006E3325" w:rsidP="00456F9E">
      <w:pPr>
        <w:pStyle w:val="EndnoteText"/>
      </w:pPr>
      <w:r w:rsidRPr="00AD14FA">
        <w:rPr>
          <w:rStyle w:val="EndnoteReference"/>
        </w:rPr>
        <w:endnoteRef/>
      </w:r>
      <w:r w:rsidRPr="00AD14FA">
        <w:t xml:space="preserve"> </w:t>
      </w:r>
      <w:r w:rsidR="00B01D2A" w:rsidRPr="00AD14FA">
        <w:t xml:space="preserve">See </w:t>
      </w:r>
      <w:r w:rsidR="00970EA9" w:rsidRPr="00AD14FA">
        <w:t xml:space="preserve">British Association for Supported Employment, </w:t>
      </w:r>
      <w:r w:rsidR="001740E2" w:rsidRPr="00AD14FA">
        <w:t xml:space="preserve">‘Quality in Supported Employment’, </w:t>
      </w:r>
      <w:r w:rsidR="00AD14FA" w:rsidRPr="00AD14FA">
        <w:rPr>
          <w:i/>
          <w:iCs/>
        </w:rPr>
        <w:t>Background</w:t>
      </w:r>
      <w:r w:rsidR="001740E2" w:rsidRPr="00AD14FA">
        <w:rPr>
          <w:i/>
          <w:iCs/>
        </w:rPr>
        <w:t xml:space="preserve"> to the Supported Employment Quality Framework </w:t>
      </w:r>
      <w:r w:rsidR="001740E2" w:rsidRPr="00AD14FA">
        <w:t>(Web Page, 2025) &lt;</w:t>
      </w:r>
      <w:hyperlink r:id="rId11" w:history="1">
        <w:r w:rsidRPr="00AD14FA">
          <w:rPr>
            <w:rStyle w:val="Hyperlink"/>
          </w:rPr>
          <w:t xml:space="preserve">Quality in </w:t>
        </w:r>
        <w:r w:rsidR="00AD14FA" w:rsidRPr="00AD14FA">
          <w:rPr>
            <w:rStyle w:val="Hyperlink"/>
          </w:rPr>
          <w:t>&lt;</w:t>
        </w:r>
        <w:r w:rsidRPr="00AD14FA">
          <w:rPr>
            <w:rStyle w:val="Hyperlink"/>
          </w:rPr>
          <w:t>Supported Employment - The British Association of Supported Employment</w:t>
        </w:r>
      </w:hyperlink>
      <w:r w:rsidR="00AD14FA" w:rsidRPr="00AD14FA">
        <w:t>&gt;</w:t>
      </w:r>
      <w:r w:rsidR="00AD14FA">
        <w:t xml:space="preserve">; </w:t>
      </w:r>
      <w:r w:rsidR="00785459">
        <w:t xml:space="preserve">See generally </w:t>
      </w:r>
      <w:r w:rsidR="00571480">
        <w:t>Susan Baxter et al, ‘</w:t>
      </w:r>
      <w:r w:rsidR="00CC08AB">
        <w:t xml:space="preserve">Understanding interventions and outcomes in supported employment and individual placement supports: A </w:t>
      </w:r>
      <w:r w:rsidR="009C0EEA">
        <w:t>qualitative synth</w:t>
      </w:r>
      <w:r w:rsidR="005778BC">
        <w:t>e</w:t>
      </w:r>
      <w:r w:rsidR="009C0EEA">
        <w:t>sis</w:t>
      </w:r>
      <w:r w:rsidR="00F56993">
        <w:t>’ (</w:t>
      </w:r>
      <w:r w:rsidR="005778BC">
        <w:t>2024</w:t>
      </w:r>
      <w:r w:rsidR="00F56993">
        <w:t>)</w:t>
      </w:r>
      <w:r w:rsidR="00771A73">
        <w:t xml:space="preserve"> </w:t>
      </w:r>
      <w:r w:rsidR="0094736C">
        <w:t>17</w:t>
      </w:r>
      <w:r w:rsidR="00771A73">
        <w:t>(</w:t>
      </w:r>
      <w:r w:rsidR="0094736C">
        <w:t>2</w:t>
      </w:r>
      <w:r w:rsidR="00771A73">
        <w:t>)</w:t>
      </w:r>
      <w:r w:rsidR="00B118CD">
        <w:t xml:space="preserve"> </w:t>
      </w:r>
      <w:r w:rsidR="0094736C">
        <w:rPr>
          <w:i/>
          <w:iCs/>
        </w:rPr>
        <w:t>Disability and Health Journal</w:t>
      </w:r>
      <w:r w:rsidR="00CC08AB">
        <w:t xml:space="preserve"> </w:t>
      </w:r>
      <w:r w:rsidR="00E50339">
        <w:t>101579</w:t>
      </w:r>
      <w:r w:rsidR="00F624C0">
        <w:t xml:space="preserve"> &lt;</w:t>
      </w:r>
      <w:r w:rsidR="00F624C0" w:rsidRPr="00F624C0">
        <w:t xml:space="preserve"> </w:t>
      </w:r>
      <w:hyperlink r:id="rId12" w:history="1">
        <w:r w:rsidR="00F624C0" w:rsidRPr="00C22BAB">
          <w:rPr>
            <w:rStyle w:val="Hyperlink"/>
          </w:rPr>
          <w:t>https://doi.org/10.1016/j.dhjo.2024.101579</w:t>
        </w:r>
      </w:hyperlink>
      <w:r w:rsidR="00F624C0">
        <w:t xml:space="preserve">&gt;. </w:t>
      </w:r>
    </w:p>
  </w:endnote>
  <w:endnote w:id="58">
    <w:p w14:paraId="6B4885F8" w14:textId="520F858A" w:rsidR="005140C5" w:rsidRPr="001D5C9F" w:rsidRDefault="005140C5">
      <w:pPr>
        <w:pStyle w:val="EndnoteText"/>
      </w:pPr>
      <w:r>
        <w:rPr>
          <w:rStyle w:val="EndnoteReference"/>
        </w:rPr>
        <w:endnoteRef/>
      </w:r>
      <w:r>
        <w:t xml:space="preserve"> See </w:t>
      </w:r>
      <w:r>
        <w:rPr>
          <w:i/>
          <w:iCs/>
        </w:rPr>
        <w:t xml:space="preserve">CRPD </w:t>
      </w:r>
      <w:r w:rsidR="001D5C9F">
        <w:t xml:space="preserve">(n </w:t>
      </w:r>
      <w:r w:rsidR="00AF2D83">
        <w:t>11</w:t>
      </w:r>
      <w:r w:rsidR="001D5C9F">
        <w:t xml:space="preserve">) art 27(f). </w:t>
      </w:r>
    </w:p>
  </w:endnote>
  <w:endnote w:id="59">
    <w:p w14:paraId="6E3E3E14" w14:textId="554D80EC" w:rsidR="001D5C9F" w:rsidRPr="00232DCC" w:rsidRDefault="001D5C9F">
      <w:pPr>
        <w:pStyle w:val="EndnoteText"/>
      </w:pPr>
      <w:r>
        <w:rPr>
          <w:rStyle w:val="EndnoteReference"/>
        </w:rPr>
        <w:endnoteRef/>
      </w:r>
      <w:r>
        <w:t xml:space="preserve"> This includes</w:t>
      </w:r>
      <w:r w:rsidR="00232DCC">
        <w:t xml:space="preserve"> work that is freely chosen</w:t>
      </w:r>
      <w:r w:rsidR="00812571">
        <w:t xml:space="preserve">: See </w:t>
      </w:r>
      <w:r w:rsidR="00812571">
        <w:rPr>
          <w:i/>
          <w:iCs/>
        </w:rPr>
        <w:t xml:space="preserve">CRPD </w:t>
      </w:r>
      <w:r w:rsidR="00812571">
        <w:t xml:space="preserve">(n </w:t>
      </w:r>
      <w:r w:rsidR="00AF2D83">
        <w:t>11</w:t>
      </w:r>
      <w:r w:rsidR="00812571">
        <w:t>) art 27(1);</w:t>
      </w:r>
      <w:r w:rsidR="00232DCC">
        <w:t xml:space="preserve"> and</w:t>
      </w:r>
      <w:r>
        <w:t xml:space="preserve"> </w:t>
      </w:r>
      <w:r w:rsidR="00AE0C32">
        <w:t xml:space="preserve">providing </w:t>
      </w:r>
      <w:r>
        <w:t xml:space="preserve">assistance in finding, obtaining, maintain and returning to employment: </w:t>
      </w:r>
      <w:r w:rsidR="00232DCC">
        <w:t xml:space="preserve">See </w:t>
      </w:r>
      <w:r w:rsidR="00232DCC">
        <w:rPr>
          <w:i/>
          <w:iCs/>
        </w:rPr>
        <w:t xml:space="preserve">CRPD </w:t>
      </w:r>
      <w:r w:rsidR="00232DCC">
        <w:t xml:space="preserve">(n </w:t>
      </w:r>
      <w:r w:rsidR="00AF2D83">
        <w:t>11</w:t>
      </w:r>
      <w:r w:rsidR="00232DCC">
        <w:t xml:space="preserve">) art </w:t>
      </w:r>
      <w:r w:rsidR="00812571">
        <w:t>27(1)</w:t>
      </w:r>
      <w:r w:rsidR="00232DCC">
        <w:t xml:space="preserve">(e). </w:t>
      </w:r>
    </w:p>
  </w:endnote>
  <w:endnote w:id="60">
    <w:p w14:paraId="34231265" w14:textId="069E4720" w:rsidR="00317D15" w:rsidRDefault="00317D15" w:rsidP="00C869C7">
      <w:pPr>
        <w:pStyle w:val="EndnoteText"/>
        <w:ind w:left="0" w:firstLine="0"/>
      </w:pPr>
      <w:r>
        <w:rPr>
          <w:rStyle w:val="EndnoteReference"/>
        </w:rPr>
        <w:endnoteRef/>
      </w:r>
      <w:r>
        <w:t xml:space="preserve"> </w:t>
      </w:r>
      <w:r w:rsidR="00E42D84">
        <w:rPr>
          <w:i/>
          <w:iCs/>
        </w:rPr>
        <w:t xml:space="preserve">IncludeAbility Evaluation 2020-2023 </w:t>
      </w:r>
      <w:r w:rsidR="00DA1C57">
        <w:t xml:space="preserve">(n </w:t>
      </w:r>
      <w:r w:rsidR="006334B3">
        <w:t>50</w:t>
      </w:r>
      <w:r w:rsidR="00DA1C57">
        <w:t xml:space="preserve">) </w:t>
      </w:r>
      <w:r w:rsidR="00440955">
        <w:t>58</w:t>
      </w:r>
      <w:r w:rsidR="00DA1C57">
        <w:t xml:space="preserve">. </w:t>
      </w:r>
    </w:p>
  </w:endnote>
  <w:endnote w:id="61">
    <w:p w14:paraId="3FE1EC59" w14:textId="1F0CAF91" w:rsidR="00440955" w:rsidRPr="00DA1C57" w:rsidRDefault="00440955">
      <w:pPr>
        <w:pStyle w:val="EndnoteText"/>
      </w:pPr>
      <w:r>
        <w:rPr>
          <w:rStyle w:val="EndnoteReference"/>
        </w:rPr>
        <w:endnoteRef/>
      </w:r>
      <w:r>
        <w:t xml:space="preserve"> </w:t>
      </w:r>
      <w:r w:rsidR="00DA1C57">
        <w:t xml:space="preserve">Ibid. </w:t>
      </w:r>
    </w:p>
  </w:endnote>
  <w:endnote w:id="62">
    <w:p w14:paraId="45C15C3A" w14:textId="07FDCDCC" w:rsidR="0049238F" w:rsidRDefault="0049238F">
      <w:pPr>
        <w:pStyle w:val="EndnoteText"/>
      </w:pPr>
      <w:r>
        <w:rPr>
          <w:rStyle w:val="EndnoteReference"/>
        </w:rPr>
        <w:endnoteRef/>
      </w:r>
      <w:r>
        <w:t xml:space="preserve"> </w:t>
      </w:r>
      <w:r w:rsidR="00AB1E2E">
        <w:t xml:space="preserve">National Disability Insurance Agency (Cth), </w:t>
      </w:r>
      <w:r w:rsidR="00AB1E2E">
        <w:rPr>
          <w:i/>
          <w:iCs/>
        </w:rPr>
        <w:t xml:space="preserve">Employment Outcomes for NDIS Participants </w:t>
      </w:r>
      <w:r w:rsidR="00AB1E2E">
        <w:t xml:space="preserve">(Report, 31 December 2022) </w:t>
      </w:r>
      <w:r w:rsidR="00200AC3">
        <w:t>28</w:t>
      </w:r>
      <w:r w:rsidR="00F631C8">
        <w:t xml:space="preserve"> &lt;</w:t>
      </w:r>
      <w:hyperlink r:id="rId13" w:history="1">
        <w:r w:rsidR="00F631C8" w:rsidRPr="004466D0">
          <w:rPr>
            <w:rStyle w:val="Hyperlink"/>
          </w:rPr>
          <w:t>https://dataresearch.ndis.gov.au/media/3953/download?attachment</w:t>
        </w:r>
      </w:hyperlink>
      <w:r w:rsidR="00F631C8">
        <w:t xml:space="preserve">&gt;. </w:t>
      </w:r>
    </w:p>
  </w:endnote>
  <w:endnote w:id="63">
    <w:p w14:paraId="2E5C5C60" w14:textId="19EC817F" w:rsidR="00131D21" w:rsidRDefault="0049238F" w:rsidP="00926DB3">
      <w:pPr>
        <w:pStyle w:val="EndnoteText"/>
      </w:pPr>
      <w:r>
        <w:rPr>
          <w:rStyle w:val="EndnoteReference"/>
        </w:rPr>
        <w:endnoteRef/>
      </w:r>
      <w:r>
        <w:t xml:space="preserve"> </w:t>
      </w:r>
      <w:r w:rsidR="00213E3A">
        <w:t>See</w:t>
      </w:r>
      <w:r w:rsidR="00D138B7">
        <w:t xml:space="preserve"> </w:t>
      </w:r>
      <w:r w:rsidR="00C26DBE">
        <w:rPr>
          <w:i/>
          <w:iCs/>
        </w:rPr>
        <w:t xml:space="preserve">Royal Commission into Violence, Abuse, Neglect and Exploitation Against People with Disability </w:t>
      </w:r>
      <w:r w:rsidR="00C26DBE">
        <w:t>(Final Report, September 2023) vol 7(b)</w:t>
      </w:r>
      <w:r w:rsidR="007A74F4">
        <w:t xml:space="preserve"> </w:t>
      </w:r>
      <w:r w:rsidR="00241C40">
        <w:t>470,</w:t>
      </w:r>
      <w:r w:rsidR="001546B4">
        <w:t xml:space="preserve"> </w:t>
      </w:r>
      <w:r w:rsidR="003A2238">
        <w:t>472</w:t>
      </w:r>
      <w:r w:rsidR="001546B4">
        <w:t xml:space="preserve">, </w:t>
      </w:r>
      <w:r w:rsidR="007A74F4">
        <w:t xml:space="preserve">473-74, </w:t>
      </w:r>
      <w:r w:rsidR="00BD24E4">
        <w:t>495-</w:t>
      </w:r>
      <w:r w:rsidR="002E5126">
        <w:t>9</w:t>
      </w:r>
      <w:r w:rsidR="00E17032">
        <w:t>7</w:t>
      </w:r>
      <w:r w:rsidR="00213E3A">
        <w:t xml:space="preserve">; </w:t>
      </w:r>
      <w:r w:rsidR="002E5126" w:rsidRPr="00AA2BC2">
        <w:t xml:space="preserve">Counsel Assisting the Royal Commission, Submission to the Royal Commission into Violence, Abuse, Neglect and </w:t>
      </w:r>
      <w:r w:rsidR="002E5126" w:rsidRPr="00036AAE">
        <w:t>Exploitation of People with Disability (Public hearing 22, 19 July 2022) [222]</w:t>
      </w:r>
      <w:r w:rsidR="00C82E79" w:rsidRPr="00036AAE">
        <w:t>-[225],</w:t>
      </w:r>
      <w:r w:rsidR="006230FF" w:rsidRPr="00036AAE">
        <w:t xml:space="preserve"> [229],</w:t>
      </w:r>
      <w:r w:rsidR="00690AB9" w:rsidRPr="00036AAE">
        <w:t xml:space="preserve"> [238]-[239]</w:t>
      </w:r>
      <w:r w:rsidR="00B1617E" w:rsidRPr="00036AAE">
        <w:t>, [248]-</w:t>
      </w:r>
      <w:r w:rsidR="00FB08B6" w:rsidRPr="00036AAE">
        <w:t>[250]</w:t>
      </w:r>
      <w:r w:rsidR="00036AAE" w:rsidRPr="00036AAE">
        <w:t>.</w:t>
      </w:r>
    </w:p>
  </w:endnote>
  <w:endnote w:id="64">
    <w:p w14:paraId="0C023CED" w14:textId="308D4A29" w:rsidR="00710D13" w:rsidRDefault="00710D13">
      <w:pPr>
        <w:pStyle w:val="EndnoteText"/>
      </w:pPr>
      <w:r>
        <w:rPr>
          <w:rStyle w:val="EndnoteReference"/>
        </w:rPr>
        <w:endnoteRef/>
      </w:r>
      <w:r>
        <w:t xml:space="preserve"> </w:t>
      </w:r>
      <w:r w:rsidR="003B7BFC">
        <w:t xml:space="preserve">Andrew Joyce et al, ‘Organisational and policy barriers to transitioning from supported into open employment for people with an intellectual disability’ </w:t>
      </w:r>
      <w:r w:rsidR="001B2D6A">
        <w:t xml:space="preserve">(2024) </w:t>
      </w:r>
      <w:r w:rsidR="00E42BAF">
        <w:t>50(</w:t>
      </w:r>
      <w:r w:rsidR="007050B0">
        <w:t xml:space="preserve">1) </w:t>
      </w:r>
      <w:r w:rsidR="001C48E1">
        <w:rPr>
          <w:i/>
          <w:iCs/>
        </w:rPr>
        <w:t xml:space="preserve">Journal of Intellectual and Developmental Disability </w:t>
      </w:r>
      <w:r w:rsidR="001C48E1">
        <w:t xml:space="preserve">95, </w:t>
      </w:r>
      <w:r w:rsidRPr="008F1060">
        <w:t>101</w:t>
      </w:r>
      <w:r w:rsidR="008F1060" w:rsidRPr="008F1060">
        <w:t>-2</w:t>
      </w:r>
      <w:r w:rsidR="001C48E1">
        <w:t xml:space="preserve"> </w:t>
      </w:r>
      <w:r w:rsidR="001C48E1" w:rsidRPr="001C48E1">
        <w:t>&lt;</w:t>
      </w:r>
      <w:hyperlink r:id="rId14" w:history="1">
        <w:r w:rsidR="001C48E1" w:rsidRPr="001C48E1">
          <w:rPr>
            <w:rStyle w:val="Hyperlink"/>
          </w:rPr>
          <w:t>https://www.tandfonline.com/doi/epdf/10.3109/13668250.2024.2352510?needAccess=true</w:t>
        </w:r>
      </w:hyperlink>
      <w:r w:rsidR="001C48E1" w:rsidRPr="001C48E1">
        <w:t>&gt;.</w:t>
      </w:r>
      <w:r w:rsidR="001C48E1">
        <w:rPr>
          <w:b/>
          <w:bCs/>
        </w:rPr>
        <w:t xml:space="preserve"> </w:t>
      </w:r>
    </w:p>
  </w:endnote>
  <w:endnote w:id="65">
    <w:p w14:paraId="29E96BFA" w14:textId="3762C1CA" w:rsidR="000F6E57" w:rsidRDefault="000F6E57">
      <w:pPr>
        <w:pStyle w:val="EndnoteText"/>
      </w:pPr>
      <w:r>
        <w:rPr>
          <w:rStyle w:val="EndnoteReference"/>
        </w:rPr>
        <w:endnoteRef/>
      </w:r>
      <w:r>
        <w:t xml:space="preserve"> </w:t>
      </w:r>
      <w:r w:rsidR="00213441">
        <w:t xml:space="preserve">Perri Campbell et al, Centre for Social Impact, </w:t>
      </w:r>
      <w:r w:rsidR="002B06DA" w:rsidRPr="002B06DA">
        <w:rPr>
          <w:i/>
          <w:iCs/>
        </w:rPr>
        <w:t xml:space="preserve">Connecting Pathways to Employment with the Work Integration Social Enterprise (WISE)-Ability Model </w:t>
      </w:r>
      <w:r w:rsidR="002B06DA">
        <w:t xml:space="preserve">(Final Report, July 2024) </w:t>
      </w:r>
      <w:r w:rsidR="00A77C02">
        <w:t>10-11</w:t>
      </w:r>
      <w:r w:rsidR="00146B8A">
        <w:t>, 21</w:t>
      </w:r>
      <w:r w:rsidR="003F1E01">
        <w:t>-</w:t>
      </w:r>
      <w:r w:rsidR="00F8143E">
        <w:t>4</w:t>
      </w:r>
      <w:r w:rsidR="003F1E01">
        <w:t xml:space="preserve">, </w:t>
      </w:r>
      <w:r w:rsidR="001C70BB">
        <w:t>88</w:t>
      </w:r>
      <w:r w:rsidR="00D4426D">
        <w:t xml:space="preserve"> </w:t>
      </w:r>
      <w:r w:rsidR="00A77C02">
        <w:t>&lt;</w:t>
      </w:r>
      <w:hyperlink r:id="rId15" w:history="1">
        <w:r w:rsidR="00A77C02" w:rsidRPr="004466D0">
          <w:rPr>
            <w:rStyle w:val="Hyperlink"/>
          </w:rPr>
          <w:t>https://assets.csi.edu.au/assets/research/SF016_SC-Social-Impact-Project-Report_FINAL.pdf</w:t>
        </w:r>
      </w:hyperlink>
      <w:r w:rsidR="002B06DA">
        <w:t xml:space="preserve">&gt;. </w:t>
      </w:r>
    </w:p>
  </w:endnote>
  <w:endnote w:id="66">
    <w:p w14:paraId="778432B4" w14:textId="73FD1AFE" w:rsidR="00816E7C" w:rsidRDefault="00816E7C" w:rsidP="00816E7C">
      <w:pPr>
        <w:pStyle w:val="EndnoteText"/>
      </w:pPr>
      <w:r>
        <w:rPr>
          <w:rStyle w:val="EndnoteReference"/>
        </w:rPr>
        <w:endnoteRef/>
      </w:r>
      <w:r w:rsidR="00455136">
        <w:t xml:space="preserve"> See Australian Human Rights Commission, ‘Lessons from IncludeAbility’</w:t>
      </w:r>
      <w:r w:rsidR="001339C7">
        <w:t xml:space="preserve">, </w:t>
      </w:r>
      <w:r w:rsidR="00BE592B">
        <w:rPr>
          <w:i/>
          <w:iCs/>
        </w:rPr>
        <w:t>Webinar Q and A</w:t>
      </w:r>
      <w:r w:rsidR="00455136">
        <w:t xml:space="preserve"> (Web</w:t>
      </w:r>
      <w:r w:rsidR="006E5F62">
        <w:t xml:space="preserve"> Page,</w:t>
      </w:r>
      <w:r w:rsidR="00E86F27">
        <w:t xml:space="preserve"> </w:t>
      </w:r>
      <w:r w:rsidR="00C36C69">
        <w:t>November 2023)</w:t>
      </w:r>
      <w:r>
        <w:t xml:space="preserve"> </w:t>
      </w:r>
      <w:r w:rsidR="006E5F62">
        <w:t>&lt;</w:t>
      </w:r>
      <w:hyperlink r:id="rId16" w:history="1">
        <w:r w:rsidR="006E5F62" w:rsidRPr="004466D0">
          <w:rPr>
            <w:rStyle w:val="Hyperlink"/>
          </w:rPr>
          <w:t>https://humanrights.gov.au/our-work/disability-rights/lessons-from-includeability</w:t>
        </w:r>
      </w:hyperlink>
      <w:r w:rsidR="006E5F62">
        <w:t xml:space="preserve">&gt;. </w:t>
      </w:r>
    </w:p>
  </w:endnote>
  <w:endnote w:id="67">
    <w:p w14:paraId="5C855003" w14:textId="607AC0F2" w:rsidR="00296819" w:rsidRPr="00BD47D7" w:rsidRDefault="00296819">
      <w:pPr>
        <w:pStyle w:val="EndnoteText"/>
      </w:pPr>
      <w:r w:rsidRPr="00C62A01">
        <w:rPr>
          <w:rStyle w:val="EndnoteReference"/>
        </w:rPr>
        <w:endnoteRef/>
      </w:r>
      <w:r w:rsidRPr="00C62A01">
        <w:t xml:space="preserve"> </w:t>
      </w:r>
      <w:r w:rsidR="00BD47D7" w:rsidRPr="00C62A01">
        <w:t>Recommendation</w:t>
      </w:r>
      <w:r w:rsidR="00534E44" w:rsidRPr="00C62A01">
        <w:t>s</w:t>
      </w:r>
      <w:r w:rsidR="00BD47D7" w:rsidRPr="00C62A01">
        <w:t xml:space="preserve"> </w:t>
      </w:r>
      <w:r w:rsidR="00534E44" w:rsidRPr="00C62A01">
        <w:t>1-</w:t>
      </w:r>
      <w:r w:rsidR="00C62A01" w:rsidRPr="00C62A01">
        <w:t>7</w:t>
      </w:r>
      <w:r w:rsidR="00BD47D7" w:rsidRPr="00C62A01">
        <w:t>:</w:t>
      </w:r>
      <w:r w:rsidR="00B909AE" w:rsidRPr="00C62A01">
        <w:t xml:space="preserve"> </w:t>
      </w:r>
      <w:r w:rsidR="00E61E90" w:rsidRPr="00C62A01">
        <w:t>See</w:t>
      </w:r>
      <w:r w:rsidR="00E61E90">
        <w:t xml:space="preserve"> </w:t>
      </w:r>
      <w:r w:rsidR="000B40F5">
        <w:t xml:space="preserve">Department of Prime Minister and Cabinet (Cth), </w:t>
      </w:r>
      <w:r w:rsidR="00AB4A55">
        <w:rPr>
          <w:i/>
          <w:iCs/>
        </w:rPr>
        <w:t>Working together to deliver the NDIS:</w:t>
      </w:r>
      <w:r w:rsidR="00DE2BFD">
        <w:rPr>
          <w:i/>
          <w:iCs/>
        </w:rPr>
        <w:t xml:space="preserve"> Independent Review into</w:t>
      </w:r>
      <w:r w:rsidR="00BD47D7">
        <w:rPr>
          <w:i/>
          <w:iCs/>
        </w:rPr>
        <w:t xml:space="preserve"> the National Disability Insurance Scheme </w:t>
      </w:r>
      <w:r w:rsidR="00BD47D7">
        <w:t xml:space="preserve">(Final Report, October 2023) </w:t>
      </w:r>
      <w:r w:rsidR="00C757A3">
        <w:t>53-</w:t>
      </w:r>
      <w:r w:rsidR="00E82332">
        <w:t>1</w:t>
      </w:r>
      <w:r w:rsidR="00C62A01">
        <w:t xml:space="preserve">37 </w:t>
      </w:r>
      <w:r w:rsidR="00E82332">
        <w:t>&lt;</w:t>
      </w:r>
      <w:r w:rsidR="004820A2" w:rsidRPr="004820A2">
        <w:t>https://www.ndisreview.gov.au/sites/default/files/resource/download/working-together-ndis-review-final-report.pdf</w:t>
      </w:r>
      <w:r w:rsidR="004820A2">
        <w:t>&gt;.</w:t>
      </w:r>
    </w:p>
  </w:endnote>
  <w:endnote w:id="68">
    <w:p w14:paraId="1529A7B4" w14:textId="18389962" w:rsidR="00534E44" w:rsidRDefault="00534E44">
      <w:pPr>
        <w:pStyle w:val="EndnoteText"/>
      </w:pPr>
      <w:r>
        <w:rPr>
          <w:rStyle w:val="EndnoteReference"/>
        </w:rPr>
        <w:endnoteRef/>
      </w:r>
      <w:r>
        <w:t xml:space="preserve"> Ibid 62. </w:t>
      </w:r>
    </w:p>
  </w:endnote>
  <w:endnote w:id="69">
    <w:p w14:paraId="5E108B75" w14:textId="5E2E0EF1" w:rsidR="00714924" w:rsidRDefault="00714924">
      <w:pPr>
        <w:pStyle w:val="EndnoteText"/>
      </w:pPr>
      <w:r>
        <w:rPr>
          <w:rStyle w:val="EndnoteReference"/>
        </w:rPr>
        <w:endnoteRef/>
      </w:r>
      <w:r>
        <w:t xml:space="preserve"> </w:t>
      </w:r>
      <w:r w:rsidR="003A11E5">
        <w:t xml:space="preserve">See </w:t>
      </w:r>
      <w:r w:rsidR="00D0571E">
        <w:rPr>
          <w:i/>
          <w:iCs/>
        </w:rPr>
        <w:t xml:space="preserve">CRPD </w:t>
      </w:r>
      <w:r w:rsidR="00D0571E">
        <w:t xml:space="preserve">(n </w:t>
      </w:r>
      <w:r w:rsidR="006334B3">
        <w:t>11</w:t>
      </w:r>
      <w:r w:rsidR="00D0571E">
        <w:t>) art 27</w:t>
      </w:r>
      <w:r w:rsidR="00E56C65">
        <w:t xml:space="preserve">(1)(g); </w:t>
      </w:r>
      <w:r w:rsidR="00E56C65">
        <w:rPr>
          <w:i/>
          <w:iCs/>
        </w:rPr>
        <w:t xml:space="preserve">CRPD General Comment No. 8 </w:t>
      </w:r>
      <w:r w:rsidR="00E56C65">
        <w:t xml:space="preserve">(n </w:t>
      </w:r>
      <w:r w:rsidR="006334B3">
        <w:t>8</w:t>
      </w:r>
      <w:r w:rsidR="00E56C65">
        <w:t>) [40]-[</w:t>
      </w:r>
      <w:r w:rsidR="004816A3">
        <w:t>41]</w:t>
      </w:r>
      <w:r w:rsidR="003A11E5">
        <w:t>.</w:t>
      </w:r>
    </w:p>
  </w:endnote>
  <w:endnote w:id="70">
    <w:p w14:paraId="0A44B7E4" w14:textId="64E3A336" w:rsidR="00824D72" w:rsidRDefault="00824D72" w:rsidP="0029251C">
      <w:pPr>
        <w:pStyle w:val="EndnoteText"/>
        <w:ind w:left="0" w:firstLine="0"/>
      </w:pPr>
      <w:r>
        <w:rPr>
          <w:rStyle w:val="EndnoteReference"/>
        </w:rPr>
        <w:endnoteRef/>
      </w:r>
      <w:r w:rsidR="0029251C">
        <w:t xml:space="preserve"> R</w:t>
      </w:r>
      <w:r w:rsidRPr="00451759">
        <w:t>ecommendation</w:t>
      </w:r>
      <w:r>
        <w:t>s</w:t>
      </w:r>
      <w:r w:rsidRPr="00451759">
        <w:t xml:space="preserve"> 7.18</w:t>
      </w:r>
      <w:r>
        <w:t xml:space="preserve"> and 7.19</w:t>
      </w:r>
      <w:r w:rsidR="0029251C">
        <w:t xml:space="preserve">: </w:t>
      </w:r>
      <w:r w:rsidR="00D938DB">
        <w:rPr>
          <w:i/>
          <w:iCs/>
        </w:rPr>
        <w:t xml:space="preserve">Royal Commission into Violence, Abuse, Neglect and Exploitation of People with Disability </w:t>
      </w:r>
      <w:r w:rsidR="00D938DB">
        <w:t>(Final Report, September 2023) vol 7(b)</w:t>
      </w:r>
      <w:r w:rsidR="00266529">
        <w:t xml:space="preserve"> 423, 424. </w:t>
      </w:r>
    </w:p>
  </w:endnote>
  <w:endnote w:id="71">
    <w:p w14:paraId="355387D9" w14:textId="2CE3AC17" w:rsidR="00714924" w:rsidRPr="00630552" w:rsidRDefault="00714924" w:rsidP="00714924">
      <w:pPr>
        <w:pStyle w:val="EndnoteText"/>
      </w:pPr>
      <w:r>
        <w:rPr>
          <w:rStyle w:val="EndnoteReference"/>
        </w:rPr>
        <w:endnoteRef/>
      </w:r>
      <w:r>
        <w:t xml:space="preserve"> See </w:t>
      </w:r>
      <w:r>
        <w:rPr>
          <w:i/>
          <w:iCs/>
        </w:rPr>
        <w:t xml:space="preserve">CRPD General Comment No. 8 </w:t>
      </w:r>
      <w:r>
        <w:t xml:space="preserve">(n </w:t>
      </w:r>
      <w:r w:rsidR="006334B3">
        <w:t>8</w:t>
      </w:r>
      <w:r>
        <w:t>) [41]</w:t>
      </w:r>
      <w:r w:rsidR="008A78E5">
        <w:t xml:space="preserve">; </w:t>
      </w:r>
      <w:r w:rsidR="008A78E5">
        <w:rPr>
          <w:i/>
          <w:iCs/>
        </w:rPr>
        <w:t xml:space="preserve">Royal Commission into Violence, Abuse, Neglect and Exploitation of People with Disability </w:t>
      </w:r>
      <w:r w:rsidR="008A78E5">
        <w:t xml:space="preserve">(Final Report, September 2023) vol 7(b) 429-30. </w:t>
      </w:r>
    </w:p>
  </w:endnote>
  <w:endnote w:id="72">
    <w:p w14:paraId="6B320DE7" w14:textId="729A3BA5" w:rsidR="00CC62F4" w:rsidRDefault="00CC62F4" w:rsidP="00CC62F4">
      <w:pPr>
        <w:pStyle w:val="EndnoteText"/>
      </w:pPr>
      <w:r>
        <w:rPr>
          <w:rStyle w:val="EndnoteReference"/>
        </w:rPr>
        <w:endnoteRef/>
      </w:r>
      <w:r>
        <w:t xml:space="preserve"> </w:t>
      </w:r>
      <w:r w:rsidR="00D203DD">
        <w:t xml:space="preserve">Australian Human Rights Commission, </w:t>
      </w:r>
      <w:r w:rsidR="00D203DD">
        <w:rPr>
          <w:i/>
          <w:iCs/>
        </w:rPr>
        <w:t xml:space="preserve">Guidelines for the targeted recruitment of people with disability </w:t>
      </w:r>
      <w:r w:rsidR="00D203DD">
        <w:t>(November 2022) &lt;</w:t>
      </w:r>
      <w:r w:rsidR="000D2D11" w:rsidRPr="000D2D11">
        <w:t xml:space="preserve"> </w:t>
      </w:r>
      <w:hyperlink r:id="rId17" w:history="1">
        <w:r w:rsidR="000D2D11" w:rsidRPr="004466D0">
          <w:rPr>
            <w:rStyle w:val="Hyperlink"/>
          </w:rPr>
          <w:t>https://humanrights.gov.au/our-work/disability-rights/publications/guidelines-targeted-recruitment-people-disability</w:t>
        </w:r>
      </w:hyperlink>
      <w:r w:rsidR="000D2D11">
        <w:t xml:space="preserve">&gt;. </w:t>
      </w:r>
    </w:p>
  </w:endnote>
  <w:endnote w:id="73">
    <w:p w14:paraId="2EA28D8D" w14:textId="48ED8CBF" w:rsidR="007462C7" w:rsidRDefault="007462C7">
      <w:pPr>
        <w:pStyle w:val="EndnoteText"/>
      </w:pPr>
      <w:r>
        <w:rPr>
          <w:rStyle w:val="EndnoteReference"/>
        </w:rPr>
        <w:endnoteRef/>
      </w:r>
      <w:r>
        <w:t xml:space="preserve"> </w:t>
      </w:r>
      <w:r w:rsidR="004E697F">
        <w:t xml:space="preserve">See </w:t>
      </w:r>
      <w:r w:rsidR="004E697F">
        <w:rPr>
          <w:i/>
          <w:iCs/>
        </w:rPr>
        <w:t xml:space="preserve">CRPD General Comment No. 8 </w:t>
      </w:r>
      <w:r w:rsidR="004E697F">
        <w:t xml:space="preserve">(n </w:t>
      </w:r>
      <w:r w:rsidR="006334B3">
        <w:t>8</w:t>
      </w:r>
      <w:r w:rsidR="004E697F">
        <w:t>) [82(m)].</w:t>
      </w:r>
    </w:p>
  </w:endnote>
  <w:endnote w:id="74">
    <w:p w14:paraId="39B7C39C" w14:textId="6B5621D2" w:rsidR="001411A6" w:rsidRDefault="001411A6">
      <w:pPr>
        <w:pStyle w:val="EndnoteText"/>
      </w:pPr>
      <w:r>
        <w:rPr>
          <w:rStyle w:val="EndnoteReference"/>
        </w:rPr>
        <w:endnoteRef/>
      </w:r>
      <w:r>
        <w:t xml:space="preserve"> This includes reskilling and upskilling, training, lifelong learning and mentorship programmes: See </w:t>
      </w:r>
      <w:r>
        <w:rPr>
          <w:i/>
          <w:iCs/>
        </w:rPr>
        <w:t xml:space="preserve">CRPD General Comment No. 8 </w:t>
      </w:r>
      <w:r>
        <w:t xml:space="preserve">(n </w:t>
      </w:r>
      <w:r w:rsidR="006334B3">
        <w:t>8</w:t>
      </w:r>
      <w:r>
        <w:t>) [36]-[37];</w:t>
      </w:r>
      <w:r>
        <w:rPr>
          <w:i/>
          <w:iCs/>
        </w:rPr>
        <w:t xml:space="preserve"> </w:t>
      </w:r>
      <w:r>
        <w:t xml:space="preserve">The Disability Royal Commission also notes that opportunities for career progression, including into leadership roles, are important to support disability employment target initiatives: </w:t>
      </w:r>
      <w:r>
        <w:rPr>
          <w:i/>
          <w:iCs/>
        </w:rPr>
        <w:t xml:space="preserve">Royal Commission into Violence, Abuse, Neglect and Exploitation of People with Disability </w:t>
      </w:r>
      <w:r>
        <w:t>(Final Report, September 2023) vol 7(b) 421.</w:t>
      </w:r>
    </w:p>
  </w:endnote>
  <w:endnote w:id="75">
    <w:p w14:paraId="3367660F" w14:textId="354DAEF2" w:rsidR="00656A5F" w:rsidRPr="00B02394" w:rsidRDefault="00656A5F">
      <w:pPr>
        <w:pStyle w:val="EndnoteText"/>
      </w:pPr>
      <w:r>
        <w:rPr>
          <w:rStyle w:val="EndnoteReference"/>
        </w:rPr>
        <w:endnoteRef/>
      </w:r>
      <w:r>
        <w:t xml:space="preserve"> </w:t>
      </w:r>
      <w:r w:rsidR="004E74EA">
        <w:t xml:space="preserve">See </w:t>
      </w:r>
      <w:r>
        <w:rPr>
          <w:i/>
          <w:iCs/>
        </w:rPr>
        <w:t>Royal Commission into Violence, Abuse, Neglect and Exploi</w:t>
      </w:r>
      <w:r w:rsidR="00B02394">
        <w:rPr>
          <w:i/>
          <w:iCs/>
        </w:rPr>
        <w:t xml:space="preserve">tation of People with Disability </w:t>
      </w:r>
      <w:r w:rsidR="00B02394">
        <w:t>(Final Report, September 2023) vol</w:t>
      </w:r>
      <w:r w:rsidR="00EF2279">
        <w:t xml:space="preserve"> 7(</w:t>
      </w:r>
      <w:r w:rsidR="00BB18BE">
        <w:t>b</w:t>
      </w:r>
      <w:r w:rsidR="00EF2279">
        <w:t>)</w:t>
      </w:r>
      <w:r w:rsidR="0092245C">
        <w:t xml:space="preserve"> 279-80</w:t>
      </w:r>
      <w:r w:rsidR="000D493F">
        <w:t>, 32</w:t>
      </w:r>
      <w:r w:rsidR="00072542">
        <w:t>3</w:t>
      </w:r>
      <w:r w:rsidR="000D493F">
        <w:t>-8.</w:t>
      </w:r>
    </w:p>
  </w:endnote>
  <w:endnote w:id="76">
    <w:p w14:paraId="7F423E49" w14:textId="52613F4C" w:rsidR="00826005" w:rsidRDefault="00826005">
      <w:pPr>
        <w:pStyle w:val="EndnoteText"/>
      </w:pPr>
      <w:r>
        <w:rPr>
          <w:rStyle w:val="EndnoteReference"/>
        </w:rPr>
        <w:endnoteRef/>
      </w:r>
      <w:r>
        <w:t xml:space="preserve"> </w:t>
      </w:r>
      <w:r w:rsidR="00B056E4">
        <w:t>See</w:t>
      </w:r>
      <w:r w:rsidR="00F76893">
        <w:t xml:space="preserve"> </w:t>
      </w:r>
      <w:r w:rsidR="00805248">
        <w:t xml:space="preserve">Jenny Crosbie et al, Centre for Social Impact, </w:t>
      </w:r>
      <w:r w:rsidR="00805248">
        <w:rPr>
          <w:i/>
          <w:iCs/>
        </w:rPr>
        <w:t xml:space="preserve">School to work transition for young people with disability in Australia: the Ticket to Work Approach </w:t>
      </w:r>
      <w:r w:rsidR="00805248">
        <w:t>(Report, May 2024) &lt;</w:t>
      </w:r>
      <w:hyperlink r:id="rId18" w:history="1">
        <w:r w:rsidR="00805248" w:rsidRPr="004466D0">
          <w:rPr>
            <w:rStyle w:val="Hyperlink"/>
          </w:rPr>
          <w:t>https://apo.org.au/sites/default/files/resource-files/2024-05/apo-nid326979.pdf</w:t>
        </w:r>
      </w:hyperlink>
      <w:r w:rsidR="00805248">
        <w:t xml:space="preserve">&gt;. </w:t>
      </w:r>
    </w:p>
  </w:endnote>
  <w:endnote w:id="77">
    <w:p w14:paraId="59063277" w14:textId="24ADC847" w:rsidR="008E003D" w:rsidRDefault="008E003D" w:rsidP="008E003D">
      <w:pPr>
        <w:pStyle w:val="EndnoteText"/>
      </w:pPr>
      <w:r>
        <w:rPr>
          <w:rStyle w:val="EndnoteReference"/>
        </w:rPr>
        <w:endnoteRef/>
      </w:r>
      <w:r w:rsidR="006348D2">
        <w:t xml:space="preserve"> See</w:t>
      </w:r>
      <w:r w:rsidR="005633DA">
        <w:t xml:space="preserve"> Children and Young People with Disability Australia, </w:t>
      </w:r>
      <w:r w:rsidR="00EE7F39">
        <w:t>Submission to the Royal Commission into Violence, Abuse, Neglect and Exploitation of People with Disability</w:t>
      </w:r>
      <w:r w:rsidR="00BB72DE">
        <w:t xml:space="preserve"> </w:t>
      </w:r>
      <w:r w:rsidR="00732B35">
        <w:t xml:space="preserve">(October 2020) </w:t>
      </w:r>
      <w:r w:rsidR="003011BD">
        <w:t>21</w:t>
      </w:r>
      <w:r w:rsidR="00596CD2">
        <w:t xml:space="preserve"> </w:t>
      </w:r>
      <w:r w:rsidR="003011BD">
        <w:t>&lt;</w:t>
      </w:r>
      <w:hyperlink r:id="rId19" w:history="1">
        <w:r w:rsidR="003011BD" w:rsidRPr="004466D0">
          <w:rPr>
            <w:rStyle w:val="Hyperlink"/>
          </w:rPr>
          <w:t>https://cyda.org.au/wp-content/uploads/2023/08/response_to_drc_employment_issues_paper_october_2020.pdf</w:t>
        </w:r>
      </w:hyperlink>
      <w:r w:rsidR="003011BD">
        <w:t>&gt;</w:t>
      </w:r>
    </w:p>
  </w:endnote>
  <w:endnote w:id="78">
    <w:p w14:paraId="5DCAE37C" w14:textId="096B751E" w:rsidR="008E003D" w:rsidRDefault="008E003D" w:rsidP="008E003D">
      <w:pPr>
        <w:pStyle w:val="EndnoteText"/>
      </w:pPr>
      <w:r>
        <w:rPr>
          <w:rStyle w:val="EndnoteReference"/>
        </w:rPr>
        <w:endnoteRef/>
      </w:r>
      <w:r>
        <w:t xml:space="preserve"> </w:t>
      </w:r>
      <w:r w:rsidR="008904C0">
        <w:rPr>
          <w:i/>
          <w:iCs/>
        </w:rPr>
        <w:t xml:space="preserve">Royal Commission into Violence, Abuse, Neglect and Exploitation of People with Disability </w:t>
      </w:r>
      <w:r w:rsidR="008904C0">
        <w:t>(Final Report, September 2023) vol 7(</w:t>
      </w:r>
      <w:r w:rsidR="003C69ED">
        <w:t xml:space="preserve">b) </w:t>
      </w:r>
      <w:r w:rsidR="00F45F1D">
        <w:t>470</w:t>
      </w:r>
      <w:r w:rsidR="00BB18BE">
        <w:t xml:space="preserve">. </w:t>
      </w:r>
    </w:p>
  </w:endnote>
  <w:endnote w:id="79">
    <w:p w14:paraId="3064AF00" w14:textId="728A2B47" w:rsidR="009B1C5A" w:rsidRDefault="009B1C5A">
      <w:pPr>
        <w:pStyle w:val="EndnoteText"/>
      </w:pPr>
      <w:r>
        <w:rPr>
          <w:rStyle w:val="EndnoteReference"/>
        </w:rPr>
        <w:endnoteRef/>
      </w:r>
      <w:r>
        <w:t xml:space="preserve"> </w:t>
      </w:r>
      <w:r w:rsidR="00A45A4D">
        <w:t xml:space="preserve">Ibid </w:t>
      </w:r>
      <w:r w:rsidR="002C1BA9">
        <w:t>507</w:t>
      </w:r>
      <w:r w:rsidR="002C1BA9" w:rsidRPr="00AA2BC2">
        <w:t>;</w:t>
      </w:r>
      <w:r w:rsidR="00CE072E" w:rsidRPr="00AA2BC2">
        <w:t xml:space="preserve"> Counsel Assisting the Royal Commission, </w:t>
      </w:r>
      <w:r w:rsidR="002E7629" w:rsidRPr="00AA2BC2">
        <w:t>Submission</w:t>
      </w:r>
      <w:r w:rsidR="00C054BE" w:rsidRPr="00AA2BC2">
        <w:t xml:space="preserve"> to the Royal Commission into Violence, Abuse, Neglect and Exploitation of People with Disability (</w:t>
      </w:r>
      <w:r w:rsidR="00BA4BD4" w:rsidRPr="00AA2BC2">
        <w:t>Public hearing 22</w:t>
      </w:r>
      <w:r w:rsidR="00C054BE" w:rsidRPr="00AA2BC2">
        <w:t>,</w:t>
      </w:r>
      <w:r w:rsidR="00AA2BC2" w:rsidRPr="00AA2BC2">
        <w:t xml:space="preserve"> 19 July 2022)</w:t>
      </w:r>
      <w:r w:rsidR="00BA4BD4" w:rsidRPr="00AA2BC2">
        <w:t xml:space="preserve"> [</w:t>
      </w:r>
      <w:r w:rsidR="00B356D6" w:rsidRPr="00AA2BC2">
        <w:t>206</w:t>
      </w:r>
      <w:r w:rsidR="00247DAC" w:rsidRPr="00AA2BC2">
        <w:t>]-[209] 65.</w:t>
      </w:r>
      <w:r w:rsidR="00247DAC">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panose1 w:val="00000000000000000000"/>
    <w:charset w:val="00"/>
    <w:family w:val="auto"/>
    <w:pitch w:val="variable"/>
    <w:sig w:usb0="E00002FF" w:usb1="4000201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10130" w14:textId="77777777" w:rsidR="00AC636D" w:rsidRPr="000465F1" w:rsidRDefault="00AC636D" w:rsidP="000465F1">
    <w:pPr>
      <w:pStyle w:val="Footer"/>
    </w:pPr>
    <w:r w:rsidRPr="000465F1">
      <w:t>ABN 47 996 232 602</w:t>
    </w:r>
  </w:p>
  <w:p w14:paraId="0C37479C" w14:textId="77777777" w:rsidR="00AC636D" w:rsidRPr="000465F1" w:rsidRDefault="00AC636D" w:rsidP="000465F1">
    <w:pPr>
      <w:pStyle w:val="Footer"/>
    </w:pPr>
    <w:r w:rsidRPr="000465F1">
      <w:t>Level 3, 175 Pitt Street, Sydney NSW 2000</w:t>
    </w:r>
  </w:p>
  <w:p w14:paraId="3FC2F5DA" w14:textId="77777777" w:rsidR="00AC636D" w:rsidRPr="000465F1" w:rsidRDefault="00AC636D" w:rsidP="000465F1">
    <w:pPr>
      <w:pStyle w:val="Footer"/>
    </w:pPr>
    <w:r w:rsidRPr="000465F1">
      <w:t>GPO Box 5218, Sydney NSW 2001</w:t>
    </w:r>
  </w:p>
  <w:p w14:paraId="355E7F4B" w14:textId="77777777" w:rsidR="00AC636D" w:rsidRPr="000465F1" w:rsidRDefault="00AC636D" w:rsidP="000465F1">
    <w:pPr>
      <w:pStyle w:val="Footer"/>
    </w:pPr>
    <w:r w:rsidRPr="000465F1">
      <w:t>General enquiries 1300 369 711</w:t>
    </w:r>
  </w:p>
  <w:p w14:paraId="05462496" w14:textId="77777777" w:rsidR="00AC636D" w:rsidRPr="000465F1" w:rsidRDefault="00AC636D" w:rsidP="000465F1">
    <w:pPr>
      <w:pStyle w:val="Footer"/>
    </w:pPr>
    <w:r w:rsidRPr="000465F1">
      <w:t>Complaints info line 1300 656 419</w:t>
    </w:r>
  </w:p>
  <w:p w14:paraId="6EF634C7" w14:textId="77777777" w:rsidR="00B34946" w:rsidRPr="000465F1" w:rsidRDefault="000465F1" w:rsidP="000465F1">
    <w:pPr>
      <w:pStyle w:val="Footer"/>
    </w:pPr>
    <w:r w:rsidRPr="000465F1">
      <w:t>TTY 1800 620 241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D4843" w14:textId="77777777" w:rsidR="00DC343B" w:rsidRDefault="00BF6406">
    <w:pPr>
      <w:pStyle w:val="Footer"/>
    </w:pPr>
    <w:r w:rsidRPr="00622508">
      <w:fldChar w:fldCharType="begin"/>
    </w:r>
    <w:r>
      <w:instrText xml:space="preserve"> PAGE   \* MERGEFORMAT </w:instrText>
    </w:r>
    <w:r w:rsidRPr="00622508">
      <w:fldChar w:fldCharType="separate"/>
    </w:r>
    <w:r w:rsidR="00A27ABE" w:rsidRPr="00AB7C8F">
      <w:t>4</w:t>
    </w:r>
    <w:r w:rsidRPr="0062250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5730A" w14:textId="77777777" w:rsidR="00DA1D32" w:rsidRDefault="00DA1D32" w:rsidP="00E53546">
    <w:pPr>
      <w:pStyle w:val="FooterOddPageNumber"/>
    </w:pPr>
    <w:r w:rsidRPr="00AB7C8F">
      <w:fldChar w:fldCharType="begin"/>
    </w:r>
    <w:r>
      <w:instrText xml:space="preserve"> PAGE   \* MERGEFORMAT </w:instrText>
    </w:r>
    <w:r w:rsidRPr="00AB7C8F">
      <w:fldChar w:fldCharType="separate"/>
    </w:r>
    <w:r w:rsidR="00460EE0">
      <w:rPr>
        <w:noProof/>
      </w:rPr>
      <w:t>3</w:t>
    </w:r>
    <w:r w:rsidRPr="00AB7C8F">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AA63" w14:textId="77777777" w:rsidR="0063009F" w:rsidRDefault="0063009F" w:rsidP="00E53546">
    <w:pPr>
      <w:pStyle w:val="FooterEvenPageNumber"/>
    </w:pPr>
    <w:r w:rsidRPr="00F127A8">
      <w:fldChar w:fldCharType="begin"/>
    </w:r>
    <w:r>
      <w:instrText xml:space="preserve"> PAGE   \* MERGEFORMAT </w:instrText>
    </w:r>
    <w:r w:rsidRPr="00F127A8">
      <w:fldChar w:fldCharType="separate"/>
    </w:r>
    <w:r w:rsidR="00460EE0">
      <w:rPr>
        <w:noProof/>
      </w:rPr>
      <w:t>2</w:t>
    </w:r>
    <w:r w:rsidRPr="00F127A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07E60" w14:textId="77777777" w:rsidR="00AE0B03" w:rsidRDefault="00AE0B03" w:rsidP="00F14C6D">
      <w:r>
        <w:separator/>
      </w:r>
    </w:p>
  </w:footnote>
  <w:footnote w:type="continuationSeparator" w:id="0">
    <w:p w14:paraId="314DBDFD" w14:textId="77777777" w:rsidR="00AE0B03" w:rsidRDefault="00AE0B03" w:rsidP="00F14C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1490E" w14:textId="77777777" w:rsidR="00BF6406" w:rsidRPr="000465F1" w:rsidRDefault="00000000" w:rsidP="000465F1">
    <w:pPr>
      <w:pStyle w:val="Header"/>
    </w:pPr>
    <w:r>
      <w:pict w14:anchorId="1BB908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4833" o:spid="_x0000_s1043" type="#_x0000_t75" style="position:absolute;left:0;text-align:left;margin-left:0;margin-top:0;width:930.9pt;height:1359.95pt;z-index:-251658239;mso-position-horizontal:center;mso-position-horizontal-relative:margin;mso-position-vertical:center;mso-position-vertical-relative:margin" o:allowincell="f">
          <v:imagedata r:id="rId1" o:title="report watermark"/>
          <w10:wrap anchorx="margin" anchory="margin"/>
        </v:shape>
      </w:pict>
    </w:r>
    <w:r w:rsidR="00BF6406" w:rsidRPr="000465F1">
      <w:t>Australian Human Rights Commission</w:t>
    </w:r>
  </w:p>
  <w:p w14:paraId="7EEC778C" w14:textId="77777777" w:rsidR="00B34946" w:rsidRPr="00622508" w:rsidRDefault="00BF6406" w:rsidP="00622508">
    <w:pPr>
      <w:pStyle w:val="Footer"/>
    </w:pPr>
    <w:r w:rsidRPr="001F62CC">
      <w:rPr>
        <w:rStyle w:val="HeaderDocumentTitle"/>
      </w:rPr>
      <w:t>Short title</w:t>
    </w:r>
    <w:r w:rsidRPr="00622508">
      <w:rPr>
        <w:rStyle w:val="HeaderDocumentTitle"/>
      </w:rPr>
      <w:t>, report name</w:t>
    </w:r>
    <w:r w:rsidR="001F62CC" w:rsidRPr="00622508">
      <w:rPr>
        <w:rStyle w:val="HeaderDocumentTitle"/>
      </w:rPr>
      <w:t>,</w:t>
    </w:r>
    <w:r w:rsidR="001F62CC" w:rsidRPr="00622508">
      <w:t xml:space="preserve"> </w:t>
    </w:r>
    <w:r w:rsidRPr="00622508">
      <w:t>Date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B9D95" w14:textId="77777777" w:rsidR="00B34946" w:rsidRPr="000465F1" w:rsidRDefault="00000000" w:rsidP="000465F1">
    <w:r>
      <w:pict w14:anchorId="24863F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4834" o:spid="_x0000_s1044" type="#_x0000_t75" style="position:absolute;margin-left:0;margin-top:0;width:930.9pt;height:1359.95pt;z-index:-251658238;mso-position-horizontal:center;mso-position-horizontal-relative:margin;mso-position-vertical:center;mso-position-vertical-relative:margin" o:allowincell="f">
          <v:imagedata r:id="rId1" o:title="report watermark"/>
          <w10:wrap anchorx="margin" anchory="margin"/>
        </v:shape>
      </w:pict>
    </w:r>
    <w:r w:rsidR="00B34946" w:rsidRPr="000465F1">
      <w:t>Australian Human Rights Commission</w:t>
    </w:r>
  </w:p>
  <w:p w14:paraId="72590A15" w14:textId="77777777" w:rsidR="00B34946" w:rsidRPr="000465F1" w:rsidRDefault="00B34946" w:rsidP="000465F1">
    <w:pPr>
      <w:pStyle w:val="Footer"/>
    </w:pPr>
    <w:r w:rsidRPr="000465F1">
      <w:t>Short document title, Short description – Date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C0929" w14:textId="77777777" w:rsidR="00CC2AA0" w:rsidRDefault="00000000" w:rsidP="002012F7">
    <w:pPr>
      <w:pStyle w:val="Header"/>
    </w:pPr>
    <w:r>
      <w:pict w14:anchorId="4D2FB7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66017" o:spid="_x0000_s1047" type="#_x0000_t75" style="position:absolute;left:0;text-align:left;margin-left:-71.05pt;margin-top:-108.5pt;width:595.65pt;height:870.15pt;z-index:-251658237;mso-position-horizontal-relative:margin;mso-position-vertical-relative:margin" o:allowincell="f">
          <v:imagedata r:id="rId1" o:title="MS word cover1"/>
          <w10:wrap anchorx="margin" anchory="margin"/>
        </v:shape>
      </w:pict>
    </w:r>
    <w:r>
      <w:pict w14:anchorId="3A8DD85E">
        <v:shape id="WordPictureWatermark1034832" o:spid="_x0000_s1042" type="#_x0000_t75" style="position:absolute;left:0;text-align:left;margin-left:-70.9pt;margin-top:-109.05pt;width:595.1pt;height:869.4pt;z-index:-251658240;mso-position-horizontal-relative:margin;mso-position-vertical-relative:margin" o:allowincell="f">
          <v:imagedata r:id="rId2" o:title="report watermark"/>
          <w10:wrap anchorx="margin" anchory="margin"/>
        </v:shape>
      </w:pict>
    </w:r>
  </w:p>
  <w:p w14:paraId="7BB844DB" w14:textId="77777777" w:rsidR="008B3899" w:rsidRDefault="008B3899" w:rsidP="002012F7">
    <w:pPr>
      <w:pStyle w:val="Header"/>
    </w:pPr>
  </w:p>
  <w:p w14:paraId="67367307" w14:textId="77777777" w:rsidR="008B3899" w:rsidRDefault="008B3899" w:rsidP="002012F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1A3FD" w14:textId="77777777" w:rsidR="0015239E" w:rsidRPr="000465F1" w:rsidRDefault="0015239E" w:rsidP="0015239E">
    <w:pPr>
      <w:pStyle w:val="Header"/>
    </w:pPr>
    <w:r w:rsidRPr="000465F1">
      <w:t>Australian Human Rights Commission</w:t>
    </w:r>
  </w:p>
  <w:p w14:paraId="1F7CE193" w14:textId="2CFA9933" w:rsidR="00C00733" w:rsidRPr="000465F1" w:rsidRDefault="00A03A5C" w:rsidP="00C00733">
    <w:pPr>
      <w:pStyle w:val="HeaderDocumentDate"/>
    </w:pPr>
    <w:r w:rsidRPr="00D52354">
      <w:rPr>
        <w:rStyle w:val="HeaderDocumentTitle"/>
      </w:rPr>
      <w:t>Next Steps</w:t>
    </w:r>
    <w:r>
      <w:rPr>
        <w:rStyle w:val="HeaderDocumentTitle"/>
      </w:rPr>
      <w:t xml:space="preserve"> </w:t>
    </w:r>
    <w:r w:rsidRPr="00D52354">
      <w:rPr>
        <w:rStyle w:val="HeaderDocumentTitle"/>
      </w:rPr>
      <w:t>in Supported Employment:</w:t>
    </w:r>
    <w:r>
      <w:rPr>
        <w:rStyle w:val="HeaderDocumentTitle"/>
      </w:rPr>
      <w:t xml:space="preserve"> </w:t>
    </w:r>
    <w:r w:rsidRPr="00D52354">
      <w:rPr>
        <w:rStyle w:val="HeaderDocumentTitle"/>
      </w:rPr>
      <w:t xml:space="preserve">Consultation on the way </w:t>
    </w:r>
    <w:r w:rsidRPr="00491931">
      <w:rPr>
        <w:rStyle w:val="HeaderDocumentTitle"/>
      </w:rPr>
      <w:t>forward,</w:t>
    </w:r>
    <w:r w:rsidR="00C00733" w:rsidRPr="00491931">
      <w:t xml:space="preserve"> </w:t>
    </w:r>
    <w:r w:rsidR="00F13616">
      <w:t>04 July 2025</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A325C" w14:textId="77777777" w:rsidR="00BF6406" w:rsidRPr="000465F1" w:rsidRDefault="00BF6406" w:rsidP="00CA5D90">
    <w:pPr>
      <w:pStyle w:val="Header"/>
    </w:pPr>
    <w:bookmarkStart w:id="86" w:name="_Hlk514672172"/>
    <w:bookmarkStart w:id="87" w:name="_Hlk514672173"/>
    <w:r w:rsidRPr="000465F1">
      <w:t>Australian Human Rights Commission</w:t>
    </w:r>
  </w:p>
  <w:bookmarkEnd w:id="86"/>
  <w:bookmarkEnd w:id="87"/>
  <w:p w14:paraId="6F9ADD38" w14:textId="58B86FB4" w:rsidR="00C00733" w:rsidRPr="00D52354" w:rsidRDefault="00D52354" w:rsidP="00D52354">
    <w:pPr>
      <w:pStyle w:val="HeaderDocumentDate"/>
      <w:rPr>
        <w:b/>
        <w:noProof/>
      </w:rPr>
    </w:pPr>
    <w:r w:rsidRPr="00D52354">
      <w:rPr>
        <w:rStyle w:val="HeaderDocumentTitle"/>
      </w:rPr>
      <w:t>Next Steps</w:t>
    </w:r>
    <w:r>
      <w:rPr>
        <w:rStyle w:val="HeaderDocumentTitle"/>
      </w:rPr>
      <w:t xml:space="preserve"> </w:t>
    </w:r>
    <w:r w:rsidRPr="00D52354">
      <w:rPr>
        <w:rStyle w:val="HeaderDocumentTitle"/>
      </w:rPr>
      <w:t>in Supported Employment:</w:t>
    </w:r>
    <w:r>
      <w:rPr>
        <w:rStyle w:val="HeaderDocumentTitle"/>
      </w:rPr>
      <w:t xml:space="preserve"> </w:t>
    </w:r>
    <w:r w:rsidRPr="00D52354">
      <w:rPr>
        <w:rStyle w:val="HeaderDocumentTitle"/>
      </w:rPr>
      <w:t>Consultation on the way forward</w:t>
    </w:r>
    <w:r w:rsidRPr="001F62CC">
      <w:rPr>
        <w:rStyle w:val="HeaderDocumentTitle"/>
      </w:rPr>
      <w:t>,</w:t>
    </w:r>
    <w:r>
      <w:t xml:space="preserve"> </w:t>
    </w:r>
    <w:r w:rsidR="00491931">
      <w:t>0</w:t>
    </w:r>
    <w:r w:rsidR="00F77579">
      <w:t>4</w:t>
    </w:r>
    <w:r w:rsidR="00491931">
      <w:t xml:space="preserve"> July 2025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80FD7" w14:textId="77777777" w:rsidR="0063009F" w:rsidRPr="000465F1" w:rsidRDefault="0063009F" w:rsidP="0063009F">
    <w:pPr>
      <w:pStyle w:val="Header"/>
    </w:pPr>
    <w:r w:rsidRPr="000465F1">
      <w:t>Australian Human Rights Commission</w:t>
    </w:r>
  </w:p>
  <w:p w14:paraId="668474D5" w14:textId="51877D08" w:rsidR="0063009F" w:rsidRPr="00EF2BB6" w:rsidRDefault="00D52354" w:rsidP="00EF2BB6">
    <w:pPr>
      <w:pStyle w:val="HeaderDocumentDate"/>
      <w:rPr>
        <w:noProof/>
      </w:rPr>
    </w:pPr>
    <w:r w:rsidRPr="00D52354">
      <w:rPr>
        <w:rStyle w:val="HeaderDocumentTitle"/>
      </w:rPr>
      <w:t>Next Steps</w:t>
    </w:r>
    <w:r>
      <w:rPr>
        <w:rStyle w:val="HeaderDocumentTitle"/>
      </w:rPr>
      <w:t xml:space="preserve"> </w:t>
    </w:r>
    <w:r w:rsidRPr="00D52354">
      <w:rPr>
        <w:rStyle w:val="HeaderDocumentTitle"/>
      </w:rPr>
      <w:t>in Supported Employment:</w:t>
    </w:r>
    <w:r>
      <w:rPr>
        <w:rStyle w:val="HeaderDocumentTitle"/>
      </w:rPr>
      <w:t xml:space="preserve"> </w:t>
    </w:r>
    <w:r w:rsidRPr="00D52354">
      <w:rPr>
        <w:rStyle w:val="HeaderDocumentTitle"/>
      </w:rPr>
      <w:t>Consultation on the way for</w:t>
    </w:r>
    <w:r w:rsidRPr="00491931">
      <w:rPr>
        <w:rStyle w:val="HeaderDocumentTitle"/>
      </w:rPr>
      <w:t>ward</w:t>
    </w:r>
    <w:r w:rsidR="0063009F" w:rsidRPr="00491931">
      <w:rPr>
        <w:rStyle w:val="HeaderDocumentTitle"/>
      </w:rPr>
      <w:t>,</w:t>
    </w:r>
    <w:r w:rsidR="0063009F" w:rsidRPr="00491931">
      <w:t xml:space="preserve"> </w:t>
    </w:r>
    <w:r w:rsidR="00F13616">
      <w:t>04 July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30129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F36045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558AC8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1EC8FA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104E1E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C21C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56989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F9C86F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0A6EEF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9D44524"/>
    <w:lvl w:ilvl="0">
      <w:start w:val="1"/>
      <w:numFmt w:val="bullet"/>
      <w:pStyle w:val="ListBullet"/>
      <w:lvlText w:val=""/>
      <w:lvlJc w:val="left"/>
      <w:pPr>
        <w:tabs>
          <w:tab w:val="num" w:pos="360"/>
        </w:tabs>
        <w:ind w:left="360" w:hanging="3"/>
      </w:pPr>
      <w:rPr>
        <w:rFonts w:ascii="Symbol" w:hAnsi="Symbol" w:hint="default"/>
      </w:rPr>
    </w:lvl>
  </w:abstractNum>
  <w:abstractNum w:abstractNumId="10" w15:restartNumberingAfterBreak="0">
    <w:nsid w:val="040551FE"/>
    <w:multiLevelType w:val="hybridMultilevel"/>
    <w:tmpl w:val="329CFFC6"/>
    <w:lvl w:ilvl="0" w:tplc="FFFFFFFF">
      <w:start w:val="1"/>
      <w:numFmt w:val="lowerLetter"/>
      <w:lvlText w:val="%1)"/>
      <w:lvlJc w:val="left"/>
      <w:pPr>
        <w:ind w:left="785" w:hanging="360"/>
      </w:pPr>
      <w:rPr>
        <w:i w:val="0"/>
        <w:iCs w:val="0"/>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11" w15:restartNumberingAfterBreak="0">
    <w:nsid w:val="11DA150A"/>
    <w:multiLevelType w:val="hybridMultilevel"/>
    <w:tmpl w:val="90B63C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5D53693"/>
    <w:multiLevelType w:val="multilevel"/>
    <w:tmpl w:val="E0FA8A50"/>
    <w:lvl w:ilvl="0">
      <w:start w:val="1"/>
      <w:numFmt w:val="lowerLetter"/>
      <w:lvlText w:val="%1)"/>
      <w:lvlJc w:val="left"/>
      <w:pPr>
        <w:tabs>
          <w:tab w:val="num" w:pos="720"/>
        </w:tabs>
        <w:ind w:left="720" w:hanging="360"/>
      </w:pPr>
      <w:rPr>
        <w:rFonts w:hint="default"/>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DCB237C"/>
    <w:multiLevelType w:val="hybridMultilevel"/>
    <w:tmpl w:val="F6E2FC0A"/>
    <w:lvl w:ilvl="0" w:tplc="A32EC982">
      <w:start w:val="1"/>
      <w:numFmt w:val="decimal"/>
      <w:pStyle w:val="SubmissionNormal"/>
      <w:lvlText w:val="%1."/>
      <w:lvlJc w:val="left"/>
      <w:pPr>
        <w:tabs>
          <w:tab w:val="num" w:pos="720"/>
        </w:tabs>
        <w:ind w:left="720"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15:restartNumberingAfterBreak="0">
    <w:nsid w:val="21B71560"/>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294A3965"/>
    <w:multiLevelType w:val="hybridMultilevel"/>
    <w:tmpl w:val="24A4EDE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6" w15:restartNumberingAfterBreak="0">
    <w:nsid w:val="2E4725A0"/>
    <w:multiLevelType w:val="hybridMultilevel"/>
    <w:tmpl w:val="329CFFC6"/>
    <w:lvl w:ilvl="0" w:tplc="50EAB91C">
      <w:start w:val="1"/>
      <w:numFmt w:val="lowerLetter"/>
      <w:lvlText w:val="%1)"/>
      <w:lvlJc w:val="left"/>
      <w:pPr>
        <w:ind w:left="785" w:hanging="360"/>
      </w:pPr>
      <w:rPr>
        <w:i w:val="0"/>
        <w:iCs w:val="0"/>
      </w:rPr>
    </w:lvl>
    <w:lvl w:ilvl="1" w:tplc="0C090019" w:tentative="1">
      <w:start w:val="1"/>
      <w:numFmt w:val="lowerLetter"/>
      <w:lvlText w:val="%2."/>
      <w:lvlJc w:val="left"/>
      <w:pPr>
        <w:ind w:left="1505" w:hanging="360"/>
      </w:pPr>
    </w:lvl>
    <w:lvl w:ilvl="2" w:tplc="0C09001B" w:tentative="1">
      <w:start w:val="1"/>
      <w:numFmt w:val="lowerRoman"/>
      <w:lvlText w:val="%3."/>
      <w:lvlJc w:val="right"/>
      <w:pPr>
        <w:ind w:left="2225" w:hanging="180"/>
      </w:pPr>
    </w:lvl>
    <w:lvl w:ilvl="3" w:tplc="0C09000F" w:tentative="1">
      <w:start w:val="1"/>
      <w:numFmt w:val="decimal"/>
      <w:lvlText w:val="%4."/>
      <w:lvlJc w:val="left"/>
      <w:pPr>
        <w:ind w:left="2945" w:hanging="360"/>
      </w:pPr>
    </w:lvl>
    <w:lvl w:ilvl="4" w:tplc="0C090019" w:tentative="1">
      <w:start w:val="1"/>
      <w:numFmt w:val="lowerLetter"/>
      <w:lvlText w:val="%5."/>
      <w:lvlJc w:val="left"/>
      <w:pPr>
        <w:ind w:left="3665" w:hanging="360"/>
      </w:pPr>
    </w:lvl>
    <w:lvl w:ilvl="5" w:tplc="0C09001B" w:tentative="1">
      <w:start w:val="1"/>
      <w:numFmt w:val="lowerRoman"/>
      <w:lvlText w:val="%6."/>
      <w:lvlJc w:val="right"/>
      <w:pPr>
        <w:ind w:left="4385" w:hanging="180"/>
      </w:pPr>
    </w:lvl>
    <w:lvl w:ilvl="6" w:tplc="0C09000F" w:tentative="1">
      <w:start w:val="1"/>
      <w:numFmt w:val="decimal"/>
      <w:lvlText w:val="%7."/>
      <w:lvlJc w:val="left"/>
      <w:pPr>
        <w:ind w:left="5105" w:hanging="360"/>
      </w:pPr>
    </w:lvl>
    <w:lvl w:ilvl="7" w:tplc="0C090019" w:tentative="1">
      <w:start w:val="1"/>
      <w:numFmt w:val="lowerLetter"/>
      <w:lvlText w:val="%8."/>
      <w:lvlJc w:val="left"/>
      <w:pPr>
        <w:ind w:left="5825" w:hanging="360"/>
      </w:pPr>
    </w:lvl>
    <w:lvl w:ilvl="8" w:tplc="0C09001B" w:tentative="1">
      <w:start w:val="1"/>
      <w:numFmt w:val="lowerRoman"/>
      <w:lvlText w:val="%9."/>
      <w:lvlJc w:val="right"/>
      <w:pPr>
        <w:ind w:left="6545" w:hanging="180"/>
      </w:pPr>
    </w:lvl>
  </w:abstractNum>
  <w:abstractNum w:abstractNumId="17" w15:restartNumberingAfterBreak="0">
    <w:nsid w:val="316821EC"/>
    <w:multiLevelType w:val="hybridMultilevel"/>
    <w:tmpl w:val="8A020C12"/>
    <w:lvl w:ilvl="0" w:tplc="937680A4">
      <w:start w:val="1"/>
      <w:numFmt w:val="lowerLetter"/>
      <w:lvlText w:val="%1)"/>
      <w:lvlJc w:val="left"/>
      <w:pPr>
        <w:ind w:left="720" w:hanging="360"/>
      </w:pPr>
      <w:rPr>
        <w:rFont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E1D2102"/>
    <w:multiLevelType w:val="hybridMultilevel"/>
    <w:tmpl w:val="8A020C12"/>
    <w:lvl w:ilvl="0" w:tplc="FFFFFFFF">
      <w:start w:val="1"/>
      <w:numFmt w:val="lowerLetter"/>
      <w:lvlText w:val="%1)"/>
      <w:lvlJc w:val="left"/>
      <w:pPr>
        <w:ind w:left="720" w:hanging="360"/>
      </w:pPr>
      <w:rPr>
        <w:rFont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EC42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2E05AD1"/>
    <w:multiLevelType w:val="hybridMultilevel"/>
    <w:tmpl w:val="B0F67E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42203EC"/>
    <w:multiLevelType w:val="multilevel"/>
    <w:tmpl w:val="AC969B0C"/>
    <w:lvl w:ilvl="0">
      <w:start w:val="1"/>
      <w:numFmt w:val="lowerLetter"/>
      <w:lvlText w:val="%1)"/>
      <w:lvlJc w:val="left"/>
      <w:pPr>
        <w:tabs>
          <w:tab w:val="num" w:pos="720"/>
        </w:tabs>
        <w:ind w:left="720" w:hanging="360"/>
      </w:pPr>
      <w:rPr>
        <w:rFonts w:hint="default"/>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9FF7A73"/>
    <w:multiLevelType w:val="multilevel"/>
    <w:tmpl w:val="8F7C2D86"/>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lowerLetter"/>
      <w:pStyle w:val="Heading3"/>
      <w:lvlText w:val="(%3)"/>
      <w:lvlJc w:val="left"/>
      <w:pPr>
        <w:tabs>
          <w:tab w:val="num" w:pos="851"/>
        </w:tabs>
        <w:ind w:left="851" w:hanging="851"/>
      </w:pPr>
      <w:rPr>
        <w:rFonts w:hint="default"/>
      </w:rPr>
    </w:lvl>
    <w:lvl w:ilvl="3">
      <w:start w:val="1"/>
      <w:numFmt w:val="lowerRoman"/>
      <w:pStyle w:val="Heading4"/>
      <w:lvlText w:val="(%4)"/>
      <w:lvlJc w:val="left"/>
      <w:pPr>
        <w:tabs>
          <w:tab w:val="num" w:pos="851"/>
        </w:tabs>
        <w:ind w:left="851" w:hanging="851"/>
      </w:pPr>
      <w:rPr>
        <w:rFonts w:hint="default"/>
      </w:rPr>
    </w:lvl>
    <w:lvl w:ilvl="4">
      <w:start w:val="1"/>
      <w:numFmt w:val="decimal"/>
      <w:pStyle w:val="Heading5"/>
      <w:lvlText w:val="%1.%2.%3.%4.%5"/>
      <w:lvlJc w:val="left"/>
      <w:pPr>
        <w:tabs>
          <w:tab w:val="num" w:pos="0"/>
        </w:tabs>
        <w:ind w:left="1008" w:hanging="1008"/>
      </w:pPr>
      <w:rPr>
        <w:rFonts w:hint="default"/>
      </w:rPr>
    </w:lvl>
    <w:lvl w:ilvl="5">
      <w:start w:val="1"/>
      <w:numFmt w:val="decimal"/>
      <w:pStyle w:val="Heading6"/>
      <w:lvlText w:val="%1.%2.%3.%4.%5.%6"/>
      <w:lvlJc w:val="left"/>
      <w:pPr>
        <w:tabs>
          <w:tab w:val="num" w:pos="0"/>
        </w:tabs>
        <w:ind w:left="1152" w:hanging="1152"/>
      </w:pPr>
      <w:rPr>
        <w:rFonts w:hint="default"/>
      </w:rPr>
    </w:lvl>
    <w:lvl w:ilvl="6">
      <w:start w:val="1"/>
      <w:numFmt w:val="decimal"/>
      <w:pStyle w:val="Heading7"/>
      <w:lvlText w:val="%1.%2.%3.%4.%5.%6.%7"/>
      <w:lvlJc w:val="left"/>
      <w:pPr>
        <w:tabs>
          <w:tab w:val="num" w:pos="0"/>
        </w:tabs>
        <w:ind w:left="1296" w:hanging="1296"/>
      </w:pPr>
      <w:rPr>
        <w:rFonts w:hint="default"/>
      </w:rPr>
    </w:lvl>
    <w:lvl w:ilvl="7">
      <w:start w:val="1"/>
      <w:numFmt w:val="decimal"/>
      <w:pStyle w:val="Heading8"/>
      <w:lvlText w:val="%1.%2.%3.%4.%5.%6.%7.%8"/>
      <w:lvlJc w:val="left"/>
      <w:pPr>
        <w:tabs>
          <w:tab w:val="num" w:pos="0"/>
        </w:tabs>
        <w:ind w:left="1440" w:hanging="1440"/>
      </w:pPr>
      <w:rPr>
        <w:rFonts w:hint="default"/>
      </w:rPr>
    </w:lvl>
    <w:lvl w:ilvl="8">
      <w:start w:val="1"/>
      <w:numFmt w:val="decimal"/>
      <w:pStyle w:val="Heading9"/>
      <w:lvlText w:val="%1.%2.%3.%4.%5.%6.%7.%8.%9"/>
      <w:lvlJc w:val="left"/>
      <w:pPr>
        <w:tabs>
          <w:tab w:val="num" w:pos="0"/>
        </w:tabs>
        <w:ind w:left="1584" w:hanging="1584"/>
      </w:pPr>
      <w:rPr>
        <w:rFonts w:hint="default"/>
      </w:rPr>
    </w:lvl>
  </w:abstractNum>
  <w:abstractNum w:abstractNumId="23" w15:restartNumberingAfterBreak="0">
    <w:nsid w:val="4B8904C1"/>
    <w:multiLevelType w:val="multilevel"/>
    <w:tmpl w:val="AC969B0C"/>
    <w:lvl w:ilvl="0">
      <w:start w:val="1"/>
      <w:numFmt w:val="lowerLetter"/>
      <w:lvlText w:val="%1)"/>
      <w:lvlJc w:val="left"/>
      <w:pPr>
        <w:tabs>
          <w:tab w:val="num" w:pos="720"/>
        </w:tabs>
        <w:ind w:left="720" w:hanging="360"/>
      </w:pPr>
      <w:rPr>
        <w:rFonts w:hint="default"/>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E4322A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5" w15:restartNumberingAfterBreak="0">
    <w:nsid w:val="57343932"/>
    <w:multiLevelType w:val="hybridMultilevel"/>
    <w:tmpl w:val="19FC3C22"/>
    <w:lvl w:ilvl="0" w:tplc="487E8952">
      <w:start w:val="1"/>
      <w:numFmt w:val="bullet"/>
      <w:pStyle w:val="BulletsLis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5AF93D23"/>
    <w:multiLevelType w:val="multilevel"/>
    <w:tmpl w:val="E0FA8A50"/>
    <w:lvl w:ilvl="0">
      <w:start w:val="1"/>
      <w:numFmt w:val="lowerLetter"/>
      <w:lvlText w:val="%1)"/>
      <w:lvlJc w:val="left"/>
      <w:pPr>
        <w:tabs>
          <w:tab w:val="num" w:pos="720"/>
        </w:tabs>
        <w:ind w:left="720" w:hanging="360"/>
      </w:pPr>
      <w:rPr>
        <w:rFonts w:hint="default"/>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CE46989"/>
    <w:multiLevelType w:val="hybridMultilevel"/>
    <w:tmpl w:val="EC04F9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0693777"/>
    <w:multiLevelType w:val="hybridMultilevel"/>
    <w:tmpl w:val="789A4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8257BAC"/>
    <w:multiLevelType w:val="hybridMultilevel"/>
    <w:tmpl w:val="AB266D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11858613">
    <w:abstractNumId w:val="22"/>
  </w:num>
  <w:num w:numId="2" w16cid:durableId="1940598191">
    <w:abstractNumId w:val="9"/>
  </w:num>
  <w:num w:numId="3" w16cid:durableId="529338446">
    <w:abstractNumId w:val="7"/>
  </w:num>
  <w:num w:numId="4" w16cid:durableId="86314235">
    <w:abstractNumId w:val="6"/>
  </w:num>
  <w:num w:numId="5" w16cid:durableId="1165704094">
    <w:abstractNumId w:val="5"/>
  </w:num>
  <w:num w:numId="6" w16cid:durableId="1414858099">
    <w:abstractNumId w:val="4"/>
  </w:num>
  <w:num w:numId="7" w16cid:durableId="32922275">
    <w:abstractNumId w:val="8"/>
  </w:num>
  <w:num w:numId="8" w16cid:durableId="1444960925">
    <w:abstractNumId w:val="1"/>
  </w:num>
  <w:num w:numId="9" w16cid:durableId="876166135">
    <w:abstractNumId w:val="0"/>
  </w:num>
  <w:num w:numId="10" w16cid:durableId="97991311">
    <w:abstractNumId w:val="3"/>
  </w:num>
  <w:num w:numId="11" w16cid:durableId="456604185">
    <w:abstractNumId w:val="2"/>
  </w:num>
  <w:num w:numId="12" w16cid:durableId="1239435492">
    <w:abstractNumId w:val="24"/>
  </w:num>
  <w:num w:numId="13" w16cid:durableId="1641963159">
    <w:abstractNumId w:val="19"/>
  </w:num>
  <w:num w:numId="14" w16cid:durableId="1410927845">
    <w:abstractNumId w:val="14"/>
  </w:num>
  <w:num w:numId="15" w16cid:durableId="1806117172">
    <w:abstractNumId w:val="13"/>
  </w:num>
  <w:num w:numId="16" w16cid:durableId="210118105">
    <w:abstractNumId w:val="25"/>
  </w:num>
  <w:num w:numId="17" w16cid:durableId="183910655">
    <w:abstractNumId w:val="16"/>
  </w:num>
  <w:num w:numId="18" w16cid:durableId="1952928918">
    <w:abstractNumId w:val="20"/>
  </w:num>
  <w:num w:numId="19" w16cid:durableId="353270738">
    <w:abstractNumId w:val="28"/>
  </w:num>
  <w:num w:numId="20" w16cid:durableId="420491373">
    <w:abstractNumId w:val="11"/>
  </w:num>
  <w:num w:numId="21" w16cid:durableId="966206876">
    <w:abstractNumId w:val="29"/>
  </w:num>
  <w:num w:numId="22" w16cid:durableId="683822526">
    <w:abstractNumId w:val="15"/>
  </w:num>
  <w:num w:numId="23" w16cid:durableId="1536651175">
    <w:abstractNumId w:val="12"/>
  </w:num>
  <w:num w:numId="24" w16cid:durableId="441464195">
    <w:abstractNumId w:val="17"/>
  </w:num>
  <w:num w:numId="25" w16cid:durableId="160122955">
    <w:abstractNumId w:val="23"/>
  </w:num>
  <w:num w:numId="26" w16cid:durableId="1307667131">
    <w:abstractNumId w:val="27"/>
  </w:num>
  <w:num w:numId="27" w16cid:durableId="1306667038">
    <w:abstractNumId w:val="10"/>
  </w:num>
  <w:num w:numId="28" w16cid:durableId="48850566">
    <w:abstractNumId w:val="18"/>
  </w:num>
  <w:num w:numId="29" w16cid:durableId="630747290">
    <w:abstractNumId w:val="21"/>
  </w:num>
  <w:num w:numId="30" w16cid:durableId="495610645">
    <w:abstractNumId w:val="2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ocumentProtection w:edit="trackedChanges" w:formatting="1" w:enforcement="0"/>
  <w:defaultTabStop w:val="720"/>
  <w:evenAndOddHeaders/>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294"/>
    <w:rsid w:val="00000162"/>
    <w:rsid w:val="000002F1"/>
    <w:rsid w:val="00000CCF"/>
    <w:rsid w:val="000015BE"/>
    <w:rsid w:val="000015EC"/>
    <w:rsid w:val="00001932"/>
    <w:rsid w:val="000025C3"/>
    <w:rsid w:val="00002B5B"/>
    <w:rsid w:val="00002B7B"/>
    <w:rsid w:val="00002D92"/>
    <w:rsid w:val="00003EA5"/>
    <w:rsid w:val="00004320"/>
    <w:rsid w:val="00004703"/>
    <w:rsid w:val="000050E6"/>
    <w:rsid w:val="000051ED"/>
    <w:rsid w:val="00005A44"/>
    <w:rsid w:val="00005ADC"/>
    <w:rsid w:val="00005B09"/>
    <w:rsid w:val="00005BB3"/>
    <w:rsid w:val="00005C99"/>
    <w:rsid w:val="00005D02"/>
    <w:rsid w:val="00005E2E"/>
    <w:rsid w:val="00005F16"/>
    <w:rsid w:val="000065B6"/>
    <w:rsid w:val="00006DF1"/>
    <w:rsid w:val="00007063"/>
    <w:rsid w:val="00007108"/>
    <w:rsid w:val="0000788A"/>
    <w:rsid w:val="00007CF4"/>
    <w:rsid w:val="000103E6"/>
    <w:rsid w:val="0001082D"/>
    <w:rsid w:val="00010896"/>
    <w:rsid w:val="000108FC"/>
    <w:rsid w:val="000109BD"/>
    <w:rsid w:val="00010B66"/>
    <w:rsid w:val="00011012"/>
    <w:rsid w:val="000110A8"/>
    <w:rsid w:val="00011920"/>
    <w:rsid w:val="000124F7"/>
    <w:rsid w:val="00012CAE"/>
    <w:rsid w:val="00012EDA"/>
    <w:rsid w:val="0001358A"/>
    <w:rsid w:val="0001387C"/>
    <w:rsid w:val="000143C3"/>
    <w:rsid w:val="00014439"/>
    <w:rsid w:val="00014866"/>
    <w:rsid w:val="00014A83"/>
    <w:rsid w:val="00014C0A"/>
    <w:rsid w:val="00014CE0"/>
    <w:rsid w:val="00014CF9"/>
    <w:rsid w:val="000158F8"/>
    <w:rsid w:val="000160E3"/>
    <w:rsid w:val="000161C2"/>
    <w:rsid w:val="000161EB"/>
    <w:rsid w:val="000162D7"/>
    <w:rsid w:val="00016414"/>
    <w:rsid w:val="00016A8F"/>
    <w:rsid w:val="00016F79"/>
    <w:rsid w:val="000179BA"/>
    <w:rsid w:val="00017F15"/>
    <w:rsid w:val="00020588"/>
    <w:rsid w:val="00020A2D"/>
    <w:rsid w:val="00020A3E"/>
    <w:rsid w:val="00020EEF"/>
    <w:rsid w:val="00020FC5"/>
    <w:rsid w:val="0002128C"/>
    <w:rsid w:val="00021328"/>
    <w:rsid w:val="000214C7"/>
    <w:rsid w:val="00021737"/>
    <w:rsid w:val="00021F4E"/>
    <w:rsid w:val="0002253D"/>
    <w:rsid w:val="0002259F"/>
    <w:rsid w:val="0002328F"/>
    <w:rsid w:val="0002345A"/>
    <w:rsid w:val="0002357B"/>
    <w:rsid w:val="00023FEC"/>
    <w:rsid w:val="00024185"/>
    <w:rsid w:val="00024292"/>
    <w:rsid w:val="0002476A"/>
    <w:rsid w:val="00024AE9"/>
    <w:rsid w:val="00025F8B"/>
    <w:rsid w:val="000262DA"/>
    <w:rsid w:val="00026624"/>
    <w:rsid w:val="000267C4"/>
    <w:rsid w:val="00026969"/>
    <w:rsid w:val="00026FDC"/>
    <w:rsid w:val="000272B1"/>
    <w:rsid w:val="00027698"/>
    <w:rsid w:val="0002792C"/>
    <w:rsid w:val="0002796E"/>
    <w:rsid w:val="000279A3"/>
    <w:rsid w:val="00027BAC"/>
    <w:rsid w:val="00030294"/>
    <w:rsid w:val="00030353"/>
    <w:rsid w:val="000309A3"/>
    <w:rsid w:val="000310B9"/>
    <w:rsid w:val="0003143F"/>
    <w:rsid w:val="00032277"/>
    <w:rsid w:val="00032555"/>
    <w:rsid w:val="00032642"/>
    <w:rsid w:val="00032D88"/>
    <w:rsid w:val="00033040"/>
    <w:rsid w:val="00033E09"/>
    <w:rsid w:val="00033E40"/>
    <w:rsid w:val="00033ED4"/>
    <w:rsid w:val="00034011"/>
    <w:rsid w:val="000340FB"/>
    <w:rsid w:val="000341D0"/>
    <w:rsid w:val="00034424"/>
    <w:rsid w:val="000344A9"/>
    <w:rsid w:val="000344DC"/>
    <w:rsid w:val="0003473D"/>
    <w:rsid w:val="000349C3"/>
    <w:rsid w:val="00034AB2"/>
    <w:rsid w:val="00034C5D"/>
    <w:rsid w:val="000357A0"/>
    <w:rsid w:val="00036AAE"/>
    <w:rsid w:val="00036BE4"/>
    <w:rsid w:val="000372C9"/>
    <w:rsid w:val="00037D21"/>
    <w:rsid w:val="00040034"/>
    <w:rsid w:val="000403E9"/>
    <w:rsid w:val="00040BB4"/>
    <w:rsid w:val="00041610"/>
    <w:rsid w:val="000424F4"/>
    <w:rsid w:val="000430B8"/>
    <w:rsid w:val="00043746"/>
    <w:rsid w:val="00043AE7"/>
    <w:rsid w:val="00043BF6"/>
    <w:rsid w:val="00043F0B"/>
    <w:rsid w:val="000445E3"/>
    <w:rsid w:val="000447C2"/>
    <w:rsid w:val="00044C8A"/>
    <w:rsid w:val="00044D8C"/>
    <w:rsid w:val="000452CE"/>
    <w:rsid w:val="000456FA"/>
    <w:rsid w:val="0004570E"/>
    <w:rsid w:val="00045712"/>
    <w:rsid w:val="00045C4B"/>
    <w:rsid w:val="00046458"/>
    <w:rsid w:val="000465F1"/>
    <w:rsid w:val="00046FE5"/>
    <w:rsid w:val="00047469"/>
    <w:rsid w:val="000479E9"/>
    <w:rsid w:val="00050045"/>
    <w:rsid w:val="00050248"/>
    <w:rsid w:val="00050428"/>
    <w:rsid w:val="00050531"/>
    <w:rsid w:val="0005060C"/>
    <w:rsid w:val="000506C1"/>
    <w:rsid w:val="00050932"/>
    <w:rsid w:val="00051226"/>
    <w:rsid w:val="00051236"/>
    <w:rsid w:val="00051416"/>
    <w:rsid w:val="000514F9"/>
    <w:rsid w:val="0005277D"/>
    <w:rsid w:val="00052DCE"/>
    <w:rsid w:val="00052ECE"/>
    <w:rsid w:val="00052F71"/>
    <w:rsid w:val="00053347"/>
    <w:rsid w:val="00053F41"/>
    <w:rsid w:val="000544FA"/>
    <w:rsid w:val="000545FA"/>
    <w:rsid w:val="00054CA1"/>
    <w:rsid w:val="0005532E"/>
    <w:rsid w:val="00055407"/>
    <w:rsid w:val="00055EE0"/>
    <w:rsid w:val="0005664D"/>
    <w:rsid w:val="000566A9"/>
    <w:rsid w:val="000568A6"/>
    <w:rsid w:val="00056A8B"/>
    <w:rsid w:val="000579A2"/>
    <w:rsid w:val="000579B1"/>
    <w:rsid w:val="00057BF0"/>
    <w:rsid w:val="00057D4A"/>
    <w:rsid w:val="00060046"/>
    <w:rsid w:val="0006081F"/>
    <w:rsid w:val="00060B8C"/>
    <w:rsid w:val="00060CCF"/>
    <w:rsid w:val="00061C6C"/>
    <w:rsid w:val="0006229E"/>
    <w:rsid w:val="000623C1"/>
    <w:rsid w:val="0006243E"/>
    <w:rsid w:val="00062CF8"/>
    <w:rsid w:val="00062E30"/>
    <w:rsid w:val="0006306B"/>
    <w:rsid w:val="0006343C"/>
    <w:rsid w:val="00063ED7"/>
    <w:rsid w:val="000647AB"/>
    <w:rsid w:val="00064A54"/>
    <w:rsid w:val="000653CE"/>
    <w:rsid w:val="000656DE"/>
    <w:rsid w:val="00065DB5"/>
    <w:rsid w:val="0006610A"/>
    <w:rsid w:val="00066339"/>
    <w:rsid w:val="00066762"/>
    <w:rsid w:val="00066770"/>
    <w:rsid w:val="00066858"/>
    <w:rsid w:val="00066B6E"/>
    <w:rsid w:val="00066E9C"/>
    <w:rsid w:val="00066EE1"/>
    <w:rsid w:val="00067440"/>
    <w:rsid w:val="00067764"/>
    <w:rsid w:val="000677E3"/>
    <w:rsid w:val="00067D39"/>
    <w:rsid w:val="00067DF7"/>
    <w:rsid w:val="000705AA"/>
    <w:rsid w:val="00070A64"/>
    <w:rsid w:val="00070F3B"/>
    <w:rsid w:val="000710F5"/>
    <w:rsid w:val="000722EC"/>
    <w:rsid w:val="00072542"/>
    <w:rsid w:val="00072B62"/>
    <w:rsid w:val="00072BB1"/>
    <w:rsid w:val="00072EDA"/>
    <w:rsid w:val="000730B8"/>
    <w:rsid w:val="000735F8"/>
    <w:rsid w:val="0007366B"/>
    <w:rsid w:val="00073B7F"/>
    <w:rsid w:val="00073C15"/>
    <w:rsid w:val="00074887"/>
    <w:rsid w:val="00074B3B"/>
    <w:rsid w:val="00074EAB"/>
    <w:rsid w:val="00075879"/>
    <w:rsid w:val="00075F33"/>
    <w:rsid w:val="00076E6D"/>
    <w:rsid w:val="00077A54"/>
    <w:rsid w:val="00077C6E"/>
    <w:rsid w:val="00077F2F"/>
    <w:rsid w:val="00081EBF"/>
    <w:rsid w:val="00082964"/>
    <w:rsid w:val="00082B52"/>
    <w:rsid w:val="00082E19"/>
    <w:rsid w:val="00082EC4"/>
    <w:rsid w:val="00083162"/>
    <w:rsid w:val="000833B5"/>
    <w:rsid w:val="00083472"/>
    <w:rsid w:val="000834F9"/>
    <w:rsid w:val="0008361E"/>
    <w:rsid w:val="00083B5F"/>
    <w:rsid w:val="00083C80"/>
    <w:rsid w:val="00083DE9"/>
    <w:rsid w:val="00084363"/>
    <w:rsid w:val="00084851"/>
    <w:rsid w:val="00084BF8"/>
    <w:rsid w:val="00085064"/>
    <w:rsid w:val="00085118"/>
    <w:rsid w:val="0008547E"/>
    <w:rsid w:val="000858DB"/>
    <w:rsid w:val="00085B7B"/>
    <w:rsid w:val="00085D12"/>
    <w:rsid w:val="00085D90"/>
    <w:rsid w:val="00085E1F"/>
    <w:rsid w:val="00085F3D"/>
    <w:rsid w:val="000874E1"/>
    <w:rsid w:val="00087519"/>
    <w:rsid w:val="00087DFA"/>
    <w:rsid w:val="0009093D"/>
    <w:rsid w:val="000909C1"/>
    <w:rsid w:val="00090AF6"/>
    <w:rsid w:val="00090EFC"/>
    <w:rsid w:val="000913F2"/>
    <w:rsid w:val="0009166F"/>
    <w:rsid w:val="00092033"/>
    <w:rsid w:val="00092319"/>
    <w:rsid w:val="00093496"/>
    <w:rsid w:val="000937BF"/>
    <w:rsid w:val="000937F3"/>
    <w:rsid w:val="0009490A"/>
    <w:rsid w:val="00094AE9"/>
    <w:rsid w:val="00094B25"/>
    <w:rsid w:val="00094C67"/>
    <w:rsid w:val="00094D37"/>
    <w:rsid w:val="00094D9B"/>
    <w:rsid w:val="0009599C"/>
    <w:rsid w:val="00095C63"/>
    <w:rsid w:val="00096E24"/>
    <w:rsid w:val="00097596"/>
    <w:rsid w:val="00097CEF"/>
    <w:rsid w:val="00097EC6"/>
    <w:rsid w:val="000A01E1"/>
    <w:rsid w:val="000A06D5"/>
    <w:rsid w:val="000A0A2F"/>
    <w:rsid w:val="000A0AC8"/>
    <w:rsid w:val="000A0D6C"/>
    <w:rsid w:val="000A1DB8"/>
    <w:rsid w:val="000A2069"/>
    <w:rsid w:val="000A2437"/>
    <w:rsid w:val="000A3304"/>
    <w:rsid w:val="000A3413"/>
    <w:rsid w:val="000A3B79"/>
    <w:rsid w:val="000A3C8A"/>
    <w:rsid w:val="000A41EB"/>
    <w:rsid w:val="000A42DF"/>
    <w:rsid w:val="000A48AC"/>
    <w:rsid w:val="000A496F"/>
    <w:rsid w:val="000A4E86"/>
    <w:rsid w:val="000A5192"/>
    <w:rsid w:val="000A520E"/>
    <w:rsid w:val="000A5216"/>
    <w:rsid w:val="000A562F"/>
    <w:rsid w:val="000A57F9"/>
    <w:rsid w:val="000A5A40"/>
    <w:rsid w:val="000A5E0A"/>
    <w:rsid w:val="000A5F23"/>
    <w:rsid w:val="000A6175"/>
    <w:rsid w:val="000A6198"/>
    <w:rsid w:val="000A6633"/>
    <w:rsid w:val="000A6666"/>
    <w:rsid w:val="000A674B"/>
    <w:rsid w:val="000A69F2"/>
    <w:rsid w:val="000A74BB"/>
    <w:rsid w:val="000A76A9"/>
    <w:rsid w:val="000B03C9"/>
    <w:rsid w:val="000B0603"/>
    <w:rsid w:val="000B0A5D"/>
    <w:rsid w:val="000B0E65"/>
    <w:rsid w:val="000B1513"/>
    <w:rsid w:val="000B1B50"/>
    <w:rsid w:val="000B22AA"/>
    <w:rsid w:val="000B23E8"/>
    <w:rsid w:val="000B24FF"/>
    <w:rsid w:val="000B29E1"/>
    <w:rsid w:val="000B37C2"/>
    <w:rsid w:val="000B3870"/>
    <w:rsid w:val="000B40F5"/>
    <w:rsid w:val="000B43C9"/>
    <w:rsid w:val="000B4FFA"/>
    <w:rsid w:val="000B52C5"/>
    <w:rsid w:val="000B5430"/>
    <w:rsid w:val="000B5B68"/>
    <w:rsid w:val="000B5C47"/>
    <w:rsid w:val="000B6730"/>
    <w:rsid w:val="000B6993"/>
    <w:rsid w:val="000B6A41"/>
    <w:rsid w:val="000B6B1E"/>
    <w:rsid w:val="000B7441"/>
    <w:rsid w:val="000B77C0"/>
    <w:rsid w:val="000B7884"/>
    <w:rsid w:val="000B7DB5"/>
    <w:rsid w:val="000C0072"/>
    <w:rsid w:val="000C02D0"/>
    <w:rsid w:val="000C03EA"/>
    <w:rsid w:val="000C06AC"/>
    <w:rsid w:val="000C0C72"/>
    <w:rsid w:val="000C1036"/>
    <w:rsid w:val="000C1710"/>
    <w:rsid w:val="000C1C82"/>
    <w:rsid w:val="000C1DEF"/>
    <w:rsid w:val="000C24B7"/>
    <w:rsid w:val="000C29F2"/>
    <w:rsid w:val="000C3348"/>
    <w:rsid w:val="000C3412"/>
    <w:rsid w:val="000C34A0"/>
    <w:rsid w:val="000C3921"/>
    <w:rsid w:val="000C3DB2"/>
    <w:rsid w:val="000C3DF5"/>
    <w:rsid w:val="000C4131"/>
    <w:rsid w:val="000C42C8"/>
    <w:rsid w:val="000C46E4"/>
    <w:rsid w:val="000C49A8"/>
    <w:rsid w:val="000C4B29"/>
    <w:rsid w:val="000C5287"/>
    <w:rsid w:val="000C5608"/>
    <w:rsid w:val="000C584B"/>
    <w:rsid w:val="000C5DA6"/>
    <w:rsid w:val="000C603F"/>
    <w:rsid w:val="000C6707"/>
    <w:rsid w:val="000C6A4F"/>
    <w:rsid w:val="000C741F"/>
    <w:rsid w:val="000C79C4"/>
    <w:rsid w:val="000C7AD8"/>
    <w:rsid w:val="000C7C9D"/>
    <w:rsid w:val="000C7DA3"/>
    <w:rsid w:val="000C7EBE"/>
    <w:rsid w:val="000D036E"/>
    <w:rsid w:val="000D06A4"/>
    <w:rsid w:val="000D06F2"/>
    <w:rsid w:val="000D073A"/>
    <w:rsid w:val="000D08D1"/>
    <w:rsid w:val="000D0FE0"/>
    <w:rsid w:val="000D111F"/>
    <w:rsid w:val="000D12C2"/>
    <w:rsid w:val="000D16E3"/>
    <w:rsid w:val="000D1AFA"/>
    <w:rsid w:val="000D1C96"/>
    <w:rsid w:val="000D240D"/>
    <w:rsid w:val="000D2B1A"/>
    <w:rsid w:val="000D2BED"/>
    <w:rsid w:val="000D2D11"/>
    <w:rsid w:val="000D2D69"/>
    <w:rsid w:val="000D2E2F"/>
    <w:rsid w:val="000D2FCF"/>
    <w:rsid w:val="000D3645"/>
    <w:rsid w:val="000D37F8"/>
    <w:rsid w:val="000D399B"/>
    <w:rsid w:val="000D39EF"/>
    <w:rsid w:val="000D3A9D"/>
    <w:rsid w:val="000D3CC3"/>
    <w:rsid w:val="000D3DC9"/>
    <w:rsid w:val="000D3E7E"/>
    <w:rsid w:val="000D4003"/>
    <w:rsid w:val="000D414E"/>
    <w:rsid w:val="000D419E"/>
    <w:rsid w:val="000D44A4"/>
    <w:rsid w:val="000D47B9"/>
    <w:rsid w:val="000D493F"/>
    <w:rsid w:val="000D4B69"/>
    <w:rsid w:val="000D5515"/>
    <w:rsid w:val="000D5C0B"/>
    <w:rsid w:val="000D6B3F"/>
    <w:rsid w:val="000D74A4"/>
    <w:rsid w:val="000D74B8"/>
    <w:rsid w:val="000D7ADB"/>
    <w:rsid w:val="000E0161"/>
    <w:rsid w:val="000E130A"/>
    <w:rsid w:val="000E1354"/>
    <w:rsid w:val="000E13C2"/>
    <w:rsid w:val="000E1693"/>
    <w:rsid w:val="000E16CE"/>
    <w:rsid w:val="000E1A5B"/>
    <w:rsid w:val="000E21CD"/>
    <w:rsid w:val="000E22E4"/>
    <w:rsid w:val="000E237A"/>
    <w:rsid w:val="000E288E"/>
    <w:rsid w:val="000E2B8C"/>
    <w:rsid w:val="000E2E58"/>
    <w:rsid w:val="000E3043"/>
    <w:rsid w:val="000E3514"/>
    <w:rsid w:val="000E3A48"/>
    <w:rsid w:val="000E3B73"/>
    <w:rsid w:val="000E3E70"/>
    <w:rsid w:val="000E5121"/>
    <w:rsid w:val="000E515A"/>
    <w:rsid w:val="000E545B"/>
    <w:rsid w:val="000E5CF3"/>
    <w:rsid w:val="000E62AF"/>
    <w:rsid w:val="000E657C"/>
    <w:rsid w:val="000E6AA8"/>
    <w:rsid w:val="000E744F"/>
    <w:rsid w:val="000E747F"/>
    <w:rsid w:val="000E77AA"/>
    <w:rsid w:val="000E7AFF"/>
    <w:rsid w:val="000F021C"/>
    <w:rsid w:val="000F06FA"/>
    <w:rsid w:val="000F0D3D"/>
    <w:rsid w:val="000F0E30"/>
    <w:rsid w:val="000F119A"/>
    <w:rsid w:val="000F1278"/>
    <w:rsid w:val="000F1280"/>
    <w:rsid w:val="000F12B2"/>
    <w:rsid w:val="000F164E"/>
    <w:rsid w:val="000F181D"/>
    <w:rsid w:val="000F1C72"/>
    <w:rsid w:val="000F22C7"/>
    <w:rsid w:val="000F2438"/>
    <w:rsid w:val="000F2445"/>
    <w:rsid w:val="000F266F"/>
    <w:rsid w:val="000F278D"/>
    <w:rsid w:val="000F27AD"/>
    <w:rsid w:val="000F2CFC"/>
    <w:rsid w:val="000F340A"/>
    <w:rsid w:val="000F4BE8"/>
    <w:rsid w:val="000F4CED"/>
    <w:rsid w:val="000F5A35"/>
    <w:rsid w:val="000F5BB1"/>
    <w:rsid w:val="000F5CE8"/>
    <w:rsid w:val="000F5F43"/>
    <w:rsid w:val="000F604C"/>
    <w:rsid w:val="000F65EF"/>
    <w:rsid w:val="000F686C"/>
    <w:rsid w:val="000F69B8"/>
    <w:rsid w:val="000F69CD"/>
    <w:rsid w:val="000F6E57"/>
    <w:rsid w:val="000F72FA"/>
    <w:rsid w:val="000F7734"/>
    <w:rsid w:val="000F784F"/>
    <w:rsid w:val="000F7B7F"/>
    <w:rsid w:val="000F7D9E"/>
    <w:rsid w:val="00100438"/>
    <w:rsid w:val="0010061C"/>
    <w:rsid w:val="00100713"/>
    <w:rsid w:val="0010111A"/>
    <w:rsid w:val="0010129B"/>
    <w:rsid w:val="001015A8"/>
    <w:rsid w:val="0010197C"/>
    <w:rsid w:val="00101C86"/>
    <w:rsid w:val="00101CF6"/>
    <w:rsid w:val="0010286F"/>
    <w:rsid w:val="00102D2A"/>
    <w:rsid w:val="00102DDB"/>
    <w:rsid w:val="00103246"/>
    <w:rsid w:val="0010367F"/>
    <w:rsid w:val="0010372F"/>
    <w:rsid w:val="00103BC5"/>
    <w:rsid w:val="00103D1B"/>
    <w:rsid w:val="00104107"/>
    <w:rsid w:val="0010436A"/>
    <w:rsid w:val="001044D1"/>
    <w:rsid w:val="001046E6"/>
    <w:rsid w:val="001048A8"/>
    <w:rsid w:val="0010494C"/>
    <w:rsid w:val="00104984"/>
    <w:rsid w:val="00104A0F"/>
    <w:rsid w:val="00104BDC"/>
    <w:rsid w:val="00104E00"/>
    <w:rsid w:val="00104F1B"/>
    <w:rsid w:val="00105B3A"/>
    <w:rsid w:val="00105FF2"/>
    <w:rsid w:val="0010672F"/>
    <w:rsid w:val="00106C15"/>
    <w:rsid w:val="00106CE6"/>
    <w:rsid w:val="001078A8"/>
    <w:rsid w:val="00107DDA"/>
    <w:rsid w:val="00107FA9"/>
    <w:rsid w:val="00110222"/>
    <w:rsid w:val="00111251"/>
    <w:rsid w:val="00111456"/>
    <w:rsid w:val="001115A3"/>
    <w:rsid w:val="00111721"/>
    <w:rsid w:val="00111AD0"/>
    <w:rsid w:val="00111AD2"/>
    <w:rsid w:val="00111B63"/>
    <w:rsid w:val="00111F5D"/>
    <w:rsid w:val="00112253"/>
    <w:rsid w:val="001125E5"/>
    <w:rsid w:val="00112660"/>
    <w:rsid w:val="00112F8A"/>
    <w:rsid w:val="00113129"/>
    <w:rsid w:val="001136D5"/>
    <w:rsid w:val="0011415F"/>
    <w:rsid w:val="0011438F"/>
    <w:rsid w:val="00114B64"/>
    <w:rsid w:val="001157D8"/>
    <w:rsid w:val="00115B6E"/>
    <w:rsid w:val="00115C53"/>
    <w:rsid w:val="0011616D"/>
    <w:rsid w:val="001164DD"/>
    <w:rsid w:val="00116914"/>
    <w:rsid w:val="00116F3D"/>
    <w:rsid w:val="00116F4B"/>
    <w:rsid w:val="001172F8"/>
    <w:rsid w:val="0011784F"/>
    <w:rsid w:val="00117BFF"/>
    <w:rsid w:val="00117C53"/>
    <w:rsid w:val="001206CE"/>
    <w:rsid w:val="00120869"/>
    <w:rsid w:val="00121F98"/>
    <w:rsid w:val="001221CC"/>
    <w:rsid w:val="0012239D"/>
    <w:rsid w:val="001226E4"/>
    <w:rsid w:val="001227B1"/>
    <w:rsid w:val="00122CAF"/>
    <w:rsid w:val="00123704"/>
    <w:rsid w:val="00123788"/>
    <w:rsid w:val="00123A58"/>
    <w:rsid w:val="00123EA0"/>
    <w:rsid w:val="0012408B"/>
    <w:rsid w:val="001240C5"/>
    <w:rsid w:val="001242C2"/>
    <w:rsid w:val="001246CE"/>
    <w:rsid w:val="00124DCD"/>
    <w:rsid w:val="00125152"/>
    <w:rsid w:val="00125194"/>
    <w:rsid w:val="001252AE"/>
    <w:rsid w:val="00125AFB"/>
    <w:rsid w:val="00125BF2"/>
    <w:rsid w:val="0012668C"/>
    <w:rsid w:val="001266EE"/>
    <w:rsid w:val="00126913"/>
    <w:rsid w:val="00126972"/>
    <w:rsid w:val="00126A03"/>
    <w:rsid w:val="00127564"/>
    <w:rsid w:val="00127808"/>
    <w:rsid w:val="00127859"/>
    <w:rsid w:val="00127A53"/>
    <w:rsid w:val="00127E52"/>
    <w:rsid w:val="00127FC3"/>
    <w:rsid w:val="00130153"/>
    <w:rsid w:val="0013025F"/>
    <w:rsid w:val="00130362"/>
    <w:rsid w:val="00130E55"/>
    <w:rsid w:val="0013103B"/>
    <w:rsid w:val="0013117D"/>
    <w:rsid w:val="00131450"/>
    <w:rsid w:val="001316F0"/>
    <w:rsid w:val="00131D21"/>
    <w:rsid w:val="00131DD5"/>
    <w:rsid w:val="001326DE"/>
    <w:rsid w:val="00132CF9"/>
    <w:rsid w:val="00132E40"/>
    <w:rsid w:val="001339C7"/>
    <w:rsid w:val="00133B9B"/>
    <w:rsid w:val="00133B9C"/>
    <w:rsid w:val="00133EAC"/>
    <w:rsid w:val="001340D0"/>
    <w:rsid w:val="00134241"/>
    <w:rsid w:val="0013424A"/>
    <w:rsid w:val="00134762"/>
    <w:rsid w:val="00134774"/>
    <w:rsid w:val="001348C3"/>
    <w:rsid w:val="001348EC"/>
    <w:rsid w:val="00134E15"/>
    <w:rsid w:val="00135399"/>
    <w:rsid w:val="0013564A"/>
    <w:rsid w:val="00135869"/>
    <w:rsid w:val="00135C22"/>
    <w:rsid w:val="00135C54"/>
    <w:rsid w:val="00136199"/>
    <w:rsid w:val="00136386"/>
    <w:rsid w:val="001363B4"/>
    <w:rsid w:val="00136DD2"/>
    <w:rsid w:val="0013707F"/>
    <w:rsid w:val="001371E4"/>
    <w:rsid w:val="001373D2"/>
    <w:rsid w:val="001377A9"/>
    <w:rsid w:val="001378D0"/>
    <w:rsid w:val="00140274"/>
    <w:rsid w:val="00140675"/>
    <w:rsid w:val="00140FEE"/>
    <w:rsid w:val="001411A6"/>
    <w:rsid w:val="001412FD"/>
    <w:rsid w:val="0014137C"/>
    <w:rsid w:val="00141B26"/>
    <w:rsid w:val="00141F9D"/>
    <w:rsid w:val="0014244A"/>
    <w:rsid w:val="00142D48"/>
    <w:rsid w:val="001438C0"/>
    <w:rsid w:val="001439BD"/>
    <w:rsid w:val="00143EE9"/>
    <w:rsid w:val="00144054"/>
    <w:rsid w:val="00144282"/>
    <w:rsid w:val="00144B86"/>
    <w:rsid w:val="0014515F"/>
    <w:rsid w:val="001452BE"/>
    <w:rsid w:val="00145712"/>
    <w:rsid w:val="00145D24"/>
    <w:rsid w:val="001465B3"/>
    <w:rsid w:val="00146B8A"/>
    <w:rsid w:val="00146EB2"/>
    <w:rsid w:val="001470B4"/>
    <w:rsid w:val="00147272"/>
    <w:rsid w:val="00147AA7"/>
    <w:rsid w:val="00150645"/>
    <w:rsid w:val="00150797"/>
    <w:rsid w:val="00151263"/>
    <w:rsid w:val="0015193B"/>
    <w:rsid w:val="00151944"/>
    <w:rsid w:val="00152286"/>
    <w:rsid w:val="0015239E"/>
    <w:rsid w:val="0015290B"/>
    <w:rsid w:val="001529D4"/>
    <w:rsid w:val="00152AE8"/>
    <w:rsid w:val="001531BA"/>
    <w:rsid w:val="001541A4"/>
    <w:rsid w:val="00154443"/>
    <w:rsid w:val="001545B4"/>
    <w:rsid w:val="001546B4"/>
    <w:rsid w:val="001546F3"/>
    <w:rsid w:val="001547C8"/>
    <w:rsid w:val="00155783"/>
    <w:rsid w:val="001559FF"/>
    <w:rsid w:val="00155BC2"/>
    <w:rsid w:val="001560CF"/>
    <w:rsid w:val="001563DE"/>
    <w:rsid w:val="001564F9"/>
    <w:rsid w:val="0015651C"/>
    <w:rsid w:val="00156CFA"/>
    <w:rsid w:val="00156ED9"/>
    <w:rsid w:val="00156FBC"/>
    <w:rsid w:val="001575A9"/>
    <w:rsid w:val="00160040"/>
    <w:rsid w:val="0016006D"/>
    <w:rsid w:val="00160D22"/>
    <w:rsid w:val="00160DF4"/>
    <w:rsid w:val="001619D9"/>
    <w:rsid w:val="00161B08"/>
    <w:rsid w:val="00161DA3"/>
    <w:rsid w:val="0016200A"/>
    <w:rsid w:val="0016208B"/>
    <w:rsid w:val="0016266F"/>
    <w:rsid w:val="00162A8D"/>
    <w:rsid w:val="00162B6D"/>
    <w:rsid w:val="001632BB"/>
    <w:rsid w:val="001635F5"/>
    <w:rsid w:val="001640BB"/>
    <w:rsid w:val="00164260"/>
    <w:rsid w:val="00164418"/>
    <w:rsid w:val="00164C2E"/>
    <w:rsid w:val="00164F8D"/>
    <w:rsid w:val="001654C1"/>
    <w:rsid w:val="001659EB"/>
    <w:rsid w:val="00165E3C"/>
    <w:rsid w:val="00166947"/>
    <w:rsid w:val="001669F6"/>
    <w:rsid w:val="00166DE6"/>
    <w:rsid w:val="00166FFB"/>
    <w:rsid w:val="00167239"/>
    <w:rsid w:val="0016758D"/>
    <w:rsid w:val="001700AD"/>
    <w:rsid w:val="00170653"/>
    <w:rsid w:val="0017077B"/>
    <w:rsid w:val="00170842"/>
    <w:rsid w:val="0017100A"/>
    <w:rsid w:val="001710A9"/>
    <w:rsid w:val="0017120F"/>
    <w:rsid w:val="001716FE"/>
    <w:rsid w:val="001718C6"/>
    <w:rsid w:val="00172381"/>
    <w:rsid w:val="001725DD"/>
    <w:rsid w:val="00173960"/>
    <w:rsid w:val="00173FB5"/>
    <w:rsid w:val="001740E2"/>
    <w:rsid w:val="0017454B"/>
    <w:rsid w:val="001745F8"/>
    <w:rsid w:val="00174D9A"/>
    <w:rsid w:val="00175386"/>
    <w:rsid w:val="001755F8"/>
    <w:rsid w:val="00175A39"/>
    <w:rsid w:val="00175BDC"/>
    <w:rsid w:val="00176145"/>
    <w:rsid w:val="001761F5"/>
    <w:rsid w:val="001764C2"/>
    <w:rsid w:val="0017652C"/>
    <w:rsid w:val="00177049"/>
    <w:rsid w:val="001776FC"/>
    <w:rsid w:val="00180724"/>
    <w:rsid w:val="00180AE8"/>
    <w:rsid w:val="00180B9B"/>
    <w:rsid w:val="00180DB6"/>
    <w:rsid w:val="00181297"/>
    <w:rsid w:val="0018153A"/>
    <w:rsid w:val="0018164B"/>
    <w:rsid w:val="00182108"/>
    <w:rsid w:val="00182CE0"/>
    <w:rsid w:val="00183086"/>
    <w:rsid w:val="00184421"/>
    <w:rsid w:val="00184B14"/>
    <w:rsid w:val="00185AF0"/>
    <w:rsid w:val="00185B71"/>
    <w:rsid w:val="00185BDA"/>
    <w:rsid w:val="00185C03"/>
    <w:rsid w:val="0018658A"/>
    <w:rsid w:val="0018661E"/>
    <w:rsid w:val="00186C58"/>
    <w:rsid w:val="00186DEE"/>
    <w:rsid w:val="00186E9C"/>
    <w:rsid w:val="0018720F"/>
    <w:rsid w:val="00187664"/>
    <w:rsid w:val="00190801"/>
    <w:rsid w:val="00190850"/>
    <w:rsid w:val="00190A01"/>
    <w:rsid w:val="00190C3D"/>
    <w:rsid w:val="00191199"/>
    <w:rsid w:val="001911E7"/>
    <w:rsid w:val="001913CC"/>
    <w:rsid w:val="0019150D"/>
    <w:rsid w:val="00191AB7"/>
    <w:rsid w:val="00191BE6"/>
    <w:rsid w:val="00191F95"/>
    <w:rsid w:val="00191FF2"/>
    <w:rsid w:val="00192462"/>
    <w:rsid w:val="00192B9A"/>
    <w:rsid w:val="001933AE"/>
    <w:rsid w:val="00193859"/>
    <w:rsid w:val="001938C4"/>
    <w:rsid w:val="00194430"/>
    <w:rsid w:val="00194A24"/>
    <w:rsid w:val="00194F2E"/>
    <w:rsid w:val="00194F6E"/>
    <w:rsid w:val="0019525A"/>
    <w:rsid w:val="00195327"/>
    <w:rsid w:val="0019551D"/>
    <w:rsid w:val="001955BA"/>
    <w:rsid w:val="00195B3F"/>
    <w:rsid w:val="00195EDE"/>
    <w:rsid w:val="00196184"/>
    <w:rsid w:val="00196265"/>
    <w:rsid w:val="0019684C"/>
    <w:rsid w:val="00196A3F"/>
    <w:rsid w:val="00196ADC"/>
    <w:rsid w:val="001A0232"/>
    <w:rsid w:val="001A029D"/>
    <w:rsid w:val="001A05C9"/>
    <w:rsid w:val="001A0B57"/>
    <w:rsid w:val="001A0ED3"/>
    <w:rsid w:val="001A1632"/>
    <w:rsid w:val="001A1B8D"/>
    <w:rsid w:val="001A22CA"/>
    <w:rsid w:val="001A2301"/>
    <w:rsid w:val="001A284A"/>
    <w:rsid w:val="001A29E1"/>
    <w:rsid w:val="001A2FED"/>
    <w:rsid w:val="001A3065"/>
    <w:rsid w:val="001A32FE"/>
    <w:rsid w:val="001A3354"/>
    <w:rsid w:val="001A38F0"/>
    <w:rsid w:val="001A38FF"/>
    <w:rsid w:val="001A3901"/>
    <w:rsid w:val="001A3B1C"/>
    <w:rsid w:val="001A3F80"/>
    <w:rsid w:val="001A4602"/>
    <w:rsid w:val="001A4956"/>
    <w:rsid w:val="001A540F"/>
    <w:rsid w:val="001A5536"/>
    <w:rsid w:val="001A56E6"/>
    <w:rsid w:val="001A56FD"/>
    <w:rsid w:val="001A5EA0"/>
    <w:rsid w:val="001A62F0"/>
    <w:rsid w:val="001A634D"/>
    <w:rsid w:val="001A679F"/>
    <w:rsid w:val="001A6E5A"/>
    <w:rsid w:val="001A766F"/>
    <w:rsid w:val="001A76CD"/>
    <w:rsid w:val="001A7702"/>
    <w:rsid w:val="001A7A42"/>
    <w:rsid w:val="001A7C42"/>
    <w:rsid w:val="001B0353"/>
    <w:rsid w:val="001B0812"/>
    <w:rsid w:val="001B0B12"/>
    <w:rsid w:val="001B13F7"/>
    <w:rsid w:val="001B1970"/>
    <w:rsid w:val="001B1FDD"/>
    <w:rsid w:val="001B26C1"/>
    <w:rsid w:val="001B2846"/>
    <w:rsid w:val="001B2A1E"/>
    <w:rsid w:val="001B2C56"/>
    <w:rsid w:val="001B2D6A"/>
    <w:rsid w:val="001B3C31"/>
    <w:rsid w:val="001B3C60"/>
    <w:rsid w:val="001B451B"/>
    <w:rsid w:val="001B45EA"/>
    <w:rsid w:val="001B4DC4"/>
    <w:rsid w:val="001B53E2"/>
    <w:rsid w:val="001B5632"/>
    <w:rsid w:val="001B5FD6"/>
    <w:rsid w:val="001B6311"/>
    <w:rsid w:val="001B63B4"/>
    <w:rsid w:val="001B649F"/>
    <w:rsid w:val="001B6C79"/>
    <w:rsid w:val="001B6D9E"/>
    <w:rsid w:val="001B6FB7"/>
    <w:rsid w:val="001B750B"/>
    <w:rsid w:val="001B7783"/>
    <w:rsid w:val="001B7C6E"/>
    <w:rsid w:val="001B7D3D"/>
    <w:rsid w:val="001C047C"/>
    <w:rsid w:val="001C0988"/>
    <w:rsid w:val="001C0A94"/>
    <w:rsid w:val="001C0AF1"/>
    <w:rsid w:val="001C1CFF"/>
    <w:rsid w:val="001C1F8A"/>
    <w:rsid w:val="001C1F8B"/>
    <w:rsid w:val="001C2583"/>
    <w:rsid w:val="001C29AD"/>
    <w:rsid w:val="001C2BCE"/>
    <w:rsid w:val="001C354A"/>
    <w:rsid w:val="001C4577"/>
    <w:rsid w:val="001C48E1"/>
    <w:rsid w:val="001C4A3C"/>
    <w:rsid w:val="001C4A7C"/>
    <w:rsid w:val="001C51CE"/>
    <w:rsid w:val="001C59D5"/>
    <w:rsid w:val="001C60F3"/>
    <w:rsid w:val="001C62BE"/>
    <w:rsid w:val="001C62C0"/>
    <w:rsid w:val="001C67AD"/>
    <w:rsid w:val="001C70BB"/>
    <w:rsid w:val="001C77B1"/>
    <w:rsid w:val="001C7F4A"/>
    <w:rsid w:val="001D0B1F"/>
    <w:rsid w:val="001D12D4"/>
    <w:rsid w:val="001D14D3"/>
    <w:rsid w:val="001D1D0A"/>
    <w:rsid w:val="001D21F1"/>
    <w:rsid w:val="001D25F3"/>
    <w:rsid w:val="001D2661"/>
    <w:rsid w:val="001D2F0C"/>
    <w:rsid w:val="001D36D9"/>
    <w:rsid w:val="001D3EC3"/>
    <w:rsid w:val="001D4115"/>
    <w:rsid w:val="001D4553"/>
    <w:rsid w:val="001D45A2"/>
    <w:rsid w:val="001D45F9"/>
    <w:rsid w:val="001D4B30"/>
    <w:rsid w:val="001D4EFA"/>
    <w:rsid w:val="001D51A6"/>
    <w:rsid w:val="001D5518"/>
    <w:rsid w:val="001D5C9F"/>
    <w:rsid w:val="001D5D42"/>
    <w:rsid w:val="001D60B3"/>
    <w:rsid w:val="001D64A3"/>
    <w:rsid w:val="001D6BCD"/>
    <w:rsid w:val="001D7299"/>
    <w:rsid w:val="001D7339"/>
    <w:rsid w:val="001D7533"/>
    <w:rsid w:val="001D75FC"/>
    <w:rsid w:val="001D7951"/>
    <w:rsid w:val="001D7981"/>
    <w:rsid w:val="001D7D63"/>
    <w:rsid w:val="001E0054"/>
    <w:rsid w:val="001E0A78"/>
    <w:rsid w:val="001E0B94"/>
    <w:rsid w:val="001E0D3B"/>
    <w:rsid w:val="001E0FEA"/>
    <w:rsid w:val="001E11BF"/>
    <w:rsid w:val="001E199F"/>
    <w:rsid w:val="001E1B7A"/>
    <w:rsid w:val="001E20BA"/>
    <w:rsid w:val="001E234E"/>
    <w:rsid w:val="001E2796"/>
    <w:rsid w:val="001E287E"/>
    <w:rsid w:val="001E2BFE"/>
    <w:rsid w:val="001E2EBD"/>
    <w:rsid w:val="001E3877"/>
    <w:rsid w:val="001E3B43"/>
    <w:rsid w:val="001E3D3C"/>
    <w:rsid w:val="001E41EB"/>
    <w:rsid w:val="001E447F"/>
    <w:rsid w:val="001E4615"/>
    <w:rsid w:val="001E520B"/>
    <w:rsid w:val="001E5584"/>
    <w:rsid w:val="001E5676"/>
    <w:rsid w:val="001E7224"/>
    <w:rsid w:val="001E79E7"/>
    <w:rsid w:val="001F02A9"/>
    <w:rsid w:val="001F0519"/>
    <w:rsid w:val="001F0F82"/>
    <w:rsid w:val="001F1281"/>
    <w:rsid w:val="001F1322"/>
    <w:rsid w:val="001F1874"/>
    <w:rsid w:val="001F1C99"/>
    <w:rsid w:val="001F1E95"/>
    <w:rsid w:val="001F1EFD"/>
    <w:rsid w:val="001F204A"/>
    <w:rsid w:val="001F210D"/>
    <w:rsid w:val="001F222D"/>
    <w:rsid w:val="001F261D"/>
    <w:rsid w:val="001F26ED"/>
    <w:rsid w:val="001F2739"/>
    <w:rsid w:val="001F2BBB"/>
    <w:rsid w:val="001F2D9F"/>
    <w:rsid w:val="001F2EC9"/>
    <w:rsid w:val="001F30CF"/>
    <w:rsid w:val="001F356C"/>
    <w:rsid w:val="001F35CE"/>
    <w:rsid w:val="001F37A4"/>
    <w:rsid w:val="001F37E2"/>
    <w:rsid w:val="001F389B"/>
    <w:rsid w:val="001F3F59"/>
    <w:rsid w:val="001F3F68"/>
    <w:rsid w:val="001F40E8"/>
    <w:rsid w:val="001F4A44"/>
    <w:rsid w:val="001F4E57"/>
    <w:rsid w:val="001F52FD"/>
    <w:rsid w:val="001F5906"/>
    <w:rsid w:val="001F624B"/>
    <w:rsid w:val="001F62CC"/>
    <w:rsid w:val="001F6745"/>
    <w:rsid w:val="001F67CE"/>
    <w:rsid w:val="001F6C6D"/>
    <w:rsid w:val="001F6CFF"/>
    <w:rsid w:val="001F6DB0"/>
    <w:rsid w:val="001F724F"/>
    <w:rsid w:val="001F74D3"/>
    <w:rsid w:val="001F7581"/>
    <w:rsid w:val="001F79A6"/>
    <w:rsid w:val="001F7C0C"/>
    <w:rsid w:val="001F7C16"/>
    <w:rsid w:val="001F7DCB"/>
    <w:rsid w:val="001F7F80"/>
    <w:rsid w:val="00200677"/>
    <w:rsid w:val="00200AC3"/>
    <w:rsid w:val="00200B5C"/>
    <w:rsid w:val="00200F40"/>
    <w:rsid w:val="002010FD"/>
    <w:rsid w:val="002012AB"/>
    <w:rsid w:val="002012F7"/>
    <w:rsid w:val="0020163F"/>
    <w:rsid w:val="00201662"/>
    <w:rsid w:val="00201D2B"/>
    <w:rsid w:val="00201DC1"/>
    <w:rsid w:val="00201E89"/>
    <w:rsid w:val="0020200E"/>
    <w:rsid w:val="002027F6"/>
    <w:rsid w:val="00202E8A"/>
    <w:rsid w:val="0020407E"/>
    <w:rsid w:val="0020468E"/>
    <w:rsid w:val="00205FE3"/>
    <w:rsid w:val="00206124"/>
    <w:rsid w:val="00206397"/>
    <w:rsid w:val="002064CA"/>
    <w:rsid w:val="0020665D"/>
    <w:rsid w:val="002068EB"/>
    <w:rsid w:val="00206DAA"/>
    <w:rsid w:val="00206EAD"/>
    <w:rsid w:val="002074D4"/>
    <w:rsid w:val="0020750C"/>
    <w:rsid w:val="002078A4"/>
    <w:rsid w:val="00207C8C"/>
    <w:rsid w:val="00207DF2"/>
    <w:rsid w:val="00207E77"/>
    <w:rsid w:val="00207FD0"/>
    <w:rsid w:val="002102B8"/>
    <w:rsid w:val="0021036D"/>
    <w:rsid w:val="002103CF"/>
    <w:rsid w:val="002105D1"/>
    <w:rsid w:val="00210817"/>
    <w:rsid w:val="00210AF1"/>
    <w:rsid w:val="00210CC1"/>
    <w:rsid w:val="002110C7"/>
    <w:rsid w:val="002110F5"/>
    <w:rsid w:val="00211A80"/>
    <w:rsid w:val="00211A92"/>
    <w:rsid w:val="00211B3E"/>
    <w:rsid w:val="00211D2A"/>
    <w:rsid w:val="002122DC"/>
    <w:rsid w:val="0021241B"/>
    <w:rsid w:val="00212898"/>
    <w:rsid w:val="00212FF1"/>
    <w:rsid w:val="00213276"/>
    <w:rsid w:val="00213441"/>
    <w:rsid w:val="002136A0"/>
    <w:rsid w:val="002136EE"/>
    <w:rsid w:val="00213A2F"/>
    <w:rsid w:val="00213E3A"/>
    <w:rsid w:val="00214135"/>
    <w:rsid w:val="00214169"/>
    <w:rsid w:val="0021466E"/>
    <w:rsid w:val="00214B58"/>
    <w:rsid w:val="00214EA6"/>
    <w:rsid w:val="00214EC7"/>
    <w:rsid w:val="0021563C"/>
    <w:rsid w:val="002158CF"/>
    <w:rsid w:val="002159A9"/>
    <w:rsid w:val="00215F14"/>
    <w:rsid w:val="0021605C"/>
    <w:rsid w:val="00216708"/>
    <w:rsid w:val="00216DEF"/>
    <w:rsid w:val="00217314"/>
    <w:rsid w:val="00217BDC"/>
    <w:rsid w:val="00217F3E"/>
    <w:rsid w:val="00220325"/>
    <w:rsid w:val="00220561"/>
    <w:rsid w:val="00220A69"/>
    <w:rsid w:val="00220D8F"/>
    <w:rsid w:val="00220EED"/>
    <w:rsid w:val="00221013"/>
    <w:rsid w:val="0022111F"/>
    <w:rsid w:val="0022147E"/>
    <w:rsid w:val="002218AB"/>
    <w:rsid w:val="00221C09"/>
    <w:rsid w:val="00221C34"/>
    <w:rsid w:val="002226C8"/>
    <w:rsid w:val="00222B7C"/>
    <w:rsid w:val="00222BE5"/>
    <w:rsid w:val="00223686"/>
    <w:rsid w:val="00223A9F"/>
    <w:rsid w:val="00223C57"/>
    <w:rsid w:val="00223F29"/>
    <w:rsid w:val="00223FDC"/>
    <w:rsid w:val="00224067"/>
    <w:rsid w:val="0022428E"/>
    <w:rsid w:val="0022433C"/>
    <w:rsid w:val="002248EF"/>
    <w:rsid w:val="00224FDE"/>
    <w:rsid w:val="00225AD5"/>
    <w:rsid w:val="00225C4C"/>
    <w:rsid w:val="00225E8E"/>
    <w:rsid w:val="002261B0"/>
    <w:rsid w:val="00226815"/>
    <w:rsid w:val="00226CCE"/>
    <w:rsid w:val="002279CD"/>
    <w:rsid w:val="00230073"/>
    <w:rsid w:val="00230135"/>
    <w:rsid w:val="002302FF"/>
    <w:rsid w:val="00230336"/>
    <w:rsid w:val="00230507"/>
    <w:rsid w:val="00230A7B"/>
    <w:rsid w:val="002319FC"/>
    <w:rsid w:val="00231ED1"/>
    <w:rsid w:val="00232492"/>
    <w:rsid w:val="00232A6B"/>
    <w:rsid w:val="00232DCC"/>
    <w:rsid w:val="00233071"/>
    <w:rsid w:val="002332E2"/>
    <w:rsid w:val="0023364C"/>
    <w:rsid w:val="0023374B"/>
    <w:rsid w:val="00233791"/>
    <w:rsid w:val="002337D8"/>
    <w:rsid w:val="002337FE"/>
    <w:rsid w:val="002340F5"/>
    <w:rsid w:val="0023427A"/>
    <w:rsid w:val="0023428D"/>
    <w:rsid w:val="00234A12"/>
    <w:rsid w:val="00234B72"/>
    <w:rsid w:val="002351E8"/>
    <w:rsid w:val="00235CB7"/>
    <w:rsid w:val="00236027"/>
    <w:rsid w:val="0023674F"/>
    <w:rsid w:val="0023681E"/>
    <w:rsid w:val="00236C6A"/>
    <w:rsid w:val="00236D7A"/>
    <w:rsid w:val="0023735D"/>
    <w:rsid w:val="00237B37"/>
    <w:rsid w:val="002407E2"/>
    <w:rsid w:val="00240E4E"/>
    <w:rsid w:val="0024127D"/>
    <w:rsid w:val="00241523"/>
    <w:rsid w:val="0024156A"/>
    <w:rsid w:val="002418ED"/>
    <w:rsid w:val="0024193E"/>
    <w:rsid w:val="00241C40"/>
    <w:rsid w:val="00241D6F"/>
    <w:rsid w:val="002422F0"/>
    <w:rsid w:val="00242360"/>
    <w:rsid w:val="002424FD"/>
    <w:rsid w:val="00242624"/>
    <w:rsid w:val="0024270E"/>
    <w:rsid w:val="00242A15"/>
    <w:rsid w:val="00242AE2"/>
    <w:rsid w:val="0024336B"/>
    <w:rsid w:val="00243942"/>
    <w:rsid w:val="002443FC"/>
    <w:rsid w:val="002444C3"/>
    <w:rsid w:val="0024484C"/>
    <w:rsid w:val="0024498F"/>
    <w:rsid w:val="00244A9F"/>
    <w:rsid w:val="00244D8C"/>
    <w:rsid w:val="00245092"/>
    <w:rsid w:val="002450D6"/>
    <w:rsid w:val="002451DD"/>
    <w:rsid w:val="0024557E"/>
    <w:rsid w:val="002455D4"/>
    <w:rsid w:val="002457D0"/>
    <w:rsid w:val="00245B80"/>
    <w:rsid w:val="00245C01"/>
    <w:rsid w:val="00245C4E"/>
    <w:rsid w:val="00245D04"/>
    <w:rsid w:val="00246B93"/>
    <w:rsid w:val="00247171"/>
    <w:rsid w:val="002471FD"/>
    <w:rsid w:val="00247A9F"/>
    <w:rsid w:val="00247DAC"/>
    <w:rsid w:val="00250059"/>
    <w:rsid w:val="00250242"/>
    <w:rsid w:val="002509B1"/>
    <w:rsid w:val="00250BFD"/>
    <w:rsid w:val="00250DD9"/>
    <w:rsid w:val="002513B7"/>
    <w:rsid w:val="00251447"/>
    <w:rsid w:val="0025144B"/>
    <w:rsid w:val="00251DBE"/>
    <w:rsid w:val="00252268"/>
    <w:rsid w:val="0025286E"/>
    <w:rsid w:val="002539ED"/>
    <w:rsid w:val="00253D77"/>
    <w:rsid w:val="00253FD6"/>
    <w:rsid w:val="002542F5"/>
    <w:rsid w:val="0025480A"/>
    <w:rsid w:val="00254AF9"/>
    <w:rsid w:val="00254D3C"/>
    <w:rsid w:val="00255199"/>
    <w:rsid w:val="00255276"/>
    <w:rsid w:val="00255846"/>
    <w:rsid w:val="002559F8"/>
    <w:rsid w:val="00255D1A"/>
    <w:rsid w:val="00256271"/>
    <w:rsid w:val="00256529"/>
    <w:rsid w:val="002569D8"/>
    <w:rsid w:val="00256A52"/>
    <w:rsid w:val="00256A6D"/>
    <w:rsid w:val="002573C3"/>
    <w:rsid w:val="0025781E"/>
    <w:rsid w:val="00257DF4"/>
    <w:rsid w:val="0026008B"/>
    <w:rsid w:val="002610F2"/>
    <w:rsid w:val="00261110"/>
    <w:rsid w:val="00261256"/>
    <w:rsid w:val="002613EF"/>
    <w:rsid w:val="002614B1"/>
    <w:rsid w:val="00261631"/>
    <w:rsid w:val="0026227E"/>
    <w:rsid w:val="002628CA"/>
    <w:rsid w:val="00262E6A"/>
    <w:rsid w:val="00262EFA"/>
    <w:rsid w:val="00263059"/>
    <w:rsid w:val="0026311D"/>
    <w:rsid w:val="002632EA"/>
    <w:rsid w:val="00263B10"/>
    <w:rsid w:val="00263DE7"/>
    <w:rsid w:val="00264632"/>
    <w:rsid w:val="00264C10"/>
    <w:rsid w:val="00265291"/>
    <w:rsid w:val="0026597E"/>
    <w:rsid w:val="00265AC9"/>
    <w:rsid w:val="00265D95"/>
    <w:rsid w:val="00266293"/>
    <w:rsid w:val="0026634E"/>
    <w:rsid w:val="00266529"/>
    <w:rsid w:val="00266717"/>
    <w:rsid w:val="0026679E"/>
    <w:rsid w:val="00266BD9"/>
    <w:rsid w:val="0026712F"/>
    <w:rsid w:val="002672BB"/>
    <w:rsid w:val="00267EF3"/>
    <w:rsid w:val="00270043"/>
    <w:rsid w:val="00270072"/>
    <w:rsid w:val="00271619"/>
    <w:rsid w:val="002719F2"/>
    <w:rsid w:val="00271C3C"/>
    <w:rsid w:val="0027228F"/>
    <w:rsid w:val="00272344"/>
    <w:rsid w:val="002724A1"/>
    <w:rsid w:val="0027266F"/>
    <w:rsid w:val="002726A8"/>
    <w:rsid w:val="00272734"/>
    <w:rsid w:val="00272B96"/>
    <w:rsid w:val="00272DA6"/>
    <w:rsid w:val="00273556"/>
    <w:rsid w:val="00274C60"/>
    <w:rsid w:val="0027537F"/>
    <w:rsid w:val="0027543C"/>
    <w:rsid w:val="002756F5"/>
    <w:rsid w:val="00275C44"/>
    <w:rsid w:val="00276057"/>
    <w:rsid w:val="00276272"/>
    <w:rsid w:val="0027634E"/>
    <w:rsid w:val="00276886"/>
    <w:rsid w:val="00276A3C"/>
    <w:rsid w:val="00276E85"/>
    <w:rsid w:val="002779A2"/>
    <w:rsid w:val="00277A44"/>
    <w:rsid w:val="00277C17"/>
    <w:rsid w:val="00277E06"/>
    <w:rsid w:val="0028017C"/>
    <w:rsid w:val="002802CE"/>
    <w:rsid w:val="00280B8B"/>
    <w:rsid w:val="00280D3C"/>
    <w:rsid w:val="00280DD9"/>
    <w:rsid w:val="00280FDF"/>
    <w:rsid w:val="002811AA"/>
    <w:rsid w:val="00281367"/>
    <w:rsid w:val="00281470"/>
    <w:rsid w:val="00281504"/>
    <w:rsid w:val="0028150A"/>
    <w:rsid w:val="00281566"/>
    <w:rsid w:val="00281A7B"/>
    <w:rsid w:val="00282626"/>
    <w:rsid w:val="00282896"/>
    <w:rsid w:val="00282CEB"/>
    <w:rsid w:val="00283240"/>
    <w:rsid w:val="0028324D"/>
    <w:rsid w:val="00283B70"/>
    <w:rsid w:val="00283C39"/>
    <w:rsid w:val="00283E80"/>
    <w:rsid w:val="00284142"/>
    <w:rsid w:val="00284901"/>
    <w:rsid w:val="00284CB8"/>
    <w:rsid w:val="00284FDF"/>
    <w:rsid w:val="0028506A"/>
    <w:rsid w:val="0028509A"/>
    <w:rsid w:val="002850B0"/>
    <w:rsid w:val="0028535B"/>
    <w:rsid w:val="002855FB"/>
    <w:rsid w:val="0028579D"/>
    <w:rsid w:val="002857B5"/>
    <w:rsid w:val="00285BF8"/>
    <w:rsid w:val="00285F34"/>
    <w:rsid w:val="002863D7"/>
    <w:rsid w:val="00286AB0"/>
    <w:rsid w:val="00286DC0"/>
    <w:rsid w:val="00286F9A"/>
    <w:rsid w:val="002873B4"/>
    <w:rsid w:val="0028747D"/>
    <w:rsid w:val="0028785F"/>
    <w:rsid w:val="00287BF4"/>
    <w:rsid w:val="00287C49"/>
    <w:rsid w:val="00287CDA"/>
    <w:rsid w:val="00290F02"/>
    <w:rsid w:val="00291012"/>
    <w:rsid w:val="00291C09"/>
    <w:rsid w:val="00291CBE"/>
    <w:rsid w:val="002920C3"/>
    <w:rsid w:val="0029228A"/>
    <w:rsid w:val="002923D7"/>
    <w:rsid w:val="002924F7"/>
    <w:rsid w:val="0029251C"/>
    <w:rsid w:val="00292605"/>
    <w:rsid w:val="00292AB5"/>
    <w:rsid w:val="00292B2A"/>
    <w:rsid w:val="00293094"/>
    <w:rsid w:val="00293321"/>
    <w:rsid w:val="00293736"/>
    <w:rsid w:val="00293ACD"/>
    <w:rsid w:val="00293C56"/>
    <w:rsid w:val="00294ACA"/>
    <w:rsid w:val="002950EB"/>
    <w:rsid w:val="00295C37"/>
    <w:rsid w:val="00295FED"/>
    <w:rsid w:val="00296681"/>
    <w:rsid w:val="0029679B"/>
    <w:rsid w:val="002967B4"/>
    <w:rsid w:val="00296819"/>
    <w:rsid w:val="00296B1C"/>
    <w:rsid w:val="0029748E"/>
    <w:rsid w:val="00297A77"/>
    <w:rsid w:val="002A0216"/>
    <w:rsid w:val="002A053F"/>
    <w:rsid w:val="002A0542"/>
    <w:rsid w:val="002A1059"/>
    <w:rsid w:val="002A13A5"/>
    <w:rsid w:val="002A149B"/>
    <w:rsid w:val="002A152F"/>
    <w:rsid w:val="002A2BA3"/>
    <w:rsid w:val="002A340E"/>
    <w:rsid w:val="002A3455"/>
    <w:rsid w:val="002A36B9"/>
    <w:rsid w:val="002A3BA7"/>
    <w:rsid w:val="002A43C2"/>
    <w:rsid w:val="002A43E4"/>
    <w:rsid w:val="002A46DF"/>
    <w:rsid w:val="002A4B1C"/>
    <w:rsid w:val="002A4E9D"/>
    <w:rsid w:val="002A5119"/>
    <w:rsid w:val="002A5603"/>
    <w:rsid w:val="002A58E5"/>
    <w:rsid w:val="002A5C87"/>
    <w:rsid w:val="002A633D"/>
    <w:rsid w:val="002A63E8"/>
    <w:rsid w:val="002A645A"/>
    <w:rsid w:val="002A657D"/>
    <w:rsid w:val="002A65D7"/>
    <w:rsid w:val="002A69FA"/>
    <w:rsid w:val="002A6B4D"/>
    <w:rsid w:val="002A6F40"/>
    <w:rsid w:val="002A729B"/>
    <w:rsid w:val="002A783A"/>
    <w:rsid w:val="002B05CB"/>
    <w:rsid w:val="002B06DA"/>
    <w:rsid w:val="002B0798"/>
    <w:rsid w:val="002B0870"/>
    <w:rsid w:val="002B1814"/>
    <w:rsid w:val="002B1B65"/>
    <w:rsid w:val="002B24DD"/>
    <w:rsid w:val="002B2DC7"/>
    <w:rsid w:val="002B30FA"/>
    <w:rsid w:val="002B329E"/>
    <w:rsid w:val="002B3873"/>
    <w:rsid w:val="002B3992"/>
    <w:rsid w:val="002B3EE7"/>
    <w:rsid w:val="002B3F12"/>
    <w:rsid w:val="002B5038"/>
    <w:rsid w:val="002B58BB"/>
    <w:rsid w:val="002B597E"/>
    <w:rsid w:val="002B69A9"/>
    <w:rsid w:val="002B7871"/>
    <w:rsid w:val="002B78C6"/>
    <w:rsid w:val="002B7F05"/>
    <w:rsid w:val="002C02DB"/>
    <w:rsid w:val="002C0D12"/>
    <w:rsid w:val="002C1279"/>
    <w:rsid w:val="002C1866"/>
    <w:rsid w:val="002C1BA9"/>
    <w:rsid w:val="002C2280"/>
    <w:rsid w:val="002C23E6"/>
    <w:rsid w:val="002C2F10"/>
    <w:rsid w:val="002C2FB8"/>
    <w:rsid w:val="002C438A"/>
    <w:rsid w:val="002C43F8"/>
    <w:rsid w:val="002C471E"/>
    <w:rsid w:val="002C49A5"/>
    <w:rsid w:val="002C4B3D"/>
    <w:rsid w:val="002C4C60"/>
    <w:rsid w:val="002C4D0E"/>
    <w:rsid w:val="002C4EA1"/>
    <w:rsid w:val="002C4F5D"/>
    <w:rsid w:val="002C4FD8"/>
    <w:rsid w:val="002C526F"/>
    <w:rsid w:val="002C5733"/>
    <w:rsid w:val="002C5785"/>
    <w:rsid w:val="002C5C99"/>
    <w:rsid w:val="002C5E3B"/>
    <w:rsid w:val="002C6334"/>
    <w:rsid w:val="002C6A37"/>
    <w:rsid w:val="002C6BB2"/>
    <w:rsid w:val="002C6C97"/>
    <w:rsid w:val="002C6CD4"/>
    <w:rsid w:val="002C6ED0"/>
    <w:rsid w:val="002C7613"/>
    <w:rsid w:val="002D1321"/>
    <w:rsid w:val="002D15E3"/>
    <w:rsid w:val="002D18F6"/>
    <w:rsid w:val="002D1B8B"/>
    <w:rsid w:val="002D27F2"/>
    <w:rsid w:val="002D3867"/>
    <w:rsid w:val="002D39E9"/>
    <w:rsid w:val="002D410B"/>
    <w:rsid w:val="002D47D3"/>
    <w:rsid w:val="002D5BF7"/>
    <w:rsid w:val="002D5CF7"/>
    <w:rsid w:val="002D65C8"/>
    <w:rsid w:val="002D67DF"/>
    <w:rsid w:val="002D764A"/>
    <w:rsid w:val="002D7ECF"/>
    <w:rsid w:val="002E05A2"/>
    <w:rsid w:val="002E06D5"/>
    <w:rsid w:val="002E1032"/>
    <w:rsid w:val="002E157E"/>
    <w:rsid w:val="002E23CF"/>
    <w:rsid w:val="002E2EB6"/>
    <w:rsid w:val="002E2FE9"/>
    <w:rsid w:val="002E3D10"/>
    <w:rsid w:val="002E3FBD"/>
    <w:rsid w:val="002E467C"/>
    <w:rsid w:val="002E4A22"/>
    <w:rsid w:val="002E4C03"/>
    <w:rsid w:val="002E50AF"/>
    <w:rsid w:val="002E5126"/>
    <w:rsid w:val="002E56D7"/>
    <w:rsid w:val="002E574D"/>
    <w:rsid w:val="002E5A1B"/>
    <w:rsid w:val="002E5CB2"/>
    <w:rsid w:val="002E6020"/>
    <w:rsid w:val="002E612E"/>
    <w:rsid w:val="002E6284"/>
    <w:rsid w:val="002E6B0D"/>
    <w:rsid w:val="002E70F7"/>
    <w:rsid w:val="002E7629"/>
    <w:rsid w:val="002E763A"/>
    <w:rsid w:val="002E7AFA"/>
    <w:rsid w:val="002F04E6"/>
    <w:rsid w:val="002F0506"/>
    <w:rsid w:val="002F0519"/>
    <w:rsid w:val="002F0690"/>
    <w:rsid w:val="002F0D1A"/>
    <w:rsid w:val="002F0E44"/>
    <w:rsid w:val="002F1D10"/>
    <w:rsid w:val="002F265D"/>
    <w:rsid w:val="002F29CF"/>
    <w:rsid w:val="002F2D11"/>
    <w:rsid w:val="002F30FC"/>
    <w:rsid w:val="002F396C"/>
    <w:rsid w:val="002F3D73"/>
    <w:rsid w:val="002F3DA0"/>
    <w:rsid w:val="002F4418"/>
    <w:rsid w:val="002F474B"/>
    <w:rsid w:val="002F494B"/>
    <w:rsid w:val="002F4A27"/>
    <w:rsid w:val="002F4ABF"/>
    <w:rsid w:val="002F4CE1"/>
    <w:rsid w:val="002F4E14"/>
    <w:rsid w:val="002F4E1C"/>
    <w:rsid w:val="002F52C5"/>
    <w:rsid w:val="002F57B5"/>
    <w:rsid w:val="002F57E5"/>
    <w:rsid w:val="002F5C96"/>
    <w:rsid w:val="002F5E96"/>
    <w:rsid w:val="002F61CE"/>
    <w:rsid w:val="002F6482"/>
    <w:rsid w:val="002F67AD"/>
    <w:rsid w:val="002F69B8"/>
    <w:rsid w:val="002F6A65"/>
    <w:rsid w:val="002F6F42"/>
    <w:rsid w:val="003000A6"/>
    <w:rsid w:val="0030053D"/>
    <w:rsid w:val="003008A3"/>
    <w:rsid w:val="00300DFF"/>
    <w:rsid w:val="00300E7D"/>
    <w:rsid w:val="00300F22"/>
    <w:rsid w:val="00301196"/>
    <w:rsid w:val="003011BD"/>
    <w:rsid w:val="00301502"/>
    <w:rsid w:val="00301543"/>
    <w:rsid w:val="00301563"/>
    <w:rsid w:val="00301CCF"/>
    <w:rsid w:val="00301F90"/>
    <w:rsid w:val="00302064"/>
    <w:rsid w:val="003026A0"/>
    <w:rsid w:val="00302B46"/>
    <w:rsid w:val="00302C05"/>
    <w:rsid w:val="00302EC3"/>
    <w:rsid w:val="00303179"/>
    <w:rsid w:val="003033CB"/>
    <w:rsid w:val="003035C3"/>
    <w:rsid w:val="003035D1"/>
    <w:rsid w:val="0030363E"/>
    <w:rsid w:val="00303684"/>
    <w:rsid w:val="003036B9"/>
    <w:rsid w:val="00303836"/>
    <w:rsid w:val="0030383C"/>
    <w:rsid w:val="00303AA5"/>
    <w:rsid w:val="00303B46"/>
    <w:rsid w:val="00304A37"/>
    <w:rsid w:val="00304EB2"/>
    <w:rsid w:val="003059BD"/>
    <w:rsid w:val="00305CD4"/>
    <w:rsid w:val="00305F3F"/>
    <w:rsid w:val="0030610F"/>
    <w:rsid w:val="00306CAB"/>
    <w:rsid w:val="00307069"/>
    <w:rsid w:val="003074C1"/>
    <w:rsid w:val="003101D3"/>
    <w:rsid w:val="0031040E"/>
    <w:rsid w:val="003104B3"/>
    <w:rsid w:val="00310A44"/>
    <w:rsid w:val="00310ED4"/>
    <w:rsid w:val="00311CD3"/>
    <w:rsid w:val="00312175"/>
    <w:rsid w:val="0031221F"/>
    <w:rsid w:val="00312301"/>
    <w:rsid w:val="003125A8"/>
    <w:rsid w:val="003125EA"/>
    <w:rsid w:val="00312625"/>
    <w:rsid w:val="00312C88"/>
    <w:rsid w:val="00312E91"/>
    <w:rsid w:val="00312F3C"/>
    <w:rsid w:val="00313C9A"/>
    <w:rsid w:val="00313CBA"/>
    <w:rsid w:val="0031400A"/>
    <w:rsid w:val="0031460B"/>
    <w:rsid w:val="00314648"/>
    <w:rsid w:val="003147E9"/>
    <w:rsid w:val="003148E1"/>
    <w:rsid w:val="0031492A"/>
    <w:rsid w:val="00314A84"/>
    <w:rsid w:val="003155A8"/>
    <w:rsid w:val="00315B47"/>
    <w:rsid w:val="00316340"/>
    <w:rsid w:val="003169B8"/>
    <w:rsid w:val="00316C1A"/>
    <w:rsid w:val="003174EA"/>
    <w:rsid w:val="00317C25"/>
    <w:rsid w:val="00317D15"/>
    <w:rsid w:val="00317DC2"/>
    <w:rsid w:val="00320080"/>
    <w:rsid w:val="003200D1"/>
    <w:rsid w:val="003202B8"/>
    <w:rsid w:val="00320504"/>
    <w:rsid w:val="00320D39"/>
    <w:rsid w:val="00321946"/>
    <w:rsid w:val="00321974"/>
    <w:rsid w:val="003223BA"/>
    <w:rsid w:val="00322AA2"/>
    <w:rsid w:val="00322B52"/>
    <w:rsid w:val="00322C08"/>
    <w:rsid w:val="00323C73"/>
    <w:rsid w:val="00323E90"/>
    <w:rsid w:val="00324325"/>
    <w:rsid w:val="00324480"/>
    <w:rsid w:val="00325060"/>
    <w:rsid w:val="0032507B"/>
    <w:rsid w:val="003251EC"/>
    <w:rsid w:val="00325440"/>
    <w:rsid w:val="00325679"/>
    <w:rsid w:val="00325C83"/>
    <w:rsid w:val="00325C86"/>
    <w:rsid w:val="00325CF8"/>
    <w:rsid w:val="00325E3B"/>
    <w:rsid w:val="00325F30"/>
    <w:rsid w:val="003260F3"/>
    <w:rsid w:val="003263DA"/>
    <w:rsid w:val="00326816"/>
    <w:rsid w:val="0032794B"/>
    <w:rsid w:val="00327A17"/>
    <w:rsid w:val="00327C9E"/>
    <w:rsid w:val="00327F12"/>
    <w:rsid w:val="00327F9E"/>
    <w:rsid w:val="0033045A"/>
    <w:rsid w:val="003304C0"/>
    <w:rsid w:val="0033058E"/>
    <w:rsid w:val="0033061D"/>
    <w:rsid w:val="003309C2"/>
    <w:rsid w:val="00330F71"/>
    <w:rsid w:val="00331141"/>
    <w:rsid w:val="0033115A"/>
    <w:rsid w:val="003311A7"/>
    <w:rsid w:val="00331991"/>
    <w:rsid w:val="00331AC1"/>
    <w:rsid w:val="00331CE3"/>
    <w:rsid w:val="00331EE0"/>
    <w:rsid w:val="00332901"/>
    <w:rsid w:val="00332B61"/>
    <w:rsid w:val="00332D57"/>
    <w:rsid w:val="0033342E"/>
    <w:rsid w:val="00333589"/>
    <w:rsid w:val="00333D6E"/>
    <w:rsid w:val="00333F68"/>
    <w:rsid w:val="003341C9"/>
    <w:rsid w:val="0033484A"/>
    <w:rsid w:val="00334F6A"/>
    <w:rsid w:val="00334FB5"/>
    <w:rsid w:val="003353A2"/>
    <w:rsid w:val="003357DE"/>
    <w:rsid w:val="0033690B"/>
    <w:rsid w:val="003372E3"/>
    <w:rsid w:val="003373D9"/>
    <w:rsid w:val="00337CEE"/>
    <w:rsid w:val="00337FD0"/>
    <w:rsid w:val="00340087"/>
    <w:rsid w:val="003409E9"/>
    <w:rsid w:val="00340E0C"/>
    <w:rsid w:val="00340EBF"/>
    <w:rsid w:val="0034114B"/>
    <w:rsid w:val="00341166"/>
    <w:rsid w:val="00341467"/>
    <w:rsid w:val="00341856"/>
    <w:rsid w:val="003418B7"/>
    <w:rsid w:val="003419A9"/>
    <w:rsid w:val="00341DFC"/>
    <w:rsid w:val="0034224F"/>
    <w:rsid w:val="003423F4"/>
    <w:rsid w:val="00342B2B"/>
    <w:rsid w:val="0034344D"/>
    <w:rsid w:val="00343728"/>
    <w:rsid w:val="00343FF6"/>
    <w:rsid w:val="003446B1"/>
    <w:rsid w:val="00344758"/>
    <w:rsid w:val="00344815"/>
    <w:rsid w:val="00344D7A"/>
    <w:rsid w:val="00344EBD"/>
    <w:rsid w:val="0034503A"/>
    <w:rsid w:val="0034520B"/>
    <w:rsid w:val="003452AE"/>
    <w:rsid w:val="0034538D"/>
    <w:rsid w:val="00345D13"/>
    <w:rsid w:val="00346197"/>
    <w:rsid w:val="0034622E"/>
    <w:rsid w:val="003462CB"/>
    <w:rsid w:val="00347142"/>
    <w:rsid w:val="00347A90"/>
    <w:rsid w:val="00347B47"/>
    <w:rsid w:val="00347BA3"/>
    <w:rsid w:val="0035047B"/>
    <w:rsid w:val="00350D1B"/>
    <w:rsid w:val="00350F54"/>
    <w:rsid w:val="003516FF"/>
    <w:rsid w:val="00351949"/>
    <w:rsid w:val="00351F35"/>
    <w:rsid w:val="00352061"/>
    <w:rsid w:val="003528DF"/>
    <w:rsid w:val="00352D8D"/>
    <w:rsid w:val="00353A93"/>
    <w:rsid w:val="00353A95"/>
    <w:rsid w:val="00353D15"/>
    <w:rsid w:val="00353EC4"/>
    <w:rsid w:val="00354A97"/>
    <w:rsid w:val="00354D84"/>
    <w:rsid w:val="003550E0"/>
    <w:rsid w:val="003553A1"/>
    <w:rsid w:val="00355753"/>
    <w:rsid w:val="00355D82"/>
    <w:rsid w:val="00355ECB"/>
    <w:rsid w:val="0035605F"/>
    <w:rsid w:val="0035630F"/>
    <w:rsid w:val="003565A8"/>
    <w:rsid w:val="003566EA"/>
    <w:rsid w:val="003566FF"/>
    <w:rsid w:val="0035692B"/>
    <w:rsid w:val="00356C06"/>
    <w:rsid w:val="0035716B"/>
    <w:rsid w:val="00357985"/>
    <w:rsid w:val="00357D1E"/>
    <w:rsid w:val="003602AB"/>
    <w:rsid w:val="003608C7"/>
    <w:rsid w:val="00360AC2"/>
    <w:rsid w:val="00360F55"/>
    <w:rsid w:val="003615A6"/>
    <w:rsid w:val="0036163E"/>
    <w:rsid w:val="00361C3C"/>
    <w:rsid w:val="0036265B"/>
    <w:rsid w:val="003629DE"/>
    <w:rsid w:val="00362C8B"/>
    <w:rsid w:val="003639B8"/>
    <w:rsid w:val="00364E18"/>
    <w:rsid w:val="003651B5"/>
    <w:rsid w:val="0036523D"/>
    <w:rsid w:val="0036547F"/>
    <w:rsid w:val="00365A7D"/>
    <w:rsid w:val="00365E59"/>
    <w:rsid w:val="00365F01"/>
    <w:rsid w:val="003661C0"/>
    <w:rsid w:val="003663DE"/>
    <w:rsid w:val="00366B46"/>
    <w:rsid w:val="00366E42"/>
    <w:rsid w:val="00367473"/>
    <w:rsid w:val="00367522"/>
    <w:rsid w:val="00367C9C"/>
    <w:rsid w:val="00367D75"/>
    <w:rsid w:val="00370078"/>
    <w:rsid w:val="0037019B"/>
    <w:rsid w:val="00370655"/>
    <w:rsid w:val="00370CBA"/>
    <w:rsid w:val="003710F5"/>
    <w:rsid w:val="00371445"/>
    <w:rsid w:val="00371692"/>
    <w:rsid w:val="003716DA"/>
    <w:rsid w:val="003717FD"/>
    <w:rsid w:val="003718AB"/>
    <w:rsid w:val="003724A2"/>
    <w:rsid w:val="00372C79"/>
    <w:rsid w:val="00372CE3"/>
    <w:rsid w:val="00372E23"/>
    <w:rsid w:val="003731FB"/>
    <w:rsid w:val="003734B1"/>
    <w:rsid w:val="00373B7D"/>
    <w:rsid w:val="00374136"/>
    <w:rsid w:val="003748A4"/>
    <w:rsid w:val="003748F1"/>
    <w:rsid w:val="00374C21"/>
    <w:rsid w:val="00375296"/>
    <w:rsid w:val="0037540F"/>
    <w:rsid w:val="003758A3"/>
    <w:rsid w:val="003759EE"/>
    <w:rsid w:val="00375D9E"/>
    <w:rsid w:val="0037645B"/>
    <w:rsid w:val="00376E19"/>
    <w:rsid w:val="00377129"/>
    <w:rsid w:val="003771AF"/>
    <w:rsid w:val="003772EF"/>
    <w:rsid w:val="003775E5"/>
    <w:rsid w:val="00377AD1"/>
    <w:rsid w:val="003803F4"/>
    <w:rsid w:val="003807D1"/>
    <w:rsid w:val="00380D77"/>
    <w:rsid w:val="0038191D"/>
    <w:rsid w:val="0038201E"/>
    <w:rsid w:val="003821E2"/>
    <w:rsid w:val="00382361"/>
    <w:rsid w:val="0038294E"/>
    <w:rsid w:val="00382FE0"/>
    <w:rsid w:val="003831D9"/>
    <w:rsid w:val="003834A8"/>
    <w:rsid w:val="0038351F"/>
    <w:rsid w:val="00383525"/>
    <w:rsid w:val="003837F6"/>
    <w:rsid w:val="003838ED"/>
    <w:rsid w:val="00383B1B"/>
    <w:rsid w:val="00384018"/>
    <w:rsid w:val="00384196"/>
    <w:rsid w:val="00384445"/>
    <w:rsid w:val="00384958"/>
    <w:rsid w:val="00384EA0"/>
    <w:rsid w:val="00384F9B"/>
    <w:rsid w:val="0038523F"/>
    <w:rsid w:val="003854FD"/>
    <w:rsid w:val="00385816"/>
    <w:rsid w:val="0038610B"/>
    <w:rsid w:val="00386C76"/>
    <w:rsid w:val="00386E33"/>
    <w:rsid w:val="00386F47"/>
    <w:rsid w:val="0038788A"/>
    <w:rsid w:val="00387B62"/>
    <w:rsid w:val="00387C5C"/>
    <w:rsid w:val="00387DE8"/>
    <w:rsid w:val="003903D5"/>
    <w:rsid w:val="00390E1B"/>
    <w:rsid w:val="00391959"/>
    <w:rsid w:val="003919C4"/>
    <w:rsid w:val="00391B51"/>
    <w:rsid w:val="00391C4F"/>
    <w:rsid w:val="00391E1B"/>
    <w:rsid w:val="00392BD4"/>
    <w:rsid w:val="00392DBF"/>
    <w:rsid w:val="003934E9"/>
    <w:rsid w:val="00393579"/>
    <w:rsid w:val="003936EC"/>
    <w:rsid w:val="00393710"/>
    <w:rsid w:val="003937D6"/>
    <w:rsid w:val="00393827"/>
    <w:rsid w:val="00393B7F"/>
    <w:rsid w:val="00393DA7"/>
    <w:rsid w:val="00393E5E"/>
    <w:rsid w:val="003942F8"/>
    <w:rsid w:val="00394423"/>
    <w:rsid w:val="003945E1"/>
    <w:rsid w:val="00394BA9"/>
    <w:rsid w:val="00394BD1"/>
    <w:rsid w:val="003955D0"/>
    <w:rsid w:val="003959A3"/>
    <w:rsid w:val="00395CD6"/>
    <w:rsid w:val="0039623F"/>
    <w:rsid w:val="003964F8"/>
    <w:rsid w:val="00396A4E"/>
    <w:rsid w:val="00396C17"/>
    <w:rsid w:val="003978B8"/>
    <w:rsid w:val="00397BFC"/>
    <w:rsid w:val="00397C64"/>
    <w:rsid w:val="003A0A6E"/>
    <w:rsid w:val="003A0B7F"/>
    <w:rsid w:val="003A0ED2"/>
    <w:rsid w:val="003A1096"/>
    <w:rsid w:val="003A11E5"/>
    <w:rsid w:val="003A1245"/>
    <w:rsid w:val="003A168E"/>
    <w:rsid w:val="003A1968"/>
    <w:rsid w:val="003A1F9B"/>
    <w:rsid w:val="003A2238"/>
    <w:rsid w:val="003A34A1"/>
    <w:rsid w:val="003A36F7"/>
    <w:rsid w:val="003A3B61"/>
    <w:rsid w:val="003A3CB5"/>
    <w:rsid w:val="003A4001"/>
    <w:rsid w:val="003A48B7"/>
    <w:rsid w:val="003A4BCB"/>
    <w:rsid w:val="003A5143"/>
    <w:rsid w:val="003A5618"/>
    <w:rsid w:val="003A56C7"/>
    <w:rsid w:val="003A5822"/>
    <w:rsid w:val="003A66EB"/>
    <w:rsid w:val="003A6D6C"/>
    <w:rsid w:val="003A766B"/>
    <w:rsid w:val="003A780B"/>
    <w:rsid w:val="003A7957"/>
    <w:rsid w:val="003A7989"/>
    <w:rsid w:val="003A7EFD"/>
    <w:rsid w:val="003B053E"/>
    <w:rsid w:val="003B0F54"/>
    <w:rsid w:val="003B10B1"/>
    <w:rsid w:val="003B1428"/>
    <w:rsid w:val="003B1824"/>
    <w:rsid w:val="003B1C9A"/>
    <w:rsid w:val="003B1E25"/>
    <w:rsid w:val="003B21DC"/>
    <w:rsid w:val="003B2803"/>
    <w:rsid w:val="003B2BF1"/>
    <w:rsid w:val="003B31A9"/>
    <w:rsid w:val="003B3BD8"/>
    <w:rsid w:val="003B3F18"/>
    <w:rsid w:val="003B4066"/>
    <w:rsid w:val="003B4271"/>
    <w:rsid w:val="003B4883"/>
    <w:rsid w:val="003B4910"/>
    <w:rsid w:val="003B4D82"/>
    <w:rsid w:val="003B4EA0"/>
    <w:rsid w:val="003B53BD"/>
    <w:rsid w:val="003B5F78"/>
    <w:rsid w:val="003B653D"/>
    <w:rsid w:val="003B6660"/>
    <w:rsid w:val="003B67AD"/>
    <w:rsid w:val="003B681C"/>
    <w:rsid w:val="003B695A"/>
    <w:rsid w:val="003B6D35"/>
    <w:rsid w:val="003B6D5C"/>
    <w:rsid w:val="003B71E6"/>
    <w:rsid w:val="003B7413"/>
    <w:rsid w:val="003B74FF"/>
    <w:rsid w:val="003B7673"/>
    <w:rsid w:val="003B7BFC"/>
    <w:rsid w:val="003C10F8"/>
    <w:rsid w:val="003C1159"/>
    <w:rsid w:val="003C163B"/>
    <w:rsid w:val="003C1765"/>
    <w:rsid w:val="003C1C4C"/>
    <w:rsid w:val="003C2076"/>
    <w:rsid w:val="003C2275"/>
    <w:rsid w:val="003C2875"/>
    <w:rsid w:val="003C2A7F"/>
    <w:rsid w:val="003C304B"/>
    <w:rsid w:val="003C32C6"/>
    <w:rsid w:val="003C3830"/>
    <w:rsid w:val="003C3B1E"/>
    <w:rsid w:val="003C3F75"/>
    <w:rsid w:val="003C4D32"/>
    <w:rsid w:val="003C62B1"/>
    <w:rsid w:val="003C647A"/>
    <w:rsid w:val="003C6736"/>
    <w:rsid w:val="003C69ED"/>
    <w:rsid w:val="003C6D89"/>
    <w:rsid w:val="003C6F7E"/>
    <w:rsid w:val="003C74AD"/>
    <w:rsid w:val="003C7891"/>
    <w:rsid w:val="003C78B3"/>
    <w:rsid w:val="003D0060"/>
    <w:rsid w:val="003D02AF"/>
    <w:rsid w:val="003D0798"/>
    <w:rsid w:val="003D0824"/>
    <w:rsid w:val="003D089F"/>
    <w:rsid w:val="003D0AAE"/>
    <w:rsid w:val="003D0BA0"/>
    <w:rsid w:val="003D0CB2"/>
    <w:rsid w:val="003D0F75"/>
    <w:rsid w:val="003D116C"/>
    <w:rsid w:val="003D16FB"/>
    <w:rsid w:val="003D1988"/>
    <w:rsid w:val="003D1F2A"/>
    <w:rsid w:val="003D1FF8"/>
    <w:rsid w:val="003D2175"/>
    <w:rsid w:val="003D21C1"/>
    <w:rsid w:val="003D223E"/>
    <w:rsid w:val="003D26E0"/>
    <w:rsid w:val="003D2B1B"/>
    <w:rsid w:val="003D2B98"/>
    <w:rsid w:val="003D2C54"/>
    <w:rsid w:val="003D3750"/>
    <w:rsid w:val="003D388A"/>
    <w:rsid w:val="003D38C2"/>
    <w:rsid w:val="003D3C38"/>
    <w:rsid w:val="003D3D9B"/>
    <w:rsid w:val="003D3F21"/>
    <w:rsid w:val="003D422B"/>
    <w:rsid w:val="003D4A0F"/>
    <w:rsid w:val="003D4B94"/>
    <w:rsid w:val="003D4BE4"/>
    <w:rsid w:val="003D4C03"/>
    <w:rsid w:val="003D4CD0"/>
    <w:rsid w:val="003D4E0C"/>
    <w:rsid w:val="003D500E"/>
    <w:rsid w:val="003D512E"/>
    <w:rsid w:val="003D57FF"/>
    <w:rsid w:val="003D5EC5"/>
    <w:rsid w:val="003D63EA"/>
    <w:rsid w:val="003D6B79"/>
    <w:rsid w:val="003D6FD6"/>
    <w:rsid w:val="003E0B2F"/>
    <w:rsid w:val="003E0C59"/>
    <w:rsid w:val="003E11A0"/>
    <w:rsid w:val="003E1525"/>
    <w:rsid w:val="003E168A"/>
    <w:rsid w:val="003E1EC6"/>
    <w:rsid w:val="003E28F4"/>
    <w:rsid w:val="003E29BB"/>
    <w:rsid w:val="003E2AFC"/>
    <w:rsid w:val="003E3396"/>
    <w:rsid w:val="003E43E9"/>
    <w:rsid w:val="003E446F"/>
    <w:rsid w:val="003E4DBA"/>
    <w:rsid w:val="003E4E04"/>
    <w:rsid w:val="003E5797"/>
    <w:rsid w:val="003E5DEF"/>
    <w:rsid w:val="003E6083"/>
    <w:rsid w:val="003E6A9D"/>
    <w:rsid w:val="003E6D8F"/>
    <w:rsid w:val="003E6F4D"/>
    <w:rsid w:val="003E76B3"/>
    <w:rsid w:val="003E773D"/>
    <w:rsid w:val="003F03D6"/>
    <w:rsid w:val="003F0776"/>
    <w:rsid w:val="003F0B21"/>
    <w:rsid w:val="003F0BC5"/>
    <w:rsid w:val="003F0BE5"/>
    <w:rsid w:val="003F0C41"/>
    <w:rsid w:val="003F10EE"/>
    <w:rsid w:val="003F1699"/>
    <w:rsid w:val="003F19A0"/>
    <w:rsid w:val="003F1E01"/>
    <w:rsid w:val="003F1ED0"/>
    <w:rsid w:val="003F1F27"/>
    <w:rsid w:val="003F2002"/>
    <w:rsid w:val="003F234F"/>
    <w:rsid w:val="003F2EE2"/>
    <w:rsid w:val="003F300B"/>
    <w:rsid w:val="003F3353"/>
    <w:rsid w:val="003F36BC"/>
    <w:rsid w:val="003F3D43"/>
    <w:rsid w:val="003F40AA"/>
    <w:rsid w:val="003F4649"/>
    <w:rsid w:val="003F489E"/>
    <w:rsid w:val="003F4D82"/>
    <w:rsid w:val="003F5CF8"/>
    <w:rsid w:val="003F667E"/>
    <w:rsid w:val="003F6D9D"/>
    <w:rsid w:val="003F6FD7"/>
    <w:rsid w:val="003F72ED"/>
    <w:rsid w:val="003F7377"/>
    <w:rsid w:val="003F744B"/>
    <w:rsid w:val="003F7495"/>
    <w:rsid w:val="003F762F"/>
    <w:rsid w:val="00400727"/>
    <w:rsid w:val="004007B8"/>
    <w:rsid w:val="00400C6A"/>
    <w:rsid w:val="00400E6D"/>
    <w:rsid w:val="0040113F"/>
    <w:rsid w:val="0040119B"/>
    <w:rsid w:val="00401B01"/>
    <w:rsid w:val="00401D9E"/>
    <w:rsid w:val="00401EAC"/>
    <w:rsid w:val="0040278D"/>
    <w:rsid w:val="00403067"/>
    <w:rsid w:val="00403763"/>
    <w:rsid w:val="004040F1"/>
    <w:rsid w:val="004045BB"/>
    <w:rsid w:val="00404863"/>
    <w:rsid w:val="0040491E"/>
    <w:rsid w:val="0040497E"/>
    <w:rsid w:val="00404A90"/>
    <w:rsid w:val="00404D6B"/>
    <w:rsid w:val="00405146"/>
    <w:rsid w:val="00405161"/>
    <w:rsid w:val="00405610"/>
    <w:rsid w:val="00405752"/>
    <w:rsid w:val="0040598E"/>
    <w:rsid w:val="00405A83"/>
    <w:rsid w:val="00406333"/>
    <w:rsid w:val="00406BDC"/>
    <w:rsid w:val="00406E80"/>
    <w:rsid w:val="00406FDA"/>
    <w:rsid w:val="004072AA"/>
    <w:rsid w:val="004072B9"/>
    <w:rsid w:val="00407A63"/>
    <w:rsid w:val="00407F39"/>
    <w:rsid w:val="00407FD7"/>
    <w:rsid w:val="00410EE6"/>
    <w:rsid w:val="004118E1"/>
    <w:rsid w:val="004123E9"/>
    <w:rsid w:val="00412614"/>
    <w:rsid w:val="00412826"/>
    <w:rsid w:val="00412D94"/>
    <w:rsid w:val="00412F4D"/>
    <w:rsid w:val="00412F66"/>
    <w:rsid w:val="00413485"/>
    <w:rsid w:val="004136FA"/>
    <w:rsid w:val="004138F7"/>
    <w:rsid w:val="00413E13"/>
    <w:rsid w:val="004140A9"/>
    <w:rsid w:val="004148ED"/>
    <w:rsid w:val="0041531A"/>
    <w:rsid w:val="00416154"/>
    <w:rsid w:val="00416C46"/>
    <w:rsid w:val="00416F6B"/>
    <w:rsid w:val="004177E9"/>
    <w:rsid w:val="00417BD3"/>
    <w:rsid w:val="00417E7C"/>
    <w:rsid w:val="00417F5F"/>
    <w:rsid w:val="00420FB3"/>
    <w:rsid w:val="00421006"/>
    <w:rsid w:val="00421039"/>
    <w:rsid w:val="00421845"/>
    <w:rsid w:val="00421DB0"/>
    <w:rsid w:val="00421E74"/>
    <w:rsid w:val="00422359"/>
    <w:rsid w:val="00422417"/>
    <w:rsid w:val="00423450"/>
    <w:rsid w:val="00423492"/>
    <w:rsid w:val="00423568"/>
    <w:rsid w:val="00423817"/>
    <w:rsid w:val="00423C9A"/>
    <w:rsid w:val="00424233"/>
    <w:rsid w:val="00424265"/>
    <w:rsid w:val="004247A0"/>
    <w:rsid w:val="00424C59"/>
    <w:rsid w:val="00425412"/>
    <w:rsid w:val="00425491"/>
    <w:rsid w:val="004255E8"/>
    <w:rsid w:val="0042573A"/>
    <w:rsid w:val="00425C89"/>
    <w:rsid w:val="00425CA9"/>
    <w:rsid w:val="00426641"/>
    <w:rsid w:val="00426D9F"/>
    <w:rsid w:val="00426EB5"/>
    <w:rsid w:val="00426F08"/>
    <w:rsid w:val="00426F8D"/>
    <w:rsid w:val="00427E9F"/>
    <w:rsid w:val="00431D26"/>
    <w:rsid w:val="00432320"/>
    <w:rsid w:val="004338EF"/>
    <w:rsid w:val="00433F3D"/>
    <w:rsid w:val="0043450D"/>
    <w:rsid w:val="0043456C"/>
    <w:rsid w:val="0043478E"/>
    <w:rsid w:val="00434884"/>
    <w:rsid w:val="004348D6"/>
    <w:rsid w:val="00434D32"/>
    <w:rsid w:val="00434F01"/>
    <w:rsid w:val="00434FD8"/>
    <w:rsid w:val="00436496"/>
    <w:rsid w:val="00436666"/>
    <w:rsid w:val="00436DEA"/>
    <w:rsid w:val="004376BC"/>
    <w:rsid w:val="004379AB"/>
    <w:rsid w:val="00437D40"/>
    <w:rsid w:val="004400A8"/>
    <w:rsid w:val="004401E5"/>
    <w:rsid w:val="00440955"/>
    <w:rsid w:val="00440B17"/>
    <w:rsid w:val="00440F5D"/>
    <w:rsid w:val="00441550"/>
    <w:rsid w:val="004417EA"/>
    <w:rsid w:val="0044254A"/>
    <w:rsid w:val="004429DC"/>
    <w:rsid w:val="0044363B"/>
    <w:rsid w:val="00443B04"/>
    <w:rsid w:val="00443C52"/>
    <w:rsid w:val="00443E84"/>
    <w:rsid w:val="00444071"/>
    <w:rsid w:val="0044457C"/>
    <w:rsid w:val="004449D7"/>
    <w:rsid w:val="00445347"/>
    <w:rsid w:val="004455F9"/>
    <w:rsid w:val="00445851"/>
    <w:rsid w:val="00445913"/>
    <w:rsid w:val="00445A7A"/>
    <w:rsid w:val="00445CB5"/>
    <w:rsid w:val="00445E3D"/>
    <w:rsid w:val="0044612B"/>
    <w:rsid w:val="00446298"/>
    <w:rsid w:val="0044671B"/>
    <w:rsid w:val="00446E3F"/>
    <w:rsid w:val="004470AD"/>
    <w:rsid w:val="004476E5"/>
    <w:rsid w:val="00447F7D"/>
    <w:rsid w:val="00450061"/>
    <w:rsid w:val="0045007B"/>
    <w:rsid w:val="00450225"/>
    <w:rsid w:val="004503F6"/>
    <w:rsid w:val="00450912"/>
    <w:rsid w:val="00450A8D"/>
    <w:rsid w:val="00450E2A"/>
    <w:rsid w:val="0045103B"/>
    <w:rsid w:val="00451128"/>
    <w:rsid w:val="00451466"/>
    <w:rsid w:val="0045163C"/>
    <w:rsid w:val="00451759"/>
    <w:rsid w:val="00451A45"/>
    <w:rsid w:val="00451B29"/>
    <w:rsid w:val="0045218D"/>
    <w:rsid w:val="00452489"/>
    <w:rsid w:val="00452690"/>
    <w:rsid w:val="00452D4A"/>
    <w:rsid w:val="00453F41"/>
    <w:rsid w:val="00454327"/>
    <w:rsid w:val="004548C3"/>
    <w:rsid w:val="00454B0C"/>
    <w:rsid w:val="00455136"/>
    <w:rsid w:val="00455320"/>
    <w:rsid w:val="0045632E"/>
    <w:rsid w:val="00456CDD"/>
    <w:rsid w:val="00456F9E"/>
    <w:rsid w:val="00457445"/>
    <w:rsid w:val="00457AC9"/>
    <w:rsid w:val="00457F21"/>
    <w:rsid w:val="00460222"/>
    <w:rsid w:val="004606CA"/>
    <w:rsid w:val="004609DE"/>
    <w:rsid w:val="00460EE0"/>
    <w:rsid w:val="00461755"/>
    <w:rsid w:val="00461980"/>
    <w:rsid w:val="0046209B"/>
    <w:rsid w:val="0046222D"/>
    <w:rsid w:val="004624B1"/>
    <w:rsid w:val="004625B2"/>
    <w:rsid w:val="0046344C"/>
    <w:rsid w:val="00463931"/>
    <w:rsid w:val="004641E2"/>
    <w:rsid w:val="004644A4"/>
    <w:rsid w:val="004647CE"/>
    <w:rsid w:val="00464C1D"/>
    <w:rsid w:val="00464E5E"/>
    <w:rsid w:val="0046563B"/>
    <w:rsid w:val="00465DD5"/>
    <w:rsid w:val="00466281"/>
    <w:rsid w:val="00466B39"/>
    <w:rsid w:val="0046770E"/>
    <w:rsid w:val="004677FC"/>
    <w:rsid w:val="004678EE"/>
    <w:rsid w:val="00470432"/>
    <w:rsid w:val="00470A09"/>
    <w:rsid w:val="004710FB"/>
    <w:rsid w:val="004712FB"/>
    <w:rsid w:val="00471BB7"/>
    <w:rsid w:val="0047215B"/>
    <w:rsid w:val="0047227E"/>
    <w:rsid w:val="00472EFF"/>
    <w:rsid w:val="0047383C"/>
    <w:rsid w:val="00473BFB"/>
    <w:rsid w:val="00474063"/>
    <w:rsid w:val="004749FF"/>
    <w:rsid w:val="00474B2E"/>
    <w:rsid w:val="004752E9"/>
    <w:rsid w:val="00475927"/>
    <w:rsid w:val="00475C88"/>
    <w:rsid w:val="00475CAC"/>
    <w:rsid w:val="0047647A"/>
    <w:rsid w:val="00476793"/>
    <w:rsid w:val="00476AC3"/>
    <w:rsid w:val="0047735B"/>
    <w:rsid w:val="00477C74"/>
    <w:rsid w:val="00480064"/>
    <w:rsid w:val="0048095F"/>
    <w:rsid w:val="00480CBB"/>
    <w:rsid w:val="00480F11"/>
    <w:rsid w:val="0048136C"/>
    <w:rsid w:val="00481414"/>
    <w:rsid w:val="004816A3"/>
    <w:rsid w:val="00481A00"/>
    <w:rsid w:val="00481B2A"/>
    <w:rsid w:val="00482091"/>
    <w:rsid w:val="004820A2"/>
    <w:rsid w:val="004824AD"/>
    <w:rsid w:val="004826D6"/>
    <w:rsid w:val="00482C80"/>
    <w:rsid w:val="00482F44"/>
    <w:rsid w:val="0048311E"/>
    <w:rsid w:val="00483240"/>
    <w:rsid w:val="00484560"/>
    <w:rsid w:val="004846AF"/>
    <w:rsid w:val="00484F95"/>
    <w:rsid w:val="0048564F"/>
    <w:rsid w:val="00485867"/>
    <w:rsid w:val="00485A5E"/>
    <w:rsid w:val="00485AD3"/>
    <w:rsid w:val="00485DB0"/>
    <w:rsid w:val="00485E6E"/>
    <w:rsid w:val="00486181"/>
    <w:rsid w:val="0048687C"/>
    <w:rsid w:val="00486F41"/>
    <w:rsid w:val="0049016D"/>
    <w:rsid w:val="00490B92"/>
    <w:rsid w:val="004913DB"/>
    <w:rsid w:val="004914AE"/>
    <w:rsid w:val="00491931"/>
    <w:rsid w:val="00491FC5"/>
    <w:rsid w:val="00492012"/>
    <w:rsid w:val="004920BF"/>
    <w:rsid w:val="00492349"/>
    <w:rsid w:val="0049238F"/>
    <w:rsid w:val="004924F2"/>
    <w:rsid w:val="004926E8"/>
    <w:rsid w:val="00492B62"/>
    <w:rsid w:val="004930CB"/>
    <w:rsid w:val="00493329"/>
    <w:rsid w:val="00493645"/>
    <w:rsid w:val="00493C10"/>
    <w:rsid w:val="00494DFF"/>
    <w:rsid w:val="00495177"/>
    <w:rsid w:val="004954A4"/>
    <w:rsid w:val="00495CC5"/>
    <w:rsid w:val="0049608C"/>
    <w:rsid w:val="0049635E"/>
    <w:rsid w:val="00496834"/>
    <w:rsid w:val="00496C1D"/>
    <w:rsid w:val="00497238"/>
    <w:rsid w:val="00497827"/>
    <w:rsid w:val="00497B64"/>
    <w:rsid w:val="00497C84"/>
    <w:rsid w:val="004A00B6"/>
    <w:rsid w:val="004A113B"/>
    <w:rsid w:val="004A1829"/>
    <w:rsid w:val="004A187B"/>
    <w:rsid w:val="004A1A1F"/>
    <w:rsid w:val="004A1DD7"/>
    <w:rsid w:val="004A2031"/>
    <w:rsid w:val="004A21D0"/>
    <w:rsid w:val="004A23B5"/>
    <w:rsid w:val="004A2467"/>
    <w:rsid w:val="004A27AF"/>
    <w:rsid w:val="004A2D3C"/>
    <w:rsid w:val="004A37F7"/>
    <w:rsid w:val="004A40E4"/>
    <w:rsid w:val="004A4284"/>
    <w:rsid w:val="004A42BC"/>
    <w:rsid w:val="004A4409"/>
    <w:rsid w:val="004A4DD4"/>
    <w:rsid w:val="004A4F1A"/>
    <w:rsid w:val="004A4FD0"/>
    <w:rsid w:val="004A4FF5"/>
    <w:rsid w:val="004A5619"/>
    <w:rsid w:val="004A5BDC"/>
    <w:rsid w:val="004A5C74"/>
    <w:rsid w:val="004A5D81"/>
    <w:rsid w:val="004A64FB"/>
    <w:rsid w:val="004A6F68"/>
    <w:rsid w:val="004A7987"/>
    <w:rsid w:val="004B004C"/>
    <w:rsid w:val="004B021E"/>
    <w:rsid w:val="004B02EB"/>
    <w:rsid w:val="004B06E6"/>
    <w:rsid w:val="004B11BA"/>
    <w:rsid w:val="004B17F0"/>
    <w:rsid w:val="004B21BE"/>
    <w:rsid w:val="004B23C1"/>
    <w:rsid w:val="004B2413"/>
    <w:rsid w:val="004B271D"/>
    <w:rsid w:val="004B3EEB"/>
    <w:rsid w:val="004B40E7"/>
    <w:rsid w:val="004B4185"/>
    <w:rsid w:val="004B4305"/>
    <w:rsid w:val="004B492A"/>
    <w:rsid w:val="004B4E96"/>
    <w:rsid w:val="004B5082"/>
    <w:rsid w:val="004B519F"/>
    <w:rsid w:val="004B5391"/>
    <w:rsid w:val="004B58A4"/>
    <w:rsid w:val="004B5ECB"/>
    <w:rsid w:val="004B621F"/>
    <w:rsid w:val="004B6659"/>
    <w:rsid w:val="004B6702"/>
    <w:rsid w:val="004B6C0C"/>
    <w:rsid w:val="004B6C86"/>
    <w:rsid w:val="004B772A"/>
    <w:rsid w:val="004B77D0"/>
    <w:rsid w:val="004B7904"/>
    <w:rsid w:val="004B7D03"/>
    <w:rsid w:val="004B7EBE"/>
    <w:rsid w:val="004C011C"/>
    <w:rsid w:val="004C02F9"/>
    <w:rsid w:val="004C06BB"/>
    <w:rsid w:val="004C06C6"/>
    <w:rsid w:val="004C0E5C"/>
    <w:rsid w:val="004C1141"/>
    <w:rsid w:val="004C1DD5"/>
    <w:rsid w:val="004C1DD9"/>
    <w:rsid w:val="004C1F44"/>
    <w:rsid w:val="004C2411"/>
    <w:rsid w:val="004C2502"/>
    <w:rsid w:val="004C2740"/>
    <w:rsid w:val="004C2DF1"/>
    <w:rsid w:val="004C2F6A"/>
    <w:rsid w:val="004C325C"/>
    <w:rsid w:val="004C34CD"/>
    <w:rsid w:val="004C3D11"/>
    <w:rsid w:val="004C4168"/>
    <w:rsid w:val="004C422B"/>
    <w:rsid w:val="004C540D"/>
    <w:rsid w:val="004C5421"/>
    <w:rsid w:val="004C549D"/>
    <w:rsid w:val="004C56B9"/>
    <w:rsid w:val="004C572F"/>
    <w:rsid w:val="004C592B"/>
    <w:rsid w:val="004C5EAC"/>
    <w:rsid w:val="004C66D9"/>
    <w:rsid w:val="004C6E51"/>
    <w:rsid w:val="004C6F19"/>
    <w:rsid w:val="004C702F"/>
    <w:rsid w:val="004C7412"/>
    <w:rsid w:val="004C7576"/>
    <w:rsid w:val="004C7A2B"/>
    <w:rsid w:val="004D04BF"/>
    <w:rsid w:val="004D0718"/>
    <w:rsid w:val="004D0F29"/>
    <w:rsid w:val="004D2824"/>
    <w:rsid w:val="004D2AC4"/>
    <w:rsid w:val="004D3638"/>
    <w:rsid w:val="004D366E"/>
    <w:rsid w:val="004D3BA3"/>
    <w:rsid w:val="004D4D5B"/>
    <w:rsid w:val="004D4EA7"/>
    <w:rsid w:val="004D591F"/>
    <w:rsid w:val="004D596C"/>
    <w:rsid w:val="004D5C5B"/>
    <w:rsid w:val="004D5F7D"/>
    <w:rsid w:val="004D6372"/>
    <w:rsid w:val="004D6AC3"/>
    <w:rsid w:val="004D6AED"/>
    <w:rsid w:val="004D7434"/>
    <w:rsid w:val="004D75F2"/>
    <w:rsid w:val="004D7653"/>
    <w:rsid w:val="004D7732"/>
    <w:rsid w:val="004D7CCB"/>
    <w:rsid w:val="004E004F"/>
    <w:rsid w:val="004E0131"/>
    <w:rsid w:val="004E0329"/>
    <w:rsid w:val="004E0D1D"/>
    <w:rsid w:val="004E0DFF"/>
    <w:rsid w:val="004E0ECC"/>
    <w:rsid w:val="004E11CA"/>
    <w:rsid w:val="004E13EB"/>
    <w:rsid w:val="004E1AB6"/>
    <w:rsid w:val="004E2165"/>
    <w:rsid w:val="004E26B3"/>
    <w:rsid w:val="004E2B4B"/>
    <w:rsid w:val="004E2BA6"/>
    <w:rsid w:val="004E3315"/>
    <w:rsid w:val="004E3542"/>
    <w:rsid w:val="004E3F04"/>
    <w:rsid w:val="004E4352"/>
    <w:rsid w:val="004E43B4"/>
    <w:rsid w:val="004E47F1"/>
    <w:rsid w:val="004E4897"/>
    <w:rsid w:val="004E4928"/>
    <w:rsid w:val="004E4E64"/>
    <w:rsid w:val="004E542A"/>
    <w:rsid w:val="004E5A5A"/>
    <w:rsid w:val="004E6060"/>
    <w:rsid w:val="004E630F"/>
    <w:rsid w:val="004E6727"/>
    <w:rsid w:val="004E6757"/>
    <w:rsid w:val="004E6860"/>
    <w:rsid w:val="004E697F"/>
    <w:rsid w:val="004E6CE8"/>
    <w:rsid w:val="004E6E47"/>
    <w:rsid w:val="004E74EA"/>
    <w:rsid w:val="004E7580"/>
    <w:rsid w:val="004E76B9"/>
    <w:rsid w:val="004F0004"/>
    <w:rsid w:val="004F00C3"/>
    <w:rsid w:val="004F0252"/>
    <w:rsid w:val="004F0469"/>
    <w:rsid w:val="004F051E"/>
    <w:rsid w:val="004F05F9"/>
    <w:rsid w:val="004F08AD"/>
    <w:rsid w:val="004F0943"/>
    <w:rsid w:val="004F0F31"/>
    <w:rsid w:val="004F10DD"/>
    <w:rsid w:val="004F1ABD"/>
    <w:rsid w:val="004F1C7C"/>
    <w:rsid w:val="004F1E45"/>
    <w:rsid w:val="004F21B8"/>
    <w:rsid w:val="004F28EB"/>
    <w:rsid w:val="004F2F8A"/>
    <w:rsid w:val="004F31D5"/>
    <w:rsid w:val="004F32E5"/>
    <w:rsid w:val="004F3358"/>
    <w:rsid w:val="004F3377"/>
    <w:rsid w:val="004F34B8"/>
    <w:rsid w:val="004F3619"/>
    <w:rsid w:val="004F363C"/>
    <w:rsid w:val="004F385E"/>
    <w:rsid w:val="004F3AED"/>
    <w:rsid w:val="004F4A75"/>
    <w:rsid w:val="004F4D21"/>
    <w:rsid w:val="004F5215"/>
    <w:rsid w:val="004F5700"/>
    <w:rsid w:val="004F5993"/>
    <w:rsid w:val="004F628F"/>
    <w:rsid w:val="004F6CBA"/>
    <w:rsid w:val="004F74F9"/>
    <w:rsid w:val="004F76DB"/>
    <w:rsid w:val="004F77E5"/>
    <w:rsid w:val="004F7C35"/>
    <w:rsid w:val="00500073"/>
    <w:rsid w:val="005000AE"/>
    <w:rsid w:val="005001BB"/>
    <w:rsid w:val="00500575"/>
    <w:rsid w:val="005006F4"/>
    <w:rsid w:val="00500AB0"/>
    <w:rsid w:val="005011DC"/>
    <w:rsid w:val="005023EC"/>
    <w:rsid w:val="005025E9"/>
    <w:rsid w:val="0050287A"/>
    <w:rsid w:val="00502FB1"/>
    <w:rsid w:val="00503081"/>
    <w:rsid w:val="005032DE"/>
    <w:rsid w:val="005035BE"/>
    <w:rsid w:val="0050447F"/>
    <w:rsid w:val="005044C0"/>
    <w:rsid w:val="00504611"/>
    <w:rsid w:val="00504E1C"/>
    <w:rsid w:val="005053B1"/>
    <w:rsid w:val="005056FD"/>
    <w:rsid w:val="00505905"/>
    <w:rsid w:val="00505A75"/>
    <w:rsid w:val="00505BD2"/>
    <w:rsid w:val="0050632B"/>
    <w:rsid w:val="00506758"/>
    <w:rsid w:val="00506B4C"/>
    <w:rsid w:val="00507043"/>
    <w:rsid w:val="005071BA"/>
    <w:rsid w:val="005072A9"/>
    <w:rsid w:val="00507321"/>
    <w:rsid w:val="00507558"/>
    <w:rsid w:val="00510079"/>
    <w:rsid w:val="00510127"/>
    <w:rsid w:val="00510390"/>
    <w:rsid w:val="005104E6"/>
    <w:rsid w:val="00510A3B"/>
    <w:rsid w:val="00511245"/>
    <w:rsid w:val="00511727"/>
    <w:rsid w:val="005123F0"/>
    <w:rsid w:val="00512454"/>
    <w:rsid w:val="005126C7"/>
    <w:rsid w:val="00512C24"/>
    <w:rsid w:val="00512FAF"/>
    <w:rsid w:val="00512FBB"/>
    <w:rsid w:val="00513042"/>
    <w:rsid w:val="00513540"/>
    <w:rsid w:val="005136D9"/>
    <w:rsid w:val="00513941"/>
    <w:rsid w:val="00513D9B"/>
    <w:rsid w:val="005140C5"/>
    <w:rsid w:val="0051437F"/>
    <w:rsid w:val="00514765"/>
    <w:rsid w:val="005147B1"/>
    <w:rsid w:val="00514A78"/>
    <w:rsid w:val="00514F0B"/>
    <w:rsid w:val="005154BA"/>
    <w:rsid w:val="00515EBA"/>
    <w:rsid w:val="00516740"/>
    <w:rsid w:val="005168C4"/>
    <w:rsid w:val="0051696C"/>
    <w:rsid w:val="00516C60"/>
    <w:rsid w:val="005177CC"/>
    <w:rsid w:val="005177E6"/>
    <w:rsid w:val="00517B66"/>
    <w:rsid w:val="00517E07"/>
    <w:rsid w:val="0052006B"/>
    <w:rsid w:val="00520498"/>
    <w:rsid w:val="005207B7"/>
    <w:rsid w:val="0052087D"/>
    <w:rsid w:val="005208AE"/>
    <w:rsid w:val="00521121"/>
    <w:rsid w:val="0052186D"/>
    <w:rsid w:val="00522536"/>
    <w:rsid w:val="00522BBD"/>
    <w:rsid w:val="00522DD6"/>
    <w:rsid w:val="00522E99"/>
    <w:rsid w:val="00522EDC"/>
    <w:rsid w:val="00523008"/>
    <w:rsid w:val="005231EC"/>
    <w:rsid w:val="005233B7"/>
    <w:rsid w:val="00523FE4"/>
    <w:rsid w:val="0052493F"/>
    <w:rsid w:val="00524A9C"/>
    <w:rsid w:val="00525844"/>
    <w:rsid w:val="00525E8C"/>
    <w:rsid w:val="005263E4"/>
    <w:rsid w:val="005267DC"/>
    <w:rsid w:val="00526944"/>
    <w:rsid w:val="00526C08"/>
    <w:rsid w:val="00526EBA"/>
    <w:rsid w:val="00527013"/>
    <w:rsid w:val="005270EF"/>
    <w:rsid w:val="005275C9"/>
    <w:rsid w:val="00527B15"/>
    <w:rsid w:val="00527F46"/>
    <w:rsid w:val="005300AF"/>
    <w:rsid w:val="0053051D"/>
    <w:rsid w:val="0053058F"/>
    <w:rsid w:val="0053061F"/>
    <w:rsid w:val="00530ABA"/>
    <w:rsid w:val="00530EE8"/>
    <w:rsid w:val="005311DC"/>
    <w:rsid w:val="00531F1B"/>
    <w:rsid w:val="00532111"/>
    <w:rsid w:val="0053213B"/>
    <w:rsid w:val="00532ACA"/>
    <w:rsid w:val="00533451"/>
    <w:rsid w:val="00533592"/>
    <w:rsid w:val="0053369F"/>
    <w:rsid w:val="0053392B"/>
    <w:rsid w:val="00534E44"/>
    <w:rsid w:val="005350CF"/>
    <w:rsid w:val="00535931"/>
    <w:rsid w:val="00535982"/>
    <w:rsid w:val="00535D1F"/>
    <w:rsid w:val="0053645E"/>
    <w:rsid w:val="005365BE"/>
    <w:rsid w:val="00536DD0"/>
    <w:rsid w:val="00536FDD"/>
    <w:rsid w:val="00537816"/>
    <w:rsid w:val="0053784A"/>
    <w:rsid w:val="00537BEC"/>
    <w:rsid w:val="00537D5E"/>
    <w:rsid w:val="00540738"/>
    <w:rsid w:val="00540893"/>
    <w:rsid w:val="00540DF9"/>
    <w:rsid w:val="00541477"/>
    <w:rsid w:val="0054153E"/>
    <w:rsid w:val="00541D47"/>
    <w:rsid w:val="00541EF0"/>
    <w:rsid w:val="00541F47"/>
    <w:rsid w:val="00542C3F"/>
    <w:rsid w:val="00542F43"/>
    <w:rsid w:val="0054333D"/>
    <w:rsid w:val="00543A4E"/>
    <w:rsid w:val="00543A5C"/>
    <w:rsid w:val="00543AD3"/>
    <w:rsid w:val="00543DDA"/>
    <w:rsid w:val="00543EC2"/>
    <w:rsid w:val="00543F01"/>
    <w:rsid w:val="00543F47"/>
    <w:rsid w:val="00544193"/>
    <w:rsid w:val="0054468A"/>
    <w:rsid w:val="00544941"/>
    <w:rsid w:val="00545420"/>
    <w:rsid w:val="0054544F"/>
    <w:rsid w:val="00545451"/>
    <w:rsid w:val="00545D08"/>
    <w:rsid w:val="00545F11"/>
    <w:rsid w:val="005465CB"/>
    <w:rsid w:val="00546F62"/>
    <w:rsid w:val="00547162"/>
    <w:rsid w:val="005474E8"/>
    <w:rsid w:val="005500CD"/>
    <w:rsid w:val="005501E1"/>
    <w:rsid w:val="005503EC"/>
    <w:rsid w:val="005507CF"/>
    <w:rsid w:val="00550F0A"/>
    <w:rsid w:val="0055100B"/>
    <w:rsid w:val="00551AFB"/>
    <w:rsid w:val="00552083"/>
    <w:rsid w:val="0055251E"/>
    <w:rsid w:val="005527BB"/>
    <w:rsid w:val="00552CB1"/>
    <w:rsid w:val="005535FF"/>
    <w:rsid w:val="00553B97"/>
    <w:rsid w:val="00553DE6"/>
    <w:rsid w:val="00554209"/>
    <w:rsid w:val="005544DC"/>
    <w:rsid w:val="0055463F"/>
    <w:rsid w:val="005546A8"/>
    <w:rsid w:val="00554802"/>
    <w:rsid w:val="00554F8C"/>
    <w:rsid w:val="00555008"/>
    <w:rsid w:val="00555991"/>
    <w:rsid w:val="00555AD5"/>
    <w:rsid w:val="00555F2C"/>
    <w:rsid w:val="0055648D"/>
    <w:rsid w:val="00556EE5"/>
    <w:rsid w:val="0055712F"/>
    <w:rsid w:val="005574CE"/>
    <w:rsid w:val="005575C6"/>
    <w:rsid w:val="00557FB7"/>
    <w:rsid w:val="00560324"/>
    <w:rsid w:val="0056068A"/>
    <w:rsid w:val="005613B4"/>
    <w:rsid w:val="005618B0"/>
    <w:rsid w:val="0056212A"/>
    <w:rsid w:val="0056267B"/>
    <w:rsid w:val="00563088"/>
    <w:rsid w:val="005633DA"/>
    <w:rsid w:val="00563844"/>
    <w:rsid w:val="00564208"/>
    <w:rsid w:val="00564246"/>
    <w:rsid w:val="0056447F"/>
    <w:rsid w:val="0056493B"/>
    <w:rsid w:val="00564BB0"/>
    <w:rsid w:val="005652A1"/>
    <w:rsid w:val="00565354"/>
    <w:rsid w:val="00565929"/>
    <w:rsid w:val="00565A43"/>
    <w:rsid w:val="00565E0B"/>
    <w:rsid w:val="00566205"/>
    <w:rsid w:val="005664D1"/>
    <w:rsid w:val="005666C2"/>
    <w:rsid w:val="00566C57"/>
    <w:rsid w:val="00566DFF"/>
    <w:rsid w:val="0056715B"/>
    <w:rsid w:val="00567243"/>
    <w:rsid w:val="00567B9F"/>
    <w:rsid w:val="005700E2"/>
    <w:rsid w:val="005704E6"/>
    <w:rsid w:val="00570923"/>
    <w:rsid w:val="00570B63"/>
    <w:rsid w:val="00570D3E"/>
    <w:rsid w:val="00570F24"/>
    <w:rsid w:val="00571480"/>
    <w:rsid w:val="00571687"/>
    <w:rsid w:val="00571AC9"/>
    <w:rsid w:val="00571BF6"/>
    <w:rsid w:val="00571C5C"/>
    <w:rsid w:val="00571CEB"/>
    <w:rsid w:val="00571F5F"/>
    <w:rsid w:val="005721B0"/>
    <w:rsid w:val="005722F5"/>
    <w:rsid w:val="00572436"/>
    <w:rsid w:val="00572491"/>
    <w:rsid w:val="00572F79"/>
    <w:rsid w:val="0057364E"/>
    <w:rsid w:val="00573709"/>
    <w:rsid w:val="00573734"/>
    <w:rsid w:val="0057374D"/>
    <w:rsid w:val="005738CC"/>
    <w:rsid w:val="005739A6"/>
    <w:rsid w:val="00573B38"/>
    <w:rsid w:val="00573BD1"/>
    <w:rsid w:val="0057405C"/>
    <w:rsid w:val="00574320"/>
    <w:rsid w:val="00575008"/>
    <w:rsid w:val="00575AAF"/>
    <w:rsid w:val="00575C63"/>
    <w:rsid w:val="0057636B"/>
    <w:rsid w:val="00576A49"/>
    <w:rsid w:val="005770B3"/>
    <w:rsid w:val="0057768F"/>
    <w:rsid w:val="005778BC"/>
    <w:rsid w:val="00577902"/>
    <w:rsid w:val="00577A82"/>
    <w:rsid w:val="00577BDC"/>
    <w:rsid w:val="005804C8"/>
    <w:rsid w:val="00580605"/>
    <w:rsid w:val="00580981"/>
    <w:rsid w:val="00580D08"/>
    <w:rsid w:val="00580FCE"/>
    <w:rsid w:val="00581129"/>
    <w:rsid w:val="005813CB"/>
    <w:rsid w:val="00581833"/>
    <w:rsid w:val="00582255"/>
    <w:rsid w:val="005823CF"/>
    <w:rsid w:val="005827D5"/>
    <w:rsid w:val="0058296E"/>
    <w:rsid w:val="00582C8B"/>
    <w:rsid w:val="00582EB4"/>
    <w:rsid w:val="00582FB3"/>
    <w:rsid w:val="00582FF9"/>
    <w:rsid w:val="00583560"/>
    <w:rsid w:val="0058358F"/>
    <w:rsid w:val="005835BF"/>
    <w:rsid w:val="00583AAB"/>
    <w:rsid w:val="00583FAB"/>
    <w:rsid w:val="00584902"/>
    <w:rsid w:val="00584932"/>
    <w:rsid w:val="00584C55"/>
    <w:rsid w:val="00584DEA"/>
    <w:rsid w:val="0058528C"/>
    <w:rsid w:val="005852D7"/>
    <w:rsid w:val="00585AB1"/>
    <w:rsid w:val="00585ADF"/>
    <w:rsid w:val="00586C18"/>
    <w:rsid w:val="00586CF5"/>
    <w:rsid w:val="00587268"/>
    <w:rsid w:val="00587481"/>
    <w:rsid w:val="00587964"/>
    <w:rsid w:val="00587FD2"/>
    <w:rsid w:val="00591951"/>
    <w:rsid w:val="00591AB4"/>
    <w:rsid w:val="00591AD1"/>
    <w:rsid w:val="00591F8C"/>
    <w:rsid w:val="00592181"/>
    <w:rsid w:val="00592205"/>
    <w:rsid w:val="00592552"/>
    <w:rsid w:val="00592B2C"/>
    <w:rsid w:val="00593411"/>
    <w:rsid w:val="00593A38"/>
    <w:rsid w:val="00593A88"/>
    <w:rsid w:val="00593E36"/>
    <w:rsid w:val="00594258"/>
    <w:rsid w:val="005942BC"/>
    <w:rsid w:val="005945D3"/>
    <w:rsid w:val="00594BEA"/>
    <w:rsid w:val="00595756"/>
    <w:rsid w:val="00596323"/>
    <w:rsid w:val="005969A4"/>
    <w:rsid w:val="00596CD2"/>
    <w:rsid w:val="00596D2F"/>
    <w:rsid w:val="0059703C"/>
    <w:rsid w:val="0059745A"/>
    <w:rsid w:val="0059748C"/>
    <w:rsid w:val="005976C6"/>
    <w:rsid w:val="005977C5"/>
    <w:rsid w:val="00597AD2"/>
    <w:rsid w:val="00597D63"/>
    <w:rsid w:val="005A00F8"/>
    <w:rsid w:val="005A0964"/>
    <w:rsid w:val="005A1130"/>
    <w:rsid w:val="005A2032"/>
    <w:rsid w:val="005A2143"/>
    <w:rsid w:val="005A216A"/>
    <w:rsid w:val="005A237A"/>
    <w:rsid w:val="005A24F6"/>
    <w:rsid w:val="005A2709"/>
    <w:rsid w:val="005A27DD"/>
    <w:rsid w:val="005A306F"/>
    <w:rsid w:val="005A32E3"/>
    <w:rsid w:val="005A36F4"/>
    <w:rsid w:val="005A3724"/>
    <w:rsid w:val="005A39FF"/>
    <w:rsid w:val="005A3EC4"/>
    <w:rsid w:val="005A3FFE"/>
    <w:rsid w:val="005A4161"/>
    <w:rsid w:val="005A4B9B"/>
    <w:rsid w:val="005A4C6A"/>
    <w:rsid w:val="005A4E03"/>
    <w:rsid w:val="005A4F56"/>
    <w:rsid w:val="005A5181"/>
    <w:rsid w:val="005A58B5"/>
    <w:rsid w:val="005A5D90"/>
    <w:rsid w:val="005A602C"/>
    <w:rsid w:val="005A6075"/>
    <w:rsid w:val="005A6EC0"/>
    <w:rsid w:val="005A7302"/>
    <w:rsid w:val="005A760B"/>
    <w:rsid w:val="005B01DD"/>
    <w:rsid w:val="005B07A8"/>
    <w:rsid w:val="005B0F79"/>
    <w:rsid w:val="005B1167"/>
    <w:rsid w:val="005B1413"/>
    <w:rsid w:val="005B1787"/>
    <w:rsid w:val="005B1ED2"/>
    <w:rsid w:val="005B2064"/>
    <w:rsid w:val="005B223E"/>
    <w:rsid w:val="005B2268"/>
    <w:rsid w:val="005B22F1"/>
    <w:rsid w:val="005B2430"/>
    <w:rsid w:val="005B2809"/>
    <w:rsid w:val="005B2A5E"/>
    <w:rsid w:val="005B2E3D"/>
    <w:rsid w:val="005B2EAA"/>
    <w:rsid w:val="005B36F6"/>
    <w:rsid w:val="005B389F"/>
    <w:rsid w:val="005B3CA3"/>
    <w:rsid w:val="005B3D68"/>
    <w:rsid w:val="005B4310"/>
    <w:rsid w:val="005B47BC"/>
    <w:rsid w:val="005B50F5"/>
    <w:rsid w:val="005B53FB"/>
    <w:rsid w:val="005B5595"/>
    <w:rsid w:val="005B5672"/>
    <w:rsid w:val="005B58C4"/>
    <w:rsid w:val="005B6212"/>
    <w:rsid w:val="005B680E"/>
    <w:rsid w:val="005B6B4C"/>
    <w:rsid w:val="005B6DB8"/>
    <w:rsid w:val="005B6E90"/>
    <w:rsid w:val="005B78D2"/>
    <w:rsid w:val="005B79BB"/>
    <w:rsid w:val="005B7BEB"/>
    <w:rsid w:val="005B7CFD"/>
    <w:rsid w:val="005B7EF0"/>
    <w:rsid w:val="005BD6CA"/>
    <w:rsid w:val="005C079C"/>
    <w:rsid w:val="005C0899"/>
    <w:rsid w:val="005C094E"/>
    <w:rsid w:val="005C0DBE"/>
    <w:rsid w:val="005C1163"/>
    <w:rsid w:val="005C18FA"/>
    <w:rsid w:val="005C22EB"/>
    <w:rsid w:val="005C238B"/>
    <w:rsid w:val="005C2ECF"/>
    <w:rsid w:val="005C2FDA"/>
    <w:rsid w:val="005C3066"/>
    <w:rsid w:val="005C3292"/>
    <w:rsid w:val="005C3C88"/>
    <w:rsid w:val="005C3E07"/>
    <w:rsid w:val="005C3F15"/>
    <w:rsid w:val="005C45B5"/>
    <w:rsid w:val="005C481A"/>
    <w:rsid w:val="005C4DFE"/>
    <w:rsid w:val="005C5B2A"/>
    <w:rsid w:val="005C5D41"/>
    <w:rsid w:val="005C60BC"/>
    <w:rsid w:val="005C61E5"/>
    <w:rsid w:val="005C66C5"/>
    <w:rsid w:val="005C6FCB"/>
    <w:rsid w:val="005C755F"/>
    <w:rsid w:val="005C7958"/>
    <w:rsid w:val="005D0299"/>
    <w:rsid w:val="005D0970"/>
    <w:rsid w:val="005D0A3A"/>
    <w:rsid w:val="005D0B34"/>
    <w:rsid w:val="005D0B66"/>
    <w:rsid w:val="005D0F36"/>
    <w:rsid w:val="005D12FF"/>
    <w:rsid w:val="005D1903"/>
    <w:rsid w:val="005D1AAB"/>
    <w:rsid w:val="005D1BA2"/>
    <w:rsid w:val="005D1BF6"/>
    <w:rsid w:val="005D1EC3"/>
    <w:rsid w:val="005D1F34"/>
    <w:rsid w:val="005D1FE8"/>
    <w:rsid w:val="005D2135"/>
    <w:rsid w:val="005D215D"/>
    <w:rsid w:val="005D24F1"/>
    <w:rsid w:val="005D2693"/>
    <w:rsid w:val="005D2FE1"/>
    <w:rsid w:val="005D33D9"/>
    <w:rsid w:val="005D383D"/>
    <w:rsid w:val="005D39B2"/>
    <w:rsid w:val="005D419B"/>
    <w:rsid w:val="005D4218"/>
    <w:rsid w:val="005D4B51"/>
    <w:rsid w:val="005D4CA8"/>
    <w:rsid w:val="005D4CC0"/>
    <w:rsid w:val="005D5197"/>
    <w:rsid w:val="005D5CDE"/>
    <w:rsid w:val="005D5CF6"/>
    <w:rsid w:val="005D62CE"/>
    <w:rsid w:val="005D63EA"/>
    <w:rsid w:val="005D6418"/>
    <w:rsid w:val="005D689D"/>
    <w:rsid w:val="005D7C11"/>
    <w:rsid w:val="005D7D43"/>
    <w:rsid w:val="005D7D9F"/>
    <w:rsid w:val="005D7E04"/>
    <w:rsid w:val="005E05B0"/>
    <w:rsid w:val="005E06F1"/>
    <w:rsid w:val="005E0CF4"/>
    <w:rsid w:val="005E1351"/>
    <w:rsid w:val="005E1430"/>
    <w:rsid w:val="005E150D"/>
    <w:rsid w:val="005E154C"/>
    <w:rsid w:val="005E1761"/>
    <w:rsid w:val="005E1EAC"/>
    <w:rsid w:val="005E1F1A"/>
    <w:rsid w:val="005E28E7"/>
    <w:rsid w:val="005E2B8E"/>
    <w:rsid w:val="005E2CDF"/>
    <w:rsid w:val="005E338E"/>
    <w:rsid w:val="005E343A"/>
    <w:rsid w:val="005E3935"/>
    <w:rsid w:val="005E39C3"/>
    <w:rsid w:val="005E431A"/>
    <w:rsid w:val="005E4719"/>
    <w:rsid w:val="005E4A55"/>
    <w:rsid w:val="005E54A7"/>
    <w:rsid w:val="005E54F5"/>
    <w:rsid w:val="005E57F1"/>
    <w:rsid w:val="005E636D"/>
    <w:rsid w:val="005E6815"/>
    <w:rsid w:val="005E7219"/>
    <w:rsid w:val="005E735F"/>
    <w:rsid w:val="005E743C"/>
    <w:rsid w:val="005E79E2"/>
    <w:rsid w:val="005E7E06"/>
    <w:rsid w:val="005E7EAB"/>
    <w:rsid w:val="005F05C3"/>
    <w:rsid w:val="005F0ACD"/>
    <w:rsid w:val="005F0DCD"/>
    <w:rsid w:val="005F1598"/>
    <w:rsid w:val="005F1CCA"/>
    <w:rsid w:val="005F1F92"/>
    <w:rsid w:val="005F2027"/>
    <w:rsid w:val="005F259E"/>
    <w:rsid w:val="005F2BCA"/>
    <w:rsid w:val="005F2BED"/>
    <w:rsid w:val="005F3814"/>
    <w:rsid w:val="005F3A5C"/>
    <w:rsid w:val="005F3F3B"/>
    <w:rsid w:val="005F4370"/>
    <w:rsid w:val="005F4932"/>
    <w:rsid w:val="005F4F4E"/>
    <w:rsid w:val="005F5231"/>
    <w:rsid w:val="005F55AE"/>
    <w:rsid w:val="005F5DBC"/>
    <w:rsid w:val="005F61CC"/>
    <w:rsid w:val="005F698E"/>
    <w:rsid w:val="005F6A90"/>
    <w:rsid w:val="005F70CC"/>
    <w:rsid w:val="005F7205"/>
    <w:rsid w:val="005F7558"/>
    <w:rsid w:val="005F7F4E"/>
    <w:rsid w:val="0060075A"/>
    <w:rsid w:val="00600BB9"/>
    <w:rsid w:val="00601035"/>
    <w:rsid w:val="0060141B"/>
    <w:rsid w:val="006016DA"/>
    <w:rsid w:val="00601941"/>
    <w:rsid w:val="00601EC3"/>
    <w:rsid w:val="00601F2D"/>
    <w:rsid w:val="00602228"/>
    <w:rsid w:val="00602CA5"/>
    <w:rsid w:val="006033A9"/>
    <w:rsid w:val="00603CC6"/>
    <w:rsid w:val="00603EBA"/>
    <w:rsid w:val="00604985"/>
    <w:rsid w:val="00605C79"/>
    <w:rsid w:val="00605D79"/>
    <w:rsid w:val="00605E22"/>
    <w:rsid w:val="00605E90"/>
    <w:rsid w:val="00606190"/>
    <w:rsid w:val="00606863"/>
    <w:rsid w:val="00606BDD"/>
    <w:rsid w:val="00606DA3"/>
    <w:rsid w:val="00607047"/>
    <w:rsid w:val="00607132"/>
    <w:rsid w:val="006071A0"/>
    <w:rsid w:val="0060780D"/>
    <w:rsid w:val="006106FD"/>
    <w:rsid w:val="00611C8A"/>
    <w:rsid w:val="00612287"/>
    <w:rsid w:val="0061237C"/>
    <w:rsid w:val="006123DE"/>
    <w:rsid w:val="0061258C"/>
    <w:rsid w:val="00612ED6"/>
    <w:rsid w:val="0061303C"/>
    <w:rsid w:val="00613290"/>
    <w:rsid w:val="00613585"/>
    <w:rsid w:val="00613EAD"/>
    <w:rsid w:val="00613F37"/>
    <w:rsid w:val="00614173"/>
    <w:rsid w:val="00614730"/>
    <w:rsid w:val="00614985"/>
    <w:rsid w:val="00614DD8"/>
    <w:rsid w:val="00614EAA"/>
    <w:rsid w:val="006150EB"/>
    <w:rsid w:val="0061513B"/>
    <w:rsid w:val="00615305"/>
    <w:rsid w:val="0061559B"/>
    <w:rsid w:val="0061572D"/>
    <w:rsid w:val="00615F9D"/>
    <w:rsid w:val="00616748"/>
    <w:rsid w:val="00616B03"/>
    <w:rsid w:val="00616C71"/>
    <w:rsid w:val="00616F88"/>
    <w:rsid w:val="006176BD"/>
    <w:rsid w:val="0062099C"/>
    <w:rsid w:val="00621224"/>
    <w:rsid w:val="00621269"/>
    <w:rsid w:val="00621336"/>
    <w:rsid w:val="0062144B"/>
    <w:rsid w:val="006215DE"/>
    <w:rsid w:val="00621920"/>
    <w:rsid w:val="00621942"/>
    <w:rsid w:val="00622508"/>
    <w:rsid w:val="00622DF6"/>
    <w:rsid w:val="006230FF"/>
    <w:rsid w:val="0062314C"/>
    <w:rsid w:val="00623372"/>
    <w:rsid w:val="006238AE"/>
    <w:rsid w:val="00623900"/>
    <w:rsid w:val="00623BB8"/>
    <w:rsid w:val="00623CD4"/>
    <w:rsid w:val="0062408C"/>
    <w:rsid w:val="0062420E"/>
    <w:rsid w:val="006248B5"/>
    <w:rsid w:val="00624BDC"/>
    <w:rsid w:val="006258EE"/>
    <w:rsid w:val="00625A8C"/>
    <w:rsid w:val="006264A6"/>
    <w:rsid w:val="00626E2D"/>
    <w:rsid w:val="00627346"/>
    <w:rsid w:val="00627589"/>
    <w:rsid w:val="00627852"/>
    <w:rsid w:val="00627918"/>
    <w:rsid w:val="0063009F"/>
    <w:rsid w:val="00630578"/>
    <w:rsid w:val="00631066"/>
    <w:rsid w:val="006310E5"/>
    <w:rsid w:val="00631165"/>
    <w:rsid w:val="00631B82"/>
    <w:rsid w:val="006320D2"/>
    <w:rsid w:val="006323BC"/>
    <w:rsid w:val="00632AE2"/>
    <w:rsid w:val="00632BFF"/>
    <w:rsid w:val="00632D76"/>
    <w:rsid w:val="006334B3"/>
    <w:rsid w:val="006340C2"/>
    <w:rsid w:val="006346E7"/>
    <w:rsid w:val="006348D2"/>
    <w:rsid w:val="00635105"/>
    <w:rsid w:val="006356C5"/>
    <w:rsid w:val="00635C10"/>
    <w:rsid w:val="00635F78"/>
    <w:rsid w:val="0063603A"/>
    <w:rsid w:val="00636342"/>
    <w:rsid w:val="0063651D"/>
    <w:rsid w:val="00636EA3"/>
    <w:rsid w:val="00636FFF"/>
    <w:rsid w:val="00637432"/>
    <w:rsid w:val="00637636"/>
    <w:rsid w:val="00637B2B"/>
    <w:rsid w:val="00637D1C"/>
    <w:rsid w:val="00640436"/>
    <w:rsid w:val="00640749"/>
    <w:rsid w:val="006407BD"/>
    <w:rsid w:val="00640B78"/>
    <w:rsid w:val="00640F9F"/>
    <w:rsid w:val="006414CE"/>
    <w:rsid w:val="00641C98"/>
    <w:rsid w:val="00641E78"/>
    <w:rsid w:val="00642478"/>
    <w:rsid w:val="00642588"/>
    <w:rsid w:val="00642795"/>
    <w:rsid w:val="00642B94"/>
    <w:rsid w:val="00642FFC"/>
    <w:rsid w:val="0064397A"/>
    <w:rsid w:val="00643BF1"/>
    <w:rsid w:val="00643DDD"/>
    <w:rsid w:val="006443D9"/>
    <w:rsid w:val="0064474C"/>
    <w:rsid w:val="00644819"/>
    <w:rsid w:val="00644BF0"/>
    <w:rsid w:val="00644FC2"/>
    <w:rsid w:val="00645BC5"/>
    <w:rsid w:val="006463B7"/>
    <w:rsid w:val="00646F1C"/>
    <w:rsid w:val="00646F90"/>
    <w:rsid w:val="006473FF"/>
    <w:rsid w:val="00647C90"/>
    <w:rsid w:val="0065014F"/>
    <w:rsid w:val="006501A4"/>
    <w:rsid w:val="00650258"/>
    <w:rsid w:val="006507E2"/>
    <w:rsid w:val="00650E26"/>
    <w:rsid w:val="00651137"/>
    <w:rsid w:val="00651270"/>
    <w:rsid w:val="00652891"/>
    <w:rsid w:val="00652ADA"/>
    <w:rsid w:val="00652CF2"/>
    <w:rsid w:val="00652F52"/>
    <w:rsid w:val="00653138"/>
    <w:rsid w:val="006532D5"/>
    <w:rsid w:val="006534CA"/>
    <w:rsid w:val="0065352C"/>
    <w:rsid w:val="00653939"/>
    <w:rsid w:val="00653E02"/>
    <w:rsid w:val="006540BF"/>
    <w:rsid w:val="00654793"/>
    <w:rsid w:val="00654B70"/>
    <w:rsid w:val="00654FE8"/>
    <w:rsid w:val="00655470"/>
    <w:rsid w:val="00655838"/>
    <w:rsid w:val="00656486"/>
    <w:rsid w:val="00656A5F"/>
    <w:rsid w:val="00656BB3"/>
    <w:rsid w:val="00656D6F"/>
    <w:rsid w:val="00657000"/>
    <w:rsid w:val="00657A60"/>
    <w:rsid w:val="00657B9B"/>
    <w:rsid w:val="006600B3"/>
    <w:rsid w:val="006600C2"/>
    <w:rsid w:val="006600C6"/>
    <w:rsid w:val="00660686"/>
    <w:rsid w:val="00660802"/>
    <w:rsid w:val="00660BC1"/>
    <w:rsid w:val="006612E8"/>
    <w:rsid w:val="0066131A"/>
    <w:rsid w:val="006614C2"/>
    <w:rsid w:val="00662648"/>
    <w:rsid w:val="0066293B"/>
    <w:rsid w:val="00662CC0"/>
    <w:rsid w:val="00662E3A"/>
    <w:rsid w:val="00663415"/>
    <w:rsid w:val="00663484"/>
    <w:rsid w:val="006636BC"/>
    <w:rsid w:val="006636C7"/>
    <w:rsid w:val="0066446B"/>
    <w:rsid w:val="00664520"/>
    <w:rsid w:val="006646BF"/>
    <w:rsid w:val="00664D1F"/>
    <w:rsid w:val="00664E07"/>
    <w:rsid w:val="0066519B"/>
    <w:rsid w:val="006653B5"/>
    <w:rsid w:val="006653E2"/>
    <w:rsid w:val="00665514"/>
    <w:rsid w:val="00665ADC"/>
    <w:rsid w:val="00665CC6"/>
    <w:rsid w:val="00666333"/>
    <w:rsid w:val="006669D1"/>
    <w:rsid w:val="00666D20"/>
    <w:rsid w:val="00666DEB"/>
    <w:rsid w:val="00666EC0"/>
    <w:rsid w:val="00666F47"/>
    <w:rsid w:val="006670B7"/>
    <w:rsid w:val="0066737E"/>
    <w:rsid w:val="00667765"/>
    <w:rsid w:val="006701DB"/>
    <w:rsid w:val="006701E9"/>
    <w:rsid w:val="00670433"/>
    <w:rsid w:val="006706F8"/>
    <w:rsid w:val="006710E6"/>
    <w:rsid w:val="006711F2"/>
    <w:rsid w:val="0067226E"/>
    <w:rsid w:val="006723C9"/>
    <w:rsid w:val="0067276C"/>
    <w:rsid w:val="00672A6C"/>
    <w:rsid w:val="00672DDE"/>
    <w:rsid w:val="006731F6"/>
    <w:rsid w:val="006733CD"/>
    <w:rsid w:val="006733CE"/>
    <w:rsid w:val="006734DF"/>
    <w:rsid w:val="006737C1"/>
    <w:rsid w:val="00673A84"/>
    <w:rsid w:val="00673B54"/>
    <w:rsid w:val="00673D10"/>
    <w:rsid w:val="00673F89"/>
    <w:rsid w:val="006742B3"/>
    <w:rsid w:val="006744A5"/>
    <w:rsid w:val="00674981"/>
    <w:rsid w:val="00674D91"/>
    <w:rsid w:val="00674E25"/>
    <w:rsid w:val="0067543F"/>
    <w:rsid w:val="00675F81"/>
    <w:rsid w:val="006764AD"/>
    <w:rsid w:val="00676BBF"/>
    <w:rsid w:val="00676E4C"/>
    <w:rsid w:val="00676FC9"/>
    <w:rsid w:val="00676FFC"/>
    <w:rsid w:val="00677415"/>
    <w:rsid w:val="00677C29"/>
    <w:rsid w:val="006800F4"/>
    <w:rsid w:val="00681AFF"/>
    <w:rsid w:val="00682A79"/>
    <w:rsid w:val="00682C14"/>
    <w:rsid w:val="00682DD9"/>
    <w:rsid w:val="0068354D"/>
    <w:rsid w:val="00683930"/>
    <w:rsid w:val="006843DF"/>
    <w:rsid w:val="00684665"/>
    <w:rsid w:val="0068474F"/>
    <w:rsid w:val="006848BB"/>
    <w:rsid w:val="00684B3A"/>
    <w:rsid w:val="00684B57"/>
    <w:rsid w:val="00684CA3"/>
    <w:rsid w:val="00684DDB"/>
    <w:rsid w:val="00685058"/>
    <w:rsid w:val="0068564F"/>
    <w:rsid w:val="00685C1A"/>
    <w:rsid w:val="00685E8C"/>
    <w:rsid w:val="00686036"/>
    <w:rsid w:val="006866B5"/>
    <w:rsid w:val="00686E46"/>
    <w:rsid w:val="0068775B"/>
    <w:rsid w:val="00687AF7"/>
    <w:rsid w:val="00687C78"/>
    <w:rsid w:val="00687D94"/>
    <w:rsid w:val="006900A1"/>
    <w:rsid w:val="00690606"/>
    <w:rsid w:val="006906C4"/>
    <w:rsid w:val="00690AB9"/>
    <w:rsid w:val="00690C45"/>
    <w:rsid w:val="006913AF"/>
    <w:rsid w:val="006914C2"/>
    <w:rsid w:val="006918C1"/>
    <w:rsid w:val="00691C49"/>
    <w:rsid w:val="00691D26"/>
    <w:rsid w:val="006926B9"/>
    <w:rsid w:val="006928A0"/>
    <w:rsid w:val="00692942"/>
    <w:rsid w:val="006931A8"/>
    <w:rsid w:val="006931B9"/>
    <w:rsid w:val="0069331F"/>
    <w:rsid w:val="0069385D"/>
    <w:rsid w:val="0069489A"/>
    <w:rsid w:val="00695439"/>
    <w:rsid w:val="00696060"/>
    <w:rsid w:val="006962DE"/>
    <w:rsid w:val="00696392"/>
    <w:rsid w:val="0069640E"/>
    <w:rsid w:val="00696508"/>
    <w:rsid w:val="00696A69"/>
    <w:rsid w:val="00696EE9"/>
    <w:rsid w:val="00696FD5"/>
    <w:rsid w:val="00697756"/>
    <w:rsid w:val="00697A91"/>
    <w:rsid w:val="00697C7D"/>
    <w:rsid w:val="00697DA1"/>
    <w:rsid w:val="006A00D2"/>
    <w:rsid w:val="006A01CF"/>
    <w:rsid w:val="006A0BC6"/>
    <w:rsid w:val="006A0CD3"/>
    <w:rsid w:val="006A0E33"/>
    <w:rsid w:val="006A11DE"/>
    <w:rsid w:val="006A125E"/>
    <w:rsid w:val="006A12CF"/>
    <w:rsid w:val="006A1416"/>
    <w:rsid w:val="006A1564"/>
    <w:rsid w:val="006A1A5B"/>
    <w:rsid w:val="006A1D6F"/>
    <w:rsid w:val="006A2125"/>
    <w:rsid w:val="006A22F4"/>
    <w:rsid w:val="006A2641"/>
    <w:rsid w:val="006A27FA"/>
    <w:rsid w:val="006A2873"/>
    <w:rsid w:val="006A2DAC"/>
    <w:rsid w:val="006A2EA4"/>
    <w:rsid w:val="006A32E1"/>
    <w:rsid w:val="006A34D3"/>
    <w:rsid w:val="006A379A"/>
    <w:rsid w:val="006A37F4"/>
    <w:rsid w:val="006A3838"/>
    <w:rsid w:val="006A3A69"/>
    <w:rsid w:val="006A44C2"/>
    <w:rsid w:val="006A49E9"/>
    <w:rsid w:val="006A4FD9"/>
    <w:rsid w:val="006A517A"/>
    <w:rsid w:val="006A5355"/>
    <w:rsid w:val="006A5A3F"/>
    <w:rsid w:val="006A5F3A"/>
    <w:rsid w:val="006A6600"/>
    <w:rsid w:val="006A6BB3"/>
    <w:rsid w:val="006A6EB7"/>
    <w:rsid w:val="006A6F5C"/>
    <w:rsid w:val="006A76B1"/>
    <w:rsid w:val="006A7A06"/>
    <w:rsid w:val="006A7F49"/>
    <w:rsid w:val="006A7F8D"/>
    <w:rsid w:val="006B007E"/>
    <w:rsid w:val="006B04A6"/>
    <w:rsid w:val="006B0580"/>
    <w:rsid w:val="006B0584"/>
    <w:rsid w:val="006B0613"/>
    <w:rsid w:val="006B07EB"/>
    <w:rsid w:val="006B0832"/>
    <w:rsid w:val="006B1572"/>
    <w:rsid w:val="006B1AE9"/>
    <w:rsid w:val="006B2323"/>
    <w:rsid w:val="006B2CFF"/>
    <w:rsid w:val="006B32C7"/>
    <w:rsid w:val="006B339D"/>
    <w:rsid w:val="006B3905"/>
    <w:rsid w:val="006B3967"/>
    <w:rsid w:val="006B3DE1"/>
    <w:rsid w:val="006B40D0"/>
    <w:rsid w:val="006B4EE8"/>
    <w:rsid w:val="006B5642"/>
    <w:rsid w:val="006B573C"/>
    <w:rsid w:val="006B5870"/>
    <w:rsid w:val="006B5F2F"/>
    <w:rsid w:val="006B6036"/>
    <w:rsid w:val="006B60EC"/>
    <w:rsid w:val="006B6498"/>
    <w:rsid w:val="006B6E21"/>
    <w:rsid w:val="006B7754"/>
    <w:rsid w:val="006B7D2D"/>
    <w:rsid w:val="006C0642"/>
    <w:rsid w:val="006C07E5"/>
    <w:rsid w:val="006C093E"/>
    <w:rsid w:val="006C0954"/>
    <w:rsid w:val="006C09BD"/>
    <w:rsid w:val="006C0A5E"/>
    <w:rsid w:val="006C1230"/>
    <w:rsid w:val="006C13FF"/>
    <w:rsid w:val="006C19B5"/>
    <w:rsid w:val="006C1EA4"/>
    <w:rsid w:val="006C21C4"/>
    <w:rsid w:val="006C2246"/>
    <w:rsid w:val="006C2CDF"/>
    <w:rsid w:val="006C3242"/>
    <w:rsid w:val="006C35D3"/>
    <w:rsid w:val="006C3F00"/>
    <w:rsid w:val="006C4BF2"/>
    <w:rsid w:val="006C5F5D"/>
    <w:rsid w:val="006C6692"/>
    <w:rsid w:val="006C6C38"/>
    <w:rsid w:val="006C6CC2"/>
    <w:rsid w:val="006C6FB8"/>
    <w:rsid w:val="006C76EC"/>
    <w:rsid w:val="006D0407"/>
    <w:rsid w:val="006D055A"/>
    <w:rsid w:val="006D06C5"/>
    <w:rsid w:val="006D0B32"/>
    <w:rsid w:val="006D0C96"/>
    <w:rsid w:val="006D0CFD"/>
    <w:rsid w:val="006D0D55"/>
    <w:rsid w:val="006D15CA"/>
    <w:rsid w:val="006D1749"/>
    <w:rsid w:val="006D1B50"/>
    <w:rsid w:val="006D20F2"/>
    <w:rsid w:val="006D2675"/>
    <w:rsid w:val="006D26BB"/>
    <w:rsid w:val="006D2878"/>
    <w:rsid w:val="006D3095"/>
    <w:rsid w:val="006D3809"/>
    <w:rsid w:val="006D3E30"/>
    <w:rsid w:val="006D40F0"/>
    <w:rsid w:val="006D4762"/>
    <w:rsid w:val="006D482C"/>
    <w:rsid w:val="006D49B9"/>
    <w:rsid w:val="006D54C6"/>
    <w:rsid w:val="006D5EE5"/>
    <w:rsid w:val="006D625F"/>
    <w:rsid w:val="006D6314"/>
    <w:rsid w:val="006D6443"/>
    <w:rsid w:val="006D64AF"/>
    <w:rsid w:val="006D655F"/>
    <w:rsid w:val="006D66FD"/>
    <w:rsid w:val="006D6C49"/>
    <w:rsid w:val="006D6CCE"/>
    <w:rsid w:val="006D798A"/>
    <w:rsid w:val="006D79CB"/>
    <w:rsid w:val="006D7DE7"/>
    <w:rsid w:val="006D7E9B"/>
    <w:rsid w:val="006E0293"/>
    <w:rsid w:val="006E0D24"/>
    <w:rsid w:val="006E0E14"/>
    <w:rsid w:val="006E1D72"/>
    <w:rsid w:val="006E1DB8"/>
    <w:rsid w:val="006E1E87"/>
    <w:rsid w:val="006E1EEE"/>
    <w:rsid w:val="006E3325"/>
    <w:rsid w:val="006E3917"/>
    <w:rsid w:val="006E3CDA"/>
    <w:rsid w:val="006E465D"/>
    <w:rsid w:val="006E4700"/>
    <w:rsid w:val="006E4CE8"/>
    <w:rsid w:val="006E59FC"/>
    <w:rsid w:val="006E5B03"/>
    <w:rsid w:val="006E5B58"/>
    <w:rsid w:val="006E5F62"/>
    <w:rsid w:val="006E6402"/>
    <w:rsid w:val="006E64FA"/>
    <w:rsid w:val="006E65E5"/>
    <w:rsid w:val="006E67FB"/>
    <w:rsid w:val="006E6B5D"/>
    <w:rsid w:val="006E6CD7"/>
    <w:rsid w:val="006E6D3B"/>
    <w:rsid w:val="006E7048"/>
    <w:rsid w:val="006E7211"/>
    <w:rsid w:val="006E7310"/>
    <w:rsid w:val="006F00F4"/>
    <w:rsid w:val="006F057B"/>
    <w:rsid w:val="006F0C65"/>
    <w:rsid w:val="006F127A"/>
    <w:rsid w:val="006F12D7"/>
    <w:rsid w:val="006F19A1"/>
    <w:rsid w:val="006F1A28"/>
    <w:rsid w:val="006F1F97"/>
    <w:rsid w:val="006F2081"/>
    <w:rsid w:val="006F2874"/>
    <w:rsid w:val="006F288E"/>
    <w:rsid w:val="006F349B"/>
    <w:rsid w:val="006F356A"/>
    <w:rsid w:val="006F368D"/>
    <w:rsid w:val="006F3B65"/>
    <w:rsid w:val="006F4584"/>
    <w:rsid w:val="006F45F4"/>
    <w:rsid w:val="006F462B"/>
    <w:rsid w:val="006F48F5"/>
    <w:rsid w:val="006F5129"/>
    <w:rsid w:val="006F51E5"/>
    <w:rsid w:val="006F52C0"/>
    <w:rsid w:val="006F593C"/>
    <w:rsid w:val="006F6645"/>
    <w:rsid w:val="006F692C"/>
    <w:rsid w:val="006F6C31"/>
    <w:rsid w:val="006F7032"/>
    <w:rsid w:val="006F741A"/>
    <w:rsid w:val="006F76E3"/>
    <w:rsid w:val="006F7A5F"/>
    <w:rsid w:val="0070036E"/>
    <w:rsid w:val="007006C8"/>
    <w:rsid w:val="00700858"/>
    <w:rsid w:val="00700C4C"/>
    <w:rsid w:val="007013E1"/>
    <w:rsid w:val="007019F1"/>
    <w:rsid w:val="00701DDC"/>
    <w:rsid w:val="00702279"/>
    <w:rsid w:val="0070231D"/>
    <w:rsid w:val="00702642"/>
    <w:rsid w:val="00702747"/>
    <w:rsid w:val="00702834"/>
    <w:rsid w:val="00702AE2"/>
    <w:rsid w:val="00702B57"/>
    <w:rsid w:val="00702BD0"/>
    <w:rsid w:val="00702C91"/>
    <w:rsid w:val="00702FC1"/>
    <w:rsid w:val="00703272"/>
    <w:rsid w:val="007033E9"/>
    <w:rsid w:val="007039D5"/>
    <w:rsid w:val="00703B9B"/>
    <w:rsid w:val="00703CE8"/>
    <w:rsid w:val="00703E9E"/>
    <w:rsid w:val="00703F0E"/>
    <w:rsid w:val="00703F16"/>
    <w:rsid w:val="00703FA9"/>
    <w:rsid w:val="00704008"/>
    <w:rsid w:val="00704622"/>
    <w:rsid w:val="00704643"/>
    <w:rsid w:val="007049A2"/>
    <w:rsid w:val="00704AC5"/>
    <w:rsid w:val="007050B0"/>
    <w:rsid w:val="007057E9"/>
    <w:rsid w:val="0070592C"/>
    <w:rsid w:val="00705A5E"/>
    <w:rsid w:val="00705C5B"/>
    <w:rsid w:val="007064C9"/>
    <w:rsid w:val="00706794"/>
    <w:rsid w:val="007068D4"/>
    <w:rsid w:val="00706CE9"/>
    <w:rsid w:val="007070C2"/>
    <w:rsid w:val="0070716E"/>
    <w:rsid w:val="007072B7"/>
    <w:rsid w:val="0070749D"/>
    <w:rsid w:val="00707E4B"/>
    <w:rsid w:val="00707EF5"/>
    <w:rsid w:val="00710187"/>
    <w:rsid w:val="00710865"/>
    <w:rsid w:val="0071091F"/>
    <w:rsid w:val="007109E4"/>
    <w:rsid w:val="00710D13"/>
    <w:rsid w:val="00710E51"/>
    <w:rsid w:val="00711379"/>
    <w:rsid w:val="007117B0"/>
    <w:rsid w:val="0071187B"/>
    <w:rsid w:val="00711D24"/>
    <w:rsid w:val="007125B7"/>
    <w:rsid w:val="00712701"/>
    <w:rsid w:val="007127A0"/>
    <w:rsid w:val="00712B5D"/>
    <w:rsid w:val="00712FC6"/>
    <w:rsid w:val="007130CC"/>
    <w:rsid w:val="00713A73"/>
    <w:rsid w:val="00713CB3"/>
    <w:rsid w:val="00713DFF"/>
    <w:rsid w:val="007141D4"/>
    <w:rsid w:val="0071435E"/>
    <w:rsid w:val="00714924"/>
    <w:rsid w:val="00714A59"/>
    <w:rsid w:val="00714D99"/>
    <w:rsid w:val="00714FF5"/>
    <w:rsid w:val="00715488"/>
    <w:rsid w:val="0071598B"/>
    <w:rsid w:val="00715F11"/>
    <w:rsid w:val="00716124"/>
    <w:rsid w:val="007161EB"/>
    <w:rsid w:val="00716553"/>
    <w:rsid w:val="00717444"/>
    <w:rsid w:val="0071760B"/>
    <w:rsid w:val="00717AD2"/>
    <w:rsid w:val="00717EC8"/>
    <w:rsid w:val="00720632"/>
    <w:rsid w:val="00720737"/>
    <w:rsid w:val="00720BD0"/>
    <w:rsid w:val="00721A93"/>
    <w:rsid w:val="00721AE5"/>
    <w:rsid w:val="0072213B"/>
    <w:rsid w:val="00722390"/>
    <w:rsid w:val="007225A4"/>
    <w:rsid w:val="00722893"/>
    <w:rsid w:val="00722F23"/>
    <w:rsid w:val="0072381A"/>
    <w:rsid w:val="007239AC"/>
    <w:rsid w:val="00723C77"/>
    <w:rsid w:val="00724100"/>
    <w:rsid w:val="00724278"/>
    <w:rsid w:val="00724AB1"/>
    <w:rsid w:val="00724DCA"/>
    <w:rsid w:val="00724F21"/>
    <w:rsid w:val="007253E1"/>
    <w:rsid w:val="007256D0"/>
    <w:rsid w:val="00725741"/>
    <w:rsid w:val="00725CED"/>
    <w:rsid w:val="007262CB"/>
    <w:rsid w:val="00726586"/>
    <w:rsid w:val="007265F5"/>
    <w:rsid w:val="0072668B"/>
    <w:rsid w:val="00726A93"/>
    <w:rsid w:val="00726EE5"/>
    <w:rsid w:val="007270BE"/>
    <w:rsid w:val="007275CB"/>
    <w:rsid w:val="00727D22"/>
    <w:rsid w:val="0072C852"/>
    <w:rsid w:val="00730328"/>
    <w:rsid w:val="00730A2E"/>
    <w:rsid w:val="00730BD2"/>
    <w:rsid w:val="0073103B"/>
    <w:rsid w:val="00731877"/>
    <w:rsid w:val="00732095"/>
    <w:rsid w:val="0073277C"/>
    <w:rsid w:val="00732B35"/>
    <w:rsid w:val="00732B73"/>
    <w:rsid w:val="00732C21"/>
    <w:rsid w:val="00732D48"/>
    <w:rsid w:val="00733028"/>
    <w:rsid w:val="00733056"/>
    <w:rsid w:val="00733145"/>
    <w:rsid w:val="00733DCB"/>
    <w:rsid w:val="00734642"/>
    <w:rsid w:val="00734AE8"/>
    <w:rsid w:val="00734F49"/>
    <w:rsid w:val="007350AC"/>
    <w:rsid w:val="007355DD"/>
    <w:rsid w:val="00735EE5"/>
    <w:rsid w:val="00736318"/>
    <w:rsid w:val="0073660B"/>
    <w:rsid w:val="0073683F"/>
    <w:rsid w:val="00737904"/>
    <w:rsid w:val="007379F2"/>
    <w:rsid w:val="00737E92"/>
    <w:rsid w:val="007401F2"/>
    <w:rsid w:val="00740A0D"/>
    <w:rsid w:val="00740F8E"/>
    <w:rsid w:val="007418D1"/>
    <w:rsid w:val="00741EF8"/>
    <w:rsid w:val="00742515"/>
    <w:rsid w:val="00742631"/>
    <w:rsid w:val="00742A77"/>
    <w:rsid w:val="00742AA3"/>
    <w:rsid w:val="00742D3E"/>
    <w:rsid w:val="00742D65"/>
    <w:rsid w:val="00743222"/>
    <w:rsid w:val="00744A16"/>
    <w:rsid w:val="00744B81"/>
    <w:rsid w:val="00744D9F"/>
    <w:rsid w:val="00744F43"/>
    <w:rsid w:val="007456C1"/>
    <w:rsid w:val="00745961"/>
    <w:rsid w:val="00745F65"/>
    <w:rsid w:val="007462C7"/>
    <w:rsid w:val="00746437"/>
    <w:rsid w:val="00746A74"/>
    <w:rsid w:val="00746DA5"/>
    <w:rsid w:val="00746FA1"/>
    <w:rsid w:val="00747655"/>
    <w:rsid w:val="007476E5"/>
    <w:rsid w:val="00747A0E"/>
    <w:rsid w:val="0075098D"/>
    <w:rsid w:val="00750A5D"/>
    <w:rsid w:val="00750D1F"/>
    <w:rsid w:val="007519AB"/>
    <w:rsid w:val="00751A89"/>
    <w:rsid w:val="00751F09"/>
    <w:rsid w:val="00751FEB"/>
    <w:rsid w:val="007529B8"/>
    <w:rsid w:val="00752DED"/>
    <w:rsid w:val="00753314"/>
    <w:rsid w:val="007540BF"/>
    <w:rsid w:val="00754447"/>
    <w:rsid w:val="0075477A"/>
    <w:rsid w:val="007548BD"/>
    <w:rsid w:val="00754AE8"/>
    <w:rsid w:val="00755291"/>
    <w:rsid w:val="007555FC"/>
    <w:rsid w:val="007556EB"/>
    <w:rsid w:val="00755FBD"/>
    <w:rsid w:val="007562AF"/>
    <w:rsid w:val="00756AB5"/>
    <w:rsid w:val="00756D2F"/>
    <w:rsid w:val="00756EAB"/>
    <w:rsid w:val="00757138"/>
    <w:rsid w:val="0075716F"/>
    <w:rsid w:val="0075740B"/>
    <w:rsid w:val="00757651"/>
    <w:rsid w:val="00757B5A"/>
    <w:rsid w:val="00757CAC"/>
    <w:rsid w:val="00757F99"/>
    <w:rsid w:val="007602AB"/>
    <w:rsid w:val="0076041D"/>
    <w:rsid w:val="00760620"/>
    <w:rsid w:val="00760671"/>
    <w:rsid w:val="00760B2C"/>
    <w:rsid w:val="00760E69"/>
    <w:rsid w:val="00760FA9"/>
    <w:rsid w:val="00761844"/>
    <w:rsid w:val="00761967"/>
    <w:rsid w:val="00761A59"/>
    <w:rsid w:val="00762190"/>
    <w:rsid w:val="00762985"/>
    <w:rsid w:val="00762B7A"/>
    <w:rsid w:val="0076317D"/>
    <w:rsid w:val="00763749"/>
    <w:rsid w:val="007637A8"/>
    <w:rsid w:val="007637D7"/>
    <w:rsid w:val="00763849"/>
    <w:rsid w:val="007641F5"/>
    <w:rsid w:val="0076429A"/>
    <w:rsid w:val="0076489A"/>
    <w:rsid w:val="007651B0"/>
    <w:rsid w:val="007655B9"/>
    <w:rsid w:val="007658D7"/>
    <w:rsid w:val="00765978"/>
    <w:rsid w:val="00765B58"/>
    <w:rsid w:val="00765DA1"/>
    <w:rsid w:val="00766082"/>
    <w:rsid w:val="0076653A"/>
    <w:rsid w:val="0076672E"/>
    <w:rsid w:val="00766830"/>
    <w:rsid w:val="00766928"/>
    <w:rsid w:val="00767181"/>
    <w:rsid w:val="00767201"/>
    <w:rsid w:val="00767456"/>
    <w:rsid w:val="00767BFA"/>
    <w:rsid w:val="00767E1E"/>
    <w:rsid w:val="00767F73"/>
    <w:rsid w:val="00767FD1"/>
    <w:rsid w:val="00770052"/>
    <w:rsid w:val="0077021F"/>
    <w:rsid w:val="00770C26"/>
    <w:rsid w:val="00770DCB"/>
    <w:rsid w:val="007713C4"/>
    <w:rsid w:val="0077186F"/>
    <w:rsid w:val="00771A73"/>
    <w:rsid w:val="00771CFC"/>
    <w:rsid w:val="00772157"/>
    <w:rsid w:val="00772371"/>
    <w:rsid w:val="007723D9"/>
    <w:rsid w:val="00772471"/>
    <w:rsid w:val="007726F9"/>
    <w:rsid w:val="00772AF0"/>
    <w:rsid w:val="00772D49"/>
    <w:rsid w:val="007732AC"/>
    <w:rsid w:val="00773325"/>
    <w:rsid w:val="007734A8"/>
    <w:rsid w:val="00773870"/>
    <w:rsid w:val="007743E0"/>
    <w:rsid w:val="007749ED"/>
    <w:rsid w:val="00774A27"/>
    <w:rsid w:val="00774EB9"/>
    <w:rsid w:val="00775141"/>
    <w:rsid w:val="00775485"/>
    <w:rsid w:val="007755E9"/>
    <w:rsid w:val="0077568C"/>
    <w:rsid w:val="00775CF3"/>
    <w:rsid w:val="00775DD9"/>
    <w:rsid w:val="00775EE9"/>
    <w:rsid w:val="00776663"/>
    <w:rsid w:val="00776DB6"/>
    <w:rsid w:val="00776FF5"/>
    <w:rsid w:val="00777465"/>
    <w:rsid w:val="00777807"/>
    <w:rsid w:val="0077790F"/>
    <w:rsid w:val="00777F1D"/>
    <w:rsid w:val="007805A8"/>
    <w:rsid w:val="00781009"/>
    <w:rsid w:val="0078126D"/>
    <w:rsid w:val="0078170A"/>
    <w:rsid w:val="007822F9"/>
    <w:rsid w:val="00782349"/>
    <w:rsid w:val="007827EC"/>
    <w:rsid w:val="00782A40"/>
    <w:rsid w:val="00782D7F"/>
    <w:rsid w:val="00782ECD"/>
    <w:rsid w:val="00783532"/>
    <w:rsid w:val="007835E5"/>
    <w:rsid w:val="0078434E"/>
    <w:rsid w:val="007846B5"/>
    <w:rsid w:val="00784C04"/>
    <w:rsid w:val="00785459"/>
    <w:rsid w:val="00785A94"/>
    <w:rsid w:val="007861DA"/>
    <w:rsid w:val="0078620F"/>
    <w:rsid w:val="00786256"/>
    <w:rsid w:val="0078644D"/>
    <w:rsid w:val="00786A8D"/>
    <w:rsid w:val="00786BD6"/>
    <w:rsid w:val="00786C29"/>
    <w:rsid w:val="007877C6"/>
    <w:rsid w:val="00787804"/>
    <w:rsid w:val="00787866"/>
    <w:rsid w:val="00790EA9"/>
    <w:rsid w:val="007910F1"/>
    <w:rsid w:val="00791238"/>
    <w:rsid w:val="00791EEF"/>
    <w:rsid w:val="0079210D"/>
    <w:rsid w:val="0079248B"/>
    <w:rsid w:val="00792A33"/>
    <w:rsid w:val="00792C9D"/>
    <w:rsid w:val="007939FB"/>
    <w:rsid w:val="00793A52"/>
    <w:rsid w:val="00794358"/>
    <w:rsid w:val="00794A02"/>
    <w:rsid w:val="00795176"/>
    <w:rsid w:val="00795E3A"/>
    <w:rsid w:val="00796636"/>
    <w:rsid w:val="007970E1"/>
    <w:rsid w:val="007A0021"/>
    <w:rsid w:val="007A01AA"/>
    <w:rsid w:val="007A062F"/>
    <w:rsid w:val="007A0F08"/>
    <w:rsid w:val="007A0F6B"/>
    <w:rsid w:val="007A1505"/>
    <w:rsid w:val="007A170A"/>
    <w:rsid w:val="007A1916"/>
    <w:rsid w:val="007A1AA8"/>
    <w:rsid w:val="007A1B04"/>
    <w:rsid w:val="007A26F1"/>
    <w:rsid w:val="007A270D"/>
    <w:rsid w:val="007A29EE"/>
    <w:rsid w:val="007A2DC1"/>
    <w:rsid w:val="007A3324"/>
    <w:rsid w:val="007A37C2"/>
    <w:rsid w:val="007A411F"/>
    <w:rsid w:val="007A43FA"/>
    <w:rsid w:val="007A4516"/>
    <w:rsid w:val="007A4628"/>
    <w:rsid w:val="007A5418"/>
    <w:rsid w:val="007A56D3"/>
    <w:rsid w:val="007A6208"/>
    <w:rsid w:val="007A665F"/>
    <w:rsid w:val="007A68A5"/>
    <w:rsid w:val="007A68C6"/>
    <w:rsid w:val="007A6D67"/>
    <w:rsid w:val="007A7417"/>
    <w:rsid w:val="007A74F4"/>
    <w:rsid w:val="007A75A4"/>
    <w:rsid w:val="007A76C4"/>
    <w:rsid w:val="007A7F3B"/>
    <w:rsid w:val="007A7F6E"/>
    <w:rsid w:val="007A7F7A"/>
    <w:rsid w:val="007B0363"/>
    <w:rsid w:val="007B0452"/>
    <w:rsid w:val="007B0565"/>
    <w:rsid w:val="007B06EA"/>
    <w:rsid w:val="007B0753"/>
    <w:rsid w:val="007B0958"/>
    <w:rsid w:val="007B1023"/>
    <w:rsid w:val="007B127E"/>
    <w:rsid w:val="007B1447"/>
    <w:rsid w:val="007B18B7"/>
    <w:rsid w:val="007B1CD0"/>
    <w:rsid w:val="007B1DFB"/>
    <w:rsid w:val="007B1F08"/>
    <w:rsid w:val="007B22BA"/>
    <w:rsid w:val="007B24EE"/>
    <w:rsid w:val="007B29AF"/>
    <w:rsid w:val="007B31B3"/>
    <w:rsid w:val="007B4D89"/>
    <w:rsid w:val="007B5196"/>
    <w:rsid w:val="007B52CB"/>
    <w:rsid w:val="007B565A"/>
    <w:rsid w:val="007B5697"/>
    <w:rsid w:val="007B57FD"/>
    <w:rsid w:val="007B5BCA"/>
    <w:rsid w:val="007B5DD3"/>
    <w:rsid w:val="007B5F78"/>
    <w:rsid w:val="007B61C6"/>
    <w:rsid w:val="007B6621"/>
    <w:rsid w:val="007B683E"/>
    <w:rsid w:val="007B6896"/>
    <w:rsid w:val="007B6D0A"/>
    <w:rsid w:val="007B6D53"/>
    <w:rsid w:val="007B7130"/>
    <w:rsid w:val="007B723E"/>
    <w:rsid w:val="007B72DC"/>
    <w:rsid w:val="007B7C51"/>
    <w:rsid w:val="007C00AE"/>
    <w:rsid w:val="007C0247"/>
    <w:rsid w:val="007C0325"/>
    <w:rsid w:val="007C094D"/>
    <w:rsid w:val="007C0970"/>
    <w:rsid w:val="007C0BF2"/>
    <w:rsid w:val="007C113F"/>
    <w:rsid w:val="007C1361"/>
    <w:rsid w:val="007C1510"/>
    <w:rsid w:val="007C179F"/>
    <w:rsid w:val="007C1AE1"/>
    <w:rsid w:val="007C20CF"/>
    <w:rsid w:val="007C2673"/>
    <w:rsid w:val="007C2928"/>
    <w:rsid w:val="007C2CF3"/>
    <w:rsid w:val="007C2DD3"/>
    <w:rsid w:val="007C3420"/>
    <w:rsid w:val="007C381E"/>
    <w:rsid w:val="007C3F1D"/>
    <w:rsid w:val="007C53FA"/>
    <w:rsid w:val="007C5574"/>
    <w:rsid w:val="007C5A69"/>
    <w:rsid w:val="007C5E1C"/>
    <w:rsid w:val="007C5F61"/>
    <w:rsid w:val="007C6238"/>
    <w:rsid w:val="007C66DB"/>
    <w:rsid w:val="007C6CDF"/>
    <w:rsid w:val="007C6E91"/>
    <w:rsid w:val="007C73F0"/>
    <w:rsid w:val="007C78FC"/>
    <w:rsid w:val="007C7AFA"/>
    <w:rsid w:val="007D0603"/>
    <w:rsid w:val="007D08B3"/>
    <w:rsid w:val="007D08F4"/>
    <w:rsid w:val="007D1150"/>
    <w:rsid w:val="007D12B2"/>
    <w:rsid w:val="007D1D92"/>
    <w:rsid w:val="007D23A0"/>
    <w:rsid w:val="007D243B"/>
    <w:rsid w:val="007D2F00"/>
    <w:rsid w:val="007D2F91"/>
    <w:rsid w:val="007D300F"/>
    <w:rsid w:val="007D326C"/>
    <w:rsid w:val="007D3700"/>
    <w:rsid w:val="007D3B60"/>
    <w:rsid w:val="007D3BDD"/>
    <w:rsid w:val="007D4189"/>
    <w:rsid w:val="007D43A2"/>
    <w:rsid w:val="007D4CC0"/>
    <w:rsid w:val="007D514D"/>
    <w:rsid w:val="007D515E"/>
    <w:rsid w:val="007D53A2"/>
    <w:rsid w:val="007D53A5"/>
    <w:rsid w:val="007D53B1"/>
    <w:rsid w:val="007D5823"/>
    <w:rsid w:val="007D5996"/>
    <w:rsid w:val="007D5C49"/>
    <w:rsid w:val="007D5F4F"/>
    <w:rsid w:val="007D61D2"/>
    <w:rsid w:val="007D63B2"/>
    <w:rsid w:val="007D655B"/>
    <w:rsid w:val="007D69D4"/>
    <w:rsid w:val="007D6C86"/>
    <w:rsid w:val="007D7B35"/>
    <w:rsid w:val="007E0828"/>
    <w:rsid w:val="007E0FA2"/>
    <w:rsid w:val="007E1241"/>
    <w:rsid w:val="007E1D6D"/>
    <w:rsid w:val="007E233F"/>
    <w:rsid w:val="007E27CD"/>
    <w:rsid w:val="007E28EF"/>
    <w:rsid w:val="007E29A4"/>
    <w:rsid w:val="007E36D8"/>
    <w:rsid w:val="007E37C1"/>
    <w:rsid w:val="007E3A0D"/>
    <w:rsid w:val="007E3F6A"/>
    <w:rsid w:val="007E4014"/>
    <w:rsid w:val="007E40A8"/>
    <w:rsid w:val="007E426F"/>
    <w:rsid w:val="007E45A0"/>
    <w:rsid w:val="007E4A09"/>
    <w:rsid w:val="007E4AC6"/>
    <w:rsid w:val="007E5269"/>
    <w:rsid w:val="007E5457"/>
    <w:rsid w:val="007E56AE"/>
    <w:rsid w:val="007E56CE"/>
    <w:rsid w:val="007E5B88"/>
    <w:rsid w:val="007E6FED"/>
    <w:rsid w:val="007E7035"/>
    <w:rsid w:val="007E74C3"/>
    <w:rsid w:val="007E74D1"/>
    <w:rsid w:val="007E7FAD"/>
    <w:rsid w:val="007F05B1"/>
    <w:rsid w:val="007F0B15"/>
    <w:rsid w:val="007F0D0B"/>
    <w:rsid w:val="007F0DC0"/>
    <w:rsid w:val="007F18F9"/>
    <w:rsid w:val="007F1F6B"/>
    <w:rsid w:val="007F2091"/>
    <w:rsid w:val="007F212B"/>
    <w:rsid w:val="007F29B7"/>
    <w:rsid w:val="007F31C6"/>
    <w:rsid w:val="007F3549"/>
    <w:rsid w:val="007F395E"/>
    <w:rsid w:val="007F493C"/>
    <w:rsid w:val="007F4983"/>
    <w:rsid w:val="007F498C"/>
    <w:rsid w:val="007F544C"/>
    <w:rsid w:val="007F54E2"/>
    <w:rsid w:val="007F6445"/>
    <w:rsid w:val="007F64EE"/>
    <w:rsid w:val="007F663B"/>
    <w:rsid w:val="007F6B94"/>
    <w:rsid w:val="007F6CDD"/>
    <w:rsid w:val="007F6D87"/>
    <w:rsid w:val="007F6E4A"/>
    <w:rsid w:val="007F6FFC"/>
    <w:rsid w:val="007F71E2"/>
    <w:rsid w:val="007F7C3F"/>
    <w:rsid w:val="00800154"/>
    <w:rsid w:val="008002EF"/>
    <w:rsid w:val="0080047D"/>
    <w:rsid w:val="0080054C"/>
    <w:rsid w:val="008007A8"/>
    <w:rsid w:val="00800AAC"/>
    <w:rsid w:val="00801C6B"/>
    <w:rsid w:val="0080230C"/>
    <w:rsid w:val="00802331"/>
    <w:rsid w:val="00802404"/>
    <w:rsid w:val="00802445"/>
    <w:rsid w:val="0080254E"/>
    <w:rsid w:val="0080261C"/>
    <w:rsid w:val="00802B74"/>
    <w:rsid w:val="008031B3"/>
    <w:rsid w:val="0080346B"/>
    <w:rsid w:val="00803677"/>
    <w:rsid w:val="00803A02"/>
    <w:rsid w:val="00803A6E"/>
    <w:rsid w:val="008042D9"/>
    <w:rsid w:val="00804515"/>
    <w:rsid w:val="00804A8A"/>
    <w:rsid w:val="00804AD9"/>
    <w:rsid w:val="00805248"/>
    <w:rsid w:val="00805774"/>
    <w:rsid w:val="00805780"/>
    <w:rsid w:val="00805967"/>
    <w:rsid w:val="00805F1C"/>
    <w:rsid w:val="00806880"/>
    <w:rsid w:val="00806887"/>
    <w:rsid w:val="00806E90"/>
    <w:rsid w:val="00807AB9"/>
    <w:rsid w:val="00807C57"/>
    <w:rsid w:val="00807FAF"/>
    <w:rsid w:val="00807FDF"/>
    <w:rsid w:val="008102EF"/>
    <w:rsid w:val="00810AC3"/>
    <w:rsid w:val="00811819"/>
    <w:rsid w:val="0081238A"/>
    <w:rsid w:val="00812571"/>
    <w:rsid w:val="00812818"/>
    <w:rsid w:val="00812A5D"/>
    <w:rsid w:val="00812D0F"/>
    <w:rsid w:val="00812D91"/>
    <w:rsid w:val="0081302B"/>
    <w:rsid w:val="008134A4"/>
    <w:rsid w:val="00813B5D"/>
    <w:rsid w:val="008140BF"/>
    <w:rsid w:val="00814263"/>
    <w:rsid w:val="00814B55"/>
    <w:rsid w:val="00814E91"/>
    <w:rsid w:val="00814FC0"/>
    <w:rsid w:val="00815600"/>
    <w:rsid w:val="00815E58"/>
    <w:rsid w:val="00816347"/>
    <w:rsid w:val="00816407"/>
    <w:rsid w:val="008167CF"/>
    <w:rsid w:val="00816E7C"/>
    <w:rsid w:val="0081735B"/>
    <w:rsid w:val="00817605"/>
    <w:rsid w:val="0081765F"/>
    <w:rsid w:val="008179E4"/>
    <w:rsid w:val="00817A49"/>
    <w:rsid w:val="00817B53"/>
    <w:rsid w:val="00817C73"/>
    <w:rsid w:val="00817F61"/>
    <w:rsid w:val="00820024"/>
    <w:rsid w:val="00820844"/>
    <w:rsid w:val="00820A7F"/>
    <w:rsid w:val="00820B67"/>
    <w:rsid w:val="00820CED"/>
    <w:rsid w:val="0082132F"/>
    <w:rsid w:val="008217D8"/>
    <w:rsid w:val="00821973"/>
    <w:rsid w:val="00821B32"/>
    <w:rsid w:val="00821B70"/>
    <w:rsid w:val="00821F50"/>
    <w:rsid w:val="008225A6"/>
    <w:rsid w:val="00822786"/>
    <w:rsid w:val="008228B4"/>
    <w:rsid w:val="00822BBE"/>
    <w:rsid w:val="00822E1D"/>
    <w:rsid w:val="00823005"/>
    <w:rsid w:val="00823C22"/>
    <w:rsid w:val="00823F55"/>
    <w:rsid w:val="008241B3"/>
    <w:rsid w:val="00824372"/>
    <w:rsid w:val="00824837"/>
    <w:rsid w:val="00824CAB"/>
    <w:rsid w:val="00824D72"/>
    <w:rsid w:val="00825013"/>
    <w:rsid w:val="008250FA"/>
    <w:rsid w:val="008252C7"/>
    <w:rsid w:val="0082540D"/>
    <w:rsid w:val="00825851"/>
    <w:rsid w:val="00826005"/>
    <w:rsid w:val="00826234"/>
    <w:rsid w:val="00826707"/>
    <w:rsid w:val="0082685B"/>
    <w:rsid w:val="00826A61"/>
    <w:rsid w:val="0082716D"/>
    <w:rsid w:val="00827328"/>
    <w:rsid w:val="00827B3B"/>
    <w:rsid w:val="00830B9E"/>
    <w:rsid w:val="00830E57"/>
    <w:rsid w:val="00831047"/>
    <w:rsid w:val="008312DE"/>
    <w:rsid w:val="008314A6"/>
    <w:rsid w:val="0083151D"/>
    <w:rsid w:val="00831909"/>
    <w:rsid w:val="00831A87"/>
    <w:rsid w:val="00831B44"/>
    <w:rsid w:val="0083293C"/>
    <w:rsid w:val="00832A4D"/>
    <w:rsid w:val="00832B71"/>
    <w:rsid w:val="00832CE9"/>
    <w:rsid w:val="00833113"/>
    <w:rsid w:val="00833216"/>
    <w:rsid w:val="0083345E"/>
    <w:rsid w:val="008335C9"/>
    <w:rsid w:val="00833674"/>
    <w:rsid w:val="00834191"/>
    <w:rsid w:val="008344B9"/>
    <w:rsid w:val="00834AD6"/>
    <w:rsid w:val="00834F61"/>
    <w:rsid w:val="0083506D"/>
    <w:rsid w:val="00835677"/>
    <w:rsid w:val="00836717"/>
    <w:rsid w:val="00836A0C"/>
    <w:rsid w:val="00836D84"/>
    <w:rsid w:val="008370BB"/>
    <w:rsid w:val="008376D9"/>
    <w:rsid w:val="00837DAA"/>
    <w:rsid w:val="00840924"/>
    <w:rsid w:val="00840AB3"/>
    <w:rsid w:val="00840B69"/>
    <w:rsid w:val="00840EC3"/>
    <w:rsid w:val="00840ED6"/>
    <w:rsid w:val="008419E8"/>
    <w:rsid w:val="00841BAB"/>
    <w:rsid w:val="00841C38"/>
    <w:rsid w:val="00842CE0"/>
    <w:rsid w:val="00842EB9"/>
    <w:rsid w:val="0084309B"/>
    <w:rsid w:val="0084363E"/>
    <w:rsid w:val="008439DD"/>
    <w:rsid w:val="00843C36"/>
    <w:rsid w:val="00843E3E"/>
    <w:rsid w:val="0084474C"/>
    <w:rsid w:val="008449B9"/>
    <w:rsid w:val="008449C9"/>
    <w:rsid w:val="00844BB1"/>
    <w:rsid w:val="00845071"/>
    <w:rsid w:val="008458E9"/>
    <w:rsid w:val="00845C23"/>
    <w:rsid w:val="0084612D"/>
    <w:rsid w:val="0084649E"/>
    <w:rsid w:val="008465EB"/>
    <w:rsid w:val="0084681C"/>
    <w:rsid w:val="00846DFA"/>
    <w:rsid w:val="00847191"/>
    <w:rsid w:val="00847D17"/>
    <w:rsid w:val="008505C6"/>
    <w:rsid w:val="008505C8"/>
    <w:rsid w:val="00850D88"/>
    <w:rsid w:val="008511A8"/>
    <w:rsid w:val="00851224"/>
    <w:rsid w:val="00851349"/>
    <w:rsid w:val="0085195D"/>
    <w:rsid w:val="00852568"/>
    <w:rsid w:val="008533D7"/>
    <w:rsid w:val="008533F6"/>
    <w:rsid w:val="00853441"/>
    <w:rsid w:val="00853909"/>
    <w:rsid w:val="00853C65"/>
    <w:rsid w:val="00854309"/>
    <w:rsid w:val="008543D7"/>
    <w:rsid w:val="008546BE"/>
    <w:rsid w:val="00854C67"/>
    <w:rsid w:val="0085507E"/>
    <w:rsid w:val="008552C7"/>
    <w:rsid w:val="00855683"/>
    <w:rsid w:val="008556E8"/>
    <w:rsid w:val="008559ED"/>
    <w:rsid w:val="008561BB"/>
    <w:rsid w:val="008565C5"/>
    <w:rsid w:val="008576EF"/>
    <w:rsid w:val="00857AF4"/>
    <w:rsid w:val="00857F15"/>
    <w:rsid w:val="00860124"/>
    <w:rsid w:val="008605B1"/>
    <w:rsid w:val="00860655"/>
    <w:rsid w:val="008609C5"/>
    <w:rsid w:val="00860FA4"/>
    <w:rsid w:val="00860FE8"/>
    <w:rsid w:val="008610AF"/>
    <w:rsid w:val="008618F3"/>
    <w:rsid w:val="0086254F"/>
    <w:rsid w:val="008627A4"/>
    <w:rsid w:val="0086281D"/>
    <w:rsid w:val="00862973"/>
    <w:rsid w:val="00862F98"/>
    <w:rsid w:val="008632F3"/>
    <w:rsid w:val="00863B17"/>
    <w:rsid w:val="008641DB"/>
    <w:rsid w:val="00864544"/>
    <w:rsid w:val="008658F1"/>
    <w:rsid w:val="00865E2D"/>
    <w:rsid w:val="00866144"/>
    <w:rsid w:val="00866296"/>
    <w:rsid w:val="008663D2"/>
    <w:rsid w:val="0086790C"/>
    <w:rsid w:val="00867AB5"/>
    <w:rsid w:val="00867B47"/>
    <w:rsid w:val="00870283"/>
    <w:rsid w:val="00870736"/>
    <w:rsid w:val="00871212"/>
    <w:rsid w:val="0087190B"/>
    <w:rsid w:val="00871A15"/>
    <w:rsid w:val="00871AF0"/>
    <w:rsid w:val="00871B0F"/>
    <w:rsid w:val="00871B3E"/>
    <w:rsid w:val="00871D05"/>
    <w:rsid w:val="00871D37"/>
    <w:rsid w:val="008724DE"/>
    <w:rsid w:val="0087263D"/>
    <w:rsid w:val="00872995"/>
    <w:rsid w:val="00872A9A"/>
    <w:rsid w:val="00872E2C"/>
    <w:rsid w:val="00872F57"/>
    <w:rsid w:val="00873439"/>
    <w:rsid w:val="00873EAD"/>
    <w:rsid w:val="00874436"/>
    <w:rsid w:val="0087445D"/>
    <w:rsid w:val="0087507F"/>
    <w:rsid w:val="00875102"/>
    <w:rsid w:val="00875326"/>
    <w:rsid w:val="008754C6"/>
    <w:rsid w:val="008757C1"/>
    <w:rsid w:val="008758D9"/>
    <w:rsid w:val="00875C0E"/>
    <w:rsid w:val="00876060"/>
    <w:rsid w:val="00876721"/>
    <w:rsid w:val="00876F5D"/>
    <w:rsid w:val="008772FC"/>
    <w:rsid w:val="00877400"/>
    <w:rsid w:val="008806D9"/>
    <w:rsid w:val="00880888"/>
    <w:rsid w:val="00880D16"/>
    <w:rsid w:val="0088102B"/>
    <w:rsid w:val="008811BC"/>
    <w:rsid w:val="00881394"/>
    <w:rsid w:val="00881929"/>
    <w:rsid w:val="00881BAF"/>
    <w:rsid w:val="00882532"/>
    <w:rsid w:val="008827A3"/>
    <w:rsid w:val="00882B0A"/>
    <w:rsid w:val="00882B26"/>
    <w:rsid w:val="00882F40"/>
    <w:rsid w:val="008833BE"/>
    <w:rsid w:val="008833FE"/>
    <w:rsid w:val="00883757"/>
    <w:rsid w:val="0088378B"/>
    <w:rsid w:val="00883983"/>
    <w:rsid w:val="00884507"/>
    <w:rsid w:val="008847C8"/>
    <w:rsid w:val="00884E21"/>
    <w:rsid w:val="00885309"/>
    <w:rsid w:val="008855D4"/>
    <w:rsid w:val="00885B88"/>
    <w:rsid w:val="00885FE8"/>
    <w:rsid w:val="0088647D"/>
    <w:rsid w:val="00886E6C"/>
    <w:rsid w:val="008873D9"/>
    <w:rsid w:val="008879C2"/>
    <w:rsid w:val="00887BBE"/>
    <w:rsid w:val="00887C39"/>
    <w:rsid w:val="00887EC6"/>
    <w:rsid w:val="00890168"/>
    <w:rsid w:val="00890230"/>
    <w:rsid w:val="008904C0"/>
    <w:rsid w:val="008906AF"/>
    <w:rsid w:val="00890A08"/>
    <w:rsid w:val="00890B3E"/>
    <w:rsid w:val="00891655"/>
    <w:rsid w:val="00891AD7"/>
    <w:rsid w:val="0089329B"/>
    <w:rsid w:val="008940EA"/>
    <w:rsid w:val="0089442B"/>
    <w:rsid w:val="0089474C"/>
    <w:rsid w:val="008951D9"/>
    <w:rsid w:val="00895256"/>
    <w:rsid w:val="0089550B"/>
    <w:rsid w:val="00895694"/>
    <w:rsid w:val="008956EC"/>
    <w:rsid w:val="0089599B"/>
    <w:rsid w:val="0089688A"/>
    <w:rsid w:val="00896D18"/>
    <w:rsid w:val="00896DCD"/>
    <w:rsid w:val="00897C8A"/>
    <w:rsid w:val="008A0294"/>
    <w:rsid w:val="008A0F78"/>
    <w:rsid w:val="008A0FA6"/>
    <w:rsid w:val="008A16CC"/>
    <w:rsid w:val="008A1C58"/>
    <w:rsid w:val="008A1DBF"/>
    <w:rsid w:val="008A1DFE"/>
    <w:rsid w:val="008A275A"/>
    <w:rsid w:val="008A28F7"/>
    <w:rsid w:val="008A294F"/>
    <w:rsid w:val="008A2F18"/>
    <w:rsid w:val="008A30DB"/>
    <w:rsid w:val="008A36A0"/>
    <w:rsid w:val="008A3833"/>
    <w:rsid w:val="008A3841"/>
    <w:rsid w:val="008A3906"/>
    <w:rsid w:val="008A3D57"/>
    <w:rsid w:val="008A3DA6"/>
    <w:rsid w:val="008A3EB2"/>
    <w:rsid w:val="008A3ED9"/>
    <w:rsid w:val="008A42B6"/>
    <w:rsid w:val="008A5157"/>
    <w:rsid w:val="008A52EE"/>
    <w:rsid w:val="008A5599"/>
    <w:rsid w:val="008A566C"/>
    <w:rsid w:val="008A58B4"/>
    <w:rsid w:val="008A5C56"/>
    <w:rsid w:val="008A63F1"/>
    <w:rsid w:val="008A6408"/>
    <w:rsid w:val="008A65CD"/>
    <w:rsid w:val="008A6913"/>
    <w:rsid w:val="008A698E"/>
    <w:rsid w:val="008A6A76"/>
    <w:rsid w:val="008A6C42"/>
    <w:rsid w:val="008A6E65"/>
    <w:rsid w:val="008A7206"/>
    <w:rsid w:val="008A749C"/>
    <w:rsid w:val="008A78E5"/>
    <w:rsid w:val="008B0303"/>
    <w:rsid w:val="008B0691"/>
    <w:rsid w:val="008B0F73"/>
    <w:rsid w:val="008B1006"/>
    <w:rsid w:val="008B13D5"/>
    <w:rsid w:val="008B14F2"/>
    <w:rsid w:val="008B15E7"/>
    <w:rsid w:val="008B2025"/>
    <w:rsid w:val="008B23BC"/>
    <w:rsid w:val="008B24F2"/>
    <w:rsid w:val="008B2AB5"/>
    <w:rsid w:val="008B2E6F"/>
    <w:rsid w:val="008B3132"/>
    <w:rsid w:val="008B381B"/>
    <w:rsid w:val="008B3899"/>
    <w:rsid w:val="008B3D77"/>
    <w:rsid w:val="008B42E6"/>
    <w:rsid w:val="008B43E2"/>
    <w:rsid w:val="008B4CD2"/>
    <w:rsid w:val="008B4E57"/>
    <w:rsid w:val="008B50C1"/>
    <w:rsid w:val="008B51D7"/>
    <w:rsid w:val="008B5578"/>
    <w:rsid w:val="008B5628"/>
    <w:rsid w:val="008B5D94"/>
    <w:rsid w:val="008B62F2"/>
    <w:rsid w:val="008B63F7"/>
    <w:rsid w:val="008B7137"/>
    <w:rsid w:val="008B75D0"/>
    <w:rsid w:val="008B76A7"/>
    <w:rsid w:val="008C02C6"/>
    <w:rsid w:val="008C0520"/>
    <w:rsid w:val="008C0D34"/>
    <w:rsid w:val="008C1384"/>
    <w:rsid w:val="008C175C"/>
    <w:rsid w:val="008C2271"/>
    <w:rsid w:val="008C3606"/>
    <w:rsid w:val="008C3E36"/>
    <w:rsid w:val="008C418D"/>
    <w:rsid w:val="008C4AD6"/>
    <w:rsid w:val="008C4C0C"/>
    <w:rsid w:val="008C4F8E"/>
    <w:rsid w:val="008C56B9"/>
    <w:rsid w:val="008C59ED"/>
    <w:rsid w:val="008C5AC1"/>
    <w:rsid w:val="008C5D3C"/>
    <w:rsid w:val="008C5FBF"/>
    <w:rsid w:val="008C6A97"/>
    <w:rsid w:val="008C6C3A"/>
    <w:rsid w:val="008C6E60"/>
    <w:rsid w:val="008C7316"/>
    <w:rsid w:val="008C73BA"/>
    <w:rsid w:val="008C758B"/>
    <w:rsid w:val="008C765A"/>
    <w:rsid w:val="008C7669"/>
    <w:rsid w:val="008D03CD"/>
    <w:rsid w:val="008D0417"/>
    <w:rsid w:val="008D048B"/>
    <w:rsid w:val="008D06DC"/>
    <w:rsid w:val="008D0A5E"/>
    <w:rsid w:val="008D15C2"/>
    <w:rsid w:val="008D16D0"/>
    <w:rsid w:val="008D191B"/>
    <w:rsid w:val="008D2075"/>
    <w:rsid w:val="008D2498"/>
    <w:rsid w:val="008D2926"/>
    <w:rsid w:val="008D2C13"/>
    <w:rsid w:val="008D2C71"/>
    <w:rsid w:val="008D2CDD"/>
    <w:rsid w:val="008D2FC0"/>
    <w:rsid w:val="008D3670"/>
    <w:rsid w:val="008D369D"/>
    <w:rsid w:val="008D4164"/>
    <w:rsid w:val="008D4340"/>
    <w:rsid w:val="008D444C"/>
    <w:rsid w:val="008D4802"/>
    <w:rsid w:val="008D49CE"/>
    <w:rsid w:val="008D535D"/>
    <w:rsid w:val="008D544D"/>
    <w:rsid w:val="008D5EA4"/>
    <w:rsid w:val="008D61B8"/>
    <w:rsid w:val="008D717A"/>
    <w:rsid w:val="008D7974"/>
    <w:rsid w:val="008D7D2E"/>
    <w:rsid w:val="008D7FCC"/>
    <w:rsid w:val="008E003D"/>
    <w:rsid w:val="008E010F"/>
    <w:rsid w:val="008E0A1D"/>
    <w:rsid w:val="008E1401"/>
    <w:rsid w:val="008E1473"/>
    <w:rsid w:val="008E18E0"/>
    <w:rsid w:val="008E18E2"/>
    <w:rsid w:val="008E249C"/>
    <w:rsid w:val="008E2893"/>
    <w:rsid w:val="008E2EB5"/>
    <w:rsid w:val="008E328C"/>
    <w:rsid w:val="008E3D60"/>
    <w:rsid w:val="008E3DD7"/>
    <w:rsid w:val="008E3F4C"/>
    <w:rsid w:val="008E44ED"/>
    <w:rsid w:val="008E4736"/>
    <w:rsid w:val="008E4B07"/>
    <w:rsid w:val="008E5024"/>
    <w:rsid w:val="008E50C5"/>
    <w:rsid w:val="008E6207"/>
    <w:rsid w:val="008E64DB"/>
    <w:rsid w:val="008E702C"/>
    <w:rsid w:val="008E7B2C"/>
    <w:rsid w:val="008E7B8D"/>
    <w:rsid w:val="008E7D26"/>
    <w:rsid w:val="008E7DC3"/>
    <w:rsid w:val="008F01C8"/>
    <w:rsid w:val="008F062E"/>
    <w:rsid w:val="008F0EE7"/>
    <w:rsid w:val="008F1060"/>
    <w:rsid w:val="008F1F28"/>
    <w:rsid w:val="008F2388"/>
    <w:rsid w:val="008F2477"/>
    <w:rsid w:val="008F2789"/>
    <w:rsid w:val="008F2F94"/>
    <w:rsid w:val="008F3101"/>
    <w:rsid w:val="008F3148"/>
    <w:rsid w:val="008F31E3"/>
    <w:rsid w:val="008F392E"/>
    <w:rsid w:val="008F3E2A"/>
    <w:rsid w:val="008F423E"/>
    <w:rsid w:val="008F436F"/>
    <w:rsid w:val="008F4426"/>
    <w:rsid w:val="008F4519"/>
    <w:rsid w:val="008F45FD"/>
    <w:rsid w:val="008F475C"/>
    <w:rsid w:val="008F4886"/>
    <w:rsid w:val="008F522D"/>
    <w:rsid w:val="008F52D0"/>
    <w:rsid w:val="008F5A6F"/>
    <w:rsid w:val="008F66D1"/>
    <w:rsid w:val="008F68E8"/>
    <w:rsid w:val="008F7540"/>
    <w:rsid w:val="008F75DF"/>
    <w:rsid w:val="008F7D57"/>
    <w:rsid w:val="008F7F88"/>
    <w:rsid w:val="00900DEC"/>
    <w:rsid w:val="0090165F"/>
    <w:rsid w:val="00901B82"/>
    <w:rsid w:val="00901D12"/>
    <w:rsid w:val="00902801"/>
    <w:rsid w:val="00902AD7"/>
    <w:rsid w:val="00902B49"/>
    <w:rsid w:val="0090304F"/>
    <w:rsid w:val="00903187"/>
    <w:rsid w:val="0090319F"/>
    <w:rsid w:val="00903240"/>
    <w:rsid w:val="00903306"/>
    <w:rsid w:val="00903346"/>
    <w:rsid w:val="00903836"/>
    <w:rsid w:val="00903C46"/>
    <w:rsid w:val="00903FCE"/>
    <w:rsid w:val="00904061"/>
    <w:rsid w:val="00904344"/>
    <w:rsid w:val="00904935"/>
    <w:rsid w:val="00904B7D"/>
    <w:rsid w:val="00904EF9"/>
    <w:rsid w:val="00904F72"/>
    <w:rsid w:val="009062A1"/>
    <w:rsid w:val="009067F6"/>
    <w:rsid w:val="0090708B"/>
    <w:rsid w:val="00907336"/>
    <w:rsid w:val="009101A0"/>
    <w:rsid w:val="0091035F"/>
    <w:rsid w:val="0091087A"/>
    <w:rsid w:val="00910CD3"/>
    <w:rsid w:val="00911179"/>
    <w:rsid w:val="00911532"/>
    <w:rsid w:val="009115C4"/>
    <w:rsid w:val="00911936"/>
    <w:rsid w:val="00911A02"/>
    <w:rsid w:val="0091259A"/>
    <w:rsid w:val="0091270B"/>
    <w:rsid w:val="00912A64"/>
    <w:rsid w:val="00912B09"/>
    <w:rsid w:val="00912D21"/>
    <w:rsid w:val="00913651"/>
    <w:rsid w:val="00913D0D"/>
    <w:rsid w:val="00914490"/>
    <w:rsid w:val="00914829"/>
    <w:rsid w:val="00914B8F"/>
    <w:rsid w:val="00914BC5"/>
    <w:rsid w:val="009150A3"/>
    <w:rsid w:val="00915322"/>
    <w:rsid w:val="009153C3"/>
    <w:rsid w:val="00915774"/>
    <w:rsid w:val="00916AAB"/>
    <w:rsid w:val="00916C9E"/>
    <w:rsid w:val="00916D55"/>
    <w:rsid w:val="00916D63"/>
    <w:rsid w:val="00916EE1"/>
    <w:rsid w:val="00917571"/>
    <w:rsid w:val="00917CCA"/>
    <w:rsid w:val="00917F30"/>
    <w:rsid w:val="00920417"/>
    <w:rsid w:val="00920564"/>
    <w:rsid w:val="009209B3"/>
    <w:rsid w:val="00920C59"/>
    <w:rsid w:val="00921552"/>
    <w:rsid w:val="009215C7"/>
    <w:rsid w:val="0092174F"/>
    <w:rsid w:val="00921A8D"/>
    <w:rsid w:val="00921E86"/>
    <w:rsid w:val="00922094"/>
    <w:rsid w:val="0092245C"/>
    <w:rsid w:val="0092273D"/>
    <w:rsid w:val="0092320F"/>
    <w:rsid w:val="009239EF"/>
    <w:rsid w:val="00924869"/>
    <w:rsid w:val="00924EAB"/>
    <w:rsid w:val="00925473"/>
    <w:rsid w:val="00925931"/>
    <w:rsid w:val="0092664B"/>
    <w:rsid w:val="00926885"/>
    <w:rsid w:val="0092689E"/>
    <w:rsid w:val="00926BBF"/>
    <w:rsid w:val="00926CBE"/>
    <w:rsid w:val="00926DB3"/>
    <w:rsid w:val="00926E99"/>
    <w:rsid w:val="0092743E"/>
    <w:rsid w:val="009274BB"/>
    <w:rsid w:val="00927862"/>
    <w:rsid w:val="00927A72"/>
    <w:rsid w:val="00927B8A"/>
    <w:rsid w:val="009302A0"/>
    <w:rsid w:val="0093099D"/>
    <w:rsid w:val="00930BE8"/>
    <w:rsid w:val="00931229"/>
    <w:rsid w:val="009317A9"/>
    <w:rsid w:val="00931CA0"/>
    <w:rsid w:val="00932507"/>
    <w:rsid w:val="00932A83"/>
    <w:rsid w:val="00933347"/>
    <w:rsid w:val="009334FB"/>
    <w:rsid w:val="0093386A"/>
    <w:rsid w:val="009340D0"/>
    <w:rsid w:val="009342E9"/>
    <w:rsid w:val="00934553"/>
    <w:rsid w:val="0093477E"/>
    <w:rsid w:val="009348AC"/>
    <w:rsid w:val="0093498C"/>
    <w:rsid w:val="00934FDA"/>
    <w:rsid w:val="00935355"/>
    <w:rsid w:val="00935A4D"/>
    <w:rsid w:val="00935B22"/>
    <w:rsid w:val="00935EA3"/>
    <w:rsid w:val="009368BB"/>
    <w:rsid w:val="00936D48"/>
    <w:rsid w:val="00936EBF"/>
    <w:rsid w:val="00936F7D"/>
    <w:rsid w:val="009370A6"/>
    <w:rsid w:val="009372BB"/>
    <w:rsid w:val="0093756E"/>
    <w:rsid w:val="009402F9"/>
    <w:rsid w:val="009403C9"/>
    <w:rsid w:val="00940C54"/>
    <w:rsid w:val="00941B9D"/>
    <w:rsid w:val="00941D88"/>
    <w:rsid w:val="00941FC1"/>
    <w:rsid w:val="009421CF"/>
    <w:rsid w:val="00942244"/>
    <w:rsid w:val="00942718"/>
    <w:rsid w:val="009429E4"/>
    <w:rsid w:val="00942FE5"/>
    <w:rsid w:val="009432CF"/>
    <w:rsid w:val="00943312"/>
    <w:rsid w:val="00943338"/>
    <w:rsid w:val="009435DF"/>
    <w:rsid w:val="0094373C"/>
    <w:rsid w:val="009439DE"/>
    <w:rsid w:val="00943CF5"/>
    <w:rsid w:val="0094577D"/>
    <w:rsid w:val="00945A53"/>
    <w:rsid w:val="0094736C"/>
    <w:rsid w:val="00947493"/>
    <w:rsid w:val="00947727"/>
    <w:rsid w:val="00947C5B"/>
    <w:rsid w:val="00950262"/>
    <w:rsid w:val="00950565"/>
    <w:rsid w:val="0095059F"/>
    <w:rsid w:val="00950BE8"/>
    <w:rsid w:val="009510EF"/>
    <w:rsid w:val="009514FB"/>
    <w:rsid w:val="009516DA"/>
    <w:rsid w:val="0095171F"/>
    <w:rsid w:val="0095178E"/>
    <w:rsid w:val="00951B8E"/>
    <w:rsid w:val="00951D4E"/>
    <w:rsid w:val="009524AC"/>
    <w:rsid w:val="00952989"/>
    <w:rsid w:val="00952C6C"/>
    <w:rsid w:val="0095306E"/>
    <w:rsid w:val="009539CA"/>
    <w:rsid w:val="00953E1C"/>
    <w:rsid w:val="00953F78"/>
    <w:rsid w:val="00954054"/>
    <w:rsid w:val="00954482"/>
    <w:rsid w:val="00954EEC"/>
    <w:rsid w:val="00954EF5"/>
    <w:rsid w:val="0095588B"/>
    <w:rsid w:val="00955AFF"/>
    <w:rsid w:val="0095692F"/>
    <w:rsid w:val="00956C88"/>
    <w:rsid w:val="00956EAC"/>
    <w:rsid w:val="00957826"/>
    <w:rsid w:val="00957DB6"/>
    <w:rsid w:val="00960304"/>
    <w:rsid w:val="00960397"/>
    <w:rsid w:val="009608D4"/>
    <w:rsid w:val="009609CA"/>
    <w:rsid w:val="009609DF"/>
    <w:rsid w:val="00960A60"/>
    <w:rsid w:val="00960C54"/>
    <w:rsid w:val="00960D02"/>
    <w:rsid w:val="009610AF"/>
    <w:rsid w:val="009614A2"/>
    <w:rsid w:val="00961663"/>
    <w:rsid w:val="00961CB7"/>
    <w:rsid w:val="00962628"/>
    <w:rsid w:val="00962B48"/>
    <w:rsid w:val="00962D3A"/>
    <w:rsid w:val="00962E44"/>
    <w:rsid w:val="00962EDC"/>
    <w:rsid w:val="009637E9"/>
    <w:rsid w:val="00963824"/>
    <w:rsid w:val="009639C8"/>
    <w:rsid w:val="00963BF9"/>
    <w:rsid w:val="00963EF8"/>
    <w:rsid w:val="00963FC1"/>
    <w:rsid w:val="0096481D"/>
    <w:rsid w:val="0096529B"/>
    <w:rsid w:val="0096576C"/>
    <w:rsid w:val="0096590E"/>
    <w:rsid w:val="00965B5D"/>
    <w:rsid w:val="00966002"/>
    <w:rsid w:val="00966500"/>
    <w:rsid w:val="009669A1"/>
    <w:rsid w:val="00966C2F"/>
    <w:rsid w:val="00966D32"/>
    <w:rsid w:val="0096742A"/>
    <w:rsid w:val="009679DE"/>
    <w:rsid w:val="00967A8E"/>
    <w:rsid w:val="0097044B"/>
    <w:rsid w:val="0097045A"/>
    <w:rsid w:val="009706CE"/>
    <w:rsid w:val="00970EA9"/>
    <w:rsid w:val="00970F55"/>
    <w:rsid w:val="0097120C"/>
    <w:rsid w:val="00971AD0"/>
    <w:rsid w:val="00971EA4"/>
    <w:rsid w:val="009720FD"/>
    <w:rsid w:val="00972405"/>
    <w:rsid w:val="00972977"/>
    <w:rsid w:val="00973B58"/>
    <w:rsid w:val="00974059"/>
    <w:rsid w:val="009744F2"/>
    <w:rsid w:val="0097484D"/>
    <w:rsid w:val="00974DE6"/>
    <w:rsid w:val="0097512B"/>
    <w:rsid w:val="00975A21"/>
    <w:rsid w:val="00975D4E"/>
    <w:rsid w:val="00975DBD"/>
    <w:rsid w:val="00975EF3"/>
    <w:rsid w:val="00976630"/>
    <w:rsid w:val="0097685F"/>
    <w:rsid w:val="00976A1F"/>
    <w:rsid w:val="00976F1C"/>
    <w:rsid w:val="00977356"/>
    <w:rsid w:val="00977422"/>
    <w:rsid w:val="00977B2A"/>
    <w:rsid w:val="00977FD6"/>
    <w:rsid w:val="009801EB"/>
    <w:rsid w:val="0098080F"/>
    <w:rsid w:val="009809A3"/>
    <w:rsid w:val="00980CF0"/>
    <w:rsid w:val="00980F12"/>
    <w:rsid w:val="00981297"/>
    <w:rsid w:val="0098195D"/>
    <w:rsid w:val="00981C3C"/>
    <w:rsid w:val="00981DDB"/>
    <w:rsid w:val="00981F79"/>
    <w:rsid w:val="00982153"/>
    <w:rsid w:val="009823F9"/>
    <w:rsid w:val="00982404"/>
    <w:rsid w:val="00982804"/>
    <w:rsid w:val="00982926"/>
    <w:rsid w:val="00982EC1"/>
    <w:rsid w:val="00983063"/>
    <w:rsid w:val="00983942"/>
    <w:rsid w:val="009839DB"/>
    <w:rsid w:val="00983E42"/>
    <w:rsid w:val="00984682"/>
    <w:rsid w:val="0098471D"/>
    <w:rsid w:val="0098599C"/>
    <w:rsid w:val="00985D96"/>
    <w:rsid w:val="00985F00"/>
    <w:rsid w:val="00986008"/>
    <w:rsid w:val="00986332"/>
    <w:rsid w:val="0098647A"/>
    <w:rsid w:val="009864D1"/>
    <w:rsid w:val="00986920"/>
    <w:rsid w:val="00986944"/>
    <w:rsid w:val="00986B61"/>
    <w:rsid w:val="00987FA7"/>
    <w:rsid w:val="00990116"/>
    <w:rsid w:val="00990134"/>
    <w:rsid w:val="009905E2"/>
    <w:rsid w:val="009907EF"/>
    <w:rsid w:val="00990AD4"/>
    <w:rsid w:val="00990BD2"/>
    <w:rsid w:val="00991089"/>
    <w:rsid w:val="00991125"/>
    <w:rsid w:val="00991339"/>
    <w:rsid w:val="0099231F"/>
    <w:rsid w:val="0099239B"/>
    <w:rsid w:val="00992796"/>
    <w:rsid w:val="00992D50"/>
    <w:rsid w:val="0099335F"/>
    <w:rsid w:val="00993A92"/>
    <w:rsid w:val="00993DD4"/>
    <w:rsid w:val="00993F74"/>
    <w:rsid w:val="00994B16"/>
    <w:rsid w:val="00994DE8"/>
    <w:rsid w:val="009951E8"/>
    <w:rsid w:val="00995402"/>
    <w:rsid w:val="0099545D"/>
    <w:rsid w:val="00995786"/>
    <w:rsid w:val="009958CB"/>
    <w:rsid w:val="00995DB2"/>
    <w:rsid w:val="0099609E"/>
    <w:rsid w:val="009961A5"/>
    <w:rsid w:val="00996C30"/>
    <w:rsid w:val="00996DCD"/>
    <w:rsid w:val="00996E10"/>
    <w:rsid w:val="009973D1"/>
    <w:rsid w:val="00997458"/>
    <w:rsid w:val="009975B8"/>
    <w:rsid w:val="00997685"/>
    <w:rsid w:val="009976B8"/>
    <w:rsid w:val="00997B2D"/>
    <w:rsid w:val="00997C41"/>
    <w:rsid w:val="00997C4E"/>
    <w:rsid w:val="00997E02"/>
    <w:rsid w:val="009A0183"/>
    <w:rsid w:val="009A02DD"/>
    <w:rsid w:val="009A06E1"/>
    <w:rsid w:val="009A0956"/>
    <w:rsid w:val="009A0C73"/>
    <w:rsid w:val="009A0F94"/>
    <w:rsid w:val="009A10B5"/>
    <w:rsid w:val="009A1259"/>
    <w:rsid w:val="009A168A"/>
    <w:rsid w:val="009A1A6A"/>
    <w:rsid w:val="009A1B63"/>
    <w:rsid w:val="009A249E"/>
    <w:rsid w:val="009A264D"/>
    <w:rsid w:val="009A2A84"/>
    <w:rsid w:val="009A325B"/>
    <w:rsid w:val="009A3705"/>
    <w:rsid w:val="009A3B8B"/>
    <w:rsid w:val="009A3CC1"/>
    <w:rsid w:val="009A3D86"/>
    <w:rsid w:val="009A3F3B"/>
    <w:rsid w:val="009A442B"/>
    <w:rsid w:val="009A4E5F"/>
    <w:rsid w:val="009A556A"/>
    <w:rsid w:val="009A5D14"/>
    <w:rsid w:val="009A5E4C"/>
    <w:rsid w:val="009A5EA8"/>
    <w:rsid w:val="009A60DE"/>
    <w:rsid w:val="009A6409"/>
    <w:rsid w:val="009A6E42"/>
    <w:rsid w:val="009A6FB6"/>
    <w:rsid w:val="009B008A"/>
    <w:rsid w:val="009B034B"/>
    <w:rsid w:val="009B0769"/>
    <w:rsid w:val="009B1236"/>
    <w:rsid w:val="009B1273"/>
    <w:rsid w:val="009B19A7"/>
    <w:rsid w:val="009B1C5A"/>
    <w:rsid w:val="009B1F41"/>
    <w:rsid w:val="009B1FD3"/>
    <w:rsid w:val="009B2023"/>
    <w:rsid w:val="009B20A1"/>
    <w:rsid w:val="009B2123"/>
    <w:rsid w:val="009B2166"/>
    <w:rsid w:val="009B2827"/>
    <w:rsid w:val="009B3D60"/>
    <w:rsid w:val="009B43ED"/>
    <w:rsid w:val="009B4754"/>
    <w:rsid w:val="009B48BC"/>
    <w:rsid w:val="009B5065"/>
    <w:rsid w:val="009B5B1C"/>
    <w:rsid w:val="009B6140"/>
    <w:rsid w:val="009B64D2"/>
    <w:rsid w:val="009B675D"/>
    <w:rsid w:val="009B6E68"/>
    <w:rsid w:val="009C06EA"/>
    <w:rsid w:val="009C0EEA"/>
    <w:rsid w:val="009C1099"/>
    <w:rsid w:val="009C1625"/>
    <w:rsid w:val="009C1A1C"/>
    <w:rsid w:val="009C1B8A"/>
    <w:rsid w:val="009C1F92"/>
    <w:rsid w:val="009C21B0"/>
    <w:rsid w:val="009C3128"/>
    <w:rsid w:val="009C3958"/>
    <w:rsid w:val="009C409A"/>
    <w:rsid w:val="009C424E"/>
    <w:rsid w:val="009C5DF5"/>
    <w:rsid w:val="009C5EE4"/>
    <w:rsid w:val="009C65A1"/>
    <w:rsid w:val="009C6990"/>
    <w:rsid w:val="009C77E7"/>
    <w:rsid w:val="009C7E99"/>
    <w:rsid w:val="009D01DC"/>
    <w:rsid w:val="009D0F8C"/>
    <w:rsid w:val="009D1FD1"/>
    <w:rsid w:val="009D280E"/>
    <w:rsid w:val="009D2ADB"/>
    <w:rsid w:val="009D2DC8"/>
    <w:rsid w:val="009D3893"/>
    <w:rsid w:val="009D392B"/>
    <w:rsid w:val="009D3AFA"/>
    <w:rsid w:val="009D3B97"/>
    <w:rsid w:val="009D3E72"/>
    <w:rsid w:val="009D4BA3"/>
    <w:rsid w:val="009D4F57"/>
    <w:rsid w:val="009D593D"/>
    <w:rsid w:val="009D5D67"/>
    <w:rsid w:val="009D67F6"/>
    <w:rsid w:val="009D6E47"/>
    <w:rsid w:val="009D6EA8"/>
    <w:rsid w:val="009D70EB"/>
    <w:rsid w:val="009D76B4"/>
    <w:rsid w:val="009D76CD"/>
    <w:rsid w:val="009D79C3"/>
    <w:rsid w:val="009D7B01"/>
    <w:rsid w:val="009D7DE4"/>
    <w:rsid w:val="009D7F3A"/>
    <w:rsid w:val="009D971A"/>
    <w:rsid w:val="009E0580"/>
    <w:rsid w:val="009E08D1"/>
    <w:rsid w:val="009E0927"/>
    <w:rsid w:val="009E09A5"/>
    <w:rsid w:val="009E0BEE"/>
    <w:rsid w:val="009E0FE1"/>
    <w:rsid w:val="009E1005"/>
    <w:rsid w:val="009E1B12"/>
    <w:rsid w:val="009E2FCB"/>
    <w:rsid w:val="009E33F1"/>
    <w:rsid w:val="009E37A8"/>
    <w:rsid w:val="009E3868"/>
    <w:rsid w:val="009E3A66"/>
    <w:rsid w:val="009E3E1E"/>
    <w:rsid w:val="009E47FF"/>
    <w:rsid w:val="009E4A33"/>
    <w:rsid w:val="009E4BD0"/>
    <w:rsid w:val="009E4C7C"/>
    <w:rsid w:val="009E50A7"/>
    <w:rsid w:val="009E50AD"/>
    <w:rsid w:val="009E50E9"/>
    <w:rsid w:val="009E51EA"/>
    <w:rsid w:val="009E524B"/>
    <w:rsid w:val="009E542C"/>
    <w:rsid w:val="009E5879"/>
    <w:rsid w:val="009E6288"/>
    <w:rsid w:val="009E6550"/>
    <w:rsid w:val="009E65C6"/>
    <w:rsid w:val="009E6F9E"/>
    <w:rsid w:val="009E7EAF"/>
    <w:rsid w:val="009F0214"/>
    <w:rsid w:val="009F0482"/>
    <w:rsid w:val="009F1382"/>
    <w:rsid w:val="009F1B32"/>
    <w:rsid w:val="009F1BC3"/>
    <w:rsid w:val="009F1D9B"/>
    <w:rsid w:val="009F229F"/>
    <w:rsid w:val="009F2556"/>
    <w:rsid w:val="009F25F5"/>
    <w:rsid w:val="009F2764"/>
    <w:rsid w:val="009F2811"/>
    <w:rsid w:val="009F2A35"/>
    <w:rsid w:val="009F2F24"/>
    <w:rsid w:val="009F2F80"/>
    <w:rsid w:val="009F3175"/>
    <w:rsid w:val="009F45DB"/>
    <w:rsid w:val="009F4D5D"/>
    <w:rsid w:val="009F54E2"/>
    <w:rsid w:val="009F631C"/>
    <w:rsid w:val="009F6556"/>
    <w:rsid w:val="009F7957"/>
    <w:rsid w:val="00A0030F"/>
    <w:rsid w:val="00A007DB"/>
    <w:rsid w:val="00A00834"/>
    <w:rsid w:val="00A00CE7"/>
    <w:rsid w:val="00A00F7E"/>
    <w:rsid w:val="00A013F5"/>
    <w:rsid w:val="00A014E8"/>
    <w:rsid w:val="00A01646"/>
    <w:rsid w:val="00A0199B"/>
    <w:rsid w:val="00A01A3F"/>
    <w:rsid w:val="00A01B5F"/>
    <w:rsid w:val="00A02242"/>
    <w:rsid w:val="00A022F8"/>
    <w:rsid w:val="00A02784"/>
    <w:rsid w:val="00A0306E"/>
    <w:rsid w:val="00A0322C"/>
    <w:rsid w:val="00A0369B"/>
    <w:rsid w:val="00A03810"/>
    <w:rsid w:val="00A03A5C"/>
    <w:rsid w:val="00A03AC0"/>
    <w:rsid w:val="00A03E37"/>
    <w:rsid w:val="00A03FA6"/>
    <w:rsid w:val="00A0406E"/>
    <w:rsid w:val="00A04362"/>
    <w:rsid w:val="00A04502"/>
    <w:rsid w:val="00A0475A"/>
    <w:rsid w:val="00A049DC"/>
    <w:rsid w:val="00A04A84"/>
    <w:rsid w:val="00A04AE7"/>
    <w:rsid w:val="00A04BDC"/>
    <w:rsid w:val="00A04BDF"/>
    <w:rsid w:val="00A04CE0"/>
    <w:rsid w:val="00A04FE4"/>
    <w:rsid w:val="00A05105"/>
    <w:rsid w:val="00A053AC"/>
    <w:rsid w:val="00A05A2C"/>
    <w:rsid w:val="00A060FF"/>
    <w:rsid w:val="00A06559"/>
    <w:rsid w:val="00A06BB3"/>
    <w:rsid w:val="00A06FB4"/>
    <w:rsid w:val="00A0716A"/>
    <w:rsid w:val="00A075AC"/>
    <w:rsid w:val="00A07CBD"/>
    <w:rsid w:val="00A100A2"/>
    <w:rsid w:val="00A100D9"/>
    <w:rsid w:val="00A10131"/>
    <w:rsid w:val="00A101A4"/>
    <w:rsid w:val="00A10633"/>
    <w:rsid w:val="00A10B91"/>
    <w:rsid w:val="00A11307"/>
    <w:rsid w:val="00A11843"/>
    <w:rsid w:val="00A11E2D"/>
    <w:rsid w:val="00A1212E"/>
    <w:rsid w:val="00A1299E"/>
    <w:rsid w:val="00A12BF0"/>
    <w:rsid w:val="00A13230"/>
    <w:rsid w:val="00A13504"/>
    <w:rsid w:val="00A138CA"/>
    <w:rsid w:val="00A13AF3"/>
    <w:rsid w:val="00A13F95"/>
    <w:rsid w:val="00A14353"/>
    <w:rsid w:val="00A1450F"/>
    <w:rsid w:val="00A147D4"/>
    <w:rsid w:val="00A1480E"/>
    <w:rsid w:val="00A1484A"/>
    <w:rsid w:val="00A14885"/>
    <w:rsid w:val="00A14ABC"/>
    <w:rsid w:val="00A14DD4"/>
    <w:rsid w:val="00A14DE4"/>
    <w:rsid w:val="00A15583"/>
    <w:rsid w:val="00A15A21"/>
    <w:rsid w:val="00A15C5E"/>
    <w:rsid w:val="00A15E31"/>
    <w:rsid w:val="00A16405"/>
    <w:rsid w:val="00A16557"/>
    <w:rsid w:val="00A16C80"/>
    <w:rsid w:val="00A17013"/>
    <w:rsid w:val="00A1798A"/>
    <w:rsid w:val="00A17C76"/>
    <w:rsid w:val="00A20305"/>
    <w:rsid w:val="00A20793"/>
    <w:rsid w:val="00A20CF1"/>
    <w:rsid w:val="00A20EC6"/>
    <w:rsid w:val="00A2104B"/>
    <w:rsid w:val="00A21235"/>
    <w:rsid w:val="00A21388"/>
    <w:rsid w:val="00A21DF9"/>
    <w:rsid w:val="00A2255F"/>
    <w:rsid w:val="00A23231"/>
    <w:rsid w:val="00A23294"/>
    <w:rsid w:val="00A2346F"/>
    <w:rsid w:val="00A23706"/>
    <w:rsid w:val="00A2384A"/>
    <w:rsid w:val="00A23A35"/>
    <w:rsid w:val="00A23B9D"/>
    <w:rsid w:val="00A23FE8"/>
    <w:rsid w:val="00A24012"/>
    <w:rsid w:val="00A24BFB"/>
    <w:rsid w:val="00A254FA"/>
    <w:rsid w:val="00A25624"/>
    <w:rsid w:val="00A25ECF"/>
    <w:rsid w:val="00A25ED1"/>
    <w:rsid w:val="00A26135"/>
    <w:rsid w:val="00A262A2"/>
    <w:rsid w:val="00A267F1"/>
    <w:rsid w:val="00A2688A"/>
    <w:rsid w:val="00A27421"/>
    <w:rsid w:val="00A27791"/>
    <w:rsid w:val="00A27ABE"/>
    <w:rsid w:val="00A301A2"/>
    <w:rsid w:val="00A31297"/>
    <w:rsid w:val="00A3131C"/>
    <w:rsid w:val="00A3141B"/>
    <w:rsid w:val="00A315E0"/>
    <w:rsid w:val="00A31679"/>
    <w:rsid w:val="00A31741"/>
    <w:rsid w:val="00A31973"/>
    <w:rsid w:val="00A31F57"/>
    <w:rsid w:val="00A325AB"/>
    <w:rsid w:val="00A32737"/>
    <w:rsid w:val="00A32CC9"/>
    <w:rsid w:val="00A332CA"/>
    <w:rsid w:val="00A33926"/>
    <w:rsid w:val="00A33B8F"/>
    <w:rsid w:val="00A34095"/>
    <w:rsid w:val="00A34259"/>
    <w:rsid w:val="00A342CC"/>
    <w:rsid w:val="00A34C4A"/>
    <w:rsid w:val="00A35289"/>
    <w:rsid w:val="00A355F9"/>
    <w:rsid w:val="00A357ED"/>
    <w:rsid w:val="00A36607"/>
    <w:rsid w:val="00A367AB"/>
    <w:rsid w:val="00A36F7D"/>
    <w:rsid w:val="00A37214"/>
    <w:rsid w:val="00A375C4"/>
    <w:rsid w:val="00A37703"/>
    <w:rsid w:val="00A37731"/>
    <w:rsid w:val="00A37EE2"/>
    <w:rsid w:val="00A37EEE"/>
    <w:rsid w:val="00A401E7"/>
    <w:rsid w:val="00A40B59"/>
    <w:rsid w:val="00A40E21"/>
    <w:rsid w:val="00A41355"/>
    <w:rsid w:val="00A41533"/>
    <w:rsid w:val="00A41702"/>
    <w:rsid w:val="00A41924"/>
    <w:rsid w:val="00A41BEB"/>
    <w:rsid w:val="00A41D05"/>
    <w:rsid w:val="00A41ECF"/>
    <w:rsid w:val="00A42BD9"/>
    <w:rsid w:val="00A42C10"/>
    <w:rsid w:val="00A437B6"/>
    <w:rsid w:val="00A437D6"/>
    <w:rsid w:val="00A43B92"/>
    <w:rsid w:val="00A43FAA"/>
    <w:rsid w:val="00A4413A"/>
    <w:rsid w:val="00A44976"/>
    <w:rsid w:val="00A4551B"/>
    <w:rsid w:val="00A45A4D"/>
    <w:rsid w:val="00A45C1A"/>
    <w:rsid w:val="00A46599"/>
    <w:rsid w:val="00A46877"/>
    <w:rsid w:val="00A46A6F"/>
    <w:rsid w:val="00A46FDF"/>
    <w:rsid w:val="00A47185"/>
    <w:rsid w:val="00A4770C"/>
    <w:rsid w:val="00A47E4F"/>
    <w:rsid w:val="00A50243"/>
    <w:rsid w:val="00A508CA"/>
    <w:rsid w:val="00A50F8F"/>
    <w:rsid w:val="00A510A3"/>
    <w:rsid w:val="00A510DE"/>
    <w:rsid w:val="00A517C3"/>
    <w:rsid w:val="00A520BE"/>
    <w:rsid w:val="00A52249"/>
    <w:rsid w:val="00A52C18"/>
    <w:rsid w:val="00A52CA6"/>
    <w:rsid w:val="00A53597"/>
    <w:rsid w:val="00A535B9"/>
    <w:rsid w:val="00A536E2"/>
    <w:rsid w:val="00A53C0D"/>
    <w:rsid w:val="00A54251"/>
    <w:rsid w:val="00A54374"/>
    <w:rsid w:val="00A544B4"/>
    <w:rsid w:val="00A5472C"/>
    <w:rsid w:val="00A547CA"/>
    <w:rsid w:val="00A54C9B"/>
    <w:rsid w:val="00A55818"/>
    <w:rsid w:val="00A558C0"/>
    <w:rsid w:val="00A55DE1"/>
    <w:rsid w:val="00A56043"/>
    <w:rsid w:val="00A5684A"/>
    <w:rsid w:val="00A56D29"/>
    <w:rsid w:val="00A578B5"/>
    <w:rsid w:val="00A578DF"/>
    <w:rsid w:val="00A57E9D"/>
    <w:rsid w:val="00A603B7"/>
    <w:rsid w:val="00A6041B"/>
    <w:rsid w:val="00A6093E"/>
    <w:rsid w:val="00A60E4D"/>
    <w:rsid w:val="00A61154"/>
    <w:rsid w:val="00A61383"/>
    <w:rsid w:val="00A614BF"/>
    <w:rsid w:val="00A6179E"/>
    <w:rsid w:val="00A61AFC"/>
    <w:rsid w:val="00A62126"/>
    <w:rsid w:val="00A6263B"/>
    <w:rsid w:val="00A6278F"/>
    <w:rsid w:val="00A62903"/>
    <w:rsid w:val="00A6311B"/>
    <w:rsid w:val="00A63270"/>
    <w:rsid w:val="00A63388"/>
    <w:rsid w:val="00A6341C"/>
    <w:rsid w:val="00A63638"/>
    <w:rsid w:val="00A63770"/>
    <w:rsid w:val="00A63B66"/>
    <w:rsid w:val="00A64085"/>
    <w:rsid w:val="00A64316"/>
    <w:rsid w:val="00A643C5"/>
    <w:rsid w:val="00A644D2"/>
    <w:rsid w:val="00A645DB"/>
    <w:rsid w:val="00A64722"/>
    <w:rsid w:val="00A64F6D"/>
    <w:rsid w:val="00A652B5"/>
    <w:rsid w:val="00A65317"/>
    <w:rsid w:val="00A6539F"/>
    <w:rsid w:val="00A654D2"/>
    <w:rsid w:val="00A65627"/>
    <w:rsid w:val="00A65774"/>
    <w:rsid w:val="00A65B00"/>
    <w:rsid w:val="00A66113"/>
    <w:rsid w:val="00A663DF"/>
    <w:rsid w:val="00A6684E"/>
    <w:rsid w:val="00A668FA"/>
    <w:rsid w:val="00A66968"/>
    <w:rsid w:val="00A66A12"/>
    <w:rsid w:val="00A67136"/>
    <w:rsid w:val="00A671F5"/>
    <w:rsid w:val="00A67552"/>
    <w:rsid w:val="00A67DD9"/>
    <w:rsid w:val="00A67FA8"/>
    <w:rsid w:val="00A7060A"/>
    <w:rsid w:val="00A707F1"/>
    <w:rsid w:val="00A70963"/>
    <w:rsid w:val="00A70C84"/>
    <w:rsid w:val="00A70D0F"/>
    <w:rsid w:val="00A70D47"/>
    <w:rsid w:val="00A7114D"/>
    <w:rsid w:val="00A7139C"/>
    <w:rsid w:val="00A716DA"/>
    <w:rsid w:val="00A717A0"/>
    <w:rsid w:val="00A71918"/>
    <w:rsid w:val="00A71F8C"/>
    <w:rsid w:val="00A720BD"/>
    <w:rsid w:val="00A72443"/>
    <w:rsid w:val="00A72FC1"/>
    <w:rsid w:val="00A73C27"/>
    <w:rsid w:val="00A7429F"/>
    <w:rsid w:val="00A749DC"/>
    <w:rsid w:val="00A74D5B"/>
    <w:rsid w:val="00A74F1E"/>
    <w:rsid w:val="00A75505"/>
    <w:rsid w:val="00A75F0A"/>
    <w:rsid w:val="00A77C02"/>
    <w:rsid w:val="00A77C43"/>
    <w:rsid w:val="00A77EA6"/>
    <w:rsid w:val="00A80350"/>
    <w:rsid w:val="00A804D9"/>
    <w:rsid w:val="00A80673"/>
    <w:rsid w:val="00A80756"/>
    <w:rsid w:val="00A80918"/>
    <w:rsid w:val="00A80AA4"/>
    <w:rsid w:val="00A80B2F"/>
    <w:rsid w:val="00A80D5C"/>
    <w:rsid w:val="00A8107D"/>
    <w:rsid w:val="00A81259"/>
    <w:rsid w:val="00A81355"/>
    <w:rsid w:val="00A814F4"/>
    <w:rsid w:val="00A819F2"/>
    <w:rsid w:val="00A81C44"/>
    <w:rsid w:val="00A81D86"/>
    <w:rsid w:val="00A82108"/>
    <w:rsid w:val="00A8227F"/>
    <w:rsid w:val="00A826F4"/>
    <w:rsid w:val="00A82C53"/>
    <w:rsid w:val="00A82CC9"/>
    <w:rsid w:val="00A84225"/>
    <w:rsid w:val="00A843FC"/>
    <w:rsid w:val="00A845CB"/>
    <w:rsid w:val="00A850A2"/>
    <w:rsid w:val="00A85355"/>
    <w:rsid w:val="00A85377"/>
    <w:rsid w:val="00A8573B"/>
    <w:rsid w:val="00A85C91"/>
    <w:rsid w:val="00A85D8D"/>
    <w:rsid w:val="00A85F08"/>
    <w:rsid w:val="00A860B8"/>
    <w:rsid w:val="00A861F4"/>
    <w:rsid w:val="00A862FF"/>
    <w:rsid w:val="00A865DF"/>
    <w:rsid w:val="00A86647"/>
    <w:rsid w:val="00A86E80"/>
    <w:rsid w:val="00A87088"/>
    <w:rsid w:val="00A873D5"/>
    <w:rsid w:val="00A87499"/>
    <w:rsid w:val="00A876AF"/>
    <w:rsid w:val="00A87FBB"/>
    <w:rsid w:val="00A90888"/>
    <w:rsid w:val="00A90DC5"/>
    <w:rsid w:val="00A91012"/>
    <w:rsid w:val="00A913FE"/>
    <w:rsid w:val="00A91417"/>
    <w:rsid w:val="00A9176E"/>
    <w:rsid w:val="00A91DCE"/>
    <w:rsid w:val="00A928A9"/>
    <w:rsid w:val="00A92915"/>
    <w:rsid w:val="00A92E35"/>
    <w:rsid w:val="00A92F92"/>
    <w:rsid w:val="00A92FBC"/>
    <w:rsid w:val="00A93952"/>
    <w:rsid w:val="00A93A2C"/>
    <w:rsid w:val="00A94BA7"/>
    <w:rsid w:val="00A94CF0"/>
    <w:rsid w:val="00A94F14"/>
    <w:rsid w:val="00A953AA"/>
    <w:rsid w:val="00A9565D"/>
    <w:rsid w:val="00A95F32"/>
    <w:rsid w:val="00A964AF"/>
    <w:rsid w:val="00A96892"/>
    <w:rsid w:val="00A969F1"/>
    <w:rsid w:val="00A96E4C"/>
    <w:rsid w:val="00A96EA4"/>
    <w:rsid w:val="00A9703E"/>
    <w:rsid w:val="00A9750C"/>
    <w:rsid w:val="00A97755"/>
    <w:rsid w:val="00A97E11"/>
    <w:rsid w:val="00AA0161"/>
    <w:rsid w:val="00AA17FD"/>
    <w:rsid w:val="00AA1CDF"/>
    <w:rsid w:val="00AA2051"/>
    <w:rsid w:val="00AA273B"/>
    <w:rsid w:val="00AA2BC2"/>
    <w:rsid w:val="00AA2D07"/>
    <w:rsid w:val="00AA3BE8"/>
    <w:rsid w:val="00AA3E22"/>
    <w:rsid w:val="00AA3F17"/>
    <w:rsid w:val="00AA3FF6"/>
    <w:rsid w:val="00AA4580"/>
    <w:rsid w:val="00AA495A"/>
    <w:rsid w:val="00AA4BF6"/>
    <w:rsid w:val="00AA591F"/>
    <w:rsid w:val="00AA6578"/>
    <w:rsid w:val="00AA66B9"/>
    <w:rsid w:val="00AA6A5A"/>
    <w:rsid w:val="00AA6F14"/>
    <w:rsid w:val="00AA70C4"/>
    <w:rsid w:val="00AA725C"/>
    <w:rsid w:val="00AA7268"/>
    <w:rsid w:val="00AA7D64"/>
    <w:rsid w:val="00AB0113"/>
    <w:rsid w:val="00AB01C1"/>
    <w:rsid w:val="00AB0232"/>
    <w:rsid w:val="00AB0FC2"/>
    <w:rsid w:val="00AB0FC5"/>
    <w:rsid w:val="00AB12E7"/>
    <w:rsid w:val="00AB1351"/>
    <w:rsid w:val="00AB192F"/>
    <w:rsid w:val="00AB1E2E"/>
    <w:rsid w:val="00AB221D"/>
    <w:rsid w:val="00AB2288"/>
    <w:rsid w:val="00AB234E"/>
    <w:rsid w:val="00AB237B"/>
    <w:rsid w:val="00AB24F5"/>
    <w:rsid w:val="00AB2E2B"/>
    <w:rsid w:val="00AB302F"/>
    <w:rsid w:val="00AB39C6"/>
    <w:rsid w:val="00AB40A3"/>
    <w:rsid w:val="00AB4396"/>
    <w:rsid w:val="00AB456A"/>
    <w:rsid w:val="00AB4A55"/>
    <w:rsid w:val="00AB5340"/>
    <w:rsid w:val="00AB538F"/>
    <w:rsid w:val="00AB5596"/>
    <w:rsid w:val="00AB5824"/>
    <w:rsid w:val="00AB5FFD"/>
    <w:rsid w:val="00AB630A"/>
    <w:rsid w:val="00AB6544"/>
    <w:rsid w:val="00AB6C0A"/>
    <w:rsid w:val="00AB71C4"/>
    <w:rsid w:val="00AB7421"/>
    <w:rsid w:val="00AB743C"/>
    <w:rsid w:val="00AB7BDB"/>
    <w:rsid w:val="00AB7C8F"/>
    <w:rsid w:val="00AB7D4B"/>
    <w:rsid w:val="00AC03A5"/>
    <w:rsid w:val="00AC0A34"/>
    <w:rsid w:val="00AC0B4D"/>
    <w:rsid w:val="00AC0F0A"/>
    <w:rsid w:val="00AC123D"/>
    <w:rsid w:val="00AC12F9"/>
    <w:rsid w:val="00AC15CA"/>
    <w:rsid w:val="00AC162E"/>
    <w:rsid w:val="00AC1EC0"/>
    <w:rsid w:val="00AC1F68"/>
    <w:rsid w:val="00AC2192"/>
    <w:rsid w:val="00AC2B08"/>
    <w:rsid w:val="00AC2DD8"/>
    <w:rsid w:val="00AC2ED7"/>
    <w:rsid w:val="00AC32EE"/>
    <w:rsid w:val="00AC341F"/>
    <w:rsid w:val="00AC38AC"/>
    <w:rsid w:val="00AC3938"/>
    <w:rsid w:val="00AC39F2"/>
    <w:rsid w:val="00AC3BBF"/>
    <w:rsid w:val="00AC3D3F"/>
    <w:rsid w:val="00AC402C"/>
    <w:rsid w:val="00AC40EB"/>
    <w:rsid w:val="00AC43D0"/>
    <w:rsid w:val="00AC48F8"/>
    <w:rsid w:val="00AC4994"/>
    <w:rsid w:val="00AC49E4"/>
    <w:rsid w:val="00AC5798"/>
    <w:rsid w:val="00AC5C5C"/>
    <w:rsid w:val="00AC603C"/>
    <w:rsid w:val="00AC636D"/>
    <w:rsid w:val="00AC644E"/>
    <w:rsid w:val="00AC666D"/>
    <w:rsid w:val="00AC6E57"/>
    <w:rsid w:val="00AC6F9F"/>
    <w:rsid w:val="00AC7632"/>
    <w:rsid w:val="00AC7680"/>
    <w:rsid w:val="00AC7991"/>
    <w:rsid w:val="00AC7B28"/>
    <w:rsid w:val="00AD036D"/>
    <w:rsid w:val="00AD0813"/>
    <w:rsid w:val="00AD0A09"/>
    <w:rsid w:val="00AD0DD8"/>
    <w:rsid w:val="00AD0E2E"/>
    <w:rsid w:val="00AD14A6"/>
    <w:rsid w:val="00AD14FA"/>
    <w:rsid w:val="00AD155C"/>
    <w:rsid w:val="00AD1DFD"/>
    <w:rsid w:val="00AD1F29"/>
    <w:rsid w:val="00AD24EC"/>
    <w:rsid w:val="00AD28EC"/>
    <w:rsid w:val="00AD2C04"/>
    <w:rsid w:val="00AD2C36"/>
    <w:rsid w:val="00AD31B3"/>
    <w:rsid w:val="00AD3355"/>
    <w:rsid w:val="00AD3B1A"/>
    <w:rsid w:val="00AD3E17"/>
    <w:rsid w:val="00AD4001"/>
    <w:rsid w:val="00AD41F0"/>
    <w:rsid w:val="00AD45E4"/>
    <w:rsid w:val="00AD4C41"/>
    <w:rsid w:val="00AD4D65"/>
    <w:rsid w:val="00AD54A5"/>
    <w:rsid w:val="00AD5583"/>
    <w:rsid w:val="00AD5B45"/>
    <w:rsid w:val="00AD5C25"/>
    <w:rsid w:val="00AD5D12"/>
    <w:rsid w:val="00AD5E0F"/>
    <w:rsid w:val="00AD602F"/>
    <w:rsid w:val="00AD687F"/>
    <w:rsid w:val="00AD6A06"/>
    <w:rsid w:val="00AD6D13"/>
    <w:rsid w:val="00AD6FD0"/>
    <w:rsid w:val="00AD785E"/>
    <w:rsid w:val="00AD78CB"/>
    <w:rsid w:val="00AD7DFE"/>
    <w:rsid w:val="00AE0667"/>
    <w:rsid w:val="00AE0B03"/>
    <w:rsid w:val="00AE0C32"/>
    <w:rsid w:val="00AE12CD"/>
    <w:rsid w:val="00AE15B8"/>
    <w:rsid w:val="00AE15FC"/>
    <w:rsid w:val="00AE1851"/>
    <w:rsid w:val="00AE18BF"/>
    <w:rsid w:val="00AE1ACC"/>
    <w:rsid w:val="00AE221C"/>
    <w:rsid w:val="00AE244E"/>
    <w:rsid w:val="00AE24CC"/>
    <w:rsid w:val="00AE2FA3"/>
    <w:rsid w:val="00AE3919"/>
    <w:rsid w:val="00AE3CE4"/>
    <w:rsid w:val="00AE4075"/>
    <w:rsid w:val="00AE40B7"/>
    <w:rsid w:val="00AE43ED"/>
    <w:rsid w:val="00AE46ED"/>
    <w:rsid w:val="00AE4862"/>
    <w:rsid w:val="00AE5410"/>
    <w:rsid w:val="00AE5509"/>
    <w:rsid w:val="00AE5BBF"/>
    <w:rsid w:val="00AE674B"/>
    <w:rsid w:val="00AE7242"/>
    <w:rsid w:val="00AE7575"/>
    <w:rsid w:val="00AE7779"/>
    <w:rsid w:val="00AE7DC9"/>
    <w:rsid w:val="00AF0049"/>
    <w:rsid w:val="00AF013F"/>
    <w:rsid w:val="00AF048A"/>
    <w:rsid w:val="00AF057D"/>
    <w:rsid w:val="00AF1554"/>
    <w:rsid w:val="00AF1A98"/>
    <w:rsid w:val="00AF1EA6"/>
    <w:rsid w:val="00AF25FC"/>
    <w:rsid w:val="00AF28E1"/>
    <w:rsid w:val="00AF2CFD"/>
    <w:rsid w:val="00AF2D83"/>
    <w:rsid w:val="00AF351C"/>
    <w:rsid w:val="00AF3554"/>
    <w:rsid w:val="00AF40A3"/>
    <w:rsid w:val="00AF4A76"/>
    <w:rsid w:val="00AF4BFF"/>
    <w:rsid w:val="00AF50D1"/>
    <w:rsid w:val="00AF52AF"/>
    <w:rsid w:val="00AF58A9"/>
    <w:rsid w:val="00AF5BA5"/>
    <w:rsid w:val="00AF5C6B"/>
    <w:rsid w:val="00AF5D92"/>
    <w:rsid w:val="00AF5DAD"/>
    <w:rsid w:val="00AF6673"/>
    <w:rsid w:val="00AF6856"/>
    <w:rsid w:val="00AF69E9"/>
    <w:rsid w:val="00AF6EA1"/>
    <w:rsid w:val="00AF6F41"/>
    <w:rsid w:val="00AF71DB"/>
    <w:rsid w:val="00AF737B"/>
    <w:rsid w:val="00AF7520"/>
    <w:rsid w:val="00AF7A4C"/>
    <w:rsid w:val="00AF7AF2"/>
    <w:rsid w:val="00AF7DB5"/>
    <w:rsid w:val="00AF7DC6"/>
    <w:rsid w:val="00AF7E85"/>
    <w:rsid w:val="00B0039B"/>
    <w:rsid w:val="00B00F61"/>
    <w:rsid w:val="00B01083"/>
    <w:rsid w:val="00B01703"/>
    <w:rsid w:val="00B019D2"/>
    <w:rsid w:val="00B01AF2"/>
    <w:rsid w:val="00B01D2A"/>
    <w:rsid w:val="00B02394"/>
    <w:rsid w:val="00B028A2"/>
    <w:rsid w:val="00B02C93"/>
    <w:rsid w:val="00B02D5B"/>
    <w:rsid w:val="00B03039"/>
    <w:rsid w:val="00B03632"/>
    <w:rsid w:val="00B0398B"/>
    <w:rsid w:val="00B03B83"/>
    <w:rsid w:val="00B03FAB"/>
    <w:rsid w:val="00B043E9"/>
    <w:rsid w:val="00B044A4"/>
    <w:rsid w:val="00B04624"/>
    <w:rsid w:val="00B050D5"/>
    <w:rsid w:val="00B05412"/>
    <w:rsid w:val="00B056E4"/>
    <w:rsid w:val="00B059BB"/>
    <w:rsid w:val="00B05EB0"/>
    <w:rsid w:val="00B05F8B"/>
    <w:rsid w:val="00B06672"/>
    <w:rsid w:val="00B07466"/>
    <w:rsid w:val="00B074EC"/>
    <w:rsid w:val="00B10785"/>
    <w:rsid w:val="00B11219"/>
    <w:rsid w:val="00B118CD"/>
    <w:rsid w:val="00B11951"/>
    <w:rsid w:val="00B12017"/>
    <w:rsid w:val="00B13104"/>
    <w:rsid w:val="00B13C63"/>
    <w:rsid w:val="00B13E8F"/>
    <w:rsid w:val="00B13EE2"/>
    <w:rsid w:val="00B1472C"/>
    <w:rsid w:val="00B14862"/>
    <w:rsid w:val="00B14878"/>
    <w:rsid w:val="00B14A39"/>
    <w:rsid w:val="00B14E40"/>
    <w:rsid w:val="00B14FFC"/>
    <w:rsid w:val="00B15FA4"/>
    <w:rsid w:val="00B1617E"/>
    <w:rsid w:val="00B165E6"/>
    <w:rsid w:val="00B167F5"/>
    <w:rsid w:val="00B16E37"/>
    <w:rsid w:val="00B16F02"/>
    <w:rsid w:val="00B170BB"/>
    <w:rsid w:val="00B172ED"/>
    <w:rsid w:val="00B175C5"/>
    <w:rsid w:val="00B177FA"/>
    <w:rsid w:val="00B17824"/>
    <w:rsid w:val="00B17A58"/>
    <w:rsid w:val="00B17F26"/>
    <w:rsid w:val="00B2033A"/>
    <w:rsid w:val="00B20A99"/>
    <w:rsid w:val="00B20DD8"/>
    <w:rsid w:val="00B2167F"/>
    <w:rsid w:val="00B21AA3"/>
    <w:rsid w:val="00B220D8"/>
    <w:rsid w:val="00B2285A"/>
    <w:rsid w:val="00B22C0A"/>
    <w:rsid w:val="00B236B9"/>
    <w:rsid w:val="00B23722"/>
    <w:rsid w:val="00B237FB"/>
    <w:rsid w:val="00B2417C"/>
    <w:rsid w:val="00B24A27"/>
    <w:rsid w:val="00B24B1D"/>
    <w:rsid w:val="00B25216"/>
    <w:rsid w:val="00B2542D"/>
    <w:rsid w:val="00B256A8"/>
    <w:rsid w:val="00B256D7"/>
    <w:rsid w:val="00B259FF"/>
    <w:rsid w:val="00B265EB"/>
    <w:rsid w:val="00B2678E"/>
    <w:rsid w:val="00B269EA"/>
    <w:rsid w:val="00B26C33"/>
    <w:rsid w:val="00B26DB3"/>
    <w:rsid w:val="00B277E0"/>
    <w:rsid w:val="00B278F6"/>
    <w:rsid w:val="00B27F32"/>
    <w:rsid w:val="00B3091B"/>
    <w:rsid w:val="00B30A3D"/>
    <w:rsid w:val="00B30EDA"/>
    <w:rsid w:val="00B313B2"/>
    <w:rsid w:val="00B317B8"/>
    <w:rsid w:val="00B31F88"/>
    <w:rsid w:val="00B31FAE"/>
    <w:rsid w:val="00B3288E"/>
    <w:rsid w:val="00B32A2C"/>
    <w:rsid w:val="00B32C53"/>
    <w:rsid w:val="00B330C9"/>
    <w:rsid w:val="00B331E7"/>
    <w:rsid w:val="00B33529"/>
    <w:rsid w:val="00B33608"/>
    <w:rsid w:val="00B33AD9"/>
    <w:rsid w:val="00B33AE5"/>
    <w:rsid w:val="00B341B5"/>
    <w:rsid w:val="00B34222"/>
    <w:rsid w:val="00B3467C"/>
    <w:rsid w:val="00B347DD"/>
    <w:rsid w:val="00B34946"/>
    <w:rsid w:val="00B34D1A"/>
    <w:rsid w:val="00B34DBB"/>
    <w:rsid w:val="00B34DD4"/>
    <w:rsid w:val="00B3505C"/>
    <w:rsid w:val="00B356D6"/>
    <w:rsid w:val="00B35BCE"/>
    <w:rsid w:val="00B35CB7"/>
    <w:rsid w:val="00B35F20"/>
    <w:rsid w:val="00B36129"/>
    <w:rsid w:val="00B361EF"/>
    <w:rsid w:val="00B3664E"/>
    <w:rsid w:val="00B36D80"/>
    <w:rsid w:val="00B372C1"/>
    <w:rsid w:val="00B37969"/>
    <w:rsid w:val="00B37AAF"/>
    <w:rsid w:val="00B37C27"/>
    <w:rsid w:val="00B400F7"/>
    <w:rsid w:val="00B406AC"/>
    <w:rsid w:val="00B40A64"/>
    <w:rsid w:val="00B40B79"/>
    <w:rsid w:val="00B40BE8"/>
    <w:rsid w:val="00B420A6"/>
    <w:rsid w:val="00B426BA"/>
    <w:rsid w:val="00B42B12"/>
    <w:rsid w:val="00B42E8C"/>
    <w:rsid w:val="00B43379"/>
    <w:rsid w:val="00B43726"/>
    <w:rsid w:val="00B44194"/>
    <w:rsid w:val="00B4490F"/>
    <w:rsid w:val="00B44C6A"/>
    <w:rsid w:val="00B4577C"/>
    <w:rsid w:val="00B461E6"/>
    <w:rsid w:val="00B46254"/>
    <w:rsid w:val="00B465E5"/>
    <w:rsid w:val="00B46796"/>
    <w:rsid w:val="00B46D15"/>
    <w:rsid w:val="00B46E43"/>
    <w:rsid w:val="00B47A75"/>
    <w:rsid w:val="00B47C3C"/>
    <w:rsid w:val="00B47CD7"/>
    <w:rsid w:val="00B506B6"/>
    <w:rsid w:val="00B50948"/>
    <w:rsid w:val="00B50A1C"/>
    <w:rsid w:val="00B50A41"/>
    <w:rsid w:val="00B50CB3"/>
    <w:rsid w:val="00B50E09"/>
    <w:rsid w:val="00B50F29"/>
    <w:rsid w:val="00B50F8F"/>
    <w:rsid w:val="00B5192D"/>
    <w:rsid w:val="00B519FD"/>
    <w:rsid w:val="00B520BC"/>
    <w:rsid w:val="00B52388"/>
    <w:rsid w:val="00B52742"/>
    <w:rsid w:val="00B529D6"/>
    <w:rsid w:val="00B53775"/>
    <w:rsid w:val="00B539CC"/>
    <w:rsid w:val="00B53D15"/>
    <w:rsid w:val="00B54043"/>
    <w:rsid w:val="00B54576"/>
    <w:rsid w:val="00B545CD"/>
    <w:rsid w:val="00B54A4F"/>
    <w:rsid w:val="00B55757"/>
    <w:rsid w:val="00B55AD2"/>
    <w:rsid w:val="00B55D5F"/>
    <w:rsid w:val="00B562F8"/>
    <w:rsid w:val="00B56307"/>
    <w:rsid w:val="00B566C6"/>
    <w:rsid w:val="00B56BE1"/>
    <w:rsid w:val="00B572CD"/>
    <w:rsid w:val="00B57F3F"/>
    <w:rsid w:val="00B603BB"/>
    <w:rsid w:val="00B605C9"/>
    <w:rsid w:val="00B61199"/>
    <w:rsid w:val="00B6186F"/>
    <w:rsid w:val="00B6187D"/>
    <w:rsid w:val="00B61CA9"/>
    <w:rsid w:val="00B61D99"/>
    <w:rsid w:val="00B62A6A"/>
    <w:rsid w:val="00B6335A"/>
    <w:rsid w:val="00B63446"/>
    <w:rsid w:val="00B63B25"/>
    <w:rsid w:val="00B63D24"/>
    <w:rsid w:val="00B646C1"/>
    <w:rsid w:val="00B6479E"/>
    <w:rsid w:val="00B64A06"/>
    <w:rsid w:val="00B65544"/>
    <w:rsid w:val="00B655B7"/>
    <w:rsid w:val="00B65818"/>
    <w:rsid w:val="00B66847"/>
    <w:rsid w:val="00B66F05"/>
    <w:rsid w:val="00B67B60"/>
    <w:rsid w:val="00B7014A"/>
    <w:rsid w:val="00B7051F"/>
    <w:rsid w:val="00B7073A"/>
    <w:rsid w:val="00B7085D"/>
    <w:rsid w:val="00B711E9"/>
    <w:rsid w:val="00B7215F"/>
    <w:rsid w:val="00B72239"/>
    <w:rsid w:val="00B7238E"/>
    <w:rsid w:val="00B72426"/>
    <w:rsid w:val="00B72A2A"/>
    <w:rsid w:val="00B72BE9"/>
    <w:rsid w:val="00B72C99"/>
    <w:rsid w:val="00B7304F"/>
    <w:rsid w:val="00B73450"/>
    <w:rsid w:val="00B737E3"/>
    <w:rsid w:val="00B737EC"/>
    <w:rsid w:val="00B73A59"/>
    <w:rsid w:val="00B73B6D"/>
    <w:rsid w:val="00B73F09"/>
    <w:rsid w:val="00B7433D"/>
    <w:rsid w:val="00B74727"/>
    <w:rsid w:val="00B74A1B"/>
    <w:rsid w:val="00B74EC1"/>
    <w:rsid w:val="00B74F3B"/>
    <w:rsid w:val="00B75253"/>
    <w:rsid w:val="00B7541B"/>
    <w:rsid w:val="00B754BC"/>
    <w:rsid w:val="00B755EA"/>
    <w:rsid w:val="00B757D5"/>
    <w:rsid w:val="00B75986"/>
    <w:rsid w:val="00B75B63"/>
    <w:rsid w:val="00B76391"/>
    <w:rsid w:val="00B7642A"/>
    <w:rsid w:val="00B76B72"/>
    <w:rsid w:val="00B76EE1"/>
    <w:rsid w:val="00B76FA7"/>
    <w:rsid w:val="00B77292"/>
    <w:rsid w:val="00B7765A"/>
    <w:rsid w:val="00B77839"/>
    <w:rsid w:val="00B77D31"/>
    <w:rsid w:val="00B808F1"/>
    <w:rsid w:val="00B80963"/>
    <w:rsid w:val="00B80C38"/>
    <w:rsid w:val="00B80CD9"/>
    <w:rsid w:val="00B8125F"/>
    <w:rsid w:val="00B812A2"/>
    <w:rsid w:val="00B81308"/>
    <w:rsid w:val="00B81A94"/>
    <w:rsid w:val="00B81D4C"/>
    <w:rsid w:val="00B8217B"/>
    <w:rsid w:val="00B82346"/>
    <w:rsid w:val="00B8259B"/>
    <w:rsid w:val="00B8311A"/>
    <w:rsid w:val="00B83350"/>
    <w:rsid w:val="00B83CFF"/>
    <w:rsid w:val="00B83D2A"/>
    <w:rsid w:val="00B83E55"/>
    <w:rsid w:val="00B84479"/>
    <w:rsid w:val="00B847E6"/>
    <w:rsid w:val="00B84908"/>
    <w:rsid w:val="00B84F56"/>
    <w:rsid w:val="00B85457"/>
    <w:rsid w:val="00B85A91"/>
    <w:rsid w:val="00B85C02"/>
    <w:rsid w:val="00B85D05"/>
    <w:rsid w:val="00B864A0"/>
    <w:rsid w:val="00B864FF"/>
    <w:rsid w:val="00B865D4"/>
    <w:rsid w:val="00B86EFF"/>
    <w:rsid w:val="00B86FF6"/>
    <w:rsid w:val="00B870BF"/>
    <w:rsid w:val="00B87332"/>
    <w:rsid w:val="00B873B8"/>
    <w:rsid w:val="00B878CC"/>
    <w:rsid w:val="00B87E1F"/>
    <w:rsid w:val="00B90058"/>
    <w:rsid w:val="00B904EF"/>
    <w:rsid w:val="00B905DF"/>
    <w:rsid w:val="00B90631"/>
    <w:rsid w:val="00B909AE"/>
    <w:rsid w:val="00B90C2F"/>
    <w:rsid w:val="00B9130F"/>
    <w:rsid w:val="00B9136D"/>
    <w:rsid w:val="00B91A77"/>
    <w:rsid w:val="00B92187"/>
    <w:rsid w:val="00B924E6"/>
    <w:rsid w:val="00B925B0"/>
    <w:rsid w:val="00B92693"/>
    <w:rsid w:val="00B926E3"/>
    <w:rsid w:val="00B92E7B"/>
    <w:rsid w:val="00B9327C"/>
    <w:rsid w:val="00B934E6"/>
    <w:rsid w:val="00B935F0"/>
    <w:rsid w:val="00B93934"/>
    <w:rsid w:val="00B93A4B"/>
    <w:rsid w:val="00B946A2"/>
    <w:rsid w:val="00B947F9"/>
    <w:rsid w:val="00B94C58"/>
    <w:rsid w:val="00B95ADD"/>
    <w:rsid w:val="00B95D60"/>
    <w:rsid w:val="00B967B6"/>
    <w:rsid w:val="00B968D1"/>
    <w:rsid w:val="00B977E2"/>
    <w:rsid w:val="00B97C42"/>
    <w:rsid w:val="00BA015C"/>
    <w:rsid w:val="00BA0A81"/>
    <w:rsid w:val="00BA153D"/>
    <w:rsid w:val="00BA1672"/>
    <w:rsid w:val="00BA19C4"/>
    <w:rsid w:val="00BA1B9C"/>
    <w:rsid w:val="00BA2062"/>
    <w:rsid w:val="00BA221F"/>
    <w:rsid w:val="00BA256E"/>
    <w:rsid w:val="00BA25B4"/>
    <w:rsid w:val="00BA262D"/>
    <w:rsid w:val="00BA26C1"/>
    <w:rsid w:val="00BA3851"/>
    <w:rsid w:val="00BA3D51"/>
    <w:rsid w:val="00BA4018"/>
    <w:rsid w:val="00BA4209"/>
    <w:rsid w:val="00BA4BA6"/>
    <w:rsid w:val="00BA4BD4"/>
    <w:rsid w:val="00BA4D3A"/>
    <w:rsid w:val="00BA4F2A"/>
    <w:rsid w:val="00BA5175"/>
    <w:rsid w:val="00BA5396"/>
    <w:rsid w:val="00BA5698"/>
    <w:rsid w:val="00BA56D8"/>
    <w:rsid w:val="00BA5859"/>
    <w:rsid w:val="00BA5E42"/>
    <w:rsid w:val="00BA663D"/>
    <w:rsid w:val="00BA66C3"/>
    <w:rsid w:val="00BA6EAC"/>
    <w:rsid w:val="00BA72E7"/>
    <w:rsid w:val="00BA7421"/>
    <w:rsid w:val="00BA7441"/>
    <w:rsid w:val="00BA76E5"/>
    <w:rsid w:val="00BA7961"/>
    <w:rsid w:val="00BB0774"/>
    <w:rsid w:val="00BB0CF4"/>
    <w:rsid w:val="00BB0D58"/>
    <w:rsid w:val="00BB1006"/>
    <w:rsid w:val="00BB103A"/>
    <w:rsid w:val="00BB1252"/>
    <w:rsid w:val="00BB15E1"/>
    <w:rsid w:val="00BB18BE"/>
    <w:rsid w:val="00BB2587"/>
    <w:rsid w:val="00BB2CB7"/>
    <w:rsid w:val="00BB32C2"/>
    <w:rsid w:val="00BB32D4"/>
    <w:rsid w:val="00BB33EC"/>
    <w:rsid w:val="00BB377E"/>
    <w:rsid w:val="00BB3A8E"/>
    <w:rsid w:val="00BB3EFD"/>
    <w:rsid w:val="00BB481C"/>
    <w:rsid w:val="00BB48AD"/>
    <w:rsid w:val="00BB5534"/>
    <w:rsid w:val="00BB55C4"/>
    <w:rsid w:val="00BB5C9D"/>
    <w:rsid w:val="00BB691D"/>
    <w:rsid w:val="00BB6A82"/>
    <w:rsid w:val="00BB6B2B"/>
    <w:rsid w:val="00BB6D2F"/>
    <w:rsid w:val="00BB70BA"/>
    <w:rsid w:val="00BB710B"/>
    <w:rsid w:val="00BB72DE"/>
    <w:rsid w:val="00BB7753"/>
    <w:rsid w:val="00BB7B8B"/>
    <w:rsid w:val="00BB7EA2"/>
    <w:rsid w:val="00BC0170"/>
    <w:rsid w:val="00BC0457"/>
    <w:rsid w:val="00BC095B"/>
    <w:rsid w:val="00BC0EEA"/>
    <w:rsid w:val="00BC1224"/>
    <w:rsid w:val="00BC13B9"/>
    <w:rsid w:val="00BC16D8"/>
    <w:rsid w:val="00BC17EC"/>
    <w:rsid w:val="00BC1932"/>
    <w:rsid w:val="00BC1957"/>
    <w:rsid w:val="00BC1A4E"/>
    <w:rsid w:val="00BC2869"/>
    <w:rsid w:val="00BC28BA"/>
    <w:rsid w:val="00BC2A89"/>
    <w:rsid w:val="00BC3411"/>
    <w:rsid w:val="00BC3533"/>
    <w:rsid w:val="00BC3619"/>
    <w:rsid w:val="00BC3BF1"/>
    <w:rsid w:val="00BC3C28"/>
    <w:rsid w:val="00BC41D3"/>
    <w:rsid w:val="00BC47A9"/>
    <w:rsid w:val="00BC4AC9"/>
    <w:rsid w:val="00BC5245"/>
    <w:rsid w:val="00BC5775"/>
    <w:rsid w:val="00BC57FC"/>
    <w:rsid w:val="00BC58F7"/>
    <w:rsid w:val="00BC5DD9"/>
    <w:rsid w:val="00BC5EC7"/>
    <w:rsid w:val="00BC6298"/>
    <w:rsid w:val="00BC6FF2"/>
    <w:rsid w:val="00BC73EB"/>
    <w:rsid w:val="00BC7589"/>
    <w:rsid w:val="00BC79EB"/>
    <w:rsid w:val="00BC7E8F"/>
    <w:rsid w:val="00BC7EF5"/>
    <w:rsid w:val="00BD0394"/>
    <w:rsid w:val="00BD0A49"/>
    <w:rsid w:val="00BD0AAE"/>
    <w:rsid w:val="00BD0C15"/>
    <w:rsid w:val="00BD0C4F"/>
    <w:rsid w:val="00BD0EFF"/>
    <w:rsid w:val="00BD13DD"/>
    <w:rsid w:val="00BD169D"/>
    <w:rsid w:val="00BD1FAA"/>
    <w:rsid w:val="00BD24E4"/>
    <w:rsid w:val="00BD2895"/>
    <w:rsid w:val="00BD2DA1"/>
    <w:rsid w:val="00BD2FA7"/>
    <w:rsid w:val="00BD32A6"/>
    <w:rsid w:val="00BD3D02"/>
    <w:rsid w:val="00BD4115"/>
    <w:rsid w:val="00BD458D"/>
    <w:rsid w:val="00BD47D7"/>
    <w:rsid w:val="00BD4B60"/>
    <w:rsid w:val="00BD4B91"/>
    <w:rsid w:val="00BD4FD5"/>
    <w:rsid w:val="00BD513E"/>
    <w:rsid w:val="00BD561A"/>
    <w:rsid w:val="00BD5964"/>
    <w:rsid w:val="00BD5BD2"/>
    <w:rsid w:val="00BD6302"/>
    <w:rsid w:val="00BD6468"/>
    <w:rsid w:val="00BD65F0"/>
    <w:rsid w:val="00BD6AF3"/>
    <w:rsid w:val="00BD73E5"/>
    <w:rsid w:val="00BD787A"/>
    <w:rsid w:val="00BD7DD4"/>
    <w:rsid w:val="00BD7FCF"/>
    <w:rsid w:val="00BE09A3"/>
    <w:rsid w:val="00BE0D06"/>
    <w:rsid w:val="00BE0E5D"/>
    <w:rsid w:val="00BE10E2"/>
    <w:rsid w:val="00BE1431"/>
    <w:rsid w:val="00BE1F79"/>
    <w:rsid w:val="00BE20EC"/>
    <w:rsid w:val="00BE215A"/>
    <w:rsid w:val="00BE296C"/>
    <w:rsid w:val="00BE2B0F"/>
    <w:rsid w:val="00BE31BE"/>
    <w:rsid w:val="00BE32AB"/>
    <w:rsid w:val="00BE3311"/>
    <w:rsid w:val="00BE3778"/>
    <w:rsid w:val="00BE382B"/>
    <w:rsid w:val="00BE3976"/>
    <w:rsid w:val="00BE3AF2"/>
    <w:rsid w:val="00BE3DAD"/>
    <w:rsid w:val="00BE5452"/>
    <w:rsid w:val="00BE56F2"/>
    <w:rsid w:val="00BE592B"/>
    <w:rsid w:val="00BE5ADC"/>
    <w:rsid w:val="00BE5D9B"/>
    <w:rsid w:val="00BE5DEC"/>
    <w:rsid w:val="00BE60F9"/>
    <w:rsid w:val="00BE6557"/>
    <w:rsid w:val="00BE6704"/>
    <w:rsid w:val="00BE6E3D"/>
    <w:rsid w:val="00BE6F2D"/>
    <w:rsid w:val="00BE70D5"/>
    <w:rsid w:val="00BE70FE"/>
    <w:rsid w:val="00BE7568"/>
    <w:rsid w:val="00BE787F"/>
    <w:rsid w:val="00BE7AB0"/>
    <w:rsid w:val="00BE7B4C"/>
    <w:rsid w:val="00BF09CC"/>
    <w:rsid w:val="00BF0D27"/>
    <w:rsid w:val="00BF11A7"/>
    <w:rsid w:val="00BF135A"/>
    <w:rsid w:val="00BF228C"/>
    <w:rsid w:val="00BF2649"/>
    <w:rsid w:val="00BF28F3"/>
    <w:rsid w:val="00BF2F83"/>
    <w:rsid w:val="00BF30B2"/>
    <w:rsid w:val="00BF3415"/>
    <w:rsid w:val="00BF3529"/>
    <w:rsid w:val="00BF3AE2"/>
    <w:rsid w:val="00BF3B54"/>
    <w:rsid w:val="00BF40A8"/>
    <w:rsid w:val="00BF4B2E"/>
    <w:rsid w:val="00BF5101"/>
    <w:rsid w:val="00BF5447"/>
    <w:rsid w:val="00BF592B"/>
    <w:rsid w:val="00BF61CC"/>
    <w:rsid w:val="00BF6406"/>
    <w:rsid w:val="00BF686F"/>
    <w:rsid w:val="00BF72B8"/>
    <w:rsid w:val="00BF7EB7"/>
    <w:rsid w:val="00BF7F33"/>
    <w:rsid w:val="00C0025E"/>
    <w:rsid w:val="00C00270"/>
    <w:rsid w:val="00C00733"/>
    <w:rsid w:val="00C00AB0"/>
    <w:rsid w:val="00C01855"/>
    <w:rsid w:val="00C01F88"/>
    <w:rsid w:val="00C02516"/>
    <w:rsid w:val="00C02886"/>
    <w:rsid w:val="00C02F29"/>
    <w:rsid w:val="00C033AE"/>
    <w:rsid w:val="00C03EC7"/>
    <w:rsid w:val="00C0416E"/>
    <w:rsid w:val="00C044F7"/>
    <w:rsid w:val="00C045DB"/>
    <w:rsid w:val="00C048A4"/>
    <w:rsid w:val="00C04C6E"/>
    <w:rsid w:val="00C04E36"/>
    <w:rsid w:val="00C050CF"/>
    <w:rsid w:val="00C0523C"/>
    <w:rsid w:val="00C054BE"/>
    <w:rsid w:val="00C05880"/>
    <w:rsid w:val="00C059CE"/>
    <w:rsid w:val="00C05C0C"/>
    <w:rsid w:val="00C064DC"/>
    <w:rsid w:val="00C065DD"/>
    <w:rsid w:val="00C0704E"/>
    <w:rsid w:val="00C07387"/>
    <w:rsid w:val="00C076DF"/>
    <w:rsid w:val="00C078D5"/>
    <w:rsid w:val="00C07C15"/>
    <w:rsid w:val="00C118B4"/>
    <w:rsid w:val="00C119AD"/>
    <w:rsid w:val="00C11A17"/>
    <w:rsid w:val="00C12714"/>
    <w:rsid w:val="00C12F7B"/>
    <w:rsid w:val="00C136B6"/>
    <w:rsid w:val="00C136E7"/>
    <w:rsid w:val="00C13C14"/>
    <w:rsid w:val="00C13EBA"/>
    <w:rsid w:val="00C144DD"/>
    <w:rsid w:val="00C149BD"/>
    <w:rsid w:val="00C14F58"/>
    <w:rsid w:val="00C152D9"/>
    <w:rsid w:val="00C153BE"/>
    <w:rsid w:val="00C15579"/>
    <w:rsid w:val="00C15994"/>
    <w:rsid w:val="00C159E0"/>
    <w:rsid w:val="00C160A7"/>
    <w:rsid w:val="00C1615B"/>
    <w:rsid w:val="00C16848"/>
    <w:rsid w:val="00C17276"/>
    <w:rsid w:val="00C17936"/>
    <w:rsid w:val="00C17D23"/>
    <w:rsid w:val="00C17EEB"/>
    <w:rsid w:val="00C200F0"/>
    <w:rsid w:val="00C202A0"/>
    <w:rsid w:val="00C2044A"/>
    <w:rsid w:val="00C206EA"/>
    <w:rsid w:val="00C20DC9"/>
    <w:rsid w:val="00C20DF8"/>
    <w:rsid w:val="00C214BF"/>
    <w:rsid w:val="00C21878"/>
    <w:rsid w:val="00C21975"/>
    <w:rsid w:val="00C22A0C"/>
    <w:rsid w:val="00C22E0C"/>
    <w:rsid w:val="00C22E64"/>
    <w:rsid w:val="00C23535"/>
    <w:rsid w:val="00C2354D"/>
    <w:rsid w:val="00C23551"/>
    <w:rsid w:val="00C23841"/>
    <w:rsid w:val="00C239B2"/>
    <w:rsid w:val="00C23BF2"/>
    <w:rsid w:val="00C23DC6"/>
    <w:rsid w:val="00C23E2E"/>
    <w:rsid w:val="00C24531"/>
    <w:rsid w:val="00C24FF0"/>
    <w:rsid w:val="00C250F4"/>
    <w:rsid w:val="00C253AB"/>
    <w:rsid w:val="00C25BDA"/>
    <w:rsid w:val="00C25FFD"/>
    <w:rsid w:val="00C26803"/>
    <w:rsid w:val="00C268E4"/>
    <w:rsid w:val="00C26A2E"/>
    <w:rsid w:val="00C26DBE"/>
    <w:rsid w:val="00C273F5"/>
    <w:rsid w:val="00C27941"/>
    <w:rsid w:val="00C279CA"/>
    <w:rsid w:val="00C27CF5"/>
    <w:rsid w:val="00C27E88"/>
    <w:rsid w:val="00C306F6"/>
    <w:rsid w:val="00C31F3E"/>
    <w:rsid w:val="00C3282B"/>
    <w:rsid w:val="00C32E87"/>
    <w:rsid w:val="00C32F10"/>
    <w:rsid w:val="00C330C6"/>
    <w:rsid w:val="00C33104"/>
    <w:rsid w:val="00C332D4"/>
    <w:rsid w:val="00C333F5"/>
    <w:rsid w:val="00C33861"/>
    <w:rsid w:val="00C339CB"/>
    <w:rsid w:val="00C33A39"/>
    <w:rsid w:val="00C344ED"/>
    <w:rsid w:val="00C34565"/>
    <w:rsid w:val="00C3462C"/>
    <w:rsid w:val="00C34BB7"/>
    <w:rsid w:val="00C34F89"/>
    <w:rsid w:val="00C3544D"/>
    <w:rsid w:val="00C354FF"/>
    <w:rsid w:val="00C35606"/>
    <w:rsid w:val="00C358CE"/>
    <w:rsid w:val="00C35B75"/>
    <w:rsid w:val="00C361C5"/>
    <w:rsid w:val="00C36BD0"/>
    <w:rsid w:val="00C36C69"/>
    <w:rsid w:val="00C371E2"/>
    <w:rsid w:val="00C377CF"/>
    <w:rsid w:val="00C40183"/>
    <w:rsid w:val="00C40359"/>
    <w:rsid w:val="00C4037C"/>
    <w:rsid w:val="00C40421"/>
    <w:rsid w:val="00C40599"/>
    <w:rsid w:val="00C40D21"/>
    <w:rsid w:val="00C40F7D"/>
    <w:rsid w:val="00C41828"/>
    <w:rsid w:val="00C418EA"/>
    <w:rsid w:val="00C41922"/>
    <w:rsid w:val="00C41986"/>
    <w:rsid w:val="00C41A6A"/>
    <w:rsid w:val="00C41F47"/>
    <w:rsid w:val="00C4280D"/>
    <w:rsid w:val="00C43399"/>
    <w:rsid w:val="00C433A5"/>
    <w:rsid w:val="00C43DC9"/>
    <w:rsid w:val="00C43E16"/>
    <w:rsid w:val="00C43E58"/>
    <w:rsid w:val="00C44287"/>
    <w:rsid w:val="00C4495B"/>
    <w:rsid w:val="00C44D23"/>
    <w:rsid w:val="00C4516C"/>
    <w:rsid w:val="00C454B3"/>
    <w:rsid w:val="00C4585D"/>
    <w:rsid w:val="00C45FC2"/>
    <w:rsid w:val="00C462F9"/>
    <w:rsid w:val="00C47F4E"/>
    <w:rsid w:val="00C51011"/>
    <w:rsid w:val="00C52A37"/>
    <w:rsid w:val="00C53116"/>
    <w:rsid w:val="00C53368"/>
    <w:rsid w:val="00C54096"/>
    <w:rsid w:val="00C54CE6"/>
    <w:rsid w:val="00C54DF7"/>
    <w:rsid w:val="00C54FFD"/>
    <w:rsid w:val="00C55C73"/>
    <w:rsid w:val="00C560AC"/>
    <w:rsid w:val="00C5667E"/>
    <w:rsid w:val="00C56906"/>
    <w:rsid w:val="00C56D85"/>
    <w:rsid w:val="00C5736F"/>
    <w:rsid w:val="00C5781C"/>
    <w:rsid w:val="00C57E25"/>
    <w:rsid w:val="00C6031D"/>
    <w:rsid w:val="00C60343"/>
    <w:rsid w:val="00C605BE"/>
    <w:rsid w:val="00C60614"/>
    <w:rsid w:val="00C608C9"/>
    <w:rsid w:val="00C610FD"/>
    <w:rsid w:val="00C612EA"/>
    <w:rsid w:val="00C61427"/>
    <w:rsid w:val="00C61441"/>
    <w:rsid w:val="00C615B8"/>
    <w:rsid w:val="00C61CB4"/>
    <w:rsid w:val="00C6216B"/>
    <w:rsid w:val="00C622A2"/>
    <w:rsid w:val="00C6266E"/>
    <w:rsid w:val="00C62693"/>
    <w:rsid w:val="00C629B5"/>
    <w:rsid w:val="00C62A01"/>
    <w:rsid w:val="00C62F6B"/>
    <w:rsid w:val="00C63253"/>
    <w:rsid w:val="00C6391D"/>
    <w:rsid w:val="00C64AF8"/>
    <w:rsid w:val="00C6527E"/>
    <w:rsid w:val="00C653AC"/>
    <w:rsid w:val="00C653E7"/>
    <w:rsid w:val="00C6549A"/>
    <w:rsid w:val="00C6559E"/>
    <w:rsid w:val="00C65951"/>
    <w:rsid w:val="00C659B1"/>
    <w:rsid w:val="00C65EF2"/>
    <w:rsid w:val="00C6674E"/>
    <w:rsid w:val="00C66D64"/>
    <w:rsid w:val="00C6715B"/>
    <w:rsid w:val="00C678D1"/>
    <w:rsid w:val="00C67C3E"/>
    <w:rsid w:val="00C67CF5"/>
    <w:rsid w:val="00C67FA8"/>
    <w:rsid w:val="00C70402"/>
    <w:rsid w:val="00C707D1"/>
    <w:rsid w:val="00C7086C"/>
    <w:rsid w:val="00C71F04"/>
    <w:rsid w:val="00C72505"/>
    <w:rsid w:val="00C738EA"/>
    <w:rsid w:val="00C74091"/>
    <w:rsid w:val="00C744F8"/>
    <w:rsid w:val="00C74F89"/>
    <w:rsid w:val="00C757A3"/>
    <w:rsid w:val="00C75DF3"/>
    <w:rsid w:val="00C76023"/>
    <w:rsid w:val="00C760C6"/>
    <w:rsid w:val="00C76106"/>
    <w:rsid w:val="00C761A9"/>
    <w:rsid w:val="00C76C52"/>
    <w:rsid w:val="00C76EAF"/>
    <w:rsid w:val="00C773F8"/>
    <w:rsid w:val="00C77409"/>
    <w:rsid w:val="00C77D3A"/>
    <w:rsid w:val="00C8000D"/>
    <w:rsid w:val="00C8030E"/>
    <w:rsid w:val="00C805A2"/>
    <w:rsid w:val="00C8097C"/>
    <w:rsid w:val="00C809C5"/>
    <w:rsid w:val="00C80AD7"/>
    <w:rsid w:val="00C80B1A"/>
    <w:rsid w:val="00C81190"/>
    <w:rsid w:val="00C81195"/>
    <w:rsid w:val="00C8130B"/>
    <w:rsid w:val="00C81B46"/>
    <w:rsid w:val="00C81DF5"/>
    <w:rsid w:val="00C82400"/>
    <w:rsid w:val="00C82430"/>
    <w:rsid w:val="00C82471"/>
    <w:rsid w:val="00C824FD"/>
    <w:rsid w:val="00C82AA1"/>
    <w:rsid w:val="00C82E79"/>
    <w:rsid w:val="00C83579"/>
    <w:rsid w:val="00C8375C"/>
    <w:rsid w:val="00C842E2"/>
    <w:rsid w:val="00C84311"/>
    <w:rsid w:val="00C8433A"/>
    <w:rsid w:val="00C847E2"/>
    <w:rsid w:val="00C8489A"/>
    <w:rsid w:val="00C84C00"/>
    <w:rsid w:val="00C84E9C"/>
    <w:rsid w:val="00C84EBA"/>
    <w:rsid w:val="00C84FF0"/>
    <w:rsid w:val="00C850D6"/>
    <w:rsid w:val="00C85182"/>
    <w:rsid w:val="00C8527A"/>
    <w:rsid w:val="00C85309"/>
    <w:rsid w:val="00C854D4"/>
    <w:rsid w:val="00C85740"/>
    <w:rsid w:val="00C859AD"/>
    <w:rsid w:val="00C85AFC"/>
    <w:rsid w:val="00C8612B"/>
    <w:rsid w:val="00C864F2"/>
    <w:rsid w:val="00C869C7"/>
    <w:rsid w:val="00C86EC0"/>
    <w:rsid w:val="00C87007"/>
    <w:rsid w:val="00C870C5"/>
    <w:rsid w:val="00C87A90"/>
    <w:rsid w:val="00C90556"/>
    <w:rsid w:val="00C90AEA"/>
    <w:rsid w:val="00C90B13"/>
    <w:rsid w:val="00C90D0A"/>
    <w:rsid w:val="00C914BC"/>
    <w:rsid w:val="00C91BA3"/>
    <w:rsid w:val="00C91FF9"/>
    <w:rsid w:val="00C9229E"/>
    <w:rsid w:val="00C92598"/>
    <w:rsid w:val="00C92FDC"/>
    <w:rsid w:val="00C936E9"/>
    <w:rsid w:val="00C94526"/>
    <w:rsid w:val="00C94F18"/>
    <w:rsid w:val="00C95201"/>
    <w:rsid w:val="00C9591F"/>
    <w:rsid w:val="00C95C5D"/>
    <w:rsid w:val="00C95EC0"/>
    <w:rsid w:val="00C95EFC"/>
    <w:rsid w:val="00C962E4"/>
    <w:rsid w:val="00C96853"/>
    <w:rsid w:val="00C96A14"/>
    <w:rsid w:val="00C97831"/>
    <w:rsid w:val="00CA04BA"/>
    <w:rsid w:val="00CA0D78"/>
    <w:rsid w:val="00CA12BF"/>
    <w:rsid w:val="00CA1C60"/>
    <w:rsid w:val="00CA2059"/>
    <w:rsid w:val="00CA2A41"/>
    <w:rsid w:val="00CA2F39"/>
    <w:rsid w:val="00CA3753"/>
    <w:rsid w:val="00CA3E81"/>
    <w:rsid w:val="00CA43D4"/>
    <w:rsid w:val="00CA444A"/>
    <w:rsid w:val="00CA444D"/>
    <w:rsid w:val="00CA4855"/>
    <w:rsid w:val="00CA4928"/>
    <w:rsid w:val="00CA4EA5"/>
    <w:rsid w:val="00CA564A"/>
    <w:rsid w:val="00CA56D8"/>
    <w:rsid w:val="00CA5AFA"/>
    <w:rsid w:val="00CA5BA0"/>
    <w:rsid w:val="00CA5BCE"/>
    <w:rsid w:val="00CA5D90"/>
    <w:rsid w:val="00CA6084"/>
    <w:rsid w:val="00CA660B"/>
    <w:rsid w:val="00CA6E73"/>
    <w:rsid w:val="00CA6F0E"/>
    <w:rsid w:val="00CA7035"/>
    <w:rsid w:val="00CA76BC"/>
    <w:rsid w:val="00CA7F5A"/>
    <w:rsid w:val="00CB03B8"/>
    <w:rsid w:val="00CB0A1F"/>
    <w:rsid w:val="00CB0DB9"/>
    <w:rsid w:val="00CB1584"/>
    <w:rsid w:val="00CB17B5"/>
    <w:rsid w:val="00CB1858"/>
    <w:rsid w:val="00CB19B4"/>
    <w:rsid w:val="00CB1C0E"/>
    <w:rsid w:val="00CB20A5"/>
    <w:rsid w:val="00CB24FE"/>
    <w:rsid w:val="00CB2968"/>
    <w:rsid w:val="00CB38F1"/>
    <w:rsid w:val="00CB3923"/>
    <w:rsid w:val="00CB3A78"/>
    <w:rsid w:val="00CB450F"/>
    <w:rsid w:val="00CB4516"/>
    <w:rsid w:val="00CB4CF1"/>
    <w:rsid w:val="00CB5351"/>
    <w:rsid w:val="00CB5B70"/>
    <w:rsid w:val="00CB5DC4"/>
    <w:rsid w:val="00CB637D"/>
    <w:rsid w:val="00CB63E4"/>
    <w:rsid w:val="00CB71DD"/>
    <w:rsid w:val="00CB7502"/>
    <w:rsid w:val="00CB77A2"/>
    <w:rsid w:val="00CB7D21"/>
    <w:rsid w:val="00CB7EF0"/>
    <w:rsid w:val="00CC0329"/>
    <w:rsid w:val="00CC08AB"/>
    <w:rsid w:val="00CC0A7B"/>
    <w:rsid w:val="00CC112C"/>
    <w:rsid w:val="00CC1BD0"/>
    <w:rsid w:val="00CC1BD8"/>
    <w:rsid w:val="00CC1E7D"/>
    <w:rsid w:val="00CC213A"/>
    <w:rsid w:val="00CC2359"/>
    <w:rsid w:val="00CC25E1"/>
    <w:rsid w:val="00CC2651"/>
    <w:rsid w:val="00CC2AA0"/>
    <w:rsid w:val="00CC2B42"/>
    <w:rsid w:val="00CC303C"/>
    <w:rsid w:val="00CC37E2"/>
    <w:rsid w:val="00CC4185"/>
    <w:rsid w:val="00CC4A47"/>
    <w:rsid w:val="00CC4B82"/>
    <w:rsid w:val="00CC4E89"/>
    <w:rsid w:val="00CC52B5"/>
    <w:rsid w:val="00CC5467"/>
    <w:rsid w:val="00CC5476"/>
    <w:rsid w:val="00CC5A60"/>
    <w:rsid w:val="00CC5D8D"/>
    <w:rsid w:val="00CC62F4"/>
    <w:rsid w:val="00CC6637"/>
    <w:rsid w:val="00CC68B7"/>
    <w:rsid w:val="00CC6B4E"/>
    <w:rsid w:val="00CC73DE"/>
    <w:rsid w:val="00CC7807"/>
    <w:rsid w:val="00CC7CCD"/>
    <w:rsid w:val="00CD00EE"/>
    <w:rsid w:val="00CD04FC"/>
    <w:rsid w:val="00CD09F7"/>
    <w:rsid w:val="00CD0D86"/>
    <w:rsid w:val="00CD0ED3"/>
    <w:rsid w:val="00CD1206"/>
    <w:rsid w:val="00CD15A2"/>
    <w:rsid w:val="00CD2045"/>
    <w:rsid w:val="00CD21F7"/>
    <w:rsid w:val="00CD2572"/>
    <w:rsid w:val="00CD2724"/>
    <w:rsid w:val="00CD2B3D"/>
    <w:rsid w:val="00CD3554"/>
    <w:rsid w:val="00CD3589"/>
    <w:rsid w:val="00CD3AD1"/>
    <w:rsid w:val="00CD3C8C"/>
    <w:rsid w:val="00CD3CFA"/>
    <w:rsid w:val="00CD4704"/>
    <w:rsid w:val="00CD4B2B"/>
    <w:rsid w:val="00CD4CC3"/>
    <w:rsid w:val="00CD4E10"/>
    <w:rsid w:val="00CD52D9"/>
    <w:rsid w:val="00CD58FD"/>
    <w:rsid w:val="00CD5AEB"/>
    <w:rsid w:val="00CD5B04"/>
    <w:rsid w:val="00CD60EB"/>
    <w:rsid w:val="00CD6837"/>
    <w:rsid w:val="00CD79FF"/>
    <w:rsid w:val="00CE0720"/>
    <w:rsid w:val="00CE072E"/>
    <w:rsid w:val="00CE0788"/>
    <w:rsid w:val="00CE07B9"/>
    <w:rsid w:val="00CE0AA0"/>
    <w:rsid w:val="00CE0B56"/>
    <w:rsid w:val="00CE0C6D"/>
    <w:rsid w:val="00CE11D7"/>
    <w:rsid w:val="00CE1457"/>
    <w:rsid w:val="00CE1709"/>
    <w:rsid w:val="00CE1738"/>
    <w:rsid w:val="00CE1DEC"/>
    <w:rsid w:val="00CE26A7"/>
    <w:rsid w:val="00CE2C82"/>
    <w:rsid w:val="00CE3704"/>
    <w:rsid w:val="00CE3706"/>
    <w:rsid w:val="00CE3984"/>
    <w:rsid w:val="00CE3FC7"/>
    <w:rsid w:val="00CE452B"/>
    <w:rsid w:val="00CE46B8"/>
    <w:rsid w:val="00CE4753"/>
    <w:rsid w:val="00CE4BCB"/>
    <w:rsid w:val="00CE4C3C"/>
    <w:rsid w:val="00CE4E0A"/>
    <w:rsid w:val="00CE4F22"/>
    <w:rsid w:val="00CE5103"/>
    <w:rsid w:val="00CE5A81"/>
    <w:rsid w:val="00CE5D26"/>
    <w:rsid w:val="00CE5D40"/>
    <w:rsid w:val="00CE603E"/>
    <w:rsid w:val="00CE638D"/>
    <w:rsid w:val="00CE6438"/>
    <w:rsid w:val="00CE66DD"/>
    <w:rsid w:val="00CE68D9"/>
    <w:rsid w:val="00CE68FD"/>
    <w:rsid w:val="00CE6B1D"/>
    <w:rsid w:val="00CE6BFB"/>
    <w:rsid w:val="00CE6CB5"/>
    <w:rsid w:val="00CE6D68"/>
    <w:rsid w:val="00CE70A3"/>
    <w:rsid w:val="00CE7D5C"/>
    <w:rsid w:val="00CF00FE"/>
    <w:rsid w:val="00CF01AF"/>
    <w:rsid w:val="00CF085D"/>
    <w:rsid w:val="00CF0987"/>
    <w:rsid w:val="00CF0CE9"/>
    <w:rsid w:val="00CF1AD3"/>
    <w:rsid w:val="00CF2053"/>
    <w:rsid w:val="00CF272A"/>
    <w:rsid w:val="00CF27AE"/>
    <w:rsid w:val="00CF289C"/>
    <w:rsid w:val="00CF28BD"/>
    <w:rsid w:val="00CF35D9"/>
    <w:rsid w:val="00CF3739"/>
    <w:rsid w:val="00CF4185"/>
    <w:rsid w:val="00CF4738"/>
    <w:rsid w:val="00CF4938"/>
    <w:rsid w:val="00CF4BCB"/>
    <w:rsid w:val="00CF5020"/>
    <w:rsid w:val="00CF5147"/>
    <w:rsid w:val="00CF52D1"/>
    <w:rsid w:val="00CF6472"/>
    <w:rsid w:val="00CF64DF"/>
    <w:rsid w:val="00CF65D5"/>
    <w:rsid w:val="00CF68B5"/>
    <w:rsid w:val="00CF747D"/>
    <w:rsid w:val="00CF7542"/>
    <w:rsid w:val="00CF75BA"/>
    <w:rsid w:val="00CF7C57"/>
    <w:rsid w:val="00D00211"/>
    <w:rsid w:val="00D003BA"/>
    <w:rsid w:val="00D00497"/>
    <w:rsid w:val="00D00DF9"/>
    <w:rsid w:val="00D0115C"/>
    <w:rsid w:val="00D0119B"/>
    <w:rsid w:val="00D0136B"/>
    <w:rsid w:val="00D01D4A"/>
    <w:rsid w:val="00D0201B"/>
    <w:rsid w:val="00D02060"/>
    <w:rsid w:val="00D02653"/>
    <w:rsid w:val="00D02948"/>
    <w:rsid w:val="00D02AD8"/>
    <w:rsid w:val="00D03307"/>
    <w:rsid w:val="00D03F9A"/>
    <w:rsid w:val="00D040C3"/>
    <w:rsid w:val="00D041E4"/>
    <w:rsid w:val="00D04267"/>
    <w:rsid w:val="00D04289"/>
    <w:rsid w:val="00D04B38"/>
    <w:rsid w:val="00D050D5"/>
    <w:rsid w:val="00D053BE"/>
    <w:rsid w:val="00D0543D"/>
    <w:rsid w:val="00D0571E"/>
    <w:rsid w:val="00D05CBD"/>
    <w:rsid w:val="00D05DAA"/>
    <w:rsid w:val="00D063FD"/>
    <w:rsid w:val="00D067FF"/>
    <w:rsid w:val="00D06B63"/>
    <w:rsid w:val="00D06DD4"/>
    <w:rsid w:val="00D06E89"/>
    <w:rsid w:val="00D07763"/>
    <w:rsid w:val="00D0791C"/>
    <w:rsid w:val="00D07D51"/>
    <w:rsid w:val="00D10091"/>
    <w:rsid w:val="00D10279"/>
    <w:rsid w:val="00D10935"/>
    <w:rsid w:val="00D109A8"/>
    <w:rsid w:val="00D109B5"/>
    <w:rsid w:val="00D10F21"/>
    <w:rsid w:val="00D1185E"/>
    <w:rsid w:val="00D11926"/>
    <w:rsid w:val="00D12688"/>
    <w:rsid w:val="00D132F9"/>
    <w:rsid w:val="00D1369E"/>
    <w:rsid w:val="00D138B7"/>
    <w:rsid w:val="00D14535"/>
    <w:rsid w:val="00D14B82"/>
    <w:rsid w:val="00D14F57"/>
    <w:rsid w:val="00D14F86"/>
    <w:rsid w:val="00D1582E"/>
    <w:rsid w:val="00D15A66"/>
    <w:rsid w:val="00D15F44"/>
    <w:rsid w:val="00D160F8"/>
    <w:rsid w:val="00D16538"/>
    <w:rsid w:val="00D168AF"/>
    <w:rsid w:val="00D16FB2"/>
    <w:rsid w:val="00D1708B"/>
    <w:rsid w:val="00D17765"/>
    <w:rsid w:val="00D1779A"/>
    <w:rsid w:val="00D17ADD"/>
    <w:rsid w:val="00D17BEE"/>
    <w:rsid w:val="00D17CD9"/>
    <w:rsid w:val="00D203DD"/>
    <w:rsid w:val="00D208F0"/>
    <w:rsid w:val="00D2101C"/>
    <w:rsid w:val="00D218DB"/>
    <w:rsid w:val="00D219C1"/>
    <w:rsid w:val="00D21DD6"/>
    <w:rsid w:val="00D22017"/>
    <w:rsid w:val="00D224E2"/>
    <w:rsid w:val="00D22539"/>
    <w:rsid w:val="00D22562"/>
    <w:rsid w:val="00D22841"/>
    <w:rsid w:val="00D228A9"/>
    <w:rsid w:val="00D234E5"/>
    <w:rsid w:val="00D2384F"/>
    <w:rsid w:val="00D238AD"/>
    <w:rsid w:val="00D2392E"/>
    <w:rsid w:val="00D243BA"/>
    <w:rsid w:val="00D245FC"/>
    <w:rsid w:val="00D2497F"/>
    <w:rsid w:val="00D24B45"/>
    <w:rsid w:val="00D25186"/>
    <w:rsid w:val="00D25513"/>
    <w:rsid w:val="00D26058"/>
    <w:rsid w:val="00D26177"/>
    <w:rsid w:val="00D26C8D"/>
    <w:rsid w:val="00D273B1"/>
    <w:rsid w:val="00D27461"/>
    <w:rsid w:val="00D27AA5"/>
    <w:rsid w:val="00D27C05"/>
    <w:rsid w:val="00D27C17"/>
    <w:rsid w:val="00D27C36"/>
    <w:rsid w:val="00D30251"/>
    <w:rsid w:val="00D30311"/>
    <w:rsid w:val="00D31EE0"/>
    <w:rsid w:val="00D3203A"/>
    <w:rsid w:val="00D326B5"/>
    <w:rsid w:val="00D32CCF"/>
    <w:rsid w:val="00D32F6D"/>
    <w:rsid w:val="00D32FC6"/>
    <w:rsid w:val="00D335A0"/>
    <w:rsid w:val="00D335B0"/>
    <w:rsid w:val="00D33C90"/>
    <w:rsid w:val="00D34040"/>
    <w:rsid w:val="00D343FA"/>
    <w:rsid w:val="00D34449"/>
    <w:rsid w:val="00D345E8"/>
    <w:rsid w:val="00D347F5"/>
    <w:rsid w:val="00D35270"/>
    <w:rsid w:val="00D361CC"/>
    <w:rsid w:val="00D36B6F"/>
    <w:rsid w:val="00D36C5E"/>
    <w:rsid w:val="00D36D74"/>
    <w:rsid w:val="00D36D87"/>
    <w:rsid w:val="00D3748D"/>
    <w:rsid w:val="00D37647"/>
    <w:rsid w:val="00D37CE3"/>
    <w:rsid w:val="00D37DC2"/>
    <w:rsid w:val="00D40124"/>
    <w:rsid w:val="00D40747"/>
    <w:rsid w:val="00D418FF"/>
    <w:rsid w:val="00D420BD"/>
    <w:rsid w:val="00D42398"/>
    <w:rsid w:val="00D43789"/>
    <w:rsid w:val="00D43BCB"/>
    <w:rsid w:val="00D4426D"/>
    <w:rsid w:val="00D44399"/>
    <w:rsid w:val="00D4486E"/>
    <w:rsid w:val="00D44931"/>
    <w:rsid w:val="00D4497C"/>
    <w:rsid w:val="00D449AD"/>
    <w:rsid w:val="00D44C18"/>
    <w:rsid w:val="00D45C1F"/>
    <w:rsid w:val="00D45F9A"/>
    <w:rsid w:val="00D463B5"/>
    <w:rsid w:val="00D46DC6"/>
    <w:rsid w:val="00D47520"/>
    <w:rsid w:val="00D47683"/>
    <w:rsid w:val="00D4791C"/>
    <w:rsid w:val="00D47F26"/>
    <w:rsid w:val="00D501AF"/>
    <w:rsid w:val="00D508DC"/>
    <w:rsid w:val="00D50BC1"/>
    <w:rsid w:val="00D50DC7"/>
    <w:rsid w:val="00D511FC"/>
    <w:rsid w:val="00D5180D"/>
    <w:rsid w:val="00D519D7"/>
    <w:rsid w:val="00D52277"/>
    <w:rsid w:val="00D522EB"/>
    <w:rsid w:val="00D52354"/>
    <w:rsid w:val="00D529EC"/>
    <w:rsid w:val="00D52FB4"/>
    <w:rsid w:val="00D53043"/>
    <w:rsid w:val="00D5343C"/>
    <w:rsid w:val="00D536E5"/>
    <w:rsid w:val="00D53EB2"/>
    <w:rsid w:val="00D545C1"/>
    <w:rsid w:val="00D5541A"/>
    <w:rsid w:val="00D555D1"/>
    <w:rsid w:val="00D55732"/>
    <w:rsid w:val="00D55A2E"/>
    <w:rsid w:val="00D56003"/>
    <w:rsid w:val="00D56438"/>
    <w:rsid w:val="00D565FE"/>
    <w:rsid w:val="00D57177"/>
    <w:rsid w:val="00D572DA"/>
    <w:rsid w:val="00D57424"/>
    <w:rsid w:val="00D5754F"/>
    <w:rsid w:val="00D57C02"/>
    <w:rsid w:val="00D57E3B"/>
    <w:rsid w:val="00D6072A"/>
    <w:rsid w:val="00D60F67"/>
    <w:rsid w:val="00D61972"/>
    <w:rsid w:val="00D61E0D"/>
    <w:rsid w:val="00D62255"/>
    <w:rsid w:val="00D62639"/>
    <w:rsid w:val="00D629D3"/>
    <w:rsid w:val="00D62B03"/>
    <w:rsid w:val="00D62C69"/>
    <w:rsid w:val="00D62EDD"/>
    <w:rsid w:val="00D638F2"/>
    <w:rsid w:val="00D641A5"/>
    <w:rsid w:val="00D6464D"/>
    <w:rsid w:val="00D64F10"/>
    <w:rsid w:val="00D6501D"/>
    <w:rsid w:val="00D65787"/>
    <w:rsid w:val="00D657A3"/>
    <w:rsid w:val="00D657DB"/>
    <w:rsid w:val="00D65803"/>
    <w:rsid w:val="00D65906"/>
    <w:rsid w:val="00D65A42"/>
    <w:rsid w:val="00D65C76"/>
    <w:rsid w:val="00D65D5C"/>
    <w:rsid w:val="00D65E2D"/>
    <w:rsid w:val="00D66D1B"/>
    <w:rsid w:val="00D66DF8"/>
    <w:rsid w:val="00D66E59"/>
    <w:rsid w:val="00D67356"/>
    <w:rsid w:val="00D67357"/>
    <w:rsid w:val="00D679CD"/>
    <w:rsid w:val="00D700E7"/>
    <w:rsid w:val="00D7015D"/>
    <w:rsid w:val="00D70B44"/>
    <w:rsid w:val="00D70F46"/>
    <w:rsid w:val="00D71661"/>
    <w:rsid w:val="00D71B0F"/>
    <w:rsid w:val="00D72394"/>
    <w:rsid w:val="00D729C5"/>
    <w:rsid w:val="00D729DA"/>
    <w:rsid w:val="00D72CDF"/>
    <w:rsid w:val="00D72FC9"/>
    <w:rsid w:val="00D734C7"/>
    <w:rsid w:val="00D73789"/>
    <w:rsid w:val="00D73DD9"/>
    <w:rsid w:val="00D7462A"/>
    <w:rsid w:val="00D751C3"/>
    <w:rsid w:val="00D7542B"/>
    <w:rsid w:val="00D75992"/>
    <w:rsid w:val="00D75CC2"/>
    <w:rsid w:val="00D75EA7"/>
    <w:rsid w:val="00D75EB4"/>
    <w:rsid w:val="00D75F06"/>
    <w:rsid w:val="00D76171"/>
    <w:rsid w:val="00D76239"/>
    <w:rsid w:val="00D762C4"/>
    <w:rsid w:val="00D76C7D"/>
    <w:rsid w:val="00D76D0C"/>
    <w:rsid w:val="00D76D90"/>
    <w:rsid w:val="00D76F67"/>
    <w:rsid w:val="00D771EC"/>
    <w:rsid w:val="00D775AB"/>
    <w:rsid w:val="00D7762F"/>
    <w:rsid w:val="00D77D37"/>
    <w:rsid w:val="00D80585"/>
    <w:rsid w:val="00D806DF"/>
    <w:rsid w:val="00D80B4E"/>
    <w:rsid w:val="00D80FBD"/>
    <w:rsid w:val="00D8131B"/>
    <w:rsid w:val="00D813AB"/>
    <w:rsid w:val="00D818C6"/>
    <w:rsid w:val="00D81D5C"/>
    <w:rsid w:val="00D822C7"/>
    <w:rsid w:val="00D82EC6"/>
    <w:rsid w:val="00D8351F"/>
    <w:rsid w:val="00D83683"/>
    <w:rsid w:val="00D83D61"/>
    <w:rsid w:val="00D83F3F"/>
    <w:rsid w:val="00D84162"/>
    <w:rsid w:val="00D84E4D"/>
    <w:rsid w:val="00D852AD"/>
    <w:rsid w:val="00D85758"/>
    <w:rsid w:val="00D85ABC"/>
    <w:rsid w:val="00D8649C"/>
    <w:rsid w:val="00D865E6"/>
    <w:rsid w:val="00D8691C"/>
    <w:rsid w:val="00D86D6C"/>
    <w:rsid w:val="00D86EC4"/>
    <w:rsid w:val="00D870F5"/>
    <w:rsid w:val="00D871E3"/>
    <w:rsid w:val="00D872E2"/>
    <w:rsid w:val="00D87964"/>
    <w:rsid w:val="00D87B7C"/>
    <w:rsid w:val="00D90971"/>
    <w:rsid w:val="00D90A48"/>
    <w:rsid w:val="00D90A75"/>
    <w:rsid w:val="00D910F0"/>
    <w:rsid w:val="00D91701"/>
    <w:rsid w:val="00D91839"/>
    <w:rsid w:val="00D91E4D"/>
    <w:rsid w:val="00D91E95"/>
    <w:rsid w:val="00D91F99"/>
    <w:rsid w:val="00D922BD"/>
    <w:rsid w:val="00D92617"/>
    <w:rsid w:val="00D927C6"/>
    <w:rsid w:val="00D928B7"/>
    <w:rsid w:val="00D92C93"/>
    <w:rsid w:val="00D931D5"/>
    <w:rsid w:val="00D938DB"/>
    <w:rsid w:val="00D9391A"/>
    <w:rsid w:val="00D93B2D"/>
    <w:rsid w:val="00D93E66"/>
    <w:rsid w:val="00D95835"/>
    <w:rsid w:val="00D959AE"/>
    <w:rsid w:val="00D95BA7"/>
    <w:rsid w:val="00D95BF5"/>
    <w:rsid w:val="00D96045"/>
    <w:rsid w:val="00D96193"/>
    <w:rsid w:val="00D961A4"/>
    <w:rsid w:val="00D9626B"/>
    <w:rsid w:val="00D96515"/>
    <w:rsid w:val="00D96977"/>
    <w:rsid w:val="00D9707C"/>
    <w:rsid w:val="00D9746A"/>
    <w:rsid w:val="00D977A2"/>
    <w:rsid w:val="00D978E9"/>
    <w:rsid w:val="00DA0895"/>
    <w:rsid w:val="00DA09E6"/>
    <w:rsid w:val="00DA10A1"/>
    <w:rsid w:val="00DA15C0"/>
    <w:rsid w:val="00DA1702"/>
    <w:rsid w:val="00DA1A80"/>
    <w:rsid w:val="00DA1BA9"/>
    <w:rsid w:val="00DA1C57"/>
    <w:rsid w:val="00DA1D32"/>
    <w:rsid w:val="00DA21DB"/>
    <w:rsid w:val="00DA262B"/>
    <w:rsid w:val="00DA28D5"/>
    <w:rsid w:val="00DA29B8"/>
    <w:rsid w:val="00DA2F73"/>
    <w:rsid w:val="00DA31F3"/>
    <w:rsid w:val="00DA37B5"/>
    <w:rsid w:val="00DA3855"/>
    <w:rsid w:val="00DA3BAA"/>
    <w:rsid w:val="00DA3BEB"/>
    <w:rsid w:val="00DA3DE4"/>
    <w:rsid w:val="00DA45AF"/>
    <w:rsid w:val="00DA4ACC"/>
    <w:rsid w:val="00DA4C94"/>
    <w:rsid w:val="00DA4D35"/>
    <w:rsid w:val="00DA56F5"/>
    <w:rsid w:val="00DA59CB"/>
    <w:rsid w:val="00DA5ACD"/>
    <w:rsid w:val="00DA5AF6"/>
    <w:rsid w:val="00DA5C70"/>
    <w:rsid w:val="00DA5FF8"/>
    <w:rsid w:val="00DA6028"/>
    <w:rsid w:val="00DA62E9"/>
    <w:rsid w:val="00DA68B1"/>
    <w:rsid w:val="00DA6AF3"/>
    <w:rsid w:val="00DA7A55"/>
    <w:rsid w:val="00DA7EB6"/>
    <w:rsid w:val="00DA7F42"/>
    <w:rsid w:val="00DB0086"/>
    <w:rsid w:val="00DB0325"/>
    <w:rsid w:val="00DB0640"/>
    <w:rsid w:val="00DB0CEC"/>
    <w:rsid w:val="00DB0CF5"/>
    <w:rsid w:val="00DB0D70"/>
    <w:rsid w:val="00DB2259"/>
    <w:rsid w:val="00DB27DD"/>
    <w:rsid w:val="00DB2D29"/>
    <w:rsid w:val="00DB3291"/>
    <w:rsid w:val="00DB3388"/>
    <w:rsid w:val="00DB338E"/>
    <w:rsid w:val="00DB3929"/>
    <w:rsid w:val="00DB3A78"/>
    <w:rsid w:val="00DB413C"/>
    <w:rsid w:val="00DB48E3"/>
    <w:rsid w:val="00DB52BE"/>
    <w:rsid w:val="00DB572C"/>
    <w:rsid w:val="00DB58C1"/>
    <w:rsid w:val="00DB5DBA"/>
    <w:rsid w:val="00DB62C9"/>
    <w:rsid w:val="00DB6C5C"/>
    <w:rsid w:val="00DB6C87"/>
    <w:rsid w:val="00DB6FE2"/>
    <w:rsid w:val="00DB73D6"/>
    <w:rsid w:val="00DB7691"/>
    <w:rsid w:val="00DB7751"/>
    <w:rsid w:val="00DB7E3A"/>
    <w:rsid w:val="00DB7F04"/>
    <w:rsid w:val="00DC05D5"/>
    <w:rsid w:val="00DC0764"/>
    <w:rsid w:val="00DC0975"/>
    <w:rsid w:val="00DC0D0B"/>
    <w:rsid w:val="00DC0DBB"/>
    <w:rsid w:val="00DC1615"/>
    <w:rsid w:val="00DC1A6E"/>
    <w:rsid w:val="00DC1D6A"/>
    <w:rsid w:val="00DC1E69"/>
    <w:rsid w:val="00DC2141"/>
    <w:rsid w:val="00DC236A"/>
    <w:rsid w:val="00DC28C4"/>
    <w:rsid w:val="00DC29A9"/>
    <w:rsid w:val="00DC2A0C"/>
    <w:rsid w:val="00DC307B"/>
    <w:rsid w:val="00DC31D1"/>
    <w:rsid w:val="00DC343B"/>
    <w:rsid w:val="00DC3BF3"/>
    <w:rsid w:val="00DC40A3"/>
    <w:rsid w:val="00DC4430"/>
    <w:rsid w:val="00DC462F"/>
    <w:rsid w:val="00DC499A"/>
    <w:rsid w:val="00DC4B8F"/>
    <w:rsid w:val="00DC4B98"/>
    <w:rsid w:val="00DC56AD"/>
    <w:rsid w:val="00DC579E"/>
    <w:rsid w:val="00DC5A4E"/>
    <w:rsid w:val="00DC5EA2"/>
    <w:rsid w:val="00DC6280"/>
    <w:rsid w:val="00DC6814"/>
    <w:rsid w:val="00DC707B"/>
    <w:rsid w:val="00DC752B"/>
    <w:rsid w:val="00DD0192"/>
    <w:rsid w:val="00DD0942"/>
    <w:rsid w:val="00DD0E88"/>
    <w:rsid w:val="00DD0EDC"/>
    <w:rsid w:val="00DD0FE5"/>
    <w:rsid w:val="00DD120A"/>
    <w:rsid w:val="00DD136E"/>
    <w:rsid w:val="00DD1600"/>
    <w:rsid w:val="00DD1D2D"/>
    <w:rsid w:val="00DD1D5A"/>
    <w:rsid w:val="00DD1F0B"/>
    <w:rsid w:val="00DD21C6"/>
    <w:rsid w:val="00DD21C9"/>
    <w:rsid w:val="00DD2899"/>
    <w:rsid w:val="00DD2EFE"/>
    <w:rsid w:val="00DD2FC8"/>
    <w:rsid w:val="00DD3196"/>
    <w:rsid w:val="00DD382A"/>
    <w:rsid w:val="00DD4114"/>
    <w:rsid w:val="00DD4705"/>
    <w:rsid w:val="00DD490A"/>
    <w:rsid w:val="00DD4935"/>
    <w:rsid w:val="00DD574C"/>
    <w:rsid w:val="00DD57AF"/>
    <w:rsid w:val="00DD5EDA"/>
    <w:rsid w:val="00DD60F0"/>
    <w:rsid w:val="00DD61A2"/>
    <w:rsid w:val="00DD6A21"/>
    <w:rsid w:val="00DD6C4F"/>
    <w:rsid w:val="00DD70FD"/>
    <w:rsid w:val="00DD760D"/>
    <w:rsid w:val="00DD76AA"/>
    <w:rsid w:val="00DD7CD6"/>
    <w:rsid w:val="00DD7FFB"/>
    <w:rsid w:val="00DE0203"/>
    <w:rsid w:val="00DE02EE"/>
    <w:rsid w:val="00DE0AEB"/>
    <w:rsid w:val="00DE0B35"/>
    <w:rsid w:val="00DE0F0D"/>
    <w:rsid w:val="00DE11C1"/>
    <w:rsid w:val="00DE152C"/>
    <w:rsid w:val="00DE18A7"/>
    <w:rsid w:val="00DE19CF"/>
    <w:rsid w:val="00DE1A4C"/>
    <w:rsid w:val="00DE1E3A"/>
    <w:rsid w:val="00DE1E86"/>
    <w:rsid w:val="00DE237E"/>
    <w:rsid w:val="00DE25FD"/>
    <w:rsid w:val="00DE2677"/>
    <w:rsid w:val="00DE28B1"/>
    <w:rsid w:val="00DE2B17"/>
    <w:rsid w:val="00DE2BFD"/>
    <w:rsid w:val="00DE2D0E"/>
    <w:rsid w:val="00DE2EFB"/>
    <w:rsid w:val="00DE31AC"/>
    <w:rsid w:val="00DE3CE7"/>
    <w:rsid w:val="00DE41C2"/>
    <w:rsid w:val="00DE4623"/>
    <w:rsid w:val="00DE4CA1"/>
    <w:rsid w:val="00DE4E3E"/>
    <w:rsid w:val="00DE5448"/>
    <w:rsid w:val="00DE5876"/>
    <w:rsid w:val="00DE6054"/>
    <w:rsid w:val="00DE60CA"/>
    <w:rsid w:val="00DE6735"/>
    <w:rsid w:val="00DE6F95"/>
    <w:rsid w:val="00DE76AF"/>
    <w:rsid w:val="00DE7787"/>
    <w:rsid w:val="00DE779B"/>
    <w:rsid w:val="00DE7A76"/>
    <w:rsid w:val="00DE7E14"/>
    <w:rsid w:val="00DE7EBF"/>
    <w:rsid w:val="00DE7F35"/>
    <w:rsid w:val="00DF02FB"/>
    <w:rsid w:val="00DF08DF"/>
    <w:rsid w:val="00DF1179"/>
    <w:rsid w:val="00DF1492"/>
    <w:rsid w:val="00DF1982"/>
    <w:rsid w:val="00DF1C09"/>
    <w:rsid w:val="00DF21A5"/>
    <w:rsid w:val="00DF36D1"/>
    <w:rsid w:val="00DF374C"/>
    <w:rsid w:val="00DF3FFB"/>
    <w:rsid w:val="00DF45E6"/>
    <w:rsid w:val="00DF4891"/>
    <w:rsid w:val="00DF4C00"/>
    <w:rsid w:val="00DF5033"/>
    <w:rsid w:val="00DF5131"/>
    <w:rsid w:val="00DF5188"/>
    <w:rsid w:val="00DF5C82"/>
    <w:rsid w:val="00DF6688"/>
    <w:rsid w:val="00DF6E1F"/>
    <w:rsid w:val="00DF6E47"/>
    <w:rsid w:val="00DF6E6C"/>
    <w:rsid w:val="00DF7035"/>
    <w:rsid w:val="00DF7041"/>
    <w:rsid w:val="00DF7196"/>
    <w:rsid w:val="00DF75C6"/>
    <w:rsid w:val="00DF78F5"/>
    <w:rsid w:val="00DF7A64"/>
    <w:rsid w:val="00DF7C0B"/>
    <w:rsid w:val="00DF7D06"/>
    <w:rsid w:val="00E00977"/>
    <w:rsid w:val="00E009F1"/>
    <w:rsid w:val="00E00C64"/>
    <w:rsid w:val="00E00EB5"/>
    <w:rsid w:val="00E01D13"/>
    <w:rsid w:val="00E02517"/>
    <w:rsid w:val="00E030D2"/>
    <w:rsid w:val="00E035C0"/>
    <w:rsid w:val="00E03A37"/>
    <w:rsid w:val="00E04550"/>
    <w:rsid w:val="00E04806"/>
    <w:rsid w:val="00E04DFA"/>
    <w:rsid w:val="00E06711"/>
    <w:rsid w:val="00E07715"/>
    <w:rsid w:val="00E07AD3"/>
    <w:rsid w:val="00E07BF4"/>
    <w:rsid w:val="00E1007C"/>
    <w:rsid w:val="00E10471"/>
    <w:rsid w:val="00E1086E"/>
    <w:rsid w:val="00E108CC"/>
    <w:rsid w:val="00E109F2"/>
    <w:rsid w:val="00E10A4F"/>
    <w:rsid w:val="00E10BBB"/>
    <w:rsid w:val="00E10C22"/>
    <w:rsid w:val="00E10D3F"/>
    <w:rsid w:val="00E11055"/>
    <w:rsid w:val="00E11A1C"/>
    <w:rsid w:val="00E11B92"/>
    <w:rsid w:val="00E12249"/>
    <w:rsid w:val="00E129EF"/>
    <w:rsid w:val="00E13663"/>
    <w:rsid w:val="00E13E05"/>
    <w:rsid w:val="00E14833"/>
    <w:rsid w:val="00E14846"/>
    <w:rsid w:val="00E14F2D"/>
    <w:rsid w:val="00E158BC"/>
    <w:rsid w:val="00E15B58"/>
    <w:rsid w:val="00E162F2"/>
    <w:rsid w:val="00E166DE"/>
    <w:rsid w:val="00E1675F"/>
    <w:rsid w:val="00E17032"/>
    <w:rsid w:val="00E17373"/>
    <w:rsid w:val="00E17461"/>
    <w:rsid w:val="00E17760"/>
    <w:rsid w:val="00E20C93"/>
    <w:rsid w:val="00E20EE3"/>
    <w:rsid w:val="00E21B47"/>
    <w:rsid w:val="00E22482"/>
    <w:rsid w:val="00E22B1C"/>
    <w:rsid w:val="00E23230"/>
    <w:rsid w:val="00E233E2"/>
    <w:rsid w:val="00E23966"/>
    <w:rsid w:val="00E23C96"/>
    <w:rsid w:val="00E23DAE"/>
    <w:rsid w:val="00E23DE1"/>
    <w:rsid w:val="00E24304"/>
    <w:rsid w:val="00E24D40"/>
    <w:rsid w:val="00E24FA3"/>
    <w:rsid w:val="00E25DD3"/>
    <w:rsid w:val="00E25EC7"/>
    <w:rsid w:val="00E26B28"/>
    <w:rsid w:val="00E26E89"/>
    <w:rsid w:val="00E271EC"/>
    <w:rsid w:val="00E27250"/>
    <w:rsid w:val="00E27EEA"/>
    <w:rsid w:val="00E301B0"/>
    <w:rsid w:val="00E30908"/>
    <w:rsid w:val="00E310D6"/>
    <w:rsid w:val="00E313F4"/>
    <w:rsid w:val="00E31465"/>
    <w:rsid w:val="00E31DB5"/>
    <w:rsid w:val="00E32172"/>
    <w:rsid w:val="00E32548"/>
    <w:rsid w:val="00E328CD"/>
    <w:rsid w:val="00E329F3"/>
    <w:rsid w:val="00E32ADC"/>
    <w:rsid w:val="00E34017"/>
    <w:rsid w:val="00E3444F"/>
    <w:rsid w:val="00E3445D"/>
    <w:rsid w:val="00E34567"/>
    <w:rsid w:val="00E3489E"/>
    <w:rsid w:val="00E35A0C"/>
    <w:rsid w:val="00E35F9A"/>
    <w:rsid w:val="00E36293"/>
    <w:rsid w:val="00E362F0"/>
    <w:rsid w:val="00E365B5"/>
    <w:rsid w:val="00E3693D"/>
    <w:rsid w:val="00E36A48"/>
    <w:rsid w:val="00E36B95"/>
    <w:rsid w:val="00E36D99"/>
    <w:rsid w:val="00E36E11"/>
    <w:rsid w:val="00E37861"/>
    <w:rsid w:val="00E37ACD"/>
    <w:rsid w:val="00E37EBA"/>
    <w:rsid w:val="00E4003F"/>
    <w:rsid w:val="00E40286"/>
    <w:rsid w:val="00E402DA"/>
    <w:rsid w:val="00E40AAA"/>
    <w:rsid w:val="00E410B4"/>
    <w:rsid w:val="00E41150"/>
    <w:rsid w:val="00E412BA"/>
    <w:rsid w:val="00E41C3C"/>
    <w:rsid w:val="00E41E4C"/>
    <w:rsid w:val="00E41EF5"/>
    <w:rsid w:val="00E422BD"/>
    <w:rsid w:val="00E42BAF"/>
    <w:rsid w:val="00E42D84"/>
    <w:rsid w:val="00E42FC7"/>
    <w:rsid w:val="00E43380"/>
    <w:rsid w:val="00E43660"/>
    <w:rsid w:val="00E43BF8"/>
    <w:rsid w:val="00E44CEB"/>
    <w:rsid w:val="00E44E58"/>
    <w:rsid w:val="00E458F6"/>
    <w:rsid w:val="00E45954"/>
    <w:rsid w:val="00E45E32"/>
    <w:rsid w:val="00E45E37"/>
    <w:rsid w:val="00E46138"/>
    <w:rsid w:val="00E46294"/>
    <w:rsid w:val="00E4658A"/>
    <w:rsid w:val="00E46704"/>
    <w:rsid w:val="00E46A77"/>
    <w:rsid w:val="00E46AB4"/>
    <w:rsid w:val="00E46FB7"/>
    <w:rsid w:val="00E473C3"/>
    <w:rsid w:val="00E47E93"/>
    <w:rsid w:val="00E47FC2"/>
    <w:rsid w:val="00E50298"/>
    <w:rsid w:val="00E50339"/>
    <w:rsid w:val="00E50BDA"/>
    <w:rsid w:val="00E513BC"/>
    <w:rsid w:val="00E5169E"/>
    <w:rsid w:val="00E518B2"/>
    <w:rsid w:val="00E51C5D"/>
    <w:rsid w:val="00E51DE3"/>
    <w:rsid w:val="00E51F7D"/>
    <w:rsid w:val="00E52386"/>
    <w:rsid w:val="00E529BD"/>
    <w:rsid w:val="00E52CED"/>
    <w:rsid w:val="00E52E7B"/>
    <w:rsid w:val="00E53414"/>
    <w:rsid w:val="00E5344B"/>
    <w:rsid w:val="00E5346B"/>
    <w:rsid w:val="00E53546"/>
    <w:rsid w:val="00E53DA3"/>
    <w:rsid w:val="00E54004"/>
    <w:rsid w:val="00E542D5"/>
    <w:rsid w:val="00E5444D"/>
    <w:rsid w:val="00E54930"/>
    <w:rsid w:val="00E54A1C"/>
    <w:rsid w:val="00E54AF2"/>
    <w:rsid w:val="00E54D94"/>
    <w:rsid w:val="00E54E7E"/>
    <w:rsid w:val="00E55581"/>
    <w:rsid w:val="00E5568F"/>
    <w:rsid w:val="00E55829"/>
    <w:rsid w:val="00E55CA9"/>
    <w:rsid w:val="00E55F24"/>
    <w:rsid w:val="00E56C65"/>
    <w:rsid w:val="00E56DB2"/>
    <w:rsid w:val="00E56DEB"/>
    <w:rsid w:val="00E5732C"/>
    <w:rsid w:val="00E57584"/>
    <w:rsid w:val="00E575C3"/>
    <w:rsid w:val="00E57EAB"/>
    <w:rsid w:val="00E600DA"/>
    <w:rsid w:val="00E60C44"/>
    <w:rsid w:val="00E610AE"/>
    <w:rsid w:val="00E61488"/>
    <w:rsid w:val="00E6179F"/>
    <w:rsid w:val="00E618E9"/>
    <w:rsid w:val="00E61AED"/>
    <w:rsid w:val="00E61B2B"/>
    <w:rsid w:val="00E61E90"/>
    <w:rsid w:val="00E6268A"/>
    <w:rsid w:val="00E62BCA"/>
    <w:rsid w:val="00E62BE3"/>
    <w:rsid w:val="00E62D06"/>
    <w:rsid w:val="00E632C7"/>
    <w:rsid w:val="00E636C7"/>
    <w:rsid w:val="00E63784"/>
    <w:rsid w:val="00E63BDE"/>
    <w:rsid w:val="00E64544"/>
    <w:rsid w:val="00E6472D"/>
    <w:rsid w:val="00E64FEB"/>
    <w:rsid w:val="00E65B81"/>
    <w:rsid w:val="00E65D66"/>
    <w:rsid w:val="00E65E3B"/>
    <w:rsid w:val="00E65F02"/>
    <w:rsid w:val="00E66808"/>
    <w:rsid w:val="00E66828"/>
    <w:rsid w:val="00E66CB4"/>
    <w:rsid w:val="00E673A5"/>
    <w:rsid w:val="00E67765"/>
    <w:rsid w:val="00E677F5"/>
    <w:rsid w:val="00E678E8"/>
    <w:rsid w:val="00E67915"/>
    <w:rsid w:val="00E67AB5"/>
    <w:rsid w:val="00E700A3"/>
    <w:rsid w:val="00E700A4"/>
    <w:rsid w:val="00E701CC"/>
    <w:rsid w:val="00E7032B"/>
    <w:rsid w:val="00E70887"/>
    <w:rsid w:val="00E71F3D"/>
    <w:rsid w:val="00E72385"/>
    <w:rsid w:val="00E7244F"/>
    <w:rsid w:val="00E7283E"/>
    <w:rsid w:val="00E72FA8"/>
    <w:rsid w:val="00E731F0"/>
    <w:rsid w:val="00E732CA"/>
    <w:rsid w:val="00E73483"/>
    <w:rsid w:val="00E735E9"/>
    <w:rsid w:val="00E737B8"/>
    <w:rsid w:val="00E73D32"/>
    <w:rsid w:val="00E73D8B"/>
    <w:rsid w:val="00E73F5E"/>
    <w:rsid w:val="00E74A5C"/>
    <w:rsid w:val="00E7522D"/>
    <w:rsid w:val="00E759DB"/>
    <w:rsid w:val="00E75BA5"/>
    <w:rsid w:val="00E801C6"/>
    <w:rsid w:val="00E80273"/>
    <w:rsid w:val="00E804FC"/>
    <w:rsid w:val="00E80C08"/>
    <w:rsid w:val="00E8133F"/>
    <w:rsid w:val="00E815ED"/>
    <w:rsid w:val="00E818EF"/>
    <w:rsid w:val="00E81C11"/>
    <w:rsid w:val="00E82264"/>
    <w:rsid w:val="00E82332"/>
    <w:rsid w:val="00E82456"/>
    <w:rsid w:val="00E82D42"/>
    <w:rsid w:val="00E8386D"/>
    <w:rsid w:val="00E83AD8"/>
    <w:rsid w:val="00E83B36"/>
    <w:rsid w:val="00E844B0"/>
    <w:rsid w:val="00E845B7"/>
    <w:rsid w:val="00E847A9"/>
    <w:rsid w:val="00E849E7"/>
    <w:rsid w:val="00E84B7A"/>
    <w:rsid w:val="00E84BF0"/>
    <w:rsid w:val="00E84D0C"/>
    <w:rsid w:val="00E85313"/>
    <w:rsid w:val="00E854CC"/>
    <w:rsid w:val="00E8572F"/>
    <w:rsid w:val="00E85CF1"/>
    <w:rsid w:val="00E860FE"/>
    <w:rsid w:val="00E86A11"/>
    <w:rsid w:val="00E86F27"/>
    <w:rsid w:val="00E86FF3"/>
    <w:rsid w:val="00E8769A"/>
    <w:rsid w:val="00E876C2"/>
    <w:rsid w:val="00E87904"/>
    <w:rsid w:val="00E87949"/>
    <w:rsid w:val="00E87C94"/>
    <w:rsid w:val="00E87E46"/>
    <w:rsid w:val="00E90200"/>
    <w:rsid w:val="00E90298"/>
    <w:rsid w:val="00E907EE"/>
    <w:rsid w:val="00E909D4"/>
    <w:rsid w:val="00E90B86"/>
    <w:rsid w:val="00E911AA"/>
    <w:rsid w:val="00E9153E"/>
    <w:rsid w:val="00E91C7D"/>
    <w:rsid w:val="00E920D0"/>
    <w:rsid w:val="00E9216D"/>
    <w:rsid w:val="00E9255E"/>
    <w:rsid w:val="00E92ADE"/>
    <w:rsid w:val="00E94088"/>
    <w:rsid w:val="00E942CD"/>
    <w:rsid w:val="00E94379"/>
    <w:rsid w:val="00E945F0"/>
    <w:rsid w:val="00E94D0B"/>
    <w:rsid w:val="00E95283"/>
    <w:rsid w:val="00E95511"/>
    <w:rsid w:val="00E9568B"/>
    <w:rsid w:val="00E956FB"/>
    <w:rsid w:val="00E95BFD"/>
    <w:rsid w:val="00E96002"/>
    <w:rsid w:val="00E96B4B"/>
    <w:rsid w:val="00E9767D"/>
    <w:rsid w:val="00E97A7A"/>
    <w:rsid w:val="00E97BD0"/>
    <w:rsid w:val="00E97EF9"/>
    <w:rsid w:val="00E97FC5"/>
    <w:rsid w:val="00EA014E"/>
    <w:rsid w:val="00EA067D"/>
    <w:rsid w:val="00EA07A7"/>
    <w:rsid w:val="00EA11FD"/>
    <w:rsid w:val="00EA12C5"/>
    <w:rsid w:val="00EA16A8"/>
    <w:rsid w:val="00EA17AB"/>
    <w:rsid w:val="00EA1C12"/>
    <w:rsid w:val="00EA1E06"/>
    <w:rsid w:val="00EA2260"/>
    <w:rsid w:val="00EA241C"/>
    <w:rsid w:val="00EA290F"/>
    <w:rsid w:val="00EA2AC7"/>
    <w:rsid w:val="00EA2D6F"/>
    <w:rsid w:val="00EA2E3B"/>
    <w:rsid w:val="00EA2FB6"/>
    <w:rsid w:val="00EA3278"/>
    <w:rsid w:val="00EA3313"/>
    <w:rsid w:val="00EA37B7"/>
    <w:rsid w:val="00EA399C"/>
    <w:rsid w:val="00EA3AF6"/>
    <w:rsid w:val="00EA44D9"/>
    <w:rsid w:val="00EA44E4"/>
    <w:rsid w:val="00EA497B"/>
    <w:rsid w:val="00EA4D8F"/>
    <w:rsid w:val="00EA4E74"/>
    <w:rsid w:val="00EA51E9"/>
    <w:rsid w:val="00EA5951"/>
    <w:rsid w:val="00EA5CEB"/>
    <w:rsid w:val="00EA5EA4"/>
    <w:rsid w:val="00EA5F69"/>
    <w:rsid w:val="00EA61C5"/>
    <w:rsid w:val="00EA62BB"/>
    <w:rsid w:val="00EA714E"/>
    <w:rsid w:val="00EA72CA"/>
    <w:rsid w:val="00EA763D"/>
    <w:rsid w:val="00EA77BB"/>
    <w:rsid w:val="00EA78B1"/>
    <w:rsid w:val="00EA7CE8"/>
    <w:rsid w:val="00EA7E94"/>
    <w:rsid w:val="00EA7FBB"/>
    <w:rsid w:val="00EB0081"/>
    <w:rsid w:val="00EB071E"/>
    <w:rsid w:val="00EB0E8C"/>
    <w:rsid w:val="00EB12EB"/>
    <w:rsid w:val="00EB15B8"/>
    <w:rsid w:val="00EB18A1"/>
    <w:rsid w:val="00EB1C8D"/>
    <w:rsid w:val="00EB1DCB"/>
    <w:rsid w:val="00EB1EE3"/>
    <w:rsid w:val="00EB218A"/>
    <w:rsid w:val="00EB24DF"/>
    <w:rsid w:val="00EB26C5"/>
    <w:rsid w:val="00EB2881"/>
    <w:rsid w:val="00EB3174"/>
    <w:rsid w:val="00EB3B68"/>
    <w:rsid w:val="00EB4023"/>
    <w:rsid w:val="00EB40CC"/>
    <w:rsid w:val="00EB4709"/>
    <w:rsid w:val="00EB4824"/>
    <w:rsid w:val="00EB4F8B"/>
    <w:rsid w:val="00EB561E"/>
    <w:rsid w:val="00EB568A"/>
    <w:rsid w:val="00EB596B"/>
    <w:rsid w:val="00EB59C7"/>
    <w:rsid w:val="00EB5D39"/>
    <w:rsid w:val="00EB5F8F"/>
    <w:rsid w:val="00EB5FE2"/>
    <w:rsid w:val="00EB6615"/>
    <w:rsid w:val="00EB69B1"/>
    <w:rsid w:val="00EB6A5D"/>
    <w:rsid w:val="00EB6A76"/>
    <w:rsid w:val="00EB6B5F"/>
    <w:rsid w:val="00EB745D"/>
    <w:rsid w:val="00EB76F7"/>
    <w:rsid w:val="00EB7CB8"/>
    <w:rsid w:val="00EC01C8"/>
    <w:rsid w:val="00EC0647"/>
    <w:rsid w:val="00EC0E75"/>
    <w:rsid w:val="00EC1246"/>
    <w:rsid w:val="00EC1455"/>
    <w:rsid w:val="00EC14B4"/>
    <w:rsid w:val="00EC1981"/>
    <w:rsid w:val="00EC2446"/>
    <w:rsid w:val="00EC2476"/>
    <w:rsid w:val="00EC2E59"/>
    <w:rsid w:val="00EC32E0"/>
    <w:rsid w:val="00EC36C5"/>
    <w:rsid w:val="00EC3897"/>
    <w:rsid w:val="00EC3E92"/>
    <w:rsid w:val="00EC4259"/>
    <w:rsid w:val="00EC46E9"/>
    <w:rsid w:val="00EC4CB4"/>
    <w:rsid w:val="00EC4D1D"/>
    <w:rsid w:val="00EC513F"/>
    <w:rsid w:val="00EC51D9"/>
    <w:rsid w:val="00EC51F8"/>
    <w:rsid w:val="00EC54E3"/>
    <w:rsid w:val="00EC54F7"/>
    <w:rsid w:val="00EC5A82"/>
    <w:rsid w:val="00EC5CA3"/>
    <w:rsid w:val="00EC5CC0"/>
    <w:rsid w:val="00EC6AB2"/>
    <w:rsid w:val="00EC721A"/>
    <w:rsid w:val="00EC776C"/>
    <w:rsid w:val="00ED0880"/>
    <w:rsid w:val="00ED0A86"/>
    <w:rsid w:val="00ED0B66"/>
    <w:rsid w:val="00ED0BD3"/>
    <w:rsid w:val="00ED0C0C"/>
    <w:rsid w:val="00ED0F28"/>
    <w:rsid w:val="00ED103A"/>
    <w:rsid w:val="00ED1504"/>
    <w:rsid w:val="00ED176A"/>
    <w:rsid w:val="00ED17A9"/>
    <w:rsid w:val="00ED184D"/>
    <w:rsid w:val="00ED1C5F"/>
    <w:rsid w:val="00ED227C"/>
    <w:rsid w:val="00ED2410"/>
    <w:rsid w:val="00ED2688"/>
    <w:rsid w:val="00ED35B4"/>
    <w:rsid w:val="00ED40B9"/>
    <w:rsid w:val="00ED45B1"/>
    <w:rsid w:val="00ED5504"/>
    <w:rsid w:val="00ED5B1A"/>
    <w:rsid w:val="00ED623B"/>
    <w:rsid w:val="00ED6327"/>
    <w:rsid w:val="00ED6404"/>
    <w:rsid w:val="00ED77B8"/>
    <w:rsid w:val="00ED7AE6"/>
    <w:rsid w:val="00ED7ED8"/>
    <w:rsid w:val="00EE00EE"/>
    <w:rsid w:val="00EE038C"/>
    <w:rsid w:val="00EE09FD"/>
    <w:rsid w:val="00EE1666"/>
    <w:rsid w:val="00EE1AA9"/>
    <w:rsid w:val="00EE1DDE"/>
    <w:rsid w:val="00EE2049"/>
    <w:rsid w:val="00EE22AE"/>
    <w:rsid w:val="00EE2573"/>
    <w:rsid w:val="00EE30CF"/>
    <w:rsid w:val="00EE3641"/>
    <w:rsid w:val="00EE3835"/>
    <w:rsid w:val="00EE3946"/>
    <w:rsid w:val="00EE3A4A"/>
    <w:rsid w:val="00EE46B3"/>
    <w:rsid w:val="00EE477B"/>
    <w:rsid w:val="00EE482D"/>
    <w:rsid w:val="00EE4BF0"/>
    <w:rsid w:val="00EE4F10"/>
    <w:rsid w:val="00EE54B5"/>
    <w:rsid w:val="00EE5506"/>
    <w:rsid w:val="00EE5624"/>
    <w:rsid w:val="00EE5874"/>
    <w:rsid w:val="00EE5C87"/>
    <w:rsid w:val="00EE6010"/>
    <w:rsid w:val="00EE630F"/>
    <w:rsid w:val="00EE642D"/>
    <w:rsid w:val="00EE66E2"/>
    <w:rsid w:val="00EE692F"/>
    <w:rsid w:val="00EE7145"/>
    <w:rsid w:val="00EE7451"/>
    <w:rsid w:val="00EE7B35"/>
    <w:rsid w:val="00EE7D1B"/>
    <w:rsid w:val="00EE7D82"/>
    <w:rsid w:val="00EE7F39"/>
    <w:rsid w:val="00EF0326"/>
    <w:rsid w:val="00EF0524"/>
    <w:rsid w:val="00EF0B15"/>
    <w:rsid w:val="00EF0E0C"/>
    <w:rsid w:val="00EF0E9A"/>
    <w:rsid w:val="00EF1279"/>
    <w:rsid w:val="00EF1573"/>
    <w:rsid w:val="00EF15D0"/>
    <w:rsid w:val="00EF19D5"/>
    <w:rsid w:val="00EF20E3"/>
    <w:rsid w:val="00EF2279"/>
    <w:rsid w:val="00EF26EF"/>
    <w:rsid w:val="00EF29A1"/>
    <w:rsid w:val="00EF2BB6"/>
    <w:rsid w:val="00EF2CDF"/>
    <w:rsid w:val="00EF3312"/>
    <w:rsid w:val="00EF33F5"/>
    <w:rsid w:val="00EF3555"/>
    <w:rsid w:val="00EF3C2F"/>
    <w:rsid w:val="00EF3E65"/>
    <w:rsid w:val="00EF3EA5"/>
    <w:rsid w:val="00EF4029"/>
    <w:rsid w:val="00EF40BD"/>
    <w:rsid w:val="00EF4C85"/>
    <w:rsid w:val="00EF579F"/>
    <w:rsid w:val="00EF59CE"/>
    <w:rsid w:val="00EF5ACF"/>
    <w:rsid w:val="00EF5B07"/>
    <w:rsid w:val="00EF5D62"/>
    <w:rsid w:val="00EF606E"/>
    <w:rsid w:val="00EF626A"/>
    <w:rsid w:val="00EF6432"/>
    <w:rsid w:val="00EF678F"/>
    <w:rsid w:val="00EF6972"/>
    <w:rsid w:val="00EF6B74"/>
    <w:rsid w:val="00EF6CCD"/>
    <w:rsid w:val="00EF7142"/>
    <w:rsid w:val="00EF7293"/>
    <w:rsid w:val="00EF7561"/>
    <w:rsid w:val="00EF7E5B"/>
    <w:rsid w:val="00F000CE"/>
    <w:rsid w:val="00F00A48"/>
    <w:rsid w:val="00F010A8"/>
    <w:rsid w:val="00F01280"/>
    <w:rsid w:val="00F01691"/>
    <w:rsid w:val="00F01744"/>
    <w:rsid w:val="00F023F5"/>
    <w:rsid w:val="00F02446"/>
    <w:rsid w:val="00F024F0"/>
    <w:rsid w:val="00F028D9"/>
    <w:rsid w:val="00F02986"/>
    <w:rsid w:val="00F029B1"/>
    <w:rsid w:val="00F03076"/>
    <w:rsid w:val="00F032AF"/>
    <w:rsid w:val="00F0441D"/>
    <w:rsid w:val="00F0443B"/>
    <w:rsid w:val="00F0468F"/>
    <w:rsid w:val="00F0494F"/>
    <w:rsid w:val="00F04D40"/>
    <w:rsid w:val="00F054FA"/>
    <w:rsid w:val="00F0554E"/>
    <w:rsid w:val="00F05D72"/>
    <w:rsid w:val="00F05F20"/>
    <w:rsid w:val="00F05F2F"/>
    <w:rsid w:val="00F06222"/>
    <w:rsid w:val="00F0642B"/>
    <w:rsid w:val="00F064AE"/>
    <w:rsid w:val="00F06623"/>
    <w:rsid w:val="00F06A11"/>
    <w:rsid w:val="00F06B09"/>
    <w:rsid w:val="00F06CB4"/>
    <w:rsid w:val="00F075A0"/>
    <w:rsid w:val="00F076FA"/>
    <w:rsid w:val="00F0799D"/>
    <w:rsid w:val="00F07FA3"/>
    <w:rsid w:val="00F107A0"/>
    <w:rsid w:val="00F109C2"/>
    <w:rsid w:val="00F11AC7"/>
    <w:rsid w:val="00F11CE8"/>
    <w:rsid w:val="00F127A8"/>
    <w:rsid w:val="00F12CA8"/>
    <w:rsid w:val="00F1308C"/>
    <w:rsid w:val="00F13280"/>
    <w:rsid w:val="00F133E1"/>
    <w:rsid w:val="00F13616"/>
    <w:rsid w:val="00F13976"/>
    <w:rsid w:val="00F13B08"/>
    <w:rsid w:val="00F14922"/>
    <w:rsid w:val="00F1498C"/>
    <w:rsid w:val="00F14C6D"/>
    <w:rsid w:val="00F14D65"/>
    <w:rsid w:val="00F15066"/>
    <w:rsid w:val="00F1554B"/>
    <w:rsid w:val="00F15670"/>
    <w:rsid w:val="00F159BC"/>
    <w:rsid w:val="00F15B9B"/>
    <w:rsid w:val="00F160FB"/>
    <w:rsid w:val="00F16539"/>
    <w:rsid w:val="00F16948"/>
    <w:rsid w:val="00F16AE6"/>
    <w:rsid w:val="00F16C5C"/>
    <w:rsid w:val="00F16F6A"/>
    <w:rsid w:val="00F17FC1"/>
    <w:rsid w:val="00F20357"/>
    <w:rsid w:val="00F204B2"/>
    <w:rsid w:val="00F2052F"/>
    <w:rsid w:val="00F20C8A"/>
    <w:rsid w:val="00F20DB9"/>
    <w:rsid w:val="00F20EE8"/>
    <w:rsid w:val="00F218EC"/>
    <w:rsid w:val="00F219FA"/>
    <w:rsid w:val="00F21BA1"/>
    <w:rsid w:val="00F21FE1"/>
    <w:rsid w:val="00F220A5"/>
    <w:rsid w:val="00F225E9"/>
    <w:rsid w:val="00F22C5B"/>
    <w:rsid w:val="00F22DE2"/>
    <w:rsid w:val="00F22F41"/>
    <w:rsid w:val="00F236AB"/>
    <w:rsid w:val="00F237FF"/>
    <w:rsid w:val="00F23924"/>
    <w:rsid w:val="00F23A59"/>
    <w:rsid w:val="00F24226"/>
    <w:rsid w:val="00F248A2"/>
    <w:rsid w:val="00F2493C"/>
    <w:rsid w:val="00F24CE2"/>
    <w:rsid w:val="00F25025"/>
    <w:rsid w:val="00F254E2"/>
    <w:rsid w:val="00F25E73"/>
    <w:rsid w:val="00F261CF"/>
    <w:rsid w:val="00F26629"/>
    <w:rsid w:val="00F26AD5"/>
    <w:rsid w:val="00F2710A"/>
    <w:rsid w:val="00F2751D"/>
    <w:rsid w:val="00F276F8"/>
    <w:rsid w:val="00F279F5"/>
    <w:rsid w:val="00F30336"/>
    <w:rsid w:val="00F30375"/>
    <w:rsid w:val="00F3090C"/>
    <w:rsid w:val="00F30A3C"/>
    <w:rsid w:val="00F30B8A"/>
    <w:rsid w:val="00F30F48"/>
    <w:rsid w:val="00F310FF"/>
    <w:rsid w:val="00F31537"/>
    <w:rsid w:val="00F31B50"/>
    <w:rsid w:val="00F31B99"/>
    <w:rsid w:val="00F3204F"/>
    <w:rsid w:val="00F323FF"/>
    <w:rsid w:val="00F3285A"/>
    <w:rsid w:val="00F3288C"/>
    <w:rsid w:val="00F331F0"/>
    <w:rsid w:val="00F33670"/>
    <w:rsid w:val="00F338A0"/>
    <w:rsid w:val="00F33923"/>
    <w:rsid w:val="00F33EB9"/>
    <w:rsid w:val="00F341D2"/>
    <w:rsid w:val="00F34239"/>
    <w:rsid w:val="00F34362"/>
    <w:rsid w:val="00F345B8"/>
    <w:rsid w:val="00F34684"/>
    <w:rsid w:val="00F3473E"/>
    <w:rsid w:val="00F34BC9"/>
    <w:rsid w:val="00F3525B"/>
    <w:rsid w:val="00F35362"/>
    <w:rsid w:val="00F355E8"/>
    <w:rsid w:val="00F35AB9"/>
    <w:rsid w:val="00F35E08"/>
    <w:rsid w:val="00F362ED"/>
    <w:rsid w:val="00F367F2"/>
    <w:rsid w:val="00F36BCD"/>
    <w:rsid w:val="00F3739B"/>
    <w:rsid w:val="00F37CD3"/>
    <w:rsid w:val="00F4005E"/>
    <w:rsid w:val="00F40391"/>
    <w:rsid w:val="00F4044C"/>
    <w:rsid w:val="00F40A97"/>
    <w:rsid w:val="00F40B52"/>
    <w:rsid w:val="00F41173"/>
    <w:rsid w:val="00F41452"/>
    <w:rsid w:val="00F41C20"/>
    <w:rsid w:val="00F41E0F"/>
    <w:rsid w:val="00F42329"/>
    <w:rsid w:val="00F42523"/>
    <w:rsid w:val="00F42DBF"/>
    <w:rsid w:val="00F433DE"/>
    <w:rsid w:val="00F43820"/>
    <w:rsid w:val="00F4392F"/>
    <w:rsid w:val="00F4396F"/>
    <w:rsid w:val="00F43CAB"/>
    <w:rsid w:val="00F44464"/>
    <w:rsid w:val="00F447E7"/>
    <w:rsid w:val="00F44A83"/>
    <w:rsid w:val="00F45075"/>
    <w:rsid w:val="00F4588F"/>
    <w:rsid w:val="00F458B6"/>
    <w:rsid w:val="00F45B7A"/>
    <w:rsid w:val="00F45F1D"/>
    <w:rsid w:val="00F46272"/>
    <w:rsid w:val="00F46370"/>
    <w:rsid w:val="00F46BDC"/>
    <w:rsid w:val="00F46C63"/>
    <w:rsid w:val="00F4742B"/>
    <w:rsid w:val="00F47768"/>
    <w:rsid w:val="00F47FB7"/>
    <w:rsid w:val="00F50240"/>
    <w:rsid w:val="00F506FE"/>
    <w:rsid w:val="00F50733"/>
    <w:rsid w:val="00F50BB9"/>
    <w:rsid w:val="00F513AE"/>
    <w:rsid w:val="00F51491"/>
    <w:rsid w:val="00F516B9"/>
    <w:rsid w:val="00F519EF"/>
    <w:rsid w:val="00F51E3E"/>
    <w:rsid w:val="00F51EB3"/>
    <w:rsid w:val="00F522B3"/>
    <w:rsid w:val="00F528B3"/>
    <w:rsid w:val="00F52B8E"/>
    <w:rsid w:val="00F52C02"/>
    <w:rsid w:val="00F530D8"/>
    <w:rsid w:val="00F533F7"/>
    <w:rsid w:val="00F53623"/>
    <w:rsid w:val="00F5387E"/>
    <w:rsid w:val="00F53EDB"/>
    <w:rsid w:val="00F541EB"/>
    <w:rsid w:val="00F548F8"/>
    <w:rsid w:val="00F54A79"/>
    <w:rsid w:val="00F55D50"/>
    <w:rsid w:val="00F55FAD"/>
    <w:rsid w:val="00F566E5"/>
    <w:rsid w:val="00F5684D"/>
    <w:rsid w:val="00F56993"/>
    <w:rsid w:val="00F56D8A"/>
    <w:rsid w:val="00F57440"/>
    <w:rsid w:val="00F577FF"/>
    <w:rsid w:val="00F5794A"/>
    <w:rsid w:val="00F57994"/>
    <w:rsid w:val="00F57CDD"/>
    <w:rsid w:val="00F57FD9"/>
    <w:rsid w:val="00F60037"/>
    <w:rsid w:val="00F60F73"/>
    <w:rsid w:val="00F6105D"/>
    <w:rsid w:val="00F61C5B"/>
    <w:rsid w:val="00F61CCC"/>
    <w:rsid w:val="00F62284"/>
    <w:rsid w:val="00F624C0"/>
    <w:rsid w:val="00F62E7A"/>
    <w:rsid w:val="00F631C8"/>
    <w:rsid w:val="00F636B3"/>
    <w:rsid w:val="00F63877"/>
    <w:rsid w:val="00F64195"/>
    <w:rsid w:val="00F64212"/>
    <w:rsid w:val="00F6440D"/>
    <w:rsid w:val="00F644F7"/>
    <w:rsid w:val="00F64DC1"/>
    <w:rsid w:val="00F64F74"/>
    <w:rsid w:val="00F65582"/>
    <w:rsid w:val="00F6569B"/>
    <w:rsid w:val="00F657CD"/>
    <w:rsid w:val="00F65B6F"/>
    <w:rsid w:val="00F65DA0"/>
    <w:rsid w:val="00F66B0E"/>
    <w:rsid w:val="00F66B2E"/>
    <w:rsid w:val="00F67511"/>
    <w:rsid w:val="00F67752"/>
    <w:rsid w:val="00F677FF"/>
    <w:rsid w:val="00F67871"/>
    <w:rsid w:val="00F67AD0"/>
    <w:rsid w:val="00F67B5A"/>
    <w:rsid w:val="00F67FEE"/>
    <w:rsid w:val="00F70A17"/>
    <w:rsid w:val="00F70B07"/>
    <w:rsid w:val="00F70E6C"/>
    <w:rsid w:val="00F7148E"/>
    <w:rsid w:val="00F715D0"/>
    <w:rsid w:val="00F7186C"/>
    <w:rsid w:val="00F71894"/>
    <w:rsid w:val="00F71936"/>
    <w:rsid w:val="00F71943"/>
    <w:rsid w:val="00F71D38"/>
    <w:rsid w:val="00F72429"/>
    <w:rsid w:val="00F7278F"/>
    <w:rsid w:val="00F73AFF"/>
    <w:rsid w:val="00F745D0"/>
    <w:rsid w:val="00F7499B"/>
    <w:rsid w:val="00F74AD1"/>
    <w:rsid w:val="00F7505A"/>
    <w:rsid w:val="00F7506A"/>
    <w:rsid w:val="00F75149"/>
    <w:rsid w:val="00F752D0"/>
    <w:rsid w:val="00F75329"/>
    <w:rsid w:val="00F75566"/>
    <w:rsid w:val="00F757AE"/>
    <w:rsid w:val="00F75A64"/>
    <w:rsid w:val="00F75AB6"/>
    <w:rsid w:val="00F75B5D"/>
    <w:rsid w:val="00F75F48"/>
    <w:rsid w:val="00F762F1"/>
    <w:rsid w:val="00F76893"/>
    <w:rsid w:val="00F76988"/>
    <w:rsid w:val="00F76C5E"/>
    <w:rsid w:val="00F77159"/>
    <w:rsid w:val="00F774DE"/>
    <w:rsid w:val="00F77579"/>
    <w:rsid w:val="00F7759C"/>
    <w:rsid w:val="00F779B6"/>
    <w:rsid w:val="00F77FD4"/>
    <w:rsid w:val="00F800DF"/>
    <w:rsid w:val="00F80487"/>
    <w:rsid w:val="00F80F27"/>
    <w:rsid w:val="00F81065"/>
    <w:rsid w:val="00F8119C"/>
    <w:rsid w:val="00F8143E"/>
    <w:rsid w:val="00F81C15"/>
    <w:rsid w:val="00F81D86"/>
    <w:rsid w:val="00F81FD6"/>
    <w:rsid w:val="00F8260B"/>
    <w:rsid w:val="00F82694"/>
    <w:rsid w:val="00F829D1"/>
    <w:rsid w:val="00F82A06"/>
    <w:rsid w:val="00F82CEB"/>
    <w:rsid w:val="00F8302E"/>
    <w:rsid w:val="00F83CED"/>
    <w:rsid w:val="00F83EE9"/>
    <w:rsid w:val="00F850F2"/>
    <w:rsid w:val="00F85103"/>
    <w:rsid w:val="00F853DA"/>
    <w:rsid w:val="00F8554F"/>
    <w:rsid w:val="00F85685"/>
    <w:rsid w:val="00F857AB"/>
    <w:rsid w:val="00F85C2C"/>
    <w:rsid w:val="00F85FB7"/>
    <w:rsid w:val="00F868AF"/>
    <w:rsid w:val="00F86DAB"/>
    <w:rsid w:val="00F8737E"/>
    <w:rsid w:val="00F87432"/>
    <w:rsid w:val="00F8783E"/>
    <w:rsid w:val="00F87999"/>
    <w:rsid w:val="00F87D2B"/>
    <w:rsid w:val="00F87E63"/>
    <w:rsid w:val="00F904A9"/>
    <w:rsid w:val="00F90D95"/>
    <w:rsid w:val="00F916E0"/>
    <w:rsid w:val="00F919A1"/>
    <w:rsid w:val="00F91E42"/>
    <w:rsid w:val="00F91E83"/>
    <w:rsid w:val="00F92194"/>
    <w:rsid w:val="00F92299"/>
    <w:rsid w:val="00F92BC6"/>
    <w:rsid w:val="00F9300C"/>
    <w:rsid w:val="00F931BF"/>
    <w:rsid w:val="00F9353B"/>
    <w:rsid w:val="00F93635"/>
    <w:rsid w:val="00F93D58"/>
    <w:rsid w:val="00F940A9"/>
    <w:rsid w:val="00F9442A"/>
    <w:rsid w:val="00F945B7"/>
    <w:rsid w:val="00F94960"/>
    <w:rsid w:val="00F949F1"/>
    <w:rsid w:val="00F94C63"/>
    <w:rsid w:val="00F95AB4"/>
    <w:rsid w:val="00F960A8"/>
    <w:rsid w:val="00F96543"/>
    <w:rsid w:val="00F96943"/>
    <w:rsid w:val="00F96FE9"/>
    <w:rsid w:val="00F97062"/>
    <w:rsid w:val="00F976E6"/>
    <w:rsid w:val="00F97ADE"/>
    <w:rsid w:val="00F97D5C"/>
    <w:rsid w:val="00F97DEC"/>
    <w:rsid w:val="00F97DF2"/>
    <w:rsid w:val="00F97E68"/>
    <w:rsid w:val="00FA0B23"/>
    <w:rsid w:val="00FA1113"/>
    <w:rsid w:val="00FA113C"/>
    <w:rsid w:val="00FA21C6"/>
    <w:rsid w:val="00FA224F"/>
    <w:rsid w:val="00FA2715"/>
    <w:rsid w:val="00FA28C8"/>
    <w:rsid w:val="00FA2C23"/>
    <w:rsid w:val="00FA3630"/>
    <w:rsid w:val="00FA40AD"/>
    <w:rsid w:val="00FA43A4"/>
    <w:rsid w:val="00FA447B"/>
    <w:rsid w:val="00FA44FB"/>
    <w:rsid w:val="00FA4916"/>
    <w:rsid w:val="00FA4C25"/>
    <w:rsid w:val="00FA4EFB"/>
    <w:rsid w:val="00FA537E"/>
    <w:rsid w:val="00FA5744"/>
    <w:rsid w:val="00FA5824"/>
    <w:rsid w:val="00FA59FA"/>
    <w:rsid w:val="00FA5BEA"/>
    <w:rsid w:val="00FA5E5C"/>
    <w:rsid w:val="00FA5F6D"/>
    <w:rsid w:val="00FA67D5"/>
    <w:rsid w:val="00FA6956"/>
    <w:rsid w:val="00FA705D"/>
    <w:rsid w:val="00FA7530"/>
    <w:rsid w:val="00FA7B58"/>
    <w:rsid w:val="00FA7C23"/>
    <w:rsid w:val="00FA7E5C"/>
    <w:rsid w:val="00FA7E9D"/>
    <w:rsid w:val="00FB0092"/>
    <w:rsid w:val="00FB0415"/>
    <w:rsid w:val="00FB0426"/>
    <w:rsid w:val="00FB0685"/>
    <w:rsid w:val="00FB08B6"/>
    <w:rsid w:val="00FB0A0C"/>
    <w:rsid w:val="00FB11F3"/>
    <w:rsid w:val="00FB1405"/>
    <w:rsid w:val="00FB193D"/>
    <w:rsid w:val="00FB1DCA"/>
    <w:rsid w:val="00FB2A86"/>
    <w:rsid w:val="00FB2ABC"/>
    <w:rsid w:val="00FB2D34"/>
    <w:rsid w:val="00FB3422"/>
    <w:rsid w:val="00FB351A"/>
    <w:rsid w:val="00FB3629"/>
    <w:rsid w:val="00FB376A"/>
    <w:rsid w:val="00FB3877"/>
    <w:rsid w:val="00FB3A7F"/>
    <w:rsid w:val="00FB4384"/>
    <w:rsid w:val="00FB4ADA"/>
    <w:rsid w:val="00FB4DC4"/>
    <w:rsid w:val="00FB4F85"/>
    <w:rsid w:val="00FB514C"/>
    <w:rsid w:val="00FB5161"/>
    <w:rsid w:val="00FB51AA"/>
    <w:rsid w:val="00FB525D"/>
    <w:rsid w:val="00FB52DA"/>
    <w:rsid w:val="00FB592D"/>
    <w:rsid w:val="00FB5A7A"/>
    <w:rsid w:val="00FB5ED6"/>
    <w:rsid w:val="00FB5ED9"/>
    <w:rsid w:val="00FB5FD1"/>
    <w:rsid w:val="00FB6396"/>
    <w:rsid w:val="00FB6658"/>
    <w:rsid w:val="00FB6F77"/>
    <w:rsid w:val="00FB7490"/>
    <w:rsid w:val="00FB7878"/>
    <w:rsid w:val="00FB7DF2"/>
    <w:rsid w:val="00FC00E5"/>
    <w:rsid w:val="00FC02F5"/>
    <w:rsid w:val="00FC03E8"/>
    <w:rsid w:val="00FC06DF"/>
    <w:rsid w:val="00FC09FE"/>
    <w:rsid w:val="00FC0B97"/>
    <w:rsid w:val="00FC0E37"/>
    <w:rsid w:val="00FC18B9"/>
    <w:rsid w:val="00FC2134"/>
    <w:rsid w:val="00FC2D56"/>
    <w:rsid w:val="00FC2DA1"/>
    <w:rsid w:val="00FC2EAC"/>
    <w:rsid w:val="00FC2F69"/>
    <w:rsid w:val="00FC2F81"/>
    <w:rsid w:val="00FC44DC"/>
    <w:rsid w:val="00FC44E4"/>
    <w:rsid w:val="00FC4A03"/>
    <w:rsid w:val="00FC4BCB"/>
    <w:rsid w:val="00FC4C03"/>
    <w:rsid w:val="00FC520D"/>
    <w:rsid w:val="00FC558A"/>
    <w:rsid w:val="00FC57C3"/>
    <w:rsid w:val="00FC5AA4"/>
    <w:rsid w:val="00FC628E"/>
    <w:rsid w:val="00FC6588"/>
    <w:rsid w:val="00FC6918"/>
    <w:rsid w:val="00FC6EF1"/>
    <w:rsid w:val="00FD0024"/>
    <w:rsid w:val="00FD01B5"/>
    <w:rsid w:val="00FD0D94"/>
    <w:rsid w:val="00FD16A7"/>
    <w:rsid w:val="00FD16FC"/>
    <w:rsid w:val="00FD1BFA"/>
    <w:rsid w:val="00FD1C78"/>
    <w:rsid w:val="00FD1D21"/>
    <w:rsid w:val="00FD20A3"/>
    <w:rsid w:val="00FD2727"/>
    <w:rsid w:val="00FD2CBA"/>
    <w:rsid w:val="00FD3579"/>
    <w:rsid w:val="00FD35FF"/>
    <w:rsid w:val="00FD3A0C"/>
    <w:rsid w:val="00FD4B59"/>
    <w:rsid w:val="00FD4D5D"/>
    <w:rsid w:val="00FD5095"/>
    <w:rsid w:val="00FD5191"/>
    <w:rsid w:val="00FD53C5"/>
    <w:rsid w:val="00FD5BF0"/>
    <w:rsid w:val="00FD5C59"/>
    <w:rsid w:val="00FD5CD5"/>
    <w:rsid w:val="00FD6C0F"/>
    <w:rsid w:val="00FD6F57"/>
    <w:rsid w:val="00FD714D"/>
    <w:rsid w:val="00FD7D45"/>
    <w:rsid w:val="00FE0436"/>
    <w:rsid w:val="00FE04F4"/>
    <w:rsid w:val="00FE0CF1"/>
    <w:rsid w:val="00FE12C4"/>
    <w:rsid w:val="00FE1319"/>
    <w:rsid w:val="00FE14FB"/>
    <w:rsid w:val="00FE18A9"/>
    <w:rsid w:val="00FE2105"/>
    <w:rsid w:val="00FE26D2"/>
    <w:rsid w:val="00FE2CE6"/>
    <w:rsid w:val="00FE2FD1"/>
    <w:rsid w:val="00FE327E"/>
    <w:rsid w:val="00FE3365"/>
    <w:rsid w:val="00FE351C"/>
    <w:rsid w:val="00FE36BC"/>
    <w:rsid w:val="00FE3A3A"/>
    <w:rsid w:val="00FE46B2"/>
    <w:rsid w:val="00FE4884"/>
    <w:rsid w:val="00FE4DF3"/>
    <w:rsid w:val="00FE5547"/>
    <w:rsid w:val="00FE566F"/>
    <w:rsid w:val="00FE577B"/>
    <w:rsid w:val="00FE5C62"/>
    <w:rsid w:val="00FE5D6E"/>
    <w:rsid w:val="00FE5E82"/>
    <w:rsid w:val="00FE6375"/>
    <w:rsid w:val="00FE651B"/>
    <w:rsid w:val="00FE68CA"/>
    <w:rsid w:val="00FE6998"/>
    <w:rsid w:val="00FE6E9B"/>
    <w:rsid w:val="00FE7022"/>
    <w:rsid w:val="00FE743A"/>
    <w:rsid w:val="00FE7C11"/>
    <w:rsid w:val="00FE7C49"/>
    <w:rsid w:val="00FF0B99"/>
    <w:rsid w:val="00FF0C70"/>
    <w:rsid w:val="00FF10BA"/>
    <w:rsid w:val="00FF140E"/>
    <w:rsid w:val="00FF18C9"/>
    <w:rsid w:val="00FF2450"/>
    <w:rsid w:val="00FF2862"/>
    <w:rsid w:val="00FF2CF1"/>
    <w:rsid w:val="00FF2D2A"/>
    <w:rsid w:val="00FF2F61"/>
    <w:rsid w:val="00FF3036"/>
    <w:rsid w:val="00FF31CC"/>
    <w:rsid w:val="00FF3257"/>
    <w:rsid w:val="00FF381E"/>
    <w:rsid w:val="00FF3CC7"/>
    <w:rsid w:val="00FF3EA1"/>
    <w:rsid w:val="00FF46A5"/>
    <w:rsid w:val="00FF5E79"/>
    <w:rsid w:val="00FF6649"/>
    <w:rsid w:val="00FF6719"/>
    <w:rsid w:val="00FF69FD"/>
    <w:rsid w:val="00FF6AF4"/>
    <w:rsid w:val="00FF6B5B"/>
    <w:rsid w:val="00FF6EB0"/>
    <w:rsid w:val="00FF73CC"/>
    <w:rsid w:val="00FF7497"/>
    <w:rsid w:val="00FF75ED"/>
    <w:rsid w:val="00FF764A"/>
    <w:rsid w:val="00FF7924"/>
    <w:rsid w:val="00FF7DC1"/>
    <w:rsid w:val="0121A22D"/>
    <w:rsid w:val="01B9B3EF"/>
    <w:rsid w:val="02036E0D"/>
    <w:rsid w:val="0226D213"/>
    <w:rsid w:val="02B9E873"/>
    <w:rsid w:val="02CD550E"/>
    <w:rsid w:val="0378A31F"/>
    <w:rsid w:val="039245A8"/>
    <w:rsid w:val="03984ACD"/>
    <w:rsid w:val="03BD3A50"/>
    <w:rsid w:val="05389CD7"/>
    <w:rsid w:val="054FB634"/>
    <w:rsid w:val="05D12AEA"/>
    <w:rsid w:val="06650961"/>
    <w:rsid w:val="0672E92F"/>
    <w:rsid w:val="06D9D8E6"/>
    <w:rsid w:val="06FD290F"/>
    <w:rsid w:val="071D8106"/>
    <w:rsid w:val="076C483F"/>
    <w:rsid w:val="07DDCF34"/>
    <w:rsid w:val="083B9534"/>
    <w:rsid w:val="08592D87"/>
    <w:rsid w:val="08756541"/>
    <w:rsid w:val="08D3D46A"/>
    <w:rsid w:val="08F50023"/>
    <w:rsid w:val="0906A10E"/>
    <w:rsid w:val="0923C91E"/>
    <w:rsid w:val="0A23D85D"/>
    <w:rsid w:val="0A31D2DF"/>
    <w:rsid w:val="0B239F55"/>
    <w:rsid w:val="0B8394C2"/>
    <w:rsid w:val="0BBB4481"/>
    <w:rsid w:val="0C40CCC8"/>
    <w:rsid w:val="0C625F1A"/>
    <w:rsid w:val="0D7EB4A0"/>
    <w:rsid w:val="0DC57065"/>
    <w:rsid w:val="0DEF9A65"/>
    <w:rsid w:val="0EB323A8"/>
    <w:rsid w:val="0F271143"/>
    <w:rsid w:val="0F6EE66F"/>
    <w:rsid w:val="0FB1E29C"/>
    <w:rsid w:val="10215563"/>
    <w:rsid w:val="1062FE69"/>
    <w:rsid w:val="10F91D70"/>
    <w:rsid w:val="1100775F"/>
    <w:rsid w:val="114FBD46"/>
    <w:rsid w:val="1179C1DE"/>
    <w:rsid w:val="128C809A"/>
    <w:rsid w:val="13A56B9C"/>
    <w:rsid w:val="144ACB99"/>
    <w:rsid w:val="1481E55E"/>
    <w:rsid w:val="14E8C4FA"/>
    <w:rsid w:val="151E529A"/>
    <w:rsid w:val="15202A3B"/>
    <w:rsid w:val="15FE920F"/>
    <w:rsid w:val="1620E3DD"/>
    <w:rsid w:val="17979784"/>
    <w:rsid w:val="17DEDF15"/>
    <w:rsid w:val="186BEB78"/>
    <w:rsid w:val="1877D45C"/>
    <w:rsid w:val="1887D305"/>
    <w:rsid w:val="18B68458"/>
    <w:rsid w:val="18D1D522"/>
    <w:rsid w:val="18FCC995"/>
    <w:rsid w:val="190FEA7A"/>
    <w:rsid w:val="196BA5DD"/>
    <w:rsid w:val="1A0E9722"/>
    <w:rsid w:val="1A5AF84B"/>
    <w:rsid w:val="1AD5BEC2"/>
    <w:rsid w:val="1B02246A"/>
    <w:rsid w:val="1B0D06DD"/>
    <w:rsid w:val="1B83E774"/>
    <w:rsid w:val="1B89FBC4"/>
    <w:rsid w:val="1C10B787"/>
    <w:rsid w:val="1C351079"/>
    <w:rsid w:val="1C4EB484"/>
    <w:rsid w:val="1C6E5FB6"/>
    <w:rsid w:val="1CA8EFCF"/>
    <w:rsid w:val="1CAD9BD7"/>
    <w:rsid w:val="1CAE0CC4"/>
    <w:rsid w:val="1D021743"/>
    <w:rsid w:val="1E42A731"/>
    <w:rsid w:val="1E5F5B3B"/>
    <w:rsid w:val="1E6EB2BE"/>
    <w:rsid w:val="1E926D28"/>
    <w:rsid w:val="1ECAEB6A"/>
    <w:rsid w:val="1F2C0873"/>
    <w:rsid w:val="1F5DDB37"/>
    <w:rsid w:val="1FC405A1"/>
    <w:rsid w:val="2026998F"/>
    <w:rsid w:val="2044B995"/>
    <w:rsid w:val="21260947"/>
    <w:rsid w:val="21B34565"/>
    <w:rsid w:val="21B38E70"/>
    <w:rsid w:val="22448607"/>
    <w:rsid w:val="22639FEA"/>
    <w:rsid w:val="229E999E"/>
    <w:rsid w:val="22C67ACC"/>
    <w:rsid w:val="23386C56"/>
    <w:rsid w:val="23488763"/>
    <w:rsid w:val="23BFD1CB"/>
    <w:rsid w:val="23E314FF"/>
    <w:rsid w:val="240E2EF9"/>
    <w:rsid w:val="24812259"/>
    <w:rsid w:val="2492EC62"/>
    <w:rsid w:val="25000512"/>
    <w:rsid w:val="25225AD4"/>
    <w:rsid w:val="25A4DA24"/>
    <w:rsid w:val="265B3EB2"/>
    <w:rsid w:val="267F381C"/>
    <w:rsid w:val="26945F97"/>
    <w:rsid w:val="26BAFA02"/>
    <w:rsid w:val="271E6CEC"/>
    <w:rsid w:val="275C7192"/>
    <w:rsid w:val="27DBE0E1"/>
    <w:rsid w:val="28083B42"/>
    <w:rsid w:val="28AEAAF0"/>
    <w:rsid w:val="28CC0269"/>
    <w:rsid w:val="2965F75C"/>
    <w:rsid w:val="29691AE4"/>
    <w:rsid w:val="2981D17C"/>
    <w:rsid w:val="2985CFB6"/>
    <w:rsid w:val="29BB59AE"/>
    <w:rsid w:val="2A081E1C"/>
    <w:rsid w:val="2ADE50DC"/>
    <w:rsid w:val="2B32C78C"/>
    <w:rsid w:val="2BA2CF11"/>
    <w:rsid w:val="2D386A23"/>
    <w:rsid w:val="2DA00347"/>
    <w:rsid w:val="2DBBB382"/>
    <w:rsid w:val="2DCB20CE"/>
    <w:rsid w:val="2DCD4243"/>
    <w:rsid w:val="2E3B0314"/>
    <w:rsid w:val="2E3B7BC4"/>
    <w:rsid w:val="2E3EF6AB"/>
    <w:rsid w:val="2E5076CA"/>
    <w:rsid w:val="2F8003BC"/>
    <w:rsid w:val="2F8BB730"/>
    <w:rsid w:val="305CBBBB"/>
    <w:rsid w:val="3097DD7B"/>
    <w:rsid w:val="316DC738"/>
    <w:rsid w:val="31F02742"/>
    <w:rsid w:val="32D63A92"/>
    <w:rsid w:val="33257A0B"/>
    <w:rsid w:val="333F9B03"/>
    <w:rsid w:val="337A3FCF"/>
    <w:rsid w:val="33A81B0A"/>
    <w:rsid w:val="33BD407E"/>
    <w:rsid w:val="34BED6A4"/>
    <w:rsid w:val="34F9FA96"/>
    <w:rsid w:val="35620A3C"/>
    <w:rsid w:val="3593692A"/>
    <w:rsid w:val="35CC081C"/>
    <w:rsid w:val="363ECE5C"/>
    <w:rsid w:val="3679C6B7"/>
    <w:rsid w:val="36A73B18"/>
    <w:rsid w:val="36FFC72D"/>
    <w:rsid w:val="3777D2A7"/>
    <w:rsid w:val="37BA60ED"/>
    <w:rsid w:val="380A84AF"/>
    <w:rsid w:val="381B6F87"/>
    <w:rsid w:val="389B4422"/>
    <w:rsid w:val="38A8907A"/>
    <w:rsid w:val="38F9A22E"/>
    <w:rsid w:val="38FFA1C6"/>
    <w:rsid w:val="39E62851"/>
    <w:rsid w:val="39E6EDAB"/>
    <w:rsid w:val="39FE3EC3"/>
    <w:rsid w:val="3A1380B3"/>
    <w:rsid w:val="3A175EA9"/>
    <w:rsid w:val="3AD1A163"/>
    <w:rsid w:val="3B0DD5DC"/>
    <w:rsid w:val="3C9A27BA"/>
    <w:rsid w:val="3CAE297D"/>
    <w:rsid w:val="3D033978"/>
    <w:rsid w:val="3DB9797A"/>
    <w:rsid w:val="3E5415DB"/>
    <w:rsid w:val="3F3BC2EF"/>
    <w:rsid w:val="4126893C"/>
    <w:rsid w:val="41391541"/>
    <w:rsid w:val="4150B2D9"/>
    <w:rsid w:val="41F328DD"/>
    <w:rsid w:val="421809F0"/>
    <w:rsid w:val="422C2179"/>
    <w:rsid w:val="42343EDD"/>
    <w:rsid w:val="42C0D936"/>
    <w:rsid w:val="42FD34C5"/>
    <w:rsid w:val="432BABEC"/>
    <w:rsid w:val="434278A5"/>
    <w:rsid w:val="43F3F921"/>
    <w:rsid w:val="449598AC"/>
    <w:rsid w:val="44CE3764"/>
    <w:rsid w:val="44D21EB2"/>
    <w:rsid w:val="45D41BF1"/>
    <w:rsid w:val="463D3F7C"/>
    <w:rsid w:val="471E69F5"/>
    <w:rsid w:val="4763F6F8"/>
    <w:rsid w:val="47986689"/>
    <w:rsid w:val="482040B1"/>
    <w:rsid w:val="4859D2BF"/>
    <w:rsid w:val="4898612C"/>
    <w:rsid w:val="48AAEB56"/>
    <w:rsid w:val="48D62AF7"/>
    <w:rsid w:val="48F8288F"/>
    <w:rsid w:val="4984EC5E"/>
    <w:rsid w:val="499FC1B1"/>
    <w:rsid w:val="49F6D710"/>
    <w:rsid w:val="4A0F7CD6"/>
    <w:rsid w:val="4A428716"/>
    <w:rsid w:val="4AC0A20C"/>
    <w:rsid w:val="4AD94688"/>
    <w:rsid w:val="4B57471D"/>
    <w:rsid w:val="4B63554D"/>
    <w:rsid w:val="4C7C12C2"/>
    <w:rsid w:val="4C8CA65F"/>
    <w:rsid w:val="4C9C2782"/>
    <w:rsid w:val="4CBD2399"/>
    <w:rsid w:val="4D688D75"/>
    <w:rsid w:val="4E8C47DD"/>
    <w:rsid w:val="4F16C97C"/>
    <w:rsid w:val="517AE7D4"/>
    <w:rsid w:val="51CFA16A"/>
    <w:rsid w:val="5214F965"/>
    <w:rsid w:val="52724885"/>
    <w:rsid w:val="52CFD959"/>
    <w:rsid w:val="53145B91"/>
    <w:rsid w:val="5378F947"/>
    <w:rsid w:val="541DBDB3"/>
    <w:rsid w:val="543D0A79"/>
    <w:rsid w:val="548D0EF7"/>
    <w:rsid w:val="5548DB47"/>
    <w:rsid w:val="5648ABCE"/>
    <w:rsid w:val="56918782"/>
    <w:rsid w:val="569866DA"/>
    <w:rsid w:val="56D518EA"/>
    <w:rsid w:val="57D96E02"/>
    <w:rsid w:val="58143AB2"/>
    <w:rsid w:val="58170246"/>
    <w:rsid w:val="585A9B54"/>
    <w:rsid w:val="587E6370"/>
    <w:rsid w:val="5A3F64DA"/>
    <w:rsid w:val="5A9AD65C"/>
    <w:rsid w:val="5B07A16C"/>
    <w:rsid w:val="5B5138F2"/>
    <w:rsid w:val="5BAB15CE"/>
    <w:rsid w:val="5BFDE300"/>
    <w:rsid w:val="5C7D412B"/>
    <w:rsid w:val="5DB4BEAC"/>
    <w:rsid w:val="5DEE8D7B"/>
    <w:rsid w:val="5E3356E3"/>
    <w:rsid w:val="5E79F96D"/>
    <w:rsid w:val="5F18968D"/>
    <w:rsid w:val="5F2DBC8E"/>
    <w:rsid w:val="5F534240"/>
    <w:rsid w:val="60057FEC"/>
    <w:rsid w:val="60C30E4C"/>
    <w:rsid w:val="611CBF2E"/>
    <w:rsid w:val="615CB78B"/>
    <w:rsid w:val="61708D60"/>
    <w:rsid w:val="61786E7C"/>
    <w:rsid w:val="618CE1B8"/>
    <w:rsid w:val="622AB921"/>
    <w:rsid w:val="624BE250"/>
    <w:rsid w:val="6269795D"/>
    <w:rsid w:val="6290E6DF"/>
    <w:rsid w:val="63AD0F4A"/>
    <w:rsid w:val="645307E5"/>
    <w:rsid w:val="64A14724"/>
    <w:rsid w:val="651CBE6D"/>
    <w:rsid w:val="651E9384"/>
    <w:rsid w:val="65267401"/>
    <w:rsid w:val="6532375C"/>
    <w:rsid w:val="6549F578"/>
    <w:rsid w:val="665267AE"/>
    <w:rsid w:val="6654567B"/>
    <w:rsid w:val="669F55E8"/>
    <w:rsid w:val="66C4758F"/>
    <w:rsid w:val="66F9B409"/>
    <w:rsid w:val="67A3B709"/>
    <w:rsid w:val="6842FEEA"/>
    <w:rsid w:val="687EF0B8"/>
    <w:rsid w:val="68F03721"/>
    <w:rsid w:val="697654E6"/>
    <w:rsid w:val="69BD2088"/>
    <w:rsid w:val="69F99B73"/>
    <w:rsid w:val="6A197725"/>
    <w:rsid w:val="6A4854EE"/>
    <w:rsid w:val="6A83B365"/>
    <w:rsid w:val="6A92766B"/>
    <w:rsid w:val="6A961516"/>
    <w:rsid w:val="6AA5C6AB"/>
    <w:rsid w:val="6AC88D25"/>
    <w:rsid w:val="6AD426F6"/>
    <w:rsid w:val="6AF181F9"/>
    <w:rsid w:val="6AFDC8CA"/>
    <w:rsid w:val="6BD662E1"/>
    <w:rsid w:val="6C9DACDB"/>
    <w:rsid w:val="6CB1FAEC"/>
    <w:rsid w:val="6D187929"/>
    <w:rsid w:val="6E51BB4A"/>
    <w:rsid w:val="6E5B54A3"/>
    <w:rsid w:val="6FDE24E0"/>
    <w:rsid w:val="6FF07065"/>
    <w:rsid w:val="70528254"/>
    <w:rsid w:val="7074BC37"/>
    <w:rsid w:val="707C75CA"/>
    <w:rsid w:val="70A1B3B9"/>
    <w:rsid w:val="72240316"/>
    <w:rsid w:val="72260426"/>
    <w:rsid w:val="72F1A778"/>
    <w:rsid w:val="73E10FD6"/>
    <w:rsid w:val="74CF9751"/>
    <w:rsid w:val="751DCC7D"/>
    <w:rsid w:val="75372F9B"/>
    <w:rsid w:val="756F766D"/>
    <w:rsid w:val="7629547D"/>
    <w:rsid w:val="7695C0FF"/>
    <w:rsid w:val="76ECEBCD"/>
    <w:rsid w:val="773C47DC"/>
    <w:rsid w:val="77437A14"/>
    <w:rsid w:val="778E8E59"/>
    <w:rsid w:val="789E7838"/>
    <w:rsid w:val="799D073E"/>
    <w:rsid w:val="79A90CCD"/>
    <w:rsid w:val="7A5CF313"/>
    <w:rsid w:val="7A933547"/>
    <w:rsid w:val="7AB4021C"/>
    <w:rsid w:val="7AC02FAB"/>
    <w:rsid w:val="7ACBD46A"/>
    <w:rsid w:val="7B89A25C"/>
    <w:rsid w:val="7C988C0E"/>
    <w:rsid w:val="7D914493"/>
    <w:rsid w:val="7E32A95F"/>
    <w:rsid w:val="7E591FF1"/>
    <w:rsid w:val="7ED6DDF6"/>
    <w:rsid w:val="7F14C2C2"/>
    <w:rsid w:val="7F761234"/>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A23731"/>
  <w15:chartTrackingRefBased/>
  <w15:docId w15:val="{3BCFC622-0217-4E5C-9290-93259642E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toc 1" w:locked="0" w:uiPriority="39"/>
    <w:lsdException w:name="toc 2" w:locked="0" w:uiPriority="39"/>
    <w:lsdException w:name="toc 3" w:locked="0" w:uiPriority="39"/>
    <w:lsdException w:name="toc 4" w:locked="0" w:uiPriority="39"/>
    <w:lsdException w:name="annotation text" w:uiPriority="99"/>
    <w:lsdException w:name="header" w:locked="0" w:qFormat="1"/>
    <w:lsdException w:name="footer" w:locked="0" w:uiPriority="99"/>
    <w:lsdException w:name="caption" w:semiHidden="1" w:unhideWhenUsed="1" w:qFormat="1"/>
    <w:lsdException w:name="annotation reference" w:uiPriority="99"/>
    <w:lsdException w:name="endnote reference" w:locked="0" w:uiPriority="99" w:qFormat="1"/>
    <w:lsdException w:name="endnote text" w:locked="0" w:uiPriority="99" w:qFormat="1"/>
    <w:lsdException w:name="List Bullet" w:qFormat="1"/>
    <w:lsdException w:name="List Number" w:qFormat="1"/>
    <w:lsdException w:name="Default Paragraph Font" w:locked="0"/>
    <w:lsdException w:name="List Continue 4" w:locked="0"/>
    <w:lsdException w:name="Subtitle" w:qFormat="1"/>
    <w:lsdException w:name="Hyperlink" w:locked="0" w:uiPriority="99"/>
    <w:lsdException w:name="Strong" w:locked="0"/>
    <w:lsdException w:name="HTML Top of Form" w:locked="0"/>
    <w:lsdException w:name="HTML Bottom of Form" w:locked="0"/>
    <w:lsdException w:name="HTML Preformatted" w:semiHidden="1" w:unhideWhenUsed="1"/>
    <w:lsdException w:name="Normal Table"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locked="0" w:semiHidden="1" w:uiPriority="99"/>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locked="0" w:semiHidden="1" w:uiPriority="37" w:unhideWhenUsed="1"/>
    <w:lsdException w:name="TOC Heading" w:locked="0" w:semiHidden="1" w:uiPriority="39" w:unhideWhenUsed="1" w:qFormat="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3F762F"/>
    <w:pPr>
      <w:spacing w:before="240" w:after="240"/>
    </w:pPr>
    <w:rPr>
      <w:rFonts w:ascii="Open Sans" w:eastAsia="MS Mincho" w:hAnsi="Open Sans"/>
      <w:sz w:val="24"/>
      <w:szCs w:val="24"/>
    </w:rPr>
  </w:style>
  <w:style w:type="paragraph" w:styleId="Heading1">
    <w:name w:val="heading 1"/>
    <w:basedOn w:val="Normal"/>
    <w:next w:val="Normal"/>
    <w:link w:val="Heading1Char"/>
    <w:qFormat/>
    <w:rsid w:val="005C2ECF"/>
    <w:pPr>
      <w:keepNext/>
      <w:keepLines/>
      <w:numPr>
        <w:numId w:val="1"/>
      </w:numPr>
      <w:spacing w:before="360"/>
      <w:outlineLvl w:val="0"/>
    </w:pPr>
    <w:rPr>
      <w:b/>
      <w:bCs/>
      <w:sz w:val="36"/>
      <w:szCs w:val="28"/>
    </w:rPr>
  </w:style>
  <w:style w:type="paragraph" w:styleId="Heading2">
    <w:name w:val="heading 2"/>
    <w:basedOn w:val="Heading1"/>
    <w:next w:val="Normal"/>
    <w:link w:val="Heading2Char"/>
    <w:qFormat/>
    <w:rsid w:val="005C2ECF"/>
    <w:pPr>
      <w:numPr>
        <w:ilvl w:val="1"/>
      </w:numPr>
      <w:outlineLvl w:val="1"/>
    </w:pPr>
    <w:rPr>
      <w:bCs w:val="0"/>
      <w:sz w:val="28"/>
      <w:szCs w:val="26"/>
    </w:rPr>
  </w:style>
  <w:style w:type="paragraph" w:styleId="Heading3">
    <w:name w:val="heading 3"/>
    <w:basedOn w:val="Heading2"/>
    <w:next w:val="Normal"/>
    <w:link w:val="Heading3Char"/>
    <w:qFormat/>
    <w:rsid w:val="008007A8"/>
    <w:pPr>
      <w:numPr>
        <w:ilvl w:val="2"/>
      </w:numPr>
      <w:outlineLvl w:val="2"/>
    </w:pPr>
    <w:rPr>
      <w:b w:val="0"/>
      <w:bCs/>
      <w:sz w:val="24"/>
    </w:rPr>
  </w:style>
  <w:style w:type="paragraph" w:styleId="Heading4">
    <w:name w:val="heading 4"/>
    <w:basedOn w:val="Heading3"/>
    <w:next w:val="Normal"/>
    <w:link w:val="Heading4Char"/>
    <w:qFormat/>
    <w:locked/>
    <w:rsid w:val="008007A8"/>
    <w:pPr>
      <w:numPr>
        <w:ilvl w:val="3"/>
      </w:numPr>
      <w:outlineLvl w:val="3"/>
    </w:pPr>
    <w:rPr>
      <w:bCs w:val="0"/>
      <w:i/>
      <w:iCs/>
    </w:rPr>
  </w:style>
  <w:style w:type="paragraph" w:styleId="Heading5">
    <w:name w:val="heading 5"/>
    <w:basedOn w:val="Normal"/>
    <w:next w:val="Normal"/>
    <w:link w:val="Heading5Char"/>
    <w:qFormat/>
    <w:locked/>
    <w:rsid w:val="005C2ECF"/>
    <w:pPr>
      <w:keepNext/>
      <w:keepLines/>
      <w:numPr>
        <w:ilvl w:val="4"/>
        <w:numId w:val="1"/>
      </w:numPr>
      <w:spacing w:before="200"/>
      <w:outlineLvl w:val="4"/>
    </w:pPr>
  </w:style>
  <w:style w:type="paragraph" w:styleId="Heading6">
    <w:name w:val="heading 6"/>
    <w:basedOn w:val="Normal"/>
    <w:next w:val="Normal"/>
    <w:link w:val="Heading6Char"/>
    <w:qFormat/>
    <w:locked/>
    <w:rsid w:val="005C2ECF"/>
    <w:pPr>
      <w:keepNext/>
      <w:keepLines/>
      <w:numPr>
        <w:ilvl w:val="5"/>
        <w:numId w:val="1"/>
      </w:numPr>
      <w:spacing w:before="200"/>
      <w:outlineLvl w:val="5"/>
    </w:pPr>
    <w:rPr>
      <w:i/>
      <w:iCs/>
    </w:rPr>
  </w:style>
  <w:style w:type="paragraph" w:styleId="Heading7">
    <w:name w:val="heading 7"/>
    <w:basedOn w:val="Normal"/>
    <w:next w:val="Normal"/>
    <w:link w:val="Heading7Char"/>
    <w:qFormat/>
    <w:locked/>
    <w:rsid w:val="005C2ECF"/>
    <w:pPr>
      <w:keepNext/>
      <w:keepLines/>
      <w:numPr>
        <w:ilvl w:val="6"/>
        <w:numId w:val="1"/>
      </w:numPr>
      <w:spacing w:before="200"/>
      <w:outlineLvl w:val="6"/>
    </w:pPr>
    <w:rPr>
      <w:i/>
      <w:iCs/>
    </w:rPr>
  </w:style>
  <w:style w:type="paragraph" w:styleId="Heading8">
    <w:name w:val="heading 8"/>
    <w:basedOn w:val="Normal"/>
    <w:next w:val="Normal"/>
    <w:link w:val="Heading8Char"/>
    <w:qFormat/>
    <w:locked/>
    <w:rsid w:val="005C2ECF"/>
    <w:pPr>
      <w:keepNext/>
      <w:keepLines/>
      <w:numPr>
        <w:ilvl w:val="7"/>
        <w:numId w:val="1"/>
      </w:numPr>
      <w:spacing w:before="200"/>
      <w:outlineLvl w:val="7"/>
    </w:pPr>
    <w:rPr>
      <w:sz w:val="20"/>
      <w:szCs w:val="20"/>
    </w:rPr>
  </w:style>
  <w:style w:type="paragraph" w:styleId="Heading9">
    <w:name w:val="heading 9"/>
    <w:basedOn w:val="Normal"/>
    <w:next w:val="Normal"/>
    <w:link w:val="Heading9Char"/>
    <w:qFormat/>
    <w:locked/>
    <w:rsid w:val="005C2ECF"/>
    <w:pPr>
      <w:keepNext/>
      <w:keepLines/>
      <w:numPr>
        <w:ilvl w:val="8"/>
        <w:numId w:val="1"/>
      </w:numPr>
      <w:spacing w:before="200"/>
      <w:outlineLvl w:val="8"/>
    </w:pPr>
    <w:rPr>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C2ECF"/>
    <w:rPr>
      <w:rFonts w:ascii="Open Sans" w:eastAsia="MS Mincho" w:hAnsi="Open Sans"/>
      <w:b/>
      <w:bCs/>
      <w:sz w:val="36"/>
      <w:szCs w:val="28"/>
    </w:rPr>
  </w:style>
  <w:style w:type="character" w:customStyle="1" w:styleId="Heading2Char">
    <w:name w:val="Heading 2 Char"/>
    <w:link w:val="Heading2"/>
    <w:rsid w:val="005C2ECF"/>
    <w:rPr>
      <w:rFonts w:ascii="Open Sans" w:eastAsia="MS Mincho" w:hAnsi="Open Sans"/>
      <w:b/>
      <w:sz w:val="28"/>
      <w:szCs w:val="26"/>
    </w:rPr>
  </w:style>
  <w:style w:type="character" w:customStyle="1" w:styleId="Heading3Char">
    <w:name w:val="Heading 3 Char"/>
    <w:link w:val="Heading3"/>
    <w:rsid w:val="008007A8"/>
    <w:rPr>
      <w:rFonts w:ascii="Open Sans" w:eastAsia="MS Mincho" w:hAnsi="Open Sans"/>
      <w:bCs/>
      <w:sz w:val="24"/>
      <w:szCs w:val="26"/>
    </w:rPr>
  </w:style>
  <w:style w:type="character" w:customStyle="1" w:styleId="Heading4Char">
    <w:name w:val="Heading 4 Char"/>
    <w:link w:val="Heading4"/>
    <w:rsid w:val="008007A8"/>
    <w:rPr>
      <w:rFonts w:ascii="Open Sans" w:eastAsia="MS Mincho" w:hAnsi="Open Sans"/>
      <w:i/>
      <w:iCs/>
      <w:sz w:val="24"/>
      <w:szCs w:val="26"/>
    </w:rPr>
  </w:style>
  <w:style w:type="character" w:styleId="Strong">
    <w:name w:val="Strong"/>
    <w:locked/>
    <w:rsid w:val="00471BB7"/>
    <w:rPr>
      <w:rFonts w:ascii="Open Sans" w:hAnsi="Open Sans"/>
      <w:b/>
      <w:bCs/>
    </w:rPr>
  </w:style>
  <w:style w:type="character" w:customStyle="1" w:styleId="Heading5Char">
    <w:name w:val="Heading 5 Char"/>
    <w:link w:val="Heading5"/>
    <w:rsid w:val="005C2ECF"/>
    <w:rPr>
      <w:rFonts w:ascii="Open Sans" w:eastAsia="MS Mincho" w:hAnsi="Open Sans"/>
      <w:sz w:val="24"/>
      <w:szCs w:val="24"/>
    </w:rPr>
  </w:style>
  <w:style w:type="character" w:customStyle="1" w:styleId="Heading6Char">
    <w:name w:val="Heading 6 Char"/>
    <w:link w:val="Heading6"/>
    <w:rsid w:val="005C2ECF"/>
    <w:rPr>
      <w:rFonts w:ascii="Open Sans" w:eastAsia="MS Mincho" w:hAnsi="Open Sans"/>
      <w:i/>
      <w:iCs/>
      <w:sz w:val="24"/>
      <w:szCs w:val="24"/>
    </w:rPr>
  </w:style>
  <w:style w:type="character" w:customStyle="1" w:styleId="Heading7Char">
    <w:name w:val="Heading 7 Char"/>
    <w:link w:val="Heading7"/>
    <w:rsid w:val="005C2ECF"/>
    <w:rPr>
      <w:rFonts w:ascii="Open Sans" w:eastAsia="MS Mincho" w:hAnsi="Open Sans"/>
      <w:i/>
      <w:iCs/>
      <w:sz w:val="24"/>
      <w:szCs w:val="24"/>
    </w:rPr>
  </w:style>
  <w:style w:type="character" w:customStyle="1" w:styleId="Heading8Char">
    <w:name w:val="Heading 8 Char"/>
    <w:link w:val="Heading8"/>
    <w:rsid w:val="005C2ECF"/>
    <w:rPr>
      <w:rFonts w:ascii="Open Sans" w:eastAsia="MS Mincho" w:hAnsi="Open Sans"/>
    </w:rPr>
  </w:style>
  <w:style w:type="character" w:customStyle="1" w:styleId="Heading9Char">
    <w:name w:val="Heading 9 Char"/>
    <w:link w:val="Heading9"/>
    <w:rsid w:val="005C2ECF"/>
    <w:rPr>
      <w:rFonts w:ascii="Open Sans" w:eastAsia="MS Mincho" w:hAnsi="Open Sans"/>
      <w:i/>
      <w:iCs/>
    </w:rPr>
  </w:style>
  <w:style w:type="paragraph" w:styleId="Header">
    <w:name w:val="header"/>
    <w:basedOn w:val="Normal"/>
    <w:link w:val="HeaderChar"/>
    <w:qFormat/>
    <w:rsid w:val="00CA5D90"/>
    <w:pPr>
      <w:tabs>
        <w:tab w:val="center" w:pos="4513"/>
        <w:tab w:val="right" w:pos="9026"/>
      </w:tabs>
      <w:spacing w:after="0"/>
      <w:jc w:val="right"/>
    </w:pPr>
    <w:rPr>
      <w:sz w:val="22"/>
    </w:rPr>
  </w:style>
  <w:style w:type="character" w:customStyle="1" w:styleId="HeaderChar">
    <w:name w:val="Header Char"/>
    <w:link w:val="Header"/>
    <w:rsid w:val="0016266F"/>
    <w:rPr>
      <w:rFonts w:ascii="Open Sans" w:eastAsia="MS Mincho" w:hAnsi="Open Sans"/>
      <w:sz w:val="22"/>
      <w:szCs w:val="24"/>
    </w:rPr>
  </w:style>
  <w:style w:type="paragraph" w:styleId="Footer">
    <w:name w:val="footer"/>
    <w:basedOn w:val="Normal"/>
    <w:link w:val="FooterChar"/>
    <w:uiPriority w:val="99"/>
    <w:rsid w:val="0063009F"/>
    <w:pPr>
      <w:tabs>
        <w:tab w:val="right" w:pos="2835"/>
        <w:tab w:val="right" w:pos="5670"/>
      </w:tabs>
      <w:spacing w:before="0" w:after="0"/>
      <w:ind w:left="-868"/>
    </w:pPr>
    <w:rPr>
      <w:sz w:val="18"/>
    </w:rPr>
  </w:style>
  <w:style w:type="character" w:customStyle="1" w:styleId="FooterChar">
    <w:name w:val="Footer Char"/>
    <w:link w:val="Footer"/>
    <w:uiPriority w:val="99"/>
    <w:rsid w:val="0063009F"/>
    <w:rPr>
      <w:rFonts w:ascii="Open Sans" w:eastAsia="MS Mincho" w:hAnsi="Open Sans"/>
      <w:sz w:val="18"/>
      <w:szCs w:val="24"/>
    </w:rPr>
  </w:style>
  <w:style w:type="paragraph" w:styleId="TOC3">
    <w:name w:val="toc 3"/>
    <w:basedOn w:val="Normal"/>
    <w:next w:val="Normal"/>
    <w:uiPriority w:val="39"/>
    <w:locked/>
    <w:rsid w:val="00A92F92"/>
    <w:pPr>
      <w:tabs>
        <w:tab w:val="left" w:pos="1202"/>
        <w:tab w:val="right" w:leader="dot" w:pos="9060"/>
      </w:tabs>
      <w:spacing w:before="0" w:after="0"/>
      <w:ind w:left="1202" w:hanging="720"/>
    </w:pPr>
    <w:rPr>
      <w:rFonts w:cs="Arial"/>
      <w:i/>
      <w:noProof/>
    </w:rPr>
  </w:style>
  <w:style w:type="character" w:styleId="PlaceholderText">
    <w:name w:val="Placeholder Text"/>
    <w:uiPriority w:val="99"/>
    <w:semiHidden/>
    <w:rsid w:val="00471BB7"/>
    <w:rPr>
      <w:rFonts w:ascii="Open Sans" w:hAnsi="Open Sans"/>
      <w:color w:val="auto"/>
      <w:sz w:val="24"/>
    </w:rPr>
  </w:style>
  <w:style w:type="paragraph" w:styleId="ListContinue4">
    <w:name w:val="List Continue 4"/>
    <w:basedOn w:val="Normal"/>
    <w:semiHidden/>
    <w:locked/>
    <w:rsid w:val="005C2ECF"/>
    <w:pPr>
      <w:spacing w:after="120"/>
      <w:ind w:left="1132"/>
    </w:pPr>
  </w:style>
  <w:style w:type="numbering" w:styleId="111111">
    <w:name w:val="Outline List 2"/>
    <w:basedOn w:val="NoList"/>
    <w:semiHidden/>
    <w:locked/>
    <w:rsid w:val="00E45954"/>
    <w:pPr>
      <w:numPr>
        <w:numId w:val="12"/>
      </w:numPr>
    </w:pPr>
  </w:style>
  <w:style w:type="paragraph" w:styleId="TOC1">
    <w:name w:val="toc 1"/>
    <w:basedOn w:val="Normal"/>
    <w:next w:val="Normal"/>
    <w:uiPriority w:val="39"/>
    <w:rsid w:val="000B5B68"/>
    <w:pPr>
      <w:tabs>
        <w:tab w:val="right" w:leader="dot" w:pos="9060"/>
      </w:tabs>
      <w:spacing w:after="0"/>
      <w:ind w:left="720" w:hanging="720"/>
    </w:pPr>
    <w:rPr>
      <w:b/>
      <w:noProof/>
    </w:rPr>
  </w:style>
  <w:style w:type="paragraph" w:styleId="TOC2">
    <w:name w:val="toc 2"/>
    <w:basedOn w:val="Normal"/>
    <w:next w:val="Normal"/>
    <w:uiPriority w:val="39"/>
    <w:locked/>
    <w:rsid w:val="00A92F92"/>
    <w:pPr>
      <w:tabs>
        <w:tab w:val="right" w:leader="dot" w:pos="9060"/>
      </w:tabs>
      <w:spacing w:before="0" w:after="0"/>
      <w:ind w:left="958" w:hanging="720"/>
    </w:pPr>
    <w:rPr>
      <w:b/>
      <w:i/>
      <w:noProof/>
    </w:rPr>
  </w:style>
  <w:style w:type="paragraph" w:styleId="TOC4">
    <w:name w:val="toc 4"/>
    <w:basedOn w:val="Normal"/>
    <w:next w:val="Normal"/>
    <w:uiPriority w:val="39"/>
    <w:semiHidden/>
    <w:locked/>
    <w:rsid w:val="00814FC0"/>
    <w:pPr>
      <w:tabs>
        <w:tab w:val="left" w:pos="1440"/>
        <w:tab w:val="right" w:leader="dot" w:pos="9060"/>
      </w:tabs>
      <w:spacing w:before="0" w:after="0"/>
      <w:ind w:left="1440" w:hanging="720"/>
    </w:pPr>
    <w:rPr>
      <w:noProof/>
    </w:rPr>
  </w:style>
  <w:style w:type="character" w:styleId="Hyperlink">
    <w:name w:val="Hyperlink"/>
    <w:uiPriority w:val="99"/>
    <w:unhideWhenUsed/>
    <w:rsid w:val="00471BB7"/>
    <w:rPr>
      <w:rFonts w:ascii="Open Sans" w:hAnsi="Open Sans"/>
      <w:color w:val="0000FF"/>
      <w:u w:val="single"/>
    </w:rPr>
  </w:style>
  <w:style w:type="paragraph" w:styleId="TOCHeading">
    <w:name w:val="TOC Heading"/>
    <w:basedOn w:val="Normal"/>
    <w:next w:val="Normal"/>
    <w:uiPriority w:val="39"/>
    <w:qFormat/>
    <w:rsid w:val="00471BB7"/>
    <w:pPr>
      <w:spacing w:before="0" w:after="360"/>
    </w:pPr>
    <w:rPr>
      <w:b/>
      <w:lang w:val="en-US" w:eastAsia="en-US"/>
    </w:rPr>
  </w:style>
  <w:style w:type="paragraph" w:styleId="EndnoteText">
    <w:name w:val="endnote text"/>
    <w:aliases w:val="2_G"/>
    <w:basedOn w:val="Normal"/>
    <w:link w:val="EndnoteTextChar1"/>
    <w:uiPriority w:val="99"/>
    <w:qFormat/>
    <w:rsid w:val="0002476A"/>
    <w:pPr>
      <w:spacing w:before="0" w:after="0"/>
      <w:ind w:left="142" w:hanging="142"/>
    </w:pPr>
    <w:rPr>
      <w:sz w:val="20"/>
      <w:szCs w:val="20"/>
    </w:rPr>
  </w:style>
  <w:style w:type="character" w:customStyle="1" w:styleId="EndnoteTextChar1">
    <w:name w:val="Endnote Text Char1"/>
    <w:aliases w:val="2_G Char"/>
    <w:link w:val="EndnoteText"/>
    <w:uiPriority w:val="99"/>
    <w:rsid w:val="00E55F24"/>
    <w:rPr>
      <w:rFonts w:ascii="Open Sans" w:eastAsia="MS Mincho" w:hAnsi="Open Sans"/>
    </w:rPr>
  </w:style>
  <w:style w:type="character" w:styleId="EndnoteReference">
    <w:name w:val="endnote reference"/>
    <w:aliases w:val="QUOTE,1_G,Quote1"/>
    <w:uiPriority w:val="99"/>
    <w:qFormat/>
    <w:rsid w:val="00045C4B"/>
    <w:rPr>
      <w:rFonts w:ascii="Open Sans" w:hAnsi="Open Sans"/>
      <w:sz w:val="20"/>
      <w:vertAlign w:val="superscript"/>
    </w:rPr>
  </w:style>
  <w:style w:type="numbering" w:styleId="1ai">
    <w:name w:val="Outline List 1"/>
    <w:basedOn w:val="NoList"/>
    <w:semiHidden/>
    <w:locked/>
    <w:rsid w:val="00E45954"/>
    <w:pPr>
      <w:numPr>
        <w:numId w:val="13"/>
      </w:numPr>
    </w:pPr>
  </w:style>
  <w:style w:type="numbering" w:styleId="ArticleSection">
    <w:name w:val="Outline List 3"/>
    <w:basedOn w:val="NoList"/>
    <w:semiHidden/>
    <w:locked/>
    <w:rsid w:val="00E45954"/>
    <w:pPr>
      <w:numPr>
        <w:numId w:val="14"/>
      </w:numPr>
    </w:pPr>
  </w:style>
  <w:style w:type="paragraph" w:styleId="BlockText">
    <w:name w:val="Block Text"/>
    <w:basedOn w:val="Normal"/>
    <w:semiHidden/>
    <w:rsid w:val="00045C4B"/>
    <w:pPr>
      <w:spacing w:after="120"/>
      <w:ind w:left="1440" w:right="1440"/>
    </w:pPr>
  </w:style>
  <w:style w:type="paragraph" w:styleId="BodyText">
    <w:name w:val="Body Text"/>
    <w:basedOn w:val="Normal"/>
    <w:semiHidden/>
    <w:rsid w:val="00045C4B"/>
    <w:pPr>
      <w:spacing w:after="120"/>
    </w:pPr>
  </w:style>
  <w:style w:type="paragraph" w:styleId="BodyText2">
    <w:name w:val="Body Text 2"/>
    <w:basedOn w:val="Normal"/>
    <w:semiHidden/>
    <w:rsid w:val="00045C4B"/>
    <w:pPr>
      <w:spacing w:after="120" w:line="480" w:lineRule="auto"/>
    </w:pPr>
  </w:style>
  <w:style w:type="paragraph" w:styleId="BodyText3">
    <w:name w:val="Body Text 3"/>
    <w:basedOn w:val="Normal"/>
    <w:semiHidden/>
    <w:rsid w:val="00045C4B"/>
    <w:pPr>
      <w:spacing w:after="120"/>
    </w:pPr>
    <w:rPr>
      <w:sz w:val="16"/>
      <w:szCs w:val="16"/>
    </w:rPr>
  </w:style>
  <w:style w:type="paragraph" w:styleId="BodyTextFirstIndent">
    <w:name w:val="Body Text First Indent"/>
    <w:basedOn w:val="BodyText"/>
    <w:semiHidden/>
    <w:rsid w:val="00E45954"/>
    <w:pPr>
      <w:ind w:firstLine="210"/>
    </w:pPr>
  </w:style>
  <w:style w:type="paragraph" w:styleId="BodyTextIndent">
    <w:name w:val="Body Text Indent"/>
    <w:basedOn w:val="Normal"/>
    <w:semiHidden/>
    <w:rsid w:val="00045C4B"/>
    <w:pPr>
      <w:spacing w:after="120"/>
      <w:ind w:left="283"/>
    </w:pPr>
  </w:style>
  <w:style w:type="paragraph" w:styleId="BodyTextFirstIndent2">
    <w:name w:val="Body Text First Indent 2"/>
    <w:basedOn w:val="BodyTextIndent"/>
    <w:semiHidden/>
    <w:rsid w:val="00045C4B"/>
    <w:pPr>
      <w:ind w:firstLine="210"/>
    </w:pPr>
  </w:style>
  <w:style w:type="paragraph" w:styleId="BodyTextIndent2">
    <w:name w:val="Body Text Indent 2"/>
    <w:basedOn w:val="Normal"/>
    <w:semiHidden/>
    <w:rsid w:val="00045C4B"/>
    <w:pPr>
      <w:spacing w:after="120" w:line="480" w:lineRule="auto"/>
      <w:ind w:left="283"/>
    </w:pPr>
  </w:style>
  <w:style w:type="paragraph" w:styleId="BodyTextIndent3">
    <w:name w:val="Body Text Indent 3"/>
    <w:basedOn w:val="Normal"/>
    <w:semiHidden/>
    <w:rsid w:val="00045C4B"/>
    <w:pPr>
      <w:spacing w:after="120"/>
      <w:ind w:left="283"/>
    </w:pPr>
    <w:rPr>
      <w:sz w:val="16"/>
      <w:szCs w:val="16"/>
    </w:rPr>
  </w:style>
  <w:style w:type="paragraph" w:styleId="Closing">
    <w:name w:val="Closing"/>
    <w:basedOn w:val="Normal"/>
    <w:semiHidden/>
    <w:rsid w:val="00045C4B"/>
    <w:pPr>
      <w:ind w:left="4252"/>
    </w:pPr>
  </w:style>
  <w:style w:type="paragraph" w:styleId="Date">
    <w:name w:val="Date"/>
    <w:basedOn w:val="Normal"/>
    <w:next w:val="Normal"/>
    <w:semiHidden/>
    <w:rsid w:val="005C2ECF"/>
    <w:pPr>
      <w:spacing w:before="120" w:after="120"/>
      <w:jc w:val="right"/>
    </w:pPr>
  </w:style>
  <w:style w:type="paragraph" w:styleId="E-mailSignature">
    <w:name w:val="E-mail Signature"/>
    <w:basedOn w:val="Normal"/>
    <w:semiHidden/>
    <w:rsid w:val="00045C4B"/>
  </w:style>
  <w:style w:type="character" w:styleId="Emphasis">
    <w:name w:val="Emphasis"/>
    <w:rsid w:val="00045C4B"/>
    <w:rPr>
      <w:rFonts w:ascii="Open Sans" w:hAnsi="Open Sans"/>
      <w:i w:val="0"/>
      <w:iCs/>
    </w:rPr>
  </w:style>
  <w:style w:type="paragraph" w:styleId="EnvelopeAddress">
    <w:name w:val="envelope address"/>
    <w:basedOn w:val="Normal"/>
    <w:semiHidden/>
    <w:rsid w:val="00045C4B"/>
    <w:pPr>
      <w:framePr w:w="7920" w:h="1980" w:hRule="exact" w:hSpace="180" w:wrap="auto" w:hAnchor="page" w:xAlign="center" w:yAlign="bottom"/>
      <w:spacing w:before="0" w:after="0"/>
      <w:ind w:left="2880"/>
    </w:pPr>
    <w:rPr>
      <w:rFonts w:cs="Arial"/>
    </w:rPr>
  </w:style>
  <w:style w:type="paragraph" w:styleId="EnvelopeReturn">
    <w:name w:val="envelope return"/>
    <w:basedOn w:val="Normal"/>
    <w:semiHidden/>
    <w:rsid w:val="00045C4B"/>
    <w:rPr>
      <w:rFonts w:cs="Arial"/>
      <w:sz w:val="20"/>
      <w:szCs w:val="20"/>
    </w:rPr>
  </w:style>
  <w:style w:type="character" w:styleId="HTMLAcronym">
    <w:name w:val="HTML Acronym"/>
    <w:semiHidden/>
    <w:rsid w:val="005C2ECF"/>
    <w:rPr>
      <w:rFonts w:ascii="Open Sans" w:hAnsi="Open Sans"/>
    </w:rPr>
  </w:style>
  <w:style w:type="paragraph" w:styleId="HTMLAddress">
    <w:name w:val="HTML Address"/>
    <w:basedOn w:val="Normal"/>
    <w:semiHidden/>
    <w:rsid w:val="005C2ECF"/>
    <w:rPr>
      <w:i/>
      <w:iCs/>
    </w:rPr>
  </w:style>
  <w:style w:type="character" w:styleId="HTMLCite">
    <w:name w:val="HTML Cite"/>
    <w:semiHidden/>
    <w:rsid w:val="005C2ECF"/>
    <w:rPr>
      <w:rFonts w:ascii="Open Sans" w:hAnsi="Open Sans"/>
      <w:i/>
      <w:iCs/>
    </w:rPr>
  </w:style>
  <w:style w:type="character" w:styleId="HTMLCode">
    <w:name w:val="HTML Code"/>
    <w:semiHidden/>
    <w:rsid w:val="005C2ECF"/>
    <w:rPr>
      <w:rFonts w:ascii="Open Sans" w:hAnsi="Open Sans" w:cs="Courier New"/>
      <w:sz w:val="20"/>
      <w:szCs w:val="20"/>
    </w:rPr>
  </w:style>
  <w:style w:type="character" w:styleId="HTMLDefinition">
    <w:name w:val="HTML Definition"/>
    <w:semiHidden/>
    <w:rsid w:val="005C2ECF"/>
    <w:rPr>
      <w:rFonts w:ascii="Open Sans" w:hAnsi="Open Sans"/>
      <w:i/>
      <w:iCs/>
    </w:rPr>
  </w:style>
  <w:style w:type="character" w:styleId="HTMLKeyboard">
    <w:name w:val="HTML Keyboard"/>
    <w:semiHidden/>
    <w:rsid w:val="005C2ECF"/>
    <w:rPr>
      <w:rFonts w:ascii="Open Sans" w:hAnsi="Open Sans" w:cs="Courier New"/>
      <w:sz w:val="20"/>
      <w:szCs w:val="20"/>
    </w:rPr>
  </w:style>
  <w:style w:type="paragraph" w:styleId="HTMLPreformatted">
    <w:name w:val="HTML Preformatted"/>
    <w:basedOn w:val="Normal"/>
    <w:semiHidden/>
    <w:rsid w:val="005C2ECF"/>
    <w:rPr>
      <w:rFonts w:cs="Courier New"/>
      <w:sz w:val="20"/>
      <w:szCs w:val="20"/>
    </w:rPr>
  </w:style>
  <w:style w:type="character" w:styleId="HTMLSample">
    <w:name w:val="HTML Sample"/>
    <w:semiHidden/>
    <w:rsid w:val="005C2ECF"/>
    <w:rPr>
      <w:rFonts w:ascii="Open Sans" w:hAnsi="Open Sans" w:cs="Courier New"/>
    </w:rPr>
  </w:style>
  <w:style w:type="character" w:styleId="HTMLTypewriter">
    <w:name w:val="HTML Typewriter"/>
    <w:semiHidden/>
    <w:rsid w:val="005C2ECF"/>
    <w:rPr>
      <w:rFonts w:ascii="Open Sans" w:hAnsi="Open Sans" w:cs="Courier New"/>
      <w:sz w:val="20"/>
      <w:szCs w:val="20"/>
    </w:rPr>
  </w:style>
  <w:style w:type="character" w:styleId="HTMLVariable">
    <w:name w:val="HTML Variable"/>
    <w:semiHidden/>
    <w:rsid w:val="005C2ECF"/>
    <w:rPr>
      <w:rFonts w:ascii="Open Sans" w:hAnsi="Open Sans"/>
      <w:i/>
      <w:iCs/>
    </w:rPr>
  </w:style>
  <w:style w:type="character" w:styleId="LineNumber">
    <w:name w:val="line number"/>
    <w:semiHidden/>
    <w:rsid w:val="005C2ECF"/>
    <w:rPr>
      <w:rFonts w:ascii="Open Sans" w:hAnsi="Open Sans"/>
    </w:rPr>
  </w:style>
  <w:style w:type="paragraph" w:styleId="List">
    <w:name w:val="List"/>
    <w:basedOn w:val="Normal"/>
    <w:semiHidden/>
    <w:locked/>
    <w:rsid w:val="005C2ECF"/>
    <w:pPr>
      <w:ind w:left="283" w:hanging="283"/>
    </w:pPr>
  </w:style>
  <w:style w:type="paragraph" w:styleId="List2">
    <w:name w:val="List 2"/>
    <w:basedOn w:val="Normal"/>
    <w:semiHidden/>
    <w:locked/>
    <w:rsid w:val="005C2ECF"/>
    <w:pPr>
      <w:ind w:left="566" w:hanging="283"/>
    </w:pPr>
  </w:style>
  <w:style w:type="paragraph" w:styleId="List3">
    <w:name w:val="List 3"/>
    <w:basedOn w:val="Normal"/>
    <w:semiHidden/>
    <w:locked/>
    <w:rsid w:val="005C2ECF"/>
    <w:pPr>
      <w:ind w:left="849" w:hanging="283"/>
    </w:pPr>
  </w:style>
  <w:style w:type="paragraph" w:styleId="List4">
    <w:name w:val="List 4"/>
    <w:basedOn w:val="Normal"/>
    <w:semiHidden/>
    <w:locked/>
    <w:rsid w:val="005C2ECF"/>
    <w:pPr>
      <w:ind w:left="1132" w:hanging="283"/>
    </w:pPr>
  </w:style>
  <w:style w:type="paragraph" w:styleId="List5">
    <w:name w:val="List 5"/>
    <w:basedOn w:val="Normal"/>
    <w:semiHidden/>
    <w:locked/>
    <w:rsid w:val="005C2ECF"/>
    <w:pPr>
      <w:ind w:left="1415" w:hanging="283"/>
    </w:pPr>
  </w:style>
  <w:style w:type="paragraph" w:styleId="ListBullet">
    <w:name w:val="List Bullet"/>
    <w:basedOn w:val="ListNumber"/>
    <w:qFormat/>
    <w:rsid w:val="00DC307B"/>
    <w:pPr>
      <w:numPr>
        <w:numId w:val="2"/>
      </w:numPr>
      <w:spacing w:before="0"/>
    </w:pPr>
  </w:style>
  <w:style w:type="paragraph" w:styleId="ListBullet2">
    <w:name w:val="List Bullet 2"/>
    <w:basedOn w:val="Normal"/>
    <w:semiHidden/>
    <w:locked/>
    <w:rsid w:val="005C2ECF"/>
    <w:pPr>
      <w:numPr>
        <w:numId w:val="3"/>
      </w:numPr>
    </w:pPr>
  </w:style>
  <w:style w:type="paragraph" w:styleId="ListBullet3">
    <w:name w:val="List Bullet 3"/>
    <w:basedOn w:val="Normal"/>
    <w:semiHidden/>
    <w:locked/>
    <w:rsid w:val="005C2ECF"/>
    <w:pPr>
      <w:numPr>
        <w:numId w:val="4"/>
      </w:numPr>
    </w:pPr>
  </w:style>
  <w:style w:type="paragraph" w:styleId="ListBullet4">
    <w:name w:val="List Bullet 4"/>
    <w:basedOn w:val="Normal"/>
    <w:semiHidden/>
    <w:locked/>
    <w:rsid w:val="005C2ECF"/>
    <w:pPr>
      <w:numPr>
        <w:numId w:val="5"/>
      </w:numPr>
    </w:pPr>
  </w:style>
  <w:style w:type="paragraph" w:styleId="ListBullet5">
    <w:name w:val="List Bullet 5"/>
    <w:basedOn w:val="Normal"/>
    <w:semiHidden/>
    <w:locked/>
    <w:rsid w:val="005C2ECF"/>
    <w:pPr>
      <w:numPr>
        <w:numId w:val="6"/>
      </w:numPr>
    </w:pPr>
  </w:style>
  <w:style w:type="paragraph" w:styleId="ListContinue">
    <w:name w:val="List Continue"/>
    <w:basedOn w:val="Normal"/>
    <w:semiHidden/>
    <w:locked/>
    <w:rsid w:val="005C2ECF"/>
    <w:pPr>
      <w:spacing w:after="120"/>
      <w:ind w:left="283"/>
    </w:pPr>
  </w:style>
  <w:style w:type="paragraph" w:styleId="ListContinue2">
    <w:name w:val="List Continue 2"/>
    <w:basedOn w:val="Normal"/>
    <w:semiHidden/>
    <w:locked/>
    <w:rsid w:val="005C2ECF"/>
    <w:pPr>
      <w:spacing w:after="120"/>
      <w:ind w:left="566"/>
    </w:pPr>
  </w:style>
  <w:style w:type="paragraph" w:styleId="ListContinue3">
    <w:name w:val="List Continue 3"/>
    <w:basedOn w:val="Normal"/>
    <w:semiHidden/>
    <w:locked/>
    <w:rsid w:val="005C2ECF"/>
    <w:pPr>
      <w:spacing w:after="120"/>
      <w:ind w:left="849"/>
    </w:pPr>
  </w:style>
  <w:style w:type="paragraph" w:styleId="ListContinue5">
    <w:name w:val="List Continue 5"/>
    <w:basedOn w:val="Normal"/>
    <w:semiHidden/>
    <w:locked/>
    <w:rsid w:val="005C2ECF"/>
    <w:pPr>
      <w:spacing w:after="120"/>
      <w:ind w:left="1415"/>
    </w:pPr>
  </w:style>
  <w:style w:type="paragraph" w:styleId="ListNumber">
    <w:name w:val="List Number"/>
    <w:basedOn w:val="Normal"/>
    <w:qFormat/>
    <w:rsid w:val="007B06EA"/>
    <w:pPr>
      <w:numPr>
        <w:numId w:val="7"/>
      </w:numPr>
      <w:tabs>
        <w:tab w:val="clear" w:pos="360"/>
        <w:tab w:val="left" w:pos="1134"/>
      </w:tabs>
      <w:spacing w:before="120" w:after="120"/>
      <w:ind w:left="1094" w:hanging="737"/>
    </w:pPr>
  </w:style>
  <w:style w:type="paragraph" w:styleId="ListNumber2">
    <w:name w:val="List Number 2"/>
    <w:basedOn w:val="Normal"/>
    <w:semiHidden/>
    <w:locked/>
    <w:rsid w:val="005C2ECF"/>
    <w:pPr>
      <w:numPr>
        <w:numId w:val="10"/>
      </w:numPr>
    </w:pPr>
  </w:style>
  <w:style w:type="paragraph" w:styleId="ListNumber3">
    <w:name w:val="List Number 3"/>
    <w:basedOn w:val="Normal"/>
    <w:semiHidden/>
    <w:locked/>
    <w:rsid w:val="005C2ECF"/>
    <w:pPr>
      <w:numPr>
        <w:numId w:val="11"/>
      </w:numPr>
    </w:pPr>
  </w:style>
  <w:style w:type="paragraph" w:styleId="ListNumber4">
    <w:name w:val="List Number 4"/>
    <w:basedOn w:val="Normal"/>
    <w:semiHidden/>
    <w:locked/>
    <w:rsid w:val="005C2ECF"/>
    <w:pPr>
      <w:numPr>
        <w:numId w:val="8"/>
      </w:numPr>
    </w:pPr>
  </w:style>
  <w:style w:type="paragraph" w:styleId="ListNumber5">
    <w:name w:val="List Number 5"/>
    <w:basedOn w:val="Normal"/>
    <w:semiHidden/>
    <w:locked/>
    <w:rsid w:val="005C2ECF"/>
    <w:pPr>
      <w:numPr>
        <w:numId w:val="9"/>
      </w:numPr>
    </w:pPr>
  </w:style>
  <w:style w:type="paragraph" w:styleId="MessageHeader">
    <w:name w:val="Message Header"/>
    <w:basedOn w:val="Normal"/>
    <w:semiHidden/>
    <w:locked/>
    <w:rsid w:val="005C2ECF"/>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semiHidden/>
    <w:rsid w:val="005C2ECF"/>
  </w:style>
  <w:style w:type="paragraph" w:styleId="NormalIndent">
    <w:name w:val="Normal Indent"/>
    <w:basedOn w:val="Normal"/>
    <w:semiHidden/>
    <w:rsid w:val="005C2ECF"/>
    <w:pPr>
      <w:ind w:left="720"/>
    </w:pPr>
  </w:style>
  <w:style w:type="paragraph" w:styleId="NoteHeading">
    <w:name w:val="Note Heading"/>
    <w:basedOn w:val="Normal"/>
    <w:next w:val="Normal"/>
    <w:semiHidden/>
    <w:rsid w:val="00E45954"/>
  </w:style>
  <w:style w:type="character" w:styleId="PageNumber">
    <w:name w:val="page number"/>
    <w:semiHidden/>
    <w:rsid w:val="00471BB7"/>
    <w:rPr>
      <w:rFonts w:ascii="Open Sans" w:hAnsi="Open Sans"/>
      <w:sz w:val="24"/>
    </w:rPr>
  </w:style>
  <w:style w:type="paragraph" w:styleId="PlainText">
    <w:name w:val="Plain Text"/>
    <w:basedOn w:val="Normal"/>
    <w:semiHidden/>
    <w:rsid w:val="00471BB7"/>
    <w:rPr>
      <w:rFonts w:cs="Courier New"/>
      <w:szCs w:val="20"/>
    </w:rPr>
  </w:style>
  <w:style w:type="paragraph" w:styleId="Salutation">
    <w:name w:val="Salutation"/>
    <w:basedOn w:val="Normal"/>
    <w:next w:val="Normal"/>
    <w:semiHidden/>
    <w:locked/>
    <w:rsid w:val="00471BB7"/>
  </w:style>
  <w:style w:type="paragraph" w:styleId="Signature">
    <w:name w:val="Signature"/>
    <w:basedOn w:val="Normal"/>
    <w:semiHidden/>
    <w:locked/>
    <w:rsid w:val="00E45954"/>
    <w:pPr>
      <w:ind w:left="4252"/>
    </w:pPr>
  </w:style>
  <w:style w:type="paragraph" w:styleId="Subtitle">
    <w:name w:val="Subtitle"/>
    <w:basedOn w:val="Normal"/>
    <w:link w:val="SubtitleChar"/>
    <w:qFormat/>
    <w:rsid w:val="00817C73"/>
    <w:pPr>
      <w:jc w:val="right"/>
      <w:outlineLvl w:val="1"/>
    </w:pPr>
    <w:rPr>
      <w:rFonts w:cs="Arial"/>
      <w:color w:val="237BBC"/>
      <w:sz w:val="28"/>
    </w:rPr>
  </w:style>
  <w:style w:type="table" w:styleId="Table3Deffects1">
    <w:name w:val="Table 3D effects 1"/>
    <w:basedOn w:val="TableNormal"/>
    <w:semiHidden/>
    <w:locked/>
    <w:rsid w:val="00E45954"/>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E45954"/>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E45954"/>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E45954"/>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E45954"/>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E45954"/>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E45954"/>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E45954"/>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E45954"/>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E45954"/>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E45954"/>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E45954"/>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E45954"/>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E45954"/>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E45954"/>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E45954"/>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E45954"/>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locked/>
    <w:rsid w:val="00E45954"/>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E45954"/>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E45954"/>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E45954"/>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E45954"/>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E45954"/>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E45954"/>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E45954"/>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E45954"/>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E45954"/>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E45954"/>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E45954"/>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E45954"/>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E45954"/>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E45954"/>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E45954"/>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E45954"/>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E45954"/>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E45954"/>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E45954"/>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rsid w:val="00E45954"/>
    <w:pPr>
      <w:spacing w:after="60"/>
      <w:jc w:val="center"/>
      <w:outlineLvl w:val="0"/>
    </w:pPr>
    <w:rPr>
      <w:rFonts w:cs="Arial"/>
      <w:b/>
      <w:bCs/>
      <w:kern w:val="28"/>
      <w:sz w:val="32"/>
      <w:szCs w:val="32"/>
    </w:rPr>
  </w:style>
  <w:style w:type="character" w:styleId="FollowedHyperlink">
    <w:name w:val="FollowedHyperlink"/>
    <w:semiHidden/>
    <w:rsid w:val="00045C4B"/>
    <w:rPr>
      <w:rFonts w:ascii="Open Sans" w:hAnsi="Open Sans"/>
      <w:color w:val="800080"/>
      <w:u w:val="single"/>
    </w:rPr>
  </w:style>
  <w:style w:type="paragraph" w:customStyle="1" w:styleId="MainTitle">
    <w:name w:val="Main Title"/>
    <w:next w:val="Subtitle"/>
    <w:qFormat/>
    <w:rsid w:val="00A355F9"/>
    <w:pPr>
      <w:spacing w:before="240" w:after="240" w:line="740" w:lineRule="exact"/>
      <w:contextualSpacing/>
      <w:jc w:val="right"/>
    </w:pPr>
    <w:rPr>
      <w:rFonts w:ascii="Open Sans" w:hAnsi="Open Sans"/>
      <w:bCs/>
      <w:color w:val="237BBC"/>
      <w:kern w:val="32"/>
      <w:sz w:val="56"/>
      <w:szCs w:val="32"/>
    </w:rPr>
  </w:style>
  <w:style w:type="paragraph" w:customStyle="1" w:styleId="HeaderFooter">
    <w:name w:val="Header &amp; Footer"/>
    <w:basedOn w:val="Normal"/>
    <w:semiHidden/>
    <w:locked/>
    <w:rsid w:val="005C2ECF"/>
    <w:pPr>
      <w:spacing w:line="200" w:lineRule="exact"/>
      <w:jc w:val="both"/>
    </w:pPr>
    <w:rPr>
      <w:rFonts w:eastAsia="Times New Roman" w:cs="ArialMT"/>
      <w:sz w:val="16"/>
      <w:lang w:eastAsia="en-US"/>
    </w:rPr>
  </w:style>
  <w:style w:type="paragraph" w:customStyle="1" w:styleId="LogoType">
    <w:name w:val="Logo Type"/>
    <w:basedOn w:val="Header"/>
    <w:semiHidden/>
    <w:locked/>
    <w:rsid w:val="005C2ECF"/>
    <w:pPr>
      <w:pBdr>
        <w:bottom w:val="single" w:sz="4" w:space="4" w:color="auto"/>
      </w:pBdr>
      <w:tabs>
        <w:tab w:val="clear" w:pos="4513"/>
        <w:tab w:val="clear" w:pos="9026"/>
        <w:tab w:val="left" w:pos="4686"/>
        <w:tab w:val="left" w:pos="7088"/>
        <w:tab w:val="left" w:pos="7242"/>
      </w:tabs>
      <w:spacing w:before="0" w:line="320" w:lineRule="exact"/>
    </w:pPr>
    <w:rPr>
      <w:rFonts w:cs="ArialMT"/>
      <w:b/>
      <w:spacing w:val="-20"/>
      <w:sz w:val="32"/>
      <w:lang w:eastAsia="en-US"/>
    </w:rPr>
  </w:style>
  <w:style w:type="paragraph" w:styleId="BalloonText">
    <w:name w:val="Balloon Text"/>
    <w:basedOn w:val="Normal"/>
    <w:link w:val="BalloonTextChar"/>
    <w:semiHidden/>
    <w:rsid w:val="00045C4B"/>
    <w:pPr>
      <w:spacing w:before="0" w:after="0"/>
    </w:pPr>
    <w:rPr>
      <w:rFonts w:cs="Tahoma"/>
      <w:sz w:val="16"/>
      <w:szCs w:val="16"/>
    </w:rPr>
  </w:style>
  <w:style w:type="character" w:customStyle="1" w:styleId="BalloonTextChar">
    <w:name w:val="Balloon Text Char"/>
    <w:link w:val="BalloonText"/>
    <w:semiHidden/>
    <w:rsid w:val="00045C4B"/>
    <w:rPr>
      <w:rFonts w:ascii="Open Sans" w:eastAsia="MS Mincho" w:hAnsi="Open Sans" w:cs="Tahoma"/>
      <w:sz w:val="16"/>
      <w:szCs w:val="16"/>
    </w:rPr>
  </w:style>
  <w:style w:type="character" w:customStyle="1" w:styleId="CharChar">
    <w:name w:val="Char Char"/>
    <w:semiHidden/>
    <w:locked/>
    <w:rsid w:val="00045C4B"/>
    <w:rPr>
      <w:rFonts w:ascii="Open Sans" w:hAnsi="Open Sans" w:cs="Arial"/>
      <w:lang w:val="en-AU" w:eastAsia="en-AU" w:bidi="ar-SA"/>
    </w:rPr>
  </w:style>
  <w:style w:type="character" w:customStyle="1" w:styleId="EndnoteTextChar">
    <w:name w:val="Endnote Text Char"/>
    <w:aliases w:val="2_G Char1"/>
    <w:uiPriority w:val="99"/>
    <w:locked/>
    <w:rsid w:val="00045C4B"/>
    <w:rPr>
      <w:rFonts w:ascii="Open Sans" w:hAnsi="Open Sans"/>
      <w:sz w:val="20"/>
      <w:lang w:bidi="ar-SA"/>
    </w:rPr>
  </w:style>
  <w:style w:type="character" w:customStyle="1" w:styleId="SubtitleChar">
    <w:name w:val="Subtitle Char"/>
    <w:link w:val="Subtitle"/>
    <w:rsid w:val="00817C73"/>
    <w:rPr>
      <w:rFonts w:ascii="Open Sans" w:eastAsia="MS Mincho" w:hAnsi="Open Sans" w:cs="Arial"/>
      <w:color w:val="237BBC"/>
      <w:sz w:val="28"/>
      <w:szCs w:val="24"/>
    </w:rPr>
  </w:style>
  <w:style w:type="paragraph" w:customStyle="1" w:styleId="SubmissionNormal">
    <w:name w:val="Submission Normal"/>
    <w:basedOn w:val="Normal"/>
    <w:link w:val="SubmissionNormalChar"/>
    <w:locked/>
    <w:rsid w:val="00B34946"/>
    <w:pPr>
      <w:numPr>
        <w:numId w:val="15"/>
      </w:numPr>
      <w:tabs>
        <w:tab w:val="clear" w:pos="720"/>
      </w:tabs>
      <w:ind w:hanging="720"/>
    </w:pPr>
    <w:rPr>
      <w:rFonts w:eastAsia="Times New Roman"/>
    </w:rPr>
  </w:style>
  <w:style w:type="character" w:customStyle="1" w:styleId="SubmissionNormalChar">
    <w:name w:val="Submission Normal Char"/>
    <w:link w:val="SubmissionNormal"/>
    <w:rsid w:val="00B34946"/>
    <w:rPr>
      <w:rFonts w:ascii="Open Sans" w:hAnsi="Open Sans"/>
      <w:sz w:val="24"/>
      <w:szCs w:val="24"/>
    </w:rPr>
  </w:style>
  <w:style w:type="paragraph" w:customStyle="1" w:styleId="coveraddresses">
    <w:name w:val="cover addresses"/>
    <w:basedOn w:val="Footer"/>
    <w:locked/>
    <w:rsid w:val="005C2ECF"/>
    <w:pPr>
      <w:spacing w:after="40"/>
    </w:pPr>
    <w:rPr>
      <w:szCs w:val="16"/>
    </w:rPr>
  </w:style>
  <w:style w:type="paragraph" w:customStyle="1" w:styleId="coveraddress">
    <w:name w:val="cover address"/>
    <w:basedOn w:val="coveraddresses"/>
    <w:locked/>
    <w:rsid w:val="005C2ECF"/>
  </w:style>
  <w:style w:type="paragraph" w:styleId="Caption">
    <w:name w:val="caption"/>
    <w:basedOn w:val="Normal"/>
    <w:next w:val="Normal"/>
    <w:semiHidden/>
    <w:unhideWhenUsed/>
    <w:qFormat/>
    <w:rsid w:val="00045C4B"/>
    <w:rPr>
      <w:b/>
      <w:bCs/>
      <w:sz w:val="20"/>
      <w:szCs w:val="20"/>
    </w:rPr>
  </w:style>
  <w:style w:type="character" w:styleId="CommentReference">
    <w:name w:val="annotation reference"/>
    <w:uiPriority w:val="99"/>
    <w:rsid w:val="00045C4B"/>
    <w:rPr>
      <w:rFonts w:ascii="Open Sans" w:hAnsi="Open Sans"/>
      <w:sz w:val="16"/>
      <w:szCs w:val="16"/>
    </w:rPr>
  </w:style>
  <w:style w:type="paragraph" w:styleId="CommentText">
    <w:name w:val="annotation text"/>
    <w:basedOn w:val="Normal"/>
    <w:link w:val="CommentTextChar"/>
    <w:uiPriority w:val="99"/>
    <w:rsid w:val="00045C4B"/>
    <w:rPr>
      <w:sz w:val="20"/>
      <w:szCs w:val="20"/>
    </w:rPr>
  </w:style>
  <w:style w:type="character" w:customStyle="1" w:styleId="CommentTextChar">
    <w:name w:val="Comment Text Char"/>
    <w:link w:val="CommentText"/>
    <w:uiPriority w:val="99"/>
    <w:rsid w:val="00045C4B"/>
    <w:rPr>
      <w:rFonts w:ascii="Open Sans" w:eastAsia="MS Mincho" w:hAnsi="Open Sans"/>
    </w:rPr>
  </w:style>
  <w:style w:type="paragraph" w:styleId="CommentSubject">
    <w:name w:val="annotation subject"/>
    <w:basedOn w:val="CommentText"/>
    <w:next w:val="CommentText"/>
    <w:link w:val="CommentSubjectChar"/>
    <w:rsid w:val="00045C4B"/>
    <w:rPr>
      <w:b/>
      <w:bCs/>
    </w:rPr>
  </w:style>
  <w:style w:type="character" w:customStyle="1" w:styleId="CommentSubjectChar">
    <w:name w:val="Comment Subject Char"/>
    <w:link w:val="CommentSubject"/>
    <w:rsid w:val="00045C4B"/>
    <w:rPr>
      <w:rFonts w:ascii="Open Sans" w:eastAsia="MS Mincho" w:hAnsi="Open Sans"/>
      <w:b/>
      <w:bCs/>
    </w:rPr>
  </w:style>
  <w:style w:type="paragraph" w:styleId="DocumentMap">
    <w:name w:val="Document Map"/>
    <w:basedOn w:val="Normal"/>
    <w:link w:val="DocumentMapChar"/>
    <w:rsid w:val="00045C4B"/>
    <w:rPr>
      <w:rFonts w:cs="Segoe UI"/>
      <w:sz w:val="16"/>
      <w:szCs w:val="16"/>
    </w:rPr>
  </w:style>
  <w:style w:type="character" w:customStyle="1" w:styleId="DocumentMapChar">
    <w:name w:val="Document Map Char"/>
    <w:link w:val="DocumentMap"/>
    <w:rsid w:val="00045C4B"/>
    <w:rPr>
      <w:rFonts w:ascii="Open Sans" w:eastAsia="MS Mincho" w:hAnsi="Open Sans" w:cs="Segoe UI"/>
      <w:sz w:val="16"/>
      <w:szCs w:val="16"/>
    </w:rPr>
  </w:style>
  <w:style w:type="paragraph" w:styleId="Index1">
    <w:name w:val="index 1"/>
    <w:basedOn w:val="Normal"/>
    <w:next w:val="Normal"/>
    <w:rsid w:val="005C2ECF"/>
    <w:pPr>
      <w:ind w:left="240" w:hanging="240"/>
    </w:pPr>
  </w:style>
  <w:style w:type="paragraph" w:styleId="Index2">
    <w:name w:val="index 2"/>
    <w:basedOn w:val="Normal"/>
    <w:next w:val="Normal"/>
    <w:rsid w:val="005C2ECF"/>
    <w:pPr>
      <w:ind w:left="480" w:hanging="240"/>
    </w:pPr>
  </w:style>
  <w:style w:type="paragraph" w:styleId="Index3">
    <w:name w:val="index 3"/>
    <w:basedOn w:val="Normal"/>
    <w:next w:val="Normal"/>
    <w:rsid w:val="005C2ECF"/>
    <w:pPr>
      <w:ind w:left="720" w:hanging="240"/>
    </w:pPr>
  </w:style>
  <w:style w:type="paragraph" w:styleId="Index4">
    <w:name w:val="index 4"/>
    <w:basedOn w:val="Normal"/>
    <w:next w:val="Normal"/>
    <w:rsid w:val="005C2ECF"/>
    <w:pPr>
      <w:ind w:left="960" w:hanging="240"/>
    </w:pPr>
  </w:style>
  <w:style w:type="paragraph" w:styleId="Index5">
    <w:name w:val="index 5"/>
    <w:basedOn w:val="Normal"/>
    <w:next w:val="Normal"/>
    <w:rsid w:val="005C2ECF"/>
    <w:pPr>
      <w:ind w:left="1200" w:hanging="240"/>
    </w:pPr>
  </w:style>
  <w:style w:type="paragraph" w:styleId="Index6">
    <w:name w:val="index 6"/>
    <w:basedOn w:val="Normal"/>
    <w:next w:val="Normal"/>
    <w:rsid w:val="005C2ECF"/>
    <w:pPr>
      <w:ind w:left="1440" w:hanging="240"/>
    </w:pPr>
  </w:style>
  <w:style w:type="paragraph" w:styleId="Index7">
    <w:name w:val="index 7"/>
    <w:basedOn w:val="Normal"/>
    <w:next w:val="Normal"/>
    <w:rsid w:val="005C2ECF"/>
    <w:pPr>
      <w:ind w:left="1680" w:hanging="240"/>
    </w:pPr>
  </w:style>
  <w:style w:type="paragraph" w:styleId="Index8">
    <w:name w:val="index 8"/>
    <w:basedOn w:val="Normal"/>
    <w:next w:val="Normal"/>
    <w:rsid w:val="005C2ECF"/>
    <w:pPr>
      <w:ind w:left="1920" w:hanging="240"/>
    </w:pPr>
  </w:style>
  <w:style w:type="paragraph" w:styleId="Index9">
    <w:name w:val="index 9"/>
    <w:basedOn w:val="Normal"/>
    <w:next w:val="Normal"/>
    <w:rsid w:val="005C2ECF"/>
    <w:pPr>
      <w:ind w:left="2160" w:hanging="240"/>
    </w:pPr>
  </w:style>
  <w:style w:type="paragraph" w:styleId="IndexHeading">
    <w:name w:val="index heading"/>
    <w:basedOn w:val="Normal"/>
    <w:next w:val="Index1"/>
    <w:rsid w:val="005C2ECF"/>
    <w:rPr>
      <w:rFonts w:eastAsia="Times New Roman"/>
      <w:b/>
      <w:bCs/>
    </w:rPr>
  </w:style>
  <w:style w:type="paragraph" w:styleId="MacroText">
    <w:name w:val="macro"/>
    <w:link w:val="MacroTextChar"/>
    <w:rsid w:val="005C2ECF"/>
    <w:pPr>
      <w:tabs>
        <w:tab w:val="left" w:pos="480"/>
        <w:tab w:val="left" w:pos="960"/>
        <w:tab w:val="left" w:pos="1440"/>
        <w:tab w:val="left" w:pos="1920"/>
        <w:tab w:val="left" w:pos="2400"/>
        <w:tab w:val="left" w:pos="2880"/>
        <w:tab w:val="left" w:pos="3360"/>
        <w:tab w:val="left" w:pos="3840"/>
        <w:tab w:val="left" w:pos="4320"/>
      </w:tabs>
      <w:spacing w:before="240" w:after="240"/>
    </w:pPr>
    <w:rPr>
      <w:rFonts w:ascii="Open Sans" w:eastAsia="MS Mincho" w:hAnsi="Open Sans" w:cs="Courier New"/>
    </w:rPr>
  </w:style>
  <w:style w:type="character" w:customStyle="1" w:styleId="MacroTextChar">
    <w:name w:val="Macro Text Char"/>
    <w:link w:val="MacroText"/>
    <w:rsid w:val="005C2ECF"/>
    <w:rPr>
      <w:rFonts w:ascii="Open Sans" w:eastAsia="MS Mincho" w:hAnsi="Open Sans" w:cs="Courier New"/>
    </w:rPr>
  </w:style>
  <w:style w:type="paragraph" w:styleId="TableofAuthorities">
    <w:name w:val="table of authorities"/>
    <w:basedOn w:val="Normal"/>
    <w:next w:val="Normal"/>
    <w:locked/>
    <w:rsid w:val="00471BB7"/>
    <w:pPr>
      <w:ind w:left="240" w:hanging="240"/>
    </w:pPr>
  </w:style>
  <w:style w:type="paragraph" w:styleId="TableofFigures">
    <w:name w:val="table of figures"/>
    <w:basedOn w:val="Normal"/>
    <w:next w:val="Normal"/>
    <w:locked/>
    <w:rsid w:val="00471BB7"/>
  </w:style>
  <w:style w:type="paragraph" w:styleId="TOAHeading">
    <w:name w:val="toa heading"/>
    <w:basedOn w:val="Normal"/>
    <w:next w:val="Normal"/>
    <w:locked/>
    <w:rsid w:val="00471BB7"/>
    <w:pPr>
      <w:spacing w:before="120"/>
    </w:pPr>
    <w:rPr>
      <w:rFonts w:eastAsia="Times New Roman"/>
      <w:b/>
      <w:bCs/>
    </w:rPr>
  </w:style>
  <w:style w:type="paragraph" w:styleId="TOC5">
    <w:name w:val="toc 5"/>
    <w:basedOn w:val="Normal"/>
    <w:next w:val="Normal"/>
    <w:semiHidden/>
    <w:locked/>
    <w:rsid w:val="00471BB7"/>
    <w:pPr>
      <w:ind w:left="960"/>
    </w:pPr>
  </w:style>
  <w:style w:type="paragraph" w:styleId="TOC6">
    <w:name w:val="toc 6"/>
    <w:basedOn w:val="Normal"/>
    <w:next w:val="Normal"/>
    <w:semiHidden/>
    <w:locked/>
    <w:rsid w:val="00471BB7"/>
    <w:pPr>
      <w:ind w:left="1200"/>
    </w:pPr>
  </w:style>
  <w:style w:type="paragraph" w:styleId="TOC7">
    <w:name w:val="toc 7"/>
    <w:basedOn w:val="Normal"/>
    <w:next w:val="Normal"/>
    <w:semiHidden/>
    <w:locked/>
    <w:rsid w:val="00471BB7"/>
    <w:pPr>
      <w:ind w:left="1440"/>
    </w:pPr>
  </w:style>
  <w:style w:type="paragraph" w:styleId="TOC8">
    <w:name w:val="toc 8"/>
    <w:basedOn w:val="Normal"/>
    <w:next w:val="Normal"/>
    <w:semiHidden/>
    <w:locked/>
    <w:rsid w:val="00471BB7"/>
    <w:pPr>
      <w:ind w:left="1680"/>
    </w:pPr>
  </w:style>
  <w:style w:type="paragraph" w:styleId="TOC9">
    <w:name w:val="toc 9"/>
    <w:basedOn w:val="Normal"/>
    <w:next w:val="Normal"/>
    <w:semiHidden/>
    <w:locked/>
    <w:rsid w:val="00471BB7"/>
    <w:pPr>
      <w:ind w:left="1920"/>
    </w:pPr>
  </w:style>
  <w:style w:type="paragraph" w:styleId="NoSpacing">
    <w:name w:val="No Spacing"/>
    <w:uiPriority w:val="1"/>
    <w:qFormat/>
    <w:rsid w:val="00471BB7"/>
    <w:rPr>
      <w:rFonts w:ascii="Open Sans" w:eastAsia="MS Mincho" w:hAnsi="Open Sans"/>
      <w:sz w:val="24"/>
      <w:szCs w:val="24"/>
    </w:rPr>
  </w:style>
  <w:style w:type="character" w:styleId="SubtleEmphasis">
    <w:name w:val="Subtle Emphasis"/>
    <w:uiPriority w:val="19"/>
    <w:locked/>
    <w:rsid w:val="00471BB7"/>
    <w:rPr>
      <w:rFonts w:ascii="Open Sans" w:hAnsi="Open Sans"/>
      <w:i w:val="0"/>
      <w:iCs/>
      <w:color w:val="auto"/>
      <w:sz w:val="24"/>
    </w:rPr>
  </w:style>
  <w:style w:type="character" w:styleId="IntenseEmphasis">
    <w:name w:val="Intense Emphasis"/>
    <w:uiPriority w:val="21"/>
    <w:locked/>
    <w:rsid w:val="00471BB7"/>
    <w:rPr>
      <w:rFonts w:ascii="Open Sans" w:hAnsi="Open Sans"/>
      <w:i w:val="0"/>
      <w:iCs/>
      <w:color w:val="auto"/>
    </w:rPr>
  </w:style>
  <w:style w:type="paragraph" w:styleId="Quote">
    <w:name w:val="Quote"/>
    <w:basedOn w:val="Normal"/>
    <w:next w:val="Normal"/>
    <w:link w:val="QuoteChar"/>
    <w:uiPriority w:val="29"/>
    <w:rsid w:val="000C5DA6"/>
    <w:pPr>
      <w:spacing w:before="200" w:after="160"/>
      <w:ind w:left="1440"/>
    </w:pPr>
    <w:rPr>
      <w:iCs/>
      <w:sz w:val="22"/>
    </w:rPr>
  </w:style>
  <w:style w:type="character" w:customStyle="1" w:styleId="QuoteChar">
    <w:name w:val="Quote Char"/>
    <w:link w:val="Quote"/>
    <w:uiPriority w:val="29"/>
    <w:rsid w:val="000C5DA6"/>
    <w:rPr>
      <w:rFonts w:ascii="Open Sans" w:eastAsia="MS Mincho" w:hAnsi="Open Sans"/>
      <w:iCs/>
      <w:sz w:val="22"/>
      <w:szCs w:val="24"/>
    </w:rPr>
  </w:style>
  <w:style w:type="paragraph" w:styleId="IntenseQuote">
    <w:name w:val="Intense Quote"/>
    <w:basedOn w:val="Normal"/>
    <w:next w:val="Normal"/>
    <w:link w:val="IntenseQuoteChar"/>
    <w:uiPriority w:val="30"/>
    <w:locked/>
    <w:rsid w:val="00471BB7"/>
    <w:pPr>
      <w:pBdr>
        <w:top w:val="single" w:sz="4" w:space="10" w:color="4472C4"/>
        <w:bottom w:val="single" w:sz="4" w:space="10" w:color="4472C4"/>
      </w:pBdr>
      <w:spacing w:before="360" w:after="360"/>
      <w:ind w:left="864" w:right="864"/>
      <w:jc w:val="center"/>
    </w:pPr>
    <w:rPr>
      <w:iCs/>
    </w:rPr>
  </w:style>
  <w:style w:type="character" w:customStyle="1" w:styleId="IntenseQuoteChar">
    <w:name w:val="Intense Quote Char"/>
    <w:link w:val="IntenseQuote"/>
    <w:uiPriority w:val="30"/>
    <w:rsid w:val="00471BB7"/>
    <w:rPr>
      <w:rFonts w:ascii="Open Sans" w:eastAsia="MS Mincho" w:hAnsi="Open Sans"/>
      <w:iCs/>
      <w:sz w:val="24"/>
      <w:szCs w:val="24"/>
    </w:rPr>
  </w:style>
  <w:style w:type="character" w:styleId="SubtleReference">
    <w:name w:val="Subtle Reference"/>
    <w:uiPriority w:val="31"/>
    <w:locked/>
    <w:rsid w:val="00471BB7"/>
    <w:rPr>
      <w:rFonts w:ascii="Open Sans" w:hAnsi="Open Sans"/>
      <w:smallCaps/>
      <w:color w:val="auto"/>
      <w:sz w:val="24"/>
    </w:rPr>
  </w:style>
  <w:style w:type="character" w:styleId="IntenseReference">
    <w:name w:val="Intense Reference"/>
    <w:uiPriority w:val="32"/>
    <w:locked/>
    <w:rsid w:val="00471BB7"/>
    <w:rPr>
      <w:rFonts w:ascii="Open Sans" w:hAnsi="Open Sans"/>
      <w:b w:val="0"/>
      <w:bCs/>
      <w:smallCaps/>
      <w:color w:val="auto"/>
      <w:spacing w:val="5"/>
      <w:sz w:val="24"/>
    </w:rPr>
  </w:style>
  <w:style w:type="character" w:styleId="BookTitle">
    <w:name w:val="Book Title"/>
    <w:aliases w:val="Text Title"/>
    <w:uiPriority w:val="33"/>
    <w:rsid w:val="00471BB7"/>
    <w:rPr>
      <w:rFonts w:ascii="Open Sans" w:hAnsi="Open Sans"/>
      <w:b w:val="0"/>
      <w:bCs/>
      <w:i/>
      <w:iCs/>
      <w:spacing w:val="5"/>
      <w:sz w:val="24"/>
    </w:rPr>
  </w:style>
  <w:style w:type="paragraph" w:styleId="ListParagraph">
    <w:name w:val="List Paragraph"/>
    <w:aliases w:val="L,List Paragraph1,List Paragraph11,Recommendation,EOT List Paragraph,Bullet point,List Paragraph Number,#List Paragraph,Number,List Paragraph111,F5 List Paragraph,Dot pt,CV text,Table text,Medium Grid 1 - Accent 21,Numbered Paragraph,列出段"/>
    <w:basedOn w:val="Normal"/>
    <w:link w:val="ListParagraphChar"/>
    <w:uiPriority w:val="34"/>
    <w:qFormat/>
    <w:locked/>
    <w:rsid w:val="00471BB7"/>
    <w:pPr>
      <w:ind w:left="720"/>
    </w:pPr>
  </w:style>
  <w:style w:type="paragraph" w:styleId="Bibliography">
    <w:name w:val="Bibliography"/>
    <w:basedOn w:val="Normal"/>
    <w:next w:val="Normal"/>
    <w:uiPriority w:val="37"/>
    <w:semiHidden/>
    <w:unhideWhenUsed/>
    <w:rsid w:val="00471BB7"/>
  </w:style>
  <w:style w:type="character" w:customStyle="1" w:styleId="Hashtag1">
    <w:name w:val="Hashtag1"/>
    <w:uiPriority w:val="99"/>
    <w:semiHidden/>
    <w:unhideWhenUsed/>
    <w:locked/>
    <w:rsid w:val="00471BB7"/>
    <w:rPr>
      <w:rFonts w:ascii="Open Sans" w:hAnsi="Open Sans"/>
      <w:color w:val="2B579A"/>
      <w:shd w:val="clear" w:color="auto" w:fill="E6E6E6"/>
    </w:rPr>
  </w:style>
  <w:style w:type="character" w:customStyle="1" w:styleId="Mention1">
    <w:name w:val="Mention1"/>
    <w:uiPriority w:val="99"/>
    <w:semiHidden/>
    <w:unhideWhenUsed/>
    <w:locked/>
    <w:rsid w:val="00471BB7"/>
    <w:rPr>
      <w:rFonts w:ascii="Open Sans" w:hAnsi="Open Sans"/>
      <w:color w:val="auto"/>
      <w:shd w:val="clear" w:color="auto" w:fill="E6E6E6"/>
    </w:rPr>
  </w:style>
  <w:style w:type="character" w:customStyle="1" w:styleId="SmartHyperlink1">
    <w:name w:val="Smart Hyperlink1"/>
    <w:uiPriority w:val="99"/>
    <w:semiHidden/>
    <w:unhideWhenUsed/>
    <w:locked/>
    <w:rsid w:val="00471BB7"/>
    <w:rPr>
      <w:rFonts w:ascii="Open Sans" w:hAnsi="Open Sans"/>
      <w:u w:val="dotted"/>
    </w:rPr>
  </w:style>
  <w:style w:type="character" w:customStyle="1" w:styleId="UnresolvedMention1">
    <w:name w:val="Unresolved Mention1"/>
    <w:uiPriority w:val="99"/>
    <w:semiHidden/>
    <w:unhideWhenUsed/>
    <w:locked/>
    <w:rsid w:val="00471BB7"/>
    <w:rPr>
      <w:rFonts w:ascii="Open Sans" w:hAnsi="Open Sans"/>
      <w:color w:val="auto"/>
      <w:shd w:val="clear" w:color="auto" w:fill="E6E6E6"/>
    </w:rPr>
  </w:style>
  <w:style w:type="character" w:customStyle="1" w:styleId="HeaderDocumentTitle">
    <w:name w:val="Header Document Title"/>
    <w:uiPriority w:val="1"/>
    <w:qFormat/>
    <w:rsid w:val="001F62CC"/>
    <w:rPr>
      <w:rFonts w:ascii="Open Sans" w:hAnsi="Open Sans"/>
      <w:b/>
      <w:noProof/>
      <w:sz w:val="18"/>
    </w:rPr>
  </w:style>
  <w:style w:type="paragraph" w:customStyle="1" w:styleId="HeaderDocumentDate">
    <w:name w:val="Header Document Date"/>
    <w:basedOn w:val="Footer"/>
    <w:qFormat/>
    <w:rsid w:val="002850B0"/>
    <w:pPr>
      <w:jc w:val="right"/>
    </w:pPr>
  </w:style>
  <w:style w:type="paragraph" w:customStyle="1" w:styleId="FooterEvenPageNumber">
    <w:name w:val="Footer Even Page Number"/>
    <w:basedOn w:val="Footer"/>
    <w:rsid w:val="00E53546"/>
  </w:style>
  <w:style w:type="paragraph" w:customStyle="1" w:styleId="FooterOddPageNumber">
    <w:name w:val="Footer Odd Page Number"/>
    <w:basedOn w:val="Footer"/>
    <w:rsid w:val="00E53546"/>
    <w:pPr>
      <w:jc w:val="right"/>
    </w:pPr>
  </w:style>
  <w:style w:type="paragraph" w:styleId="Revision">
    <w:name w:val="Revision"/>
    <w:hidden/>
    <w:uiPriority w:val="99"/>
    <w:semiHidden/>
    <w:rsid w:val="00A70C84"/>
    <w:rPr>
      <w:rFonts w:ascii="Open Sans" w:eastAsia="MS Mincho" w:hAnsi="Open Sans"/>
      <w:sz w:val="24"/>
      <w:szCs w:val="24"/>
    </w:rPr>
  </w:style>
  <w:style w:type="character" w:styleId="UnresolvedMention">
    <w:name w:val="Unresolved Mention"/>
    <w:basedOn w:val="DefaultParagraphFont"/>
    <w:uiPriority w:val="99"/>
    <w:semiHidden/>
    <w:unhideWhenUsed/>
    <w:rsid w:val="004C0E5C"/>
    <w:rPr>
      <w:color w:val="605E5C"/>
      <w:shd w:val="clear" w:color="auto" w:fill="E1DFDD"/>
    </w:rPr>
  </w:style>
  <w:style w:type="character" w:styleId="Mention">
    <w:name w:val="Mention"/>
    <w:basedOn w:val="DefaultParagraphFont"/>
    <w:uiPriority w:val="99"/>
    <w:unhideWhenUsed/>
    <w:rsid w:val="00D17ADD"/>
    <w:rPr>
      <w:color w:val="2B579A"/>
      <w:shd w:val="clear" w:color="auto" w:fill="E1DFDD"/>
    </w:rPr>
  </w:style>
  <w:style w:type="character" w:customStyle="1" w:styleId="normaltextrun">
    <w:name w:val="normaltextrun"/>
    <w:basedOn w:val="DefaultParagraphFont"/>
    <w:rsid w:val="000B3870"/>
  </w:style>
  <w:style w:type="character" w:customStyle="1" w:styleId="eop">
    <w:name w:val="eop"/>
    <w:basedOn w:val="DefaultParagraphFont"/>
    <w:rsid w:val="000B3870"/>
  </w:style>
  <w:style w:type="paragraph" w:customStyle="1" w:styleId="BulletsList">
    <w:name w:val="Bullets List"/>
    <w:basedOn w:val="Normal"/>
    <w:rsid w:val="003758A3"/>
    <w:pPr>
      <w:keepLines/>
      <w:widowControl w:val="0"/>
      <w:numPr>
        <w:numId w:val="16"/>
      </w:numPr>
      <w:spacing w:before="0" w:after="0"/>
      <w:contextualSpacing/>
    </w:pPr>
    <w:rPr>
      <w:rFonts w:ascii="Arial" w:eastAsia="Times New Roman" w:hAnsi="Arial"/>
    </w:rPr>
  </w:style>
  <w:style w:type="character" w:customStyle="1" w:styleId="ListParagraphChar">
    <w:name w:val="List Paragraph Char"/>
    <w:aliases w:val="L Char,List Paragraph1 Char,List Paragraph11 Char,Recommendation Char,EOT List Paragraph Char,Bullet point Char,List Paragraph Number Char,#List Paragraph Char,Number Char,List Paragraph111 Char,F5 List Paragraph Char,Dot pt Char"/>
    <w:basedOn w:val="DefaultParagraphFont"/>
    <w:link w:val="ListParagraph"/>
    <w:uiPriority w:val="34"/>
    <w:qFormat/>
    <w:locked/>
    <w:rsid w:val="00E4658A"/>
    <w:rPr>
      <w:rFonts w:ascii="Open Sans" w:eastAsia="MS Mincho" w:hAnsi="Open San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04666">
      <w:bodyDiv w:val="1"/>
      <w:marLeft w:val="0"/>
      <w:marRight w:val="0"/>
      <w:marTop w:val="0"/>
      <w:marBottom w:val="0"/>
      <w:divBdr>
        <w:top w:val="none" w:sz="0" w:space="0" w:color="auto"/>
        <w:left w:val="none" w:sz="0" w:space="0" w:color="auto"/>
        <w:bottom w:val="none" w:sz="0" w:space="0" w:color="auto"/>
        <w:right w:val="none" w:sz="0" w:space="0" w:color="auto"/>
      </w:divBdr>
    </w:div>
    <w:div w:id="108814769">
      <w:bodyDiv w:val="1"/>
      <w:marLeft w:val="0"/>
      <w:marRight w:val="0"/>
      <w:marTop w:val="0"/>
      <w:marBottom w:val="0"/>
      <w:divBdr>
        <w:top w:val="none" w:sz="0" w:space="0" w:color="auto"/>
        <w:left w:val="none" w:sz="0" w:space="0" w:color="auto"/>
        <w:bottom w:val="none" w:sz="0" w:space="0" w:color="auto"/>
        <w:right w:val="none" w:sz="0" w:space="0" w:color="auto"/>
      </w:divBdr>
    </w:div>
    <w:div w:id="184294397">
      <w:bodyDiv w:val="1"/>
      <w:marLeft w:val="0"/>
      <w:marRight w:val="0"/>
      <w:marTop w:val="0"/>
      <w:marBottom w:val="0"/>
      <w:divBdr>
        <w:top w:val="none" w:sz="0" w:space="0" w:color="auto"/>
        <w:left w:val="none" w:sz="0" w:space="0" w:color="auto"/>
        <w:bottom w:val="none" w:sz="0" w:space="0" w:color="auto"/>
        <w:right w:val="none" w:sz="0" w:space="0" w:color="auto"/>
      </w:divBdr>
      <w:divsChild>
        <w:div w:id="101532044">
          <w:marLeft w:val="0"/>
          <w:marRight w:val="0"/>
          <w:marTop w:val="0"/>
          <w:marBottom w:val="0"/>
          <w:divBdr>
            <w:top w:val="none" w:sz="0" w:space="0" w:color="auto"/>
            <w:left w:val="none" w:sz="0" w:space="0" w:color="auto"/>
            <w:bottom w:val="none" w:sz="0" w:space="0" w:color="auto"/>
            <w:right w:val="none" w:sz="0" w:space="0" w:color="auto"/>
          </w:divBdr>
        </w:div>
        <w:div w:id="130640299">
          <w:marLeft w:val="0"/>
          <w:marRight w:val="0"/>
          <w:marTop w:val="0"/>
          <w:marBottom w:val="0"/>
          <w:divBdr>
            <w:top w:val="none" w:sz="0" w:space="0" w:color="auto"/>
            <w:left w:val="none" w:sz="0" w:space="0" w:color="auto"/>
            <w:bottom w:val="none" w:sz="0" w:space="0" w:color="auto"/>
            <w:right w:val="none" w:sz="0" w:space="0" w:color="auto"/>
          </w:divBdr>
        </w:div>
        <w:div w:id="676687071">
          <w:marLeft w:val="0"/>
          <w:marRight w:val="0"/>
          <w:marTop w:val="0"/>
          <w:marBottom w:val="0"/>
          <w:divBdr>
            <w:top w:val="none" w:sz="0" w:space="0" w:color="auto"/>
            <w:left w:val="none" w:sz="0" w:space="0" w:color="auto"/>
            <w:bottom w:val="none" w:sz="0" w:space="0" w:color="auto"/>
            <w:right w:val="none" w:sz="0" w:space="0" w:color="auto"/>
          </w:divBdr>
        </w:div>
        <w:div w:id="686294453">
          <w:marLeft w:val="0"/>
          <w:marRight w:val="0"/>
          <w:marTop w:val="0"/>
          <w:marBottom w:val="0"/>
          <w:divBdr>
            <w:top w:val="none" w:sz="0" w:space="0" w:color="auto"/>
            <w:left w:val="none" w:sz="0" w:space="0" w:color="auto"/>
            <w:bottom w:val="none" w:sz="0" w:space="0" w:color="auto"/>
            <w:right w:val="none" w:sz="0" w:space="0" w:color="auto"/>
          </w:divBdr>
        </w:div>
        <w:div w:id="1325626189">
          <w:marLeft w:val="0"/>
          <w:marRight w:val="0"/>
          <w:marTop w:val="0"/>
          <w:marBottom w:val="0"/>
          <w:divBdr>
            <w:top w:val="none" w:sz="0" w:space="0" w:color="auto"/>
            <w:left w:val="none" w:sz="0" w:space="0" w:color="auto"/>
            <w:bottom w:val="none" w:sz="0" w:space="0" w:color="auto"/>
            <w:right w:val="none" w:sz="0" w:space="0" w:color="auto"/>
          </w:divBdr>
        </w:div>
        <w:div w:id="1471096539">
          <w:marLeft w:val="0"/>
          <w:marRight w:val="0"/>
          <w:marTop w:val="0"/>
          <w:marBottom w:val="0"/>
          <w:divBdr>
            <w:top w:val="none" w:sz="0" w:space="0" w:color="auto"/>
            <w:left w:val="none" w:sz="0" w:space="0" w:color="auto"/>
            <w:bottom w:val="none" w:sz="0" w:space="0" w:color="auto"/>
            <w:right w:val="none" w:sz="0" w:space="0" w:color="auto"/>
          </w:divBdr>
        </w:div>
        <w:div w:id="1703827341">
          <w:marLeft w:val="0"/>
          <w:marRight w:val="0"/>
          <w:marTop w:val="0"/>
          <w:marBottom w:val="0"/>
          <w:divBdr>
            <w:top w:val="none" w:sz="0" w:space="0" w:color="auto"/>
            <w:left w:val="none" w:sz="0" w:space="0" w:color="auto"/>
            <w:bottom w:val="none" w:sz="0" w:space="0" w:color="auto"/>
            <w:right w:val="none" w:sz="0" w:space="0" w:color="auto"/>
          </w:divBdr>
        </w:div>
      </w:divsChild>
    </w:div>
    <w:div w:id="222448939">
      <w:bodyDiv w:val="1"/>
      <w:marLeft w:val="0"/>
      <w:marRight w:val="0"/>
      <w:marTop w:val="0"/>
      <w:marBottom w:val="0"/>
      <w:divBdr>
        <w:top w:val="none" w:sz="0" w:space="0" w:color="auto"/>
        <w:left w:val="none" w:sz="0" w:space="0" w:color="auto"/>
        <w:bottom w:val="none" w:sz="0" w:space="0" w:color="auto"/>
        <w:right w:val="none" w:sz="0" w:space="0" w:color="auto"/>
      </w:divBdr>
    </w:div>
    <w:div w:id="268777140">
      <w:bodyDiv w:val="1"/>
      <w:marLeft w:val="0"/>
      <w:marRight w:val="0"/>
      <w:marTop w:val="0"/>
      <w:marBottom w:val="0"/>
      <w:divBdr>
        <w:top w:val="none" w:sz="0" w:space="0" w:color="auto"/>
        <w:left w:val="none" w:sz="0" w:space="0" w:color="auto"/>
        <w:bottom w:val="none" w:sz="0" w:space="0" w:color="auto"/>
        <w:right w:val="none" w:sz="0" w:space="0" w:color="auto"/>
      </w:divBdr>
    </w:div>
    <w:div w:id="323167276">
      <w:bodyDiv w:val="1"/>
      <w:marLeft w:val="0"/>
      <w:marRight w:val="0"/>
      <w:marTop w:val="0"/>
      <w:marBottom w:val="0"/>
      <w:divBdr>
        <w:top w:val="none" w:sz="0" w:space="0" w:color="auto"/>
        <w:left w:val="none" w:sz="0" w:space="0" w:color="auto"/>
        <w:bottom w:val="none" w:sz="0" w:space="0" w:color="auto"/>
        <w:right w:val="none" w:sz="0" w:space="0" w:color="auto"/>
      </w:divBdr>
    </w:div>
    <w:div w:id="349377557">
      <w:bodyDiv w:val="1"/>
      <w:marLeft w:val="0"/>
      <w:marRight w:val="0"/>
      <w:marTop w:val="0"/>
      <w:marBottom w:val="0"/>
      <w:divBdr>
        <w:top w:val="none" w:sz="0" w:space="0" w:color="auto"/>
        <w:left w:val="none" w:sz="0" w:space="0" w:color="auto"/>
        <w:bottom w:val="none" w:sz="0" w:space="0" w:color="auto"/>
        <w:right w:val="none" w:sz="0" w:space="0" w:color="auto"/>
      </w:divBdr>
    </w:div>
    <w:div w:id="364254707">
      <w:bodyDiv w:val="1"/>
      <w:marLeft w:val="0"/>
      <w:marRight w:val="0"/>
      <w:marTop w:val="0"/>
      <w:marBottom w:val="0"/>
      <w:divBdr>
        <w:top w:val="none" w:sz="0" w:space="0" w:color="auto"/>
        <w:left w:val="none" w:sz="0" w:space="0" w:color="auto"/>
        <w:bottom w:val="none" w:sz="0" w:space="0" w:color="auto"/>
        <w:right w:val="none" w:sz="0" w:space="0" w:color="auto"/>
      </w:divBdr>
      <w:divsChild>
        <w:div w:id="122891784">
          <w:marLeft w:val="0"/>
          <w:marRight w:val="0"/>
          <w:marTop w:val="0"/>
          <w:marBottom w:val="0"/>
          <w:divBdr>
            <w:top w:val="none" w:sz="0" w:space="0" w:color="auto"/>
            <w:left w:val="none" w:sz="0" w:space="0" w:color="auto"/>
            <w:bottom w:val="none" w:sz="0" w:space="0" w:color="auto"/>
            <w:right w:val="none" w:sz="0" w:space="0" w:color="auto"/>
          </w:divBdr>
        </w:div>
        <w:div w:id="282074468">
          <w:marLeft w:val="0"/>
          <w:marRight w:val="0"/>
          <w:marTop w:val="0"/>
          <w:marBottom w:val="0"/>
          <w:divBdr>
            <w:top w:val="none" w:sz="0" w:space="0" w:color="auto"/>
            <w:left w:val="none" w:sz="0" w:space="0" w:color="auto"/>
            <w:bottom w:val="none" w:sz="0" w:space="0" w:color="auto"/>
            <w:right w:val="none" w:sz="0" w:space="0" w:color="auto"/>
          </w:divBdr>
        </w:div>
        <w:div w:id="419640594">
          <w:marLeft w:val="0"/>
          <w:marRight w:val="0"/>
          <w:marTop w:val="0"/>
          <w:marBottom w:val="0"/>
          <w:divBdr>
            <w:top w:val="none" w:sz="0" w:space="0" w:color="auto"/>
            <w:left w:val="none" w:sz="0" w:space="0" w:color="auto"/>
            <w:bottom w:val="none" w:sz="0" w:space="0" w:color="auto"/>
            <w:right w:val="none" w:sz="0" w:space="0" w:color="auto"/>
          </w:divBdr>
        </w:div>
        <w:div w:id="427119272">
          <w:marLeft w:val="0"/>
          <w:marRight w:val="0"/>
          <w:marTop w:val="0"/>
          <w:marBottom w:val="0"/>
          <w:divBdr>
            <w:top w:val="none" w:sz="0" w:space="0" w:color="auto"/>
            <w:left w:val="none" w:sz="0" w:space="0" w:color="auto"/>
            <w:bottom w:val="none" w:sz="0" w:space="0" w:color="auto"/>
            <w:right w:val="none" w:sz="0" w:space="0" w:color="auto"/>
          </w:divBdr>
        </w:div>
        <w:div w:id="764688181">
          <w:marLeft w:val="0"/>
          <w:marRight w:val="0"/>
          <w:marTop w:val="0"/>
          <w:marBottom w:val="0"/>
          <w:divBdr>
            <w:top w:val="none" w:sz="0" w:space="0" w:color="auto"/>
            <w:left w:val="none" w:sz="0" w:space="0" w:color="auto"/>
            <w:bottom w:val="none" w:sz="0" w:space="0" w:color="auto"/>
            <w:right w:val="none" w:sz="0" w:space="0" w:color="auto"/>
          </w:divBdr>
        </w:div>
        <w:div w:id="1941640641">
          <w:marLeft w:val="0"/>
          <w:marRight w:val="0"/>
          <w:marTop w:val="0"/>
          <w:marBottom w:val="0"/>
          <w:divBdr>
            <w:top w:val="none" w:sz="0" w:space="0" w:color="auto"/>
            <w:left w:val="none" w:sz="0" w:space="0" w:color="auto"/>
            <w:bottom w:val="none" w:sz="0" w:space="0" w:color="auto"/>
            <w:right w:val="none" w:sz="0" w:space="0" w:color="auto"/>
          </w:divBdr>
        </w:div>
        <w:div w:id="2009163570">
          <w:marLeft w:val="0"/>
          <w:marRight w:val="0"/>
          <w:marTop w:val="0"/>
          <w:marBottom w:val="0"/>
          <w:divBdr>
            <w:top w:val="none" w:sz="0" w:space="0" w:color="auto"/>
            <w:left w:val="none" w:sz="0" w:space="0" w:color="auto"/>
            <w:bottom w:val="none" w:sz="0" w:space="0" w:color="auto"/>
            <w:right w:val="none" w:sz="0" w:space="0" w:color="auto"/>
          </w:divBdr>
        </w:div>
      </w:divsChild>
    </w:div>
    <w:div w:id="380247114">
      <w:bodyDiv w:val="1"/>
      <w:marLeft w:val="0"/>
      <w:marRight w:val="0"/>
      <w:marTop w:val="0"/>
      <w:marBottom w:val="0"/>
      <w:divBdr>
        <w:top w:val="none" w:sz="0" w:space="0" w:color="auto"/>
        <w:left w:val="none" w:sz="0" w:space="0" w:color="auto"/>
        <w:bottom w:val="none" w:sz="0" w:space="0" w:color="auto"/>
        <w:right w:val="none" w:sz="0" w:space="0" w:color="auto"/>
      </w:divBdr>
    </w:div>
    <w:div w:id="456265173">
      <w:bodyDiv w:val="1"/>
      <w:marLeft w:val="0"/>
      <w:marRight w:val="0"/>
      <w:marTop w:val="0"/>
      <w:marBottom w:val="0"/>
      <w:divBdr>
        <w:top w:val="none" w:sz="0" w:space="0" w:color="auto"/>
        <w:left w:val="none" w:sz="0" w:space="0" w:color="auto"/>
        <w:bottom w:val="none" w:sz="0" w:space="0" w:color="auto"/>
        <w:right w:val="none" w:sz="0" w:space="0" w:color="auto"/>
      </w:divBdr>
    </w:div>
    <w:div w:id="528034128">
      <w:bodyDiv w:val="1"/>
      <w:marLeft w:val="0"/>
      <w:marRight w:val="0"/>
      <w:marTop w:val="0"/>
      <w:marBottom w:val="0"/>
      <w:divBdr>
        <w:top w:val="none" w:sz="0" w:space="0" w:color="auto"/>
        <w:left w:val="none" w:sz="0" w:space="0" w:color="auto"/>
        <w:bottom w:val="none" w:sz="0" w:space="0" w:color="auto"/>
        <w:right w:val="none" w:sz="0" w:space="0" w:color="auto"/>
      </w:divBdr>
    </w:div>
    <w:div w:id="618731331">
      <w:bodyDiv w:val="1"/>
      <w:marLeft w:val="0"/>
      <w:marRight w:val="0"/>
      <w:marTop w:val="0"/>
      <w:marBottom w:val="0"/>
      <w:divBdr>
        <w:top w:val="none" w:sz="0" w:space="0" w:color="auto"/>
        <w:left w:val="none" w:sz="0" w:space="0" w:color="auto"/>
        <w:bottom w:val="none" w:sz="0" w:space="0" w:color="auto"/>
        <w:right w:val="none" w:sz="0" w:space="0" w:color="auto"/>
      </w:divBdr>
    </w:div>
    <w:div w:id="737367260">
      <w:bodyDiv w:val="1"/>
      <w:marLeft w:val="0"/>
      <w:marRight w:val="0"/>
      <w:marTop w:val="0"/>
      <w:marBottom w:val="0"/>
      <w:divBdr>
        <w:top w:val="none" w:sz="0" w:space="0" w:color="auto"/>
        <w:left w:val="none" w:sz="0" w:space="0" w:color="auto"/>
        <w:bottom w:val="none" w:sz="0" w:space="0" w:color="auto"/>
        <w:right w:val="none" w:sz="0" w:space="0" w:color="auto"/>
      </w:divBdr>
    </w:div>
    <w:div w:id="779758380">
      <w:bodyDiv w:val="1"/>
      <w:marLeft w:val="0"/>
      <w:marRight w:val="0"/>
      <w:marTop w:val="0"/>
      <w:marBottom w:val="0"/>
      <w:divBdr>
        <w:top w:val="none" w:sz="0" w:space="0" w:color="auto"/>
        <w:left w:val="none" w:sz="0" w:space="0" w:color="auto"/>
        <w:bottom w:val="none" w:sz="0" w:space="0" w:color="auto"/>
        <w:right w:val="none" w:sz="0" w:space="0" w:color="auto"/>
      </w:divBdr>
    </w:div>
    <w:div w:id="853500993">
      <w:bodyDiv w:val="1"/>
      <w:marLeft w:val="0"/>
      <w:marRight w:val="0"/>
      <w:marTop w:val="0"/>
      <w:marBottom w:val="0"/>
      <w:divBdr>
        <w:top w:val="none" w:sz="0" w:space="0" w:color="auto"/>
        <w:left w:val="none" w:sz="0" w:space="0" w:color="auto"/>
        <w:bottom w:val="none" w:sz="0" w:space="0" w:color="auto"/>
        <w:right w:val="none" w:sz="0" w:space="0" w:color="auto"/>
      </w:divBdr>
    </w:div>
    <w:div w:id="885414969">
      <w:bodyDiv w:val="1"/>
      <w:marLeft w:val="0"/>
      <w:marRight w:val="0"/>
      <w:marTop w:val="0"/>
      <w:marBottom w:val="0"/>
      <w:divBdr>
        <w:top w:val="none" w:sz="0" w:space="0" w:color="auto"/>
        <w:left w:val="none" w:sz="0" w:space="0" w:color="auto"/>
        <w:bottom w:val="none" w:sz="0" w:space="0" w:color="auto"/>
        <w:right w:val="none" w:sz="0" w:space="0" w:color="auto"/>
      </w:divBdr>
      <w:divsChild>
        <w:div w:id="266472520">
          <w:marLeft w:val="0"/>
          <w:marRight w:val="0"/>
          <w:marTop w:val="0"/>
          <w:marBottom w:val="0"/>
          <w:divBdr>
            <w:top w:val="none" w:sz="0" w:space="0" w:color="auto"/>
            <w:left w:val="none" w:sz="0" w:space="0" w:color="auto"/>
            <w:bottom w:val="none" w:sz="0" w:space="0" w:color="auto"/>
            <w:right w:val="none" w:sz="0" w:space="0" w:color="auto"/>
          </w:divBdr>
        </w:div>
        <w:div w:id="1050347018">
          <w:marLeft w:val="0"/>
          <w:marRight w:val="0"/>
          <w:marTop w:val="0"/>
          <w:marBottom w:val="0"/>
          <w:divBdr>
            <w:top w:val="none" w:sz="0" w:space="0" w:color="auto"/>
            <w:left w:val="none" w:sz="0" w:space="0" w:color="auto"/>
            <w:bottom w:val="none" w:sz="0" w:space="0" w:color="auto"/>
            <w:right w:val="none" w:sz="0" w:space="0" w:color="auto"/>
          </w:divBdr>
        </w:div>
        <w:div w:id="1148743141">
          <w:marLeft w:val="0"/>
          <w:marRight w:val="0"/>
          <w:marTop w:val="0"/>
          <w:marBottom w:val="0"/>
          <w:divBdr>
            <w:top w:val="none" w:sz="0" w:space="0" w:color="auto"/>
            <w:left w:val="none" w:sz="0" w:space="0" w:color="auto"/>
            <w:bottom w:val="none" w:sz="0" w:space="0" w:color="auto"/>
            <w:right w:val="none" w:sz="0" w:space="0" w:color="auto"/>
          </w:divBdr>
        </w:div>
        <w:div w:id="1456756385">
          <w:marLeft w:val="0"/>
          <w:marRight w:val="0"/>
          <w:marTop w:val="0"/>
          <w:marBottom w:val="0"/>
          <w:divBdr>
            <w:top w:val="none" w:sz="0" w:space="0" w:color="auto"/>
            <w:left w:val="none" w:sz="0" w:space="0" w:color="auto"/>
            <w:bottom w:val="none" w:sz="0" w:space="0" w:color="auto"/>
            <w:right w:val="none" w:sz="0" w:space="0" w:color="auto"/>
          </w:divBdr>
        </w:div>
        <w:div w:id="1664434819">
          <w:marLeft w:val="0"/>
          <w:marRight w:val="0"/>
          <w:marTop w:val="0"/>
          <w:marBottom w:val="0"/>
          <w:divBdr>
            <w:top w:val="none" w:sz="0" w:space="0" w:color="auto"/>
            <w:left w:val="none" w:sz="0" w:space="0" w:color="auto"/>
            <w:bottom w:val="none" w:sz="0" w:space="0" w:color="auto"/>
            <w:right w:val="none" w:sz="0" w:space="0" w:color="auto"/>
          </w:divBdr>
        </w:div>
        <w:div w:id="1693796519">
          <w:marLeft w:val="0"/>
          <w:marRight w:val="0"/>
          <w:marTop w:val="0"/>
          <w:marBottom w:val="0"/>
          <w:divBdr>
            <w:top w:val="none" w:sz="0" w:space="0" w:color="auto"/>
            <w:left w:val="none" w:sz="0" w:space="0" w:color="auto"/>
            <w:bottom w:val="none" w:sz="0" w:space="0" w:color="auto"/>
            <w:right w:val="none" w:sz="0" w:space="0" w:color="auto"/>
          </w:divBdr>
        </w:div>
      </w:divsChild>
    </w:div>
    <w:div w:id="887378817">
      <w:bodyDiv w:val="1"/>
      <w:marLeft w:val="0"/>
      <w:marRight w:val="0"/>
      <w:marTop w:val="0"/>
      <w:marBottom w:val="0"/>
      <w:divBdr>
        <w:top w:val="none" w:sz="0" w:space="0" w:color="auto"/>
        <w:left w:val="none" w:sz="0" w:space="0" w:color="auto"/>
        <w:bottom w:val="none" w:sz="0" w:space="0" w:color="auto"/>
        <w:right w:val="none" w:sz="0" w:space="0" w:color="auto"/>
      </w:divBdr>
    </w:div>
    <w:div w:id="965115571">
      <w:bodyDiv w:val="1"/>
      <w:marLeft w:val="0"/>
      <w:marRight w:val="0"/>
      <w:marTop w:val="0"/>
      <w:marBottom w:val="0"/>
      <w:divBdr>
        <w:top w:val="none" w:sz="0" w:space="0" w:color="auto"/>
        <w:left w:val="none" w:sz="0" w:space="0" w:color="auto"/>
        <w:bottom w:val="none" w:sz="0" w:space="0" w:color="auto"/>
        <w:right w:val="none" w:sz="0" w:space="0" w:color="auto"/>
      </w:divBdr>
    </w:div>
    <w:div w:id="977033214">
      <w:bodyDiv w:val="1"/>
      <w:marLeft w:val="0"/>
      <w:marRight w:val="0"/>
      <w:marTop w:val="0"/>
      <w:marBottom w:val="0"/>
      <w:divBdr>
        <w:top w:val="none" w:sz="0" w:space="0" w:color="auto"/>
        <w:left w:val="none" w:sz="0" w:space="0" w:color="auto"/>
        <w:bottom w:val="none" w:sz="0" w:space="0" w:color="auto"/>
        <w:right w:val="none" w:sz="0" w:space="0" w:color="auto"/>
      </w:divBdr>
    </w:div>
    <w:div w:id="977101536">
      <w:bodyDiv w:val="1"/>
      <w:marLeft w:val="0"/>
      <w:marRight w:val="0"/>
      <w:marTop w:val="0"/>
      <w:marBottom w:val="0"/>
      <w:divBdr>
        <w:top w:val="none" w:sz="0" w:space="0" w:color="auto"/>
        <w:left w:val="none" w:sz="0" w:space="0" w:color="auto"/>
        <w:bottom w:val="none" w:sz="0" w:space="0" w:color="auto"/>
        <w:right w:val="none" w:sz="0" w:space="0" w:color="auto"/>
      </w:divBdr>
    </w:div>
    <w:div w:id="1103767692">
      <w:bodyDiv w:val="1"/>
      <w:marLeft w:val="0"/>
      <w:marRight w:val="0"/>
      <w:marTop w:val="0"/>
      <w:marBottom w:val="0"/>
      <w:divBdr>
        <w:top w:val="none" w:sz="0" w:space="0" w:color="auto"/>
        <w:left w:val="none" w:sz="0" w:space="0" w:color="auto"/>
        <w:bottom w:val="none" w:sz="0" w:space="0" w:color="auto"/>
        <w:right w:val="none" w:sz="0" w:space="0" w:color="auto"/>
      </w:divBdr>
    </w:div>
    <w:div w:id="1143082919">
      <w:bodyDiv w:val="1"/>
      <w:marLeft w:val="0"/>
      <w:marRight w:val="0"/>
      <w:marTop w:val="0"/>
      <w:marBottom w:val="0"/>
      <w:divBdr>
        <w:top w:val="none" w:sz="0" w:space="0" w:color="auto"/>
        <w:left w:val="none" w:sz="0" w:space="0" w:color="auto"/>
        <w:bottom w:val="none" w:sz="0" w:space="0" w:color="auto"/>
        <w:right w:val="none" w:sz="0" w:space="0" w:color="auto"/>
      </w:divBdr>
    </w:div>
    <w:div w:id="1187207234">
      <w:bodyDiv w:val="1"/>
      <w:marLeft w:val="0"/>
      <w:marRight w:val="0"/>
      <w:marTop w:val="0"/>
      <w:marBottom w:val="0"/>
      <w:divBdr>
        <w:top w:val="none" w:sz="0" w:space="0" w:color="auto"/>
        <w:left w:val="none" w:sz="0" w:space="0" w:color="auto"/>
        <w:bottom w:val="none" w:sz="0" w:space="0" w:color="auto"/>
        <w:right w:val="none" w:sz="0" w:space="0" w:color="auto"/>
      </w:divBdr>
    </w:div>
    <w:div w:id="1317537759">
      <w:bodyDiv w:val="1"/>
      <w:marLeft w:val="0"/>
      <w:marRight w:val="0"/>
      <w:marTop w:val="0"/>
      <w:marBottom w:val="0"/>
      <w:divBdr>
        <w:top w:val="none" w:sz="0" w:space="0" w:color="auto"/>
        <w:left w:val="none" w:sz="0" w:space="0" w:color="auto"/>
        <w:bottom w:val="none" w:sz="0" w:space="0" w:color="auto"/>
        <w:right w:val="none" w:sz="0" w:space="0" w:color="auto"/>
      </w:divBdr>
    </w:div>
    <w:div w:id="1405683619">
      <w:bodyDiv w:val="1"/>
      <w:marLeft w:val="0"/>
      <w:marRight w:val="0"/>
      <w:marTop w:val="0"/>
      <w:marBottom w:val="0"/>
      <w:divBdr>
        <w:top w:val="none" w:sz="0" w:space="0" w:color="auto"/>
        <w:left w:val="none" w:sz="0" w:space="0" w:color="auto"/>
        <w:bottom w:val="none" w:sz="0" w:space="0" w:color="auto"/>
        <w:right w:val="none" w:sz="0" w:space="0" w:color="auto"/>
      </w:divBdr>
    </w:div>
    <w:div w:id="1469519494">
      <w:bodyDiv w:val="1"/>
      <w:marLeft w:val="0"/>
      <w:marRight w:val="0"/>
      <w:marTop w:val="0"/>
      <w:marBottom w:val="0"/>
      <w:divBdr>
        <w:top w:val="none" w:sz="0" w:space="0" w:color="auto"/>
        <w:left w:val="none" w:sz="0" w:space="0" w:color="auto"/>
        <w:bottom w:val="none" w:sz="0" w:space="0" w:color="auto"/>
        <w:right w:val="none" w:sz="0" w:space="0" w:color="auto"/>
      </w:divBdr>
    </w:div>
    <w:div w:id="1530606560">
      <w:bodyDiv w:val="1"/>
      <w:marLeft w:val="0"/>
      <w:marRight w:val="0"/>
      <w:marTop w:val="0"/>
      <w:marBottom w:val="0"/>
      <w:divBdr>
        <w:top w:val="none" w:sz="0" w:space="0" w:color="auto"/>
        <w:left w:val="none" w:sz="0" w:space="0" w:color="auto"/>
        <w:bottom w:val="none" w:sz="0" w:space="0" w:color="auto"/>
        <w:right w:val="none" w:sz="0" w:space="0" w:color="auto"/>
      </w:divBdr>
    </w:div>
    <w:div w:id="1532307217">
      <w:bodyDiv w:val="1"/>
      <w:marLeft w:val="0"/>
      <w:marRight w:val="0"/>
      <w:marTop w:val="0"/>
      <w:marBottom w:val="0"/>
      <w:divBdr>
        <w:top w:val="none" w:sz="0" w:space="0" w:color="auto"/>
        <w:left w:val="none" w:sz="0" w:space="0" w:color="auto"/>
        <w:bottom w:val="none" w:sz="0" w:space="0" w:color="auto"/>
        <w:right w:val="none" w:sz="0" w:space="0" w:color="auto"/>
      </w:divBdr>
    </w:div>
    <w:div w:id="1542284653">
      <w:bodyDiv w:val="1"/>
      <w:marLeft w:val="0"/>
      <w:marRight w:val="0"/>
      <w:marTop w:val="0"/>
      <w:marBottom w:val="0"/>
      <w:divBdr>
        <w:top w:val="none" w:sz="0" w:space="0" w:color="auto"/>
        <w:left w:val="none" w:sz="0" w:space="0" w:color="auto"/>
        <w:bottom w:val="none" w:sz="0" w:space="0" w:color="auto"/>
        <w:right w:val="none" w:sz="0" w:space="0" w:color="auto"/>
      </w:divBdr>
      <w:divsChild>
        <w:div w:id="720254855">
          <w:marLeft w:val="0"/>
          <w:marRight w:val="0"/>
          <w:marTop w:val="0"/>
          <w:marBottom w:val="0"/>
          <w:divBdr>
            <w:top w:val="none" w:sz="0" w:space="0" w:color="auto"/>
            <w:left w:val="none" w:sz="0" w:space="0" w:color="auto"/>
            <w:bottom w:val="none" w:sz="0" w:space="0" w:color="auto"/>
            <w:right w:val="none" w:sz="0" w:space="0" w:color="auto"/>
          </w:divBdr>
        </w:div>
        <w:div w:id="1016267912">
          <w:marLeft w:val="0"/>
          <w:marRight w:val="0"/>
          <w:marTop w:val="0"/>
          <w:marBottom w:val="0"/>
          <w:divBdr>
            <w:top w:val="none" w:sz="0" w:space="0" w:color="auto"/>
            <w:left w:val="none" w:sz="0" w:space="0" w:color="auto"/>
            <w:bottom w:val="none" w:sz="0" w:space="0" w:color="auto"/>
            <w:right w:val="none" w:sz="0" w:space="0" w:color="auto"/>
          </w:divBdr>
        </w:div>
        <w:div w:id="1123157245">
          <w:marLeft w:val="0"/>
          <w:marRight w:val="0"/>
          <w:marTop w:val="0"/>
          <w:marBottom w:val="0"/>
          <w:divBdr>
            <w:top w:val="none" w:sz="0" w:space="0" w:color="auto"/>
            <w:left w:val="none" w:sz="0" w:space="0" w:color="auto"/>
            <w:bottom w:val="none" w:sz="0" w:space="0" w:color="auto"/>
            <w:right w:val="none" w:sz="0" w:space="0" w:color="auto"/>
          </w:divBdr>
        </w:div>
        <w:div w:id="1168131942">
          <w:marLeft w:val="0"/>
          <w:marRight w:val="0"/>
          <w:marTop w:val="0"/>
          <w:marBottom w:val="0"/>
          <w:divBdr>
            <w:top w:val="none" w:sz="0" w:space="0" w:color="auto"/>
            <w:left w:val="none" w:sz="0" w:space="0" w:color="auto"/>
            <w:bottom w:val="none" w:sz="0" w:space="0" w:color="auto"/>
            <w:right w:val="none" w:sz="0" w:space="0" w:color="auto"/>
          </w:divBdr>
        </w:div>
        <w:div w:id="1335838373">
          <w:marLeft w:val="0"/>
          <w:marRight w:val="0"/>
          <w:marTop w:val="0"/>
          <w:marBottom w:val="0"/>
          <w:divBdr>
            <w:top w:val="none" w:sz="0" w:space="0" w:color="auto"/>
            <w:left w:val="none" w:sz="0" w:space="0" w:color="auto"/>
            <w:bottom w:val="none" w:sz="0" w:space="0" w:color="auto"/>
            <w:right w:val="none" w:sz="0" w:space="0" w:color="auto"/>
          </w:divBdr>
        </w:div>
        <w:div w:id="1730958728">
          <w:marLeft w:val="0"/>
          <w:marRight w:val="0"/>
          <w:marTop w:val="0"/>
          <w:marBottom w:val="0"/>
          <w:divBdr>
            <w:top w:val="none" w:sz="0" w:space="0" w:color="auto"/>
            <w:left w:val="none" w:sz="0" w:space="0" w:color="auto"/>
            <w:bottom w:val="none" w:sz="0" w:space="0" w:color="auto"/>
            <w:right w:val="none" w:sz="0" w:space="0" w:color="auto"/>
          </w:divBdr>
        </w:div>
      </w:divsChild>
    </w:div>
    <w:div w:id="1603101511">
      <w:bodyDiv w:val="1"/>
      <w:marLeft w:val="0"/>
      <w:marRight w:val="0"/>
      <w:marTop w:val="0"/>
      <w:marBottom w:val="0"/>
      <w:divBdr>
        <w:top w:val="none" w:sz="0" w:space="0" w:color="auto"/>
        <w:left w:val="none" w:sz="0" w:space="0" w:color="auto"/>
        <w:bottom w:val="none" w:sz="0" w:space="0" w:color="auto"/>
        <w:right w:val="none" w:sz="0" w:space="0" w:color="auto"/>
      </w:divBdr>
    </w:div>
    <w:div w:id="1610698226">
      <w:bodyDiv w:val="1"/>
      <w:marLeft w:val="0"/>
      <w:marRight w:val="0"/>
      <w:marTop w:val="0"/>
      <w:marBottom w:val="0"/>
      <w:divBdr>
        <w:top w:val="none" w:sz="0" w:space="0" w:color="auto"/>
        <w:left w:val="none" w:sz="0" w:space="0" w:color="auto"/>
        <w:bottom w:val="none" w:sz="0" w:space="0" w:color="auto"/>
        <w:right w:val="none" w:sz="0" w:space="0" w:color="auto"/>
      </w:divBdr>
    </w:div>
    <w:div w:id="1672415454">
      <w:bodyDiv w:val="1"/>
      <w:marLeft w:val="0"/>
      <w:marRight w:val="0"/>
      <w:marTop w:val="0"/>
      <w:marBottom w:val="0"/>
      <w:divBdr>
        <w:top w:val="none" w:sz="0" w:space="0" w:color="auto"/>
        <w:left w:val="none" w:sz="0" w:space="0" w:color="auto"/>
        <w:bottom w:val="none" w:sz="0" w:space="0" w:color="auto"/>
        <w:right w:val="none" w:sz="0" w:space="0" w:color="auto"/>
      </w:divBdr>
    </w:div>
    <w:div w:id="1686899060">
      <w:bodyDiv w:val="1"/>
      <w:marLeft w:val="0"/>
      <w:marRight w:val="0"/>
      <w:marTop w:val="0"/>
      <w:marBottom w:val="0"/>
      <w:divBdr>
        <w:top w:val="none" w:sz="0" w:space="0" w:color="auto"/>
        <w:left w:val="none" w:sz="0" w:space="0" w:color="auto"/>
        <w:bottom w:val="none" w:sz="0" w:space="0" w:color="auto"/>
        <w:right w:val="none" w:sz="0" w:space="0" w:color="auto"/>
      </w:divBdr>
    </w:div>
    <w:div w:id="1746417739">
      <w:bodyDiv w:val="1"/>
      <w:marLeft w:val="0"/>
      <w:marRight w:val="0"/>
      <w:marTop w:val="0"/>
      <w:marBottom w:val="0"/>
      <w:divBdr>
        <w:top w:val="none" w:sz="0" w:space="0" w:color="auto"/>
        <w:left w:val="none" w:sz="0" w:space="0" w:color="auto"/>
        <w:bottom w:val="none" w:sz="0" w:space="0" w:color="auto"/>
        <w:right w:val="none" w:sz="0" w:space="0" w:color="auto"/>
      </w:divBdr>
    </w:div>
    <w:div w:id="1747263296">
      <w:bodyDiv w:val="1"/>
      <w:marLeft w:val="0"/>
      <w:marRight w:val="0"/>
      <w:marTop w:val="0"/>
      <w:marBottom w:val="0"/>
      <w:divBdr>
        <w:top w:val="none" w:sz="0" w:space="0" w:color="auto"/>
        <w:left w:val="none" w:sz="0" w:space="0" w:color="auto"/>
        <w:bottom w:val="none" w:sz="0" w:space="0" w:color="auto"/>
        <w:right w:val="none" w:sz="0" w:space="0" w:color="auto"/>
      </w:divBdr>
    </w:div>
    <w:div w:id="1760640324">
      <w:bodyDiv w:val="1"/>
      <w:marLeft w:val="0"/>
      <w:marRight w:val="0"/>
      <w:marTop w:val="0"/>
      <w:marBottom w:val="0"/>
      <w:divBdr>
        <w:top w:val="none" w:sz="0" w:space="0" w:color="auto"/>
        <w:left w:val="none" w:sz="0" w:space="0" w:color="auto"/>
        <w:bottom w:val="none" w:sz="0" w:space="0" w:color="auto"/>
        <w:right w:val="none" w:sz="0" w:space="0" w:color="auto"/>
      </w:divBdr>
      <w:divsChild>
        <w:div w:id="366302276">
          <w:marLeft w:val="0"/>
          <w:marRight w:val="0"/>
          <w:marTop w:val="0"/>
          <w:marBottom w:val="0"/>
          <w:divBdr>
            <w:top w:val="none" w:sz="0" w:space="0" w:color="auto"/>
            <w:left w:val="none" w:sz="0" w:space="0" w:color="auto"/>
            <w:bottom w:val="none" w:sz="0" w:space="0" w:color="auto"/>
            <w:right w:val="none" w:sz="0" w:space="0" w:color="auto"/>
          </w:divBdr>
        </w:div>
        <w:div w:id="494493988">
          <w:marLeft w:val="0"/>
          <w:marRight w:val="0"/>
          <w:marTop w:val="0"/>
          <w:marBottom w:val="0"/>
          <w:divBdr>
            <w:top w:val="none" w:sz="0" w:space="0" w:color="auto"/>
            <w:left w:val="none" w:sz="0" w:space="0" w:color="auto"/>
            <w:bottom w:val="none" w:sz="0" w:space="0" w:color="auto"/>
            <w:right w:val="none" w:sz="0" w:space="0" w:color="auto"/>
          </w:divBdr>
        </w:div>
        <w:div w:id="1119372764">
          <w:marLeft w:val="0"/>
          <w:marRight w:val="0"/>
          <w:marTop w:val="0"/>
          <w:marBottom w:val="0"/>
          <w:divBdr>
            <w:top w:val="none" w:sz="0" w:space="0" w:color="auto"/>
            <w:left w:val="none" w:sz="0" w:space="0" w:color="auto"/>
            <w:bottom w:val="none" w:sz="0" w:space="0" w:color="auto"/>
            <w:right w:val="none" w:sz="0" w:space="0" w:color="auto"/>
          </w:divBdr>
        </w:div>
        <w:div w:id="1149244810">
          <w:marLeft w:val="0"/>
          <w:marRight w:val="0"/>
          <w:marTop w:val="0"/>
          <w:marBottom w:val="0"/>
          <w:divBdr>
            <w:top w:val="none" w:sz="0" w:space="0" w:color="auto"/>
            <w:left w:val="none" w:sz="0" w:space="0" w:color="auto"/>
            <w:bottom w:val="none" w:sz="0" w:space="0" w:color="auto"/>
            <w:right w:val="none" w:sz="0" w:space="0" w:color="auto"/>
          </w:divBdr>
        </w:div>
        <w:div w:id="1174733087">
          <w:marLeft w:val="0"/>
          <w:marRight w:val="0"/>
          <w:marTop w:val="0"/>
          <w:marBottom w:val="0"/>
          <w:divBdr>
            <w:top w:val="none" w:sz="0" w:space="0" w:color="auto"/>
            <w:left w:val="none" w:sz="0" w:space="0" w:color="auto"/>
            <w:bottom w:val="none" w:sz="0" w:space="0" w:color="auto"/>
            <w:right w:val="none" w:sz="0" w:space="0" w:color="auto"/>
          </w:divBdr>
        </w:div>
        <w:div w:id="1879465754">
          <w:marLeft w:val="0"/>
          <w:marRight w:val="0"/>
          <w:marTop w:val="0"/>
          <w:marBottom w:val="0"/>
          <w:divBdr>
            <w:top w:val="none" w:sz="0" w:space="0" w:color="auto"/>
            <w:left w:val="none" w:sz="0" w:space="0" w:color="auto"/>
            <w:bottom w:val="none" w:sz="0" w:space="0" w:color="auto"/>
            <w:right w:val="none" w:sz="0" w:space="0" w:color="auto"/>
          </w:divBdr>
        </w:div>
      </w:divsChild>
    </w:div>
    <w:div w:id="1834292617">
      <w:bodyDiv w:val="1"/>
      <w:marLeft w:val="0"/>
      <w:marRight w:val="0"/>
      <w:marTop w:val="0"/>
      <w:marBottom w:val="0"/>
      <w:divBdr>
        <w:top w:val="none" w:sz="0" w:space="0" w:color="auto"/>
        <w:left w:val="none" w:sz="0" w:space="0" w:color="auto"/>
        <w:bottom w:val="none" w:sz="0" w:space="0" w:color="auto"/>
        <w:right w:val="none" w:sz="0" w:space="0" w:color="auto"/>
      </w:divBdr>
    </w:div>
    <w:div w:id="1874341584">
      <w:bodyDiv w:val="1"/>
      <w:marLeft w:val="0"/>
      <w:marRight w:val="0"/>
      <w:marTop w:val="0"/>
      <w:marBottom w:val="0"/>
      <w:divBdr>
        <w:top w:val="none" w:sz="0" w:space="0" w:color="auto"/>
        <w:left w:val="none" w:sz="0" w:space="0" w:color="auto"/>
        <w:bottom w:val="none" w:sz="0" w:space="0" w:color="auto"/>
        <w:right w:val="none" w:sz="0" w:space="0" w:color="auto"/>
      </w:divBdr>
    </w:div>
    <w:div w:id="1986349472">
      <w:bodyDiv w:val="1"/>
      <w:marLeft w:val="0"/>
      <w:marRight w:val="0"/>
      <w:marTop w:val="0"/>
      <w:marBottom w:val="0"/>
      <w:divBdr>
        <w:top w:val="none" w:sz="0" w:space="0" w:color="auto"/>
        <w:left w:val="none" w:sz="0" w:space="0" w:color="auto"/>
        <w:bottom w:val="none" w:sz="0" w:space="0" w:color="auto"/>
        <w:right w:val="none" w:sz="0" w:space="0" w:color="auto"/>
      </w:divBdr>
      <w:divsChild>
        <w:div w:id="27610424">
          <w:marLeft w:val="0"/>
          <w:marRight w:val="0"/>
          <w:marTop w:val="0"/>
          <w:marBottom w:val="0"/>
          <w:divBdr>
            <w:top w:val="none" w:sz="0" w:space="0" w:color="auto"/>
            <w:left w:val="none" w:sz="0" w:space="0" w:color="auto"/>
            <w:bottom w:val="none" w:sz="0" w:space="0" w:color="auto"/>
            <w:right w:val="none" w:sz="0" w:space="0" w:color="auto"/>
          </w:divBdr>
        </w:div>
        <w:div w:id="119686895">
          <w:marLeft w:val="0"/>
          <w:marRight w:val="0"/>
          <w:marTop w:val="0"/>
          <w:marBottom w:val="0"/>
          <w:divBdr>
            <w:top w:val="none" w:sz="0" w:space="0" w:color="auto"/>
            <w:left w:val="none" w:sz="0" w:space="0" w:color="auto"/>
            <w:bottom w:val="none" w:sz="0" w:space="0" w:color="auto"/>
            <w:right w:val="none" w:sz="0" w:space="0" w:color="auto"/>
          </w:divBdr>
        </w:div>
        <w:div w:id="1039744640">
          <w:marLeft w:val="0"/>
          <w:marRight w:val="0"/>
          <w:marTop w:val="0"/>
          <w:marBottom w:val="0"/>
          <w:divBdr>
            <w:top w:val="none" w:sz="0" w:space="0" w:color="auto"/>
            <w:left w:val="none" w:sz="0" w:space="0" w:color="auto"/>
            <w:bottom w:val="none" w:sz="0" w:space="0" w:color="auto"/>
            <w:right w:val="none" w:sz="0" w:space="0" w:color="auto"/>
          </w:divBdr>
        </w:div>
        <w:div w:id="1267498293">
          <w:marLeft w:val="0"/>
          <w:marRight w:val="0"/>
          <w:marTop w:val="0"/>
          <w:marBottom w:val="0"/>
          <w:divBdr>
            <w:top w:val="none" w:sz="0" w:space="0" w:color="auto"/>
            <w:left w:val="none" w:sz="0" w:space="0" w:color="auto"/>
            <w:bottom w:val="none" w:sz="0" w:space="0" w:color="auto"/>
            <w:right w:val="none" w:sz="0" w:space="0" w:color="auto"/>
          </w:divBdr>
        </w:div>
        <w:div w:id="1273586154">
          <w:marLeft w:val="0"/>
          <w:marRight w:val="0"/>
          <w:marTop w:val="0"/>
          <w:marBottom w:val="0"/>
          <w:divBdr>
            <w:top w:val="none" w:sz="0" w:space="0" w:color="auto"/>
            <w:left w:val="none" w:sz="0" w:space="0" w:color="auto"/>
            <w:bottom w:val="none" w:sz="0" w:space="0" w:color="auto"/>
            <w:right w:val="none" w:sz="0" w:space="0" w:color="auto"/>
          </w:divBdr>
        </w:div>
        <w:div w:id="19356242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4.xml"/><Relationship Id="rId10" Type="http://schemas.openxmlformats.org/officeDocument/2006/relationships/settings" Target="setting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header" Target="header6.xml"/></Relationships>
</file>

<file path=word/_rels/endnotes.xml.rels><?xml version="1.0" encoding="UTF-8" standalone="yes"?>
<Relationships xmlns="http://schemas.openxmlformats.org/package/2006/relationships"><Relationship Id="rId8" Type="http://schemas.openxmlformats.org/officeDocument/2006/relationships/hyperlink" Target="https://engage.dss.gov.au/wp-content/uploads/2022/02/Jobsupport-Evidence-Based-Practices-Review-Final-11.pdf" TargetMode="External"/><Relationship Id="rId13" Type="http://schemas.openxmlformats.org/officeDocument/2006/relationships/hyperlink" Target="https://dataresearch.ndis.gov.au/media/3953/download?attachment" TargetMode="External"/><Relationship Id="rId18" Type="http://schemas.openxmlformats.org/officeDocument/2006/relationships/hyperlink" Target="https://apo.org.au/sites/default/files/resource-files/2024-05/apo-nid326979.pdf" TargetMode="External"/><Relationship Id="rId3" Type="http://schemas.openxmlformats.org/officeDocument/2006/relationships/hyperlink" Target="https://humanrights.gov.au/sites/default/files/int_crpd_nhs_aus_35594_e.pdf" TargetMode="External"/><Relationship Id="rId7" Type="http://schemas.openxmlformats.org/officeDocument/2006/relationships/hyperlink" Target="https://apo.org.au/sites/default/files/resource-files/2025-05/apo-nid330753.pdf" TargetMode="External"/><Relationship Id="rId12" Type="http://schemas.openxmlformats.org/officeDocument/2006/relationships/hyperlink" Target="https://doi.org/10.1016/j.dhjo.2024.101579" TargetMode="External"/><Relationship Id="rId17" Type="http://schemas.openxmlformats.org/officeDocument/2006/relationships/hyperlink" Target="https://humanrights.gov.au/our-work/disability-rights/publications/guidelines-targeted-recruitment-people-disability" TargetMode="External"/><Relationship Id="rId2" Type="http://schemas.openxmlformats.org/officeDocument/2006/relationships/hyperlink" Target="https://humanrights.gov.au/our-work/legal/submission/people-disability-and-employment-2020" TargetMode="External"/><Relationship Id="rId16" Type="http://schemas.openxmlformats.org/officeDocument/2006/relationships/hyperlink" Target="https://humanrights.gov.au/our-work/disability-rights/lessons-from-includeability" TargetMode="External"/><Relationship Id="rId1" Type="http://schemas.openxmlformats.org/officeDocument/2006/relationships/hyperlink" Target="https://humanrights.gov.au/our-work/disability-rights/publications/willing-work-national-inquiry-employment-discrimination" TargetMode="External"/><Relationship Id="rId6" Type="http://schemas.openxmlformats.org/officeDocument/2006/relationships/hyperlink" Target="https://humanrights.gov.au/our-work/disability-rights/includeability-evaluation" TargetMode="External"/><Relationship Id="rId11" Type="http://schemas.openxmlformats.org/officeDocument/2006/relationships/hyperlink" Target="https://aus01.safelinks.protection.outlook.com/?url=https%3A%2F%2Fwww.base-uk.org%2Fpage%2FQuality-in-Supported-Employment&amp;data=05%7C02%7Csiobhan.tierney%40humanrights.gov.au%7C8317e52db5ca4c991fb708dd6cde8e16%7Cea4cdebd454f4218919b7adc32bf1549%7C0%7C0%7C638786425522140386%7CUnknown%7CTWFpbGZsb3d8eyJFbXB0eU1hcGkiOnRydWUsIlYiOiIwLjAuMDAwMCIsIlAiOiJXaW4zMiIsIkFOIjoiTWFpbCIsIldUIjoyfQ%3D%3D%7C0%7C%7C%7C&amp;sdata=3yUTISsP7XWeTrUybpRwYlv52Udqj8iHjQ2UBPQe8Qw%3D&amp;reserved=0" TargetMode="External"/><Relationship Id="rId5" Type="http://schemas.openxmlformats.org/officeDocument/2006/relationships/hyperlink" Target="https://www.aihw.gov.au/reports/disability/people-with-disability-in-australia/contents/employment/labour-force-participation" TargetMode="External"/><Relationship Id="rId15" Type="http://schemas.openxmlformats.org/officeDocument/2006/relationships/hyperlink" Target="https://assets.csi.edu.au/assets/research/SF016_SC-Social-Impact-Project-Report_FINAL.pdf" TargetMode="External"/><Relationship Id="rId10" Type="http://schemas.openxmlformats.org/officeDocument/2006/relationships/hyperlink" Target="https://assets.csi.edu.au/assets/research/SF016_SC-Social-Impact-Project-Report_FINAL.pdf" TargetMode="External"/><Relationship Id="rId19" Type="http://schemas.openxmlformats.org/officeDocument/2006/relationships/hyperlink" Target="https://cyda.org.au/wp-content/uploads/2023/08/response_to_drc_employment_issues_paper_october_2020.pdf" TargetMode="External"/><Relationship Id="rId4" Type="http://schemas.openxmlformats.org/officeDocument/2006/relationships/hyperlink" Target="https://www.abs.gov.au/ausstats/abs@.nsf/mf/4433.0.55.006" TargetMode="External"/><Relationship Id="rId9" Type="http://schemas.openxmlformats.org/officeDocument/2006/relationships/hyperlink" Target="https://www.everyonecanwork.org.au/wp-content/uploads/2020/11/Fostering-employment-for-people-with-intellectual-disability-Accessible.pdf" TargetMode="External"/><Relationship Id="rId14" Type="http://schemas.openxmlformats.org/officeDocument/2006/relationships/hyperlink" Target="https://www.tandfonline.com/doi/epdf/10.3109/13668250.2024.2352510?needAccess=tru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australianhrc.sharepoint.com/sites/intranet/TEMPLATES/Submiss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6500fe01-343b-4fb9-a1b0-68ac19d62e01" xsi:nil="true"/>
    <TaxKeywordTaxHTField xmlns="6500fe01-343b-4fb9-a1b0-68ac19d62e01">
      <Terms xmlns="http://schemas.microsoft.com/office/infopath/2007/PartnerControls"/>
    </TaxKeywordTaxHTField>
    <_dlc_DocId xmlns="6500fe01-343b-4fb9-a1b0-68ac19d62e01">WEV44C3EEZP4-1056255319-10564</_dlc_DocId>
    <_dlc_DocIdUrl xmlns="6500fe01-343b-4fb9-a1b0-68ac19d62e01">
      <Url>https://australianhrc.sharepoint.com/sites/DisabilityRights/_layouts/15/DocIdRedir.aspx?ID=WEV44C3EEZP4-1056255319-10564</Url>
      <Description>WEV44C3EEZP4-1056255319-10564</Description>
    </_dlc_DocIdUrl>
    <lcf76f155ced4ddcb4097134ff3c332f xmlns="d305f544-be6d-4a06-9182-35e488c047b9">
      <Terms xmlns="http://schemas.microsoft.com/office/infopath/2007/PartnerControls"/>
    </lcf76f155ced4ddcb4097134ff3c332f>
    <Notes xmlns="d305f544-be6d-4a06-9182-35e488c047b9" xsi:nil="true"/>
    <Notes0 xmlns="d305f544-be6d-4a06-9182-35e488c047b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67940E70C94354F8F8561BF2727C984" ma:contentTypeVersion="21" ma:contentTypeDescription="Create a new document." ma:contentTypeScope="" ma:versionID="a7d45e2877701f6be8ed5ac1e7063508">
  <xsd:schema xmlns:xsd="http://www.w3.org/2001/XMLSchema" xmlns:xs="http://www.w3.org/2001/XMLSchema" xmlns:p="http://schemas.microsoft.com/office/2006/metadata/properties" xmlns:ns2="6500fe01-343b-4fb9-a1b0-68ac19d62e01" xmlns:ns3="d305f544-be6d-4a06-9182-35e488c047b9" xmlns:ns4="39d46e2e-af2c-4283-b2c0-dbe09d693c60" targetNamespace="http://schemas.microsoft.com/office/2006/metadata/properties" ma:root="true" ma:fieldsID="2308fdaba4ba0bf72c4f977063fd8643" ns2:_="" ns3:_="" ns4:_="">
    <xsd:import namespace="6500fe01-343b-4fb9-a1b0-68ac19d62e01"/>
    <xsd:import namespace="d305f544-be6d-4a06-9182-35e488c047b9"/>
    <xsd:import namespace="39d46e2e-af2c-4283-b2c0-dbe09d693c60"/>
    <xsd:element name="properties">
      <xsd:complexType>
        <xsd:sequence>
          <xsd:element name="documentManagement">
            <xsd:complexType>
              <xsd:all>
                <xsd:element ref="ns2:TaxKeywordTaxHTField" minOccurs="0"/>
                <xsd:element ref="ns2:TaxCatchAll" minOccurs="0"/>
                <xsd:element ref="ns2:TaxCatchAllLabel" minOccurs="0"/>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Notes" minOccurs="0"/>
                <xsd:element ref="ns3:Notes0" minOccurs="0"/>
                <xsd:element ref="ns3:MediaLengthInSeconds" minOccurs="0"/>
                <xsd:element ref="ns3:lcf76f155ced4ddcb4097134ff3c332f" minOccurs="0"/>
                <xsd:element ref="ns3:MediaServiceGenerationTime" minOccurs="0"/>
                <xsd:element ref="ns3:MediaServiceEventHashCode" minOccurs="0"/>
                <xsd:element ref="ns3:MediaServiceObjectDetectorVersions" minOccurs="0"/>
                <xsd:element ref="ns3:MediaServiceDateTaken" minOccurs="0"/>
                <xsd:element ref="ns3:MediaServiceLocation"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00fe01-343b-4fb9-a1b0-68ac19d62e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fieldId="{23f27201-bee3-471e-b2e7-b64fd8b7ca38}" ma:taxonomyMulti="true" ma:sspId="975c5ac6-a0cc-43ed-b850-4a2ae59237b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6aba89f1-9dd8-48a5-8350-dbcd55a0ef57}" ma:internalName="TaxCatchAll" ma:showField="CatchAllData" ma:web="39d46e2e-af2c-4283-b2c0-dbe09d693c6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aba89f1-9dd8-48a5-8350-dbcd55a0ef57}" ma:internalName="TaxCatchAllLabel" ma:readOnly="true" ma:showField="CatchAllDataLabel" ma:web="39d46e2e-af2c-4283-b2c0-dbe09d693c60">
      <xsd:complexType>
        <xsd:complexContent>
          <xsd:extension base="dms:MultiChoiceLookup">
            <xsd:sequence>
              <xsd:element name="Value" type="dms:Lookup" maxOccurs="unbounded" minOccurs="0" nillable="true"/>
            </xsd:sequence>
          </xsd:extension>
        </xsd:complexContent>
      </xsd:complexType>
    </xsd:element>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05f544-be6d-4a06-9182-35e488c047b9"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Notes" ma:index="19" nillable="true" ma:displayName="Reference" ma:format="Dropdown" ma:internalName="Notes">
      <xsd:simpleType>
        <xsd:restriction base="dms:Note"/>
      </xsd:simpleType>
    </xsd:element>
    <xsd:element name="Notes0" ma:index="20" nillable="true" ma:displayName="Notes" ma:format="Dropdown" ma:internalName="Notes0">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75c5ac6-a0cc-43ed-b850-4a2ae59237b6" ma:termSetId="09814cd3-568e-fe90-9814-8d621ff8fb84" ma:anchorId="fba54fb3-c3e1-fe81-a776-ca4b69148c4d" ma:open="true" ma:isKeyword="false">
      <xsd:complexType>
        <xsd:sequence>
          <xsd:element ref="pc:Terms" minOccurs="0" maxOccurs="1"/>
        </xsd:sequence>
      </xsd:complex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DateTaken" ma:index="27" nillable="true" ma:displayName="MediaServiceDateTaken" ma:hidden="true" ma:indexed="true" ma:internalName="MediaServiceDateTaken"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d46e2e-af2c-4283-b2c0-dbe09d693c6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975c5ac6-a0cc-43ed-b850-4a2ae59237b6" ContentTypeId="0x0101" PreviousValue="false" LastSyncTimeStamp="2019-01-22T02:06:15.047Z"/>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4FFFF486-CE15-45B2-AD37-2BE2B10776FD}">
  <ds:schemaRefs>
    <ds:schemaRef ds:uri="http://schemas.microsoft.com/sharepoint/events"/>
  </ds:schemaRefs>
</ds:datastoreItem>
</file>

<file path=customXml/itemProps2.xml><?xml version="1.0" encoding="utf-8"?>
<ds:datastoreItem xmlns:ds="http://schemas.openxmlformats.org/officeDocument/2006/customXml" ds:itemID="{9D234E28-B345-4108-8EB3-981E9AB2F75F}">
  <ds:schemaRefs>
    <ds:schemaRef ds:uri="http://schemas.microsoft.com/office/2006/metadata/properties"/>
    <ds:schemaRef ds:uri="http://schemas.microsoft.com/office/infopath/2007/PartnerControls"/>
    <ds:schemaRef ds:uri="6500fe01-343b-4fb9-a1b0-68ac19d62e01"/>
    <ds:schemaRef ds:uri="d305f544-be6d-4a06-9182-35e488c047b9"/>
  </ds:schemaRefs>
</ds:datastoreItem>
</file>

<file path=customXml/itemProps3.xml><?xml version="1.0" encoding="utf-8"?>
<ds:datastoreItem xmlns:ds="http://schemas.openxmlformats.org/officeDocument/2006/customXml" ds:itemID="{B034F6BE-1A64-4A1C-92AD-238F0159AFE7}">
  <ds:schemaRefs>
    <ds:schemaRef ds:uri="http://schemas.microsoft.com/sharepoint/v3/contenttype/forms"/>
  </ds:schemaRefs>
</ds:datastoreItem>
</file>

<file path=customXml/itemProps4.xml><?xml version="1.0" encoding="utf-8"?>
<ds:datastoreItem xmlns:ds="http://schemas.openxmlformats.org/officeDocument/2006/customXml" ds:itemID="{8ECFC825-0B99-4C1E-8966-25BF6B4D24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00fe01-343b-4fb9-a1b0-68ac19d62e01"/>
    <ds:schemaRef ds:uri="d305f544-be6d-4a06-9182-35e488c047b9"/>
    <ds:schemaRef ds:uri="39d46e2e-af2c-4283-b2c0-dbe09d693c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B3C5130-51C0-43DC-86C9-4C38672B5C71}">
  <ds:schemaRefs>
    <ds:schemaRef ds:uri="Microsoft.SharePoint.Taxonomy.ContentTypeSync"/>
  </ds:schemaRefs>
</ds:datastoreItem>
</file>

<file path=customXml/itemProps6.xml><?xml version="1.0" encoding="utf-8"?>
<ds:datastoreItem xmlns:ds="http://schemas.openxmlformats.org/officeDocument/2006/customXml" ds:itemID="{221D3C63-0C46-49A4-B926-30794ADA32FC}">
  <ds:schemaRefs>
    <ds:schemaRef ds:uri="http://schemas.openxmlformats.org/officeDocument/2006/bibliography"/>
  </ds:schemaRefs>
</ds:datastoreItem>
</file>

<file path=customXml/itemProps7.xml><?xml version="1.0" encoding="utf-8"?>
<ds:datastoreItem xmlns:ds="http://schemas.openxmlformats.org/officeDocument/2006/customXml" ds:itemID="{0DF7606B-64CD-4B86-8CB1-2E0DE0CD8911}">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Submission.dotx</Template>
  <TotalTime>4</TotalTime>
  <Pages>27</Pages>
  <Words>6572</Words>
  <Characters>37463</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Human Rights and Equal Opportunity Commission</Company>
  <LinksUpToDate>false</LinksUpToDate>
  <CharactersWithSpaces>43948</CharactersWithSpaces>
  <SharedDoc>false</SharedDoc>
  <HLinks>
    <vt:vector size="216" baseType="variant">
      <vt:variant>
        <vt:i4>1638455</vt:i4>
      </vt:variant>
      <vt:variant>
        <vt:i4>98</vt:i4>
      </vt:variant>
      <vt:variant>
        <vt:i4>0</vt:i4>
      </vt:variant>
      <vt:variant>
        <vt:i4>5</vt:i4>
      </vt:variant>
      <vt:variant>
        <vt:lpwstr/>
      </vt:variant>
      <vt:variant>
        <vt:lpwstr>_Toc202518632</vt:lpwstr>
      </vt:variant>
      <vt:variant>
        <vt:i4>1638455</vt:i4>
      </vt:variant>
      <vt:variant>
        <vt:i4>92</vt:i4>
      </vt:variant>
      <vt:variant>
        <vt:i4>0</vt:i4>
      </vt:variant>
      <vt:variant>
        <vt:i4>5</vt:i4>
      </vt:variant>
      <vt:variant>
        <vt:lpwstr/>
      </vt:variant>
      <vt:variant>
        <vt:lpwstr>_Toc202518631</vt:lpwstr>
      </vt:variant>
      <vt:variant>
        <vt:i4>1638455</vt:i4>
      </vt:variant>
      <vt:variant>
        <vt:i4>86</vt:i4>
      </vt:variant>
      <vt:variant>
        <vt:i4>0</vt:i4>
      </vt:variant>
      <vt:variant>
        <vt:i4>5</vt:i4>
      </vt:variant>
      <vt:variant>
        <vt:lpwstr/>
      </vt:variant>
      <vt:variant>
        <vt:lpwstr>_Toc202518630</vt:lpwstr>
      </vt:variant>
      <vt:variant>
        <vt:i4>1572919</vt:i4>
      </vt:variant>
      <vt:variant>
        <vt:i4>80</vt:i4>
      </vt:variant>
      <vt:variant>
        <vt:i4>0</vt:i4>
      </vt:variant>
      <vt:variant>
        <vt:i4>5</vt:i4>
      </vt:variant>
      <vt:variant>
        <vt:lpwstr/>
      </vt:variant>
      <vt:variant>
        <vt:lpwstr>_Toc202518629</vt:lpwstr>
      </vt:variant>
      <vt:variant>
        <vt:i4>1572919</vt:i4>
      </vt:variant>
      <vt:variant>
        <vt:i4>74</vt:i4>
      </vt:variant>
      <vt:variant>
        <vt:i4>0</vt:i4>
      </vt:variant>
      <vt:variant>
        <vt:i4>5</vt:i4>
      </vt:variant>
      <vt:variant>
        <vt:lpwstr/>
      </vt:variant>
      <vt:variant>
        <vt:lpwstr>_Toc202518628</vt:lpwstr>
      </vt:variant>
      <vt:variant>
        <vt:i4>1572919</vt:i4>
      </vt:variant>
      <vt:variant>
        <vt:i4>68</vt:i4>
      </vt:variant>
      <vt:variant>
        <vt:i4>0</vt:i4>
      </vt:variant>
      <vt:variant>
        <vt:i4>5</vt:i4>
      </vt:variant>
      <vt:variant>
        <vt:lpwstr/>
      </vt:variant>
      <vt:variant>
        <vt:lpwstr>_Toc202518627</vt:lpwstr>
      </vt:variant>
      <vt:variant>
        <vt:i4>1572919</vt:i4>
      </vt:variant>
      <vt:variant>
        <vt:i4>62</vt:i4>
      </vt:variant>
      <vt:variant>
        <vt:i4>0</vt:i4>
      </vt:variant>
      <vt:variant>
        <vt:i4>5</vt:i4>
      </vt:variant>
      <vt:variant>
        <vt:lpwstr/>
      </vt:variant>
      <vt:variant>
        <vt:lpwstr>_Toc202518626</vt:lpwstr>
      </vt:variant>
      <vt:variant>
        <vt:i4>1572919</vt:i4>
      </vt:variant>
      <vt:variant>
        <vt:i4>56</vt:i4>
      </vt:variant>
      <vt:variant>
        <vt:i4>0</vt:i4>
      </vt:variant>
      <vt:variant>
        <vt:i4>5</vt:i4>
      </vt:variant>
      <vt:variant>
        <vt:lpwstr/>
      </vt:variant>
      <vt:variant>
        <vt:lpwstr>_Toc202518625</vt:lpwstr>
      </vt:variant>
      <vt:variant>
        <vt:i4>1572919</vt:i4>
      </vt:variant>
      <vt:variant>
        <vt:i4>50</vt:i4>
      </vt:variant>
      <vt:variant>
        <vt:i4>0</vt:i4>
      </vt:variant>
      <vt:variant>
        <vt:i4>5</vt:i4>
      </vt:variant>
      <vt:variant>
        <vt:lpwstr/>
      </vt:variant>
      <vt:variant>
        <vt:lpwstr>_Toc202518624</vt:lpwstr>
      </vt:variant>
      <vt:variant>
        <vt:i4>1572919</vt:i4>
      </vt:variant>
      <vt:variant>
        <vt:i4>44</vt:i4>
      </vt:variant>
      <vt:variant>
        <vt:i4>0</vt:i4>
      </vt:variant>
      <vt:variant>
        <vt:i4>5</vt:i4>
      </vt:variant>
      <vt:variant>
        <vt:lpwstr/>
      </vt:variant>
      <vt:variant>
        <vt:lpwstr>_Toc202518623</vt:lpwstr>
      </vt:variant>
      <vt:variant>
        <vt:i4>1572919</vt:i4>
      </vt:variant>
      <vt:variant>
        <vt:i4>38</vt:i4>
      </vt:variant>
      <vt:variant>
        <vt:i4>0</vt:i4>
      </vt:variant>
      <vt:variant>
        <vt:i4>5</vt:i4>
      </vt:variant>
      <vt:variant>
        <vt:lpwstr/>
      </vt:variant>
      <vt:variant>
        <vt:lpwstr>_Toc202518622</vt:lpwstr>
      </vt:variant>
      <vt:variant>
        <vt:i4>1572919</vt:i4>
      </vt:variant>
      <vt:variant>
        <vt:i4>32</vt:i4>
      </vt:variant>
      <vt:variant>
        <vt:i4>0</vt:i4>
      </vt:variant>
      <vt:variant>
        <vt:i4>5</vt:i4>
      </vt:variant>
      <vt:variant>
        <vt:lpwstr/>
      </vt:variant>
      <vt:variant>
        <vt:lpwstr>_Toc202518621</vt:lpwstr>
      </vt:variant>
      <vt:variant>
        <vt:i4>1572919</vt:i4>
      </vt:variant>
      <vt:variant>
        <vt:i4>26</vt:i4>
      </vt:variant>
      <vt:variant>
        <vt:i4>0</vt:i4>
      </vt:variant>
      <vt:variant>
        <vt:i4>5</vt:i4>
      </vt:variant>
      <vt:variant>
        <vt:lpwstr/>
      </vt:variant>
      <vt:variant>
        <vt:lpwstr>_Toc202518620</vt:lpwstr>
      </vt:variant>
      <vt:variant>
        <vt:i4>1769527</vt:i4>
      </vt:variant>
      <vt:variant>
        <vt:i4>20</vt:i4>
      </vt:variant>
      <vt:variant>
        <vt:i4>0</vt:i4>
      </vt:variant>
      <vt:variant>
        <vt:i4>5</vt:i4>
      </vt:variant>
      <vt:variant>
        <vt:lpwstr/>
      </vt:variant>
      <vt:variant>
        <vt:lpwstr>_Toc202518619</vt:lpwstr>
      </vt:variant>
      <vt:variant>
        <vt:i4>1769527</vt:i4>
      </vt:variant>
      <vt:variant>
        <vt:i4>14</vt:i4>
      </vt:variant>
      <vt:variant>
        <vt:i4>0</vt:i4>
      </vt:variant>
      <vt:variant>
        <vt:i4>5</vt:i4>
      </vt:variant>
      <vt:variant>
        <vt:lpwstr/>
      </vt:variant>
      <vt:variant>
        <vt:lpwstr>_Toc202518618</vt:lpwstr>
      </vt:variant>
      <vt:variant>
        <vt:i4>1769527</vt:i4>
      </vt:variant>
      <vt:variant>
        <vt:i4>8</vt:i4>
      </vt:variant>
      <vt:variant>
        <vt:i4>0</vt:i4>
      </vt:variant>
      <vt:variant>
        <vt:i4>5</vt:i4>
      </vt:variant>
      <vt:variant>
        <vt:lpwstr/>
      </vt:variant>
      <vt:variant>
        <vt:lpwstr>_Toc202518617</vt:lpwstr>
      </vt:variant>
      <vt:variant>
        <vt:i4>1769527</vt:i4>
      </vt:variant>
      <vt:variant>
        <vt:i4>2</vt:i4>
      </vt:variant>
      <vt:variant>
        <vt:i4>0</vt:i4>
      </vt:variant>
      <vt:variant>
        <vt:i4>5</vt:i4>
      </vt:variant>
      <vt:variant>
        <vt:lpwstr/>
      </vt:variant>
      <vt:variant>
        <vt:lpwstr>_Toc202518616</vt:lpwstr>
      </vt:variant>
      <vt:variant>
        <vt:i4>7667780</vt:i4>
      </vt:variant>
      <vt:variant>
        <vt:i4>54</vt:i4>
      </vt:variant>
      <vt:variant>
        <vt:i4>0</vt:i4>
      </vt:variant>
      <vt:variant>
        <vt:i4>5</vt:i4>
      </vt:variant>
      <vt:variant>
        <vt:lpwstr>https://cyda.org.au/wp-content/uploads/2023/08/response_to_drc_employment_issues_paper_october_2020.pdf</vt:lpwstr>
      </vt:variant>
      <vt:variant>
        <vt:lpwstr/>
      </vt:variant>
      <vt:variant>
        <vt:i4>2490485</vt:i4>
      </vt:variant>
      <vt:variant>
        <vt:i4>51</vt:i4>
      </vt:variant>
      <vt:variant>
        <vt:i4>0</vt:i4>
      </vt:variant>
      <vt:variant>
        <vt:i4>5</vt:i4>
      </vt:variant>
      <vt:variant>
        <vt:lpwstr>https://apo.org.au/sites/default/files/resource-files/2024-05/apo-nid326979.pdf</vt:lpwstr>
      </vt:variant>
      <vt:variant>
        <vt:lpwstr/>
      </vt:variant>
      <vt:variant>
        <vt:i4>1441884</vt:i4>
      </vt:variant>
      <vt:variant>
        <vt:i4>48</vt:i4>
      </vt:variant>
      <vt:variant>
        <vt:i4>0</vt:i4>
      </vt:variant>
      <vt:variant>
        <vt:i4>5</vt:i4>
      </vt:variant>
      <vt:variant>
        <vt:lpwstr>https://humanrights.gov.au/our-work/disability-rights/publications/guidelines-targeted-recruitment-people-disability</vt:lpwstr>
      </vt:variant>
      <vt:variant>
        <vt:lpwstr/>
      </vt:variant>
      <vt:variant>
        <vt:i4>6029384</vt:i4>
      </vt:variant>
      <vt:variant>
        <vt:i4>45</vt:i4>
      </vt:variant>
      <vt:variant>
        <vt:i4>0</vt:i4>
      </vt:variant>
      <vt:variant>
        <vt:i4>5</vt:i4>
      </vt:variant>
      <vt:variant>
        <vt:lpwstr>https://humanrights.gov.au/our-work/disability-rights/lessons-from-includeability</vt:lpwstr>
      </vt:variant>
      <vt:variant>
        <vt:lpwstr/>
      </vt:variant>
      <vt:variant>
        <vt:i4>4522003</vt:i4>
      </vt:variant>
      <vt:variant>
        <vt:i4>42</vt:i4>
      </vt:variant>
      <vt:variant>
        <vt:i4>0</vt:i4>
      </vt:variant>
      <vt:variant>
        <vt:i4>5</vt:i4>
      </vt:variant>
      <vt:variant>
        <vt:lpwstr>https://assets.csi.edu.au/assets/research/SF016_SC-Social-Impact-Project-Report_FINAL.pdf</vt:lpwstr>
      </vt:variant>
      <vt:variant>
        <vt:lpwstr/>
      </vt:variant>
      <vt:variant>
        <vt:i4>8192060</vt:i4>
      </vt:variant>
      <vt:variant>
        <vt:i4>39</vt:i4>
      </vt:variant>
      <vt:variant>
        <vt:i4>0</vt:i4>
      </vt:variant>
      <vt:variant>
        <vt:i4>5</vt:i4>
      </vt:variant>
      <vt:variant>
        <vt:lpwstr>https://www.tandfonline.com/doi/epdf/10.3109/13668250.2024.2352510?needAccess=true</vt:lpwstr>
      </vt:variant>
      <vt:variant>
        <vt:lpwstr/>
      </vt:variant>
      <vt:variant>
        <vt:i4>2621477</vt:i4>
      </vt:variant>
      <vt:variant>
        <vt:i4>36</vt:i4>
      </vt:variant>
      <vt:variant>
        <vt:i4>0</vt:i4>
      </vt:variant>
      <vt:variant>
        <vt:i4>5</vt:i4>
      </vt:variant>
      <vt:variant>
        <vt:lpwstr>https://dataresearch.ndis.gov.au/media/3953/download?attachment</vt:lpwstr>
      </vt:variant>
      <vt:variant>
        <vt:lpwstr/>
      </vt:variant>
      <vt:variant>
        <vt:i4>2687013</vt:i4>
      </vt:variant>
      <vt:variant>
        <vt:i4>33</vt:i4>
      </vt:variant>
      <vt:variant>
        <vt:i4>0</vt:i4>
      </vt:variant>
      <vt:variant>
        <vt:i4>5</vt:i4>
      </vt:variant>
      <vt:variant>
        <vt:lpwstr>https://doi.org/10.1016/j.dhjo.2024.101579</vt:lpwstr>
      </vt:variant>
      <vt:variant>
        <vt:lpwstr/>
      </vt:variant>
      <vt:variant>
        <vt:i4>7405664</vt:i4>
      </vt:variant>
      <vt:variant>
        <vt:i4>30</vt:i4>
      </vt:variant>
      <vt:variant>
        <vt:i4>0</vt:i4>
      </vt:variant>
      <vt:variant>
        <vt:i4>5</vt:i4>
      </vt:variant>
      <vt:variant>
        <vt:lpwstr>https://aus01.safelinks.protection.outlook.com/?url=https%3A%2F%2Fwww.base-uk.org%2Fpage%2FQuality-in-Supported-Employment&amp;data=05%7C02%7Csiobhan.tierney%40humanrights.gov.au%7C8317e52db5ca4c991fb708dd6cde8e16%7Cea4cdebd454f4218919b7adc32bf1549%7C0%7C0%7C638786425522140386%7CUnknown%7CTWFpbGZsb3d8eyJFbXB0eU1hcGkiOnRydWUsIlYiOiIwLjAuMDAwMCIsIlAiOiJXaW4zMiIsIkFOIjoiTWFpbCIsIldUIjoyfQ%3D%3D%7C0%7C%7C%7C&amp;sdata=3yUTISsP7XWeTrUybpRwYlv52Udqj8iHjQ2UBPQe8Qw%3D&amp;reserved=0</vt:lpwstr>
      </vt:variant>
      <vt:variant>
        <vt:lpwstr/>
      </vt:variant>
      <vt:variant>
        <vt:i4>4522003</vt:i4>
      </vt:variant>
      <vt:variant>
        <vt:i4>27</vt:i4>
      </vt:variant>
      <vt:variant>
        <vt:i4>0</vt:i4>
      </vt:variant>
      <vt:variant>
        <vt:i4>5</vt:i4>
      </vt:variant>
      <vt:variant>
        <vt:lpwstr>https://assets.csi.edu.au/assets/research/SF016_SC-Social-Impact-Project-Report_FINAL.pdf</vt:lpwstr>
      </vt:variant>
      <vt:variant>
        <vt:lpwstr/>
      </vt:variant>
      <vt:variant>
        <vt:i4>262152</vt:i4>
      </vt:variant>
      <vt:variant>
        <vt:i4>24</vt:i4>
      </vt:variant>
      <vt:variant>
        <vt:i4>0</vt:i4>
      </vt:variant>
      <vt:variant>
        <vt:i4>5</vt:i4>
      </vt:variant>
      <vt:variant>
        <vt:lpwstr>https://www.everyonecanwork.org.au/wp-content/uploads/2020/11/Fostering-employment-for-people-with-intellectual-disability-Accessible.pdf</vt:lpwstr>
      </vt:variant>
      <vt:variant>
        <vt:lpwstr/>
      </vt:variant>
      <vt:variant>
        <vt:i4>4980742</vt:i4>
      </vt:variant>
      <vt:variant>
        <vt:i4>21</vt:i4>
      </vt:variant>
      <vt:variant>
        <vt:i4>0</vt:i4>
      </vt:variant>
      <vt:variant>
        <vt:i4>5</vt:i4>
      </vt:variant>
      <vt:variant>
        <vt:lpwstr>https://engage.dss.gov.au/wp-content/uploads/2022/02/Jobsupport-Evidence-Based-Practices-Review-Final-11.pdf</vt:lpwstr>
      </vt:variant>
      <vt:variant>
        <vt:lpwstr/>
      </vt:variant>
      <vt:variant>
        <vt:i4>2293872</vt:i4>
      </vt:variant>
      <vt:variant>
        <vt:i4>18</vt:i4>
      </vt:variant>
      <vt:variant>
        <vt:i4>0</vt:i4>
      </vt:variant>
      <vt:variant>
        <vt:i4>5</vt:i4>
      </vt:variant>
      <vt:variant>
        <vt:lpwstr>https://apo.org.au/sites/default/files/resource-files/2025-05/apo-nid330753.pdf</vt:lpwstr>
      </vt:variant>
      <vt:variant>
        <vt:lpwstr/>
      </vt:variant>
      <vt:variant>
        <vt:i4>6422583</vt:i4>
      </vt:variant>
      <vt:variant>
        <vt:i4>15</vt:i4>
      </vt:variant>
      <vt:variant>
        <vt:i4>0</vt:i4>
      </vt:variant>
      <vt:variant>
        <vt:i4>5</vt:i4>
      </vt:variant>
      <vt:variant>
        <vt:lpwstr>https://humanrights.gov.au/our-work/disability-rights/includeability-evaluation</vt:lpwstr>
      </vt:variant>
      <vt:variant>
        <vt:lpwstr/>
      </vt:variant>
      <vt:variant>
        <vt:i4>327688</vt:i4>
      </vt:variant>
      <vt:variant>
        <vt:i4>12</vt:i4>
      </vt:variant>
      <vt:variant>
        <vt:i4>0</vt:i4>
      </vt:variant>
      <vt:variant>
        <vt:i4>5</vt:i4>
      </vt:variant>
      <vt:variant>
        <vt:lpwstr>https://www.aihw.gov.au/reports/disability/people-with-disability-in-australia/contents/employment/labour-force-participation</vt:lpwstr>
      </vt:variant>
      <vt:variant>
        <vt:lpwstr/>
      </vt:variant>
      <vt:variant>
        <vt:i4>7929885</vt:i4>
      </vt:variant>
      <vt:variant>
        <vt:i4>9</vt:i4>
      </vt:variant>
      <vt:variant>
        <vt:i4>0</vt:i4>
      </vt:variant>
      <vt:variant>
        <vt:i4>5</vt:i4>
      </vt:variant>
      <vt:variant>
        <vt:lpwstr>https://www.abs.gov.au/ausstats/abs@.nsf/mf/4433.0.55.006</vt:lpwstr>
      </vt:variant>
      <vt:variant>
        <vt:lpwstr/>
      </vt:variant>
      <vt:variant>
        <vt:i4>2424910</vt:i4>
      </vt:variant>
      <vt:variant>
        <vt:i4>6</vt:i4>
      </vt:variant>
      <vt:variant>
        <vt:i4>0</vt:i4>
      </vt:variant>
      <vt:variant>
        <vt:i4>5</vt:i4>
      </vt:variant>
      <vt:variant>
        <vt:lpwstr>https://humanrights.gov.au/sites/default/files/int_crpd_nhs_aus_35594_e.pdf</vt:lpwstr>
      </vt:variant>
      <vt:variant>
        <vt:lpwstr/>
      </vt:variant>
      <vt:variant>
        <vt:i4>7340140</vt:i4>
      </vt:variant>
      <vt:variant>
        <vt:i4>3</vt:i4>
      </vt:variant>
      <vt:variant>
        <vt:i4>0</vt:i4>
      </vt:variant>
      <vt:variant>
        <vt:i4>5</vt:i4>
      </vt:variant>
      <vt:variant>
        <vt:lpwstr>https://humanrights.gov.au/our-work/legal/submission/people-disability-and-employment-2020</vt:lpwstr>
      </vt:variant>
      <vt:variant>
        <vt:lpwstr/>
      </vt:variant>
      <vt:variant>
        <vt:i4>6488177</vt:i4>
      </vt:variant>
      <vt:variant>
        <vt:i4>0</vt:i4>
      </vt:variant>
      <vt:variant>
        <vt:i4>0</vt:i4>
      </vt:variant>
      <vt:variant>
        <vt:i4>5</vt:i4>
      </vt:variant>
      <vt:variant>
        <vt:lpwstr>https://humanrights.gov.au/our-work/disability-rights/publications/willing-work-national-inquiry-employment-discrimination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Dunn</dc:creator>
  <cp:keywords/>
  <dc:description/>
  <cp:lastModifiedBy>Alexandra Dunn</cp:lastModifiedBy>
  <cp:revision>13</cp:revision>
  <cp:lastPrinted>2025-07-24T08:59:00Z</cp:lastPrinted>
  <dcterms:created xsi:type="dcterms:W3CDTF">2025-07-24T08:47:00Z</dcterms:created>
  <dcterms:modified xsi:type="dcterms:W3CDTF">2025-07-24T08:59:00Z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MediaServiceImageTags">
    <vt:lpwstr/>
  </property>
  <property fmtid="{D5CDD505-2E9C-101B-9397-08002B2CF9AE}" pid="4" name="ContentTypeId">
    <vt:lpwstr>0x010100967940E70C94354F8F8561BF2727C984</vt:lpwstr>
  </property>
  <property fmtid="{D5CDD505-2E9C-101B-9397-08002B2CF9AE}" pid="5" name="_dlc_DocIdItemGuid">
    <vt:lpwstr>554048d2-3c57-40b9-81cf-1c4ae3859181</vt:lpwstr>
  </property>
</Properties>
</file>