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4ED1" w14:textId="23F0A0C1" w:rsidR="00A355F9" w:rsidRDefault="00BC6A38" w:rsidP="00A355F9">
      <w:pPr>
        <w:pStyle w:val="MainTitle"/>
      </w:pPr>
      <w:r>
        <w:t>Externali</w:t>
      </w:r>
      <w:r w:rsidR="000B77E9">
        <w:t>s</w:t>
      </w:r>
      <w:r>
        <w:t>ation of Migration</w:t>
      </w:r>
    </w:p>
    <w:p w14:paraId="325D81EA" w14:textId="0354B8E8" w:rsidR="00A355F9" w:rsidRDefault="00BC6A38" w:rsidP="00A355F9">
      <w:pPr>
        <w:pStyle w:val="MainTitle"/>
      </w:pPr>
      <w:r>
        <w:t>and the Impact on the Human Rights of Migrants</w:t>
      </w:r>
    </w:p>
    <w:p w14:paraId="6BD5F78B" w14:textId="77777777" w:rsidR="00817C73" w:rsidRPr="00760031" w:rsidRDefault="00817C73" w:rsidP="00760031">
      <w:pPr>
        <w:jc w:val="right"/>
        <w:rPr>
          <w:color w:val="237BBC"/>
          <w:sz w:val="28"/>
          <w:szCs w:val="28"/>
        </w:rPr>
      </w:pPr>
      <w:bookmarkStart w:id="0" w:name="_Toc515873204"/>
      <w:r w:rsidRPr="00760031">
        <w:rPr>
          <w:color w:val="237BBC"/>
          <w:sz w:val="28"/>
          <w:szCs w:val="28"/>
        </w:rPr>
        <w:t>Australian Human Rights Commission</w:t>
      </w:r>
      <w:bookmarkEnd w:id="0"/>
    </w:p>
    <w:p w14:paraId="0A8684D6" w14:textId="45698C3B" w:rsidR="00817C73" w:rsidRPr="00760031" w:rsidRDefault="00817C73" w:rsidP="00760031">
      <w:pPr>
        <w:jc w:val="right"/>
        <w:rPr>
          <w:color w:val="237BBC"/>
          <w:sz w:val="28"/>
          <w:szCs w:val="28"/>
        </w:rPr>
      </w:pPr>
      <w:bookmarkStart w:id="1" w:name="_Toc515873205"/>
      <w:r w:rsidRPr="00760031">
        <w:rPr>
          <w:color w:val="237BBC"/>
          <w:sz w:val="28"/>
          <w:szCs w:val="28"/>
        </w:rPr>
        <w:t xml:space="preserve">Submission to the </w:t>
      </w:r>
      <w:bookmarkEnd w:id="1"/>
      <w:r w:rsidR="00BC6A38" w:rsidRPr="00760031">
        <w:rPr>
          <w:color w:val="237BBC"/>
          <w:sz w:val="28"/>
          <w:szCs w:val="28"/>
        </w:rPr>
        <w:t>Special Rapporteur on the human rights of migrants </w:t>
      </w:r>
    </w:p>
    <w:p w14:paraId="65A2CA99" w14:textId="0D5D3E18" w:rsidR="00F220A5" w:rsidRPr="00817C73" w:rsidRDefault="00F0282F" w:rsidP="00F220A5">
      <w:pPr>
        <w:pStyle w:val="Date"/>
      </w:pPr>
      <w:r>
        <w:t>24</w:t>
      </w:r>
      <w:r w:rsidR="00BC6A38" w:rsidRPr="00BC6A38">
        <w:t xml:space="preserve"> June 2025</w:t>
      </w:r>
    </w:p>
    <w:p w14:paraId="31434D03" w14:textId="77777777" w:rsidR="00AC636D" w:rsidRDefault="00AC636D" w:rsidP="00AC636D"/>
    <w:p w14:paraId="7DEE4879" w14:textId="77777777" w:rsidR="009E4BD0" w:rsidRPr="00AC636D" w:rsidRDefault="009E4BD0" w:rsidP="00AC636D">
      <w:pPr>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3E64C9D7" w14:textId="77777777" w:rsidR="00BC6A38" w:rsidRDefault="00BC6A38" w:rsidP="00760031">
      <w:pPr>
        <w:pStyle w:val="TOC1"/>
        <w:ind w:left="0" w:firstLine="0"/>
      </w:pPr>
      <w:bookmarkStart w:id="2" w:name="_Toc209316062"/>
      <w:bookmarkEnd w:id="2"/>
    </w:p>
    <w:p w14:paraId="59363A70" w14:textId="77777777" w:rsidR="00760031" w:rsidRDefault="00760031" w:rsidP="00760031">
      <w:pPr>
        <w:pStyle w:val="TOC1"/>
        <w:spacing w:before="0"/>
        <w:ind w:left="0" w:firstLine="0"/>
      </w:pPr>
    </w:p>
    <w:p w14:paraId="23805B2A" w14:textId="77777777" w:rsidR="00696359" w:rsidRDefault="000B5B68" w:rsidP="00760031">
      <w:pPr>
        <w:pStyle w:val="TOC1"/>
        <w:spacing w:before="0"/>
        <w:ind w:left="0" w:firstLine="0"/>
      </w:pPr>
      <w:r>
        <w:t>Contents</w:t>
      </w:r>
      <w:r w:rsidRPr="000465F1">
        <w:fldChar w:fldCharType="begin"/>
      </w:r>
      <w:r>
        <w:instrText xml:space="preserve"> TOC \o "1-3" \h \z \u </w:instrText>
      </w:r>
      <w:r w:rsidRPr="000465F1">
        <w:fldChar w:fldCharType="separate"/>
      </w:r>
    </w:p>
    <w:p w14:paraId="0E361A66" w14:textId="7512D378" w:rsidR="00696359" w:rsidRDefault="00696359">
      <w:pPr>
        <w:pStyle w:val="TOC1"/>
        <w:rPr>
          <w:rFonts w:asciiTheme="minorHAnsi" w:eastAsiaTheme="minorEastAsia" w:hAnsiTheme="minorHAnsi" w:cstheme="minorBidi"/>
          <w:b w:val="0"/>
          <w:kern w:val="2"/>
          <w14:ligatures w14:val="standardContextual"/>
        </w:rPr>
      </w:pPr>
      <w:hyperlink w:anchor="_Toc202950861" w:history="1">
        <w:r w:rsidRPr="00B1279E">
          <w:rPr>
            <w:rStyle w:val="Hyperlink"/>
          </w:rPr>
          <w:t>1</w:t>
        </w:r>
        <w:r>
          <w:rPr>
            <w:rFonts w:asciiTheme="minorHAnsi" w:eastAsiaTheme="minorEastAsia" w:hAnsiTheme="minorHAnsi" w:cstheme="minorBidi"/>
            <w:b w:val="0"/>
            <w:kern w:val="2"/>
            <w14:ligatures w14:val="standardContextual"/>
          </w:rPr>
          <w:tab/>
        </w:r>
        <w:r w:rsidRPr="00B1279E">
          <w:rPr>
            <w:rStyle w:val="Hyperlink"/>
          </w:rPr>
          <w:t>Introduction</w:t>
        </w:r>
        <w:r>
          <w:rPr>
            <w:webHidden/>
          </w:rPr>
          <w:tab/>
        </w:r>
        <w:r>
          <w:rPr>
            <w:webHidden/>
          </w:rPr>
          <w:fldChar w:fldCharType="begin"/>
        </w:r>
        <w:r>
          <w:rPr>
            <w:webHidden/>
          </w:rPr>
          <w:instrText xml:space="preserve"> PAGEREF _Toc202950861 \h </w:instrText>
        </w:r>
        <w:r>
          <w:rPr>
            <w:webHidden/>
          </w:rPr>
        </w:r>
        <w:r>
          <w:rPr>
            <w:webHidden/>
          </w:rPr>
          <w:fldChar w:fldCharType="separate"/>
        </w:r>
        <w:r w:rsidR="0002537F">
          <w:rPr>
            <w:webHidden/>
          </w:rPr>
          <w:t>3</w:t>
        </w:r>
        <w:r>
          <w:rPr>
            <w:webHidden/>
          </w:rPr>
          <w:fldChar w:fldCharType="end"/>
        </w:r>
      </w:hyperlink>
    </w:p>
    <w:p w14:paraId="4C9F811D" w14:textId="2C9CB934" w:rsidR="00696359" w:rsidRDefault="00696359">
      <w:pPr>
        <w:pStyle w:val="TOC1"/>
        <w:rPr>
          <w:rFonts w:asciiTheme="minorHAnsi" w:eastAsiaTheme="minorEastAsia" w:hAnsiTheme="minorHAnsi" w:cstheme="minorBidi"/>
          <w:b w:val="0"/>
          <w:kern w:val="2"/>
          <w14:ligatures w14:val="standardContextual"/>
        </w:rPr>
      </w:pPr>
      <w:hyperlink w:anchor="_Toc202950862" w:history="1">
        <w:r w:rsidRPr="00B1279E">
          <w:rPr>
            <w:rStyle w:val="Hyperlink"/>
          </w:rPr>
          <w:t>2</w:t>
        </w:r>
        <w:r>
          <w:rPr>
            <w:rFonts w:asciiTheme="minorHAnsi" w:eastAsiaTheme="minorEastAsia" w:hAnsiTheme="minorHAnsi" w:cstheme="minorBidi"/>
            <w:b w:val="0"/>
            <w:kern w:val="2"/>
            <w14:ligatures w14:val="standardContextual"/>
          </w:rPr>
          <w:tab/>
        </w:r>
        <w:r w:rsidRPr="00B1279E">
          <w:rPr>
            <w:rStyle w:val="Hyperlink"/>
          </w:rPr>
          <w:t>Australia’s Policies</w:t>
        </w:r>
        <w:r>
          <w:rPr>
            <w:webHidden/>
          </w:rPr>
          <w:tab/>
        </w:r>
        <w:r>
          <w:rPr>
            <w:webHidden/>
          </w:rPr>
          <w:fldChar w:fldCharType="begin"/>
        </w:r>
        <w:r>
          <w:rPr>
            <w:webHidden/>
          </w:rPr>
          <w:instrText xml:space="preserve"> PAGEREF _Toc202950862 \h </w:instrText>
        </w:r>
        <w:r>
          <w:rPr>
            <w:webHidden/>
          </w:rPr>
        </w:r>
        <w:r>
          <w:rPr>
            <w:webHidden/>
          </w:rPr>
          <w:fldChar w:fldCharType="separate"/>
        </w:r>
        <w:r w:rsidR="0002537F">
          <w:rPr>
            <w:webHidden/>
          </w:rPr>
          <w:t>3</w:t>
        </w:r>
        <w:r>
          <w:rPr>
            <w:webHidden/>
          </w:rPr>
          <w:fldChar w:fldCharType="end"/>
        </w:r>
      </w:hyperlink>
    </w:p>
    <w:p w14:paraId="1E290902" w14:textId="40727CD8" w:rsidR="00696359" w:rsidRDefault="00696359">
      <w:pPr>
        <w:pStyle w:val="TOC2"/>
        <w:rPr>
          <w:rFonts w:asciiTheme="minorHAnsi" w:eastAsiaTheme="minorEastAsia" w:hAnsiTheme="minorHAnsi" w:cstheme="minorBidi"/>
          <w:b w:val="0"/>
          <w:i w:val="0"/>
          <w:kern w:val="2"/>
          <w14:ligatures w14:val="standardContextual"/>
        </w:rPr>
      </w:pPr>
      <w:hyperlink w:anchor="_Toc202950863" w:history="1">
        <w:r w:rsidRPr="00B1279E">
          <w:rPr>
            <w:rStyle w:val="Hyperlink"/>
          </w:rPr>
          <w:t>2.1</w:t>
        </w:r>
        <w:r>
          <w:rPr>
            <w:rFonts w:asciiTheme="minorHAnsi" w:eastAsiaTheme="minorEastAsia" w:hAnsiTheme="minorHAnsi" w:cstheme="minorBidi"/>
            <w:b w:val="0"/>
            <w:i w:val="0"/>
            <w:kern w:val="2"/>
            <w14:ligatures w14:val="standardContextual"/>
          </w:rPr>
          <w:tab/>
        </w:r>
        <w:r w:rsidRPr="00B1279E">
          <w:rPr>
            <w:rStyle w:val="Hyperlink"/>
          </w:rPr>
          <w:t>Offshore Processing Arrangements</w:t>
        </w:r>
        <w:r>
          <w:rPr>
            <w:webHidden/>
          </w:rPr>
          <w:tab/>
        </w:r>
        <w:r w:rsidRPr="000D58E8">
          <w:rPr>
            <w:i w:val="0"/>
            <w:iCs/>
            <w:webHidden/>
          </w:rPr>
          <w:fldChar w:fldCharType="begin"/>
        </w:r>
        <w:r w:rsidRPr="000D58E8">
          <w:rPr>
            <w:i w:val="0"/>
            <w:iCs/>
            <w:webHidden/>
          </w:rPr>
          <w:instrText xml:space="preserve"> PAGEREF _Toc202950863 \h </w:instrText>
        </w:r>
        <w:r w:rsidRPr="000D58E8">
          <w:rPr>
            <w:i w:val="0"/>
            <w:iCs/>
            <w:webHidden/>
          </w:rPr>
        </w:r>
        <w:r w:rsidRPr="000D58E8">
          <w:rPr>
            <w:i w:val="0"/>
            <w:iCs/>
            <w:webHidden/>
          </w:rPr>
          <w:fldChar w:fldCharType="separate"/>
        </w:r>
        <w:r w:rsidR="0002537F">
          <w:rPr>
            <w:i w:val="0"/>
            <w:iCs/>
            <w:webHidden/>
          </w:rPr>
          <w:t>4</w:t>
        </w:r>
        <w:r w:rsidRPr="000D58E8">
          <w:rPr>
            <w:i w:val="0"/>
            <w:iCs/>
            <w:webHidden/>
          </w:rPr>
          <w:fldChar w:fldCharType="end"/>
        </w:r>
      </w:hyperlink>
    </w:p>
    <w:p w14:paraId="274B528B" w14:textId="5498B89F" w:rsidR="00696359" w:rsidRDefault="00696359">
      <w:pPr>
        <w:pStyle w:val="TOC2"/>
        <w:rPr>
          <w:rFonts w:asciiTheme="minorHAnsi" w:eastAsiaTheme="minorEastAsia" w:hAnsiTheme="minorHAnsi" w:cstheme="minorBidi"/>
          <w:b w:val="0"/>
          <w:i w:val="0"/>
          <w:kern w:val="2"/>
          <w14:ligatures w14:val="standardContextual"/>
        </w:rPr>
      </w:pPr>
      <w:hyperlink w:anchor="_Toc202950864" w:history="1">
        <w:r w:rsidRPr="00B1279E">
          <w:rPr>
            <w:rStyle w:val="Hyperlink"/>
          </w:rPr>
          <w:t>2.2</w:t>
        </w:r>
        <w:r>
          <w:rPr>
            <w:rFonts w:asciiTheme="minorHAnsi" w:eastAsiaTheme="minorEastAsia" w:hAnsiTheme="minorHAnsi" w:cstheme="minorBidi"/>
            <w:b w:val="0"/>
            <w:i w:val="0"/>
            <w:kern w:val="2"/>
            <w14:ligatures w14:val="standardContextual"/>
          </w:rPr>
          <w:tab/>
        </w:r>
        <w:r w:rsidRPr="00B1279E">
          <w:rPr>
            <w:rStyle w:val="Hyperlink"/>
          </w:rPr>
          <w:t>Boat Turnbacks and Takebacks</w:t>
        </w:r>
        <w:r>
          <w:rPr>
            <w:webHidden/>
          </w:rPr>
          <w:tab/>
        </w:r>
        <w:r w:rsidRPr="000D58E8">
          <w:rPr>
            <w:i w:val="0"/>
            <w:iCs/>
            <w:webHidden/>
          </w:rPr>
          <w:fldChar w:fldCharType="begin"/>
        </w:r>
        <w:r w:rsidRPr="000D58E8">
          <w:rPr>
            <w:i w:val="0"/>
            <w:iCs/>
            <w:webHidden/>
          </w:rPr>
          <w:instrText xml:space="preserve"> PAGEREF _Toc202950864 \h </w:instrText>
        </w:r>
        <w:r w:rsidRPr="000D58E8">
          <w:rPr>
            <w:i w:val="0"/>
            <w:iCs/>
            <w:webHidden/>
          </w:rPr>
        </w:r>
        <w:r w:rsidRPr="000D58E8">
          <w:rPr>
            <w:i w:val="0"/>
            <w:iCs/>
            <w:webHidden/>
          </w:rPr>
          <w:fldChar w:fldCharType="separate"/>
        </w:r>
        <w:r w:rsidR="0002537F">
          <w:rPr>
            <w:i w:val="0"/>
            <w:iCs/>
            <w:webHidden/>
          </w:rPr>
          <w:t>7</w:t>
        </w:r>
        <w:r w:rsidRPr="000D58E8">
          <w:rPr>
            <w:i w:val="0"/>
            <w:iCs/>
            <w:webHidden/>
          </w:rPr>
          <w:fldChar w:fldCharType="end"/>
        </w:r>
      </w:hyperlink>
    </w:p>
    <w:p w14:paraId="0FAA568C" w14:textId="5C2A7606" w:rsidR="00696359" w:rsidRDefault="00696359">
      <w:pPr>
        <w:pStyle w:val="TOC1"/>
        <w:rPr>
          <w:rFonts w:asciiTheme="minorHAnsi" w:eastAsiaTheme="minorEastAsia" w:hAnsiTheme="minorHAnsi" w:cstheme="minorBidi"/>
          <w:b w:val="0"/>
          <w:kern w:val="2"/>
          <w14:ligatures w14:val="standardContextual"/>
        </w:rPr>
      </w:pPr>
      <w:hyperlink w:anchor="_Toc202950865" w:history="1">
        <w:r w:rsidRPr="00B1279E">
          <w:rPr>
            <w:rStyle w:val="Hyperlink"/>
          </w:rPr>
          <w:t>3</w:t>
        </w:r>
        <w:r>
          <w:rPr>
            <w:rFonts w:asciiTheme="minorHAnsi" w:eastAsiaTheme="minorEastAsia" w:hAnsiTheme="minorHAnsi" w:cstheme="minorBidi"/>
            <w:b w:val="0"/>
            <w:kern w:val="2"/>
            <w14:ligatures w14:val="standardContextual"/>
          </w:rPr>
          <w:tab/>
        </w:r>
        <w:r w:rsidRPr="00B1279E">
          <w:rPr>
            <w:rStyle w:val="Hyperlink"/>
          </w:rPr>
          <w:t>Not a ‘Model’ to Follow</w:t>
        </w:r>
        <w:r>
          <w:rPr>
            <w:webHidden/>
          </w:rPr>
          <w:tab/>
        </w:r>
        <w:r>
          <w:rPr>
            <w:webHidden/>
          </w:rPr>
          <w:fldChar w:fldCharType="begin"/>
        </w:r>
        <w:r>
          <w:rPr>
            <w:webHidden/>
          </w:rPr>
          <w:instrText xml:space="preserve"> PAGEREF _Toc202950865 \h </w:instrText>
        </w:r>
        <w:r>
          <w:rPr>
            <w:webHidden/>
          </w:rPr>
        </w:r>
        <w:r>
          <w:rPr>
            <w:webHidden/>
          </w:rPr>
          <w:fldChar w:fldCharType="separate"/>
        </w:r>
        <w:r w:rsidR="0002537F">
          <w:rPr>
            <w:webHidden/>
          </w:rPr>
          <w:t>8</w:t>
        </w:r>
        <w:r>
          <w:rPr>
            <w:webHidden/>
          </w:rPr>
          <w:fldChar w:fldCharType="end"/>
        </w:r>
      </w:hyperlink>
    </w:p>
    <w:p w14:paraId="14C6E73E" w14:textId="3E39DDDD" w:rsidR="00696359" w:rsidRDefault="00696359">
      <w:pPr>
        <w:pStyle w:val="TOC1"/>
      </w:pPr>
      <w:hyperlink w:anchor="_Toc202950866" w:history="1">
        <w:r w:rsidRPr="00B1279E">
          <w:rPr>
            <w:rStyle w:val="Hyperlink"/>
          </w:rPr>
          <w:t>4</w:t>
        </w:r>
        <w:r>
          <w:rPr>
            <w:rFonts w:asciiTheme="minorHAnsi" w:eastAsiaTheme="minorEastAsia" w:hAnsiTheme="minorHAnsi" w:cstheme="minorBidi"/>
            <w:b w:val="0"/>
            <w:kern w:val="2"/>
            <w14:ligatures w14:val="standardContextual"/>
          </w:rPr>
          <w:tab/>
        </w:r>
        <w:r w:rsidRPr="00B1279E">
          <w:rPr>
            <w:rStyle w:val="Hyperlink"/>
          </w:rPr>
          <w:t>Recommendations</w:t>
        </w:r>
        <w:r>
          <w:rPr>
            <w:webHidden/>
          </w:rPr>
          <w:tab/>
        </w:r>
        <w:r>
          <w:rPr>
            <w:webHidden/>
          </w:rPr>
          <w:fldChar w:fldCharType="begin"/>
        </w:r>
        <w:r>
          <w:rPr>
            <w:webHidden/>
          </w:rPr>
          <w:instrText xml:space="preserve"> PAGEREF _Toc202950866 \h </w:instrText>
        </w:r>
        <w:r>
          <w:rPr>
            <w:webHidden/>
          </w:rPr>
        </w:r>
        <w:r>
          <w:rPr>
            <w:webHidden/>
          </w:rPr>
          <w:fldChar w:fldCharType="separate"/>
        </w:r>
        <w:r w:rsidR="0002537F">
          <w:rPr>
            <w:webHidden/>
          </w:rPr>
          <w:t>8</w:t>
        </w:r>
        <w:r>
          <w:rPr>
            <w:webHidden/>
          </w:rPr>
          <w:fldChar w:fldCharType="end"/>
        </w:r>
      </w:hyperlink>
    </w:p>
    <w:p w14:paraId="2EB961F2" w14:textId="77777777" w:rsidR="0048117F" w:rsidRDefault="0048117F" w:rsidP="0048117F"/>
    <w:p w14:paraId="2CBC665D" w14:textId="77777777" w:rsidR="0048117F" w:rsidRDefault="0048117F" w:rsidP="0048117F"/>
    <w:p w14:paraId="3B0793CE" w14:textId="77777777" w:rsidR="0048117F" w:rsidRDefault="0048117F" w:rsidP="0048117F"/>
    <w:p w14:paraId="11346B2A" w14:textId="77777777" w:rsidR="0048117F" w:rsidRDefault="0048117F" w:rsidP="0048117F"/>
    <w:p w14:paraId="503D20B0" w14:textId="77777777" w:rsidR="0048117F" w:rsidRDefault="0048117F" w:rsidP="0048117F"/>
    <w:p w14:paraId="4C982C4A" w14:textId="77777777" w:rsidR="0048117F" w:rsidRDefault="0048117F" w:rsidP="0048117F"/>
    <w:p w14:paraId="5317A85B" w14:textId="77777777" w:rsidR="0048117F" w:rsidRDefault="0048117F" w:rsidP="0048117F"/>
    <w:p w14:paraId="727A5310" w14:textId="77777777" w:rsidR="0048117F" w:rsidRDefault="0048117F" w:rsidP="0048117F"/>
    <w:p w14:paraId="56EDA645" w14:textId="77777777" w:rsidR="0048117F" w:rsidRDefault="0048117F" w:rsidP="0048117F"/>
    <w:p w14:paraId="713D8352" w14:textId="77777777" w:rsidR="0048117F" w:rsidRDefault="0048117F" w:rsidP="0048117F"/>
    <w:p w14:paraId="44E1FA85" w14:textId="77777777" w:rsidR="0048117F" w:rsidRDefault="0048117F" w:rsidP="0048117F"/>
    <w:p w14:paraId="4451A636" w14:textId="77777777" w:rsidR="0048117F" w:rsidRDefault="0048117F" w:rsidP="0048117F"/>
    <w:p w14:paraId="54FDC818" w14:textId="77777777" w:rsidR="0048117F" w:rsidRDefault="0048117F" w:rsidP="0048117F"/>
    <w:p w14:paraId="33B1F1F0" w14:textId="77777777" w:rsidR="0048117F" w:rsidRDefault="0048117F" w:rsidP="0048117F"/>
    <w:p w14:paraId="7D8D3A11" w14:textId="77777777" w:rsidR="0048117F" w:rsidRPr="0048117F" w:rsidRDefault="0048117F" w:rsidP="0048117F"/>
    <w:p w14:paraId="43255351" w14:textId="3FFDE9A4" w:rsidR="00510390" w:rsidRDefault="000B5B68" w:rsidP="002109E1">
      <w:pPr>
        <w:pStyle w:val="Heading1"/>
      </w:pPr>
      <w:r w:rsidRPr="000465F1">
        <w:lastRenderedPageBreak/>
        <w:fldChar w:fldCharType="end"/>
      </w:r>
      <w:bookmarkStart w:id="3" w:name="_Toc207761830"/>
      <w:bookmarkStart w:id="4" w:name="_Toc209578266"/>
      <w:bookmarkStart w:id="5" w:name="_Toc209941766"/>
      <w:bookmarkStart w:id="6" w:name="_Toc202950861"/>
      <w:r w:rsidR="009F2764" w:rsidRPr="009E08D1">
        <w:t>Introduction</w:t>
      </w:r>
      <w:bookmarkEnd w:id="3"/>
      <w:bookmarkEnd w:id="4"/>
      <w:bookmarkEnd w:id="5"/>
      <w:bookmarkEnd w:id="6"/>
    </w:p>
    <w:p w14:paraId="07A6AD30" w14:textId="35F69E1A" w:rsidR="00760031" w:rsidRDefault="00BC6A38" w:rsidP="00E7669B">
      <w:pPr>
        <w:pStyle w:val="ListParagraph"/>
        <w:numPr>
          <w:ilvl w:val="0"/>
          <w:numId w:val="16"/>
        </w:numPr>
        <w:jc w:val="both"/>
      </w:pPr>
      <w:r w:rsidRPr="00BC6A38">
        <w:t>The United Nations</w:t>
      </w:r>
      <w:r>
        <w:t xml:space="preserve"> </w:t>
      </w:r>
      <w:r w:rsidRPr="00BC6A38">
        <w:t>Special Rapporteur on the human rights of migrants</w:t>
      </w:r>
      <w:r w:rsidR="00760031">
        <w:t xml:space="preserve"> call</w:t>
      </w:r>
      <w:r w:rsidR="001B6A86">
        <w:t>ed</w:t>
      </w:r>
      <w:r w:rsidR="00760031">
        <w:t xml:space="preserve"> for inputs for his </w:t>
      </w:r>
      <w:r w:rsidR="00760031" w:rsidRPr="00BC6A38">
        <w:t>forthcoming report to</w:t>
      </w:r>
      <w:r w:rsidR="00760031">
        <w:t xml:space="preserve"> the </w:t>
      </w:r>
      <w:r w:rsidR="00760031" w:rsidRPr="00BC6A38">
        <w:t xml:space="preserve">General Assembly </w:t>
      </w:r>
      <w:r w:rsidR="00760031">
        <w:t>on the</w:t>
      </w:r>
      <w:r w:rsidR="00760031" w:rsidRPr="00BC6A38">
        <w:t xml:space="preserve"> </w:t>
      </w:r>
      <w:r w:rsidR="00760031">
        <w:t>‘</w:t>
      </w:r>
      <w:r w:rsidR="00A934A7" w:rsidRPr="00BC6A38">
        <w:t>externali</w:t>
      </w:r>
      <w:r w:rsidR="00A934A7">
        <w:t>s</w:t>
      </w:r>
      <w:r w:rsidR="00A934A7" w:rsidRPr="00BC6A38">
        <w:t xml:space="preserve">ation </w:t>
      </w:r>
      <w:r w:rsidR="00760031" w:rsidRPr="00BC6A38">
        <w:t>of migration and the impact on the human rights of migrants.</w:t>
      </w:r>
      <w:r w:rsidR="00760031">
        <w:t>’</w:t>
      </w:r>
    </w:p>
    <w:p w14:paraId="6916615E" w14:textId="3CB5D6E3" w:rsidR="00760031" w:rsidRDefault="00BC6A38" w:rsidP="00E7669B">
      <w:pPr>
        <w:pStyle w:val="ListParagraph"/>
        <w:numPr>
          <w:ilvl w:val="0"/>
          <w:numId w:val="16"/>
        </w:numPr>
        <w:jc w:val="both"/>
      </w:pPr>
      <w:r w:rsidRPr="00BC6A38">
        <w:t xml:space="preserve">This submission provides </w:t>
      </w:r>
      <w:r w:rsidR="00760031">
        <w:t xml:space="preserve">input on Australia’s </w:t>
      </w:r>
      <w:r w:rsidR="00143737">
        <w:t>policies</w:t>
      </w:r>
      <w:r w:rsidR="006E03EF">
        <w:t>,</w:t>
      </w:r>
      <w:r w:rsidR="00760031">
        <w:t xml:space="preserve"> specifically</w:t>
      </w:r>
      <w:r w:rsidR="006E03EF">
        <w:t xml:space="preserve"> offshore processing and </w:t>
      </w:r>
      <w:r w:rsidR="0040155E">
        <w:t xml:space="preserve">boat </w:t>
      </w:r>
      <w:r w:rsidR="006812FF">
        <w:t>pushbacks</w:t>
      </w:r>
      <w:r w:rsidR="006E03EF">
        <w:t xml:space="preserve">, and our serious concerns regarding the impact of </w:t>
      </w:r>
      <w:r w:rsidR="00143737">
        <w:t>these ongoing practices</w:t>
      </w:r>
      <w:r w:rsidR="006E03EF">
        <w:t xml:space="preserve"> on the human rights of </w:t>
      </w:r>
      <w:r w:rsidR="006E03EF" w:rsidRPr="00E01CE8">
        <w:t>migrants.</w:t>
      </w:r>
      <w:r w:rsidR="00B809C8" w:rsidRPr="00E01CE8">
        <w:t xml:space="preserve"> </w:t>
      </w:r>
    </w:p>
    <w:p w14:paraId="30B1300E" w14:textId="77DE0B90" w:rsidR="00BC6A38" w:rsidRDefault="00BC6A38" w:rsidP="00E7669B">
      <w:pPr>
        <w:pStyle w:val="ListParagraph"/>
        <w:numPr>
          <w:ilvl w:val="0"/>
          <w:numId w:val="16"/>
        </w:numPr>
        <w:jc w:val="both"/>
      </w:pPr>
      <w:r w:rsidRPr="00BC6A38">
        <w:t>The Australian Human Rights Commission (Commission) is Australia’s National Human Rights Institution, with</w:t>
      </w:r>
      <w:r>
        <w:t xml:space="preserve"> </w:t>
      </w:r>
      <w:r w:rsidRPr="00BC6A38">
        <w:t xml:space="preserve">recognised independent status and roles in </w:t>
      </w:r>
      <w:r w:rsidR="00E2749F">
        <w:t>UN</w:t>
      </w:r>
      <w:r w:rsidRPr="00BC6A38">
        <w:t xml:space="preserve"> human rights fora. The Commission promote</w:t>
      </w:r>
      <w:r w:rsidR="001B6A86">
        <w:t>s</w:t>
      </w:r>
      <w:r w:rsidRPr="00BC6A38">
        <w:t xml:space="preserve"> and protect</w:t>
      </w:r>
      <w:r w:rsidR="001B6A86">
        <w:t>s</w:t>
      </w:r>
      <w:r w:rsidRPr="00BC6A38">
        <w:t xml:space="preserve"> human rights in Australia.</w:t>
      </w:r>
    </w:p>
    <w:p w14:paraId="5073D563" w14:textId="118B248B" w:rsidR="00BC6A38" w:rsidRDefault="00BC6A38" w:rsidP="00E7669B">
      <w:pPr>
        <w:pStyle w:val="ListParagraph"/>
        <w:numPr>
          <w:ilvl w:val="0"/>
          <w:numId w:val="16"/>
        </w:numPr>
        <w:jc w:val="both"/>
      </w:pPr>
      <w:r w:rsidRPr="00BC6A38">
        <w:t>The Commission undertakes a range of policy development and research tasks that promote compliance with Australia’s human rights obligations</w:t>
      </w:r>
      <w:r w:rsidR="00D54962">
        <w:t xml:space="preserve">. The Commission </w:t>
      </w:r>
      <w:r w:rsidRPr="00BC6A38">
        <w:t>also investigat</w:t>
      </w:r>
      <w:r w:rsidR="00D54962">
        <w:t>es</w:t>
      </w:r>
      <w:r w:rsidRPr="00BC6A38">
        <w:t xml:space="preserve"> and conciliat</w:t>
      </w:r>
      <w:r w:rsidR="00D54962">
        <w:t>es</w:t>
      </w:r>
      <w:r w:rsidRPr="00BC6A38">
        <w:t xml:space="preserve"> complaints of unlawful discrimination and breaches of human rights. </w:t>
      </w:r>
      <w:r w:rsidR="00291BCD">
        <w:t xml:space="preserve">Our </w:t>
      </w:r>
      <w:r w:rsidR="00D739C0">
        <w:t xml:space="preserve">refugee and migration </w:t>
      </w:r>
      <w:r w:rsidR="00291BCD">
        <w:t xml:space="preserve">work </w:t>
      </w:r>
      <w:r w:rsidR="00C02DC6">
        <w:t>includes:</w:t>
      </w:r>
    </w:p>
    <w:p w14:paraId="70FCB27A" w14:textId="2782AEC4" w:rsidR="005C6800" w:rsidRPr="00241968" w:rsidRDefault="00241968" w:rsidP="00E7669B">
      <w:pPr>
        <w:pStyle w:val="ListParagraph"/>
        <w:numPr>
          <w:ilvl w:val="1"/>
          <w:numId w:val="16"/>
        </w:numPr>
        <w:jc w:val="both"/>
        <w:rPr>
          <w:rFonts w:cs="Open Sans"/>
        </w:rPr>
      </w:pPr>
      <w:r>
        <w:rPr>
          <w:rFonts w:eastAsia="Times New Roman" w:cs="Open Sans"/>
        </w:rPr>
        <w:t>investigating</w:t>
      </w:r>
      <w:r w:rsidR="0097705F" w:rsidRPr="00241968">
        <w:rPr>
          <w:rFonts w:eastAsia="Times New Roman" w:cs="Open Sans"/>
        </w:rPr>
        <w:t xml:space="preserve"> complaints from people in </w:t>
      </w:r>
      <w:r w:rsidR="001F26C2">
        <w:rPr>
          <w:rFonts w:eastAsia="Times New Roman" w:cs="Open Sans"/>
        </w:rPr>
        <w:t xml:space="preserve">immigration </w:t>
      </w:r>
      <w:r w:rsidR="0097705F" w:rsidRPr="00241968">
        <w:rPr>
          <w:rFonts w:eastAsia="Times New Roman" w:cs="Open Sans"/>
        </w:rPr>
        <w:t xml:space="preserve">detention (including offshore) about possible breaches of their human </w:t>
      </w:r>
      <w:proofErr w:type="gramStart"/>
      <w:r w:rsidR="0097705F" w:rsidRPr="00241968">
        <w:rPr>
          <w:rFonts w:eastAsia="Times New Roman" w:cs="Open Sans"/>
        </w:rPr>
        <w:t>rights</w:t>
      </w:r>
      <w:r w:rsidR="005C6800" w:rsidRPr="00241968">
        <w:rPr>
          <w:rFonts w:eastAsia="Times New Roman" w:cs="Open Sans"/>
        </w:rPr>
        <w:t>;</w:t>
      </w:r>
      <w:proofErr w:type="gramEnd"/>
      <w:r w:rsidR="0097705F" w:rsidRPr="00241968">
        <w:rPr>
          <w:rFonts w:eastAsia="Times New Roman" w:cs="Open Sans"/>
        </w:rPr>
        <w:t xml:space="preserve"> </w:t>
      </w:r>
    </w:p>
    <w:p w14:paraId="161F3D3B" w14:textId="2B74A090" w:rsidR="005C6800" w:rsidRPr="00241968" w:rsidRDefault="006A2830" w:rsidP="00E7669B">
      <w:pPr>
        <w:pStyle w:val="ListParagraph"/>
        <w:numPr>
          <w:ilvl w:val="1"/>
          <w:numId w:val="16"/>
        </w:numPr>
        <w:jc w:val="both"/>
        <w:rPr>
          <w:rFonts w:cs="Open Sans"/>
        </w:rPr>
      </w:pPr>
      <w:r>
        <w:rPr>
          <w:rFonts w:eastAsia="Times New Roman" w:cs="Open Sans"/>
        </w:rPr>
        <w:t>inspecting</w:t>
      </w:r>
      <w:r w:rsidRPr="00241968">
        <w:rPr>
          <w:rFonts w:eastAsia="Times New Roman" w:cs="Open Sans"/>
        </w:rPr>
        <w:t xml:space="preserve"> </w:t>
      </w:r>
      <w:r w:rsidR="00592F64">
        <w:rPr>
          <w:rFonts w:eastAsia="Times New Roman" w:cs="Open Sans"/>
        </w:rPr>
        <w:t xml:space="preserve">immigration </w:t>
      </w:r>
      <w:r w:rsidR="0097705F" w:rsidRPr="00241968">
        <w:rPr>
          <w:rFonts w:eastAsia="Times New Roman" w:cs="Open Sans"/>
        </w:rPr>
        <w:t>detention centres and report</w:t>
      </w:r>
      <w:r>
        <w:rPr>
          <w:rFonts w:eastAsia="Times New Roman" w:cs="Open Sans"/>
        </w:rPr>
        <w:t>ing</w:t>
      </w:r>
      <w:r w:rsidR="0097705F" w:rsidRPr="00241968">
        <w:rPr>
          <w:rFonts w:eastAsia="Times New Roman" w:cs="Open Sans"/>
        </w:rPr>
        <w:t xml:space="preserve"> our findings and </w:t>
      </w:r>
      <w:proofErr w:type="gramStart"/>
      <w:r w:rsidR="0097705F" w:rsidRPr="00241968">
        <w:rPr>
          <w:rFonts w:eastAsia="Times New Roman" w:cs="Open Sans"/>
        </w:rPr>
        <w:t>recommendations</w:t>
      </w:r>
      <w:r w:rsidR="005C6800" w:rsidRPr="00241968">
        <w:rPr>
          <w:rFonts w:eastAsia="Times New Roman" w:cs="Open Sans"/>
        </w:rPr>
        <w:t>;</w:t>
      </w:r>
      <w:proofErr w:type="gramEnd"/>
      <w:r w:rsidR="005C6800" w:rsidRPr="00241968">
        <w:rPr>
          <w:rFonts w:eastAsia="Times New Roman" w:cs="Open Sans"/>
        </w:rPr>
        <w:t xml:space="preserve"> </w:t>
      </w:r>
    </w:p>
    <w:p w14:paraId="31FCA6B3" w14:textId="5C37885F" w:rsidR="005C6800" w:rsidRPr="00241968" w:rsidRDefault="0097705F" w:rsidP="00E7669B">
      <w:pPr>
        <w:pStyle w:val="ListParagraph"/>
        <w:numPr>
          <w:ilvl w:val="1"/>
          <w:numId w:val="16"/>
        </w:numPr>
        <w:jc w:val="both"/>
        <w:rPr>
          <w:rFonts w:cs="Open Sans"/>
        </w:rPr>
      </w:pPr>
      <w:r w:rsidRPr="00241968">
        <w:rPr>
          <w:rFonts w:eastAsia="Times New Roman" w:cs="Open Sans"/>
        </w:rPr>
        <w:t>running national inquiries to examine human rights issues</w:t>
      </w:r>
      <w:r w:rsidR="005C6800" w:rsidRPr="00241968">
        <w:rPr>
          <w:rFonts w:eastAsia="Times New Roman" w:cs="Open Sans"/>
        </w:rPr>
        <w:t>; and</w:t>
      </w:r>
    </w:p>
    <w:p w14:paraId="16D91CA4" w14:textId="59777CB3" w:rsidR="0097705F" w:rsidRPr="00241968" w:rsidRDefault="00EF5B5A" w:rsidP="00E7669B">
      <w:pPr>
        <w:pStyle w:val="ListParagraph"/>
        <w:numPr>
          <w:ilvl w:val="1"/>
          <w:numId w:val="16"/>
        </w:numPr>
        <w:jc w:val="both"/>
        <w:rPr>
          <w:rFonts w:cs="Open Sans"/>
        </w:rPr>
      </w:pPr>
      <w:r>
        <w:rPr>
          <w:rFonts w:eastAsia="Times New Roman" w:cs="Open Sans"/>
        </w:rPr>
        <w:t xml:space="preserve">publishing guidelines that </w:t>
      </w:r>
      <w:r w:rsidR="00241968">
        <w:rPr>
          <w:rFonts w:eastAsia="Times New Roman" w:cs="Open Sans"/>
        </w:rPr>
        <w:t>s</w:t>
      </w:r>
      <w:r w:rsidR="0097705F" w:rsidRPr="00241968">
        <w:rPr>
          <w:rFonts w:eastAsia="Times New Roman" w:cs="Open Sans"/>
        </w:rPr>
        <w:t xml:space="preserve">et minimum standards to help protect </w:t>
      </w:r>
      <w:r w:rsidR="00592F64">
        <w:rPr>
          <w:rFonts w:eastAsia="Times New Roman" w:cs="Open Sans"/>
        </w:rPr>
        <w:t>human</w:t>
      </w:r>
      <w:r w:rsidR="00592F64" w:rsidRPr="00241968">
        <w:rPr>
          <w:rFonts w:eastAsia="Times New Roman" w:cs="Open Sans"/>
        </w:rPr>
        <w:t xml:space="preserve"> </w:t>
      </w:r>
      <w:r w:rsidR="0097705F" w:rsidRPr="00241968">
        <w:rPr>
          <w:rFonts w:eastAsia="Times New Roman" w:cs="Open Sans"/>
        </w:rPr>
        <w:t>rights and ensure the humane treatment of people in detention.</w:t>
      </w:r>
      <w:r w:rsidR="004610F2">
        <w:rPr>
          <w:rStyle w:val="EndnoteReference"/>
          <w:rFonts w:eastAsia="Times New Roman" w:cs="Open Sans"/>
        </w:rPr>
        <w:endnoteReference w:id="1"/>
      </w:r>
      <w:r w:rsidR="0097705F" w:rsidRPr="00241968">
        <w:rPr>
          <w:rFonts w:eastAsia="Times New Roman" w:cs="Open Sans"/>
        </w:rPr>
        <w:t xml:space="preserve"> </w:t>
      </w:r>
    </w:p>
    <w:p w14:paraId="00A4B01A" w14:textId="416AA6A9" w:rsidR="00063901" w:rsidRDefault="00760031" w:rsidP="00E7669B">
      <w:pPr>
        <w:pStyle w:val="Heading1"/>
        <w:jc w:val="both"/>
      </w:pPr>
      <w:bookmarkStart w:id="7" w:name="_Toc202950862"/>
      <w:r>
        <w:t>Australia’s P</w:t>
      </w:r>
      <w:r w:rsidRPr="00760031">
        <w:t>olicies</w:t>
      </w:r>
      <w:bookmarkEnd w:id="7"/>
    </w:p>
    <w:p w14:paraId="512A018C" w14:textId="356B0235" w:rsidR="00E00553" w:rsidRPr="00E00553" w:rsidRDefault="00E00553" w:rsidP="009B1F5C">
      <w:pPr>
        <w:pStyle w:val="ListParagraph"/>
        <w:numPr>
          <w:ilvl w:val="0"/>
          <w:numId w:val="16"/>
        </w:numPr>
        <w:jc w:val="both"/>
        <w:rPr>
          <w:rFonts w:cs="Open Sans"/>
        </w:rPr>
      </w:pPr>
      <w:r w:rsidRPr="00E60BBA">
        <w:t>Externalisation</w:t>
      </w:r>
      <w:r>
        <w:t xml:space="preserve"> in the context of refugee and migration policies</w:t>
      </w:r>
      <w:r w:rsidRPr="00E60BBA">
        <w:t xml:space="preserve"> refers to measures taken by States</w:t>
      </w:r>
      <w:r>
        <w:t xml:space="preserve"> w</w:t>
      </w:r>
      <w:r w:rsidRPr="00E60BBA">
        <w:t>hich</w:t>
      </w:r>
      <w:r>
        <w:t xml:space="preserve"> shift responsibility for protection and migration beyond their own borders. Externalisation includes</w:t>
      </w:r>
      <w:r w:rsidRPr="00E60BBA">
        <w:t xml:space="preserve"> prevent</w:t>
      </w:r>
      <w:r>
        <w:t>ing</w:t>
      </w:r>
      <w:r w:rsidRPr="00E60BBA">
        <w:t xml:space="preserve"> asylum-seekers and refugees from reaching a particular country or region</w:t>
      </w:r>
      <w:r>
        <w:t xml:space="preserve"> and</w:t>
      </w:r>
      <w:r w:rsidRPr="00E60BBA">
        <w:t xml:space="preserve"> </w:t>
      </w:r>
      <w:r>
        <w:t>receiving</w:t>
      </w:r>
      <w:r w:rsidRPr="00E60BBA">
        <w:t xml:space="preserve"> protection there. </w:t>
      </w:r>
      <w:r>
        <w:t xml:space="preserve">Externalisation </w:t>
      </w:r>
      <w:r w:rsidRPr="00E60BBA">
        <w:t>typically involve</w:t>
      </w:r>
      <w:r>
        <w:t xml:space="preserve">s </w:t>
      </w:r>
      <w:r w:rsidRPr="00E60BBA">
        <w:t xml:space="preserve">shifting responsibility for </w:t>
      </w:r>
      <w:r>
        <w:t>protecting refugees to</w:t>
      </w:r>
      <w:r w:rsidRPr="00E60BBA">
        <w:t xml:space="preserve"> another State or </w:t>
      </w:r>
      <w:r>
        <w:t>avoiding it altogether.</w:t>
      </w:r>
    </w:p>
    <w:p w14:paraId="65F5887F" w14:textId="5C675DAC" w:rsidR="007D5E48" w:rsidRDefault="00063901" w:rsidP="009B1F5C">
      <w:pPr>
        <w:pStyle w:val="ListParagraph"/>
        <w:numPr>
          <w:ilvl w:val="0"/>
          <w:numId w:val="16"/>
        </w:numPr>
        <w:jc w:val="both"/>
        <w:rPr>
          <w:rStyle w:val="normaltextrun"/>
          <w:rFonts w:cs="Open Sans"/>
        </w:rPr>
      </w:pPr>
      <w:r w:rsidRPr="00FB1D6F">
        <w:lastRenderedPageBreak/>
        <w:t xml:space="preserve">Australia </w:t>
      </w:r>
      <w:r w:rsidR="0040160B" w:rsidRPr="00FB1D6F">
        <w:t>approach to</w:t>
      </w:r>
      <w:r w:rsidR="00B417AE" w:rsidRPr="00FB1D6F">
        <w:t>ward</w:t>
      </w:r>
      <w:r w:rsidR="0040160B" w:rsidRPr="00FB1D6F">
        <w:t xml:space="preserve"> asylum seekers and refugees who arrive by boat</w:t>
      </w:r>
      <w:r w:rsidR="008B07FF" w:rsidRPr="008B07FF">
        <w:t xml:space="preserve"> is one of the </w:t>
      </w:r>
      <w:r w:rsidR="00197732">
        <w:t>harshest</w:t>
      </w:r>
      <w:r w:rsidR="00197732" w:rsidRPr="008B07FF">
        <w:t xml:space="preserve"> </w:t>
      </w:r>
      <w:r w:rsidR="008B07FF" w:rsidRPr="008B07FF">
        <w:t>in the world</w:t>
      </w:r>
      <w:r w:rsidR="00ED3ACC" w:rsidRPr="00FB1D6F">
        <w:t>.</w:t>
      </w:r>
      <w:r w:rsidR="00D647E0" w:rsidRPr="00FB1D6F">
        <w:t xml:space="preserve"> </w:t>
      </w:r>
      <w:r w:rsidR="007D5E48" w:rsidRPr="007D5E48">
        <w:t>Externali</w:t>
      </w:r>
      <w:r w:rsidR="00F40856">
        <w:t>s</w:t>
      </w:r>
      <w:r w:rsidR="007D5E48" w:rsidRPr="007D5E48">
        <w:t xml:space="preserve">ation has been a key </w:t>
      </w:r>
      <w:r w:rsidR="007D5E48">
        <w:t xml:space="preserve">feature of </w:t>
      </w:r>
      <w:r w:rsidR="00AF25D9">
        <w:t xml:space="preserve">policies </w:t>
      </w:r>
      <w:r w:rsidR="00451731">
        <w:t>adopted</w:t>
      </w:r>
      <w:r w:rsidR="00435FBD">
        <w:t xml:space="preserve"> by </w:t>
      </w:r>
      <w:r w:rsidR="007D5E48" w:rsidRPr="007D5E48">
        <w:t>successive Australian Governments to deter asylum seekers from travelling to Australia by sea.</w:t>
      </w:r>
      <w:r w:rsidR="00D67576" w:rsidRPr="00D67576">
        <w:t xml:space="preserve"> </w:t>
      </w:r>
    </w:p>
    <w:p w14:paraId="331A382D" w14:textId="461F8FC7" w:rsidR="00D14B3A" w:rsidRDefault="00587F94" w:rsidP="00E7669B">
      <w:pPr>
        <w:pStyle w:val="ListParagraph"/>
        <w:numPr>
          <w:ilvl w:val="0"/>
          <w:numId w:val="16"/>
        </w:numPr>
        <w:jc w:val="both"/>
      </w:pPr>
      <w:r>
        <w:t xml:space="preserve">People who reach </w:t>
      </w:r>
      <w:r w:rsidR="00AE527F">
        <w:t>Australia</w:t>
      </w:r>
      <w:r w:rsidR="00B6787E">
        <w:t xml:space="preserve">n territory </w:t>
      </w:r>
      <w:r w:rsidR="00922D46">
        <w:t xml:space="preserve">by boat </w:t>
      </w:r>
      <w:r w:rsidR="00A52456">
        <w:t xml:space="preserve">who are found to be refugees </w:t>
      </w:r>
      <w:r w:rsidR="00AE527F">
        <w:t xml:space="preserve">are not </w:t>
      </w:r>
      <w:r w:rsidR="009475E4" w:rsidRPr="009475E4">
        <w:t>permitted to settle</w:t>
      </w:r>
      <w:r w:rsidR="00671489">
        <w:t xml:space="preserve"> </w:t>
      </w:r>
      <w:r w:rsidR="00B27686">
        <w:t>in Australia</w:t>
      </w:r>
      <w:r w:rsidR="00B6787E">
        <w:t>. B</w:t>
      </w:r>
      <w:r w:rsidR="009475E4" w:rsidRPr="009475E4">
        <w:t>oats carrying asylum seekers are turned back</w:t>
      </w:r>
      <w:r w:rsidR="0099487C">
        <w:t>,</w:t>
      </w:r>
      <w:r w:rsidR="00AB1C3C">
        <w:t xml:space="preserve"> or those on board </w:t>
      </w:r>
      <w:r w:rsidR="00894255" w:rsidRPr="00894255">
        <w:t xml:space="preserve">transferred to </w:t>
      </w:r>
      <w:r w:rsidR="00AB1C3C">
        <w:t xml:space="preserve">a third country </w:t>
      </w:r>
      <w:r w:rsidR="0006218E">
        <w:t>f</w:t>
      </w:r>
      <w:r w:rsidR="0006218E" w:rsidRPr="0006218E">
        <w:t>or processing of their asylum claims.</w:t>
      </w:r>
      <w:r w:rsidR="00320060">
        <w:t xml:space="preserve"> </w:t>
      </w:r>
      <w:r w:rsidR="00AC2A93">
        <w:t xml:space="preserve">Australia also </w:t>
      </w:r>
      <w:r w:rsidR="00894255">
        <w:t>enforces</w:t>
      </w:r>
      <w:r w:rsidR="00AC2A93">
        <w:t xml:space="preserve"> a long-standing policy of </w:t>
      </w:r>
      <w:r w:rsidR="00575143" w:rsidRPr="001B47F7">
        <w:t>mandatory</w:t>
      </w:r>
      <w:r w:rsidR="00ED3ACC">
        <w:t xml:space="preserve"> </w:t>
      </w:r>
      <w:r w:rsidR="00575143" w:rsidRPr="001B47F7">
        <w:t>detention</w:t>
      </w:r>
      <w:r w:rsidR="00714332">
        <w:t xml:space="preserve"> f</w:t>
      </w:r>
      <w:r w:rsidR="00E438F0">
        <w:t xml:space="preserve">or </w:t>
      </w:r>
      <w:r w:rsidR="00E438F0" w:rsidRPr="00E438F0">
        <w:t xml:space="preserve">all non-citizens </w:t>
      </w:r>
      <w:r w:rsidR="00714332">
        <w:t xml:space="preserve">who arrive </w:t>
      </w:r>
      <w:r w:rsidR="00B417AE" w:rsidRPr="00B417AE">
        <w:t>without a valid visa</w:t>
      </w:r>
      <w:r w:rsidR="00714332">
        <w:t>.</w:t>
      </w:r>
      <w:r w:rsidR="0026349D" w:rsidRPr="001B47F7">
        <w:rPr>
          <w:rStyle w:val="EndnoteReference"/>
          <w:rFonts w:cs="Open Sans"/>
          <w:sz w:val="24"/>
          <w:shd w:val="clear" w:color="auto" w:fill="FFFFFF"/>
        </w:rPr>
        <w:endnoteReference w:id="2"/>
      </w:r>
      <w:r w:rsidR="0026349D" w:rsidRPr="001B47F7">
        <w:t xml:space="preserve"> </w:t>
      </w:r>
    </w:p>
    <w:p w14:paraId="6DDBFB05" w14:textId="10A5D609" w:rsidR="00BA68B0" w:rsidRPr="00E279B2" w:rsidRDefault="00473F74" w:rsidP="00E7669B">
      <w:pPr>
        <w:pStyle w:val="ListParagraph"/>
        <w:numPr>
          <w:ilvl w:val="0"/>
          <w:numId w:val="16"/>
        </w:numPr>
        <w:jc w:val="both"/>
        <w:rPr>
          <w:rFonts w:cs="Open Sans"/>
        </w:rPr>
      </w:pPr>
      <w:r w:rsidRPr="00304C7C">
        <w:rPr>
          <w:rStyle w:val="normaltextrun"/>
          <w:rFonts w:cs="Open Sans"/>
        </w:rPr>
        <w:t xml:space="preserve">The Commission has consistently concluded that </w:t>
      </w:r>
      <w:r w:rsidR="00F13821">
        <w:rPr>
          <w:rStyle w:val="normaltextrun"/>
          <w:rFonts w:cs="Open Sans"/>
        </w:rPr>
        <w:t>these policies are</w:t>
      </w:r>
      <w:r w:rsidR="001841AC" w:rsidRPr="00304C7C">
        <w:rPr>
          <w:rStyle w:val="normaltextrun"/>
          <w:rFonts w:cs="Open Sans"/>
        </w:rPr>
        <w:t xml:space="preserve"> incompatible with </w:t>
      </w:r>
      <w:r w:rsidR="00F00BA4" w:rsidRPr="00304C7C">
        <w:rPr>
          <w:rFonts w:cs="Open Sans"/>
        </w:rPr>
        <w:t>Australia’s international obligations</w:t>
      </w:r>
      <w:r w:rsidR="00D46BA2">
        <w:rPr>
          <w:rFonts w:cs="Open Sans"/>
        </w:rPr>
        <w:t>.</w:t>
      </w:r>
      <w:r w:rsidR="000F35F8">
        <w:rPr>
          <w:rStyle w:val="EndnoteReference"/>
          <w:rFonts w:cs="Open Sans"/>
        </w:rPr>
        <w:endnoteReference w:id="3"/>
      </w:r>
      <w:r w:rsidR="00304C7C">
        <w:rPr>
          <w:rFonts w:cs="Open Sans"/>
        </w:rPr>
        <w:t xml:space="preserve"> </w:t>
      </w:r>
      <w:r w:rsidR="00AC2A93" w:rsidRPr="00304C7C">
        <w:rPr>
          <w:rFonts w:cs="Open Sans"/>
        </w:rPr>
        <w:t xml:space="preserve">Australia is </w:t>
      </w:r>
      <w:r w:rsidR="00CE257E">
        <w:rPr>
          <w:rFonts w:cs="Open Sans"/>
        </w:rPr>
        <w:t>obliged</w:t>
      </w:r>
      <w:r w:rsidR="00AC2A93" w:rsidRPr="00304C7C">
        <w:rPr>
          <w:rFonts w:cs="Open Sans"/>
        </w:rPr>
        <w:t xml:space="preserve"> </w:t>
      </w:r>
      <w:r w:rsidR="005707A5">
        <w:rPr>
          <w:rFonts w:cs="Open Sans"/>
        </w:rPr>
        <w:t xml:space="preserve">to </w:t>
      </w:r>
      <w:r w:rsidR="009104DD">
        <w:rPr>
          <w:rFonts w:cs="Open Sans"/>
        </w:rPr>
        <w:t>u</w:t>
      </w:r>
      <w:r w:rsidR="00CF1E74" w:rsidRPr="00304C7C">
        <w:rPr>
          <w:rFonts w:cs="Open Sans"/>
        </w:rPr>
        <w:t>phold</w:t>
      </w:r>
      <w:r w:rsidR="00AC2A93" w:rsidRPr="00304C7C">
        <w:rPr>
          <w:rFonts w:cs="Open Sans"/>
        </w:rPr>
        <w:t xml:space="preserve"> the rights of all asylum seekers and refugee</w:t>
      </w:r>
      <w:r w:rsidR="007D0315">
        <w:rPr>
          <w:rFonts w:cs="Open Sans"/>
        </w:rPr>
        <w:t>s – r</w:t>
      </w:r>
      <w:r w:rsidR="00AC2A93" w:rsidRPr="00304C7C">
        <w:rPr>
          <w:rFonts w:eastAsia="Times New Roman" w:cs="Open Sans"/>
        </w:rPr>
        <w:t xml:space="preserve">egardless of </w:t>
      </w:r>
      <w:r w:rsidR="00592921" w:rsidRPr="00D20454">
        <w:t xml:space="preserve">their mode </w:t>
      </w:r>
      <w:r w:rsidR="00B96F98">
        <w:t>or place of</w:t>
      </w:r>
      <w:r w:rsidR="00592921" w:rsidRPr="00D20454">
        <w:t xml:space="preserve"> arrival</w:t>
      </w:r>
      <w:r w:rsidR="00592921">
        <w:t xml:space="preserve">, </w:t>
      </w:r>
      <w:r w:rsidR="00AC2A93" w:rsidRPr="00304C7C">
        <w:rPr>
          <w:rFonts w:eastAsia="Times New Roman" w:cs="Open Sans"/>
        </w:rPr>
        <w:t>or whether they hold a valid vi</w:t>
      </w:r>
      <w:r w:rsidR="007D0315">
        <w:rPr>
          <w:rFonts w:eastAsia="Times New Roman" w:cs="Open Sans"/>
        </w:rPr>
        <w:t xml:space="preserve">sa – </w:t>
      </w:r>
      <w:r w:rsidR="005F79E6">
        <w:t>including</w:t>
      </w:r>
      <w:r w:rsidR="00B96F98">
        <w:t xml:space="preserve"> </w:t>
      </w:r>
      <w:r w:rsidR="005F79E6">
        <w:t>those</w:t>
      </w:r>
      <w:r w:rsidR="00B96F98">
        <w:t xml:space="preserve"> </w:t>
      </w:r>
      <w:r w:rsidR="00592921" w:rsidRPr="00304C7C">
        <w:rPr>
          <w:rFonts w:eastAsia="Times New Roman" w:cs="Open Sans"/>
        </w:rPr>
        <w:t>arriving by</w:t>
      </w:r>
      <w:r w:rsidR="00423380" w:rsidRPr="00304C7C">
        <w:rPr>
          <w:rFonts w:eastAsia="Times New Roman" w:cs="Open Sans"/>
        </w:rPr>
        <w:t xml:space="preserve"> </w:t>
      </w:r>
      <w:r w:rsidR="00297C00" w:rsidRPr="00304C7C">
        <w:rPr>
          <w:rFonts w:eastAsia="Times New Roman" w:cs="Open Sans"/>
        </w:rPr>
        <w:t>boat</w:t>
      </w:r>
      <w:r w:rsidR="00423380" w:rsidRPr="00304C7C">
        <w:rPr>
          <w:rFonts w:eastAsia="Times New Roman" w:cs="Open Sans"/>
        </w:rPr>
        <w:t xml:space="preserve"> or</w:t>
      </w:r>
      <w:r w:rsidR="006855C7" w:rsidRPr="00304C7C">
        <w:rPr>
          <w:rFonts w:eastAsia="Times New Roman" w:cs="Open Sans"/>
        </w:rPr>
        <w:t xml:space="preserve"> </w:t>
      </w:r>
      <w:r w:rsidR="005707A5">
        <w:rPr>
          <w:rFonts w:eastAsia="Times New Roman" w:cs="Open Sans"/>
        </w:rPr>
        <w:t>transferred</w:t>
      </w:r>
      <w:r w:rsidR="00423380" w:rsidRPr="00304C7C">
        <w:rPr>
          <w:rFonts w:eastAsia="Times New Roman" w:cs="Open Sans"/>
        </w:rPr>
        <w:t xml:space="preserve"> offshore.</w:t>
      </w:r>
      <w:r w:rsidR="000F35F8">
        <w:rPr>
          <w:rStyle w:val="EndnoteReference"/>
          <w:rFonts w:eastAsia="Times New Roman" w:cs="Open Sans"/>
        </w:rPr>
        <w:endnoteReference w:id="4"/>
      </w:r>
    </w:p>
    <w:p w14:paraId="3EF1C323" w14:textId="43DB9637" w:rsidR="00C42C15" w:rsidRPr="00D0250A" w:rsidRDefault="00F773B1" w:rsidP="00E7669B">
      <w:pPr>
        <w:pStyle w:val="ListParagraph"/>
        <w:numPr>
          <w:ilvl w:val="0"/>
          <w:numId w:val="16"/>
        </w:numPr>
        <w:jc w:val="both"/>
        <w:rPr>
          <w:rFonts w:cs="Open Sans"/>
        </w:rPr>
      </w:pPr>
      <w:r w:rsidRPr="00D0250A">
        <w:rPr>
          <w:rFonts w:cs="Open Sans"/>
        </w:rPr>
        <w:t xml:space="preserve">The Commission </w:t>
      </w:r>
      <w:r w:rsidR="008B1F9D" w:rsidRPr="00D0250A">
        <w:rPr>
          <w:rFonts w:cs="Open Sans"/>
        </w:rPr>
        <w:t xml:space="preserve">acknowledges </w:t>
      </w:r>
      <w:r w:rsidR="00F86327" w:rsidRPr="00D0250A">
        <w:rPr>
          <w:rFonts w:cs="Open Sans"/>
        </w:rPr>
        <w:t xml:space="preserve">the </w:t>
      </w:r>
      <w:r w:rsidR="008B1F9D" w:rsidRPr="00D0250A">
        <w:rPr>
          <w:rStyle w:val="normaltextrun"/>
          <w:rFonts w:cs="Open Sans"/>
        </w:rPr>
        <w:t>importance of preventing</w:t>
      </w:r>
      <w:r w:rsidR="00D42E75" w:rsidRPr="00D0250A">
        <w:rPr>
          <w:rFonts w:cs="Open Sans"/>
        </w:rPr>
        <w:t xml:space="preserve"> </w:t>
      </w:r>
      <w:r w:rsidRPr="00D0250A">
        <w:rPr>
          <w:rFonts w:cs="Open Sans"/>
        </w:rPr>
        <w:t>dangerous journeys</w:t>
      </w:r>
      <w:r w:rsidR="00021720" w:rsidRPr="00D0250A">
        <w:rPr>
          <w:rFonts w:cs="Open Sans"/>
        </w:rPr>
        <w:t xml:space="preserve"> and</w:t>
      </w:r>
      <w:r w:rsidR="00677EE4" w:rsidRPr="00D0250A">
        <w:rPr>
          <w:rFonts w:cs="Open Sans"/>
        </w:rPr>
        <w:t xml:space="preserve"> </w:t>
      </w:r>
      <w:r w:rsidR="008B1F9D" w:rsidRPr="00D0250A">
        <w:rPr>
          <w:rFonts w:cs="Open Sans"/>
        </w:rPr>
        <w:t>maintaining the integrity of Australia’s migration syst</w:t>
      </w:r>
      <w:r w:rsidR="00D0250A" w:rsidRPr="00D0250A">
        <w:rPr>
          <w:rFonts w:cs="Open Sans"/>
        </w:rPr>
        <w:t>em. It is critical, h</w:t>
      </w:r>
      <w:r w:rsidR="00021720" w:rsidRPr="00D0250A">
        <w:rPr>
          <w:rFonts w:cs="Open Sans"/>
        </w:rPr>
        <w:t xml:space="preserve">owever, </w:t>
      </w:r>
      <w:r w:rsidR="00D0250A" w:rsidRPr="00D0250A">
        <w:rPr>
          <w:rFonts w:cs="Open Sans"/>
        </w:rPr>
        <w:t>that all</w:t>
      </w:r>
      <w:r w:rsidR="00D0250A">
        <w:rPr>
          <w:rFonts w:cs="Open Sans"/>
        </w:rPr>
        <w:t xml:space="preserve"> </w:t>
      </w:r>
      <w:r w:rsidR="004D479C" w:rsidRPr="00D0250A">
        <w:rPr>
          <w:rFonts w:cs="Open Sans"/>
        </w:rPr>
        <w:t xml:space="preserve">measures </w:t>
      </w:r>
      <w:r w:rsidR="00B30C13" w:rsidRPr="00D0250A">
        <w:rPr>
          <w:rFonts w:cs="Open Sans"/>
        </w:rPr>
        <w:t xml:space="preserve">fully comply </w:t>
      </w:r>
      <w:r w:rsidR="00677EE4" w:rsidRPr="00D0250A">
        <w:rPr>
          <w:rFonts w:cs="Open Sans"/>
        </w:rPr>
        <w:t xml:space="preserve">with </w:t>
      </w:r>
      <w:r w:rsidR="006F4049" w:rsidRPr="00D0250A">
        <w:rPr>
          <w:rFonts w:cs="Open Sans"/>
        </w:rPr>
        <w:t xml:space="preserve">Australia’s </w:t>
      </w:r>
      <w:r w:rsidR="00677EE4" w:rsidRPr="00D0250A">
        <w:rPr>
          <w:rFonts w:cs="Open Sans"/>
        </w:rPr>
        <w:t xml:space="preserve">international obligations. </w:t>
      </w:r>
      <w:r w:rsidR="00507CD9" w:rsidRPr="00D0250A">
        <w:rPr>
          <w:rFonts w:cs="Open Sans"/>
        </w:rPr>
        <w:t>Australia</w:t>
      </w:r>
      <w:r w:rsidR="005162FD" w:rsidRPr="00D0250A">
        <w:rPr>
          <w:rFonts w:cs="Open Sans"/>
        </w:rPr>
        <w:t xml:space="preserve"> should</w:t>
      </w:r>
      <w:r w:rsidR="00BC792C" w:rsidRPr="00D0250A">
        <w:rPr>
          <w:rFonts w:cs="Open Sans"/>
        </w:rPr>
        <w:t xml:space="preserve"> end </w:t>
      </w:r>
      <w:r w:rsidR="001674B0">
        <w:rPr>
          <w:rFonts w:cs="Open Sans"/>
        </w:rPr>
        <w:t xml:space="preserve">these </w:t>
      </w:r>
      <w:r w:rsidR="00BC792C" w:rsidRPr="00D0250A">
        <w:rPr>
          <w:rFonts w:cs="Open Sans"/>
        </w:rPr>
        <w:t>externali</w:t>
      </w:r>
      <w:r w:rsidR="00E140E4">
        <w:rPr>
          <w:rFonts w:cs="Open Sans"/>
        </w:rPr>
        <w:t>s</w:t>
      </w:r>
      <w:r w:rsidR="00BC792C" w:rsidRPr="00D0250A">
        <w:rPr>
          <w:rFonts w:cs="Open Sans"/>
        </w:rPr>
        <w:t xml:space="preserve">ation policies and </w:t>
      </w:r>
      <w:r w:rsidR="00DD2C51" w:rsidRPr="00D0250A">
        <w:rPr>
          <w:rFonts w:cs="Open Sans"/>
        </w:rPr>
        <w:t>adopt a</w:t>
      </w:r>
      <w:r w:rsidR="006B3F5E" w:rsidRPr="00D0250A">
        <w:rPr>
          <w:rFonts w:cs="Open Sans"/>
        </w:rPr>
        <w:t xml:space="preserve"> fair and humane approach</w:t>
      </w:r>
      <w:r w:rsidR="006F4049">
        <w:rPr>
          <w:rFonts w:cs="Open Sans"/>
        </w:rPr>
        <w:t>.</w:t>
      </w:r>
      <w:r w:rsidR="0017336D">
        <w:rPr>
          <w:rStyle w:val="EndnoteReference"/>
          <w:rFonts w:cs="Open Sans"/>
        </w:rPr>
        <w:endnoteReference w:id="5"/>
      </w:r>
      <w:r w:rsidR="006F4049">
        <w:rPr>
          <w:rFonts w:cs="Open Sans"/>
        </w:rPr>
        <w:t xml:space="preserve"> This includes</w:t>
      </w:r>
      <w:r w:rsidR="006B3F5E" w:rsidRPr="00D0250A">
        <w:rPr>
          <w:rFonts w:cs="Open Sans"/>
        </w:rPr>
        <w:t xml:space="preserve"> </w:t>
      </w:r>
      <w:r w:rsidR="004608EE" w:rsidRPr="00D0250A">
        <w:rPr>
          <w:rFonts w:cs="Open Sans"/>
        </w:rPr>
        <w:t>ensuring</w:t>
      </w:r>
      <w:r w:rsidR="006B3F5E" w:rsidRPr="00D0250A">
        <w:rPr>
          <w:rFonts w:cs="Open Sans"/>
        </w:rPr>
        <w:t xml:space="preserve"> </w:t>
      </w:r>
      <w:r w:rsidR="00F427F3" w:rsidRPr="00D0250A">
        <w:rPr>
          <w:rFonts w:cs="Open Sans"/>
        </w:rPr>
        <w:t>access to fair and efficient asylum procedures</w:t>
      </w:r>
      <w:r w:rsidR="00E311DF" w:rsidRPr="00D0250A">
        <w:rPr>
          <w:rFonts w:cs="Open Sans"/>
        </w:rPr>
        <w:t xml:space="preserve"> on the Australian mainland and </w:t>
      </w:r>
      <w:r w:rsidR="000A13A8" w:rsidRPr="00D0250A">
        <w:rPr>
          <w:rFonts w:cs="Open Sans"/>
        </w:rPr>
        <w:t>expand</w:t>
      </w:r>
      <w:r w:rsidR="004B5DF9" w:rsidRPr="00D0250A">
        <w:rPr>
          <w:rFonts w:cs="Open Sans"/>
        </w:rPr>
        <w:t>ing</w:t>
      </w:r>
      <w:r w:rsidR="000A13A8" w:rsidRPr="00D0250A">
        <w:rPr>
          <w:rFonts w:cs="Open Sans"/>
        </w:rPr>
        <w:t xml:space="preserve"> </w:t>
      </w:r>
      <w:r w:rsidR="00AA5D74" w:rsidRPr="00D0250A">
        <w:rPr>
          <w:rFonts w:cs="Open Sans"/>
        </w:rPr>
        <w:t>resettlement and complementary pathways.</w:t>
      </w:r>
    </w:p>
    <w:p w14:paraId="7F652C86" w14:textId="3C9B6DFA" w:rsidR="00D52A2B" w:rsidRDefault="00760031" w:rsidP="00E7669B">
      <w:pPr>
        <w:pStyle w:val="Heading2"/>
        <w:jc w:val="both"/>
      </w:pPr>
      <w:bookmarkStart w:id="8" w:name="_Toc202950863"/>
      <w:r>
        <w:t>Offshore Processing Arrangements</w:t>
      </w:r>
      <w:bookmarkEnd w:id="8"/>
    </w:p>
    <w:p w14:paraId="5284528C" w14:textId="77777777" w:rsidR="00035821" w:rsidRPr="00710F1A" w:rsidRDefault="00035821" w:rsidP="00035821">
      <w:pPr>
        <w:pStyle w:val="SubmissionNormal"/>
        <w:keepLines/>
        <w:numPr>
          <w:ilvl w:val="0"/>
          <w:numId w:val="16"/>
        </w:numPr>
        <w:jc w:val="both"/>
        <w:rPr>
          <w:rFonts w:eastAsia="MS Mincho" w:cs="Open Sans"/>
          <w:shd w:val="clear" w:color="auto" w:fill="FFFFFF"/>
        </w:rPr>
      </w:pPr>
      <w:r w:rsidRPr="00664859">
        <w:rPr>
          <w:rFonts w:eastAsia="MS Mincho" w:cs="Open Sans"/>
          <w:shd w:val="clear" w:color="auto" w:fill="FFFFFF"/>
        </w:rPr>
        <w:t>Since</w:t>
      </w:r>
      <w:r>
        <w:rPr>
          <w:rFonts w:eastAsia="MS Mincho" w:cs="Open Sans"/>
          <w:shd w:val="clear" w:color="auto" w:fill="FFFFFF"/>
        </w:rPr>
        <w:t xml:space="preserve"> </w:t>
      </w:r>
      <w:r w:rsidRPr="00664859">
        <w:rPr>
          <w:rFonts w:eastAsia="MS Mincho" w:cs="Open Sans"/>
          <w:shd w:val="clear" w:color="auto" w:fill="FFFFFF"/>
        </w:rPr>
        <w:t xml:space="preserve">2012, asylum seekers arriving by boat without </w:t>
      </w:r>
      <w:r>
        <w:rPr>
          <w:rFonts w:eastAsia="MS Mincho" w:cs="Open Sans"/>
          <w:shd w:val="clear" w:color="auto" w:fill="FFFFFF"/>
        </w:rPr>
        <w:t xml:space="preserve">a </w:t>
      </w:r>
      <w:r w:rsidRPr="00664859">
        <w:rPr>
          <w:rFonts w:eastAsia="MS Mincho" w:cs="Open Sans"/>
          <w:shd w:val="clear" w:color="auto" w:fill="FFFFFF"/>
        </w:rPr>
        <w:t xml:space="preserve">valid visa have been transferred to Nauru </w:t>
      </w:r>
      <w:r>
        <w:rPr>
          <w:rFonts w:eastAsia="MS Mincho" w:cs="Open Sans"/>
          <w:shd w:val="clear" w:color="auto" w:fill="FFFFFF"/>
        </w:rPr>
        <w:t>or</w:t>
      </w:r>
      <w:r w:rsidRPr="00664859">
        <w:rPr>
          <w:rFonts w:eastAsia="MS Mincho" w:cs="Open Sans"/>
          <w:shd w:val="clear" w:color="auto" w:fill="FFFFFF"/>
        </w:rPr>
        <w:t xml:space="preserve"> Manus Island in Papua New Guinea (</w:t>
      </w:r>
      <w:r>
        <w:rPr>
          <w:rFonts w:eastAsia="MS Mincho" w:cs="Open Sans"/>
          <w:shd w:val="clear" w:color="auto" w:fill="FFFFFF"/>
        </w:rPr>
        <w:t>PNG) for</w:t>
      </w:r>
      <w:r w:rsidRPr="00710F1A">
        <w:rPr>
          <w:rFonts w:eastAsia="MS Mincho" w:cs="Open Sans"/>
          <w:shd w:val="clear" w:color="auto" w:fill="FFFFFF"/>
        </w:rPr>
        <w:t xml:space="preserve"> ‘offshore’ or ‘third country’ processing. </w:t>
      </w:r>
      <w:r w:rsidRPr="00710F1A">
        <w:rPr>
          <w:rFonts w:cs="Open Sans"/>
          <w:shd w:val="clear" w:color="auto" w:fill="FFFFFF"/>
        </w:rPr>
        <w:t>From July 2013,</w:t>
      </w:r>
      <w:r w:rsidRPr="00710F1A">
        <w:rPr>
          <w:rFonts w:eastAsia="MS Mincho" w:cs="Open Sans"/>
          <w:shd w:val="clear" w:color="auto" w:fill="FFFFFF"/>
        </w:rPr>
        <w:t xml:space="preserve"> it has been the policy of successive Australian Governments that all asylum seekers arriving by boat would not settle in Australia, even if recognised as refugees.</w:t>
      </w:r>
      <w:r>
        <w:rPr>
          <w:rStyle w:val="EndnoteReference"/>
          <w:rFonts w:eastAsia="MS Mincho" w:cs="Open Sans"/>
          <w:shd w:val="clear" w:color="auto" w:fill="FFFFFF"/>
        </w:rPr>
        <w:endnoteReference w:id="6"/>
      </w:r>
    </w:p>
    <w:p w14:paraId="395FA8BD" w14:textId="77777777" w:rsidR="00035821" w:rsidRPr="00142EE0" w:rsidRDefault="00035821" w:rsidP="00035821">
      <w:pPr>
        <w:pStyle w:val="SubmissionNormal"/>
        <w:keepLines/>
        <w:numPr>
          <w:ilvl w:val="0"/>
          <w:numId w:val="16"/>
        </w:numPr>
        <w:jc w:val="both"/>
        <w:rPr>
          <w:rFonts w:eastAsia="MS Mincho" w:cs="Open Sans"/>
          <w:shd w:val="clear" w:color="auto" w:fill="FFFFFF"/>
        </w:rPr>
      </w:pPr>
      <w:r w:rsidRPr="00697B53">
        <w:rPr>
          <w:rFonts w:eastAsia="MS Mincho" w:cs="Open Sans"/>
          <w:shd w:val="clear" w:color="auto" w:fill="FFFFFF"/>
        </w:rPr>
        <w:t>4,296</w:t>
      </w:r>
      <w:r>
        <w:rPr>
          <w:rFonts w:eastAsia="MS Mincho" w:cs="Open Sans"/>
          <w:shd w:val="clear" w:color="auto" w:fill="FFFFFF"/>
        </w:rPr>
        <w:t xml:space="preserve"> people have been transferred to Nauru and PNG</w:t>
      </w:r>
      <w:r w:rsidRPr="007B2EF1">
        <w:rPr>
          <w:rFonts w:eastAsia="MS Mincho" w:cs="Open Sans"/>
          <w:shd w:val="clear" w:color="auto" w:fill="FFFFFF"/>
        </w:rPr>
        <w:t xml:space="preserve"> </w:t>
      </w:r>
      <w:r>
        <w:rPr>
          <w:rFonts w:eastAsia="MS Mincho" w:cs="Open Sans"/>
          <w:shd w:val="clear" w:color="auto" w:fill="FFFFFF"/>
        </w:rPr>
        <w:t>since 13 August 2012.</w:t>
      </w:r>
      <w:r>
        <w:rPr>
          <w:rStyle w:val="EndnoteReference"/>
          <w:rFonts w:eastAsia="MS Mincho" w:cs="Open Sans"/>
          <w:shd w:val="clear" w:color="auto" w:fill="FFFFFF"/>
        </w:rPr>
        <w:endnoteReference w:id="7"/>
      </w:r>
      <w:r>
        <w:rPr>
          <w:rFonts w:eastAsia="MS Mincho" w:cs="Open Sans"/>
          <w:shd w:val="clear" w:color="auto" w:fill="FFFFFF"/>
        </w:rPr>
        <w:t xml:space="preserve"> As of 31 August 2024, 1,391 people have been resettled in other countries, predominantly New Zealand and the</w:t>
      </w:r>
      <w:r w:rsidRPr="006C134B">
        <w:rPr>
          <w:rFonts w:eastAsia="MS Mincho" w:cs="Open Sans"/>
          <w:shd w:val="clear" w:color="auto" w:fill="FFFFFF"/>
        </w:rPr>
        <w:t xml:space="preserve"> </w:t>
      </w:r>
      <w:r>
        <w:rPr>
          <w:rFonts w:eastAsia="MS Mincho" w:cs="Open Sans"/>
          <w:shd w:val="clear" w:color="auto" w:fill="FFFFFF"/>
        </w:rPr>
        <w:t>United States.</w:t>
      </w:r>
      <w:r>
        <w:rPr>
          <w:rStyle w:val="EndnoteReference"/>
          <w:rFonts w:eastAsia="MS Mincho" w:cs="Open Sans"/>
          <w:shd w:val="clear" w:color="auto" w:fill="FFFFFF"/>
        </w:rPr>
        <w:endnoteReference w:id="8"/>
      </w:r>
      <w:r>
        <w:rPr>
          <w:rFonts w:eastAsia="MS Mincho" w:cs="Open Sans"/>
          <w:shd w:val="clear" w:color="auto" w:fill="FFFFFF"/>
        </w:rPr>
        <w:t xml:space="preserve"> As of 31 December 2024, 927 people</w:t>
      </w:r>
      <w:r w:rsidRPr="00142EE0">
        <w:rPr>
          <w:rFonts w:eastAsia="MS Mincho" w:cs="Open Sans"/>
          <w:shd w:val="clear" w:color="auto" w:fill="FFFFFF"/>
        </w:rPr>
        <w:t xml:space="preserve"> remained in Australia without permanent status </w:t>
      </w:r>
      <w:r>
        <w:rPr>
          <w:rFonts w:eastAsia="MS Mincho" w:cs="Open Sans"/>
          <w:shd w:val="clear" w:color="auto" w:fill="FFFFFF"/>
        </w:rPr>
        <w:t>who had been</w:t>
      </w:r>
      <w:r w:rsidRPr="00142EE0">
        <w:rPr>
          <w:rFonts w:eastAsia="MS Mincho" w:cs="Open Sans"/>
          <w:shd w:val="clear" w:color="auto" w:fill="FFFFFF"/>
        </w:rPr>
        <w:t xml:space="preserve"> transferred from offshore processing.</w:t>
      </w:r>
      <w:r>
        <w:rPr>
          <w:rStyle w:val="EndnoteReference"/>
          <w:rFonts w:eastAsia="MS Mincho" w:cs="Open Sans"/>
          <w:shd w:val="clear" w:color="auto" w:fill="FFFFFF"/>
        </w:rPr>
        <w:endnoteReference w:id="9"/>
      </w:r>
    </w:p>
    <w:p w14:paraId="25D9395F" w14:textId="77777777" w:rsidR="00035821" w:rsidRDefault="00035821" w:rsidP="00035821">
      <w:pPr>
        <w:pStyle w:val="SubmissionNormal"/>
        <w:keepLines/>
        <w:numPr>
          <w:ilvl w:val="0"/>
          <w:numId w:val="16"/>
        </w:numPr>
        <w:jc w:val="both"/>
        <w:rPr>
          <w:rFonts w:eastAsia="MS Mincho" w:cs="Open Sans"/>
          <w:shd w:val="clear" w:color="auto" w:fill="FFFFFF"/>
        </w:rPr>
      </w:pPr>
      <w:r w:rsidRPr="00597D77">
        <w:t xml:space="preserve">Australia maintains a regional processing centre </w:t>
      </w:r>
      <w:r>
        <w:t xml:space="preserve">(RPC) </w:t>
      </w:r>
      <w:r w:rsidRPr="00597D77">
        <w:t xml:space="preserve">in </w:t>
      </w:r>
      <w:r w:rsidRPr="003F6E92">
        <w:rPr>
          <w:rFonts w:eastAsia="MS Mincho"/>
        </w:rPr>
        <w:t>Nauru</w:t>
      </w:r>
      <w:r w:rsidRPr="00597D77">
        <w:t xml:space="preserve"> and continues to send asylum seekers there. As of 31 August 2024, there were </w:t>
      </w:r>
      <w:r w:rsidRPr="003F6E92">
        <w:rPr>
          <w:rFonts w:eastAsia="MS Mincho"/>
        </w:rPr>
        <w:t>94 ‘transitory persons’ in Nauru</w:t>
      </w:r>
      <w:r w:rsidRPr="00597D77">
        <w:t>.</w:t>
      </w:r>
      <w:r w:rsidRPr="00597D77">
        <w:rPr>
          <w:rStyle w:val="EndnoteReference"/>
          <w:sz w:val="24"/>
        </w:rPr>
        <w:endnoteReference w:id="10"/>
      </w:r>
      <w:r w:rsidRPr="00597D77">
        <w:t xml:space="preserve"> </w:t>
      </w:r>
      <w:r>
        <w:t>It is unclear from the information that has been made publicly available whether this includes any children.</w:t>
      </w:r>
    </w:p>
    <w:p w14:paraId="197ABBC5" w14:textId="77777777" w:rsidR="00035821" w:rsidRDefault="00035821" w:rsidP="00035821">
      <w:pPr>
        <w:pStyle w:val="SubmissionNormal"/>
        <w:keepLines/>
        <w:numPr>
          <w:ilvl w:val="0"/>
          <w:numId w:val="16"/>
        </w:numPr>
        <w:jc w:val="both"/>
        <w:rPr>
          <w:rFonts w:eastAsia="MS Mincho" w:cs="Open Sans"/>
          <w:shd w:val="clear" w:color="auto" w:fill="FFFFFF"/>
        </w:rPr>
      </w:pPr>
      <w:r w:rsidRPr="00392E89">
        <w:rPr>
          <w:rFonts w:eastAsia="MS Mincho" w:cs="Open Sans"/>
          <w:shd w:val="clear" w:color="auto" w:fill="FFFFFF"/>
        </w:rPr>
        <w:lastRenderedPageBreak/>
        <w:t>No new asylum seekers have been sent to Manus Island since 2014</w:t>
      </w:r>
      <w:r>
        <w:rPr>
          <w:rFonts w:eastAsia="MS Mincho" w:cs="Open Sans"/>
          <w:shd w:val="clear" w:color="auto" w:fill="FFFFFF"/>
        </w:rPr>
        <w:t>,</w:t>
      </w:r>
      <w:r w:rsidRPr="00392E89">
        <w:rPr>
          <w:rFonts w:eastAsia="MS Mincho" w:cs="Open Sans"/>
          <w:shd w:val="clear" w:color="auto" w:fill="FFFFFF"/>
        </w:rPr>
        <w:t xml:space="preserve"> and in 2021, Australia </w:t>
      </w:r>
      <w:r w:rsidRPr="00392E89">
        <w:rPr>
          <w:rStyle w:val="normaltextrun"/>
          <w:rFonts w:eastAsia="MS Mincho" w:cs="Open Sans"/>
          <w:shd w:val="clear" w:color="auto" w:fill="FFFFFF"/>
        </w:rPr>
        <w:t xml:space="preserve">formally </w:t>
      </w:r>
      <w:r w:rsidRPr="00392E89">
        <w:rPr>
          <w:rFonts w:eastAsia="MS Mincho" w:cs="Open Sans"/>
          <w:shd w:val="clear" w:color="auto" w:fill="FFFFFF"/>
        </w:rPr>
        <w:t>announced the end of regional processing in PNG.</w:t>
      </w:r>
      <w:r>
        <w:rPr>
          <w:rStyle w:val="EndnoteReference"/>
          <w:rFonts w:eastAsia="MS Mincho" w:cs="Open Sans"/>
          <w:shd w:val="clear" w:color="auto" w:fill="FFFFFF"/>
        </w:rPr>
        <w:endnoteReference w:id="11"/>
      </w:r>
      <w:r w:rsidRPr="00392E89">
        <w:rPr>
          <w:rFonts w:eastAsia="MS Mincho" w:cs="Open Sans"/>
          <w:shd w:val="clear" w:color="auto" w:fill="FFFFFF"/>
        </w:rPr>
        <w:t xml:space="preserve"> In 2016, the Supreme Court of PNG </w:t>
      </w:r>
      <w:r>
        <w:rPr>
          <w:rFonts w:eastAsia="MS Mincho" w:cs="Open Sans"/>
          <w:shd w:val="clear" w:color="auto" w:fill="FFFFFF"/>
        </w:rPr>
        <w:t>ruled</w:t>
      </w:r>
      <w:r w:rsidRPr="00392E89">
        <w:rPr>
          <w:rFonts w:eastAsia="MS Mincho" w:cs="Open Sans"/>
          <w:shd w:val="clear" w:color="auto" w:fill="FFFFFF"/>
        </w:rPr>
        <w:t xml:space="preserve"> that the detention of asylum seekers on Manus Island </w:t>
      </w:r>
      <w:r w:rsidRPr="00CE25FA">
        <w:rPr>
          <w:rFonts w:eastAsia="MS Mincho" w:cs="Open Sans"/>
          <w:shd w:val="clear" w:color="auto" w:fill="FFFFFF"/>
        </w:rPr>
        <w:t>violated the constitutionally protected right to libert</w:t>
      </w:r>
      <w:r>
        <w:rPr>
          <w:rFonts w:eastAsia="MS Mincho" w:cs="Open Sans"/>
          <w:shd w:val="clear" w:color="auto" w:fill="FFFFFF"/>
        </w:rPr>
        <w:t>y</w:t>
      </w:r>
      <w:r w:rsidRPr="00392E89">
        <w:rPr>
          <w:rFonts w:eastAsia="MS Mincho" w:cs="Open Sans"/>
          <w:shd w:val="clear" w:color="auto" w:fill="FFFFFF"/>
        </w:rPr>
        <w:t>.</w:t>
      </w:r>
      <w:r>
        <w:rPr>
          <w:rStyle w:val="EndnoteReference"/>
          <w:rFonts w:eastAsia="MS Mincho" w:cs="Open Sans"/>
          <w:shd w:val="clear" w:color="auto" w:fill="FFFFFF"/>
        </w:rPr>
        <w:endnoteReference w:id="12"/>
      </w:r>
      <w:r w:rsidRPr="00392E89">
        <w:rPr>
          <w:rStyle w:val="normaltextrun"/>
          <w:rFonts w:eastAsia="MS Mincho" w:cs="Open Sans"/>
          <w:shd w:val="clear" w:color="auto" w:fill="FFFFFF"/>
        </w:rPr>
        <w:t xml:space="preserve"> </w:t>
      </w:r>
      <w:r w:rsidRPr="00CE25FA">
        <w:rPr>
          <w:rFonts w:eastAsia="MS Mincho" w:cs="Open Sans"/>
          <w:shd w:val="clear" w:color="auto" w:fill="FFFFFF"/>
        </w:rPr>
        <w:t xml:space="preserve">As of January 2025, 39 </w:t>
      </w:r>
      <w:r>
        <w:rPr>
          <w:rFonts w:eastAsia="MS Mincho" w:cs="Open Sans"/>
          <w:shd w:val="clear" w:color="auto" w:fill="FFFFFF"/>
        </w:rPr>
        <w:t>male refugees and asylum seekers, along with</w:t>
      </w:r>
      <w:r w:rsidRPr="00122AF9">
        <w:rPr>
          <w:rFonts w:eastAsia="MS Mincho" w:cs="Open Sans"/>
          <w:shd w:val="clear" w:color="auto" w:fill="FFFFFF"/>
        </w:rPr>
        <w:t xml:space="preserve"> their families</w:t>
      </w:r>
      <w:r>
        <w:rPr>
          <w:rFonts w:eastAsia="MS Mincho" w:cs="Open Sans"/>
          <w:shd w:val="clear" w:color="auto" w:fill="FFFFFF"/>
        </w:rPr>
        <w:t>,</w:t>
      </w:r>
      <w:r w:rsidRPr="00122AF9">
        <w:rPr>
          <w:rFonts w:eastAsia="MS Mincho" w:cs="Open Sans"/>
          <w:shd w:val="clear" w:color="auto" w:fill="FFFFFF"/>
        </w:rPr>
        <w:t xml:space="preserve"> remain</w:t>
      </w:r>
      <w:r>
        <w:rPr>
          <w:rFonts w:eastAsia="MS Mincho" w:cs="Open Sans"/>
          <w:shd w:val="clear" w:color="auto" w:fill="FFFFFF"/>
        </w:rPr>
        <w:t xml:space="preserve"> in PNG. They currently live in Port Moresby in the community, </w:t>
      </w:r>
      <w:r w:rsidRPr="005F1A35">
        <w:rPr>
          <w:rFonts w:eastAsia="MS Mincho" w:cs="Open Sans"/>
          <w:shd w:val="clear" w:color="auto" w:fill="FFFFFF"/>
        </w:rPr>
        <w:t>having spent over a decade in PNG following their detention</w:t>
      </w:r>
      <w:r w:rsidRPr="005F1A35">
        <w:rPr>
          <w:rFonts w:cs="Open Sans"/>
        </w:rPr>
        <w:t xml:space="preserve"> on</w:t>
      </w:r>
      <w:r w:rsidRPr="00E24FA0">
        <w:t xml:space="preserve"> Manus </w:t>
      </w:r>
      <w:r w:rsidRPr="005F1A35">
        <w:rPr>
          <w:rFonts w:cs="Open Sans"/>
        </w:rPr>
        <w:t>Island.</w:t>
      </w:r>
      <w:r w:rsidRPr="00E24FA0">
        <w:rPr>
          <w:rStyle w:val="EndnoteReference"/>
          <w:rFonts w:cs="Open Sans"/>
          <w:sz w:val="24"/>
        </w:rPr>
        <w:endnoteReference w:id="13"/>
      </w:r>
    </w:p>
    <w:p w14:paraId="14822845" w14:textId="7423CA8B" w:rsidR="00035821" w:rsidRDefault="00035821" w:rsidP="00035821">
      <w:pPr>
        <w:pStyle w:val="SubmissionNormal"/>
        <w:keepLines/>
        <w:numPr>
          <w:ilvl w:val="0"/>
          <w:numId w:val="16"/>
        </w:numPr>
        <w:jc w:val="both"/>
        <w:rPr>
          <w:rFonts w:eastAsia="MS Mincho" w:cs="Open Sans"/>
          <w:shd w:val="clear" w:color="auto" w:fill="FFFFFF"/>
        </w:rPr>
      </w:pPr>
      <w:r w:rsidRPr="00A6747B">
        <w:rPr>
          <w:rFonts w:eastAsia="MS Mincho" w:cs="Open Sans"/>
          <w:shd w:val="clear" w:color="auto" w:fill="FFFFFF"/>
        </w:rPr>
        <w:t xml:space="preserve">These arrangements have faced widespread condemnation both internationally and domestically. </w:t>
      </w:r>
      <w:r w:rsidRPr="00A6747B">
        <w:rPr>
          <w:rStyle w:val="normaltextrun"/>
          <w:rFonts w:eastAsia="MS Mincho" w:cs="Open Sans"/>
          <w:shd w:val="clear" w:color="auto" w:fill="FFFFFF"/>
        </w:rPr>
        <w:t xml:space="preserve">Numerous reports and inquiries have documented serious human rights violations against people removed to Nauru and PNG. These include </w:t>
      </w:r>
      <w:r w:rsidRPr="00A6747B">
        <w:rPr>
          <w:rFonts w:eastAsia="MS Mincho" w:cs="Open Sans"/>
          <w:shd w:val="clear" w:color="auto" w:fill="FFFFFF"/>
        </w:rPr>
        <w:t xml:space="preserve">prolonged </w:t>
      </w:r>
      <w:r w:rsidRPr="00A6747B">
        <w:rPr>
          <w:rStyle w:val="normaltextrun"/>
          <w:rFonts w:eastAsia="MS Mincho" w:cs="Open Sans"/>
          <w:shd w:val="clear" w:color="auto" w:fill="FFFFFF"/>
        </w:rPr>
        <w:t xml:space="preserve">and arbitrary detention, </w:t>
      </w:r>
      <w:r w:rsidRPr="00A6747B">
        <w:rPr>
          <w:rFonts w:eastAsia="MS Mincho" w:cs="Open Sans"/>
          <w:shd w:val="clear" w:color="auto" w:fill="FFFFFF"/>
        </w:rPr>
        <w:t>inadequate living conditions, physical and sexual assault, child abuse,</w:t>
      </w:r>
      <w:r w:rsidRPr="00A6747B">
        <w:rPr>
          <w:rFonts w:eastAsia="MS Mincho"/>
        </w:rPr>
        <w:t xml:space="preserve"> limited health care,</w:t>
      </w:r>
      <w:r w:rsidRPr="00A6747B">
        <w:rPr>
          <w:rFonts w:eastAsia="MS Mincho" w:cs="Open Sans"/>
          <w:shd w:val="clear" w:color="auto" w:fill="FFFFFF"/>
        </w:rPr>
        <w:t xml:space="preserve"> poor physical and mental health outcomes, and the risk of </w:t>
      </w:r>
      <w:r w:rsidRPr="00A6747B">
        <w:rPr>
          <w:rFonts w:eastAsia="MS Mincho" w:cs="Open Sans"/>
          <w:i/>
          <w:iCs/>
          <w:shd w:val="clear" w:color="auto" w:fill="FFFFFF"/>
        </w:rPr>
        <w:t>refoulement.</w:t>
      </w:r>
      <w:r w:rsidRPr="00241CA0">
        <w:rPr>
          <w:rStyle w:val="EndnoteReference"/>
          <w:rFonts w:eastAsia="MS Mincho" w:cs="Open Sans"/>
          <w:shd w:val="clear" w:color="auto" w:fill="FFFFFF"/>
        </w:rPr>
        <w:endnoteReference w:id="14"/>
      </w:r>
      <w:r w:rsidRPr="00A6747B">
        <w:rPr>
          <w:rFonts w:eastAsia="MS Mincho" w:cs="Open Sans"/>
          <w:shd w:val="clear" w:color="auto" w:fill="FFFFFF"/>
        </w:rPr>
        <w:t xml:space="preserve">  </w:t>
      </w:r>
      <w:r>
        <w:rPr>
          <w:rFonts w:eastAsia="MS Mincho" w:cs="Open Sans"/>
          <w:shd w:val="clear" w:color="auto" w:fill="FFFFFF"/>
        </w:rPr>
        <w:t>Twenty-one</w:t>
      </w:r>
      <w:r w:rsidRPr="00A6747B">
        <w:rPr>
          <w:rFonts w:eastAsia="MS Mincho" w:cs="Open Sans"/>
          <w:shd w:val="clear" w:color="auto" w:fill="FFFFFF"/>
        </w:rPr>
        <w:t xml:space="preserve"> people </w:t>
      </w:r>
      <w:r w:rsidR="00804108">
        <w:rPr>
          <w:rFonts w:eastAsia="MS Mincho" w:cs="Open Sans"/>
          <w:shd w:val="clear" w:color="auto" w:fill="FFFFFF"/>
        </w:rPr>
        <w:t xml:space="preserve">sent by Australia </w:t>
      </w:r>
      <w:r w:rsidR="00210964">
        <w:rPr>
          <w:rFonts w:eastAsia="MS Mincho" w:cs="Open Sans"/>
          <w:shd w:val="clear" w:color="auto" w:fill="FFFFFF"/>
        </w:rPr>
        <w:t xml:space="preserve">to offshore regional processing </w:t>
      </w:r>
      <w:r w:rsidRPr="00A6747B">
        <w:rPr>
          <w:rFonts w:eastAsia="MS Mincho" w:cs="Open Sans"/>
          <w:shd w:val="clear" w:color="auto" w:fill="FFFFFF"/>
        </w:rPr>
        <w:t>died between August 2012 and February 2024.</w:t>
      </w:r>
      <w:r>
        <w:rPr>
          <w:rStyle w:val="EndnoteReference"/>
          <w:rFonts w:eastAsia="MS Mincho" w:cs="Open Sans"/>
          <w:shd w:val="clear" w:color="auto" w:fill="FFFFFF"/>
        </w:rPr>
        <w:endnoteReference w:id="15"/>
      </w:r>
    </w:p>
    <w:p w14:paraId="5EDEABB7" w14:textId="1C1E259E" w:rsidR="006E47F7" w:rsidRPr="006E47F7" w:rsidRDefault="00035821" w:rsidP="004B638A">
      <w:pPr>
        <w:pStyle w:val="SubmissionNormal"/>
        <w:keepLines/>
        <w:numPr>
          <w:ilvl w:val="0"/>
          <w:numId w:val="16"/>
        </w:numPr>
        <w:jc w:val="both"/>
        <w:rPr>
          <w:rFonts w:eastAsia="MS Mincho" w:cs="Open Sans"/>
          <w:shd w:val="clear" w:color="auto" w:fill="FFFFFF"/>
        </w:rPr>
      </w:pPr>
      <w:r w:rsidRPr="00C54E78">
        <w:t xml:space="preserve">The Commission </w:t>
      </w:r>
      <w:r>
        <w:t xml:space="preserve">has </w:t>
      </w:r>
      <w:r w:rsidRPr="006E47F7">
        <w:rPr>
          <w:rFonts w:eastAsia="MS Mincho" w:cs="Open Sans"/>
          <w:shd w:val="clear" w:color="auto" w:fill="FFFFFF"/>
        </w:rPr>
        <w:t>long maintained that</w:t>
      </w:r>
      <w:r w:rsidRPr="006E47F7">
        <w:rPr>
          <w:rFonts w:eastAsia="MS Mincho" w:cs="Open Sans"/>
          <w:b/>
          <w:bCs/>
          <w:shd w:val="clear" w:color="auto" w:fill="FFFFFF"/>
        </w:rPr>
        <w:t xml:space="preserve"> </w:t>
      </w:r>
      <w:r w:rsidRPr="006E47F7">
        <w:rPr>
          <w:rStyle w:val="normaltextrun"/>
          <w:rFonts w:eastAsia="MS Mincho" w:cs="Open Sans"/>
        </w:rPr>
        <w:t xml:space="preserve">transferring asylum seekers offshore does not release Australia </w:t>
      </w:r>
      <w:r w:rsidR="00210964">
        <w:rPr>
          <w:rStyle w:val="normaltextrun"/>
          <w:rFonts w:eastAsia="MS Mincho" w:cs="Open Sans"/>
        </w:rPr>
        <w:t>from</w:t>
      </w:r>
      <w:r w:rsidR="00210964" w:rsidRPr="006E47F7">
        <w:rPr>
          <w:rStyle w:val="normaltextrun"/>
          <w:rFonts w:eastAsia="MS Mincho" w:cs="Open Sans"/>
        </w:rPr>
        <w:t xml:space="preserve"> </w:t>
      </w:r>
      <w:r w:rsidRPr="006E47F7">
        <w:rPr>
          <w:rStyle w:val="normaltextrun"/>
          <w:rFonts w:eastAsia="MS Mincho" w:cs="Open Sans"/>
        </w:rPr>
        <w:t xml:space="preserve">its international obligations and that </w:t>
      </w:r>
      <w:r w:rsidRPr="006E47F7">
        <w:rPr>
          <w:rFonts w:eastAsia="MS Mincho" w:cs="Open Sans"/>
        </w:rPr>
        <w:t>its current regime of third country processing is inconsistent with international human rights law</w:t>
      </w:r>
      <w:r w:rsidRPr="004A0F46">
        <w:t>.</w:t>
      </w:r>
      <w:r w:rsidRPr="004A0F46">
        <w:rPr>
          <w:rStyle w:val="EndnoteReference"/>
          <w:rFonts w:eastAsia="MS Mincho" w:cs="Open Sans"/>
          <w:sz w:val="24"/>
        </w:rPr>
        <w:endnoteReference w:id="16"/>
      </w:r>
    </w:p>
    <w:p w14:paraId="699E5A2E" w14:textId="753073FD" w:rsidR="00035821" w:rsidRPr="006E47F7" w:rsidRDefault="00035821" w:rsidP="004B638A">
      <w:pPr>
        <w:pStyle w:val="SubmissionNormal"/>
        <w:keepLines/>
        <w:numPr>
          <w:ilvl w:val="0"/>
          <w:numId w:val="16"/>
        </w:numPr>
        <w:jc w:val="both"/>
        <w:rPr>
          <w:rStyle w:val="normaltextrun"/>
          <w:rFonts w:eastAsia="MS Mincho" w:cs="Open Sans"/>
          <w:shd w:val="clear" w:color="auto" w:fill="FFFFFF"/>
        </w:rPr>
      </w:pPr>
      <w:r w:rsidRPr="006E47F7">
        <w:rPr>
          <w:rStyle w:val="normaltextrun"/>
          <w:rFonts w:eastAsia="MS Mincho" w:cs="Open Sans"/>
          <w:shd w:val="clear" w:color="auto" w:fill="FFFFFF"/>
        </w:rPr>
        <w:t xml:space="preserve">In October 2024, the UN Human Rights Committee ruled that Australia bore responsibility for the arbitrary detention of asylum seekers transferred to offshore detention facilities in Nauru, in breach of the </w:t>
      </w:r>
      <w:r w:rsidRPr="006E47F7">
        <w:rPr>
          <w:rFonts w:eastAsia="MS Mincho" w:cs="Open Sans"/>
          <w:shd w:val="clear" w:color="auto" w:fill="FFFFFF"/>
        </w:rPr>
        <w:t>ICCPR</w:t>
      </w:r>
      <w:r w:rsidRPr="006E47F7">
        <w:rPr>
          <w:rStyle w:val="normaltextrun"/>
          <w:rFonts w:eastAsia="MS Mincho" w:cs="Open Sans"/>
          <w:shd w:val="clear" w:color="auto" w:fill="FFFFFF"/>
        </w:rPr>
        <w:t>.</w:t>
      </w:r>
      <w:r w:rsidRPr="003F6427">
        <w:rPr>
          <w:rStyle w:val="EndnoteReference"/>
          <w:rFonts w:eastAsia="MS Mincho" w:cs="Open Sans"/>
          <w:sz w:val="24"/>
          <w:shd w:val="clear" w:color="auto" w:fill="FFFFFF"/>
        </w:rPr>
        <w:endnoteReference w:id="17"/>
      </w:r>
      <w:r w:rsidRPr="006E47F7">
        <w:rPr>
          <w:rStyle w:val="normaltextrun"/>
          <w:rFonts w:eastAsia="MS Mincho" w:cs="Open Sans"/>
          <w:shd w:val="clear" w:color="auto" w:fill="FFFFFF"/>
        </w:rPr>
        <w:t xml:space="preserve"> </w:t>
      </w:r>
      <w:r w:rsidRPr="006E47F7">
        <w:rPr>
          <w:rFonts w:eastAsia="MS Mincho" w:cs="Open Sans"/>
          <w:shd w:val="clear" w:color="auto" w:fill="FFFFFF"/>
        </w:rPr>
        <w:t>The two cases involved 25 people who came to Australia by boat in 2013 and 2014, who were subsequently detained in Nauru</w:t>
      </w:r>
      <w:r w:rsidRPr="006E47F7">
        <w:rPr>
          <w:rStyle w:val="normaltextrun"/>
          <w:rFonts w:eastAsia="MS Mincho" w:cs="Open Sans"/>
          <w:shd w:val="clear" w:color="auto" w:fill="FFFFFF"/>
        </w:rPr>
        <w:t xml:space="preserve"> </w:t>
      </w:r>
      <w:r w:rsidRPr="006E47F7">
        <w:rPr>
          <w:rFonts w:eastAsia="MS Mincho" w:cs="Open Sans"/>
          <w:shd w:val="clear" w:color="auto" w:fill="FFFFFF"/>
        </w:rPr>
        <w:t>under arrangements agreed between Australia and Nauru and funded by Australia.</w:t>
      </w:r>
      <w:r w:rsidRPr="006E47F7">
        <w:rPr>
          <w:rStyle w:val="normaltextrun"/>
          <w:rFonts w:eastAsia="MS Mincho" w:cs="Open Sans"/>
          <w:shd w:val="clear" w:color="auto" w:fill="FFFFFF"/>
        </w:rPr>
        <w:t xml:space="preserve"> </w:t>
      </w:r>
      <w:r w:rsidRPr="006E47F7">
        <w:rPr>
          <w:rFonts w:eastAsia="MS Mincho" w:cs="Open Sans"/>
          <w:shd w:val="clear" w:color="auto" w:fill="FFFFFF"/>
        </w:rPr>
        <w:t>As Committee member Mahjoub El Haiba stated: “Where there is power or effective control, there is responsibility. The outsourcing of operations does not absolve States of accountability.”</w:t>
      </w:r>
      <w:r>
        <w:rPr>
          <w:rStyle w:val="EndnoteReference"/>
          <w:rFonts w:eastAsia="MS Mincho" w:cs="Open Sans"/>
          <w:shd w:val="clear" w:color="auto" w:fill="FFFFFF"/>
        </w:rPr>
        <w:endnoteReference w:id="18"/>
      </w:r>
    </w:p>
    <w:p w14:paraId="7AF68C6C" w14:textId="77777777" w:rsidR="00035821" w:rsidRPr="002F4301" w:rsidRDefault="00035821" w:rsidP="00035821">
      <w:pPr>
        <w:pStyle w:val="SubmissionNormal"/>
        <w:keepLines/>
        <w:numPr>
          <w:ilvl w:val="0"/>
          <w:numId w:val="16"/>
        </w:numPr>
        <w:jc w:val="both"/>
        <w:rPr>
          <w:rFonts w:eastAsia="MS Mincho" w:cs="Open Sans"/>
          <w:shd w:val="clear" w:color="auto" w:fill="FFFFFF"/>
        </w:rPr>
      </w:pPr>
      <w:r w:rsidRPr="002F4301">
        <w:rPr>
          <w:rStyle w:val="normaltextrun"/>
          <w:rFonts w:eastAsia="MS Mincho" w:cs="Open Sans"/>
          <w:shd w:val="clear" w:color="auto" w:fill="FFFFFF"/>
        </w:rPr>
        <w:t xml:space="preserve">The Committee called on Australia to take all steps necessary to prevent similar violations from occurring in the future and to review and modify its legislation, policies and transfer agreements to ensure their conformity with the </w:t>
      </w:r>
      <w:r w:rsidRPr="002F4301">
        <w:rPr>
          <w:rFonts w:eastAsia="MS Mincho" w:cs="Open Sans"/>
          <w:shd w:val="clear" w:color="auto" w:fill="FFFFFF"/>
        </w:rPr>
        <w:t>ICCPR.</w:t>
      </w:r>
      <w:r>
        <w:rPr>
          <w:rStyle w:val="EndnoteReference"/>
          <w:rFonts w:eastAsia="MS Mincho" w:cs="Open Sans"/>
          <w:shd w:val="clear" w:color="auto" w:fill="FFFFFF"/>
        </w:rPr>
        <w:endnoteReference w:id="19"/>
      </w:r>
      <w:r w:rsidRPr="002F4301">
        <w:rPr>
          <w:rFonts w:eastAsia="MS Mincho" w:cs="Open Sans"/>
          <w:shd w:val="clear" w:color="auto" w:fill="FFFFFF"/>
        </w:rPr>
        <w:t xml:space="preserve"> </w:t>
      </w:r>
    </w:p>
    <w:p w14:paraId="5F75F2C9" w14:textId="77777777" w:rsidR="00035821" w:rsidRDefault="00035821" w:rsidP="00035821">
      <w:pPr>
        <w:pStyle w:val="SubmissionNormal"/>
        <w:keepLines/>
        <w:numPr>
          <w:ilvl w:val="0"/>
          <w:numId w:val="16"/>
        </w:numPr>
        <w:jc w:val="both"/>
        <w:rPr>
          <w:rStyle w:val="normaltextrun"/>
          <w:rFonts w:eastAsia="MS Mincho" w:cs="Open Sans"/>
          <w:shd w:val="clear" w:color="auto" w:fill="FFFFFF"/>
        </w:rPr>
      </w:pPr>
      <w:r w:rsidRPr="003F6427">
        <w:rPr>
          <w:rStyle w:val="normaltextrun"/>
          <w:rFonts w:eastAsia="MS Mincho" w:cs="Open Sans"/>
          <w:shd w:val="clear" w:color="auto" w:fill="FFFFFF"/>
        </w:rPr>
        <w:lastRenderedPageBreak/>
        <w:t>The Commission remains seriously concerned about the conditions and treatment of asylum seekers and refugees in Nauru. In 2024, medical staff, caseworkers, and asylum seekers reported that healthcare in Nauru is inadequate and extremely limited, with no</w:t>
      </w:r>
      <w:r w:rsidRPr="003F6427">
        <w:rPr>
          <w:rStyle w:val="Heading1Char"/>
          <w:rFonts w:cs="Open Sans"/>
          <w:sz w:val="24"/>
          <w:szCs w:val="24"/>
          <w:shd w:val="clear" w:color="auto" w:fill="FFFFFF"/>
        </w:rPr>
        <w:t xml:space="preserve"> </w:t>
      </w:r>
      <w:r w:rsidRPr="003F6427">
        <w:rPr>
          <w:rStyle w:val="normaltextrun"/>
          <w:rFonts w:eastAsia="MS Mincho" w:cs="Open Sans"/>
          <w:shd w:val="clear" w:color="auto" w:fill="FFFFFF"/>
        </w:rPr>
        <w:t>specialist care or dedicated counselling for trauma and torture survivors.</w:t>
      </w:r>
      <w:r w:rsidRPr="003F6427">
        <w:rPr>
          <w:rStyle w:val="EndnoteReference"/>
          <w:rFonts w:eastAsia="MS Mincho" w:cs="Open Sans"/>
          <w:sz w:val="24"/>
          <w:shd w:val="clear" w:color="auto" w:fill="FFFFFF"/>
        </w:rPr>
        <w:endnoteReference w:id="20"/>
      </w:r>
      <w:r w:rsidRPr="003F6427">
        <w:rPr>
          <w:rStyle w:val="normaltextrun"/>
          <w:rFonts w:eastAsia="MS Mincho" w:cs="Open Sans"/>
          <w:shd w:val="clear" w:color="auto" w:fill="FFFFFF"/>
        </w:rPr>
        <w:t xml:space="preserve"> Detainees reported having their phones confiscated and replaced with basic phones </w:t>
      </w:r>
      <w:r>
        <w:rPr>
          <w:rStyle w:val="normaltextrun"/>
          <w:rFonts w:eastAsia="MS Mincho" w:cs="Open Sans"/>
          <w:shd w:val="clear" w:color="auto" w:fill="FFFFFF"/>
        </w:rPr>
        <w:t>unable to</w:t>
      </w:r>
      <w:r w:rsidRPr="003F6427">
        <w:rPr>
          <w:rStyle w:val="normaltextrun"/>
          <w:rFonts w:eastAsia="MS Mincho" w:cs="Open Sans"/>
          <w:shd w:val="clear" w:color="auto" w:fill="FFFFFF"/>
        </w:rPr>
        <w:t xml:space="preserve"> take photos, making it hard to contact family or support groups, or document their situation.</w:t>
      </w:r>
      <w:r w:rsidRPr="003F6427">
        <w:rPr>
          <w:rStyle w:val="EndnoteReference"/>
          <w:rFonts w:eastAsia="MS Mincho" w:cs="Open Sans"/>
          <w:sz w:val="24"/>
          <w:shd w:val="clear" w:color="auto" w:fill="FFFFFF"/>
        </w:rPr>
        <w:endnoteReference w:id="21"/>
      </w:r>
    </w:p>
    <w:p w14:paraId="4AEFE40F" w14:textId="77777777" w:rsidR="00035821" w:rsidRPr="006353D4" w:rsidRDefault="00035821" w:rsidP="00035821">
      <w:pPr>
        <w:pStyle w:val="SubmissionNormal"/>
        <w:keepLines/>
        <w:numPr>
          <w:ilvl w:val="0"/>
          <w:numId w:val="16"/>
        </w:numPr>
        <w:jc w:val="both"/>
        <w:rPr>
          <w:rStyle w:val="normaltextrun"/>
          <w:rFonts w:eastAsia="MS Mincho" w:cs="Open Sans"/>
          <w:shd w:val="clear" w:color="auto" w:fill="FFFFFF"/>
        </w:rPr>
      </w:pPr>
      <w:r w:rsidRPr="006353D4">
        <w:rPr>
          <w:rStyle w:val="normaltextrun"/>
          <w:rFonts w:eastAsia="MS Mincho" w:cs="Open Sans"/>
          <w:shd w:val="clear" w:color="auto" w:fill="FFFFFF"/>
        </w:rPr>
        <w:t xml:space="preserve">The Commission also holds serious concerns about the individuals remaining in PNG. Disputes between the Australian and PNG Governments over unpaid bills </w:t>
      </w:r>
      <w:r>
        <w:rPr>
          <w:rStyle w:val="normaltextrun"/>
          <w:rFonts w:eastAsia="MS Mincho" w:cs="Open Sans"/>
          <w:shd w:val="clear" w:color="auto" w:fill="FFFFFF"/>
        </w:rPr>
        <w:t xml:space="preserve">has </w:t>
      </w:r>
      <w:r w:rsidRPr="006353D4">
        <w:rPr>
          <w:rStyle w:val="normaltextrun"/>
          <w:rFonts w:eastAsia="MS Mincho" w:cs="Open Sans"/>
          <w:shd w:val="clear" w:color="auto" w:fill="FFFFFF"/>
        </w:rPr>
        <w:t>led to forcible evictions and cutting access to basic services like income and healthcare.</w:t>
      </w:r>
      <w:r w:rsidRPr="000B1910">
        <w:rPr>
          <w:rStyle w:val="EndnoteReference"/>
          <w:rFonts w:eastAsia="MS Mincho" w:cs="Open Sans"/>
          <w:shd w:val="clear" w:color="auto" w:fill="FFFFFF"/>
        </w:rPr>
        <w:endnoteReference w:id="22"/>
      </w:r>
      <w:r w:rsidRPr="006353D4">
        <w:rPr>
          <w:rStyle w:val="normaltextrun"/>
          <w:rFonts w:eastAsia="MS Mincho" w:cs="Open Sans"/>
          <w:shd w:val="clear" w:color="auto" w:fill="FFFFFF"/>
        </w:rPr>
        <w:t xml:space="preserve"> </w:t>
      </w:r>
      <w:r>
        <w:rPr>
          <w:rStyle w:val="normaltextrun"/>
          <w:rFonts w:eastAsia="MS Mincho" w:cs="Open Sans"/>
          <w:shd w:val="clear" w:color="auto" w:fill="FFFFFF"/>
        </w:rPr>
        <w:t xml:space="preserve">Minimal </w:t>
      </w:r>
      <w:r w:rsidRPr="006353D4">
        <w:rPr>
          <w:rFonts w:eastAsia="MS Mincho" w:cs="Open Sans"/>
          <w:shd w:val="clear" w:color="auto" w:fill="FFFFFF"/>
        </w:rPr>
        <w:t xml:space="preserve">financial assistance </w:t>
      </w:r>
      <w:r>
        <w:rPr>
          <w:rFonts w:eastAsia="MS Mincho" w:cs="Open Sans"/>
          <w:shd w:val="clear" w:color="auto" w:fill="FFFFFF"/>
        </w:rPr>
        <w:t xml:space="preserve">was restored </w:t>
      </w:r>
      <w:r w:rsidRPr="4C80854E">
        <w:rPr>
          <w:rStyle w:val="normaltextrun"/>
          <w:rFonts w:eastAsia="MS Mincho" w:cs="Open Sans"/>
          <w:shd w:val="clear" w:color="auto" w:fill="FFFFFF"/>
        </w:rPr>
        <w:t xml:space="preserve">after </w:t>
      </w:r>
      <w:r>
        <w:rPr>
          <w:rStyle w:val="normaltextrun"/>
          <w:rFonts w:eastAsia="MS Mincho" w:cs="Open Sans"/>
          <w:shd w:val="clear" w:color="auto" w:fill="FFFFFF"/>
        </w:rPr>
        <w:t>a</w:t>
      </w:r>
      <w:r w:rsidRPr="4C80854E">
        <w:rPr>
          <w:rStyle w:val="normaltextrun"/>
          <w:rFonts w:eastAsia="MS Mincho" w:cs="Open Sans"/>
          <w:shd w:val="clear" w:color="auto" w:fill="FFFFFF"/>
        </w:rPr>
        <w:t xml:space="preserve"> year </w:t>
      </w:r>
      <w:r w:rsidRPr="006353D4">
        <w:rPr>
          <w:rStyle w:val="normaltextrun"/>
          <w:rFonts w:eastAsia="MS Mincho" w:cs="Open Sans"/>
          <w:shd w:val="clear" w:color="auto" w:fill="FFFFFF"/>
        </w:rPr>
        <w:t xml:space="preserve">to cover </w:t>
      </w:r>
      <w:r>
        <w:rPr>
          <w:rStyle w:val="normaltextrun"/>
          <w:rFonts w:eastAsia="MS Mincho" w:cs="Open Sans"/>
          <w:shd w:val="clear" w:color="auto" w:fill="FFFFFF"/>
        </w:rPr>
        <w:t>basic</w:t>
      </w:r>
      <w:r w:rsidRPr="006353D4">
        <w:rPr>
          <w:rStyle w:val="normaltextrun"/>
          <w:rFonts w:eastAsia="MS Mincho" w:cs="Open Sans"/>
          <w:shd w:val="clear" w:color="auto" w:fill="FFFFFF"/>
        </w:rPr>
        <w:t xml:space="preserve"> living expenses.</w:t>
      </w:r>
      <w:r w:rsidRPr="000B1910">
        <w:rPr>
          <w:rStyle w:val="EndnoteReference"/>
          <w:rFonts w:eastAsia="MS Mincho" w:cs="Open Sans"/>
          <w:sz w:val="24"/>
          <w:shd w:val="clear" w:color="auto" w:fill="FFFFFF"/>
        </w:rPr>
        <w:endnoteReference w:id="23"/>
      </w:r>
    </w:p>
    <w:p w14:paraId="700CE186" w14:textId="77777777" w:rsidR="00035821" w:rsidRPr="00035821" w:rsidRDefault="00035821" w:rsidP="00035821">
      <w:pPr>
        <w:jc w:val="both"/>
        <w:rPr>
          <w:b/>
          <w:bCs/>
        </w:rPr>
      </w:pPr>
      <w:r w:rsidRPr="00035821">
        <w:rPr>
          <w:b/>
          <w:bCs/>
        </w:rPr>
        <w:t>The NZYQ Cohort</w:t>
      </w:r>
    </w:p>
    <w:p w14:paraId="3934B5DC" w14:textId="77777777" w:rsidR="00035821" w:rsidRPr="000D1388" w:rsidRDefault="00035821" w:rsidP="00035821">
      <w:pPr>
        <w:pStyle w:val="ListParagraph"/>
        <w:numPr>
          <w:ilvl w:val="0"/>
          <w:numId w:val="16"/>
        </w:numPr>
        <w:spacing w:before="200" w:after="200"/>
        <w:ind w:left="714" w:hanging="357"/>
        <w:jc w:val="both"/>
      </w:pPr>
      <w:r w:rsidRPr="000D1388">
        <w:t>The Australian Government has adopted a new third country deportation arrangement in response to recent High Court decisions.</w:t>
      </w:r>
    </w:p>
    <w:p w14:paraId="36318D38" w14:textId="77777777" w:rsidR="00035821" w:rsidRPr="000D1388" w:rsidRDefault="00035821" w:rsidP="00035821">
      <w:pPr>
        <w:pStyle w:val="ListParagraph"/>
        <w:numPr>
          <w:ilvl w:val="0"/>
          <w:numId w:val="16"/>
        </w:numPr>
        <w:spacing w:before="200" w:after="200"/>
        <w:ind w:left="714" w:hanging="357"/>
        <w:jc w:val="both"/>
      </w:pPr>
      <w:r w:rsidRPr="000D1388">
        <w:t>In 2023, the High Court of Australia</w:t>
      </w:r>
      <w:r>
        <w:t xml:space="preserve"> (High Court)</w:t>
      </w:r>
      <w:r w:rsidRPr="000D1388">
        <w:t xml:space="preserve"> ruled in </w:t>
      </w:r>
      <w:r w:rsidRPr="000D1388">
        <w:rPr>
          <w:i/>
          <w:iCs/>
        </w:rPr>
        <w:t>NZYQ v Minister for Immigration, Citizenship and Multicultural Affairs</w:t>
      </w:r>
      <w:r>
        <w:rPr>
          <w:i/>
          <w:iCs/>
        </w:rPr>
        <w:t xml:space="preserve"> (NZYQ)</w:t>
      </w:r>
      <w:r w:rsidRPr="000D1388">
        <w:t xml:space="preserve"> that it is unlawful to detain a person without a valid visa indefinitely in immigration detention when there is no real prospect of their removal from Australia in the foreseeable future.</w:t>
      </w:r>
      <w:r w:rsidRPr="000D1388">
        <w:rPr>
          <w:rStyle w:val="EndnoteReference"/>
          <w:rFonts w:cs="Open Sans"/>
          <w:sz w:val="24"/>
          <w:shd w:val="clear" w:color="auto" w:fill="FFFFFF"/>
        </w:rPr>
        <w:endnoteReference w:id="24"/>
      </w:r>
      <w:r w:rsidRPr="000D1388">
        <w:rPr>
          <w:rStyle w:val="normaltextrun"/>
          <w:rFonts w:cs="Open Sans"/>
          <w:i/>
          <w:iCs/>
          <w:shd w:val="clear" w:color="auto" w:fill="FFFFFF"/>
        </w:rPr>
        <w:t xml:space="preserve"> </w:t>
      </w:r>
      <w:r w:rsidRPr="000D1388">
        <w:t>This landmark ruling overturned nearly two decades of legal precedent.</w:t>
      </w:r>
      <w:r w:rsidRPr="000D1388">
        <w:rPr>
          <w:rStyle w:val="EndnoteReference"/>
          <w:sz w:val="24"/>
        </w:rPr>
        <w:endnoteReference w:id="25"/>
      </w:r>
    </w:p>
    <w:p w14:paraId="26035E15" w14:textId="77777777" w:rsidR="00035821" w:rsidRPr="000D1388" w:rsidRDefault="00035821" w:rsidP="00035821">
      <w:pPr>
        <w:pStyle w:val="ListParagraph"/>
        <w:numPr>
          <w:ilvl w:val="0"/>
          <w:numId w:val="16"/>
        </w:numPr>
        <w:spacing w:before="200" w:after="200"/>
        <w:ind w:left="714" w:hanging="357"/>
        <w:jc w:val="both"/>
        <w:rPr>
          <w:rStyle w:val="normaltextrun"/>
        </w:rPr>
      </w:pPr>
      <w:r>
        <w:t xml:space="preserve">As at 18 October 2024 there have been 196 people released from immigration detention due to the </w:t>
      </w:r>
      <w:r>
        <w:rPr>
          <w:i/>
          <w:iCs/>
        </w:rPr>
        <w:t xml:space="preserve">NZYQ </w:t>
      </w:r>
      <w:r>
        <w:t>decision</w:t>
      </w:r>
      <w:r w:rsidRPr="000D1388">
        <w:t>.</w:t>
      </w:r>
      <w:r>
        <w:rPr>
          <w:rStyle w:val="EndnoteReference"/>
        </w:rPr>
        <w:endnoteReference w:id="26"/>
      </w:r>
      <w:r w:rsidRPr="000D1388">
        <w:t xml:space="preserve"> In response</w:t>
      </w:r>
      <w:r>
        <w:t xml:space="preserve">, </w:t>
      </w:r>
      <w:r w:rsidRPr="000D1388">
        <w:t>the Government</w:t>
      </w:r>
      <w:r>
        <w:t xml:space="preserve"> has</w:t>
      </w:r>
      <w:r w:rsidRPr="000D1388">
        <w:t xml:space="preserve"> enacted a series of laws that raise significant concerns about </w:t>
      </w:r>
      <w:r w:rsidRPr="000D1388">
        <w:rPr>
          <w:rFonts w:cs="Open Sans"/>
          <w:shd w:val="clear" w:color="auto" w:fill="FFFFFF"/>
        </w:rPr>
        <w:t xml:space="preserve">compliance with Australia’s </w:t>
      </w:r>
      <w:r w:rsidRPr="000D1388">
        <w:t>international obligations.</w:t>
      </w:r>
      <w:r w:rsidRPr="000D1388">
        <w:rPr>
          <w:rStyle w:val="EndnoteReference"/>
          <w:sz w:val="24"/>
        </w:rPr>
        <w:endnoteReference w:id="27"/>
      </w:r>
      <w:r w:rsidRPr="000D1388">
        <w:t xml:space="preserve"> One law allows the Government</w:t>
      </w:r>
      <w:r w:rsidRPr="000D1388">
        <w:rPr>
          <w:rStyle w:val="normaltextrun"/>
          <w:rFonts w:cs="Open Sans"/>
        </w:rPr>
        <w:t xml:space="preserve"> to pay other countries to accept</w:t>
      </w:r>
      <w:r w:rsidRPr="000D1388">
        <w:rPr>
          <w:rFonts w:cs="Open Sans"/>
          <w:shd w:val="clear" w:color="auto" w:fill="FFFFFF"/>
        </w:rPr>
        <w:t xml:space="preserve"> non-citizens, </w:t>
      </w:r>
      <w:r w:rsidRPr="000D1388">
        <w:rPr>
          <w:rStyle w:val="normaltextrun"/>
          <w:rFonts w:cs="Open Sans"/>
        </w:rPr>
        <w:t>including refugees whose protection status has been reversed.</w:t>
      </w:r>
      <w:r w:rsidRPr="000D1388">
        <w:rPr>
          <w:rStyle w:val="EndnoteReference"/>
          <w:rFonts w:cs="Open Sans"/>
          <w:sz w:val="24"/>
        </w:rPr>
        <w:endnoteReference w:id="28"/>
      </w:r>
      <w:r w:rsidRPr="000D1388">
        <w:rPr>
          <w:rStyle w:val="normaltextrun"/>
          <w:rFonts w:cs="Open Sans"/>
        </w:rPr>
        <w:t xml:space="preserve"> This law will potentially impact a much </w:t>
      </w:r>
      <w:r w:rsidRPr="000D1388">
        <w:t xml:space="preserve">wider </w:t>
      </w:r>
      <w:r>
        <w:t>group</w:t>
      </w:r>
      <w:r w:rsidRPr="000D1388">
        <w:t xml:space="preserve"> of people, beyond those in the NZYQ </w:t>
      </w:r>
      <w:r>
        <w:t xml:space="preserve">cohort </w:t>
      </w:r>
      <w:r w:rsidRPr="000D1388">
        <w:t>with criminal records.</w:t>
      </w:r>
    </w:p>
    <w:p w14:paraId="6A3D2311" w14:textId="77777777" w:rsidR="00035821" w:rsidRPr="000D1388" w:rsidRDefault="00035821" w:rsidP="00035821">
      <w:pPr>
        <w:pStyle w:val="ListParagraph"/>
        <w:numPr>
          <w:ilvl w:val="0"/>
          <w:numId w:val="16"/>
        </w:numPr>
        <w:spacing w:before="200" w:after="200"/>
        <w:ind w:left="714" w:hanging="357"/>
        <w:jc w:val="both"/>
        <w:rPr>
          <w:rFonts w:cs="Open Sans"/>
        </w:rPr>
      </w:pPr>
      <w:r w:rsidRPr="000D1388">
        <w:rPr>
          <w:rStyle w:val="normaltextrun"/>
          <w:rFonts w:cs="Open Sans"/>
          <w:shd w:val="clear" w:color="auto" w:fill="FFFFFF"/>
        </w:rPr>
        <w:t xml:space="preserve">In February 2025, the Government announced a new </w:t>
      </w:r>
      <w:r>
        <w:rPr>
          <w:rStyle w:val="normaltextrun"/>
          <w:rFonts w:cs="Open Sans"/>
          <w:shd w:val="clear" w:color="auto" w:fill="FFFFFF"/>
        </w:rPr>
        <w:t xml:space="preserve">third country reception </w:t>
      </w:r>
      <w:r w:rsidRPr="000D1388">
        <w:rPr>
          <w:rStyle w:val="normaltextrun"/>
          <w:rFonts w:cs="Open Sans"/>
          <w:shd w:val="clear" w:color="auto" w:fill="FFFFFF"/>
        </w:rPr>
        <w:t xml:space="preserve">arrangement with Nauru to resettle three </w:t>
      </w:r>
      <w:r w:rsidRPr="000D1388">
        <w:rPr>
          <w:rStyle w:val="normaltextrun"/>
          <w:rFonts w:cs="Open Sans"/>
        </w:rPr>
        <w:t>people from</w:t>
      </w:r>
      <w:r w:rsidRPr="000D1388">
        <w:rPr>
          <w:rStyle w:val="normaltextrun"/>
          <w:rFonts w:cs="Open Sans"/>
          <w:shd w:val="clear" w:color="auto" w:fill="FFFFFF"/>
        </w:rPr>
        <w:t xml:space="preserve"> the </w:t>
      </w:r>
      <w:r w:rsidRPr="000D1388">
        <w:rPr>
          <w:rStyle w:val="normaltextrun"/>
          <w:rFonts w:cs="Open Sans"/>
          <w:iCs/>
          <w:shd w:val="clear" w:color="auto" w:fill="FFFFFF"/>
        </w:rPr>
        <w:t>NZYQ</w:t>
      </w:r>
      <w:r w:rsidRPr="000D1388">
        <w:rPr>
          <w:rStyle w:val="normaltextrun"/>
          <w:rFonts w:cs="Open Sans"/>
          <w:shd w:val="clear" w:color="auto" w:fill="FFFFFF"/>
        </w:rPr>
        <w:t xml:space="preserve"> cohort. These individuals had been released from immigration detention but were subsequently re-detained pending removal to Nauru. They were granted </w:t>
      </w:r>
      <w:r w:rsidRPr="000D1388">
        <w:rPr>
          <w:rFonts w:cs="Open Sans"/>
          <w:shd w:val="clear" w:color="auto" w:fill="FFFFFF"/>
        </w:rPr>
        <w:t>long term visas to live in Nauru for a minimum of 30 years and would have the rights to work, move freely around the island, and access social services.</w:t>
      </w:r>
      <w:r>
        <w:rPr>
          <w:rStyle w:val="EndnoteReference"/>
          <w:rFonts w:cs="Open Sans"/>
          <w:shd w:val="clear" w:color="auto" w:fill="FFFFFF"/>
        </w:rPr>
        <w:endnoteReference w:id="29"/>
      </w:r>
    </w:p>
    <w:p w14:paraId="46774267" w14:textId="77777777" w:rsidR="00035821" w:rsidRDefault="00035821" w:rsidP="00035821">
      <w:pPr>
        <w:pStyle w:val="SubmissionNormal"/>
        <w:keepLines/>
        <w:numPr>
          <w:ilvl w:val="0"/>
          <w:numId w:val="16"/>
        </w:numPr>
        <w:spacing w:before="200" w:after="200"/>
        <w:ind w:left="714" w:hanging="357"/>
        <w:jc w:val="both"/>
        <w:rPr>
          <w:rFonts w:cs="Open Sans"/>
          <w:shd w:val="clear" w:color="auto" w:fill="FFFFFF"/>
        </w:rPr>
      </w:pPr>
      <w:r w:rsidRPr="000D1388">
        <w:rPr>
          <w:rStyle w:val="normaltextrun"/>
          <w:rFonts w:eastAsia="MS Mincho" w:cs="Open Sans"/>
          <w:shd w:val="clear" w:color="auto" w:fill="FFFFFF"/>
        </w:rPr>
        <w:lastRenderedPageBreak/>
        <w:t xml:space="preserve">The Australian Human Rights Commissioner wrote to the Minister for Home Affairs </w:t>
      </w:r>
      <w:r>
        <w:rPr>
          <w:rStyle w:val="normaltextrun"/>
          <w:rFonts w:eastAsia="MS Mincho" w:cs="Open Sans"/>
          <w:shd w:val="clear" w:color="auto" w:fill="FFFFFF"/>
        </w:rPr>
        <w:t xml:space="preserve">on 19 February 2025 </w:t>
      </w:r>
      <w:r w:rsidRPr="000D1388">
        <w:rPr>
          <w:rFonts w:eastAsia="MS Mincho" w:cs="Open Sans"/>
          <w:shd w:val="clear" w:color="auto" w:fill="FFFFFF"/>
        </w:rPr>
        <w:t>requesting transparency around the details of the arrangement and raised concerns about the human rights implications of Australia’s attempt to outsource its international obligations.</w:t>
      </w:r>
      <w:r w:rsidRPr="000D1388">
        <w:rPr>
          <w:rStyle w:val="EndnoteReference"/>
          <w:rFonts w:eastAsia="MS Mincho" w:cs="Open Sans"/>
          <w:sz w:val="24"/>
          <w:shd w:val="clear" w:color="auto" w:fill="FFFFFF"/>
        </w:rPr>
        <w:endnoteReference w:id="30"/>
      </w:r>
      <w:r>
        <w:rPr>
          <w:rFonts w:eastAsia="MS Mincho" w:cs="Open Sans"/>
          <w:shd w:val="clear" w:color="auto" w:fill="FFFFFF"/>
        </w:rPr>
        <w:t xml:space="preserve"> </w:t>
      </w:r>
      <w:r w:rsidRPr="00A90E67">
        <w:rPr>
          <w:rFonts w:cs="Open Sans"/>
          <w:shd w:val="clear" w:color="auto" w:fill="FFFFFF"/>
        </w:rPr>
        <w:t xml:space="preserve">At the time of writing, </w:t>
      </w:r>
      <w:r>
        <w:rPr>
          <w:rFonts w:cs="Open Sans"/>
          <w:shd w:val="clear" w:color="auto" w:fill="FFFFFF"/>
        </w:rPr>
        <w:t>the Commission has</w:t>
      </w:r>
      <w:r w:rsidRPr="00A90E67">
        <w:rPr>
          <w:rFonts w:cs="Open Sans"/>
          <w:shd w:val="clear" w:color="auto" w:fill="FFFFFF"/>
        </w:rPr>
        <w:t xml:space="preserve"> not yet received a direct response to this letter</w:t>
      </w:r>
      <w:r>
        <w:rPr>
          <w:rFonts w:cs="Open Sans"/>
          <w:shd w:val="clear" w:color="auto" w:fill="FFFFFF"/>
        </w:rPr>
        <w:t>.</w:t>
      </w:r>
    </w:p>
    <w:p w14:paraId="683B5397" w14:textId="77777777" w:rsidR="00035821" w:rsidRPr="00387841" w:rsidRDefault="00035821" w:rsidP="00035821">
      <w:pPr>
        <w:pStyle w:val="SubmissionNormal"/>
        <w:keepLines/>
        <w:numPr>
          <w:ilvl w:val="0"/>
          <w:numId w:val="16"/>
        </w:numPr>
        <w:spacing w:before="200" w:after="200"/>
        <w:ind w:left="714" w:hanging="357"/>
        <w:jc w:val="both"/>
        <w:rPr>
          <w:rFonts w:cs="Open Sans"/>
          <w:shd w:val="clear" w:color="auto" w:fill="FFFFFF"/>
        </w:rPr>
      </w:pPr>
      <w:r>
        <w:rPr>
          <w:rFonts w:cs="Open Sans"/>
          <w:shd w:val="clear" w:color="auto" w:fill="FFFFFF"/>
        </w:rPr>
        <w:t xml:space="preserve">The three </w:t>
      </w:r>
      <w:r w:rsidRPr="00387841">
        <w:rPr>
          <w:rFonts w:eastAsia="MS Mincho" w:cs="Open Sans"/>
          <w:shd w:val="clear" w:color="auto" w:fill="FFFFFF"/>
        </w:rPr>
        <w:t xml:space="preserve">individuals </w:t>
      </w:r>
      <w:r>
        <w:rPr>
          <w:rFonts w:eastAsia="MS Mincho" w:cs="Open Sans"/>
          <w:shd w:val="clear" w:color="auto" w:fill="FFFFFF"/>
        </w:rPr>
        <w:t xml:space="preserve">concerned have </w:t>
      </w:r>
      <w:r w:rsidRPr="00387841">
        <w:rPr>
          <w:rFonts w:eastAsia="MS Mincho" w:cs="Open Sans"/>
          <w:shd w:val="clear" w:color="auto" w:fill="FFFFFF"/>
        </w:rPr>
        <w:t xml:space="preserve">filed separate legal proceedings against their removal to Nauru and, at the time of writing, it does not appear that any of them have been removed. In June 2025, the Federal Court </w:t>
      </w:r>
      <w:r>
        <w:rPr>
          <w:rFonts w:eastAsia="MS Mincho" w:cs="Open Sans"/>
          <w:shd w:val="clear" w:color="auto" w:fill="FFFFFF"/>
        </w:rPr>
        <w:t xml:space="preserve">of Australia </w:t>
      </w:r>
      <w:r w:rsidRPr="00387841">
        <w:rPr>
          <w:rFonts w:eastAsia="MS Mincho" w:cs="Open Sans"/>
          <w:shd w:val="clear" w:color="auto" w:fill="FFFFFF"/>
        </w:rPr>
        <w:t>ruled that one of the individuals, an Iranian national to whom Australia owes protection obligations, could lawfully be transferred to Nauru.</w:t>
      </w:r>
      <w:r w:rsidRPr="00387841">
        <w:rPr>
          <w:rStyle w:val="EndnoteReference"/>
          <w:rFonts w:eastAsia="MS Mincho" w:cs="Open Sans"/>
          <w:sz w:val="24"/>
          <w:shd w:val="clear" w:color="auto" w:fill="FFFFFF"/>
        </w:rPr>
        <w:endnoteReference w:id="31"/>
      </w:r>
      <w:r w:rsidRPr="00387841">
        <w:rPr>
          <w:rFonts w:eastAsia="MS Mincho" w:cs="Open Sans"/>
          <w:shd w:val="clear" w:color="auto" w:fill="FFFFFF"/>
        </w:rPr>
        <w:t xml:space="preserve"> At the time of writing, he remains in Australia, with media reports suggesting that the decision is likely to be appealed.</w:t>
      </w:r>
      <w:r w:rsidRPr="00387841">
        <w:rPr>
          <w:rStyle w:val="EndnoteReference"/>
          <w:rFonts w:eastAsia="MS Mincho" w:cs="Open Sans"/>
          <w:sz w:val="24"/>
          <w:shd w:val="clear" w:color="auto" w:fill="FFFFFF"/>
        </w:rPr>
        <w:endnoteReference w:id="32"/>
      </w:r>
      <w:r w:rsidRPr="00387841">
        <w:rPr>
          <w:rFonts w:eastAsia="MS Mincho" w:cs="Open Sans"/>
          <w:shd w:val="clear" w:color="auto" w:fill="FFFFFF"/>
        </w:rPr>
        <w:t xml:space="preserve"> A second individual has commenced a legal challenge in the High Court, with the case being heard on 16 June 2025 and the </w:t>
      </w:r>
      <w:r>
        <w:rPr>
          <w:rFonts w:eastAsia="MS Mincho" w:cs="Open Sans"/>
          <w:shd w:val="clear" w:color="auto" w:fill="FFFFFF"/>
        </w:rPr>
        <w:t xml:space="preserve">High </w:t>
      </w:r>
      <w:r w:rsidRPr="00387841">
        <w:rPr>
          <w:rFonts w:eastAsia="MS Mincho" w:cs="Open Sans"/>
          <w:shd w:val="clear" w:color="auto" w:fill="FFFFFF"/>
        </w:rPr>
        <w:t>Court reserving its decision.</w:t>
      </w:r>
      <w:r w:rsidRPr="00387841">
        <w:rPr>
          <w:rStyle w:val="EndnoteReference"/>
          <w:rFonts w:eastAsia="MS Mincho" w:cs="Open Sans"/>
          <w:sz w:val="24"/>
          <w:shd w:val="clear" w:color="auto" w:fill="FFFFFF"/>
        </w:rPr>
        <w:endnoteReference w:id="33"/>
      </w:r>
      <w:r w:rsidRPr="00387841">
        <w:rPr>
          <w:rFonts w:eastAsia="MS Mincho" w:cs="Open Sans"/>
          <w:shd w:val="clear" w:color="auto" w:fill="FFFFFF"/>
        </w:rPr>
        <w:t xml:space="preserve"> It has been reported that the Minister for Immigration and Multicultural Affairs </w:t>
      </w:r>
      <w:r>
        <w:rPr>
          <w:rFonts w:eastAsia="MS Mincho" w:cs="Open Sans"/>
          <w:shd w:val="clear" w:color="auto" w:fill="FFFFFF"/>
        </w:rPr>
        <w:t>h</w:t>
      </w:r>
      <w:r w:rsidRPr="00387841">
        <w:rPr>
          <w:rFonts w:eastAsia="MS Mincho" w:cs="Open Sans"/>
          <w:shd w:val="clear" w:color="auto" w:fill="FFFFFF"/>
        </w:rPr>
        <w:t xml:space="preserve">as given undertakings to the </w:t>
      </w:r>
      <w:r>
        <w:rPr>
          <w:rFonts w:eastAsia="MS Mincho" w:cs="Open Sans"/>
          <w:shd w:val="clear" w:color="auto" w:fill="FFFFFF"/>
        </w:rPr>
        <w:t xml:space="preserve">High </w:t>
      </w:r>
      <w:r w:rsidRPr="00387841">
        <w:rPr>
          <w:rFonts w:eastAsia="MS Mincho" w:cs="Open Sans"/>
          <w:shd w:val="clear" w:color="auto" w:fill="FFFFFF"/>
        </w:rPr>
        <w:t>Court that the individual will not be removed from Australia while the case is ongoing.</w:t>
      </w:r>
      <w:r w:rsidRPr="00387841">
        <w:rPr>
          <w:rStyle w:val="EndnoteReference"/>
          <w:rFonts w:eastAsia="MS Mincho" w:cs="Open Sans"/>
          <w:sz w:val="24"/>
          <w:shd w:val="clear" w:color="auto" w:fill="FFFFFF"/>
        </w:rPr>
        <w:endnoteReference w:id="34"/>
      </w:r>
    </w:p>
    <w:p w14:paraId="0176AEF5" w14:textId="204DFCBE" w:rsidR="00035821" w:rsidRPr="00035821" w:rsidRDefault="00035821" w:rsidP="00035821">
      <w:pPr>
        <w:pStyle w:val="Heading2"/>
      </w:pPr>
      <w:bookmarkStart w:id="9" w:name="_Toc202950864"/>
      <w:r>
        <w:t>Boat</w:t>
      </w:r>
      <w:r w:rsidR="00BE3291">
        <w:t xml:space="preserve"> Turnbacks and Takebacks</w:t>
      </w:r>
      <w:bookmarkEnd w:id="9"/>
    </w:p>
    <w:p w14:paraId="5CE76002" w14:textId="77777777" w:rsidR="002C5F4F" w:rsidRDefault="002C5F4F" w:rsidP="00E7669B">
      <w:pPr>
        <w:pStyle w:val="ListParagraph"/>
        <w:numPr>
          <w:ilvl w:val="0"/>
          <w:numId w:val="35"/>
        </w:numPr>
        <w:jc w:val="both"/>
      </w:pPr>
      <w:r w:rsidRPr="002C5F4F">
        <w:t xml:space="preserve">Since December 2013, under </w:t>
      </w:r>
      <w:r>
        <w:t>a</w:t>
      </w:r>
      <w:r w:rsidRPr="002C5F4F">
        <w:t xml:space="preserve"> policy of turnbacks and takebacks implemented as </w:t>
      </w:r>
      <w:r w:rsidRPr="00D0343B">
        <w:t>part of Operation Sovereign Borders</w:t>
      </w:r>
      <w:r w:rsidR="00F87ED4" w:rsidRPr="00D0343B">
        <w:t xml:space="preserve"> (OSB)</w:t>
      </w:r>
      <w:r w:rsidRPr="00D0343B">
        <w:t>, Australia</w:t>
      </w:r>
      <w:r w:rsidRPr="002C5F4F">
        <w:t xml:space="preserve"> has intercepted boats carrying asylum seekers and returned them to their point of departure. In some instances, individuals have been returned directly to their countries of origin following a </w:t>
      </w:r>
      <w:r w:rsidR="00080F2C">
        <w:t>brief</w:t>
      </w:r>
      <w:r w:rsidRPr="002C5F4F">
        <w:t xml:space="preserve"> and inadequate screening process conducted at sea.</w:t>
      </w:r>
    </w:p>
    <w:p w14:paraId="39610841" w14:textId="64576A6F" w:rsidR="00F87ED4" w:rsidRPr="00F87ED4" w:rsidRDefault="003F17AA" w:rsidP="00E7669B">
      <w:pPr>
        <w:pStyle w:val="ListParagraph"/>
        <w:numPr>
          <w:ilvl w:val="0"/>
          <w:numId w:val="35"/>
        </w:numPr>
        <w:jc w:val="both"/>
        <w:rPr>
          <w:rStyle w:val="normaltextrun"/>
        </w:rPr>
      </w:pPr>
      <w:r w:rsidRPr="00080F2C">
        <w:rPr>
          <w:rStyle w:val="normaltextrun"/>
          <w:rFonts w:cs="Open Sans"/>
          <w:shd w:val="clear" w:color="auto" w:fill="FFFFFF"/>
        </w:rPr>
        <w:t>These practices have been widely criticised</w:t>
      </w:r>
      <w:r w:rsidR="00B4056D" w:rsidRPr="00080F2C">
        <w:rPr>
          <w:rStyle w:val="normaltextrun"/>
          <w:rFonts w:cs="Open Sans"/>
          <w:shd w:val="clear" w:color="auto" w:fill="FFFFFF"/>
        </w:rPr>
        <w:t xml:space="preserve"> </w:t>
      </w:r>
      <w:r w:rsidRPr="00080F2C">
        <w:rPr>
          <w:rStyle w:val="normaltextrun"/>
          <w:rFonts w:cs="Open Sans"/>
          <w:shd w:val="clear" w:color="auto" w:fill="FFFFFF"/>
        </w:rPr>
        <w:t xml:space="preserve">and </w:t>
      </w:r>
      <w:r w:rsidR="00A06B43">
        <w:rPr>
          <w:rStyle w:val="normaltextrun"/>
          <w:rFonts w:cs="Open Sans"/>
          <w:shd w:val="clear" w:color="auto" w:fill="FFFFFF"/>
        </w:rPr>
        <w:t>pose</w:t>
      </w:r>
      <w:r w:rsidRPr="00080F2C">
        <w:rPr>
          <w:rStyle w:val="normaltextrun"/>
          <w:rFonts w:cs="Open Sans"/>
          <w:shd w:val="clear" w:color="auto" w:fill="FFFFFF"/>
        </w:rPr>
        <w:t xml:space="preserve"> a serious risk of </w:t>
      </w:r>
      <w:r w:rsidRPr="00080F2C">
        <w:rPr>
          <w:rStyle w:val="normaltextrun"/>
          <w:rFonts w:cs="Open Sans"/>
          <w:i/>
          <w:shd w:val="clear" w:color="auto" w:fill="FFFFFF"/>
        </w:rPr>
        <w:t>refoulement</w:t>
      </w:r>
      <w:r w:rsidR="00340FB7">
        <w:rPr>
          <w:rStyle w:val="normaltextrun"/>
          <w:rFonts w:cs="Open Sans"/>
          <w:i/>
          <w:shd w:val="clear" w:color="auto" w:fill="FFFFFF"/>
        </w:rPr>
        <w:t xml:space="preserve">, </w:t>
      </w:r>
      <w:r w:rsidR="00340FB7">
        <w:rPr>
          <w:rStyle w:val="normaltextrun"/>
          <w:rFonts w:cs="Open Sans"/>
          <w:iCs/>
          <w:shd w:val="clear" w:color="auto" w:fill="FFFFFF"/>
        </w:rPr>
        <w:t xml:space="preserve">including chain </w:t>
      </w:r>
      <w:r w:rsidR="00340FB7">
        <w:rPr>
          <w:rStyle w:val="normaltextrun"/>
          <w:rFonts w:cs="Open Sans"/>
          <w:i/>
          <w:shd w:val="clear" w:color="auto" w:fill="FFFFFF"/>
        </w:rPr>
        <w:t>refoulement</w:t>
      </w:r>
      <w:r w:rsidR="00282269">
        <w:rPr>
          <w:rStyle w:val="normaltextrun"/>
          <w:rFonts w:cs="Open Sans"/>
          <w:iCs/>
          <w:shd w:val="clear" w:color="auto" w:fill="FFFFFF"/>
        </w:rPr>
        <w:t>.</w:t>
      </w:r>
      <w:r w:rsidR="00B4056D" w:rsidRPr="00B4056D">
        <w:rPr>
          <w:rStyle w:val="EndnoteReference"/>
          <w:rFonts w:cs="Open Sans"/>
          <w:shd w:val="clear" w:color="auto" w:fill="FFFFFF"/>
        </w:rPr>
        <w:endnoteReference w:id="35"/>
      </w:r>
      <w:r w:rsidR="00905971">
        <w:rPr>
          <w:rStyle w:val="normaltextrun"/>
          <w:rFonts w:cs="Open Sans"/>
          <w:shd w:val="clear" w:color="auto" w:fill="FFFFFF"/>
        </w:rPr>
        <w:t xml:space="preserve"> </w:t>
      </w:r>
      <w:r w:rsidR="00516B9D" w:rsidRPr="00905971">
        <w:rPr>
          <w:rStyle w:val="normaltextrun"/>
          <w:rFonts w:cs="Open Sans"/>
          <w:shd w:val="clear" w:color="auto" w:fill="FFFFFF"/>
        </w:rPr>
        <w:t>Onboard screenings lack proper safeguards and access to legal advice</w:t>
      </w:r>
      <w:r w:rsidR="00A06B43" w:rsidRPr="00905971">
        <w:rPr>
          <w:rStyle w:val="normaltextrun"/>
          <w:rFonts w:cs="Open Sans"/>
          <w:shd w:val="clear" w:color="auto" w:fill="FFFFFF"/>
        </w:rPr>
        <w:t>. T</w:t>
      </w:r>
      <w:r w:rsidR="00E46341" w:rsidRPr="00905971">
        <w:rPr>
          <w:rStyle w:val="normaltextrun"/>
          <w:rFonts w:cs="Open Sans"/>
          <w:shd w:val="clear" w:color="auto" w:fill="FFFFFF"/>
        </w:rPr>
        <w:t>he circumstances under which they take plac</w:t>
      </w:r>
      <w:r w:rsidR="008C3E5D">
        <w:rPr>
          <w:rStyle w:val="normaltextrun"/>
          <w:rFonts w:cs="Open Sans"/>
          <w:shd w:val="clear" w:color="auto" w:fill="FFFFFF"/>
        </w:rPr>
        <w:t>e – a</w:t>
      </w:r>
      <w:r w:rsidR="00080F2C" w:rsidRPr="00DD1C92">
        <w:t xml:space="preserve">t sea, </w:t>
      </w:r>
      <w:r w:rsidR="00E46341">
        <w:t xml:space="preserve">potentially </w:t>
      </w:r>
      <w:r w:rsidR="00080F2C" w:rsidRPr="00DD1C92">
        <w:t>via teleconference</w:t>
      </w:r>
      <w:r w:rsidR="00A06B43">
        <w:t>,</w:t>
      </w:r>
      <w:r w:rsidR="00080F2C" w:rsidRPr="00DD1C92">
        <w:t xml:space="preserve"> and while the person is detained on board an Australian vesse</w:t>
      </w:r>
      <w:r w:rsidR="008C3E5D">
        <w:t xml:space="preserve">l – </w:t>
      </w:r>
      <w:r w:rsidR="00080F2C" w:rsidRPr="00905971">
        <w:rPr>
          <w:rStyle w:val="normaltextrun"/>
          <w:rFonts w:cs="Open Sans"/>
          <w:shd w:val="clear" w:color="auto" w:fill="FFFFFF"/>
        </w:rPr>
        <w:t>make</w:t>
      </w:r>
      <w:r w:rsidR="00516B9D" w:rsidRPr="00905971">
        <w:rPr>
          <w:rStyle w:val="normaltextrun"/>
          <w:rFonts w:cs="Open Sans"/>
          <w:shd w:val="clear" w:color="auto" w:fill="FFFFFF"/>
        </w:rPr>
        <w:t xml:space="preserve"> it near</w:t>
      </w:r>
      <w:r w:rsidR="00A06B43" w:rsidRPr="00905971">
        <w:rPr>
          <w:rStyle w:val="normaltextrun"/>
          <w:rFonts w:cs="Open Sans"/>
          <w:shd w:val="clear" w:color="auto" w:fill="FFFFFF"/>
        </w:rPr>
        <w:t>ly</w:t>
      </w:r>
      <w:r w:rsidR="00516B9D" w:rsidRPr="00905971">
        <w:rPr>
          <w:rStyle w:val="normaltextrun"/>
          <w:rFonts w:cs="Open Sans"/>
          <w:shd w:val="clear" w:color="auto" w:fill="FFFFFF"/>
        </w:rPr>
        <w:t xml:space="preserve"> impossible to fairly or thoroughly assess protection claims.</w:t>
      </w:r>
      <w:r w:rsidR="00516B9D" w:rsidRPr="00B4056D">
        <w:rPr>
          <w:rStyle w:val="EndnoteReference"/>
          <w:rFonts w:cs="Open Sans"/>
          <w:shd w:val="clear" w:color="auto" w:fill="FFFFFF"/>
        </w:rPr>
        <w:endnoteReference w:id="36"/>
      </w:r>
    </w:p>
    <w:p w14:paraId="058B11DC" w14:textId="034CEE5D" w:rsidR="00EF140A" w:rsidRDefault="00F87ED4" w:rsidP="00E7669B">
      <w:pPr>
        <w:pStyle w:val="ListParagraph"/>
        <w:numPr>
          <w:ilvl w:val="0"/>
          <w:numId w:val="35"/>
        </w:numPr>
        <w:jc w:val="both"/>
      </w:pPr>
      <w:r>
        <w:t>Since OSB’s commencement, the</w:t>
      </w:r>
      <w:r w:rsidR="00DD1C92" w:rsidRPr="00DD1C92">
        <w:t xml:space="preserve"> Government</w:t>
      </w:r>
      <w:r>
        <w:t xml:space="preserve"> has</w:t>
      </w:r>
      <w:r w:rsidR="00DD1C92" w:rsidRPr="00DD1C92">
        <w:t xml:space="preserve"> </w:t>
      </w:r>
      <w:r>
        <w:t>maintained</w:t>
      </w:r>
      <w:r w:rsidR="00DD1C92" w:rsidRPr="00DD1C92">
        <w:t xml:space="preserve"> a policy of </w:t>
      </w:r>
      <w:r>
        <w:t xml:space="preserve">secrecy </w:t>
      </w:r>
      <w:r w:rsidR="00EF428F">
        <w:t>regarding</w:t>
      </w:r>
      <w:r w:rsidR="00DD1C92" w:rsidRPr="00DD1C92">
        <w:t xml:space="preserve"> ‘on-water </w:t>
      </w:r>
      <w:proofErr w:type="gramStart"/>
      <w:r w:rsidR="00DD1C92" w:rsidRPr="00DD1C92">
        <w:t>matters’</w:t>
      </w:r>
      <w:proofErr w:type="gramEnd"/>
      <w:r w:rsidR="00DD1C92" w:rsidRPr="00DD1C92">
        <w:t xml:space="preserve">. </w:t>
      </w:r>
      <w:r w:rsidR="00EF428F" w:rsidRPr="00EF428F">
        <w:t xml:space="preserve">This lack of transparency makes it difficult to assess whether turnbacks are being conducted in accordance with Australia’s international obligations, including the prohibition of </w:t>
      </w:r>
      <w:r w:rsidR="00EF428F" w:rsidRPr="008214B3">
        <w:rPr>
          <w:i/>
          <w:iCs/>
        </w:rPr>
        <w:t>refoulement</w:t>
      </w:r>
      <w:r w:rsidR="00EF428F" w:rsidRPr="00EF428F">
        <w:t xml:space="preserve"> and duty to guarantee safety of life at sea.</w:t>
      </w:r>
      <w:r w:rsidR="0016152C">
        <w:t xml:space="preserve"> </w:t>
      </w:r>
      <w:r w:rsidR="00EF140A">
        <w:t>Between</w:t>
      </w:r>
      <w:r w:rsidR="0016152C">
        <w:t xml:space="preserve"> </w:t>
      </w:r>
      <w:r w:rsidR="00B04094">
        <w:t xml:space="preserve">December </w:t>
      </w:r>
      <w:r w:rsidR="0016152C">
        <w:t>2013</w:t>
      </w:r>
      <w:r w:rsidR="00EF140A">
        <w:t xml:space="preserve"> and </w:t>
      </w:r>
      <w:r w:rsidR="00B04094">
        <w:t>28 February</w:t>
      </w:r>
      <w:r w:rsidR="00EF140A">
        <w:t xml:space="preserve"> 2024,</w:t>
      </w:r>
      <w:r w:rsidR="001C6BE7">
        <w:t xml:space="preserve"> </w:t>
      </w:r>
      <w:r w:rsidR="008214B3">
        <w:t>47</w:t>
      </w:r>
      <w:r w:rsidR="001C6BE7">
        <w:t xml:space="preserve"> boats </w:t>
      </w:r>
      <w:r w:rsidR="00301741">
        <w:t xml:space="preserve">carrying </w:t>
      </w:r>
      <w:r w:rsidR="008214B3">
        <w:t>more than 1,</w:t>
      </w:r>
      <w:r w:rsidR="0069506C">
        <w:t>123</w:t>
      </w:r>
      <w:r w:rsidR="001C6BE7" w:rsidRPr="001C6BE7">
        <w:t xml:space="preserve"> people</w:t>
      </w:r>
      <w:r w:rsidR="0069506C">
        <w:t>,</w:t>
      </w:r>
      <w:r w:rsidR="00386A26">
        <w:t xml:space="preserve"> </w:t>
      </w:r>
      <w:r w:rsidR="0069506C">
        <w:t>including</w:t>
      </w:r>
      <w:r w:rsidR="001C6BE7" w:rsidRPr="001C6BE7">
        <w:t xml:space="preserve"> </w:t>
      </w:r>
      <w:r w:rsidR="00A25BCC">
        <w:t xml:space="preserve">141 children, </w:t>
      </w:r>
      <w:r w:rsidR="001C6BE7" w:rsidRPr="001C6BE7">
        <w:t>have been intercepted and returned</w:t>
      </w:r>
      <w:r w:rsidR="008214B3">
        <w:t>.</w:t>
      </w:r>
      <w:r w:rsidR="008214B3">
        <w:rPr>
          <w:rStyle w:val="EndnoteReference"/>
        </w:rPr>
        <w:endnoteReference w:id="37"/>
      </w:r>
    </w:p>
    <w:p w14:paraId="37A25501" w14:textId="7A0CA49F" w:rsidR="00177D4D" w:rsidRDefault="00DD7EE9" w:rsidP="00E7669B">
      <w:pPr>
        <w:pStyle w:val="ListParagraph"/>
        <w:numPr>
          <w:ilvl w:val="0"/>
          <w:numId w:val="35"/>
        </w:numPr>
        <w:jc w:val="both"/>
      </w:pPr>
      <w:r w:rsidRPr="00EF1B57">
        <w:rPr>
          <w:rStyle w:val="normaltextrun"/>
          <w:rFonts w:cs="Open Sans"/>
          <w:shd w:val="clear" w:color="auto" w:fill="FFFFFF"/>
        </w:rPr>
        <w:lastRenderedPageBreak/>
        <w:t xml:space="preserve">The </w:t>
      </w:r>
      <w:r w:rsidR="00732592" w:rsidRPr="00EF1B57">
        <w:rPr>
          <w:i/>
          <w:iCs/>
        </w:rPr>
        <w:t>Maritime Powers Act</w:t>
      </w:r>
      <w:r w:rsidR="00F955BE" w:rsidRPr="00EF1B57">
        <w:rPr>
          <w:i/>
          <w:iCs/>
        </w:rPr>
        <w:t xml:space="preserve"> 2013</w:t>
      </w:r>
      <w:r w:rsidR="00732592">
        <w:t> (</w:t>
      </w:r>
      <w:r w:rsidR="009C2027">
        <w:t>MPA)</w:t>
      </w:r>
      <w:r w:rsidR="00732592">
        <w:t xml:space="preserve"> </w:t>
      </w:r>
      <w:r w:rsidR="00B139D0">
        <w:t>grants</w:t>
      </w:r>
      <w:r w:rsidR="00882CA9">
        <w:t xml:space="preserve"> the Minister and</w:t>
      </w:r>
      <w:r w:rsidR="00B139D0">
        <w:t xml:space="preserve"> </w:t>
      </w:r>
      <w:r w:rsidR="00EF1B57">
        <w:t xml:space="preserve">officers </w:t>
      </w:r>
      <w:r w:rsidR="00882CA9">
        <w:t xml:space="preserve">powers </w:t>
      </w:r>
      <w:r w:rsidR="00732592">
        <w:t xml:space="preserve">to detain vessels </w:t>
      </w:r>
      <w:r w:rsidR="001059C4">
        <w:t>and</w:t>
      </w:r>
      <w:r w:rsidR="00732592">
        <w:t xml:space="preserve"> </w:t>
      </w:r>
      <w:r w:rsidR="00EE526C">
        <w:t>people</w:t>
      </w:r>
      <w:r w:rsidR="00516B9D">
        <w:t xml:space="preserve"> </w:t>
      </w:r>
      <w:r w:rsidR="001059C4">
        <w:t xml:space="preserve">and </w:t>
      </w:r>
      <w:r w:rsidR="00732592">
        <w:t>take them to a destination outside Australia</w:t>
      </w:r>
      <w:r w:rsidR="00B139D0">
        <w:t>.</w:t>
      </w:r>
      <w:r w:rsidR="00B139D0">
        <w:rPr>
          <w:rStyle w:val="EndnoteReference"/>
        </w:rPr>
        <w:endnoteReference w:id="38"/>
      </w:r>
      <w:r w:rsidR="00C33353">
        <w:t xml:space="preserve"> </w:t>
      </w:r>
      <w:r w:rsidR="00D779A7" w:rsidRPr="00DC6B5D">
        <w:t xml:space="preserve">These powers may be exercised without consideration of Australia’s international obligations </w:t>
      </w:r>
      <w:r w:rsidR="00D779A7">
        <w:t xml:space="preserve">and </w:t>
      </w:r>
      <w:r w:rsidR="00D779A7" w:rsidRPr="00DC6B5D">
        <w:t xml:space="preserve">even if their exercise would be inconsistent with </w:t>
      </w:r>
      <w:r w:rsidR="00D779A7">
        <w:t>these</w:t>
      </w:r>
      <w:r w:rsidR="00D779A7" w:rsidRPr="00DC6B5D">
        <w:t xml:space="preserve"> obligations.</w:t>
      </w:r>
      <w:r w:rsidR="00A90E67">
        <w:rPr>
          <w:rStyle w:val="EndnoteReference"/>
        </w:rPr>
        <w:endnoteReference w:id="39"/>
      </w:r>
      <w:r w:rsidR="00EF1B57">
        <w:t xml:space="preserve"> T</w:t>
      </w:r>
      <w:r w:rsidR="00D779A7" w:rsidRPr="00B139D0">
        <w:t xml:space="preserve">he rules of natural justice </w:t>
      </w:r>
      <w:r w:rsidR="00EF1B57">
        <w:t xml:space="preserve">also </w:t>
      </w:r>
      <w:r w:rsidR="00D779A7" w:rsidRPr="00B139D0">
        <w:t xml:space="preserve">do not apply to </w:t>
      </w:r>
      <w:r w:rsidR="00EF1B57">
        <w:t>their exercise.</w:t>
      </w:r>
      <w:r w:rsidR="00A90E67">
        <w:rPr>
          <w:rStyle w:val="EndnoteReference"/>
        </w:rPr>
        <w:endnoteReference w:id="40"/>
      </w:r>
      <w:r w:rsidR="00A90E67">
        <w:t xml:space="preserve"> </w:t>
      </w:r>
      <w:r w:rsidR="59666648">
        <w:t>T</w:t>
      </w:r>
      <w:r w:rsidR="00BB63C9">
        <w:t>he</w:t>
      </w:r>
      <w:r w:rsidR="007F4AF3">
        <w:t xml:space="preserve"> High Court </w:t>
      </w:r>
      <w:r w:rsidR="00177D4D">
        <w:t>has</w:t>
      </w:r>
      <w:r w:rsidR="0E7F47DA">
        <w:t>, however,</w:t>
      </w:r>
      <w:r w:rsidR="00177D4D">
        <w:t xml:space="preserve"> clarified </w:t>
      </w:r>
      <w:r w:rsidR="009C2027">
        <w:t>that</w:t>
      </w:r>
      <w:r w:rsidR="00B139D0">
        <w:t xml:space="preserve"> under the MPA, </w:t>
      </w:r>
      <w:r w:rsidR="00B139D0" w:rsidRPr="00B139D0">
        <w:t xml:space="preserve">it would be unlawful for a maritime officer to require a person to disembark at a </w:t>
      </w:r>
      <w:r w:rsidR="00B139D0">
        <w:t>place</w:t>
      </w:r>
      <w:r w:rsidR="00B139D0" w:rsidRPr="00B139D0">
        <w:t xml:space="preserve"> outside Australia unless the officer is satisfied, on reasonable grounds, that it is safe for the person to be in that </w:t>
      </w:r>
      <w:r w:rsidR="00461F0C" w:rsidRPr="001325CD">
        <w:t>place.</w:t>
      </w:r>
      <w:r w:rsidR="00177D4D">
        <w:rPr>
          <w:rStyle w:val="EndnoteReference"/>
        </w:rPr>
        <w:endnoteReference w:id="41"/>
      </w:r>
    </w:p>
    <w:p w14:paraId="0004B0A0" w14:textId="5F3513D4" w:rsidR="00366A1B" w:rsidRPr="00316B7F" w:rsidRDefault="000D255B" w:rsidP="00E7669B">
      <w:pPr>
        <w:pStyle w:val="ListParagraph"/>
        <w:numPr>
          <w:ilvl w:val="0"/>
          <w:numId w:val="35"/>
        </w:numPr>
        <w:jc w:val="both"/>
        <w:rPr>
          <w:rStyle w:val="normaltextrun"/>
        </w:rPr>
      </w:pPr>
      <w:r w:rsidRPr="007E17F1">
        <w:rPr>
          <w:rStyle w:val="normaltextrun"/>
          <w:rFonts w:cs="Open Sans"/>
          <w:shd w:val="clear" w:color="auto" w:fill="FFFFFF"/>
        </w:rPr>
        <w:t xml:space="preserve">Asylum seekers travelling by boat who do manage to arrive and are not </w:t>
      </w:r>
      <w:r w:rsidR="0032206E" w:rsidRPr="007E17F1">
        <w:rPr>
          <w:rStyle w:val="normaltextrun"/>
          <w:rFonts w:cs="Open Sans"/>
          <w:shd w:val="clear" w:color="auto" w:fill="FFFFFF"/>
        </w:rPr>
        <w:t>transferred</w:t>
      </w:r>
      <w:r w:rsidRPr="007E17F1">
        <w:rPr>
          <w:rStyle w:val="normaltextrun"/>
          <w:rFonts w:cs="Open Sans"/>
          <w:shd w:val="clear" w:color="auto" w:fill="FFFFFF"/>
        </w:rPr>
        <w:t xml:space="preserve"> </w:t>
      </w:r>
      <w:r w:rsidR="007E17F1">
        <w:rPr>
          <w:rStyle w:val="normaltextrun"/>
          <w:rFonts w:cs="Open Sans"/>
          <w:shd w:val="clear" w:color="auto" w:fill="FFFFFF"/>
        </w:rPr>
        <w:t>to a third country for</w:t>
      </w:r>
      <w:r w:rsidRPr="007E17F1">
        <w:rPr>
          <w:rStyle w:val="normaltextrun"/>
          <w:rFonts w:cs="Open Sans"/>
          <w:shd w:val="clear" w:color="auto" w:fill="FFFFFF"/>
        </w:rPr>
        <w:t xml:space="preserve"> offshore processing</w:t>
      </w:r>
      <w:r w:rsidR="00316B7F">
        <w:rPr>
          <w:rStyle w:val="normaltextrun"/>
          <w:rFonts w:cs="Open Sans"/>
          <w:shd w:val="clear" w:color="auto" w:fill="FFFFFF"/>
        </w:rPr>
        <w:t xml:space="preserve"> are</w:t>
      </w:r>
      <w:r w:rsidRPr="007E17F1">
        <w:rPr>
          <w:rStyle w:val="normaltextrun"/>
          <w:rFonts w:cs="Open Sans"/>
          <w:shd w:val="clear" w:color="auto" w:fill="FFFFFF"/>
        </w:rPr>
        <w:t xml:space="preserve"> </w:t>
      </w:r>
      <w:r w:rsidR="00316B7F" w:rsidRPr="00316B7F">
        <w:t>only eligible to apply for temporary protection</w:t>
      </w:r>
      <w:r w:rsidR="002542C1" w:rsidRPr="007E17F1">
        <w:rPr>
          <w:rStyle w:val="normaltextrun"/>
          <w:rFonts w:cs="Open Sans"/>
        </w:rPr>
        <w:t>.</w:t>
      </w:r>
      <w:r w:rsidR="002542C1" w:rsidRPr="007E17F1">
        <w:rPr>
          <w:rStyle w:val="EndnoteReference"/>
          <w:rFonts w:cs="Open Sans"/>
          <w:shd w:val="clear" w:color="auto" w:fill="FFFFFF"/>
        </w:rPr>
        <w:endnoteReference w:id="42"/>
      </w:r>
      <w:r w:rsidR="002542C1" w:rsidRPr="007E17F1">
        <w:rPr>
          <w:rStyle w:val="normaltextrun"/>
          <w:rFonts w:cs="Open Sans"/>
        </w:rPr>
        <w:t xml:space="preserve"> However, a statutory bar </w:t>
      </w:r>
      <w:r w:rsidR="008D095E" w:rsidRPr="007E17F1">
        <w:rPr>
          <w:rStyle w:val="normaltextrun"/>
          <w:rFonts w:cs="Open Sans"/>
        </w:rPr>
        <w:t>prevents</w:t>
      </w:r>
      <w:r w:rsidR="002542C1" w:rsidRPr="007E17F1">
        <w:rPr>
          <w:rStyle w:val="normaltextrun"/>
          <w:rFonts w:cs="Open Sans"/>
        </w:rPr>
        <w:t xml:space="preserve"> </w:t>
      </w:r>
      <w:r w:rsidR="00316B7F">
        <w:rPr>
          <w:rStyle w:val="normaltextrun"/>
          <w:rFonts w:cs="Open Sans"/>
        </w:rPr>
        <w:t>them</w:t>
      </w:r>
      <w:r w:rsidR="0032206E" w:rsidRPr="007E17F1">
        <w:rPr>
          <w:rStyle w:val="normaltextrun"/>
          <w:rFonts w:cs="Open Sans"/>
        </w:rPr>
        <w:t xml:space="preserve"> </w:t>
      </w:r>
      <w:r w:rsidR="002542C1" w:rsidRPr="007E17F1">
        <w:rPr>
          <w:rStyle w:val="normaltextrun"/>
          <w:rFonts w:cs="Open Sans"/>
        </w:rPr>
        <w:t xml:space="preserve">from </w:t>
      </w:r>
      <w:r w:rsidR="00316B7F" w:rsidRPr="00316B7F">
        <w:t>lodging such an application unless the Minister for Home Affairs personally lifts the bar</w:t>
      </w:r>
      <w:r w:rsidR="002542C1" w:rsidRPr="007E17F1">
        <w:rPr>
          <w:rStyle w:val="normaltextrun"/>
          <w:rFonts w:cs="Open Sans"/>
          <w:shd w:val="clear" w:color="auto" w:fill="FFFFFF"/>
        </w:rPr>
        <w:t>.</w:t>
      </w:r>
      <w:r w:rsidR="002542C1" w:rsidRPr="007E17F1">
        <w:rPr>
          <w:rStyle w:val="EndnoteReference"/>
          <w:rFonts w:cs="Open Sans"/>
          <w:shd w:val="clear" w:color="auto" w:fill="FFFFFF"/>
        </w:rPr>
        <w:endnoteReference w:id="43"/>
      </w:r>
      <w:r w:rsidR="002542C1" w:rsidRPr="007E17F1">
        <w:rPr>
          <w:rStyle w:val="normaltextrun"/>
          <w:rFonts w:cs="Open Sans"/>
          <w:shd w:val="clear" w:color="auto" w:fill="FFFFFF"/>
        </w:rPr>
        <w:t xml:space="preserve"> </w:t>
      </w:r>
    </w:p>
    <w:p w14:paraId="0D4515A6" w14:textId="5A092B41" w:rsidR="001B2456" w:rsidRDefault="006A799D" w:rsidP="00E7669B">
      <w:pPr>
        <w:pStyle w:val="Heading1"/>
        <w:jc w:val="both"/>
      </w:pPr>
      <w:bookmarkStart w:id="10" w:name="_Toc202950865"/>
      <w:r>
        <w:t>Not a ‘Model’ to Follow</w:t>
      </w:r>
      <w:bookmarkEnd w:id="10"/>
    </w:p>
    <w:p w14:paraId="233C6E22" w14:textId="4B95E043" w:rsidR="00DC1EED" w:rsidRPr="00DC1EED" w:rsidRDefault="00711EA6" w:rsidP="00E7669B">
      <w:pPr>
        <w:pStyle w:val="ListParagraph"/>
        <w:numPr>
          <w:ilvl w:val="0"/>
          <w:numId w:val="35"/>
        </w:numPr>
        <w:jc w:val="both"/>
        <w:rPr>
          <w:rStyle w:val="normaltextrun"/>
          <w:rFonts w:cs="Open Sans"/>
          <w:shd w:val="clear" w:color="auto" w:fill="FFFFFF"/>
        </w:rPr>
      </w:pPr>
      <w:r w:rsidRPr="00711EA6">
        <w:rPr>
          <w:rStyle w:val="normaltextrun"/>
          <w:rFonts w:cs="Open Sans"/>
          <w:shd w:val="clear" w:color="auto" w:fill="FFFFFF"/>
        </w:rPr>
        <w:t>Australia has provided safety and a new life in peace and freedom for</w:t>
      </w:r>
      <w:r w:rsidR="00851056">
        <w:rPr>
          <w:rStyle w:val="normaltextrun"/>
          <w:rFonts w:cs="Open Sans"/>
          <w:shd w:val="clear" w:color="auto" w:fill="FFFFFF"/>
        </w:rPr>
        <w:t xml:space="preserve"> more than 950,000 refugees and others in humanitarian need since the end of World War II</w:t>
      </w:r>
      <w:r w:rsidRPr="00711EA6">
        <w:rPr>
          <w:rStyle w:val="normaltextrun"/>
          <w:rFonts w:cs="Open Sans"/>
          <w:shd w:val="clear" w:color="auto" w:fill="FFFFFF"/>
        </w:rPr>
        <w:t>.</w:t>
      </w:r>
      <w:r w:rsidR="00851056">
        <w:rPr>
          <w:rStyle w:val="EndnoteReference"/>
          <w:rFonts w:cs="Open Sans"/>
          <w:shd w:val="clear" w:color="auto" w:fill="FFFFFF"/>
        </w:rPr>
        <w:endnoteReference w:id="44"/>
      </w:r>
      <w:r w:rsidRPr="00711EA6">
        <w:rPr>
          <w:rStyle w:val="normaltextrun"/>
          <w:rFonts w:cs="Open Sans"/>
          <w:shd w:val="clear" w:color="auto" w:fill="FFFFFF"/>
        </w:rPr>
        <w:t xml:space="preserve"> </w:t>
      </w:r>
      <w:r w:rsidR="00DC1EED">
        <w:rPr>
          <w:rStyle w:val="normaltextrun"/>
          <w:rFonts w:cs="Open Sans"/>
          <w:shd w:val="clear" w:color="auto" w:fill="FFFFFF"/>
        </w:rPr>
        <w:t>However,</w:t>
      </w:r>
      <w:r w:rsidR="00032C65">
        <w:rPr>
          <w:rStyle w:val="normaltextrun"/>
          <w:rFonts w:cs="Open Sans"/>
          <w:shd w:val="clear" w:color="auto" w:fill="FFFFFF"/>
        </w:rPr>
        <w:t xml:space="preserve"> </w:t>
      </w:r>
      <w:r w:rsidR="00DC1EED">
        <w:rPr>
          <w:rStyle w:val="normaltextrun"/>
          <w:rFonts w:cs="Open Sans"/>
          <w:shd w:val="clear" w:color="auto" w:fill="FFFFFF"/>
        </w:rPr>
        <w:t>externali</w:t>
      </w:r>
      <w:r w:rsidR="009F3B66">
        <w:rPr>
          <w:rStyle w:val="normaltextrun"/>
          <w:rFonts w:cs="Open Sans"/>
          <w:shd w:val="clear" w:color="auto" w:fill="FFFFFF"/>
        </w:rPr>
        <w:t>s</w:t>
      </w:r>
      <w:r w:rsidR="00DC1EED">
        <w:rPr>
          <w:rStyle w:val="normaltextrun"/>
          <w:rFonts w:cs="Open Sans"/>
          <w:shd w:val="clear" w:color="auto" w:fill="FFFFFF"/>
        </w:rPr>
        <w:t xml:space="preserve">ation policies </w:t>
      </w:r>
      <w:r w:rsidR="00610F50" w:rsidRPr="00610F50">
        <w:rPr>
          <w:rStyle w:val="normaltextrun"/>
          <w:rFonts w:cs="Open Sans"/>
          <w:shd w:val="clear" w:color="auto" w:fill="FFFFFF"/>
        </w:rPr>
        <w:t xml:space="preserve">implemented </w:t>
      </w:r>
      <w:r w:rsidR="00DC1EED">
        <w:rPr>
          <w:rStyle w:val="normaltextrun"/>
          <w:rFonts w:cs="Open Sans"/>
          <w:shd w:val="clear" w:color="auto" w:fill="FFFFFF"/>
        </w:rPr>
        <w:t xml:space="preserve">by </w:t>
      </w:r>
      <w:r w:rsidR="00DC1EED" w:rsidRPr="00711EA6">
        <w:rPr>
          <w:rStyle w:val="normaltextrun"/>
          <w:rFonts w:cs="Open Sans"/>
          <w:shd w:val="clear" w:color="auto" w:fill="FFFFFF"/>
        </w:rPr>
        <w:t xml:space="preserve">successive Australian </w:t>
      </w:r>
      <w:r w:rsidR="00DC1EED">
        <w:rPr>
          <w:rStyle w:val="normaltextrun"/>
          <w:rFonts w:cs="Open Sans"/>
          <w:shd w:val="clear" w:color="auto" w:fill="FFFFFF"/>
        </w:rPr>
        <w:t>G</w:t>
      </w:r>
      <w:r w:rsidR="00DC1EED" w:rsidRPr="00711EA6">
        <w:rPr>
          <w:rStyle w:val="normaltextrun"/>
          <w:rFonts w:cs="Open Sans"/>
          <w:shd w:val="clear" w:color="auto" w:fill="FFFFFF"/>
        </w:rPr>
        <w:t xml:space="preserve">overnments </w:t>
      </w:r>
      <w:r w:rsidR="00DC1EED">
        <w:rPr>
          <w:rStyle w:val="normaltextrun"/>
          <w:rFonts w:cs="Open Sans"/>
          <w:shd w:val="clear" w:color="auto" w:fill="FFFFFF"/>
        </w:rPr>
        <w:t xml:space="preserve">have </w:t>
      </w:r>
      <w:r w:rsidR="00610F50">
        <w:rPr>
          <w:rStyle w:val="normaltextrun"/>
          <w:rFonts w:cs="Open Sans"/>
          <w:shd w:val="clear" w:color="auto" w:fill="FFFFFF"/>
        </w:rPr>
        <w:t>caused</w:t>
      </w:r>
      <w:r w:rsidR="00DC1EED">
        <w:rPr>
          <w:rStyle w:val="normaltextrun"/>
          <w:rFonts w:cs="Open Sans"/>
          <w:shd w:val="clear" w:color="auto" w:fill="FFFFFF"/>
        </w:rPr>
        <w:t xml:space="preserve"> </w:t>
      </w:r>
      <w:r w:rsidR="008B7DF9">
        <w:rPr>
          <w:rStyle w:val="normaltextrun"/>
          <w:rFonts w:cs="Open Sans"/>
          <w:shd w:val="clear" w:color="auto" w:fill="FFFFFF"/>
        </w:rPr>
        <w:t>significant</w:t>
      </w:r>
      <w:r w:rsidR="00DC1EED">
        <w:rPr>
          <w:rStyle w:val="normaltextrun"/>
          <w:rFonts w:cs="Open Sans"/>
          <w:shd w:val="clear" w:color="auto" w:fill="FFFFFF"/>
        </w:rPr>
        <w:t xml:space="preserve"> harm </w:t>
      </w:r>
      <w:r w:rsidR="00610F50">
        <w:rPr>
          <w:rStyle w:val="normaltextrun"/>
          <w:rFonts w:cs="Open Sans"/>
          <w:shd w:val="clear" w:color="auto" w:fill="FFFFFF"/>
        </w:rPr>
        <w:t>to</w:t>
      </w:r>
      <w:r w:rsidR="00DC1EED">
        <w:rPr>
          <w:rStyle w:val="normaltextrun"/>
          <w:rFonts w:cs="Open Sans"/>
          <w:shd w:val="clear" w:color="auto" w:fill="FFFFFF"/>
        </w:rPr>
        <w:t xml:space="preserve"> people seeking asylum by boat.</w:t>
      </w:r>
    </w:p>
    <w:p w14:paraId="2B88031F" w14:textId="4FC93737" w:rsidR="00FD0EF3" w:rsidRPr="00912C04" w:rsidRDefault="00610F50" w:rsidP="00E7669B">
      <w:pPr>
        <w:pStyle w:val="ListParagraph"/>
        <w:numPr>
          <w:ilvl w:val="0"/>
          <w:numId w:val="35"/>
        </w:numPr>
        <w:jc w:val="both"/>
        <w:rPr>
          <w:rStyle w:val="normaltextrun"/>
          <w:rFonts w:cs="Open Sans"/>
          <w:shd w:val="clear" w:color="auto" w:fill="FFFFFF"/>
        </w:rPr>
      </w:pPr>
      <w:r w:rsidRPr="00567ECD">
        <w:rPr>
          <w:rStyle w:val="normaltextrun"/>
          <w:rFonts w:cs="Open Sans"/>
          <w:shd w:val="clear" w:color="auto" w:fill="FFFFFF"/>
        </w:rPr>
        <w:t>Other countries have sought to copy aspects of Australia’s harmful policies.</w:t>
      </w:r>
      <w:r w:rsidR="00A90E67">
        <w:rPr>
          <w:rStyle w:val="EndnoteReference"/>
          <w:rFonts w:cs="Open Sans"/>
          <w:shd w:val="clear" w:color="auto" w:fill="FFFFFF"/>
        </w:rPr>
        <w:endnoteReference w:id="45"/>
      </w:r>
      <w:r w:rsidRPr="00567ECD">
        <w:rPr>
          <w:rStyle w:val="normaltextrun"/>
          <w:rFonts w:cs="Open Sans"/>
          <w:shd w:val="clear" w:color="auto" w:fill="FFFFFF"/>
        </w:rPr>
        <w:t xml:space="preserve"> </w:t>
      </w:r>
      <w:r w:rsidR="00567ECD" w:rsidRPr="00567ECD">
        <w:rPr>
          <w:rStyle w:val="normaltextrun"/>
          <w:rFonts w:cs="Open Sans"/>
          <w:shd w:val="clear" w:color="auto" w:fill="FFFFFF"/>
        </w:rPr>
        <w:t>Instead of</w:t>
      </w:r>
      <w:r w:rsidRPr="00567ECD">
        <w:rPr>
          <w:rStyle w:val="normaltextrun"/>
          <w:rFonts w:cs="Open Sans"/>
          <w:shd w:val="clear" w:color="auto" w:fill="FFFFFF"/>
        </w:rPr>
        <w:t xml:space="preserve"> </w:t>
      </w:r>
      <w:r w:rsidR="00567ECD" w:rsidRPr="00567ECD">
        <w:rPr>
          <w:rStyle w:val="normaltextrun"/>
          <w:rFonts w:cs="Open Sans"/>
          <w:shd w:val="clear" w:color="auto" w:fill="FFFFFF"/>
        </w:rPr>
        <w:t>fuelling</w:t>
      </w:r>
      <w:r w:rsidRPr="00567ECD">
        <w:rPr>
          <w:rStyle w:val="normaltextrun"/>
          <w:rFonts w:cs="Open Sans"/>
          <w:shd w:val="clear" w:color="auto" w:fill="FFFFFF"/>
        </w:rPr>
        <w:t xml:space="preserve"> a race to the bottom</w:t>
      </w:r>
      <w:r w:rsidR="00FD0EF3">
        <w:rPr>
          <w:rStyle w:val="normaltextrun"/>
          <w:rFonts w:cs="Open Sans"/>
          <w:shd w:val="clear" w:color="auto" w:fill="FFFFFF"/>
        </w:rPr>
        <w:t xml:space="preserve"> and contributing to the erosion of international protection norms, </w:t>
      </w:r>
      <w:r w:rsidRPr="00FD0EF3">
        <w:rPr>
          <w:rStyle w:val="normaltextrun"/>
          <w:rFonts w:cs="Open Sans"/>
          <w:shd w:val="clear" w:color="auto" w:fill="FFFFFF"/>
        </w:rPr>
        <w:t>Australia should lead by example</w:t>
      </w:r>
      <w:r w:rsidR="00757C89">
        <w:rPr>
          <w:rStyle w:val="normaltextrun"/>
          <w:rFonts w:cs="Open Sans"/>
          <w:shd w:val="clear" w:color="auto" w:fill="FFFFFF"/>
        </w:rPr>
        <w:t xml:space="preserve"> – </w:t>
      </w:r>
      <w:r w:rsidRPr="00FD0EF3">
        <w:rPr>
          <w:rStyle w:val="normaltextrun"/>
          <w:rFonts w:cs="Open Sans"/>
          <w:shd w:val="clear" w:color="auto" w:fill="FFFFFF"/>
        </w:rPr>
        <w:t xml:space="preserve">protecting </w:t>
      </w:r>
      <w:r w:rsidR="00567ECD" w:rsidRPr="00FD0EF3">
        <w:rPr>
          <w:rStyle w:val="normaltextrun"/>
          <w:rFonts w:cs="Open Sans"/>
          <w:shd w:val="clear" w:color="auto" w:fill="FFFFFF"/>
        </w:rPr>
        <w:t>people</w:t>
      </w:r>
      <w:r w:rsidRPr="00FD0EF3">
        <w:rPr>
          <w:rStyle w:val="normaltextrun"/>
          <w:rFonts w:cs="Open Sans"/>
          <w:shd w:val="clear" w:color="auto" w:fill="FFFFFF"/>
        </w:rPr>
        <w:t xml:space="preserve"> fleeing violence and persecution</w:t>
      </w:r>
      <w:r w:rsidR="00840881">
        <w:rPr>
          <w:rStyle w:val="normaltextrun"/>
          <w:rFonts w:cs="Open Sans"/>
          <w:shd w:val="clear" w:color="auto" w:fill="FFFFFF"/>
        </w:rPr>
        <w:t>, upholding our obligations under international law</w:t>
      </w:r>
      <w:r w:rsidRPr="00FD0EF3">
        <w:rPr>
          <w:rStyle w:val="normaltextrun"/>
          <w:rFonts w:cs="Open Sans"/>
          <w:shd w:val="clear" w:color="auto" w:fill="FFFFFF"/>
        </w:rPr>
        <w:t xml:space="preserve"> and encouraging </w:t>
      </w:r>
      <w:r w:rsidR="00567ECD" w:rsidRPr="00FD0EF3">
        <w:rPr>
          <w:rStyle w:val="normaltextrun"/>
          <w:rFonts w:cs="Open Sans"/>
          <w:shd w:val="clear" w:color="auto" w:fill="FFFFFF"/>
        </w:rPr>
        <w:t xml:space="preserve">other countries to follow suit. </w:t>
      </w:r>
    </w:p>
    <w:p w14:paraId="5B9EBE43" w14:textId="1EFDE4F4" w:rsidR="00D03307" w:rsidRDefault="00D03307" w:rsidP="00E7669B">
      <w:pPr>
        <w:pStyle w:val="Heading1"/>
        <w:jc w:val="both"/>
      </w:pPr>
      <w:bookmarkStart w:id="11" w:name="_Toc202950866"/>
      <w:r>
        <w:t>Recommendations</w:t>
      </w:r>
      <w:bookmarkEnd w:id="11"/>
    </w:p>
    <w:p w14:paraId="6897F376" w14:textId="3FBF6B98" w:rsidR="00B43A5F" w:rsidRDefault="003423F4" w:rsidP="00E7669B">
      <w:pPr>
        <w:pStyle w:val="ListParagraph"/>
        <w:spacing w:before="0" w:after="0"/>
        <w:jc w:val="both"/>
      </w:pPr>
      <w:r>
        <w:t xml:space="preserve">The </w:t>
      </w:r>
      <w:r w:rsidR="00213097">
        <w:t>C</w:t>
      </w:r>
      <w:r>
        <w:t>ommission recommends</w:t>
      </w:r>
      <w:r w:rsidR="00B43A5F">
        <w:t xml:space="preserve"> that </w:t>
      </w:r>
      <w:r w:rsidR="002C043D">
        <w:t xml:space="preserve">the Special Rapporteur </w:t>
      </w:r>
      <w:r w:rsidR="00B43A5F">
        <w:t xml:space="preserve">include the following recommendations and findings in </w:t>
      </w:r>
      <w:r w:rsidR="002C043D">
        <w:t xml:space="preserve">his </w:t>
      </w:r>
      <w:r w:rsidR="005E30E3">
        <w:t xml:space="preserve">forthcoming </w:t>
      </w:r>
      <w:r w:rsidR="002C043D">
        <w:t>repor</w:t>
      </w:r>
      <w:r w:rsidR="006112A0">
        <w:t>t</w:t>
      </w:r>
      <w:r w:rsidR="00B43A5F">
        <w:t>:</w:t>
      </w:r>
    </w:p>
    <w:p w14:paraId="4D44BDA2" w14:textId="77777777" w:rsidR="006C6D4A" w:rsidRPr="00D674F2" w:rsidRDefault="006C6D4A" w:rsidP="00E7669B">
      <w:pPr>
        <w:pStyle w:val="ListParagraph"/>
        <w:spacing w:before="0" w:after="0"/>
        <w:jc w:val="both"/>
        <w:rPr>
          <w:rFonts w:cs="Open Sans"/>
        </w:rPr>
      </w:pPr>
    </w:p>
    <w:p w14:paraId="3EBB99FF" w14:textId="0B9BBFB9" w:rsidR="00DC11B5" w:rsidRPr="00DC11B5" w:rsidRDefault="00DC11B5" w:rsidP="00906003">
      <w:pPr>
        <w:pStyle w:val="SubmissionNormal"/>
        <w:keepLines/>
        <w:numPr>
          <w:ilvl w:val="0"/>
          <w:numId w:val="0"/>
        </w:numPr>
        <w:spacing w:before="0" w:after="0"/>
        <w:ind w:firstLine="709"/>
        <w:jc w:val="both"/>
        <w:rPr>
          <w:rFonts w:cs="Open Sans"/>
          <w:b/>
          <w:bCs/>
          <w:shd w:val="clear" w:color="auto" w:fill="FFFFFF"/>
        </w:rPr>
      </w:pPr>
      <w:r w:rsidRPr="00DC11B5">
        <w:rPr>
          <w:rFonts w:cs="Open Sans"/>
          <w:b/>
          <w:bCs/>
          <w:shd w:val="clear" w:color="auto" w:fill="FFFFFF"/>
        </w:rPr>
        <w:t>Recommendation</w:t>
      </w:r>
      <w:r>
        <w:rPr>
          <w:rFonts w:cs="Open Sans"/>
          <w:b/>
          <w:bCs/>
          <w:shd w:val="clear" w:color="auto" w:fill="FFFFFF"/>
        </w:rPr>
        <w:t xml:space="preserve"> 1:</w:t>
      </w:r>
    </w:p>
    <w:p w14:paraId="21D8FD66" w14:textId="755820C1" w:rsidR="007D2875" w:rsidRPr="00452EB7" w:rsidRDefault="0023321F" w:rsidP="00E7669B">
      <w:pPr>
        <w:pStyle w:val="SubmissionNormal"/>
        <w:keepLines/>
        <w:numPr>
          <w:ilvl w:val="0"/>
          <w:numId w:val="0"/>
        </w:numPr>
        <w:spacing w:before="0" w:after="0"/>
        <w:ind w:left="720" w:hanging="10"/>
        <w:jc w:val="both"/>
        <w:rPr>
          <w:rFonts w:cs="Open Sans"/>
        </w:rPr>
      </w:pPr>
      <w:r w:rsidRPr="00452EB7">
        <w:rPr>
          <w:rFonts w:cs="Open Sans"/>
        </w:rPr>
        <w:lastRenderedPageBreak/>
        <w:t xml:space="preserve">States should </w:t>
      </w:r>
      <w:r w:rsidR="006C6D4A" w:rsidRPr="00452EB7">
        <w:rPr>
          <w:rFonts w:cs="Open Sans"/>
        </w:rPr>
        <w:t>shift</w:t>
      </w:r>
      <w:r w:rsidR="00FB392A" w:rsidRPr="00452EB7">
        <w:rPr>
          <w:rFonts w:cs="Open Sans"/>
        </w:rPr>
        <w:t xml:space="preserve"> from externali</w:t>
      </w:r>
      <w:r w:rsidR="004F6D39" w:rsidRPr="536EF551">
        <w:rPr>
          <w:rFonts w:cs="Open Sans"/>
        </w:rPr>
        <w:t>s</w:t>
      </w:r>
      <w:r w:rsidR="00FB392A" w:rsidRPr="00452EB7">
        <w:rPr>
          <w:rFonts w:cs="Open Sans"/>
        </w:rPr>
        <w:t>ation</w:t>
      </w:r>
      <w:r w:rsidR="00DF1376" w:rsidRPr="00452EB7">
        <w:rPr>
          <w:rFonts w:cs="Open Sans"/>
        </w:rPr>
        <w:t xml:space="preserve"> and</w:t>
      </w:r>
      <w:r w:rsidR="00FB392A" w:rsidRPr="00452EB7">
        <w:rPr>
          <w:rFonts w:cs="Open Sans"/>
        </w:rPr>
        <w:t xml:space="preserve"> deterrence-based </w:t>
      </w:r>
      <w:r w:rsidR="006C6D4A" w:rsidRPr="00452EB7">
        <w:rPr>
          <w:rFonts w:cs="Open Sans"/>
        </w:rPr>
        <w:t>policies</w:t>
      </w:r>
      <w:r w:rsidR="002109C3" w:rsidRPr="00452EB7">
        <w:rPr>
          <w:rFonts w:cs="Open Sans"/>
        </w:rPr>
        <w:t xml:space="preserve"> </w:t>
      </w:r>
      <w:r w:rsidR="00FB392A" w:rsidRPr="00452EB7">
        <w:rPr>
          <w:rFonts w:cs="Open Sans"/>
        </w:rPr>
        <w:t>to rights-based asylum and refugee policies</w:t>
      </w:r>
      <w:r w:rsidRPr="00452EB7">
        <w:rPr>
          <w:rFonts w:cs="Open Sans"/>
        </w:rPr>
        <w:t xml:space="preserve"> that uphold</w:t>
      </w:r>
      <w:r w:rsidR="00D14085" w:rsidRPr="00452EB7">
        <w:rPr>
          <w:rFonts w:cs="Open Sans"/>
        </w:rPr>
        <w:t xml:space="preserve"> international law and </w:t>
      </w:r>
      <w:r w:rsidR="00E32604" w:rsidRPr="00452EB7">
        <w:rPr>
          <w:rFonts w:cs="Open Sans"/>
        </w:rPr>
        <w:t>protect the</w:t>
      </w:r>
      <w:r w:rsidR="00DF1376" w:rsidRPr="00452EB7">
        <w:rPr>
          <w:rFonts w:cs="Open Sans"/>
        </w:rPr>
        <w:t xml:space="preserve"> fundamental rights of </w:t>
      </w:r>
      <w:r w:rsidR="00ED0657" w:rsidRPr="00452EB7">
        <w:rPr>
          <w:rFonts w:cs="Open Sans"/>
        </w:rPr>
        <w:t>refugees, asylum seekers and other migrants</w:t>
      </w:r>
      <w:r w:rsidR="00117776" w:rsidRPr="00452EB7">
        <w:rPr>
          <w:rFonts w:cs="Open Sans"/>
        </w:rPr>
        <w:t xml:space="preserve">, </w:t>
      </w:r>
      <w:r w:rsidR="00DF1376" w:rsidRPr="00452EB7">
        <w:rPr>
          <w:rFonts w:cs="Open Sans"/>
        </w:rPr>
        <w:t>regardless</w:t>
      </w:r>
      <w:r w:rsidR="00117776" w:rsidRPr="00452EB7">
        <w:rPr>
          <w:rFonts w:cs="Open Sans"/>
        </w:rPr>
        <w:t xml:space="preserve"> of </w:t>
      </w:r>
      <w:r w:rsidR="00E32604" w:rsidRPr="00452EB7">
        <w:rPr>
          <w:rFonts w:cs="Open Sans"/>
        </w:rPr>
        <w:t xml:space="preserve">their </w:t>
      </w:r>
      <w:r w:rsidR="002109C3" w:rsidRPr="00452EB7">
        <w:rPr>
          <w:rFonts w:cs="Open Sans"/>
        </w:rPr>
        <w:t xml:space="preserve">mode of arrival or </w:t>
      </w:r>
      <w:r w:rsidR="00DF1376" w:rsidRPr="00452EB7">
        <w:rPr>
          <w:rFonts w:cs="Open Sans"/>
        </w:rPr>
        <w:t xml:space="preserve">migration </w:t>
      </w:r>
      <w:r w:rsidR="002109C3" w:rsidRPr="00452EB7">
        <w:rPr>
          <w:rFonts w:cs="Open Sans"/>
        </w:rPr>
        <w:t>status.</w:t>
      </w:r>
      <w:r w:rsidR="007D2875" w:rsidRPr="00452EB7">
        <w:rPr>
          <w:rFonts w:cs="Open Sans"/>
        </w:rPr>
        <w:t xml:space="preserve"> This includes expanding access to resettlement and complementary pathways.</w:t>
      </w:r>
    </w:p>
    <w:p w14:paraId="33C73007" w14:textId="77777777" w:rsidR="001261DA" w:rsidRDefault="001261DA" w:rsidP="00E7669B">
      <w:pPr>
        <w:pStyle w:val="SubmissionNormal"/>
        <w:keepLines/>
        <w:numPr>
          <w:ilvl w:val="0"/>
          <w:numId w:val="0"/>
        </w:numPr>
        <w:spacing w:before="0" w:after="0"/>
        <w:ind w:left="720" w:hanging="10"/>
        <w:jc w:val="both"/>
        <w:rPr>
          <w:rFonts w:cs="Open Sans"/>
          <w:b/>
          <w:bCs/>
          <w:shd w:val="clear" w:color="auto" w:fill="FFFFFF"/>
        </w:rPr>
      </w:pPr>
    </w:p>
    <w:p w14:paraId="17102B27" w14:textId="55F62867" w:rsidR="00DC11B5" w:rsidRPr="00DC11B5" w:rsidRDefault="00DC11B5" w:rsidP="00906003">
      <w:pPr>
        <w:pStyle w:val="SubmissionNormal"/>
        <w:keepLines/>
        <w:numPr>
          <w:ilvl w:val="0"/>
          <w:numId w:val="0"/>
        </w:numPr>
        <w:spacing w:before="0" w:after="0"/>
        <w:ind w:left="720" w:hanging="11"/>
        <w:jc w:val="both"/>
        <w:rPr>
          <w:rFonts w:cs="Open Sans"/>
          <w:b/>
          <w:bCs/>
          <w:shd w:val="clear" w:color="auto" w:fill="FFFFFF"/>
        </w:rPr>
      </w:pPr>
      <w:r w:rsidRPr="00DC11B5">
        <w:rPr>
          <w:rFonts w:cs="Open Sans"/>
          <w:b/>
          <w:bCs/>
          <w:shd w:val="clear" w:color="auto" w:fill="FFFFFF"/>
        </w:rPr>
        <w:t>Recommendation 2:</w:t>
      </w:r>
    </w:p>
    <w:p w14:paraId="701F1840" w14:textId="310AD45B" w:rsidR="006112A0" w:rsidRDefault="006112A0" w:rsidP="00906003">
      <w:pPr>
        <w:pStyle w:val="SubmissionNormal"/>
        <w:keepLines/>
        <w:numPr>
          <w:ilvl w:val="0"/>
          <w:numId w:val="0"/>
        </w:numPr>
        <w:spacing w:before="0" w:after="0"/>
        <w:ind w:left="709"/>
        <w:jc w:val="both"/>
        <w:rPr>
          <w:rFonts w:cs="Open Sans"/>
          <w:shd w:val="clear" w:color="auto" w:fill="FFFFFF"/>
        </w:rPr>
      </w:pPr>
      <w:r w:rsidRPr="00452EB7">
        <w:rPr>
          <w:rFonts w:cs="Open Sans"/>
          <w:shd w:val="clear" w:color="auto" w:fill="FFFFFF"/>
        </w:rPr>
        <w:t xml:space="preserve">States should </w:t>
      </w:r>
      <w:r w:rsidR="004E35E6" w:rsidRPr="00452EB7">
        <w:rPr>
          <w:rFonts w:cs="Open Sans"/>
          <w:shd w:val="clear" w:color="auto" w:fill="FFFFFF"/>
        </w:rPr>
        <w:t>end</w:t>
      </w:r>
      <w:r w:rsidR="002109C3" w:rsidRPr="00452EB7">
        <w:rPr>
          <w:rFonts w:cs="Open Sans"/>
          <w:shd w:val="clear" w:color="auto" w:fill="FFFFFF"/>
        </w:rPr>
        <w:t xml:space="preserve"> offshore processing</w:t>
      </w:r>
      <w:r w:rsidR="00BF08F2" w:rsidRPr="00452EB7">
        <w:rPr>
          <w:rFonts w:cs="Open Sans"/>
          <w:shd w:val="clear" w:color="auto" w:fill="FFFFFF"/>
        </w:rPr>
        <w:t xml:space="preserve"> arrangements</w:t>
      </w:r>
      <w:r w:rsidR="00AD6830" w:rsidRPr="00452EB7">
        <w:rPr>
          <w:rFonts w:cs="Open Sans"/>
        </w:rPr>
        <w:t>.</w:t>
      </w:r>
      <w:r w:rsidR="002571CE" w:rsidRPr="00452EB7">
        <w:rPr>
          <w:rFonts w:cs="Open Sans"/>
        </w:rPr>
        <w:t xml:space="preserve"> </w:t>
      </w:r>
      <w:r w:rsidR="00AF3537" w:rsidRPr="00452EB7">
        <w:rPr>
          <w:rFonts w:cs="Open Sans"/>
        </w:rPr>
        <w:t xml:space="preserve">Asylum seekers </w:t>
      </w:r>
      <w:r w:rsidR="00AD6830" w:rsidRPr="00452EB7">
        <w:rPr>
          <w:rFonts w:cs="Open Sans"/>
        </w:rPr>
        <w:t xml:space="preserve">should </w:t>
      </w:r>
      <w:r w:rsidR="00AF3537" w:rsidRPr="00452EB7">
        <w:rPr>
          <w:rFonts w:cs="Open Sans"/>
        </w:rPr>
        <w:t>have</w:t>
      </w:r>
      <w:r w:rsidR="00AD6830" w:rsidRPr="00452EB7">
        <w:rPr>
          <w:rFonts w:cs="Open Sans"/>
        </w:rPr>
        <w:t xml:space="preserve"> access to fair and efficient asylum procedures on </w:t>
      </w:r>
      <w:r w:rsidR="002571CE" w:rsidRPr="00452EB7">
        <w:rPr>
          <w:rFonts w:cs="Open Sans"/>
        </w:rPr>
        <w:t>State</w:t>
      </w:r>
      <w:r w:rsidR="00AD6830" w:rsidRPr="00452EB7">
        <w:rPr>
          <w:rFonts w:cs="Open Sans"/>
        </w:rPr>
        <w:t xml:space="preserve"> territory. </w:t>
      </w:r>
      <w:r w:rsidR="0044795B" w:rsidRPr="00452EB7">
        <w:rPr>
          <w:rFonts w:cs="Open Sans"/>
        </w:rPr>
        <w:t xml:space="preserve">Where offshore processing </w:t>
      </w:r>
      <w:r w:rsidR="004E35E6" w:rsidRPr="00452EB7">
        <w:rPr>
          <w:rFonts w:cs="Open Sans"/>
        </w:rPr>
        <w:t>persists</w:t>
      </w:r>
      <w:r w:rsidR="002571CE" w:rsidRPr="00452EB7">
        <w:rPr>
          <w:rFonts w:cs="Open Sans"/>
        </w:rPr>
        <w:t>,</w:t>
      </w:r>
      <w:r w:rsidR="002571CE" w:rsidRPr="00452EB7">
        <w:rPr>
          <w:rFonts w:cs="Open Sans"/>
          <w:shd w:val="clear" w:color="auto" w:fill="FFFFFF"/>
        </w:rPr>
        <w:t xml:space="preserve"> States must</w:t>
      </w:r>
      <w:r w:rsidR="002E7CEF" w:rsidRPr="00452EB7">
        <w:rPr>
          <w:rFonts w:cs="Open Sans"/>
          <w:shd w:val="clear" w:color="auto" w:fill="FFFFFF"/>
        </w:rPr>
        <w:t xml:space="preserve"> ensure</w:t>
      </w:r>
      <w:r w:rsidR="00CB6780" w:rsidRPr="00452EB7">
        <w:rPr>
          <w:rFonts w:cs="Open Sans"/>
          <w:shd w:val="clear" w:color="auto" w:fill="FFFFFF"/>
        </w:rPr>
        <w:t xml:space="preserve"> </w:t>
      </w:r>
      <w:r w:rsidR="000F33E1" w:rsidRPr="00452EB7">
        <w:rPr>
          <w:rFonts w:cs="Open Sans"/>
          <w:shd w:val="clear" w:color="auto" w:fill="FFFFFF"/>
        </w:rPr>
        <w:t>adequate</w:t>
      </w:r>
      <w:r w:rsidR="002E7CEF" w:rsidRPr="00452EB7">
        <w:rPr>
          <w:rFonts w:cs="Open Sans"/>
          <w:shd w:val="clear" w:color="auto" w:fill="FFFFFF"/>
        </w:rPr>
        <w:t xml:space="preserve"> safeguards</w:t>
      </w:r>
      <w:r w:rsidR="00FA086F" w:rsidRPr="00452EB7">
        <w:rPr>
          <w:rFonts w:cs="Open Sans"/>
          <w:shd w:val="clear" w:color="auto" w:fill="FFFFFF"/>
        </w:rPr>
        <w:t xml:space="preserve">, </w:t>
      </w:r>
      <w:r w:rsidR="0044795B" w:rsidRPr="00452EB7">
        <w:rPr>
          <w:rFonts w:cs="Open Sans"/>
          <w:shd w:val="clear" w:color="auto" w:fill="FFFFFF"/>
        </w:rPr>
        <w:t xml:space="preserve">compliance with </w:t>
      </w:r>
      <w:r w:rsidR="007A4F0A" w:rsidRPr="00452EB7">
        <w:rPr>
          <w:rFonts w:cs="Open Sans"/>
          <w:shd w:val="clear" w:color="auto" w:fill="FFFFFF"/>
        </w:rPr>
        <w:t>international human rights standards</w:t>
      </w:r>
      <w:r w:rsidR="00FA086F" w:rsidRPr="00452EB7">
        <w:rPr>
          <w:rFonts w:cs="Open Sans"/>
          <w:shd w:val="clear" w:color="auto" w:fill="FFFFFF"/>
        </w:rPr>
        <w:t>,</w:t>
      </w:r>
      <w:r w:rsidR="00BF08F2" w:rsidRPr="00452EB7">
        <w:rPr>
          <w:rFonts w:cs="Open Sans"/>
          <w:shd w:val="clear" w:color="auto" w:fill="FFFFFF"/>
        </w:rPr>
        <w:t xml:space="preserve"> and independent monitoring and oversight</w:t>
      </w:r>
      <w:r w:rsidR="003D36DB" w:rsidRPr="00452EB7">
        <w:rPr>
          <w:rFonts w:cs="Open Sans"/>
          <w:shd w:val="clear" w:color="auto" w:fill="FFFFFF"/>
        </w:rPr>
        <w:t>.</w:t>
      </w:r>
    </w:p>
    <w:p w14:paraId="313E86C7" w14:textId="77777777" w:rsidR="00452EB7" w:rsidRPr="00452EB7" w:rsidRDefault="00452EB7" w:rsidP="00906003">
      <w:pPr>
        <w:pStyle w:val="SubmissionNormal"/>
        <w:keepLines/>
        <w:numPr>
          <w:ilvl w:val="0"/>
          <w:numId w:val="0"/>
        </w:numPr>
        <w:spacing w:before="0" w:after="0"/>
        <w:ind w:left="709"/>
        <w:jc w:val="both"/>
        <w:rPr>
          <w:rFonts w:cs="Open Sans"/>
          <w:shd w:val="clear" w:color="auto" w:fill="FFFFFF"/>
        </w:rPr>
      </w:pPr>
    </w:p>
    <w:p w14:paraId="1E38EE8D" w14:textId="77777777" w:rsidR="004A6871" w:rsidRDefault="00DC11B5" w:rsidP="00906003">
      <w:pPr>
        <w:pStyle w:val="SubmissionNormal"/>
        <w:keepLines/>
        <w:numPr>
          <w:ilvl w:val="0"/>
          <w:numId w:val="0"/>
        </w:numPr>
        <w:spacing w:before="0" w:after="0"/>
        <w:ind w:left="709"/>
        <w:jc w:val="both"/>
        <w:rPr>
          <w:rFonts w:cs="Open Sans"/>
          <w:b/>
          <w:bCs/>
          <w:shd w:val="clear" w:color="auto" w:fill="FFFFFF"/>
        </w:rPr>
      </w:pPr>
      <w:r w:rsidRPr="00DC11B5">
        <w:rPr>
          <w:rFonts w:cs="Open Sans"/>
          <w:b/>
          <w:bCs/>
          <w:shd w:val="clear" w:color="auto" w:fill="FFFFFF"/>
        </w:rPr>
        <w:t>Recommendation 3:</w:t>
      </w:r>
    </w:p>
    <w:p w14:paraId="58BEE434" w14:textId="772BA1BB" w:rsidR="008A72A1" w:rsidRDefault="00CC140C" w:rsidP="00906003">
      <w:pPr>
        <w:pStyle w:val="SubmissionNormal"/>
        <w:keepLines/>
        <w:numPr>
          <w:ilvl w:val="0"/>
          <w:numId w:val="0"/>
        </w:numPr>
        <w:spacing w:before="0" w:after="0"/>
        <w:ind w:left="720" w:hanging="10"/>
        <w:jc w:val="both"/>
        <w:rPr>
          <w:rFonts w:cs="Open Sans"/>
          <w:shd w:val="clear" w:color="auto" w:fill="FFFFFF"/>
        </w:rPr>
      </w:pPr>
      <w:r w:rsidRPr="00906003">
        <w:rPr>
          <w:rFonts w:cs="Open Sans"/>
          <w:shd w:val="clear" w:color="auto" w:fill="FFFFFF"/>
        </w:rPr>
        <w:t>R</w:t>
      </w:r>
      <w:r w:rsidR="00AA6B39" w:rsidRPr="00906003">
        <w:rPr>
          <w:rFonts w:cs="Open Sans"/>
          <w:shd w:val="clear" w:color="auto" w:fill="FFFFFF"/>
        </w:rPr>
        <w:t>efugee status determination</w:t>
      </w:r>
      <w:r w:rsidR="00516B9D" w:rsidRPr="00906003">
        <w:rPr>
          <w:rFonts w:cs="Open Sans"/>
          <w:shd w:val="clear" w:color="auto" w:fill="FFFFFF"/>
        </w:rPr>
        <w:t xml:space="preserve"> </w:t>
      </w:r>
      <w:r w:rsidR="00AA6B39" w:rsidRPr="00906003">
        <w:rPr>
          <w:rFonts w:cs="Open Sans"/>
          <w:shd w:val="clear" w:color="auto" w:fill="FFFFFF"/>
        </w:rPr>
        <w:t xml:space="preserve">and assessment of </w:t>
      </w:r>
      <w:r w:rsidR="00AA6B39" w:rsidRPr="00906003">
        <w:rPr>
          <w:rFonts w:cs="Open Sans"/>
          <w:i/>
          <w:iCs/>
          <w:shd w:val="clear" w:color="auto" w:fill="FFFFFF"/>
        </w:rPr>
        <w:t xml:space="preserve">refoulement </w:t>
      </w:r>
      <w:r w:rsidR="00AA6B39" w:rsidRPr="00906003">
        <w:rPr>
          <w:rFonts w:cs="Open Sans"/>
          <w:shd w:val="clear" w:color="auto" w:fill="FFFFFF"/>
        </w:rPr>
        <w:t>risk</w:t>
      </w:r>
      <w:r w:rsidRPr="00906003">
        <w:rPr>
          <w:rFonts w:cs="Open Sans"/>
          <w:shd w:val="clear" w:color="auto" w:fill="FFFFFF"/>
        </w:rPr>
        <w:t>s</w:t>
      </w:r>
      <w:r w:rsidR="00AA6B39" w:rsidRPr="00906003">
        <w:rPr>
          <w:rFonts w:cs="Open Sans"/>
          <w:shd w:val="clear" w:color="auto" w:fill="FFFFFF"/>
        </w:rPr>
        <w:t>, including during interceptions and turnbacks,</w:t>
      </w:r>
      <w:r w:rsidR="008A72A1" w:rsidRPr="00906003">
        <w:rPr>
          <w:rFonts w:cs="Open Sans"/>
          <w:shd w:val="clear" w:color="auto" w:fill="FFFFFF"/>
        </w:rPr>
        <w:t> </w:t>
      </w:r>
      <w:r w:rsidRPr="00906003">
        <w:rPr>
          <w:rFonts w:cs="Open Sans"/>
          <w:shd w:val="clear" w:color="auto" w:fill="FFFFFF"/>
        </w:rPr>
        <w:t xml:space="preserve">must </w:t>
      </w:r>
      <w:r w:rsidR="008A72A1" w:rsidRPr="00906003">
        <w:rPr>
          <w:rFonts w:cs="Open Sans"/>
          <w:shd w:val="clear" w:color="auto" w:fill="FFFFFF"/>
        </w:rPr>
        <w:t>comply with obligations under international human rights law and the Refugee Convention</w:t>
      </w:r>
      <w:r w:rsidR="00CD1181" w:rsidRPr="00906003">
        <w:rPr>
          <w:rFonts w:cs="Open Sans"/>
          <w:shd w:val="clear" w:color="auto" w:fill="FFFFFF"/>
        </w:rPr>
        <w:t xml:space="preserve">, </w:t>
      </w:r>
      <w:r w:rsidR="002E582D" w:rsidRPr="00906003">
        <w:rPr>
          <w:rFonts w:cs="Open Sans"/>
          <w:shd w:val="clear" w:color="auto" w:fill="FFFFFF"/>
        </w:rPr>
        <w:t>and guarantee safety of life at sea</w:t>
      </w:r>
      <w:r w:rsidR="004A339D">
        <w:rPr>
          <w:rFonts w:cs="Open Sans"/>
          <w:shd w:val="clear" w:color="auto" w:fill="FFFFFF"/>
        </w:rPr>
        <w:t>.</w:t>
      </w:r>
    </w:p>
    <w:p w14:paraId="725E111A" w14:textId="77777777" w:rsidR="004A339D" w:rsidRPr="00906003" w:rsidRDefault="004A339D" w:rsidP="004A339D">
      <w:pPr>
        <w:pStyle w:val="SubmissionNormal"/>
        <w:keepLines/>
        <w:numPr>
          <w:ilvl w:val="0"/>
          <w:numId w:val="0"/>
        </w:numPr>
        <w:spacing w:before="0" w:after="0"/>
        <w:jc w:val="both"/>
        <w:rPr>
          <w:rFonts w:cs="Open Sans"/>
          <w:shd w:val="clear" w:color="auto" w:fill="FFFFFF"/>
        </w:rPr>
      </w:pPr>
    </w:p>
    <w:p w14:paraId="40CDA61C" w14:textId="77777777" w:rsidR="00E4206D" w:rsidRDefault="00E4206D" w:rsidP="00F76351">
      <w:pPr>
        <w:pStyle w:val="SubmissionNormal"/>
        <w:keepLines/>
        <w:numPr>
          <w:ilvl w:val="0"/>
          <w:numId w:val="0"/>
        </w:numPr>
        <w:spacing w:before="0" w:after="0"/>
        <w:ind w:left="720" w:hanging="720"/>
        <w:rPr>
          <w:rFonts w:cs="Open Sans"/>
          <w:b/>
          <w:bCs/>
          <w:shd w:val="clear" w:color="auto" w:fill="FFFFFF"/>
        </w:rPr>
      </w:pPr>
    </w:p>
    <w:p w14:paraId="6D481D62" w14:textId="029C3476" w:rsidR="006E47F7" w:rsidRDefault="006E47F7">
      <w:pPr>
        <w:spacing w:before="0" w:after="0"/>
        <w:rPr>
          <w:rFonts w:eastAsia="Times New Roman" w:cs="Open Sans"/>
          <w:b/>
          <w:bCs/>
          <w:shd w:val="clear" w:color="auto" w:fill="FFFFFF"/>
        </w:rPr>
      </w:pPr>
      <w:r>
        <w:rPr>
          <w:rFonts w:cs="Open Sans"/>
          <w:b/>
          <w:bCs/>
          <w:shd w:val="clear" w:color="auto" w:fill="FFFFFF"/>
        </w:rPr>
        <w:br w:type="page"/>
      </w:r>
    </w:p>
    <w:p w14:paraId="12ACFC97" w14:textId="7344DA63" w:rsidR="002B0A69" w:rsidRPr="00577B8E" w:rsidRDefault="00F76351" w:rsidP="00577B8E">
      <w:pPr>
        <w:pStyle w:val="ListNumber"/>
        <w:numPr>
          <w:ilvl w:val="0"/>
          <w:numId w:val="0"/>
        </w:numPr>
        <w:ind w:left="357" w:hanging="357"/>
        <w:rPr>
          <w:b/>
          <w:bCs/>
          <w:sz w:val="28"/>
          <w:szCs w:val="32"/>
        </w:rPr>
      </w:pPr>
      <w:r>
        <w:rPr>
          <w:b/>
          <w:bCs/>
          <w:sz w:val="28"/>
          <w:szCs w:val="32"/>
        </w:rPr>
        <w:lastRenderedPageBreak/>
        <w:t>End</w:t>
      </w:r>
      <w:r w:rsidRPr="000D58C2">
        <w:rPr>
          <w:b/>
          <w:bCs/>
          <w:sz w:val="28"/>
          <w:szCs w:val="32"/>
        </w:rPr>
        <w:t>notes</w:t>
      </w:r>
    </w:p>
    <w:sectPr w:rsidR="002B0A69" w:rsidRPr="00577B8E" w:rsidSect="00460EE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F6B4" w14:textId="77777777" w:rsidR="00621A3F" w:rsidRDefault="00621A3F" w:rsidP="00F14C6D">
      <w:r>
        <w:separator/>
      </w:r>
    </w:p>
  </w:endnote>
  <w:endnote w:type="continuationSeparator" w:id="0">
    <w:p w14:paraId="714D6BC2" w14:textId="77777777" w:rsidR="00621A3F" w:rsidRDefault="00621A3F" w:rsidP="00F14C6D">
      <w:r>
        <w:continuationSeparator/>
      </w:r>
    </w:p>
  </w:endnote>
  <w:endnote w:id="1">
    <w:p w14:paraId="222446C5" w14:textId="36D4CA01" w:rsidR="004610F2" w:rsidRPr="001D4778" w:rsidRDefault="004610F2">
      <w:pPr>
        <w:pStyle w:val="EndnoteText"/>
      </w:pPr>
      <w:r>
        <w:rPr>
          <w:rStyle w:val="EndnoteReference"/>
        </w:rPr>
        <w:endnoteRef/>
      </w:r>
      <w:r>
        <w:t xml:space="preserve"> </w:t>
      </w:r>
      <w:r w:rsidR="001D4778">
        <w:t xml:space="preserve">Australian Human Rights Commission, </w:t>
      </w:r>
      <w:r w:rsidR="001D4778">
        <w:rPr>
          <w:i/>
          <w:iCs/>
        </w:rPr>
        <w:t xml:space="preserve">Human rights standards for immigration detention </w:t>
      </w:r>
      <w:r w:rsidR="001D4778">
        <w:t xml:space="preserve">(2013). </w:t>
      </w:r>
      <w:r w:rsidR="00DE3287">
        <w:t>&lt;</w:t>
      </w:r>
      <w:hyperlink r:id="rId1" w:history="1">
        <w:r w:rsidR="00522932" w:rsidRPr="00522932">
          <w:rPr>
            <w:rStyle w:val="Hyperlink"/>
          </w:rPr>
          <w:t>https://humanrights.gov.au/our-work/asylum-seekers-and-refugees/publications/human-rights-standards-immigration-detention</w:t>
        </w:r>
      </w:hyperlink>
      <w:r w:rsidR="00DE3287">
        <w:t xml:space="preserve">&gt;. </w:t>
      </w:r>
    </w:p>
  </w:endnote>
  <w:endnote w:id="2">
    <w:p w14:paraId="5D5B4CFB" w14:textId="0FB81F71" w:rsidR="0026349D" w:rsidRPr="009970C9" w:rsidRDefault="0026349D" w:rsidP="0026349D">
      <w:pPr>
        <w:pStyle w:val="FootnoteText"/>
        <w:rPr>
          <w:rFonts w:cs="Open Sans"/>
        </w:rPr>
      </w:pPr>
      <w:r w:rsidRPr="009970C9">
        <w:rPr>
          <w:rStyle w:val="EndnoteReference"/>
          <w:rFonts w:cs="Open Sans"/>
        </w:rPr>
        <w:endnoteRef/>
      </w:r>
      <w:r w:rsidRPr="009970C9">
        <w:rPr>
          <w:rFonts w:cs="Open Sans"/>
        </w:rPr>
        <w:t xml:space="preserve"> </w:t>
      </w:r>
      <w:r w:rsidRPr="009970C9">
        <w:rPr>
          <w:rFonts w:cs="Open Sans"/>
          <w:i/>
          <w:iCs/>
        </w:rPr>
        <w:t xml:space="preserve">Migration Act 1958 </w:t>
      </w:r>
      <w:r w:rsidRPr="009970C9">
        <w:rPr>
          <w:rFonts w:cs="Open Sans"/>
        </w:rPr>
        <w:t>(Cth)</w:t>
      </w:r>
      <w:r w:rsidR="00D6029E">
        <w:rPr>
          <w:rFonts w:cs="Open Sans"/>
        </w:rPr>
        <w:t>,</w:t>
      </w:r>
      <w:r w:rsidRPr="009970C9">
        <w:rPr>
          <w:rFonts w:cs="Open Sans"/>
        </w:rPr>
        <w:t xml:space="preserve"> ss 189, 196.</w:t>
      </w:r>
    </w:p>
  </w:endnote>
  <w:endnote w:id="3">
    <w:p w14:paraId="0D210A07" w14:textId="735405C0" w:rsidR="000F35F8" w:rsidRPr="00E22A51" w:rsidRDefault="000F35F8" w:rsidP="00E22A51">
      <w:pPr>
        <w:pStyle w:val="EndnoteText"/>
        <w:rPr>
          <w:rFonts w:cs="Open Sans"/>
          <w:i/>
          <w:iCs/>
        </w:rPr>
      </w:pPr>
      <w:r>
        <w:rPr>
          <w:rStyle w:val="EndnoteReference"/>
        </w:rPr>
        <w:endnoteRef/>
      </w:r>
      <w:r>
        <w:t xml:space="preserve"> </w:t>
      </w:r>
      <w:r w:rsidR="00D5338E">
        <w:t xml:space="preserve">See </w:t>
      </w:r>
      <w:r w:rsidR="00B31306" w:rsidRPr="00272A4F">
        <w:rPr>
          <w:rFonts w:cs="Open Sans"/>
        </w:rPr>
        <w:t>Australian Human Rights Commission</w:t>
      </w:r>
      <w:r w:rsidR="009C6006">
        <w:rPr>
          <w:rFonts w:cs="Open Sans"/>
        </w:rPr>
        <w:t xml:space="preserve"> (AHRC)</w:t>
      </w:r>
      <w:r w:rsidR="00B31306" w:rsidRPr="00272A4F">
        <w:rPr>
          <w:rFonts w:cs="Open Sans"/>
        </w:rPr>
        <w:t xml:space="preserve">, </w:t>
      </w:r>
      <w:r w:rsidR="00B31306" w:rsidRPr="00B31306">
        <w:rPr>
          <w:rFonts w:cs="Open Sans"/>
          <w:i/>
          <w:iCs/>
        </w:rPr>
        <w:t>Asylum seekers, refugees and human rights: snapshot report 2013</w:t>
      </w:r>
      <w:r w:rsidR="00B31306" w:rsidRPr="00272A4F">
        <w:rPr>
          <w:rFonts w:cs="Open Sans"/>
        </w:rPr>
        <w:t xml:space="preserve"> (</w:t>
      </w:r>
      <w:r w:rsidR="002F5EB5">
        <w:rPr>
          <w:rFonts w:cs="Open Sans"/>
        </w:rPr>
        <w:t xml:space="preserve">22 </w:t>
      </w:r>
      <w:r w:rsidR="00B31306" w:rsidRPr="00272A4F">
        <w:rPr>
          <w:rFonts w:cs="Open Sans"/>
        </w:rPr>
        <w:t>October 2013)</w:t>
      </w:r>
      <w:r w:rsidR="00711E2C">
        <w:rPr>
          <w:rFonts w:cs="Open Sans"/>
        </w:rPr>
        <w:t xml:space="preserve"> </w:t>
      </w:r>
      <w:r w:rsidR="00543209">
        <w:rPr>
          <w:rFonts w:cs="Open Sans"/>
        </w:rPr>
        <w:t>&lt;</w:t>
      </w:r>
      <w:hyperlink r:id="rId2" w:history="1">
        <w:r w:rsidR="00543209" w:rsidRPr="003B0381">
          <w:rPr>
            <w:rStyle w:val="Hyperlink"/>
            <w:rFonts w:cs="Open Sans"/>
          </w:rPr>
          <w:t>http://www.humanrights.gov.au/publications/asylum-seekers-refugees-and-human-rights-snapshot-report</w:t>
        </w:r>
      </w:hyperlink>
      <w:r w:rsidR="00543209">
        <w:rPr>
          <w:rFonts w:cs="Open Sans"/>
        </w:rPr>
        <w:t>&gt;</w:t>
      </w:r>
      <w:r w:rsidR="00711E2C">
        <w:rPr>
          <w:rFonts w:cs="Open Sans"/>
        </w:rPr>
        <w:t>;</w:t>
      </w:r>
      <w:r w:rsidR="002F5EB5">
        <w:rPr>
          <w:rFonts w:cs="Open Sans"/>
        </w:rPr>
        <w:t xml:space="preserve"> </w:t>
      </w:r>
      <w:r w:rsidR="001A6249">
        <w:rPr>
          <w:rFonts w:cs="Open Sans"/>
        </w:rPr>
        <w:t xml:space="preserve">AHRC, </w:t>
      </w:r>
      <w:r w:rsidR="00CC499D">
        <w:rPr>
          <w:rFonts w:cs="Open Sans"/>
          <w:i/>
          <w:iCs/>
        </w:rPr>
        <w:t xml:space="preserve">The Forgotten Children: </w:t>
      </w:r>
      <w:r w:rsidR="001A6249" w:rsidRPr="001A6249">
        <w:rPr>
          <w:rFonts w:cs="Open Sans"/>
          <w:i/>
          <w:iCs/>
        </w:rPr>
        <w:t xml:space="preserve">National Inquiry into Children in Immigration Detention </w:t>
      </w:r>
      <w:r w:rsidR="003F0B3A">
        <w:rPr>
          <w:rFonts w:cs="Open Sans"/>
          <w:i/>
          <w:iCs/>
        </w:rPr>
        <w:t xml:space="preserve">2014 </w:t>
      </w:r>
      <w:r w:rsidR="00CC499D">
        <w:rPr>
          <w:rFonts w:cs="Open Sans"/>
        </w:rPr>
        <w:t>(</w:t>
      </w:r>
      <w:r w:rsidR="003F0B3A">
        <w:rPr>
          <w:rFonts w:cs="Open Sans"/>
        </w:rPr>
        <w:t>11 February 2015</w:t>
      </w:r>
      <w:r w:rsidR="00CC499D">
        <w:rPr>
          <w:rFonts w:cs="Open Sans"/>
        </w:rPr>
        <w:t xml:space="preserve">) </w:t>
      </w:r>
      <w:r w:rsidR="00543209">
        <w:rPr>
          <w:rFonts w:cs="Open Sans"/>
        </w:rPr>
        <w:t>&lt;</w:t>
      </w:r>
      <w:hyperlink r:id="rId3" w:history="1">
        <w:r w:rsidR="00543209" w:rsidRPr="003B0381">
          <w:rPr>
            <w:rStyle w:val="Hyperlink"/>
            <w:rFonts w:cs="Open Sans"/>
          </w:rPr>
          <w:t>https://humanrights.gov.au/our-work/asylum-seekers-and-refugees/publications/national-inquiry-children-immigration-detention-0</w:t>
        </w:r>
      </w:hyperlink>
      <w:r w:rsidR="00543209">
        <w:rPr>
          <w:rFonts w:cs="Open Sans"/>
        </w:rPr>
        <w:t>&gt;</w:t>
      </w:r>
      <w:r w:rsidR="00CC499D">
        <w:rPr>
          <w:rFonts w:cs="Open Sans"/>
        </w:rPr>
        <w:t xml:space="preserve">; </w:t>
      </w:r>
      <w:r w:rsidR="00711E2C">
        <w:rPr>
          <w:rFonts w:cs="Open Sans"/>
        </w:rPr>
        <w:t>AHRC</w:t>
      </w:r>
      <w:r w:rsidR="00AC1A18">
        <w:rPr>
          <w:rFonts w:cs="Open Sans"/>
        </w:rPr>
        <w:t xml:space="preserve">, </w:t>
      </w:r>
      <w:r w:rsidR="006A5E13" w:rsidRPr="00E22A51">
        <w:rPr>
          <w:rFonts w:cs="Open Sans"/>
        </w:rPr>
        <w:t>Submission to</w:t>
      </w:r>
      <w:r w:rsidR="00E22A51" w:rsidRPr="00E22A51">
        <w:rPr>
          <w:sz w:val="24"/>
          <w:szCs w:val="24"/>
        </w:rPr>
        <w:t xml:space="preserve"> </w:t>
      </w:r>
      <w:r w:rsidR="00E22A51" w:rsidRPr="00E22A51">
        <w:rPr>
          <w:rFonts w:cs="Open Sans"/>
        </w:rPr>
        <w:t>Select Committee on the Recent Allegations relating to Conditions and Circumstances at the Regional Processing Centre in Nauru</w:t>
      </w:r>
      <w:r w:rsidR="00E22A51">
        <w:rPr>
          <w:rFonts w:cs="Open Sans"/>
          <w:i/>
          <w:iCs/>
        </w:rPr>
        <w:t>,</w:t>
      </w:r>
      <w:r w:rsidR="006A5E13" w:rsidRPr="006A5E13">
        <w:rPr>
          <w:rFonts w:cs="Open Sans"/>
          <w:i/>
          <w:iCs/>
        </w:rPr>
        <w:t xml:space="preserve"> Inquiry into the responsibilities of the Commonwealth Government in connection with the management and operation of the Regional Processing Centre in Nauru</w:t>
      </w:r>
      <w:r w:rsidR="00C63563" w:rsidRPr="005A2417">
        <w:rPr>
          <w:rFonts w:cs="Open Sans"/>
          <w:i/>
          <w:iCs/>
        </w:rPr>
        <w:t xml:space="preserve"> </w:t>
      </w:r>
      <w:r w:rsidR="00C63563">
        <w:rPr>
          <w:rFonts w:cs="Open Sans"/>
        </w:rPr>
        <w:t>(27 April 20</w:t>
      </w:r>
      <w:r w:rsidR="00EA451C">
        <w:rPr>
          <w:rFonts w:cs="Open Sans"/>
        </w:rPr>
        <w:t>15</w:t>
      </w:r>
      <w:r w:rsidR="00C63563">
        <w:rPr>
          <w:rFonts w:cs="Open Sans"/>
        </w:rPr>
        <w:t>)</w:t>
      </w:r>
      <w:r w:rsidR="006A5E13">
        <w:rPr>
          <w:rFonts w:cs="Open Sans"/>
        </w:rPr>
        <w:t xml:space="preserve"> </w:t>
      </w:r>
      <w:r w:rsidR="00543209">
        <w:rPr>
          <w:rFonts w:cs="Open Sans"/>
        </w:rPr>
        <w:t>&lt;</w:t>
      </w:r>
      <w:hyperlink r:id="rId4" w:history="1">
        <w:r w:rsidR="00543209" w:rsidRPr="003B0381">
          <w:rPr>
            <w:rStyle w:val="Hyperlink"/>
            <w:rFonts w:cs="Open Sans"/>
          </w:rPr>
          <w:t>https://humanrights.gov.au/our-work/legal/submission/submission-inquiry-responsibilities-commonwealth-government-connection</w:t>
        </w:r>
      </w:hyperlink>
      <w:r w:rsidR="00543209">
        <w:rPr>
          <w:rFonts w:cs="Open Sans"/>
        </w:rPr>
        <w:t>&gt;</w:t>
      </w:r>
      <w:r w:rsidR="00CC499D">
        <w:rPr>
          <w:rFonts w:cs="Open Sans"/>
        </w:rPr>
        <w:t>.</w:t>
      </w:r>
    </w:p>
  </w:endnote>
  <w:endnote w:id="4">
    <w:p w14:paraId="447C525C" w14:textId="57E63B79" w:rsidR="00BE48C8" w:rsidRDefault="000F35F8" w:rsidP="007679AB">
      <w:pPr>
        <w:pStyle w:val="EndnoteText"/>
      </w:pPr>
      <w:r>
        <w:rPr>
          <w:rStyle w:val="EndnoteReference"/>
        </w:rPr>
        <w:endnoteRef/>
      </w:r>
      <w:r>
        <w:t xml:space="preserve"> </w:t>
      </w:r>
      <w:r w:rsidR="00712B35">
        <w:t>See</w:t>
      </w:r>
      <w:r w:rsidR="00E43608">
        <w:t xml:space="preserve"> </w:t>
      </w:r>
      <w:r w:rsidR="00FA2813">
        <w:t>Committee Against Torture,</w:t>
      </w:r>
      <w:r w:rsidR="00FA2813" w:rsidRPr="00FA2813">
        <w:t xml:space="preserve"> </w:t>
      </w:r>
      <w:r w:rsidR="00FA2813" w:rsidRPr="00130FD4">
        <w:rPr>
          <w:i/>
          <w:iCs/>
        </w:rPr>
        <w:t>Concluding Observations on the Combined Fourth and Fifth Periodic Reports of Australia</w:t>
      </w:r>
      <w:r w:rsidR="00130FD4">
        <w:t>,</w:t>
      </w:r>
      <w:r w:rsidR="00FA2813" w:rsidRPr="00FA2813">
        <w:t xml:space="preserve"> </w:t>
      </w:r>
      <w:r w:rsidR="00D6029E">
        <w:t xml:space="preserve">UN Doc </w:t>
      </w:r>
      <w:r w:rsidR="00FA2813" w:rsidRPr="00FA2813">
        <w:t>CAT/C/AUS/CO/4-5</w:t>
      </w:r>
      <w:r w:rsidR="00130FD4">
        <w:t xml:space="preserve"> (2014) </w:t>
      </w:r>
      <w:r w:rsidR="00D2352A">
        <w:t>at</w:t>
      </w:r>
      <w:r w:rsidR="00453E12">
        <w:t xml:space="preserve"> </w:t>
      </w:r>
      <w:r w:rsidR="00D6029E">
        <w:t>[</w:t>
      </w:r>
      <w:r w:rsidR="00453E12">
        <w:t>15</w:t>
      </w:r>
      <w:r w:rsidR="00D6029E">
        <w:t>]</w:t>
      </w:r>
      <w:r w:rsidR="00453E12">
        <w:t>-</w:t>
      </w:r>
      <w:r w:rsidR="00D6029E">
        <w:t>[</w:t>
      </w:r>
      <w:r w:rsidR="005545A8">
        <w:t>18</w:t>
      </w:r>
      <w:r w:rsidR="00D6029E">
        <w:t>]</w:t>
      </w:r>
      <w:r w:rsidR="005545A8">
        <w:t>;</w:t>
      </w:r>
      <w:r w:rsidR="00E43608">
        <w:t xml:space="preserve"> </w:t>
      </w:r>
      <w:r w:rsidR="00043676">
        <w:t xml:space="preserve">Human Rights Council, </w:t>
      </w:r>
      <w:r w:rsidR="00043676" w:rsidRPr="00130FD4">
        <w:rPr>
          <w:i/>
          <w:iCs/>
        </w:rPr>
        <w:t>Report of the Special Rapporteur on torture and other cruel, inhuman or degrading treatment or punishment, Juan E. Méndez</w:t>
      </w:r>
      <w:r w:rsidR="00D2352A">
        <w:t xml:space="preserve"> </w:t>
      </w:r>
      <w:r w:rsidR="00130FD4">
        <w:t xml:space="preserve">(2015) </w:t>
      </w:r>
      <w:r w:rsidR="00D2352A">
        <w:t xml:space="preserve">at </w:t>
      </w:r>
      <w:r w:rsidR="006B04BE">
        <w:t>[</w:t>
      </w:r>
      <w:r w:rsidR="005E316F">
        <w:t>16</w:t>
      </w:r>
      <w:r w:rsidR="006B04BE">
        <w:t>]</w:t>
      </w:r>
      <w:r w:rsidR="005E316F">
        <w:t>-</w:t>
      </w:r>
      <w:r w:rsidR="006B04BE">
        <w:t>[</w:t>
      </w:r>
      <w:r w:rsidR="005E316F">
        <w:t>31</w:t>
      </w:r>
      <w:r w:rsidR="006B04BE">
        <w:t>]</w:t>
      </w:r>
      <w:r w:rsidR="005E316F">
        <w:t xml:space="preserve">; </w:t>
      </w:r>
      <w:r w:rsidR="00E43608">
        <w:t>Human Rights Committee,</w:t>
      </w:r>
      <w:r w:rsidR="00F7446D">
        <w:t xml:space="preserve"> </w:t>
      </w:r>
      <w:r w:rsidR="00E43608" w:rsidRPr="00130FD4">
        <w:rPr>
          <w:i/>
          <w:iCs/>
        </w:rPr>
        <w:t>Concluding Observations on the Sixth Periodic Report of Australia</w:t>
      </w:r>
      <w:r w:rsidR="00F7446D">
        <w:t xml:space="preserve">, </w:t>
      </w:r>
      <w:r w:rsidR="00C76022">
        <w:t xml:space="preserve">UN Doc </w:t>
      </w:r>
      <w:r w:rsidR="00E43608" w:rsidRPr="00E43608">
        <w:t>CCPR/C/AUS/CO/6</w:t>
      </w:r>
      <w:r w:rsidR="00F7446D">
        <w:t xml:space="preserve"> (2017)</w:t>
      </w:r>
      <w:r w:rsidR="00D2352A">
        <w:t xml:space="preserve"> at [</w:t>
      </w:r>
      <w:r w:rsidR="00747ACF">
        <w:t>33</w:t>
      </w:r>
      <w:r w:rsidR="00D2352A">
        <w:t>]</w:t>
      </w:r>
      <w:r w:rsidR="00747ACF">
        <w:t>-</w:t>
      </w:r>
      <w:r w:rsidR="00D2352A">
        <w:t>[</w:t>
      </w:r>
      <w:r w:rsidR="00AD6B98">
        <w:t>38</w:t>
      </w:r>
      <w:r w:rsidR="00D2352A">
        <w:t>]</w:t>
      </w:r>
      <w:r w:rsidR="00AD6B98">
        <w:t>;</w:t>
      </w:r>
      <w:r w:rsidR="007536EB">
        <w:t xml:space="preserve"> </w:t>
      </w:r>
      <w:r w:rsidR="005F3362" w:rsidRPr="005F3362">
        <w:rPr>
          <w:i/>
          <w:iCs/>
        </w:rPr>
        <w:t>MI et al v Australia</w:t>
      </w:r>
      <w:r w:rsidR="00BE48C8">
        <w:rPr>
          <w:i/>
          <w:iCs/>
        </w:rPr>
        <w:t xml:space="preserve">, </w:t>
      </w:r>
      <w:r w:rsidR="00C76022">
        <w:t xml:space="preserve">UN Doc </w:t>
      </w:r>
      <w:r w:rsidR="005F3362" w:rsidRPr="005F3362">
        <w:t>CCPR/C/142/D/2749/2016</w:t>
      </w:r>
      <w:r w:rsidR="00BE48C8">
        <w:t xml:space="preserve"> (2025)</w:t>
      </w:r>
      <w:r w:rsidR="009E71D0">
        <w:t xml:space="preserve">; </w:t>
      </w:r>
      <w:r w:rsidR="009E71D0" w:rsidRPr="009E71D0">
        <w:rPr>
          <w:i/>
          <w:iCs/>
        </w:rPr>
        <w:t>Nabhari v Australia</w:t>
      </w:r>
      <w:r w:rsidR="00BE48C8">
        <w:t>,</w:t>
      </w:r>
      <w:r w:rsidR="009E71D0">
        <w:t xml:space="preserve"> </w:t>
      </w:r>
      <w:r w:rsidR="00C76022">
        <w:t xml:space="preserve">UN Doc </w:t>
      </w:r>
      <w:r w:rsidR="00AF6D55" w:rsidRPr="00AF6D55">
        <w:t>CCPR/C/142/D/3663/2019</w:t>
      </w:r>
      <w:r w:rsidR="00BE48C8">
        <w:t xml:space="preserve"> (2025).</w:t>
      </w:r>
    </w:p>
  </w:endnote>
  <w:endnote w:id="5">
    <w:p w14:paraId="34178BF9" w14:textId="119B22CE" w:rsidR="00B84E87" w:rsidRDefault="0017336D" w:rsidP="00B84E87">
      <w:pPr>
        <w:pStyle w:val="EndnoteText"/>
      </w:pPr>
      <w:r>
        <w:rPr>
          <w:rStyle w:val="EndnoteReference"/>
        </w:rPr>
        <w:endnoteRef/>
      </w:r>
      <w:r>
        <w:t xml:space="preserve"> See </w:t>
      </w:r>
      <w:r w:rsidR="00B84E87">
        <w:t xml:space="preserve">AHRC, </w:t>
      </w:r>
      <w:r w:rsidR="00B84E87" w:rsidRPr="00B84E87">
        <w:rPr>
          <w:i/>
          <w:iCs/>
        </w:rPr>
        <w:t>Pathways to Protection: A human rights-based response to the flight of asylum seekers by sea</w:t>
      </w:r>
      <w:r w:rsidR="00B84E87">
        <w:t xml:space="preserve"> (2016) &lt;</w:t>
      </w:r>
      <w:hyperlink r:id="rId5" w:history="1">
        <w:r w:rsidR="003B4BD8" w:rsidRPr="003B0381">
          <w:rPr>
            <w:rStyle w:val="Hyperlink"/>
          </w:rPr>
          <w:t>https://humanrights.gov.au/our-work/asylum-seekers-and-refugees/publications/pathways-protection-human-rights-based-response</w:t>
        </w:r>
      </w:hyperlink>
      <w:r w:rsidR="00F26A7E">
        <w:t xml:space="preserve">&gt;, </w:t>
      </w:r>
    </w:p>
  </w:endnote>
  <w:endnote w:id="6">
    <w:p w14:paraId="4702B075" w14:textId="77777777" w:rsidR="00035821" w:rsidRDefault="00035821" w:rsidP="00035821">
      <w:pPr>
        <w:pStyle w:val="EndnoteText"/>
      </w:pPr>
      <w:r>
        <w:rPr>
          <w:rStyle w:val="EndnoteReference"/>
        </w:rPr>
        <w:endnoteRef/>
      </w:r>
      <w:r>
        <w:t xml:space="preserve"> </w:t>
      </w:r>
      <w:r w:rsidRPr="009970C9">
        <w:rPr>
          <w:rFonts w:cs="Open Sans"/>
        </w:rPr>
        <w:t>Department of Home Affairs,</w:t>
      </w:r>
      <w:r w:rsidRPr="00B22C3D">
        <w:t xml:space="preserve"> </w:t>
      </w:r>
      <w:r w:rsidRPr="00B22C3D">
        <w:rPr>
          <w:rFonts w:cs="Open Sans"/>
          <w:i/>
          <w:iCs/>
        </w:rPr>
        <w:t>Regional processing and resettlement</w:t>
      </w:r>
      <w:r>
        <w:t xml:space="preserve"> &lt;</w:t>
      </w:r>
      <w:hyperlink r:id="rId6" w:history="1">
        <w:r w:rsidRPr="001D1888">
          <w:rPr>
            <w:rStyle w:val="Hyperlink"/>
          </w:rPr>
          <w:t>https://www.homeaffairs.gov.au/about-us/what-we-do/border-protection/regional-processing-and-resettlement</w:t>
        </w:r>
      </w:hyperlink>
      <w:r>
        <w:t>&gt;.</w:t>
      </w:r>
    </w:p>
  </w:endnote>
  <w:endnote w:id="7">
    <w:p w14:paraId="4D3841DC" w14:textId="77777777" w:rsidR="00035821" w:rsidRDefault="00035821" w:rsidP="00035821">
      <w:pPr>
        <w:pStyle w:val="EndnoteText"/>
      </w:pPr>
      <w:r>
        <w:rPr>
          <w:rStyle w:val="EndnoteReference"/>
        </w:rPr>
        <w:endnoteRef/>
      </w:r>
      <w:r>
        <w:t xml:space="preserve"> Refugee Council of Australia, </w:t>
      </w:r>
      <w:r w:rsidRPr="00C31476">
        <w:rPr>
          <w:i/>
          <w:iCs/>
        </w:rPr>
        <w:t>Offshore processing statistics</w:t>
      </w:r>
      <w:r>
        <w:t xml:space="preserve"> (7 March 2025) &lt;</w:t>
      </w:r>
      <w:hyperlink r:id="rId7" w:history="1">
        <w:r w:rsidRPr="001D1888">
          <w:rPr>
            <w:rStyle w:val="Hyperlink"/>
          </w:rPr>
          <w:t>https://www.refugeecouncil.org.au/operation-sovereign-borders-offshore-detention-statistics/2/</w:t>
        </w:r>
      </w:hyperlink>
      <w:r>
        <w:t>&gt;.</w:t>
      </w:r>
    </w:p>
  </w:endnote>
  <w:endnote w:id="8">
    <w:p w14:paraId="02436819" w14:textId="77777777" w:rsidR="00035821" w:rsidRPr="004A0F46" w:rsidRDefault="00035821" w:rsidP="00035821">
      <w:pPr>
        <w:pStyle w:val="EndnoteText"/>
      </w:pPr>
      <w:r>
        <w:rPr>
          <w:rStyle w:val="EndnoteReference"/>
        </w:rPr>
        <w:endnoteRef/>
      </w:r>
      <w:r>
        <w:rPr>
          <w:rFonts w:cs="Open Sans"/>
        </w:rPr>
        <w:t xml:space="preserve"> </w:t>
      </w:r>
      <w:r w:rsidRPr="009970C9">
        <w:rPr>
          <w:rFonts w:cs="Open Sans"/>
        </w:rPr>
        <w:t>Department of Home Affairs,</w:t>
      </w:r>
      <w:r w:rsidRPr="00D95721">
        <w:rPr>
          <w:i/>
          <w:iCs/>
          <w:sz w:val="24"/>
          <w:szCs w:val="24"/>
        </w:rPr>
        <w:t xml:space="preserve"> </w:t>
      </w:r>
      <w:r w:rsidRPr="00D95721">
        <w:rPr>
          <w:rFonts w:cs="Open Sans"/>
          <w:i/>
          <w:iCs/>
        </w:rPr>
        <w:t>Statistics of Transitory Persons, Regional Processing Statistics – 31 August 2024</w:t>
      </w:r>
      <w:r>
        <w:rPr>
          <w:rFonts w:cs="Open Sans"/>
          <w:i/>
          <w:iCs/>
        </w:rPr>
        <w:t xml:space="preserve"> </w:t>
      </w:r>
      <w:r>
        <w:rPr>
          <w:rFonts w:cs="Open Sans"/>
        </w:rPr>
        <w:t>&lt;</w:t>
      </w:r>
      <w:hyperlink r:id="rId8" w:history="1">
        <w:r w:rsidRPr="004A0F46">
          <w:rPr>
            <w:rStyle w:val="Hyperlink"/>
          </w:rPr>
          <w:t>https://www.homeaffairs.gov.au/about-us-subsite/files/population-number-resettled-31-august-2024.pdf</w:t>
        </w:r>
      </w:hyperlink>
      <w:r>
        <w:t>&gt;.</w:t>
      </w:r>
    </w:p>
  </w:endnote>
  <w:endnote w:id="9">
    <w:p w14:paraId="6EFD2C05" w14:textId="77777777" w:rsidR="00035821" w:rsidRPr="00B14ED7" w:rsidRDefault="00035821" w:rsidP="00035821">
      <w:pPr>
        <w:pStyle w:val="EndnoteText"/>
        <w:rPr>
          <w:i/>
        </w:rPr>
      </w:pPr>
      <w:r w:rsidRPr="004A0F46">
        <w:rPr>
          <w:rStyle w:val="EndnoteReference"/>
        </w:rPr>
        <w:endnoteRef/>
      </w:r>
      <w:r>
        <w:t xml:space="preserve"> Refugee Council of Australia, </w:t>
      </w:r>
      <w:r w:rsidRPr="00B14ED7">
        <w:rPr>
          <w:i/>
          <w:iCs/>
        </w:rPr>
        <w:t>Offshore processing statistics</w:t>
      </w:r>
      <w:r>
        <w:rPr>
          <w:i/>
          <w:iCs/>
        </w:rPr>
        <w:t xml:space="preserve"> </w:t>
      </w:r>
      <w:r>
        <w:t>(7 March 2025) &lt;</w:t>
      </w:r>
      <w:hyperlink r:id="rId9" w:history="1">
        <w:r w:rsidRPr="004A0F46">
          <w:rPr>
            <w:rStyle w:val="Hyperlink"/>
          </w:rPr>
          <w:t>https://www.refugeecouncil.org.au/operation-sovereign-borders-offshore-detention-statistics/3/</w:t>
        </w:r>
      </w:hyperlink>
      <w:r>
        <w:t>&gt;.</w:t>
      </w:r>
      <w:r w:rsidRPr="004A0F46">
        <w:t xml:space="preserve"> </w:t>
      </w:r>
    </w:p>
  </w:endnote>
  <w:endnote w:id="10">
    <w:p w14:paraId="018EAAB7" w14:textId="77777777" w:rsidR="00035821" w:rsidRPr="004A0F46" w:rsidRDefault="00035821" w:rsidP="00035821">
      <w:pPr>
        <w:pStyle w:val="EndnoteText"/>
      </w:pPr>
      <w:r w:rsidRPr="004A0F46">
        <w:rPr>
          <w:rStyle w:val="EndnoteReference"/>
        </w:rPr>
        <w:endnoteRef/>
      </w:r>
      <w:r w:rsidRPr="004A0F46">
        <w:t xml:space="preserve"> </w:t>
      </w:r>
      <w:r w:rsidRPr="009970C9">
        <w:rPr>
          <w:rFonts w:cs="Open Sans"/>
        </w:rPr>
        <w:t>Department of Home Affairs,</w:t>
      </w:r>
      <w:r w:rsidRPr="00D95721">
        <w:rPr>
          <w:i/>
          <w:iCs/>
          <w:sz w:val="24"/>
          <w:szCs w:val="24"/>
        </w:rPr>
        <w:t xml:space="preserve"> </w:t>
      </w:r>
      <w:r w:rsidRPr="00D95721">
        <w:rPr>
          <w:rFonts w:cs="Open Sans"/>
          <w:i/>
          <w:iCs/>
        </w:rPr>
        <w:t>Statistics of Transitory Persons, Regional Processing Statistics – 31 August 2024</w:t>
      </w:r>
      <w:r>
        <w:rPr>
          <w:rFonts w:cs="Open Sans"/>
          <w:i/>
          <w:iCs/>
        </w:rPr>
        <w:t xml:space="preserve"> </w:t>
      </w:r>
      <w:r>
        <w:rPr>
          <w:rFonts w:cs="Open Sans"/>
        </w:rPr>
        <w:t>&lt;</w:t>
      </w:r>
      <w:hyperlink r:id="rId10" w:history="1">
        <w:r w:rsidRPr="004A0F46">
          <w:rPr>
            <w:rStyle w:val="Hyperlink"/>
          </w:rPr>
          <w:t>https://www.homeaffairs.gov.au/about-us-subsite/files/population-number-resettled-31-august-2024.pdf</w:t>
        </w:r>
      </w:hyperlink>
      <w:r>
        <w:t>&gt;.</w:t>
      </w:r>
    </w:p>
  </w:endnote>
  <w:endnote w:id="11">
    <w:p w14:paraId="5937F270" w14:textId="77777777" w:rsidR="00035821" w:rsidRDefault="00035821" w:rsidP="00035821">
      <w:pPr>
        <w:pStyle w:val="EndnoteText"/>
      </w:pPr>
      <w:r>
        <w:rPr>
          <w:rStyle w:val="EndnoteReference"/>
        </w:rPr>
        <w:endnoteRef/>
      </w:r>
      <w:r>
        <w:t xml:space="preserve"> </w:t>
      </w:r>
      <w:r w:rsidRPr="00C6598B">
        <w:t xml:space="preserve">The Hon Karen Andrews </w:t>
      </w:r>
      <w:r w:rsidRPr="000A225A">
        <w:t>MP, Minister for Home Affairs, ‘Finalisation of the Regional Resettlement Arrangement’ (</w:t>
      </w:r>
      <w:r>
        <w:t xml:space="preserve">Joint </w:t>
      </w:r>
      <w:r w:rsidRPr="000A225A">
        <w:t>Media Release, 5 October 2021)</w:t>
      </w:r>
      <w:r>
        <w:t xml:space="preserve"> &lt;</w:t>
      </w:r>
      <w:hyperlink r:id="rId11" w:history="1">
        <w:r w:rsidRPr="003B0381">
          <w:rPr>
            <w:rStyle w:val="Hyperlink"/>
          </w:rPr>
          <w:t>https://minister.homeaffairs.gov.au/KarenAndrews/Pages/finalisation-of-the-regional-resettlement-arrangement.aspx</w:t>
        </w:r>
      </w:hyperlink>
      <w:r>
        <w:t>&gt;.</w:t>
      </w:r>
    </w:p>
  </w:endnote>
  <w:endnote w:id="12">
    <w:p w14:paraId="525CA939" w14:textId="77777777" w:rsidR="00035821" w:rsidRPr="004A0F46" w:rsidRDefault="00035821" w:rsidP="00035821">
      <w:pPr>
        <w:pStyle w:val="EndnoteText"/>
      </w:pPr>
      <w:r w:rsidRPr="004A0F46">
        <w:rPr>
          <w:rStyle w:val="EndnoteReference"/>
        </w:rPr>
        <w:endnoteRef/>
      </w:r>
      <w:r w:rsidRPr="004A0F46">
        <w:t xml:space="preserve"> </w:t>
      </w:r>
      <w:r w:rsidRPr="00E75DDB">
        <w:rPr>
          <w:i/>
          <w:iCs/>
        </w:rPr>
        <w:t xml:space="preserve">Namah v Pato </w:t>
      </w:r>
      <w:r>
        <w:t>[</w:t>
      </w:r>
      <w:r w:rsidRPr="004A0F46">
        <w:t>2016] PGSC 13</w:t>
      </w:r>
      <w:r>
        <w:t xml:space="preserve"> </w:t>
      </w:r>
      <w:r w:rsidRPr="00E75DDB">
        <w:t>(26 April 2016)</w:t>
      </w:r>
      <w:r>
        <w:t>.</w:t>
      </w:r>
    </w:p>
  </w:endnote>
  <w:endnote w:id="13">
    <w:p w14:paraId="47D4E2A6" w14:textId="77777777" w:rsidR="00035821" w:rsidRPr="00FC4ED1" w:rsidRDefault="00035821" w:rsidP="00035821">
      <w:pPr>
        <w:pStyle w:val="EndnoteText"/>
      </w:pPr>
      <w:r w:rsidRPr="00227E58">
        <w:rPr>
          <w:rStyle w:val="EndnoteReference"/>
        </w:rPr>
        <w:endnoteRef/>
      </w:r>
      <w:r w:rsidRPr="00227E58">
        <w:t xml:space="preserve"> </w:t>
      </w:r>
      <w:r>
        <w:t>Asylum Seeker Resource Centre</w:t>
      </w:r>
      <w:r w:rsidRPr="00227E58">
        <w:t xml:space="preserve">, </w:t>
      </w:r>
      <w:r w:rsidRPr="00227E58">
        <w:rPr>
          <w:i/>
          <w:iCs/>
        </w:rPr>
        <w:t xml:space="preserve">UN Human Right Committee condemns Australia offshore detention policy </w:t>
      </w:r>
      <w:r w:rsidRPr="00227E58">
        <w:t>(14 January 2025) &lt;</w:t>
      </w:r>
      <w:hyperlink r:id="rId12" w:history="1">
        <w:r w:rsidRPr="00FC4ED1">
          <w:rPr>
            <w:rStyle w:val="Hyperlink"/>
          </w:rPr>
          <w:t>https://asrc.org.au/2025/01/14/un-human-right-committee-condemns-australia-offshore-detention-policy/</w:t>
        </w:r>
      </w:hyperlink>
      <w:r w:rsidRPr="00FC4ED1">
        <w:t>&gt;.</w:t>
      </w:r>
    </w:p>
  </w:endnote>
  <w:endnote w:id="14">
    <w:p w14:paraId="4D07C635" w14:textId="77777777" w:rsidR="00035821" w:rsidRPr="00960D83" w:rsidRDefault="00035821" w:rsidP="00035821">
      <w:pPr>
        <w:spacing w:before="0" w:after="0"/>
        <w:rPr>
          <w:i/>
          <w:iCs/>
          <w:sz w:val="20"/>
          <w:szCs w:val="20"/>
        </w:rPr>
      </w:pPr>
      <w:r w:rsidRPr="00FC4ED1">
        <w:rPr>
          <w:rStyle w:val="EndnoteReference"/>
          <w:szCs w:val="20"/>
        </w:rPr>
        <w:endnoteRef/>
      </w:r>
      <w:r w:rsidRPr="00FC4ED1">
        <w:rPr>
          <w:sz w:val="20"/>
          <w:szCs w:val="20"/>
        </w:rPr>
        <w:t xml:space="preserve"> See UNCHR, </w:t>
      </w:r>
      <w:r w:rsidRPr="00FC4ED1">
        <w:rPr>
          <w:rFonts w:cs="Open Sans"/>
          <w:i/>
          <w:iCs/>
          <w:sz w:val="20"/>
          <w:szCs w:val="20"/>
        </w:rPr>
        <w:t>Mission to Manus Island, Papua New Guinea, 15</w:t>
      </w:r>
      <w:r>
        <w:rPr>
          <w:rFonts w:cs="Open Sans"/>
          <w:i/>
          <w:iCs/>
          <w:sz w:val="20"/>
          <w:szCs w:val="20"/>
        </w:rPr>
        <w:t xml:space="preserve"> to </w:t>
      </w:r>
      <w:r w:rsidRPr="00FC4ED1">
        <w:rPr>
          <w:rFonts w:cs="Open Sans"/>
          <w:i/>
          <w:iCs/>
          <w:sz w:val="20"/>
          <w:szCs w:val="20"/>
        </w:rPr>
        <w:t xml:space="preserve">17 January 2013 </w:t>
      </w:r>
      <w:r>
        <w:rPr>
          <w:rFonts w:cs="Open Sans"/>
          <w:sz w:val="20"/>
          <w:szCs w:val="20"/>
        </w:rPr>
        <w:t xml:space="preserve">(2013) </w:t>
      </w:r>
      <w:r w:rsidRPr="00FC4ED1">
        <w:rPr>
          <w:rFonts w:cs="Open Sans"/>
          <w:sz w:val="20"/>
          <w:szCs w:val="20"/>
        </w:rPr>
        <w:t>&lt;</w:t>
      </w:r>
      <w:hyperlink r:id="rId13" w:history="1">
        <w:r w:rsidRPr="00FC4ED1">
          <w:rPr>
            <w:rStyle w:val="Hyperlink"/>
            <w:rFonts w:cs="Open Sans"/>
            <w:sz w:val="20"/>
            <w:szCs w:val="20"/>
          </w:rPr>
          <w:t>https://www.unhcr.org/au/sites/en-au/files/legacy-pdf/58117c617.pdf</w:t>
        </w:r>
      </w:hyperlink>
      <w:r w:rsidRPr="00FC4ED1">
        <w:rPr>
          <w:rFonts w:cs="Open Sans"/>
          <w:sz w:val="20"/>
          <w:szCs w:val="20"/>
        </w:rPr>
        <w:t xml:space="preserve">&gt;; </w:t>
      </w:r>
      <w:r w:rsidRPr="00FC4ED1">
        <w:rPr>
          <w:sz w:val="20"/>
          <w:szCs w:val="20"/>
        </w:rPr>
        <w:t xml:space="preserve">Human Rights Watch, </w:t>
      </w:r>
      <w:r w:rsidRPr="00FC4ED1">
        <w:rPr>
          <w:i/>
          <w:iCs/>
          <w:sz w:val="20"/>
          <w:szCs w:val="20"/>
        </w:rPr>
        <w:t xml:space="preserve">Australia/Papua New Guinea: The Pacific Non-Solution: Two Years On, Refugees Face Uncertainty, Restrictions on </w:t>
      </w:r>
      <w:r w:rsidRPr="00C458B9">
        <w:rPr>
          <w:i/>
          <w:iCs/>
          <w:sz w:val="20"/>
          <w:szCs w:val="20"/>
        </w:rPr>
        <w:t xml:space="preserve">Rights </w:t>
      </w:r>
      <w:r w:rsidRPr="00C458B9">
        <w:rPr>
          <w:sz w:val="20"/>
          <w:szCs w:val="20"/>
        </w:rPr>
        <w:t>(15 July 2015) &lt;</w:t>
      </w:r>
      <w:hyperlink r:id="rId14" w:history="1">
        <w:r w:rsidRPr="00C458B9">
          <w:rPr>
            <w:rStyle w:val="Hyperlink"/>
            <w:sz w:val="20"/>
            <w:szCs w:val="20"/>
          </w:rPr>
          <w:t>https://www.hrw.org/news/2015/07/15/australia/papua-new-guinea-pacific-non-solution</w:t>
        </w:r>
      </w:hyperlink>
      <w:r w:rsidRPr="00C458B9">
        <w:rPr>
          <w:sz w:val="20"/>
          <w:szCs w:val="20"/>
        </w:rPr>
        <w:t>&gt;; Senate</w:t>
      </w:r>
      <w:r w:rsidRPr="00960D83">
        <w:rPr>
          <w:sz w:val="20"/>
          <w:szCs w:val="20"/>
        </w:rPr>
        <w:t xml:space="preserve"> Legal and Constitutional Affairs Committee</w:t>
      </w:r>
      <w:r>
        <w:rPr>
          <w:sz w:val="20"/>
          <w:szCs w:val="20"/>
        </w:rPr>
        <w:t>, P</w:t>
      </w:r>
      <w:r w:rsidRPr="00960D83">
        <w:rPr>
          <w:sz w:val="20"/>
          <w:szCs w:val="20"/>
        </w:rPr>
        <w:t xml:space="preserve">arliament of Australia, </w:t>
      </w:r>
      <w:r w:rsidRPr="00AD06A2">
        <w:rPr>
          <w:i/>
          <w:iCs/>
          <w:sz w:val="20"/>
          <w:szCs w:val="20"/>
        </w:rPr>
        <w:t>Serious allegations of abuse, self-harm and neglect of asylum seekers in relation to the Nauru Regional Processing Centre, and any like allegations in relation to the Manus Regional Processing Centre</w:t>
      </w:r>
      <w:r w:rsidRPr="00021849">
        <w:rPr>
          <w:sz w:val="20"/>
          <w:szCs w:val="20"/>
        </w:rPr>
        <w:t xml:space="preserve"> (</w:t>
      </w:r>
      <w:r>
        <w:rPr>
          <w:sz w:val="20"/>
          <w:szCs w:val="20"/>
        </w:rPr>
        <w:t xml:space="preserve">21 April </w:t>
      </w:r>
      <w:r w:rsidRPr="00021849">
        <w:rPr>
          <w:sz w:val="20"/>
          <w:szCs w:val="20"/>
        </w:rPr>
        <w:t>2017)</w:t>
      </w:r>
      <w:r>
        <w:rPr>
          <w:sz w:val="20"/>
          <w:szCs w:val="20"/>
        </w:rPr>
        <w:t xml:space="preserve"> </w:t>
      </w:r>
      <w:r w:rsidRPr="00FC4ED1">
        <w:rPr>
          <w:sz w:val="20"/>
          <w:szCs w:val="20"/>
        </w:rPr>
        <w:t>&lt;</w:t>
      </w:r>
      <w:hyperlink r:id="rId15" w:history="1">
        <w:r w:rsidRPr="00FC4ED1">
          <w:rPr>
            <w:rStyle w:val="Hyperlink"/>
            <w:sz w:val="20"/>
            <w:szCs w:val="20"/>
          </w:rPr>
          <w:t>https://www.aph.gov.au/Parliamentary_Business/Committees/Senate/Legal_and_Constitutional_Affairs/NauruandManusRPCs/Report</w:t>
        </w:r>
      </w:hyperlink>
      <w:r w:rsidRPr="00FC4ED1">
        <w:rPr>
          <w:sz w:val="20"/>
          <w:szCs w:val="20"/>
        </w:rPr>
        <w:t xml:space="preserve">&gt;; Human Rights Council, </w:t>
      </w:r>
      <w:r w:rsidRPr="00FC4ED1">
        <w:rPr>
          <w:i/>
          <w:iCs/>
          <w:sz w:val="20"/>
          <w:szCs w:val="20"/>
        </w:rPr>
        <w:t>Report of the Special Rapporteur on the human rights of migrants on his mission to Australia and the regional processing centres in Nauru</w:t>
      </w:r>
      <w:r>
        <w:rPr>
          <w:i/>
          <w:iCs/>
          <w:sz w:val="20"/>
          <w:szCs w:val="20"/>
        </w:rPr>
        <w:t xml:space="preserve">, </w:t>
      </w:r>
      <w:r>
        <w:rPr>
          <w:sz w:val="20"/>
          <w:szCs w:val="20"/>
        </w:rPr>
        <w:t xml:space="preserve">UN Doc </w:t>
      </w:r>
      <w:r w:rsidRPr="00FC4ED1">
        <w:rPr>
          <w:sz w:val="20"/>
          <w:szCs w:val="20"/>
        </w:rPr>
        <w:t xml:space="preserve">A/HRC/35/25/Add.3 </w:t>
      </w:r>
      <w:r>
        <w:rPr>
          <w:sz w:val="20"/>
          <w:szCs w:val="20"/>
        </w:rPr>
        <w:t>(2017).</w:t>
      </w:r>
    </w:p>
  </w:endnote>
  <w:endnote w:id="15">
    <w:p w14:paraId="3E4BB92B" w14:textId="77777777" w:rsidR="00035821" w:rsidRPr="004A0F46" w:rsidRDefault="00035821" w:rsidP="00035821">
      <w:pPr>
        <w:pStyle w:val="EndnoteText"/>
      </w:pPr>
      <w:r w:rsidRPr="00FC4ED1">
        <w:rPr>
          <w:rStyle w:val="EndnoteReference"/>
        </w:rPr>
        <w:endnoteRef/>
      </w:r>
      <w:r w:rsidRPr="00FC4ED1">
        <w:t xml:space="preserve"> Department</w:t>
      </w:r>
      <w:r w:rsidRPr="0058257D">
        <w:t xml:space="preserve"> of Home Affairs, </w:t>
      </w:r>
      <w:r w:rsidRPr="00105747">
        <w:rPr>
          <w:i/>
          <w:iCs/>
        </w:rPr>
        <w:t>Answer to Question AE24-731 on Notice from the Senate Standing Committee on Legal and Constitutional Affairs</w:t>
      </w:r>
      <w:r w:rsidRPr="0058257D">
        <w:t xml:space="preserve"> (</w:t>
      </w:r>
      <w:r>
        <w:t xml:space="preserve">12 </w:t>
      </w:r>
      <w:r w:rsidRPr="0058257D">
        <w:t>February 2024)</w:t>
      </w:r>
      <w:r>
        <w:t xml:space="preserve"> </w:t>
      </w:r>
      <w:r w:rsidRPr="0058257D">
        <w:t>&lt;</w:t>
      </w:r>
      <w:hyperlink r:id="rId16" w:history="1">
        <w:r w:rsidRPr="003B0381">
          <w:rPr>
            <w:rStyle w:val="Hyperlink"/>
          </w:rPr>
          <w:t>https://www.aph.gov.au/api/qon/downloadestimatesquestions/EstimatesQuestion-CommitteeId6-EstimatesRoundId23-PortfolioId20-QuestionNumber731</w:t>
        </w:r>
      </w:hyperlink>
      <w:r>
        <w:t xml:space="preserve">&gt;; </w:t>
      </w:r>
      <w:r w:rsidRPr="0058257D">
        <w:t>Department of Home Affairs</w:t>
      </w:r>
      <w:r>
        <w:t xml:space="preserve">, </w:t>
      </w:r>
      <w:r w:rsidRPr="00105747">
        <w:rPr>
          <w:i/>
          <w:iCs/>
        </w:rPr>
        <w:t>Answer to Question AE24-732 on Notice from the Senate Standing Committee on Legal and Constitutional Affairs</w:t>
      </w:r>
      <w:r w:rsidRPr="00105747">
        <w:t xml:space="preserve"> (</w:t>
      </w:r>
      <w:r>
        <w:t xml:space="preserve">12 </w:t>
      </w:r>
      <w:r w:rsidRPr="00105747">
        <w:t xml:space="preserve">February 2024) </w:t>
      </w:r>
      <w:r>
        <w:t>&lt;</w:t>
      </w:r>
      <w:hyperlink r:id="rId17" w:history="1">
        <w:r w:rsidRPr="003B0381">
          <w:rPr>
            <w:rStyle w:val="Hyperlink"/>
          </w:rPr>
          <w:t>https://www.aph.gov.au/api/qon/downloadestimatesquestions/EstimatesQuestion-CommitteeId6-EstimatesRoundId23-PortfolioId20-QuestionNumber732</w:t>
        </w:r>
      </w:hyperlink>
      <w:r>
        <w:t>&gt;.</w:t>
      </w:r>
    </w:p>
  </w:endnote>
  <w:endnote w:id="16">
    <w:p w14:paraId="7A0B7F42" w14:textId="77777777" w:rsidR="00035821" w:rsidRPr="0007058A" w:rsidRDefault="00035821" w:rsidP="00035821">
      <w:pPr>
        <w:pStyle w:val="EndnoteText"/>
        <w:rPr>
          <w:rFonts w:cs="Open Sans"/>
        </w:rPr>
      </w:pPr>
      <w:r w:rsidRPr="0007058A">
        <w:rPr>
          <w:rStyle w:val="EndnoteReference"/>
        </w:rPr>
        <w:endnoteRef/>
      </w:r>
      <w:r w:rsidRPr="0007058A">
        <w:t xml:space="preserve"> See </w:t>
      </w:r>
      <w:r>
        <w:t xml:space="preserve">e.g. </w:t>
      </w:r>
      <w:r w:rsidRPr="0007058A">
        <w:rPr>
          <w:rFonts w:cs="Open Sans"/>
        </w:rPr>
        <w:t xml:space="preserve">AHRC, </w:t>
      </w:r>
      <w:r w:rsidRPr="0007058A">
        <w:rPr>
          <w:rFonts w:cs="Open Sans"/>
          <w:i/>
          <w:iCs/>
        </w:rPr>
        <w:t>Human rights issues raised by the third country processing regime</w:t>
      </w:r>
      <w:r w:rsidRPr="0007058A">
        <w:rPr>
          <w:rFonts w:cs="Open Sans"/>
        </w:rPr>
        <w:t xml:space="preserve"> (March 2013) &lt;</w:t>
      </w:r>
      <w:hyperlink r:id="rId18" w:history="1">
        <w:r w:rsidRPr="0007058A">
          <w:rPr>
            <w:rStyle w:val="Hyperlink"/>
            <w:rFonts w:cs="Open Sans"/>
          </w:rPr>
          <w:t>http://www.humanrights.gov.au/our-work/rights-and-freedoms/publications/human-rights-issues-raised-third-country-processing-regime</w:t>
        </w:r>
      </w:hyperlink>
      <w:r w:rsidRPr="006E4454">
        <w:rPr>
          <w:rFonts w:cs="Open Sans"/>
        </w:rPr>
        <w:t xml:space="preserve">&gt;; AHRC, </w:t>
      </w:r>
      <w:r w:rsidRPr="006E4454">
        <w:rPr>
          <w:rFonts w:cs="Open Sans"/>
          <w:i/>
          <w:iCs/>
        </w:rPr>
        <w:t xml:space="preserve">Submission to Inquiry into the responsibilities of the Commonwealth Government in connection with the management and operation of the Regional Processing Centre in Nauru </w:t>
      </w:r>
      <w:r w:rsidRPr="006E4454">
        <w:rPr>
          <w:rFonts w:cs="Open Sans"/>
        </w:rPr>
        <w:t>(27 April 2015)</w:t>
      </w:r>
      <w:r w:rsidRPr="0007058A">
        <w:rPr>
          <w:rFonts w:cs="Open Sans"/>
        </w:rPr>
        <w:t xml:space="preserve"> &lt;</w:t>
      </w:r>
      <w:hyperlink r:id="rId19" w:history="1">
        <w:r w:rsidRPr="0007058A">
          <w:rPr>
            <w:rStyle w:val="Hyperlink"/>
            <w:rFonts w:cs="Open Sans"/>
          </w:rPr>
          <w:t>https://humanrights.gov.au/our-work/legal/submission/submission-inquiry-responsibilities-commonwealth-government-connection</w:t>
        </w:r>
      </w:hyperlink>
      <w:r w:rsidRPr="0007058A">
        <w:rPr>
          <w:rFonts w:cs="Open Sans"/>
        </w:rPr>
        <w:t xml:space="preserve">&gt;; AHRC, </w:t>
      </w:r>
      <w:r w:rsidRPr="0007058A">
        <w:rPr>
          <w:rFonts w:cs="Open Sans"/>
          <w:i/>
          <w:iCs/>
        </w:rPr>
        <w:t xml:space="preserve">Asylum Seekers, Refugees and Human Rights: Snapshot Report </w:t>
      </w:r>
      <w:r w:rsidRPr="0007058A">
        <w:rPr>
          <w:rFonts w:cs="Open Sans"/>
        </w:rPr>
        <w:t>(2</w:t>
      </w:r>
      <w:r w:rsidRPr="0007058A">
        <w:rPr>
          <w:rFonts w:cs="Open Sans"/>
          <w:vertAlign w:val="superscript"/>
        </w:rPr>
        <w:t>nd</w:t>
      </w:r>
      <w:r w:rsidRPr="0007058A">
        <w:rPr>
          <w:rFonts w:cs="Open Sans"/>
        </w:rPr>
        <w:t xml:space="preserve"> ed</w:t>
      </w:r>
      <w:r>
        <w:rPr>
          <w:rFonts w:cs="Open Sans"/>
        </w:rPr>
        <w:t>,</w:t>
      </w:r>
      <w:r w:rsidRPr="0007058A">
        <w:rPr>
          <w:rFonts w:cs="Open Sans"/>
        </w:rPr>
        <w:t xml:space="preserve"> 30 March 2017)</w:t>
      </w:r>
      <w:r>
        <w:rPr>
          <w:rFonts w:cs="Open Sans"/>
        </w:rPr>
        <w:t xml:space="preserve"> at</w:t>
      </w:r>
      <w:r w:rsidRPr="0007058A">
        <w:rPr>
          <w:rFonts w:cs="Open Sans"/>
        </w:rPr>
        <w:t xml:space="preserve"> section 4 &lt;</w:t>
      </w:r>
      <w:hyperlink r:id="rId20" w:history="1">
        <w:r w:rsidRPr="0007058A">
          <w:rPr>
            <w:rStyle w:val="Hyperlink"/>
            <w:rFonts w:cs="Open Sans"/>
          </w:rPr>
          <w:t>https://humanrights.gov.au/our-work/asylum-seekers-and-refugees/publications/asylum-seekers-refugees-and-human-rights-0</w:t>
        </w:r>
      </w:hyperlink>
      <w:r w:rsidRPr="0007058A">
        <w:rPr>
          <w:rFonts w:cs="Open Sans"/>
        </w:rPr>
        <w:t xml:space="preserve">&gt;; </w:t>
      </w:r>
      <w:r w:rsidRPr="0007058A">
        <w:rPr>
          <w:rFonts w:cs="Open Sans"/>
          <w:i/>
          <w:iCs/>
        </w:rPr>
        <w:t xml:space="preserve">Ms BK, Ms CO and Mr DE on behalf of themselves and their families v Commonwealth of Australia (Department of Home Affairs) </w:t>
      </w:r>
      <w:r w:rsidRPr="0007058A">
        <w:rPr>
          <w:rFonts w:cs="Open Sans"/>
        </w:rPr>
        <w:t>[2018] AustHRC 128</w:t>
      </w:r>
      <w:r>
        <w:rPr>
          <w:rFonts w:cs="Open Sans"/>
        </w:rPr>
        <w:t>.</w:t>
      </w:r>
    </w:p>
  </w:endnote>
  <w:endnote w:id="17">
    <w:p w14:paraId="261E029C" w14:textId="77777777" w:rsidR="00035821" w:rsidRPr="009970C9" w:rsidRDefault="00035821" w:rsidP="00035821">
      <w:pPr>
        <w:pStyle w:val="SubmissionNormal"/>
        <w:numPr>
          <w:ilvl w:val="0"/>
          <w:numId w:val="0"/>
        </w:numPr>
        <w:spacing w:before="0" w:after="0"/>
        <w:rPr>
          <w:rFonts w:cs="Open Sans"/>
          <w:sz w:val="20"/>
          <w:szCs w:val="20"/>
        </w:rPr>
      </w:pPr>
      <w:r w:rsidRPr="004A0F46">
        <w:rPr>
          <w:rStyle w:val="EndnoteReference"/>
          <w:rFonts w:cs="Open Sans"/>
          <w:szCs w:val="20"/>
        </w:rPr>
        <w:endnoteRef/>
      </w:r>
      <w:r w:rsidRPr="00C822DD">
        <w:rPr>
          <w:i/>
          <w:iCs/>
          <w:sz w:val="20"/>
          <w:szCs w:val="20"/>
        </w:rPr>
        <w:t xml:space="preserve"> MI et al v Australia, </w:t>
      </w:r>
      <w:r w:rsidRPr="00C822DD">
        <w:rPr>
          <w:sz w:val="20"/>
          <w:szCs w:val="20"/>
        </w:rPr>
        <w:t xml:space="preserve">UN Doc CCPR/C/142/D/2749/2016 (2025); </w:t>
      </w:r>
      <w:r w:rsidRPr="00C822DD">
        <w:rPr>
          <w:i/>
          <w:iCs/>
          <w:sz w:val="20"/>
          <w:szCs w:val="20"/>
        </w:rPr>
        <w:t>Nabhari v Australia</w:t>
      </w:r>
      <w:r w:rsidRPr="00C822DD">
        <w:rPr>
          <w:sz w:val="20"/>
          <w:szCs w:val="20"/>
        </w:rPr>
        <w:t>, UN Doc CCPR/C/142/D/3663/2019 (2025).</w:t>
      </w:r>
      <w:r w:rsidRPr="00C822DD">
        <w:rPr>
          <w:rFonts w:cs="Open Sans"/>
          <w:i/>
          <w:iCs/>
          <w:sz w:val="20"/>
          <w:szCs w:val="20"/>
        </w:rPr>
        <w:t xml:space="preserve"> </w:t>
      </w:r>
    </w:p>
  </w:endnote>
  <w:endnote w:id="18">
    <w:p w14:paraId="6856E96B" w14:textId="77777777" w:rsidR="00035821" w:rsidRDefault="00035821" w:rsidP="00035821">
      <w:pPr>
        <w:pStyle w:val="EndnoteText"/>
      </w:pPr>
      <w:r>
        <w:rPr>
          <w:rStyle w:val="EndnoteReference"/>
        </w:rPr>
        <w:endnoteRef/>
      </w:r>
      <w:r>
        <w:t xml:space="preserve"> United Nations, </w:t>
      </w:r>
      <w:r w:rsidRPr="007C6639">
        <w:rPr>
          <w:i/>
          <w:iCs/>
        </w:rPr>
        <w:t>Australia responsible for arbitrary detention of asylum seekers in offshore facilities, UN Human Rights Committee finds</w:t>
      </w:r>
      <w:r>
        <w:t xml:space="preserve"> (Medial Release, 9 January 2025) &lt;</w:t>
      </w:r>
      <w:hyperlink r:id="rId21" w:history="1">
        <w:r w:rsidRPr="003B0381">
          <w:rPr>
            <w:rStyle w:val="Hyperlink"/>
          </w:rPr>
          <w:t>https://www.ohchr.org/en/press-releases/2025/01/australia-responsible-arbitrary-detention-asylum-seekers-offshore-facilities</w:t>
        </w:r>
      </w:hyperlink>
      <w:r>
        <w:t xml:space="preserve">&gt;. </w:t>
      </w:r>
    </w:p>
  </w:endnote>
  <w:endnote w:id="19">
    <w:p w14:paraId="6945AA66" w14:textId="77777777" w:rsidR="00035821" w:rsidRPr="00A87FA9" w:rsidRDefault="00035821" w:rsidP="00035821">
      <w:pPr>
        <w:pStyle w:val="EndnoteText"/>
        <w:rPr>
          <w:rFonts w:cs="Open Sans"/>
          <w:i/>
          <w:iCs/>
        </w:rPr>
      </w:pPr>
      <w:r>
        <w:rPr>
          <w:rStyle w:val="EndnoteReference"/>
        </w:rPr>
        <w:endnoteRef/>
      </w:r>
      <w:r>
        <w:rPr>
          <w:i/>
          <w:iCs/>
        </w:rPr>
        <w:t xml:space="preserve"> </w:t>
      </w:r>
      <w:r w:rsidRPr="00C822DD">
        <w:rPr>
          <w:i/>
          <w:iCs/>
        </w:rPr>
        <w:t xml:space="preserve">MI et al v Australia, </w:t>
      </w:r>
      <w:r w:rsidRPr="00C822DD">
        <w:t>UN Doc CCPR/C/142/D/2749/2016 (2025)</w:t>
      </w:r>
      <w:r>
        <w:t xml:space="preserve"> at [12]</w:t>
      </w:r>
      <w:r w:rsidRPr="00C822DD">
        <w:t xml:space="preserve">; </w:t>
      </w:r>
      <w:r w:rsidRPr="00C822DD">
        <w:rPr>
          <w:i/>
          <w:iCs/>
        </w:rPr>
        <w:t>Nabhari v Australia</w:t>
      </w:r>
      <w:r w:rsidRPr="00C822DD">
        <w:t>, UN Doc CCPR/C/142/D/3663/2019 (2025)</w:t>
      </w:r>
      <w:r>
        <w:t xml:space="preserve"> at</w:t>
      </w:r>
      <w:r>
        <w:rPr>
          <w:rFonts w:cs="Open Sans"/>
          <w:i/>
          <w:iCs/>
        </w:rPr>
        <w:t xml:space="preserve"> </w:t>
      </w:r>
      <w:r>
        <w:rPr>
          <w:rFonts w:cs="Open Sans"/>
        </w:rPr>
        <w:t>[10].</w:t>
      </w:r>
    </w:p>
  </w:endnote>
  <w:endnote w:id="20">
    <w:p w14:paraId="30A706EA" w14:textId="77777777" w:rsidR="00035821" w:rsidRPr="009970C9" w:rsidRDefault="00035821" w:rsidP="00035821">
      <w:pPr>
        <w:pStyle w:val="EndnoteText"/>
        <w:rPr>
          <w:rFonts w:cs="Open Sans"/>
        </w:rPr>
      </w:pPr>
      <w:r w:rsidRPr="009970C9">
        <w:rPr>
          <w:rStyle w:val="EndnoteReference"/>
          <w:rFonts w:cs="Open Sans"/>
        </w:rPr>
        <w:endnoteRef/>
      </w:r>
      <w:r w:rsidRPr="009970C9">
        <w:rPr>
          <w:rFonts w:cs="Open Sans"/>
        </w:rPr>
        <w:t xml:space="preserve"> Ben Doherty, ‘What is our future?: the Nauru detention centre was empty. Now 100 asylum seekers are held there’, </w:t>
      </w:r>
      <w:r w:rsidRPr="009970C9">
        <w:rPr>
          <w:rFonts w:cs="Open Sans"/>
          <w:i/>
        </w:rPr>
        <w:t>The Guardian</w:t>
      </w:r>
      <w:r w:rsidRPr="009970C9">
        <w:rPr>
          <w:rFonts w:cs="Open Sans"/>
          <w:i/>
          <w:iCs/>
        </w:rPr>
        <w:t xml:space="preserve"> </w:t>
      </w:r>
      <w:r w:rsidRPr="009970C9">
        <w:rPr>
          <w:rFonts w:cs="Open Sans"/>
        </w:rPr>
        <w:t>(13 June 2024) &lt;</w:t>
      </w:r>
      <w:hyperlink r:id="rId22" w:history="1">
        <w:r w:rsidRPr="009970C9">
          <w:rPr>
            <w:rStyle w:val="Hyperlink"/>
            <w:rFonts w:cs="Open Sans"/>
          </w:rPr>
          <w:t>https://www.theguardian.com/australia-news/article/2024/jun/13/what-is-our-future-the-nauru-detention-centre-was-empty-now-100-asylum-seekers-are-held-there</w:t>
        </w:r>
      </w:hyperlink>
      <w:r w:rsidRPr="009970C9">
        <w:rPr>
          <w:rFonts w:cs="Open Sans"/>
        </w:rPr>
        <w:t xml:space="preserve">&gt;. </w:t>
      </w:r>
    </w:p>
  </w:endnote>
  <w:endnote w:id="21">
    <w:p w14:paraId="12C0FC27" w14:textId="77777777" w:rsidR="00035821" w:rsidRPr="009970C9" w:rsidRDefault="00035821" w:rsidP="00035821">
      <w:pPr>
        <w:pStyle w:val="EndnoteText"/>
        <w:rPr>
          <w:rFonts w:cs="Open Sans"/>
        </w:rPr>
      </w:pPr>
      <w:r w:rsidRPr="009970C9">
        <w:rPr>
          <w:rStyle w:val="EndnoteReference"/>
          <w:rFonts w:cs="Open Sans"/>
        </w:rPr>
        <w:endnoteRef/>
      </w:r>
      <w:r w:rsidRPr="009970C9">
        <w:rPr>
          <w:rFonts w:cs="Open Sans"/>
        </w:rPr>
        <w:t xml:space="preserve"> Ibid.</w:t>
      </w:r>
    </w:p>
  </w:endnote>
  <w:endnote w:id="22">
    <w:p w14:paraId="1096200A" w14:textId="77777777" w:rsidR="00035821" w:rsidRDefault="00035821" w:rsidP="00035821">
      <w:pPr>
        <w:pStyle w:val="EndnoteText"/>
      </w:pPr>
      <w:r>
        <w:rPr>
          <w:rStyle w:val="EndnoteReference"/>
        </w:rPr>
        <w:endnoteRef/>
      </w:r>
      <w:r>
        <w:t xml:space="preserve"> </w:t>
      </w:r>
      <w:r w:rsidRPr="009970C9">
        <w:rPr>
          <w:rFonts w:cs="Open Sans"/>
        </w:rPr>
        <w:t xml:space="preserve">Ben Doherty and Daisy Dumas, ‘Refugees in PNG told they will be evicted after Australian-sponsored housing bills not paid’, </w:t>
      </w:r>
      <w:r w:rsidRPr="009970C9">
        <w:rPr>
          <w:rFonts w:cs="Open Sans"/>
          <w:i/>
        </w:rPr>
        <w:t>The Guardian</w:t>
      </w:r>
      <w:r w:rsidRPr="009970C9">
        <w:rPr>
          <w:rFonts w:cs="Open Sans"/>
          <w:i/>
          <w:iCs/>
        </w:rPr>
        <w:t xml:space="preserve"> </w:t>
      </w:r>
      <w:r w:rsidRPr="008F74B3">
        <w:rPr>
          <w:rFonts w:cs="Open Sans"/>
        </w:rPr>
        <w:t>(</w:t>
      </w:r>
      <w:r w:rsidRPr="009970C9">
        <w:rPr>
          <w:rFonts w:cs="Open Sans"/>
        </w:rPr>
        <w:t>29 September 2023) &lt;</w:t>
      </w:r>
      <w:hyperlink r:id="rId23" w:history="1">
        <w:r w:rsidRPr="009970C9">
          <w:rPr>
            <w:rStyle w:val="Hyperlink"/>
            <w:rFonts w:cs="Open Sans"/>
          </w:rPr>
          <w:t>https://www.theguardian.com/australia-news/2023/sep/29/papua-new-guinea-refugees-evictions-unpaid-bills-rent</w:t>
        </w:r>
      </w:hyperlink>
      <w:r w:rsidRPr="009970C9">
        <w:rPr>
          <w:rFonts w:cs="Open Sans"/>
        </w:rPr>
        <w:t>&gt;.</w:t>
      </w:r>
    </w:p>
  </w:endnote>
  <w:endnote w:id="23">
    <w:p w14:paraId="6A57D820" w14:textId="77777777" w:rsidR="00035821" w:rsidRPr="009970C9" w:rsidRDefault="00035821" w:rsidP="00035821">
      <w:pPr>
        <w:pStyle w:val="EndnoteText"/>
        <w:rPr>
          <w:rFonts w:cs="Open Sans"/>
        </w:rPr>
      </w:pPr>
      <w:r w:rsidRPr="009970C9">
        <w:rPr>
          <w:rStyle w:val="EndnoteReference"/>
          <w:rFonts w:cs="Open Sans"/>
        </w:rPr>
        <w:endnoteRef/>
      </w:r>
      <w:r w:rsidRPr="009970C9">
        <w:rPr>
          <w:rFonts w:cs="Open Sans"/>
        </w:rPr>
        <w:t xml:space="preserve"> </w:t>
      </w:r>
      <w:r>
        <w:rPr>
          <w:rFonts w:cs="Open Sans"/>
        </w:rPr>
        <w:t>Eden Gillespie, ‘</w:t>
      </w:r>
      <w:r w:rsidRPr="00653167">
        <w:rPr>
          <w:rFonts w:cs="Open Sans"/>
        </w:rPr>
        <w:t>PNG asylum seekers stripped of government-provided housing and healthcare under new deal</w:t>
      </w:r>
      <w:r>
        <w:rPr>
          <w:rFonts w:cs="Open Sans"/>
        </w:rPr>
        <w:t xml:space="preserve">’, </w:t>
      </w:r>
      <w:r>
        <w:rPr>
          <w:rFonts w:cs="Open Sans"/>
          <w:i/>
          <w:iCs/>
        </w:rPr>
        <w:t xml:space="preserve">ABC News </w:t>
      </w:r>
      <w:r>
        <w:rPr>
          <w:rFonts w:cs="Open Sans"/>
        </w:rPr>
        <w:t>(12 December 2024) &lt;</w:t>
      </w:r>
      <w:hyperlink r:id="rId24" w:history="1">
        <w:r w:rsidRPr="003B0381">
          <w:rPr>
            <w:rStyle w:val="Hyperlink"/>
            <w:rFonts w:cs="Open Sans"/>
          </w:rPr>
          <w:t>https://www.abc.net.au/news/2024-12-12/png-asylum-seekers-new-deal-housing-healthcare/104717280</w:t>
        </w:r>
      </w:hyperlink>
      <w:r>
        <w:rPr>
          <w:rFonts w:cs="Open Sans"/>
        </w:rPr>
        <w:t xml:space="preserve">&gt;. </w:t>
      </w:r>
    </w:p>
  </w:endnote>
  <w:endnote w:id="24">
    <w:p w14:paraId="470B422E" w14:textId="77777777" w:rsidR="00035821" w:rsidRPr="004A120E" w:rsidRDefault="00035821" w:rsidP="00035821">
      <w:pPr>
        <w:pStyle w:val="SubmissionNormal"/>
        <w:numPr>
          <w:ilvl w:val="0"/>
          <w:numId w:val="0"/>
        </w:numPr>
        <w:spacing w:before="0" w:after="0"/>
        <w:rPr>
          <w:rFonts w:cs="Open Sans"/>
          <w:sz w:val="20"/>
          <w:szCs w:val="20"/>
        </w:rPr>
      </w:pPr>
      <w:r w:rsidRPr="004A120E">
        <w:rPr>
          <w:rStyle w:val="EndnoteReference"/>
          <w:rFonts w:cs="Open Sans"/>
          <w:szCs w:val="20"/>
        </w:rPr>
        <w:endnoteRef/>
      </w:r>
      <w:r w:rsidRPr="004A120E">
        <w:rPr>
          <w:rFonts w:cs="Open Sans"/>
          <w:sz w:val="20"/>
          <w:szCs w:val="20"/>
        </w:rPr>
        <w:t xml:space="preserve"> </w:t>
      </w:r>
      <w:r w:rsidRPr="004A120E">
        <w:rPr>
          <w:rStyle w:val="normaltextrun"/>
          <w:rFonts w:eastAsia="MS Mincho" w:cs="Open Sans"/>
          <w:i/>
          <w:iCs/>
          <w:sz w:val="20"/>
          <w:szCs w:val="20"/>
        </w:rPr>
        <w:t xml:space="preserve">NZYQ v Minister for Immigration, Citizenship and Multicultural Affairs </w:t>
      </w:r>
      <w:r w:rsidRPr="004A120E">
        <w:rPr>
          <w:rFonts w:cs="Open Sans"/>
          <w:sz w:val="20"/>
          <w:szCs w:val="20"/>
        </w:rPr>
        <w:t>[2023] HCA 37.</w:t>
      </w:r>
    </w:p>
  </w:endnote>
  <w:endnote w:id="25">
    <w:p w14:paraId="15F6B089" w14:textId="77777777" w:rsidR="00035821" w:rsidRPr="004A120E" w:rsidRDefault="00035821" w:rsidP="00035821">
      <w:pPr>
        <w:pStyle w:val="EndnoteText"/>
      </w:pPr>
      <w:r w:rsidRPr="004A120E">
        <w:rPr>
          <w:rStyle w:val="EndnoteReference"/>
        </w:rPr>
        <w:endnoteRef/>
      </w:r>
      <w:r w:rsidRPr="004A120E">
        <w:t xml:space="preserve"> </w:t>
      </w:r>
      <w:r>
        <w:t xml:space="preserve">Human Rights Law Centre, </w:t>
      </w:r>
      <w:r>
        <w:rPr>
          <w:i/>
          <w:iCs/>
        </w:rPr>
        <w:t xml:space="preserve">Indefinite immigration detention unlawful: High Court rules </w:t>
      </w:r>
      <w:r>
        <w:t>(8 November 2023) &lt;</w:t>
      </w:r>
      <w:hyperlink r:id="rId25" w:history="1">
        <w:r w:rsidRPr="003B0381">
          <w:rPr>
            <w:rStyle w:val="Hyperlink"/>
          </w:rPr>
          <w:t>https://www.hrlc.org.au/news/2023-11-08-indefinite-detention-overruled/</w:t>
        </w:r>
      </w:hyperlink>
      <w:r>
        <w:t xml:space="preserve">&gt;. </w:t>
      </w:r>
    </w:p>
  </w:endnote>
  <w:endnote w:id="26">
    <w:p w14:paraId="33DF38BC" w14:textId="77777777" w:rsidR="00035821" w:rsidRDefault="00035821" w:rsidP="00035821">
      <w:pPr>
        <w:pStyle w:val="EndnoteText"/>
      </w:pPr>
      <w:r>
        <w:rPr>
          <w:rStyle w:val="EndnoteReference"/>
        </w:rPr>
        <w:endnoteRef/>
      </w:r>
      <w:r>
        <w:t xml:space="preserve"> </w:t>
      </w:r>
      <w:r w:rsidRPr="00FC4ED1">
        <w:t>Department</w:t>
      </w:r>
      <w:r w:rsidRPr="0058257D">
        <w:t xml:space="preserve"> of Home Affairs, </w:t>
      </w:r>
      <w:r w:rsidRPr="00105747">
        <w:rPr>
          <w:i/>
          <w:iCs/>
        </w:rPr>
        <w:t xml:space="preserve">Answer to Question </w:t>
      </w:r>
      <w:r>
        <w:rPr>
          <w:i/>
          <w:iCs/>
        </w:rPr>
        <w:t>S</w:t>
      </w:r>
      <w:r w:rsidRPr="00105747">
        <w:rPr>
          <w:i/>
          <w:iCs/>
        </w:rPr>
        <w:t>E24-</w:t>
      </w:r>
      <w:r>
        <w:rPr>
          <w:i/>
          <w:iCs/>
        </w:rPr>
        <w:t>627</w:t>
      </w:r>
      <w:r w:rsidRPr="00105747">
        <w:rPr>
          <w:i/>
          <w:iCs/>
        </w:rPr>
        <w:t xml:space="preserve"> on Notice from the Senate Standing Committee on Legal and Constitutional Affairs</w:t>
      </w:r>
      <w:r w:rsidRPr="0058257D">
        <w:t xml:space="preserve"> (</w:t>
      </w:r>
      <w:r>
        <w:t>15 January</w:t>
      </w:r>
      <w:r w:rsidRPr="0058257D">
        <w:t xml:space="preserve"> 202</w:t>
      </w:r>
      <w:r>
        <w:t>5</w:t>
      </w:r>
      <w:r w:rsidRPr="0058257D">
        <w:t>)</w:t>
      </w:r>
      <w:r>
        <w:t xml:space="preserve"> </w:t>
      </w:r>
      <w:r w:rsidRPr="0058257D">
        <w:t>&lt;</w:t>
      </w:r>
      <w:r w:rsidRPr="008336DE">
        <w:t xml:space="preserve"> </w:t>
      </w:r>
      <w:r>
        <w:t>&lt;</w:t>
      </w:r>
      <w:hyperlink r:id="rId26" w:history="1">
        <w:r w:rsidRPr="009B423D">
          <w:rPr>
            <w:rStyle w:val="Hyperlink"/>
          </w:rPr>
          <w:t>https://www.aph.gov.au/api/qon/downloadestimatesquestions/EstimatesQuestion-CommitteeId6-EstimatesRoundId25-PortfolioId20-QuestionNumber627</w:t>
        </w:r>
      </w:hyperlink>
      <w:r>
        <w:t>&gt;.</w:t>
      </w:r>
    </w:p>
  </w:endnote>
  <w:endnote w:id="27">
    <w:p w14:paraId="15904A48" w14:textId="77777777" w:rsidR="00035821" w:rsidRPr="00784238" w:rsidRDefault="00035821" w:rsidP="00035821">
      <w:pPr>
        <w:pStyle w:val="EndnoteText"/>
        <w:rPr>
          <w:rFonts w:cs="Open Sans"/>
        </w:rPr>
      </w:pPr>
      <w:r w:rsidRPr="004A120E">
        <w:rPr>
          <w:rStyle w:val="EndnoteReference"/>
        </w:rPr>
        <w:endnoteRef/>
      </w:r>
      <w:r w:rsidRPr="004A120E">
        <w:t xml:space="preserve"> See </w:t>
      </w:r>
      <w:r w:rsidRPr="004A120E">
        <w:rPr>
          <w:rStyle w:val="normaltextrun"/>
          <w:rFonts w:cs="Open Sans"/>
          <w:i/>
          <w:iCs/>
        </w:rPr>
        <w:t>Migration Amendment (Bridging</w:t>
      </w:r>
      <w:r w:rsidRPr="009970C9">
        <w:rPr>
          <w:rStyle w:val="normaltextrun"/>
          <w:rFonts w:cs="Open Sans"/>
          <w:i/>
          <w:iCs/>
        </w:rPr>
        <w:t xml:space="preserve"> Visa Conditions) Act 2023</w:t>
      </w:r>
      <w:r>
        <w:rPr>
          <w:rStyle w:val="normaltextrun"/>
          <w:rFonts w:cs="Open Sans"/>
          <w:i/>
          <w:iCs/>
        </w:rPr>
        <w:t>,</w:t>
      </w:r>
      <w:r>
        <w:rPr>
          <w:rStyle w:val="normaltextrun"/>
          <w:rFonts w:cs="Open Sans"/>
        </w:rPr>
        <w:t xml:space="preserve"> whose punitive visa conditions were ruled unlawful in</w:t>
      </w:r>
      <w:r>
        <w:rPr>
          <w:rStyle w:val="normaltextrun"/>
          <w:rFonts w:cs="Open Sans"/>
          <w:i/>
          <w:iCs/>
        </w:rPr>
        <w:t xml:space="preserve"> </w:t>
      </w:r>
      <w:r w:rsidRPr="009970C9">
        <w:rPr>
          <w:rFonts w:cs="Open Sans"/>
          <w:i/>
          <w:iCs/>
        </w:rPr>
        <w:t xml:space="preserve">YBFZ v Minister for Immigration, Citizenship and Multicultural Affairs </w:t>
      </w:r>
      <w:r w:rsidRPr="009970C9">
        <w:rPr>
          <w:rFonts w:cs="Open Sans"/>
        </w:rPr>
        <w:t>[2024] HCA 40</w:t>
      </w:r>
      <w:r>
        <w:rPr>
          <w:rFonts w:cs="Open Sans"/>
        </w:rPr>
        <w:t>; AHRC</w:t>
      </w:r>
      <w:r w:rsidRPr="009970C9">
        <w:rPr>
          <w:rFonts w:cs="Open Sans"/>
        </w:rPr>
        <w:t xml:space="preserve">, Submission No 25 to Senate Legal and Constitutional Affairs Committee, </w:t>
      </w:r>
      <w:r w:rsidRPr="009970C9">
        <w:rPr>
          <w:rFonts w:cs="Open Sans"/>
          <w:i/>
          <w:iCs/>
        </w:rPr>
        <w:t xml:space="preserve">Migration Amendment Bill 2024 </w:t>
      </w:r>
      <w:r w:rsidRPr="009970C9">
        <w:rPr>
          <w:rFonts w:cs="Open Sans"/>
        </w:rPr>
        <w:t>(22 November 2024). &lt;</w:t>
      </w:r>
      <w:hyperlink r:id="rId27">
        <w:r w:rsidRPr="009970C9">
          <w:rPr>
            <w:rStyle w:val="Hyperlink"/>
            <w:rFonts w:cs="Open Sans"/>
          </w:rPr>
          <w:t>https://humanrights.gov.au/sites/default/files/submission_25_-_migration_amendment_bill_2024_ahrc_submission_2_0.pdf</w:t>
        </w:r>
      </w:hyperlink>
      <w:r w:rsidRPr="009970C9">
        <w:rPr>
          <w:rFonts w:cs="Open Sans"/>
        </w:rPr>
        <w:t>&gt;</w:t>
      </w:r>
      <w:r>
        <w:rPr>
          <w:rFonts w:cs="Open Sans"/>
        </w:rPr>
        <w:t xml:space="preserve">; AHRC, </w:t>
      </w:r>
      <w:r w:rsidRPr="009542E2">
        <w:rPr>
          <w:rFonts w:cs="Open Sans"/>
        </w:rPr>
        <w:t xml:space="preserve">Submission </w:t>
      </w:r>
      <w:r w:rsidRPr="009970C9">
        <w:rPr>
          <w:rFonts w:cs="Open Sans"/>
        </w:rPr>
        <w:t xml:space="preserve">to Senate Legal and Constitutional Affairs Committee, </w:t>
      </w:r>
      <w:r w:rsidRPr="00E028C0">
        <w:rPr>
          <w:rFonts w:cs="Open Sans"/>
          <w:i/>
          <w:iCs/>
        </w:rPr>
        <w:t>Migration Amendment (Removals and Other Measures) Bill 2024</w:t>
      </w:r>
      <w:r>
        <w:rPr>
          <w:rFonts w:cs="Open Sans"/>
        </w:rPr>
        <w:t xml:space="preserve"> (</w:t>
      </w:r>
      <w:r w:rsidRPr="00E028C0">
        <w:rPr>
          <w:rFonts w:cs="Open Sans"/>
        </w:rPr>
        <w:t>12 April 2024</w:t>
      </w:r>
      <w:r>
        <w:rPr>
          <w:rFonts w:cs="Open Sans"/>
        </w:rPr>
        <w:t>) &lt;</w:t>
      </w:r>
      <w:hyperlink r:id="rId28" w:history="1">
        <w:r w:rsidRPr="003B0381">
          <w:rPr>
            <w:rStyle w:val="Hyperlink"/>
            <w:rFonts w:cs="Open Sans"/>
          </w:rPr>
          <w:t>https://humanrights.gov.au/sites/default/files/ahrc_submission_on_migration_amendment_removals_and_other_measures_bill_2024_0.pdf</w:t>
        </w:r>
      </w:hyperlink>
      <w:r>
        <w:rPr>
          <w:rFonts w:cs="Open Sans"/>
        </w:rPr>
        <w:t>&gt;.</w:t>
      </w:r>
    </w:p>
  </w:endnote>
  <w:endnote w:id="28">
    <w:p w14:paraId="5B7E78A8" w14:textId="77777777" w:rsidR="00035821" w:rsidRPr="009970C9" w:rsidRDefault="00035821" w:rsidP="00035821">
      <w:pPr>
        <w:pStyle w:val="EndnoteText"/>
        <w:rPr>
          <w:rFonts w:cs="Open Sans"/>
        </w:rPr>
      </w:pPr>
      <w:r w:rsidRPr="009970C9">
        <w:rPr>
          <w:rStyle w:val="EndnoteReference"/>
          <w:rFonts w:cs="Open Sans"/>
        </w:rPr>
        <w:endnoteRef/>
      </w:r>
      <w:r w:rsidRPr="009970C9">
        <w:rPr>
          <w:rFonts w:cs="Open Sans"/>
        </w:rPr>
        <w:t xml:space="preserve"> </w:t>
      </w:r>
      <w:r>
        <w:rPr>
          <w:rFonts w:cs="Open Sans"/>
        </w:rPr>
        <w:t xml:space="preserve">AHRC, </w:t>
      </w:r>
      <w:r w:rsidRPr="009542E2">
        <w:rPr>
          <w:rFonts w:cs="Open Sans"/>
        </w:rPr>
        <w:t xml:space="preserve">Submission </w:t>
      </w:r>
      <w:r w:rsidRPr="009970C9">
        <w:rPr>
          <w:rFonts w:cs="Open Sans"/>
        </w:rPr>
        <w:t xml:space="preserve">to Senate Legal and Constitutional Affairs Committee, </w:t>
      </w:r>
      <w:r w:rsidRPr="00E028C0">
        <w:rPr>
          <w:rFonts w:cs="Open Sans"/>
          <w:i/>
          <w:iCs/>
        </w:rPr>
        <w:t>Migration Amendment (Removals and Other Measures) Bill 2024</w:t>
      </w:r>
      <w:r>
        <w:rPr>
          <w:rFonts w:cs="Open Sans"/>
        </w:rPr>
        <w:t xml:space="preserve"> (</w:t>
      </w:r>
      <w:r w:rsidRPr="00E028C0">
        <w:rPr>
          <w:rFonts w:cs="Open Sans"/>
        </w:rPr>
        <w:t>12 April 2024</w:t>
      </w:r>
      <w:r>
        <w:rPr>
          <w:rFonts w:cs="Open Sans"/>
        </w:rPr>
        <w:t>) &lt;</w:t>
      </w:r>
      <w:hyperlink r:id="rId29" w:history="1">
        <w:r w:rsidRPr="003B0381">
          <w:rPr>
            <w:rStyle w:val="Hyperlink"/>
            <w:rFonts w:cs="Open Sans"/>
          </w:rPr>
          <w:t>https://humanrights.gov.au/sites/default/files/ahrc_submission_on_migration_amendment_removals_and_other_measures_bill_2024_0.pdf</w:t>
        </w:r>
      </w:hyperlink>
      <w:r>
        <w:rPr>
          <w:rFonts w:cs="Open Sans"/>
        </w:rPr>
        <w:t>&gt;.</w:t>
      </w:r>
    </w:p>
  </w:endnote>
  <w:endnote w:id="29">
    <w:p w14:paraId="1DE7B055" w14:textId="77777777" w:rsidR="00035821" w:rsidRDefault="00035821" w:rsidP="00035821">
      <w:pPr>
        <w:pStyle w:val="EndnoteText"/>
      </w:pPr>
      <w:r>
        <w:rPr>
          <w:rStyle w:val="EndnoteReference"/>
        </w:rPr>
        <w:endnoteRef/>
      </w:r>
      <w:r>
        <w:t xml:space="preserve"> </w:t>
      </w:r>
      <w:r w:rsidRPr="00A5444C">
        <w:rPr>
          <w:i/>
          <w:iCs/>
        </w:rPr>
        <w:t>TCXM v Minister for Immigration and Multicultural Affairs</w:t>
      </w:r>
      <w:r w:rsidRPr="00A5444C">
        <w:t xml:space="preserve"> [2025] FCA 540</w:t>
      </w:r>
      <w:r>
        <w:t>.</w:t>
      </w:r>
    </w:p>
  </w:endnote>
  <w:endnote w:id="30">
    <w:p w14:paraId="5C64648D" w14:textId="77777777" w:rsidR="00035821" w:rsidRDefault="00035821" w:rsidP="00035821">
      <w:pPr>
        <w:pStyle w:val="EndnoteText"/>
      </w:pPr>
      <w:r>
        <w:rPr>
          <w:rStyle w:val="EndnoteReference"/>
        </w:rPr>
        <w:endnoteRef/>
      </w:r>
      <w:r>
        <w:t xml:space="preserve"> </w:t>
      </w:r>
      <w:r>
        <w:rPr>
          <w:rFonts w:cs="Open Sans"/>
        </w:rPr>
        <w:t>AHRC</w:t>
      </w:r>
      <w:r w:rsidRPr="009970C9">
        <w:rPr>
          <w:rFonts w:cs="Open Sans"/>
        </w:rPr>
        <w:t xml:space="preserve">, </w:t>
      </w:r>
      <w:r w:rsidRPr="009970C9">
        <w:rPr>
          <w:rFonts w:cs="Open Sans"/>
          <w:i/>
        </w:rPr>
        <w:t xml:space="preserve">Human Rights Commissioner says NZYQ Nauru resettlement announcement raises more questions than it answers </w:t>
      </w:r>
      <w:r w:rsidRPr="009970C9">
        <w:rPr>
          <w:rFonts w:cs="Open Sans"/>
        </w:rPr>
        <w:t>(Media Release, 19 February 2025) &lt;</w:t>
      </w:r>
      <w:hyperlink r:id="rId30" w:history="1">
        <w:r w:rsidRPr="009970C9">
          <w:rPr>
            <w:rStyle w:val="Hyperlink"/>
            <w:rFonts w:cs="Open Sans"/>
          </w:rPr>
          <w:t>https://humanrights.gov.au/about/news/media-releases/human-rights-commissioner-says-nzyq-nauru-resettlement-announcement</w:t>
        </w:r>
      </w:hyperlink>
      <w:r w:rsidRPr="009970C9">
        <w:rPr>
          <w:rFonts w:cs="Open Sans"/>
        </w:rPr>
        <w:t>&gt;.</w:t>
      </w:r>
    </w:p>
  </w:endnote>
  <w:endnote w:id="31">
    <w:p w14:paraId="12724D7E" w14:textId="77777777" w:rsidR="00035821" w:rsidRPr="00B77C51" w:rsidRDefault="00035821" w:rsidP="00035821">
      <w:pPr>
        <w:pStyle w:val="EndnoteText"/>
      </w:pPr>
      <w:r w:rsidRPr="00B77C51">
        <w:rPr>
          <w:rStyle w:val="EndnoteReference"/>
        </w:rPr>
        <w:endnoteRef/>
      </w:r>
      <w:r w:rsidRPr="00B77C51">
        <w:t xml:space="preserve"> </w:t>
      </w:r>
      <w:r w:rsidRPr="00B77C51">
        <w:rPr>
          <w:i/>
          <w:iCs/>
        </w:rPr>
        <w:t>TCXM v Minister for Immigration and Multicultural Affairs</w:t>
      </w:r>
      <w:r w:rsidRPr="00B77C51">
        <w:t xml:space="preserve"> [2025] FCA 540 at [</w:t>
      </w:r>
      <w:r>
        <w:t>191</w:t>
      </w:r>
      <w:r w:rsidRPr="00B77C51">
        <w:t>].</w:t>
      </w:r>
    </w:p>
  </w:endnote>
  <w:endnote w:id="32">
    <w:p w14:paraId="46138D33" w14:textId="77777777" w:rsidR="00035821" w:rsidRPr="00AA6BE1" w:rsidRDefault="00035821" w:rsidP="00035821">
      <w:pPr>
        <w:pStyle w:val="EndnoteText"/>
      </w:pPr>
      <w:r>
        <w:rPr>
          <w:rStyle w:val="EndnoteReference"/>
        </w:rPr>
        <w:endnoteRef/>
      </w:r>
      <w:r>
        <w:t xml:space="preserve"> Rhiannon Down, ‘Detainee’s bid to halt Nauru deportation defeated in Federal Court’, </w:t>
      </w:r>
      <w:r>
        <w:rPr>
          <w:i/>
          <w:iCs/>
        </w:rPr>
        <w:t xml:space="preserve">The Australian </w:t>
      </w:r>
      <w:r>
        <w:t>(5 June 2025). &lt;</w:t>
      </w:r>
      <w:hyperlink r:id="rId31" w:history="1">
        <w:r w:rsidRPr="009B423D">
          <w:rPr>
            <w:rStyle w:val="Hyperlink"/>
          </w:rPr>
          <w:t>https://www.theaustralian.com.au/nation/detainees-bid-to-halt-nauru-deportation-defeated-in-federal-court/news-story/da0ebb5e5099dbcc12423c271d74971c</w:t>
        </w:r>
      </w:hyperlink>
      <w:r>
        <w:t xml:space="preserve">&gt;. </w:t>
      </w:r>
    </w:p>
  </w:endnote>
  <w:endnote w:id="33">
    <w:p w14:paraId="771CC0BB" w14:textId="77777777" w:rsidR="00035821" w:rsidRPr="00641683" w:rsidRDefault="00035821" w:rsidP="00035821">
      <w:pPr>
        <w:pStyle w:val="EndnoteText"/>
      </w:pPr>
      <w:r w:rsidRPr="00B77C51">
        <w:rPr>
          <w:rStyle w:val="EndnoteReference"/>
        </w:rPr>
        <w:endnoteRef/>
      </w:r>
      <w:r w:rsidRPr="00B77C51">
        <w:rPr>
          <w:i/>
          <w:iCs/>
        </w:rPr>
        <w:t xml:space="preserve"> Plaintiff S22/2025 </w:t>
      </w:r>
      <w:r>
        <w:rPr>
          <w:i/>
          <w:iCs/>
        </w:rPr>
        <w:t>v</w:t>
      </w:r>
      <w:r w:rsidRPr="00B77C51">
        <w:rPr>
          <w:i/>
          <w:iCs/>
        </w:rPr>
        <w:t xml:space="preserve"> Minister for Immigration and Multicultural Affairs </w:t>
      </w:r>
      <w:r w:rsidRPr="00B77C51">
        <w:t>(</w:t>
      </w:r>
      <w:r>
        <w:t xml:space="preserve">Case No. S22/2025; </w:t>
      </w:r>
      <w:r w:rsidRPr="00B77C51">
        <w:t>High Court</w:t>
      </w:r>
      <w:r>
        <w:t xml:space="preserve"> of Australia</w:t>
      </w:r>
      <w:r w:rsidRPr="00B77C51">
        <w:t>).</w:t>
      </w:r>
      <w:r>
        <w:t xml:space="preserve"> &lt;</w:t>
      </w:r>
      <w:hyperlink r:id="rId32" w:history="1">
        <w:r w:rsidRPr="009B423D">
          <w:rPr>
            <w:rStyle w:val="Hyperlink"/>
          </w:rPr>
          <w:t>https://www.hcourt.gov.au/cases/case-s22-2025</w:t>
        </w:r>
      </w:hyperlink>
      <w:r>
        <w:t xml:space="preserve">&gt;. </w:t>
      </w:r>
    </w:p>
  </w:endnote>
  <w:endnote w:id="34">
    <w:p w14:paraId="251AB2A8" w14:textId="77777777" w:rsidR="00035821" w:rsidRPr="005B7952" w:rsidRDefault="00035821" w:rsidP="00035821">
      <w:pPr>
        <w:pStyle w:val="EndnoteText"/>
      </w:pPr>
      <w:r>
        <w:rPr>
          <w:rStyle w:val="EndnoteReference"/>
        </w:rPr>
        <w:endnoteRef/>
      </w:r>
      <w:r>
        <w:t xml:space="preserve"> Human Rights Law Centre, </w:t>
      </w:r>
      <w:r>
        <w:rPr>
          <w:i/>
          <w:iCs/>
        </w:rPr>
        <w:t xml:space="preserve">Nauru deportation delayed, but fight against new punitive powers continues </w:t>
      </w:r>
      <w:r>
        <w:t>(Media Release, 22 February 2025). &lt;</w:t>
      </w:r>
      <w:hyperlink r:id="rId33" w:history="1">
        <w:r w:rsidRPr="009B423D">
          <w:rPr>
            <w:rStyle w:val="Hyperlink"/>
          </w:rPr>
          <w:t>https://www.hrlc.org.au/news/2025-02-22-deportation-delayed/</w:t>
        </w:r>
      </w:hyperlink>
      <w:r>
        <w:t xml:space="preserve">&gt;. </w:t>
      </w:r>
    </w:p>
  </w:endnote>
  <w:endnote w:id="35">
    <w:p w14:paraId="02932BDA" w14:textId="173CE709" w:rsidR="00B4056D" w:rsidRPr="006F1964" w:rsidRDefault="00B4056D" w:rsidP="00B4056D">
      <w:pPr>
        <w:pStyle w:val="EndnoteText"/>
        <w:rPr>
          <w:rFonts w:cs="Open Sans"/>
          <w:i/>
        </w:rPr>
      </w:pPr>
      <w:r w:rsidRPr="009970C9">
        <w:rPr>
          <w:rStyle w:val="EndnoteReference"/>
          <w:rFonts w:cs="Open Sans"/>
        </w:rPr>
        <w:endnoteRef/>
      </w:r>
      <w:r w:rsidRPr="009970C9">
        <w:rPr>
          <w:rFonts w:cs="Open Sans"/>
        </w:rPr>
        <w:t xml:space="preserve"> </w:t>
      </w:r>
      <w:r w:rsidR="00B77C51">
        <w:rPr>
          <w:rFonts w:cs="Open Sans"/>
        </w:rPr>
        <w:t xml:space="preserve">See </w:t>
      </w:r>
      <w:r w:rsidR="00F95B07" w:rsidRPr="00F95B07">
        <w:rPr>
          <w:rFonts w:cs="Open Sans"/>
        </w:rPr>
        <w:t>François Crépeau</w:t>
      </w:r>
      <w:r w:rsidR="00F95B07" w:rsidRPr="006F1964">
        <w:rPr>
          <w:rFonts w:cs="Open Sans"/>
          <w:i/>
          <w:iCs/>
        </w:rPr>
        <w:t>, End mission Statement by the UN Special Rapporteur on the human rights of migrants on his official visit to Australia (</w:t>
      </w:r>
      <w:r w:rsidR="00CC0D4B" w:rsidRPr="006F1964">
        <w:rPr>
          <w:rFonts w:cs="Open Sans"/>
          <w:i/>
          <w:iCs/>
        </w:rPr>
        <w:t>1-</w:t>
      </w:r>
      <w:r w:rsidR="00F95B07" w:rsidRPr="006F1964">
        <w:rPr>
          <w:rFonts w:cs="Open Sans"/>
          <w:i/>
          <w:iCs/>
        </w:rPr>
        <w:t>18 November 2016)</w:t>
      </w:r>
      <w:r w:rsidR="00CC0D4B">
        <w:rPr>
          <w:rFonts w:cs="Open Sans"/>
        </w:rPr>
        <w:t xml:space="preserve"> </w:t>
      </w:r>
      <w:r w:rsidR="006F1964">
        <w:rPr>
          <w:rFonts w:cs="Open Sans"/>
        </w:rPr>
        <w:t xml:space="preserve">(17 November 2016) </w:t>
      </w:r>
      <w:r w:rsidR="00CC0D4B">
        <w:rPr>
          <w:rFonts w:cs="Open Sans"/>
        </w:rPr>
        <w:t>&lt;</w:t>
      </w:r>
      <w:hyperlink r:id="rId34" w:history="1">
        <w:r w:rsidR="00B943AE" w:rsidRPr="003B0381">
          <w:rPr>
            <w:rStyle w:val="Hyperlink"/>
            <w:rFonts w:cs="Open Sans"/>
          </w:rPr>
          <w:t>https://www.ohchr.org/en/statements-and-speeches/2016/11/end-mission-statement-un-special-rapporteur-human-rights-migrants?LangID=E&amp;NewsID=20885</w:t>
        </w:r>
      </w:hyperlink>
      <w:r w:rsidR="00CC0D4B">
        <w:rPr>
          <w:rFonts w:cs="Open Sans"/>
        </w:rPr>
        <w:t>&gt;</w:t>
      </w:r>
      <w:r w:rsidR="006F1964">
        <w:rPr>
          <w:rFonts w:cs="Open Sans"/>
        </w:rPr>
        <w:t xml:space="preserve">; </w:t>
      </w:r>
      <w:r w:rsidR="00CC672C" w:rsidRPr="000169C1">
        <w:rPr>
          <w:rFonts w:cs="Open Sans"/>
        </w:rPr>
        <w:t xml:space="preserve">United Nations General Assembly, </w:t>
      </w:r>
      <w:r w:rsidR="00E00F72" w:rsidRPr="000169C1">
        <w:rPr>
          <w:rFonts w:cs="Open Sans"/>
        </w:rPr>
        <w:t>Report of</w:t>
      </w:r>
      <w:r w:rsidR="00902C35" w:rsidRPr="000169C1">
        <w:rPr>
          <w:rFonts w:cs="Open Sans"/>
        </w:rPr>
        <w:t xml:space="preserve"> the Special Rapporteur of the Human Rights Council</w:t>
      </w:r>
      <w:r w:rsidR="00902C35" w:rsidRPr="00E62DE0">
        <w:rPr>
          <w:rFonts w:cs="Open Sans"/>
        </w:rPr>
        <w:t xml:space="preserve"> on extrajudicial, summary or arbitrary executions</w:t>
      </w:r>
      <w:r w:rsidR="00E62DE0" w:rsidRPr="00E62DE0">
        <w:rPr>
          <w:rFonts w:cs="Open Sans"/>
        </w:rPr>
        <w:t>,</w:t>
      </w:r>
      <w:r w:rsidR="00CC672C">
        <w:rPr>
          <w:rFonts w:cs="Open Sans"/>
          <w:i/>
          <w:iCs/>
        </w:rPr>
        <w:t xml:space="preserve"> </w:t>
      </w:r>
      <w:r w:rsidR="00E62DE0">
        <w:rPr>
          <w:rFonts w:cs="Open Sans"/>
          <w:i/>
          <w:iCs/>
        </w:rPr>
        <w:t>Unl</w:t>
      </w:r>
      <w:r w:rsidR="00E00F72" w:rsidRPr="00CC672C">
        <w:rPr>
          <w:rFonts w:cs="Open Sans"/>
          <w:i/>
          <w:iCs/>
        </w:rPr>
        <w:t>awful death of refugees and migrants</w:t>
      </w:r>
      <w:r w:rsidR="00B77C51">
        <w:rPr>
          <w:rFonts w:cs="Open Sans"/>
        </w:rPr>
        <w:t xml:space="preserve">, UN DOC </w:t>
      </w:r>
      <w:r w:rsidR="00E00F72" w:rsidRPr="00E00F72">
        <w:rPr>
          <w:rFonts w:cs="Open Sans"/>
        </w:rPr>
        <w:t>A/72/335</w:t>
      </w:r>
      <w:r w:rsidR="00B77C51">
        <w:rPr>
          <w:rFonts w:cs="Open Sans"/>
        </w:rPr>
        <w:t xml:space="preserve"> (2017) at [</w:t>
      </w:r>
      <w:r w:rsidR="004A4103">
        <w:rPr>
          <w:rFonts w:cs="Open Sans"/>
        </w:rPr>
        <w:t>33</w:t>
      </w:r>
      <w:r w:rsidR="00B77C51">
        <w:rPr>
          <w:rFonts w:cs="Open Sans"/>
        </w:rPr>
        <w:t>]</w:t>
      </w:r>
      <w:r w:rsidR="004A4103">
        <w:rPr>
          <w:rFonts w:cs="Open Sans"/>
        </w:rPr>
        <w:t>;</w:t>
      </w:r>
      <w:r w:rsidR="00EE2844">
        <w:rPr>
          <w:rFonts w:cs="Open Sans"/>
        </w:rPr>
        <w:t xml:space="preserve"> UNHCR </w:t>
      </w:r>
      <w:r w:rsidR="00712052" w:rsidRPr="00712052">
        <w:rPr>
          <w:rFonts w:cs="Open Sans"/>
        </w:rPr>
        <w:t>Representation in Australia, New Zealand and the Pacific</w:t>
      </w:r>
      <w:r w:rsidR="00EE2844">
        <w:rPr>
          <w:rFonts w:cs="Open Sans"/>
        </w:rPr>
        <w:t xml:space="preserve">, </w:t>
      </w:r>
      <w:r w:rsidR="00EE2844" w:rsidRPr="00852AE4">
        <w:rPr>
          <w:rFonts w:cs="Open Sans"/>
          <w:i/>
          <w:iCs/>
        </w:rPr>
        <w:t>Externalisation</w:t>
      </w:r>
      <w:r w:rsidR="00712052">
        <w:rPr>
          <w:rFonts w:cs="Open Sans"/>
          <w:i/>
          <w:iCs/>
        </w:rPr>
        <w:t xml:space="preserve"> </w:t>
      </w:r>
      <w:r w:rsidR="00712052">
        <w:rPr>
          <w:rFonts w:cs="Open Sans"/>
        </w:rPr>
        <w:t xml:space="preserve">(24 January 2022) </w:t>
      </w:r>
      <w:r w:rsidR="00BF2E70">
        <w:rPr>
          <w:rFonts w:cs="Open Sans"/>
        </w:rPr>
        <w:t>&lt;</w:t>
      </w:r>
      <w:hyperlink r:id="rId35" w:history="1">
        <w:r w:rsidR="00DD6F0B" w:rsidRPr="003B0381">
          <w:rPr>
            <w:rStyle w:val="Hyperlink"/>
            <w:rFonts w:cs="Open Sans"/>
          </w:rPr>
          <w:t>https://www.unhcr.org/au/publications/externalisation</w:t>
        </w:r>
      </w:hyperlink>
      <w:r w:rsidR="00BF2E70">
        <w:rPr>
          <w:rFonts w:cs="Open Sans"/>
        </w:rPr>
        <w:t xml:space="preserve">&gt;. </w:t>
      </w:r>
    </w:p>
  </w:endnote>
  <w:endnote w:id="36">
    <w:p w14:paraId="1B49146B" w14:textId="2885B686" w:rsidR="00AA532D" w:rsidRPr="00BC7825" w:rsidRDefault="00516B9D" w:rsidP="007679AB">
      <w:pPr>
        <w:pStyle w:val="EndnoteText"/>
        <w:rPr>
          <w:rFonts w:cs="Open Sans"/>
        </w:rPr>
      </w:pPr>
      <w:r w:rsidRPr="009970C9">
        <w:rPr>
          <w:rStyle w:val="EndnoteReference"/>
          <w:rFonts w:cs="Open Sans"/>
        </w:rPr>
        <w:endnoteRef/>
      </w:r>
      <w:r w:rsidRPr="009970C9">
        <w:rPr>
          <w:rFonts w:cs="Open Sans"/>
        </w:rPr>
        <w:t xml:space="preserve"> </w:t>
      </w:r>
      <w:r w:rsidR="00AA532D" w:rsidRPr="0007058A">
        <w:rPr>
          <w:rFonts w:cs="Open Sans"/>
        </w:rPr>
        <w:t xml:space="preserve">AHRC, </w:t>
      </w:r>
      <w:r w:rsidR="00AA532D" w:rsidRPr="0007058A">
        <w:rPr>
          <w:rFonts w:cs="Open Sans"/>
          <w:i/>
          <w:iCs/>
        </w:rPr>
        <w:t xml:space="preserve">Asylum Seekers, Refugees and Human Rights: Snapshot Report </w:t>
      </w:r>
      <w:r w:rsidR="00AA532D" w:rsidRPr="0007058A">
        <w:rPr>
          <w:rFonts w:cs="Open Sans"/>
        </w:rPr>
        <w:t>(2</w:t>
      </w:r>
      <w:r w:rsidR="00AA532D" w:rsidRPr="0007058A">
        <w:rPr>
          <w:rFonts w:cs="Open Sans"/>
          <w:vertAlign w:val="superscript"/>
        </w:rPr>
        <w:t>nd</w:t>
      </w:r>
      <w:r w:rsidR="00AA532D" w:rsidRPr="0007058A">
        <w:rPr>
          <w:rFonts w:cs="Open Sans"/>
        </w:rPr>
        <w:t xml:space="preserve"> ed</w:t>
      </w:r>
      <w:r w:rsidR="00AA532D">
        <w:rPr>
          <w:rFonts w:cs="Open Sans"/>
        </w:rPr>
        <w:t>,</w:t>
      </w:r>
      <w:r w:rsidR="00AA532D" w:rsidRPr="0007058A">
        <w:rPr>
          <w:rFonts w:cs="Open Sans"/>
        </w:rPr>
        <w:t xml:space="preserve"> 30 March 2017) </w:t>
      </w:r>
      <w:r w:rsidR="00DE0308">
        <w:rPr>
          <w:rFonts w:cs="Open Sans"/>
        </w:rPr>
        <w:t xml:space="preserve">at </w:t>
      </w:r>
      <w:r w:rsidR="004A2A52">
        <w:rPr>
          <w:rFonts w:cs="Open Sans"/>
        </w:rPr>
        <w:t xml:space="preserve">pp </w:t>
      </w:r>
      <w:r w:rsidR="00D81646">
        <w:rPr>
          <w:rFonts w:cs="Open Sans"/>
        </w:rPr>
        <w:t xml:space="preserve">10, </w:t>
      </w:r>
      <w:r w:rsidR="004A2A52">
        <w:rPr>
          <w:rFonts w:cs="Open Sans"/>
        </w:rPr>
        <w:t>26-28</w:t>
      </w:r>
      <w:r w:rsidR="00DE0308">
        <w:rPr>
          <w:rFonts w:cs="Open Sans"/>
        </w:rPr>
        <w:t xml:space="preserve"> </w:t>
      </w:r>
      <w:r w:rsidR="00AA532D" w:rsidRPr="0007058A">
        <w:rPr>
          <w:rFonts w:cs="Open Sans"/>
        </w:rPr>
        <w:t>&lt;</w:t>
      </w:r>
      <w:hyperlink r:id="rId36" w:history="1">
        <w:r w:rsidR="00AA532D" w:rsidRPr="00BC7825">
          <w:rPr>
            <w:rStyle w:val="Hyperlink"/>
            <w:rFonts w:cs="Open Sans"/>
          </w:rPr>
          <w:t>https://humanrights.gov.au/our-work/asylum-seekers-and-refugees/publications/asylum-seekers-refugees-and-human-rights-0</w:t>
        </w:r>
      </w:hyperlink>
      <w:r w:rsidR="00AA532D" w:rsidRPr="00BC7825">
        <w:rPr>
          <w:rFonts w:cs="Open Sans"/>
        </w:rPr>
        <w:t>&gt;.</w:t>
      </w:r>
    </w:p>
  </w:endnote>
  <w:endnote w:id="37">
    <w:p w14:paraId="48906BA9" w14:textId="371A9370" w:rsidR="008214B3" w:rsidRPr="00CC780A" w:rsidRDefault="008214B3">
      <w:pPr>
        <w:pStyle w:val="EndnoteText"/>
        <w:rPr>
          <w:highlight w:val="yellow"/>
        </w:rPr>
      </w:pPr>
      <w:r>
        <w:rPr>
          <w:rStyle w:val="EndnoteReference"/>
        </w:rPr>
        <w:endnoteRef/>
      </w:r>
      <w:r w:rsidR="00CC780A" w:rsidRPr="00BC7825">
        <w:t xml:space="preserve"> Department of Home Affairs, </w:t>
      </w:r>
      <w:r w:rsidR="00CC780A" w:rsidRPr="00BC7825">
        <w:rPr>
          <w:i/>
          <w:iCs/>
        </w:rPr>
        <w:t xml:space="preserve">Answer to Question </w:t>
      </w:r>
      <w:r w:rsidR="00D770EB" w:rsidRPr="00BC7825">
        <w:rPr>
          <w:i/>
          <w:iCs/>
        </w:rPr>
        <w:t xml:space="preserve">AE24-686 </w:t>
      </w:r>
      <w:r w:rsidR="00CC780A" w:rsidRPr="00BC7825">
        <w:rPr>
          <w:i/>
          <w:iCs/>
        </w:rPr>
        <w:t>on Notice from</w:t>
      </w:r>
      <w:r w:rsidR="00E00401" w:rsidRPr="00BC7825">
        <w:rPr>
          <w:i/>
          <w:iCs/>
        </w:rPr>
        <w:t xml:space="preserve"> the Senate Standing Committee on Legal and Constitutional Affairs</w:t>
      </w:r>
      <w:r w:rsidR="00CC780A" w:rsidRPr="00BC7825">
        <w:rPr>
          <w:i/>
          <w:iCs/>
        </w:rPr>
        <w:t xml:space="preserve"> </w:t>
      </w:r>
      <w:r w:rsidR="00CC780A" w:rsidRPr="00BC7825">
        <w:t>(</w:t>
      </w:r>
      <w:r w:rsidR="001D0FD8" w:rsidRPr="00BC7825">
        <w:t xml:space="preserve">12 February 2024) </w:t>
      </w:r>
      <w:r w:rsidR="00D770EB" w:rsidRPr="00BC7825">
        <w:t>&lt;</w:t>
      </w:r>
      <w:hyperlink r:id="rId37" w:history="1">
        <w:r w:rsidR="00192740" w:rsidRPr="00F3242E">
          <w:rPr>
            <w:rStyle w:val="Hyperlink"/>
          </w:rPr>
          <w:t>https://www.aph.gov.au/api/qon/downloadestimatesquestions/EstimatesQuestion-CommitteeId6-EstimatesRoundId23-PortfolioId20-QuestionNumber686</w:t>
        </w:r>
      </w:hyperlink>
      <w:r w:rsidR="00D770EB" w:rsidRPr="00BC7825">
        <w:t>&gt;</w:t>
      </w:r>
      <w:r w:rsidR="00BC7825" w:rsidRPr="00BC7825">
        <w:t>.</w:t>
      </w:r>
    </w:p>
  </w:endnote>
  <w:endnote w:id="38">
    <w:p w14:paraId="6DA769C4" w14:textId="4C9ECCAB" w:rsidR="00B139D0" w:rsidRDefault="00B139D0" w:rsidP="00B139D0">
      <w:pPr>
        <w:pStyle w:val="EndnoteText"/>
      </w:pPr>
      <w:r>
        <w:rPr>
          <w:rStyle w:val="EndnoteReference"/>
        </w:rPr>
        <w:endnoteRef/>
      </w:r>
      <w:r>
        <w:t xml:space="preserve"> </w:t>
      </w:r>
      <w:r w:rsidR="007373D9" w:rsidRPr="52460F0B">
        <w:rPr>
          <w:i/>
          <w:iCs/>
        </w:rPr>
        <w:t>Maritime Powers Act 2013</w:t>
      </w:r>
      <w:r w:rsidR="007373D9">
        <w:t> (Cth), at part 3, divisions 7, 8, 8A</w:t>
      </w:r>
      <w:r w:rsidR="003A556A">
        <w:t xml:space="preserve">; </w:t>
      </w:r>
      <w:r w:rsidR="009E193B">
        <w:t>AHRC</w:t>
      </w:r>
      <w:r w:rsidRPr="004E55C5">
        <w:t>, Submission to the Senate Legal and Constitutional Affairs Legislation Committee</w:t>
      </w:r>
      <w:r w:rsidR="000D606B">
        <w:t xml:space="preserve">, </w:t>
      </w:r>
      <w:r w:rsidRPr="000D606B">
        <w:rPr>
          <w:i/>
          <w:iCs/>
        </w:rPr>
        <w:t>Migration and Maritime Powers Legislation Amendment (Resolving the Asylum Legacy Caseload) Bill 2014</w:t>
      </w:r>
      <w:r w:rsidR="000D606B">
        <w:t xml:space="preserve"> (</w:t>
      </w:r>
      <w:r w:rsidRPr="004E55C5">
        <w:t>31 October 2014</w:t>
      </w:r>
      <w:r w:rsidR="000D606B">
        <w:t>)</w:t>
      </w:r>
      <w:r w:rsidRPr="009677BA">
        <w:t xml:space="preserve"> </w:t>
      </w:r>
      <w:r w:rsidR="00AA532D">
        <w:t>&lt;</w:t>
      </w:r>
      <w:hyperlink r:id="rId38" w:history="1">
        <w:r w:rsidRPr="00F3242E">
          <w:rPr>
            <w:rStyle w:val="Hyperlink"/>
          </w:rPr>
          <w:t>https://www.aph.gov.au/DocumentStore.ashx?id=e50d519a-f240-4c6e-8f7e-baa7e3af7c33&amp;subId=301611</w:t>
        </w:r>
      </w:hyperlink>
      <w:r w:rsidR="00AA532D">
        <w:t>&gt;.</w:t>
      </w:r>
    </w:p>
  </w:endnote>
  <w:endnote w:id="39">
    <w:p w14:paraId="791EE1A7" w14:textId="659259FF" w:rsidR="00A90E67" w:rsidRDefault="00A90E67" w:rsidP="007679AB">
      <w:pPr>
        <w:pStyle w:val="EndnoteText"/>
      </w:pPr>
      <w:r>
        <w:rPr>
          <w:rStyle w:val="EndnoteReference"/>
        </w:rPr>
        <w:endnoteRef/>
      </w:r>
      <w:r>
        <w:t xml:space="preserve"> </w:t>
      </w:r>
      <w:r w:rsidR="000D606B" w:rsidRPr="52460F0B">
        <w:rPr>
          <w:i/>
          <w:iCs/>
        </w:rPr>
        <w:t>Maritime Powers Act 2013</w:t>
      </w:r>
      <w:r w:rsidR="000D606B">
        <w:t xml:space="preserve"> (Cth), </w:t>
      </w:r>
      <w:r w:rsidR="00090BE8">
        <w:t>at s 75A.</w:t>
      </w:r>
    </w:p>
  </w:endnote>
  <w:endnote w:id="40">
    <w:p w14:paraId="31B7C21C" w14:textId="1494D002" w:rsidR="00AA532D" w:rsidRDefault="00A90E67" w:rsidP="007679AB">
      <w:pPr>
        <w:pStyle w:val="EndnoteText"/>
      </w:pPr>
      <w:r>
        <w:rPr>
          <w:rStyle w:val="EndnoteReference"/>
        </w:rPr>
        <w:endnoteRef/>
      </w:r>
      <w:r>
        <w:t xml:space="preserve"> </w:t>
      </w:r>
      <w:r w:rsidR="000D606B" w:rsidRPr="52460F0B">
        <w:rPr>
          <w:i/>
          <w:iCs/>
        </w:rPr>
        <w:t>Maritime Powers Act 2013</w:t>
      </w:r>
      <w:r w:rsidR="000D606B">
        <w:t> (Cth)</w:t>
      </w:r>
      <w:r w:rsidR="00090BE8">
        <w:t>, at s 75B.</w:t>
      </w:r>
    </w:p>
  </w:endnote>
  <w:endnote w:id="41">
    <w:p w14:paraId="05A36919" w14:textId="55465F5E" w:rsidR="00177D4D" w:rsidRDefault="00177D4D">
      <w:pPr>
        <w:pStyle w:val="EndnoteText"/>
      </w:pPr>
      <w:r>
        <w:rPr>
          <w:rStyle w:val="EndnoteReference"/>
        </w:rPr>
        <w:endnoteRef/>
      </w:r>
      <w:r>
        <w:t xml:space="preserve"> </w:t>
      </w:r>
      <w:r w:rsidRPr="00F633C5">
        <w:rPr>
          <w:bCs/>
          <w:i/>
          <w:iCs/>
        </w:rPr>
        <w:t>CPCF v Minister for Immigration and Border Protection</w:t>
      </w:r>
      <w:r w:rsidRPr="00F633C5">
        <w:rPr>
          <w:bCs/>
        </w:rPr>
        <w:t xml:space="preserve"> [2015] HCA 1</w:t>
      </w:r>
      <w:r w:rsidR="006942A4">
        <w:rPr>
          <w:bCs/>
        </w:rPr>
        <w:t>.</w:t>
      </w:r>
    </w:p>
  </w:endnote>
  <w:endnote w:id="42">
    <w:p w14:paraId="66231D73" w14:textId="20868E00" w:rsidR="002542C1" w:rsidRPr="009970C9" w:rsidRDefault="002542C1" w:rsidP="002542C1">
      <w:pPr>
        <w:pStyle w:val="EndnoteText"/>
        <w:rPr>
          <w:rFonts w:cs="Open Sans"/>
        </w:rPr>
      </w:pPr>
      <w:r w:rsidRPr="009970C9">
        <w:rPr>
          <w:rStyle w:val="EndnoteReference"/>
          <w:rFonts w:cs="Open Sans"/>
        </w:rPr>
        <w:endnoteRef/>
      </w:r>
      <w:r w:rsidRPr="009970C9">
        <w:rPr>
          <w:rFonts w:cs="Open Sans"/>
        </w:rPr>
        <w:t xml:space="preserve"> Department of Home Affairs, </w:t>
      </w:r>
      <w:r w:rsidRPr="009970C9">
        <w:rPr>
          <w:rFonts w:cs="Open Sans"/>
          <w:i/>
        </w:rPr>
        <w:t xml:space="preserve">Refugee and humanitarian program: About the program </w:t>
      </w:r>
      <w:r w:rsidRPr="009970C9">
        <w:rPr>
          <w:rFonts w:cs="Open Sans"/>
        </w:rPr>
        <w:t>&lt;</w:t>
      </w:r>
      <w:hyperlink r:id="rId39" w:history="1">
        <w:r w:rsidRPr="009970C9">
          <w:rPr>
            <w:rStyle w:val="Hyperlink"/>
            <w:rFonts w:cs="Open Sans"/>
          </w:rPr>
          <w:t>https://immi.homeaffairs.gov.au/what-we-do/refugee-and-humanitarian-program/about-the-program/seek-protection-in-australia</w:t>
        </w:r>
      </w:hyperlink>
      <w:r w:rsidRPr="009970C9">
        <w:rPr>
          <w:rFonts w:cs="Open Sans"/>
        </w:rPr>
        <w:t xml:space="preserve">&gt;. </w:t>
      </w:r>
    </w:p>
  </w:endnote>
  <w:endnote w:id="43">
    <w:p w14:paraId="6C2DB698" w14:textId="77777777" w:rsidR="002542C1" w:rsidRPr="009970C9" w:rsidRDefault="002542C1" w:rsidP="002542C1">
      <w:pPr>
        <w:pStyle w:val="EndnoteText"/>
        <w:rPr>
          <w:rFonts w:cs="Open Sans"/>
        </w:rPr>
      </w:pPr>
      <w:r w:rsidRPr="009970C9">
        <w:rPr>
          <w:rStyle w:val="EndnoteReference"/>
          <w:rFonts w:cs="Open Sans"/>
        </w:rPr>
        <w:endnoteRef/>
      </w:r>
      <w:r w:rsidRPr="009970C9">
        <w:rPr>
          <w:rFonts w:cs="Open Sans"/>
        </w:rPr>
        <w:t xml:space="preserve"> </w:t>
      </w:r>
      <w:r w:rsidRPr="009970C9">
        <w:rPr>
          <w:rFonts w:cs="Open Sans"/>
          <w:i/>
        </w:rPr>
        <w:t xml:space="preserve">Migration Act 1958 </w:t>
      </w:r>
      <w:r w:rsidRPr="009970C9">
        <w:rPr>
          <w:rFonts w:cs="Open Sans"/>
        </w:rPr>
        <w:t>(Cth), s 46A.</w:t>
      </w:r>
    </w:p>
  </w:endnote>
  <w:endnote w:id="44">
    <w:p w14:paraId="3CE80830" w14:textId="5C5C8127" w:rsidR="00851056" w:rsidRPr="009210F9" w:rsidRDefault="00851056">
      <w:pPr>
        <w:pStyle w:val="EndnoteText"/>
      </w:pPr>
      <w:r>
        <w:rPr>
          <w:rStyle w:val="EndnoteReference"/>
        </w:rPr>
        <w:endnoteRef/>
      </w:r>
      <w:r>
        <w:t xml:space="preserve"> </w:t>
      </w:r>
      <w:r w:rsidR="009210F9">
        <w:t xml:space="preserve">Australian Government, Department of Home Affairs, </w:t>
      </w:r>
      <w:r w:rsidR="009210F9">
        <w:rPr>
          <w:i/>
          <w:iCs/>
        </w:rPr>
        <w:t xml:space="preserve">Refugee and Humanitarian Program – About the Program </w:t>
      </w:r>
      <w:r w:rsidR="009210F9">
        <w:t>(</w:t>
      </w:r>
      <w:r w:rsidR="008B7DF9">
        <w:t>23 September 2024). &lt;</w:t>
      </w:r>
      <w:hyperlink r:id="rId40" w:history="1">
        <w:r w:rsidR="008B7DF9" w:rsidRPr="009B423D">
          <w:rPr>
            <w:rStyle w:val="Hyperlink"/>
          </w:rPr>
          <w:t>https://immi.homeaffairs.gov.au/what-we-do/refugee-and-humanitarian-program/about-the-program/about-the-program</w:t>
        </w:r>
      </w:hyperlink>
      <w:r w:rsidR="008B7DF9">
        <w:t xml:space="preserve">&gt;. </w:t>
      </w:r>
    </w:p>
  </w:endnote>
  <w:endnote w:id="45">
    <w:p w14:paraId="0EB1969B" w14:textId="0B34D193" w:rsidR="00905971" w:rsidRDefault="00A90E67" w:rsidP="00D77FAB">
      <w:pPr>
        <w:pStyle w:val="EndnoteText"/>
      </w:pPr>
      <w:r>
        <w:rPr>
          <w:rStyle w:val="EndnoteReference"/>
        </w:rPr>
        <w:endnoteRef/>
      </w:r>
      <w:r>
        <w:t xml:space="preserve"> </w:t>
      </w:r>
      <w:r w:rsidR="00D77FAB">
        <w:t xml:space="preserve">Azadeh Dastyari, Amy Nethery, Asher Hirsch (eds), </w:t>
      </w:r>
      <w:r w:rsidR="00D77FAB">
        <w:rPr>
          <w:i/>
          <w:iCs/>
        </w:rPr>
        <w:t xml:space="preserve">Refugee Externalisation Policies: Responsibility, Legitimacy and Accountability </w:t>
      </w:r>
      <w:r w:rsidR="00D77FAB">
        <w:t xml:space="preserve">(Routledge, 2023); </w:t>
      </w:r>
      <w:r w:rsidR="00E94F5C">
        <w:t xml:space="preserve">Frowin Rausis, ‘Policy diffusion across political ideologies: explaining Denmark’s desire to externalise asylum’ (2025) 48(6) </w:t>
      </w:r>
      <w:r w:rsidR="00E94F5C">
        <w:rPr>
          <w:i/>
          <w:iCs/>
        </w:rPr>
        <w:t xml:space="preserve">West European Politics </w:t>
      </w:r>
      <w:r w:rsidR="00E94F5C">
        <w:t xml:space="preserve">1332; </w:t>
      </w:r>
      <w:r w:rsidR="0088513C">
        <w:t xml:space="preserve">Margherita Matera, Tamara Tubakovic, Philomena Murray, ‘Is Australia a Model for the UK? A Critical Assessment of Parallels of Cruelty in Refugee Externalization Policies’ (2023) </w:t>
      </w:r>
      <w:r w:rsidR="00687815">
        <w:t xml:space="preserve">36(2) </w:t>
      </w:r>
      <w:r w:rsidR="0088513C">
        <w:rPr>
          <w:i/>
          <w:iCs/>
        </w:rPr>
        <w:t xml:space="preserve">Journal of Refugee Studies </w:t>
      </w:r>
      <w:r w:rsidR="00687815">
        <w:t>271</w:t>
      </w:r>
      <w:r w:rsidR="00F16D1C">
        <w:t>.</w:t>
      </w:r>
      <w:r w:rsidR="0068781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E581" w14:textId="77777777" w:rsidR="00AC636D" w:rsidRPr="000465F1" w:rsidRDefault="00AC636D" w:rsidP="000465F1">
    <w:pPr>
      <w:pStyle w:val="Footer"/>
    </w:pPr>
    <w:r w:rsidRPr="000465F1">
      <w:t>ABN 47 996 232 602</w:t>
    </w:r>
  </w:p>
  <w:p w14:paraId="026A6EB1" w14:textId="77777777" w:rsidR="00AC636D" w:rsidRPr="000465F1" w:rsidRDefault="00AC636D" w:rsidP="000465F1">
    <w:pPr>
      <w:pStyle w:val="Footer"/>
    </w:pPr>
    <w:r w:rsidRPr="000465F1">
      <w:t>Level 3, 175 Pitt Street, Sydney NSW 2000</w:t>
    </w:r>
  </w:p>
  <w:p w14:paraId="48253446" w14:textId="77777777" w:rsidR="00AC636D" w:rsidRPr="000465F1" w:rsidRDefault="00AC636D" w:rsidP="000465F1">
    <w:pPr>
      <w:pStyle w:val="Footer"/>
    </w:pPr>
    <w:r w:rsidRPr="000465F1">
      <w:t>GPO Box 5218, Sydney NSW 2001</w:t>
    </w:r>
  </w:p>
  <w:p w14:paraId="56532F35" w14:textId="77777777" w:rsidR="00AC636D" w:rsidRPr="000465F1" w:rsidRDefault="00AC636D" w:rsidP="000465F1">
    <w:pPr>
      <w:pStyle w:val="Footer"/>
    </w:pPr>
    <w:r w:rsidRPr="000465F1">
      <w:t>General enquiries 1300 369 711</w:t>
    </w:r>
  </w:p>
  <w:p w14:paraId="5046E390" w14:textId="77777777" w:rsidR="00AC636D" w:rsidRPr="000465F1" w:rsidRDefault="00AC636D" w:rsidP="000465F1">
    <w:pPr>
      <w:pStyle w:val="Footer"/>
    </w:pPr>
    <w:r w:rsidRPr="000465F1">
      <w:t>Complaints info line 1300 656 419</w:t>
    </w:r>
  </w:p>
  <w:p w14:paraId="4A94E6F3"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28E1"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3B7"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4F41"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B0B7" w14:textId="77777777" w:rsidR="00621A3F" w:rsidRDefault="00621A3F" w:rsidP="00F14C6D">
      <w:r>
        <w:separator/>
      </w:r>
    </w:p>
  </w:footnote>
  <w:footnote w:type="continuationSeparator" w:id="0">
    <w:p w14:paraId="3E5150BD" w14:textId="77777777" w:rsidR="00621A3F" w:rsidRDefault="00621A3F"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E329" w14:textId="77777777" w:rsidR="00BF6406" w:rsidRPr="000465F1" w:rsidRDefault="00000000" w:rsidP="000465F1">
    <w:pPr>
      <w:pStyle w:val="Header"/>
    </w:pPr>
    <w:r>
      <w:rPr>
        <w:noProof/>
      </w:rPr>
      <w:pict w14:anchorId="395F9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40;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39527296"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6A14" w14:textId="77777777" w:rsidR="00B34946" w:rsidRPr="000465F1" w:rsidRDefault="00000000" w:rsidP="000465F1">
    <w:r>
      <w:rPr>
        <w:noProof/>
      </w:rPr>
      <w:pict w14:anchorId="23266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30333FC2" w14:textId="77777777" w:rsidR="00B34946" w:rsidRPr="000465F1" w:rsidRDefault="00B34946"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09FB" w14:textId="77777777" w:rsidR="00CC2AA0" w:rsidRDefault="00000000" w:rsidP="002012F7">
    <w:pPr>
      <w:pStyle w:val="Header"/>
    </w:pPr>
    <w:r>
      <w:rPr>
        <w:noProof/>
      </w:rPr>
      <w:pict w14:anchorId="1415F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8;mso-position-horizontal-relative:margin;mso-position-vertical-relative:margin" o:allowincell="f">
          <v:imagedata r:id="rId1" o:title="MS word cover1"/>
          <w10:wrap anchorx="margin" anchory="margin"/>
        </v:shape>
      </w:pict>
    </w:r>
    <w:r>
      <w:rPr>
        <w:noProof/>
      </w:rPr>
      <w:pict w14:anchorId="29FD6657">
        <v:shape id="WordPictureWatermark1034832" o:spid="_x0000_s1042" type="#_x0000_t75" style="position:absolute;left:0;text-align:left;margin-left:-70.9pt;margin-top:-109.05pt;width:595.1pt;height:869.4pt;z-index:-251658237;mso-position-horizontal-relative:margin;mso-position-vertical-relative:margin" o:allowincell="f">
          <v:imagedata r:id="rId2" o:title="report watermark"/>
          <w10:wrap anchorx="margin" anchory="margin"/>
        </v:shape>
      </w:pict>
    </w:r>
  </w:p>
  <w:p w14:paraId="0DCDC11F" w14:textId="77777777" w:rsidR="008B3899" w:rsidRDefault="008B3899" w:rsidP="002012F7">
    <w:pPr>
      <w:pStyle w:val="Header"/>
    </w:pPr>
  </w:p>
  <w:p w14:paraId="29767B0F"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30DE" w14:textId="77777777" w:rsidR="0015239E" w:rsidRPr="000465F1" w:rsidRDefault="0015239E" w:rsidP="0015239E">
    <w:pPr>
      <w:pStyle w:val="Header"/>
    </w:pPr>
    <w:r w:rsidRPr="000465F1">
      <w:t>Australian Human Rights Commission</w:t>
    </w:r>
  </w:p>
  <w:p w14:paraId="2068B23B" w14:textId="664FCFA3" w:rsidR="00C00733" w:rsidRPr="000465F1" w:rsidRDefault="00A934A7" w:rsidP="00843967">
    <w:pPr>
      <w:pStyle w:val="HeaderDocumentDate"/>
      <w:spacing w:after="240"/>
    </w:pPr>
    <w:r w:rsidRPr="00BC6A38">
      <w:rPr>
        <w:rStyle w:val="HeaderDocumentTitle"/>
      </w:rPr>
      <w:t>Externali</w:t>
    </w:r>
    <w:r>
      <w:rPr>
        <w:rStyle w:val="HeaderDocumentTitle"/>
      </w:rPr>
      <w:t>s</w:t>
    </w:r>
    <w:r w:rsidRPr="00BC6A38">
      <w:rPr>
        <w:rStyle w:val="HeaderDocumentTitle"/>
      </w:rPr>
      <w:t xml:space="preserve">ation </w:t>
    </w:r>
    <w:r w:rsidR="00843967" w:rsidRPr="00BC6A38">
      <w:rPr>
        <w:rStyle w:val="HeaderDocumentTitle"/>
      </w:rPr>
      <w:t>of Migration</w:t>
    </w:r>
    <w:r w:rsidR="00843967">
      <w:rPr>
        <w:rStyle w:val="HeaderDocumentTitle"/>
      </w:rPr>
      <w:t xml:space="preserve"> </w:t>
    </w:r>
    <w:r w:rsidR="00843967" w:rsidRPr="00BC6A38">
      <w:rPr>
        <w:rStyle w:val="HeaderDocumentTitle"/>
      </w:rPr>
      <w:t>and the Impact on the Human Rights of Migrants</w:t>
    </w:r>
    <w:r w:rsidR="00843967" w:rsidRPr="001F62CC">
      <w:rPr>
        <w:rStyle w:val="HeaderDocumentTitle"/>
      </w:rPr>
      <w:t>,</w:t>
    </w:r>
    <w:r w:rsidR="00292236">
      <w:t xml:space="preserve"> 24 June 2025</w:t>
    </w:r>
    <w:r w:rsidR="00292236" w:rsidRPr="000465F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03DE" w14:textId="77777777" w:rsidR="00BF6406" w:rsidRPr="000465F1" w:rsidRDefault="00BF6406" w:rsidP="00CA5D90">
    <w:pPr>
      <w:pStyle w:val="Header"/>
    </w:pPr>
    <w:bookmarkStart w:id="12" w:name="_Hlk514672172"/>
    <w:bookmarkStart w:id="13" w:name="_Hlk514672173"/>
    <w:r w:rsidRPr="000465F1">
      <w:t>Australian Human Rights Commission</w:t>
    </w:r>
  </w:p>
  <w:bookmarkEnd w:id="12"/>
  <w:bookmarkEnd w:id="13"/>
  <w:p w14:paraId="622B67B9" w14:textId="699CF388" w:rsidR="005C6800" w:rsidRPr="000465F1" w:rsidRDefault="00A934A7" w:rsidP="005C6800">
    <w:pPr>
      <w:pStyle w:val="HeaderDocumentDate"/>
      <w:spacing w:after="240"/>
    </w:pPr>
    <w:r w:rsidRPr="00BC6A38">
      <w:rPr>
        <w:rStyle w:val="HeaderDocumentTitle"/>
      </w:rPr>
      <w:t>Externali</w:t>
    </w:r>
    <w:r>
      <w:rPr>
        <w:rStyle w:val="HeaderDocumentTitle"/>
      </w:rPr>
      <w:t>s</w:t>
    </w:r>
    <w:r w:rsidRPr="00BC6A38">
      <w:rPr>
        <w:rStyle w:val="HeaderDocumentTitle"/>
      </w:rPr>
      <w:t xml:space="preserve">ation </w:t>
    </w:r>
    <w:r w:rsidR="00BC6A38" w:rsidRPr="00BC6A38">
      <w:rPr>
        <w:rStyle w:val="HeaderDocumentTitle"/>
      </w:rPr>
      <w:t>of Migration</w:t>
    </w:r>
    <w:r w:rsidR="00BC6A38">
      <w:rPr>
        <w:rStyle w:val="HeaderDocumentTitle"/>
      </w:rPr>
      <w:t xml:space="preserve"> </w:t>
    </w:r>
    <w:r w:rsidR="00BC6A38" w:rsidRPr="00BC6A38">
      <w:rPr>
        <w:rStyle w:val="HeaderDocumentTitle"/>
      </w:rPr>
      <w:t>and the Impact on the Human Rights of Migrants</w:t>
    </w:r>
    <w:r w:rsidR="00C00733" w:rsidRPr="00E7669B">
      <w:rPr>
        <w:rStyle w:val="HeaderDocumentTitle"/>
      </w:rPr>
      <w:t>,</w:t>
    </w:r>
    <w:r w:rsidR="00292236">
      <w:t xml:space="preserve"> 24 June 2025</w:t>
    </w:r>
    <w:r w:rsidR="00292236" w:rsidRPr="000465F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9EF1" w14:textId="77777777" w:rsidR="0063009F" w:rsidRPr="000465F1" w:rsidRDefault="0063009F" w:rsidP="0063009F">
    <w:pPr>
      <w:pStyle w:val="Header"/>
    </w:pPr>
    <w:r w:rsidRPr="000465F1">
      <w:t>Australian Human Rights Commission</w:t>
    </w:r>
  </w:p>
  <w:p w14:paraId="7CD0549F" w14:textId="5C37E04F" w:rsidR="0063009F" w:rsidRPr="00BC6A38" w:rsidRDefault="00A934A7" w:rsidP="00BC6A38">
    <w:pPr>
      <w:pStyle w:val="HeaderDocumentDate"/>
      <w:tabs>
        <w:tab w:val="clear" w:pos="2835"/>
        <w:tab w:val="clear" w:pos="5670"/>
      </w:tabs>
      <w:ind w:left="572" w:firstLine="148"/>
      <w:rPr>
        <w:b/>
        <w:noProof/>
      </w:rPr>
    </w:pPr>
    <w:r w:rsidRPr="00BC6A38">
      <w:rPr>
        <w:rStyle w:val="HeaderDocumentTitle"/>
      </w:rPr>
      <w:t>Externali</w:t>
    </w:r>
    <w:r>
      <w:rPr>
        <w:rStyle w:val="HeaderDocumentTitle"/>
      </w:rPr>
      <w:t>s</w:t>
    </w:r>
    <w:r w:rsidRPr="00BC6A38">
      <w:rPr>
        <w:rStyle w:val="HeaderDocumentTitle"/>
      </w:rPr>
      <w:t xml:space="preserve">ation </w:t>
    </w:r>
    <w:r w:rsidR="00BC6A38" w:rsidRPr="00BC6A38">
      <w:rPr>
        <w:rStyle w:val="HeaderDocumentTitle"/>
      </w:rPr>
      <w:t>of Migration</w:t>
    </w:r>
    <w:r w:rsidR="00BC6A38">
      <w:rPr>
        <w:rStyle w:val="HeaderDocumentTitle"/>
      </w:rPr>
      <w:t xml:space="preserve"> </w:t>
    </w:r>
    <w:r w:rsidR="00BC6A38" w:rsidRPr="00BC6A38">
      <w:rPr>
        <w:rStyle w:val="HeaderDocumentTitle"/>
      </w:rPr>
      <w:t>and the Impact on the Human Rights of Migrants</w:t>
    </w:r>
    <w:r w:rsidR="0063009F" w:rsidRPr="00F0282F">
      <w:rPr>
        <w:rStyle w:val="HeaderDocumentTitle"/>
      </w:rPr>
      <w:t>,</w:t>
    </w:r>
    <w:r w:rsidR="00292236">
      <w:t xml:space="preserve"> 24 June 2025</w:t>
    </w:r>
    <w:r w:rsidR="00292236" w:rsidRPr="00BC6A38">
      <w:rPr>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5016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4944820"/>
    <w:multiLevelType w:val="hybridMultilevel"/>
    <w:tmpl w:val="6FC0B88A"/>
    <w:lvl w:ilvl="0" w:tplc="B13CC78A">
      <w:start w:val="2"/>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 w15:restartNumberingAfterBreak="0">
    <w:nsid w:val="074B7CB9"/>
    <w:multiLevelType w:val="multilevel"/>
    <w:tmpl w:val="5070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C6ABE"/>
    <w:multiLevelType w:val="multilevel"/>
    <w:tmpl w:val="739C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1D1B23"/>
    <w:multiLevelType w:val="multilevel"/>
    <w:tmpl w:val="9EE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2E2281"/>
    <w:multiLevelType w:val="hybridMultilevel"/>
    <w:tmpl w:val="16087AFE"/>
    <w:lvl w:ilvl="0" w:tplc="59C8E624">
      <w:start w:val="1"/>
      <w:numFmt w:val="decimal"/>
      <w:lvlText w:val="%1."/>
      <w:lvlJc w:val="left"/>
      <w:pPr>
        <w:ind w:left="720" w:hanging="360"/>
      </w:pPr>
      <w:rPr>
        <w:rFonts w:hint="default"/>
        <w:b w:val="0"/>
        <w:bCs w:val="0"/>
        <w:i w:val="0"/>
        <w:iCs w:val="0"/>
      </w:rPr>
    </w:lvl>
    <w:lvl w:ilvl="1" w:tplc="05C820CC">
      <w:start w:val="1"/>
      <w:numFmt w:val="lowerLetter"/>
      <w:lvlText w:val="%2."/>
      <w:lvlJc w:val="left"/>
      <w:pPr>
        <w:ind w:left="1440" w:hanging="360"/>
      </w:pPr>
      <w:rPr>
        <w:rFonts w:asciiTheme="minorHAnsi" w:eastAsia="Times New Roman" w:hAnsiTheme="minorHAnsi" w:cstheme="minorHAnsi" w:hint="default"/>
        <w:b w:val="0"/>
        <w:bCs w:val="0"/>
        <w:i w:val="0"/>
        <w:iCs w:val="0"/>
        <w:color w:val="auto"/>
      </w:rPr>
    </w:lvl>
    <w:lvl w:ilvl="2" w:tplc="0C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70694F"/>
    <w:multiLevelType w:val="hybridMultilevel"/>
    <w:tmpl w:val="9FC0F86C"/>
    <w:lvl w:ilvl="0" w:tplc="BE3CA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475531"/>
    <w:multiLevelType w:val="hybridMultilevel"/>
    <w:tmpl w:val="85C0A8B4"/>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663CA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5919D5"/>
    <w:multiLevelType w:val="hybridMultilevel"/>
    <w:tmpl w:val="92BE1BE2"/>
    <w:lvl w:ilvl="0" w:tplc="C1CC3F6C">
      <w:start w:val="2025"/>
      <w:numFmt w:val="bullet"/>
      <w:lvlText w:val="-"/>
      <w:lvlJc w:val="left"/>
      <w:pPr>
        <w:ind w:left="720" w:hanging="360"/>
      </w:pPr>
      <w:rPr>
        <w:rFonts w:ascii="Open Sans" w:eastAsiaTheme="minorHAns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166DDC"/>
    <w:multiLevelType w:val="hybridMultilevel"/>
    <w:tmpl w:val="2FF088B2"/>
    <w:lvl w:ilvl="0" w:tplc="1152DE84">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0" w15:restartNumberingAfterBreak="0">
    <w:nsid w:val="15396A2B"/>
    <w:multiLevelType w:val="multilevel"/>
    <w:tmpl w:val="6C66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06D38CD"/>
    <w:multiLevelType w:val="hybridMultilevel"/>
    <w:tmpl w:val="2EF01FFA"/>
    <w:lvl w:ilvl="0" w:tplc="0C09000F">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0743DD4"/>
    <w:multiLevelType w:val="multilevel"/>
    <w:tmpl w:val="5EBE27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595104A"/>
    <w:multiLevelType w:val="hybridMultilevel"/>
    <w:tmpl w:val="37262C14"/>
    <w:lvl w:ilvl="0" w:tplc="FFFFFFFF">
      <w:start w:val="1"/>
      <w:numFmt w:val="decimal"/>
      <w:lvlText w:val="%1."/>
      <w:lvlJc w:val="left"/>
      <w:pPr>
        <w:ind w:left="720" w:hanging="360"/>
      </w:pPr>
      <w:rPr>
        <w:rFonts w:ascii="Open Sans" w:hAnsi="Open Sans" w:cs="Open San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A00316"/>
    <w:multiLevelType w:val="hybridMultilevel"/>
    <w:tmpl w:val="37262C14"/>
    <w:lvl w:ilvl="0" w:tplc="FFFFFFFF">
      <w:start w:val="1"/>
      <w:numFmt w:val="decimal"/>
      <w:lvlText w:val="%1."/>
      <w:lvlJc w:val="left"/>
      <w:pPr>
        <w:ind w:left="720" w:hanging="360"/>
      </w:pPr>
      <w:rPr>
        <w:rFonts w:ascii="Open Sans" w:hAnsi="Open Sans" w:cs="Open San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3DA36BD"/>
    <w:multiLevelType w:val="hybridMultilevel"/>
    <w:tmpl w:val="B280671C"/>
    <w:lvl w:ilvl="0" w:tplc="0C090001">
      <w:start w:val="1"/>
      <w:numFmt w:val="bullet"/>
      <w:lvlText w:val=""/>
      <w:lvlJc w:val="left"/>
      <w:pPr>
        <w:tabs>
          <w:tab w:val="num" w:pos="1211"/>
        </w:tabs>
        <w:ind w:left="1211" w:hanging="360"/>
      </w:pPr>
      <w:rPr>
        <w:rFonts w:ascii="Symbol" w:hAnsi="Symbol" w:hint="default"/>
        <w:b w:val="0"/>
        <w:bCs w:val="0"/>
        <w:i w:val="0"/>
        <w:iCs/>
        <w:strike w:val="0"/>
        <w:color w:val="auto"/>
        <w:sz w:val="22"/>
        <w:szCs w:val="22"/>
        <w:vertAlign w:val="baseline"/>
      </w:rPr>
    </w:lvl>
    <w:lvl w:ilvl="1" w:tplc="FFFFFFFF">
      <w:start w:val="1"/>
      <w:numFmt w:val="lowerLetter"/>
      <w:lvlText w:val="%2."/>
      <w:lvlJc w:val="left"/>
      <w:pPr>
        <w:tabs>
          <w:tab w:val="num" w:pos="163"/>
        </w:tabs>
        <w:ind w:left="163" w:hanging="360"/>
      </w:pPr>
    </w:lvl>
    <w:lvl w:ilvl="2" w:tplc="FFFFFFFF">
      <w:start w:val="1"/>
      <w:numFmt w:val="lowerRoman"/>
      <w:lvlText w:val="%3."/>
      <w:lvlJc w:val="right"/>
      <w:pPr>
        <w:tabs>
          <w:tab w:val="num" w:pos="883"/>
        </w:tabs>
        <w:ind w:left="883" w:hanging="180"/>
      </w:pPr>
    </w:lvl>
    <w:lvl w:ilvl="3" w:tplc="FFFFFFFF">
      <w:start w:val="1"/>
      <w:numFmt w:val="decimal"/>
      <w:lvlText w:val="%4."/>
      <w:lvlJc w:val="left"/>
      <w:pPr>
        <w:tabs>
          <w:tab w:val="num" w:pos="1603"/>
        </w:tabs>
        <w:ind w:left="1603" w:hanging="360"/>
      </w:pPr>
    </w:lvl>
    <w:lvl w:ilvl="4" w:tplc="FFFFFFFF">
      <w:start w:val="1"/>
      <w:numFmt w:val="lowerLetter"/>
      <w:lvlText w:val="%5."/>
      <w:lvlJc w:val="left"/>
      <w:pPr>
        <w:tabs>
          <w:tab w:val="num" w:pos="2323"/>
        </w:tabs>
        <w:ind w:left="2323" w:hanging="360"/>
      </w:pPr>
    </w:lvl>
    <w:lvl w:ilvl="5" w:tplc="FFFFFFFF" w:tentative="1">
      <w:start w:val="1"/>
      <w:numFmt w:val="lowerRoman"/>
      <w:lvlText w:val="%6."/>
      <w:lvlJc w:val="right"/>
      <w:pPr>
        <w:tabs>
          <w:tab w:val="num" w:pos="3043"/>
        </w:tabs>
        <w:ind w:left="3043" w:hanging="180"/>
      </w:pPr>
    </w:lvl>
    <w:lvl w:ilvl="6" w:tplc="FFFFFFFF" w:tentative="1">
      <w:start w:val="1"/>
      <w:numFmt w:val="decimal"/>
      <w:lvlText w:val="%7."/>
      <w:lvlJc w:val="left"/>
      <w:pPr>
        <w:tabs>
          <w:tab w:val="num" w:pos="3763"/>
        </w:tabs>
        <w:ind w:left="3763" w:hanging="360"/>
      </w:pPr>
    </w:lvl>
    <w:lvl w:ilvl="7" w:tplc="FFFFFFFF" w:tentative="1">
      <w:start w:val="1"/>
      <w:numFmt w:val="lowerLetter"/>
      <w:lvlText w:val="%8."/>
      <w:lvlJc w:val="left"/>
      <w:pPr>
        <w:tabs>
          <w:tab w:val="num" w:pos="4483"/>
        </w:tabs>
        <w:ind w:left="4483" w:hanging="360"/>
      </w:pPr>
    </w:lvl>
    <w:lvl w:ilvl="8" w:tplc="FFFFFFFF" w:tentative="1">
      <w:start w:val="1"/>
      <w:numFmt w:val="lowerRoman"/>
      <w:lvlText w:val="%9."/>
      <w:lvlJc w:val="right"/>
      <w:pPr>
        <w:tabs>
          <w:tab w:val="num" w:pos="5203"/>
        </w:tabs>
        <w:ind w:left="5203" w:hanging="180"/>
      </w:pPr>
    </w:lvl>
  </w:abstractNum>
  <w:abstractNum w:abstractNumId="29"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0" w15:restartNumberingAfterBreak="0">
    <w:nsid w:val="4A560250"/>
    <w:multiLevelType w:val="hybridMultilevel"/>
    <w:tmpl w:val="37262C14"/>
    <w:lvl w:ilvl="0" w:tplc="FFFFFFFF">
      <w:start w:val="1"/>
      <w:numFmt w:val="decimal"/>
      <w:lvlText w:val="%1."/>
      <w:lvlJc w:val="left"/>
      <w:pPr>
        <w:ind w:left="720" w:hanging="360"/>
      </w:pPr>
      <w:rPr>
        <w:rFonts w:ascii="Open Sans" w:hAnsi="Open Sans" w:cs="Open San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9BC4E13"/>
    <w:multiLevelType w:val="multilevel"/>
    <w:tmpl w:val="F8B0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D51E77"/>
    <w:multiLevelType w:val="hybridMultilevel"/>
    <w:tmpl w:val="D80CE924"/>
    <w:lvl w:ilvl="0" w:tplc="96DE35B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C34A31"/>
    <w:multiLevelType w:val="hybridMultilevel"/>
    <w:tmpl w:val="37262C14"/>
    <w:lvl w:ilvl="0" w:tplc="FFFFFFFF">
      <w:start w:val="1"/>
      <w:numFmt w:val="decimal"/>
      <w:lvlText w:val="%1."/>
      <w:lvlJc w:val="left"/>
      <w:pPr>
        <w:ind w:left="720" w:hanging="360"/>
      </w:pPr>
      <w:rPr>
        <w:rFonts w:ascii="Open Sans" w:hAnsi="Open Sans" w:cs="Open San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8E7E9A"/>
    <w:multiLevelType w:val="hybridMultilevel"/>
    <w:tmpl w:val="37262C14"/>
    <w:lvl w:ilvl="0" w:tplc="5A4C7D30">
      <w:start w:val="1"/>
      <w:numFmt w:val="decimal"/>
      <w:lvlText w:val="%1."/>
      <w:lvlJc w:val="left"/>
      <w:pPr>
        <w:ind w:left="720" w:hanging="360"/>
      </w:pPr>
      <w:rPr>
        <w:rFonts w:ascii="Open Sans" w:hAnsi="Open Sans" w:cs="Open San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A755B9"/>
    <w:multiLevelType w:val="hybridMultilevel"/>
    <w:tmpl w:val="B46E683C"/>
    <w:lvl w:ilvl="0" w:tplc="0C09000F">
      <w:start w:val="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B33AD5"/>
    <w:multiLevelType w:val="hybridMultilevel"/>
    <w:tmpl w:val="37262C14"/>
    <w:lvl w:ilvl="0" w:tplc="FFFFFFFF">
      <w:start w:val="1"/>
      <w:numFmt w:val="decimal"/>
      <w:lvlText w:val="%1."/>
      <w:lvlJc w:val="left"/>
      <w:pPr>
        <w:ind w:left="720" w:hanging="360"/>
      </w:pPr>
      <w:rPr>
        <w:rFonts w:ascii="Open Sans" w:hAnsi="Open Sans" w:cs="Open San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1858613">
    <w:abstractNumId w:val="29"/>
  </w:num>
  <w:num w:numId="2" w16cid:durableId="1940598191">
    <w:abstractNumId w:val="9"/>
  </w:num>
  <w:num w:numId="3" w16cid:durableId="529338446">
    <w:abstractNumId w:val="7"/>
  </w:num>
  <w:num w:numId="4" w16cid:durableId="86314235">
    <w:abstractNumId w:val="6"/>
  </w:num>
  <w:num w:numId="5" w16cid:durableId="1165704094">
    <w:abstractNumId w:val="5"/>
  </w:num>
  <w:num w:numId="6" w16cid:durableId="1414858099">
    <w:abstractNumId w:val="4"/>
  </w:num>
  <w:num w:numId="7" w16cid:durableId="32922275">
    <w:abstractNumId w:val="8"/>
  </w:num>
  <w:num w:numId="8" w16cid:durableId="1444960925">
    <w:abstractNumId w:val="1"/>
  </w:num>
  <w:num w:numId="9" w16cid:durableId="876166135">
    <w:abstractNumId w:val="0"/>
  </w:num>
  <w:num w:numId="10" w16cid:durableId="97991311">
    <w:abstractNumId w:val="3"/>
  </w:num>
  <w:num w:numId="11" w16cid:durableId="456604185">
    <w:abstractNumId w:val="2"/>
  </w:num>
  <w:num w:numId="12" w16cid:durableId="1239435492">
    <w:abstractNumId w:val="31"/>
  </w:num>
  <w:num w:numId="13" w16cid:durableId="1641963159">
    <w:abstractNumId w:val="27"/>
  </w:num>
  <w:num w:numId="14" w16cid:durableId="1410927845">
    <w:abstractNumId w:val="24"/>
  </w:num>
  <w:num w:numId="15" w16cid:durableId="1806117172">
    <w:abstractNumId w:val="21"/>
  </w:num>
  <w:num w:numId="16" w16cid:durableId="201795504">
    <w:abstractNumId w:val="35"/>
  </w:num>
  <w:num w:numId="17" w16cid:durableId="1252860864">
    <w:abstractNumId w:val="37"/>
  </w:num>
  <w:num w:numId="18" w16cid:durableId="1581669159">
    <w:abstractNumId w:val="30"/>
  </w:num>
  <w:num w:numId="19" w16cid:durableId="754589446">
    <w:abstractNumId w:val="14"/>
  </w:num>
  <w:num w:numId="20" w16cid:durableId="1058475840">
    <w:abstractNumId w:val="8"/>
  </w:num>
  <w:num w:numId="21" w16cid:durableId="2116440486">
    <w:abstractNumId w:val="34"/>
  </w:num>
  <w:num w:numId="22" w16cid:durableId="552548967">
    <w:abstractNumId w:val="33"/>
  </w:num>
  <w:num w:numId="23" w16cid:durableId="1966617218">
    <w:abstractNumId w:val="20"/>
  </w:num>
  <w:num w:numId="24" w16cid:durableId="485436564">
    <w:abstractNumId w:val="25"/>
  </w:num>
  <w:num w:numId="25" w16cid:durableId="568153796">
    <w:abstractNumId w:val="26"/>
  </w:num>
  <w:num w:numId="26" w16cid:durableId="532690264">
    <w:abstractNumId w:val="13"/>
  </w:num>
  <w:num w:numId="27" w16cid:durableId="1085610617">
    <w:abstractNumId w:val="11"/>
  </w:num>
  <w:num w:numId="28" w16cid:durableId="1797990432">
    <w:abstractNumId w:val="32"/>
  </w:num>
  <w:num w:numId="29" w16cid:durableId="816344244">
    <w:abstractNumId w:val="12"/>
  </w:num>
  <w:num w:numId="30" w16cid:durableId="335693211">
    <w:abstractNumId w:val="23"/>
  </w:num>
  <w:num w:numId="31" w16cid:durableId="648359607">
    <w:abstractNumId w:val="28"/>
  </w:num>
  <w:num w:numId="32" w16cid:durableId="530411687">
    <w:abstractNumId w:val="29"/>
  </w:num>
  <w:num w:numId="33" w16cid:durableId="1592662768">
    <w:abstractNumId w:val="18"/>
  </w:num>
  <w:num w:numId="34" w16cid:durableId="1911839483">
    <w:abstractNumId w:val="22"/>
  </w:num>
  <w:num w:numId="35" w16cid:durableId="796023698">
    <w:abstractNumId w:val="36"/>
  </w:num>
  <w:num w:numId="36" w16cid:durableId="148719780">
    <w:abstractNumId w:val="19"/>
  </w:num>
  <w:num w:numId="37" w16cid:durableId="204948954">
    <w:abstractNumId w:val="15"/>
  </w:num>
  <w:num w:numId="38" w16cid:durableId="160705556">
    <w:abstractNumId w:val="16"/>
  </w:num>
  <w:num w:numId="39" w16cid:durableId="1158615454">
    <w:abstractNumId w:val="10"/>
  </w:num>
  <w:num w:numId="40" w16cid:durableId="35010791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38"/>
    <w:rsid w:val="000008B5"/>
    <w:rsid w:val="000015EC"/>
    <w:rsid w:val="000025A6"/>
    <w:rsid w:val="00003EA5"/>
    <w:rsid w:val="00007CA6"/>
    <w:rsid w:val="000103D8"/>
    <w:rsid w:val="000161C2"/>
    <w:rsid w:val="000169C1"/>
    <w:rsid w:val="00021720"/>
    <w:rsid w:val="00021849"/>
    <w:rsid w:val="0002476A"/>
    <w:rsid w:val="0002537F"/>
    <w:rsid w:val="000253D0"/>
    <w:rsid w:val="000265ED"/>
    <w:rsid w:val="00032C65"/>
    <w:rsid w:val="000334BC"/>
    <w:rsid w:val="000341B3"/>
    <w:rsid w:val="00035821"/>
    <w:rsid w:val="00035A73"/>
    <w:rsid w:val="00036BE4"/>
    <w:rsid w:val="00041646"/>
    <w:rsid w:val="00042A1B"/>
    <w:rsid w:val="000430B8"/>
    <w:rsid w:val="00043676"/>
    <w:rsid w:val="00045712"/>
    <w:rsid w:val="00045C4B"/>
    <w:rsid w:val="000465F1"/>
    <w:rsid w:val="000478F5"/>
    <w:rsid w:val="0005235A"/>
    <w:rsid w:val="000536F8"/>
    <w:rsid w:val="00053891"/>
    <w:rsid w:val="00054786"/>
    <w:rsid w:val="000547C4"/>
    <w:rsid w:val="00055613"/>
    <w:rsid w:val="000579B1"/>
    <w:rsid w:val="00061C6C"/>
    <w:rsid w:val="0006218E"/>
    <w:rsid w:val="00062E77"/>
    <w:rsid w:val="00063901"/>
    <w:rsid w:val="0006444C"/>
    <w:rsid w:val="00067452"/>
    <w:rsid w:val="0007058A"/>
    <w:rsid w:val="000728CE"/>
    <w:rsid w:val="00072EDA"/>
    <w:rsid w:val="00073922"/>
    <w:rsid w:val="0007474B"/>
    <w:rsid w:val="00077A19"/>
    <w:rsid w:val="00080F2C"/>
    <w:rsid w:val="00085C4B"/>
    <w:rsid w:val="00086355"/>
    <w:rsid w:val="00090BE8"/>
    <w:rsid w:val="0009196B"/>
    <w:rsid w:val="00094A89"/>
    <w:rsid w:val="00095F08"/>
    <w:rsid w:val="00096394"/>
    <w:rsid w:val="000A0D7C"/>
    <w:rsid w:val="000A13A8"/>
    <w:rsid w:val="000A1DB8"/>
    <w:rsid w:val="000A225A"/>
    <w:rsid w:val="000A48AC"/>
    <w:rsid w:val="000A4C03"/>
    <w:rsid w:val="000A520E"/>
    <w:rsid w:val="000A5FA3"/>
    <w:rsid w:val="000A7427"/>
    <w:rsid w:val="000A7F53"/>
    <w:rsid w:val="000B0603"/>
    <w:rsid w:val="000B0A5D"/>
    <w:rsid w:val="000B1910"/>
    <w:rsid w:val="000B2479"/>
    <w:rsid w:val="000B5B68"/>
    <w:rsid w:val="000B645E"/>
    <w:rsid w:val="000B77E9"/>
    <w:rsid w:val="000C07D2"/>
    <w:rsid w:val="000C2495"/>
    <w:rsid w:val="000C5608"/>
    <w:rsid w:val="000C5DA6"/>
    <w:rsid w:val="000C627C"/>
    <w:rsid w:val="000D01DA"/>
    <w:rsid w:val="000D111F"/>
    <w:rsid w:val="000D1388"/>
    <w:rsid w:val="000D1E6D"/>
    <w:rsid w:val="000D255B"/>
    <w:rsid w:val="000D310E"/>
    <w:rsid w:val="000D58E8"/>
    <w:rsid w:val="000D606B"/>
    <w:rsid w:val="000E130A"/>
    <w:rsid w:val="000E6966"/>
    <w:rsid w:val="000F33E1"/>
    <w:rsid w:val="000F35F8"/>
    <w:rsid w:val="000F4CCB"/>
    <w:rsid w:val="000F6C57"/>
    <w:rsid w:val="00100AEA"/>
    <w:rsid w:val="00104C5C"/>
    <w:rsid w:val="00105747"/>
    <w:rsid w:val="001059C4"/>
    <w:rsid w:val="00107A86"/>
    <w:rsid w:val="00111B4C"/>
    <w:rsid w:val="0011697C"/>
    <w:rsid w:val="00117776"/>
    <w:rsid w:val="00120227"/>
    <w:rsid w:val="00122AF9"/>
    <w:rsid w:val="00124012"/>
    <w:rsid w:val="001261DA"/>
    <w:rsid w:val="001265FE"/>
    <w:rsid w:val="00130FD4"/>
    <w:rsid w:val="00131415"/>
    <w:rsid w:val="001325CD"/>
    <w:rsid w:val="00132874"/>
    <w:rsid w:val="00134774"/>
    <w:rsid w:val="00137510"/>
    <w:rsid w:val="00140274"/>
    <w:rsid w:val="00141910"/>
    <w:rsid w:val="00142EE0"/>
    <w:rsid w:val="00143737"/>
    <w:rsid w:val="00143940"/>
    <w:rsid w:val="00144875"/>
    <w:rsid w:val="00144D75"/>
    <w:rsid w:val="00146CB8"/>
    <w:rsid w:val="00151263"/>
    <w:rsid w:val="001515A5"/>
    <w:rsid w:val="0015239E"/>
    <w:rsid w:val="001544A7"/>
    <w:rsid w:val="00155BC6"/>
    <w:rsid w:val="00160869"/>
    <w:rsid w:val="0016152C"/>
    <w:rsid w:val="0016266F"/>
    <w:rsid w:val="00162A8D"/>
    <w:rsid w:val="00162BE8"/>
    <w:rsid w:val="00165E3C"/>
    <w:rsid w:val="001672B9"/>
    <w:rsid w:val="001674B0"/>
    <w:rsid w:val="00172623"/>
    <w:rsid w:val="0017336D"/>
    <w:rsid w:val="0017339F"/>
    <w:rsid w:val="00173FB5"/>
    <w:rsid w:val="0017490A"/>
    <w:rsid w:val="00174D9A"/>
    <w:rsid w:val="00175640"/>
    <w:rsid w:val="00177D4D"/>
    <w:rsid w:val="001802F9"/>
    <w:rsid w:val="001802FA"/>
    <w:rsid w:val="00182871"/>
    <w:rsid w:val="001841AC"/>
    <w:rsid w:val="00191A52"/>
    <w:rsid w:val="00192740"/>
    <w:rsid w:val="00194F2E"/>
    <w:rsid w:val="00195EDE"/>
    <w:rsid w:val="001960A0"/>
    <w:rsid w:val="00197732"/>
    <w:rsid w:val="001A1BE3"/>
    <w:rsid w:val="001A37DA"/>
    <w:rsid w:val="001A6249"/>
    <w:rsid w:val="001A6360"/>
    <w:rsid w:val="001A6E16"/>
    <w:rsid w:val="001B0353"/>
    <w:rsid w:val="001B2456"/>
    <w:rsid w:val="001B47F7"/>
    <w:rsid w:val="001B49C1"/>
    <w:rsid w:val="001B556B"/>
    <w:rsid w:val="001B6A86"/>
    <w:rsid w:val="001C1F8B"/>
    <w:rsid w:val="001C1FA9"/>
    <w:rsid w:val="001C4797"/>
    <w:rsid w:val="001C535D"/>
    <w:rsid w:val="001C6BE7"/>
    <w:rsid w:val="001D0EE4"/>
    <w:rsid w:val="001D0FD8"/>
    <w:rsid w:val="001D3852"/>
    <w:rsid w:val="001D4778"/>
    <w:rsid w:val="001D4FFC"/>
    <w:rsid w:val="001D7860"/>
    <w:rsid w:val="001E2474"/>
    <w:rsid w:val="001E5676"/>
    <w:rsid w:val="001E5DDF"/>
    <w:rsid w:val="001E5E96"/>
    <w:rsid w:val="001E6947"/>
    <w:rsid w:val="001E7628"/>
    <w:rsid w:val="001F26C2"/>
    <w:rsid w:val="001F2BBB"/>
    <w:rsid w:val="001F52FD"/>
    <w:rsid w:val="001F62CC"/>
    <w:rsid w:val="001F66E5"/>
    <w:rsid w:val="001F7581"/>
    <w:rsid w:val="00200677"/>
    <w:rsid w:val="002012F7"/>
    <w:rsid w:val="002025C3"/>
    <w:rsid w:val="002027F6"/>
    <w:rsid w:val="00206849"/>
    <w:rsid w:val="002068EB"/>
    <w:rsid w:val="00210964"/>
    <w:rsid w:val="002109C3"/>
    <w:rsid w:val="002109E1"/>
    <w:rsid w:val="00213097"/>
    <w:rsid w:val="00217137"/>
    <w:rsid w:val="00223AEC"/>
    <w:rsid w:val="002261BF"/>
    <w:rsid w:val="00227E58"/>
    <w:rsid w:val="00231ED1"/>
    <w:rsid w:val="0023321F"/>
    <w:rsid w:val="00241523"/>
    <w:rsid w:val="00241968"/>
    <w:rsid w:val="00241CA0"/>
    <w:rsid w:val="00242624"/>
    <w:rsid w:val="0024296A"/>
    <w:rsid w:val="00243A39"/>
    <w:rsid w:val="0024557E"/>
    <w:rsid w:val="002471FD"/>
    <w:rsid w:val="002542C1"/>
    <w:rsid w:val="00255754"/>
    <w:rsid w:val="002571CE"/>
    <w:rsid w:val="002632EA"/>
    <w:rsid w:val="0026330B"/>
    <w:rsid w:val="0026349D"/>
    <w:rsid w:val="00265CCF"/>
    <w:rsid w:val="002700B1"/>
    <w:rsid w:val="00272A39"/>
    <w:rsid w:val="00272A4F"/>
    <w:rsid w:val="00273604"/>
    <w:rsid w:val="00273F0E"/>
    <w:rsid w:val="00275299"/>
    <w:rsid w:val="00276888"/>
    <w:rsid w:val="002800BE"/>
    <w:rsid w:val="00282269"/>
    <w:rsid w:val="00283B59"/>
    <w:rsid w:val="002845A3"/>
    <w:rsid w:val="0028506A"/>
    <w:rsid w:val="002850B0"/>
    <w:rsid w:val="002863D7"/>
    <w:rsid w:val="002873B4"/>
    <w:rsid w:val="0029075B"/>
    <w:rsid w:val="00291978"/>
    <w:rsid w:val="00291BCD"/>
    <w:rsid w:val="00292236"/>
    <w:rsid w:val="00292AB5"/>
    <w:rsid w:val="0029740D"/>
    <w:rsid w:val="00297C00"/>
    <w:rsid w:val="00297F82"/>
    <w:rsid w:val="002A150D"/>
    <w:rsid w:val="002A43C2"/>
    <w:rsid w:val="002A53CD"/>
    <w:rsid w:val="002B0A69"/>
    <w:rsid w:val="002B1B65"/>
    <w:rsid w:val="002B32DB"/>
    <w:rsid w:val="002C02DB"/>
    <w:rsid w:val="002C043D"/>
    <w:rsid w:val="002C1866"/>
    <w:rsid w:val="002C5F4F"/>
    <w:rsid w:val="002C62C3"/>
    <w:rsid w:val="002D0580"/>
    <w:rsid w:val="002D1695"/>
    <w:rsid w:val="002D4B49"/>
    <w:rsid w:val="002D5D82"/>
    <w:rsid w:val="002D7293"/>
    <w:rsid w:val="002E0B1F"/>
    <w:rsid w:val="002E1C54"/>
    <w:rsid w:val="002E242C"/>
    <w:rsid w:val="002E42E5"/>
    <w:rsid w:val="002E582D"/>
    <w:rsid w:val="002E59E8"/>
    <w:rsid w:val="002E5A1B"/>
    <w:rsid w:val="002E6924"/>
    <w:rsid w:val="002E720C"/>
    <w:rsid w:val="002E7CEF"/>
    <w:rsid w:val="002F1607"/>
    <w:rsid w:val="002F2D5A"/>
    <w:rsid w:val="002F2FFD"/>
    <w:rsid w:val="002F40A0"/>
    <w:rsid w:val="002F4301"/>
    <w:rsid w:val="002F4CE1"/>
    <w:rsid w:val="002F539B"/>
    <w:rsid w:val="002F5E96"/>
    <w:rsid w:val="002F5EB5"/>
    <w:rsid w:val="002F6B81"/>
    <w:rsid w:val="0030053D"/>
    <w:rsid w:val="00300F22"/>
    <w:rsid w:val="003014EF"/>
    <w:rsid w:val="00301741"/>
    <w:rsid w:val="00304A37"/>
    <w:rsid w:val="00304C7C"/>
    <w:rsid w:val="0031040E"/>
    <w:rsid w:val="00310ED4"/>
    <w:rsid w:val="00311874"/>
    <w:rsid w:val="00312301"/>
    <w:rsid w:val="00312779"/>
    <w:rsid w:val="0031492A"/>
    <w:rsid w:val="00315BEC"/>
    <w:rsid w:val="00316845"/>
    <w:rsid w:val="00316B7F"/>
    <w:rsid w:val="00316C1A"/>
    <w:rsid w:val="00320060"/>
    <w:rsid w:val="00320D18"/>
    <w:rsid w:val="0032206E"/>
    <w:rsid w:val="00323C73"/>
    <w:rsid w:val="00324F45"/>
    <w:rsid w:val="00326992"/>
    <w:rsid w:val="0032744B"/>
    <w:rsid w:val="00327725"/>
    <w:rsid w:val="00331141"/>
    <w:rsid w:val="00340FB7"/>
    <w:rsid w:val="003423F4"/>
    <w:rsid w:val="00344758"/>
    <w:rsid w:val="003452D0"/>
    <w:rsid w:val="003468AC"/>
    <w:rsid w:val="00347142"/>
    <w:rsid w:val="00350D1B"/>
    <w:rsid w:val="003565A8"/>
    <w:rsid w:val="00356668"/>
    <w:rsid w:val="003566EA"/>
    <w:rsid w:val="0036163E"/>
    <w:rsid w:val="00366A1B"/>
    <w:rsid w:val="00371EDA"/>
    <w:rsid w:val="00371F2A"/>
    <w:rsid w:val="00372C79"/>
    <w:rsid w:val="003748A0"/>
    <w:rsid w:val="00376AE8"/>
    <w:rsid w:val="00380903"/>
    <w:rsid w:val="00386A26"/>
    <w:rsid w:val="003877A1"/>
    <w:rsid w:val="00387841"/>
    <w:rsid w:val="0039049E"/>
    <w:rsid w:val="0039178D"/>
    <w:rsid w:val="0039193C"/>
    <w:rsid w:val="00392E89"/>
    <w:rsid w:val="0039441C"/>
    <w:rsid w:val="00395E11"/>
    <w:rsid w:val="003A168E"/>
    <w:rsid w:val="003A2DF6"/>
    <w:rsid w:val="003A45A1"/>
    <w:rsid w:val="003A48B7"/>
    <w:rsid w:val="003A4B3E"/>
    <w:rsid w:val="003A556A"/>
    <w:rsid w:val="003A6CBE"/>
    <w:rsid w:val="003A7F6C"/>
    <w:rsid w:val="003B14FB"/>
    <w:rsid w:val="003B4BD8"/>
    <w:rsid w:val="003B4F43"/>
    <w:rsid w:val="003B6E50"/>
    <w:rsid w:val="003B7ACF"/>
    <w:rsid w:val="003C2B01"/>
    <w:rsid w:val="003C4748"/>
    <w:rsid w:val="003C666C"/>
    <w:rsid w:val="003C6BF9"/>
    <w:rsid w:val="003C7802"/>
    <w:rsid w:val="003D2C4C"/>
    <w:rsid w:val="003D36DB"/>
    <w:rsid w:val="003D5352"/>
    <w:rsid w:val="003D7021"/>
    <w:rsid w:val="003E1416"/>
    <w:rsid w:val="003E25A3"/>
    <w:rsid w:val="003E48FF"/>
    <w:rsid w:val="003E5DEF"/>
    <w:rsid w:val="003E6BAD"/>
    <w:rsid w:val="003E70C4"/>
    <w:rsid w:val="003F05CE"/>
    <w:rsid w:val="003F0B3A"/>
    <w:rsid w:val="003F17AA"/>
    <w:rsid w:val="003F25BF"/>
    <w:rsid w:val="003F6427"/>
    <w:rsid w:val="003F6E92"/>
    <w:rsid w:val="003F76EE"/>
    <w:rsid w:val="00400AC3"/>
    <w:rsid w:val="00401533"/>
    <w:rsid w:val="0040155E"/>
    <w:rsid w:val="0040160B"/>
    <w:rsid w:val="004039C2"/>
    <w:rsid w:val="0040419C"/>
    <w:rsid w:val="0040497E"/>
    <w:rsid w:val="00405410"/>
    <w:rsid w:val="00405F04"/>
    <w:rsid w:val="004071DC"/>
    <w:rsid w:val="00415E8D"/>
    <w:rsid w:val="004166D8"/>
    <w:rsid w:val="00422417"/>
    <w:rsid w:val="00423380"/>
    <w:rsid w:val="00424233"/>
    <w:rsid w:val="00426099"/>
    <w:rsid w:val="00427405"/>
    <w:rsid w:val="004305CD"/>
    <w:rsid w:val="00435FBD"/>
    <w:rsid w:val="00442CB1"/>
    <w:rsid w:val="004449D0"/>
    <w:rsid w:val="00445CB5"/>
    <w:rsid w:val="0044612D"/>
    <w:rsid w:val="0044795B"/>
    <w:rsid w:val="00451731"/>
    <w:rsid w:val="00451BEA"/>
    <w:rsid w:val="00451CB1"/>
    <w:rsid w:val="00451F80"/>
    <w:rsid w:val="00452EB7"/>
    <w:rsid w:val="00453E12"/>
    <w:rsid w:val="00453EB4"/>
    <w:rsid w:val="00454179"/>
    <w:rsid w:val="00454D2D"/>
    <w:rsid w:val="004562DE"/>
    <w:rsid w:val="0045684F"/>
    <w:rsid w:val="00457194"/>
    <w:rsid w:val="004574B3"/>
    <w:rsid w:val="0045769C"/>
    <w:rsid w:val="004576F6"/>
    <w:rsid w:val="00457F67"/>
    <w:rsid w:val="004608EE"/>
    <w:rsid w:val="00460EE0"/>
    <w:rsid w:val="004610F2"/>
    <w:rsid w:val="00461F0C"/>
    <w:rsid w:val="004712FB"/>
    <w:rsid w:val="00471BB7"/>
    <w:rsid w:val="00472EFF"/>
    <w:rsid w:val="00473F74"/>
    <w:rsid w:val="00474063"/>
    <w:rsid w:val="00476793"/>
    <w:rsid w:val="00477A1B"/>
    <w:rsid w:val="0048117F"/>
    <w:rsid w:val="00481B2A"/>
    <w:rsid w:val="00482091"/>
    <w:rsid w:val="00484DB8"/>
    <w:rsid w:val="00485D47"/>
    <w:rsid w:val="00494206"/>
    <w:rsid w:val="004942DF"/>
    <w:rsid w:val="00494CE2"/>
    <w:rsid w:val="004A0049"/>
    <w:rsid w:val="004A0903"/>
    <w:rsid w:val="004A0F46"/>
    <w:rsid w:val="004A120E"/>
    <w:rsid w:val="004A187B"/>
    <w:rsid w:val="004A2A52"/>
    <w:rsid w:val="004A2D3C"/>
    <w:rsid w:val="004A339D"/>
    <w:rsid w:val="004A3E70"/>
    <w:rsid w:val="004A4103"/>
    <w:rsid w:val="004A6871"/>
    <w:rsid w:val="004B19A7"/>
    <w:rsid w:val="004B52BF"/>
    <w:rsid w:val="004B5DF9"/>
    <w:rsid w:val="004B638A"/>
    <w:rsid w:val="004B68D3"/>
    <w:rsid w:val="004C09E6"/>
    <w:rsid w:val="004C7412"/>
    <w:rsid w:val="004D04BF"/>
    <w:rsid w:val="004D479C"/>
    <w:rsid w:val="004D5D2E"/>
    <w:rsid w:val="004E0DFF"/>
    <w:rsid w:val="004E35E6"/>
    <w:rsid w:val="004E4141"/>
    <w:rsid w:val="004E55C5"/>
    <w:rsid w:val="004E691E"/>
    <w:rsid w:val="004F0256"/>
    <w:rsid w:val="004F1C7C"/>
    <w:rsid w:val="004F2D5F"/>
    <w:rsid w:val="004F2E70"/>
    <w:rsid w:val="004F4256"/>
    <w:rsid w:val="004F6D39"/>
    <w:rsid w:val="00500727"/>
    <w:rsid w:val="0050493A"/>
    <w:rsid w:val="00505792"/>
    <w:rsid w:val="00506A55"/>
    <w:rsid w:val="00507CD9"/>
    <w:rsid w:val="00510390"/>
    <w:rsid w:val="00510A6A"/>
    <w:rsid w:val="005111A1"/>
    <w:rsid w:val="00511FF9"/>
    <w:rsid w:val="005123F0"/>
    <w:rsid w:val="0051288E"/>
    <w:rsid w:val="00513540"/>
    <w:rsid w:val="00513941"/>
    <w:rsid w:val="005162FD"/>
    <w:rsid w:val="0051635C"/>
    <w:rsid w:val="005168D8"/>
    <w:rsid w:val="00516B9D"/>
    <w:rsid w:val="00520FEB"/>
    <w:rsid w:val="00522932"/>
    <w:rsid w:val="00522CBE"/>
    <w:rsid w:val="00522D3E"/>
    <w:rsid w:val="005253BF"/>
    <w:rsid w:val="005278FC"/>
    <w:rsid w:val="0053051D"/>
    <w:rsid w:val="005309DD"/>
    <w:rsid w:val="005335AE"/>
    <w:rsid w:val="00543209"/>
    <w:rsid w:val="00543647"/>
    <w:rsid w:val="00546756"/>
    <w:rsid w:val="00547065"/>
    <w:rsid w:val="00550EA7"/>
    <w:rsid w:val="00551071"/>
    <w:rsid w:val="00551403"/>
    <w:rsid w:val="00553754"/>
    <w:rsid w:val="005545A8"/>
    <w:rsid w:val="00554D6C"/>
    <w:rsid w:val="00564208"/>
    <w:rsid w:val="00564754"/>
    <w:rsid w:val="00565FA0"/>
    <w:rsid w:val="00567ECD"/>
    <w:rsid w:val="005707A5"/>
    <w:rsid w:val="005718BD"/>
    <w:rsid w:val="00571CEB"/>
    <w:rsid w:val="00575143"/>
    <w:rsid w:val="00577B8E"/>
    <w:rsid w:val="0058084D"/>
    <w:rsid w:val="005811D0"/>
    <w:rsid w:val="0058257D"/>
    <w:rsid w:val="00585CD0"/>
    <w:rsid w:val="00587F94"/>
    <w:rsid w:val="00590949"/>
    <w:rsid w:val="00591951"/>
    <w:rsid w:val="00592921"/>
    <w:rsid w:val="00592F64"/>
    <w:rsid w:val="00597D77"/>
    <w:rsid w:val="005A0964"/>
    <w:rsid w:val="005A2417"/>
    <w:rsid w:val="005A6C0C"/>
    <w:rsid w:val="005A71A6"/>
    <w:rsid w:val="005A7E4B"/>
    <w:rsid w:val="005B0C67"/>
    <w:rsid w:val="005B1116"/>
    <w:rsid w:val="005B36F6"/>
    <w:rsid w:val="005B3EE6"/>
    <w:rsid w:val="005B6D11"/>
    <w:rsid w:val="005B7952"/>
    <w:rsid w:val="005C0355"/>
    <w:rsid w:val="005C1C04"/>
    <w:rsid w:val="005C27D0"/>
    <w:rsid w:val="005C2D2E"/>
    <w:rsid w:val="005C2ECF"/>
    <w:rsid w:val="005C5D41"/>
    <w:rsid w:val="005C64C1"/>
    <w:rsid w:val="005C6800"/>
    <w:rsid w:val="005D1229"/>
    <w:rsid w:val="005D1F34"/>
    <w:rsid w:val="005D1F56"/>
    <w:rsid w:val="005D383D"/>
    <w:rsid w:val="005E2A31"/>
    <w:rsid w:val="005E30E3"/>
    <w:rsid w:val="005E316F"/>
    <w:rsid w:val="005E4A5E"/>
    <w:rsid w:val="005F1A35"/>
    <w:rsid w:val="005F3362"/>
    <w:rsid w:val="005F4677"/>
    <w:rsid w:val="005F506B"/>
    <w:rsid w:val="005F5394"/>
    <w:rsid w:val="005F79E6"/>
    <w:rsid w:val="005F7B91"/>
    <w:rsid w:val="00600B5A"/>
    <w:rsid w:val="00607672"/>
    <w:rsid w:val="00607B0D"/>
    <w:rsid w:val="00610F50"/>
    <w:rsid w:val="006112A0"/>
    <w:rsid w:val="00614846"/>
    <w:rsid w:val="00615F93"/>
    <w:rsid w:val="00616BEA"/>
    <w:rsid w:val="00616F88"/>
    <w:rsid w:val="00621A3F"/>
    <w:rsid w:val="00622508"/>
    <w:rsid w:val="0063009F"/>
    <w:rsid w:val="00631BE2"/>
    <w:rsid w:val="00635086"/>
    <w:rsid w:val="006353D4"/>
    <w:rsid w:val="00635426"/>
    <w:rsid w:val="006356C5"/>
    <w:rsid w:val="00640851"/>
    <w:rsid w:val="00641636"/>
    <w:rsid w:val="00641683"/>
    <w:rsid w:val="00642C97"/>
    <w:rsid w:val="00645B78"/>
    <w:rsid w:val="00646E41"/>
    <w:rsid w:val="00650E26"/>
    <w:rsid w:val="00653167"/>
    <w:rsid w:val="00654793"/>
    <w:rsid w:val="00664859"/>
    <w:rsid w:val="006670BA"/>
    <w:rsid w:val="00667784"/>
    <w:rsid w:val="00667CEB"/>
    <w:rsid w:val="00671489"/>
    <w:rsid w:val="00671AC8"/>
    <w:rsid w:val="006749A7"/>
    <w:rsid w:val="00674E05"/>
    <w:rsid w:val="00677EE4"/>
    <w:rsid w:val="00680959"/>
    <w:rsid w:val="00680970"/>
    <w:rsid w:val="006812FF"/>
    <w:rsid w:val="006829F9"/>
    <w:rsid w:val="006855C7"/>
    <w:rsid w:val="00687815"/>
    <w:rsid w:val="00690855"/>
    <w:rsid w:val="00690F3D"/>
    <w:rsid w:val="00694155"/>
    <w:rsid w:val="006942A4"/>
    <w:rsid w:val="0069506C"/>
    <w:rsid w:val="00695720"/>
    <w:rsid w:val="00696359"/>
    <w:rsid w:val="00697B53"/>
    <w:rsid w:val="006A0783"/>
    <w:rsid w:val="006A2830"/>
    <w:rsid w:val="006A318F"/>
    <w:rsid w:val="006A547B"/>
    <w:rsid w:val="006A5DBE"/>
    <w:rsid w:val="006A5E13"/>
    <w:rsid w:val="006A647C"/>
    <w:rsid w:val="006A6BB3"/>
    <w:rsid w:val="006A6C96"/>
    <w:rsid w:val="006A799D"/>
    <w:rsid w:val="006A7F88"/>
    <w:rsid w:val="006B03B7"/>
    <w:rsid w:val="006B04BE"/>
    <w:rsid w:val="006B0B21"/>
    <w:rsid w:val="006B3DE1"/>
    <w:rsid w:val="006B3F5E"/>
    <w:rsid w:val="006B4341"/>
    <w:rsid w:val="006C0642"/>
    <w:rsid w:val="006C134B"/>
    <w:rsid w:val="006C6D4A"/>
    <w:rsid w:val="006C753E"/>
    <w:rsid w:val="006D0407"/>
    <w:rsid w:val="006D309F"/>
    <w:rsid w:val="006D31C5"/>
    <w:rsid w:val="006D5EE5"/>
    <w:rsid w:val="006D7DFA"/>
    <w:rsid w:val="006E03EF"/>
    <w:rsid w:val="006E2499"/>
    <w:rsid w:val="006E2A94"/>
    <w:rsid w:val="006E3325"/>
    <w:rsid w:val="006E4454"/>
    <w:rsid w:val="006E47F7"/>
    <w:rsid w:val="006E6D3B"/>
    <w:rsid w:val="006F0C62"/>
    <w:rsid w:val="006F1964"/>
    <w:rsid w:val="006F4049"/>
    <w:rsid w:val="006F40FC"/>
    <w:rsid w:val="006F7B1F"/>
    <w:rsid w:val="0070071E"/>
    <w:rsid w:val="00702F41"/>
    <w:rsid w:val="00710F1A"/>
    <w:rsid w:val="00710F7B"/>
    <w:rsid w:val="00711E2C"/>
    <w:rsid w:val="00711EA6"/>
    <w:rsid w:val="00712052"/>
    <w:rsid w:val="00712B35"/>
    <w:rsid w:val="00714332"/>
    <w:rsid w:val="00714338"/>
    <w:rsid w:val="00714CC4"/>
    <w:rsid w:val="00714FF5"/>
    <w:rsid w:val="00730BD2"/>
    <w:rsid w:val="00732592"/>
    <w:rsid w:val="00732E1D"/>
    <w:rsid w:val="00733582"/>
    <w:rsid w:val="0073384C"/>
    <w:rsid w:val="007352CF"/>
    <w:rsid w:val="007373D9"/>
    <w:rsid w:val="00740B21"/>
    <w:rsid w:val="00742533"/>
    <w:rsid w:val="00747ACF"/>
    <w:rsid w:val="00747B01"/>
    <w:rsid w:val="00752EB6"/>
    <w:rsid w:val="007536EB"/>
    <w:rsid w:val="007540BF"/>
    <w:rsid w:val="00757C89"/>
    <w:rsid w:val="00760031"/>
    <w:rsid w:val="00760A4A"/>
    <w:rsid w:val="00762205"/>
    <w:rsid w:val="007636E4"/>
    <w:rsid w:val="007637A8"/>
    <w:rsid w:val="00765B58"/>
    <w:rsid w:val="007669EA"/>
    <w:rsid w:val="007679AB"/>
    <w:rsid w:val="00770CBF"/>
    <w:rsid w:val="00770DCB"/>
    <w:rsid w:val="0077176C"/>
    <w:rsid w:val="00771F99"/>
    <w:rsid w:val="00774C2C"/>
    <w:rsid w:val="00775485"/>
    <w:rsid w:val="007758DB"/>
    <w:rsid w:val="00783532"/>
    <w:rsid w:val="00783A7C"/>
    <w:rsid w:val="00784238"/>
    <w:rsid w:val="007846B5"/>
    <w:rsid w:val="00786284"/>
    <w:rsid w:val="007866CD"/>
    <w:rsid w:val="00787518"/>
    <w:rsid w:val="00787E5D"/>
    <w:rsid w:val="00792213"/>
    <w:rsid w:val="0079308F"/>
    <w:rsid w:val="007932F7"/>
    <w:rsid w:val="007A3047"/>
    <w:rsid w:val="007A4F0A"/>
    <w:rsid w:val="007A5E9C"/>
    <w:rsid w:val="007A6F60"/>
    <w:rsid w:val="007B06EA"/>
    <w:rsid w:val="007B1802"/>
    <w:rsid w:val="007B2EF1"/>
    <w:rsid w:val="007C05B9"/>
    <w:rsid w:val="007C1695"/>
    <w:rsid w:val="007C21ED"/>
    <w:rsid w:val="007C4A88"/>
    <w:rsid w:val="007C5779"/>
    <w:rsid w:val="007C6639"/>
    <w:rsid w:val="007C6A39"/>
    <w:rsid w:val="007C714B"/>
    <w:rsid w:val="007D0315"/>
    <w:rsid w:val="007D2875"/>
    <w:rsid w:val="007D2E0F"/>
    <w:rsid w:val="007D2F00"/>
    <w:rsid w:val="007D34C7"/>
    <w:rsid w:val="007D3B3A"/>
    <w:rsid w:val="007D3D73"/>
    <w:rsid w:val="007D5E48"/>
    <w:rsid w:val="007E01AE"/>
    <w:rsid w:val="007E17F1"/>
    <w:rsid w:val="007E2F44"/>
    <w:rsid w:val="007E38D9"/>
    <w:rsid w:val="007E3C83"/>
    <w:rsid w:val="007E47C4"/>
    <w:rsid w:val="007E5B88"/>
    <w:rsid w:val="007E7474"/>
    <w:rsid w:val="007F0229"/>
    <w:rsid w:val="007F0D0B"/>
    <w:rsid w:val="007F3464"/>
    <w:rsid w:val="007F4AF3"/>
    <w:rsid w:val="007F5786"/>
    <w:rsid w:val="007F6E6D"/>
    <w:rsid w:val="008007A8"/>
    <w:rsid w:val="00804108"/>
    <w:rsid w:val="008042D9"/>
    <w:rsid w:val="008068CB"/>
    <w:rsid w:val="00814FC0"/>
    <w:rsid w:val="00815DBA"/>
    <w:rsid w:val="00816081"/>
    <w:rsid w:val="00817C73"/>
    <w:rsid w:val="00820309"/>
    <w:rsid w:val="00820839"/>
    <w:rsid w:val="008214B3"/>
    <w:rsid w:val="00823005"/>
    <w:rsid w:val="00823E37"/>
    <w:rsid w:val="00823F34"/>
    <w:rsid w:val="00827ACF"/>
    <w:rsid w:val="008310B9"/>
    <w:rsid w:val="008336DE"/>
    <w:rsid w:val="00833A7B"/>
    <w:rsid w:val="00834E34"/>
    <w:rsid w:val="00840881"/>
    <w:rsid w:val="008412F3"/>
    <w:rsid w:val="00842453"/>
    <w:rsid w:val="00843967"/>
    <w:rsid w:val="008449B9"/>
    <w:rsid w:val="00846A16"/>
    <w:rsid w:val="00846D6A"/>
    <w:rsid w:val="00846F3A"/>
    <w:rsid w:val="00847191"/>
    <w:rsid w:val="00851056"/>
    <w:rsid w:val="00852739"/>
    <w:rsid w:val="00852AE4"/>
    <w:rsid w:val="008537C0"/>
    <w:rsid w:val="00854F5E"/>
    <w:rsid w:val="008605AE"/>
    <w:rsid w:val="0086254F"/>
    <w:rsid w:val="00865B5E"/>
    <w:rsid w:val="00866870"/>
    <w:rsid w:val="00866A44"/>
    <w:rsid w:val="00871124"/>
    <w:rsid w:val="0087187B"/>
    <w:rsid w:val="008724DE"/>
    <w:rsid w:val="00875079"/>
    <w:rsid w:val="008758D9"/>
    <w:rsid w:val="0087596F"/>
    <w:rsid w:val="00882B0A"/>
    <w:rsid w:val="00882CA9"/>
    <w:rsid w:val="00884BFC"/>
    <w:rsid w:val="0088513C"/>
    <w:rsid w:val="008856C1"/>
    <w:rsid w:val="00890928"/>
    <w:rsid w:val="00891DA8"/>
    <w:rsid w:val="008934C9"/>
    <w:rsid w:val="00893F2A"/>
    <w:rsid w:val="00894067"/>
    <w:rsid w:val="00894255"/>
    <w:rsid w:val="008958F2"/>
    <w:rsid w:val="00897DF3"/>
    <w:rsid w:val="00897FCB"/>
    <w:rsid w:val="008A12F2"/>
    <w:rsid w:val="008A204A"/>
    <w:rsid w:val="008A3D57"/>
    <w:rsid w:val="008A4A62"/>
    <w:rsid w:val="008A624E"/>
    <w:rsid w:val="008A72A1"/>
    <w:rsid w:val="008A7C4C"/>
    <w:rsid w:val="008B07FF"/>
    <w:rsid w:val="008B1F9D"/>
    <w:rsid w:val="008B23BC"/>
    <w:rsid w:val="008B3899"/>
    <w:rsid w:val="008B67F8"/>
    <w:rsid w:val="008B74DF"/>
    <w:rsid w:val="008B767C"/>
    <w:rsid w:val="008B7DF9"/>
    <w:rsid w:val="008C3AFE"/>
    <w:rsid w:val="008C3E5D"/>
    <w:rsid w:val="008D04D6"/>
    <w:rsid w:val="008D095E"/>
    <w:rsid w:val="008D598E"/>
    <w:rsid w:val="008D5FE2"/>
    <w:rsid w:val="008E328C"/>
    <w:rsid w:val="008E3D60"/>
    <w:rsid w:val="008E3F4C"/>
    <w:rsid w:val="008E5A6D"/>
    <w:rsid w:val="008E7772"/>
    <w:rsid w:val="008F062E"/>
    <w:rsid w:val="008F2A53"/>
    <w:rsid w:val="008F7038"/>
    <w:rsid w:val="008F74B3"/>
    <w:rsid w:val="0090165F"/>
    <w:rsid w:val="00901B82"/>
    <w:rsid w:val="009027DF"/>
    <w:rsid w:val="00902C35"/>
    <w:rsid w:val="00904FDA"/>
    <w:rsid w:val="00905971"/>
    <w:rsid w:val="00906003"/>
    <w:rsid w:val="009104DD"/>
    <w:rsid w:val="00912B09"/>
    <w:rsid w:val="00912C04"/>
    <w:rsid w:val="00912ED2"/>
    <w:rsid w:val="009133EE"/>
    <w:rsid w:val="0091345A"/>
    <w:rsid w:val="009173F4"/>
    <w:rsid w:val="009210F9"/>
    <w:rsid w:val="00921FCE"/>
    <w:rsid w:val="009221E2"/>
    <w:rsid w:val="00922D46"/>
    <w:rsid w:val="009256A8"/>
    <w:rsid w:val="00931247"/>
    <w:rsid w:val="00931C76"/>
    <w:rsid w:val="00935124"/>
    <w:rsid w:val="0094205C"/>
    <w:rsid w:val="009432CF"/>
    <w:rsid w:val="00944698"/>
    <w:rsid w:val="009475E4"/>
    <w:rsid w:val="0095039C"/>
    <w:rsid w:val="00952DB0"/>
    <w:rsid w:val="009542E2"/>
    <w:rsid w:val="00956276"/>
    <w:rsid w:val="00960D83"/>
    <w:rsid w:val="00963DF0"/>
    <w:rsid w:val="00964632"/>
    <w:rsid w:val="009646D4"/>
    <w:rsid w:val="009657DF"/>
    <w:rsid w:val="00966C2F"/>
    <w:rsid w:val="0096742A"/>
    <w:rsid w:val="009677BA"/>
    <w:rsid w:val="00973413"/>
    <w:rsid w:val="0097512B"/>
    <w:rsid w:val="00976E0A"/>
    <w:rsid w:val="0097705F"/>
    <w:rsid w:val="009800AF"/>
    <w:rsid w:val="00982404"/>
    <w:rsid w:val="00985F9E"/>
    <w:rsid w:val="00991CA3"/>
    <w:rsid w:val="00994309"/>
    <w:rsid w:val="0099487C"/>
    <w:rsid w:val="00995D50"/>
    <w:rsid w:val="00995E20"/>
    <w:rsid w:val="009A074B"/>
    <w:rsid w:val="009A1259"/>
    <w:rsid w:val="009A23CE"/>
    <w:rsid w:val="009A267A"/>
    <w:rsid w:val="009A7CDD"/>
    <w:rsid w:val="009B1421"/>
    <w:rsid w:val="009B1979"/>
    <w:rsid w:val="009B1F5C"/>
    <w:rsid w:val="009B3CA3"/>
    <w:rsid w:val="009B7C6A"/>
    <w:rsid w:val="009B7EE4"/>
    <w:rsid w:val="009C0C74"/>
    <w:rsid w:val="009C2027"/>
    <w:rsid w:val="009C3CEE"/>
    <w:rsid w:val="009C6006"/>
    <w:rsid w:val="009D0386"/>
    <w:rsid w:val="009D2F8F"/>
    <w:rsid w:val="009D67F6"/>
    <w:rsid w:val="009D7506"/>
    <w:rsid w:val="009D77D2"/>
    <w:rsid w:val="009E08D1"/>
    <w:rsid w:val="009E0FE1"/>
    <w:rsid w:val="009E193B"/>
    <w:rsid w:val="009E400D"/>
    <w:rsid w:val="009E4BD0"/>
    <w:rsid w:val="009E71D0"/>
    <w:rsid w:val="009E7BB2"/>
    <w:rsid w:val="009F2764"/>
    <w:rsid w:val="009F343E"/>
    <w:rsid w:val="009F3B66"/>
    <w:rsid w:val="009F4E55"/>
    <w:rsid w:val="009F56DC"/>
    <w:rsid w:val="00A033A6"/>
    <w:rsid w:val="00A0406E"/>
    <w:rsid w:val="00A06B43"/>
    <w:rsid w:val="00A076D6"/>
    <w:rsid w:val="00A10E96"/>
    <w:rsid w:val="00A11307"/>
    <w:rsid w:val="00A119AC"/>
    <w:rsid w:val="00A119D2"/>
    <w:rsid w:val="00A13AF3"/>
    <w:rsid w:val="00A152D7"/>
    <w:rsid w:val="00A15409"/>
    <w:rsid w:val="00A1575D"/>
    <w:rsid w:val="00A20E8F"/>
    <w:rsid w:val="00A21388"/>
    <w:rsid w:val="00A25BCC"/>
    <w:rsid w:val="00A27791"/>
    <w:rsid w:val="00A27ABE"/>
    <w:rsid w:val="00A3009B"/>
    <w:rsid w:val="00A30490"/>
    <w:rsid w:val="00A320A8"/>
    <w:rsid w:val="00A32714"/>
    <w:rsid w:val="00A355F9"/>
    <w:rsid w:val="00A40773"/>
    <w:rsid w:val="00A41196"/>
    <w:rsid w:val="00A41355"/>
    <w:rsid w:val="00A42A10"/>
    <w:rsid w:val="00A437B6"/>
    <w:rsid w:val="00A43B92"/>
    <w:rsid w:val="00A46A8D"/>
    <w:rsid w:val="00A47316"/>
    <w:rsid w:val="00A52456"/>
    <w:rsid w:val="00A526D9"/>
    <w:rsid w:val="00A54251"/>
    <w:rsid w:val="00A5444C"/>
    <w:rsid w:val="00A60E49"/>
    <w:rsid w:val="00A6179E"/>
    <w:rsid w:val="00A6182E"/>
    <w:rsid w:val="00A63932"/>
    <w:rsid w:val="00A64316"/>
    <w:rsid w:val="00A6747B"/>
    <w:rsid w:val="00A703A0"/>
    <w:rsid w:val="00A70989"/>
    <w:rsid w:val="00A70C84"/>
    <w:rsid w:val="00A71080"/>
    <w:rsid w:val="00A73C58"/>
    <w:rsid w:val="00A74397"/>
    <w:rsid w:val="00A74672"/>
    <w:rsid w:val="00A750A1"/>
    <w:rsid w:val="00A804D9"/>
    <w:rsid w:val="00A83467"/>
    <w:rsid w:val="00A8573B"/>
    <w:rsid w:val="00A8702D"/>
    <w:rsid w:val="00A87FA9"/>
    <w:rsid w:val="00A90E67"/>
    <w:rsid w:val="00A92915"/>
    <w:rsid w:val="00A92F92"/>
    <w:rsid w:val="00A934A7"/>
    <w:rsid w:val="00A942C9"/>
    <w:rsid w:val="00A96892"/>
    <w:rsid w:val="00A973BC"/>
    <w:rsid w:val="00AA2051"/>
    <w:rsid w:val="00AA2388"/>
    <w:rsid w:val="00AA3973"/>
    <w:rsid w:val="00AA532D"/>
    <w:rsid w:val="00AA5D74"/>
    <w:rsid w:val="00AA6B39"/>
    <w:rsid w:val="00AA6BE1"/>
    <w:rsid w:val="00AA70C4"/>
    <w:rsid w:val="00AB1C3C"/>
    <w:rsid w:val="00AB2086"/>
    <w:rsid w:val="00AB5BE5"/>
    <w:rsid w:val="00AB6BE3"/>
    <w:rsid w:val="00AB76A2"/>
    <w:rsid w:val="00AB7C8F"/>
    <w:rsid w:val="00AC1A18"/>
    <w:rsid w:val="00AC1D6C"/>
    <w:rsid w:val="00AC2192"/>
    <w:rsid w:val="00AC2882"/>
    <w:rsid w:val="00AC2A93"/>
    <w:rsid w:val="00AC4A00"/>
    <w:rsid w:val="00AC636D"/>
    <w:rsid w:val="00AD06A2"/>
    <w:rsid w:val="00AD2188"/>
    <w:rsid w:val="00AD330E"/>
    <w:rsid w:val="00AD6830"/>
    <w:rsid w:val="00AD6B98"/>
    <w:rsid w:val="00AE4649"/>
    <w:rsid w:val="00AE523D"/>
    <w:rsid w:val="00AE527F"/>
    <w:rsid w:val="00AE5CF6"/>
    <w:rsid w:val="00AF1C5B"/>
    <w:rsid w:val="00AF25D9"/>
    <w:rsid w:val="00AF3537"/>
    <w:rsid w:val="00AF5641"/>
    <w:rsid w:val="00AF5D97"/>
    <w:rsid w:val="00AF645C"/>
    <w:rsid w:val="00AF6D55"/>
    <w:rsid w:val="00B00F61"/>
    <w:rsid w:val="00B04094"/>
    <w:rsid w:val="00B05421"/>
    <w:rsid w:val="00B05CE6"/>
    <w:rsid w:val="00B06717"/>
    <w:rsid w:val="00B1218C"/>
    <w:rsid w:val="00B139D0"/>
    <w:rsid w:val="00B14343"/>
    <w:rsid w:val="00B14ED7"/>
    <w:rsid w:val="00B17A45"/>
    <w:rsid w:val="00B22C3D"/>
    <w:rsid w:val="00B22C7B"/>
    <w:rsid w:val="00B237FB"/>
    <w:rsid w:val="00B24B1D"/>
    <w:rsid w:val="00B26C33"/>
    <w:rsid w:val="00B26C91"/>
    <w:rsid w:val="00B27686"/>
    <w:rsid w:val="00B277E0"/>
    <w:rsid w:val="00B30C13"/>
    <w:rsid w:val="00B31306"/>
    <w:rsid w:val="00B34946"/>
    <w:rsid w:val="00B3612C"/>
    <w:rsid w:val="00B4056D"/>
    <w:rsid w:val="00B417AE"/>
    <w:rsid w:val="00B42492"/>
    <w:rsid w:val="00B43A5F"/>
    <w:rsid w:val="00B43FC1"/>
    <w:rsid w:val="00B4507B"/>
    <w:rsid w:val="00B47095"/>
    <w:rsid w:val="00B519FD"/>
    <w:rsid w:val="00B51CB7"/>
    <w:rsid w:val="00B520BC"/>
    <w:rsid w:val="00B539CC"/>
    <w:rsid w:val="00B55657"/>
    <w:rsid w:val="00B56989"/>
    <w:rsid w:val="00B5742D"/>
    <w:rsid w:val="00B5756E"/>
    <w:rsid w:val="00B617EC"/>
    <w:rsid w:val="00B63D24"/>
    <w:rsid w:val="00B6787E"/>
    <w:rsid w:val="00B71BF1"/>
    <w:rsid w:val="00B756AC"/>
    <w:rsid w:val="00B76086"/>
    <w:rsid w:val="00B77C51"/>
    <w:rsid w:val="00B809C8"/>
    <w:rsid w:val="00B83EA9"/>
    <w:rsid w:val="00B84E87"/>
    <w:rsid w:val="00B85895"/>
    <w:rsid w:val="00B879C9"/>
    <w:rsid w:val="00B90361"/>
    <w:rsid w:val="00B924E6"/>
    <w:rsid w:val="00B92882"/>
    <w:rsid w:val="00B931FB"/>
    <w:rsid w:val="00B943AE"/>
    <w:rsid w:val="00B95ED6"/>
    <w:rsid w:val="00B96F98"/>
    <w:rsid w:val="00B97A1D"/>
    <w:rsid w:val="00BA262D"/>
    <w:rsid w:val="00BA5698"/>
    <w:rsid w:val="00BA68B0"/>
    <w:rsid w:val="00BA6BFE"/>
    <w:rsid w:val="00BB1633"/>
    <w:rsid w:val="00BB3A8E"/>
    <w:rsid w:val="00BB44A8"/>
    <w:rsid w:val="00BB63C9"/>
    <w:rsid w:val="00BC045D"/>
    <w:rsid w:val="00BC36E5"/>
    <w:rsid w:val="00BC39A4"/>
    <w:rsid w:val="00BC526C"/>
    <w:rsid w:val="00BC6A38"/>
    <w:rsid w:val="00BC6A71"/>
    <w:rsid w:val="00BC7825"/>
    <w:rsid w:val="00BC7878"/>
    <w:rsid w:val="00BC792C"/>
    <w:rsid w:val="00BC79EB"/>
    <w:rsid w:val="00BC7AC2"/>
    <w:rsid w:val="00BD35BA"/>
    <w:rsid w:val="00BD7FCF"/>
    <w:rsid w:val="00BE040B"/>
    <w:rsid w:val="00BE20B4"/>
    <w:rsid w:val="00BE3291"/>
    <w:rsid w:val="00BE48C8"/>
    <w:rsid w:val="00BE6FD2"/>
    <w:rsid w:val="00BE70F6"/>
    <w:rsid w:val="00BF08F2"/>
    <w:rsid w:val="00BF2468"/>
    <w:rsid w:val="00BF2E70"/>
    <w:rsid w:val="00BF366C"/>
    <w:rsid w:val="00BF6406"/>
    <w:rsid w:val="00BF67B0"/>
    <w:rsid w:val="00BF7B8D"/>
    <w:rsid w:val="00C00565"/>
    <w:rsid w:val="00C00733"/>
    <w:rsid w:val="00C02DC6"/>
    <w:rsid w:val="00C064DC"/>
    <w:rsid w:val="00C14152"/>
    <w:rsid w:val="00C149BD"/>
    <w:rsid w:val="00C17197"/>
    <w:rsid w:val="00C20211"/>
    <w:rsid w:val="00C2385D"/>
    <w:rsid w:val="00C2515A"/>
    <w:rsid w:val="00C25BDA"/>
    <w:rsid w:val="00C31476"/>
    <w:rsid w:val="00C3256E"/>
    <w:rsid w:val="00C33104"/>
    <w:rsid w:val="00C332D4"/>
    <w:rsid w:val="00C33353"/>
    <w:rsid w:val="00C360A7"/>
    <w:rsid w:val="00C37066"/>
    <w:rsid w:val="00C41FE8"/>
    <w:rsid w:val="00C42C15"/>
    <w:rsid w:val="00C442D7"/>
    <w:rsid w:val="00C458B9"/>
    <w:rsid w:val="00C45DB3"/>
    <w:rsid w:val="00C50CF2"/>
    <w:rsid w:val="00C51011"/>
    <w:rsid w:val="00C51808"/>
    <w:rsid w:val="00C51C65"/>
    <w:rsid w:val="00C52294"/>
    <w:rsid w:val="00C54E78"/>
    <w:rsid w:val="00C560AC"/>
    <w:rsid w:val="00C5781C"/>
    <w:rsid w:val="00C60343"/>
    <w:rsid w:val="00C61C09"/>
    <w:rsid w:val="00C63563"/>
    <w:rsid w:val="00C6447B"/>
    <w:rsid w:val="00C6598B"/>
    <w:rsid w:val="00C662C8"/>
    <w:rsid w:val="00C6771B"/>
    <w:rsid w:val="00C757B7"/>
    <w:rsid w:val="00C76022"/>
    <w:rsid w:val="00C76366"/>
    <w:rsid w:val="00C76425"/>
    <w:rsid w:val="00C76ADE"/>
    <w:rsid w:val="00C77BC5"/>
    <w:rsid w:val="00C822DD"/>
    <w:rsid w:val="00C83579"/>
    <w:rsid w:val="00C854D4"/>
    <w:rsid w:val="00C85F78"/>
    <w:rsid w:val="00C87F73"/>
    <w:rsid w:val="00C90556"/>
    <w:rsid w:val="00C905C7"/>
    <w:rsid w:val="00C908C3"/>
    <w:rsid w:val="00C9628A"/>
    <w:rsid w:val="00CA0D78"/>
    <w:rsid w:val="00CA11C0"/>
    <w:rsid w:val="00CA4855"/>
    <w:rsid w:val="00CA5BB1"/>
    <w:rsid w:val="00CA5D90"/>
    <w:rsid w:val="00CB16A9"/>
    <w:rsid w:val="00CB24FE"/>
    <w:rsid w:val="00CB6780"/>
    <w:rsid w:val="00CB7A10"/>
    <w:rsid w:val="00CB7E4E"/>
    <w:rsid w:val="00CC0D4B"/>
    <w:rsid w:val="00CC140C"/>
    <w:rsid w:val="00CC2AA0"/>
    <w:rsid w:val="00CC499D"/>
    <w:rsid w:val="00CC672C"/>
    <w:rsid w:val="00CC780A"/>
    <w:rsid w:val="00CD1181"/>
    <w:rsid w:val="00CD153E"/>
    <w:rsid w:val="00CD1EFD"/>
    <w:rsid w:val="00CD1F85"/>
    <w:rsid w:val="00CD4703"/>
    <w:rsid w:val="00CD58FD"/>
    <w:rsid w:val="00CE0805"/>
    <w:rsid w:val="00CE08DD"/>
    <w:rsid w:val="00CE0C35"/>
    <w:rsid w:val="00CE257E"/>
    <w:rsid w:val="00CE25FA"/>
    <w:rsid w:val="00CE2E59"/>
    <w:rsid w:val="00CE5506"/>
    <w:rsid w:val="00CF0855"/>
    <w:rsid w:val="00CF1A8B"/>
    <w:rsid w:val="00CF1E68"/>
    <w:rsid w:val="00CF1E74"/>
    <w:rsid w:val="00CF212C"/>
    <w:rsid w:val="00CF36A8"/>
    <w:rsid w:val="00CF5AB8"/>
    <w:rsid w:val="00D019E1"/>
    <w:rsid w:val="00D0250A"/>
    <w:rsid w:val="00D02FE0"/>
    <w:rsid w:val="00D03284"/>
    <w:rsid w:val="00D03307"/>
    <w:rsid w:val="00D0343B"/>
    <w:rsid w:val="00D04F6D"/>
    <w:rsid w:val="00D0577A"/>
    <w:rsid w:val="00D073A4"/>
    <w:rsid w:val="00D119A2"/>
    <w:rsid w:val="00D14085"/>
    <w:rsid w:val="00D146A8"/>
    <w:rsid w:val="00D14B3A"/>
    <w:rsid w:val="00D16912"/>
    <w:rsid w:val="00D20454"/>
    <w:rsid w:val="00D2352A"/>
    <w:rsid w:val="00D25543"/>
    <w:rsid w:val="00D31A11"/>
    <w:rsid w:val="00D33772"/>
    <w:rsid w:val="00D343FA"/>
    <w:rsid w:val="00D34BDB"/>
    <w:rsid w:val="00D37487"/>
    <w:rsid w:val="00D418FF"/>
    <w:rsid w:val="00D42103"/>
    <w:rsid w:val="00D4242D"/>
    <w:rsid w:val="00D42E75"/>
    <w:rsid w:val="00D44E7D"/>
    <w:rsid w:val="00D46BA2"/>
    <w:rsid w:val="00D517C2"/>
    <w:rsid w:val="00D52A2B"/>
    <w:rsid w:val="00D5338E"/>
    <w:rsid w:val="00D54962"/>
    <w:rsid w:val="00D6029E"/>
    <w:rsid w:val="00D6048F"/>
    <w:rsid w:val="00D628FC"/>
    <w:rsid w:val="00D636B7"/>
    <w:rsid w:val="00D647E0"/>
    <w:rsid w:val="00D64CAA"/>
    <w:rsid w:val="00D65C76"/>
    <w:rsid w:val="00D674F2"/>
    <w:rsid w:val="00D67576"/>
    <w:rsid w:val="00D734C7"/>
    <w:rsid w:val="00D739C0"/>
    <w:rsid w:val="00D7542B"/>
    <w:rsid w:val="00D770EB"/>
    <w:rsid w:val="00D779A7"/>
    <w:rsid w:val="00D77F07"/>
    <w:rsid w:val="00D77FAB"/>
    <w:rsid w:val="00D81646"/>
    <w:rsid w:val="00D8351F"/>
    <w:rsid w:val="00D8456C"/>
    <w:rsid w:val="00D86B1D"/>
    <w:rsid w:val="00D90A6D"/>
    <w:rsid w:val="00D95721"/>
    <w:rsid w:val="00DA0EA0"/>
    <w:rsid w:val="00DA1D32"/>
    <w:rsid w:val="00DA2F73"/>
    <w:rsid w:val="00DA7A55"/>
    <w:rsid w:val="00DB082C"/>
    <w:rsid w:val="00DB2449"/>
    <w:rsid w:val="00DB3CD0"/>
    <w:rsid w:val="00DB67E6"/>
    <w:rsid w:val="00DB6A6A"/>
    <w:rsid w:val="00DC11B5"/>
    <w:rsid w:val="00DC1EED"/>
    <w:rsid w:val="00DC307B"/>
    <w:rsid w:val="00DC343B"/>
    <w:rsid w:val="00DC462F"/>
    <w:rsid w:val="00DC499A"/>
    <w:rsid w:val="00DC6B5D"/>
    <w:rsid w:val="00DD15D5"/>
    <w:rsid w:val="00DD1C92"/>
    <w:rsid w:val="00DD23B2"/>
    <w:rsid w:val="00DD2C51"/>
    <w:rsid w:val="00DD2E65"/>
    <w:rsid w:val="00DD475D"/>
    <w:rsid w:val="00DD4F6F"/>
    <w:rsid w:val="00DD6A21"/>
    <w:rsid w:val="00DD6F0B"/>
    <w:rsid w:val="00DD7EE9"/>
    <w:rsid w:val="00DD7F21"/>
    <w:rsid w:val="00DE0308"/>
    <w:rsid w:val="00DE18A7"/>
    <w:rsid w:val="00DE2EFB"/>
    <w:rsid w:val="00DE3287"/>
    <w:rsid w:val="00DE60CA"/>
    <w:rsid w:val="00DF1376"/>
    <w:rsid w:val="00DF45B4"/>
    <w:rsid w:val="00DF78C2"/>
    <w:rsid w:val="00E00401"/>
    <w:rsid w:val="00E00553"/>
    <w:rsid w:val="00E00F72"/>
    <w:rsid w:val="00E01AAD"/>
    <w:rsid w:val="00E01CE8"/>
    <w:rsid w:val="00E01E54"/>
    <w:rsid w:val="00E02517"/>
    <w:rsid w:val="00E0343B"/>
    <w:rsid w:val="00E056A7"/>
    <w:rsid w:val="00E115C7"/>
    <w:rsid w:val="00E140E4"/>
    <w:rsid w:val="00E14833"/>
    <w:rsid w:val="00E15234"/>
    <w:rsid w:val="00E1675F"/>
    <w:rsid w:val="00E2025E"/>
    <w:rsid w:val="00E20372"/>
    <w:rsid w:val="00E22A51"/>
    <w:rsid w:val="00E247A7"/>
    <w:rsid w:val="00E24FA0"/>
    <w:rsid w:val="00E24FA3"/>
    <w:rsid w:val="00E26B28"/>
    <w:rsid w:val="00E2749F"/>
    <w:rsid w:val="00E279B2"/>
    <w:rsid w:val="00E279C0"/>
    <w:rsid w:val="00E27E95"/>
    <w:rsid w:val="00E302D6"/>
    <w:rsid w:val="00E311DF"/>
    <w:rsid w:val="00E31465"/>
    <w:rsid w:val="00E32604"/>
    <w:rsid w:val="00E328CD"/>
    <w:rsid w:val="00E32C2E"/>
    <w:rsid w:val="00E3489E"/>
    <w:rsid w:val="00E362F0"/>
    <w:rsid w:val="00E36B95"/>
    <w:rsid w:val="00E4003F"/>
    <w:rsid w:val="00E4206D"/>
    <w:rsid w:val="00E43608"/>
    <w:rsid w:val="00E438F0"/>
    <w:rsid w:val="00E458F6"/>
    <w:rsid w:val="00E45954"/>
    <w:rsid w:val="00E46341"/>
    <w:rsid w:val="00E46704"/>
    <w:rsid w:val="00E47519"/>
    <w:rsid w:val="00E50B42"/>
    <w:rsid w:val="00E53546"/>
    <w:rsid w:val="00E55F24"/>
    <w:rsid w:val="00E56507"/>
    <w:rsid w:val="00E57303"/>
    <w:rsid w:val="00E61619"/>
    <w:rsid w:val="00E62DE0"/>
    <w:rsid w:val="00E64531"/>
    <w:rsid w:val="00E66D36"/>
    <w:rsid w:val="00E673A5"/>
    <w:rsid w:val="00E67A0F"/>
    <w:rsid w:val="00E67FA1"/>
    <w:rsid w:val="00E74A43"/>
    <w:rsid w:val="00E75DDB"/>
    <w:rsid w:val="00E7669B"/>
    <w:rsid w:val="00E77FD7"/>
    <w:rsid w:val="00E82544"/>
    <w:rsid w:val="00E914F4"/>
    <w:rsid w:val="00E91A1C"/>
    <w:rsid w:val="00E922F3"/>
    <w:rsid w:val="00E94F5C"/>
    <w:rsid w:val="00EA44D9"/>
    <w:rsid w:val="00EA451C"/>
    <w:rsid w:val="00EA46C1"/>
    <w:rsid w:val="00EB389C"/>
    <w:rsid w:val="00EB6A76"/>
    <w:rsid w:val="00EB70F2"/>
    <w:rsid w:val="00EC0F8B"/>
    <w:rsid w:val="00EC1160"/>
    <w:rsid w:val="00EC1865"/>
    <w:rsid w:val="00EC56B0"/>
    <w:rsid w:val="00EC7104"/>
    <w:rsid w:val="00ED0657"/>
    <w:rsid w:val="00ED3ACC"/>
    <w:rsid w:val="00ED5C28"/>
    <w:rsid w:val="00EE0E8E"/>
    <w:rsid w:val="00EE170B"/>
    <w:rsid w:val="00EE2844"/>
    <w:rsid w:val="00EE526C"/>
    <w:rsid w:val="00EE52F7"/>
    <w:rsid w:val="00EE56CD"/>
    <w:rsid w:val="00EE7992"/>
    <w:rsid w:val="00EF140A"/>
    <w:rsid w:val="00EF1B57"/>
    <w:rsid w:val="00EF1EC2"/>
    <w:rsid w:val="00EF2928"/>
    <w:rsid w:val="00EF428F"/>
    <w:rsid w:val="00EF4D54"/>
    <w:rsid w:val="00EF5B5A"/>
    <w:rsid w:val="00EF702B"/>
    <w:rsid w:val="00F00BA4"/>
    <w:rsid w:val="00F0282F"/>
    <w:rsid w:val="00F06317"/>
    <w:rsid w:val="00F06ED7"/>
    <w:rsid w:val="00F0744C"/>
    <w:rsid w:val="00F078C5"/>
    <w:rsid w:val="00F0799D"/>
    <w:rsid w:val="00F107A0"/>
    <w:rsid w:val="00F10DB0"/>
    <w:rsid w:val="00F127A8"/>
    <w:rsid w:val="00F12FD7"/>
    <w:rsid w:val="00F135D3"/>
    <w:rsid w:val="00F13821"/>
    <w:rsid w:val="00F14C6D"/>
    <w:rsid w:val="00F16D1C"/>
    <w:rsid w:val="00F220A5"/>
    <w:rsid w:val="00F2378E"/>
    <w:rsid w:val="00F24D9A"/>
    <w:rsid w:val="00F26A7E"/>
    <w:rsid w:val="00F271AF"/>
    <w:rsid w:val="00F31050"/>
    <w:rsid w:val="00F31C06"/>
    <w:rsid w:val="00F34362"/>
    <w:rsid w:val="00F34BC9"/>
    <w:rsid w:val="00F40856"/>
    <w:rsid w:val="00F40C64"/>
    <w:rsid w:val="00F414C3"/>
    <w:rsid w:val="00F427F3"/>
    <w:rsid w:val="00F4625C"/>
    <w:rsid w:val="00F513AE"/>
    <w:rsid w:val="00F51D1F"/>
    <w:rsid w:val="00F53A54"/>
    <w:rsid w:val="00F561FA"/>
    <w:rsid w:val="00F633C5"/>
    <w:rsid w:val="00F6468D"/>
    <w:rsid w:val="00F64E0D"/>
    <w:rsid w:val="00F71CEA"/>
    <w:rsid w:val="00F72233"/>
    <w:rsid w:val="00F728A3"/>
    <w:rsid w:val="00F7446D"/>
    <w:rsid w:val="00F76351"/>
    <w:rsid w:val="00F773B1"/>
    <w:rsid w:val="00F77447"/>
    <w:rsid w:val="00F778E2"/>
    <w:rsid w:val="00F8302E"/>
    <w:rsid w:val="00F86327"/>
    <w:rsid w:val="00F86DAB"/>
    <w:rsid w:val="00F87ED4"/>
    <w:rsid w:val="00F92A4A"/>
    <w:rsid w:val="00F9334B"/>
    <w:rsid w:val="00F94CB1"/>
    <w:rsid w:val="00F955BE"/>
    <w:rsid w:val="00F95B07"/>
    <w:rsid w:val="00FA001C"/>
    <w:rsid w:val="00FA086F"/>
    <w:rsid w:val="00FA2813"/>
    <w:rsid w:val="00FA4916"/>
    <w:rsid w:val="00FA7E5C"/>
    <w:rsid w:val="00FB1833"/>
    <w:rsid w:val="00FB193D"/>
    <w:rsid w:val="00FB1D6F"/>
    <w:rsid w:val="00FB2A03"/>
    <w:rsid w:val="00FB3422"/>
    <w:rsid w:val="00FB392A"/>
    <w:rsid w:val="00FB4169"/>
    <w:rsid w:val="00FC2D62"/>
    <w:rsid w:val="00FC4ED1"/>
    <w:rsid w:val="00FC5406"/>
    <w:rsid w:val="00FD01B5"/>
    <w:rsid w:val="00FD08CE"/>
    <w:rsid w:val="00FD0EF3"/>
    <w:rsid w:val="00FD14D3"/>
    <w:rsid w:val="00FD1C5C"/>
    <w:rsid w:val="00FD1F59"/>
    <w:rsid w:val="00FD5BF0"/>
    <w:rsid w:val="00FD5D62"/>
    <w:rsid w:val="00FD6A35"/>
    <w:rsid w:val="00FE1BBC"/>
    <w:rsid w:val="00FE2461"/>
    <w:rsid w:val="00FF074F"/>
    <w:rsid w:val="00FF19BF"/>
    <w:rsid w:val="00FF6F6B"/>
    <w:rsid w:val="0E7F47DA"/>
    <w:rsid w:val="12F2D83A"/>
    <w:rsid w:val="1C3E0915"/>
    <w:rsid w:val="4B85CBBC"/>
    <w:rsid w:val="52460F0B"/>
    <w:rsid w:val="536EF551"/>
    <w:rsid w:val="57E77C35"/>
    <w:rsid w:val="59666648"/>
    <w:rsid w:val="67478471"/>
    <w:rsid w:val="73FDC119"/>
    <w:rsid w:val="7C2A7206"/>
    <w:rsid w:val="7C4EC126"/>
    <w:rsid w:val="7C6AEB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0ABF4"/>
  <w15:chartTrackingRefBased/>
  <w15:docId w15:val="{45E76041-74DD-4CEF-ADEA-C8D34D8A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footnote text" w:qFormat="1"/>
    <w:lsdException w:name="header" w:locked="0" w:qFormat="1"/>
    <w:lsdException w:name="footer" w:locked="0" w:uiPriority="99"/>
    <w:lsdException w:name="caption" w:semiHidden="1" w:unhideWhenUsed="1" w:qFormat="1"/>
    <w:lsdException w:name="endnote reference" w:locked="0" w:qFormat="1"/>
    <w:lsdException w:name="endnote text" w:locked="0" w:uiPriority="99"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uiPriority="22" w:qFormat="1"/>
    <w:lsdException w:name="HTML Top of Form" w:locked="0"/>
    <w:lsdException w:name="HTML Bottom of Form" w:locked="0"/>
    <w:lsdException w:name="Normal (Web)" w:uiPriority="99"/>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aliases w:val="2_G"/>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aliases w:val="2_G Char1"/>
    <w:link w:val="EndnoteText"/>
    <w:uiPriority w:val="99"/>
    <w:rsid w:val="00E55F24"/>
    <w:rPr>
      <w:rFonts w:ascii="Open Sans" w:eastAsia="MS Mincho" w:hAnsi="Open Sans"/>
    </w:rPr>
  </w:style>
  <w:style w:type="character" w:styleId="EndnoteReference">
    <w:name w:val="endnote reference"/>
    <w:aliases w:val="1_G,QUOT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7"/>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aliases w:val="No Spacing1,No Spacing11,No Spacing111"/>
    <w:basedOn w:val="Normal"/>
    <w:link w:val="SubmissionNormalChar"/>
    <w:qFormat/>
    <w:locked/>
    <w:rsid w:val="00B34946"/>
    <w:pPr>
      <w:numPr>
        <w:numId w:val="15"/>
      </w:numPr>
      <w:tabs>
        <w:tab w:val="clear" w:pos="720"/>
      </w:tabs>
      <w:ind w:hanging="720"/>
    </w:pPr>
    <w:rPr>
      <w:rFonts w:eastAsia="Times New Roman"/>
    </w:rPr>
  </w:style>
  <w:style w:type="character" w:customStyle="1" w:styleId="SubmissionNormalChar">
    <w:name w:val="Submission Normal Char"/>
    <w:aliases w:val="No Spacing Char,No Spacing1 Char,No Spacing11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List Paragraph1,List Paragraph11,Recommendation,EOT List Paragraph,Bullet point,List Paragraph Number,First level bullet point,#List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A70C84"/>
    <w:rPr>
      <w:rFonts w:ascii="Open Sans" w:eastAsia="MS Mincho" w:hAnsi="Open Sans"/>
      <w:sz w:val="24"/>
      <w:szCs w:val="24"/>
    </w:rPr>
  </w:style>
  <w:style w:type="character" w:styleId="UnresolvedMention">
    <w:name w:val="Unresolved Mention"/>
    <w:basedOn w:val="DefaultParagraphFont"/>
    <w:uiPriority w:val="99"/>
    <w:semiHidden/>
    <w:unhideWhenUsed/>
    <w:rsid w:val="00B95ED6"/>
    <w:rPr>
      <w:color w:val="605E5C"/>
      <w:shd w:val="clear" w:color="auto" w:fill="E1DFDD"/>
    </w:rPr>
  </w:style>
  <w:style w:type="character" w:customStyle="1" w:styleId="EndnoteTextChar2">
    <w:name w:val="Endnote Text Char2"/>
    <w:aliases w:val="2_G Char"/>
    <w:uiPriority w:val="99"/>
    <w:rsid w:val="006A7F88"/>
    <w:rPr>
      <w:rFonts w:ascii="Open Sans" w:eastAsia="MS Mincho" w:hAnsi="Open Sans" w:cs="Times New Roman"/>
      <w:sz w:val="20"/>
      <w:szCs w:val="20"/>
      <w:lang w:eastAsia="en-AU"/>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C,5_G"/>
    <w:basedOn w:val="Normal"/>
    <w:link w:val="FootnoteTextChar"/>
    <w:qFormat/>
    <w:locked/>
    <w:rsid w:val="006A7F88"/>
    <w:pPr>
      <w:keepLines/>
      <w:spacing w:before="0" w:after="0"/>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C Char"/>
    <w:basedOn w:val="DefaultParagraphFont"/>
    <w:link w:val="FootnoteText"/>
    <w:rsid w:val="006A7F88"/>
    <w:rPr>
      <w:rFonts w:ascii="Open Sans" w:eastAsia="MS Mincho" w:hAnsi="Open Sans"/>
    </w:rPr>
  </w:style>
  <w:style w:type="character" w:customStyle="1" w:styleId="normaltextrun">
    <w:name w:val="normaltextrun"/>
    <w:basedOn w:val="DefaultParagraphFont"/>
    <w:rsid w:val="006A7F88"/>
  </w:style>
  <w:style w:type="paragraph" w:customStyle="1" w:styleId="pf0">
    <w:name w:val="pf0"/>
    <w:basedOn w:val="Normal"/>
    <w:rsid w:val="00AA6B39"/>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AA6B39"/>
    <w:rPr>
      <w:rFonts w:ascii="Segoe UI" w:hAnsi="Segoe UI" w:cs="Segoe UI" w:hint="default"/>
      <w:sz w:val="18"/>
      <w:szCs w:val="18"/>
      <w:shd w:val="clear" w:color="auto" w:fill="FFFFFF"/>
    </w:rPr>
  </w:style>
  <w:style w:type="character" w:styleId="FootnoteReference">
    <w:name w:val="footnote reference"/>
    <w:basedOn w:val="DefaultParagraphFont"/>
    <w:unhideWhenUsed/>
    <w:locked/>
    <w:rsid w:val="009B7EE4"/>
    <w:rPr>
      <w:vertAlign w:val="superscript"/>
    </w:rPr>
  </w:style>
  <w:style w:type="character" w:customStyle="1" w:styleId="ListParagraphChar">
    <w:name w:val="List Paragraph Char"/>
    <w:aliases w:val="L Char,List Paragraph1 Char,List Paragraph11 Char,Recommendation Char,EOT List Paragraph Char,Bullet point Char,List Paragraph Number Char,First level bullet point Char,#List Paragraph Char"/>
    <w:link w:val="ListParagraph"/>
    <w:uiPriority w:val="34"/>
    <w:rsid w:val="00291978"/>
    <w:rPr>
      <w:rFonts w:ascii="Open Sans" w:eastAsia="MS Mincho" w:hAnsi="Open Sans"/>
      <w:sz w:val="24"/>
      <w:szCs w:val="24"/>
    </w:rPr>
  </w:style>
  <w:style w:type="character" w:styleId="Mention">
    <w:name w:val="Mention"/>
    <w:basedOn w:val="DefaultParagraphFont"/>
    <w:uiPriority w:val="99"/>
    <w:unhideWhenUsed/>
    <w:rsid w:val="002919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496">
      <w:bodyDiv w:val="1"/>
      <w:marLeft w:val="0"/>
      <w:marRight w:val="0"/>
      <w:marTop w:val="0"/>
      <w:marBottom w:val="0"/>
      <w:divBdr>
        <w:top w:val="none" w:sz="0" w:space="0" w:color="auto"/>
        <w:left w:val="none" w:sz="0" w:space="0" w:color="auto"/>
        <w:bottom w:val="none" w:sz="0" w:space="0" w:color="auto"/>
        <w:right w:val="none" w:sz="0" w:space="0" w:color="auto"/>
      </w:divBdr>
    </w:div>
    <w:div w:id="10114426">
      <w:bodyDiv w:val="1"/>
      <w:marLeft w:val="0"/>
      <w:marRight w:val="0"/>
      <w:marTop w:val="0"/>
      <w:marBottom w:val="0"/>
      <w:divBdr>
        <w:top w:val="none" w:sz="0" w:space="0" w:color="auto"/>
        <w:left w:val="none" w:sz="0" w:space="0" w:color="auto"/>
        <w:bottom w:val="none" w:sz="0" w:space="0" w:color="auto"/>
        <w:right w:val="none" w:sz="0" w:space="0" w:color="auto"/>
      </w:divBdr>
    </w:div>
    <w:div w:id="22754435">
      <w:bodyDiv w:val="1"/>
      <w:marLeft w:val="0"/>
      <w:marRight w:val="0"/>
      <w:marTop w:val="0"/>
      <w:marBottom w:val="0"/>
      <w:divBdr>
        <w:top w:val="none" w:sz="0" w:space="0" w:color="auto"/>
        <w:left w:val="none" w:sz="0" w:space="0" w:color="auto"/>
        <w:bottom w:val="none" w:sz="0" w:space="0" w:color="auto"/>
        <w:right w:val="none" w:sz="0" w:space="0" w:color="auto"/>
      </w:divBdr>
    </w:div>
    <w:div w:id="23797179">
      <w:bodyDiv w:val="1"/>
      <w:marLeft w:val="0"/>
      <w:marRight w:val="0"/>
      <w:marTop w:val="0"/>
      <w:marBottom w:val="0"/>
      <w:divBdr>
        <w:top w:val="none" w:sz="0" w:space="0" w:color="auto"/>
        <w:left w:val="none" w:sz="0" w:space="0" w:color="auto"/>
        <w:bottom w:val="none" w:sz="0" w:space="0" w:color="auto"/>
        <w:right w:val="none" w:sz="0" w:space="0" w:color="auto"/>
      </w:divBdr>
    </w:div>
    <w:div w:id="28380502">
      <w:bodyDiv w:val="1"/>
      <w:marLeft w:val="0"/>
      <w:marRight w:val="0"/>
      <w:marTop w:val="0"/>
      <w:marBottom w:val="0"/>
      <w:divBdr>
        <w:top w:val="none" w:sz="0" w:space="0" w:color="auto"/>
        <w:left w:val="none" w:sz="0" w:space="0" w:color="auto"/>
        <w:bottom w:val="none" w:sz="0" w:space="0" w:color="auto"/>
        <w:right w:val="none" w:sz="0" w:space="0" w:color="auto"/>
      </w:divBdr>
    </w:div>
    <w:div w:id="36858031">
      <w:bodyDiv w:val="1"/>
      <w:marLeft w:val="0"/>
      <w:marRight w:val="0"/>
      <w:marTop w:val="0"/>
      <w:marBottom w:val="0"/>
      <w:divBdr>
        <w:top w:val="none" w:sz="0" w:space="0" w:color="auto"/>
        <w:left w:val="none" w:sz="0" w:space="0" w:color="auto"/>
        <w:bottom w:val="none" w:sz="0" w:space="0" w:color="auto"/>
        <w:right w:val="none" w:sz="0" w:space="0" w:color="auto"/>
      </w:divBdr>
    </w:div>
    <w:div w:id="52655161">
      <w:bodyDiv w:val="1"/>
      <w:marLeft w:val="0"/>
      <w:marRight w:val="0"/>
      <w:marTop w:val="0"/>
      <w:marBottom w:val="0"/>
      <w:divBdr>
        <w:top w:val="none" w:sz="0" w:space="0" w:color="auto"/>
        <w:left w:val="none" w:sz="0" w:space="0" w:color="auto"/>
        <w:bottom w:val="none" w:sz="0" w:space="0" w:color="auto"/>
        <w:right w:val="none" w:sz="0" w:space="0" w:color="auto"/>
      </w:divBdr>
    </w:div>
    <w:div w:id="64189247">
      <w:bodyDiv w:val="1"/>
      <w:marLeft w:val="0"/>
      <w:marRight w:val="0"/>
      <w:marTop w:val="0"/>
      <w:marBottom w:val="0"/>
      <w:divBdr>
        <w:top w:val="none" w:sz="0" w:space="0" w:color="auto"/>
        <w:left w:val="none" w:sz="0" w:space="0" w:color="auto"/>
        <w:bottom w:val="none" w:sz="0" w:space="0" w:color="auto"/>
        <w:right w:val="none" w:sz="0" w:space="0" w:color="auto"/>
      </w:divBdr>
    </w:div>
    <w:div w:id="83957803">
      <w:bodyDiv w:val="1"/>
      <w:marLeft w:val="0"/>
      <w:marRight w:val="0"/>
      <w:marTop w:val="0"/>
      <w:marBottom w:val="0"/>
      <w:divBdr>
        <w:top w:val="none" w:sz="0" w:space="0" w:color="auto"/>
        <w:left w:val="none" w:sz="0" w:space="0" w:color="auto"/>
        <w:bottom w:val="none" w:sz="0" w:space="0" w:color="auto"/>
        <w:right w:val="none" w:sz="0" w:space="0" w:color="auto"/>
      </w:divBdr>
    </w:div>
    <w:div w:id="91515559">
      <w:bodyDiv w:val="1"/>
      <w:marLeft w:val="0"/>
      <w:marRight w:val="0"/>
      <w:marTop w:val="0"/>
      <w:marBottom w:val="0"/>
      <w:divBdr>
        <w:top w:val="none" w:sz="0" w:space="0" w:color="auto"/>
        <w:left w:val="none" w:sz="0" w:space="0" w:color="auto"/>
        <w:bottom w:val="none" w:sz="0" w:space="0" w:color="auto"/>
        <w:right w:val="none" w:sz="0" w:space="0" w:color="auto"/>
      </w:divBdr>
    </w:div>
    <w:div w:id="133911839">
      <w:bodyDiv w:val="1"/>
      <w:marLeft w:val="0"/>
      <w:marRight w:val="0"/>
      <w:marTop w:val="0"/>
      <w:marBottom w:val="0"/>
      <w:divBdr>
        <w:top w:val="none" w:sz="0" w:space="0" w:color="auto"/>
        <w:left w:val="none" w:sz="0" w:space="0" w:color="auto"/>
        <w:bottom w:val="none" w:sz="0" w:space="0" w:color="auto"/>
        <w:right w:val="none" w:sz="0" w:space="0" w:color="auto"/>
      </w:divBdr>
    </w:div>
    <w:div w:id="137888483">
      <w:bodyDiv w:val="1"/>
      <w:marLeft w:val="0"/>
      <w:marRight w:val="0"/>
      <w:marTop w:val="0"/>
      <w:marBottom w:val="0"/>
      <w:divBdr>
        <w:top w:val="none" w:sz="0" w:space="0" w:color="auto"/>
        <w:left w:val="none" w:sz="0" w:space="0" w:color="auto"/>
        <w:bottom w:val="none" w:sz="0" w:space="0" w:color="auto"/>
        <w:right w:val="none" w:sz="0" w:space="0" w:color="auto"/>
      </w:divBdr>
    </w:div>
    <w:div w:id="144319421">
      <w:bodyDiv w:val="1"/>
      <w:marLeft w:val="0"/>
      <w:marRight w:val="0"/>
      <w:marTop w:val="0"/>
      <w:marBottom w:val="0"/>
      <w:divBdr>
        <w:top w:val="none" w:sz="0" w:space="0" w:color="auto"/>
        <w:left w:val="none" w:sz="0" w:space="0" w:color="auto"/>
        <w:bottom w:val="none" w:sz="0" w:space="0" w:color="auto"/>
        <w:right w:val="none" w:sz="0" w:space="0" w:color="auto"/>
      </w:divBdr>
    </w:div>
    <w:div w:id="146090384">
      <w:bodyDiv w:val="1"/>
      <w:marLeft w:val="0"/>
      <w:marRight w:val="0"/>
      <w:marTop w:val="0"/>
      <w:marBottom w:val="0"/>
      <w:divBdr>
        <w:top w:val="none" w:sz="0" w:space="0" w:color="auto"/>
        <w:left w:val="none" w:sz="0" w:space="0" w:color="auto"/>
        <w:bottom w:val="none" w:sz="0" w:space="0" w:color="auto"/>
        <w:right w:val="none" w:sz="0" w:space="0" w:color="auto"/>
      </w:divBdr>
      <w:divsChild>
        <w:div w:id="1956478561">
          <w:marLeft w:val="0"/>
          <w:marRight w:val="0"/>
          <w:marTop w:val="0"/>
          <w:marBottom w:val="0"/>
          <w:divBdr>
            <w:top w:val="none" w:sz="0" w:space="0" w:color="auto"/>
            <w:left w:val="none" w:sz="0" w:space="0" w:color="auto"/>
            <w:bottom w:val="none" w:sz="0" w:space="0" w:color="auto"/>
            <w:right w:val="none" w:sz="0" w:space="0" w:color="auto"/>
          </w:divBdr>
          <w:divsChild>
            <w:div w:id="5051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005">
      <w:bodyDiv w:val="1"/>
      <w:marLeft w:val="0"/>
      <w:marRight w:val="0"/>
      <w:marTop w:val="0"/>
      <w:marBottom w:val="0"/>
      <w:divBdr>
        <w:top w:val="none" w:sz="0" w:space="0" w:color="auto"/>
        <w:left w:val="none" w:sz="0" w:space="0" w:color="auto"/>
        <w:bottom w:val="none" w:sz="0" w:space="0" w:color="auto"/>
        <w:right w:val="none" w:sz="0" w:space="0" w:color="auto"/>
      </w:divBdr>
    </w:div>
    <w:div w:id="167646566">
      <w:bodyDiv w:val="1"/>
      <w:marLeft w:val="0"/>
      <w:marRight w:val="0"/>
      <w:marTop w:val="0"/>
      <w:marBottom w:val="0"/>
      <w:divBdr>
        <w:top w:val="none" w:sz="0" w:space="0" w:color="auto"/>
        <w:left w:val="none" w:sz="0" w:space="0" w:color="auto"/>
        <w:bottom w:val="none" w:sz="0" w:space="0" w:color="auto"/>
        <w:right w:val="none" w:sz="0" w:space="0" w:color="auto"/>
      </w:divBdr>
    </w:div>
    <w:div w:id="185560084">
      <w:bodyDiv w:val="1"/>
      <w:marLeft w:val="0"/>
      <w:marRight w:val="0"/>
      <w:marTop w:val="0"/>
      <w:marBottom w:val="0"/>
      <w:divBdr>
        <w:top w:val="none" w:sz="0" w:space="0" w:color="auto"/>
        <w:left w:val="none" w:sz="0" w:space="0" w:color="auto"/>
        <w:bottom w:val="none" w:sz="0" w:space="0" w:color="auto"/>
        <w:right w:val="none" w:sz="0" w:space="0" w:color="auto"/>
      </w:divBdr>
    </w:div>
    <w:div w:id="187762349">
      <w:bodyDiv w:val="1"/>
      <w:marLeft w:val="0"/>
      <w:marRight w:val="0"/>
      <w:marTop w:val="0"/>
      <w:marBottom w:val="0"/>
      <w:divBdr>
        <w:top w:val="none" w:sz="0" w:space="0" w:color="auto"/>
        <w:left w:val="none" w:sz="0" w:space="0" w:color="auto"/>
        <w:bottom w:val="none" w:sz="0" w:space="0" w:color="auto"/>
        <w:right w:val="none" w:sz="0" w:space="0" w:color="auto"/>
      </w:divBdr>
    </w:div>
    <w:div w:id="195318494">
      <w:bodyDiv w:val="1"/>
      <w:marLeft w:val="0"/>
      <w:marRight w:val="0"/>
      <w:marTop w:val="0"/>
      <w:marBottom w:val="0"/>
      <w:divBdr>
        <w:top w:val="none" w:sz="0" w:space="0" w:color="auto"/>
        <w:left w:val="none" w:sz="0" w:space="0" w:color="auto"/>
        <w:bottom w:val="none" w:sz="0" w:space="0" w:color="auto"/>
        <w:right w:val="none" w:sz="0" w:space="0" w:color="auto"/>
      </w:divBdr>
    </w:div>
    <w:div w:id="212423179">
      <w:bodyDiv w:val="1"/>
      <w:marLeft w:val="0"/>
      <w:marRight w:val="0"/>
      <w:marTop w:val="0"/>
      <w:marBottom w:val="0"/>
      <w:divBdr>
        <w:top w:val="none" w:sz="0" w:space="0" w:color="auto"/>
        <w:left w:val="none" w:sz="0" w:space="0" w:color="auto"/>
        <w:bottom w:val="none" w:sz="0" w:space="0" w:color="auto"/>
        <w:right w:val="none" w:sz="0" w:space="0" w:color="auto"/>
      </w:divBdr>
    </w:div>
    <w:div w:id="324478428">
      <w:bodyDiv w:val="1"/>
      <w:marLeft w:val="0"/>
      <w:marRight w:val="0"/>
      <w:marTop w:val="0"/>
      <w:marBottom w:val="0"/>
      <w:divBdr>
        <w:top w:val="none" w:sz="0" w:space="0" w:color="auto"/>
        <w:left w:val="none" w:sz="0" w:space="0" w:color="auto"/>
        <w:bottom w:val="none" w:sz="0" w:space="0" w:color="auto"/>
        <w:right w:val="none" w:sz="0" w:space="0" w:color="auto"/>
      </w:divBdr>
    </w:div>
    <w:div w:id="333608353">
      <w:bodyDiv w:val="1"/>
      <w:marLeft w:val="0"/>
      <w:marRight w:val="0"/>
      <w:marTop w:val="0"/>
      <w:marBottom w:val="0"/>
      <w:divBdr>
        <w:top w:val="none" w:sz="0" w:space="0" w:color="auto"/>
        <w:left w:val="none" w:sz="0" w:space="0" w:color="auto"/>
        <w:bottom w:val="none" w:sz="0" w:space="0" w:color="auto"/>
        <w:right w:val="none" w:sz="0" w:space="0" w:color="auto"/>
      </w:divBdr>
    </w:div>
    <w:div w:id="338042006">
      <w:bodyDiv w:val="1"/>
      <w:marLeft w:val="0"/>
      <w:marRight w:val="0"/>
      <w:marTop w:val="0"/>
      <w:marBottom w:val="0"/>
      <w:divBdr>
        <w:top w:val="none" w:sz="0" w:space="0" w:color="auto"/>
        <w:left w:val="none" w:sz="0" w:space="0" w:color="auto"/>
        <w:bottom w:val="none" w:sz="0" w:space="0" w:color="auto"/>
        <w:right w:val="none" w:sz="0" w:space="0" w:color="auto"/>
      </w:divBdr>
    </w:div>
    <w:div w:id="343364290">
      <w:bodyDiv w:val="1"/>
      <w:marLeft w:val="0"/>
      <w:marRight w:val="0"/>
      <w:marTop w:val="0"/>
      <w:marBottom w:val="0"/>
      <w:divBdr>
        <w:top w:val="none" w:sz="0" w:space="0" w:color="auto"/>
        <w:left w:val="none" w:sz="0" w:space="0" w:color="auto"/>
        <w:bottom w:val="none" w:sz="0" w:space="0" w:color="auto"/>
        <w:right w:val="none" w:sz="0" w:space="0" w:color="auto"/>
      </w:divBdr>
    </w:div>
    <w:div w:id="410156496">
      <w:bodyDiv w:val="1"/>
      <w:marLeft w:val="0"/>
      <w:marRight w:val="0"/>
      <w:marTop w:val="0"/>
      <w:marBottom w:val="0"/>
      <w:divBdr>
        <w:top w:val="none" w:sz="0" w:space="0" w:color="auto"/>
        <w:left w:val="none" w:sz="0" w:space="0" w:color="auto"/>
        <w:bottom w:val="none" w:sz="0" w:space="0" w:color="auto"/>
        <w:right w:val="none" w:sz="0" w:space="0" w:color="auto"/>
      </w:divBdr>
    </w:div>
    <w:div w:id="453183661">
      <w:bodyDiv w:val="1"/>
      <w:marLeft w:val="0"/>
      <w:marRight w:val="0"/>
      <w:marTop w:val="0"/>
      <w:marBottom w:val="0"/>
      <w:divBdr>
        <w:top w:val="none" w:sz="0" w:space="0" w:color="auto"/>
        <w:left w:val="none" w:sz="0" w:space="0" w:color="auto"/>
        <w:bottom w:val="none" w:sz="0" w:space="0" w:color="auto"/>
        <w:right w:val="none" w:sz="0" w:space="0" w:color="auto"/>
      </w:divBdr>
    </w:div>
    <w:div w:id="505361789">
      <w:bodyDiv w:val="1"/>
      <w:marLeft w:val="0"/>
      <w:marRight w:val="0"/>
      <w:marTop w:val="0"/>
      <w:marBottom w:val="0"/>
      <w:divBdr>
        <w:top w:val="none" w:sz="0" w:space="0" w:color="auto"/>
        <w:left w:val="none" w:sz="0" w:space="0" w:color="auto"/>
        <w:bottom w:val="none" w:sz="0" w:space="0" w:color="auto"/>
        <w:right w:val="none" w:sz="0" w:space="0" w:color="auto"/>
      </w:divBdr>
    </w:div>
    <w:div w:id="516579686">
      <w:bodyDiv w:val="1"/>
      <w:marLeft w:val="0"/>
      <w:marRight w:val="0"/>
      <w:marTop w:val="0"/>
      <w:marBottom w:val="0"/>
      <w:divBdr>
        <w:top w:val="none" w:sz="0" w:space="0" w:color="auto"/>
        <w:left w:val="none" w:sz="0" w:space="0" w:color="auto"/>
        <w:bottom w:val="none" w:sz="0" w:space="0" w:color="auto"/>
        <w:right w:val="none" w:sz="0" w:space="0" w:color="auto"/>
      </w:divBdr>
    </w:div>
    <w:div w:id="523399427">
      <w:bodyDiv w:val="1"/>
      <w:marLeft w:val="0"/>
      <w:marRight w:val="0"/>
      <w:marTop w:val="0"/>
      <w:marBottom w:val="0"/>
      <w:divBdr>
        <w:top w:val="none" w:sz="0" w:space="0" w:color="auto"/>
        <w:left w:val="none" w:sz="0" w:space="0" w:color="auto"/>
        <w:bottom w:val="none" w:sz="0" w:space="0" w:color="auto"/>
        <w:right w:val="none" w:sz="0" w:space="0" w:color="auto"/>
      </w:divBdr>
    </w:div>
    <w:div w:id="539589572">
      <w:bodyDiv w:val="1"/>
      <w:marLeft w:val="0"/>
      <w:marRight w:val="0"/>
      <w:marTop w:val="0"/>
      <w:marBottom w:val="0"/>
      <w:divBdr>
        <w:top w:val="none" w:sz="0" w:space="0" w:color="auto"/>
        <w:left w:val="none" w:sz="0" w:space="0" w:color="auto"/>
        <w:bottom w:val="none" w:sz="0" w:space="0" w:color="auto"/>
        <w:right w:val="none" w:sz="0" w:space="0" w:color="auto"/>
      </w:divBdr>
    </w:div>
    <w:div w:id="563948152">
      <w:bodyDiv w:val="1"/>
      <w:marLeft w:val="0"/>
      <w:marRight w:val="0"/>
      <w:marTop w:val="0"/>
      <w:marBottom w:val="0"/>
      <w:divBdr>
        <w:top w:val="none" w:sz="0" w:space="0" w:color="auto"/>
        <w:left w:val="none" w:sz="0" w:space="0" w:color="auto"/>
        <w:bottom w:val="none" w:sz="0" w:space="0" w:color="auto"/>
        <w:right w:val="none" w:sz="0" w:space="0" w:color="auto"/>
      </w:divBdr>
    </w:div>
    <w:div w:id="567109711">
      <w:bodyDiv w:val="1"/>
      <w:marLeft w:val="0"/>
      <w:marRight w:val="0"/>
      <w:marTop w:val="0"/>
      <w:marBottom w:val="0"/>
      <w:divBdr>
        <w:top w:val="none" w:sz="0" w:space="0" w:color="auto"/>
        <w:left w:val="none" w:sz="0" w:space="0" w:color="auto"/>
        <w:bottom w:val="none" w:sz="0" w:space="0" w:color="auto"/>
        <w:right w:val="none" w:sz="0" w:space="0" w:color="auto"/>
      </w:divBdr>
    </w:div>
    <w:div w:id="572592590">
      <w:bodyDiv w:val="1"/>
      <w:marLeft w:val="0"/>
      <w:marRight w:val="0"/>
      <w:marTop w:val="0"/>
      <w:marBottom w:val="0"/>
      <w:divBdr>
        <w:top w:val="none" w:sz="0" w:space="0" w:color="auto"/>
        <w:left w:val="none" w:sz="0" w:space="0" w:color="auto"/>
        <w:bottom w:val="none" w:sz="0" w:space="0" w:color="auto"/>
        <w:right w:val="none" w:sz="0" w:space="0" w:color="auto"/>
      </w:divBdr>
    </w:div>
    <w:div w:id="587345151">
      <w:bodyDiv w:val="1"/>
      <w:marLeft w:val="0"/>
      <w:marRight w:val="0"/>
      <w:marTop w:val="0"/>
      <w:marBottom w:val="0"/>
      <w:divBdr>
        <w:top w:val="none" w:sz="0" w:space="0" w:color="auto"/>
        <w:left w:val="none" w:sz="0" w:space="0" w:color="auto"/>
        <w:bottom w:val="none" w:sz="0" w:space="0" w:color="auto"/>
        <w:right w:val="none" w:sz="0" w:space="0" w:color="auto"/>
      </w:divBdr>
    </w:div>
    <w:div w:id="618531688">
      <w:bodyDiv w:val="1"/>
      <w:marLeft w:val="0"/>
      <w:marRight w:val="0"/>
      <w:marTop w:val="0"/>
      <w:marBottom w:val="0"/>
      <w:divBdr>
        <w:top w:val="none" w:sz="0" w:space="0" w:color="auto"/>
        <w:left w:val="none" w:sz="0" w:space="0" w:color="auto"/>
        <w:bottom w:val="none" w:sz="0" w:space="0" w:color="auto"/>
        <w:right w:val="none" w:sz="0" w:space="0" w:color="auto"/>
      </w:divBdr>
    </w:div>
    <w:div w:id="665210458">
      <w:bodyDiv w:val="1"/>
      <w:marLeft w:val="0"/>
      <w:marRight w:val="0"/>
      <w:marTop w:val="0"/>
      <w:marBottom w:val="0"/>
      <w:divBdr>
        <w:top w:val="none" w:sz="0" w:space="0" w:color="auto"/>
        <w:left w:val="none" w:sz="0" w:space="0" w:color="auto"/>
        <w:bottom w:val="none" w:sz="0" w:space="0" w:color="auto"/>
        <w:right w:val="none" w:sz="0" w:space="0" w:color="auto"/>
      </w:divBdr>
    </w:div>
    <w:div w:id="666901983">
      <w:bodyDiv w:val="1"/>
      <w:marLeft w:val="0"/>
      <w:marRight w:val="0"/>
      <w:marTop w:val="0"/>
      <w:marBottom w:val="0"/>
      <w:divBdr>
        <w:top w:val="none" w:sz="0" w:space="0" w:color="auto"/>
        <w:left w:val="none" w:sz="0" w:space="0" w:color="auto"/>
        <w:bottom w:val="none" w:sz="0" w:space="0" w:color="auto"/>
        <w:right w:val="none" w:sz="0" w:space="0" w:color="auto"/>
      </w:divBdr>
    </w:div>
    <w:div w:id="669331181">
      <w:bodyDiv w:val="1"/>
      <w:marLeft w:val="0"/>
      <w:marRight w:val="0"/>
      <w:marTop w:val="0"/>
      <w:marBottom w:val="0"/>
      <w:divBdr>
        <w:top w:val="none" w:sz="0" w:space="0" w:color="auto"/>
        <w:left w:val="none" w:sz="0" w:space="0" w:color="auto"/>
        <w:bottom w:val="none" w:sz="0" w:space="0" w:color="auto"/>
        <w:right w:val="none" w:sz="0" w:space="0" w:color="auto"/>
      </w:divBdr>
    </w:div>
    <w:div w:id="676200962">
      <w:bodyDiv w:val="1"/>
      <w:marLeft w:val="0"/>
      <w:marRight w:val="0"/>
      <w:marTop w:val="0"/>
      <w:marBottom w:val="0"/>
      <w:divBdr>
        <w:top w:val="none" w:sz="0" w:space="0" w:color="auto"/>
        <w:left w:val="none" w:sz="0" w:space="0" w:color="auto"/>
        <w:bottom w:val="none" w:sz="0" w:space="0" w:color="auto"/>
        <w:right w:val="none" w:sz="0" w:space="0" w:color="auto"/>
      </w:divBdr>
    </w:div>
    <w:div w:id="683673380">
      <w:bodyDiv w:val="1"/>
      <w:marLeft w:val="0"/>
      <w:marRight w:val="0"/>
      <w:marTop w:val="0"/>
      <w:marBottom w:val="0"/>
      <w:divBdr>
        <w:top w:val="none" w:sz="0" w:space="0" w:color="auto"/>
        <w:left w:val="none" w:sz="0" w:space="0" w:color="auto"/>
        <w:bottom w:val="none" w:sz="0" w:space="0" w:color="auto"/>
        <w:right w:val="none" w:sz="0" w:space="0" w:color="auto"/>
      </w:divBdr>
    </w:div>
    <w:div w:id="709185913">
      <w:bodyDiv w:val="1"/>
      <w:marLeft w:val="0"/>
      <w:marRight w:val="0"/>
      <w:marTop w:val="0"/>
      <w:marBottom w:val="0"/>
      <w:divBdr>
        <w:top w:val="none" w:sz="0" w:space="0" w:color="auto"/>
        <w:left w:val="none" w:sz="0" w:space="0" w:color="auto"/>
        <w:bottom w:val="none" w:sz="0" w:space="0" w:color="auto"/>
        <w:right w:val="none" w:sz="0" w:space="0" w:color="auto"/>
      </w:divBdr>
    </w:div>
    <w:div w:id="712772249">
      <w:bodyDiv w:val="1"/>
      <w:marLeft w:val="0"/>
      <w:marRight w:val="0"/>
      <w:marTop w:val="0"/>
      <w:marBottom w:val="0"/>
      <w:divBdr>
        <w:top w:val="none" w:sz="0" w:space="0" w:color="auto"/>
        <w:left w:val="none" w:sz="0" w:space="0" w:color="auto"/>
        <w:bottom w:val="none" w:sz="0" w:space="0" w:color="auto"/>
        <w:right w:val="none" w:sz="0" w:space="0" w:color="auto"/>
      </w:divBdr>
    </w:div>
    <w:div w:id="715815050">
      <w:bodyDiv w:val="1"/>
      <w:marLeft w:val="0"/>
      <w:marRight w:val="0"/>
      <w:marTop w:val="0"/>
      <w:marBottom w:val="0"/>
      <w:divBdr>
        <w:top w:val="none" w:sz="0" w:space="0" w:color="auto"/>
        <w:left w:val="none" w:sz="0" w:space="0" w:color="auto"/>
        <w:bottom w:val="none" w:sz="0" w:space="0" w:color="auto"/>
        <w:right w:val="none" w:sz="0" w:space="0" w:color="auto"/>
      </w:divBdr>
    </w:div>
    <w:div w:id="722869846">
      <w:bodyDiv w:val="1"/>
      <w:marLeft w:val="0"/>
      <w:marRight w:val="0"/>
      <w:marTop w:val="0"/>
      <w:marBottom w:val="0"/>
      <w:divBdr>
        <w:top w:val="none" w:sz="0" w:space="0" w:color="auto"/>
        <w:left w:val="none" w:sz="0" w:space="0" w:color="auto"/>
        <w:bottom w:val="none" w:sz="0" w:space="0" w:color="auto"/>
        <w:right w:val="none" w:sz="0" w:space="0" w:color="auto"/>
      </w:divBdr>
      <w:divsChild>
        <w:div w:id="357318309">
          <w:marLeft w:val="0"/>
          <w:marRight w:val="0"/>
          <w:marTop w:val="0"/>
          <w:marBottom w:val="0"/>
          <w:divBdr>
            <w:top w:val="none" w:sz="0" w:space="0" w:color="auto"/>
            <w:left w:val="none" w:sz="0" w:space="0" w:color="auto"/>
            <w:bottom w:val="none" w:sz="0" w:space="0" w:color="auto"/>
            <w:right w:val="none" w:sz="0" w:space="0" w:color="auto"/>
          </w:divBdr>
          <w:divsChild>
            <w:div w:id="5649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09661">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37753629">
      <w:bodyDiv w:val="1"/>
      <w:marLeft w:val="0"/>
      <w:marRight w:val="0"/>
      <w:marTop w:val="0"/>
      <w:marBottom w:val="0"/>
      <w:divBdr>
        <w:top w:val="none" w:sz="0" w:space="0" w:color="auto"/>
        <w:left w:val="none" w:sz="0" w:space="0" w:color="auto"/>
        <w:bottom w:val="none" w:sz="0" w:space="0" w:color="auto"/>
        <w:right w:val="none" w:sz="0" w:space="0" w:color="auto"/>
      </w:divBdr>
    </w:div>
    <w:div w:id="760374746">
      <w:bodyDiv w:val="1"/>
      <w:marLeft w:val="0"/>
      <w:marRight w:val="0"/>
      <w:marTop w:val="0"/>
      <w:marBottom w:val="0"/>
      <w:divBdr>
        <w:top w:val="none" w:sz="0" w:space="0" w:color="auto"/>
        <w:left w:val="none" w:sz="0" w:space="0" w:color="auto"/>
        <w:bottom w:val="none" w:sz="0" w:space="0" w:color="auto"/>
        <w:right w:val="none" w:sz="0" w:space="0" w:color="auto"/>
      </w:divBdr>
    </w:div>
    <w:div w:id="768037938">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20734942">
      <w:bodyDiv w:val="1"/>
      <w:marLeft w:val="0"/>
      <w:marRight w:val="0"/>
      <w:marTop w:val="0"/>
      <w:marBottom w:val="0"/>
      <w:divBdr>
        <w:top w:val="none" w:sz="0" w:space="0" w:color="auto"/>
        <w:left w:val="none" w:sz="0" w:space="0" w:color="auto"/>
        <w:bottom w:val="none" w:sz="0" w:space="0" w:color="auto"/>
        <w:right w:val="none" w:sz="0" w:space="0" w:color="auto"/>
      </w:divBdr>
    </w:div>
    <w:div w:id="888685818">
      <w:bodyDiv w:val="1"/>
      <w:marLeft w:val="0"/>
      <w:marRight w:val="0"/>
      <w:marTop w:val="0"/>
      <w:marBottom w:val="0"/>
      <w:divBdr>
        <w:top w:val="none" w:sz="0" w:space="0" w:color="auto"/>
        <w:left w:val="none" w:sz="0" w:space="0" w:color="auto"/>
        <w:bottom w:val="none" w:sz="0" w:space="0" w:color="auto"/>
        <w:right w:val="none" w:sz="0" w:space="0" w:color="auto"/>
      </w:divBdr>
    </w:div>
    <w:div w:id="892541262">
      <w:bodyDiv w:val="1"/>
      <w:marLeft w:val="0"/>
      <w:marRight w:val="0"/>
      <w:marTop w:val="0"/>
      <w:marBottom w:val="0"/>
      <w:divBdr>
        <w:top w:val="none" w:sz="0" w:space="0" w:color="auto"/>
        <w:left w:val="none" w:sz="0" w:space="0" w:color="auto"/>
        <w:bottom w:val="none" w:sz="0" w:space="0" w:color="auto"/>
        <w:right w:val="none" w:sz="0" w:space="0" w:color="auto"/>
      </w:divBdr>
    </w:div>
    <w:div w:id="892930823">
      <w:bodyDiv w:val="1"/>
      <w:marLeft w:val="0"/>
      <w:marRight w:val="0"/>
      <w:marTop w:val="0"/>
      <w:marBottom w:val="0"/>
      <w:divBdr>
        <w:top w:val="none" w:sz="0" w:space="0" w:color="auto"/>
        <w:left w:val="none" w:sz="0" w:space="0" w:color="auto"/>
        <w:bottom w:val="none" w:sz="0" w:space="0" w:color="auto"/>
        <w:right w:val="none" w:sz="0" w:space="0" w:color="auto"/>
      </w:divBdr>
    </w:div>
    <w:div w:id="899830938">
      <w:bodyDiv w:val="1"/>
      <w:marLeft w:val="0"/>
      <w:marRight w:val="0"/>
      <w:marTop w:val="0"/>
      <w:marBottom w:val="0"/>
      <w:divBdr>
        <w:top w:val="none" w:sz="0" w:space="0" w:color="auto"/>
        <w:left w:val="none" w:sz="0" w:space="0" w:color="auto"/>
        <w:bottom w:val="none" w:sz="0" w:space="0" w:color="auto"/>
        <w:right w:val="none" w:sz="0" w:space="0" w:color="auto"/>
      </w:divBdr>
    </w:div>
    <w:div w:id="904605009">
      <w:bodyDiv w:val="1"/>
      <w:marLeft w:val="0"/>
      <w:marRight w:val="0"/>
      <w:marTop w:val="0"/>
      <w:marBottom w:val="0"/>
      <w:divBdr>
        <w:top w:val="none" w:sz="0" w:space="0" w:color="auto"/>
        <w:left w:val="none" w:sz="0" w:space="0" w:color="auto"/>
        <w:bottom w:val="none" w:sz="0" w:space="0" w:color="auto"/>
        <w:right w:val="none" w:sz="0" w:space="0" w:color="auto"/>
      </w:divBdr>
    </w:div>
    <w:div w:id="907497515">
      <w:bodyDiv w:val="1"/>
      <w:marLeft w:val="0"/>
      <w:marRight w:val="0"/>
      <w:marTop w:val="0"/>
      <w:marBottom w:val="0"/>
      <w:divBdr>
        <w:top w:val="none" w:sz="0" w:space="0" w:color="auto"/>
        <w:left w:val="none" w:sz="0" w:space="0" w:color="auto"/>
        <w:bottom w:val="none" w:sz="0" w:space="0" w:color="auto"/>
        <w:right w:val="none" w:sz="0" w:space="0" w:color="auto"/>
      </w:divBdr>
    </w:div>
    <w:div w:id="908148814">
      <w:bodyDiv w:val="1"/>
      <w:marLeft w:val="0"/>
      <w:marRight w:val="0"/>
      <w:marTop w:val="0"/>
      <w:marBottom w:val="0"/>
      <w:divBdr>
        <w:top w:val="none" w:sz="0" w:space="0" w:color="auto"/>
        <w:left w:val="none" w:sz="0" w:space="0" w:color="auto"/>
        <w:bottom w:val="none" w:sz="0" w:space="0" w:color="auto"/>
        <w:right w:val="none" w:sz="0" w:space="0" w:color="auto"/>
      </w:divBdr>
    </w:div>
    <w:div w:id="931933413">
      <w:bodyDiv w:val="1"/>
      <w:marLeft w:val="0"/>
      <w:marRight w:val="0"/>
      <w:marTop w:val="0"/>
      <w:marBottom w:val="0"/>
      <w:divBdr>
        <w:top w:val="none" w:sz="0" w:space="0" w:color="auto"/>
        <w:left w:val="none" w:sz="0" w:space="0" w:color="auto"/>
        <w:bottom w:val="none" w:sz="0" w:space="0" w:color="auto"/>
        <w:right w:val="none" w:sz="0" w:space="0" w:color="auto"/>
      </w:divBdr>
    </w:div>
    <w:div w:id="937905081">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978726758">
      <w:bodyDiv w:val="1"/>
      <w:marLeft w:val="0"/>
      <w:marRight w:val="0"/>
      <w:marTop w:val="0"/>
      <w:marBottom w:val="0"/>
      <w:divBdr>
        <w:top w:val="none" w:sz="0" w:space="0" w:color="auto"/>
        <w:left w:val="none" w:sz="0" w:space="0" w:color="auto"/>
        <w:bottom w:val="none" w:sz="0" w:space="0" w:color="auto"/>
        <w:right w:val="none" w:sz="0" w:space="0" w:color="auto"/>
      </w:divBdr>
    </w:div>
    <w:div w:id="988288035">
      <w:bodyDiv w:val="1"/>
      <w:marLeft w:val="0"/>
      <w:marRight w:val="0"/>
      <w:marTop w:val="0"/>
      <w:marBottom w:val="0"/>
      <w:divBdr>
        <w:top w:val="none" w:sz="0" w:space="0" w:color="auto"/>
        <w:left w:val="none" w:sz="0" w:space="0" w:color="auto"/>
        <w:bottom w:val="none" w:sz="0" w:space="0" w:color="auto"/>
        <w:right w:val="none" w:sz="0" w:space="0" w:color="auto"/>
      </w:divBdr>
    </w:div>
    <w:div w:id="1021979196">
      <w:bodyDiv w:val="1"/>
      <w:marLeft w:val="0"/>
      <w:marRight w:val="0"/>
      <w:marTop w:val="0"/>
      <w:marBottom w:val="0"/>
      <w:divBdr>
        <w:top w:val="none" w:sz="0" w:space="0" w:color="auto"/>
        <w:left w:val="none" w:sz="0" w:space="0" w:color="auto"/>
        <w:bottom w:val="none" w:sz="0" w:space="0" w:color="auto"/>
        <w:right w:val="none" w:sz="0" w:space="0" w:color="auto"/>
      </w:divBdr>
    </w:div>
    <w:div w:id="1242107911">
      <w:bodyDiv w:val="1"/>
      <w:marLeft w:val="0"/>
      <w:marRight w:val="0"/>
      <w:marTop w:val="0"/>
      <w:marBottom w:val="0"/>
      <w:divBdr>
        <w:top w:val="none" w:sz="0" w:space="0" w:color="auto"/>
        <w:left w:val="none" w:sz="0" w:space="0" w:color="auto"/>
        <w:bottom w:val="none" w:sz="0" w:space="0" w:color="auto"/>
        <w:right w:val="none" w:sz="0" w:space="0" w:color="auto"/>
      </w:divBdr>
    </w:div>
    <w:div w:id="1264075474">
      <w:bodyDiv w:val="1"/>
      <w:marLeft w:val="0"/>
      <w:marRight w:val="0"/>
      <w:marTop w:val="0"/>
      <w:marBottom w:val="0"/>
      <w:divBdr>
        <w:top w:val="none" w:sz="0" w:space="0" w:color="auto"/>
        <w:left w:val="none" w:sz="0" w:space="0" w:color="auto"/>
        <w:bottom w:val="none" w:sz="0" w:space="0" w:color="auto"/>
        <w:right w:val="none" w:sz="0" w:space="0" w:color="auto"/>
      </w:divBdr>
    </w:div>
    <w:div w:id="1271819184">
      <w:bodyDiv w:val="1"/>
      <w:marLeft w:val="0"/>
      <w:marRight w:val="0"/>
      <w:marTop w:val="0"/>
      <w:marBottom w:val="0"/>
      <w:divBdr>
        <w:top w:val="none" w:sz="0" w:space="0" w:color="auto"/>
        <w:left w:val="none" w:sz="0" w:space="0" w:color="auto"/>
        <w:bottom w:val="none" w:sz="0" w:space="0" w:color="auto"/>
        <w:right w:val="none" w:sz="0" w:space="0" w:color="auto"/>
      </w:divBdr>
    </w:div>
    <w:div w:id="1273324595">
      <w:bodyDiv w:val="1"/>
      <w:marLeft w:val="0"/>
      <w:marRight w:val="0"/>
      <w:marTop w:val="0"/>
      <w:marBottom w:val="0"/>
      <w:divBdr>
        <w:top w:val="none" w:sz="0" w:space="0" w:color="auto"/>
        <w:left w:val="none" w:sz="0" w:space="0" w:color="auto"/>
        <w:bottom w:val="none" w:sz="0" w:space="0" w:color="auto"/>
        <w:right w:val="none" w:sz="0" w:space="0" w:color="auto"/>
      </w:divBdr>
    </w:div>
    <w:div w:id="1309093276">
      <w:bodyDiv w:val="1"/>
      <w:marLeft w:val="0"/>
      <w:marRight w:val="0"/>
      <w:marTop w:val="0"/>
      <w:marBottom w:val="0"/>
      <w:divBdr>
        <w:top w:val="none" w:sz="0" w:space="0" w:color="auto"/>
        <w:left w:val="none" w:sz="0" w:space="0" w:color="auto"/>
        <w:bottom w:val="none" w:sz="0" w:space="0" w:color="auto"/>
        <w:right w:val="none" w:sz="0" w:space="0" w:color="auto"/>
      </w:divBdr>
    </w:div>
    <w:div w:id="1323657733">
      <w:bodyDiv w:val="1"/>
      <w:marLeft w:val="0"/>
      <w:marRight w:val="0"/>
      <w:marTop w:val="0"/>
      <w:marBottom w:val="0"/>
      <w:divBdr>
        <w:top w:val="none" w:sz="0" w:space="0" w:color="auto"/>
        <w:left w:val="none" w:sz="0" w:space="0" w:color="auto"/>
        <w:bottom w:val="none" w:sz="0" w:space="0" w:color="auto"/>
        <w:right w:val="none" w:sz="0" w:space="0" w:color="auto"/>
      </w:divBdr>
    </w:div>
    <w:div w:id="1327979336">
      <w:bodyDiv w:val="1"/>
      <w:marLeft w:val="0"/>
      <w:marRight w:val="0"/>
      <w:marTop w:val="0"/>
      <w:marBottom w:val="0"/>
      <w:divBdr>
        <w:top w:val="none" w:sz="0" w:space="0" w:color="auto"/>
        <w:left w:val="none" w:sz="0" w:space="0" w:color="auto"/>
        <w:bottom w:val="none" w:sz="0" w:space="0" w:color="auto"/>
        <w:right w:val="none" w:sz="0" w:space="0" w:color="auto"/>
      </w:divBdr>
    </w:div>
    <w:div w:id="1387951813">
      <w:bodyDiv w:val="1"/>
      <w:marLeft w:val="0"/>
      <w:marRight w:val="0"/>
      <w:marTop w:val="0"/>
      <w:marBottom w:val="0"/>
      <w:divBdr>
        <w:top w:val="none" w:sz="0" w:space="0" w:color="auto"/>
        <w:left w:val="none" w:sz="0" w:space="0" w:color="auto"/>
        <w:bottom w:val="none" w:sz="0" w:space="0" w:color="auto"/>
        <w:right w:val="none" w:sz="0" w:space="0" w:color="auto"/>
      </w:divBdr>
    </w:div>
    <w:div w:id="1422607291">
      <w:bodyDiv w:val="1"/>
      <w:marLeft w:val="0"/>
      <w:marRight w:val="0"/>
      <w:marTop w:val="0"/>
      <w:marBottom w:val="0"/>
      <w:divBdr>
        <w:top w:val="none" w:sz="0" w:space="0" w:color="auto"/>
        <w:left w:val="none" w:sz="0" w:space="0" w:color="auto"/>
        <w:bottom w:val="none" w:sz="0" w:space="0" w:color="auto"/>
        <w:right w:val="none" w:sz="0" w:space="0" w:color="auto"/>
      </w:divBdr>
    </w:div>
    <w:div w:id="1425104740">
      <w:bodyDiv w:val="1"/>
      <w:marLeft w:val="0"/>
      <w:marRight w:val="0"/>
      <w:marTop w:val="0"/>
      <w:marBottom w:val="0"/>
      <w:divBdr>
        <w:top w:val="none" w:sz="0" w:space="0" w:color="auto"/>
        <w:left w:val="none" w:sz="0" w:space="0" w:color="auto"/>
        <w:bottom w:val="none" w:sz="0" w:space="0" w:color="auto"/>
        <w:right w:val="none" w:sz="0" w:space="0" w:color="auto"/>
      </w:divBdr>
    </w:div>
    <w:div w:id="1455250921">
      <w:bodyDiv w:val="1"/>
      <w:marLeft w:val="0"/>
      <w:marRight w:val="0"/>
      <w:marTop w:val="0"/>
      <w:marBottom w:val="0"/>
      <w:divBdr>
        <w:top w:val="none" w:sz="0" w:space="0" w:color="auto"/>
        <w:left w:val="none" w:sz="0" w:space="0" w:color="auto"/>
        <w:bottom w:val="none" w:sz="0" w:space="0" w:color="auto"/>
        <w:right w:val="none" w:sz="0" w:space="0" w:color="auto"/>
      </w:divBdr>
    </w:div>
    <w:div w:id="1475637510">
      <w:bodyDiv w:val="1"/>
      <w:marLeft w:val="0"/>
      <w:marRight w:val="0"/>
      <w:marTop w:val="0"/>
      <w:marBottom w:val="0"/>
      <w:divBdr>
        <w:top w:val="none" w:sz="0" w:space="0" w:color="auto"/>
        <w:left w:val="none" w:sz="0" w:space="0" w:color="auto"/>
        <w:bottom w:val="none" w:sz="0" w:space="0" w:color="auto"/>
        <w:right w:val="none" w:sz="0" w:space="0" w:color="auto"/>
      </w:divBdr>
    </w:div>
    <w:div w:id="1497569972">
      <w:bodyDiv w:val="1"/>
      <w:marLeft w:val="0"/>
      <w:marRight w:val="0"/>
      <w:marTop w:val="0"/>
      <w:marBottom w:val="0"/>
      <w:divBdr>
        <w:top w:val="none" w:sz="0" w:space="0" w:color="auto"/>
        <w:left w:val="none" w:sz="0" w:space="0" w:color="auto"/>
        <w:bottom w:val="none" w:sz="0" w:space="0" w:color="auto"/>
        <w:right w:val="none" w:sz="0" w:space="0" w:color="auto"/>
      </w:divBdr>
    </w:div>
    <w:div w:id="1542521270">
      <w:bodyDiv w:val="1"/>
      <w:marLeft w:val="0"/>
      <w:marRight w:val="0"/>
      <w:marTop w:val="0"/>
      <w:marBottom w:val="0"/>
      <w:divBdr>
        <w:top w:val="none" w:sz="0" w:space="0" w:color="auto"/>
        <w:left w:val="none" w:sz="0" w:space="0" w:color="auto"/>
        <w:bottom w:val="none" w:sz="0" w:space="0" w:color="auto"/>
        <w:right w:val="none" w:sz="0" w:space="0" w:color="auto"/>
      </w:divBdr>
    </w:div>
    <w:div w:id="1547721919">
      <w:bodyDiv w:val="1"/>
      <w:marLeft w:val="0"/>
      <w:marRight w:val="0"/>
      <w:marTop w:val="0"/>
      <w:marBottom w:val="0"/>
      <w:divBdr>
        <w:top w:val="none" w:sz="0" w:space="0" w:color="auto"/>
        <w:left w:val="none" w:sz="0" w:space="0" w:color="auto"/>
        <w:bottom w:val="none" w:sz="0" w:space="0" w:color="auto"/>
        <w:right w:val="none" w:sz="0" w:space="0" w:color="auto"/>
      </w:divBdr>
    </w:div>
    <w:div w:id="1561286208">
      <w:bodyDiv w:val="1"/>
      <w:marLeft w:val="0"/>
      <w:marRight w:val="0"/>
      <w:marTop w:val="0"/>
      <w:marBottom w:val="0"/>
      <w:divBdr>
        <w:top w:val="none" w:sz="0" w:space="0" w:color="auto"/>
        <w:left w:val="none" w:sz="0" w:space="0" w:color="auto"/>
        <w:bottom w:val="none" w:sz="0" w:space="0" w:color="auto"/>
        <w:right w:val="none" w:sz="0" w:space="0" w:color="auto"/>
      </w:divBdr>
    </w:div>
    <w:div w:id="1593661153">
      <w:bodyDiv w:val="1"/>
      <w:marLeft w:val="0"/>
      <w:marRight w:val="0"/>
      <w:marTop w:val="0"/>
      <w:marBottom w:val="0"/>
      <w:divBdr>
        <w:top w:val="none" w:sz="0" w:space="0" w:color="auto"/>
        <w:left w:val="none" w:sz="0" w:space="0" w:color="auto"/>
        <w:bottom w:val="none" w:sz="0" w:space="0" w:color="auto"/>
        <w:right w:val="none" w:sz="0" w:space="0" w:color="auto"/>
      </w:divBdr>
      <w:divsChild>
        <w:div w:id="689068391">
          <w:blockQuote w:val="1"/>
          <w:marLeft w:val="0"/>
          <w:marRight w:val="0"/>
          <w:marTop w:val="0"/>
          <w:marBottom w:val="0"/>
          <w:divBdr>
            <w:top w:val="none" w:sz="0" w:space="0" w:color="auto"/>
            <w:left w:val="single" w:sz="6" w:space="18" w:color="707070"/>
            <w:bottom w:val="none" w:sz="0" w:space="0" w:color="auto"/>
            <w:right w:val="none" w:sz="0" w:space="0" w:color="auto"/>
          </w:divBdr>
        </w:div>
        <w:div w:id="132809741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65620107">
      <w:bodyDiv w:val="1"/>
      <w:marLeft w:val="0"/>
      <w:marRight w:val="0"/>
      <w:marTop w:val="0"/>
      <w:marBottom w:val="0"/>
      <w:divBdr>
        <w:top w:val="none" w:sz="0" w:space="0" w:color="auto"/>
        <w:left w:val="none" w:sz="0" w:space="0" w:color="auto"/>
        <w:bottom w:val="none" w:sz="0" w:space="0" w:color="auto"/>
        <w:right w:val="none" w:sz="0" w:space="0" w:color="auto"/>
      </w:divBdr>
    </w:div>
    <w:div w:id="1672564061">
      <w:bodyDiv w:val="1"/>
      <w:marLeft w:val="0"/>
      <w:marRight w:val="0"/>
      <w:marTop w:val="0"/>
      <w:marBottom w:val="0"/>
      <w:divBdr>
        <w:top w:val="none" w:sz="0" w:space="0" w:color="auto"/>
        <w:left w:val="none" w:sz="0" w:space="0" w:color="auto"/>
        <w:bottom w:val="none" w:sz="0" w:space="0" w:color="auto"/>
        <w:right w:val="none" w:sz="0" w:space="0" w:color="auto"/>
      </w:divBdr>
    </w:div>
    <w:div w:id="1685205843">
      <w:bodyDiv w:val="1"/>
      <w:marLeft w:val="0"/>
      <w:marRight w:val="0"/>
      <w:marTop w:val="0"/>
      <w:marBottom w:val="0"/>
      <w:divBdr>
        <w:top w:val="none" w:sz="0" w:space="0" w:color="auto"/>
        <w:left w:val="none" w:sz="0" w:space="0" w:color="auto"/>
        <w:bottom w:val="none" w:sz="0" w:space="0" w:color="auto"/>
        <w:right w:val="none" w:sz="0" w:space="0" w:color="auto"/>
      </w:divBdr>
    </w:div>
    <w:div w:id="1697078461">
      <w:bodyDiv w:val="1"/>
      <w:marLeft w:val="0"/>
      <w:marRight w:val="0"/>
      <w:marTop w:val="0"/>
      <w:marBottom w:val="0"/>
      <w:divBdr>
        <w:top w:val="none" w:sz="0" w:space="0" w:color="auto"/>
        <w:left w:val="none" w:sz="0" w:space="0" w:color="auto"/>
        <w:bottom w:val="none" w:sz="0" w:space="0" w:color="auto"/>
        <w:right w:val="none" w:sz="0" w:space="0" w:color="auto"/>
      </w:divBdr>
    </w:div>
    <w:div w:id="1708604930">
      <w:bodyDiv w:val="1"/>
      <w:marLeft w:val="0"/>
      <w:marRight w:val="0"/>
      <w:marTop w:val="0"/>
      <w:marBottom w:val="0"/>
      <w:divBdr>
        <w:top w:val="none" w:sz="0" w:space="0" w:color="auto"/>
        <w:left w:val="none" w:sz="0" w:space="0" w:color="auto"/>
        <w:bottom w:val="none" w:sz="0" w:space="0" w:color="auto"/>
        <w:right w:val="none" w:sz="0" w:space="0" w:color="auto"/>
      </w:divBdr>
    </w:div>
    <w:div w:id="1711032662">
      <w:bodyDiv w:val="1"/>
      <w:marLeft w:val="0"/>
      <w:marRight w:val="0"/>
      <w:marTop w:val="0"/>
      <w:marBottom w:val="0"/>
      <w:divBdr>
        <w:top w:val="none" w:sz="0" w:space="0" w:color="auto"/>
        <w:left w:val="none" w:sz="0" w:space="0" w:color="auto"/>
        <w:bottom w:val="none" w:sz="0" w:space="0" w:color="auto"/>
        <w:right w:val="none" w:sz="0" w:space="0" w:color="auto"/>
      </w:divBdr>
    </w:div>
    <w:div w:id="1734112328">
      <w:bodyDiv w:val="1"/>
      <w:marLeft w:val="0"/>
      <w:marRight w:val="0"/>
      <w:marTop w:val="0"/>
      <w:marBottom w:val="0"/>
      <w:divBdr>
        <w:top w:val="none" w:sz="0" w:space="0" w:color="auto"/>
        <w:left w:val="none" w:sz="0" w:space="0" w:color="auto"/>
        <w:bottom w:val="none" w:sz="0" w:space="0" w:color="auto"/>
        <w:right w:val="none" w:sz="0" w:space="0" w:color="auto"/>
      </w:divBdr>
    </w:div>
    <w:div w:id="1753500473">
      <w:bodyDiv w:val="1"/>
      <w:marLeft w:val="0"/>
      <w:marRight w:val="0"/>
      <w:marTop w:val="0"/>
      <w:marBottom w:val="0"/>
      <w:divBdr>
        <w:top w:val="none" w:sz="0" w:space="0" w:color="auto"/>
        <w:left w:val="none" w:sz="0" w:space="0" w:color="auto"/>
        <w:bottom w:val="none" w:sz="0" w:space="0" w:color="auto"/>
        <w:right w:val="none" w:sz="0" w:space="0" w:color="auto"/>
      </w:divBdr>
    </w:div>
    <w:div w:id="1781142812">
      <w:bodyDiv w:val="1"/>
      <w:marLeft w:val="0"/>
      <w:marRight w:val="0"/>
      <w:marTop w:val="0"/>
      <w:marBottom w:val="0"/>
      <w:divBdr>
        <w:top w:val="none" w:sz="0" w:space="0" w:color="auto"/>
        <w:left w:val="none" w:sz="0" w:space="0" w:color="auto"/>
        <w:bottom w:val="none" w:sz="0" w:space="0" w:color="auto"/>
        <w:right w:val="none" w:sz="0" w:space="0" w:color="auto"/>
      </w:divBdr>
    </w:div>
    <w:div w:id="1800881311">
      <w:bodyDiv w:val="1"/>
      <w:marLeft w:val="0"/>
      <w:marRight w:val="0"/>
      <w:marTop w:val="0"/>
      <w:marBottom w:val="0"/>
      <w:divBdr>
        <w:top w:val="none" w:sz="0" w:space="0" w:color="auto"/>
        <w:left w:val="none" w:sz="0" w:space="0" w:color="auto"/>
        <w:bottom w:val="none" w:sz="0" w:space="0" w:color="auto"/>
        <w:right w:val="none" w:sz="0" w:space="0" w:color="auto"/>
      </w:divBdr>
    </w:div>
    <w:div w:id="1812940317">
      <w:bodyDiv w:val="1"/>
      <w:marLeft w:val="0"/>
      <w:marRight w:val="0"/>
      <w:marTop w:val="0"/>
      <w:marBottom w:val="0"/>
      <w:divBdr>
        <w:top w:val="none" w:sz="0" w:space="0" w:color="auto"/>
        <w:left w:val="none" w:sz="0" w:space="0" w:color="auto"/>
        <w:bottom w:val="none" w:sz="0" w:space="0" w:color="auto"/>
        <w:right w:val="none" w:sz="0" w:space="0" w:color="auto"/>
      </w:divBdr>
    </w:div>
    <w:div w:id="1822695072">
      <w:bodyDiv w:val="1"/>
      <w:marLeft w:val="0"/>
      <w:marRight w:val="0"/>
      <w:marTop w:val="0"/>
      <w:marBottom w:val="0"/>
      <w:divBdr>
        <w:top w:val="none" w:sz="0" w:space="0" w:color="auto"/>
        <w:left w:val="none" w:sz="0" w:space="0" w:color="auto"/>
        <w:bottom w:val="none" w:sz="0" w:space="0" w:color="auto"/>
        <w:right w:val="none" w:sz="0" w:space="0" w:color="auto"/>
      </w:divBdr>
    </w:div>
    <w:div w:id="1835023860">
      <w:bodyDiv w:val="1"/>
      <w:marLeft w:val="0"/>
      <w:marRight w:val="0"/>
      <w:marTop w:val="0"/>
      <w:marBottom w:val="0"/>
      <w:divBdr>
        <w:top w:val="none" w:sz="0" w:space="0" w:color="auto"/>
        <w:left w:val="none" w:sz="0" w:space="0" w:color="auto"/>
        <w:bottom w:val="none" w:sz="0" w:space="0" w:color="auto"/>
        <w:right w:val="none" w:sz="0" w:space="0" w:color="auto"/>
      </w:divBdr>
    </w:div>
    <w:div w:id="1849783326">
      <w:bodyDiv w:val="1"/>
      <w:marLeft w:val="0"/>
      <w:marRight w:val="0"/>
      <w:marTop w:val="0"/>
      <w:marBottom w:val="0"/>
      <w:divBdr>
        <w:top w:val="none" w:sz="0" w:space="0" w:color="auto"/>
        <w:left w:val="none" w:sz="0" w:space="0" w:color="auto"/>
        <w:bottom w:val="none" w:sz="0" w:space="0" w:color="auto"/>
        <w:right w:val="none" w:sz="0" w:space="0" w:color="auto"/>
      </w:divBdr>
    </w:div>
    <w:div w:id="1886986707">
      <w:bodyDiv w:val="1"/>
      <w:marLeft w:val="0"/>
      <w:marRight w:val="0"/>
      <w:marTop w:val="0"/>
      <w:marBottom w:val="0"/>
      <w:divBdr>
        <w:top w:val="none" w:sz="0" w:space="0" w:color="auto"/>
        <w:left w:val="none" w:sz="0" w:space="0" w:color="auto"/>
        <w:bottom w:val="none" w:sz="0" w:space="0" w:color="auto"/>
        <w:right w:val="none" w:sz="0" w:space="0" w:color="auto"/>
      </w:divBdr>
    </w:div>
    <w:div w:id="1938974375">
      <w:bodyDiv w:val="1"/>
      <w:marLeft w:val="0"/>
      <w:marRight w:val="0"/>
      <w:marTop w:val="0"/>
      <w:marBottom w:val="0"/>
      <w:divBdr>
        <w:top w:val="none" w:sz="0" w:space="0" w:color="auto"/>
        <w:left w:val="none" w:sz="0" w:space="0" w:color="auto"/>
        <w:bottom w:val="none" w:sz="0" w:space="0" w:color="auto"/>
        <w:right w:val="none" w:sz="0" w:space="0" w:color="auto"/>
      </w:divBdr>
    </w:div>
    <w:div w:id="1948459274">
      <w:bodyDiv w:val="1"/>
      <w:marLeft w:val="0"/>
      <w:marRight w:val="0"/>
      <w:marTop w:val="0"/>
      <w:marBottom w:val="0"/>
      <w:divBdr>
        <w:top w:val="none" w:sz="0" w:space="0" w:color="auto"/>
        <w:left w:val="none" w:sz="0" w:space="0" w:color="auto"/>
        <w:bottom w:val="none" w:sz="0" w:space="0" w:color="auto"/>
        <w:right w:val="none" w:sz="0" w:space="0" w:color="auto"/>
      </w:divBdr>
    </w:div>
    <w:div w:id="1963919998">
      <w:bodyDiv w:val="1"/>
      <w:marLeft w:val="0"/>
      <w:marRight w:val="0"/>
      <w:marTop w:val="0"/>
      <w:marBottom w:val="0"/>
      <w:divBdr>
        <w:top w:val="none" w:sz="0" w:space="0" w:color="auto"/>
        <w:left w:val="none" w:sz="0" w:space="0" w:color="auto"/>
        <w:bottom w:val="none" w:sz="0" w:space="0" w:color="auto"/>
        <w:right w:val="none" w:sz="0" w:space="0" w:color="auto"/>
      </w:divBdr>
    </w:div>
    <w:div w:id="1981887224">
      <w:bodyDiv w:val="1"/>
      <w:marLeft w:val="0"/>
      <w:marRight w:val="0"/>
      <w:marTop w:val="0"/>
      <w:marBottom w:val="0"/>
      <w:divBdr>
        <w:top w:val="none" w:sz="0" w:space="0" w:color="auto"/>
        <w:left w:val="none" w:sz="0" w:space="0" w:color="auto"/>
        <w:bottom w:val="none" w:sz="0" w:space="0" w:color="auto"/>
        <w:right w:val="none" w:sz="0" w:space="0" w:color="auto"/>
      </w:divBdr>
    </w:div>
    <w:div w:id="2004308434">
      <w:bodyDiv w:val="1"/>
      <w:marLeft w:val="0"/>
      <w:marRight w:val="0"/>
      <w:marTop w:val="0"/>
      <w:marBottom w:val="0"/>
      <w:divBdr>
        <w:top w:val="none" w:sz="0" w:space="0" w:color="auto"/>
        <w:left w:val="none" w:sz="0" w:space="0" w:color="auto"/>
        <w:bottom w:val="none" w:sz="0" w:space="0" w:color="auto"/>
        <w:right w:val="none" w:sz="0" w:space="0" w:color="auto"/>
      </w:divBdr>
      <w:divsChild>
        <w:div w:id="848983477">
          <w:marLeft w:val="0"/>
          <w:marRight w:val="0"/>
          <w:marTop w:val="0"/>
          <w:marBottom w:val="0"/>
          <w:divBdr>
            <w:top w:val="none" w:sz="0" w:space="0" w:color="auto"/>
            <w:left w:val="none" w:sz="0" w:space="0" w:color="auto"/>
            <w:bottom w:val="none" w:sz="0" w:space="0" w:color="auto"/>
            <w:right w:val="none" w:sz="0" w:space="0" w:color="auto"/>
          </w:divBdr>
          <w:divsChild>
            <w:div w:id="9468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9082">
      <w:bodyDiv w:val="1"/>
      <w:marLeft w:val="0"/>
      <w:marRight w:val="0"/>
      <w:marTop w:val="0"/>
      <w:marBottom w:val="0"/>
      <w:divBdr>
        <w:top w:val="none" w:sz="0" w:space="0" w:color="auto"/>
        <w:left w:val="none" w:sz="0" w:space="0" w:color="auto"/>
        <w:bottom w:val="none" w:sz="0" w:space="0" w:color="auto"/>
        <w:right w:val="none" w:sz="0" w:space="0" w:color="auto"/>
      </w:divBdr>
    </w:div>
    <w:div w:id="2072270921">
      <w:bodyDiv w:val="1"/>
      <w:marLeft w:val="0"/>
      <w:marRight w:val="0"/>
      <w:marTop w:val="0"/>
      <w:marBottom w:val="0"/>
      <w:divBdr>
        <w:top w:val="none" w:sz="0" w:space="0" w:color="auto"/>
        <w:left w:val="none" w:sz="0" w:space="0" w:color="auto"/>
        <w:bottom w:val="none" w:sz="0" w:space="0" w:color="auto"/>
        <w:right w:val="none" w:sz="0" w:space="0" w:color="auto"/>
      </w:divBdr>
    </w:div>
    <w:div w:id="2079940602">
      <w:bodyDiv w:val="1"/>
      <w:marLeft w:val="0"/>
      <w:marRight w:val="0"/>
      <w:marTop w:val="0"/>
      <w:marBottom w:val="0"/>
      <w:divBdr>
        <w:top w:val="none" w:sz="0" w:space="0" w:color="auto"/>
        <w:left w:val="none" w:sz="0" w:space="0" w:color="auto"/>
        <w:bottom w:val="none" w:sz="0" w:space="0" w:color="auto"/>
        <w:right w:val="none" w:sz="0" w:space="0" w:color="auto"/>
      </w:divBdr>
    </w:div>
    <w:div w:id="20999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13" Type="http://schemas.openxmlformats.org/officeDocument/2006/relationships/hyperlink" Target="https://www.unhcr.org/au/sites/en-au/files/legacy-pdf/58117c617.pdf" TargetMode="External"/><Relationship Id="rId18" Type="http://schemas.openxmlformats.org/officeDocument/2006/relationships/hyperlink" Target="http://www.humanrights.gov.au/our-work/rights-and-freedoms/publications/human-rights-issues-raised-third-country-processing-regime" TargetMode="External"/><Relationship Id="rId26" Type="http://schemas.openxmlformats.org/officeDocument/2006/relationships/hyperlink" Target="https://www.aph.gov.au/api/qon/downloadestimatesquestions/EstimatesQuestion-CommitteeId6-EstimatesRoundId25-PortfolioId20-QuestionNumber627" TargetMode="External"/><Relationship Id="rId39" Type="http://schemas.openxmlformats.org/officeDocument/2006/relationships/hyperlink" Target="https://immi.homeaffairs.gov.au/what-we-do/refugee-and-humanitarian-program/about-the-program/seek-protection-in-australia" TargetMode="External"/><Relationship Id="rId21" Type="http://schemas.openxmlformats.org/officeDocument/2006/relationships/hyperlink" Target="https://www.ohchr.org/en/press-releases/2025/01/australia-responsible-arbitrary-detention-asylum-seekers-offshore-facilities" TargetMode="External"/><Relationship Id="rId34" Type="http://schemas.openxmlformats.org/officeDocument/2006/relationships/hyperlink" Target="https://www.ohchr.org/en/statements-and-speeches/2016/11/end-mission-statement-un-special-rapporteur-human-rights-migrants?LangID=E&amp;NewsID=20885" TargetMode="External"/><Relationship Id="rId7" Type="http://schemas.openxmlformats.org/officeDocument/2006/relationships/hyperlink" Target="https://www.refugeecouncil.org.au/operation-sovereign-borders-offshore-detention-statistics/2/" TargetMode="External"/><Relationship Id="rId12" Type="http://schemas.openxmlformats.org/officeDocument/2006/relationships/hyperlink" Target="https://asrc.org.au/2025/01/14/un-human-right-committee-condemns-australia-offshore-detention-policy/" TargetMode="External"/><Relationship Id="rId17" Type="http://schemas.openxmlformats.org/officeDocument/2006/relationships/hyperlink" Target="https://www.aph.gov.au/api/qon/downloadestimatesquestions/EstimatesQuestion-CommitteeId6-EstimatesRoundId23-PortfolioId20-QuestionNumber732" TargetMode="External"/><Relationship Id="rId25" Type="http://schemas.openxmlformats.org/officeDocument/2006/relationships/hyperlink" Target="https://www.hrlc.org.au/news/2023-11-08-indefinite-detention-overruled/" TargetMode="External"/><Relationship Id="rId33" Type="http://schemas.openxmlformats.org/officeDocument/2006/relationships/hyperlink" Target="https://www.hrlc.org.au/news/2025-02-22-deportation-delayed/" TargetMode="External"/><Relationship Id="rId38" Type="http://schemas.openxmlformats.org/officeDocument/2006/relationships/hyperlink" Target="https://www.aph.gov.au/DocumentStore.ashx?id=e50d519a-f240-4c6e-8f7e-baa7e3af7c33&amp;subId=301611" TargetMode="External"/><Relationship Id="rId2" Type="http://schemas.openxmlformats.org/officeDocument/2006/relationships/hyperlink" Target="http://www.humanrights.gov.au/publications/asylum-seekers-refugees-and-human-rights-snapshot-report" TargetMode="External"/><Relationship Id="rId16" Type="http://schemas.openxmlformats.org/officeDocument/2006/relationships/hyperlink" Target="https://www.aph.gov.au/api/qon/downloadestimatesquestions/EstimatesQuestion-CommitteeId6-EstimatesRoundId23-PortfolioId20-QuestionNumber731" TargetMode="External"/><Relationship Id="rId20" Type="http://schemas.openxmlformats.org/officeDocument/2006/relationships/hyperlink" Target="https://humanrights.gov.au/our-work/asylum-seekers-and-refugees/publications/asylum-seekers-refugees-and-human-rights-0" TargetMode="External"/><Relationship Id="rId29" Type="http://schemas.openxmlformats.org/officeDocument/2006/relationships/hyperlink" Target="https://humanrights.gov.au/sites/default/files/ahrc_submission_on_migration_amendment_removals_and_other_measures_bill_2024_0.pdf" TargetMode="External"/><Relationship Id="rId1" Type="http://schemas.openxmlformats.org/officeDocument/2006/relationships/hyperlink" Target="https://humanrights.gov.au/our-work/asylum-seekers-and-refugees/publications/human-rights-standards-immigration-detention" TargetMode="External"/><Relationship Id="rId6" Type="http://schemas.openxmlformats.org/officeDocument/2006/relationships/hyperlink" Target="https://www.homeaffairs.gov.au/about-us/what-we-do/border-protection/regional-processing-and-resettlement" TargetMode="External"/><Relationship Id="rId11" Type="http://schemas.openxmlformats.org/officeDocument/2006/relationships/hyperlink" Target="https://minister.homeaffairs.gov.au/KarenAndrews/Pages/finalisation-of-the-regional-resettlement-arrangement.aspx" TargetMode="External"/><Relationship Id="rId24" Type="http://schemas.openxmlformats.org/officeDocument/2006/relationships/hyperlink" Target="https://www.abc.net.au/news/2024-12-12/png-asylum-seekers-new-deal-housing-healthcare/104717280" TargetMode="External"/><Relationship Id="rId32" Type="http://schemas.openxmlformats.org/officeDocument/2006/relationships/hyperlink" Target="https://www.hcourt.gov.au/cases/case-s22-2025" TargetMode="External"/><Relationship Id="rId37" Type="http://schemas.openxmlformats.org/officeDocument/2006/relationships/hyperlink" Target="https://www.aph.gov.au/api/qon/downloadestimatesquestions/EstimatesQuestion-CommitteeId6-EstimatesRoundId23-PortfolioId20-QuestionNumber686" TargetMode="External"/><Relationship Id="rId40" Type="http://schemas.openxmlformats.org/officeDocument/2006/relationships/hyperlink" Target="https://immi.homeaffairs.gov.au/what-we-do/refugee-and-humanitarian-program/about-the-program/about-the-program" TargetMode="External"/><Relationship Id="rId5" Type="http://schemas.openxmlformats.org/officeDocument/2006/relationships/hyperlink" Target="https://humanrights.gov.au/our-work/asylum-seekers-and-refugees/publications/pathways-protection-human-rights-based-response" TargetMode="External"/><Relationship Id="rId15" Type="http://schemas.openxmlformats.org/officeDocument/2006/relationships/hyperlink" Target="https://www.aph.gov.au/Parliamentary_Business/Committees/Senate/Legal_and_Constitutional_Affairs/NauruandManusRPCs/Report" TargetMode="External"/><Relationship Id="rId23" Type="http://schemas.openxmlformats.org/officeDocument/2006/relationships/hyperlink" Target="https://www.theguardian.com/australia-news/2023/sep/29/papua-new-guinea-refugees-evictions-unpaid-bills-rent" TargetMode="External"/><Relationship Id="rId28" Type="http://schemas.openxmlformats.org/officeDocument/2006/relationships/hyperlink" Target="https://humanrights.gov.au/sites/default/files/ahrc_submission_on_migration_amendment_removals_and_other_measures_bill_2024_0.pdf" TargetMode="External"/><Relationship Id="rId36" Type="http://schemas.openxmlformats.org/officeDocument/2006/relationships/hyperlink" Target="https://humanrights.gov.au/our-work/asylum-seekers-and-refugees/publications/asylum-seekers-refugees-and-human-rights-0" TargetMode="External"/><Relationship Id="rId10" Type="http://schemas.openxmlformats.org/officeDocument/2006/relationships/hyperlink" Target="https://www.homeaffairs.gov.au/about-us-subsite/files/population-number-resettled-31-august-2024.pdf" TargetMode="External"/><Relationship Id="rId19" Type="http://schemas.openxmlformats.org/officeDocument/2006/relationships/hyperlink" Target="https://humanrights.gov.au/our-work/legal/submission/submission-inquiry-responsibilities-commonwealth-government-connection" TargetMode="External"/><Relationship Id="rId31" Type="http://schemas.openxmlformats.org/officeDocument/2006/relationships/hyperlink" Target="https://www.theaustralian.com.au/nation/detainees-bid-to-halt-nauru-deportation-defeated-in-federal-court/news-story/da0ebb5e5099dbcc12423c271d74971c" TargetMode="External"/><Relationship Id="rId4" Type="http://schemas.openxmlformats.org/officeDocument/2006/relationships/hyperlink" Target="https://humanrights.gov.au/our-work/legal/submission/submission-inquiry-responsibilities-commonwealth-government-connection" TargetMode="External"/><Relationship Id="rId9" Type="http://schemas.openxmlformats.org/officeDocument/2006/relationships/hyperlink" Target="https://www.refugeecouncil.org.au/operation-sovereign-borders-offshore-detention-statistics/3/" TargetMode="External"/><Relationship Id="rId14" Type="http://schemas.openxmlformats.org/officeDocument/2006/relationships/hyperlink" Target="https://www.hrw.org/news/2015/07/15/australia/papua-new-guinea-pacific-non-solution" TargetMode="External"/><Relationship Id="rId22" Type="http://schemas.openxmlformats.org/officeDocument/2006/relationships/hyperlink" Target="https://www.theguardian.com/australia-news/article/2024/jun/13/what-is-our-future-the-nauru-detention-centre-was-empty-now-100-asylum-seekers-are-held-there" TargetMode="External"/><Relationship Id="rId27" Type="http://schemas.openxmlformats.org/officeDocument/2006/relationships/hyperlink" Target="https://humanrights.gov.au/sites/default/files/submission_25_-_migration_amendment_bill_2024_ahrc_submission_2_0.pdf" TargetMode="External"/><Relationship Id="rId30" Type="http://schemas.openxmlformats.org/officeDocument/2006/relationships/hyperlink" Target="https://humanrights.gov.au/about/news/media-releases/human-rights-commissioner-says-nzyq-nauru-resettlement-announcement" TargetMode="External"/><Relationship Id="rId35" Type="http://schemas.openxmlformats.org/officeDocument/2006/relationships/hyperlink" Target="https://www.unhcr.org/au/publications/externalisation" TargetMode="External"/><Relationship Id="rId8" Type="http://schemas.openxmlformats.org/officeDocument/2006/relationships/hyperlink" Target="https://www.homeaffairs.gov.au/about-us-subsite/files/population-number-resettled-31-august-2024.pdf" TargetMode="External"/><Relationship Id="rId3" Type="http://schemas.openxmlformats.org/officeDocument/2006/relationships/hyperlink" Target="https://humanrights.gov.au/our-work/asylum-seekers-and-refugees/publications/national-inquiry-children-immigration-deten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72C6C23F5D344B86DE6F61BF6729A5" ma:contentTypeVersion="4" ma:contentTypeDescription="Create a new document." ma:contentTypeScope="" ma:versionID="96e64b885256cb1c8068e1c5bed424a2">
  <xsd:schema xmlns:xsd="http://www.w3.org/2001/XMLSchema" xmlns:xs="http://www.w3.org/2001/XMLSchema" xmlns:p="http://schemas.microsoft.com/office/2006/metadata/properties" xmlns:ns2="6500fe01-343b-4fb9-a1b0-68ac19d62e01" xmlns:ns3="72777740-6039-4126-8b2f-3a21a2d0e6d3" targetNamespace="http://schemas.microsoft.com/office/2006/metadata/properties" ma:root="true" ma:fieldsID="1f05850b0af373d8bcca08cade927f69" ns2:_="" ns3:_="">
    <xsd:import namespace="6500fe01-343b-4fb9-a1b0-68ac19d62e01"/>
    <xsd:import namespace="72777740-6039-4126-8b2f-3a21a2d0e6d3"/>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6ce7478-2b04-48de-96f0-985eed038273}"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ce7478-2b04-48de-96f0-985eed038273}"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777740-6039-4126-8b2f-3a21a2d0e6d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75c5ac6-a0cc-43ed-b850-4a2ae59237b6" ContentTypeId="0x0101" PreviousValue="false" LastSyncTimeStamp="2019-01-22T02:06:15.047Z"/>
</file>

<file path=customXml/item5.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WCE3WTZKT7T4-974082185-83</_dlc_DocId>
    <_dlc_DocIdUrl xmlns="6500fe01-343b-4fb9-a1b0-68ac19d62e01">
      <Url>https://australianhrc.sharepoint.com/sites/HumanRightsScrutiny/_layouts/15/DocIdRedir.aspx?ID=WCE3WTZKT7T4-974082185-83</Url>
      <Description>WCE3WTZKT7T4-974082185-83</Description>
    </_dlc_DocIdUrl>
    <Divider xmlns="6500fe01-343b-4fb9-a1b0-68ac19d62e01"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2.xml><?xml version="1.0" encoding="utf-8"?>
<ds:datastoreItem xmlns:ds="http://schemas.openxmlformats.org/officeDocument/2006/customXml" ds:itemID="{E9B1D09A-54DF-4F6E-BEB8-8D0D49FA0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72777740-6039-4126-8b2f-3a21a2d0e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FF486-CE15-45B2-AD37-2BE2B10776FD}">
  <ds:schemaRefs>
    <ds:schemaRef ds:uri="http://schemas.microsoft.com/sharepoint/events"/>
  </ds:schemaRefs>
</ds:datastoreItem>
</file>

<file path=customXml/itemProps4.xml><?xml version="1.0" encoding="utf-8"?>
<ds:datastoreItem xmlns:ds="http://schemas.openxmlformats.org/officeDocument/2006/customXml" ds:itemID="{3B3C5130-51C0-43DC-86C9-4C38672B5C71}">
  <ds:schemaRefs>
    <ds:schemaRef ds:uri="Microsoft.SharePoint.Taxonomy.ContentTypeSync"/>
  </ds:schemaRefs>
</ds:datastoreItem>
</file>

<file path=customXml/itemProps5.xml><?xml version="1.0" encoding="utf-8"?>
<ds:datastoreItem xmlns:ds="http://schemas.openxmlformats.org/officeDocument/2006/customXml" ds:itemID="{9D234E28-B345-4108-8EB3-981E9AB2F75F}">
  <ds:schemaRefs>
    <ds:schemaRef ds:uri="http://schemas.microsoft.com/office/2006/metadata/properties"/>
    <ds:schemaRef ds:uri="http://schemas.microsoft.com/office/infopath/2007/PartnerControls"/>
    <ds:schemaRef ds:uri="6500fe01-343b-4fb9-a1b0-68ac19d62e01"/>
  </ds:schemaRefs>
</ds:datastoreItem>
</file>

<file path=customXml/itemProps6.xml><?xml version="1.0" encoding="utf-8"?>
<ds:datastoreItem xmlns:ds="http://schemas.openxmlformats.org/officeDocument/2006/customXml" ds:itemID="{0DF7606B-64CD-4B86-8CB1-2E0DE0CD8911}">
  <ds:schemaRefs>
    <ds:schemaRef ds:uri="http://schemas.microsoft.com/office/2006/metadata/customXsn"/>
  </ds:schemaRefs>
</ds:datastoreItem>
</file>

<file path=customXml/itemProps7.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Submission.dotx</Template>
  <TotalTime>4</TotalTime>
  <Pages>14</Pages>
  <Words>2245</Words>
  <Characters>12800</Characters>
  <Application>Microsoft Office Word</Application>
  <DocSecurity>0</DocSecurity>
  <Lines>106</Lines>
  <Paragraphs>30</Paragraphs>
  <ScaleCrop>false</ScaleCrop>
  <Company>Human Rights and Equal Opportunity Commission</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McDonnell</dc:creator>
  <cp:keywords/>
  <cp:lastModifiedBy>Emilie McDonnell</cp:lastModifiedBy>
  <cp:revision>9</cp:revision>
  <cp:lastPrinted>2025-07-23T09:39:00Z</cp:lastPrinted>
  <dcterms:created xsi:type="dcterms:W3CDTF">2025-07-23T09:36:00Z</dcterms:created>
  <dcterms:modified xsi:type="dcterms:W3CDTF">2025-07-23T09:39:00Z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0x0101009D72C6C23F5D344B86DE6F61BF6729A5</vt:lpwstr>
  </property>
  <property fmtid="{D5CDD505-2E9C-101B-9397-08002B2CF9AE}" pid="5" name="_dlc_DocIdItemGuid">
    <vt:lpwstr>abc9b63a-9786-46dc-bf4a-1e7cad420079</vt:lpwstr>
  </property>
</Properties>
</file>