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1951" w:rsidRPr="00654793" w:rsidRDefault="003458EB" w:rsidP="00591951">
      <w:pPr>
        <w:tabs>
          <w:tab w:val="left" w:pos="3014"/>
        </w:tabs>
        <w:spacing w:after="3000"/>
        <w:rPr>
          <w:rStyle w:val="FootnoteReference"/>
          <w:rFonts w:eastAsiaTheme="minorEastAsia" w:cstheme="minorBidi"/>
          <w:lang w:val="en-US" w:eastAsia="en-US"/>
        </w:rPr>
      </w:pPr>
      <w:r>
        <w:rPr>
          <w:noProof/>
        </w:rPr>
        <mc:AlternateContent>
          <mc:Choice Requires="wps">
            <w:drawing>
              <wp:anchor distT="0" distB="0" distL="114300" distR="114300" simplePos="0" relativeHeight="251656704" behindDoc="0" locked="0" layoutInCell="1" allowOverlap="1">
                <wp:simplePos x="0" y="0"/>
                <wp:positionH relativeFrom="column">
                  <wp:posOffset>2363470</wp:posOffset>
                </wp:positionH>
                <wp:positionV relativeFrom="paragraph">
                  <wp:posOffset>-45085</wp:posOffset>
                </wp:positionV>
                <wp:extent cx="3371215" cy="151955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1519555"/>
                        </a:xfrm>
                        <a:prstGeom prst="rect">
                          <a:avLst/>
                        </a:prstGeom>
                        <a:noFill/>
                        <a:ln w="6350">
                          <a:noFill/>
                        </a:ln>
                        <a:effectLst/>
                      </wps:spPr>
                      <wps:txbx>
                        <w:txbxContent>
                          <w:p w:rsidR="00972E04" w:rsidRDefault="00972E04" w:rsidP="00FD01B5">
                            <w:pPr>
                              <w:pStyle w:val="MainTitle"/>
                            </w:pPr>
                            <w:r>
                              <w:t xml:space="preserve">Value of a justice reinvestment approach  </w:t>
                            </w:r>
                          </w:p>
                          <w:p w:rsidR="00972E04" w:rsidRDefault="00972E04" w:rsidP="00FD01B5">
                            <w:pPr>
                              <w:pStyle w:val="Mai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6.1pt;margin-top:-3.55pt;width:265.45pt;height:1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" filled="f" stroked="f" strokeweight=".5pt">
                <v:path arrowok="t"/>
                <v:textbox>
                  <w:txbxContent>
                    <w:p w:rsidR="005475AD" w:rsidRDefault="005475AD" w:rsidP="00FD01B5">
                      <w:pPr>
                        <w:pStyle w:val="MainTitle"/>
                      </w:pPr>
                      <w:r>
                        <w:t xml:space="preserve">Value of a justice reinvestment approach  </w:t>
                      </w:r>
                    </w:p>
                    <w:p w:rsidR="005475AD" w:rsidRDefault="005475AD" w:rsidP="00FD01B5">
                      <w:pPr>
                        <w:pStyle w:val="MainTitle"/>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1128395</wp:posOffset>
                </wp:positionH>
                <wp:positionV relativeFrom="paragraph">
                  <wp:posOffset>1454785</wp:posOffset>
                </wp:positionV>
                <wp:extent cx="4606290" cy="8197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819785"/>
                        </a:xfrm>
                        <a:prstGeom prst="rect">
                          <a:avLst/>
                        </a:prstGeom>
                        <a:noFill/>
                        <a:ln w="6350">
                          <a:noFill/>
                        </a:ln>
                        <a:effectLst/>
                      </wps:spPr>
                      <wps:txbx>
                        <w:txbxContent>
                          <w:p w:rsidR="00972E04" w:rsidRPr="00B74219" w:rsidRDefault="00972E04" w:rsidP="00A11307">
                            <w:pPr>
                              <w:pStyle w:val="Subtitle"/>
                            </w:pPr>
                            <w:bookmarkStart w:id="1" w:name="_Toc349127169"/>
                            <w:r w:rsidRPr="002863D7">
                              <w:t>Australian Human Rights Commission Submission to the</w:t>
                            </w:r>
                            <w:r>
                              <w:t xml:space="preserve"> legal and Constitutional affairs Committee</w:t>
                            </w:r>
                            <w:bookmarkEnd w:id="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88.85pt;margin-top:114.55pt;width:362.7pt;height:6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" filled="f" stroked="f" strokeweight=".5pt">
                <v:path arrowok="t"/>
                <v:textbox>
                  <w:txbxContent>
                    <w:p w:rsidR="005475AD" w:rsidRPr="00B74219" w:rsidRDefault="005475AD" w:rsidP="00A11307">
                      <w:pPr>
                        <w:pStyle w:val="Subtitle"/>
                      </w:pPr>
                      <w:bookmarkStart w:id="1" w:name="_Toc349127169"/>
                      <w:r w:rsidRPr="002863D7">
                        <w:t>Australian Human Rights Commission Submission to the</w:t>
                      </w:r>
                      <w:r>
                        <w:t xml:space="preserve"> legal and Constitutional affairs Committee</w:t>
                      </w:r>
                      <w:bookmarkEnd w:id="1"/>
                      <w:r>
                        <w:t xml:space="preserve"> </w:t>
                      </w:r>
                    </w:p>
                  </w:txbxContent>
                </v:textbox>
              </v:shape>
            </w:pict>
          </mc:Fallback>
        </mc:AlternateContent>
      </w:r>
    </w:p>
    <w:p w:rsidR="00591951" w:rsidRPr="00827DE2" w:rsidRDefault="003458EB" w:rsidP="00591951">
      <w:pPr>
        <w:pStyle w:val="MainTitle"/>
        <w:rPr>
          <w:sz w:val="44"/>
          <w:szCs w:val="44"/>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1981200</wp:posOffset>
                </wp:positionH>
                <wp:positionV relativeFrom="paragraph">
                  <wp:posOffset>299720</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rsidR="00972E04" w:rsidRPr="00B74219" w:rsidRDefault="007370DD" w:rsidP="002863D7">
                            <w:pPr>
                              <w:pStyle w:val="Date"/>
                            </w:pPr>
                            <w:r>
                              <w:t xml:space="preserve">13 March </w:t>
                            </w:r>
                            <w:r w:rsidR="00972E04">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56pt;margin-top:23.6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f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" filled="f" stroked="f" strokeweight=".5pt">
                <v:path arrowok="t"/>
                <v:textbox>
                  <w:txbxContent>
                    <w:p w:rsidR="00972E04" w:rsidRPr="00B74219" w:rsidRDefault="007370DD" w:rsidP="002863D7">
                      <w:pPr>
                        <w:pStyle w:val="Date"/>
                      </w:pPr>
                      <w:r>
                        <w:t xml:space="preserve">13 March </w:t>
                      </w:r>
                      <w:r w:rsidR="00972E04">
                        <w:t>2013</w:t>
                      </w:r>
                    </w:p>
                  </w:txbxContent>
                </v:textbox>
              </v:shape>
            </w:pict>
          </mc:Fallback>
        </mc:AlternateContent>
      </w:r>
    </w:p>
    <w:p w:rsidR="00B924E6" w:rsidRDefault="00B924E6" w:rsidP="00E26B28">
      <w:pPr>
        <w:sectPr w:rsidR="00B924E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8" w:right="1700" w:bottom="1134" w:left="1418" w:header="277" w:footer="415" w:gutter="0"/>
          <w:cols w:space="708"/>
          <w:titlePg/>
          <w:docGrid w:linePitch="360"/>
        </w:sectPr>
      </w:pPr>
      <w:bookmarkStart w:id="2" w:name="_Toc209316062"/>
      <w:bookmarkEnd w:id="2"/>
    </w:p>
    <w:p w:rsidR="00B63D24" w:rsidRPr="00907336" w:rsidRDefault="00B63D24" w:rsidP="00B63D24">
      <w:pPr>
        <w:rPr>
          <w:b/>
          <w:sz w:val="28"/>
          <w:szCs w:val="28"/>
        </w:rPr>
      </w:pPr>
      <w:bookmarkStart w:id="3" w:name="_Toc207761829"/>
      <w:r w:rsidRPr="00907336">
        <w:rPr>
          <w:b/>
          <w:sz w:val="28"/>
          <w:szCs w:val="28"/>
        </w:rPr>
        <w:lastRenderedPageBreak/>
        <w:t>Table of Contents</w:t>
      </w:r>
      <w:bookmarkEnd w:id="3"/>
    </w:p>
    <w:p w:rsidR="00650B4F" w:rsidRDefault="00B11F07">
      <w:pPr>
        <w:pStyle w:val="TOC2"/>
        <w:rPr>
          <w:rFonts w:asciiTheme="minorHAnsi" w:eastAsiaTheme="minorEastAsia" w:hAnsiTheme="minorHAnsi" w:cstheme="minorBidi"/>
          <w:b w:val="0"/>
          <w:i w:val="0"/>
          <w:sz w:val="22"/>
          <w:szCs w:val="22"/>
        </w:rPr>
      </w:pPr>
      <w:r>
        <w:fldChar w:fldCharType="begin"/>
      </w:r>
      <w:r w:rsidR="00B63D24">
        <w:instrText xml:space="preserve"> TOC \o "1-4" \h \z \u </w:instrText>
      </w:r>
      <w:r>
        <w:fldChar w:fldCharType="separate"/>
      </w:r>
      <w:hyperlink r:id="rId15" w:anchor="_Toc349127169" w:history="1">
        <w:r w:rsidR="00650B4F" w:rsidRPr="00914A63">
          <w:rPr>
            <w:rStyle w:val="Hyperlink"/>
          </w:rPr>
          <w:t>Australian Human Rights Commission Submission to the legal and Constitutional affairs Committee</w:t>
        </w:r>
        <w:r w:rsidR="00650B4F">
          <w:rPr>
            <w:webHidden/>
          </w:rPr>
          <w:tab/>
        </w:r>
        <w:r w:rsidR="00650B4F">
          <w:rPr>
            <w:webHidden/>
          </w:rPr>
          <w:fldChar w:fldCharType="begin"/>
        </w:r>
        <w:r w:rsidR="00650B4F">
          <w:rPr>
            <w:webHidden/>
          </w:rPr>
          <w:instrText xml:space="preserve"> PAGEREF _Toc349127169 \h </w:instrText>
        </w:r>
        <w:r w:rsidR="00650B4F">
          <w:rPr>
            <w:webHidden/>
          </w:rPr>
        </w:r>
        <w:r w:rsidR="00650B4F">
          <w:rPr>
            <w:webHidden/>
          </w:rPr>
          <w:fldChar w:fldCharType="separate"/>
        </w:r>
        <w:r w:rsidR="00D31DBF">
          <w:rPr>
            <w:webHidden/>
          </w:rPr>
          <w:t>1</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0" w:history="1">
        <w:r w:rsidR="00650B4F" w:rsidRPr="00914A63">
          <w:rPr>
            <w:rStyle w:val="Hyperlink"/>
          </w:rPr>
          <w:t>1</w:t>
        </w:r>
        <w:r w:rsidR="00650B4F">
          <w:rPr>
            <w:rFonts w:asciiTheme="minorHAnsi" w:eastAsiaTheme="minorEastAsia" w:hAnsiTheme="minorHAnsi" w:cstheme="minorBidi"/>
            <w:b w:val="0"/>
            <w:szCs w:val="22"/>
          </w:rPr>
          <w:tab/>
        </w:r>
        <w:r w:rsidR="00650B4F" w:rsidRPr="00914A63">
          <w:rPr>
            <w:rStyle w:val="Hyperlink"/>
          </w:rPr>
          <w:t>Introduction</w:t>
        </w:r>
        <w:r w:rsidR="00650B4F">
          <w:rPr>
            <w:webHidden/>
          </w:rPr>
          <w:tab/>
        </w:r>
        <w:r w:rsidR="00650B4F">
          <w:rPr>
            <w:webHidden/>
          </w:rPr>
          <w:fldChar w:fldCharType="begin"/>
        </w:r>
        <w:r w:rsidR="00650B4F">
          <w:rPr>
            <w:webHidden/>
          </w:rPr>
          <w:instrText xml:space="preserve"> PAGEREF _Toc349127170 \h </w:instrText>
        </w:r>
        <w:r w:rsidR="00650B4F">
          <w:rPr>
            <w:webHidden/>
          </w:rPr>
        </w:r>
        <w:r w:rsidR="00650B4F">
          <w:rPr>
            <w:webHidden/>
          </w:rPr>
          <w:fldChar w:fldCharType="separate"/>
        </w:r>
        <w:r w:rsidR="00D31DBF">
          <w:rPr>
            <w:webHidden/>
          </w:rPr>
          <w:t>3</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1" w:history="1">
        <w:r w:rsidR="00650B4F" w:rsidRPr="00914A63">
          <w:rPr>
            <w:rStyle w:val="Hyperlink"/>
          </w:rPr>
          <w:t>2</w:t>
        </w:r>
        <w:r w:rsidR="00650B4F">
          <w:rPr>
            <w:rFonts w:asciiTheme="minorHAnsi" w:eastAsiaTheme="minorEastAsia" w:hAnsiTheme="minorHAnsi" w:cstheme="minorBidi"/>
            <w:b w:val="0"/>
            <w:szCs w:val="22"/>
          </w:rPr>
          <w:tab/>
        </w:r>
        <w:r w:rsidR="00650B4F" w:rsidRPr="00914A63">
          <w:rPr>
            <w:rStyle w:val="Hyperlink"/>
          </w:rPr>
          <w:t>Summary</w:t>
        </w:r>
        <w:r w:rsidR="00650B4F">
          <w:rPr>
            <w:webHidden/>
          </w:rPr>
          <w:tab/>
        </w:r>
        <w:r w:rsidR="00650B4F">
          <w:rPr>
            <w:webHidden/>
          </w:rPr>
          <w:fldChar w:fldCharType="begin"/>
        </w:r>
        <w:r w:rsidR="00650B4F">
          <w:rPr>
            <w:webHidden/>
          </w:rPr>
          <w:instrText xml:space="preserve"> PAGEREF _Toc349127171 \h </w:instrText>
        </w:r>
        <w:r w:rsidR="00650B4F">
          <w:rPr>
            <w:webHidden/>
          </w:rPr>
        </w:r>
        <w:r w:rsidR="00650B4F">
          <w:rPr>
            <w:webHidden/>
          </w:rPr>
          <w:fldChar w:fldCharType="separate"/>
        </w:r>
        <w:r w:rsidR="00D31DBF">
          <w:rPr>
            <w:webHidden/>
          </w:rPr>
          <w:t>3</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2" w:history="1">
        <w:r w:rsidR="00650B4F" w:rsidRPr="00914A63">
          <w:rPr>
            <w:rStyle w:val="Hyperlink"/>
          </w:rPr>
          <w:t>3</w:t>
        </w:r>
        <w:r w:rsidR="00650B4F">
          <w:rPr>
            <w:rFonts w:asciiTheme="minorHAnsi" w:eastAsiaTheme="minorEastAsia" w:hAnsiTheme="minorHAnsi" w:cstheme="minorBidi"/>
            <w:b w:val="0"/>
            <w:szCs w:val="22"/>
          </w:rPr>
          <w:tab/>
        </w:r>
        <w:r w:rsidR="00650B4F" w:rsidRPr="00914A63">
          <w:rPr>
            <w:rStyle w:val="Hyperlink"/>
          </w:rPr>
          <w:t>Recommendations</w:t>
        </w:r>
        <w:r w:rsidR="00650B4F">
          <w:rPr>
            <w:webHidden/>
          </w:rPr>
          <w:tab/>
        </w:r>
        <w:r w:rsidR="00650B4F">
          <w:rPr>
            <w:webHidden/>
          </w:rPr>
          <w:fldChar w:fldCharType="begin"/>
        </w:r>
        <w:r w:rsidR="00650B4F">
          <w:rPr>
            <w:webHidden/>
          </w:rPr>
          <w:instrText xml:space="preserve"> PAGEREF _Toc349127172 \h </w:instrText>
        </w:r>
        <w:r w:rsidR="00650B4F">
          <w:rPr>
            <w:webHidden/>
          </w:rPr>
        </w:r>
        <w:r w:rsidR="00650B4F">
          <w:rPr>
            <w:webHidden/>
          </w:rPr>
          <w:fldChar w:fldCharType="separate"/>
        </w:r>
        <w:r w:rsidR="00D31DBF">
          <w:rPr>
            <w:webHidden/>
          </w:rPr>
          <w:t>4</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3" w:history="1">
        <w:r w:rsidR="00650B4F" w:rsidRPr="00914A63">
          <w:rPr>
            <w:rStyle w:val="Hyperlink"/>
          </w:rPr>
          <w:t>4</w:t>
        </w:r>
        <w:r w:rsidR="00650B4F">
          <w:rPr>
            <w:rFonts w:asciiTheme="minorHAnsi" w:eastAsiaTheme="minorEastAsia" w:hAnsiTheme="minorHAnsi" w:cstheme="minorBidi"/>
            <w:b w:val="0"/>
            <w:szCs w:val="22"/>
          </w:rPr>
          <w:tab/>
        </w:r>
        <w:r w:rsidR="00650B4F" w:rsidRPr="00914A63">
          <w:rPr>
            <w:rStyle w:val="Hyperlink"/>
          </w:rPr>
          <w:t>What is justice reinvestment?</w:t>
        </w:r>
        <w:r w:rsidR="00650B4F">
          <w:rPr>
            <w:webHidden/>
          </w:rPr>
          <w:tab/>
        </w:r>
        <w:r w:rsidR="00650B4F">
          <w:rPr>
            <w:webHidden/>
          </w:rPr>
          <w:fldChar w:fldCharType="begin"/>
        </w:r>
        <w:r w:rsidR="00650B4F">
          <w:rPr>
            <w:webHidden/>
          </w:rPr>
          <w:instrText xml:space="preserve"> PAGEREF _Toc349127173 \h </w:instrText>
        </w:r>
        <w:r w:rsidR="00650B4F">
          <w:rPr>
            <w:webHidden/>
          </w:rPr>
        </w:r>
        <w:r w:rsidR="00650B4F">
          <w:rPr>
            <w:webHidden/>
          </w:rPr>
          <w:fldChar w:fldCharType="separate"/>
        </w:r>
        <w:r w:rsidR="00D31DBF">
          <w:rPr>
            <w:webHidden/>
          </w:rPr>
          <w:t>4</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4" w:history="1">
        <w:r w:rsidR="00650B4F" w:rsidRPr="00914A63">
          <w:rPr>
            <w:rStyle w:val="Hyperlink"/>
          </w:rPr>
          <w:t>5</w:t>
        </w:r>
        <w:r w:rsidR="00650B4F">
          <w:rPr>
            <w:rFonts w:asciiTheme="minorHAnsi" w:eastAsiaTheme="minorEastAsia" w:hAnsiTheme="minorHAnsi" w:cstheme="minorBidi"/>
            <w:b w:val="0"/>
            <w:szCs w:val="22"/>
          </w:rPr>
          <w:tab/>
        </w:r>
        <w:r w:rsidR="00650B4F" w:rsidRPr="00914A63">
          <w:rPr>
            <w:rStyle w:val="Hyperlink"/>
          </w:rPr>
          <w:t>The need for justice reinvestment in Australia</w:t>
        </w:r>
        <w:r w:rsidR="00650B4F">
          <w:rPr>
            <w:webHidden/>
          </w:rPr>
          <w:tab/>
        </w:r>
        <w:r w:rsidR="00650B4F">
          <w:rPr>
            <w:webHidden/>
          </w:rPr>
          <w:fldChar w:fldCharType="begin"/>
        </w:r>
        <w:r w:rsidR="00650B4F">
          <w:rPr>
            <w:webHidden/>
          </w:rPr>
          <w:instrText xml:space="preserve"> PAGEREF _Toc349127174 \h </w:instrText>
        </w:r>
        <w:r w:rsidR="00650B4F">
          <w:rPr>
            <w:webHidden/>
          </w:rPr>
        </w:r>
        <w:r w:rsidR="00650B4F">
          <w:rPr>
            <w:webHidden/>
          </w:rPr>
          <w:fldChar w:fldCharType="separate"/>
        </w:r>
        <w:r w:rsidR="00D31DBF">
          <w:rPr>
            <w:webHidden/>
          </w:rPr>
          <w:t>5</w:t>
        </w:r>
        <w:r w:rsidR="00650B4F">
          <w:rPr>
            <w:webHidden/>
          </w:rPr>
          <w:fldChar w:fldCharType="end"/>
        </w:r>
      </w:hyperlink>
    </w:p>
    <w:p w:rsidR="00650B4F" w:rsidRDefault="004E2D67">
      <w:pPr>
        <w:pStyle w:val="TOC2"/>
        <w:rPr>
          <w:rFonts w:asciiTheme="minorHAnsi" w:eastAsiaTheme="minorEastAsia" w:hAnsiTheme="minorHAnsi" w:cstheme="minorBidi"/>
          <w:b w:val="0"/>
          <w:i w:val="0"/>
          <w:sz w:val="22"/>
          <w:szCs w:val="22"/>
        </w:rPr>
      </w:pPr>
      <w:hyperlink w:anchor="_Toc349127175" w:history="1">
        <w:r w:rsidR="00650B4F" w:rsidRPr="00914A63">
          <w:rPr>
            <w:rStyle w:val="Hyperlink"/>
          </w:rPr>
          <w:t>5.3</w:t>
        </w:r>
        <w:r w:rsidR="00650B4F">
          <w:rPr>
            <w:rFonts w:asciiTheme="minorHAnsi" w:eastAsiaTheme="minorEastAsia" w:hAnsiTheme="minorHAnsi" w:cstheme="minorBidi"/>
            <w:b w:val="0"/>
            <w:i w:val="0"/>
            <w:sz w:val="22"/>
            <w:szCs w:val="22"/>
          </w:rPr>
          <w:tab/>
        </w:r>
        <w:r w:rsidR="00650B4F" w:rsidRPr="00914A63">
          <w:rPr>
            <w:rStyle w:val="Hyperlink"/>
          </w:rPr>
          <w:t>Economic cost of imprisonment</w:t>
        </w:r>
        <w:r w:rsidR="00650B4F">
          <w:rPr>
            <w:webHidden/>
          </w:rPr>
          <w:tab/>
        </w:r>
        <w:r w:rsidR="00650B4F">
          <w:rPr>
            <w:webHidden/>
          </w:rPr>
          <w:fldChar w:fldCharType="begin"/>
        </w:r>
        <w:r w:rsidR="00650B4F">
          <w:rPr>
            <w:webHidden/>
          </w:rPr>
          <w:instrText xml:space="preserve"> PAGEREF _Toc349127175 \h </w:instrText>
        </w:r>
        <w:r w:rsidR="00650B4F">
          <w:rPr>
            <w:webHidden/>
          </w:rPr>
        </w:r>
        <w:r w:rsidR="00650B4F">
          <w:rPr>
            <w:webHidden/>
          </w:rPr>
          <w:fldChar w:fldCharType="separate"/>
        </w:r>
        <w:r w:rsidR="00D31DBF">
          <w:rPr>
            <w:webHidden/>
          </w:rPr>
          <w:t>6</w:t>
        </w:r>
        <w:r w:rsidR="00650B4F">
          <w:rPr>
            <w:webHidden/>
          </w:rPr>
          <w:fldChar w:fldCharType="end"/>
        </w:r>
      </w:hyperlink>
    </w:p>
    <w:p w:rsidR="00650B4F" w:rsidRDefault="004E2D67">
      <w:pPr>
        <w:pStyle w:val="TOC2"/>
        <w:rPr>
          <w:rFonts w:asciiTheme="minorHAnsi" w:eastAsiaTheme="minorEastAsia" w:hAnsiTheme="minorHAnsi" w:cstheme="minorBidi"/>
          <w:b w:val="0"/>
          <w:i w:val="0"/>
          <w:sz w:val="22"/>
          <w:szCs w:val="22"/>
        </w:rPr>
      </w:pPr>
      <w:hyperlink w:anchor="_Toc349127176" w:history="1">
        <w:r w:rsidR="00650B4F" w:rsidRPr="00914A63">
          <w:rPr>
            <w:rStyle w:val="Hyperlink"/>
          </w:rPr>
          <w:t>5.4</w:t>
        </w:r>
        <w:r w:rsidR="00650B4F">
          <w:rPr>
            <w:rFonts w:asciiTheme="minorHAnsi" w:eastAsiaTheme="minorEastAsia" w:hAnsiTheme="minorHAnsi" w:cstheme="minorBidi"/>
            <w:b w:val="0"/>
            <w:i w:val="0"/>
            <w:sz w:val="22"/>
            <w:szCs w:val="22"/>
          </w:rPr>
          <w:tab/>
        </w:r>
        <w:r w:rsidR="00650B4F" w:rsidRPr="00914A63">
          <w:rPr>
            <w:rStyle w:val="Hyperlink"/>
          </w:rPr>
          <w:t>Community cost of imprisonment</w:t>
        </w:r>
        <w:r w:rsidR="00650B4F">
          <w:rPr>
            <w:webHidden/>
          </w:rPr>
          <w:tab/>
        </w:r>
        <w:r w:rsidR="00650B4F">
          <w:rPr>
            <w:webHidden/>
          </w:rPr>
          <w:fldChar w:fldCharType="begin"/>
        </w:r>
        <w:r w:rsidR="00650B4F">
          <w:rPr>
            <w:webHidden/>
          </w:rPr>
          <w:instrText xml:space="preserve"> PAGEREF _Toc349127176 \h </w:instrText>
        </w:r>
        <w:r w:rsidR="00650B4F">
          <w:rPr>
            <w:webHidden/>
          </w:rPr>
        </w:r>
        <w:r w:rsidR="00650B4F">
          <w:rPr>
            <w:webHidden/>
          </w:rPr>
          <w:fldChar w:fldCharType="separate"/>
        </w:r>
        <w:r w:rsidR="00D31DBF">
          <w:rPr>
            <w:webHidden/>
          </w:rPr>
          <w:t>7</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7" w:history="1">
        <w:r w:rsidR="00650B4F" w:rsidRPr="00914A63">
          <w:rPr>
            <w:rStyle w:val="Hyperlink"/>
          </w:rPr>
          <w:t>6</w:t>
        </w:r>
        <w:r w:rsidR="00650B4F">
          <w:rPr>
            <w:rFonts w:asciiTheme="minorHAnsi" w:eastAsiaTheme="minorEastAsia" w:hAnsiTheme="minorHAnsi" w:cstheme="minorBidi"/>
            <w:b w:val="0"/>
            <w:szCs w:val="22"/>
          </w:rPr>
          <w:tab/>
        </w:r>
        <w:r w:rsidR="00650B4F" w:rsidRPr="00914A63">
          <w:rPr>
            <w:rStyle w:val="Hyperlink"/>
          </w:rPr>
          <w:t>Support for justice reinvestment is Australia</w:t>
        </w:r>
        <w:r w:rsidR="00650B4F">
          <w:rPr>
            <w:webHidden/>
          </w:rPr>
          <w:tab/>
        </w:r>
        <w:r w:rsidR="00650B4F">
          <w:rPr>
            <w:webHidden/>
          </w:rPr>
          <w:fldChar w:fldCharType="begin"/>
        </w:r>
        <w:r w:rsidR="00650B4F">
          <w:rPr>
            <w:webHidden/>
          </w:rPr>
          <w:instrText xml:space="preserve"> PAGEREF _Toc349127177 \h </w:instrText>
        </w:r>
        <w:r w:rsidR="00650B4F">
          <w:rPr>
            <w:webHidden/>
          </w:rPr>
        </w:r>
        <w:r w:rsidR="00650B4F">
          <w:rPr>
            <w:webHidden/>
          </w:rPr>
          <w:fldChar w:fldCharType="separate"/>
        </w:r>
        <w:r w:rsidR="00D31DBF">
          <w:rPr>
            <w:webHidden/>
          </w:rPr>
          <w:t>8</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78" w:history="1">
        <w:r w:rsidR="00650B4F" w:rsidRPr="00914A63">
          <w:rPr>
            <w:rStyle w:val="Hyperlink"/>
          </w:rPr>
          <w:t>7</w:t>
        </w:r>
        <w:r w:rsidR="00650B4F">
          <w:rPr>
            <w:rFonts w:asciiTheme="minorHAnsi" w:eastAsiaTheme="minorEastAsia" w:hAnsiTheme="minorHAnsi" w:cstheme="minorBidi"/>
            <w:b w:val="0"/>
            <w:szCs w:val="22"/>
          </w:rPr>
          <w:tab/>
        </w:r>
        <w:r w:rsidR="00650B4F" w:rsidRPr="00914A63">
          <w:rPr>
            <w:rStyle w:val="Hyperlink"/>
          </w:rPr>
          <w:t>Australian applications of justice reinvestment</w:t>
        </w:r>
        <w:r w:rsidR="00650B4F">
          <w:rPr>
            <w:webHidden/>
          </w:rPr>
          <w:tab/>
        </w:r>
        <w:r w:rsidR="00650B4F">
          <w:rPr>
            <w:webHidden/>
          </w:rPr>
          <w:fldChar w:fldCharType="begin"/>
        </w:r>
        <w:r w:rsidR="00650B4F">
          <w:rPr>
            <w:webHidden/>
          </w:rPr>
          <w:instrText xml:space="preserve"> PAGEREF _Toc349127178 \h </w:instrText>
        </w:r>
        <w:r w:rsidR="00650B4F">
          <w:rPr>
            <w:webHidden/>
          </w:rPr>
        </w:r>
        <w:r w:rsidR="00650B4F">
          <w:rPr>
            <w:webHidden/>
          </w:rPr>
          <w:fldChar w:fldCharType="separate"/>
        </w:r>
        <w:r w:rsidR="00D31DBF">
          <w:rPr>
            <w:webHidden/>
          </w:rPr>
          <w:t>9</w:t>
        </w:r>
        <w:r w:rsidR="00650B4F">
          <w:rPr>
            <w:webHidden/>
          </w:rPr>
          <w:fldChar w:fldCharType="end"/>
        </w:r>
      </w:hyperlink>
    </w:p>
    <w:p w:rsidR="00650B4F" w:rsidRDefault="004E2D67">
      <w:pPr>
        <w:pStyle w:val="TOC2"/>
        <w:rPr>
          <w:rFonts w:asciiTheme="minorHAnsi" w:eastAsiaTheme="minorEastAsia" w:hAnsiTheme="minorHAnsi" w:cstheme="minorBidi"/>
          <w:b w:val="0"/>
          <w:i w:val="0"/>
          <w:sz w:val="22"/>
          <w:szCs w:val="22"/>
        </w:rPr>
      </w:pPr>
      <w:hyperlink w:anchor="_Toc349127179" w:history="1">
        <w:r w:rsidR="00650B4F" w:rsidRPr="00914A63">
          <w:rPr>
            <w:rStyle w:val="Hyperlink"/>
          </w:rPr>
          <w:t>7.1</w:t>
        </w:r>
        <w:r w:rsidR="00650B4F">
          <w:rPr>
            <w:rFonts w:asciiTheme="minorHAnsi" w:eastAsiaTheme="minorEastAsia" w:hAnsiTheme="minorHAnsi" w:cstheme="minorBidi"/>
            <w:b w:val="0"/>
            <w:i w:val="0"/>
            <w:sz w:val="22"/>
            <w:szCs w:val="22"/>
          </w:rPr>
          <w:tab/>
        </w:r>
        <w:r w:rsidR="00650B4F" w:rsidRPr="00914A63">
          <w:rPr>
            <w:rStyle w:val="Hyperlink"/>
          </w:rPr>
          <w:t>Aboriginal and Torres Strait communities</w:t>
        </w:r>
        <w:r w:rsidR="00650B4F">
          <w:rPr>
            <w:webHidden/>
          </w:rPr>
          <w:tab/>
        </w:r>
        <w:r w:rsidR="00650B4F">
          <w:rPr>
            <w:webHidden/>
          </w:rPr>
          <w:fldChar w:fldCharType="begin"/>
        </w:r>
        <w:r w:rsidR="00650B4F">
          <w:rPr>
            <w:webHidden/>
          </w:rPr>
          <w:instrText xml:space="preserve"> PAGEREF _Toc349127179 \h </w:instrText>
        </w:r>
        <w:r w:rsidR="00650B4F">
          <w:rPr>
            <w:webHidden/>
          </w:rPr>
        </w:r>
        <w:r w:rsidR="00650B4F">
          <w:rPr>
            <w:webHidden/>
          </w:rPr>
          <w:fldChar w:fldCharType="separate"/>
        </w:r>
        <w:r w:rsidR="00D31DBF">
          <w:rPr>
            <w:webHidden/>
          </w:rPr>
          <w:t>9</w:t>
        </w:r>
        <w:r w:rsidR="00650B4F">
          <w:rPr>
            <w:webHidden/>
          </w:rPr>
          <w:fldChar w:fldCharType="end"/>
        </w:r>
      </w:hyperlink>
    </w:p>
    <w:p w:rsidR="00650B4F" w:rsidRDefault="004E2D67">
      <w:pPr>
        <w:pStyle w:val="TOC2"/>
        <w:rPr>
          <w:rFonts w:asciiTheme="minorHAnsi" w:eastAsiaTheme="minorEastAsia" w:hAnsiTheme="minorHAnsi" w:cstheme="minorBidi"/>
          <w:b w:val="0"/>
          <w:i w:val="0"/>
          <w:sz w:val="22"/>
          <w:szCs w:val="22"/>
        </w:rPr>
      </w:pPr>
      <w:hyperlink w:anchor="_Toc349127180" w:history="1">
        <w:r w:rsidR="00650B4F" w:rsidRPr="00914A63">
          <w:rPr>
            <w:rStyle w:val="Hyperlink"/>
          </w:rPr>
          <w:t>7.2</w:t>
        </w:r>
        <w:r w:rsidR="00650B4F">
          <w:rPr>
            <w:rFonts w:asciiTheme="minorHAnsi" w:eastAsiaTheme="minorEastAsia" w:hAnsiTheme="minorHAnsi" w:cstheme="minorBidi"/>
            <w:b w:val="0"/>
            <w:i w:val="0"/>
            <w:sz w:val="22"/>
            <w:szCs w:val="22"/>
          </w:rPr>
          <w:tab/>
        </w:r>
        <w:r w:rsidR="00650B4F" w:rsidRPr="00914A63">
          <w:rPr>
            <w:rStyle w:val="Hyperlink"/>
          </w:rPr>
          <w:t>Vulnerable groups</w:t>
        </w:r>
        <w:r w:rsidR="00650B4F">
          <w:rPr>
            <w:webHidden/>
          </w:rPr>
          <w:tab/>
        </w:r>
        <w:r w:rsidR="00650B4F">
          <w:rPr>
            <w:webHidden/>
          </w:rPr>
          <w:fldChar w:fldCharType="begin"/>
        </w:r>
        <w:r w:rsidR="00650B4F">
          <w:rPr>
            <w:webHidden/>
          </w:rPr>
          <w:instrText xml:space="preserve"> PAGEREF _Toc349127180 \h </w:instrText>
        </w:r>
        <w:r w:rsidR="00650B4F">
          <w:rPr>
            <w:webHidden/>
          </w:rPr>
        </w:r>
        <w:r w:rsidR="00650B4F">
          <w:rPr>
            <w:webHidden/>
          </w:rPr>
          <w:fldChar w:fldCharType="separate"/>
        </w:r>
        <w:r w:rsidR="00D31DBF">
          <w:rPr>
            <w:webHidden/>
          </w:rPr>
          <w:t>10</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81" w:history="1">
        <w:r w:rsidR="00650B4F" w:rsidRPr="00914A63">
          <w:rPr>
            <w:rStyle w:val="Hyperlink"/>
          </w:rPr>
          <w:t>8</w:t>
        </w:r>
        <w:r w:rsidR="00650B4F">
          <w:rPr>
            <w:rFonts w:asciiTheme="minorHAnsi" w:eastAsiaTheme="minorEastAsia" w:hAnsiTheme="minorHAnsi" w:cstheme="minorBidi"/>
            <w:b w:val="0"/>
            <w:szCs w:val="22"/>
          </w:rPr>
          <w:tab/>
        </w:r>
        <w:r w:rsidR="00650B4F" w:rsidRPr="00914A63">
          <w:rPr>
            <w:rStyle w:val="Hyperlink"/>
          </w:rPr>
          <w:t>The role of the Australian Government in justice reinvestment</w:t>
        </w:r>
        <w:r w:rsidR="00650B4F">
          <w:rPr>
            <w:webHidden/>
          </w:rPr>
          <w:tab/>
        </w:r>
        <w:r w:rsidR="00650B4F">
          <w:rPr>
            <w:webHidden/>
          </w:rPr>
          <w:fldChar w:fldCharType="begin"/>
        </w:r>
        <w:r w:rsidR="00650B4F">
          <w:rPr>
            <w:webHidden/>
          </w:rPr>
          <w:instrText xml:space="preserve"> PAGEREF _Toc349127181 \h </w:instrText>
        </w:r>
        <w:r w:rsidR="00650B4F">
          <w:rPr>
            <w:webHidden/>
          </w:rPr>
        </w:r>
        <w:r w:rsidR="00650B4F">
          <w:rPr>
            <w:webHidden/>
          </w:rPr>
          <w:fldChar w:fldCharType="separate"/>
        </w:r>
        <w:r w:rsidR="00D31DBF">
          <w:rPr>
            <w:webHidden/>
          </w:rPr>
          <w:t>10</w:t>
        </w:r>
        <w:r w:rsidR="00650B4F">
          <w:rPr>
            <w:webHidden/>
          </w:rPr>
          <w:fldChar w:fldCharType="end"/>
        </w:r>
      </w:hyperlink>
    </w:p>
    <w:p w:rsidR="00650B4F" w:rsidRDefault="004E2D67">
      <w:pPr>
        <w:pStyle w:val="TOC1"/>
        <w:rPr>
          <w:rFonts w:asciiTheme="minorHAnsi" w:eastAsiaTheme="minorEastAsia" w:hAnsiTheme="minorHAnsi" w:cstheme="minorBidi"/>
          <w:b w:val="0"/>
          <w:szCs w:val="22"/>
        </w:rPr>
      </w:pPr>
      <w:hyperlink w:anchor="_Toc349127182" w:history="1">
        <w:r w:rsidR="00650B4F" w:rsidRPr="00914A63">
          <w:rPr>
            <w:rStyle w:val="Hyperlink"/>
          </w:rPr>
          <w:t>Appendix A: Chapter 2- Justice Reinvestment- a new solution to the problem of Indigenous over-representation in the criminal justice system</w:t>
        </w:r>
        <w:r w:rsidR="00650B4F">
          <w:rPr>
            <w:webHidden/>
          </w:rPr>
          <w:tab/>
        </w:r>
      </w:hyperlink>
    </w:p>
    <w:p w:rsidR="00B34946" w:rsidRDefault="00B11F07" w:rsidP="00B63D24">
      <w:r>
        <w:fldChar w:fldCharType="end"/>
      </w:r>
    </w:p>
    <w:p w:rsidR="00B34946" w:rsidRDefault="00B34946">
      <w:pPr>
        <w:spacing w:before="0" w:after="0"/>
      </w:pPr>
      <w:r>
        <w:br w:type="page"/>
      </w:r>
    </w:p>
    <w:p w:rsidR="00B34946" w:rsidRPr="001E1304" w:rsidRDefault="00B34946" w:rsidP="00B34946">
      <w:pPr>
        <w:pStyle w:val="Heading1"/>
        <w:numPr>
          <w:ilvl w:val="0"/>
          <w:numId w:val="37"/>
        </w:numPr>
      </w:pPr>
      <w:bookmarkStart w:id="4" w:name="_Toc207761830"/>
      <w:bookmarkStart w:id="5" w:name="_Toc209578266"/>
      <w:bookmarkStart w:id="6" w:name="_Toc349127170"/>
      <w:r w:rsidRPr="001E1304">
        <w:lastRenderedPageBreak/>
        <w:t>Introduction</w:t>
      </w:r>
      <w:bookmarkEnd w:id="4"/>
      <w:bookmarkEnd w:id="5"/>
      <w:bookmarkEnd w:id="6"/>
      <w:r w:rsidRPr="001E1304">
        <w:t xml:space="preserve"> </w:t>
      </w:r>
    </w:p>
    <w:p w:rsidR="00122376" w:rsidRDefault="00B34946" w:rsidP="00B34946">
      <w:pPr>
        <w:pStyle w:val="SubmissionNormal"/>
      </w:pPr>
      <w:r w:rsidRPr="00C5786C">
        <w:t>The Aust</w:t>
      </w:r>
      <w:r w:rsidR="00074319">
        <w:t>ralian Human Rights Commission</w:t>
      </w:r>
      <w:r w:rsidRPr="00C5786C">
        <w:t xml:space="preserve"> makes this submission to the </w:t>
      </w:r>
      <w:r w:rsidR="00122376">
        <w:t xml:space="preserve">Legal and Constitutional Affairs Committee </w:t>
      </w:r>
      <w:r w:rsidRPr="00C5786C">
        <w:t xml:space="preserve">in its </w:t>
      </w:r>
      <w:r w:rsidR="0030328E">
        <w:t>I</w:t>
      </w:r>
      <w:r w:rsidR="00122376">
        <w:t>nquiry into the value of a justice reinvestment approach to criminal justice in Australia</w:t>
      </w:r>
      <w:r w:rsidRPr="008A0C37">
        <w:t>.</w:t>
      </w:r>
    </w:p>
    <w:p w:rsidR="00342917" w:rsidRDefault="00122376" w:rsidP="00A80368">
      <w:pPr>
        <w:pStyle w:val="SubmissionNormal"/>
      </w:pPr>
      <w:r>
        <w:t xml:space="preserve">Dr Tom </w:t>
      </w:r>
      <w:proofErr w:type="spellStart"/>
      <w:r>
        <w:t>Calma</w:t>
      </w:r>
      <w:proofErr w:type="spellEnd"/>
      <w:r>
        <w:t>, the former Aboriginal and Torres Strait Islander Social Justice Commissioner, was one of the first proponents of ju</w:t>
      </w:r>
      <w:r w:rsidR="00F03C3A">
        <w:t xml:space="preserve">stice reinvestment in Australia, introducing the concept in the </w:t>
      </w:r>
      <w:r w:rsidR="00F03C3A">
        <w:rPr>
          <w:i/>
        </w:rPr>
        <w:t>Social Justice Report 2009.</w:t>
      </w:r>
      <w:r w:rsidR="00D36A7B">
        <w:rPr>
          <w:rStyle w:val="FootnoteReference"/>
        </w:rPr>
        <w:footnoteReference w:id="1"/>
      </w:r>
      <w:r w:rsidR="00D36A7B">
        <w:t xml:space="preserve"> </w:t>
      </w:r>
      <w:r>
        <w:t xml:space="preserve">Since </w:t>
      </w:r>
      <w:r w:rsidR="00F5038B">
        <w:t>2009</w:t>
      </w:r>
      <w:r w:rsidR="00BA4DA0">
        <w:t xml:space="preserve">, advocacy for justice reinvestment </w:t>
      </w:r>
      <w:r>
        <w:t>has been b</w:t>
      </w:r>
      <w:r w:rsidR="009970D9">
        <w:t xml:space="preserve">uilding and a number of authoritative </w:t>
      </w:r>
      <w:r>
        <w:t>reports have made recommendations about justice reinvest</w:t>
      </w:r>
      <w:r w:rsidR="00A80368">
        <w:t>ment</w:t>
      </w:r>
      <w:r w:rsidR="00BA4DA0">
        <w:t>.</w:t>
      </w:r>
      <w:r w:rsidR="00D36A7B">
        <w:t xml:space="preserve"> </w:t>
      </w:r>
      <w:r w:rsidR="00BA4DA0">
        <w:t xml:space="preserve">However, </w:t>
      </w:r>
      <w:r>
        <w:t xml:space="preserve">we are still waiting for </w:t>
      </w:r>
      <w:r w:rsidR="001A6DC2">
        <w:t>governments to take</w:t>
      </w:r>
      <w:r w:rsidR="0030328E">
        <w:t xml:space="preserve"> action. It is hoped that this I</w:t>
      </w:r>
      <w:r w:rsidR="001A6DC2">
        <w:t>nquiry will provide further guidance and resolve in this regard.</w:t>
      </w:r>
    </w:p>
    <w:p w:rsidR="00BA4DA0" w:rsidRPr="0000396F" w:rsidRDefault="00342917" w:rsidP="00F5038B">
      <w:pPr>
        <w:pStyle w:val="SubmissionNormal"/>
      </w:pPr>
      <w:r w:rsidRPr="0000396F">
        <w:rPr>
          <w:rFonts w:cs="Arial"/>
          <w:color w:val="1A1A1A"/>
          <w:szCs w:val="32"/>
          <w:lang w:val="en-US"/>
        </w:rPr>
        <w:t>The Commission's submission will examine the applications for justice r</w:t>
      </w:r>
      <w:r w:rsidR="00D25C92" w:rsidRPr="0000396F">
        <w:rPr>
          <w:rFonts w:cs="Arial"/>
          <w:color w:val="1A1A1A"/>
          <w:szCs w:val="32"/>
          <w:lang w:val="en-US"/>
        </w:rPr>
        <w:t>einvestment in Australia, primarily in relation to Ab</w:t>
      </w:r>
      <w:r w:rsidRPr="0000396F">
        <w:rPr>
          <w:rFonts w:cs="Arial"/>
          <w:color w:val="1A1A1A"/>
          <w:szCs w:val="32"/>
          <w:lang w:val="en-US"/>
        </w:rPr>
        <w:t>original and Tor</w:t>
      </w:r>
      <w:r w:rsidR="00BA4DA0" w:rsidRPr="0000396F">
        <w:rPr>
          <w:rFonts w:cs="Arial"/>
          <w:color w:val="1A1A1A"/>
          <w:szCs w:val="32"/>
          <w:lang w:val="en-US"/>
        </w:rPr>
        <w:t>res Strait Islander communities</w:t>
      </w:r>
      <w:r w:rsidR="00CD23CC" w:rsidRPr="0000396F">
        <w:rPr>
          <w:rFonts w:cs="Arial"/>
          <w:color w:val="1A1A1A"/>
          <w:szCs w:val="32"/>
          <w:lang w:val="en-US"/>
        </w:rPr>
        <w:t>, although some cons</w:t>
      </w:r>
      <w:r w:rsidR="0000396F" w:rsidRPr="0000396F">
        <w:rPr>
          <w:rFonts w:cs="Arial"/>
          <w:color w:val="1A1A1A"/>
          <w:szCs w:val="32"/>
          <w:lang w:val="en-US"/>
        </w:rPr>
        <w:t>ideration will also be given to vulnerable</w:t>
      </w:r>
      <w:r w:rsidR="00BA4DA0" w:rsidRPr="0000396F">
        <w:rPr>
          <w:rFonts w:cs="Arial"/>
          <w:color w:val="1A1A1A"/>
          <w:szCs w:val="32"/>
          <w:lang w:val="en-US"/>
        </w:rPr>
        <w:t xml:space="preserve"> groups including</w:t>
      </w:r>
      <w:r w:rsidRPr="0000396F">
        <w:rPr>
          <w:rFonts w:cs="Arial"/>
          <w:color w:val="1A1A1A"/>
          <w:szCs w:val="32"/>
          <w:lang w:val="en-US"/>
        </w:rPr>
        <w:t xml:space="preserve"> juvenile offenders, and people with cogni</w:t>
      </w:r>
      <w:r w:rsidR="006E155D">
        <w:rPr>
          <w:rFonts w:cs="Arial"/>
          <w:color w:val="1A1A1A"/>
          <w:szCs w:val="32"/>
          <w:lang w:val="en-US"/>
        </w:rPr>
        <w:t xml:space="preserve">tive </w:t>
      </w:r>
      <w:r w:rsidR="004759C8">
        <w:rPr>
          <w:rFonts w:cs="Arial"/>
          <w:color w:val="1A1A1A"/>
          <w:szCs w:val="32"/>
          <w:lang w:val="en-US"/>
        </w:rPr>
        <w:t>impairment</w:t>
      </w:r>
      <w:r w:rsidR="006E155D">
        <w:rPr>
          <w:rFonts w:cs="Arial"/>
          <w:color w:val="1A1A1A"/>
          <w:szCs w:val="32"/>
          <w:lang w:val="en-US"/>
        </w:rPr>
        <w:t xml:space="preserve">, </w:t>
      </w:r>
      <w:r w:rsidR="004759C8">
        <w:rPr>
          <w:rFonts w:cs="Arial"/>
          <w:color w:val="1A1A1A"/>
          <w:szCs w:val="32"/>
          <w:lang w:val="en-US"/>
        </w:rPr>
        <w:t>people with psychosocial disabilit</w:t>
      </w:r>
      <w:r w:rsidR="00550E71">
        <w:rPr>
          <w:rFonts w:cs="Arial"/>
          <w:color w:val="1A1A1A"/>
          <w:szCs w:val="32"/>
          <w:lang w:val="en-US"/>
        </w:rPr>
        <w:t xml:space="preserve">y </w:t>
      </w:r>
      <w:r w:rsidRPr="0000396F">
        <w:rPr>
          <w:rFonts w:cs="Arial"/>
          <w:color w:val="1A1A1A"/>
          <w:szCs w:val="32"/>
          <w:lang w:val="en-US"/>
        </w:rPr>
        <w:t xml:space="preserve">and hearing </w:t>
      </w:r>
      <w:r w:rsidR="004759C8">
        <w:rPr>
          <w:rFonts w:cs="Arial"/>
          <w:color w:val="1A1A1A"/>
          <w:szCs w:val="32"/>
          <w:lang w:val="en-US"/>
        </w:rPr>
        <w:t>impairment</w:t>
      </w:r>
      <w:r w:rsidRPr="0000396F">
        <w:rPr>
          <w:rFonts w:cs="Arial"/>
          <w:color w:val="1A1A1A"/>
          <w:szCs w:val="32"/>
          <w:lang w:val="en-US"/>
        </w:rPr>
        <w:t xml:space="preserve">. </w:t>
      </w:r>
    </w:p>
    <w:p w:rsidR="00B34946" w:rsidRPr="0000396F" w:rsidRDefault="00342917" w:rsidP="00F5038B">
      <w:pPr>
        <w:pStyle w:val="SubmissionNormal"/>
      </w:pPr>
      <w:r w:rsidRPr="0000396F">
        <w:rPr>
          <w:rFonts w:cs="Arial"/>
          <w:color w:val="1A1A1A"/>
          <w:szCs w:val="32"/>
          <w:lang w:val="en-US"/>
        </w:rPr>
        <w:t>Given that justice issues are largely the re</w:t>
      </w:r>
      <w:r w:rsidR="00BA4DA0" w:rsidRPr="0000396F">
        <w:rPr>
          <w:rFonts w:cs="Arial"/>
          <w:color w:val="1A1A1A"/>
          <w:szCs w:val="32"/>
          <w:lang w:val="en-US"/>
        </w:rPr>
        <w:t>sponsibility</w:t>
      </w:r>
      <w:r w:rsidRPr="0000396F">
        <w:rPr>
          <w:rFonts w:cs="Arial"/>
          <w:color w:val="1A1A1A"/>
          <w:szCs w:val="32"/>
          <w:lang w:val="en-US"/>
        </w:rPr>
        <w:t xml:space="preserve"> of the states and terri</w:t>
      </w:r>
      <w:r w:rsidR="0000396F" w:rsidRPr="0000396F">
        <w:rPr>
          <w:rFonts w:cs="Arial"/>
          <w:color w:val="1A1A1A"/>
          <w:szCs w:val="32"/>
          <w:lang w:val="en-US"/>
        </w:rPr>
        <w:t>tories, the submission will</w:t>
      </w:r>
      <w:r w:rsidRPr="0000396F">
        <w:rPr>
          <w:rFonts w:cs="Arial"/>
          <w:color w:val="1A1A1A"/>
          <w:szCs w:val="32"/>
          <w:lang w:val="en-US"/>
        </w:rPr>
        <w:t xml:space="preserve"> consider ways for the </w:t>
      </w:r>
      <w:r w:rsidR="00666B74">
        <w:rPr>
          <w:rFonts w:cs="Arial"/>
          <w:color w:val="1A1A1A"/>
          <w:szCs w:val="32"/>
          <w:lang w:val="en-US"/>
        </w:rPr>
        <w:t>Australian Government</w:t>
      </w:r>
      <w:r w:rsidRPr="0000396F">
        <w:rPr>
          <w:rFonts w:cs="Arial"/>
          <w:color w:val="1A1A1A"/>
          <w:szCs w:val="32"/>
          <w:lang w:val="en-US"/>
        </w:rPr>
        <w:t xml:space="preserve"> to support and encourage justice reinvestment approaches through C</w:t>
      </w:r>
      <w:r w:rsidR="0030328E">
        <w:rPr>
          <w:rFonts w:cs="Arial"/>
          <w:color w:val="1A1A1A"/>
          <w:szCs w:val="32"/>
          <w:lang w:val="en-US"/>
        </w:rPr>
        <w:t xml:space="preserve">ouncil of </w:t>
      </w:r>
      <w:r w:rsidRPr="0000396F">
        <w:rPr>
          <w:rFonts w:cs="Arial"/>
          <w:color w:val="1A1A1A"/>
          <w:szCs w:val="32"/>
          <w:lang w:val="en-US"/>
        </w:rPr>
        <w:t>A</w:t>
      </w:r>
      <w:r w:rsidR="0030328E">
        <w:rPr>
          <w:rFonts w:cs="Arial"/>
          <w:color w:val="1A1A1A"/>
          <w:szCs w:val="32"/>
          <w:lang w:val="en-US"/>
        </w:rPr>
        <w:t xml:space="preserve">ustralian </w:t>
      </w:r>
      <w:r w:rsidRPr="0000396F">
        <w:rPr>
          <w:rFonts w:cs="Arial"/>
          <w:color w:val="1A1A1A"/>
          <w:szCs w:val="32"/>
          <w:lang w:val="en-US"/>
        </w:rPr>
        <w:t>G</w:t>
      </w:r>
      <w:r w:rsidR="0030328E">
        <w:rPr>
          <w:rFonts w:cs="Arial"/>
          <w:color w:val="1A1A1A"/>
          <w:szCs w:val="32"/>
          <w:lang w:val="en-US"/>
        </w:rPr>
        <w:t>overnments (COAG)</w:t>
      </w:r>
      <w:r w:rsidRPr="0000396F">
        <w:rPr>
          <w:rFonts w:cs="Arial"/>
          <w:color w:val="1A1A1A"/>
          <w:szCs w:val="32"/>
          <w:lang w:val="en-US"/>
        </w:rPr>
        <w:t xml:space="preserve"> me</w:t>
      </w:r>
      <w:r w:rsidR="0000396F" w:rsidRPr="0000396F">
        <w:rPr>
          <w:rFonts w:cs="Arial"/>
          <w:color w:val="1A1A1A"/>
          <w:szCs w:val="32"/>
          <w:lang w:val="en-US"/>
        </w:rPr>
        <w:t xml:space="preserve">chanisms. </w:t>
      </w:r>
    </w:p>
    <w:p w:rsidR="00B34946" w:rsidRPr="00DD425D" w:rsidRDefault="00B34946" w:rsidP="00B34946">
      <w:pPr>
        <w:pStyle w:val="Heading1"/>
        <w:numPr>
          <w:ilvl w:val="0"/>
          <w:numId w:val="37"/>
        </w:numPr>
      </w:pPr>
      <w:bookmarkStart w:id="7" w:name="_Toc162769290"/>
      <w:bookmarkStart w:id="8" w:name="_Toc207761831"/>
      <w:bookmarkStart w:id="9" w:name="_Toc209578267"/>
      <w:bookmarkStart w:id="10" w:name="_Toc349127171"/>
      <w:r>
        <w:t>Su</w:t>
      </w:r>
      <w:r w:rsidRPr="00DD425D">
        <w:t>mmary</w:t>
      </w:r>
      <w:bookmarkEnd w:id="7"/>
      <w:bookmarkEnd w:id="8"/>
      <w:bookmarkEnd w:id="9"/>
      <w:bookmarkEnd w:id="10"/>
    </w:p>
    <w:p w:rsidR="0043536F" w:rsidRDefault="0043536F" w:rsidP="00B34946">
      <w:pPr>
        <w:pStyle w:val="SubmissionNormal"/>
      </w:pPr>
      <w:r>
        <w:t>The Commission welcomes the Inquiry into the value of a justice reinvestment approach. Justice reinvestment is an innovative, evidence based criminal justice strategy that has the capacity</w:t>
      </w:r>
      <w:r w:rsidR="0030328E">
        <w:t xml:space="preserve"> to reduce imprisonment and its </w:t>
      </w:r>
      <w:r>
        <w:t xml:space="preserve">associated economic and social </w:t>
      </w:r>
      <w:r w:rsidR="00B95BFA">
        <w:t>costs.</w:t>
      </w:r>
    </w:p>
    <w:p w:rsidR="00E56DD5" w:rsidRPr="00E56DD5" w:rsidRDefault="0030328E" w:rsidP="00E56DD5">
      <w:pPr>
        <w:pStyle w:val="SubmissionNormal"/>
      </w:pPr>
      <w:r>
        <w:t>J</w:t>
      </w:r>
      <w:r w:rsidRPr="00E56DD5">
        <w:t xml:space="preserve">ustice reinvestment is a powerful crime prevention strategy that can help create safer communities by investing in evidence based prevention and treatment </w:t>
      </w:r>
      <w:r>
        <w:t xml:space="preserve">programs. </w:t>
      </w:r>
      <w:r w:rsidR="00E56DD5" w:rsidRPr="00E56DD5">
        <w:t>Justice reinv</w:t>
      </w:r>
      <w:r>
        <w:t xml:space="preserve">estment looks beyond offenders </w:t>
      </w:r>
      <w:r w:rsidR="00E56DD5" w:rsidRPr="00E56DD5">
        <w:t>to the needs of victims</w:t>
      </w:r>
      <w:r w:rsidR="00E56DD5">
        <w:t xml:space="preserve"> and communities. </w:t>
      </w:r>
    </w:p>
    <w:p w:rsidR="00E844B0" w:rsidRDefault="0043536F" w:rsidP="00E844B0">
      <w:pPr>
        <w:pStyle w:val="SubmissionNormal"/>
      </w:pPr>
      <w:r>
        <w:t>Justice reinvestment should be targeted at high risk Aboriginal and Torres Strait Islander communities in the firs</w:t>
      </w:r>
      <w:r w:rsidR="004759C8">
        <w:t>t instance due to the</w:t>
      </w:r>
      <w:r>
        <w:t xml:space="preserve"> over-representation </w:t>
      </w:r>
      <w:r w:rsidR="004759C8">
        <w:t xml:space="preserve">of Aboriginal and Torres Strait Islander people </w:t>
      </w:r>
      <w:r>
        <w:t xml:space="preserve">in the criminal justice system. </w:t>
      </w:r>
    </w:p>
    <w:p w:rsidR="00070A96" w:rsidRDefault="00E844B0" w:rsidP="00B34946">
      <w:pPr>
        <w:pStyle w:val="SubmissionNormal"/>
      </w:pPr>
      <w:r>
        <w:t>The needs of other vulnerable groups such as</w:t>
      </w:r>
      <w:r w:rsidR="003B409E">
        <w:t xml:space="preserve"> </w:t>
      </w:r>
      <w:r w:rsidR="00AD0934">
        <w:t>young people who offend</w:t>
      </w:r>
      <w:r>
        <w:t xml:space="preserve">, </w:t>
      </w:r>
      <w:r w:rsidRPr="0000396F">
        <w:rPr>
          <w:rFonts w:cs="Arial"/>
          <w:color w:val="1A1A1A"/>
          <w:szCs w:val="32"/>
          <w:lang w:val="en-US"/>
        </w:rPr>
        <w:t xml:space="preserve">and people with cognitive </w:t>
      </w:r>
      <w:r w:rsidR="004759C8">
        <w:rPr>
          <w:rFonts w:cs="Arial"/>
          <w:color w:val="1A1A1A"/>
          <w:szCs w:val="32"/>
          <w:lang w:val="en-US"/>
        </w:rPr>
        <w:t>impairment</w:t>
      </w:r>
      <w:r w:rsidRPr="0000396F">
        <w:rPr>
          <w:rFonts w:cs="Arial"/>
          <w:color w:val="1A1A1A"/>
          <w:szCs w:val="32"/>
          <w:lang w:val="en-US"/>
        </w:rPr>
        <w:t xml:space="preserve">, </w:t>
      </w:r>
      <w:r w:rsidR="004759C8">
        <w:rPr>
          <w:rFonts w:cs="Arial"/>
          <w:color w:val="1A1A1A"/>
          <w:szCs w:val="32"/>
          <w:lang w:val="en-US"/>
        </w:rPr>
        <w:t>psychosocial disability</w:t>
      </w:r>
      <w:r w:rsidRPr="0000396F">
        <w:rPr>
          <w:rFonts w:cs="Arial"/>
          <w:color w:val="1A1A1A"/>
          <w:szCs w:val="32"/>
          <w:lang w:val="en-US"/>
        </w:rPr>
        <w:t xml:space="preserve"> </w:t>
      </w:r>
      <w:r w:rsidR="004759C8">
        <w:rPr>
          <w:rFonts w:cs="Arial"/>
          <w:color w:val="1A1A1A"/>
          <w:szCs w:val="32"/>
          <w:lang w:val="en-US"/>
        </w:rPr>
        <w:t>and hearing impairment</w:t>
      </w:r>
      <w:r>
        <w:rPr>
          <w:rFonts w:cs="Arial"/>
          <w:color w:val="1A1A1A"/>
          <w:szCs w:val="32"/>
          <w:lang w:val="en-US"/>
        </w:rPr>
        <w:t xml:space="preserve"> should form part of the </w:t>
      </w:r>
      <w:r>
        <w:t>analysis of the characteristics of th</w:t>
      </w:r>
      <w:r w:rsidR="0030328E">
        <w:t xml:space="preserve">e </w:t>
      </w:r>
      <w:r w:rsidR="00AD0934">
        <w:t>im</w:t>
      </w:r>
      <w:r w:rsidR="0030328E">
        <w:t>prison</w:t>
      </w:r>
      <w:r w:rsidR="00AD0934">
        <w:t>ed</w:t>
      </w:r>
      <w:r w:rsidR="0030328E">
        <w:t xml:space="preserve"> population in the </w:t>
      </w:r>
      <w:r w:rsidR="0089215F">
        <w:t>trial</w:t>
      </w:r>
      <w:r>
        <w:t xml:space="preserve"> communities. This information can </w:t>
      </w:r>
      <w:r w:rsidR="0089215F">
        <w:t xml:space="preserve">help </w:t>
      </w:r>
      <w:r>
        <w:t xml:space="preserve">target appropriate programs in a </w:t>
      </w:r>
      <w:r w:rsidR="0089215F">
        <w:t xml:space="preserve">justice </w:t>
      </w:r>
      <w:r>
        <w:t>reinvestment strategy.</w:t>
      </w:r>
    </w:p>
    <w:p w:rsidR="00B34946" w:rsidRDefault="00070A96" w:rsidP="00B34946">
      <w:pPr>
        <w:pStyle w:val="SubmissionNormal"/>
        <w:ind w:hanging="567"/>
      </w:pPr>
      <w:r>
        <w:lastRenderedPageBreak/>
        <w:t>The Commission makes two recommendations to the Inquiry contained in the next section on this submission.</w:t>
      </w:r>
    </w:p>
    <w:p w:rsidR="00B34946" w:rsidRPr="001E1304" w:rsidRDefault="00B34946" w:rsidP="00B34946">
      <w:pPr>
        <w:pStyle w:val="Heading1"/>
        <w:numPr>
          <w:ilvl w:val="0"/>
          <w:numId w:val="37"/>
        </w:numPr>
      </w:pPr>
      <w:bookmarkStart w:id="11" w:name="_Toc162769291"/>
      <w:bookmarkStart w:id="12" w:name="_Toc207761832"/>
      <w:bookmarkStart w:id="13" w:name="_Toc209578268"/>
      <w:bookmarkStart w:id="14" w:name="_Toc349127172"/>
      <w:r w:rsidRPr="001E1304">
        <w:t>Recommendations</w:t>
      </w:r>
      <w:bookmarkEnd w:id="11"/>
      <w:bookmarkEnd w:id="12"/>
      <w:bookmarkEnd w:id="13"/>
      <w:bookmarkEnd w:id="14"/>
    </w:p>
    <w:p w:rsidR="00E12D47" w:rsidRPr="00E12D47" w:rsidRDefault="00B34946" w:rsidP="00B34946">
      <w:pPr>
        <w:pStyle w:val="SubmissionNormal"/>
      </w:pPr>
      <w:r w:rsidRPr="00E12D47">
        <w:t xml:space="preserve">The Australian Human Rights Commission </w:t>
      </w:r>
      <w:r w:rsidRPr="00E12D47">
        <w:rPr>
          <w:rStyle w:val="Heading3Char"/>
          <w:bCs w:val="0"/>
          <w:i w:val="0"/>
        </w:rPr>
        <w:t>re</w:t>
      </w:r>
      <w:r w:rsidRPr="00E12D47">
        <w:t>co</w:t>
      </w:r>
      <w:r w:rsidRPr="00E12D47">
        <w:rPr>
          <w:rStyle w:val="Heading4Char"/>
          <w:iCs w:val="0"/>
        </w:rPr>
        <w:t>mm</w:t>
      </w:r>
      <w:r w:rsidR="00130A51" w:rsidRPr="00E12D47">
        <w:t>ends that</w:t>
      </w:r>
      <w:r w:rsidR="0061033C">
        <w:t>:</w:t>
      </w:r>
    </w:p>
    <w:p w:rsidR="0061033C" w:rsidRPr="0061033C" w:rsidRDefault="009E1E4C" w:rsidP="0061033C">
      <w:pPr>
        <w:pStyle w:val="ListParagraph"/>
        <w:numPr>
          <w:ilvl w:val="1"/>
          <w:numId w:val="36"/>
        </w:numPr>
        <w:rPr>
          <w:rFonts w:eastAsia="Times New Roman"/>
        </w:rPr>
      </w:pPr>
      <w:r>
        <w:t>The Australian Governm</w:t>
      </w:r>
      <w:r w:rsidR="0061033C">
        <w:t>ent</w:t>
      </w:r>
      <w:r w:rsidR="00942BE0" w:rsidRPr="009E1E4C">
        <w:t xml:space="preserve"> </w:t>
      </w:r>
      <w:r w:rsidR="00666B74">
        <w:t xml:space="preserve">in </w:t>
      </w:r>
      <w:r w:rsidR="00942BE0" w:rsidRPr="009E1E4C">
        <w:t>partnership with state and territory governments</w:t>
      </w:r>
      <w:r w:rsidR="00D45FEE">
        <w:t>,</w:t>
      </w:r>
      <w:r w:rsidR="00942BE0" w:rsidRPr="009E1E4C">
        <w:t xml:space="preserve"> </w:t>
      </w:r>
      <w:r w:rsidR="00314818" w:rsidRPr="009E1E4C">
        <w:t>funds</w:t>
      </w:r>
      <w:r w:rsidR="00942BE0" w:rsidRPr="009E1E4C">
        <w:t xml:space="preserve"> justice reinvestment trials in selected Aboriginal and Torres Strait Islander communities</w:t>
      </w:r>
      <w:r w:rsidRPr="009E1E4C">
        <w:t xml:space="preserve"> where </w:t>
      </w:r>
      <w:r w:rsidR="00314818">
        <w:t xml:space="preserve">there is a high level of imprisonment. </w:t>
      </w:r>
      <w:r w:rsidR="0061033C">
        <w:t xml:space="preserve">Pilots </w:t>
      </w:r>
      <w:r w:rsidR="0061033C" w:rsidRPr="0061033C">
        <w:rPr>
          <w:rFonts w:eastAsia="Times New Roman"/>
        </w:rPr>
        <w:t xml:space="preserve">should be accompanied by a </w:t>
      </w:r>
      <w:r w:rsidR="00666B74">
        <w:rPr>
          <w:rFonts w:eastAsia="Times New Roman"/>
        </w:rPr>
        <w:t xml:space="preserve">robust </w:t>
      </w:r>
      <w:r w:rsidR="0061033C" w:rsidRPr="0061033C">
        <w:rPr>
          <w:rFonts w:eastAsia="Times New Roman"/>
        </w:rPr>
        <w:t>resea</w:t>
      </w:r>
      <w:r w:rsidR="00666B74">
        <w:rPr>
          <w:rFonts w:eastAsia="Times New Roman"/>
        </w:rPr>
        <w:t>rch and evaluation strategy</w:t>
      </w:r>
      <w:r w:rsidR="0061033C" w:rsidRPr="0061033C">
        <w:rPr>
          <w:rFonts w:eastAsia="Times New Roman"/>
        </w:rPr>
        <w:t>.</w:t>
      </w:r>
    </w:p>
    <w:p w:rsidR="00B34946" w:rsidRPr="009E1E4C" w:rsidRDefault="0061033C" w:rsidP="00942BE0">
      <w:pPr>
        <w:pStyle w:val="SubmissionNormal"/>
        <w:numPr>
          <w:ilvl w:val="1"/>
          <w:numId w:val="36"/>
        </w:numPr>
      </w:pPr>
      <w:r>
        <w:t>The Australian Government</w:t>
      </w:r>
      <w:r w:rsidRPr="0061033C">
        <w:t xml:space="preserve"> </w:t>
      </w:r>
      <w:r>
        <w:t>and State and Territory governments commit to justice targets as part of the Closing the Gap Strateg</w:t>
      </w:r>
      <w:r w:rsidR="00245E75">
        <w:t>y.</w:t>
      </w:r>
    </w:p>
    <w:p w:rsidR="00D637F4" w:rsidRPr="00DD425D" w:rsidRDefault="00D637F4" w:rsidP="00D637F4">
      <w:pPr>
        <w:pStyle w:val="Heading1"/>
        <w:numPr>
          <w:ilvl w:val="0"/>
          <w:numId w:val="37"/>
        </w:numPr>
      </w:pPr>
      <w:bookmarkStart w:id="15" w:name="_Toc349127173"/>
      <w:r>
        <w:t>What is justice reinvestment?</w:t>
      </w:r>
      <w:bookmarkEnd w:id="15"/>
    </w:p>
    <w:p w:rsidR="00D637F4" w:rsidRPr="00D637F4" w:rsidRDefault="00D637F4" w:rsidP="00D637F4">
      <w:pPr>
        <w:pStyle w:val="SubmissionNormal"/>
      </w:pPr>
      <w:r>
        <w:t>Justice reinvestment is a</w:t>
      </w:r>
      <w:r w:rsidRPr="00D637F4">
        <w:t xml:space="preserve"> criminal justice policy approach that diverts a portion of the funds for imprisonment to local communities where there is a high concentration of offenders. The money that would have been spent o</w:t>
      </w:r>
      <w:r w:rsidR="00666B74">
        <w:t xml:space="preserve">n imprisonment is reinvested </w:t>
      </w:r>
      <w:r w:rsidRPr="00D637F4">
        <w:t>into services that address the underlying causes of crime in these communities.</w:t>
      </w:r>
    </w:p>
    <w:p w:rsidR="00D637F4" w:rsidRDefault="00D637F4" w:rsidP="00D637F4">
      <w:pPr>
        <w:pStyle w:val="SubmissionNormal"/>
      </w:pPr>
      <w:r>
        <w:t xml:space="preserve">Justice reinvestment was developed in the United States by George </w:t>
      </w:r>
      <w:r w:rsidR="003C7118">
        <w:t>Soros’ Open</w:t>
      </w:r>
      <w:r>
        <w:t xml:space="preserve"> Society Foundation. Since 2006 the Council of State Governments Justice Centr</w:t>
      </w:r>
      <w:r w:rsidR="003C7118">
        <w:t xml:space="preserve">e has overseen implementation in 17 </w:t>
      </w:r>
      <w:r>
        <w:t>states.</w:t>
      </w:r>
    </w:p>
    <w:p w:rsidR="00674E0D" w:rsidRDefault="00D637F4" w:rsidP="00D637F4">
      <w:pPr>
        <w:pStyle w:val="SubmissionNormal"/>
      </w:pPr>
      <w:r>
        <w:t xml:space="preserve">While justice reinvestment approaches vary depending on the needs of </w:t>
      </w:r>
      <w:r w:rsidR="00666B74">
        <w:t xml:space="preserve">communities, </w:t>
      </w:r>
      <w:r w:rsidR="0089215F">
        <w:t>justice reinvestment does have</w:t>
      </w:r>
      <w:r>
        <w:t xml:space="preserve"> a co</w:t>
      </w:r>
      <w:r w:rsidR="0000396F">
        <w:t xml:space="preserve">nsistent methodology around </w:t>
      </w:r>
      <w:r>
        <w:t>analysis and mapping</w:t>
      </w:r>
      <w:r w:rsidR="00F16E14">
        <w:t xml:space="preserve">. This work </w:t>
      </w:r>
      <w:r w:rsidR="006939EF">
        <w:t>is the</w:t>
      </w:r>
      <w:r>
        <w:t xml:space="preserve"> basis for the justice reinvestment plan.</w:t>
      </w:r>
      <w:r w:rsidR="00D36A7B">
        <w:rPr>
          <w:rStyle w:val="FootnoteReference"/>
        </w:rPr>
        <w:footnoteReference w:id="2"/>
      </w:r>
      <w:r w:rsidR="00D36A7B">
        <w:t xml:space="preserve"> </w:t>
      </w:r>
      <w:r>
        <w:t>Justice reinvestment approaches</w:t>
      </w:r>
      <w:r w:rsidR="00666B74">
        <w:t xml:space="preserve"> also require </w:t>
      </w:r>
      <w:r>
        <w:t>commitment to localism and budgetary devolution.</w:t>
      </w:r>
      <w:r w:rsidR="003C7118">
        <w:rPr>
          <w:rStyle w:val="FootnoteReference"/>
        </w:rPr>
        <w:footnoteReference w:id="3"/>
      </w:r>
      <w:r>
        <w:t xml:space="preserve"> </w:t>
      </w:r>
      <w:r w:rsidR="003C7118">
        <w:t>Justice reinvestment is made possible by political bipartisan support.</w:t>
      </w:r>
      <w:r w:rsidR="003C7118">
        <w:rPr>
          <w:rStyle w:val="FootnoteReference"/>
        </w:rPr>
        <w:footnoteReference w:id="4"/>
      </w:r>
      <w:r w:rsidR="00674E0D" w:rsidRPr="00674E0D">
        <w:t xml:space="preserve"> </w:t>
      </w:r>
    </w:p>
    <w:p w:rsidR="00D637F4" w:rsidRDefault="00674E0D" w:rsidP="00D637F4">
      <w:pPr>
        <w:pStyle w:val="SubmissionNormal"/>
      </w:pPr>
      <w:r>
        <w:t>The success of justice reinvestment in the United States has been well documented.</w:t>
      </w:r>
      <w:r>
        <w:rPr>
          <w:rStyle w:val="FootnoteReference"/>
        </w:rPr>
        <w:footnoteReference w:id="5"/>
      </w:r>
      <w:r>
        <w:t xml:space="preserve"> </w:t>
      </w:r>
      <w:r w:rsidR="005453AF">
        <w:t>Moves to justice reinvestment are also underway in the United Kingdom.</w:t>
      </w:r>
      <w:r w:rsidR="005453AF">
        <w:rPr>
          <w:rStyle w:val="FootnoteReference"/>
        </w:rPr>
        <w:footnoteReference w:id="6"/>
      </w:r>
    </w:p>
    <w:p w:rsidR="00B34946" w:rsidRPr="00122376" w:rsidRDefault="00374E1C" w:rsidP="00122376">
      <w:pPr>
        <w:pStyle w:val="Heading1"/>
        <w:numPr>
          <w:ilvl w:val="0"/>
          <w:numId w:val="37"/>
        </w:numPr>
      </w:pPr>
      <w:bookmarkStart w:id="16" w:name="_Toc162769292"/>
      <w:bookmarkStart w:id="17" w:name="_Toc207761833"/>
      <w:bookmarkStart w:id="18" w:name="_Toc209578269"/>
      <w:bookmarkStart w:id="19" w:name="_Toc349127174"/>
      <w:r>
        <w:lastRenderedPageBreak/>
        <w:t>Th</w:t>
      </w:r>
      <w:r w:rsidR="00122376">
        <w:t>e need for justice reinvestmen</w:t>
      </w:r>
      <w:bookmarkEnd w:id="16"/>
      <w:bookmarkEnd w:id="17"/>
      <w:bookmarkEnd w:id="18"/>
      <w:r w:rsidR="001A6DC2">
        <w:t>t</w:t>
      </w:r>
      <w:r w:rsidR="009970D9">
        <w:t xml:space="preserve"> in Australia</w:t>
      </w:r>
      <w:bookmarkEnd w:id="19"/>
    </w:p>
    <w:p w:rsidR="00101761" w:rsidRPr="00980E4F" w:rsidRDefault="00980E4F" w:rsidP="00980E4F">
      <w:pPr>
        <w:pStyle w:val="SubmissionNormal"/>
        <w:numPr>
          <w:ilvl w:val="1"/>
          <w:numId w:val="37"/>
        </w:numPr>
        <w:rPr>
          <w:b/>
          <w:i/>
        </w:rPr>
      </w:pPr>
      <w:r w:rsidRPr="00980E4F">
        <w:rPr>
          <w:b/>
          <w:i/>
        </w:rPr>
        <w:t>Aboriginal and Torres Strait communities</w:t>
      </w:r>
    </w:p>
    <w:p w:rsidR="00101761" w:rsidRDefault="00973A5C" w:rsidP="00B34946">
      <w:pPr>
        <w:pStyle w:val="SubmissionNormal"/>
      </w:pPr>
      <w:r>
        <w:t xml:space="preserve">One of the most entrenched </w:t>
      </w:r>
      <w:r w:rsidR="006939EF">
        <w:t xml:space="preserve">challenges facing Australia is the </w:t>
      </w:r>
      <w:r w:rsidR="001A6DC2">
        <w:t xml:space="preserve">over-representation </w:t>
      </w:r>
      <w:r w:rsidR="004E4F90">
        <w:t>of</w:t>
      </w:r>
      <w:r w:rsidR="001A6DC2">
        <w:t xml:space="preserve"> Aboriginal and</w:t>
      </w:r>
      <w:r w:rsidR="004C553E">
        <w:t xml:space="preserve"> Torres Str</w:t>
      </w:r>
      <w:r w:rsidR="002E30BE">
        <w:t>ait Islander people</w:t>
      </w:r>
      <w:r w:rsidR="00904719">
        <w:t xml:space="preserve"> in the prison system</w:t>
      </w:r>
      <w:r w:rsidR="002E30BE">
        <w:t>. Recent data highlights th</w:t>
      </w:r>
      <w:r w:rsidR="00904719">
        <w:t>is</w:t>
      </w:r>
      <w:r w:rsidR="002E30BE">
        <w:t>:</w:t>
      </w:r>
    </w:p>
    <w:p w:rsidR="00101761" w:rsidRDefault="004C553E" w:rsidP="00101761">
      <w:pPr>
        <w:pStyle w:val="SubmissionNormal"/>
        <w:numPr>
          <w:ilvl w:val="1"/>
          <w:numId w:val="36"/>
        </w:numPr>
      </w:pPr>
      <w:r>
        <w:t>The rate of adult Aboriginal and Torres St</w:t>
      </w:r>
      <w:r w:rsidR="009E6B50">
        <w:t>rait Islander imprisonment is 14</w:t>
      </w:r>
      <w:r>
        <w:t xml:space="preserve"> times higher than the non-Aboriginal and Torres Strait Islander rate</w:t>
      </w:r>
      <w:r w:rsidR="009B5DB1">
        <w:t>.</w:t>
      </w:r>
      <w:r>
        <w:rPr>
          <w:rStyle w:val="FootnoteReference"/>
        </w:rPr>
        <w:footnoteReference w:id="7"/>
      </w:r>
    </w:p>
    <w:p w:rsidR="002E30BE" w:rsidRDefault="00F03B48" w:rsidP="00101761">
      <w:pPr>
        <w:pStyle w:val="SubmissionNormal"/>
        <w:numPr>
          <w:ilvl w:val="1"/>
          <w:numId w:val="36"/>
        </w:numPr>
      </w:pPr>
      <w:r>
        <w:t xml:space="preserve"> Aboriginal and Torres Strait Islander young people are 35 times more likely to be in detention than non-Aboriginal and Torres Strait Islander young people</w:t>
      </w:r>
      <w:r w:rsidR="007C2AEF">
        <w:t xml:space="preserve"> and almost 3 in 5 (59%) of those in detention were indigenous</w:t>
      </w:r>
      <w:r w:rsidR="007C2AEF">
        <w:rPr>
          <w:rStyle w:val="FootnoteReference"/>
        </w:rPr>
        <w:footnoteReference w:id="8"/>
      </w:r>
      <w:r w:rsidR="00BF7E6A">
        <w:t xml:space="preserve"> </w:t>
      </w:r>
    </w:p>
    <w:p w:rsidR="002E30BE" w:rsidRDefault="002E30BE" w:rsidP="002E30BE">
      <w:pPr>
        <w:pStyle w:val="SubmissionNormal"/>
        <w:numPr>
          <w:ilvl w:val="1"/>
          <w:numId w:val="36"/>
        </w:numPr>
      </w:pPr>
      <w:r>
        <w:t>The Aboriginal and Torres Strait Islander imprisonment rate has in</w:t>
      </w:r>
      <w:r w:rsidR="00245E75">
        <w:t>creased by 51.5% between 2000 and</w:t>
      </w:r>
      <w:r>
        <w:t xml:space="preserve"> 2010. At the same time, the non-Aboriginal and Torres Strait Islander imprisonment rate has increased only marginally.</w:t>
      </w:r>
      <w:r>
        <w:rPr>
          <w:rStyle w:val="FootnoteReference"/>
        </w:rPr>
        <w:footnoteReference w:id="9"/>
      </w:r>
      <w:r>
        <w:t xml:space="preserve"> </w:t>
      </w:r>
    </w:p>
    <w:p w:rsidR="00296C4A" w:rsidRDefault="002E30BE" w:rsidP="002E30BE">
      <w:pPr>
        <w:pStyle w:val="SubmissionNormal"/>
        <w:numPr>
          <w:ilvl w:val="1"/>
          <w:numId w:val="36"/>
        </w:numPr>
      </w:pPr>
      <w:r>
        <w:t>The rate of Aboriginal and Torres Strait Islander women imprisonment has grown by 58.6% between 2000 and 2010.</w:t>
      </w:r>
      <w:r>
        <w:rPr>
          <w:rStyle w:val="FootnoteReference"/>
        </w:rPr>
        <w:footnoteReference w:id="10"/>
      </w:r>
    </w:p>
    <w:p w:rsidR="00973A5C" w:rsidRPr="00973A5C" w:rsidRDefault="00973A5C" w:rsidP="00973A5C">
      <w:pPr>
        <w:pStyle w:val="SubmissionNormal"/>
        <w:numPr>
          <w:ilvl w:val="1"/>
          <w:numId w:val="37"/>
        </w:numPr>
        <w:rPr>
          <w:b/>
          <w:i/>
        </w:rPr>
      </w:pPr>
      <w:r>
        <w:rPr>
          <w:b/>
          <w:i/>
        </w:rPr>
        <w:t>Vulnerable groups</w:t>
      </w:r>
    </w:p>
    <w:p w:rsidR="00296C4A" w:rsidRDefault="00973A5C" w:rsidP="00B34946">
      <w:pPr>
        <w:pStyle w:val="SubmissionNormal"/>
      </w:pPr>
      <w:r>
        <w:t>The</w:t>
      </w:r>
      <w:r w:rsidR="00296C4A">
        <w:t xml:space="preserve"> growth in Australia’s prison population has also brought the needs of vulnerable groups like </w:t>
      </w:r>
      <w:r w:rsidR="008F205B">
        <w:t>young people</w:t>
      </w:r>
      <w:r w:rsidR="00296C4A">
        <w:t xml:space="preserve">, and people with </w:t>
      </w:r>
      <w:r w:rsidR="00F16E14">
        <w:t>psychosocial disability</w:t>
      </w:r>
      <w:r w:rsidR="00296C4A">
        <w:t>, cogniti</w:t>
      </w:r>
      <w:r w:rsidR="00F16E14">
        <w:t xml:space="preserve">ve impairment and hearing impairment </w:t>
      </w:r>
      <w:r w:rsidR="004447F3">
        <w:t xml:space="preserve">into view. </w:t>
      </w:r>
    </w:p>
    <w:p w:rsidR="0013574C" w:rsidRPr="0013574C" w:rsidRDefault="0013574C" w:rsidP="0013574C">
      <w:pPr>
        <w:pStyle w:val="SubmissionNormal"/>
      </w:pPr>
      <w:r w:rsidRPr="0013574C">
        <w:t xml:space="preserve">The United Nations Convention on the Rights of the Child clearly states in Article 37(b) that “the arrest, detention or imprisonment of a child shall be in conformity with the law and shall be used only a measure of last resort and for the shortest appropriate period of time”. Article 40(4) calls for the availability of “a variety of dispositions, such as care, guidance and supervision orders; counselling; </w:t>
      </w:r>
      <w:r w:rsidR="003B409E" w:rsidRPr="0013574C">
        <w:t>probation</w:t>
      </w:r>
      <w:r w:rsidRPr="0013574C">
        <w:t xml:space="preserve">; foster care; education and vocational training programmes and other alternatives to institutional care”. </w:t>
      </w:r>
      <w:r w:rsidR="00A45FA3">
        <w:t>A justice reinvestment approach is consistent with the Convention.</w:t>
      </w:r>
    </w:p>
    <w:p w:rsidR="00296C4A" w:rsidRPr="00CA653A" w:rsidRDefault="0013574C" w:rsidP="007B5E77">
      <w:pPr>
        <w:pStyle w:val="SubmissionNormal"/>
      </w:pPr>
      <w:r w:rsidRPr="00CA653A">
        <w:t>While the overall rate of juvenile detention has been decreasing</w:t>
      </w:r>
      <w:r w:rsidR="000D0796">
        <w:t>, the statistics in relation to Indigenous young people are very concerning.</w:t>
      </w:r>
      <w:r w:rsidRPr="00CA653A">
        <w:t xml:space="preserve"> </w:t>
      </w:r>
      <w:r w:rsidR="000D0796">
        <w:t>W</w:t>
      </w:r>
      <w:r w:rsidR="00296C4A" w:rsidRPr="00CA653A">
        <w:t>e</w:t>
      </w:r>
      <w:r w:rsidR="000D0796">
        <w:t xml:space="preserve"> also</w:t>
      </w:r>
      <w:r w:rsidR="00296C4A" w:rsidRPr="00CA653A">
        <w:t xml:space="preserve"> know that the young people who are in detention have very complex needs and require intensive intervention</w:t>
      </w:r>
      <w:r w:rsidR="002E30BE" w:rsidRPr="00CA653A">
        <w:t xml:space="preserve">. </w:t>
      </w:r>
      <w:r w:rsidR="00D27F7B">
        <w:t xml:space="preserve">For example, data in NSW showed that </w:t>
      </w:r>
      <w:r w:rsidR="00BB46BD">
        <w:t xml:space="preserve">59% </w:t>
      </w:r>
      <w:r w:rsidR="00CD5B68">
        <w:t xml:space="preserve">of </w:t>
      </w:r>
      <w:r w:rsidR="00D27F7B">
        <w:t xml:space="preserve">young </w:t>
      </w:r>
      <w:r w:rsidR="00D27F7B">
        <w:lastRenderedPageBreak/>
        <w:t>people</w:t>
      </w:r>
      <w:r w:rsidR="00CD5B68">
        <w:t xml:space="preserve"> in detention</w:t>
      </w:r>
      <w:r w:rsidR="00D27F7B">
        <w:t xml:space="preserve"> </w:t>
      </w:r>
      <w:r w:rsidR="002E30BE" w:rsidRPr="00CA653A">
        <w:t>had a history of chi</w:t>
      </w:r>
      <w:r w:rsidR="00BB46BD">
        <w:t>ld abuse or neglect</w:t>
      </w:r>
      <w:r w:rsidR="002E30BE" w:rsidRPr="004954CB">
        <w:rPr>
          <w:rStyle w:val="FootnoteReference"/>
        </w:rPr>
        <w:footnoteReference w:id="11"/>
      </w:r>
      <w:r w:rsidR="00973A5C">
        <w:t xml:space="preserve"> and </w:t>
      </w:r>
      <w:r w:rsidR="00CD5B68">
        <w:t xml:space="preserve">had </w:t>
      </w:r>
      <w:r w:rsidR="00973A5C">
        <w:t xml:space="preserve">fallen through the cracks of </w:t>
      </w:r>
      <w:r w:rsidR="0059576D">
        <w:t>early intervention and child protection services.</w:t>
      </w:r>
    </w:p>
    <w:p w:rsidR="00101761" w:rsidRPr="00CA653A" w:rsidRDefault="00296C4A" w:rsidP="00B34946">
      <w:pPr>
        <w:pStyle w:val="SubmissionNormal"/>
      </w:pPr>
      <w:r w:rsidRPr="00CA653A">
        <w:t xml:space="preserve">Similarly, offenders with </w:t>
      </w:r>
      <w:r w:rsidR="00DA3B07">
        <w:t>psychosocial disability, cognitive impairment and hearing impairment</w:t>
      </w:r>
      <w:r w:rsidRPr="00CA653A">
        <w:t xml:space="preserve"> present a unique set of c</w:t>
      </w:r>
      <w:r w:rsidR="005406AA" w:rsidRPr="00CA653A">
        <w:t>hallenges to the justice syste</w:t>
      </w:r>
      <w:r w:rsidR="00101761" w:rsidRPr="00CA653A">
        <w:t>m. Research from NSW shows:</w:t>
      </w:r>
    </w:p>
    <w:p w:rsidR="00101761" w:rsidRPr="00CA653A" w:rsidRDefault="005406AA" w:rsidP="00101761">
      <w:pPr>
        <w:pStyle w:val="SubmissionNormal"/>
        <w:numPr>
          <w:ilvl w:val="1"/>
          <w:numId w:val="36"/>
        </w:numPr>
      </w:pPr>
      <w:r w:rsidRPr="00CA653A">
        <w:t>almost half of all prisoners have been treated for a mental health problem</w:t>
      </w:r>
      <w:r w:rsidR="00101761" w:rsidRPr="00FE0517">
        <w:rPr>
          <w:rStyle w:val="FootnoteReference"/>
        </w:rPr>
        <w:footnoteReference w:id="12"/>
      </w:r>
      <w:r w:rsidRPr="00CA653A">
        <w:t xml:space="preserve"> </w:t>
      </w:r>
    </w:p>
    <w:p w:rsidR="00101761" w:rsidRPr="00FE0517" w:rsidRDefault="005406AA" w:rsidP="00101761">
      <w:pPr>
        <w:pStyle w:val="SubmissionNormal"/>
        <w:numPr>
          <w:ilvl w:val="1"/>
          <w:numId w:val="36"/>
        </w:numPr>
      </w:pPr>
      <w:r w:rsidRPr="00CA653A">
        <w:t>87% of juveniles in detention could be diagnosed with  a psychological disorder</w:t>
      </w:r>
      <w:r w:rsidR="00101761" w:rsidRPr="00FE0517">
        <w:rPr>
          <w:rStyle w:val="FootnoteReference"/>
        </w:rPr>
        <w:footnoteReference w:id="13"/>
      </w:r>
    </w:p>
    <w:p w:rsidR="002E30BE" w:rsidRPr="00CA653A" w:rsidRDefault="005406AA" w:rsidP="00101761">
      <w:pPr>
        <w:pStyle w:val="SubmissionNormal"/>
        <w:numPr>
          <w:ilvl w:val="1"/>
          <w:numId w:val="36"/>
        </w:numPr>
      </w:pPr>
      <w:r w:rsidRPr="00CA653A">
        <w:t xml:space="preserve"> </w:t>
      </w:r>
      <w:r w:rsidR="00101761" w:rsidRPr="00CA653A">
        <w:t xml:space="preserve">45.5% of juveniles in detention could be </w:t>
      </w:r>
      <w:r w:rsidR="00CA653A" w:rsidRPr="00CA653A">
        <w:t>diagnosed</w:t>
      </w:r>
      <w:r w:rsidR="00101761" w:rsidRPr="00CA653A">
        <w:t xml:space="preserve"> with either an intellectual disability or borderline intellectual disability.</w:t>
      </w:r>
      <w:r w:rsidR="00101761" w:rsidRPr="00FE0517">
        <w:rPr>
          <w:rStyle w:val="FootnoteReference"/>
        </w:rPr>
        <w:footnoteReference w:id="14"/>
      </w:r>
    </w:p>
    <w:p w:rsidR="00F56A7C" w:rsidRPr="00CA653A" w:rsidRDefault="00C06919" w:rsidP="00F56A7C">
      <w:pPr>
        <w:pStyle w:val="SubmissionNormal"/>
      </w:pPr>
      <w:r>
        <w:t>Often p</w:t>
      </w:r>
      <w:r w:rsidR="00F300B0" w:rsidRPr="00CA653A">
        <w:t xml:space="preserve">eople with disability do not receive the support, adjustments or aids </w:t>
      </w:r>
      <w:r>
        <w:t xml:space="preserve">that </w:t>
      </w:r>
      <w:r w:rsidR="00F300B0" w:rsidRPr="00CA653A">
        <w:t xml:space="preserve">they need to begin or defend criminal matters, or to participate in criminal justice processes. </w:t>
      </w:r>
      <w:r w:rsidR="008B399D" w:rsidRPr="00CA653A">
        <w:t xml:space="preserve">Community supports, programs and assistance to prevent disadvantage, vulnerability and risk factors </w:t>
      </w:r>
      <w:r>
        <w:t>are often just not available.</w:t>
      </w:r>
      <w:r w:rsidR="008B399D" w:rsidRPr="00CA653A">
        <w:t xml:space="preserve"> </w:t>
      </w:r>
      <w:r w:rsidR="00D130B7">
        <w:t>This can contribute to recidivism</w:t>
      </w:r>
      <w:proofErr w:type="gramStart"/>
      <w:r w:rsidR="00D130B7">
        <w:t>.</w:t>
      </w:r>
      <w:r w:rsidR="008B399D" w:rsidRPr="00CA653A">
        <w:t>.</w:t>
      </w:r>
      <w:proofErr w:type="gramEnd"/>
    </w:p>
    <w:p w:rsidR="00CA653A" w:rsidRDefault="00CA653A" w:rsidP="00CA653A">
      <w:pPr>
        <w:pStyle w:val="SubmissionNormal"/>
      </w:pPr>
      <w:r>
        <w:t xml:space="preserve">Specialist support, accommodation and </w:t>
      </w:r>
      <w:r w:rsidR="00D130B7">
        <w:t xml:space="preserve">customised </w:t>
      </w:r>
      <w:r>
        <w:t xml:space="preserve">programs </w:t>
      </w:r>
      <w:r w:rsidR="00D130B7">
        <w:t xml:space="preserve">are rarely </w:t>
      </w:r>
      <w:r>
        <w:t>provided to people with disability when they are considered unable to understand or respond to criminal charges made against them (‘unfit to plead’). Instead, they are often indefinitely detained in prisons or psychiatric facilities without being convicted of a crime. They often do not receive the supports they need in prison, and face harmful prison management practices.</w:t>
      </w:r>
    </w:p>
    <w:p w:rsidR="00E56DD5" w:rsidRPr="00E56DD5" w:rsidRDefault="00E56DD5" w:rsidP="00E56DD5">
      <w:pPr>
        <w:pStyle w:val="SubmissionNormal"/>
      </w:pPr>
      <w:r w:rsidRPr="00E56DD5">
        <w:t xml:space="preserve">Aboriginal and Torres Strait Islander people with disability experience this situation in much greater numbers than other people with disability. This situation mainly happens to people with cognitive impairment and people with psychosocial disability. </w:t>
      </w:r>
    </w:p>
    <w:p w:rsidR="00980E4F" w:rsidRPr="001E1304" w:rsidRDefault="00980E4F" w:rsidP="00980E4F">
      <w:pPr>
        <w:pStyle w:val="Heading2"/>
        <w:numPr>
          <w:ilvl w:val="1"/>
          <w:numId w:val="37"/>
        </w:numPr>
      </w:pPr>
      <w:bookmarkStart w:id="20" w:name="_Toc349127175"/>
      <w:r>
        <w:t>Economic cost of imprisonment</w:t>
      </w:r>
      <w:bookmarkEnd w:id="20"/>
    </w:p>
    <w:p w:rsidR="00AA6735" w:rsidRDefault="00AA6735" w:rsidP="00AA6735">
      <w:pPr>
        <w:pStyle w:val="SubmissionNormal"/>
      </w:pPr>
      <w:r w:rsidRPr="00AA6735">
        <w:t>The growth in Austral</w:t>
      </w:r>
      <w:r w:rsidR="00296C4A">
        <w:t xml:space="preserve">ia’s prison population has </w:t>
      </w:r>
      <w:r w:rsidRPr="00AA6735">
        <w:t>led to an increase in spending on corrective services. Australia currently spends $2.9 billion on adult correctiv</w:t>
      </w:r>
      <w:r w:rsidR="0000396F">
        <w:t>e services</w:t>
      </w:r>
      <w:r w:rsidR="00BB46BD">
        <w:t>.</w:t>
      </w:r>
      <w:r>
        <w:rPr>
          <w:rStyle w:val="FootnoteReference"/>
        </w:rPr>
        <w:footnoteReference w:id="15"/>
      </w:r>
    </w:p>
    <w:p w:rsidR="00FC06B6" w:rsidRPr="00B95BFA" w:rsidRDefault="00FA0B69" w:rsidP="00FC06B6">
      <w:pPr>
        <w:pStyle w:val="SubmissionNormal"/>
      </w:pPr>
      <w:r w:rsidRPr="00B95BFA">
        <w:lastRenderedPageBreak/>
        <w:t>Imprisonment is an expensive</w:t>
      </w:r>
      <w:r w:rsidR="00FC06B6" w:rsidRPr="00B95BFA">
        <w:t xml:space="preserve"> intervention, costing around $315 </w:t>
      </w:r>
      <w:r w:rsidR="003D6349">
        <w:t xml:space="preserve">a day </w:t>
      </w:r>
      <w:r w:rsidRPr="00B95BFA">
        <w:t>for an adult</w:t>
      </w:r>
      <w:r w:rsidR="00B95BFA" w:rsidRPr="00B95BFA">
        <w:t>.</w:t>
      </w:r>
      <w:r w:rsidR="00FC06B6" w:rsidRPr="00B95BFA">
        <w:rPr>
          <w:rStyle w:val="FootnoteReference"/>
        </w:rPr>
        <w:footnoteReference w:id="16"/>
      </w:r>
      <w:r w:rsidRPr="00B95BFA">
        <w:t xml:space="preserve"> On the other hand, programs to address the underlying causes of offending such as drug a</w:t>
      </w:r>
      <w:r w:rsidR="00FC06B6" w:rsidRPr="00B95BFA">
        <w:t xml:space="preserve">nd alcohol abuse cost significantly less.  A recent cost-benefit analysis by </w:t>
      </w:r>
      <w:r w:rsidR="00697F86" w:rsidRPr="00B95BFA">
        <w:t xml:space="preserve">the </w:t>
      </w:r>
      <w:r w:rsidR="00FC06B6" w:rsidRPr="00B95BFA">
        <w:t>N</w:t>
      </w:r>
      <w:r w:rsidR="00697F86" w:rsidRPr="00B95BFA">
        <w:t xml:space="preserve">ational </w:t>
      </w:r>
      <w:r w:rsidR="00FC06B6" w:rsidRPr="00B95BFA">
        <w:t>I</w:t>
      </w:r>
      <w:r w:rsidR="00697F86" w:rsidRPr="00B95BFA">
        <w:t xml:space="preserve">ndigenous </w:t>
      </w:r>
      <w:r w:rsidR="00FC06B6" w:rsidRPr="00B95BFA">
        <w:t>D</w:t>
      </w:r>
      <w:r w:rsidR="00697F86" w:rsidRPr="00B95BFA">
        <w:t xml:space="preserve">rug and </w:t>
      </w:r>
      <w:r w:rsidR="00FC06B6" w:rsidRPr="00B95BFA">
        <w:t>A</w:t>
      </w:r>
      <w:r w:rsidR="00697F86" w:rsidRPr="00B95BFA">
        <w:t xml:space="preserve">lcohol </w:t>
      </w:r>
      <w:r w:rsidR="00FC06B6" w:rsidRPr="00B95BFA">
        <w:t>C</w:t>
      </w:r>
      <w:r w:rsidR="00697F86" w:rsidRPr="00B95BFA">
        <w:t>ommittee</w:t>
      </w:r>
      <w:r w:rsidR="00FC06B6" w:rsidRPr="00B95BFA">
        <w:t xml:space="preserve"> has shown that the long term savings for diversion to community based rehabilitation compared to prison </w:t>
      </w:r>
      <w:r w:rsidR="0059576D" w:rsidRPr="00B95BFA">
        <w:t xml:space="preserve"> are </w:t>
      </w:r>
      <w:r w:rsidR="00FC06B6" w:rsidRPr="00B95BFA">
        <w:t>as high as $111 458 per offender.</w:t>
      </w:r>
      <w:r w:rsidR="00697F86" w:rsidRPr="00B95BFA">
        <w:rPr>
          <w:rStyle w:val="FootnoteReference"/>
        </w:rPr>
        <w:footnoteReference w:id="17"/>
      </w:r>
      <w:r w:rsidR="00FC06B6" w:rsidRPr="00B95BFA">
        <w:t xml:space="preserve"> This sort of modelling supports the justice reinvestment argument that imprisonment simply does not make good economic sense.</w:t>
      </w:r>
    </w:p>
    <w:p w:rsidR="00980E4F" w:rsidRPr="001E1304" w:rsidRDefault="00980E4F" w:rsidP="00980E4F">
      <w:pPr>
        <w:pStyle w:val="Heading2"/>
        <w:numPr>
          <w:ilvl w:val="1"/>
          <w:numId w:val="37"/>
        </w:numPr>
      </w:pPr>
      <w:bookmarkStart w:id="21" w:name="_Toc349127176"/>
      <w:r>
        <w:t>Community cost of imprisonment</w:t>
      </w:r>
      <w:bookmarkEnd w:id="21"/>
    </w:p>
    <w:p w:rsidR="00AA6735" w:rsidRDefault="00FA0B69" w:rsidP="00FA0B69">
      <w:pPr>
        <w:pStyle w:val="SubmissionNormal"/>
      </w:pPr>
      <w:r w:rsidRPr="00FA0B69">
        <w:t>Justice reinvestment has a very strong community focus. It recognises that imprisoning or otherwise detaining a large proportion of the population weakens the community, creating the conditions for further crime.</w:t>
      </w:r>
    </w:p>
    <w:p w:rsidR="006E4781" w:rsidRDefault="006E4781" w:rsidP="00FA0B69">
      <w:pPr>
        <w:pStyle w:val="SubmissionNormal"/>
      </w:pPr>
      <w:r w:rsidRPr="00980E4F">
        <w:t>Research indicates that a ‘tipping point’</w:t>
      </w:r>
      <w:r w:rsidR="001730D2" w:rsidRPr="00980E4F">
        <w:rPr>
          <w:rStyle w:val="FootnoteReference"/>
        </w:rPr>
        <w:footnoteReference w:id="18"/>
      </w:r>
      <w:r>
        <w:t xml:space="preserve"> may occur in communities once crime and incarceration reaches a certain point so that:</w:t>
      </w:r>
    </w:p>
    <w:p w:rsidR="006E4781" w:rsidRDefault="006E4781" w:rsidP="006E4781">
      <w:pPr>
        <w:pStyle w:val="SubmissionNormal"/>
        <w:numPr>
          <w:ilvl w:val="0"/>
          <w:numId w:val="0"/>
        </w:numPr>
        <w:ind w:left="1440"/>
      </w:pPr>
      <w:proofErr w:type="gramStart"/>
      <w:r>
        <w:t>high</w:t>
      </w:r>
      <w:proofErr w:type="gramEnd"/>
      <w:r>
        <w:t xml:space="preserve"> rates of imprisonment break down the social and family bonds that guide individuals away from crime, remove adults who would otherwise nurture children, deprive communities of income, reduce future income potential, and engender a deep resentment toward the legal system. As a result, as communities become less capable of managing social order through family or social groups, crime rates go up</w:t>
      </w:r>
      <w:r w:rsidR="001730D2">
        <w:t>.</w:t>
      </w:r>
      <w:r w:rsidR="001730D2">
        <w:rPr>
          <w:rStyle w:val="FootnoteReference"/>
        </w:rPr>
        <w:footnoteReference w:id="19"/>
      </w:r>
    </w:p>
    <w:p w:rsidR="00177C04" w:rsidRDefault="00FA0B69" w:rsidP="00177C04">
      <w:pPr>
        <w:pStyle w:val="SubmissionNormal"/>
      </w:pPr>
      <w:r>
        <w:t>This is w</w:t>
      </w:r>
      <w:r w:rsidR="00114CDF">
        <w:t>hat we are seeing in many</w:t>
      </w:r>
      <w:r>
        <w:t xml:space="preserve"> Aboriginal and Torres Strait Islander communities</w:t>
      </w:r>
      <w:r w:rsidR="00D26FDA">
        <w:t xml:space="preserve">. </w:t>
      </w:r>
      <w:r w:rsidR="0000396F">
        <w:t>For instance, research has shown that 20% of Aboriginal and Torres Strait Islander children have a parent or carer in prison.</w:t>
      </w:r>
      <w:r w:rsidR="0000396F">
        <w:rPr>
          <w:rStyle w:val="FootnoteReference"/>
        </w:rPr>
        <w:footnoteReference w:id="20"/>
      </w:r>
      <w:r w:rsidR="0000396F">
        <w:t xml:space="preserve">This can </w:t>
      </w:r>
      <w:r w:rsidR="00FC06B6">
        <w:t>have intergenerational effects</w:t>
      </w:r>
      <w:r w:rsidR="008F7C01">
        <w:t xml:space="preserve">.  </w:t>
      </w:r>
      <w:r w:rsidR="00177C04">
        <w:t xml:space="preserve">Aboriginal and Torres Strait Islander prisoners are </w:t>
      </w:r>
      <w:r w:rsidR="00177C04">
        <w:lastRenderedPageBreak/>
        <w:t>three times as likely as non-Aboriginal and Torres Strait Islander prisoners to have had a parent in prison as a child.</w:t>
      </w:r>
      <w:r w:rsidR="00FC06B6">
        <w:rPr>
          <w:rStyle w:val="FootnoteReference"/>
        </w:rPr>
        <w:footnoteReference w:id="21"/>
      </w:r>
      <w:r w:rsidR="00177C04">
        <w:t xml:space="preserve"> </w:t>
      </w:r>
    </w:p>
    <w:p w:rsidR="0000396F" w:rsidRDefault="00177C04" w:rsidP="00177C04">
      <w:pPr>
        <w:pStyle w:val="SubmissionNormal"/>
      </w:pPr>
      <w:r>
        <w:t>The negative impact of imprisonment of Aboriginal and Torres Strait Islander women on their children has also been noted as a concern by the United Nations Committee on the Rights of the Child in its Concluding</w:t>
      </w:r>
      <w:r w:rsidR="003F5603">
        <w:t xml:space="preserve"> Remarks on Australia’s progress in implementing the Convention on the Rights of the Child.</w:t>
      </w:r>
      <w:r w:rsidR="003F5603">
        <w:rPr>
          <w:rStyle w:val="FootnoteReference"/>
        </w:rPr>
        <w:footnoteReference w:id="22"/>
      </w:r>
    </w:p>
    <w:p w:rsidR="003F5603" w:rsidRDefault="0000396F" w:rsidP="003F5603">
      <w:pPr>
        <w:pStyle w:val="SubmissionNormal"/>
      </w:pPr>
      <w:r>
        <w:t>When imprisonment is normalised to th</w:t>
      </w:r>
      <w:r w:rsidR="008F7C01">
        <w:t>e extent that it becomes a rite of passage</w:t>
      </w:r>
      <w:r w:rsidR="007F3786">
        <w:t>,</w:t>
      </w:r>
      <w:r>
        <w:t xml:space="preserve"> it i</w:t>
      </w:r>
      <w:r w:rsidR="007F3786">
        <w:t xml:space="preserve">s likely that imprisonment </w:t>
      </w:r>
      <w:r>
        <w:t>loses any deterrent effect.</w:t>
      </w:r>
      <w:r>
        <w:rPr>
          <w:rStyle w:val="FootnoteReference"/>
        </w:rPr>
        <w:footnoteReference w:id="23"/>
      </w:r>
      <w:r w:rsidR="00177C04">
        <w:t xml:space="preserve"> </w:t>
      </w:r>
      <w:r w:rsidR="008F7C01">
        <w:t>For instance, a</w:t>
      </w:r>
      <w:r w:rsidR="00177C04">
        <w:t xml:space="preserve"> NSW Bureau of Crime Statistics and Research study found no evidence that full time imprisonment has any more deterrent effect tha</w:t>
      </w:r>
      <w:r w:rsidR="003D6349">
        <w:t>n</w:t>
      </w:r>
      <w:r w:rsidR="00177C04">
        <w:t xml:space="preserve"> a suspended sentence.</w:t>
      </w:r>
      <w:r w:rsidR="003F5603">
        <w:rPr>
          <w:rStyle w:val="FootnoteReference"/>
        </w:rPr>
        <w:footnoteReference w:id="24"/>
      </w:r>
      <w:r w:rsidR="00177C04">
        <w:t xml:space="preserve"> </w:t>
      </w:r>
    </w:p>
    <w:p w:rsidR="00FA0B69" w:rsidRDefault="003F5603" w:rsidP="003F5603">
      <w:pPr>
        <w:pStyle w:val="SubmissionNormal"/>
      </w:pPr>
      <w:r>
        <w:t>Justice reinvestment looks beyond offenders, to the needs of victims and communities. On one level, justice reinvestment is a powerful crime prevention strategy that can help create safer communities by investing in evidence based prevention and treatment programs.</w:t>
      </w:r>
      <w:r w:rsidR="008F7C01">
        <w:t xml:space="preserve"> At another level, it can also help victims because there is</w:t>
      </w:r>
      <w:r>
        <w:t xml:space="preserve"> the scope to reinvest funds into </w:t>
      </w:r>
      <w:r w:rsidR="00B12CA3">
        <w:t>victims’</w:t>
      </w:r>
      <w:r>
        <w:t xml:space="preserve"> services in these communities.</w:t>
      </w:r>
    </w:p>
    <w:p w:rsidR="00FD26D2" w:rsidRDefault="00D47EFB" w:rsidP="00D47EFB">
      <w:pPr>
        <w:pStyle w:val="Heading1"/>
        <w:numPr>
          <w:ilvl w:val="0"/>
          <w:numId w:val="37"/>
        </w:numPr>
      </w:pPr>
      <w:bookmarkStart w:id="22" w:name="_Toc349127177"/>
      <w:r>
        <w:t>Support for justice reinvestment is Australia</w:t>
      </w:r>
      <w:bookmarkEnd w:id="22"/>
    </w:p>
    <w:p w:rsidR="00FD26D2" w:rsidRDefault="00FD26D2" w:rsidP="00FD26D2">
      <w:pPr>
        <w:pStyle w:val="SubmissionNormal"/>
      </w:pPr>
      <w:r>
        <w:t>Since 2009 justice reinvestment has been the subject of recommendations in a number of repor</w:t>
      </w:r>
      <w:r w:rsidR="000061C1">
        <w:t>ts.</w:t>
      </w:r>
      <w:r w:rsidR="00130A51">
        <w:rPr>
          <w:rStyle w:val="FootnoteReference"/>
        </w:rPr>
        <w:footnoteReference w:id="25"/>
      </w:r>
      <w:r w:rsidR="000061C1">
        <w:t xml:space="preserve"> Notably,</w:t>
      </w:r>
      <w:r>
        <w:t xml:space="preserve"> the Commonwealth Government has indicated su</w:t>
      </w:r>
      <w:r w:rsidR="00130A51">
        <w:t xml:space="preserve">pport for justice reinvestment in response to </w:t>
      </w:r>
      <w:r>
        <w:t xml:space="preserve">the </w:t>
      </w:r>
      <w:r>
        <w:rPr>
          <w:i/>
        </w:rPr>
        <w:t>Doing Time-Time for Doing</w:t>
      </w:r>
      <w:r w:rsidR="00130A51">
        <w:t xml:space="preserve"> report</w:t>
      </w:r>
      <w:r>
        <w:t>:</w:t>
      </w:r>
    </w:p>
    <w:p w:rsidR="001E11C7" w:rsidRDefault="00FD26D2" w:rsidP="001E11C7">
      <w:pPr>
        <w:pStyle w:val="SubmissionNormal"/>
        <w:numPr>
          <w:ilvl w:val="0"/>
          <w:numId w:val="0"/>
        </w:numPr>
        <w:ind w:left="1440"/>
      </w:pPr>
      <w:r>
        <w:t xml:space="preserve">A justice reinvestment approach, as proposed under Recommendation 40, has the potential to significantly improve the rates of offending </w:t>
      </w:r>
      <w:r>
        <w:lastRenderedPageBreak/>
        <w:t>behaviour and victimisation in the long term and is likely to be examined in the context of the Safe Communities Strategy. Place based approaches to address offending and reoffending, diversion and early intervention are an opportunity to identify where significant outcomes may be achieved through redirecting resources across a broader range of activities.</w:t>
      </w:r>
      <w:r>
        <w:rPr>
          <w:rStyle w:val="FootnoteReference"/>
        </w:rPr>
        <w:footnoteReference w:id="26"/>
      </w:r>
      <w:r w:rsidR="001E11C7">
        <w:t xml:space="preserve">  </w:t>
      </w:r>
    </w:p>
    <w:p w:rsidR="00D47EFB" w:rsidRDefault="000061C1" w:rsidP="00F56D6F">
      <w:pPr>
        <w:pStyle w:val="SubmissionNormal"/>
      </w:pPr>
      <w:r>
        <w:t>Justice reinvestment has been the subject communi</w:t>
      </w:r>
      <w:r w:rsidR="001E11C7">
        <w:t xml:space="preserve">ty advocacy. The Social Justice </w:t>
      </w:r>
      <w:r>
        <w:t xml:space="preserve">Commissioner, along with other high profile community members </w:t>
      </w:r>
      <w:r w:rsidRPr="00980E4F">
        <w:t>including</w:t>
      </w:r>
      <w:r w:rsidR="00980E4F" w:rsidRPr="00980E4F">
        <w:t xml:space="preserve"> NSW Governor Marie Bashir</w:t>
      </w:r>
      <w:r w:rsidR="00980E4F">
        <w:t>,</w:t>
      </w:r>
      <w:r>
        <w:t xml:space="preserve"> is a champion for the </w:t>
      </w:r>
      <w:r w:rsidRPr="00F56D6F">
        <w:rPr>
          <w:i/>
        </w:rPr>
        <w:t xml:space="preserve">Justice Reinvestment Campaign for Aboriginal Young People </w:t>
      </w:r>
      <w:r>
        <w:t>in NSW.</w:t>
      </w:r>
      <w:r w:rsidR="0017252F">
        <w:rPr>
          <w:rStyle w:val="FootnoteReference"/>
        </w:rPr>
        <w:footnoteReference w:id="27"/>
      </w:r>
      <w:r>
        <w:t xml:space="preserve"> Campaigns are also underway in Victoria, Western Australia, Queensland and the ACT.</w:t>
      </w:r>
      <w:r>
        <w:rPr>
          <w:rStyle w:val="FootnoteReference"/>
        </w:rPr>
        <w:footnoteReference w:id="28"/>
      </w:r>
    </w:p>
    <w:p w:rsidR="00374E1C" w:rsidRDefault="009970D9" w:rsidP="00374E1C">
      <w:pPr>
        <w:pStyle w:val="Heading1"/>
        <w:numPr>
          <w:ilvl w:val="0"/>
          <w:numId w:val="37"/>
        </w:numPr>
      </w:pPr>
      <w:bookmarkStart w:id="23" w:name="_Toc349127178"/>
      <w:r>
        <w:t>Australian applications of justice reinvestment</w:t>
      </w:r>
      <w:bookmarkEnd w:id="23"/>
    </w:p>
    <w:p w:rsidR="00B97507" w:rsidRPr="001E1304" w:rsidRDefault="00B97507" w:rsidP="00B97507">
      <w:pPr>
        <w:pStyle w:val="Heading2"/>
        <w:numPr>
          <w:ilvl w:val="1"/>
          <w:numId w:val="37"/>
        </w:numPr>
      </w:pPr>
      <w:bookmarkStart w:id="24" w:name="_Toc349127179"/>
      <w:r>
        <w:t xml:space="preserve">Aboriginal and Torres Strait </w:t>
      </w:r>
      <w:r w:rsidR="007B5097">
        <w:t>communities</w:t>
      </w:r>
      <w:bookmarkEnd w:id="24"/>
    </w:p>
    <w:p w:rsidR="00F56D6F" w:rsidRDefault="00F56D6F" w:rsidP="00F56D6F">
      <w:pPr>
        <w:pStyle w:val="SubmissionNormal"/>
      </w:pPr>
      <w:r w:rsidRPr="00F56D6F">
        <w:t>To date the thinking around justice reinvestment in Australia has been in relation to Aboriginal and Torres Strait Islander communities.</w:t>
      </w:r>
    </w:p>
    <w:p w:rsidR="000C4294" w:rsidRDefault="000C4294" w:rsidP="000C4294">
      <w:pPr>
        <w:pStyle w:val="SubmissionNormal"/>
      </w:pPr>
      <w:r w:rsidRPr="000C4294">
        <w:t xml:space="preserve">There are persuasive arguments for trialling this approach with Aboriginal and Torres Strait Islander communities given the </w:t>
      </w:r>
      <w:r w:rsidR="003E488A">
        <w:t xml:space="preserve">high </w:t>
      </w:r>
      <w:r w:rsidRPr="000C4294">
        <w:t xml:space="preserve">levels of over-representation and disadvantage faced by these communities. The principles of </w:t>
      </w:r>
      <w:r w:rsidR="003E488A">
        <w:t>a justice reinvestment approach</w:t>
      </w:r>
      <w:r w:rsidRPr="000C4294">
        <w:t xml:space="preserve"> including</w:t>
      </w:r>
      <w:r w:rsidR="007F3786">
        <w:t>:</w:t>
      </w:r>
      <w:r w:rsidRPr="000C4294">
        <w:t xml:space="preserve"> localism,</w:t>
      </w:r>
      <w:r w:rsidR="007F3786">
        <w:t xml:space="preserve"> community control and </w:t>
      </w:r>
      <w:r w:rsidRPr="000C4294">
        <w:t>better cooperation between loca</w:t>
      </w:r>
      <w:r w:rsidR="003E488A">
        <w:t xml:space="preserve">l services, also align </w:t>
      </w:r>
      <w:r w:rsidRPr="000C4294">
        <w:t xml:space="preserve">with what we know about </w:t>
      </w:r>
      <w:r w:rsidR="008F418F">
        <w:t>human rights based</w:t>
      </w:r>
      <w:r w:rsidRPr="000C4294">
        <w:t xml:space="preserve"> practice in Aboriginal and Torres Strait Islander service delivery.</w:t>
      </w:r>
    </w:p>
    <w:p w:rsidR="000C4294" w:rsidRDefault="000C4294" w:rsidP="000C4294">
      <w:pPr>
        <w:pStyle w:val="SubmissionNormal"/>
      </w:pPr>
      <w:r w:rsidRPr="000C4294">
        <w:t>Beyond these reasons, the reality is that if we were to map the locations with the highest concentrations of offenders, many of these locations also have very high Aboriginal and Torres Strait Islander communities.</w:t>
      </w:r>
      <w:r w:rsidR="003E488A">
        <w:rPr>
          <w:rStyle w:val="FootnoteReference"/>
        </w:rPr>
        <w:footnoteReference w:id="29"/>
      </w:r>
    </w:p>
    <w:p w:rsidR="007F3786" w:rsidRDefault="000C4294" w:rsidP="000C4294">
      <w:pPr>
        <w:pStyle w:val="SubmissionNormal"/>
      </w:pPr>
      <w:r w:rsidRPr="000C4294">
        <w:t xml:space="preserve">While Aboriginal and Torres Strait Islanders </w:t>
      </w:r>
      <w:r w:rsidR="008F418F">
        <w:t xml:space="preserve">remain so over-represented </w:t>
      </w:r>
      <w:r w:rsidRPr="000C4294">
        <w:t xml:space="preserve">any </w:t>
      </w:r>
      <w:r w:rsidR="002F0CEF">
        <w:t xml:space="preserve">meaningful action to reduce overall </w:t>
      </w:r>
      <w:r w:rsidRPr="000C4294">
        <w:t xml:space="preserve">imprisonment and reduce spending </w:t>
      </w:r>
      <w:r w:rsidR="002F0CEF">
        <w:t>should be</w:t>
      </w:r>
      <w:r w:rsidRPr="000C4294">
        <w:t xml:space="preserve"> targeted at these communities. </w:t>
      </w:r>
    </w:p>
    <w:p w:rsidR="00DC1BBF" w:rsidRDefault="00D776EB" w:rsidP="000C4294">
      <w:pPr>
        <w:pStyle w:val="SubmissionNormal"/>
      </w:pPr>
      <w:r>
        <w:lastRenderedPageBreak/>
        <w:t xml:space="preserve">The Commission </w:t>
      </w:r>
      <w:r w:rsidR="008F418F">
        <w:t xml:space="preserve">therefore, </w:t>
      </w:r>
      <w:r>
        <w:t xml:space="preserve">recommends that initial trials of justice reinvestment </w:t>
      </w:r>
      <w:r w:rsidR="008F418F">
        <w:t>be</w:t>
      </w:r>
      <w:r>
        <w:t xml:space="preserve"> conducted in partnership with Aboriginal and Torres Strait Islander communities.</w:t>
      </w:r>
    </w:p>
    <w:p w:rsidR="00FD26D2" w:rsidRDefault="00941782" w:rsidP="00941782">
      <w:pPr>
        <w:pStyle w:val="Heading2"/>
        <w:numPr>
          <w:ilvl w:val="1"/>
          <w:numId w:val="37"/>
        </w:numPr>
      </w:pPr>
      <w:bookmarkStart w:id="25" w:name="_Toc349127180"/>
      <w:r>
        <w:t>Vulnerable groups</w:t>
      </w:r>
      <w:bookmarkEnd w:id="25"/>
    </w:p>
    <w:p w:rsidR="00FE0517" w:rsidRDefault="00FD26D2" w:rsidP="00FE0517">
      <w:pPr>
        <w:pStyle w:val="SubmissionNormal"/>
      </w:pPr>
      <w:r>
        <w:t xml:space="preserve">Justice reinvestment is an approach that is targeted at particular locations and communities, not specific vulnerable groups within the prison population. However, a justice reinvestment approach </w:t>
      </w:r>
      <w:r w:rsidR="00130A51">
        <w:t>could analyse</w:t>
      </w:r>
      <w:r>
        <w:t xml:space="preserve"> the characteristics of the prison </w:t>
      </w:r>
      <w:r w:rsidR="00130A51">
        <w:t>population</w:t>
      </w:r>
      <w:r w:rsidR="007F3786">
        <w:t xml:space="preserve"> in the pilot </w:t>
      </w:r>
      <w:r>
        <w:t>communities and then target appropriate progra</w:t>
      </w:r>
      <w:r w:rsidR="00FE0517">
        <w:t xml:space="preserve">ms in a reinvestment strategy. </w:t>
      </w:r>
    </w:p>
    <w:p w:rsidR="00FE0517" w:rsidRDefault="00FD26D2" w:rsidP="00FE0517">
      <w:pPr>
        <w:pStyle w:val="SubmissionNormal"/>
      </w:pPr>
      <w:r>
        <w:t xml:space="preserve">For instance, a high </w:t>
      </w:r>
      <w:r w:rsidR="00550E71">
        <w:t>number of</w:t>
      </w:r>
      <w:r>
        <w:t xml:space="preserve"> young people coming into contact with the juvenile justice system</w:t>
      </w:r>
      <w:r w:rsidR="00EB0A7B">
        <w:t xml:space="preserve"> may be identified in a particular community. </w:t>
      </w:r>
      <w:r w:rsidR="003E267F">
        <w:t xml:space="preserve">When exploring this, it may be discovered that </w:t>
      </w:r>
      <w:r w:rsidR="00EB0A7B">
        <w:t>school attendance and suspension rates in that community</w:t>
      </w:r>
      <w:r w:rsidR="003E267F">
        <w:t xml:space="preserve"> are also very high. This is often the case in these circumstances</w:t>
      </w:r>
      <w:r w:rsidR="003E267F">
        <w:rPr>
          <w:rStyle w:val="FootnoteReference"/>
        </w:rPr>
        <w:footnoteReference w:id="30"/>
      </w:r>
      <w:r w:rsidR="00C5290D">
        <w:t xml:space="preserve">. </w:t>
      </w:r>
      <w:r w:rsidR="00E232FD">
        <w:t xml:space="preserve">Strategies to address school attendance and suspensions could then be implemented combined with </w:t>
      </w:r>
      <w:r w:rsidR="004B4F08">
        <w:t xml:space="preserve">specific </w:t>
      </w:r>
      <w:r w:rsidR="00D317EF">
        <w:t>efforts to improve future employment prospects.</w:t>
      </w:r>
      <w:r w:rsidR="00EB0A7B">
        <w:t xml:space="preserve"> </w:t>
      </w:r>
      <w:r>
        <w:t xml:space="preserve"> </w:t>
      </w:r>
      <w:r w:rsidR="00550E71">
        <w:t>A justice re</w:t>
      </w:r>
      <w:r w:rsidR="00D317EF">
        <w:t xml:space="preserve">investment approach provides the means to offer </w:t>
      </w:r>
      <w:r>
        <w:t xml:space="preserve">location specific crime prevention strategies and </w:t>
      </w:r>
      <w:r w:rsidR="005475AD">
        <w:t xml:space="preserve">customised </w:t>
      </w:r>
      <w:r>
        <w:t xml:space="preserve">programs for young people. </w:t>
      </w:r>
    </w:p>
    <w:p w:rsidR="00941782" w:rsidRPr="00FD26D2" w:rsidRDefault="00FD26D2" w:rsidP="00FE0517">
      <w:pPr>
        <w:pStyle w:val="SubmissionNormal"/>
      </w:pPr>
      <w:r>
        <w:t xml:space="preserve">Similarly, analysis may identify a high level of offenders with </w:t>
      </w:r>
      <w:r w:rsidR="00550E71">
        <w:t>psychosocial disability</w:t>
      </w:r>
      <w:r>
        <w:t xml:space="preserve"> or cognitive</w:t>
      </w:r>
      <w:r w:rsidR="00550E71">
        <w:t xml:space="preserve"> impairment</w:t>
      </w:r>
      <w:r>
        <w:t xml:space="preserve"> </w:t>
      </w:r>
      <w:r w:rsidR="00550E71">
        <w:t>in</w:t>
      </w:r>
      <w:r>
        <w:t xml:space="preserve"> a particular location. Efforts could then be put in place to bolster diversionary activities, programs and support in these communities. </w:t>
      </w:r>
    </w:p>
    <w:p w:rsidR="00D47EFB" w:rsidRDefault="00D47EFB" w:rsidP="00D47EFB">
      <w:pPr>
        <w:pStyle w:val="Heading1"/>
        <w:numPr>
          <w:ilvl w:val="0"/>
          <w:numId w:val="37"/>
        </w:numPr>
      </w:pPr>
      <w:bookmarkStart w:id="26" w:name="_Toc349127181"/>
      <w:r>
        <w:t xml:space="preserve">The role of the </w:t>
      </w:r>
      <w:r w:rsidR="00CD5B14">
        <w:t>Australian</w:t>
      </w:r>
      <w:r>
        <w:t xml:space="preserve"> Government in justice reinvestment</w:t>
      </w:r>
      <w:bookmarkEnd w:id="26"/>
    </w:p>
    <w:p w:rsidR="00FC693A" w:rsidRDefault="002748CA" w:rsidP="00D26FDA">
      <w:pPr>
        <w:pStyle w:val="SubmissionNormal"/>
      </w:pPr>
      <w:r>
        <w:t>The success of justice reinvestment in Australia relies on a cooperative relat</w:t>
      </w:r>
      <w:r w:rsidR="00CD5B14">
        <w:t>ionship between the Australian Government</w:t>
      </w:r>
      <w:r>
        <w:t xml:space="preserve"> and the states and territories. Although the states and territories have </w:t>
      </w:r>
      <w:r w:rsidR="008F418F">
        <w:t xml:space="preserve">primary </w:t>
      </w:r>
      <w:r>
        <w:t xml:space="preserve">responsibility for criminal justice there are opportunities for the </w:t>
      </w:r>
      <w:r w:rsidR="00282789">
        <w:t xml:space="preserve">Australian </w:t>
      </w:r>
      <w:r w:rsidR="007D66BA">
        <w:t>Government to</w:t>
      </w:r>
      <w:r>
        <w:t xml:space="preserve"> encourage and support justice reinvestment.</w:t>
      </w:r>
    </w:p>
    <w:p w:rsidR="005475AD" w:rsidRDefault="00282789" w:rsidP="00D26FDA">
      <w:pPr>
        <w:pStyle w:val="SubmissionNormal"/>
      </w:pPr>
      <w:r>
        <w:t>The Australian Government</w:t>
      </w:r>
      <w:r w:rsidR="007C61C6">
        <w:t xml:space="preserve"> has two distinct roles to play in implementing justice reinvestment. </w:t>
      </w:r>
    </w:p>
    <w:p w:rsidR="008F418F" w:rsidRDefault="007C61C6" w:rsidP="00D26FDA">
      <w:pPr>
        <w:pStyle w:val="SubmissionNormal"/>
      </w:pPr>
      <w:r>
        <w:t>Firstl</w:t>
      </w:r>
      <w:r w:rsidR="00282789">
        <w:t>y, the Australian Government</w:t>
      </w:r>
      <w:r>
        <w:t>, with the states and territories</w:t>
      </w:r>
      <w:r w:rsidR="00282789">
        <w:t>,</w:t>
      </w:r>
      <w:r w:rsidR="007F3786">
        <w:t xml:space="preserve"> can set a</w:t>
      </w:r>
      <w:r>
        <w:t xml:space="preserve"> </w:t>
      </w:r>
      <w:r w:rsidR="00F07B57">
        <w:t>policy landscape that moves away from imprisonment and towards diversion and crime prevention</w:t>
      </w:r>
      <w:r w:rsidR="007F3786">
        <w:t>. This</w:t>
      </w:r>
      <w:r w:rsidR="00F07B57">
        <w:t xml:space="preserve"> will provide the impetus for justice reinvestment approaches.</w:t>
      </w:r>
    </w:p>
    <w:p w:rsidR="00282789" w:rsidRDefault="008F418F" w:rsidP="00D26FDA">
      <w:pPr>
        <w:pStyle w:val="SubmissionNormal"/>
      </w:pPr>
      <w:r>
        <w:t xml:space="preserve">The Commission has previously recommended that </w:t>
      </w:r>
      <w:r w:rsidR="00282789">
        <w:t>the Australian Government</w:t>
      </w:r>
      <w:r w:rsidR="007C61C6">
        <w:t xml:space="preserve"> and State and Territory governments commit to justice targets as part of the Closing the Gap Strategy. </w:t>
      </w:r>
      <w:r w:rsidR="00F07B57">
        <w:t xml:space="preserve">Justice targets should be set to reduce the imprisonment rate of Aboriginal and Torres Strait Islander people. </w:t>
      </w:r>
    </w:p>
    <w:p w:rsidR="007C61C6" w:rsidRDefault="00282789" w:rsidP="00D26FDA">
      <w:pPr>
        <w:pStyle w:val="SubmissionNormal"/>
      </w:pPr>
      <w:r>
        <w:lastRenderedPageBreak/>
        <w:t>T</w:t>
      </w:r>
      <w:r w:rsidR="007C61C6">
        <w:t xml:space="preserve">argets </w:t>
      </w:r>
      <w:r>
        <w:t xml:space="preserve">should be </w:t>
      </w:r>
      <w:r w:rsidR="007C61C6">
        <w:t>i</w:t>
      </w:r>
      <w:r>
        <w:t>mplemented as part of</w:t>
      </w:r>
      <w:r w:rsidR="007C61C6">
        <w:t xml:space="preserve"> a fully funded Safe Communities National Partnership Agreement as part of the Closing the Gap Strategy. </w:t>
      </w:r>
    </w:p>
    <w:p w:rsidR="00282789" w:rsidRDefault="00282789" w:rsidP="00D26FDA">
      <w:pPr>
        <w:pStyle w:val="SubmissionNormal"/>
      </w:pPr>
      <w:r>
        <w:t xml:space="preserve">It is pleasing to see that the Australian Government </w:t>
      </w:r>
      <w:r w:rsidR="00B8458A">
        <w:t>and the states and territories have commenced some of this work through the National Justice CEOs. However, we are still waiting for progress to be made public.</w:t>
      </w:r>
    </w:p>
    <w:p w:rsidR="00B67D55" w:rsidRDefault="00F07B57" w:rsidP="00D26FDA">
      <w:pPr>
        <w:pStyle w:val="SubmissionNormal"/>
      </w:pPr>
      <w:r>
        <w:t xml:space="preserve">Secondly, the </w:t>
      </w:r>
      <w:r w:rsidR="00B8458A">
        <w:t>Australian Government</w:t>
      </w:r>
      <w:r>
        <w:t xml:space="preserve"> can provide the necess</w:t>
      </w:r>
      <w:r w:rsidR="00EA1DC3">
        <w:t xml:space="preserve">ary support to establish trials </w:t>
      </w:r>
      <w:r>
        <w:t xml:space="preserve">of justice reinvestment in </w:t>
      </w:r>
      <w:r w:rsidR="00B67D55">
        <w:t>conjunction</w:t>
      </w:r>
      <w:r>
        <w:t xml:space="preserve"> with the states and territories and local communities.</w:t>
      </w:r>
      <w:r w:rsidR="00B67D55">
        <w:t xml:space="preserve"> </w:t>
      </w:r>
    </w:p>
    <w:p w:rsidR="00EA1DC3" w:rsidRDefault="00EA1DC3" w:rsidP="00BD2CB0">
      <w:pPr>
        <w:pStyle w:val="SubmissionNormal"/>
      </w:pPr>
      <w:r>
        <w:t xml:space="preserve">Trial </w:t>
      </w:r>
      <w:r w:rsidR="00FC693A">
        <w:t>sites should be communities with high concentrations of Aboriginal and Torres Strait Islander imprisonment. Local communities must be actively engaged in the process</w:t>
      </w:r>
      <w:r>
        <w:t>. Existing community structures such as community justice groups may form the starting point.  S</w:t>
      </w:r>
      <w:r w:rsidR="00FC693A">
        <w:t>trong cooperation will need to be fostered between local government agencies and services providers. The initial development phase of the pilots may take some time to get right</w:t>
      </w:r>
      <w:r>
        <w:t>.</w:t>
      </w:r>
      <w:r w:rsidR="00296C4A">
        <w:t xml:space="preserve"> </w:t>
      </w:r>
    </w:p>
    <w:p w:rsidR="00300999" w:rsidRDefault="00EA1DC3" w:rsidP="00BD2CB0">
      <w:pPr>
        <w:pStyle w:val="SubmissionNormal"/>
      </w:pPr>
      <w:r>
        <w:t>Any trials</w:t>
      </w:r>
      <w:r w:rsidR="00296C4A">
        <w:t xml:space="preserve"> should be accompanied by a</w:t>
      </w:r>
      <w:r w:rsidR="00FC693A">
        <w:t xml:space="preserve"> research and evaluation strategy to ensure any lessons around design, process and implementation can be used in other sites.</w:t>
      </w:r>
      <w:r w:rsidR="00300999">
        <w:t xml:space="preserve"> </w:t>
      </w:r>
    </w:p>
    <w:p w:rsidR="00EB6A76" w:rsidRPr="00A96892" w:rsidRDefault="00300999" w:rsidP="00547D9A">
      <w:pPr>
        <w:pStyle w:val="SubmissionNormal"/>
        <w:spacing w:before="0" w:after="0"/>
      </w:pPr>
      <w:r>
        <w:t>Similarly, the demographic mapping and analysis of the drivers of imprisonment that are inherent to the justice reinvestment methodology should not be overlooked. One of the great strengths of justice reinvestment is the balance between community control and evidence based research and practice. If we lose this balance we are likely to lose the integrity and strength of the justice reinvestment approach.</w:t>
      </w:r>
    </w:p>
    <w:sectPr w:rsidR="00EB6A76" w:rsidRPr="00A96892" w:rsidSect="00B63D24">
      <w:headerReference w:type="even" r:id="rId16"/>
      <w:headerReference w:type="default" r:id="rId17"/>
      <w:footerReference w:type="default" r:id="rId18"/>
      <w:headerReference w:type="first" r:id="rId19"/>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04" w:rsidRDefault="00972E04" w:rsidP="00F14C6D">
      <w:r>
        <w:separator/>
      </w:r>
    </w:p>
  </w:endnote>
  <w:endnote w:type="continuationSeparator" w:id="0">
    <w:p w:rsidR="00972E04" w:rsidRDefault="00972E04"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0DD" w:rsidRDefault="00737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Pr="0090165F" w:rsidRDefault="00972E04" w:rsidP="00162A8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Pr="004A187B" w:rsidRDefault="00972E04" w:rsidP="008B23BC">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rsidR="00972E04" w:rsidRPr="0003606D" w:rsidRDefault="00972E04" w:rsidP="0003606D">
                          <w:pPr>
                            <w:pStyle w:val="coveraddresses"/>
                          </w:pPr>
                          <w:r w:rsidRPr="0003606D">
                            <w:t>ABN 47 996 232 602</w:t>
                          </w:r>
                        </w:p>
                        <w:p w:rsidR="00972E04" w:rsidRPr="0003606D" w:rsidRDefault="00972E04" w:rsidP="0003606D">
                          <w:pPr>
                            <w:pStyle w:val="coveraddresses"/>
                          </w:pPr>
                          <w:r w:rsidRPr="0003606D">
                            <w:t>Level 3, 175 Pitt Street, Sydney NSW 2000</w:t>
                          </w:r>
                        </w:p>
                        <w:p w:rsidR="00972E04" w:rsidRPr="0003606D" w:rsidRDefault="00972E04" w:rsidP="0003606D">
                          <w:pPr>
                            <w:pStyle w:val="coveraddresses"/>
                          </w:pPr>
                          <w:r w:rsidRPr="0003606D">
                            <w:t>GPO Box 5218, Sydney NSW 2001</w:t>
                          </w:r>
                        </w:p>
                        <w:p w:rsidR="00972E04" w:rsidRPr="0003606D" w:rsidRDefault="00972E04" w:rsidP="0003606D">
                          <w:pPr>
                            <w:pStyle w:val="coveraddresses"/>
                          </w:pPr>
                          <w:r w:rsidRPr="0003606D">
                            <w:t>General enquiries 1300 369 711</w:t>
                          </w:r>
                        </w:p>
                        <w:p w:rsidR="00972E04" w:rsidRPr="0003606D" w:rsidRDefault="00972E04" w:rsidP="0003606D">
                          <w:pPr>
                            <w:pStyle w:val="coveraddresses"/>
                          </w:pPr>
                          <w:r w:rsidRPr="0003606D">
                            <w:t>Complaints info line 1300 656 419</w:t>
                          </w:r>
                        </w:p>
                        <w:p w:rsidR="00972E04" w:rsidRPr="0003606D" w:rsidRDefault="00972E04" w:rsidP="0003606D">
                          <w:pPr>
                            <w:pStyle w:val="coveraddresses"/>
                          </w:pPr>
                          <w:r w:rsidRPr="0003606D">
                            <w:t>TTY 1800 620 241</w:t>
                          </w:r>
                        </w:p>
                        <w:p w:rsidR="00972E04" w:rsidRPr="00B63D24" w:rsidRDefault="00972E04"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5475AD" w:rsidRPr="0003606D" w:rsidRDefault="005475AD" w:rsidP="0003606D">
                    <w:pPr>
                      <w:pStyle w:val="coveraddresses"/>
                    </w:pPr>
                    <w:r w:rsidRPr="0003606D">
                      <w:t>ABN 47 996 232 602</w:t>
                    </w:r>
                  </w:p>
                  <w:p w:rsidR="005475AD" w:rsidRPr="0003606D" w:rsidRDefault="005475AD" w:rsidP="0003606D">
                    <w:pPr>
                      <w:pStyle w:val="coveraddresses"/>
                    </w:pPr>
                    <w:r w:rsidRPr="0003606D">
                      <w:t>Level 3, 175 Pitt Street, Sydney NSW 2000</w:t>
                    </w:r>
                  </w:p>
                  <w:p w:rsidR="005475AD" w:rsidRPr="0003606D" w:rsidRDefault="005475AD" w:rsidP="0003606D">
                    <w:pPr>
                      <w:pStyle w:val="coveraddresses"/>
                    </w:pPr>
                    <w:r w:rsidRPr="0003606D">
                      <w:t>GPO Box 5218, Sydney NSW 2001</w:t>
                    </w:r>
                  </w:p>
                  <w:p w:rsidR="005475AD" w:rsidRPr="0003606D" w:rsidRDefault="005475AD" w:rsidP="0003606D">
                    <w:pPr>
                      <w:pStyle w:val="coveraddresses"/>
                    </w:pPr>
                    <w:r w:rsidRPr="0003606D">
                      <w:t>General enquiries 1300 369 711</w:t>
                    </w:r>
                  </w:p>
                  <w:p w:rsidR="005475AD" w:rsidRPr="0003606D" w:rsidRDefault="005475AD" w:rsidP="0003606D">
                    <w:pPr>
                      <w:pStyle w:val="coveraddresses"/>
                    </w:pPr>
                    <w:r w:rsidRPr="0003606D">
                      <w:t>Complaints info line 1300 656 419</w:t>
                    </w:r>
                  </w:p>
                  <w:p w:rsidR="005475AD" w:rsidRPr="0003606D" w:rsidRDefault="005475AD" w:rsidP="0003606D">
                    <w:pPr>
                      <w:pStyle w:val="coveraddresses"/>
                    </w:pPr>
                    <w:r w:rsidRPr="0003606D">
                      <w:t>TTY 1800 620 241</w:t>
                    </w:r>
                  </w:p>
                  <w:p w:rsidR="005475AD" w:rsidRPr="00B63D24" w:rsidRDefault="005475AD" w:rsidP="00B63D24">
                    <w:pPr>
                      <w:pStyle w:val="Footer"/>
                    </w:pPr>
                    <w:r w:rsidRPr="00B63D24">
                      <w:tab/>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Pr="0090165F" w:rsidRDefault="00972E04"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4E2D67">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04" w:rsidRDefault="00972E04" w:rsidP="00F14C6D">
      <w:r>
        <w:separator/>
      </w:r>
    </w:p>
  </w:footnote>
  <w:footnote w:type="continuationSeparator" w:id="0">
    <w:p w:rsidR="00972E04" w:rsidRDefault="00972E04" w:rsidP="00F14C6D">
      <w:r>
        <w:continuationSeparator/>
      </w:r>
    </w:p>
  </w:footnote>
  <w:footnote w:id="1">
    <w:p w:rsidR="00972E04" w:rsidRPr="00AB6B5B" w:rsidRDefault="00972E04">
      <w:pPr>
        <w:pStyle w:val="FootnoteText"/>
      </w:pPr>
      <w:r>
        <w:rPr>
          <w:rStyle w:val="FootnoteReference"/>
        </w:rPr>
        <w:footnoteRef/>
      </w:r>
      <w:proofErr w:type="gramStart"/>
      <w:r>
        <w:t xml:space="preserve">T </w:t>
      </w:r>
      <w:proofErr w:type="spellStart"/>
      <w:r>
        <w:t>Calma</w:t>
      </w:r>
      <w:proofErr w:type="spellEnd"/>
      <w:r>
        <w:t xml:space="preserve">, Aboriginal and Torres Strait Islander Social Justice Commissioner, </w:t>
      </w:r>
      <w:r>
        <w:rPr>
          <w:i/>
        </w:rPr>
        <w:t>Social Justice Report 2009</w:t>
      </w:r>
      <w:r>
        <w:t>, Australian Human Rights Commission (2009).</w:t>
      </w:r>
      <w:proofErr w:type="gramEnd"/>
      <w:r>
        <w:t xml:space="preserve"> At</w:t>
      </w:r>
      <w:hyperlink r:id="rId1" w:history="1">
        <w:r w:rsidRPr="00337E1A">
          <w:rPr>
            <w:rStyle w:val="Hyperlink"/>
          </w:rPr>
          <w:t>http://humanrights.gov.au/social_justice/sj_report/sjreport09/index.html</w:t>
        </w:r>
      </w:hyperlink>
      <w:r>
        <w:t xml:space="preserve"> (viewed 14 February 2013).</w:t>
      </w:r>
    </w:p>
  </w:footnote>
  <w:footnote w:id="2">
    <w:p w:rsidR="00972E04" w:rsidRPr="00E22DBB" w:rsidRDefault="00972E04">
      <w:pPr>
        <w:pStyle w:val="FootnoteText"/>
        <w:rPr>
          <w:rFonts w:cs="Arial"/>
        </w:rPr>
      </w:pPr>
      <w:r>
        <w:rPr>
          <w:rStyle w:val="FootnoteReference"/>
        </w:rPr>
        <w:footnoteRef/>
      </w:r>
      <w:r>
        <w:t xml:space="preserve"> </w:t>
      </w:r>
      <w:r w:rsidRPr="00E22DBB">
        <w:rPr>
          <w:rFonts w:cs="Arial"/>
        </w:rPr>
        <w:t xml:space="preserve">Council of State Governments Justice </w:t>
      </w:r>
      <w:proofErr w:type="spellStart"/>
      <w:r w:rsidRPr="00E22DBB">
        <w:rPr>
          <w:rFonts w:cs="Arial"/>
        </w:rPr>
        <w:t>Center</w:t>
      </w:r>
      <w:proofErr w:type="spellEnd"/>
      <w:r w:rsidRPr="00E22DBB">
        <w:rPr>
          <w:rFonts w:cs="Arial"/>
        </w:rPr>
        <w:t xml:space="preserve">, </w:t>
      </w:r>
      <w:hyperlink r:id="rId2" w:history="1">
        <w:r w:rsidRPr="00E22DBB">
          <w:rPr>
            <w:rStyle w:val="Hyperlink"/>
            <w:rFonts w:cs="Arial"/>
          </w:rPr>
          <w:t>http://justicereinvestment.org/strategy</w:t>
        </w:r>
      </w:hyperlink>
      <w:r w:rsidRPr="00E22DBB">
        <w:rPr>
          <w:rFonts w:cs="Arial"/>
        </w:rPr>
        <w:t xml:space="preserve"> (viewed 14 February 2013).</w:t>
      </w:r>
    </w:p>
  </w:footnote>
  <w:footnote w:id="3">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w:t>
      </w:r>
      <w:proofErr w:type="gramStart"/>
      <w:r w:rsidRPr="00E22DBB">
        <w:rPr>
          <w:rFonts w:cs="Arial"/>
        </w:rPr>
        <w:t xml:space="preserve">D Brown, M Schwartz, L </w:t>
      </w:r>
      <w:proofErr w:type="spellStart"/>
      <w:r w:rsidRPr="00E22DBB">
        <w:rPr>
          <w:rFonts w:cs="Arial"/>
        </w:rPr>
        <w:t>Boseley</w:t>
      </w:r>
      <w:proofErr w:type="spellEnd"/>
      <w:r w:rsidRPr="00E22DBB">
        <w:rPr>
          <w:rFonts w:cs="Arial"/>
        </w:rPr>
        <w:t>, ‘The Promises of Justice Reinvestment,’</w:t>
      </w:r>
      <w:r w:rsidRPr="00E22DBB">
        <w:rPr>
          <w:rStyle w:val="Heading1Char"/>
          <w:rFonts w:cs="Arial"/>
          <w:color w:val="222222"/>
          <w:sz w:val="19"/>
          <w:szCs w:val="19"/>
          <w:lang w:val="en"/>
        </w:rPr>
        <w:t xml:space="preserve"> </w:t>
      </w:r>
      <w:r w:rsidRPr="00E22DBB">
        <w:rPr>
          <w:rStyle w:val="Heading1Char"/>
          <w:rFonts w:cs="Arial"/>
          <w:b w:val="0"/>
          <w:color w:val="222222"/>
          <w:sz w:val="19"/>
          <w:szCs w:val="19"/>
          <w:lang w:val="en"/>
        </w:rPr>
        <w:t>Alternative Law Journal (2012) 37 (2) p 97.</w:t>
      </w:r>
      <w:proofErr w:type="gramEnd"/>
      <w:r w:rsidRPr="00E22DBB">
        <w:rPr>
          <w:rStyle w:val="Heading1Char"/>
          <w:rFonts w:cs="Arial"/>
          <w:b w:val="0"/>
          <w:color w:val="222222"/>
          <w:sz w:val="19"/>
          <w:szCs w:val="19"/>
          <w:lang w:val="en"/>
        </w:rPr>
        <w:t xml:space="preserve"> </w:t>
      </w:r>
    </w:p>
  </w:footnote>
  <w:footnote w:id="4">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D Brown, M Schwartz, L </w:t>
      </w:r>
      <w:proofErr w:type="spellStart"/>
      <w:r w:rsidRPr="00E22DBB">
        <w:rPr>
          <w:rFonts w:cs="Arial"/>
        </w:rPr>
        <w:t>Boseley</w:t>
      </w:r>
      <w:proofErr w:type="spellEnd"/>
      <w:r w:rsidRPr="00E22DBB">
        <w:rPr>
          <w:rFonts w:cs="Arial"/>
        </w:rPr>
        <w:t xml:space="preserve">, ‘The Promises of Justice </w:t>
      </w:r>
      <w:proofErr w:type="gramStart"/>
      <w:r w:rsidRPr="00E22DBB">
        <w:rPr>
          <w:rFonts w:cs="Arial"/>
        </w:rPr>
        <w:t>Reinvestment,’</w:t>
      </w:r>
      <w:r w:rsidRPr="00E22DBB">
        <w:rPr>
          <w:rFonts w:cs="Arial"/>
          <w:b/>
          <w:bCs/>
          <w:lang w:val="en"/>
        </w:rPr>
        <w:t xml:space="preserve">  </w:t>
      </w:r>
      <w:r w:rsidRPr="00E22DBB">
        <w:rPr>
          <w:rFonts w:cs="Arial"/>
          <w:bCs/>
          <w:lang w:val="en"/>
        </w:rPr>
        <w:t>Alternative</w:t>
      </w:r>
      <w:proofErr w:type="gramEnd"/>
      <w:r w:rsidRPr="00E22DBB">
        <w:rPr>
          <w:rFonts w:cs="Arial"/>
          <w:bCs/>
          <w:lang w:val="en"/>
        </w:rPr>
        <w:t xml:space="preserve"> Law Journal (2012) 37 (2) p 97.</w:t>
      </w:r>
    </w:p>
  </w:footnote>
  <w:footnote w:id="5">
    <w:p w:rsidR="00972E04" w:rsidRPr="00E22DBB" w:rsidRDefault="00972E04" w:rsidP="00674E0D">
      <w:pPr>
        <w:pStyle w:val="FootnoteText"/>
        <w:rPr>
          <w:rFonts w:cs="Arial"/>
        </w:rPr>
      </w:pPr>
      <w:r w:rsidRPr="00E22DBB">
        <w:rPr>
          <w:rStyle w:val="FootnoteReference"/>
          <w:rFonts w:cs="Arial"/>
        </w:rPr>
        <w:footnoteRef/>
      </w:r>
      <w:r w:rsidRPr="00E22DBB">
        <w:rPr>
          <w:rFonts w:cs="Arial"/>
        </w:rPr>
        <w:t xml:space="preserve"> Council of State Governments Justice </w:t>
      </w:r>
      <w:proofErr w:type="spellStart"/>
      <w:r w:rsidRPr="00E22DBB">
        <w:rPr>
          <w:rFonts w:cs="Arial"/>
        </w:rPr>
        <w:t>Center</w:t>
      </w:r>
      <w:proofErr w:type="spellEnd"/>
      <w:r w:rsidRPr="00E22DBB">
        <w:rPr>
          <w:rFonts w:cs="Arial"/>
        </w:rPr>
        <w:t xml:space="preserve">, </w:t>
      </w:r>
      <w:hyperlink r:id="rId3" w:history="1">
        <w:r w:rsidRPr="00E22DBB">
          <w:rPr>
            <w:rStyle w:val="Hyperlink"/>
            <w:rFonts w:cs="Arial"/>
          </w:rPr>
          <w:t>http://justicereinvestment.org/facts_and_trends</w:t>
        </w:r>
      </w:hyperlink>
      <w:r w:rsidRPr="00E22DBB">
        <w:rPr>
          <w:rFonts w:cs="Arial"/>
        </w:rPr>
        <w:t xml:space="preserve">  (viewed 14 February 2013).</w:t>
      </w:r>
    </w:p>
  </w:footnote>
  <w:footnote w:id="6">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D Brown, M Schwartz, L </w:t>
      </w:r>
      <w:proofErr w:type="spellStart"/>
      <w:r w:rsidRPr="00E22DBB">
        <w:rPr>
          <w:rFonts w:cs="Arial"/>
        </w:rPr>
        <w:t>Boseley</w:t>
      </w:r>
      <w:proofErr w:type="spellEnd"/>
      <w:r w:rsidRPr="00E22DBB">
        <w:rPr>
          <w:rFonts w:cs="Arial"/>
        </w:rPr>
        <w:t xml:space="preserve">, ‘The Promises of Justice Reinvestment,’ Alternative Law </w:t>
      </w:r>
      <w:proofErr w:type="gramStart"/>
      <w:r w:rsidRPr="00E22DBB">
        <w:rPr>
          <w:rFonts w:cs="Arial"/>
        </w:rPr>
        <w:t>Journal  (</w:t>
      </w:r>
      <w:proofErr w:type="gramEnd"/>
      <w:r w:rsidRPr="00E22DBB">
        <w:rPr>
          <w:rFonts w:cs="Arial"/>
        </w:rPr>
        <w:t>2012) 37 (2) p 98.</w:t>
      </w:r>
    </w:p>
  </w:footnote>
  <w:footnote w:id="7">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w:t>
      </w:r>
      <w:proofErr w:type="gramStart"/>
      <w:r w:rsidRPr="00E22DBB">
        <w:rPr>
          <w:rFonts w:cs="Arial"/>
        </w:rPr>
        <w:t xml:space="preserve">Australian Bureau of Statistics, </w:t>
      </w:r>
      <w:r w:rsidRPr="00E22DBB">
        <w:rPr>
          <w:rFonts w:cs="Arial"/>
          <w:i/>
        </w:rPr>
        <w:t>Prisoners in Australia 2011</w:t>
      </w:r>
      <w:r w:rsidRPr="00E22DBB">
        <w:rPr>
          <w:rFonts w:cs="Arial"/>
        </w:rPr>
        <w:t>(2011), p 8.</w:t>
      </w:r>
      <w:proofErr w:type="gramEnd"/>
      <w:r w:rsidRPr="00E22DBB">
        <w:rPr>
          <w:rFonts w:cs="Arial"/>
          <w:i/>
        </w:rPr>
        <w:t xml:space="preserve"> </w:t>
      </w:r>
    </w:p>
  </w:footnote>
  <w:footnote w:id="8">
    <w:p w:rsidR="00972E04" w:rsidRDefault="00972E04">
      <w:pPr>
        <w:pStyle w:val="FootnoteText"/>
      </w:pPr>
      <w:r>
        <w:rPr>
          <w:rStyle w:val="FootnoteReference"/>
        </w:rPr>
        <w:footnoteRef/>
      </w:r>
      <w:r>
        <w:t xml:space="preserve"> </w:t>
      </w:r>
      <w:proofErr w:type="gramStart"/>
      <w:r>
        <w:t>Australian Institute of Health and Welfare.</w:t>
      </w:r>
      <w:proofErr w:type="gramEnd"/>
      <w:r>
        <w:t xml:space="preserve"> A picture of Australia’s </w:t>
      </w:r>
      <w:proofErr w:type="gramStart"/>
      <w:r>
        <w:t>Children  2012</w:t>
      </w:r>
      <w:proofErr w:type="gramEnd"/>
      <w:r>
        <w:t>. p.102</w:t>
      </w:r>
    </w:p>
  </w:footnote>
  <w:footnote w:id="9">
    <w:p w:rsidR="00972E04" w:rsidRPr="00E22DBB" w:rsidRDefault="00972E04" w:rsidP="00956320">
      <w:pPr>
        <w:pStyle w:val="FootnoteText"/>
        <w:rPr>
          <w:rFonts w:cs="Arial"/>
        </w:rPr>
      </w:pPr>
      <w:r w:rsidRPr="00E22DBB">
        <w:rPr>
          <w:rStyle w:val="FootnoteReference"/>
          <w:rFonts w:cs="Arial"/>
        </w:rPr>
        <w:footnoteRef/>
      </w:r>
      <w:r w:rsidRPr="00E22DBB">
        <w:rPr>
          <w:rFonts w:cs="Arial"/>
        </w:rPr>
        <w:t xml:space="preserve"> SCRGSP (Steering Committee for the Review of Government Service Provision) 2011,</w:t>
      </w:r>
    </w:p>
    <w:p w:rsidR="00972E04" w:rsidRPr="00E22DBB" w:rsidRDefault="00972E04" w:rsidP="002E30BE">
      <w:pPr>
        <w:pStyle w:val="FootnoteText"/>
        <w:rPr>
          <w:rFonts w:cs="Arial"/>
        </w:rPr>
      </w:pPr>
      <w:r w:rsidRPr="00E22DBB">
        <w:rPr>
          <w:rFonts w:cs="Arial"/>
          <w:i/>
          <w:iCs/>
        </w:rPr>
        <w:t>Overcoming Indigenous Disadvantage: Key Indicators 2011</w:t>
      </w:r>
      <w:r w:rsidRPr="00E22DBB">
        <w:rPr>
          <w:rFonts w:cs="Arial"/>
        </w:rPr>
        <w:t xml:space="preserve"> (2011), Productivity Commission, p 4.132</w:t>
      </w:r>
    </w:p>
  </w:footnote>
  <w:footnote w:id="10">
    <w:p w:rsidR="00972E04" w:rsidRPr="00E22DBB" w:rsidRDefault="00972E04" w:rsidP="004954CB">
      <w:pPr>
        <w:pStyle w:val="FootnoteText"/>
        <w:rPr>
          <w:rFonts w:cs="Arial"/>
        </w:rPr>
      </w:pPr>
      <w:r w:rsidRPr="00E22DBB">
        <w:rPr>
          <w:rStyle w:val="FootnoteReference"/>
          <w:rFonts w:cs="Arial"/>
        </w:rPr>
        <w:footnoteRef/>
      </w:r>
      <w:r w:rsidRPr="00E22DBB">
        <w:rPr>
          <w:rFonts w:cs="Arial"/>
        </w:rPr>
        <w:t xml:space="preserve"> SCRGSP (Steering Committee for the Review of Government Service Provision) 2011,</w:t>
      </w:r>
    </w:p>
    <w:p w:rsidR="00972E04" w:rsidRPr="00E22DBB" w:rsidRDefault="00972E04" w:rsidP="004954CB">
      <w:pPr>
        <w:pStyle w:val="FootnoteText"/>
        <w:rPr>
          <w:rFonts w:cs="Arial"/>
        </w:rPr>
      </w:pPr>
      <w:r w:rsidRPr="00E22DBB">
        <w:rPr>
          <w:rFonts w:cs="Arial"/>
          <w:i/>
          <w:iCs/>
        </w:rPr>
        <w:t>Overcoming Indigenous Disadvantage: Key Indicators 2011</w:t>
      </w:r>
      <w:r w:rsidRPr="00E22DBB">
        <w:rPr>
          <w:rFonts w:cs="Arial"/>
        </w:rPr>
        <w:t xml:space="preserve"> (2011), Productivity Commission, p 4.133</w:t>
      </w:r>
    </w:p>
  </w:footnote>
  <w:footnote w:id="11">
    <w:p w:rsidR="00972E04" w:rsidRDefault="00972E04">
      <w:pPr>
        <w:pStyle w:val="FootnoteText"/>
      </w:pPr>
      <w:r>
        <w:rPr>
          <w:rStyle w:val="FootnoteReference"/>
        </w:rPr>
        <w:footnoteRef/>
      </w:r>
      <w:r>
        <w:t xml:space="preserve"> </w:t>
      </w:r>
      <w:r w:rsidRPr="002E42C6">
        <w:t xml:space="preserve">D </w:t>
      </w:r>
      <w:proofErr w:type="spellStart"/>
      <w:r w:rsidRPr="002E42C6">
        <w:t>Indig</w:t>
      </w:r>
      <w:proofErr w:type="spellEnd"/>
      <w:r w:rsidRPr="002E42C6">
        <w:t xml:space="preserve">, C </w:t>
      </w:r>
      <w:proofErr w:type="spellStart"/>
      <w:r w:rsidRPr="002E42C6">
        <w:t>Vecchiato</w:t>
      </w:r>
      <w:proofErr w:type="spellEnd"/>
      <w:r w:rsidRPr="002E42C6">
        <w:t xml:space="preserve">, L </w:t>
      </w:r>
      <w:proofErr w:type="spellStart"/>
      <w:r w:rsidRPr="002E42C6">
        <w:t>Haysom</w:t>
      </w:r>
      <w:proofErr w:type="spellEnd"/>
      <w:r w:rsidRPr="002E42C6">
        <w:t xml:space="preserve">, R </w:t>
      </w:r>
      <w:proofErr w:type="spellStart"/>
      <w:r w:rsidRPr="002E42C6">
        <w:t>Beilby</w:t>
      </w:r>
      <w:proofErr w:type="spellEnd"/>
      <w:r w:rsidRPr="002E42C6">
        <w:t xml:space="preserve">, J Carter, U Champion, C Gaskin, E Heller, S Kumar, N </w:t>
      </w:r>
      <w:proofErr w:type="spellStart"/>
      <w:r w:rsidRPr="002E42C6">
        <w:t>Mamone</w:t>
      </w:r>
      <w:proofErr w:type="spellEnd"/>
      <w:r w:rsidRPr="002E42C6">
        <w:t xml:space="preserve">, P Muir, P van den </w:t>
      </w:r>
      <w:proofErr w:type="spellStart"/>
      <w:r w:rsidRPr="002E42C6">
        <w:t>Dolder</w:t>
      </w:r>
      <w:proofErr w:type="spellEnd"/>
      <w:r w:rsidRPr="002E42C6">
        <w:t xml:space="preserve"> and G Whitton, </w:t>
      </w:r>
      <w:r w:rsidRPr="002E42C6">
        <w:rPr>
          <w:i/>
        </w:rPr>
        <w:t xml:space="preserve">2009 NSW </w:t>
      </w:r>
      <w:proofErr w:type="spellStart"/>
      <w:r w:rsidRPr="002E42C6">
        <w:rPr>
          <w:i/>
        </w:rPr>
        <w:t>Yound</w:t>
      </w:r>
      <w:proofErr w:type="spellEnd"/>
      <w:r w:rsidRPr="002E42C6">
        <w:rPr>
          <w:i/>
        </w:rPr>
        <w:t xml:space="preserve"> People in Custody Health Survey: Full Report, </w:t>
      </w:r>
      <w:r w:rsidRPr="002E42C6">
        <w:t xml:space="preserve">Justice Health </w:t>
      </w:r>
      <w:proofErr w:type="spellStart"/>
      <w:r w:rsidRPr="002E42C6">
        <w:t>Statewide</w:t>
      </w:r>
      <w:proofErr w:type="spellEnd"/>
      <w:r w:rsidRPr="002E42C6">
        <w:t xml:space="preserve"> </w:t>
      </w:r>
      <w:r>
        <w:t>Service, NSW Health (2010), p 17</w:t>
      </w:r>
      <w:r w:rsidRPr="002E42C6">
        <w:t>.</w:t>
      </w:r>
    </w:p>
  </w:footnote>
  <w:footnote w:id="12">
    <w:p w:rsidR="00972E04" w:rsidRDefault="00972E04">
      <w:pPr>
        <w:pStyle w:val="FootnoteText"/>
      </w:pPr>
      <w:r>
        <w:rPr>
          <w:rStyle w:val="FootnoteReference"/>
        </w:rPr>
        <w:footnoteRef/>
      </w:r>
      <w:r>
        <w:t xml:space="preserve"> </w:t>
      </w:r>
      <w:r w:rsidRPr="00191DB8">
        <w:t xml:space="preserve">D </w:t>
      </w:r>
      <w:proofErr w:type="spellStart"/>
      <w:r w:rsidRPr="00191DB8">
        <w:t>Indig</w:t>
      </w:r>
      <w:proofErr w:type="spellEnd"/>
      <w:r w:rsidRPr="00191DB8">
        <w:t xml:space="preserve">, L </w:t>
      </w:r>
      <w:proofErr w:type="spellStart"/>
      <w:r w:rsidRPr="00191DB8">
        <w:t>Topp</w:t>
      </w:r>
      <w:proofErr w:type="spellEnd"/>
      <w:r w:rsidRPr="00191DB8">
        <w:t xml:space="preserve">, B Ross, H </w:t>
      </w:r>
      <w:proofErr w:type="spellStart"/>
      <w:r w:rsidRPr="00191DB8">
        <w:t>Mamoon</w:t>
      </w:r>
      <w:proofErr w:type="spellEnd"/>
      <w:r w:rsidRPr="00191DB8">
        <w:t xml:space="preserve">, B Border, S Kumar and M McNamara, </w:t>
      </w:r>
      <w:r w:rsidRPr="00191DB8">
        <w:rPr>
          <w:i/>
        </w:rPr>
        <w:t>2009 NSW Inmate Health Survey: Key Findings Report,</w:t>
      </w:r>
      <w:r w:rsidRPr="00191DB8">
        <w:t xml:space="preserve"> Justice Health </w:t>
      </w:r>
      <w:proofErr w:type="spellStart"/>
      <w:r w:rsidRPr="00191DB8">
        <w:t>Statewide</w:t>
      </w:r>
      <w:proofErr w:type="spellEnd"/>
      <w:r w:rsidRPr="00191DB8">
        <w:t xml:space="preserve"> Service, NSW Health (2010), p 17.</w:t>
      </w:r>
    </w:p>
  </w:footnote>
  <w:footnote w:id="13">
    <w:p w:rsidR="00972E04" w:rsidRDefault="00972E04">
      <w:pPr>
        <w:pStyle w:val="FootnoteText"/>
      </w:pPr>
      <w:r>
        <w:rPr>
          <w:rStyle w:val="FootnoteReference"/>
        </w:rPr>
        <w:footnoteRef/>
      </w:r>
      <w:r>
        <w:t xml:space="preserve"> </w:t>
      </w:r>
      <w:r w:rsidRPr="00191DB8">
        <w:t xml:space="preserve">D </w:t>
      </w:r>
      <w:proofErr w:type="spellStart"/>
      <w:r w:rsidRPr="00191DB8">
        <w:t>Indig</w:t>
      </w:r>
      <w:proofErr w:type="spellEnd"/>
      <w:r w:rsidRPr="00191DB8">
        <w:t xml:space="preserve">, C </w:t>
      </w:r>
      <w:proofErr w:type="spellStart"/>
      <w:r w:rsidRPr="00191DB8">
        <w:t>Vecchiato</w:t>
      </w:r>
      <w:proofErr w:type="spellEnd"/>
      <w:r w:rsidRPr="00191DB8">
        <w:t xml:space="preserve">, L </w:t>
      </w:r>
      <w:proofErr w:type="spellStart"/>
      <w:r w:rsidRPr="00191DB8">
        <w:t>Haysom</w:t>
      </w:r>
      <w:proofErr w:type="spellEnd"/>
      <w:r w:rsidRPr="00191DB8">
        <w:t xml:space="preserve">, R </w:t>
      </w:r>
      <w:proofErr w:type="spellStart"/>
      <w:r w:rsidRPr="00191DB8">
        <w:t>Beilby</w:t>
      </w:r>
      <w:proofErr w:type="spellEnd"/>
      <w:r w:rsidRPr="00191DB8">
        <w:t xml:space="preserve">, J Carter, U Champion, C Gaskin, E Heller, S Kumar, N </w:t>
      </w:r>
      <w:proofErr w:type="spellStart"/>
      <w:r w:rsidRPr="00191DB8">
        <w:t>Mamone</w:t>
      </w:r>
      <w:proofErr w:type="spellEnd"/>
      <w:r w:rsidRPr="00191DB8">
        <w:t xml:space="preserve">, P Muir, P van den </w:t>
      </w:r>
      <w:proofErr w:type="spellStart"/>
      <w:r w:rsidRPr="00191DB8">
        <w:t>Dolder</w:t>
      </w:r>
      <w:proofErr w:type="spellEnd"/>
      <w:r w:rsidRPr="00191DB8">
        <w:t xml:space="preserve"> and G Whitton, </w:t>
      </w:r>
      <w:r w:rsidRPr="00191DB8">
        <w:rPr>
          <w:i/>
        </w:rPr>
        <w:t xml:space="preserve">2009 NSW </w:t>
      </w:r>
      <w:proofErr w:type="spellStart"/>
      <w:r w:rsidRPr="00191DB8">
        <w:rPr>
          <w:i/>
        </w:rPr>
        <w:t>Yound</w:t>
      </w:r>
      <w:proofErr w:type="spellEnd"/>
      <w:r w:rsidRPr="00191DB8">
        <w:rPr>
          <w:i/>
        </w:rPr>
        <w:t xml:space="preserve"> People in Custody Health Survey: Full Report, </w:t>
      </w:r>
      <w:r w:rsidRPr="00191DB8">
        <w:t xml:space="preserve">Justice Health </w:t>
      </w:r>
      <w:proofErr w:type="spellStart"/>
      <w:r w:rsidRPr="00191DB8">
        <w:t>Statewide</w:t>
      </w:r>
      <w:proofErr w:type="spellEnd"/>
      <w:r w:rsidRPr="00191DB8">
        <w:t xml:space="preserve"> Service</w:t>
      </w:r>
      <w:r>
        <w:t>, NSW Health (2010), p 15.</w:t>
      </w:r>
    </w:p>
  </w:footnote>
  <w:footnote w:id="14">
    <w:p w:rsidR="00972E04" w:rsidRDefault="00972E04">
      <w:pPr>
        <w:pStyle w:val="FootnoteText"/>
      </w:pPr>
      <w:r>
        <w:rPr>
          <w:rStyle w:val="FootnoteReference"/>
        </w:rPr>
        <w:footnoteRef/>
      </w:r>
      <w:r>
        <w:t xml:space="preserve"> </w:t>
      </w:r>
      <w:r w:rsidRPr="002E42C6">
        <w:t xml:space="preserve">D </w:t>
      </w:r>
      <w:proofErr w:type="spellStart"/>
      <w:r w:rsidRPr="002E42C6">
        <w:t>Indig</w:t>
      </w:r>
      <w:proofErr w:type="spellEnd"/>
      <w:r w:rsidRPr="002E42C6">
        <w:t xml:space="preserve">, C </w:t>
      </w:r>
      <w:proofErr w:type="spellStart"/>
      <w:r w:rsidRPr="002E42C6">
        <w:t>Vecchiato</w:t>
      </w:r>
      <w:proofErr w:type="spellEnd"/>
      <w:r w:rsidRPr="002E42C6">
        <w:t xml:space="preserve">, L </w:t>
      </w:r>
      <w:proofErr w:type="spellStart"/>
      <w:r w:rsidRPr="002E42C6">
        <w:t>Haysom</w:t>
      </w:r>
      <w:proofErr w:type="spellEnd"/>
      <w:r w:rsidRPr="002E42C6">
        <w:t xml:space="preserve">, R </w:t>
      </w:r>
      <w:proofErr w:type="spellStart"/>
      <w:r w:rsidRPr="002E42C6">
        <w:t>Beilby</w:t>
      </w:r>
      <w:proofErr w:type="spellEnd"/>
      <w:r w:rsidRPr="002E42C6">
        <w:t xml:space="preserve">, J Carter, U Champion, C Gaskin, E Heller, S Kumar, N </w:t>
      </w:r>
      <w:proofErr w:type="spellStart"/>
      <w:r w:rsidRPr="002E42C6">
        <w:t>Mamone</w:t>
      </w:r>
      <w:proofErr w:type="spellEnd"/>
      <w:r w:rsidRPr="002E42C6">
        <w:t xml:space="preserve">, P Muir, P van den </w:t>
      </w:r>
      <w:proofErr w:type="spellStart"/>
      <w:r w:rsidRPr="002E42C6">
        <w:t>Dolder</w:t>
      </w:r>
      <w:proofErr w:type="spellEnd"/>
      <w:r w:rsidRPr="002E42C6">
        <w:t xml:space="preserve"> and G Whitton, </w:t>
      </w:r>
      <w:r w:rsidRPr="002E42C6">
        <w:rPr>
          <w:i/>
        </w:rPr>
        <w:t xml:space="preserve">2009 NSW </w:t>
      </w:r>
      <w:proofErr w:type="spellStart"/>
      <w:r w:rsidRPr="002E42C6">
        <w:rPr>
          <w:i/>
        </w:rPr>
        <w:t>Yound</w:t>
      </w:r>
      <w:proofErr w:type="spellEnd"/>
      <w:r w:rsidRPr="002E42C6">
        <w:rPr>
          <w:i/>
        </w:rPr>
        <w:t xml:space="preserve"> People in Custody Health Survey: Full Report, </w:t>
      </w:r>
      <w:r w:rsidRPr="002E42C6">
        <w:t xml:space="preserve">Justice Health </w:t>
      </w:r>
      <w:proofErr w:type="spellStart"/>
      <w:r w:rsidRPr="002E42C6">
        <w:t>Statewide</w:t>
      </w:r>
      <w:proofErr w:type="spellEnd"/>
      <w:r w:rsidRPr="002E42C6">
        <w:t xml:space="preserve"> S</w:t>
      </w:r>
      <w:r>
        <w:t>ervice, NSW Health (2010), p 15.</w:t>
      </w:r>
    </w:p>
  </w:footnote>
  <w:footnote w:id="15">
    <w:p w:rsidR="00972E04" w:rsidRPr="00E22DBB" w:rsidRDefault="00972E04" w:rsidP="002311A5">
      <w:pPr>
        <w:pStyle w:val="FootnoteText"/>
        <w:rPr>
          <w:rFonts w:cs="Arial"/>
        </w:rPr>
      </w:pPr>
      <w:r>
        <w:rPr>
          <w:rStyle w:val="FootnoteReference"/>
        </w:rPr>
        <w:footnoteRef/>
      </w:r>
      <w:r w:rsidRPr="00E22DBB">
        <w:rPr>
          <w:rFonts w:cs="Arial"/>
        </w:rPr>
        <w:t>SCRGSP (Steering Committee for the Review of Government Service Provision) ,</w:t>
      </w:r>
    </w:p>
    <w:p w:rsidR="00972E04" w:rsidRPr="00E22DBB" w:rsidRDefault="00972E04" w:rsidP="002311A5">
      <w:pPr>
        <w:pStyle w:val="FootnoteText"/>
        <w:rPr>
          <w:rFonts w:cs="Arial"/>
        </w:rPr>
      </w:pPr>
      <w:r w:rsidRPr="00E22DBB">
        <w:rPr>
          <w:rFonts w:cs="Arial"/>
          <w:i/>
        </w:rPr>
        <w:t xml:space="preserve">Report on Government Services </w:t>
      </w:r>
      <w:proofErr w:type="gramStart"/>
      <w:r w:rsidRPr="00E22DBB">
        <w:rPr>
          <w:rFonts w:cs="Arial"/>
          <w:i/>
        </w:rPr>
        <w:t>2012</w:t>
      </w:r>
      <w:r w:rsidRPr="00E22DBB">
        <w:rPr>
          <w:rFonts w:cs="Arial"/>
        </w:rPr>
        <w:t xml:space="preserve"> ,</w:t>
      </w:r>
      <w:proofErr w:type="gramEnd"/>
      <w:r w:rsidRPr="00E22DBB">
        <w:rPr>
          <w:rFonts w:cs="Arial"/>
        </w:rPr>
        <w:t xml:space="preserve"> Productivity Commission (2012) p 8.2. At </w:t>
      </w:r>
      <w:hyperlink r:id="rId4" w:history="1">
        <w:r w:rsidRPr="00E22DBB">
          <w:rPr>
            <w:rStyle w:val="Hyperlink"/>
            <w:rFonts w:cs="Arial"/>
          </w:rPr>
          <w:t>http://www.pc.gov.au/__data/assets/pdf_file/0019/114940/24-government-services-2012-chapter8.pdf</w:t>
        </w:r>
      </w:hyperlink>
      <w:r w:rsidRPr="00E22DBB">
        <w:rPr>
          <w:rFonts w:cs="Arial"/>
        </w:rPr>
        <w:t xml:space="preserve"> (viewed 14 February 2013).</w:t>
      </w:r>
    </w:p>
  </w:footnote>
  <w:footnote w:id="16">
    <w:p w:rsidR="00972E04" w:rsidRPr="00E22DBB" w:rsidRDefault="00972E04" w:rsidP="00697F86">
      <w:pPr>
        <w:pStyle w:val="FootnoteText"/>
        <w:rPr>
          <w:rFonts w:cs="Arial"/>
        </w:rPr>
      </w:pPr>
      <w:r w:rsidRPr="00E22DBB">
        <w:rPr>
          <w:rStyle w:val="FootnoteReference"/>
          <w:rFonts w:cs="Arial"/>
        </w:rPr>
        <w:footnoteRef/>
      </w:r>
      <w:r w:rsidRPr="00E22DBB">
        <w:rPr>
          <w:rFonts w:cs="Arial"/>
        </w:rPr>
        <w:t xml:space="preserve"> National Indigenous Drug and Alcohol Committee, </w:t>
      </w:r>
      <w:r w:rsidRPr="00E22DBB">
        <w:rPr>
          <w:rFonts w:cs="Arial"/>
          <w:i/>
        </w:rPr>
        <w:t xml:space="preserve">An economic analysis for Aboriginal and Torres Strait Islander offenders: prison </w:t>
      </w:r>
      <w:proofErr w:type="spellStart"/>
      <w:r w:rsidRPr="00E22DBB">
        <w:rPr>
          <w:rFonts w:cs="Arial"/>
          <w:i/>
        </w:rPr>
        <w:t>vs</w:t>
      </w:r>
      <w:proofErr w:type="spellEnd"/>
      <w:r w:rsidRPr="00E22DBB">
        <w:rPr>
          <w:rFonts w:cs="Arial"/>
          <w:i/>
        </w:rPr>
        <w:t xml:space="preserve"> residential treatment, </w:t>
      </w:r>
      <w:r w:rsidRPr="00E22DBB">
        <w:rPr>
          <w:rFonts w:cs="Arial"/>
        </w:rPr>
        <w:t xml:space="preserve">Australian National Council on Drugs (2013) p vii. At </w:t>
      </w:r>
      <w:hyperlink r:id="rId5" w:history="1">
        <w:r w:rsidRPr="00E22DBB">
          <w:rPr>
            <w:rStyle w:val="Hyperlink"/>
            <w:rFonts w:cs="Arial"/>
          </w:rPr>
          <w:t>http://www.nidac.org.au/images/PDFs/NIDACIpublications/prison_vs_residential_treatment.pdf</w:t>
        </w:r>
      </w:hyperlink>
      <w:r w:rsidRPr="00E22DBB">
        <w:rPr>
          <w:rFonts w:cs="Arial"/>
        </w:rPr>
        <w:t xml:space="preserve"> (viewed 14 February 2013).</w:t>
      </w:r>
    </w:p>
  </w:footnote>
  <w:footnote w:id="17">
    <w:p w:rsidR="00972E04" w:rsidRPr="00F65C33" w:rsidRDefault="00972E04">
      <w:pPr>
        <w:pStyle w:val="FootnoteText"/>
        <w:rPr>
          <w:rFonts w:cs="Arial"/>
        </w:rPr>
      </w:pPr>
      <w:r w:rsidRPr="00E22DBB">
        <w:rPr>
          <w:rStyle w:val="FootnoteReference"/>
          <w:rFonts w:cs="Arial"/>
        </w:rPr>
        <w:footnoteRef/>
      </w:r>
      <w:r w:rsidRPr="00E22DBB">
        <w:rPr>
          <w:rFonts w:cs="Arial"/>
        </w:rPr>
        <w:t xml:space="preserve"> National Indigenous Drug and Alcohol Committee, An economic analysis for Aboriginal and Torres Strait Islander offenders: pr</w:t>
      </w:r>
      <w:r>
        <w:rPr>
          <w:rFonts w:cs="Arial"/>
        </w:rPr>
        <w:t xml:space="preserve">ison </w:t>
      </w:r>
      <w:proofErr w:type="spellStart"/>
      <w:r>
        <w:rPr>
          <w:rFonts w:cs="Arial"/>
        </w:rPr>
        <w:t>vs</w:t>
      </w:r>
      <w:proofErr w:type="spellEnd"/>
      <w:r>
        <w:rPr>
          <w:rFonts w:cs="Arial"/>
        </w:rPr>
        <w:t xml:space="preserve"> residential treatment, </w:t>
      </w:r>
      <w:r w:rsidRPr="00E22DBB">
        <w:rPr>
          <w:rFonts w:cs="Arial"/>
        </w:rPr>
        <w:t>Australian National Co</w:t>
      </w:r>
      <w:r>
        <w:rPr>
          <w:rFonts w:cs="Arial"/>
        </w:rPr>
        <w:t xml:space="preserve">uncil on Drugs (2013) p xi. At </w:t>
      </w:r>
      <w:hyperlink r:id="rId6" w:history="1">
        <w:r w:rsidRPr="00F65C33">
          <w:rPr>
            <w:rStyle w:val="Hyperlink"/>
            <w:rFonts w:cs="Arial"/>
          </w:rPr>
          <w:t>http://www.nidac.org.au/images/PDFs/NIDACIpublications/prison_vs_residential_treatment.pdf</w:t>
        </w:r>
      </w:hyperlink>
      <w:r w:rsidRPr="00F65C33">
        <w:rPr>
          <w:rFonts w:cs="Arial"/>
        </w:rPr>
        <w:t xml:space="preserve"> (viewed 14 February 2013).</w:t>
      </w:r>
    </w:p>
  </w:footnote>
  <w:footnote w:id="18">
    <w:p w:rsidR="00972E04" w:rsidRPr="00607214" w:rsidRDefault="00972E04">
      <w:pPr>
        <w:pStyle w:val="FootnoteText"/>
      </w:pPr>
      <w:r>
        <w:rPr>
          <w:rStyle w:val="FootnoteReference"/>
        </w:rPr>
        <w:footnoteRef/>
      </w:r>
      <w:r>
        <w:t xml:space="preserve"> D Rose and T Clear, ‘Incarceration, Social Capital and Crime: Implications for Social Disorganization Theory’ (1998) 36 (3) </w:t>
      </w:r>
      <w:r>
        <w:rPr>
          <w:i/>
        </w:rPr>
        <w:t xml:space="preserve">Criminology </w:t>
      </w:r>
      <w:proofErr w:type="spellStart"/>
      <w:r>
        <w:t>pp</w:t>
      </w:r>
      <w:proofErr w:type="spellEnd"/>
      <w:r>
        <w:t xml:space="preserve"> 441-80.</w:t>
      </w:r>
    </w:p>
  </w:footnote>
  <w:footnote w:id="19">
    <w:p w:rsidR="00972E04" w:rsidRPr="00184C71" w:rsidRDefault="00972E04">
      <w:pPr>
        <w:pStyle w:val="FootnoteText"/>
      </w:pPr>
      <w:r>
        <w:rPr>
          <w:rStyle w:val="FootnoteReference"/>
        </w:rPr>
        <w:footnoteRef/>
      </w:r>
      <w:r>
        <w:t xml:space="preserve"> D </w:t>
      </w:r>
      <w:proofErr w:type="spellStart"/>
      <w:r>
        <w:t>Stemen</w:t>
      </w:r>
      <w:proofErr w:type="spellEnd"/>
      <w:r>
        <w:t xml:space="preserve">, </w:t>
      </w:r>
      <w:r>
        <w:rPr>
          <w:i/>
        </w:rPr>
        <w:t xml:space="preserve">Reconsidering </w:t>
      </w:r>
      <w:proofErr w:type="spellStart"/>
      <w:r>
        <w:rPr>
          <w:i/>
        </w:rPr>
        <w:t>Incaceration</w:t>
      </w:r>
      <w:proofErr w:type="spellEnd"/>
      <w:r>
        <w:rPr>
          <w:i/>
        </w:rPr>
        <w:t>: New Directions for Reducing Crime</w:t>
      </w:r>
      <w:r>
        <w:t xml:space="preserve">, Vera Institute of Juvenile Justice, 2007. </w:t>
      </w:r>
      <w:proofErr w:type="gramStart"/>
      <w:r>
        <w:t xml:space="preserve">At  </w:t>
      </w:r>
      <w:proofErr w:type="gramEnd"/>
      <w:r w:rsidR="004E2D67">
        <w:fldChar w:fldCharType="begin"/>
      </w:r>
      <w:r w:rsidR="004E2D67">
        <w:instrText xml:space="preserve"> HYPERLINK "http://www.vera.org/sites/default/files/resources/downloads/veraincarc_vFW2.pdf" </w:instrText>
      </w:r>
      <w:r w:rsidR="004E2D67">
        <w:fldChar w:fldCharType="separate"/>
      </w:r>
      <w:r w:rsidRPr="00337E1A">
        <w:rPr>
          <w:rStyle w:val="Hyperlink"/>
        </w:rPr>
        <w:t>http://www.vera.org/sites/default/files/resources/downloads/veraincarc_vFW2.pdf</w:t>
      </w:r>
      <w:r w:rsidR="004E2D67">
        <w:rPr>
          <w:rStyle w:val="Hyperlink"/>
        </w:rPr>
        <w:fldChar w:fldCharType="end"/>
      </w:r>
      <w:r>
        <w:t xml:space="preserve"> (viewed 14 February 2013).</w:t>
      </w:r>
    </w:p>
  </w:footnote>
  <w:footnote w:id="20">
    <w:p w:rsidR="00972E04" w:rsidRPr="00EE5E2D" w:rsidRDefault="00972E04">
      <w:pPr>
        <w:pStyle w:val="FootnoteText"/>
      </w:pPr>
      <w:r>
        <w:rPr>
          <w:rStyle w:val="FootnoteReference"/>
        </w:rPr>
        <w:footnoteRef/>
      </w:r>
      <w:r>
        <w:t xml:space="preserve"> M Levy, </w:t>
      </w:r>
      <w:r>
        <w:rPr>
          <w:i/>
        </w:rPr>
        <w:t>Children of Prisoners: an issue of courts to consider in sentencing</w:t>
      </w:r>
      <w:r>
        <w:t xml:space="preserve"> (Presentation to Federal Criminal Justice Forum, Canberra, 29 September 2008). </w:t>
      </w:r>
    </w:p>
  </w:footnote>
  <w:footnote w:id="21">
    <w:p w:rsidR="00972E04" w:rsidRDefault="00972E04">
      <w:pPr>
        <w:pStyle w:val="FootnoteText"/>
      </w:pPr>
      <w:r>
        <w:rPr>
          <w:rStyle w:val="FootnoteReference"/>
        </w:rPr>
        <w:footnoteRef/>
      </w:r>
      <w:r w:rsidRPr="007B5382">
        <w:t>M Levy, Children of Prisoners: an issue of courts to consider in sentencing (Presentation to Federal Criminal Justice Forum, Canberra, 29 September 2008).</w:t>
      </w:r>
      <w:r>
        <w:t xml:space="preserve"> </w:t>
      </w:r>
    </w:p>
  </w:footnote>
  <w:footnote w:id="22">
    <w:p w:rsidR="00972E04" w:rsidRPr="007B5382" w:rsidRDefault="00972E04">
      <w:pPr>
        <w:pStyle w:val="FootnoteText"/>
      </w:pPr>
      <w:r>
        <w:rPr>
          <w:rStyle w:val="FootnoteReference"/>
        </w:rPr>
        <w:footnoteRef/>
      </w:r>
      <w:r>
        <w:t xml:space="preserve"> Committee on the Rights of Child, </w:t>
      </w:r>
      <w:r>
        <w:rPr>
          <w:i/>
        </w:rPr>
        <w:t>Consideration of reports submitted by States parties under article 44 of the Convention- Concluding observations: Australia</w:t>
      </w:r>
      <w:r>
        <w:t>, UN Doc CRC/C/</w:t>
      </w:r>
      <w:proofErr w:type="spellStart"/>
      <w:r>
        <w:t>Aus</w:t>
      </w:r>
      <w:proofErr w:type="spellEnd"/>
      <w:r>
        <w:t xml:space="preserve">/Co/4 (2012) p 17. At </w:t>
      </w:r>
      <w:hyperlink r:id="rId7" w:history="1">
        <w:r w:rsidRPr="00337E1A">
          <w:rPr>
            <w:rStyle w:val="Hyperlink"/>
          </w:rPr>
          <w:t>http://www2.ohchr.org/english/bodies/crc/docs/co/CRC_C_AUS_CO_4.pdf</w:t>
        </w:r>
      </w:hyperlink>
      <w:r>
        <w:t xml:space="preserve"> (viewed 14 February 2013).</w:t>
      </w:r>
    </w:p>
  </w:footnote>
  <w:footnote w:id="23">
    <w:p w:rsidR="00972E04" w:rsidRPr="00D52F2F" w:rsidRDefault="00972E04">
      <w:pPr>
        <w:pStyle w:val="FootnoteText"/>
      </w:pPr>
      <w:r>
        <w:rPr>
          <w:rStyle w:val="FootnoteReference"/>
        </w:rPr>
        <w:footnoteRef/>
      </w:r>
      <w:r>
        <w:t xml:space="preserve"> </w:t>
      </w:r>
      <w:proofErr w:type="gramStart"/>
      <w:r>
        <w:t xml:space="preserve">D Brown, ‘The Limited Benefit of Prison in Controlling Crime’, (2010) 22 (1) </w:t>
      </w:r>
      <w:r>
        <w:rPr>
          <w:i/>
        </w:rPr>
        <w:t>Current Issues in Criminal Justice</w:t>
      </w:r>
      <w:r>
        <w:t>, p 142.</w:t>
      </w:r>
      <w:proofErr w:type="gramEnd"/>
    </w:p>
  </w:footnote>
  <w:footnote w:id="24">
    <w:p w:rsidR="00972E04" w:rsidRPr="00E22DBB" w:rsidRDefault="00972E04">
      <w:pPr>
        <w:pStyle w:val="FootnoteText"/>
        <w:rPr>
          <w:rFonts w:cs="Arial"/>
          <w:i/>
        </w:rPr>
      </w:pPr>
      <w:r>
        <w:rPr>
          <w:rStyle w:val="FootnoteReference"/>
        </w:rPr>
        <w:footnoteRef/>
      </w:r>
      <w:r>
        <w:t xml:space="preserve"> </w:t>
      </w:r>
      <w:r w:rsidRPr="00E22DBB">
        <w:rPr>
          <w:rFonts w:cs="Arial"/>
        </w:rPr>
        <w:t xml:space="preserve">R </w:t>
      </w:r>
      <w:proofErr w:type="spellStart"/>
      <w:r w:rsidRPr="00E22DBB">
        <w:rPr>
          <w:rFonts w:cs="Arial"/>
        </w:rPr>
        <w:t>Lulham</w:t>
      </w:r>
      <w:proofErr w:type="spellEnd"/>
      <w:r w:rsidRPr="00E22DBB">
        <w:rPr>
          <w:rFonts w:cs="Arial"/>
        </w:rPr>
        <w:t xml:space="preserve">, D </w:t>
      </w:r>
      <w:proofErr w:type="spellStart"/>
      <w:r w:rsidRPr="00E22DBB">
        <w:rPr>
          <w:rFonts w:cs="Arial"/>
        </w:rPr>
        <w:t>Weatherburn</w:t>
      </w:r>
      <w:proofErr w:type="spellEnd"/>
      <w:r w:rsidRPr="00E22DBB">
        <w:rPr>
          <w:rFonts w:cs="Arial"/>
        </w:rPr>
        <w:t xml:space="preserve"> and L Bartels, </w:t>
      </w:r>
      <w:r w:rsidRPr="00E22DBB">
        <w:rPr>
          <w:rFonts w:cs="Arial"/>
          <w:i/>
        </w:rPr>
        <w:t>The recidivism of offenders given suspended sentences: A comparison with full-time imprisonment</w:t>
      </w:r>
      <w:r w:rsidRPr="00E22DBB">
        <w:rPr>
          <w:rFonts w:cs="Arial"/>
        </w:rPr>
        <w:t xml:space="preserve">, NSW Bureau of Crime Statistics and Research (2009).  At </w:t>
      </w:r>
      <w:hyperlink r:id="rId8" w:history="1">
        <w:r w:rsidRPr="00E22DBB">
          <w:rPr>
            <w:rStyle w:val="Hyperlink"/>
            <w:rFonts w:cs="Arial"/>
          </w:rPr>
          <w:t>http://www.lawlink.nsw.gov.au/lawlink/bocsar/ll_bocsar.nsf/vwFiles/cjb136.pdf/$file/cjb136.pdf</w:t>
        </w:r>
      </w:hyperlink>
      <w:r w:rsidRPr="00E22DBB">
        <w:rPr>
          <w:rFonts w:cs="Arial"/>
        </w:rPr>
        <w:t xml:space="preserve"> (viewed 14 February 2013).</w:t>
      </w:r>
    </w:p>
  </w:footnote>
  <w:footnote w:id="25">
    <w:p w:rsidR="00972E04" w:rsidRPr="008E0AD5" w:rsidRDefault="00972E04" w:rsidP="008E0AD5">
      <w:pPr>
        <w:pStyle w:val="FootnoteText"/>
        <w:rPr>
          <w:rFonts w:cs="Arial"/>
        </w:rPr>
      </w:pPr>
      <w:r w:rsidRPr="00E22DBB">
        <w:rPr>
          <w:rStyle w:val="FootnoteReference"/>
          <w:rFonts w:cs="Arial"/>
        </w:rPr>
        <w:footnoteRef/>
      </w:r>
      <w:r w:rsidRPr="00E22DBB">
        <w:rPr>
          <w:rFonts w:cs="Arial"/>
        </w:rPr>
        <w:t xml:space="preserve"> </w:t>
      </w:r>
      <w:r w:rsidRPr="008E0AD5">
        <w:rPr>
          <w:rFonts w:cs="Arial"/>
        </w:rPr>
        <w:t xml:space="preserve">House of Representatives Standing Committee on Aboriginal and Torres Strait Islander Affairs, Doing Time, Time for Doing: Indigenous youth in the criminal justice system (June 2011). At </w:t>
      </w:r>
      <w:hyperlink r:id="rId9" w:history="1">
        <w:r w:rsidRPr="00F65C33">
          <w:rPr>
            <w:rStyle w:val="Hyperlink"/>
            <w:rFonts w:cs="Arial"/>
          </w:rPr>
          <w:t>http://www.aph.gov.au/Parliamentary_Business/Committees/House_of_Representatives_Committees?url=atsia/sentencing/report.htm</w:t>
        </w:r>
      </w:hyperlink>
      <w:r w:rsidRPr="008E0AD5">
        <w:rPr>
          <w:rFonts w:cs="Arial"/>
        </w:rPr>
        <w:t xml:space="preserve"> (viewed 14 February 2013); Noetic Solutions, A strategic Review of the New South Wales Juvenile Justice System: Report for the Minister for Juvenile Justice (April 2010). At </w:t>
      </w:r>
      <w:hyperlink r:id="rId10" w:history="1">
        <w:r w:rsidRPr="00F65C33">
          <w:rPr>
            <w:rStyle w:val="Hyperlink"/>
            <w:rFonts w:cs="Arial"/>
          </w:rPr>
          <w:t>http://indigenousjustice.gov.au/db/publications/285011.html</w:t>
        </w:r>
      </w:hyperlink>
      <w:r w:rsidRPr="008E0AD5">
        <w:rPr>
          <w:rFonts w:cs="Arial"/>
        </w:rPr>
        <w:t xml:space="preserve"> (viewed 14 February 2013).</w:t>
      </w:r>
    </w:p>
    <w:p w:rsidR="00972E04" w:rsidRPr="00E22DBB" w:rsidRDefault="00972E04" w:rsidP="008E0AD5">
      <w:pPr>
        <w:pStyle w:val="FootnoteText"/>
        <w:rPr>
          <w:rFonts w:cs="Arial"/>
        </w:rPr>
      </w:pPr>
      <w:r w:rsidRPr="008E0AD5">
        <w:rPr>
          <w:rFonts w:cs="Arial"/>
        </w:rPr>
        <w:t xml:space="preserve">Legal and Constitutional Affairs References Committee, Access to Justice (December 2009). At </w:t>
      </w:r>
      <w:hyperlink r:id="rId11" w:history="1">
        <w:r w:rsidRPr="00F65C33">
          <w:rPr>
            <w:rStyle w:val="Hyperlink"/>
            <w:rFonts w:cs="Arial"/>
          </w:rPr>
          <w:t>http://www.aph.gov.au/Parliamentary_Business/Committees/Senate_Committees?url=legcon_ctte/completed_inquiries/2008-10/access_to_justice/report/index.htm</w:t>
        </w:r>
      </w:hyperlink>
      <w:r w:rsidRPr="008E0AD5">
        <w:rPr>
          <w:rFonts w:cs="Arial"/>
        </w:rPr>
        <w:t xml:space="preserve"> (viewed 14 February 2013).</w:t>
      </w:r>
    </w:p>
  </w:footnote>
  <w:footnote w:id="26">
    <w:p w:rsidR="00972E04" w:rsidRPr="00E22DBB" w:rsidRDefault="00972E04" w:rsidP="00FD26D2">
      <w:pPr>
        <w:pStyle w:val="FootnoteText"/>
        <w:rPr>
          <w:rFonts w:cs="Arial"/>
        </w:rPr>
      </w:pPr>
      <w:r w:rsidRPr="00E22DBB">
        <w:rPr>
          <w:rStyle w:val="FootnoteReference"/>
          <w:rFonts w:cs="Arial"/>
        </w:rPr>
        <w:footnoteRef/>
      </w:r>
      <w:r w:rsidRPr="00E22DBB">
        <w:rPr>
          <w:rFonts w:cs="Arial"/>
        </w:rPr>
        <w:t xml:space="preserve"> Australian Government, </w:t>
      </w:r>
      <w:r w:rsidRPr="00E22DBB">
        <w:rPr>
          <w:rFonts w:cs="Arial"/>
          <w:i/>
        </w:rPr>
        <w:t>Government Response to the House of Representatives Standing Committee on Aboriginal and Torres Strait Islander Affairs report: ‘Doing Time- Time for Doing’: Indigenous Youth in the Criminal Justice System</w:t>
      </w:r>
      <w:r w:rsidRPr="00E22DBB">
        <w:rPr>
          <w:rFonts w:cs="Arial"/>
        </w:rPr>
        <w:t xml:space="preserve">, (2011) p 36. At </w:t>
      </w:r>
      <w:hyperlink r:id="rId12" w:history="1">
        <w:r w:rsidRPr="00E22DBB">
          <w:rPr>
            <w:rStyle w:val="Hyperlink"/>
            <w:rFonts w:cs="Arial"/>
          </w:rPr>
          <w:t>http://www.aph.gov.au/Parliamentary_Business/Committees/House_of_Representatives_Committees?url=atsia/govt%20responses/doingtimereponse.pdf</w:t>
        </w:r>
      </w:hyperlink>
      <w:r w:rsidRPr="00E22DBB">
        <w:rPr>
          <w:rFonts w:cs="Arial"/>
        </w:rPr>
        <w:t xml:space="preserve"> (viewed 14 February 2013).</w:t>
      </w:r>
    </w:p>
  </w:footnote>
  <w:footnote w:id="27">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Justice Reinvestment Campaign for Aboriginal Young People, http://justicereinvestmentnow.net.au</w:t>
      </w:r>
      <w:proofErr w:type="gramStart"/>
      <w:r w:rsidRPr="00E22DBB">
        <w:rPr>
          <w:rFonts w:cs="Arial"/>
        </w:rPr>
        <w:t>/  (</w:t>
      </w:r>
      <w:proofErr w:type="gramEnd"/>
      <w:r w:rsidRPr="00E22DBB">
        <w:rPr>
          <w:rFonts w:cs="Arial"/>
        </w:rPr>
        <w:t>viewed 14 February 2013).</w:t>
      </w:r>
    </w:p>
  </w:footnote>
  <w:footnote w:id="28">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See the Smart Justice project in Victoria-  </w:t>
      </w:r>
      <w:hyperlink r:id="rId13" w:history="1">
        <w:r w:rsidRPr="00F65C33">
          <w:rPr>
            <w:rStyle w:val="Hyperlink"/>
            <w:rFonts w:cs="Arial"/>
          </w:rPr>
          <w:t>http://www.smartjustice.org.au/</w:t>
        </w:r>
      </w:hyperlink>
      <w:r w:rsidRPr="00E22DBB">
        <w:rPr>
          <w:rFonts w:cs="Arial"/>
        </w:rPr>
        <w:t xml:space="preserve"> (viewed 14 February 2013); Justice Reinvestment Implementation Committee in Western Australia-  </w:t>
      </w:r>
      <w:hyperlink r:id="rId14" w:history="1">
        <w:r w:rsidRPr="00E22DBB">
          <w:rPr>
            <w:rStyle w:val="Hyperlink"/>
            <w:rFonts w:cs="Arial"/>
          </w:rPr>
          <w:t>http://www.deathsincustody.org.au/prisonovercrowding</w:t>
        </w:r>
      </w:hyperlink>
      <w:r w:rsidRPr="00E22DBB">
        <w:rPr>
          <w:rFonts w:cs="Arial"/>
        </w:rPr>
        <w:t xml:space="preserve"> (viewed 14 February 2103); Project 10% in Queensland- </w:t>
      </w:r>
      <w:hyperlink r:id="rId15" w:history="1">
        <w:r w:rsidRPr="00E22DBB">
          <w:rPr>
            <w:rStyle w:val="Hyperlink"/>
            <w:rFonts w:cs="Arial"/>
          </w:rPr>
          <w:t>http://www.project10percent.org.au/</w:t>
        </w:r>
      </w:hyperlink>
      <w:r w:rsidRPr="00E22DBB">
        <w:rPr>
          <w:rFonts w:cs="Arial"/>
        </w:rPr>
        <w:t xml:space="preserve"> (viewed 14 February 2013) and Justice</w:t>
      </w:r>
      <w:r>
        <w:t xml:space="preserve"> </w:t>
      </w:r>
      <w:r w:rsidRPr="00E22DBB">
        <w:rPr>
          <w:rFonts w:cs="Arial"/>
        </w:rPr>
        <w:t xml:space="preserve">Reinvestment Forum in the ACT- </w:t>
      </w:r>
      <w:hyperlink r:id="rId16" w:history="1">
        <w:r w:rsidRPr="00E22DBB">
          <w:rPr>
            <w:rStyle w:val="Hyperlink"/>
            <w:rFonts w:cs="Arial"/>
          </w:rPr>
          <w:t>http://ncis.anu.edu.au/events/past/jr_forum.php</w:t>
        </w:r>
      </w:hyperlink>
      <w:r w:rsidRPr="00E22DBB">
        <w:rPr>
          <w:rFonts w:cs="Arial"/>
        </w:rPr>
        <w:t xml:space="preserve"> (viewed 14 February 2013).</w:t>
      </w:r>
    </w:p>
  </w:footnote>
  <w:footnote w:id="29">
    <w:p w:rsidR="00972E04" w:rsidRPr="00E22DBB" w:rsidRDefault="00972E04">
      <w:pPr>
        <w:pStyle w:val="FootnoteText"/>
        <w:rPr>
          <w:rFonts w:cs="Arial"/>
        </w:rPr>
      </w:pPr>
      <w:r w:rsidRPr="00E22DBB">
        <w:rPr>
          <w:rStyle w:val="FootnoteReference"/>
          <w:rFonts w:cs="Arial"/>
        </w:rPr>
        <w:footnoteRef/>
      </w:r>
      <w:r w:rsidRPr="00E22DBB">
        <w:rPr>
          <w:rFonts w:cs="Arial"/>
        </w:rPr>
        <w:t xml:space="preserve"> </w:t>
      </w:r>
      <w:proofErr w:type="gramStart"/>
      <w:r w:rsidRPr="00E22DBB">
        <w:rPr>
          <w:rFonts w:cs="Arial"/>
        </w:rPr>
        <w:t xml:space="preserve">D Brown, M Schwartz, L </w:t>
      </w:r>
      <w:proofErr w:type="spellStart"/>
      <w:r w:rsidRPr="00E22DBB">
        <w:rPr>
          <w:rFonts w:cs="Arial"/>
        </w:rPr>
        <w:t>Boseley</w:t>
      </w:r>
      <w:proofErr w:type="spellEnd"/>
      <w:r w:rsidRPr="00E22DBB">
        <w:rPr>
          <w:rFonts w:cs="Arial"/>
        </w:rPr>
        <w:t>, ‘The Promises of Justice Reinvestment,’ Alternative Law Journal (2012) 37 (2) p 99.</w:t>
      </w:r>
      <w:proofErr w:type="gramEnd"/>
    </w:p>
  </w:footnote>
  <w:footnote w:id="30">
    <w:p w:rsidR="00972E04" w:rsidRDefault="00972E04">
      <w:pPr>
        <w:pStyle w:val="FootnoteText"/>
      </w:pPr>
      <w:r>
        <w:rPr>
          <w:rStyle w:val="FootnoteReference"/>
        </w:rPr>
        <w:footnoteRef/>
      </w:r>
      <w:r>
        <w:t xml:space="preserve"> </w:t>
      </w:r>
      <w:proofErr w:type="gramStart"/>
      <w:r>
        <w:t>NSW Ombudsman Responding to Child Sexual Assault in Aboriginal Communities.</w:t>
      </w:r>
      <w:proofErr w:type="gramEnd"/>
      <w:r>
        <w:t xml:space="preserve"> A report under Part 6A of the Community Services (Complaints, Reviews and Monitoring) Act 1993.p.249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Default="004E2D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Pr="00D27262" w:rsidRDefault="004E2D67"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972E04" w:rsidRPr="00D27262">
      <w:rPr>
        <w:sz w:val="22"/>
        <w:szCs w:val="22"/>
      </w:rPr>
      <w:t>Au</w:t>
    </w:r>
    <w:r w:rsidR="00972E04">
      <w:rPr>
        <w:sz w:val="22"/>
        <w:szCs w:val="22"/>
      </w:rPr>
      <w:t>stralian Human Rights Commission</w:t>
    </w:r>
  </w:p>
  <w:p w:rsidR="00972E04" w:rsidRDefault="00972E04"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72E04" w:rsidRPr="00B85DD4">
      <w:trPr>
        <w:trHeight w:val="1276"/>
      </w:trPr>
      <w:tc>
        <w:tcPr>
          <w:tcW w:w="1508" w:type="dxa"/>
        </w:tcPr>
        <w:p w:rsidR="00972E04" w:rsidRPr="00B85DD4" w:rsidRDefault="004E2D6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972E04" w:rsidRPr="00B85DD4" w:rsidRDefault="00972E04" w:rsidP="002B1B65">
          <w:pPr>
            <w:spacing w:before="0" w:after="0"/>
            <w:rPr>
              <w:rFonts w:cs="ArialMT"/>
              <w:i/>
              <w:color w:val="808080"/>
              <w:sz w:val="17"/>
            </w:rPr>
          </w:pPr>
        </w:p>
      </w:tc>
      <w:tc>
        <w:tcPr>
          <w:tcW w:w="2302" w:type="dxa"/>
        </w:tcPr>
        <w:p w:rsidR="00972E04" w:rsidRPr="00B85DD4" w:rsidRDefault="00972E04" w:rsidP="00B520BC">
          <w:pPr>
            <w:pStyle w:val="HeaderFooter"/>
            <w:rPr>
              <w:b/>
              <w:spacing w:val="-20"/>
              <w:sz w:val="40"/>
            </w:rPr>
          </w:pPr>
        </w:p>
      </w:tc>
      <w:tc>
        <w:tcPr>
          <w:tcW w:w="2130" w:type="dxa"/>
        </w:tcPr>
        <w:p w:rsidR="00972E04" w:rsidRPr="00B85DD4" w:rsidRDefault="00972E04" w:rsidP="00B520BC">
          <w:pPr>
            <w:pStyle w:val="HeaderFooter"/>
            <w:rPr>
              <w:b/>
              <w:spacing w:val="-20"/>
              <w:sz w:val="40"/>
            </w:rPr>
          </w:pPr>
        </w:p>
      </w:tc>
      <w:tc>
        <w:tcPr>
          <w:tcW w:w="1721" w:type="dxa"/>
        </w:tcPr>
        <w:p w:rsidR="00972E04" w:rsidRPr="00B85DD4" w:rsidRDefault="00972E04" w:rsidP="00B520BC">
          <w:pPr>
            <w:pStyle w:val="HeaderFooter"/>
            <w:spacing w:before="227" w:after="340"/>
            <w:rPr>
              <w:b/>
              <w:spacing w:val="-20"/>
              <w:sz w:val="40"/>
            </w:rPr>
          </w:pPr>
        </w:p>
      </w:tc>
    </w:tr>
  </w:tbl>
  <w:p w:rsidR="00972E04" w:rsidRDefault="00972E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Default="004E2D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04" w:rsidRPr="00D27262" w:rsidRDefault="00972E04" w:rsidP="00B34946">
    <w:pPr>
      <w:spacing w:before="0" w:after="60"/>
      <w:jc w:val="right"/>
      <w:rPr>
        <w:sz w:val="22"/>
        <w:szCs w:val="22"/>
      </w:rPr>
    </w:pPr>
    <w:r w:rsidRPr="00D27262">
      <w:rPr>
        <w:sz w:val="22"/>
        <w:szCs w:val="22"/>
      </w:rPr>
      <w:t>Au</w:t>
    </w:r>
    <w:r>
      <w:rPr>
        <w:sz w:val="22"/>
        <w:szCs w:val="22"/>
      </w:rPr>
      <w:t>stralian Human Rights Commission</w:t>
    </w:r>
  </w:p>
  <w:p w:rsidR="00972E04" w:rsidRPr="00D729AD" w:rsidRDefault="00972E04" w:rsidP="002F4CE1">
    <w:pPr>
      <w:pStyle w:val="Footer"/>
      <w:spacing w:after="240"/>
      <w:jc w:val="right"/>
      <w:rPr>
        <w:i/>
        <w:szCs w:val="18"/>
      </w:rPr>
    </w:pPr>
    <w:r>
      <w:rPr>
        <w:b/>
        <w:i/>
        <w:szCs w:val="18"/>
      </w:rPr>
      <w:t>Value of a justice reinvestment approach</w:t>
    </w:r>
    <w:r w:rsidRPr="00D729AD">
      <w:rPr>
        <w:i/>
        <w:szCs w:val="18"/>
      </w:rPr>
      <w:t xml:space="preserve"> </w:t>
    </w:r>
    <w:r w:rsidR="007370DD">
      <w:rPr>
        <w:i/>
        <w:szCs w:val="18"/>
      </w:rPr>
      <w:t>– 13 March</w:t>
    </w:r>
    <w:r>
      <w:rPr>
        <w:i/>
        <w:szCs w:val="18"/>
      </w:rPr>
      <w:t xml:space="preserve"> 2013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72E04" w:rsidRPr="00B85DD4">
      <w:trPr>
        <w:trHeight w:val="1603"/>
      </w:trPr>
      <w:tc>
        <w:tcPr>
          <w:tcW w:w="1508" w:type="dxa"/>
        </w:tcPr>
        <w:p w:rsidR="00972E04" w:rsidRPr="00B85DD4" w:rsidRDefault="004E2D6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972E04">
            <w:rPr>
              <w:rFonts w:cs="ArialMT"/>
              <w:b/>
              <w:noProof/>
              <w:spacing w:val="-20"/>
            </w:rPr>
            <w:drawing>
              <wp:inline distT="0" distB="0" distL="0" distR="0">
                <wp:extent cx="819150" cy="819150"/>
                <wp:effectExtent l="2540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2"/>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2688" w:type="dxa"/>
          <w:vAlign w:val="center"/>
        </w:tcPr>
        <w:p w:rsidR="00972E04" w:rsidRPr="00D36BB2" w:rsidRDefault="00972E04" w:rsidP="002B1B65">
          <w:pPr>
            <w:pStyle w:val="LogoType"/>
            <w:pBdr>
              <w:bottom w:val="single" w:sz="4" w:space="1" w:color="808080"/>
            </w:pBdr>
            <w:spacing w:line="240" w:lineRule="auto"/>
          </w:pPr>
          <w:r w:rsidRPr="00D36BB2">
            <w:t>Australian</w:t>
          </w:r>
        </w:p>
        <w:p w:rsidR="00972E04" w:rsidRPr="00D36BB2" w:rsidRDefault="00972E04" w:rsidP="002B1B65">
          <w:pPr>
            <w:pStyle w:val="LogoType"/>
            <w:pBdr>
              <w:bottom w:val="single" w:sz="4" w:space="1" w:color="808080"/>
            </w:pBdr>
            <w:spacing w:line="240" w:lineRule="auto"/>
          </w:pPr>
          <w:r w:rsidRPr="00D36BB2">
            <w:t>Human Rights</w:t>
          </w:r>
        </w:p>
        <w:p w:rsidR="00972E04" w:rsidRPr="00D36BB2" w:rsidRDefault="00972E04" w:rsidP="002B1B65">
          <w:pPr>
            <w:pStyle w:val="LogoType"/>
            <w:pBdr>
              <w:bottom w:val="single" w:sz="4" w:space="1" w:color="808080"/>
            </w:pBdr>
            <w:spacing w:line="240" w:lineRule="auto"/>
          </w:pPr>
          <w:r w:rsidRPr="00D36BB2">
            <w:t>Commission</w:t>
          </w:r>
        </w:p>
        <w:p w:rsidR="00972E04" w:rsidRPr="00B85DD4" w:rsidRDefault="00972E04"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972E04" w:rsidRPr="00B85DD4" w:rsidRDefault="00972E04" w:rsidP="00B520BC">
          <w:pPr>
            <w:pStyle w:val="HeaderFooter"/>
            <w:rPr>
              <w:b/>
              <w:spacing w:val="-20"/>
              <w:sz w:val="40"/>
            </w:rPr>
          </w:pPr>
        </w:p>
      </w:tc>
      <w:tc>
        <w:tcPr>
          <w:tcW w:w="2130" w:type="dxa"/>
        </w:tcPr>
        <w:p w:rsidR="00972E04" w:rsidRPr="00B85DD4" w:rsidRDefault="00972E04" w:rsidP="00B520BC">
          <w:pPr>
            <w:pStyle w:val="HeaderFooter"/>
            <w:rPr>
              <w:b/>
              <w:spacing w:val="-20"/>
              <w:sz w:val="40"/>
            </w:rPr>
          </w:pPr>
        </w:p>
      </w:tc>
      <w:tc>
        <w:tcPr>
          <w:tcW w:w="1721" w:type="dxa"/>
        </w:tcPr>
        <w:p w:rsidR="00972E04" w:rsidRPr="00B85DD4" w:rsidRDefault="00972E04" w:rsidP="00B520BC">
          <w:pPr>
            <w:pStyle w:val="HeaderFooter"/>
            <w:spacing w:before="227" w:after="340"/>
            <w:rPr>
              <w:b/>
              <w:spacing w:val="-20"/>
              <w:sz w:val="40"/>
            </w:rPr>
          </w:pPr>
        </w:p>
      </w:tc>
    </w:tr>
  </w:tbl>
  <w:p w:rsidR="00972E04" w:rsidRDefault="00972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C43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F06156"/>
    <w:multiLevelType w:val="hybridMultilevel"/>
    <w:tmpl w:val="B2FCE2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DCB237C"/>
    <w:multiLevelType w:val="hybridMultilevel"/>
    <w:tmpl w:val="5CAC9378"/>
    <w:lvl w:ilvl="0" w:tplc="A32EC982">
      <w:start w:val="1"/>
      <w:numFmt w:val="decimal"/>
      <w:pStyle w:val="SubmissionNormal"/>
      <w:lvlText w:val="%1."/>
      <w:lvlJc w:val="left"/>
      <w:pPr>
        <w:tabs>
          <w:tab w:val="num" w:pos="4046"/>
        </w:tabs>
        <w:ind w:left="4046" w:hanging="360"/>
      </w:pPr>
      <w:rPr>
        <w:rFonts w:hint="default"/>
      </w:rPr>
    </w:lvl>
    <w:lvl w:ilvl="1" w:tplc="04090001">
      <w:start w:val="1"/>
      <w:numFmt w:val="bullet"/>
      <w:lvlText w:val=""/>
      <w:lvlJc w:val="left"/>
      <w:pPr>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6FE1E12"/>
    <w:multiLevelType w:val="hybridMultilevel"/>
    <w:tmpl w:val="8D04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8">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4EA13709"/>
    <w:multiLevelType w:val="hybridMultilevel"/>
    <w:tmpl w:val="37E0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B7A2A09"/>
    <w:multiLevelType w:val="hybridMultilevel"/>
    <w:tmpl w:val="8AB837E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nsid w:val="69A350BA"/>
    <w:multiLevelType w:val="hybridMultilevel"/>
    <w:tmpl w:val="8D7C566C"/>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nsid w:val="6AC309DC"/>
    <w:multiLevelType w:val="hybridMultilevel"/>
    <w:tmpl w:val="F9F8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B21E3B"/>
    <w:multiLevelType w:val="hybridMultilevel"/>
    <w:tmpl w:val="CCF8D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27"/>
  </w:num>
  <w:num w:numId="3">
    <w:abstractNumId w:val="33"/>
  </w:num>
  <w:num w:numId="4">
    <w:abstractNumId w:val="19"/>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6"/>
  </w:num>
  <w:num w:numId="11">
    <w:abstractNumId w:val="5"/>
  </w:num>
  <w:num w:numId="12">
    <w:abstractNumId w:val="9"/>
  </w:num>
  <w:num w:numId="13">
    <w:abstractNumId w:val="2"/>
  </w:num>
  <w:num w:numId="14">
    <w:abstractNumId w:val="1"/>
  </w:num>
  <w:num w:numId="15">
    <w:abstractNumId w:val="4"/>
  </w:num>
  <w:num w:numId="16">
    <w:abstractNumId w:val="3"/>
  </w:num>
  <w:num w:numId="17">
    <w:abstractNumId w:val="30"/>
  </w:num>
  <w:num w:numId="18">
    <w:abstractNumId w:val="23"/>
  </w:num>
  <w:num w:numId="19">
    <w:abstractNumId w:val="16"/>
  </w:num>
  <w:num w:numId="20">
    <w:abstractNumId w:val="39"/>
  </w:num>
  <w:num w:numId="21">
    <w:abstractNumId w:val="25"/>
  </w:num>
  <w:num w:numId="22">
    <w:abstractNumId w:val="24"/>
  </w:num>
  <w:num w:numId="23">
    <w:abstractNumId w:val="41"/>
  </w:num>
  <w:num w:numId="24">
    <w:abstractNumId w:val="12"/>
  </w:num>
  <w:num w:numId="25">
    <w:abstractNumId w:val="40"/>
  </w:num>
  <w:num w:numId="26">
    <w:abstractNumId w:val="26"/>
  </w:num>
  <w:num w:numId="27">
    <w:abstractNumId w:val="13"/>
  </w:num>
  <w:num w:numId="28">
    <w:abstractNumId w:val="17"/>
  </w:num>
  <w:num w:numId="29">
    <w:abstractNumId w:val="29"/>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5"/>
  </w:num>
  <w:num w:numId="36">
    <w:abstractNumId w:val="15"/>
  </w:num>
  <w:num w:numId="37">
    <w:abstractNumId w:val="11"/>
  </w:num>
  <w:num w:numId="38">
    <w:abstractNumId w:val="0"/>
  </w:num>
  <w:num w:numId="39">
    <w:abstractNumId w:val="37"/>
  </w:num>
  <w:num w:numId="40">
    <w:abstractNumId w:val="14"/>
  </w:num>
  <w:num w:numId="41">
    <w:abstractNumId w:val="18"/>
  </w:num>
  <w:num w:numId="42">
    <w:abstractNumId w:val="31"/>
  </w:num>
  <w:num w:numId="43">
    <w:abstractNumId w:val="36"/>
  </w:num>
  <w:num w:numId="44">
    <w:abstractNumId w:val="3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7C"/>
    <w:rsid w:val="0000396F"/>
    <w:rsid w:val="000061C1"/>
    <w:rsid w:val="00007548"/>
    <w:rsid w:val="00027655"/>
    <w:rsid w:val="0003606D"/>
    <w:rsid w:val="000579B1"/>
    <w:rsid w:val="00070A96"/>
    <w:rsid w:val="00072D2F"/>
    <w:rsid w:val="00074319"/>
    <w:rsid w:val="00084B98"/>
    <w:rsid w:val="00095393"/>
    <w:rsid w:val="0009721B"/>
    <w:rsid w:val="00097AB0"/>
    <w:rsid w:val="000A1DB8"/>
    <w:rsid w:val="000A48AC"/>
    <w:rsid w:val="000B0A5D"/>
    <w:rsid w:val="000C4294"/>
    <w:rsid w:val="000D0796"/>
    <w:rsid w:val="000D2D9C"/>
    <w:rsid w:val="000E130A"/>
    <w:rsid w:val="000F6E78"/>
    <w:rsid w:val="001009C7"/>
    <w:rsid w:val="00101761"/>
    <w:rsid w:val="00114CDF"/>
    <w:rsid w:val="00122376"/>
    <w:rsid w:val="00130A51"/>
    <w:rsid w:val="00134774"/>
    <w:rsid w:val="0013574C"/>
    <w:rsid w:val="00140274"/>
    <w:rsid w:val="00151263"/>
    <w:rsid w:val="00162A8D"/>
    <w:rsid w:val="00165E3C"/>
    <w:rsid w:val="0017252F"/>
    <w:rsid w:val="001730D2"/>
    <w:rsid w:val="00173FB5"/>
    <w:rsid w:val="00176199"/>
    <w:rsid w:val="00177C04"/>
    <w:rsid w:val="00184C71"/>
    <w:rsid w:val="00191DB8"/>
    <w:rsid w:val="001A6DC2"/>
    <w:rsid w:val="001B0353"/>
    <w:rsid w:val="001C1F8B"/>
    <w:rsid w:val="001D4D7D"/>
    <w:rsid w:val="001E11C7"/>
    <w:rsid w:val="001F2BBB"/>
    <w:rsid w:val="001F6736"/>
    <w:rsid w:val="00200677"/>
    <w:rsid w:val="002019BF"/>
    <w:rsid w:val="00224AA3"/>
    <w:rsid w:val="002259AD"/>
    <w:rsid w:val="002311A5"/>
    <w:rsid w:val="00231ED1"/>
    <w:rsid w:val="00242624"/>
    <w:rsid w:val="0024557E"/>
    <w:rsid w:val="00245E75"/>
    <w:rsid w:val="00261FE7"/>
    <w:rsid w:val="002748CA"/>
    <w:rsid w:val="00276424"/>
    <w:rsid w:val="00282789"/>
    <w:rsid w:val="002863D7"/>
    <w:rsid w:val="00296C4A"/>
    <w:rsid w:val="002A1FB3"/>
    <w:rsid w:val="002B1B65"/>
    <w:rsid w:val="002C1866"/>
    <w:rsid w:val="002D2877"/>
    <w:rsid w:val="002E30BE"/>
    <w:rsid w:val="002E42C6"/>
    <w:rsid w:val="002F0CEF"/>
    <w:rsid w:val="002F2A25"/>
    <w:rsid w:val="002F4CE1"/>
    <w:rsid w:val="00300999"/>
    <w:rsid w:val="00300F22"/>
    <w:rsid w:val="0030328E"/>
    <w:rsid w:val="00304A37"/>
    <w:rsid w:val="00310ED4"/>
    <w:rsid w:val="00311735"/>
    <w:rsid w:val="00312301"/>
    <w:rsid w:val="00314818"/>
    <w:rsid w:val="0031492A"/>
    <w:rsid w:val="00316C1A"/>
    <w:rsid w:val="00323C73"/>
    <w:rsid w:val="00331141"/>
    <w:rsid w:val="00333BDB"/>
    <w:rsid w:val="00342917"/>
    <w:rsid w:val="00344758"/>
    <w:rsid w:val="003458EB"/>
    <w:rsid w:val="00347142"/>
    <w:rsid w:val="003565A8"/>
    <w:rsid w:val="003566EA"/>
    <w:rsid w:val="00372C79"/>
    <w:rsid w:val="0037308A"/>
    <w:rsid w:val="00374E1C"/>
    <w:rsid w:val="003804F4"/>
    <w:rsid w:val="003B409E"/>
    <w:rsid w:val="003C7118"/>
    <w:rsid w:val="003D2251"/>
    <w:rsid w:val="003D6349"/>
    <w:rsid w:val="003E267F"/>
    <w:rsid w:val="003E41EB"/>
    <w:rsid w:val="003E488A"/>
    <w:rsid w:val="003F5603"/>
    <w:rsid w:val="00421E8C"/>
    <w:rsid w:val="00422417"/>
    <w:rsid w:val="00424233"/>
    <w:rsid w:val="0043042B"/>
    <w:rsid w:val="0043536F"/>
    <w:rsid w:val="004447F3"/>
    <w:rsid w:val="00472EFF"/>
    <w:rsid w:val="00474063"/>
    <w:rsid w:val="004759C8"/>
    <w:rsid w:val="00476793"/>
    <w:rsid w:val="004954CB"/>
    <w:rsid w:val="004A187B"/>
    <w:rsid w:val="004A2D3C"/>
    <w:rsid w:val="004B4F08"/>
    <w:rsid w:val="004C553E"/>
    <w:rsid w:val="004C7412"/>
    <w:rsid w:val="004D04BF"/>
    <w:rsid w:val="004D6E55"/>
    <w:rsid w:val="004E0DFF"/>
    <w:rsid w:val="004E2897"/>
    <w:rsid w:val="004E2D67"/>
    <w:rsid w:val="004E4F90"/>
    <w:rsid w:val="004F1C7C"/>
    <w:rsid w:val="005123F0"/>
    <w:rsid w:val="00513540"/>
    <w:rsid w:val="00513941"/>
    <w:rsid w:val="0053051D"/>
    <w:rsid w:val="005406AA"/>
    <w:rsid w:val="005453AF"/>
    <w:rsid w:val="005475AD"/>
    <w:rsid w:val="00547D9A"/>
    <w:rsid w:val="00550E71"/>
    <w:rsid w:val="00564208"/>
    <w:rsid w:val="005642D7"/>
    <w:rsid w:val="00571CEB"/>
    <w:rsid w:val="00591951"/>
    <w:rsid w:val="0059576D"/>
    <w:rsid w:val="00597C1A"/>
    <w:rsid w:val="005C5D41"/>
    <w:rsid w:val="005D1F34"/>
    <w:rsid w:val="005D383D"/>
    <w:rsid w:val="00607214"/>
    <w:rsid w:val="0061033C"/>
    <w:rsid w:val="0061568F"/>
    <w:rsid w:val="00650B4F"/>
    <w:rsid w:val="00654793"/>
    <w:rsid w:val="00657D2B"/>
    <w:rsid w:val="00666B74"/>
    <w:rsid w:val="00674E0D"/>
    <w:rsid w:val="00684A78"/>
    <w:rsid w:val="00686EED"/>
    <w:rsid w:val="006939EF"/>
    <w:rsid w:val="00697F86"/>
    <w:rsid w:val="006A6BB3"/>
    <w:rsid w:val="006D5EE5"/>
    <w:rsid w:val="006E155D"/>
    <w:rsid w:val="006E4781"/>
    <w:rsid w:val="007370DD"/>
    <w:rsid w:val="00743095"/>
    <w:rsid w:val="00743727"/>
    <w:rsid w:val="007540BF"/>
    <w:rsid w:val="00770DCB"/>
    <w:rsid w:val="00774177"/>
    <w:rsid w:val="00775485"/>
    <w:rsid w:val="007B1626"/>
    <w:rsid w:val="007B4CBF"/>
    <w:rsid w:val="007B5097"/>
    <w:rsid w:val="007B5382"/>
    <w:rsid w:val="007B5E77"/>
    <w:rsid w:val="007B73C4"/>
    <w:rsid w:val="007C042F"/>
    <w:rsid w:val="007C2AEF"/>
    <w:rsid w:val="007C61C6"/>
    <w:rsid w:val="007D66BA"/>
    <w:rsid w:val="007E47FF"/>
    <w:rsid w:val="007E5B88"/>
    <w:rsid w:val="007F0D0B"/>
    <w:rsid w:val="007F3786"/>
    <w:rsid w:val="007F3DEA"/>
    <w:rsid w:val="008007A8"/>
    <w:rsid w:val="008042D9"/>
    <w:rsid w:val="00814FC0"/>
    <w:rsid w:val="00816A3C"/>
    <w:rsid w:val="008201BE"/>
    <w:rsid w:val="0084446C"/>
    <w:rsid w:val="008724DE"/>
    <w:rsid w:val="0089215F"/>
    <w:rsid w:val="008A3D57"/>
    <w:rsid w:val="008B23BC"/>
    <w:rsid w:val="008B399D"/>
    <w:rsid w:val="008C69EA"/>
    <w:rsid w:val="008E0AD5"/>
    <w:rsid w:val="008E3D60"/>
    <w:rsid w:val="008E3F4C"/>
    <w:rsid w:val="008F205B"/>
    <w:rsid w:val="008F30FA"/>
    <w:rsid w:val="008F418F"/>
    <w:rsid w:val="008F6B7B"/>
    <w:rsid w:val="008F7C01"/>
    <w:rsid w:val="00900057"/>
    <w:rsid w:val="0090165F"/>
    <w:rsid w:val="00901B82"/>
    <w:rsid w:val="00904719"/>
    <w:rsid w:val="00912B09"/>
    <w:rsid w:val="00941782"/>
    <w:rsid w:val="00942BE0"/>
    <w:rsid w:val="00956320"/>
    <w:rsid w:val="00966C2F"/>
    <w:rsid w:val="00972E04"/>
    <w:rsid w:val="00973A5C"/>
    <w:rsid w:val="0097512B"/>
    <w:rsid w:val="00980E4F"/>
    <w:rsid w:val="00982A14"/>
    <w:rsid w:val="00991601"/>
    <w:rsid w:val="009970D9"/>
    <w:rsid w:val="009B5DB1"/>
    <w:rsid w:val="009D67F6"/>
    <w:rsid w:val="009E0FE1"/>
    <w:rsid w:val="009E1E4C"/>
    <w:rsid w:val="009E6B50"/>
    <w:rsid w:val="00A01A2F"/>
    <w:rsid w:val="00A0406E"/>
    <w:rsid w:val="00A11307"/>
    <w:rsid w:val="00A13AF3"/>
    <w:rsid w:val="00A21388"/>
    <w:rsid w:val="00A27791"/>
    <w:rsid w:val="00A41355"/>
    <w:rsid w:val="00A43B92"/>
    <w:rsid w:val="00A45FA3"/>
    <w:rsid w:val="00A54251"/>
    <w:rsid w:val="00A6179E"/>
    <w:rsid w:val="00A64316"/>
    <w:rsid w:val="00A72132"/>
    <w:rsid w:val="00A80368"/>
    <w:rsid w:val="00A804D9"/>
    <w:rsid w:val="00A92294"/>
    <w:rsid w:val="00A92F92"/>
    <w:rsid w:val="00A95C9D"/>
    <w:rsid w:val="00A96892"/>
    <w:rsid w:val="00AA2051"/>
    <w:rsid w:val="00AA6735"/>
    <w:rsid w:val="00AB6B5B"/>
    <w:rsid w:val="00AD0934"/>
    <w:rsid w:val="00AD6FFA"/>
    <w:rsid w:val="00B11F07"/>
    <w:rsid w:val="00B12CA3"/>
    <w:rsid w:val="00B14C8D"/>
    <w:rsid w:val="00B24B1D"/>
    <w:rsid w:val="00B277E0"/>
    <w:rsid w:val="00B34946"/>
    <w:rsid w:val="00B519FD"/>
    <w:rsid w:val="00B520BC"/>
    <w:rsid w:val="00B63D24"/>
    <w:rsid w:val="00B67D55"/>
    <w:rsid w:val="00B8458A"/>
    <w:rsid w:val="00B924E6"/>
    <w:rsid w:val="00B95BFA"/>
    <w:rsid w:val="00B97507"/>
    <w:rsid w:val="00BA262D"/>
    <w:rsid w:val="00BA4DA0"/>
    <w:rsid w:val="00BA5698"/>
    <w:rsid w:val="00BB46BD"/>
    <w:rsid w:val="00BC2F7C"/>
    <w:rsid w:val="00BC79EB"/>
    <w:rsid w:val="00BD2CB0"/>
    <w:rsid w:val="00BD7FCF"/>
    <w:rsid w:val="00BF7E6A"/>
    <w:rsid w:val="00C0444D"/>
    <w:rsid w:val="00C06919"/>
    <w:rsid w:val="00C073C3"/>
    <w:rsid w:val="00C2546F"/>
    <w:rsid w:val="00C25BDA"/>
    <w:rsid w:val="00C33104"/>
    <w:rsid w:val="00C407BA"/>
    <w:rsid w:val="00C5290D"/>
    <w:rsid w:val="00C53F8C"/>
    <w:rsid w:val="00C6430C"/>
    <w:rsid w:val="00C854D4"/>
    <w:rsid w:val="00C90556"/>
    <w:rsid w:val="00CA0D78"/>
    <w:rsid w:val="00CA4855"/>
    <w:rsid w:val="00CA653A"/>
    <w:rsid w:val="00CB24FE"/>
    <w:rsid w:val="00CD23CC"/>
    <w:rsid w:val="00CD58FD"/>
    <w:rsid w:val="00CD5B14"/>
    <w:rsid w:val="00CD5B68"/>
    <w:rsid w:val="00D130B7"/>
    <w:rsid w:val="00D25C92"/>
    <w:rsid w:val="00D26FDA"/>
    <w:rsid w:val="00D27F7B"/>
    <w:rsid w:val="00D30A61"/>
    <w:rsid w:val="00D317EF"/>
    <w:rsid w:val="00D31DBF"/>
    <w:rsid w:val="00D343FA"/>
    <w:rsid w:val="00D36A7B"/>
    <w:rsid w:val="00D418FF"/>
    <w:rsid w:val="00D45FEE"/>
    <w:rsid w:val="00D47EFB"/>
    <w:rsid w:val="00D52F2F"/>
    <w:rsid w:val="00D533C2"/>
    <w:rsid w:val="00D637F4"/>
    <w:rsid w:val="00D65C76"/>
    <w:rsid w:val="00D729AD"/>
    <w:rsid w:val="00D734C7"/>
    <w:rsid w:val="00D776EB"/>
    <w:rsid w:val="00DA2F73"/>
    <w:rsid w:val="00DA3B07"/>
    <w:rsid w:val="00DB5AC0"/>
    <w:rsid w:val="00DB6B21"/>
    <w:rsid w:val="00DC1BBF"/>
    <w:rsid w:val="00DC462F"/>
    <w:rsid w:val="00DD6A21"/>
    <w:rsid w:val="00DE304B"/>
    <w:rsid w:val="00DE60CA"/>
    <w:rsid w:val="00DF17C3"/>
    <w:rsid w:val="00E12D47"/>
    <w:rsid w:val="00E22DBB"/>
    <w:rsid w:val="00E232FD"/>
    <w:rsid w:val="00E24FA3"/>
    <w:rsid w:val="00E26B28"/>
    <w:rsid w:val="00E31465"/>
    <w:rsid w:val="00E328CD"/>
    <w:rsid w:val="00E36B95"/>
    <w:rsid w:val="00E4003F"/>
    <w:rsid w:val="00E458F6"/>
    <w:rsid w:val="00E45954"/>
    <w:rsid w:val="00E56DD5"/>
    <w:rsid w:val="00E82AA8"/>
    <w:rsid w:val="00E844B0"/>
    <w:rsid w:val="00E94302"/>
    <w:rsid w:val="00EA1DC3"/>
    <w:rsid w:val="00EA44D9"/>
    <w:rsid w:val="00EB0A7B"/>
    <w:rsid w:val="00EB4C9F"/>
    <w:rsid w:val="00EB6A76"/>
    <w:rsid w:val="00ED3499"/>
    <w:rsid w:val="00EE5E2D"/>
    <w:rsid w:val="00EF12EB"/>
    <w:rsid w:val="00F03B48"/>
    <w:rsid w:val="00F03C3A"/>
    <w:rsid w:val="00F07B57"/>
    <w:rsid w:val="00F14C6D"/>
    <w:rsid w:val="00F16E14"/>
    <w:rsid w:val="00F300B0"/>
    <w:rsid w:val="00F5038B"/>
    <w:rsid w:val="00F51D6B"/>
    <w:rsid w:val="00F56A7C"/>
    <w:rsid w:val="00F56D6F"/>
    <w:rsid w:val="00F60950"/>
    <w:rsid w:val="00F65C33"/>
    <w:rsid w:val="00FA0B69"/>
    <w:rsid w:val="00FA3602"/>
    <w:rsid w:val="00FA4916"/>
    <w:rsid w:val="00FC06B6"/>
    <w:rsid w:val="00FC693A"/>
    <w:rsid w:val="00FD01B5"/>
    <w:rsid w:val="00FD26D2"/>
    <w:rsid w:val="00FE051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4046"/>
      </w:tabs>
      <w:ind w:left="720"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styleId="ListParagraph">
    <w:name w:val="List Paragraph"/>
    <w:basedOn w:val="Normal"/>
    <w:uiPriority w:val="34"/>
    <w:qFormat/>
    <w:rsid w:val="000C4294"/>
    <w:pPr>
      <w:ind w:left="720"/>
      <w:contextualSpacing/>
    </w:pPr>
  </w:style>
  <w:style w:type="character" w:styleId="CommentReference">
    <w:name w:val="annotation reference"/>
    <w:basedOn w:val="DefaultParagraphFont"/>
    <w:locked/>
    <w:rsid w:val="004E4F90"/>
    <w:rPr>
      <w:sz w:val="16"/>
      <w:szCs w:val="16"/>
    </w:rPr>
  </w:style>
  <w:style w:type="paragraph" w:styleId="CommentText">
    <w:name w:val="annotation text"/>
    <w:basedOn w:val="Normal"/>
    <w:link w:val="CommentTextChar"/>
    <w:locked/>
    <w:rsid w:val="004E4F90"/>
    <w:rPr>
      <w:sz w:val="20"/>
      <w:szCs w:val="20"/>
    </w:rPr>
  </w:style>
  <w:style w:type="character" w:customStyle="1" w:styleId="CommentTextChar">
    <w:name w:val="Comment Text Char"/>
    <w:basedOn w:val="DefaultParagraphFont"/>
    <w:link w:val="CommentText"/>
    <w:rsid w:val="004E4F90"/>
    <w:rPr>
      <w:rFonts w:ascii="Arial" w:eastAsia="MS Mincho" w:hAnsi="Arial"/>
    </w:rPr>
  </w:style>
  <w:style w:type="paragraph" w:styleId="CommentSubject">
    <w:name w:val="annotation subject"/>
    <w:basedOn w:val="CommentText"/>
    <w:next w:val="CommentText"/>
    <w:link w:val="CommentSubjectChar"/>
    <w:locked/>
    <w:rsid w:val="004E4F90"/>
    <w:rPr>
      <w:b/>
      <w:bCs/>
    </w:rPr>
  </w:style>
  <w:style w:type="character" w:customStyle="1" w:styleId="CommentSubjectChar">
    <w:name w:val="Comment Subject Char"/>
    <w:basedOn w:val="CommentTextChar"/>
    <w:link w:val="CommentSubject"/>
    <w:rsid w:val="004E4F90"/>
    <w:rPr>
      <w:rFonts w:ascii="Arial" w:eastAsia="MS Mincho"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4046"/>
      </w:tabs>
      <w:ind w:left="720"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styleId="ListParagraph">
    <w:name w:val="List Paragraph"/>
    <w:basedOn w:val="Normal"/>
    <w:uiPriority w:val="34"/>
    <w:qFormat/>
    <w:rsid w:val="000C4294"/>
    <w:pPr>
      <w:ind w:left="720"/>
      <w:contextualSpacing/>
    </w:pPr>
  </w:style>
  <w:style w:type="character" w:styleId="CommentReference">
    <w:name w:val="annotation reference"/>
    <w:basedOn w:val="DefaultParagraphFont"/>
    <w:locked/>
    <w:rsid w:val="004E4F90"/>
    <w:rPr>
      <w:sz w:val="16"/>
      <w:szCs w:val="16"/>
    </w:rPr>
  </w:style>
  <w:style w:type="paragraph" w:styleId="CommentText">
    <w:name w:val="annotation text"/>
    <w:basedOn w:val="Normal"/>
    <w:link w:val="CommentTextChar"/>
    <w:locked/>
    <w:rsid w:val="004E4F90"/>
    <w:rPr>
      <w:sz w:val="20"/>
      <w:szCs w:val="20"/>
    </w:rPr>
  </w:style>
  <w:style w:type="character" w:customStyle="1" w:styleId="CommentTextChar">
    <w:name w:val="Comment Text Char"/>
    <w:basedOn w:val="DefaultParagraphFont"/>
    <w:link w:val="CommentText"/>
    <w:rsid w:val="004E4F90"/>
    <w:rPr>
      <w:rFonts w:ascii="Arial" w:eastAsia="MS Mincho" w:hAnsi="Arial"/>
    </w:rPr>
  </w:style>
  <w:style w:type="paragraph" w:styleId="CommentSubject">
    <w:name w:val="annotation subject"/>
    <w:basedOn w:val="CommentText"/>
    <w:next w:val="CommentText"/>
    <w:link w:val="CommentSubjectChar"/>
    <w:locked/>
    <w:rsid w:val="004E4F90"/>
    <w:rPr>
      <w:b/>
      <w:bCs/>
    </w:rPr>
  </w:style>
  <w:style w:type="character" w:customStyle="1" w:styleId="CommentSubjectChar">
    <w:name w:val="Comment Subject Char"/>
    <w:basedOn w:val="CommentTextChar"/>
    <w:link w:val="CommentSubject"/>
    <w:rsid w:val="004E4F90"/>
    <w:rPr>
      <w:rFonts w:ascii="Arial" w:eastAsia="MS Mincho"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H:\Documents\JR%20submission.docx"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lawlink.nsw.gov.au/lawlink/bocsar/ll_bocsar.nsf/vwFiles/cjb136.pdf/$file/cjb136.pdf" TargetMode="External"/><Relationship Id="rId13" Type="http://schemas.openxmlformats.org/officeDocument/2006/relationships/hyperlink" Target="http://www.smartjustice.org.au/%20" TargetMode="External"/><Relationship Id="rId3" Type="http://schemas.openxmlformats.org/officeDocument/2006/relationships/hyperlink" Target="http://justicereinvestment.org/facts_and_trends" TargetMode="External"/><Relationship Id="rId7" Type="http://schemas.openxmlformats.org/officeDocument/2006/relationships/hyperlink" Target="http://www2.ohchr.org/english/bodies/crc/docs/co/CRC_C_AUS_CO_4.pdf" TargetMode="External"/><Relationship Id="rId12" Type="http://schemas.openxmlformats.org/officeDocument/2006/relationships/hyperlink" Target="http://www.aph.gov.au/Parliamentary_Business/Committees/House_of_Representatives_Committees?url=atsia/govt%20responses/doingtimereponse.pdf" TargetMode="External"/><Relationship Id="rId2" Type="http://schemas.openxmlformats.org/officeDocument/2006/relationships/hyperlink" Target="http://justicereinvestment.org/strategy" TargetMode="External"/><Relationship Id="rId16" Type="http://schemas.openxmlformats.org/officeDocument/2006/relationships/hyperlink" Target="http://ncis.anu.edu.au/events/past/jr_forum.php" TargetMode="External"/><Relationship Id="rId1" Type="http://schemas.openxmlformats.org/officeDocument/2006/relationships/hyperlink" Target="http://humanrights.gov.au/social_justice/sj_report/sjreport09/index.html" TargetMode="External"/><Relationship Id="rId6" Type="http://schemas.openxmlformats.org/officeDocument/2006/relationships/hyperlink" Target="http://www.nidac.org.au/images/PDFs/NIDACIpublications/prison_vs_residential_treatment.pdf%20" TargetMode="External"/><Relationship Id="rId11" Type="http://schemas.openxmlformats.org/officeDocument/2006/relationships/hyperlink" Target="http://www.aph.gov.au/Parliamentary_Business/Committees/Senate_Committees?url=legcon_ctte/completed_inquiries/2008-10/access_to_justice/report/index.htm%20" TargetMode="External"/><Relationship Id="rId5" Type="http://schemas.openxmlformats.org/officeDocument/2006/relationships/hyperlink" Target="http://www.nidac.org.au/images/PDFs/NIDACIpublications/prison_vs_residential_treatment.pdf" TargetMode="External"/><Relationship Id="rId15" Type="http://schemas.openxmlformats.org/officeDocument/2006/relationships/hyperlink" Target="http://www.project10percent.org.au/" TargetMode="External"/><Relationship Id="rId10" Type="http://schemas.openxmlformats.org/officeDocument/2006/relationships/hyperlink" Target="http://indigenousjustice.gov.au/db/publications/285011.html%20" TargetMode="External"/><Relationship Id="rId4" Type="http://schemas.openxmlformats.org/officeDocument/2006/relationships/hyperlink" Target="http://www.pc.gov.au/__data/assets/pdf_file/0019/114940/24-government-services-2012-chapter8.pdf" TargetMode="External"/><Relationship Id="rId9" Type="http://schemas.openxmlformats.org/officeDocument/2006/relationships/hyperlink" Target="http://www.aph.gov.au/Parliamentary_Business/Committees/House_of_Representatives_Committees?url=atsia/sentencing/report.htm%20" TargetMode="External"/><Relationship Id="rId14" Type="http://schemas.openxmlformats.org/officeDocument/2006/relationships/hyperlink" Target="http://www.deathsincustody.org.au/prisonovercrow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5C29-8A9F-45AA-9456-19BF678B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0</TotalTime>
  <Pages>11</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18770</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Louise Bygrave</dc:creator>
  <cp:lastModifiedBy>Connie Kwan</cp:lastModifiedBy>
  <cp:revision>2</cp:revision>
  <cp:lastPrinted>2013-02-20T02:14:00Z</cp:lastPrinted>
  <dcterms:created xsi:type="dcterms:W3CDTF">2013-04-04T00:02:00Z</dcterms:created>
  <dcterms:modified xsi:type="dcterms:W3CDTF">2013-04-04T00:02:00Z</dcterms:modified>
</cp:coreProperties>
</file>