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BCD61" w14:textId="77777777" w:rsidR="001B5D82" w:rsidRPr="000D2353" w:rsidRDefault="001B5D82" w:rsidP="001B5D82">
      <w:pPr>
        <w:pStyle w:val="MainTitle"/>
        <w:spacing w:before="360" w:after="120"/>
        <w:rPr>
          <w:rFonts w:ascii="Open Sans" w:hAnsi="Open Sans" w:cs="Open Sans"/>
          <w:sz w:val="22"/>
          <w:szCs w:val="22"/>
        </w:rPr>
      </w:pPr>
      <w:bookmarkStart w:id="0" w:name="_Toc209316062"/>
      <w:bookmarkEnd w:id="0"/>
      <w:r w:rsidRPr="000D2353">
        <w:rPr>
          <w:rFonts w:ascii="Open Sans" w:hAnsi="Open Sans" w:cs="Open Sans"/>
          <w:sz w:val="22"/>
          <w:szCs w:val="22"/>
        </w:rPr>
        <w:t xml:space="preserve">Australian Human Rights Commission National Information Service </w:t>
      </w:r>
      <w:r w:rsidRPr="000D2353">
        <w:rPr>
          <w:rFonts w:ascii="Open Sans" w:hAnsi="Open Sans" w:cs="Open Sans"/>
          <w:sz w:val="22"/>
          <w:szCs w:val="22"/>
        </w:rPr>
        <w:sym w:font="Symbol" w:char="F0B7"/>
      </w:r>
      <w:r w:rsidRPr="000D2353">
        <w:rPr>
          <w:rFonts w:ascii="Open Sans" w:hAnsi="Open Sans" w:cs="Open Sans"/>
          <w:sz w:val="22"/>
          <w:szCs w:val="22"/>
        </w:rPr>
        <w:t xml:space="preserve"> Investigation and Conciliation Service</w:t>
      </w:r>
    </w:p>
    <w:p w14:paraId="2282E7C5" w14:textId="77777777" w:rsidR="001B5D82" w:rsidRPr="00C00FAC" w:rsidRDefault="001B5D82" w:rsidP="001B5D82">
      <w:pPr>
        <w:pStyle w:val="TitlewithLine"/>
        <w:rPr>
          <w:rFonts w:ascii="Open Sans" w:hAnsi="Open Sans" w:cs="Open Sans"/>
          <w:sz w:val="28"/>
          <w:szCs w:val="28"/>
        </w:rPr>
      </w:pPr>
      <w:r w:rsidRPr="00C00FAC">
        <w:rPr>
          <w:rFonts w:ascii="Open Sans" w:hAnsi="Open Sans" w:cs="Open Sans"/>
          <w:sz w:val="28"/>
          <w:szCs w:val="28"/>
        </w:rPr>
        <w:t>Charter of Service</w:t>
      </w:r>
    </w:p>
    <w:p w14:paraId="77676FBF" w14:textId="280E7D69" w:rsidR="001B5D82" w:rsidRPr="001B5D82" w:rsidRDefault="001B5D82" w:rsidP="001B5D82">
      <w:pPr>
        <w:rPr>
          <w:rStyle w:val="Hyperlink"/>
          <w:rFonts w:ascii="Open Sans" w:hAnsi="Open Sans" w:cs="Open Sans"/>
          <w:b/>
          <w:bCs/>
          <w:color w:val="auto"/>
          <w:sz w:val="24"/>
          <w:u w:val="none"/>
        </w:rPr>
      </w:pPr>
      <w:r>
        <w:rPr>
          <w:rStyle w:val="Hyperlink"/>
          <w:rFonts w:ascii="Open Sans" w:hAnsi="Open Sans" w:cs="Open Sans"/>
          <w:b/>
          <w:bCs/>
          <w:color w:val="auto"/>
          <w:sz w:val="24"/>
          <w:u w:val="none"/>
        </w:rPr>
        <w:t>U</w:t>
      </w:r>
      <w:r w:rsidRPr="001B5D82">
        <w:rPr>
          <w:rStyle w:val="Hyperlink"/>
          <w:rFonts w:ascii="Open Sans" w:hAnsi="Open Sans" w:cs="Open Sans"/>
          <w:b/>
          <w:bCs/>
          <w:color w:val="auto"/>
          <w:sz w:val="24"/>
          <w:u w:val="none"/>
        </w:rPr>
        <w:t>nreasonable conduct policy</w:t>
      </w:r>
    </w:p>
    <w:p w14:paraId="5636F24A" w14:textId="77777777" w:rsidR="001B5D82" w:rsidRPr="000D2353" w:rsidRDefault="001B5D82" w:rsidP="001B5D82">
      <w:pPr>
        <w:rPr>
          <w:rFonts w:ascii="Open Sans" w:hAnsi="Open Sans" w:cs="Open Sans"/>
          <w:szCs w:val="22"/>
        </w:rPr>
      </w:pPr>
      <w:r w:rsidRPr="00B745C2">
        <w:rPr>
          <w:rFonts w:ascii="Open Sans" w:hAnsi="Open Sans" w:cs="Open Sans"/>
          <w:szCs w:val="22"/>
        </w:rPr>
        <w:t xml:space="preserve">In </w:t>
      </w:r>
      <w:r w:rsidRPr="000D2353">
        <w:rPr>
          <w:rFonts w:ascii="Open Sans" w:hAnsi="Open Sans" w:cs="Open Sans"/>
          <w:szCs w:val="22"/>
        </w:rPr>
        <w:t xml:space="preserve">most cases, people engaging with the Commission do so with respect and courtesy. However, sometimes individuals who are frustrated or upset about the subject matter of their complaint, how it is handled or the outcome, may direct aggressive </w:t>
      </w:r>
      <w:r>
        <w:rPr>
          <w:rFonts w:ascii="Open Sans" w:hAnsi="Open Sans" w:cs="Open Sans"/>
          <w:szCs w:val="22"/>
        </w:rPr>
        <w:t>and</w:t>
      </w:r>
      <w:r w:rsidRPr="000D2353">
        <w:rPr>
          <w:rFonts w:ascii="Open Sans" w:hAnsi="Open Sans" w:cs="Open Sans"/>
          <w:szCs w:val="22"/>
        </w:rPr>
        <w:t xml:space="preserve"> unreasonable conduct towards staff dealing with their complaints. Unreasonable conduct can manifest in verbal or written threats of harm, deliberately providing misleading information, making repeated unnecessary phone calls or insisting on actions or things that they are not entitled to. </w:t>
      </w:r>
    </w:p>
    <w:p w14:paraId="14F9DD1F" w14:textId="77777777" w:rsidR="001B5D82" w:rsidRPr="000D2353" w:rsidRDefault="001B5D82" w:rsidP="001B5D82">
      <w:pPr>
        <w:rPr>
          <w:rFonts w:ascii="Open Sans" w:hAnsi="Open Sans" w:cs="Open Sans"/>
          <w:szCs w:val="22"/>
        </w:rPr>
      </w:pPr>
      <w:r w:rsidRPr="000D2353">
        <w:rPr>
          <w:rFonts w:ascii="Open Sans" w:hAnsi="Open Sans" w:cs="Open Sans"/>
          <w:szCs w:val="22"/>
        </w:rPr>
        <w:t xml:space="preserve">Managing individuals engaging in conduct such as that described above (and listed below) can have negative impact on </w:t>
      </w:r>
      <w:r>
        <w:rPr>
          <w:rFonts w:ascii="Open Sans" w:hAnsi="Open Sans" w:cs="Open Sans"/>
          <w:szCs w:val="22"/>
        </w:rPr>
        <w:t xml:space="preserve">Commission </w:t>
      </w:r>
      <w:r w:rsidRPr="000D2353">
        <w:rPr>
          <w:rFonts w:ascii="Open Sans" w:hAnsi="Open Sans" w:cs="Open Sans"/>
          <w:szCs w:val="22"/>
        </w:rPr>
        <w:t xml:space="preserve">staff and involve a disproportionate use of resources. </w:t>
      </w:r>
    </w:p>
    <w:p w14:paraId="50A4B8BD" w14:textId="77777777" w:rsidR="001B5D82" w:rsidRPr="00B745C2" w:rsidRDefault="001B5D82" w:rsidP="001B5D82">
      <w:pPr>
        <w:rPr>
          <w:rFonts w:ascii="Open Sans" w:hAnsi="Open Sans" w:cs="Open Sans"/>
          <w:szCs w:val="22"/>
        </w:rPr>
      </w:pPr>
      <w:r w:rsidRPr="000D2353">
        <w:rPr>
          <w:rFonts w:ascii="Open Sans" w:hAnsi="Open Sans" w:cs="Open Sans"/>
          <w:szCs w:val="22"/>
        </w:rPr>
        <w:t xml:space="preserve">The Commission is a small agency and it has limited resources. In discharging its complaint-handling function, the Commission must ensure equity and fairness for all parties, efficiently manage resource allocation and protect staff health and safety. </w:t>
      </w:r>
    </w:p>
    <w:p w14:paraId="5A5019A1" w14:textId="77777777" w:rsidR="001B5D82" w:rsidRPr="000D2353" w:rsidRDefault="001B5D82" w:rsidP="001B5D82">
      <w:pPr>
        <w:rPr>
          <w:rFonts w:ascii="Open Sans" w:hAnsi="Open Sans" w:cs="Open Sans"/>
          <w:szCs w:val="22"/>
        </w:rPr>
      </w:pPr>
      <w:r w:rsidRPr="000D2353">
        <w:rPr>
          <w:rFonts w:ascii="Open Sans" w:hAnsi="Open Sans" w:cs="Open Sans"/>
          <w:szCs w:val="22"/>
        </w:rPr>
        <w:t>Therefore, the National Information Service and Investi</w:t>
      </w:r>
      <w:r w:rsidRPr="000D2353">
        <w:rPr>
          <w:rFonts w:ascii="Open Sans" w:hAnsi="Open Sans" w:cs="Open Sans"/>
          <w:color w:val="000000"/>
          <w:szCs w:val="22"/>
        </w:rPr>
        <w:t xml:space="preserve">gation and Conciliation Service may restrict how we communicate with people whose conduct we consider to </w:t>
      </w:r>
      <w:r>
        <w:rPr>
          <w:rFonts w:ascii="Open Sans" w:hAnsi="Open Sans" w:cs="Open Sans"/>
          <w:color w:val="000000"/>
          <w:szCs w:val="22"/>
        </w:rPr>
        <w:t>be unreasonable.</w:t>
      </w:r>
      <w:r w:rsidRPr="000D2353">
        <w:rPr>
          <w:rFonts w:ascii="Open Sans" w:hAnsi="Open Sans" w:cs="Open Sans"/>
          <w:color w:val="000000"/>
          <w:szCs w:val="22"/>
        </w:rPr>
        <w:t xml:space="preserve"> </w:t>
      </w:r>
    </w:p>
    <w:p w14:paraId="4DF40FB4" w14:textId="77777777" w:rsidR="001B5D82" w:rsidRPr="000D2353" w:rsidRDefault="001B5D82" w:rsidP="001B5D82">
      <w:pPr>
        <w:rPr>
          <w:rFonts w:ascii="Open Sans" w:hAnsi="Open Sans" w:cs="Open Sans"/>
          <w:szCs w:val="22"/>
        </w:rPr>
      </w:pPr>
      <w:r w:rsidRPr="000D2353">
        <w:rPr>
          <w:rFonts w:ascii="Open Sans" w:hAnsi="Open Sans" w:cs="Open Sans"/>
          <w:color w:val="000000"/>
          <w:szCs w:val="22"/>
        </w:rPr>
        <w:t xml:space="preserve">Unreasonable conduct includes </w:t>
      </w:r>
      <w:r>
        <w:rPr>
          <w:rFonts w:ascii="Open Sans" w:hAnsi="Open Sans" w:cs="Open Sans"/>
          <w:color w:val="000000"/>
          <w:szCs w:val="22"/>
        </w:rPr>
        <w:t>the following:</w:t>
      </w:r>
      <w:r w:rsidRPr="000D2353">
        <w:rPr>
          <w:rFonts w:ascii="Open Sans" w:hAnsi="Open Sans" w:cs="Open Sans"/>
          <w:color w:val="000000"/>
          <w:szCs w:val="22"/>
        </w:rPr>
        <w:t xml:space="preserve"> </w:t>
      </w:r>
    </w:p>
    <w:p w14:paraId="270B3A8B" w14:textId="77777777" w:rsidR="001B5D82" w:rsidRPr="000D2353" w:rsidRDefault="001B5D82" w:rsidP="001B5D82">
      <w:pPr>
        <w:pStyle w:val="ListParagraph"/>
        <w:numPr>
          <w:ilvl w:val="1"/>
          <w:numId w:val="1"/>
        </w:numPr>
        <w:rPr>
          <w:rFonts w:ascii="Open Sans" w:hAnsi="Open Sans" w:cs="Open Sans"/>
          <w:szCs w:val="22"/>
        </w:rPr>
      </w:pPr>
      <w:r w:rsidRPr="000D2353">
        <w:rPr>
          <w:rFonts w:ascii="Open Sans" w:hAnsi="Open Sans" w:cs="Open Sans"/>
          <w:color w:val="000000"/>
          <w:szCs w:val="22"/>
        </w:rPr>
        <w:t>threatening harm or violence towards staff or third parties</w:t>
      </w:r>
    </w:p>
    <w:p w14:paraId="74D1AB47" w14:textId="77777777" w:rsidR="001B5D82" w:rsidRPr="000D2353" w:rsidRDefault="001B5D82" w:rsidP="001B5D82">
      <w:pPr>
        <w:pStyle w:val="ListParagraph"/>
        <w:numPr>
          <w:ilvl w:val="1"/>
          <w:numId w:val="1"/>
        </w:numPr>
        <w:rPr>
          <w:rFonts w:ascii="Open Sans" w:hAnsi="Open Sans" w:cs="Open Sans"/>
          <w:szCs w:val="22"/>
        </w:rPr>
      </w:pPr>
      <w:r w:rsidRPr="000D2353">
        <w:rPr>
          <w:rFonts w:ascii="Open Sans" w:hAnsi="Open Sans" w:cs="Open Sans"/>
          <w:color w:val="000000"/>
          <w:szCs w:val="22"/>
        </w:rPr>
        <w:t xml:space="preserve">engaging in aggressive or verbally abusive conduct towards staff, including making derogatory, racist or </w:t>
      </w:r>
      <w:r>
        <w:rPr>
          <w:rFonts w:ascii="Open Sans" w:hAnsi="Open Sans" w:cs="Open Sans"/>
          <w:color w:val="000000"/>
          <w:szCs w:val="22"/>
        </w:rPr>
        <w:t xml:space="preserve">demeaning </w:t>
      </w:r>
      <w:r w:rsidRPr="000D2353">
        <w:rPr>
          <w:rFonts w:ascii="Open Sans" w:hAnsi="Open Sans" w:cs="Open Sans"/>
          <w:color w:val="000000"/>
          <w:szCs w:val="22"/>
        </w:rPr>
        <w:t>remarks or sending threatening correspondence</w:t>
      </w:r>
    </w:p>
    <w:p w14:paraId="2AA4B942" w14:textId="77777777" w:rsidR="001B5D82" w:rsidRPr="000D2353" w:rsidRDefault="001B5D82" w:rsidP="001B5D82">
      <w:pPr>
        <w:pStyle w:val="ListParagraph"/>
        <w:numPr>
          <w:ilvl w:val="1"/>
          <w:numId w:val="1"/>
        </w:numPr>
        <w:rPr>
          <w:rFonts w:ascii="Open Sans" w:hAnsi="Open Sans" w:cs="Open Sans"/>
          <w:szCs w:val="22"/>
        </w:rPr>
      </w:pPr>
      <w:r w:rsidRPr="000D2353">
        <w:rPr>
          <w:rFonts w:ascii="Open Sans" w:hAnsi="Open Sans" w:cs="Open Sans"/>
          <w:color w:val="000000"/>
          <w:szCs w:val="22"/>
        </w:rPr>
        <w:t xml:space="preserve">persistently calling, writing to and/or emailing the service </w:t>
      </w:r>
    </w:p>
    <w:p w14:paraId="0C63D333" w14:textId="77777777" w:rsidR="001B5D82" w:rsidRPr="000D2353" w:rsidRDefault="001B5D82" w:rsidP="001B5D82">
      <w:pPr>
        <w:pStyle w:val="ListParagraph"/>
        <w:numPr>
          <w:ilvl w:val="1"/>
          <w:numId w:val="1"/>
        </w:numPr>
        <w:rPr>
          <w:rFonts w:ascii="Open Sans" w:hAnsi="Open Sans" w:cs="Open Sans"/>
          <w:szCs w:val="22"/>
        </w:rPr>
      </w:pPr>
      <w:r w:rsidRPr="000D2353">
        <w:rPr>
          <w:rFonts w:ascii="Open Sans" w:hAnsi="Open Sans" w:cs="Open Sans"/>
          <w:color w:val="000000"/>
          <w:szCs w:val="22"/>
        </w:rPr>
        <w:t>providing the service with excessive amounts of information and documentation and refusing to provide information in a format that is accessible for staff</w:t>
      </w:r>
    </w:p>
    <w:p w14:paraId="6CAA042C" w14:textId="77777777" w:rsidR="001B5D82" w:rsidRPr="000D2353" w:rsidRDefault="001B5D82" w:rsidP="001B5D82">
      <w:pPr>
        <w:pStyle w:val="ListParagraph"/>
        <w:numPr>
          <w:ilvl w:val="1"/>
          <w:numId w:val="1"/>
        </w:numPr>
        <w:rPr>
          <w:rFonts w:ascii="Open Sans" w:hAnsi="Open Sans" w:cs="Open Sans"/>
          <w:szCs w:val="22"/>
        </w:rPr>
      </w:pPr>
      <w:r w:rsidRPr="000D2353">
        <w:rPr>
          <w:rFonts w:ascii="Open Sans" w:hAnsi="Open Sans" w:cs="Open Sans"/>
          <w:color w:val="000000"/>
          <w:szCs w:val="22"/>
        </w:rPr>
        <w:t>displaying unhelpful behaviour</w:t>
      </w:r>
      <w:r>
        <w:rPr>
          <w:rFonts w:ascii="Open Sans" w:hAnsi="Open Sans" w:cs="Open Sans"/>
          <w:color w:val="000000"/>
          <w:szCs w:val="22"/>
        </w:rPr>
        <w:t xml:space="preserve">, </w:t>
      </w:r>
      <w:r w:rsidRPr="000D2353">
        <w:rPr>
          <w:rFonts w:ascii="Open Sans" w:hAnsi="Open Sans" w:cs="Open Sans"/>
          <w:color w:val="000000"/>
          <w:szCs w:val="22"/>
        </w:rPr>
        <w:t>such as refusing to cooperate with the process, acting dishonestly or unreasonably withholding relevant information</w:t>
      </w:r>
    </w:p>
    <w:p w14:paraId="516EF21C" w14:textId="77777777" w:rsidR="001B5D82" w:rsidRPr="000D2353" w:rsidRDefault="001B5D82" w:rsidP="001B5D82">
      <w:pPr>
        <w:pStyle w:val="ListParagraph"/>
        <w:numPr>
          <w:ilvl w:val="1"/>
          <w:numId w:val="1"/>
        </w:numPr>
        <w:rPr>
          <w:rFonts w:ascii="Open Sans" w:hAnsi="Open Sans" w:cs="Open Sans"/>
          <w:szCs w:val="22"/>
        </w:rPr>
      </w:pPr>
      <w:r w:rsidRPr="000D2353">
        <w:rPr>
          <w:rFonts w:ascii="Open Sans" w:hAnsi="Open Sans" w:cs="Open Sans"/>
          <w:color w:val="000000"/>
          <w:szCs w:val="22"/>
        </w:rPr>
        <w:lastRenderedPageBreak/>
        <w:t>making</w:t>
      </w:r>
      <w:r>
        <w:rPr>
          <w:rFonts w:ascii="Open Sans" w:hAnsi="Open Sans" w:cs="Open Sans"/>
          <w:color w:val="000000"/>
          <w:szCs w:val="22"/>
        </w:rPr>
        <w:t xml:space="preserve"> unwarranted</w:t>
      </w:r>
      <w:r w:rsidRPr="000D2353">
        <w:rPr>
          <w:rFonts w:ascii="Open Sans" w:hAnsi="Open Sans" w:cs="Open Sans"/>
          <w:color w:val="000000"/>
          <w:szCs w:val="22"/>
        </w:rPr>
        <w:t xml:space="preserve"> demands</w:t>
      </w:r>
      <w:r>
        <w:rPr>
          <w:rFonts w:ascii="Open Sans" w:hAnsi="Open Sans" w:cs="Open Sans"/>
          <w:color w:val="000000"/>
          <w:szCs w:val="22"/>
        </w:rPr>
        <w:t xml:space="preserve"> to have their matters dealt with in a particular way </w:t>
      </w:r>
    </w:p>
    <w:p w14:paraId="284B0C31" w14:textId="77777777" w:rsidR="001B5D82" w:rsidRPr="000D2353" w:rsidRDefault="001B5D82" w:rsidP="001B5D82">
      <w:pPr>
        <w:pStyle w:val="ListParagraph"/>
        <w:numPr>
          <w:ilvl w:val="1"/>
          <w:numId w:val="1"/>
        </w:numPr>
        <w:rPr>
          <w:rFonts w:ascii="Open Sans" w:hAnsi="Open Sans" w:cs="Open Sans"/>
          <w:szCs w:val="22"/>
        </w:rPr>
      </w:pPr>
      <w:r w:rsidRPr="000D2353">
        <w:rPr>
          <w:rFonts w:ascii="Open Sans" w:hAnsi="Open Sans" w:cs="Open Sans"/>
          <w:color w:val="000000"/>
          <w:szCs w:val="22"/>
        </w:rPr>
        <w:t>persistently trying to make complaints about matters that have already been dealt with by the Commission.</w:t>
      </w:r>
    </w:p>
    <w:p w14:paraId="621F7C7B" w14:textId="77777777" w:rsidR="001B5D82" w:rsidRPr="000D2353" w:rsidRDefault="001B5D82" w:rsidP="001B5D82">
      <w:pPr>
        <w:pStyle w:val="ListParagraph"/>
        <w:ind w:left="1440"/>
        <w:rPr>
          <w:rFonts w:ascii="Open Sans" w:hAnsi="Open Sans" w:cs="Open Sans"/>
          <w:color w:val="000000"/>
          <w:szCs w:val="22"/>
        </w:rPr>
      </w:pPr>
    </w:p>
    <w:p w14:paraId="5ED332BC" w14:textId="77777777" w:rsidR="00085D82" w:rsidRDefault="00085D82"/>
    <w:sectPr w:rsidR="00085D82" w:rsidSect="005262E5">
      <w:headerReference w:type="default" r:id="rId7"/>
      <w:footerReference w:type="default" r:id="rId8"/>
      <w:headerReference w:type="first" r:id="rId9"/>
      <w:endnotePr>
        <w:numFmt w:val="decimal"/>
      </w:endnotePr>
      <w:pgSz w:w="11906" w:h="16838"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2ED9" w14:textId="77777777" w:rsidR="001B5D82" w:rsidRDefault="001B5D82" w:rsidP="001B5D82">
      <w:pPr>
        <w:spacing w:before="0" w:after="0"/>
      </w:pPr>
      <w:r>
        <w:separator/>
      </w:r>
    </w:p>
  </w:endnote>
  <w:endnote w:type="continuationSeparator" w:id="0">
    <w:p w14:paraId="6AE7BAE7" w14:textId="77777777" w:rsidR="001B5D82" w:rsidRDefault="001B5D82" w:rsidP="001B5D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F4E3" w14:textId="77777777" w:rsidR="006A2B0D" w:rsidRPr="0090165F" w:rsidRDefault="00282674"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0CBE" w14:textId="77777777" w:rsidR="001B5D82" w:rsidRDefault="001B5D82" w:rsidP="001B5D82">
      <w:pPr>
        <w:spacing w:before="0" w:after="0"/>
      </w:pPr>
      <w:r>
        <w:separator/>
      </w:r>
    </w:p>
  </w:footnote>
  <w:footnote w:type="continuationSeparator" w:id="0">
    <w:p w14:paraId="214166DA" w14:textId="77777777" w:rsidR="001B5D82" w:rsidRDefault="001B5D82" w:rsidP="001B5D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4616" w14:textId="77777777" w:rsidR="006A2B0D" w:rsidRPr="00D27262" w:rsidRDefault="00282674" w:rsidP="00EB6B66">
    <w:pPr>
      <w:spacing w:before="0" w:after="0"/>
      <w:jc w:val="right"/>
      <w:rPr>
        <w:szCs w:val="22"/>
      </w:rPr>
    </w:pPr>
    <w:r w:rsidRPr="00D27262">
      <w:rPr>
        <w:szCs w:val="22"/>
      </w:rPr>
      <w:t>Au</w:t>
    </w:r>
    <w:r>
      <w:rPr>
        <w:szCs w:val="22"/>
      </w:rPr>
      <w:t>stralian Human Rights Commission</w:t>
    </w:r>
  </w:p>
  <w:p w14:paraId="0694AC43" w14:textId="77777777" w:rsidR="006A2B0D" w:rsidRPr="00EB6B66" w:rsidRDefault="00282674" w:rsidP="00EB6B66">
    <w:pPr>
      <w:pStyle w:val="Footer"/>
      <w:spacing w:before="0" w:after="360"/>
      <w:jc w:val="right"/>
      <w:rPr>
        <w:i/>
        <w:szCs w:val="22"/>
      </w:rPr>
    </w:pPr>
    <w:r>
      <w:rPr>
        <w:b/>
        <w:i/>
        <w:szCs w:val="22"/>
      </w:rPr>
      <w:t xml:space="preserve"> </w:t>
    </w:r>
    <w:r>
      <w:rPr>
        <w:b/>
        <w:i/>
        <w:szCs w:val="22"/>
      </w:rPr>
      <w:t xml:space="preserve">National </w:t>
    </w:r>
    <w:r>
      <w:rPr>
        <w:b/>
        <w:i/>
        <w:szCs w:val="22"/>
      </w:rPr>
      <w:t xml:space="preserve">Information Service </w:t>
    </w:r>
    <w:r w:rsidRPr="007E5767">
      <w:rPr>
        <w:szCs w:val="22"/>
      </w:rPr>
      <w:sym w:font="Symbol" w:char="F0B7"/>
    </w:r>
    <w:r>
      <w:rPr>
        <w:szCs w:val="22"/>
      </w:rPr>
      <w:t xml:space="preserve"> </w:t>
    </w:r>
    <w:r>
      <w:rPr>
        <w:b/>
        <w:i/>
        <w:szCs w:val="22"/>
      </w:rPr>
      <w:t xml:space="preserve">Investigation and Conciliation Service </w:t>
    </w:r>
    <w:r>
      <w:rPr>
        <w:b/>
        <w:i/>
        <w:szCs w:val="22"/>
      </w:rPr>
      <w:br/>
      <w:t>Charter of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952" w:type="dxa"/>
      <w:tblInd w:w="108" w:type="dxa"/>
      <w:tblLayout w:type="fixed"/>
      <w:tblLook w:val="00A0" w:firstRow="1" w:lastRow="0" w:firstColumn="1" w:lastColumn="0" w:noHBand="0" w:noVBand="0"/>
    </w:tblPr>
    <w:tblGrid>
      <w:gridCol w:w="4111"/>
      <w:gridCol w:w="2688"/>
      <w:gridCol w:w="2302"/>
      <w:gridCol w:w="2130"/>
      <w:gridCol w:w="1721"/>
    </w:tblGrid>
    <w:tr w:rsidR="006A2B0D" w:rsidRPr="00B85DD4" w14:paraId="1AF0BDA5" w14:textId="77777777" w:rsidTr="00CD33C7">
      <w:trPr>
        <w:trHeight w:val="1603"/>
      </w:trPr>
      <w:tc>
        <w:tcPr>
          <w:tcW w:w="4111" w:type="dxa"/>
        </w:tcPr>
        <w:p w14:paraId="4E883A66" w14:textId="77777777" w:rsidR="006A2B0D" w:rsidRPr="00B85DD4" w:rsidRDefault="00282674" w:rsidP="00B520BC">
          <w:pPr>
            <w:pStyle w:val="Header"/>
            <w:tabs>
              <w:tab w:val="left" w:pos="4686"/>
              <w:tab w:val="left" w:pos="7088"/>
              <w:tab w:val="left" w:pos="7242"/>
            </w:tabs>
            <w:ind w:left="-108"/>
            <w:rPr>
              <w:rFonts w:cs="ArialMT"/>
              <w:b/>
              <w:spacing w:val="-20"/>
            </w:rPr>
          </w:pPr>
          <w:r>
            <w:rPr>
              <w:rFonts w:cs="ArialMT"/>
              <w:b/>
              <w:noProof/>
              <w:spacing w:val="-20"/>
            </w:rPr>
            <w:drawing>
              <wp:inline distT="0" distB="0" distL="0" distR="0" wp14:anchorId="30AA6FF9" wp14:editId="15967BA7">
                <wp:extent cx="2457450" cy="838654"/>
                <wp:effectExtent l="0" t="0" r="0" b="0"/>
                <wp:docPr id="4" name="Picture 4" descr="\\fileshare\users\brosu\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share\users\brosu\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838654"/>
                        </a:xfrm>
                        <a:prstGeom prst="rect">
                          <a:avLst/>
                        </a:prstGeom>
                        <a:noFill/>
                        <a:ln>
                          <a:noFill/>
                        </a:ln>
                      </pic:spPr>
                    </pic:pic>
                  </a:graphicData>
                </a:graphic>
              </wp:inline>
            </w:drawing>
          </w:r>
        </w:p>
      </w:tc>
      <w:tc>
        <w:tcPr>
          <w:tcW w:w="2688" w:type="dxa"/>
          <w:vAlign w:val="center"/>
        </w:tcPr>
        <w:p w14:paraId="5B353DCF" w14:textId="77777777" w:rsidR="006A2B0D" w:rsidRPr="00B85DD4" w:rsidRDefault="00282674" w:rsidP="002B1B65">
          <w:pPr>
            <w:spacing w:before="0" w:after="0"/>
            <w:rPr>
              <w:rFonts w:cs="ArialMT"/>
              <w:i/>
              <w:color w:val="808080"/>
              <w:sz w:val="17"/>
            </w:rPr>
          </w:pPr>
        </w:p>
      </w:tc>
      <w:tc>
        <w:tcPr>
          <w:tcW w:w="2302" w:type="dxa"/>
        </w:tcPr>
        <w:p w14:paraId="2491177A" w14:textId="77777777" w:rsidR="006A2B0D" w:rsidRPr="00B85DD4" w:rsidRDefault="00282674" w:rsidP="00B520BC">
          <w:pPr>
            <w:pStyle w:val="HeaderFooter"/>
            <w:rPr>
              <w:b/>
              <w:spacing w:val="-20"/>
              <w:sz w:val="40"/>
            </w:rPr>
          </w:pPr>
        </w:p>
      </w:tc>
      <w:tc>
        <w:tcPr>
          <w:tcW w:w="2130" w:type="dxa"/>
        </w:tcPr>
        <w:p w14:paraId="6D3E5EA9" w14:textId="77777777" w:rsidR="006A2B0D" w:rsidRPr="00B85DD4" w:rsidRDefault="00282674" w:rsidP="00B520BC">
          <w:pPr>
            <w:pStyle w:val="HeaderFooter"/>
            <w:rPr>
              <w:b/>
              <w:spacing w:val="-20"/>
              <w:sz w:val="40"/>
            </w:rPr>
          </w:pPr>
        </w:p>
      </w:tc>
      <w:tc>
        <w:tcPr>
          <w:tcW w:w="1721" w:type="dxa"/>
        </w:tcPr>
        <w:p w14:paraId="0CC27435" w14:textId="77777777" w:rsidR="006A2B0D" w:rsidRPr="00B85DD4" w:rsidRDefault="00282674" w:rsidP="00B520BC">
          <w:pPr>
            <w:pStyle w:val="HeaderFooter"/>
            <w:spacing w:before="227" w:after="340"/>
            <w:rPr>
              <w:b/>
              <w:spacing w:val="-20"/>
              <w:sz w:val="40"/>
            </w:rPr>
          </w:pPr>
        </w:p>
      </w:tc>
    </w:tr>
  </w:tbl>
  <w:p w14:paraId="20A812BF" w14:textId="77777777" w:rsidR="006A2B0D" w:rsidRDefault="00282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23C85"/>
    <w:multiLevelType w:val="hybridMultilevel"/>
    <w:tmpl w:val="4BCAD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82"/>
    <w:rsid w:val="00085D82"/>
    <w:rsid w:val="001B5D8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C800"/>
  <w15:chartTrackingRefBased/>
  <w15:docId w15:val="{CA1D6C75-1C9A-4CC3-AC1D-AA2A60DC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82"/>
    <w:pPr>
      <w:spacing w:before="240" w:after="24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B5D82"/>
    <w:pPr>
      <w:tabs>
        <w:tab w:val="center" w:pos="4513"/>
        <w:tab w:val="right" w:pos="9026"/>
      </w:tabs>
      <w:spacing w:after="0"/>
    </w:pPr>
  </w:style>
  <w:style w:type="character" w:customStyle="1" w:styleId="HeaderChar">
    <w:name w:val="Header Char"/>
    <w:basedOn w:val="DefaultParagraphFont"/>
    <w:link w:val="Header"/>
    <w:semiHidden/>
    <w:rsid w:val="001B5D82"/>
    <w:rPr>
      <w:rFonts w:ascii="Arial" w:eastAsia="Times New Roman" w:hAnsi="Arial" w:cs="Times New Roman"/>
      <w:szCs w:val="24"/>
      <w:lang w:eastAsia="en-AU"/>
    </w:rPr>
  </w:style>
  <w:style w:type="paragraph" w:styleId="Footer">
    <w:name w:val="footer"/>
    <w:basedOn w:val="Normal"/>
    <w:link w:val="FooterChar"/>
    <w:uiPriority w:val="99"/>
    <w:semiHidden/>
    <w:rsid w:val="001B5D82"/>
    <w:pPr>
      <w:tabs>
        <w:tab w:val="center" w:pos="4513"/>
        <w:tab w:val="right" w:pos="9026"/>
      </w:tabs>
      <w:spacing w:after="0"/>
    </w:pPr>
  </w:style>
  <w:style w:type="character" w:customStyle="1" w:styleId="FooterChar">
    <w:name w:val="Footer Char"/>
    <w:basedOn w:val="DefaultParagraphFont"/>
    <w:link w:val="Footer"/>
    <w:uiPriority w:val="99"/>
    <w:semiHidden/>
    <w:rsid w:val="001B5D82"/>
    <w:rPr>
      <w:rFonts w:ascii="Arial" w:eastAsia="Times New Roman" w:hAnsi="Arial" w:cs="Times New Roman"/>
      <w:szCs w:val="24"/>
      <w:lang w:eastAsia="en-AU"/>
    </w:rPr>
  </w:style>
  <w:style w:type="character" w:styleId="Hyperlink">
    <w:name w:val="Hyperlink"/>
    <w:uiPriority w:val="99"/>
    <w:unhideWhenUsed/>
    <w:rsid w:val="001B5D82"/>
    <w:rPr>
      <w:color w:val="0000FF"/>
      <w:u w:val="single"/>
    </w:rPr>
  </w:style>
  <w:style w:type="character" w:styleId="PageNumber">
    <w:name w:val="page number"/>
    <w:basedOn w:val="DefaultParagraphFont"/>
    <w:semiHidden/>
    <w:rsid w:val="001B5D82"/>
  </w:style>
  <w:style w:type="paragraph" w:customStyle="1" w:styleId="HeaderFooter">
    <w:name w:val="Header &amp; Footer"/>
    <w:basedOn w:val="Normal"/>
    <w:semiHidden/>
    <w:rsid w:val="001B5D82"/>
    <w:pPr>
      <w:spacing w:line="200" w:lineRule="exact"/>
      <w:jc w:val="both"/>
    </w:pPr>
    <w:rPr>
      <w:rFonts w:cs="ArialMT"/>
      <w:color w:val="000000"/>
      <w:sz w:val="16"/>
      <w:lang w:eastAsia="en-US"/>
    </w:rPr>
  </w:style>
  <w:style w:type="paragraph" w:styleId="ListParagraph">
    <w:name w:val="List Paragraph"/>
    <w:basedOn w:val="Normal"/>
    <w:uiPriority w:val="34"/>
    <w:qFormat/>
    <w:rsid w:val="001B5D82"/>
    <w:pPr>
      <w:ind w:left="720"/>
      <w:contextualSpacing/>
    </w:pPr>
  </w:style>
  <w:style w:type="paragraph" w:customStyle="1" w:styleId="MainTitle">
    <w:name w:val="Main Title"/>
    <w:semiHidden/>
    <w:qFormat/>
    <w:rsid w:val="001B5D82"/>
    <w:pPr>
      <w:pBdr>
        <w:top w:val="single" w:sz="12" w:space="10" w:color="0070C0"/>
        <w:bottom w:val="single" w:sz="12" w:space="10" w:color="0070C0"/>
      </w:pBdr>
      <w:spacing w:before="240" w:after="240" w:line="240" w:lineRule="auto"/>
    </w:pPr>
    <w:rPr>
      <w:rFonts w:ascii="Arial" w:eastAsia="Times New Roman" w:hAnsi="Arial" w:cs="Times New Roman"/>
      <w:bCs/>
      <w:kern w:val="32"/>
      <w:sz w:val="100"/>
      <w:szCs w:val="32"/>
      <w:lang w:eastAsia="en-AU"/>
    </w:rPr>
  </w:style>
  <w:style w:type="paragraph" w:customStyle="1" w:styleId="TitlewithLine">
    <w:name w:val="Title with Line"/>
    <w:basedOn w:val="MainTitle"/>
    <w:qFormat/>
    <w:rsid w:val="001B5D82"/>
    <w:pPr>
      <w:spacing w:before="0"/>
    </w:pPr>
    <w:rPr>
      <w:rFonts w:cs="Arial"/>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17" Type="http://schemas.openxmlformats.org/officeDocument/2006/relationships/customXml" Target="../customXml/item6.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968D3F53A9F4F825FFF5F85D9BE88" ma:contentTypeVersion="176" ma:contentTypeDescription="Create a new document." ma:contentTypeScope="" ma:versionID="7bfa9fa4f650fe3887b04080c1bc9d42">
  <xsd:schema xmlns:xsd="http://www.w3.org/2001/XMLSchema" xmlns:xs="http://www.w3.org/2001/XMLSchema" xmlns:p="http://schemas.microsoft.com/office/2006/metadata/properties" xmlns:ns2="6500fe01-343b-4fb9-a1b0-68ac19d62e01" xmlns:ns3="57f1fb52-79b9-4278-9d54-1e5db41bfcda" xmlns:ns4="4799b75f-f50e-4e70-a4b7-2741d38a82f5" xmlns:ns5="b9ad0609-0889-45fb-be3a-a5e1fe5b8d39" targetNamespace="http://schemas.microsoft.com/office/2006/metadata/properties" ma:root="true" ma:fieldsID="46d79aed71c4be4df232d082e17d566a" ns2:_="" ns3:_="" ns4:_="" ns5:_="">
    <xsd:import namespace="6500fe01-343b-4fb9-a1b0-68ac19d62e01"/>
    <xsd:import namespace="57f1fb52-79b9-4278-9d54-1e5db41bfcda"/>
    <xsd:import namespace="4799b75f-f50e-4e70-a4b7-2741d38a82f5"/>
    <xsd:import namespace="b9ad0609-0889-45fb-be3a-a5e1fe5b8d39"/>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oa17e78cd7c64649ba77f1c8c519caf1" minOccurs="0"/>
                <xsd:element ref="ns4:MediaServiceMetadata" minOccurs="0"/>
                <xsd:element ref="ns4:MediaServiceFastMetadata" minOccurs="0"/>
                <xsd:element ref="ns5:MediaServiceDateTaken" minOccurs="0"/>
                <xsd:element ref="ns3:SharedWithUsers" minOccurs="0"/>
                <xsd:element ref="ns3:SharedWithDetail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f5967eb3-ea3a-4876-905e-c5ac0efe71fd}"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967eb3-ea3a-4876-905e-c5ac0efe71fd}"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oa17e78cd7c64649ba77f1c8c519caf1" ma:index="17" nillable="true" ma:taxonomy="true" ma:internalName="oa17e78cd7c64649ba77f1c8c519caf1" ma:taxonomyFieldName="Document_x0020_Type" ma:displayName="Document Type" ma:default="" ma:fieldId="{8a17e78c-d7c6-4649-ba77-f1c8c519caf1}" ma:sspId="975c5ac6-a0cc-43ed-b850-4a2ae59237b6" ma:termSetId="0f4001c9-e61e-4ecc-b51d-e8f456c4e4f3"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9b75f-f50e-4e70-a4b7-2741d38a82f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d0609-0889-45fb-be3a-a5e1fe5b8d39" elementFormDefault="qualified">
    <xsd:import namespace="http://schemas.microsoft.com/office/2006/documentManagement/types"/>
    <xsd:import namespace="http://schemas.microsoft.com/office/infopath/2007/PartnerControls"/>
    <xsd:element name="MediaServiceDateTaken" ma:index="20"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975c5ac6-a0cc-43ed-b850-4a2ae59237b6"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oa17e78cd7c64649ba77f1c8c519caf1 xmlns="57f1fb52-79b9-4278-9d54-1e5db41bfcda">
      <Terms xmlns="http://schemas.microsoft.com/office/infopath/2007/PartnerControls"/>
    </oa17e78cd7c64649ba77f1c8c519caf1>
    <_dlc_DocId xmlns="6500fe01-343b-4fb9-a1b0-68ac19d62e01">HLK6U7RJ2EQW-866132701-499</_dlc_DocId>
    <_dlc_DocIdUrl xmlns="6500fe01-343b-4fb9-a1b0-68ac19d62e01">
      <Url>https://australianhrc.sharepoint.com/sites/ICSWorkspace/_layouts/15/DocIdRedir.aspx?ID=HLK6U7RJ2EQW-866132701-499</Url>
      <Description>HLK6U7RJ2EQW-866132701-499</Description>
    </_dlc_DocIdUrl>
  </documentManagement>
</p:properties>
</file>

<file path=customXml/itemProps1.xml><?xml version="1.0" encoding="utf-8"?>
<ds:datastoreItem xmlns:ds="http://schemas.openxmlformats.org/officeDocument/2006/customXml" ds:itemID="{2733C9B4-EEA8-48C0-B9B9-9C433F452458}"/>
</file>

<file path=customXml/itemProps2.xml><?xml version="1.0" encoding="utf-8"?>
<ds:datastoreItem xmlns:ds="http://schemas.openxmlformats.org/officeDocument/2006/customXml" ds:itemID="{E5CC5B41-1189-4171-82B0-5D998D1BE33A}"/>
</file>

<file path=customXml/itemProps3.xml><?xml version="1.0" encoding="utf-8"?>
<ds:datastoreItem xmlns:ds="http://schemas.openxmlformats.org/officeDocument/2006/customXml" ds:itemID="{0625C74A-D9EC-4186-A546-24C12D3A2D96}"/>
</file>

<file path=customXml/itemProps4.xml><?xml version="1.0" encoding="utf-8"?>
<ds:datastoreItem xmlns:ds="http://schemas.openxmlformats.org/officeDocument/2006/customXml" ds:itemID="{DF33BCB3-BD0A-455C-B42B-D2293B95C75F}"/>
</file>

<file path=customXml/itemProps5.xml><?xml version="1.0" encoding="utf-8"?>
<ds:datastoreItem xmlns:ds="http://schemas.openxmlformats.org/officeDocument/2006/customXml" ds:itemID="{807879D1-E320-4E25-B6B7-F00ADC2E976E}"/>
</file>

<file path=customXml/itemProps6.xml><?xml version="1.0" encoding="utf-8"?>
<ds:datastoreItem xmlns:ds="http://schemas.openxmlformats.org/officeDocument/2006/customXml" ds:itemID="{3F12AB63-80CF-45C9-8E5F-A68913018E01}"/>
</file>

<file path=docProps/app.xml><?xml version="1.0" encoding="utf-8"?>
<Properties xmlns="http://schemas.openxmlformats.org/officeDocument/2006/extended-properties" xmlns:vt="http://schemas.openxmlformats.org/officeDocument/2006/docPropsVTypes">
  <Template>Normal.dotm</Template>
  <TotalTime>6</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Holt</dc:creator>
  <cp:keywords/>
  <dc:description/>
  <cp:lastModifiedBy>Rachel Holt</cp:lastModifiedBy>
  <cp:revision>1</cp:revision>
  <dcterms:created xsi:type="dcterms:W3CDTF">2021-09-30T22:52:00Z</dcterms:created>
  <dcterms:modified xsi:type="dcterms:W3CDTF">2021-09-30T22:58:00Z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0x0101003FE968D3F53A9F4F825FFF5F85D9BE88</vt:lpwstr>
  </property>
  <property fmtid="{D5CDD505-2E9C-101B-9397-08002B2CF9AE}" pid="3" name="_dlc_DocIdItemGuid">
    <vt:lpwstr>6fcaaa20-17b1-4717-947b-1c22f8a51c11</vt:lpwstr>
  </property>
  <property fmtid="{D5CDD505-2E9C-101B-9397-08002B2CF9AE}" pid="4" name="TaxKeyword">
    <vt:lpwstr/>
  </property>
  <property fmtid="{D5CDD505-2E9C-101B-9397-08002B2CF9AE}" pid="5" name="Document Type">
    <vt:lpwstr/>
  </property>
</Properties>
</file>