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ind w:left="0"/>
        <w:rPr>
          <w:rFonts w:ascii="Times New Roman"/>
          <w:sz w:val="27"/>
        </w:rPr>
      </w:pPr>
      <w:r>
        <w:rPr/>
        <w:drawing>
          <wp:anchor distT="0" distB="0" distL="0" distR="0" allowOverlap="1" layoutInCell="1" locked="0" behindDoc="1" simplePos="0" relativeHeight="4872724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rPr>
          <w:i w:val="0"/>
        </w:rPr>
      </w:pPr>
      <w:r>
        <w:rPr>
          <w:i w:val="0"/>
          <w:color w:val="237BBC"/>
        </w:rPr>
        <w:t>Review</w:t>
      </w:r>
      <w:r>
        <w:rPr>
          <w:i w:val="0"/>
          <w:color w:val="237BBC"/>
          <w:spacing w:val="-24"/>
        </w:rPr>
        <w:t> </w:t>
      </w:r>
      <w:r>
        <w:rPr>
          <w:i w:val="0"/>
          <w:color w:val="237BBC"/>
        </w:rPr>
        <w:t>of</w:t>
      </w:r>
      <w:r>
        <w:rPr>
          <w:i w:val="0"/>
          <w:color w:val="237BBC"/>
          <w:spacing w:val="-23"/>
        </w:rPr>
        <w:t> </w:t>
      </w:r>
      <w:r>
        <w:rPr>
          <w:i w:val="0"/>
          <w:color w:val="237BBC"/>
        </w:rPr>
        <w:t>the</w:t>
      </w:r>
      <w:r>
        <w:rPr>
          <w:i w:val="0"/>
          <w:color w:val="237BBC"/>
          <w:spacing w:val="-23"/>
        </w:rPr>
        <w:t> </w:t>
      </w:r>
      <w:r>
        <w:rPr>
          <w:i/>
          <w:color w:val="237BBC"/>
        </w:rPr>
        <w:t>Telecommunications</w:t>
      </w:r>
      <w:r>
        <w:rPr>
          <w:i/>
          <w:color w:val="237BBC"/>
          <w:spacing w:val="-142"/>
        </w:rPr>
        <w:t> </w:t>
      </w:r>
      <w:r>
        <w:rPr>
          <w:color w:val="237BBC"/>
        </w:rPr>
        <w:t>and other Legislation Amendment</w:t>
      </w:r>
      <w:r>
        <w:rPr>
          <w:color w:val="237BBC"/>
          <w:spacing w:val="1"/>
        </w:rPr>
        <w:t> </w:t>
      </w:r>
      <w:r>
        <w:rPr>
          <w:color w:val="237BBC"/>
        </w:rPr>
        <w:t>(Assistance</w:t>
      </w:r>
      <w:r>
        <w:rPr>
          <w:color w:val="237BBC"/>
          <w:spacing w:val="-1"/>
        </w:rPr>
        <w:t> </w:t>
      </w:r>
      <w:r>
        <w:rPr>
          <w:color w:val="237BBC"/>
        </w:rPr>
        <w:t>&amp;</w:t>
      </w:r>
      <w:r>
        <w:rPr>
          <w:color w:val="237BBC"/>
          <w:spacing w:val="-4"/>
        </w:rPr>
        <w:t> </w:t>
      </w:r>
      <w:r>
        <w:rPr>
          <w:color w:val="237BBC"/>
        </w:rPr>
        <w:t>Access)</w:t>
      </w:r>
      <w:r>
        <w:rPr>
          <w:color w:val="237BBC"/>
          <w:spacing w:val="-5"/>
        </w:rPr>
        <w:t> </w:t>
      </w:r>
      <w:r>
        <w:rPr>
          <w:color w:val="237BBC"/>
        </w:rPr>
        <w:t>Act</w:t>
      </w:r>
      <w:r>
        <w:rPr>
          <w:color w:val="237BBC"/>
          <w:spacing w:val="-2"/>
        </w:rPr>
        <w:t> </w:t>
      </w:r>
      <w:r>
        <w:rPr>
          <w:color w:val="237BBC"/>
        </w:rPr>
        <w:t>2018</w:t>
      </w:r>
      <w:r>
        <w:rPr>
          <w:color w:val="237BBC"/>
          <w:spacing w:val="-6"/>
        </w:rPr>
        <w:t> </w:t>
      </w:r>
      <w:r>
        <w:rPr>
          <w:i w:val="0"/>
          <w:color w:val="237BBC"/>
        </w:rPr>
        <w:t>(Cth)</w:t>
      </w:r>
    </w:p>
    <w:p>
      <w:pPr>
        <w:pStyle w:val="Heading4"/>
      </w:pPr>
      <w:r>
        <w:rPr>
          <w:color w:val="2E74B5"/>
        </w:rPr>
        <w:t>Submission</w:t>
      </w:r>
      <w:r>
        <w:rPr>
          <w:color w:val="2E74B5"/>
          <w:spacing w:val="-6"/>
        </w:rPr>
        <w:t> </w:t>
      </w:r>
      <w:r>
        <w:rPr>
          <w:color w:val="2E74B5"/>
        </w:rPr>
        <w:t>to</w:t>
      </w:r>
      <w:r>
        <w:rPr>
          <w:color w:val="2E74B5"/>
          <w:spacing w:val="-3"/>
        </w:rPr>
        <w:t> </w:t>
      </w:r>
      <w:r>
        <w:rPr>
          <w:color w:val="2E74B5"/>
        </w:rPr>
        <w:t>the</w:t>
      </w:r>
      <w:r>
        <w:rPr>
          <w:color w:val="2E74B5"/>
          <w:spacing w:val="-6"/>
        </w:rPr>
        <w:t> </w:t>
      </w:r>
      <w:r>
        <w:rPr>
          <w:color w:val="2E74B5"/>
        </w:rPr>
        <w:t>Independent</w:t>
      </w:r>
      <w:r>
        <w:rPr>
          <w:color w:val="2E74B5"/>
          <w:spacing w:val="-5"/>
        </w:rPr>
        <w:t> </w:t>
      </w:r>
      <w:r>
        <w:rPr>
          <w:color w:val="2E74B5"/>
        </w:rPr>
        <w:t>National</w:t>
      </w:r>
      <w:r>
        <w:rPr>
          <w:color w:val="2E74B5"/>
          <w:spacing w:val="2"/>
        </w:rPr>
        <w:t> </w:t>
      </w:r>
      <w:r>
        <w:rPr>
          <w:color w:val="2E74B5"/>
        </w:rPr>
        <w:t>Security</w:t>
      </w:r>
      <w:r>
        <w:rPr>
          <w:color w:val="2E74B5"/>
          <w:spacing w:val="-6"/>
        </w:rPr>
        <w:t> </w:t>
      </w:r>
      <w:r>
        <w:rPr>
          <w:color w:val="2E74B5"/>
        </w:rPr>
        <w:t>Legislation</w:t>
      </w:r>
      <w:r>
        <w:rPr>
          <w:color w:val="2E74B5"/>
          <w:spacing w:val="-5"/>
        </w:rPr>
        <w:t> </w:t>
      </w:r>
      <w:r>
        <w:rPr>
          <w:color w:val="2E74B5"/>
        </w:rPr>
        <w:t>Monitor</w:t>
      </w:r>
    </w:p>
    <w:p>
      <w:pPr>
        <w:pStyle w:val="BodyText"/>
        <w:spacing w:before="114"/>
        <w:ind w:left="0" w:right="388"/>
        <w:jc w:val="right"/>
      </w:pPr>
      <w:r>
        <w:rPr/>
        <w:t>20</w:t>
      </w:r>
      <w:r>
        <w:rPr>
          <w:spacing w:val="-1"/>
        </w:rPr>
        <w:t> </w:t>
      </w:r>
      <w:r>
        <w:rPr/>
        <w:t>September</w:t>
      </w:r>
      <w:r>
        <w:rPr>
          <w:spacing w:val="-4"/>
        </w:rPr>
        <w:t> </w:t>
      </w:r>
      <w:r>
        <w:rPr/>
        <w:t>2019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6"/>
        </w:rPr>
      </w:pPr>
    </w:p>
    <w:p>
      <w:pPr>
        <w:spacing w:line="245" w:lineRule="exact" w:before="103"/>
        <w:ind w:left="107" w:right="0" w:firstLine="0"/>
        <w:jc w:val="left"/>
        <w:rPr>
          <w:sz w:val="18"/>
        </w:rPr>
      </w:pPr>
      <w:r>
        <w:rPr>
          <w:sz w:val="18"/>
        </w:rPr>
        <w:t>ABN</w:t>
      </w:r>
      <w:r>
        <w:rPr>
          <w:spacing w:val="-1"/>
          <w:sz w:val="18"/>
        </w:rPr>
        <w:t> </w:t>
      </w:r>
      <w:r>
        <w:rPr>
          <w:sz w:val="18"/>
        </w:rPr>
        <w:t>47</w:t>
      </w:r>
      <w:r>
        <w:rPr>
          <w:spacing w:val="-1"/>
          <w:sz w:val="18"/>
        </w:rPr>
        <w:t> </w:t>
      </w:r>
      <w:r>
        <w:rPr>
          <w:sz w:val="18"/>
        </w:rPr>
        <w:t>996</w:t>
      </w:r>
      <w:r>
        <w:rPr>
          <w:spacing w:val="-2"/>
          <w:sz w:val="18"/>
        </w:rPr>
        <w:t> </w:t>
      </w:r>
      <w:r>
        <w:rPr>
          <w:sz w:val="18"/>
        </w:rPr>
        <w:t>232</w:t>
      </w:r>
      <w:r>
        <w:rPr>
          <w:spacing w:val="-2"/>
          <w:sz w:val="18"/>
        </w:rPr>
        <w:t> </w:t>
      </w:r>
      <w:r>
        <w:rPr>
          <w:sz w:val="18"/>
        </w:rPr>
        <w:t>602</w:t>
      </w:r>
    </w:p>
    <w:p>
      <w:pPr>
        <w:spacing w:line="245" w:lineRule="exact" w:before="0"/>
        <w:ind w:left="107" w:right="0" w:firstLine="0"/>
        <w:jc w:val="left"/>
        <w:rPr>
          <w:sz w:val="18"/>
        </w:rPr>
      </w:pPr>
      <w:r>
        <w:rPr>
          <w:sz w:val="18"/>
        </w:rPr>
        <w:t>Level</w:t>
      </w:r>
      <w:r>
        <w:rPr>
          <w:spacing w:val="-2"/>
          <w:sz w:val="18"/>
        </w:rPr>
        <w:t> </w:t>
      </w:r>
      <w:r>
        <w:rPr>
          <w:sz w:val="18"/>
        </w:rPr>
        <w:t>3,</w:t>
      </w:r>
      <w:r>
        <w:rPr>
          <w:spacing w:val="-5"/>
          <w:sz w:val="18"/>
        </w:rPr>
        <w:t> </w:t>
      </w:r>
      <w:r>
        <w:rPr>
          <w:sz w:val="18"/>
        </w:rPr>
        <w:t>175</w:t>
      </w:r>
      <w:r>
        <w:rPr>
          <w:spacing w:val="3"/>
          <w:sz w:val="18"/>
        </w:rPr>
        <w:t> </w:t>
      </w:r>
      <w:r>
        <w:rPr>
          <w:sz w:val="18"/>
        </w:rPr>
        <w:t>Pitt Street, Sydney</w:t>
      </w:r>
      <w:r>
        <w:rPr>
          <w:spacing w:val="-5"/>
          <w:sz w:val="18"/>
        </w:rPr>
        <w:t> </w:t>
      </w:r>
      <w:r>
        <w:rPr>
          <w:sz w:val="18"/>
        </w:rPr>
        <w:t>NSW</w:t>
      </w:r>
      <w:r>
        <w:rPr>
          <w:spacing w:val="-4"/>
          <w:sz w:val="18"/>
        </w:rPr>
        <w:t> </w:t>
      </w:r>
      <w:r>
        <w:rPr>
          <w:sz w:val="18"/>
        </w:rPr>
        <w:t>2000</w:t>
      </w:r>
    </w:p>
    <w:p>
      <w:pPr>
        <w:spacing w:line="245" w:lineRule="exact" w:before="0"/>
        <w:ind w:left="107" w:right="0" w:firstLine="0"/>
        <w:jc w:val="left"/>
        <w:rPr>
          <w:sz w:val="18"/>
        </w:rPr>
      </w:pPr>
      <w:r>
        <w:rPr>
          <w:sz w:val="18"/>
        </w:rPr>
        <w:t>GPO</w:t>
      </w:r>
      <w:r>
        <w:rPr>
          <w:spacing w:val="-1"/>
          <w:sz w:val="18"/>
        </w:rPr>
        <w:t> </w:t>
      </w:r>
      <w:r>
        <w:rPr>
          <w:sz w:val="18"/>
        </w:rPr>
        <w:t>Box</w:t>
      </w:r>
      <w:r>
        <w:rPr>
          <w:spacing w:val="2"/>
          <w:sz w:val="18"/>
        </w:rPr>
        <w:t> </w:t>
      </w:r>
      <w:r>
        <w:rPr>
          <w:sz w:val="18"/>
        </w:rPr>
        <w:t>5218,</w:t>
      </w:r>
      <w:r>
        <w:rPr>
          <w:spacing w:val="-5"/>
          <w:sz w:val="18"/>
        </w:rPr>
        <w:t> </w:t>
      </w:r>
      <w:r>
        <w:rPr>
          <w:sz w:val="18"/>
        </w:rPr>
        <w:t>Sydney</w:t>
      </w:r>
      <w:r>
        <w:rPr>
          <w:spacing w:val="-4"/>
          <w:sz w:val="18"/>
        </w:rPr>
        <w:t> </w:t>
      </w:r>
      <w:r>
        <w:rPr>
          <w:sz w:val="18"/>
        </w:rPr>
        <w:t>NSW</w:t>
      </w:r>
      <w:r>
        <w:rPr>
          <w:spacing w:val="-4"/>
          <w:sz w:val="18"/>
        </w:rPr>
        <w:t> </w:t>
      </w:r>
      <w:r>
        <w:rPr>
          <w:sz w:val="18"/>
        </w:rPr>
        <w:t>2001</w:t>
      </w:r>
    </w:p>
    <w:p>
      <w:pPr>
        <w:spacing w:line="245" w:lineRule="exact" w:before="0"/>
        <w:ind w:left="107" w:right="0" w:firstLine="0"/>
        <w:jc w:val="left"/>
        <w:rPr>
          <w:sz w:val="18"/>
        </w:rPr>
      </w:pPr>
      <w:r>
        <w:rPr>
          <w:sz w:val="18"/>
        </w:rPr>
        <w:t>General</w:t>
      </w:r>
      <w:r>
        <w:rPr>
          <w:spacing w:val="1"/>
          <w:sz w:val="18"/>
        </w:rPr>
        <w:t> </w:t>
      </w:r>
      <w:r>
        <w:rPr>
          <w:sz w:val="18"/>
        </w:rPr>
        <w:t>enquiries</w:t>
      </w:r>
      <w:r>
        <w:rPr>
          <w:spacing w:val="-5"/>
          <w:sz w:val="18"/>
        </w:rPr>
        <w:t> </w:t>
      </w:r>
      <w:r>
        <w:rPr>
          <w:sz w:val="18"/>
        </w:rPr>
        <w:t>1300</w:t>
      </w:r>
      <w:r>
        <w:rPr>
          <w:spacing w:val="1"/>
          <w:sz w:val="18"/>
        </w:rPr>
        <w:t> </w:t>
      </w:r>
      <w:r>
        <w:rPr>
          <w:sz w:val="18"/>
        </w:rPr>
        <w:t>369</w:t>
      </w:r>
      <w:r>
        <w:rPr>
          <w:spacing w:val="-4"/>
          <w:sz w:val="18"/>
        </w:rPr>
        <w:t> </w:t>
      </w:r>
      <w:r>
        <w:rPr>
          <w:sz w:val="18"/>
        </w:rPr>
        <w:t>711</w:t>
      </w:r>
    </w:p>
    <w:p>
      <w:pPr>
        <w:spacing w:line="245" w:lineRule="exact" w:before="0"/>
        <w:ind w:left="107" w:right="0" w:firstLine="0"/>
        <w:jc w:val="left"/>
        <w:rPr>
          <w:sz w:val="18"/>
        </w:rPr>
      </w:pPr>
      <w:r>
        <w:rPr>
          <w:sz w:val="18"/>
        </w:rPr>
        <w:t>National</w:t>
      </w:r>
      <w:r>
        <w:rPr>
          <w:spacing w:val="-2"/>
          <w:sz w:val="18"/>
        </w:rPr>
        <w:t> </w:t>
      </w:r>
      <w:r>
        <w:rPr>
          <w:sz w:val="18"/>
        </w:rPr>
        <w:t>Information</w:t>
      </w:r>
      <w:r>
        <w:rPr>
          <w:spacing w:val="-6"/>
          <w:sz w:val="18"/>
        </w:rPr>
        <w:t> </w:t>
      </w:r>
      <w:r>
        <w:rPr>
          <w:sz w:val="18"/>
        </w:rPr>
        <w:t>Service</w:t>
      </w:r>
      <w:r>
        <w:rPr>
          <w:spacing w:val="-5"/>
          <w:sz w:val="18"/>
        </w:rPr>
        <w:t> </w:t>
      </w:r>
      <w:r>
        <w:rPr>
          <w:sz w:val="18"/>
        </w:rPr>
        <w:t>1300</w:t>
      </w:r>
      <w:r>
        <w:rPr>
          <w:spacing w:val="-3"/>
          <w:sz w:val="18"/>
        </w:rPr>
        <w:t> </w:t>
      </w:r>
      <w:r>
        <w:rPr>
          <w:sz w:val="18"/>
        </w:rPr>
        <w:t>656</w:t>
      </w:r>
      <w:r>
        <w:rPr>
          <w:spacing w:val="-3"/>
          <w:sz w:val="18"/>
        </w:rPr>
        <w:t> </w:t>
      </w:r>
      <w:r>
        <w:rPr>
          <w:sz w:val="18"/>
        </w:rPr>
        <w:t>419</w:t>
      </w:r>
    </w:p>
    <w:p>
      <w:pPr>
        <w:spacing w:before="0"/>
        <w:ind w:left="107" w:right="0" w:firstLine="0"/>
        <w:jc w:val="left"/>
        <w:rPr>
          <w:sz w:val="18"/>
        </w:rPr>
      </w:pPr>
      <w:r>
        <w:rPr>
          <w:sz w:val="18"/>
        </w:rPr>
        <w:t>TTY</w:t>
      </w:r>
      <w:r>
        <w:rPr>
          <w:spacing w:val="-1"/>
          <w:sz w:val="18"/>
        </w:rPr>
        <w:t> </w:t>
      </w:r>
      <w:r>
        <w:rPr>
          <w:sz w:val="18"/>
        </w:rPr>
        <w:t>1800</w:t>
      </w:r>
      <w:r>
        <w:rPr>
          <w:spacing w:val="-2"/>
          <w:sz w:val="18"/>
        </w:rPr>
        <w:t> </w:t>
      </w:r>
      <w:r>
        <w:rPr>
          <w:sz w:val="18"/>
        </w:rPr>
        <w:t>620</w:t>
      </w:r>
      <w:r>
        <w:rPr>
          <w:spacing w:val="-3"/>
          <w:sz w:val="18"/>
        </w:rPr>
        <w:t> </w:t>
      </w:r>
      <w:r>
        <w:rPr>
          <w:sz w:val="18"/>
        </w:rPr>
        <w:t>241</w:t>
      </w:r>
    </w:p>
    <w:p>
      <w:pPr>
        <w:spacing w:after="0"/>
        <w:jc w:val="left"/>
        <w:rPr>
          <w:sz w:val="18"/>
        </w:rPr>
        <w:sectPr>
          <w:type w:val="continuous"/>
          <w:pgSz w:w="11900" w:h="16840"/>
          <w:pgMar w:top="1600" w:bottom="280" w:left="44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7"/>
        </w:rPr>
      </w:pPr>
    </w:p>
    <w:p>
      <w:pPr>
        <w:pStyle w:val="Heading5"/>
        <w:spacing w:before="101"/>
        <w:ind w:left="976"/>
      </w:pPr>
      <w:r>
        <w:rPr/>
        <w:t>Table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1695" w:val="left" w:leader="none"/>
              <w:tab w:pos="1696" w:val="left" w:leader="none"/>
              <w:tab w:pos="10036" w:val="right" w:leader="dot"/>
            </w:tabs>
            <w:spacing w:line="240" w:lineRule="auto" w:before="239" w:after="0"/>
            <w:ind w:left="1696" w:right="0" w:hanging="720"/>
            <w:jc w:val="left"/>
            <w:rPr>
              <w:b/>
            </w:rPr>
          </w:pPr>
          <w:hyperlink w:history="true" w:anchor="_TOC_250013">
            <w:r>
              <w:rPr/>
              <w:t>Introduction</w:t>
              <w:tab/>
            </w:r>
            <w:r>
              <w:rPr>
                <w:b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695" w:val="left" w:leader="none"/>
              <w:tab w:pos="1696" w:val="left" w:leader="none"/>
              <w:tab w:pos="10036" w:val="right" w:leader="dot"/>
            </w:tabs>
            <w:spacing w:line="240" w:lineRule="auto" w:before="240" w:after="0"/>
            <w:ind w:left="1696" w:right="0" w:hanging="720"/>
            <w:jc w:val="left"/>
            <w:rPr>
              <w:b/>
            </w:rPr>
          </w:pPr>
          <w:hyperlink w:history="true" w:anchor="_TOC_250012">
            <w:r>
              <w:rPr/>
              <w:t>Summary</w:t>
              <w:tab/>
            </w:r>
            <w:r>
              <w:rPr>
                <w:b/>
              </w:rPr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695" w:val="left" w:leader="none"/>
              <w:tab w:pos="1696" w:val="left" w:leader="none"/>
              <w:tab w:pos="10036" w:val="right" w:leader="dot"/>
            </w:tabs>
            <w:spacing w:line="240" w:lineRule="auto" w:before="239" w:after="0"/>
            <w:ind w:left="1696" w:right="0" w:hanging="720"/>
            <w:jc w:val="left"/>
            <w:rPr>
              <w:b/>
            </w:rPr>
          </w:pPr>
          <w:hyperlink w:history="true" w:anchor="_TOC_250011">
            <w:r>
              <w:rPr/>
              <w:t>Recommendations</w:t>
              <w:tab/>
            </w:r>
            <w:r>
              <w:rPr>
                <w:b/>
              </w:rPr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695" w:val="left" w:leader="none"/>
              <w:tab w:pos="1696" w:val="left" w:leader="none"/>
              <w:tab w:pos="10036" w:val="right" w:leader="dot"/>
            </w:tabs>
            <w:spacing w:line="327" w:lineRule="exact" w:before="240" w:after="0"/>
            <w:ind w:left="1696" w:right="0" w:hanging="720"/>
            <w:jc w:val="left"/>
            <w:rPr>
              <w:b/>
            </w:rPr>
          </w:pPr>
          <w:hyperlink w:history="true" w:anchor="_TOC_250010">
            <w:r>
              <w:rPr/>
              <w:t>Human rights and</w:t>
            </w:r>
            <w:r>
              <w:rPr>
                <w:spacing w:val="1"/>
              </w:rPr>
              <w:t> </w:t>
            </w:r>
            <w:r>
              <w:rPr/>
              <w:t>digital</w:t>
            </w:r>
            <w:r>
              <w:rPr>
                <w:spacing w:val="-5"/>
              </w:rPr>
              <w:t> </w:t>
            </w:r>
            <w:r>
              <w:rPr/>
              <w:t>law enforcement</w:t>
              <w:tab/>
            </w:r>
            <w:r>
              <w:rPr>
                <w:b/>
              </w:rPr>
              <w:t>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695" w:val="left" w:leader="none"/>
              <w:tab w:pos="1696" w:val="left" w:leader="none"/>
              <w:tab w:pos="10043" w:val="right" w:leader="dot"/>
            </w:tabs>
            <w:spacing w:line="326" w:lineRule="exact" w:before="0" w:after="0"/>
            <w:ind w:left="1696" w:right="0" w:hanging="720"/>
            <w:jc w:val="left"/>
            <w:rPr>
              <w:i/>
            </w:rPr>
          </w:pPr>
          <w:hyperlink w:history="true" w:anchor="_TOC_250009">
            <w:r>
              <w:rPr>
                <w:i/>
              </w:rPr>
              <w:t>Right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> </w:t>
            </w:r>
            <w:r>
              <w:rPr>
                <w:i/>
              </w:rPr>
              <w:t>privacy</w:t>
              <w:tab/>
              <w:t>10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695" w:val="left" w:leader="none"/>
              <w:tab w:pos="1696" w:val="left" w:leader="none"/>
              <w:tab w:pos="10043" w:val="right" w:leader="dot"/>
            </w:tabs>
            <w:spacing w:line="327" w:lineRule="exact" w:before="0" w:after="0"/>
            <w:ind w:left="1696" w:right="0" w:hanging="720"/>
            <w:jc w:val="left"/>
            <w:rPr>
              <w:i/>
            </w:rPr>
          </w:pPr>
          <w:hyperlink w:history="true" w:anchor="_TOC_250008">
            <w:r>
              <w:rPr>
                <w:i/>
              </w:rPr>
              <w:t>Right</w:t>
            </w:r>
            <w:r>
              <w:rPr>
                <w:i/>
                <w:spacing w:val="-2"/>
              </w:rPr>
              <w:t> </w:t>
            </w:r>
            <w:r>
              <w:rPr>
                <w:i/>
              </w:rPr>
              <w:t>to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freedom</w:t>
            </w:r>
            <w:r>
              <w:rPr>
                <w:i/>
                <w:spacing w:val="1"/>
              </w:rPr>
              <w:t> </w:t>
            </w:r>
            <w:r>
              <w:rPr>
                <w:i/>
              </w:rPr>
              <w:t>of</w:t>
            </w:r>
            <w:r>
              <w:rPr>
                <w:i/>
                <w:spacing w:val="1"/>
              </w:rPr>
              <w:t> </w:t>
            </w:r>
            <w:r>
              <w:rPr>
                <w:i/>
              </w:rPr>
              <w:t>expression</w:t>
              <w:tab/>
              <w:t>11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695" w:val="left" w:leader="none"/>
              <w:tab w:pos="1696" w:val="left" w:leader="none"/>
              <w:tab w:pos="10043" w:val="right" w:leader="dot"/>
            </w:tabs>
            <w:spacing w:line="327" w:lineRule="exact" w:before="4" w:after="0"/>
            <w:ind w:left="1696" w:right="0" w:hanging="720"/>
            <w:jc w:val="left"/>
            <w:rPr>
              <w:i/>
            </w:rPr>
          </w:pPr>
          <w:hyperlink w:history="true" w:anchor="_TOC_250007">
            <w:r>
              <w:rPr>
                <w:i/>
              </w:rPr>
              <w:t>Other human rights</w:t>
              <w:tab/>
              <w:t>12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695" w:val="left" w:leader="none"/>
              <w:tab w:pos="1696" w:val="left" w:leader="none"/>
              <w:tab w:pos="10043" w:val="right" w:leader="dot"/>
            </w:tabs>
            <w:spacing w:line="326" w:lineRule="exact" w:before="0" w:after="0"/>
            <w:ind w:left="1696" w:right="0" w:hanging="720"/>
            <w:jc w:val="left"/>
            <w:rPr>
              <w:i/>
            </w:rPr>
          </w:pPr>
          <w:hyperlink w:history="true" w:anchor="_TOC_250006">
            <w:r>
              <w:rPr>
                <w:i/>
              </w:rPr>
              <w:t>Permissible</w:t>
            </w:r>
            <w:r>
              <w:rPr>
                <w:i/>
                <w:spacing w:val="-5"/>
              </w:rPr>
              <w:t> </w:t>
            </w:r>
            <w:r>
              <w:rPr>
                <w:i/>
              </w:rPr>
              <w:t>limitations</w:t>
            </w:r>
            <w:r>
              <w:rPr>
                <w:i/>
                <w:spacing w:val="-2"/>
              </w:rPr>
              <w:t> </w:t>
            </w:r>
            <w:r>
              <w:rPr>
                <w:i/>
              </w:rPr>
              <w:t>on human rights</w:t>
              <w:tab/>
              <w:t>13</w:t>
            </w:r>
          </w:hyperlink>
        </w:p>
        <w:p>
          <w:pPr>
            <w:pStyle w:val="TOC2"/>
            <w:numPr>
              <w:ilvl w:val="0"/>
              <w:numId w:val="2"/>
            </w:numPr>
            <w:tabs>
              <w:tab w:pos="1695" w:val="left" w:leader="none"/>
              <w:tab w:pos="1696" w:val="left" w:leader="none"/>
              <w:tab w:pos="10043" w:val="right" w:leader="dot"/>
            </w:tabs>
            <w:spacing w:line="326" w:lineRule="exact" w:before="0" w:after="0"/>
            <w:ind w:left="1696" w:right="0" w:hanging="720"/>
            <w:jc w:val="left"/>
            <w:rPr>
              <w:i/>
            </w:rPr>
          </w:pPr>
          <w:r>
            <w:rPr>
              <w:i/>
            </w:rPr>
            <w:t>Legitimate aims</w:t>
            <w:tab/>
            <w:t>13</w:t>
          </w:r>
        </w:p>
        <w:p>
          <w:pPr>
            <w:pStyle w:val="TOC2"/>
            <w:numPr>
              <w:ilvl w:val="0"/>
              <w:numId w:val="2"/>
            </w:numPr>
            <w:tabs>
              <w:tab w:pos="1695" w:val="left" w:leader="none"/>
              <w:tab w:pos="1696" w:val="left" w:leader="none"/>
              <w:tab w:pos="10043" w:val="right" w:leader="dot"/>
            </w:tabs>
            <w:spacing w:line="326" w:lineRule="exact" w:before="0" w:after="0"/>
            <w:ind w:left="1696" w:right="0" w:hanging="720"/>
            <w:jc w:val="left"/>
            <w:rPr>
              <w:i/>
            </w:rPr>
          </w:pPr>
          <w:r>
            <w:rPr>
              <w:i/>
            </w:rPr>
            <w:t>Necessity</w:t>
            <w:tab/>
            <w:t>14</w:t>
          </w:r>
        </w:p>
        <w:p>
          <w:pPr>
            <w:pStyle w:val="TOC2"/>
            <w:numPr>
              <w:ilvl w:val="0"/>
              <w:numId w:val="2"/>
            </w:numPr>
            <w:tabs>
              <w:tab w:pos="1695" w:val="left" w:leader="none"/>
              <w:tab w:pos="1696" w:val="left" w:leader="none"/>
              <w:tab w:pos="10043" w:val="right" w:leader="dot"/>
            </w:tabs>
            <w:spacing w:line="327" w:lineRule="exact" w:before="0" w:after="0"/>
            <w:ind w:left="1696" w:right="0" w:hanging="720"/>
            <w:jc w:val="left"/>
            <w:rPr>
              <w:i/>
            </w:rPr>
          </w:pPr>
          <w:r>
            <w:rPr>
              <w:i/>
            </w:rPr>
            <w:t>Proportionality</w:t>
            <w:tab/>
            <w:t>15</w:t>
          </w:r>
        </w:p>
        <w:p>
          <w:pPr>
            <w:pStyle w:val="TOC1"/>
            <w:numPr>
              <w:ilvl w:val="0"/>
              <w:numId w:val="1"/>
            </w:numPr>
            <w:tabs>
              <w:tab w:pos="1695" w:val="left" w:leader="none"/>
              <w:tab w:pos="1696" w:val="left" w:leader="none"/>
              <w:tab w:pos="10043" w:val="right" w:leader="dot"/>
            </w:tabs>
            <w:spacing w:line="327" w:lineRule="exact" w:before="240" w:after="0"/>
            <w:ind w:left="1696" w:right="0" w:hanging="720"/>
            <w:jc w:val="left"/>
            <w:rPr>
              <w:b/>
            </w:rPr>
          </w:pPr>
          <w:hyperlink w:history="true" w:anchor="_TOC_250005">
            <w:r>
              <w:rPr/>
              <w:t>Five</w:t>
            </w:r>
            <w:r>
              <w:rPr>
                <w:spacing w:val="-2"/>
              </w:rPr>
              <w:t> </w:t>
            </w:r>
            <w:r>
              <w:rPr/>
              <w:t>key</w:t>
            </w:r>
            <w:r>
              <w:rPr>
                <w:spacing w:val="-1"/>
              </w:rPr>
              <w:t> </w:t>
            </w:r>
            <w:r>
              <w:rPr/>
              <w:t>human</w:t>
            </w:r>
            <w:r>
              <w:rPr>
                <w:spacing w:val="1"/>
              </w:rPr>
              <w:t> </w:t>
            </w:r>
            <w:r>
              <w:rPr/>
              <w:t>rights concerns</w:t>
              <w:tab/>
            </w:r>
            <w:r>
              <w:rPr>
                <w:b/>
              </w:rPr>
              <w:t>16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695" w:val="left" w:leader="none"/>
              <w:tab w:pos="1696" w:val="left" w:leader="none"/>
              <w:tab w:pos="10043" w:val="right" w:leader="dot"/>
            </w:tabs>
            <w:spacing w:line="326" w:lineRule="exact" w:before="0" w:after="0"/>
            <w:ind w:left="1696" w:right="0" w:hanging="720"/>
            <w:jc w:val="left"/>
            <w:rPr>
              <w:i/>
            </w:rPr>
          </w:pPr>
          <w:hyperlink w:history="true" w:anchor="_TOC_250004">
            <w:r>
              <w:rPr>
                <w:i/>
              </w:rPr>
              <w:t>Lack</w:t>
            </w:r>
            <w:r>
              <w:rPr>
                <w:i/>
                <w:spacing w:val="-4"/>
              </w:rPr>
              <w:t> </w:t>
            </w:r>
            <w:r>
              <w:rPr>
                <w:i/>
              </w:rPr>
              <w:t>of a</w:t>
            </w:r>
            <w:r>
              <w:rPr>
                <w:i/>
                <w:spacing w:val="-4"/>
              </w:rPr>
              <w:t> </w:t>
            </w:r>
            <w:r>
              <w:rPr>
                <w:i/>
              </w:rPr>
              <w:t>requirement</w:t>
            </w:r>
            <w:r>
              <w:rPr>
                <w:i/>
                <w:spacing w:val="-2"/>
              </w:rPr>
              <w:t> </w:t>
            </w:r>
            <w:r>
              <w:rPr>
                <w:i/>
              </w:rPr>
              <w:t>for judicial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authorisation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for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assistance notices</w:t>
              <w:tab/>
              <w:t>16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695" w:val="left" w:leader="none"/>
              <w:tab w:pos="1696" w:val="left" w:leader="none"/>
              <w:tab w:pos="10043" w:val="right" w:leader="dot"/>
            </w:tabs>
            <w:spacing w:line="326" w:lineRule="exact" w:before="0" w:after="0"/>
            <w:ind w:left="1696" w:right="0" w:hanging="720"/>
            <w:jc w:val="left"/>
            <w:rPr>
              <w:i/>
            </w:rPr>
          </w:pPr>
          <w:hyperlink w:history="true" w:anchor="_TOC_250003">
            <w:r>
              <w:rPr>
                <w:i/>
              </w:rPr>
              <w:t>‘Systemic</w:t>
            </w:r>
            <w:r>
              <w:rPr>
                <w:i/>
                <w:spacing w:val="1"/>
              </w:rPr>
              <w:t> </w:t>
            </w:r>
            <w:r>
              <w:rPr>
                <w:i/>
              </w:rPr>
              <w:t>weakness’</w:t>
            </w:r>
            <w:r>
              <w:rPr>
                <w:i/>
                <w:spacing w:val="1"/>
              </w:rPr>
              <w:t> </w:t>
            </w:r>
            <w:r>
              <w:rPr>
                <w:i/>
              </w:rPr>
              <w:t>limitation remains</w:t>
            </w:r>
            <w:r>
              <w:rPr>
                <w:i/>
                <w:spacing w:val="-3"/>
              </w:rPr>
              <w:t> </w:t>
            </w:r>
            <w:r>
              <w:rPr>
                <w:i/>
              </w:rPr>
              <w:t>ambiguous</w:t>
              <w:tab/>
              <w:t>19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695" w:val="left" w:leader="none"/>
              <w:tab w:pos="1696" w:val="left" w:leader="none"/>
              <w:tab w:pos="10043" w:val="right" w:leader="dot"/>
            </w:tabs>
            <w:spacing w:line="326" w:lineRule="exact" w:before="0" w:after="0"/>
            <w:ind w:left="1696" w:right="0" w:hanging="720"/>
            <w:jc w:val="left"/>
            <w:rPr>
              <w:i/>
            </w:rPr>
          </w:pPr>
          <w:hyperlink w:history="true" w:anchor="_TOC_250002">
            <w:r>
              <w:rPr>
                <w:i/>
              </w:rPr>
              <w:t>‘Relevant</w:t>
            </w:r>
            <w:r>
              <w:rPr>
                <w:i/>
                <w:spacing w:val="-2"/>
              </w:rPr>
              <w:t> </w:t>
            </w:r>
            <w:r>
              <w:rPr>
                <w:i/>
              </w:rPr>
              <w:t>objectives’</w:t>
            </w:r>
            <w:r>
              <w:rPr>
                <w:i/>
                <w:spacing w:val="2"/>
              </w:rPr>
              <w:t> </w:t>
            </w:r>
            <w:r>
              <w:rPr>
                <w:i/>
              </w:rPr>
              <w:t>too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broad</w:t>
              <w:tab/>
              <w:t>24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695" w:val="left" w:leader="none"/>
              <w:tab w:pos="1696" w:val="left" w:leader="none"/>
              <w:tab w:pos="10043" w:val="right" w:leader="dot"/>
            </w:tabs>
            <w:spacing w:line="326" w:lineRule="exact" w:before="0" w:after="0"/>
            <w:ind w:left="1696" w:right="0" w:hanging="720"/>
            <w:jc w:val="left"/>
            <w:rPr>
              <w:i/>
            </w:rPr>
          </w:pPr>
          <w:hyperlink w:history="true" w:anchor="_TOC_250001">
            <w:r>
              <w:rPr>
                <w:i/>
              </w:rPr>
              <w:t>Breadth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of</w:t>
            </w:r>
            <w:r>
              <w:rPr>
                <w:i/>
                <w:spacing w:val="1"/>
              </w:rPr>
              <w:t> </w:t>
            </w:r>
            <w:r>
              <w:rPr>
                <w:i/>
              </w:rPr>
              <w:t>ASIO’s</w:t>
            </w:r>
            <w:r>
              <w:rPr>
                <w:i/>
                <w:spacing w:val="-3"/>
              </w:rPr>
              <w:t> </w:t>
            </w:r>
            <w:r>
              <w:rPr>
                <w:i/>
              </w:rPr>
              <w:t>mandatory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assistance powers</w:t>
              <w:tab/>
              <w:t>26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695" w:val="left" w:leader="none"/>
              <w:tab w:pos="1696" w:val="left" w:leader="none"/>
              <w:tab w:pos="10043" w:val="right" w:leader="dot"/>
            </w:tabs>
            <w:spacing w:line="327" w:lineRule="exact" w:before="0" w:after="0"/>
            <w:ind w:left="1696" w:right="0" w:hanging="720"/>
            <w:jc w:val="left"/>
            <w:rPr>
              <w:i/>
            </w:rPr>
          </w:pPr>
          <w:hyperlink w:history="true" w:anchor="_TOC_250000">
            <w:r>
              <w:rPr>
                <w:i/>
              </w:rPr>
              <w:t>Breadth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of</w:t>
            </w:r>
            <w:r>
              <w:rPr>
                <w:i/>
                <w:spacing w:val="1"/>
              </w:rPr>
              <w:t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> </w:t>
            </w:r>
            <w:r>
              <w:rPr>
                <w:i/>
              </w:rPr>
              <w:t>concealment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of</w:t>
            </w:r>
            <w:r>
              <w:rPr>
                <w:i/>
                <w:spacing w:val="1"/>
              </w:rPr>
              <w:t> </w:t>
            </w:r>
            <w:r>
              <w:rPr>
                <w:i/>
              </w:rPr>
              <w:t>access</w:t>
            </w:r>
            <w:r>
              <w:rPr>
                <w:i/>
                <w:spacing w:val="-3"/>
              </w:rPr>
              <w:t> </w:t>
            </w:r>
            <w:r>
              <w:rPr>
                <w:i/>
              </w:rPr>
              <w:t>powers</w:t>
              <w:tab/>
              <w:t>29</w:t>
            </w:r>
          </w:hyperlink>
        </w:p>
      </w:sdtContent>
    </w:sdt>
    <w:p>
      <w:pPr>
        <w:spacing w:after="0" w:line="327" w:lineRule="exact"/>
        <w:jc w:val="left"/>
        <w:sectPr>
          <w:headerReference w:type="default" r:id="rId6"/>
          <w:footerReference w:type="default" r:id="rId7"/>
          <w:pgSz w:w="11900" w:h="16840"/>
          <w:pgMar w:header="1146" w:footer="333" w:top="1680" w:bottom="520" w:left="440" w:right="1300"/>
          <w:pgNumType w:start="2"/>
        </w:sectPr>
      </w:pPr>
    </w:p>
    <w:p>
      <w:pPr>
        <w:pStyle w:val="BodyText"/>
        <w:spacing w:before="12"/>
        <w:ind w:left="0"/>
        <w:rPr>
          <w:i/>
          <w:sz w:val="54"/>
        </w:rPr>
      </w:pPr>
    </w:p>
    <w:p>
      <w:pPr>
        <w:pStyle w:val="Heading1"/>
        <w:numPr>
          <w:ilvl w:val="0"/>
          <w:numId w:val="3"/>
        </w:numPr>
        <w:tabs>
          <w:tab w:pos="1825" w:val="left" w:leader="none"/>
          <w:tab w:pos="1826" w:val="left" w:leader="none"/>
        </w:tabs>
        <w:spacing w:line="240" w:lineRule="auto" w:before="0" w:after="0"/>
        <w:ind w:left="1825" w:right="0" w:hanging="850"/>
        <w:jc w:val="left"/>
      </w:pPr>
      <w:bookmarkStart w:name="_TOC_250013" w:id="1"/>
      <w:bookmarkEnd w:id="1"/>
      <w:r>
        <w:rPr/>
        <w:t>Introduction</w:t>
      </w:r>
    </w:p>
    <w:p>
      <w:pPr>
        <w:pStyle w:val="ListParagraph"/>
        <w:numPr>
          <w:ilvl w:val="1"/>
          <w:numId w:val="3"/>
        </w:numPr>
        <w:tabs>
          <w:tab w:pos="1686" w:val="left" w:leader="none"/>
          <w:tab w:pos="1687" w:val="left" w:leader="none"/>
        </w:tabs>
        <w:spacing w:line="240" w:lineRule="auto" w:before="238" w:after="0"/>
        <w:ind w:left="1686" w:right="148" w:hanging="567"/>
        <w:jc w:val="left"/>
        <w:rPr>
          <w:sz w:val="24"/>
        </w:rPr>
      </w:pPr>
      <w:r>
        <w:rPr>
          <w:sz w:val="24"/>
        </w:rPr>
        <w:t>The Australian Human Rights Commission (the Commission) welcomes the</w:t>
      </w:r>
      <w:r>
        <w:rPr>
          <w:spacing w:val="-60"/>
          <w:sz w:val="24"/>
        </w:rPr>
        <w:t> </w:t>
      </w:r>
      <w:r>
        <w:rPr>
          <w:sz w:val="24"/>
        </w:rPr>
        <w:t>opportunity to make this submission to the Independent National Security</w:t>
      </w:r>
      <w:r>
        <w:rPr>
          <w:spacing w:val="-60"/>
          <w:sz w:val="24"/>
        </w:rPr>
        <w:t> </w:t>
      </w:r>
      <w:r>
        <w:rPr>
          <w:sz w:val="24"/>
        </w:rPr>
        <w:t>Legislation Monitor (INSLM) review of the </w:t>
      </w:r>
      <w:r>
        <w:rPr>
          <w:i/>
          <w:sz w:val="24"/>
        </w:rPr>
        <w:t>Telecommunications and Other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Legislation Amendment (Assistance and Access) Act 2018 </w:t>
      </w:r>
      <w:r>
        <w:rPr>
          <w:sz w:val="24"/>
        </w:rPr>
        <w:t>(Cth) (the TOLA Act),</w:t>
      </w:r>
      <w:r>
        <w:rPr>
          <w:spacing w:val="1"/>
          <w:sz w:val="24"/>
        </w:rPr>
        <w:t> </w:t>
      </w:r>
      <w:r>
        <w:rPr>
          <w:sz w:val="24"/>
        </w:rPr>
        <w:t>and,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particular,</w:t>
      </w:r>
      <w:r>
        <w:rPr>
          <w:spacing w:val="-2"/>
          <w:sz w:val="24"/>
        </w:rPr>
        <w:t> </w:t>
      </w:r>
      <w:r>
        <w:rPr>
          <w:sz w:val="24"/>
        </w:rPr>
        <w:t>whether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Act:</w:t>
      </w:r>
    </w:p>
    <w:p>
      <w:pPr>
        <w:pStyle w:val="ListParagraph"/>
        <w:numPr>
          <w:ilvl w:val="2"/>
          <w:numId w:val="3"/>
        </w:numPr>
        <w:tabs>
          <w:tab w:pos="2637" w:val="left" w:leader="none"/>
        </w:tabs>
        <w:spacing w:line="240" w:lineRule="auto" w:before="199" w:after="0"/>
        <w:ind w:left="2636" w:right="868" w:hanging="308"/>
        <w:jc w:val="left"/>
        <w:rPr>
          <w:sz w:val="24"/>
        </w:rPr>
      </w:pPr>
      <w:r>
        <w:rPr>
          <w:sz w:val="24"/>
        </w:rPr>
        <w:t>contains appropriate safeguards for protecting the rights of</w:t>
      </w:r>
      <w:r>
        <w:rPr>
          <w:spacing w:val="-60"/>
          <w:sz w:val="24"/>
        </w:rPr>
        <w:t> </w:t>
      </w:r>
      <w:r>
        <w:rPr>
          <w:sz w:val="24"/>
        </w:rPr>
        <w:t>individuals</w:t>
      </w:r>
    </w:p>
    <w:p>
      <w:pPr>
        <w:pStyle w:val="ListParagraph"/>
        <w:numPr>
          <w:ilvl w:val="2"/>
          <w:numId w:val="3"/>
        </w:numPr>
        <w:tabs>
          <w:tab w:pos="2637" w:val="left" w:leader="none"/>
        </w:tabs>
        <w:spacing w:line="240" w:lineRule="auto" w:before="62" w:after="0"/>
        <w:ind w:left="2636" w:right="723" w:hanging="365"/>
        <w:jc w:val="left"/>
        <w:rPr>
          <w:sz w:val="24"/>
        </w:rPr>
      </w:pPr>
      <w:r>
        <w:rPr>
          <w:sz w:val="24"/>
        </w:rPr>
        <w:t>remains proportionate to any threat of terrorism or threat to</w:t>
      </w:r>
      <w:r>
        <w:rPr>
          <w:spacing w:val="-60"/>
          <w:sz w:val="24"/>
        </w:rPr>
        <w:t> </w:t>
      </w:r>
      <w:r>
        <w:rPr>
          <w:sz w:val="24"/>
        </w:rPr>
        <w:t>national security,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both</w:t>
      </w:r>
    </w:p>
    <w:p>
      <w:pPr>
        <w:pStyle w:val="ListParagraph"/>
        <w:numPr>
          <w:ilvl w:val="2"/>
          <w:numId w:val="3"/>
        </w:numPr>
        <w:tabs>
          <w:tab w:pos="2637" w:val="left" w:leader="none"/>
        </w:tabs>
        <w:spacing w:line="240" w:lineRule="auto" w:before="61" w:after="0"/>
        <w:ind w:left="2636" w:right="0" w:hanging="428"/>
        <w:jc w:val="left"/>
        <w:rPr>
          <w:sz w:val="24"/>
        </w:rPr>
      </w:pPr>
      <w:r>
        <w:rPr>
          <w:sz w:val="24"/>
        </w:rPr>
        <w:t>remains</w:t>
      </w:r>
      <w:r>
        <w:rPr>
          <w:spacing w:val="-4"/>
          <w:sz w:val="24"/>
        </w:rPr>
        <w:t> </w:t>
      </w:r>
      <w:r>
        <w:rPr>
          <w:sz w:val="24"/>
        </w:rPr>
        <w:t>necessary.</w:t>
      </w:r>
    </w:p>
    <w:p>
      <w:pPr>
        <w:pStyle w:val="ListParagraph"/>
        <w:numPr>
          <w:ilvl w:val="1"/>
          <w:numId w:val="3"/>
        </w:numPr>
        <w:tabs>
          <w:tab w:pos="1686" w:val="left" w:leader="none"/>
          <w:tab w:pos="1687" w:val="left" w:leader="none"/>
        </w:tabs>
        <w:spacing w:line="240" w:lineRule="auto" w:before="197" w:after="0"/>
        <w:ind w:left="1686" w:right="119" w:hanging="567"/>
        <w:jc w:val="left"/>
        <w:rPr>
          <w:sz w:val="24"/>
        </w:rPr>
      </w:pPr>
      <w:r>
        <w:rPr>
          <w:sz w:val="24"/>
        </w:rPr>
        <w:t>The</w:t>
      </w:r>
      <w:r>
        <w:rPr>
          <w:spacing w:val="7"/>
          <w:sz w:val="24"/>
        </w:rPr>
        <w:t> </w:t>
      </w:r>
      <w:r>
        <w:rPr>
          <w:sz w:val="24"/>
        </w:rPr>
        <w:t>TOLA</w:t>
      </w:r>
      <w:r>
        <w:rPr>
          <w:spacing w:val="4"/>
          <w:sz w:val="24"/>
        </w:rPr>
        <w:t> </w:t>
      </w:r>
      <w:r>
        <w:rPr>
          <w:sz w:val="24"/>
        </w:rPr>
        <w:t>Act</w:t>
      </w:r>
      <w:r>
        <w:rPr>
          <w:spacing w:val="4"/>
          <w:sz w:val="24"/>
        </w:rPr>
        <w:t> </w:t>
      </w:r>
      <w:r>
        <w:rPr>
          <w:sz w:val="24"/>
        </w:rPr>
        <w:t>introduced</w:t>
      </w:r>
      <w:r>
        <w:rPr>
          <w:spacing w:val="9"/>
          <w:sz w:val="24"/>
        </w:rPr>
        <w:t> </w:t>
      </w:r>
      <w:r>
        <w:rPr>
          <w:sz w:val="24"/>
        </w:rPr>
        <w:t>new</w:t>
      </w:r>
      <w:r>
        <w:rPr>
          <w:spacing w:val="3"/>
          <w:sz w:val="24"/>
        </w:rPr>
        <w:t> </w:t>
      </w:r>
      <w:r>
        <w:rPr>
          <w:sz w:val="24"/>
        </w:rPr>
        <w:t>powers</w:t>
      </w:r>
      <w:r>
        <w:rPr>
          <w:spacing w:val="9"/>
          <w:sz w:val="24"/>
        </w:rPr>
        <w:t> </w:t>
      </w:r>
      <w:r>
        <w:rPr>
          <w:sz w:val="24"/>
        </w:rPr>
        <w:t>for</w:t>
      </w:r>
      <w:r>
        <w:rPr>
          <w:spacing w:val="6"/>
          <w:sz w:val="24"/>
        </w:rPr>
        <w:t> </w:t>
      </w:r>
      <w:r>
        <w:rPr>
          <w:sz w:val="24"/>
        </w:rPr>
        <w:t>certain</w:t>
      </w:r>
      <w:r>
        <w:rPr>
          <w:spacing w:val="9"/>
          <w:sz w:val="24"/>
        </w:rPr>
        <w:t> </w:t>
      </w:r>
      <w:r>
        <w:rPr>
          <w:sz w:val="24"/>
        </w:rPr>
        <w:t>law</w:t>
      </w:r>
      <w:r>
        <w:rPr>
          <w:spacing w:val="3"/>
          <w:sz w:val="24"/>
        </w:rPr>
        <w:t> </w:t>
      </w:r>
      <w:r>
        <w:rPr>
          <w:sz w:val="24"/>
        </w:rPr>
        <w:t>enforcement,</w:t>
      </w:r>
      <w:r>
        <w:rPr>
          <w:spacing w:val="1"/>
          <w:sz w:val="24"/>
        </w:rPr>
        <w:t> </w:t>
      </w:r>
      <w:r>
        <w:rPr>
          <w:sz w:val="24"/>
        </w:rPr>
        <w:t>security and intelligence agencies to access electronic information that</w:t>
      </w:r>
      <w:r>
        <w:rPr>
          <w:spacing w:val="1"/>
          <w:sz w:val="24"/>
        </w:rPr>
        <w:t> </w:t>
      </w:r>
      <w:r>
        <w:rPr>
          <w:sz w:val="24"/>
        </w:rPr>
        <w:t>would previously have remained private. For example, certain agencies are</w:t>
      </w:r>
      <w:r>
        <w:rPr>
          <w:spacing w:val="-60"/>
          <w:sz w:val="24"/>
        </w:rPr>
        <w:t> </w:t>
      </w:r>
      <w:r>
        <w:rPr>
          <w:sz w:val="24"/>
        </w:rPr>
        <w:t>empowered to compel the decryption of text messages, compel access to</w:t>
      </w:r>
      <w:r>
        <w:rPr>
          <w:spacing w:val="1"/>
          <w:sz w:val="24"/>
        </w:rPr>
        <w:t> </w:t>
      </w:r>
      <w:r>
        <w:rPr>
          <w:sz w:val="24"/>
        </w:rPr>
        <w:t>electronically</w:t>
      </w:r>
      <w:r>
        <w:rPr>
          <w:spacing w:val="-3"/>
          <w:sz w:val="24"/>
        </w:rPr>
        <w:t> </w:t>
      </w:r>
      <w:r>
        <w:rPr>
          <w:sz w:val="24"/>
        </w:rPr>
        <w:t>protected files,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require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person to</w:t>
      </w:r>
      <w:r>
        <w:rPr>
          <w:spacing w:val="-3"/>
          <w:sz w:val="24"/>
        </w:rPr>
        <w:t> </w:t>
      </w:r>
      <w:r>
        <w:rPr>
          <w:sz w:val="24"/>
        </w:rPr>
        <w:t>unlock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phone.</w:t>
      </w:r>
    </w:p>
    <w:p>
      <w:pPr>
        <w:pStyle w:val="ListParagraph"/>
        <w:numPr>
          <w:ilvl w:val="1"/>
          <w:numId w:val="3"/>
        </w:numPr>
        <w:tabs>
          <w:tab w:pos="1686" w:val="left" w:leader="none"/>
          <w:tab w:pos="1687" w:val="left" w:leader="none"/>
        </w:tabs>
        <w:spacing w:line="240" w:lineRule="auto" w:before="199" w:after="0"/>
        <w:ind w:left="1686" w:right="246" w:hanging="567"/>
        <w:jc w:val="left"/>
        <w:rPr>
          <w:sz w:val="13"/>
        </w:rPr>
      </w:pPr>
      <w:r>
        <w:rPr>
          <w:sz w:val="24"/>
        </w:rPr>
        <w:t>Such</w:t>
      </w:r>
      <w:r>
        <w:rPr>
          <w:spacing w:val="-2"/>
          <w:sz w:val="24"/>
        </w:rPr>
        <w:t> </w:t>
      </w:r>
      <w:r>
        <w:rPr>
          <w:sz w:val="24"/>
        </w:rPr>
        <w:t>measures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significantly</w:t>
      </w:r>
      <w:r>
        <w:rPr>
          <w:spacing w:val="-3"/>
          <w:sz w:val="24"/>
        </w:rPr>
        <w:t> </w:t>
      </w:r>
      <w:r>
        <w:rPr>
          <w:sz w:val="24"/>
        </w:rPr>
        <w:t>limit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person’s</w:t>
      </w:r>
      <w:r>
        <w:rPr>
          <w:spacing w:val="-3"/>
          <w:sz w:val="24"/>
        </w:rPr>
        <w:t> </w:t>
      </w:r>
      <w:r>
        <w:rPr>
          <w:sz w:val="24"/>
        </w:rPr>
        <w:t>rights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privacy,</w:t>
      </w:r>
      <w:r>
        <w:rPr>
          <w:spacing w:val="-5"/>
          <w:sz w:val="24"/>
        </w:rPr>
        <w:t> </w:t>
      </w:r>
      <w:r>
        <w:rPr>
          <w:sz w:val="24"/>
        </w:rPr>
        <w:t>freedom</w:t>
      </w:r>
      <w:r>
        <w:rPr>
          <w:spacing w:val="-59"/>
          <w:sz w:val="24"/>
        </w:rPr>
        <w:t> </w:t>
      </w:r>
      <w:r>
        <w:rPr>
          <w:sz w:val="24"/>
        </w:rPr>
        <w:t>of expression and freedom from arbitrary detention among other human</w:t>
      </w:r>
      <w:r>
        <w:rPr>
          <w:spacing w:val="-60"/>
          <w:sz w:val="24"/>
        </w:rPr>
        <w:t> </w:t>
      </w:r>
      <w:r>
        <w:rPr>
          <w:sz w:val="24"/>
        </w:rPr>
        <w:t>rights. The stated aim of the reforms is to ‘introduce measures to better</w:t>
      </w:r>
      <w:r>
        <w:rPr>
          <w:spacing w:val="1"/>
          <w:sz w:val="24"/>
        </w:rPr>
        <w:t> </w:t>
      </w:r>
      <w:r>
        <w:rPr>
          <w:sz w:val="24"/>
        </w:rPr>
        <w:t>deal with the challenges posed by ubiquitous encryption’.</w:t>
      </w:r>
      <w:r>
        <w:rPr>
          <w:position w:val="8"/>
          <w:sz w:val="16"/>
        </w:rPr>
        <w:t>1 </w:t>
      </w:r>
      <w:r>
        <w:rPr>
          <w:sz w:val="24"/>
        </w:rPr>
        <w:t>The limits on</w:t>
      </w:r>
      <w:r>
        <w:rPr>
          <w:spacing w:val="1"/>
          <w:sz w:val="24"/>
        </w:rPr>
        <w:t> </w:t>
      </w:r>
      <w:r>
        <w:rPr>
          <w:sz w:val="24"/>
        </w:rPr>
        <w:t>human rights have been claimed to be justified on the basis of a need to</w:t>
      </w:r>
      <w:r>
        <w:rPr>
          <w:spacing w:val="1"/>
          <w:sz w:val="24"/>
        </w:rPr>
        <w:t> </w:t>
      </w:r>
      <w:r>
        <w:rPr>
          <w:sz w:val="24"/>
        </w:rPr>
        <w:t>combat</w:t>
      </w:r>
      <w:r>
        <w:rPr>
          <w:spacing w:val="-5"/>
          <w:sz w:val="24"/>
        </w:rPr>
        <w:t> </w:t>
      </w:r>
      <w:r>
        <w:rPr>
          <w:sz w:val="24"/>
        </w:rPr>
        <w:t>serious crime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protect</w:t>
      </w:r>
      <w:r>
        <w:rPr>
          <w:spacing w:val="1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safety.</w:t>
      </w:r>
      <w:r>
        <w:rPr>
          <w:position w:val="8"/>
          <w:sz w:val="13"/>
        </w:rPr>
        <w:t>2</w:t>
      </w:r>
    </w:p>
    <w:p>
      <w:pPr>
        <w:pStyle w:val="ListParagraph"/>
        <w:numPr>
          <w:ilvl w:val="1"/>
          <w:numId w:val="3"/>
        </w:numPr>
        <w:tabs>
          <w:tab w:pos="1686" w:val="left" w:leader="none"/>
          <w:tab w:pos="1687" w:val="left" w:leader="none"/>
        </w:tabs>
        <w:spacing w:line="240" w:lineRule="auto" w:before="204" w:after="0"/>
        <w:ind w:left="1686" w:right="133" w:hanging="567"/>
        <w:jc w:val="left"/>
        <w:rPr>
          <w:sz w:val="24"/>
        </w:rPr>
      </w:pPr>
      <w:r>
        <w:rPr>
          <w:sz w:val="24"/>
        </w:rPr>
        <w:t>The Commission acknowledges these important and legitimate goals.</w:t>
      </w:r>
      <w:r>
        <w:rPr>
          <w:spacing w:val="1"/>
          <w:sz w:val="24"/>
        </w:rPr>
        <w:t> </w:t>
      </w:r>
      <w:r>
        <w:rPr>
          <w:sz w:val="24"/>
        </w:rPr>
        <w:t>However, under international human rights law, Australia’s law</w:t>
      </w:r>
      <w:r>
        <w:rPr>
          <w:spacing w:val="1"/>
          <w:sz w:val="24"/>
        </w:rPr>
        <w:t> </w:t>
      </w:r>
      <w:r>
        <w:rPr>
          <w:sz w:val="24"/>
        </w:rPr>
        <w:t>enforcement powers must be precisely targeted to restrict human rights</w:t>
      </w:r>
      <w:r>
        <w:rPr>
          <w:spacing w:val="1"/>
          <w:sz w:val="24"/>
        </w:rPr>
        <w:t> </w:t>
      </w:r>
      <w:r>
        <w:rPr>
          <w:sz w:val="24"/>
        </w:rPr>
        <w:t>no more than is absolutely necessary to achieve these legitimate aims. The</w:t>
      </w:r>
      <w:r>
        <w:rPr>
          <w:spacing w:val="-61"/>
          <w:sz w:val="24"/>
        </w:rPr>
        <w:t> </w:t>
      </w:r>
      <w:r>
        <w:rPr>
          <w:sz w:val="24"/>
        </w:rPr>
        <w:t>Commission considers that the TOLA Act does not meet this international</w:t>
      </w:r>
      <w:r>
        <w:rPr>
          <w:spacing w:val="1"/>
          <w:sz w:val="24"/>
        </w:rPr>
        <w:t> </w:t>
      </w:r>
      <w:r>
        <w:rPr>
          <w:sz w:val="24"/>
        </w:rPr>
        <w:t>law</w:t>
      </w:r>
      <w:r>
        <w:rPr>
          <w:spacing w:val="-1"/>
          <w:sz w:val="24"/>
        </w:rPr>
        <w:t> </w:t>
      </w:r>
      <w:r>
        <w:rPr>
          <w:sz w:val="24"/>
        </w:rPr>
        <w:t>requirement.</w:t>
      </w:r>
    </w:p>
    <w:p>
      <w:pPr>
        <w:pStyle w:val="ListParagraph"/>
        <w:numPr>
          <w:ilvl w:val="1"/>
          <w:numId w:val="3"/>
        </w:numPr>
        <w:tabs>
          <w:tab w:pos="1686" w:val="left" w:leader="none"/>
          <w:tab w:pos="1687" w:val="left" w:leader="none"/>
        </w:tabs>
        <w:spacing w:line="240" w:lineRule="auto" w:before="199" w:after="0"/>
        <w:ind w:left="1686" w:right="133" w:hanging="567"/>
        <w:jc w:val="left"/>
        <w:rPr>
          <w:sz w:val="24"/>
        </w:rPr>
      </w:pPr>
      <w:r>
        <w:rPr>
          <w:sz w:val="24"/>
        </w:rPr>
        <w:t>Rather, the TOLA Act permits inappropriately intrusive, covert and coercive</w:t>
      </w:r>
      <w:r>
        <w:rPr>
          <w:spacing w:val="-60"/>
          <w:sz w:val="24"/>
        </w:rPr>
        <w:t> </w:t>
      </w:r>
      <w:r>
        <w:rPr>
          <w:sz w:val="24"/>
        </w:rPr>
        <w:t>powers, without effective safeguards to adequately protect relevant</w:t>
      </w:r>
      <w:r>
        <w:rPr>
          <w:spacing w:val="1"/>
          <w:sz w:val="24"/>
        </w:rPr>
        <w:t> </w:t>
      </w:r>
      <w:r>
        <w:rPr>
          <w:sz w:val="24"/>
        </w:rPr>
        <w:t>human rights. The consequent limitations on human rights are potentially</w:t>
      </w:r>
      <w:r>
        <w:rPr>
          <w:spacing w:val="1"/>
          <w:sz w:val="24"/>
        </w:rPr>
        <w:t> </w:t>
      </w:r>
      <w:r>
        <w:rPr>
          <w:sz w:val="24"/>
        </w:rPr>
        <w:t>far-reaching. Most obviously, the TOLA Act restricts the rights of people</w:t>
      </w:r>
      <w:r>
        <w:rPr>
          <w:spacing w:val="1"/>
          <w:sz w:val="24"/>
        </w:rPr>
        <w:t> </w:t>
      </w:r>
      <w:r>
        <w:rPr>
          <w:sz w:val="24"/>
        </w:rPr>
        <w:t>under investigation by law enforcement or intelligence agencies. However,</w:t>
      </w:r>
      <w:r>
        <w:rPr>
          <w:spacing w:val="-60"/>
          <w:sz w:val="24"/>
        </w:rPr>
        <w:t> </w:t>
      </w:r>
      <w:r>
        <w:rPr>
          <w:sz w:val="24"/>
        </w:rPr>
        <w:t>the TOLA Act extends also to limit the rights of a vast number of other</w:t>
      </w:r>
      <w:r>
        <w:rPr>
          <w:spacing w:val="1"/>
          <w:sz w:val="24"/>
        </w:rPr>
        <w:t> </w:t>
      </w:r>
      <w:r>
        <w:rPr>
          <w:sz w:val="24"/>
        </w:rPr>
        <w:t>users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technology—the</w:t>
      </w:r>
      <w:r>
        <w:rPr>
          <w:spacing w:val="-2"/>
          <w:sz w:val="24"/>
        </w:rPr>
        <w:t> </w:t>
      </w:r>
      <w:r>
        <w:rPr>
          <w:sz w:val="24"/>
        </w:rPr>
        <w:t>overwhelming</w:t>
      </w:r>
      <w:r>
        <w:rPr>
          <w:spacing w:val="-9"/>
          <w:sz w:val="24"/>
        </w:rPr>
        <w:t> </w:t>
      </w:r>
      <w:r>
        <w:rPr>
          <w:sz w:val="24"/>
        </w:rPr>
        <w:t>majority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whom will be</w:t>
      </w:r>
      <w:r>
        <w:rPr>
          <w:spacing w:val="-7"/>
          <w:sz w:val="24"/>
        </w:rPr>
        <w:t> </w:t>
      </w:r>
      <w:r>
        <w:rPr>
          <w:sz w:val="24"/>
        </w:rPr>
        <w:t>innocent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1146" w:footer="333" w:top="1680" w:bottom="520" w:left="44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before="101"/>
        <w:ind w:right="167"/>
      </w:pPr>
      <w:r>
        <w:rPr/>
        <w:t>third parties who are not suspected of any wrongdoing. On the basis of</w:t>
      </w:r>
      <w:r>
        <w:rPr>
          <w:spacing w:val="1"/>
        </w:rPr>
        <w:t> </w:t>
      </w:r>
      <w:r>
        <w:rPr/>
        <w:t>publicly available information, the Commission considers that many of the</w:t>
      </w:r>
      <w:r>
        <w:rPr>
          <w:spacing w:val="-60"/>
        </w:rPr>
        <w:t> </w:t>
      </w:r>
      <w:r>
        <w:rPr/>
        <w:t>TOLA Act’s limitations on human rights have not been shown to be</w:t>
      </w:r>
      <w:r>
        <w:rPr>
          <w:spacing w:val="1"/>
        </w:rPr>
        <w:t> </w:t>
      </w:r>
      <w:r>
        <w:rPr/>
        <w:t>reasonable,</w:t>
      </w:r>
      <w:r>
        <w:rPr>
          <w:spacing w:val="-3"/>
        </w:rPr>
        <w:t> </w:t>
      </w:r>
      <w:r>
        <w:rPr/>
        <w:t>necessary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proportionate.</w:t>
      </w:r>
    </w:p>
    <w:p>
      <w:pPr>
        <w:pStyle w:val="ListParagraph"/>
        <w:numPr>
          <w:ilvl w:val="1"/>
          <w:numId w:val="3"/>
        </w:numPr>
        <w:tabs>
          <w:tab w:pos="1686" w:val="left" w:leader="none"/>
          <w:tab w:pos="1687" w:val="left" w:leader="none"/>
        </w:tabs>
        <w:spacing w:line="240" w:lineRule="auto" w:before="200" w:after="0"/>
        <w:ind w:left="1686" w:right="202" w:hanging="567"/>
        <w:jc w:val="left"/>
        <w:rPr>
          <w:sz w:val="24"/>
        </w:rPr>
      </w:pPr>
      <w:r>
        <w:rPr>
          <w:sz w:val="24"/>
        </w:rPr>
        <w:t>The Commission notes that this review occurs in the context of recent</w:t>
      </w:r>
      <w:r>
        <w:rPr>
          <w:spacing w:val="1"/>
          <w:sz w:val="24"/>
        </w:rPr>
        <w:t> </w:t>
      </w:r>
      <w:r>
        <w:rPr>
          <w:sz w:val="24"/>
        </w:rPr>
        <w:t>inquiries conducted by the Department of Home Affairs (the Department)</w:t>
      </w:r>
      <w:r>
        <w:rPr>
          <w:spacing w:val="-60"/>
          <w:sz w:val="24"/>
        </w:rPr>
        <w:t> </w:t>
      </w:r>
      <w:r>
        <w:rPr>
          <w:sz w:val="24"/>
        </w:rPr>
        <w:t>and the Parliamentary Joint Committee on Intelligence and Security (the</w:t>
      </w:r>
      <w:r>
        <w:rPr>
          <w:spacing w:val="1"/>
          <w:sz w:val="24"/>
        </w:rPr>
        <w:t> </w:t>
      </w:r>
      <w:r>
        <w:rPr>
          <w:sz w:val="24"/>
        </w:rPr>
        <w:t>Committee) into this legislation. The INSLM review is the result of a</w:t>
      </w:r>
      <w:r>
        <w:rPr>
          <w:spacing w:val="1"/>
          <w:sz w:val="24"/>
        </w:rPr>
        <w:t> </w:t>
      </w:r>
      <w:r>
        <w:rPr>
          <w:sz w:val="24"/>
        </w:rPr>
        <w:t>reference from the Committee, to inform its ongoing review into the TOLA</w:t>
      </w:r>
      <w:r>
        <w:rPr>
          <w:spacing w:val="-60"/>
          <w:sz w:val="24"/>
        </w:rPr>
        <w:t> </w:t>
      </w:r>
      <w:r>
        <w:rPr>
          <w:sz w:val="24"/>
        </w:rPr>
        <w:t>Act.</w:t>
      </w:r>
    </w:p>
    <w:p>
      <w:pPr>
        <w:pStyle w:val="ListParagraph"/>
        <w:numPr>
          <w:ilvl w:val="1"/>
          <w:numId w:val="3"/>
        </w:numPr>
        <w:tabs>
          <w:tab w:pos="1686" w:val="left" w:leader="none"/>
          <w:tab w:pos="1687" w:val="left" w:leader="none"/>
        </w:tabs>
        <w:spacing w:line="240" w:lineRule="auto" w:before="199" w:after="0"/>
        <w:ind w:left="1686" w:right="433" w:hanging="567"/>
        <w:jc w:val="left"/>
        <w:rPr>
          <w:sz w:val="24"/>
        </w:rPr>
      </w:pPr>
      <w:r>
        <w:rPr>
          <w:sz w:val="24"/>
        </w:rPr>
        <w:t>The Commission has actively engaged in these reviews to inform the</w:t>
      </w:r>
      <w:r>
        <w:rPr>
          <w:spacing w:val="1"/>
          <w:sz w:val="24"/>
        </w:rPr>
        <w:t> </w:t>
      </w:r>
      <w:r>
        <w:rPr>
          <w:sz w:val="24"/>
        </w:rPr>
        <w:t>development of this legislation to date, making three detailed</w:t>
      </w:r>
      <w:r>
        <w:rPr>
          <w:spacing w:val="1"/>
          <w:sz w:val="24"/>
        </w:rPr>
        <w:t> </w:t>
      </w:r>
      <w:r>
        <w:rPr>
          <w:sz w:val="24"/>
        </w:rPr>
        <w:t>submissions. On 10 September 2018, the Commission made a detailed</w:t>
      </w:r>
      <w:r>
        <w:rPr>
          <w:spacing w:val="1"/>
          <w:sz w:val="24"/>
        </w:rPr>
        <w:t> </w:t>
      </w:r>
      <w:r>
        <w:rPr>
          <w:sz w:val="24"/>
        </w:rPr>
        <w:t>submission to the Department of Home Affairs on an exposure draft of</w:t>
      </w:r>
      <w:r>
        <w:rPr>
          <w:spacing w:val="1"/>
          <w:sz w:val="24"/>
        </w:rPr>
        <w:t> </w:t>
      </w:r>
      <w:r>
        <w:rPr>
          <w:sz w:val="24"/>
        </w:rPr>
        <w:t>the TOLA Bill (the draft TOLA Bill). On 12 October 2018, the Commission</w:t>
      </w:r>
      <w:r>
        <w:rPr>
          <w:spacing w:val="1"/>
          <w:sz w:val="24"/>
        </w:rPr>
        <w:t> </w:t>
      </w:r>
      <w:r>
        <w:rPr>
          <w:sz w:val="24"/>
        </w:rPr>
        <w:t>made a further detailed submission to the Committee on the</w:t>
      </w:r>
      <w:r>
        <w:rPr>
          <w:spacing w:val="1"/>
          <w:sz w:val="24"/>
        </w:rPr>
        <w:t> </w:t>
      </w:r>
      <w:r>
        <w:rPr>
          <w:sz w:val="24"/>
        </w:rPr>
        <w:t>Telecommunications and Other Legislation Amendment (Assistance and</w:t>
      </w:r>
      <w:r>
        <w:rPr>
          <w:spacing w:val="-61"/>
          <w:sz w:val="24"/>
        </w:rPr>
        <w:t> </w:t>
      </w:r>
      <w:r>
        <w:rPr>
          <w:sz w:val="24"/>
        </w:rPr>
        <w:t>Access) Bill 2018 (the TOLA Bill). On 22 February 2019, the Commission</w:t>
      </w:r>
      <w:r>
        <w:rPr>
          <w:spacing w:val="1"/>
          <w:sz w:val="24"/>
        </w:rPr>
        <w:t> </w:t>
      </w:r>
      <w:r>
        <w:rPr>
          <w:sz w:val="24"/>
        </w:rPr>
        <w:t>made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submission 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Committee</w:t>
      </w:r>
      <w:r>
        <w:rPr>
          <w:spacing w:val="-2"/>
          <w:sz w:val="24"/>
        </w:rPr>
        <w:t> </w:t>
      </w:r>
      <w:r>
        <w:rPr>
          <w:sz w:val="24"/>
        </w:rPr>
        <w:t>on the</w:t>
      </w:r>
      <w:r>
        <w:rPr>
          <w:spacing w:val="-3"/>
          <w:sz w:val="24"/>
        </w:rPr>
        <w:t> </w:t>
      </w:r>
      <w:r>
        <w:rPr>
          <w:sz w:val="24"/>
        </w:rPr>
        <w:t>TOLA Act as</w:t>
      </w:r>
      <w:r>
        <w:rPr>
          <w:spacing w:val="-1"/>
          <w:sz w:val="24"/>
        </w:rPr>
        <w:t> </w:t>
      </w:r>
      <w:r>
        <w:rPr>
          <w:sz w:val="24"/>
        </w:rPr>
        <w:t>passed.</w:t>
      </w:r>
    </w:p>
    <w:p>
      <w:pPr>
        <w:pStyle w:val="ListParagraph"/>
        <w:numPr>
          <w:ilvl w:val="1"/>
          <w:numId w:val="3"/>
        </w:numPr>
        <w:tabs>
          <w:tab w:pos="1686" w:val="left" w:leader="none"/>
          <w:tab w:pos="1687" w:val="left" w:leader="none"/>
        </w:tabs>
        <w:spacing w:line="240" w:lineRule="auto" w:before="202" w:after="0"/>
        <w:ind w:left="1686" w:right="186" w:hanging="567"/>
        <w:jc w:val="left"/>
        <w:rPr>
          <w:sz w:val="24"/>
        </w:rPr>
      </w:pPr>
      <w:r>
        <w:rPr>
          <w:sz w:val="24"/>
        </w:rPr>
        <w:t>The short timeframes for consultation on the complex and substantial</w:t>
      </w:r>
      <w:r>
        <w:rPr>
          <w:spacing w:val="1"/>
          <w:sz w:val="24"/>
        </w:rPr>
        <w:t> </w:t>
      </w:r>
      <w:r>
        <w:rPr>
          <w:sz w:val="24"/>
        </w:rPr>
        <w:t>iterations of these reforms, and the passage of the Act on 6 December</w:t>
      </w:r>
      <w:r>
        <w:rPr>
          <w:spacing w:val="1"/>
          <w:sz w:val="24"/>
        </w:rPr>
        <w:t> </w:t>
      </w:r>
      <w:r>
        <w:rPr>
          <w:sz w:val="24"/>
        </w:rPr>
        <w:t>2018—which included Government amendments introduced over the</w:t>
      </w:r>
      <w:r>
        <w:rPr>
          <w:spacing w:val="1"/>
          <w:sz w:val="24"/>
        </w:rPr>
        <w:t> </w:t>
      </w:r>
      <w:r>
        <w:rPr>
          <w:sz w:val="24"/>
        </w:rPr>
        <w:t>course of that day (the Government amendments)—has made meaningful</w:t>
      </w:r>
      <w:r>
        <w:rPr>
          <w:spacing w:val="-60"/>
          <w:sz w:val="24"/>
        </w:rPr>
        <w:t> </w:t>
      </w:r>
      <w:r>
        <w:rPr>
          <w:sz w:val="24"/>
        </w:rPr>
        <w:t>parliamentary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public scrutiny</w:t>
      </w:r>
      <w:r>
        <w:rPr>
          <w:spacing w:val="-1"/>
          <w:sz w:val="24"/>
        </w:rPr>
        <w:t> </w:t>
      </w:r>
      <w:r>
        <w:rPr>
          <w:sz w:val="24"/>
        </w:rPr>
        <w:t>challenging.</w:t>
      </w:r>
    </w:p>
    <w:p>
      <w:pPr>
        <w:pStyle w:val="ListParagraph"/>
        <w:numPr>
          <w:ilvl w:val="1"/>
          <w:numId w:val="3"/>
        </w:numPr>
        <w:tabs>
          <w:tab w:pos="1686" w:val="left" w:leader="none"/>
          <w:tab w:pos="1687" w:val="left" w:leader="none"/>
        </w:tabs>
        <w:spacing w:line="240" w:lineRule="auto" w:before="199" w:after="0"/>
        <w:ind w:left="1686" w:right="122" w:hanging="567"/>
        <w:jc w:val="left"/>
        <w:rPr>
          <w:sz w:val="24"/>
        </w:rPr>
      </w:pPr>
      <w:r>
        <w:rPr>
          <w:sz w:val="24"/>
        </w:rPr>
        <w:t>The Commission and members of the public are also not privy to any</w:t>
      </w:r>
      <w:r>
        <w:rPr>
          <w:spacing w:val="1"/>
          <w:sz w:val="24"/>
        </w:rPr>
        <w:t> </w:t>
      </w:r>
      <w:r>
        <w:rPr>
          <w:sz w:val="24"/>
        </w:rPr>
        <w:t>classified information that may be provided to the INSLM by Government</w:t>
      </w:r>
      <w:r>
        <w:rPr>
          <w:spacing w:val="1"/>
          <w:sz w:val="24"/>
        </w:rPr>
        <w:t> </w:t>
      </w:r>
      <w:r>
        <w:rPr>
          <w:sz w:val="24"/>
        </w:rPr>
        <w:t>departments and agencies to inform his review. The Commission would</w:t>
      </w:r>
      <w:r>
        <w:rPr>
          <w:spacing w:val="1"/>
          <w:sz w:val="24"/>
        </w:rPr>
        <w:t> </w:t>
      </w:r>
      <w:r>
        <w:rPr>
          <w:sz w:val="24"/>
        </w:rPr>
        <w:t>welcome any further information that could be publicly released by the</w:t>
      </w:r>
      <w:r>
        <w:rPr>
          <w:spacing w:val="1"/>
          <w:sz w:val="24"/>
        </w:rPr>
        <w:t> </w:t>
      </w:r>
      <w:r>
        <w:rPr>
          <w:sz w:val="24"/>
        </w:rPr>
        <w:t>INSLM and relevant agencies about the claimed need for, and the use and</w:t>
      </w:r>
      <w:r>
        <w:rPr>
          <w:spacing w:val="1"/>
          <w:sz w:val="24"/>
        </w:rPr>
        <w:t> </w:t>
      </w:r>
      <w:r>
        <w:rPr>
          <w:sz w:val="24"/>
        </w:rPr>
        <w:t>operation</w:t>
      </w:r>
      <w:r>
        <w:rPr>
          <w:spacing w:val="2"/>
          <w:sz w:val="24"/>
        </w:rPr>
        <w:t> </w:t>
      </w:r>
      <w:r>
        <w:rPr>
          <w:sz w:val="24"/>
        </w:rPr>
        <w:t>of, the</w:t>
      </w:r>
      <w:r>
        <w:rPr>
          <w:spacing w:val="1"/>
          <w:sz w:val="24"/>
        </w:rPr>
        <w:t> </w:t>
      </w:r>
      <w:r>
        <w:rPr>
          <w:sz w:val="24"/>
        </w:rPr>
        <w:t>scheme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date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3"/>
          <w:sz w:val="24"/>
        </w:rPr>
        <w:t> </w:t>
      </w:r>
      <w:r>
        <w:rPr>
          <w:sz w:val="24"/>
        </w:rPr>
        <w:t>advance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INSLM’s</w:t>
      </w:r>
      <w:r>
        <w:rPr>
          <w:spacing w:val="2"/>
          <w:sz w:val="24"/>
        </w:rPr>
        <w:t> </w:t>
      </w:r>
      <w:r>
        <w:rPr>
          <w:sz w:val="24"/>
        </w:rPr>
        <w:t>public</w:t>
      </w:r>
      <w:r>
        <w:rPr>
          <w:spacing w:val="1"/>
          <w:sz w:val="24"/>
        </w:rPr>
        <w:t> </w:t>
      </w:r>
      <w:r>
        <w:rPr>
          <w:sz w:val="24"/>
        </w:rPr>
        <w:t>hearings. Such information could usefully include, for example,</w:t>
      </w:r>
      <w:r>
        <w:rPr>
          <w:spacing w:val="1"/>
          <w:sz w:val="24"/>
        </w:rPr>
        <w:t> </w:t>
      </w:r>
      <w:r>
        <w:rPr>
          <w:sz w:val="24"/>
        </w:rPr>
        <w:t>information about the number of times the assistance scheme has been</w:t>
      </w:r>
      <w:r>
        <w:rPr>
          <w:spacing w:val="1"/>
          <w:sz w:val="24"/>
        </w:rPr>
        <w:t> </w:t>
      </w:r>
      <w:r>
        <w:rPr>
          <w:sz w:val="24"/>
        </w:rPr>
        <w:t>used, for what types of relevant objectives, and the instances in which the</w:t>
      </w:r>
      <w:r>
        <w:rPr>
          <w:spacing w:val="1"/>
          <w:sz w:val="24"/>
        </w:rPr>
        <w:t> </w:t>
      </w:r>
      <w:r>
        <w:rPr>
          <w:sz w:val="24"/>
        </w:rPr>
        <w:t>new or expanded other powers enacted by Sch 2-5 of the TOLA Act have</w:t>
      </w:r>
      <w:r>
        <w:rPr>
          <w:spacing w:val="1"/>
          <w:sz w:val="24"/>
        </w:rPr>
        <w:t> </w:t>
      </w:r>
      <w:r>
        <w:rPr>
          <w:sz w:val="24"/>
        </w:rPr>
        <w:t>been used. To the extent possible, it would be useful also to release an</w:t>
      </w:r>
      <w:r>
        <w:rPr>
          <w:spacing w:val="1"/>
          <w:sz w:val="24"/>
        </w:rPr>
        <w:t> </w:t>
      </w:r>
      <w:r>
        <w:rPr>
          <w:sz w:val="24"/>
        </w:rPr>
        <w:t>unclassified summary of the evidence said to support the claimed need for</w:t>
      </w:r>
      <w:r>
        <w:rPr>
          <w:spacing w:val="-60"/>
          <w:sz w:val="24"/>
        </w:rPr>
        <w:t> </w:t>
      </w:r>
      <w:r>
        <w:rPr>
          <w:sz w:val="24"/>
        </w:rPr>
        <w:t>the provisions. This would allow the Commission and other submitters to</w:t>
      </w:r>
      <w:r>
        <w:rPr>
          <w:spacing w:val="1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more</w:t>
      </w:r>
      <w:r>
        <w:rPr>
          <w:spacing w:val="-1"/>
          <w:sz w:val="24"/>
        </w:rPr>
        <w:t> </w:t>
      </w:r>
      <w:r>
        <w:rPr>
          <w:sz w:val="24"/>
        </w:rPr>
        <w:t>informed</w:t>
      </w:r>
      <w:r>
        <w:rPr>
          <w:spacing w:val="1"/>
          <w:sz w:val="24"/>
        </w:rPr>
        <w:t> </w:t>
      </w:r>
      <w:r>
        <w:rPr>
          <w:sz w:val="24"/>
        </w:rPr>
        <w:t>comment.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1146" w:footer="333" w:top="1680" w:bottom="520" w:left="44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7"/>
        </w:rPr>
      </w:pPr>
    </w:p>
    <w:p>
      <w:pPr>
        <w:pStyle w:val="ListParagraph"/>
        <w:numPr>
          <w:ilvl w:val="1"/>
          <w:numId w:val="3"/>
        </w:numPr>
        <w:tabs>
          <w:tab w:pos="1686" w:val="left" w:leader="none"/>
          <w:tab w:pos="1687" w:val="left" w:leader="none"/>
        </w:tabs>
        <w:spacing w:line="240" w:lineRule="auto" w:before="101" w:after="0"/>
        <w:ind w:left="1686" w:right="385" w:hanging="567"/>
        <w:jc w:val="left"/>
        <w:rPr>
          <w:sz w:val="24"/>
        </w:rPr>
      </w:pPr>
      <w:r>
        <w:rPr>
          <w:sz w:val="24"/>
        </w:rPr>
        <w:t>Such scrutiny is vital in the case of legislation that significantly curtails</w:t>
      </w:r>
      <w:r>
        <w:rPr>
          <w:spacing w:val="1"/>
          <w:sz w:val="24"/>
        </w:rPr>
        <w:t> </w:t>
      </w:r>
      <w:r>
        <w:rPr>
          <w:sz w:val="24"/>
        </w:rPr>
        <w:t>human rights, to ensure that such laws are passed only where they are</w:t>
      </w:r>
      <w:r>
        <w:rPr>
          <w:spacing w:val="1"/>
          <w:sz w:val="24"/>
        </w:rPr>
        <w:t> </w:t>
      </w:r>
      <w:r>
        <w:rPr>
          <w:sz w:val="24"/>
        </w:rPr>
        <w:t>clearly needed, and that they are carefully tailored to ensure they do not</w:t>
      </w:r>
      <w:r>
        <w:rPr>
          <w:spacing w:val="-60"/>
          <w:sz w:val="24"/>
        </w:rPr>
        <w:t> </w:t>
      </w:r>
      <w:r>
        <w:rPr>
          <w:sz w:val="24"/>
        </w:rPr>
        <w:t>encroach on</w:t>
      </w:r>
      <w:r>
        <w:rPr>
          <w:spacing w:val="1"/>
          <w:sz w:val="24"/>
        </w:rPr>
        <w:t> </w:t>
      </w:r>
      <w:r>
        <w:rPr>
          <w:sz w:val="24"/>
        </w:rPr>
        <w:t>human</w:t>
      </w:r>
      <w:r>
        <w:rPr>
          <w:spacing w:val="1"/>
          <w:sz w:val="24"/>
        </w:rPr>
        <w:t> </w:t>
      </w:r>
      <w:r>
        <w:rPr>
          <w:sz w:val="24"/>
        </w:rPr>
        <w:t>rights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more</w:t>
      </w:r>
      <w:r>
        <w:rPr>
          <w:spacing w:val="-1"/>
          <w:sz w:val="24"/>
        </w:rPr>
        <w:t> </w:t>
      </w:r>
      <w:r>
        <w:rPr>
          <w:sz w:val="24"/>
        </w:rPr>
        <w:t>than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necessary.</w:t>
      </w:r>
    </w:p>
    <w:p>
      <w:pPr>
        <w:pStyle w:val="ListParagraph"/>
        <w:numPr>
          <w:ilvl w:val="1"/>
          <w:numId w:val="3"/>
        </w:numPr>
        <w:tabs>
          <w:tab w:pos="1686" w:val="left" w:leader="none"/>
          <w:tab w:pos="1687" w:val="left" w:leader="none"/>
        </w:tabs>
        <w:spacing w:line="240" w:lineRule="auto" w:before="200" w:after="0"/>
        <w:ind w:left="1686" w:right="140" w:hanging="567"/>
        <w:jc w:val="left"/>
        <w:rPr>
          <w:sz w:val="24"/>
        </w:rPr>
      </w:pPr>
      <w:r>
        <w:rPr>
          <w:sz w:val="24"/>
        </w:rPr>
        <w:t>The TOLA Act as passed is, in many respects, substantially similar to the</w:t>
      </w:r>
      <w:r>
        <w:rPr>
          <w:spacing w:val="1"/>
          <w:sz w:val="24"/>
        </w:rPr>
        <w:t> </w:t>
      </w:r>
      <w:r>
        <w:rPr>
          <w:sz w:val="24"/>
        </w:rPr>
        <w:t>TOLA Bill. A relatively small number of changes were made to the TOLA Bill</w:t>
      </w:r>
      <w:r>
        <w:rPr>
          <w:spacing w:val="-60"/>
          <w:sz w:val="24"/>
        </w:rPr>
        <w:t> </w:t>
      </w:r>
      <w:r>
        <w:rPr>
          <w:sz w:val="24"/>
        </w:rPr>
        <w:t>by way of the Government amendments. Some of the amendments</w:t>
      </w:r>
      <w:r>
        <w:rPr>
          <w:spacing w:val="1"/>
          <w:sz w:val="24"/>
        </w:rPr>
        <w:t> </w:t>
      </w:r>
      <w:r>
        <w:rPr>
          <w:sz w:val="24"/>
        </w:rPr>
        <w:t>implemented some of the Commission’s previous recommendations.</w:t>
      </w:r>
      <w:r>
        <w:rPr>
          <w:spacing w:val="1"/>
          <w:sz w:val="24"/>
        </w:rPr>
        <w:t> </w:t>
      </w:r>
      <w:r>
        <w:rPr>
          <w:sz w:val="24"/>
        </w:rPr>
        <w:t>However,</w:t>
      </w:r>
      <w:r>
        <w:rPr>
          <w:spacing w:val="2"/>
          <w:sz w:val="24"/>
        </w:rPr>
        <w:t> </w:t>
      </w:r>
      <w:r>
        <w:rPr>
          <w:sz w:val="24"/>
        </w:rPr>
        <w:t>reading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TOLA</w:t>
      </w:r>
      <w:r>
        <w:rPr>
          <w:spacing w:val="6"/>
          <w:sz w:val="24"/>
        </w:rPr>
        <w:t> </w:t>
      </w:r>
      <w:r>
        <w:rPr>
          <w:sz w:val="24"/>
        </w:rPr>
        <w:t>Act</w:t>
      </w:r>
      <w:r>
        <w:rPr>
          <w:spacing w:val="6"/>
          <w:sz w:val="24"/>
        </w:rPr>
        <w:t> </w:t>
      </w:r>
      <w:r>
        <w:rPr>
          <w:sz w:val="24"/>
        </w:rPr>
        <w:t>as a</w:t>
      </w:r>
      <w:r>
        <w:rPr>
          <w:spacing w:val="4"/>
          <w:sz w:val="24"/>
        </w:rPr>
        <w:t> </w:t>
      </w:r>
      <w:r>
        <w:rPr>
          <w:sz w:val="24"/>
        </w:rPr>
        <w:t>whole,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Commission</w:t>
      </w:r>
      <w:r>
        <w:rPr>
          <w:spacing w:val="6"/>
          <w:sz w:val="24"/>
        </w:rPr>
        <w:t> </w:t>
      </w:r>
      <w:r>
        <w:rPr>
          <w:sz w:val="24"/>
        </w:rPr>
        <w:t>retains</w:t>
      </w:r>
      <w:r>
        <w:rPr>
          <w:spacing w:val="1"/>
          <w:sz w:val="24"/>
        </w:rPr>
        <w:t> </w:t>
      </w:r>
      <w:r>
        <w:rPr>
          <w:sz w:val="24"/>
        </w:rPr>
        <w:t>serious</w:t>
      </w:r>
      <w:r>
        <w:rPr>
          <w:spacing w:val="-1"/>
          <w:sz w:val="24"/>
        </w:rPr>
        <w:t> </w:t>
      </w:r>
      <w:r>
        <w:rPr>
          <w:sz w:val="24"/>
        </w:rPr>
        <w:t>concerns about the</w:t>
      </w:r>
      <w:r>
        <w:rPr>
          <w:spacing w:val="-1"/>
          <w:sz w:val="24"/>
        </w:rPr>
        <w:t> </w:t>
      </w:r>
      <w:r>
        <w:rPr>
          <w:sz w:val="24"/>
        </w:rPr>
        <w:t>Act’s</w:t>
      </w:r>
      <w:r>
        <w:rPr>
          <w:spacing w:val="-1"/>
          <w:sz w:val="24"/>
        </w:rPr>
        <w:t> </w:t>
      </w:r>
      <w:r>
        <w:rPr>
          <w:sz w:val="24"/>
        </w:rPr>
        <w:t>human rights impact.</w:t>
      </w:r>
    </w:p>
    <w:p>
      <w:pPr>
        <w:pStyle w:val="ListParagraph"/>
        <w:numPr>
          <w:ilvl w:val="1"/>
          <w:numId w:val="3"/>
        </w:numPr>
        <w:tabs>
          <w:tab w:pos="1686" w:val="left" w:leader="none"/>
          <w:tab w:pos="1687" w:val="left" w:leader="none"/>
        </w:tabs>
        <w:spacing w:line="240" w:lineRule="auto" w:before="199" w:after="0"/>
        <w:ind w:left="1686" w:right="113" w:hanging="567"/>
        <w:jc w:val="left"/>
        <w:rPr>
          <w:sz w:val="24"/>
        </w:rPr>
      </w:pPr>
      <w:r>
        <w:rPr>
          <w:sz w:val="24"/>
        </w:rPr>
        <w:t>The Commission reiterates the 54 recommendations made in its previous</w:t>
      </w:r>
      <w:r>
        <w:rPr>
          <w:spacing w:val="1"/>
          <w:sz w:val="24"/>
        </w:rPr>
        <w:t> </w:t>
      </w:r>
      <w:r>
        <w:rPr>
          <w:sz w:val="24"/>
        </w:rPr>
        <w:t>submission on the TOLA Bill dated 12 October 2018 (the Commission’s</w:t>
      </w:r>
      <w:r>
        <w:rPr>
          <w:spacing w:val="1"/>
          <w:sz w:val="24"/>
        </w:rPr>
        <w:t> </w:t>
      </w:r>
      <w:r>
        <w:rPr>
          <w:sz w:val="24"/>
        </w:rPr>
        <w:t>October 2018 submission), many of which continue to apply to the TOLA</w:t>
      </w:r>
      <w:r>
        <w:rPr>
          <w:spacing w:val="1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passed.</w:t>
      </w:r>
      <w:r>
        <w:rPr>
          <w:spacing w:val="-7"/>
          <w:sz w:val="24"/>
        </w:rPr>
        <w:t> </w:t>
      </w:r>
      <w:r>
        <w:rPr>
          <w:sz w:val="24"/>
        </w:rPr>
        <w:t>This</w:t>
      </w:r>
      <w:r>
        <w:rPr>
          <w:spacing w:val="-6"/>
          <w:sz w:val="24"/>
        </w:rPr>
        <w:t> </w:t>
      </w:r>
      <w:r>
        <w:rPr>
          <w:sz w:val="24"/>
        </w:rPr>
        <w:t>submission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b/>
          <w:sz w:val="24"/>
        </w:rPr>
        <w:t>annexed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consideration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INSLM.</w:t>
      </w:r>
    </w:p>
    <w:p>
      <w:pPr>
        <w:pStyle w:val="ListParagraph"/>
        <w:numPr>
          <w:ilvl w:val="1"/>
          <w:numId w:val="3"/>
        </w:numPr>
        <w:tabs>
          <w:tab w:pos="1686" w:val="left" w:leader="none"/>
          <w:tab w:pos="1687" w:val="left" w:leader="none"/>
        </w:tabs>
        <w:spacing w:line="240" w:lineRule="auto" w:before="199" w:after="0"/>
        <w:ind w:left="1686" w:right="404" w:hanging="567"/>
        <w:jc w:val="left"/>
        <w:rPr>
          <w:sz w:val="24"/>
        </w:rPr>
      </w:pPr>
      <w:r>
        <w:rPr>
          <w:sz w:val="24"/>
        </w:rPr>
        <w:t>The Commission’s primary recommendation is that the 54</w:t>
      </w:r>
      <w:r>
        <w:rPr>
          <w:spacing w:val="1"/>
          <w:sz w:val="24"/>
        </w:rPr>
        <w:t> </w:t>
      </w:r>
      <w:r>
        <w:rPr>
          <w:sz w:val="24"/>
        </w:rPr>
        <w:t>recommendations made in its submission on the TOLA Bill be</w:t>
      </w:r>
      <w:r>
        <w:rPr>
          <w:spacing w:val="1"/>
          <w:sz w:val="24"/>
        </w:rPr>
        <w:t> </w:t>
      </w:r>
      <w:r>
        <w:rPr>
          <w:sz w:val="24"/>
        </w:rPr>
        <w:t>implemented in full. It does not repeat the substance of that submission</w:t>
      </w:r>
      <w:r>
        <w:rPr>
          <w:spacing w:val="-60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each</w:t>
      </w:r>
      <w:r>
        <w:rPr>
          <w:spacing w:val="1"/>
          <w:sz w:val="24"/>
        </w:rPr>
        <w:t> </w:t>
      </w:r>
      <w:r>
        <w:rPr>
          <w:sz w:val="24"/>
        </w:rPr>
        <w:t>recommendation</w:t>
      </w:r>
      <w:r>
        <w:rPr>
          <w:spacing w:val="-4"/>
          <w:sz w:val="24"/>
        </w:rPr>
        <w:t> </w:t>
      </w:r>
      <w:r>
        <w:rPr>
          <w:sz w:val="24"/>
        </w:rPr>
        <w:t>here.</w:t>
      </w:r>
    </w:p>
    <w:p>
      <w:pPr>
        <w:pStyle w:val="ListParagraph"/>
        <w:numPr>
          <w:ilvl w:val="1"/>
          <w:numId w:val="3"/>
        </w:numPr>
        <w:tabs>
          <w:tab w:pos="1686" w:val="left" w:leader="none"/>
          <w:tab w:pos="1687" w:val="left" w:leader="none"/>
        </w:tabs>
        <w:spacing w:line="240" w:lineRule="auto" w:before="200" w:after="0"/>
        <w:ind w:left="1686" w:right="482" w:hanging="567"/>
        <w:jc w:val="left"/>
        <w:rPr>
          <w:sz w:val="24"/>
        </w:rPr>
      </w:pPr>
      <w:r>
        <w:rPr>
          <w:sz w:val="24"/>
        </w:rPr>
        <w:t>Rather, this submission focuses on five particularly significant ongoing</w:t>
      </w:r>
      <w:r>
        <w:rPr>
          <w:spacing w:val="1"/>
          <w:sz w:val="24"/>
        </w:rPr>
        <w:t> </w:t>
      </w:r>
      <w:r>
        <w:rPr>
          <w:sz w:val="24"/>
        </w:rPr>
        <w:t>concerns about inadequate human rights safeguards in the TOLA Act. It</w:t>
      </w:r>
      <w:r>
        <w:rPr>
          <w:spacing w:val="-60"/>
          <w:sz w:val="24"/>
        </w:rPr>
        <w:t> </w:t>
      </w:r>
      <w:r>
        <w:rPr>
          <w:sz w:val="24"/>
        </w:rPr>
        <w:t>does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exhaustively</w:t>
      </w:r>
      <w:r>
        <w:rPr>
          <w:spacing w:val="-8"/>
          <w:sz w:val="24"/>
        </w:rPr>
        <w:t> </w:t>
      </w:r>
      <w:r>
        <w:rPr>
          <w:sz w:val="24"/>
        </w:rPr>
        <w:t>address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remaining</w:t>
      </w:r>
      <w:r>
        <w:rPr>
          <w:spacing w:val="-4"/>
          <w:sz w:val="24"/>
        </w:rPr>
        <w:t> </w:t>
      </w:r>
      <w:r>
        <w:rPr>
          <w:sz w:val="24"/>
        </w:rPr>
        <w:t>human</w:t>
      </w:r>
      <w:r>
        <w:rPr>
          <w:spacing w:val="-2"/>
          <w:sz w:val="24"/>
        </w:rPr>
        <w:t> </w:t>
      </w:r>
      <w:r>
        <w:rPr>
          <w:sz w:val="24"/>
        </w:rPr>
        <w:t>rights</w:t>
      </w:r>
      <w:r>
        <w:rPr>
          <w:spacing w:val="-2"/>
          <w:sz w:val="24"/>
        </w:rPr>
        <w:t> </w:t>
      </w:r>
      <w:r>
        <w:rPr>
          <w:sz w:val="24"/>
        </w:rPr>
        <w:t>issues.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Heading1"/>
        <w:numPr>
          <w:ilvl w:val="0"/>
          <w:numId w:val="3"/>
        </w:numPr>
        <w:tabs>
          <w:tab w:pos="1825" w:val="left" w:leader="none"/>
          <w:tab w:pos="1826" w:val="left" w:leader="none"/>
        </w:tabs>
        <w:spacing w:line="240" w:lineRule="auto" w:before="0" w:after="0"/>
        <w:ind w:left="1825" w:right="0" w:hanging="850"/>
        <w:jc w:val="left"/>
      </w:pPr>
      <w:bookmarkStart w:name="_TOC_250012" w:id="2"/>
      <w:bookmarkEnd w:id="2"/>
      <w:r>
        <w:rPr/>
        <w:t>Summary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43" w:after="0"/>
        <w:ind w:left="1686" w:right="274" w:hanging="567"/>
        <w:jc w:val="left"/>
        <w:rPr>
          <w:sz w:val="24"/>
        </w:rPr>
      </w:pPr>
      <w:r>
        <w:rPr>
          <w:sz w:val="24"/>
        </w:rPr>
        <w:t>Schedule 1 of the TOLA Act created an assistance and access scheme that</w:t>
      </w:r>
      <w:r>
        <w:rPr>
          <w:spacing w:val="-60"/>
          <w:sz w:val="24"/>
        </w:rPr>
        <w:t> </w:t>
      </w:r>
      <w:r>
        <w:rPr>
          <w:sz w:val="24"/>
        </w:rPr>
        <w:t>empowers certain agencies to request or compel a ‘designated</w:t>
      </w:r>
      <w:r>
        <w:rPr>
          <w:spacing w:val="1"/>
          <w:sz w:val="24"/>
        </w:rPr>
        <w:t> </w:t>
      </w:r>
      <w:r>
        <w:rPr>
          <w:sz w:val="24"/>
        </w:rPr>
        <w:t>communications</w:t>
      </w:r>
      <w:r>
        <w:rPr>
          <w:spacing w:val="-7"/>
          <w:sz w:val="24"/>
        </w:rPr>
        <w:t> </w:t>
      </w:r>
      <w:r>
        <w:rPr>
          <w:sz w:val="24"/>
        </w:rPr>
        <w:t>provider’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provide</w:t>
      </w:r>
      <w:r>
        <w:rPr>
          <w:spacing w:val="-6"/>
          <w:sz w:val="24"/>
        </w:rPr>
        <w:t> </w:t>
      </w:r>
      <w:r>
        <w:rPr>
          <w:sz w:val="24"/>
        </w:rPr>
        <w:t>them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technical</w:t>
      </w:r>
      <w:r>
        <w:rPr>
          <w:spacing w:val="-5"/>
          <w:sz w:val="24"/>
        </w:rPr>
        <w:t> </w:t>
      </w:r>
      <w:r>
        <w:rPr>
          <w:sz w:val="24"/>
        </w:rPr>
        <w:t>assistance.</w:t>
      </w:r>
      <w:r>
        <w:rPr>
          <w:position w:val="8"/>
          <w:sz w:val="13"/>
        </w:rPr>
        <w:t>3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0" w:after="0"/>
        <w:ind w:left="1686" w:right="464" w:hanging="567"/>
        <w:jc w:val="left"/>
        <w:rPr>
          <w:sz w:val="24"/>
        </w:rPr>
      </w:pPr>
      <w:r>
        <w:rPr>
          <w:sz w:val="24"/>
        </w:rPr>
        <w:t>Schedules 2–5 of the TOLA Act significantly broadened the evidence-</w:t>
      </w:r>
      <w:r>
        <w:rPr>
          <w:spacing w:val="1"/>
          <w:sz w:val="24"/>
        </w:rPr>
        <w:t> </w:t>
      </w:r>
      <w:r>
        <w:rPr>
          <w:sz w:val="24"/>
        </w:rPr>
        <w:t>gathering powers available to law enforcement and security agencies to</w:t>
      </w:r>
      <w:r>
        <w:rPr>
          <w:spacing w:val="-60"/>
          <w:sz w:val="24"/>
        </w:rPr>
        <w:t> </w:t>
      </w:r>
      <w:r>
        <w:rPr>
          <w:sz w:val="24"/>
        </w:rPr>
        <w:t>access electronic information, for example by way of a new ‘computer</w:t>
      </w:r>
      <w:r>
        <w:rPr>
          <w:spacing w:val="1"/>
          <w:sz w:val="24"/>
        </w:rPr>
        <w:t> </w:t>
      </w:r>
      <w:r>
        <w:rPr>
          <w:sz w:val="24"/>
        </w:rPr>
        <w:t>access warrant’ regime in the </w:t>
      </w:r>
      <w:r>
        <w:rPr>
          <w:i/>
          <w:sz w:val="24"/>
        </w:rPr>
        <w:t>Surveillance Devices Act 2004 </w:t>
      </w:r>
      <w:r>
        <w:rPr>
          <w:sz w:val="24"/>
        </w:rPr>
        <w:t>(Cth) (SD Act).</w:t>
      </w:r>
      <w:r>
        <w:rPr>
          <w:spacing w:val="-60"/>
          <w:sz w:val="24"/>
        </w:rPr>
        <w:t> </w:t>
      </w:r>
      <w:r>
        <w:rPr>
          <w:sz w:val="24"/>
        </w:rPr>
        <w:t>These schedules also amended nine pieces of existing Commonwealth</w:t>
      </w:r>
      <w:r>
        <w:rPr>
          <w:spacing w:val="1"/>
          <w:sz w:val="24"/>
        </w:rPr>
        <w:t> </w:t>
      </w:r>
      <w:r>
        <w:rPr>
          <w:sz w:val="24"/>
        </w:rPr>
        <w:t>legislation, including the </w:t>
      </w:r>
      <w:r>
        <w:rPr>
          <w:i/>
          <w:sz w:val="24"/>
        </w:rPr>
        <w:t>Australian Security Intelligence Organisation Act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1979</w:t>
      </w:r>
      <w:r>
        <w:rPr>
          <w:i/>
          <w:spacing w:val="1"/>
          <w:sz w:val="24"/>
        </w:rPr>
        <w:t> </w:t>
      </w:r>
      <w:r>
        <w:rPr>
          <w:sz w:val="24"/>
        </w:rPr>
        <w:t>(Cth)</w:t>
      </w:r>
      <w:r>
        <w:rPr>
          <w:spacing w:val="-5"/>
          <w:sz w:val="24"/>
        </w:rPr>
        <w:t> </w:t>
      </w:r>
      <w:r>
        <w:rPr>
          <w:sz w:val="24"/>
        </w:rPr>
        <w:t>(ASIO Act),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enhance</w:t>
      </w:r>
      <w:r>
        <w:rPr>
          <w:spacing w:val="-2"/>
          <w:sz w:val="24"/>
        </w:rPr>
        <w:t> </w:t>
      </w:r>
      <w:r>
        <w:rPr>
          <w:sz w:val="24"/>
        </w:rPr>
        <w:t>investigative</w:t>
      </w:r>
      <w:r>
        <w:rPr>
          <w:spacing w:val="-1"/>
          <w:sz w:val="24"/>
        </w:rPr>
        <w:t> </w:t>
      </w:r>
      <w:r>
        <w:rPr>
          <w:sz w:val="24"/>
        </w:rPr>
        <w:t>powers.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1146" w:footer="333" w:top="1680" w:bottom="520" w:left="44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01" w:after="0"/>
        <w:ind w:left="1686" w:right="510" w:hanging="567"/>
        <w:jc w:val="left"/>
        <w:rPr>
          <w:sz w:val="24"/>
        </w:rPr>
      </w:pPr>
      <w:r>
        <w:rPr>
          <w:sz w:val="24"/>
        </w:rPr>
        <w:t>Overall, the TOLA Act created broad new powers to enable government</w:t>
      </w:r>
      <w:r>
        <w:rPr>
          <w:spacing w:val="-60"/>
          <w:sz w:val="24"/>
        </w:rPr>
        <w:t> </w:t>
      </w:r>
      <w:r>
        <w:rPr>
          <w:sz w:val="24"/>
        </w:rPr>
        <w:t>agencies to gain access to information that would otherwise remain</w:t>
      </w:r>
      <w:r>
        <w:rPr>
          <w:spacing w:val="1"/>
          <w:sz w:val="24"/>
        </w:rPr>
        <w:t> </w:t>
      </w:r>
      <w:r>
        <w:rPr>
          <w:sz w:val="24"/>
        </w:rPr>
        <w:t>private—for</w:t>
      </w:r>
      <w:r>
        <w:rPr>
          <w:spacing w:val="-3"/>
          <w:sz w:val="24"/>
        </w:rPr>
        <w:t> </w:t>
      </w:r>
      <w:r>
        <w:rPr>
          <w:sz w:val="24"/>
        </w:rPr>
        <w:t>example,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virtue</w:t>
      </w:r>
      <w:r>
        <w:rPr>
          <w:spacing w:val="-1"/>
          <w:sz w:val="24"/>
        </w:rPr>
        <w:t> </w:t>
      </w:r>
      <w:r>
        <w:rPr>
          <w:sz w:val="24"/>
        </w:rPr>
        <w:t>of encryption.</w:t>
      </w:r>
      <w:r>
        <w:rPr>
          <w:position w:val="8"/>
          <w:sz w:val="13"/>
        </w:rPr>
        <w:t>4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0" w:after="0"/>
        <w:ind w:left="1686" w:right="486" w:hanging="567"/>
        <w:jc w:val="left"/>
        <w:rPr>
          <w:sz w:val="24"/>
        </w:rPr>
      </w:pPr>
      <w:r>
        <w:rPr>
          <w:sz w:val="24"/>
        </w:rPr>
        <w:t>The Commission holds serious concerns that the significantly enhanced</w:t>
      </w:r>
      <w:r>
        <w:rPr>
          <w:spacing w:val="-60"/>
          <w:sz w:val="24"/>
        </w:rPr>
        <w:t> </w:t>
      </w:r>
      <w:r>
        <w:rPr>
          <w:sz w:val="24"/>
        </w:rPr>
        <w:t>abilities of agencies to gather and access electronic information limits</w:t>
      </w:r>
      <w:r>
        <w:rPr>
          <w:spacing w:val="1"/>
          <w:sz w:val="24"/>
        </w:rPr>
        <w:t> </w:t>
      </w:r>
      <w:r>
        <w:rPr>
          <w:sz w:val="24"/>
        </w:rPr>
        <w:t>human rights in a manner that is not a necessary and proportionate</w:t>
      </w:r>
      <w:r>
        <w:rPr>
          <w:spacing w:val="1"/>
          <w:sz w:val="24"/>
        </w:rPr>
        <w:t> </w:t>
      </w:r>
      <w:r>
        <w:rPr>
          <w:sz w:val="24"/>
        </w:rPr>
        <w:t>response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legitimate</w:t>
      </w:r>
      <w:r>
        <w:rPr>
          <w:spacing w:val="-1"/>
          <w:sz w:val="24"/>
        </w:rPr>
        <w:t> </w:t>
      </w:r>
      <w:r>
        <w:rPr>
          <w:sz w:val="24"/>
        </w:rPr>
        <w:t>objectives.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0" w:after="0"/>
        <w:ind w:left="1686" w:right="0" w:hanging="567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summary,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five</w:t>
      </w:r>
      <w:r>
        <w:rPr>
          <w:spacing w:val="-3"/>
          <w:sz w:val="24"/>
        </w:rPr>
        <w:t> </w:t>
      </w:r>
      <w:r>
        <w:rPr>
          <w:sz w:val="24"/>
        </w:rPr>
        <w:t>key</w:t>
      </w:r>
      <w:r>
        <w:rPr>
          <w:spacing w:val="-4"/>
          <w:sz w:val="24"/>
        </w:rPr>
        <w:t> </w:t>
      </w:r>
      <w:r>
        <w:rPr>
          <w:sz w:val="24"/>
        </w:rPr>
        <w:t>concerns</w:t>
      </w:r>
      <w:r>
        <w:rPr>
          <w:spacing w:val="-7"/>
          <w:sz w:val="24"/>
        </w:rPr>
        <w:t> </w:t>
      </w:r>
      <w:r>
        <w:rPr>
          <w:sz w:val="24"/>
        </w:rPr>
        <w:t>highlighted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submission</w:t>
      </w:r>
      <w:r>
        <w:rPr>
          <w:spacing w:val="-1"/>
          <w:sz w:val="24"/>
        </w:rPr>
        <w:t> </w:t>
      </w:r>
      <w:r>
        <w:rPr>
          <w:sz w:val="24"/>
        </w:rPr>
        <w:t>are:</w:t>
      </w:r>
    </w:p>
    <w:p>
      <w:pPr>
        <w:pStyle w:val="ListParagraph"/>
        <w:numPr>
          <w:ilvl w:val="1"/>
          <w:numId w:val="4"/>
        </w:numPr>
        <w:tabs>
          <w:tab w:pos="2637" w:val="left" w:leader="none"/>
        </w:tabs>
        <w:spacing w:line="240" w:lineRule="auto" w:before="201" w:after="0"/>
        <w:ind w:left="2636" w:right="367" w:hanging="308"/>
        <w:jc w:val="left"/>
        <w:rPr>
          <w:sz w:val="24"/>
        </w:rPr>
      </w:pPr>
      <w:r>
        <w:rPr>
          <w:sz w:val="24"/>
        </w:rPr>
        <w:t>the lack of a requirement for judicial authorisation for the giving</w:t>
      </w:r>
      <w:r>
        <w:rPr>
          <w:spacing w:val="-60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Technical</w:t>
      </w:r>
      <w:r>
        <w:rPr>
          <w:spacing w:val="-2"/>
          <w:sz w:val="24"/>
        </w:rPr>
        <w:t> </w:t>
      </w:r>
      <w:r>
        <w:rPr>
          <w:sz w:val="24"/>
        </w:rPr>
        <w:t>Assistance</w:t>
      </w:r>
      <w:r>
        <w:rPr>
          <w:spacing w:val="-8"/>
          <w:sz w:val="24"/>
        </w:rPr>
        <w:t> </w:t>
      </w:r>
      <w:r>
        <w:rPr>
          <w:sz w:val="24"/>
        </w:rPr>
        <w:t>Notices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Technical</w:t>
      </w:r>
      <w:r>
        <w:rPr>
          <w:spacing w:val="-2"/>
          <w:sz w:val="24"/>
        </w:rPr>
        <w:t> </w:t>
      </w:r>
      <w:r>
        <w:rPr>
          <w:sz w:val="24"/>
        </w:rPr>
        <w:t>Capability</w:t>
      </w:r>
      <w:r>
        <w:rPr>
          <w:spacing w:val="-4"/>
          <w:sz w:val="24"/>
        </w:rPr>
        <w:t> </w:t>
      </w:r>
      <w:r>
        <w:rPr>
          <w:sz w:val="24"/>
        </w:rPr>
        <w:t>Notices</w:t>
      </w:r>
    </w:p>
    <w:p>
      <w:pPr>
        <w:pStyle w:val="ListParagraph"/>
        <w:numPr>
          <w:ilvl w:val="1"/>
          <w:numId w:val="4"/>
        </w:numPr>
        <w:tabs>
          <w:tab w:pos="2637" w:val="left" w:leader="none"/>
        </w:tabs>
        <w:spacing w:line="240" w:lineRule="auto" w:before="57" w:after="0"/>
        <w:ind w:left="2636" w:right="321" w:hanging="365"/>
        <w:jc w:val="left"/>
        <w:rPr>
          <w:sz w:val="24"/>
        </w:rPr>
      </w:pPr>
      <w:r>
        <w:rPr>
          <w:sz w:val="24"/>
        </w:rPr>
        <w:t>the ambiguity of the ‘systemic weakness’ and ‘systemic</w:t>
      </w:r>
      <w:r>
        <w:rPr>
          <w:spacing w:val="1"/>
          <w:sz w:val="24"/>
        </w:rPr>
        <w:t> </w:t>
      </w:r>
      <w:r>
        <w:rPr>
          <w:sz w:val="24"/>
        </w:rPr>
        <w:t>vulnerability’ limitations, which seek to prohibit some of the ‘acts</w:t>
      </w:r>
      <w:r>
        <w:rPr>
          <w:spacing w:val="-60"/>
          <w:sz w:val="24"/>
        </w:rPr>
        <w:t> </w:t>
      </w:r>
      <w:r>
        <w:rPr>
          <w:sz w:val="24"/>
        </w:rPr>
        <w:t>or things’ that can be requested or compelled under the</w:t>
      </w:r>
      <w:r>
        <w:rPr>
          <w:spacing w:val="1"/>
          <w:sz w:val="24"/>
        </w:rPr>
        <w:t> </w:t>
      </w:r>
      <w:r>
        <w:rPr>
          <w:sz w:val="24"/>
        </w:rPr>
        <w:t>assistance</w:t>
      </w:r>
      <w:r>
        <w:rPr>
          <w:spacing w:val="-2"/>
          <w:sz w:val="24"/>
        </w:rPr>
        <w:t> </w:t>
      </w:r>
      <w:r>
        <w:rPr>
          <w:sz w:val="24"/>
        </w:rPr>
        <w:t>scheme</w:t>
      </w:r>
    </w:p>
    <w:p>
      <w:pPr>
        <w:pStyle w:val="ListParagraph"/>
        <w:numPr>
          <w:ilvl w:val="1"/>
          <w:numId w:val="4"/>
        </w:numPr>
        <w:tabs>
          <w:tab w:pos="2637" w:val="left" w:leader="none"/>
        </w:tabs>
        <w:spacing w:line="240" w:lineRule="auto" w:before="60" w:after="0"/>
        <w:ind w:left="2636" w:right="920" w:hanging="428"/>
        <w:jc w:val="left"/>
        <w:rPr>
          <w:sz w:val="24"/>
        </w:rPr>
      </w:pPr>
      <w:r>
        <w:rPr>
          <w:sz w:val="24"/>
        </w:rPr>
        <w:t>the breadth of ‘relevant objectives’ for which the assistance</w:t>
      </w:r>
      <w:r>
        <w:rPr>
          <w:spacing w:val="-60"/>
          <w:sz w:val="24"/>
        </w:rPr>
        <w:t> </w:t>
      </w:r>
      <w:r>
        <w:rPr>
          <w:sz w:val="24"/>
        </w:rPr>
        <w:t>scheme</w:t>
      </w:r>
      <w:r>
        <w:rPr>
          <w:spacing w:val="-5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used</w:t>
      </w:r>
    </w:p>
    <w:p>
      <w:pPr>
        <w:pStyle w:val="ListParagraph"/>
        <w:numPr>
          <w:ilvl w:val="1"/>
          <w:numId w:val="4"/>
        </w:numPr>
        <w:tabs>
          <w:tab w:pos="2637" w:val="left" w:leader="none"/>
        </w:tabs>
        <w:spacing w:line="240" w:lineRule="auto" w:before="62" w:after="0"/>
        <w:ind w:left="2636" w:right="326" w:hanging="428"/>
        <w:jc w:val="left"/>
        <w:rPr>
          <w:sz w:val="24"/>
        </w:rPr>
      </w:pPr>
      <w:r>
        <w:rPr>
          <w:sz w:val="24"/>
        </w:rPr>
        <w:t>the breadth of the Australian Security Intelligence Organisation’s</w:t>
      </w:r>
      <w:r>
        <w:rPr>
          <w:spacing w:val="-60"/>
          <w:sz w:val="24"/>
        </w:rPr>
        <w:t> </w:t>
      </w:r>
      <w:r>
        <w:rPr>
          <w:sz w:val="24"/>
        </w:rPr>
        <w:t>mandatory assistance powers introduced by Schedule 5 of the</w:t>
      </w:r>
      <w:r>
        <w:rPr>
          <w:spacing w:val="1"/>
          <w:sz w:val="24"/>
        </w:rPr>
        <w:t> </w:t>
      </w:r>
      <w:r>
        <w:rPr>
          <w:sz w:val="24"/>
        </w:rPr>
        <w:t>TOLA Act</w:t>
      </w:r>
    </w:p>
    <w:p>
      <w:pPr>
        <w:pStyle w:val="ListParagraph"/>
        <w:numPr>
          <w:ilvl w:val="1"/>
          <w:numId w:val="4"/>
        </w:numPr>
        <w:tabs>
          <w:tab w:pos="2637" w:val="left" w:leader="none"/>
        </w:tabs>
        <w:spacing w:line="240" w:lineRule="auto" w:before="61" w:after="0"/>
        <w:ind w:left="2636" w:right="315" w:hanging="365"/>
        <w:jc w:val="both"/>
        <w:rPr>
          <w:sz w:val="24"/>
        </w:rPr>
      </w:pPr>
      <w:r>
        <w:rPr>
          <w:sz w:val="24"/>
        </w:rPr>
        <w:t>the breadth of the ‘concealment of access’ powers introduced by</w:t>
      </w:r>
      <w:r>
        <w:rPr>
          <w:spacing w:val="-60"/>
          <w:sz w:val="24"/>
        </w:rPr>
        <w:t> </w:t>
      </w:r>
      <w:r>
        <w:rPr>
          <w:sz w:val="24"/>
        </w:rPr>
        <w:t>Schedules</w:t>
      </w:r>
      <w:r>
        <w:rPr>
          <w:spacing w:val="-5"/>
          <w:sz w:val="24"/>
        </w:rPr>
        <w:t> </w:t>
      </w:r>
      <w:r>
        <w:rPr>
          <w:sz w:val="24"/>
        </w:rPr>
        <w:t>2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5</w:t>
      </w:r>
      <w:r>
        <w:rPr>
          <w:spacing w:val="2"/>
          <w:sz w:val="24"/>
        </w:rPr>
        <w:t> </w:t>
      </w:r>
      <w:r>
        <w:rPr>
          <w:sz w:val="24"/>
        </w:rPr>
        <w:t>of the</w:t>
      </w:r>
      <w:r>
        <w:rPr>
          <w:spacing w:val="-5"/>
          <w:sz w:val="24"/>
        </w:rPr>
        <w:t> </w:t>
      </w:r>
      <w:r>
        <w:rPr>
          <w:sz w:val="24"/>
        </w:rPr>
        <w:t>TOLA</w:t>
      </w:r>
      <w:r>
        <w:rPr>
          <w:spacing w:val="-4"/>
          <w:sz w:val="24"/>
        </w:rPr>
        <w:t> </w:t>
      </w:r>
      <w:r>
        <w:rPr>
          <w:sz w:val="24"/>
        </w:rPr>
        <w:t>Act.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96" w:after="0"/>
        <w:ind w:left="1686" w:right="134" w:hanging="567"/>
        <w:jc w:val="left"/>
        <w:rPr>
          <w:sz w:val="24"/>
        </w:rPr>
      </w:pPr>
      <w:r>
        <w:rPr>
          <w:sz w:val="24"/>
        </w:rPr>
        <w:t>The recommendations made with respect to these five issues (set out</w:t>
      </w:r>
      <w:r>
        <w:rPr>
          <w:spacing w:val="1"/>
          <w:sz w:val="24"/>
        </w:rPr>
        <w:t> </w:t>
      </w:r>
      <w:r>
        <w:rPr>
          <w:sz w:val="24"/>
        </w:rPr>
        <w:t>below) would partly address some of the more serious rights interferences</w:t>
      </w:r>
      <w:r>
        <w:rPr>
          <w:spacing w:val="-60"/>
          <w:sz w:val="24"/>
        </w:rPr>
        <w:t> </w:t>
      </w:r>
      <w:r>
        <w:rPr>
          <w:sz w:val="24"/>
        </w:rPr>
        <w:t>permitted by the TOLA Act, but would far from fully address all of the</w:t>
      </w:r>
      <w:r>
        <w:rPr>
          <w:spacing w:val="1"/>
          <w:sz w:val="24"/>
        </w:rPr>
        <w:t> </w:t>
      </w:r>
      <w:r>
        <w:rPr>
          <w:sz w:val="24"/>
        </w:rPr>
        <w:t>concerns</w:t>
      </w:r>
      <w:r>
        <w:rPr>
          <w:spacing w:val="-1"/>
          <w:sz w:val="24"/>
        </w:rPr>
        <w:t> </w:t>
      </w:r>
      <w:r>
        <w:rPr>
          <w:sz w:val="24"/>
        </w:rPr>
        <w:t>identified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-5"/>
          <w:sz w:val="24"/>
        </w:rPr>
        <w:t> </w:t>
      </w:r>
      <w:r>
        <w:rPr>
          <w:sz w:val="24"/>
        </w:rPr>
        <w:t>Commission’s</w:t>
      </w:r>
      <w:r>
        <w:rPr>
          <w:spacing w:val="-1"/>
          <w:sz w:val="24"/>
        </w:rPr>
        <w:t> </w:t>
      </w:r>
      <w:r>
        <w:rPr>
          <w:sz w:val="24"/>
        </w:rPr>
        <w:t>October</w:t>
      </w:r>
      <w:r>
        <w:rPr>
          <w:spacing w:val="-3"/>
          <w:sz w:val="24"/>
        </w:rPr>
        <w:t> </w:t>
      </w:r>
      <w:r>
        <w:rPr>
          <w:sz w:val="24"/>
        </w:rPr>
        <w:t>2018</w:t>
      </w:r>
      <w:r>
        <w:rPr>
          <w:spacing w:val="-4"/>
          <w:sz w:val="24"/>
        </w:rPr>
        <w:t> </w:t>
      </w:r>
      <w:r>
        <w:rPr>
          <w:sz w:val="24"/>
        </w:rPr>
        <w:t>submission.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5" w:after="0"/>
        <w:ind w:left="1686" w:right="121" w:hanging="567"/>
        <w:jc w:val="left"/>
        <w:rPr>
          <w:sz w:val="24"/>
        </w:rPr>
      </w:pPr>
      <w:r>
        <w:rPr>
          <w:sz w:val="24"/>
        </w:rPr>
        <w:t>The Commission supports further review and reform of the TOLA Act</w:t>
      </w:r>
      <w:r>
        <w:rPr>
          <w:spacing w:val="1"/>
          <w:sz w:val="24"/>
        </w:rPr>
        <w:t> </w:t>
      </w:r>
      <w:r>
        <w:rPr>
          <w:sz w:val="24"/>
        </w:rPr>
        <w:t>consistent with its October 2018 submission, and full implementation of all</w:t>
      </w:r>
      <w:r>
        <w:rPr>
          <w:spacing w:val="-60"/>
          <w:sz w:val="24"/>
        </w:rPr>
        <w:t> </w:t>
      </w:r>
      <w:r>
        <w:rPr>
          <w:sz w:val="24"/>
        </w:rPr>
        <w:t>54 recommendations contained in that submission. As noted above, while</w:t>
      </w:r>
      <w:r>
        <w:rPr>
          <w:spacing w:val="1"/>
          <w:sz w:val="24"/>
        </w:rPr>
        <w:t> </w:t>
      </w:r>
      <w:r>
        <w:rPr>
          <w:sz w:val="24"/>
        </w:rPr>
        <w:t>a small number of these recommendations were addressed through</w:t>
      </w:r>
      <w:r>
        <w:rPr>
          <w:spacing w:val="1"/>
          <w:sz w:val="24"/>
        </w:rPr>
        <w:t> </w:t>
      </w:r>
      <w:r>
        <w:rPr>
          <w:sz w:val="24"/>
        </w:rPr>
        <w:t>Government amendments to the TOLA Bill, the vast majority of the</w:t>
      </w:r>
      <w:r>
        <w:rPr>
          <w:spacing w:val="1"/>
          <w:sz w:val="24"/>
        </w:rPr>
        <w:t> </w:t>
      </w:r>
      <w:r>
        <w:rPr>
          <w:sz w:val="24"/>
        </w:rPr>
        <w:t>Commission’s previous recommendations still need to be addressed.</w:t>
      </w:r>
      <w:r>
        <w:rPr>
          <w:spacing w:val="1"/>
          <w:sz w:val="24"/>
        </w:rPr>
        <w:t> </w:t>
      </w:r>
      <w:r>
        <w:rPr>
          <w:sz w:val="24"/>
        </w:rPr>
        <w:t>However,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juncture,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Commission</w:t>
      </w:r>
      <w:r>
        <w:rPr>
          <w:spacing w:val="-4"/>
          <w:sz w:val="24"/>
        </w:rPr>
        <w:t> </w:t>
      </w:r>
      <w:r>
        <w:rPr>
          <w:sz w:val="24"/>
        </w:rPr>
        <w:t>urges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INSLM:</w:t>
      </w:r>
    </w:p>
    <w:p>
      <w:pPr>
        <w:pStyle w:val="ListParagraph"/>
        <w:numPr>
          <w:ilvl w:val="1"/>
          <w:numId w:val="4"/>
        </w:numPr>
        <w:tabs>
          <w:tab w:pos="2632" w:val="left" w:leader="none"/>
        </w:tabs>
        <w:spacing w:line="240" w:lineRule="auto" w:before="198" w:after="0"/>
        <w:ind w:left="2632" w:right="207" w:hanging="303"/>
        <w:jc w:val="both"/>
        <w:rPr>
          <w:sz w:val="24"/>
        </w:rPr>
      </w:pPr>
      <w:r>
        <w:rPr>
          <w:sz w:val="24"/>
        </w:rPr>
        <w:t>to scrutinise closely the claims that the measures in the TOLA Act</w:t>
      </w:r>
      <w:r>
        <w:rPr>
          <w:spacing w:val="1"/>
          <w:sz w:val="24"/>
        </w:rPr>
        <w:t> </w:t>
      </w:r>
      <w:r>
        <w:rPr>
          <w:sz w:val="24"/>
        </w:rPr>
        <w:t>are necessary and proportionate, in light of the significant human</w:t>
      </w:r>
      <w:r>
        <w:rPr>
          <w:spacing w:val="-60"/>
          <w:sz w:val="24"/>
        </w:rPr>
        <w:t> </w:t>
      </w:r>
      <w:r>
        <w:rPr>
          <w:sz w:val="24"/>
        </w:rPr>
        <w:t>rights</w:t>
      </w:r>
      <w:r>
        <w:rPr>
          <w:spacing w:val="-1"/>
          <w:sz w:val="24"/>
        </w:rPr>
        <w:t> </w:t>
      </w:r>
      <w:r>
        <w:rPr>
          <w:sz w:val="24"/>
        </w:rPr>
        <w:t>limitations</w:t>
      </w:r>
      <w:r>
        <w:rPr>
          <w:spacing w:val="-6"/>
          <w:sz w:val="24"/>
        </w:rPr>
        <w:t> </w:t>
      </w:r>
      <w:r>
        <w:rPr>
          <w:sz w:val="24"/>
        </w:rPr>
        <w:t>identified</w:t>
      </w:r>
      <w:r>
        <w:rPr>
          <w:spacing w:val="1"/>
          <w:sz w:val="24"/>
        </w:rPr>
        <w:t> </w:t>
      </w:r>
      <w:r>
        <w:rPr>
          <w:sz w:val="24"/>
        </w:rPr>
        <w:t>in this submission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header="1146" w:footer="333" w:top="1680" w:bottom="520" w:left="44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7"/>
        </w:rPr>
      </w:pPr>
    </w:p>
    <w:p>
      <w:pPr>
        <w:pStyle w:val="ListParagraph"/>
        <w:numPr>
          <w:ilvl w:val="1"/>
          <w:numId w:val="4"/>
        </w:numPr>
        <w:tabs>
          <w:tab w:pos="2632" w:val="left" w:leader="none"/>
        </w:tabs>
        <w:spacing w:line="240" w:lineRule="auto" w:before="101" w:after="0"/>
        <w:ind w:left="2632" w:right="440" w:hanging="365"/>
        <w:jc w:val="left"/>
        <w:rPr>
          <w:sz w:val="24"/>
        </w:rPr>
      </w:pPr>
      <w:r>
        <w:rPr>
          <w:sz w:val="24"/>
        </w:rPr>
        <w:t>to recommend that the Government implement all of the</w:t>
      </w:r>
      <w:r>
        <w:rPr>
          <w:spacing w:val="1"/>
          <w:sz w:val="24"/>
        </w:rPr>
        <w:t> </w:t>
      </w:r>
      <w:r>
        <w:rPr>
          <w:sz w:val="24"/>
        </w:rPr>
        <w:t>Commission’s outstanding recommendations, prioritising those</w:t>
      </w:r>
      <w:r>
        <w:rPr>
          <w:spacing w:val="-60"/>
          <w:sz w:val="24"/>
        </w:rPr>
        <w:t> </w:t>
      </w:r>
      <w:r>
        <w:rPr>
          <w:sz w:val="24"/>
        </w:rPr>
        <w:t>referred to</w:t>
      </w:r>
      <w:r>
        <w:rPr>
          <w:spacing w:val="-1"/>
          <w:sz w:val="24"/>
        </w:rPr>
        <w:t> </w:t>
      </w:r>
      <w:r>
        <w:rPr>
          <w:sz w:val="24"/>
        </w:rPr>
        <w:t>below.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Heading1"/>
        <w:numPr>
          <w:ilvl w:val="0"/>
          <w:numId w:val="3"/>
        </w:numPr>
        <w:tabs>
          <w:tab w:pos="1825" w:val="left" w:leader="none"/>
          <w:tab w:pos="1826" w:val="left" w:leader="none"/>
        </w:tabs>
        <w:spacing w:line="240" w:lineRule="auto" w:before="1" w:after="0"/>
        <w:ind w:left="1825" w:right="0" w:hanging="850"/>
        <w:jc w:val="left"/>
      </w:pPr>
      <w:bookmarkStart w:name="_TOC_250011" w:id="3"/>
      <w:bookmarkEnd w:id="3"/>
      <w:r>
        <w:rPr/>
        <w:t>Recommendations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38" w:after="0"/>
        <w:ind w:left="1686" w:right="284" w:hanging="567"/>
        <w:jc w:val="left"/>
        <w:rPr>
          <w:sz w:val="24"/>
        </w:rPr>
      </w:pPr>
      <w:r>
        <w:rPr>
          <w:sz w:val="24"/>
        </w:rPr>
        <w:t>With respect to the five issues set out in this submission, the Commission</w:t>
      </w:r>
      <w:r>
        <w:rPr>
          <w:spacing w:val="-60"/>
          <w:sz w:val="24"/>
        </w:rPr>
        <w:t> </w:t>
      </w:r>
      <w:r>
        <w:rPr>
          <w:sz w:val="24"/>
        </w:rPr>
        <w:t>makes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following</w:t>
      </w:r>
      <w:r>
        <w:rPr>
          <w:spacing w:val="-2"/>
          <w:sz w:val="24"/>
        </w:rPr>
        <w:t> </w:t>
      </w:r>
      <w:r>
        <w:rPr>
          <w:sz w:val="24"/>
        </w:rPr>
        <w:t>recommendations:</w:t>
      </w:r>
    </w:p>
    <w:p>
      <w:pPr>
        <w:pStyle w:val="Heading5"/>
        <w:spacing w:before="200"/>
      </w:pPr>
      <w:r>
        <w:rPr/>
        <w:t>Recommendation</w:t>
      </w:r>
      <w:r>
        <w:rPr>
          <w:spacing w:val="-2"/>
        </w:rPr>
        <w:t> </w:t>
      </w:r>
      <w:r>
        <w:rPr/>
        <w:t>A</w:t>
      </w:r>
    </w:p>
    <w:p>
      <w:pPr>
        <w:pStyle w:val="BodyText"/>
        <w:spacing w:before="120"/>
        <w:ind w:left="1696" w:right="498"/>
      </w:pPr>
      <w:r>
        <w:rPr/>
        <w:t>Recommendations 14, 28, 30 and 31 in the Commission’s October 2018</w:t>
      </w:r>
      <w:r>
        <w:rPr>
          <w:spacing w:val="-60"/>
        </w:rPr>
        <w:t> </w:t>
      </w:r>
      <w:r>
        <w:rPr/>
        <w:t>submission should be implemented in full, in particular that judicial</w:t>
      </w:r>
      <w:r>
        <w:rPr>
          <w:spacing w:val="1"/>
        </w:rPr>
        <w:t> </w:t>
      </w:r>
      <w:r>
        <w:rPr/>
        <w:t>authorisation be required for the giving or varying of notices under the</w:t>
      </w:r>
      <w:r>
        <w:rPr>
          <w:spacing w:val="-60"/>
        </w:rPr>
        <w:t> </w:t>
      </w:r>
      <w:r>
        <w:rPr/>
        <w:t>assistance</w:t>
      </w:r>
      <w:r>
        <w:rPr>
          <w:spacing w:val="-2"/>
        </w:rPr>
        <w:t> </w:t>
      </w:r>
      <w:r>
        <w:rPr/>
        <w:t>scheme.</w:t>
      </w:r>
    </w:p>
    <w:p>
      <w:pPr>
        <w:pStyle w:val="Heading5"/>
        <w:spacing w:before="123"/>
        <w:jc w:val="both"/>
      </w:pPr>
      <w:r>
        <w:rPr/>
        <w:t>Recommendation</w:t>
      </w:r>
      <w:r>
        <w:rPr>
          <w:spacing w:val="-2"/>
        </w:rPr>
        <w:t> </w:t>
      </w:r>
      <w:r>
        <w:rPr/>
        <w:t>B</w:t>
      </w:r>
    </w:p>
    <w:p>
      <w:pPr>
        <w:pStyle w:val="BodyText"/>
        <w:spacing w:before="120"/>
        <w:ind w:left="1696" w:right="260"/>
        <w:jc w:val="both"/>
      </w:pPr>
      <w:r>
        <w:rPr/>
        <w:t>In the event that Recommendation A is not implemented, s 317WA of the</w:t>
      </w:r>
      <w:r>
        <w:rPr>
          <w:spacing w:val="-60"/>
        </w:rPr>
        <w:t> </w:t>
      </w:r>
      <w:r>
        <w:rPr>
          <w:i/>
        </w:rPr>
        <w:t>Telecommunications Act 1997 </w:t>
      </w:r>
      <w:r>
        <w:rPr/>
        <w:t>(Cth) should be amended to make the report</w:t>
      </w:r>
      <w:r>
        <w:rPr>
          <w:spacing w:val="-61"/>
        </w:rPr>
        <w:t> </w:t>
      </w:r>
      <w:r>
        <w:rPr/>
        <w:t>of assessors regarding a proposed Technical Capability Notice binding on</w:t>
      </w:r>
      <w:r>
        <w:rPr>
          <w:spacing w:val="-60"/>
        </w:rPr>
        <w:t> </w:t>
      </w:r>
      <w:r>
        <w:rPr/>
        <w:t>the</w:t>
      </w:r>
      <w:r>
        <w:rPr>
          <w:spacing w:val="-2"/>
        </w:rPr>
        <w:t> </w:t>
      </w:r>
      <w:r>
        <w:rPr/>
        <w:t>Attorney-General.</w:t>
      </w:r>
    </w:p>
    <w:p>
      <w:pPr>
        <w:pStyle w:val="Heading5"/>
        <w:jc w:val="both"/>
      </w:pPr>
      <w:r>
        <w:rPr/>
        <w:t>Recommendation</w:t>
      </w:r>
      <w:r>
        <w:rPr>
          <w:spacing w:val="-2"/>
        </w:rPr>
        <w:t> </w:t>
      </w:r>
      <w:r>
        <w:rPr/>
        <w:t>C</w:t>
      </w:r>
    </w:p>
    <w:p>
      <w:pPr>
        <w:pStyle w:val="BodyText"/>
        <w:spacing w:before="119"/>
        <w:ind w:left="1696" w:right="327"/>
      </w:pPr>
      <w:r>
        <w:rPr/>
        <w:t>An independent assessment process commensurate to that contained in</w:t>
      </w:r>
      <w:r>
        <w:rPr>
          <w:spacing w:val="-60"/>
        </w:rPr>
        <w:t> </w:t>
      </w:r>
      <w:r>
        <w:rPr/>
        <w:t>s 317WA of the </w:t>
      </w:r>
      <w:r>
        <w:rPr>
          <w:i/>
        </w:rPr>
        <w:t>Telecommunications Act 1997 </w:t>
      </w:r>
      <w:r>
        <w:rPr/>
        <w:t>(Cth), or some other</w:t>
      </w:r>
      <w:r>
        <w:rPr>
          <w:spacing w:val="1"/>
        </w:rPr>
        <w:t> </w:t>
      </w:r>
      <w:r>
        <w:rPr/>
        <w:t>appropriate and similar form of independent review, should be made</w:t>
      </w:r>
      <w:r>
        <w:rPr>
          <w:spacing w:val="1"/>
        </w:rPr>
        <w:t> </w:t>
      </w:r>
      <w:r>
        <w:rPr/>
        <w:t>available with respect to Technical Assistance Requests and Technical</w:t>
      </w:r>
      <w:r>
        <w:rPr>
          <w:spacing w:val="1"/>
        </w:rPr>
        <w:t> </w:t>
      </w:r>
      <w:r>
        <w:rPr/>
        <w:t>Assistance</w:t>
      </w:r>
      <w:r>
        <w:rPr>
          <w:spacing w:val="-6"/>
        </w:rPr>
        <w:t> </w:t>
      </w:r>
      <w:r>
        <w:rPr/>
        <w:t>Notices,</w:t>
      </w:r>
      <w:r>
        <w:rPr>
          <w:spacing w:val="-3"/>
        </w:rPr>
        <w:t> </w:t>
      </w:r>
      <w:r>
        <w:rPr/>
        <w:t>not</w:t>
      </w:r>
      <w:r>
        <w:rPr>
          <w:spacing w:val="1"/>
        </w:rPr>
        <w:t> </w:t>
      </w:r>
      <w:r>
        <w:rPr/>
        <w:t>just Technical Capability</w:t>
      </w:r>
      <w:r>
        <w:rPr>
          <w:spacing w:val="-1"/>
        </w:rPr>
        <w:t> </w:t>
      </w:r>
      <w:r>
        <w:rPr/>
        <w:t>Notices.</w:t>
      </w:r>
    </w:p>
    <w:p>
      <w:pPr>
        <w:pStyle w:val="Heading5"/>
        <w:spacing w:before="123"/>
      </w:pPr>
      <w:r>
        <w:rPr/>
        <w:t>Recommendation</w:t>
      </w:r>
      <w:r>
        <w:rPr>
          <w:spacing w:val="-2"/>
        </w:rPr>
        <w:t> </w:t>
      </w:r>
      <w:r>
        <w:rPr/>
        <w:t>D</w:t>
      </w:r>
    </w:p>
    <w:p>
      <w:pPr>
        <w:pStyle w:val="BodyText"/>
        <w:spacing w:before="120"/>
        <w:ind w:left="1696" w:right="194"/>
      </w:pPr>
      <w:r>
        <w:rPr/>
        <w:t>The Government consult widely with industry and technical experts, as</w:t>
      </w:r>
      <w:r>
        <w:rPr>
          <w:spacing w:val="1"/>
        </w:rPr>
        <w:t> </w:t>
      </w:r>
      <w:r>
        <w:rPr/>
        <w:t>well as bodies with human rights expertise, to formulate and implement a</w:t>
      </w:r>
      <w:r>
        <w:rPr>
          <w:spacing w:val="-60"/>
        </w:rPr>
        <w:t> </w:t>
      </w:r>
      <w:r>
        <w:rPr/>
        <w:t>revised ‘systemic weakness’ limitation in s 317ZG of the</w:t>
      </w:r>
      <w:r>
        <w:rPr>
          <w:spacing w:val="1"/>
        </w:rPr>
        <w:t> </w:t>
      </w:r>
      <w:r>
        <w:rPr>
          <w:i/>
        </w:rPr>
        <w:t>Telecommunications Act 1997 </w:t>
      </w:r>
      <w:r>
        <w:rPr/>
        <w:t>(Cth) that is clear, precise, and prohibits</w:t>
      </w:r>
      <w:r>
        <w:rPr>
          <w:spacing w:val="1"/>
        </w:rPr>
        <w:t> </w:t>
      </w:r>
      <w:r>
        <w:rPr/>
        <w:t>action that would detrimentally affect the cybersecurity and privacy of a</w:t>
      </w:r>
      <w:r>
        <w:rPr>
          <w:spacing w:val="1"/>
        </w:rPr>
        <w:t> </w:t>
      </w:r>
      <w:r>
        <w:rPr/>
        <w:t>significant proportion or number of innocent third parties, or that would</w:t>
      </w:r>
      <w:r>
        <w:rPr>
          <w:spacing w:val="1"/>
        </w:rPr>
        <w:t> </w:t>
      </w:r>
      <w:r>
        <w:rPr/>
        <w:t>weaken a</w:t>
      </w:r>
      <w:r>
        <w:rPr>
          <w:spacing w:val="-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part or</w:t>
      </w:r>
      <w:r>
        <w:rPr>
          <w:spacing w:val="-2"/>
        </w:rPr>
        <w:t> </w:t>
      </w:r>
      <w:r>
        <w:rPr/>
        <w:t>whole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 relevant system.</w:t>
      </w:r>
    </w:p>
    <w:p>
      <w:pPr>
        <w:pStyle w:val="Heading5"/>
        <w:spacing w:before="117"/>
      </w:pPr>
      <w:r>
        <w:rPr/>
        <w:t>Recommendation</w:t>
      </w:r>
      <w:r>
        <w:rPr>
          <w:spacing w:val="-2"/>
        </w:rPr>
        <w:t> </w:t>
      </w:r>
      <w:r>
        <w:rPr/>
        <w:t>E</w:t>
      </w:r>
    </w:p>
    <w:p>
      <w:pPr>
        <w:pStyle w:val="BodyText"/>
        <w:spacing w:line="242" w:lineRule="auto" w:before="119"/>
        <w:ind w:left="1696" w:right="203"/>
      </w:pPr>
      <w:r>
        <w:rPr/>
        <w:t>If Recommendation D is not accepted, the Government seek and publish</w:t>
      </w:r>
      <w:r>
        <w:rPr>
          <w:spacing w:val="1"/>
        </w:rPr>
        <w:t> </w:t>
      </w:r>
      <w:r>
        <w:rPr/>
        <w:t>legal advice as to the interaction between ss 317B and 317ZG of the</w:t>
      </w:r>
      <w:r>
        <w:rPr>
          <w:spacing w:val="1"/>
        </w:rPr>
        <w:t> </w:t>
      </w:r>
      <w:r>
        <w:rPr>
          <w:i/>
        </w:rPr>
        <w:t>Telecommunications</w:t>
      </w:r>
      <w:r>
        <w:rPr>
          <w:i/>
          <w:spacing w:val="-5"/>
        </w:rPr>
        <w:t> </w:t>
      </w:r>
      <w:r>
        <w:rPr>
          <w:i/>
        </w:rPr>
        <w:t>Act</w:t>
      </w:r>
      <w:r>
        <w:rPr>
          <w:i/>
          <w:spacing w:val="-3"/>
        </w:rPr>
        <w:t> </w:t>
      </w:r>
      <w:r>
        <w:rPr>
          <w:i/>
        </w:rPr>
        <w:t>1997</w:t>
      </w:r>
      <w:r>
        <w:rPr>
          <w:i/>
          <w:spacing w:val="-5"/>
        </w:rPr>
        <w:t> </w:t>
      </w:r>
      <w:r>
        <w:rPr/>
        <w:t>(Cth),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implement</w:t>
      </w:r>
      <w:r>
        <w:rPr>
          <w:spacing w:val="-1"/>
        </w:rPr>
        <w:t> </w:t>
      </w:r>
      <w:r>
        <w:rPr/>
        <w:t>reforms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ensure</w:t>
      </w:r>
      <w:r>
        <w:rPr>
          <w:spacing w:val="-3"/>
        </w:rPr>
        <w:t> </w:t>
      </w:r>
      <w:r>
        <w:rPr/>
        <w:t>that</w:t>
      </w:r>
    </w:p>
    <w:p>
      <w:pPr>
        <w:spacing w:after="0" w:line="242" w:lineRule="auto"/>
        <w:sectPr>
          <w:pgSz w:w="11900" w:h="16840"/>
          <w:pgMar w:header="1146" w:footer="333" w:top="1680" w:bottom="520" w:left="44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before="101"/>
        <w:ind w:left="1696" w:right="449"/>
      </w:pPr>
      <w:r>
        <w:rPr/>
        <w:t>an ‘act or thing’ cannot be requested or compelled under the assistance</w:t>
      </w:r>
      <w:r>
        <w:rPr>
          <w:spacing w:val="-60"/>
        </w:rPr>
        <w:t> </w:t>
      </w:r>
      <w:r>
        <w:rPr/>
        <w:t>scheme if it would jeopardise or be likely to jeopardise the information</w:t>
      </w:r>
      <w:r>
        <w:rPr>
          <w:spacing w:val="1"/>
        </w:rPr>
        <w:t> </w:t>
      </w:r>
      <w:r>
        <w:rPr/>
        <w:t>security</w:t>
      </w:r>
      <w:r>
        <w:rPr>
          <w:spacing w:val="-2"/>
        </w:rPr>
        <w:t> </w:t>
      </w:r>
      <w:r>
        <w:rPr/>
        <w:t>of innocent</w:t>
      </w:r>
      <w:r>
        <w:rPr>
          <w:spacing w:val="-4"/>
        </w:rPr>
        <w:t> </w:t>
      </w:r>
      <w:r>
        <w:rPr/>
        <w:t>third</w:t>
      </w:r>
      <w:r>
        <w:rPr>
          <w:spacing w:val="-4"/>
        </w:rPr>
        <w:t> </w:t>
      </w:r>
      <w:r>
        <w:rPr/>
        <w:t>parties.</w:t>
      </w:r>
    </w:p>
    <w:p>
      <w:pPr>
        <w:pStyle w:val="Heading5"/>
      </w:pPr>
      <w:r>
        <w:rPr/>
        <w:t>Recommendation</w:t>
      </w:r>
      <w:r>
        <w:rPr>
          <w:spacing w:val="-2"/>
        </w:rPr>
        <w:t> </w:t>
      </w:r>
      <w:r>
        <w:rPr/>
        <w:t>F</w:t>
      </w:r>
    </w:p>
    <w:p>
      <w:pPr>
        <w:pStyle w:val="BodyText"/>
        <w:spacing w:before="120"/>
        <w:ind w:left="1696" w:right="122"/>
      </w:pPr>
      <w:r>
        <w:rPr/>
        <w:t>The ‘relevant objectives’ for which Technical Assistance Requests may be</w:t>
      </w:r>
      <w:r>
        <w:rPr>
          <w:spacing w:val="1"/>
        </w:rPr>
        <w:t> </w:t>
      </w:r>
      <w:r>
        <w:rPr/>
        <w:t>issued should be further amended so that it is not possible to use the</w:t>
      </w:r>
      <w:r>
        <w:rPr>
          <w:spacing w:val="1"/>
        </w:rPr>
        <w:t> </w:t>
      </w:r>
      <w:r>
        <w:rPr/>
        <w:t>assistance scheme for purposes related to ‘the interests of Australia’s</w:t>
      </w:r>
      <w:r>
        <w:rPr>
          <w:spacing w:val="1"/>
        </w:rPr>
        <w:t> </w:t>
      </w:r>
      <w:r>
        <w:rPr/>
        <w:t>national economic well-being’, and so that the meaning of ‘matters relating</w:t>
      </w:r>
      <w:r>
        <w:rPr>
          <w:spacing w:val="-60"/>
        </w:rPr>
        <w:t> </w:t>
      </w:r>
      <w:r>
        <w:rPr/>
        <w:t>to the security and integrity of information that is processed, stored or</w:t>
      </w:r>
      <w:r>
        <w:rPr>
          <w:spacing w:val="1"/>
        </w:rPr>
        <w:t> </w:t>
      </w:r>
      <w:r>
        <w:rPr/>
        <w:t>communicated</w:t>
      </w:r>
      <w:r>
        <w:rPr>
          <w:spacing w:val="6"/>
        </w:rPr>
        <w:t> </w:t>
      </w:r>
      <w:r>
        <w:rPr/>
        <w:t>by</w:t>
      </w:r>
      <w:r>
        <w:rPr>
          <w:spacing w:val="5"/>
        </w:rPr>
        <w:t> </w:t>
      </w:r>
      <w:r>
        <w:rPr/>
        <w:t>electronic</w:t>
      </w:r>
      <w:r>
        <w:rPr>
          <w:spacing w:val="7"/>
        </w:rPr>
        <w:t> </w:t>
      </w:r>
      <w:r>
        <w:rPr/>
        <w:t>or</w:t>
      </w:r>
      <w:r>
        <w:rPr>
          <w:spacing w:val="3"/>
        </w:rPr>
        <w:t> </w:t>
      </w:r>
      <w:r>
        <w:rPr/>
        <w:t>similar</w:t>
      </w:r>
      <w:r>
        <w:rPr>
          <w:spacing w:val="4"/>
        </w:rPr>
        <w:t> </w:t>
      </w:r>
      <w:r>
        <w:rPr/>
        <w:t>means’</w:t>
      </w:r>
      <w:r>
        <w:rPr>
          <w:spacing w:val="8"/>
        </w:rPr>
        <w:t> </w:t>
      </w:r>
      <w:r>
        <w:rPr/>
        <w:t>is more</w:t>
      </w:r>
      <w:r>
        <w:rPr>
          <w:spacing w:val="5"/>
        </w:rPr>
        <w:t> </w:t>
      </w:r>
      <w:r>
        <w:rPr/>
        <w:t>clearly</w:t>
      </w:r>
      <w:r>
        <w:rPr>
          <w:spacing w:val="5"/>
        </w:rPr>
        <w:t> </w:t>
      </w:r>
      <w:r>
        <w:rPr/>
        <w:t>and</w:t>
      </w:r>
      <w:r>
        <w:rPr>
          <w:spacing w:val="1"/>
        </w:rPr>
        <w:t> </w:t>
      </w:r>
      <w:r>
        <w:rPr/>
        <w:t>precisely</w:t>
      </w:r>
      <w:r>
        <w:rPr>
          <w:spacing w:val="-2"/>
        </w:rPr>
        <w:t> </w:t>
      </w:r>
      <w:r>
        <w:rPr/>
        <w:t>defined.</w:t>
      </w:r>
    </w:p>
    <w:p>
      <w:pPr>
        <w:pStyle w:val="Heading5"/>
        <w:spacing w:before="122"/>
      </w:pPr>
      <w:r>
        <w:rPr/>
        <w:t>Recommendation</w:t>
      </w:r>
      <w:r>
        <w:rPr>
          <w:spacing w:val="-2"/>
        </w:rPr>
        <w:t> </w:t>
      </w:r>
      <w:r>
        <w:rPr/>
        <w:t>G</w:t>
      </w:r>
    </w:p>
    <w:p>
      <w:pPr>
        <w:spacing w:before="119"/>
        <w:ind w:left="1696" w:right="166" w:firstLine="0"/>
        <w:jc w:val="left"/>
        <w:rPr>
          <w:sz w:val="24"/>
        </w:rPr>
      </w:pPr>
      <w:r>
        <w:rPr>
          <w:sz w:val="24"/>
        </w:rPr>
        <w:t>The definition of ‘serious offence’ in s 317B of the </w:t>
      </w:r>
      <w:r>
        <w:rPr>
          <w:i/>
          <w:sz w:val="24"/>
        </w:rPr>
        <w:t>Telecommunications Act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1997 </w:t>
      </w:r>
      <w:r>
        <w:rPr>
          <w:sz w:val="24"/>
        </w:rPr>
        <w:t>(Cth) should be amended so that it is consistent with the definition in</w:t>
      </w:r>
      <w:r>
        <w:rPr>
          <w:spacing w:val="-60"/>
          <w:sz w:val="24"/>
        </w:rPr>
        <w:t> </w:t>
      </w:r>
      <w:r>
        <w:rPr>
          <w:sz w:val="24"/>
        </w:rPr>
        <w:t>s</w:t>
      </w:r>
      <w:r>
        <w:rPr>
          <w:spacing w:val="-1"/>
          <w:sz w:val="24"/>
        </w:rPr>
        <w:t> </w:t>
      </w:r>
      <w:r>
        <w:rPr>
          <w:sz w:val="24"/>
        </w:rPr>
        <w:t>5D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i/>
          <w:sz w:val="24"/>
        </w:rPr>
        <w:t>Telecommunications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(Interception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Access)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Act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1979</w:t>
      </w:r>
      <w:r>
        <w:rPr>
          <w:i/>
          <w:spacing w:val="1"/>
          <w:sz w:val="24"/>
        </w:rPr>
        <w:t> </w:t>
      </w:r>
      <w:r>
        <w:rPr>
          <w:sz w:val="24"/>
        </w:rPr>
        <w:t>(Cth).</w:t>
      </w:r>
    </w:p>
    <w:p>
      <w:pPr>
        <w:pStyle w:val="Heading5"/>
        <w:spacing w:before="119"/>
      </w:pPr>
      <w:r>
        <w:rPr/>
        <w:t>Recommendation</w:t>
      </w:r>
      <w:r>
        <w:rPr>
          <w:spacing w:val="-2"/>
        </w:rPr>
        <w:t> </w:t>
      </w:r>
      <w:r>
        <w:rPr/>
        <w:t>H</w:t>
      </w:r>
    </w:p>
    <w:p>
      <w:pPr>
        <w:pStyle w:val="BodyText"/>
        <w:spacing w:before="120"/>
        <w:ind w:left="1696" w:right="244"/>
      </w:pPr>
      <w:r>
        <w:rPr/>
        <w:t>Section 34AAA of the </w:t>
      </w:r>
      <w:r>
        <w:rPr>
          <w:i/>
        </w:rPr>
        <w:t>Australian Security Intelligence Organisation Act 1979</w:t>
      </w:r>
      <w:r>
        <w:rPr>
          <w:i/>
          <w:spacing w:val="1"/>
        </w:rPr>
        <w:t> </w:t>
      </w:r>
      <w:r>
        <w:rPr/>
        <w:t>(Cth) should be amended to include protections for persons compelled to</w:t>
      </w:r>
      <w:r>
        <w:rPr>
          <w:spacing w:val="-61"/>
        </w:rPr>
        <w:t> </w:t>
      </w:r>
      <w:r>
        <w:rPr/>
        <w:t>attend or remain in a specified place under an assistance order, in line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Recommendation</w:t>
      </w:r>
      <w:r>
        <w:rPr>
          <w:spacing w:val="-1"/>
        </w:rPr>
        <w:t> </w:t>
      </w:r>
      <w:r>
        <w:rPr/>
        <w:t>48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7"/>
        </w:rPr>
        <w:t> </w:t>
      </w:r>
      <w:r>
        <w:rPr/>
        <w:t>Commission’s</w:t>
      </w:r>
      <w:r>
        <w:rPr>
          <w:spacing w:val="-3"/>
        </w:rPr>
        <w:t> </w:t>
      </w:r>
      <w:r>
        <w:rPr/>
        <w:t>October</w:t>
      </w:r>
      <w:r>
        <w:rPr>
          <w:spacing w:val="-4"/>
        </w:rPr>
        <w:t> </w:t>
      </w:r>
      <w:r>
        <w:rPr/>
        <w:t>2018</w:t>
      </w:r>
      <w:r>
        <w:rPr>
          <w:spacing w:val="-1"/>
        </w:rPr>
        <w:t> </w:t>
      </w:r>
      <w:r>
        <w:rPr/>
        <w:t>submission.</w:t>
      </w:r>
    </w:p>
    <w:p>
      <w:pPr>
        <w:pStyle w:val="Heading5"/>
        <w:spacing w:before="123"/>
      </w:pPr>
      <w:r>
        <w:rPr/>
        <w:t>Recommendation</w:t>
      </w:r>
      <w:r>
        <w:rPr>
          <w:spacing w:val="-2"/>
        </w:rPr>
        <w:t> </w:t>
      </w:r>
      <w:r>
        <w:rPr/>
        <w:t>I</w:t>
      </w:r>
    </w:p>
    <w:p>
      <w:pPr>
        <w:spacing w:line="240" w:lineRule="auto" w:before="119"/>
        <w:ind w:left="1696" w:right="106" w:firstLine="0"/>
        <w:jc w:val="left"/>
        <w:rPr>
          <w:sz w:val="24"/>
        </w:rPr>
      </w:pPr>
      <w:r>
        <w:rPr>
          <w:sz w:val="24"/>
        </w:rPr>
        <w:t>The </w:t>
      </w:r>
      <w:r>
        <w:rPr>
          <w:i/>
          <w:sz w:val="24"/>
        </w:rPr>
        <w:t>Australian Security Intelligence Organisation Act 1979 </w:t>
      </w:r>
      <w:r>
        <w:rPr>
          <w:sz w:val="24"/>
        </w:rPr>
        <w:t>(Cth) and the</w:t>
      </w:r>
      <w:r>
        <w:rPr>
          <w:spacing w:val="1"/>
          <w:sz w:val="24"/>
        </w:rPr>
        <w:t> </w:t>
      </w:r>
      <w:r>
        <w:rPr>
          <w:i/>
          <w:sz w:val="24"/>
        </w:rPr>
        <w:t>Surveillance Devices Act 2004 </w:t>
      </w:r>
      <w:r>
        <w:rPr>
          <w:sz w:val="24"/>
        </w:rPr>
        <w:t>(Cth) should be amended so that, if it is not</w:t>
      </w:r>
      <w:r>
        <w:rPr>
          <w:spacing w:val="1"/>
          <w:sz w:val="24"/>
        </w:rPr>
        <w:t> </w:t>
      </w:r>
      <w:r>
        <w:rPr>
          <w:sz w:val="24"/>
        </w:rPr>
        <w:t>reasonably practicable for ‘concealment of access’ to occur while a warrant</w:t>
      </w:r>
      <w:r>
        <w:rPr>
          <w:spacing w:val="-60"/>
          <w:sz w:val="24"/>
        </w:rPr>
        <w:t> </w:t>
      </w:r>
      <w:r>
        <w:rPr>
          <w:sz w:val="24"/>
        </w:rPr>
        <w:t>is in effect, or within 28 days of its expiry, law enforcement authorities are</w:t>
      </w:r>
      <w:r>
        <w:rPr>
          <w:spacing w:val="1"/>
          <w:sz w:val="24"/>
        </w:rPr>
        <w:t> </w:t>
      </w:r>
      <w:r>
        <w:rPr>
          <w:sz w:val="24"/>
        </w:rPr>
        <w:t>required to return to an eligible Judge or nominated Administrative</w:t>
      </w:r>
      <w:r>
        <w:rPr>
          <w:spacing w:val="1"/>
          <w:sz w:val="24"/>
        </w:rPr>
        <w:t> </w:t>
      </w:r>
      <w:r>
        <w:rPr>
          <w:sz w:val="24"/>
        </w:rPr>
        <w:t>Appeals Tribunal member or, in the case of Australian Security Intelligence</w:t>
      </w:r>
      <w:r>
        <w:rPr>
          <w:spacing w:val="-60"/>
          <w:sz w:val="24"/>
        </w:rPr>
        <w:t> </w:t>
      </w:r>
      <w:r>
        <w:rPr>
          <w:sz w:val="24"/>
        </w:rPr>
        <w:t>Organisation warrants, the Attorney-General for further authorisation</w:t>
      </w:r>
      <w:r>
        <w:rPr>
          <w:spacing w:val="1"/>
          <w:sz w:val="24"/>
        </w:rPr>
        <w:t> </w:t>
      </w:r>
      <w:r>
        <w:rPr>
          <w:sz w:val="24"/>
        </w:rPr>
        <w:t>before any of the concealment of access powers introduced by the</w:t>
      </w:r>
      <w:r>
        <w:rPr>
          <w:spacing w:val="1"/>
          <w:sz w:val="24"/>
        </w:rPr>
        <w:t> </w:t>
      </w:r>
      <w:r>
        <w:rPr>
          <w:i/>
          <w:sz w:val="24"/>
        </w:rPr>
        <w:t>Telecommunications and Other Legislation Amendment (Assistance and Access)</w:t>
      </w:r>
      <w:r>
        <w:rPr>
          <w:i/>
          <w:spacing w:val="-60"/>
          <w:sz w:val="24"/>
        </w:rPr>
        <w:t> </w:t>
      </w:r>
      <w:r>
        <w:rPr>
          <w:i/>
          <w:sz w:val="24"/>
        </w:rPr>
        <w:t>Act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2018</w:t>
      </w:r>
      <w:r>
        <w:rPr>
          <w:i/>
          <w:spacing w:val="-3"/>
          <w:sz w:val="24"/>
        </w:rPr>
        <w:t> </w:t>
      </w:r>
      <w:r>
        <w:rPr>
          <w:sz w:val="24"/>
        </w:rPr>
        <w:t>(Cth)</w:t>
      </w:r>
      <w:r>
        <w:rPr>
          <w:spacing w:val="1"/>
          <w:sz w:val="24"/>
        </w:rPr>
        <w:t> </w:t>
      </w:r>
      <w:r>
        <w:rPr>
          <w:sz w:val="24"/>
        </w:rPr>
        <w:t>can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exercised.</w:t>
      </w:r>
    </w:p>
    <w:p>
      <w:pPr>
        <w:pStyle w:val="BodyText"/>
        <w:spacing w:before="8"/>
        <w:ind w:left="0"/>
        <w:rPr>
          <w:sz w:val="26"/>
        </w:rPr>
      </w:pPr>
    </w:p>
    <w:p>
      <w:pPr>
        <w:pStyle w:val="Heading1"/>
        <w:numPr>
          <w:ilvl w:val="0"/>
          <w:numId w:val="3"/>
        </w:numPr>
        <w:tabs>
          <w:tab w:pos="1825" w:val="left" w:leader="none"/>
          <w:tab w:pos="1826" w:val="left" w:leader="none"/>
        </w:tabs>
        <w:spacing w:line="240" w:lineRule="auto" w:before="0" w:after="0"/>
        <w:ind w:left="1825" w:right="0" w:hanging="850"/>
        <w:jc w:val="left"/>
      </w:pPr>
      <w:bookmarkStart w:name="_TOC_250010" w:id="4"/>
      <w:r>
        <w:rPr/>
        <w:t>Human</w:t>
      </w:r>
      <w:r>
        <w:rPr>
          <w:spacing w:val="-4"/>
        </w:rPr>
        <w:t> </w:t>
      </w:r>
      <w:r>
        <w:rPr/>
        <w:t>rights</w:t>
      </w:r>
      <w:r>
        <w:rPr>
          <w:spacing w:val="-3"/>
        </w:rPr>
        <w:t> </w:t>
      </w:r>
      <w:r>
        <w:rPr/>
        <w:t>and</w:t>
      </w:r>
      <w:r>
        <w:rPr>
          <w:spacing w:val="1"/>
        </w:rPr>
        <w:t> </w:t>
      </w:r>
      <w:r>
        <w:rPr/>
        <w:t>digital</w:t>
      </w:r>
      <w:r>
        <w:rPr>
          <w:spacing w:val="-6"/>
        </w:rPr>
        <w:t> </w:t>
      </w:r>
      <w:r>
        <w:rPr/>
        <w:t>law</w:t>
      </w:r>
      <w:r>
        <w:rPr>
          <w:spacing w:val="-3"/>
        </w:rPr>
        <w:t> </w:t>
      </w:r>
      <w:bookmarkEnd w:id="4"/>
      <w:r>
        <w:rPr/>
        <w:t>enforcement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38" w:after="0"/>
        <w:ind w:left="1686" w:right="421" w:hanging="567"/>
        <w:jc w:val="left"/>
        <w:rPr>
          <w:sz w:val="24"/>
        </w:rPr>
      </w:pPr>
      <w:r>
        <w:rPr>
          <w:sz w:val="24"/>
        </w:rPr>
        <w:t>The human rights to privacy and freedom of opinion and expression are</w:t>
      </w:r>
      <w:r>
        <w:rPr>
          <w:spacing w:val="-60"/>
          <w:sz w:val="24"/>
        </w:rPr>
        <w:t> </w:t>
      </w:r>
      <w:r>
        <w:rPr>
          <w:sz w:val="24"/>
        </w:rPr>
        <w:t>protected under articles 17 and 19 of the </w:t>
      </w:r>
      <w:r>
        <w:rPr>
          <w:i/>
          <w:sz w:val="24"/>
        </w:rPr>
        <w:t>International Covenant on Civil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Rights</w:t>
      </w:r>
      <w:r>
        <w:rPr>
          <w:i/>
          <w:spacing w:val="-2"/>
          <w:sz w:val="24"/>
        </w:rPr>
        <w:t> </w:t>
      </w:r>
      <w:r>
        <w:rPr>
          <w:sz w:val="24"/>
        </w:rPr>
        <w:t>(ICCPR).</w:t>
      </w:r>
      <w:r>
        <w:rPr>
          <w:position w:val="8"/>
          <w:sz w:val="13"/>
        </w:rPr>
        <w:t>5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1146" w:footer="333" w:top="1680" w:bottom="520" w:left="44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01" w:after="0"/>
        <w:ind w:left="1686" w:right="148" w:hanging="567"/>
        <w:jc w:val="left"/>
        <w:rPr>
          <w:sz w:val="24"/>
        </w:rPr>
      </w:pPr>
      <w:r>
        <w:rPr>
          <w:sz w:val="24"/>
        </w:rPr>
        <w:t>These rights are related and mutually reinforcing—for instance, an</w:t>
      </w:r>
      <w:r>
        <w:rPr>
          <w:spacing w:val="1"/>
          <w:sz w:val="24"/>
        </w:rPr>
        <w:t> </w:t>
      </w:r>
      <w:r>
        <w:rPr>
          <w:sz w:val="24"/>
        </w:rPr>
        <w:t>individual’s privacy facilitates their freedom of expression.</w:t>
      </w:r>
      <w:r>
        <w:rPr>
          <w:position w:val="8"/>
          <w:sz w:val="13"/>
        </w:rPr>
        <w:t>6</w:t>
      </w:r>
      <w:r>
        <w:rPr>
          <w:spacing w:val="1"/>
          <w:position w:val="8"/>
          <w:sz w:val="13"/>
        </w:rPr>
        <w:t> </w:t>
      </w:r>
      <w:r>
        <w:rPr>
          <w:sz w:val="24"/>
        </w:rPr>
        <w:t>They are also</w:t>
      </w:r>
      <w:r>
        <w:rPr>
          <w:spacing w:val="1"/>
          <w:sz w:val="24"/>
        </w:rPr>
        <w:t> </w:t>
      </w:r>
      <w:r>
        <w:rPr>
          <w:sz w:val="24"/>
        </w:rPr>
        <w:t>an essential precondition for the proper protection of </w:t>
      </w:r>
      <w:r>
        <w:rPr>
          <w:i/>
          <w:sz w:val="24"/>
        </w:rPr>
        <w:t>all </w:t>
      </w:r>
      <w:r>
        <w:rPr>
          <w:sz w:val="24"/>
        </w:rPr>
        <w:t>human rights,</w:t>
      </w:r>
      <w:r>
        <w:rPr>
          <w:position w:val="8"/>
          <w:sz w:val="16"/>
        </w:rPr>
        <w:t>7 </w:t>
      </w:r>
      <w:r>
        <w:rPr>
          <w:sz w:val="24"/>
        </w:rPr>
        <w:t>as</w:t>
      </w:r>
      <w:r>
        <w:rPr>
          <w:spacing w:val="-60"/>
          <w:sz w:val="24"/>
        </w:rPr>
        <w:t> </w:t>
      </w:r>
      <w:r>
        <w:rPr>
          <w:sz w:val="24"/>
        </w:rPr>
        <w:t>well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robust</w:t>
      </w:r>
      <w:r>
        <w:rPr>
          <w:spacing w:val="-5"/>
          <w:sz w:val="24"/>
        </w:rPr>
        <w:t> </w:t>
      </w:r>
      <w:r>
        <w:rPr>
          <w:sz w:val="24"/>
        </w:rPr>
        <w:t>and representative</w:t>
      </w:r>
      <w:r>
        <w:rPr>
          <w:spacing w:val="-6"/>
          <w:sz w:val="24"/>
        </w:rPr>
        <w:t> </w:t>
      </w:r>
      <w:r>
        <w:rPr>
          <w:sz w:val="24"/>
        </w:rPr>
        <w:t>nature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Australian democracy.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0" w:after="0"/>
        <w:ind w:left="1686" w:right="217" w:hanging="567"/>
        <w:jc w:val="left"/>
        <w:rPr>
          <w:sz w:val="24"/>
        </w:rPr>
      </w:pPr>
      <w:r>
        <w:rPr>
          <w:sz w:val="24"/>
        </w:rPr>
        <w:t>As a party to the ICCPR and other relevant international human rights</w:t>
      </w:r>
      <w:r>
        <w:rPr>
          <w:spacing w:val="1"/>
          <w:sz w:val="24"/>
        </w:rPr>
        <w:t> </w:t>
      </w:r>
      <w:r>
        <w:rPr>
          <w:sz w:val="24"/>
        </w:rPr>
        <w:t>treaties,</w:t>
      </w:r>
      <w:r>
        <w:rPr>
          <w:position w:val="8"/>
          <w:sz w:val="13"/>
        </w:rPr>
        <w:t>8 </w:t>
      </w:r>
      <w:r>
        <w:rPr>
          <w:sz w:val="24"/>
        </w:rPr>
        <w:t>Australia has undertaken to comply with their provisions in good</w:t>
      </w:r>
      <w:r>
        <w:rPr>
          <w:spacing w:val="-60"/>
          <w:sz w:val="24"/>
        </w:rPr>
        <w:t> </w:t>
      </w:r>
      <w:r>
        <w:rPr>
          <w:sz w:val="24"/>
        </w:rPr>
        <w:t>faith and to take necessary steps to give effect to those treaties under</w:t>
      </w:r>
      <w:r>
        <w:rPr>
          <w:spacing w:val="1"/>
          <w:sz w:val="24"/>
        </w:rPr>
        <w:t> </w:t>
      </w:r>
      <w:r>
        <w:rPr>
          <w:sz w:val="24"/>
        </w:rPr>
        <w:t>domestic</w:t>
      </w:r>
      <w:r>
        <w:rPr>
          <w:spacing w:val="1"/>
          <w:sz w:val="24"/>
        </w:rPr>
        <w:t> </w:t>
      </w:r>
      <w:r>
        <w:rPr>
          <w:sz w:val="24"/>
        </w:rPr>
        <w:t>law.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99" w:after="0"/>
        <w:ind w:left="1686" w:right="481" w:hanging="567"/>
        <w:jc w:val="left"/>
        <w:rPr>
          <w:sz w:val="24"/>
        </w:rPr>
      </w:pPr>
      <w:r>
        <w:rPr>
          <w:sz w:val="24"/>
        </w:rPr>
        <w:t>The rights to freedom of expression and freedom of opinion have been</w:t>
      </w:r>
      <w:r>
        <w:rPr>
          <w:spacing w:val="-60"/>
          <w:sz w:val="24"/>
        </w:rPr>
        <w:t> </w:t>
      </w:r>
      <w:r>
        <w:rPr>
          <w:sz w:val="24"/>
        </w:rPr>
        <w:t>described by the United Nations Human Rights Committee (UN HR</w:t>
      </w:r>
      <w:r>
        <w:rPr>
          <w:spacing w:val="1"/>
          <w:sz w:val="24"/>
        </w:rPr>
        <w:t> </w:t>
      </w:r>
      <w:r>
        <w:rPr>
          <w:sz w:val="24"/>
        </w:rPr>
        <w:t>Committee), the body of independent experts that monitors</w:t>
      </w:r>
      <w:r>
        <w:rPr>
          <w:spacing w:val="1"/>
          <w:sz w:val="24"/>
        </w:rPr>
        <w:t> </w:t>
      </w:r>
      <w:r>
        <w:rPr>
          <w:sz w:val="24"/>
        </w:rPr>
        <w:t>implementation of the ICCPR, as ‘indispensable conditions for the full</w:t>
      </w:r>
      <w:r>
        <w:rPr>
          <w:spacing w:val="1"/>
          <w:sz w:val="24"/>
        </w:rPr>
        <w:t> </w:t>
      </w:r>
      <w:r>
        <w:rPr>
          <w:sz w:val="24"/>
        </w:rPr>
        <w:t>development of the person’, ‘essential for any society’ and a ‘foundation</w:t>
      </w:r>
      <w:r>
        <w:rPr>
          <w:spacing w:val="-61"/>
          <w:sz w:val="24"/>
        </w:rPr>
        <w:t> </w:t>
      </w:r>
      <w:r>
        <w:rPr>
          <w:sz w:val="24"/>
        </w:rPr>
        <w:t>stone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every</w:t>
      </w:r>
      <w:r>
        <w:rPr>
          <w:spacing w:val="-1"/>
          <w:sz w:val="24"/>
        </w:rPr>
        <w:t> </w:t>
      </w:r>
      <w:r>
        <w:rPr>
          <w:sz w:val="24"/>
        </w:rPr>
        <w:t>free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democratic</w:t>
      </w:r>
      <w:r>
        <w:rPr>
          <w:spacing w:val="1"/>
          <w:sz w:val="24"/>
        </w:rPr>
        <w:t> </w:t>
      </w:r>
      <w:r>
        <w:rPr>
          <w:sz w:val="24"/>
        </w:rPr>
        <w:t>society’.</w:t>
      </w:r>
      <w:r>
        <w:rPr>
          <w:position w:val="8"/>
          <w:sz w:val="13"/>
        </w:rPr>
        <w:t>9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99" w:after="0"/>
        <w:ind w:left="1686" w:right="262" w:hanging="567"/>
        <w:jc w:val="left"/>
        <w:rPr>
          <w:sz w:val="24"/>
        </w:rPr>
      </w:pPr>
      <w:r>
        <w:rPr>
          <w:sz w:val="24"/>
        </w:rPr>
        <w:t>The increasing use of digital technology for surveillance and related</w:t>
      </w:r>
      <w:r>
        <w:rPr>
          <w:spacing w:val="1"/>
          <w:sz w:val="24"/>
        </w:rPr>
        <w:t> </w:t>
      </w:r>
      <w:r>
        <w:rPr>
          <w:sz w:val="24"/>
        </w:rPr>
        <w:t>purposes, by police and other law enforcement bodies, poses new</w:t>
      </w:r>
      <w:r>
        <w:rPr>
          <w:spacing w:val="1"/>
          <w:sz w:val="24"/>
        </w:rPr>
        <w:t> </w:t>
      </w:r>
      <w:r>
        <w:rPr>
          <w:sz w:val="24"/>
        </w:rPr>
        <w:t>challenges to the protection of human rights, such as the rights to privacy</w:t>
      </w:r>
      <w:r>
        <w:rPr>
          <w:spacing w:val="-60"/>
          <w:sz w:val="24"/>
        </w:rPr>
        <w:t> </w:t>
      </w:r>
      <w:r>
        <w:rPr>
          <w:sz w:val="24"/>
        </w:rPr>
        <w:t>and freedom of expression. The TOLA Act helps facilitate digital</w:t>
      </w:r>
      <w:r>
        <w:rPr>
          <w:spacing w:val="1"/>
          <w:sz w:val="24"/>
        </w:rPr>
        <w:t> </w:t>
      </w:r>
      <w:r>
        <w:rPr>
          <w:sz w:val="24"/>
        </w:rPr>
        <w:t>surveillance and interception of communications by certain government</w:t>
      </w:r>
      <w:r>
        <w:rPr>
          <w:spacing w:val="1"/>
          <w:sz w:val="24"/>
        </w:rPr>
        <w:t> </w:t>
      </w:r>
      <w:r>
        <w:rPr>
          <w:sz w:val="24"/>
        </w:rPr>
        <w:t>agencies. In particular, through supporting the decryption of digital</w:t>
      </w:r>
      <w:r>
        <w:rPr>
          <w:spacing w:val="1"/>
          <w:sz w:val="24"/>
        </w:rPr>
        <w:t> </w:t>
      </w:r>
      <w:r>
        <w:rPr>
          <w:sz w:val="24"/>
        </w:rPr>
        <w:t>communications, certain agencies are now able to understand and read</w:t>
      </w:r>
      <w:r>
        <w:rPr>
          <w:spacing w:val="1"/>
          <w:sz w:val="24"/>
        </w:rPr>
        <w:t> </w:t>
      </w:r>
      <w:r>
        <w:rPr>
          <w:sz w:val="24"/>
        </w:rPr>
        <w:t>information in a digital format collected through surveillance or</w:t>
      </w:r>
      <w:r>
        <w:rPr>
          <w:spacing w:val="1"/>
          <w:sz w:val="24"/>
        </w:rPr>
        <w:t> </w:t>
      </w:r>
      <w:r>
        <w:rPr>
          <w:sz w:val="24"/>
        </w:rPr>
        <w:t>interception, in circumstances where this information otherwise would</w:t>
      </w:r>
      <w:r>
        <w:rPr>
          <w:spacing w:val="1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been</w:t>
      </w:r>
      <w:r>
        <w:rPr>
          <w:spacing w:val="1"/>
          <w:sz w:val="24"/>
        </w:rPr>
        <w:t> </w:t>
      </w:r>
      <w:r>
        <w:rPr>
          <w:sz w:val="24"/>
        </w:rPr>
        <w:t>likely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remain</w:t>
      </w:r>
      <w:r>
        <w:rPr>
          <w:spacing w:val="1"/>
          <w:sz w:val="24"/>
        </w:rPr>
        <w:t> </w:t>
      </w:r>
      <w:r>
        <w:rPr>
          <w:sz w:val="24"/>
        </w:rPr>
        <w:t>private.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2" w:after="0"/>
        <w:ind w:left="1686" w:right="617" w:hanging="567"/>
        <w:jc w:val="left"/>
        <w:rPr>
          <w:sz w:val="24"/>
        </w:rPr>
      </w:pPr>
      <w:r>
        <w:rPr>
          <w:sz w:val="24"/>
        </w:rPr>
        <w:t>In Resolution 68/167 adopted in 2013, the United Nations General</w:t>
      </w:r>
      <w:r>
        <w:rPr>
          <w:spacing w:val="1"/>
          <w:sz w:val="24"/>
        </w:rPr>
        <w:t> </w:t>
      </w:r>
      <w:r>
        <w:rPr>
          <w:sz w:val="24"/>
        </w:rPr>
        <w:t>Assembly (UNGA) expressed deep concern at the negative impact that</w:t>
      </w:r>
      <w:r>
        <w:rPr>
          <w:spacing w:val="-60"/>
          <w:sz w:val="24"/>
        </w:rPr>
        <w:t> </w:t>
      </w:r>
      <w:r>
        <w:rPr>
          <w:sz w:val="24"/>
        </w:rPr>
        <w:t>government surveillance and the interception of communications may</w:t>
      </w:r>
      <w:r>
        <w:rPr>
          <w:spacing w:val="-60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on the</w:t>
      </w:r>
      <w:r>
        <w:rPr>
          <w:spacing w:val="-2"/>
          <w:sz w:val="24"/>
        </w:rPr>
        <w:t> </w:t>
      </w:r>
      <w:r>
        <w:rPr>
          <w:sz w:val="24"/>
        </w:rPr>
        <w:t>exercise</w:t>
      </w:r>
      <w:r>
        <w:rPr>
          <w:spacing w:val="-1"/>
          <w:sz w:val="24"/>
        </w:rPr>
        <w:t> </w:t>
      </w:r>
      <w:r>
        <w:rPr>
          <w:sz w:val="24"/>
        </w:rPr>
        <w:t>and enjoyment of</w:t>
      </w:r>
      <w:r>
        <w:rPr>
          <w:spacing w:val="-6"/>
          <w:sz w:val="24"/>
        </w:rPr>
        <w:t> </w:t>
      </w:r>
      <w:r>
        <w:rPr>
          <w:sz w:val="24"/>
        </w:rPr>
        <w:t>human</w:t>
      </w:r>
      <w:r>
        <w:rPr>
          <w:spacing w:val="1"/>
          <w:sz w:val="24"/>
        </w:rPr>
        <w:t> </w:t>
      </w:r>
      <w:r>
        <w:rPr>
          <w:sz w:val="24"/>
        </w:rPr>
        <w:t>rights.</w:t>
      </w:r>
      <w:r>
        <w:rPr>
          <w:position w:val="8"/>
          <w:sz w:val="13"/>
        </w:rPr>
        <w:t>10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0" w:after="0"/>
        <w:ind w:left="1686" w:right="202" w:hanging="567"/>
        <w:jc w:val="left"/>
        <w:rPr>
          <w:sz w:val="24"/>
        </w:rPr>
      </w:pPr>
      <w:r>
        <w:rPr>
          <w:sz w:val="24"/>
        </w:rPr>
        <w:t>The UNGA called on all States to respect and protect the right to privacy in</w:t>
      </w:r>
      <w:r>
        <w:rPr>
          <w:spacing w:val="-60"/>
          <w:sz w:val="24"/>
        </w:rPr>
        <w:t> </w:t>
      </w:r>
      <w:r>
        <w:rPr>
          <w:sz w:val="24"/>
        </w:rPr>
        <w:t>digital communication and affirmed that human rights must be protected</w:t>
      </w:r>
      <w:r>
        <w:rPr>
          <w:spacing w:val="1"/>
          <w:sz w:val="24"/>
        </w:rPr>
        <w:t> </w:t>
      </w:r>
      <w:r>
        <w:rPr>
          <w:sz w:val="24"/>
        </w:rPr>
        <w:t>online.</w:t>
      </w:r>
      <w:r>
        <w:rPr>
          <w:position w:val="8"/>
          <w:sz w:val="13"/>
        </w:rPr>
        <w:t>11 </w:t>
      </w:r>
      <w:r>
        <w:rPr>
          <w:sz w:val="24"/>
        </w:rPr>
        <w:t>It called on all States to review their procedures, practices and</w:t>
      </w:r>
      <w:r>
        <w:rPr>
          <w:spacing w:val="1"/>
          <w:sz w:val="24"/>
        </w:rPr>
        <w:t> </w:t>
      </w:r>
      <w:r>
        <w:rPr>
          <w:sz w:val="24"/>
        </w:rPr>
        <w:t>legislation related to communications surveillance, interception and</w:t>
      </w:r>
      <w:r>
        <w:rPr>
          <w:spacing w:val="1"/>
          <w:sz w:val="24"/>
        </w:rPr>
        <w:t> </w:t>
      </w:r>
      <w:r>
        <w:rPr>
          <w:sz w:val="24"/>
        </w:rPr>
        <w:t>collection of personal data, and emphasised the need to fulfil their</w:t>
      </w:r>
      <w:r>
        <w:rPr>
          <w:spacing w:val="1"/>
          <w:sz w:val="24"/>
        </w:rPr>
        <w:t> </w:t>
      </w:r>
      <w:r>
        <w:rPr>
          <w:sz w:val="24"/>
        </w:rPr>
        <w:t>obligations</w:t>
      </w:r>
      <w:r>
        <w:rPr>
          <w:spacing w:val="-1"/>
          <w:sz w:val="24"/>
        </w:rPr>
        <w:t> </w:t>
      </w:r>
      <w:r>
        <w:rPr>
          <w:sz w:val="24"/>
        </w:rPr>
        <w:t>under</w:t>
      </w:r>
      <w:r>
        <w:rPr>
          <w:spacing w:val="-3"/>
          <w:sz w:val="24"/>
        </w:rPr>
        <w:t> </w:t>
      </w:r>
      <w:r>
        <w:rPr>
          <w:sz w:val="24"/>
        </w:rPr>
        <w:t>international human rights law.</w:t>
      </w:r>
      <w:r>
        <w:rPr>
          <w:position w:val="8"/>
          <w:sz w:val="13"/>
        </w:rPr>
        <w:t>12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1146" w:footer="333" w:top="1680" w:bottom="520" w:left="44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01" w:after="0"/>
        <w:ind w:left="1686" w:right="408" w:hanging="567"/>
        <w:jc w:val="left"/>
        <w:rPr>
          <w:sz w:val="24"/>
        </w:rPr>
      </w:pPr>
      <w:r>
        <w:rPr>
          <w:sz w:val="24"/>
        </w:rPr>
        <w:t>The UN Office of the High Commissioner for Human Rights (OHCHR) has</w:t>
      </w:r>
      <w:r>
        <w:rPr>
          <w:spacing w:val="-60"/>
          <w:sz w:val="24"/>
        </w:rPr>
        <w:t> </w:t>
      </w:r>
      <w:r>
        <w:rPr>
          <w:sz w:val="24"/>
        </w:rPr>
        <w:t>stated that electronic surveillance, of both content and metadata, is</w:t>
      </w:r>
      <w:r>
        <w:rPr>
          <w:spacing w:val="1"/>
          <w:sz w:val="24"/>
        </w:rPr>
        <w:t> </w:t>
      </w:r>
      <w:r>
        <w:rPr>
          <w:sz w:val="24"/>
        </w:rPr>
        <w:t>potentially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interference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privacy</w:t>
      </w:r>
      <w:r>
        <w:rPr>
          <w:spacing w:val="-2"/>
          <w:sz w:val="24"/>
        </w:rPr>
        <w:t> </w:t>
      </w:r>
      <w:r>
        <w:rPr>
          <w:sz w:val="24"/>
        </w:rPr>
        <w:t>and,</w:t>
      </w:r>
      <w:r>
        <w:rPr>
          <w:spacing w:val="-6"/>
          <w:sz w:val="24"/>
        </w:rPr>
        <w:t> </w:t>
      </w:r>
      <w:r>
        <w:rPr>
          <w:sz w:val="24"/>
        </w:rPr>
        <w:t>further:</w:t>
      </w:r>
    </w:p>
    <w:p>
      <w:pPr>
        <w:spacing w:line="240" w:lineRule="auto" w:before="202"/>
        <w:ind w:left="2416" w:right="395" w:firstLine="0"/>
        <w:jc w:val="left"/>
        <w:rPr>
          <w:sz w:val="22"/>
        </w:rPr>
      </w:pPr>
      <w:r>
        <w:rPr>
          <w:sz w:val="22"/>
        </w:rPr>
        <w:t>[T]he collection and retention of communications data amounts to an</w:t>
      </w:r>
      <w:r>
        <w:rPr>
          <w:spacing w:val="1"/>
          <w:sz w:val="22"/>
        </w:rPr>
        <w:t> </w:t>
      </w:r>
      <w:r>
        <w:rPr>
          <w:sz w:val="22"/>
        </w:rPr>
        <w:t>interference with privacy whether or not those data are subsequently</w:t>
      </w:r>
      <w:r>
        <w:rPr>
          <w:spacing w:val="1"/>
          <w:sz w:val="22"/>
        </w:rPr>
        <w:t> </w:t>
      </w:r>
      <w:r>
        <w:rPr>
          <w:sz w:val="22"/>
        </w:rPr>
        <w:t>consulted or used. Even the mere possibility of communications</w:t>
      </w:r>
      <w:r>
        <w:rPr>
          <w:spacing w:val="1"/>
          <w:sz w:val="22"/>
        </w:rPr>
        <w:t> </w:t>
      </w:r>
      <w:r>
        <w:rPr>
          <w:sz w:val="22"/>
        </w:rPr>
        <w:t>information being captured creates an interference with privacy, with a</w:t>
      </w:r>
      <w:r>
        <w:rPr>
          <w:spacing w:val="1"/>
          <w:sz w:val="22"/>
        </w:rPr>
        <w:t> </w:t>
      </w:r>
      <w:r>
        <w:rPr>
          <w:sz w:val="22"/>
        </w:rPr>
        <w:t>potential chilling effect on rights, including those to free expression and</w:t>
      </w:r>
      <w:r>
        <w:rPr>
          <w:spacing w:val="-55"/>
          <w:sz w:val="22"/>
        </w:rPr>
        <w:t> </w:t>
      </w:r>
      <w:r>
        <w:rPr>
          <w:sz w:val="22"/>
        </w:rPr>
        <w:t>association.</w:t>
      </w:r>
      <w:r>
        <w:rPr>
          <w:sz w:val="22"/>
          <w:vertAlign w:val="superscript"/>
        </w:rPr>
        <w:t>13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97" w:after="0"/>
        <w:ind w:left="1686" w:right="219" w:hanging="567"/>
        <w:jc w:val="left"/>
        <w:rPr>
          <w:sz w:val="24"/>
        </w:rPr>
      </w:pPr>
      <w:r>
        <w:rPr>
          <w:sz w:val="24"/>
        </w:rPr>
        <w:t>The ‘chilling effect’ of government surveillance on civil liberties has been</w:t>
      </w:r>
      <w:r>
        <w:rPr>
          <w:spacing w:val="1"/>
          <w:sz w:val="24"/>
        </w:rPr>
        <w:t> </w:t>
      </w:r>
      <w:r>
        <w:rPr>
          <w:sz w:val="24"/>
        </w:rPr>
        <w:t>described as the self-adjustment of behaviour by members of the</w:t>
      </w:r>
      <w:r>
        <w:rPr>
          <w:spacing w:val="1"/>
          <w:sz w:val="24"/>
        </w:rPr>
        <w:t> </w:t>
      </w:r>
      <w:r>
        <w:rPr>
          <w:sz w:val="24"/>
        </w:rPr>
        <w:t>community, even if their proposed actions would not have been wrongful,</w:t>
      </w:r>
      <w:r>
        <w:rPr>
          <w:spacing w:val="-60"/>
          <w:sz w:val="24"/>
        </w:rPr>
        <w:t> </w:t>
      </w:r>
      <w:r>
        <w:rPr>
          <w:sz w:val="24"/>
        </w:rPr>
        <w:t>in the knowledge that one’s interactions and communications may be</w:t>
      </w:r>
      <w:r>
        <w:rPr>
          <w:spacing w:val="1"/>
          <w:sz w:val="24"/>
        </w:rPr>
        <w:t> </w:t>
      </w:r>
      <w:r>
        <w:rPr>
          <w:sz w:val="24"/>
        </w:rPr>
        <w:t>recorded and</w:t>
      </w:r>
      <w:r>
        <w:rPr>
          <w:spacing w:val="1"/>
          <w:sz w:val="24"/>
        </w:rPr>
        <w:t> </w:t>
      </w:r>
      <w:r>
        <w:rPr>
          <w:sz w:val="24"/>
        </w:rPr>
        <w:t>judged by</w:t>
      </w:r>
      <w:r>
        <w:rPr>
          <w:spacing w:val="-1"/>
          <w:sz w:val="24"/>
        </w:rPr>
        <w:t> </w:t>
      </w:r>
      <w:r>
        <w:rPr>
          <w:sz w:val="24"/>
        </w:rPr>
        <w:t>unknown others.</w:t>
      </w:r>
      <w:r>
        <w:rPr>
          <w:position w:val="8"/>
          <w:sz w:val="13"/>
        </w:rPr>
        <w:t>14</w:t>
      </w:r>
    </w:p>
    <w:p>
      <w:pPr>
        <w:pStyle w:val="BodyText"/>
        <w:spacing w:before="9"/>
        <w:ind w:left="0"/>
        <w:rPr>
          <w:sz w:val="26"/>
        </w:rPr>
      </w:pPr>
    </w:p>
    <w:p>
      <w:pPr>
        <w:pStyle w:val="Heading2"/>
        <w:numPr>
          <w:ilvl w:val="1"/>
          <w:numId w:val="5"/>
        </w:numPr>
        <w:tabs>
          <w:tab w:pos="1825" w:val="left" w:leader="none"/>
          <w:tab w:pos="1826" w:val="left" w:leader="none"/>
        </w:tabs>
        <w:spacing w:line="240" w:lineRule="auto" w:before="0" w:after="0"/>
        <w:ind w:left="1825" w:right="0" w:hanging="850"/>
        <w:jc w:val="left"/>
      </w:pPr>
      <w:bookmarkStart w:name="_TOC_250009" w:id="5"/>
      <w:r>
        <w:rPr/>
        <w:t>Right</w:t>
      </w:r>
      <w:r>
        <w:rPr>
          <w:spacing w:val="-7"/>
        </w:rPr>
        <w:t> </w:t>
      </w:r>
      <w:bookmarkEnd w:id="5"/>
      <w:r>
        <w:rPr/>
        <w:t>to privacy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99" w:after="0"/>
        <w:ind w:left="1686" w:right="0" w:hanging="567"/>
        <w:jc w:val="left"/>
        <w:rPr>
          <w:sz w:val="24"/>
        </w:rPr>
      </w:pPr>
      <w:r>
        <w:rPr>
          <w:sz w:val="24"/>
        </w:rPr>
        <w:t>Article</w:t>
      </w:r>
      <w:r>
        <w:rPr>
          <w:spacing w:val="-6"/>
          <w:sz w:val="24"/>
        </w:rPr>
        <w:t> </w:t>
      </w:r>
      <w:r>
        <w:rPr>
          <w:sz w:val="24"/>
        </w:rPr>
        <w:t>17</w:t>
      </w:r>
      <w:r>
        <w:rPr>
          <w:spacing w:val="1"/>
          <w:sz w:val="24"/>
        </w:rPr>
        <w:t> </w:t>
      </w:r>
      <w:r>
        <w:rPr>
          <w:sz w:val="24"/>
        </w:rPr>
        <w:t>of the</w:t>
      </w:r>
      <w:r>
        <w:rPr>
          <w:spacing w:val="-2"/>
          <w:sz w:val="24"/>
        </w:rPr>
        <w:t> </w:t>
      </w:r>
      <w:r>
        <w:rPr>
          <w:sz w:val="24"/>
        </w:rPr>
        <w:t>ICCPR protects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right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privacy.</w:t>
      </w:r>
      <w:r>
        <w:rPr>
          <w:spacing w:val="-2"/>
          <w:sz w:val="24"/>
        </w:rPr>
        <w:t> </w:t>
      </w:r>
      <w:r>
        <w:rPr>
          <w:sz w:val="24"/>
        </w:rPr>
        <w:t>It provides:</w:t>
      </w:r>
    </w:p>
    <w:p>
      <w:pPr>
        <w:pStyle w:val="ListParagraph"/>
        <w:numPr>
          <w:ilvl w:val="0"/>
          <w:numId w:val="6"/>
        </w:numPr>
        <w:tabs>
          <w:tab w:pos="2186" w:val="left" w:leader="none"/>
        </w:tabs>
        <w:spacing w:line="240" w:lineRule="auto" w:before="199" w:after="0"/>
        <w:ind w:left="2185" w:right="657" w:hanging="360"/>
        <w:jc w:val="both"/>
        <w:rPr>
          <w:sz w:val="22"/>
        </w:rPr>
      </w:pPr>
      <w:r>
        <w:rPr>
          <w:sz w:val="22"/>
        </w:rPr>
        <w:t>No one shall be subjected to arbitrary or unlawful interference with his</w:t>
      </w:r>
      <w:r>
        <w:rPr>
          <w:spacing w:val="1"/>
          <w:sz w:val="22"/>
        </w:rPr>
        <w:t> </w:t>
      </w:r>
      <w:r>
        <w:rPr>
          <w:sz w:val="22"/>
        </w:rPr>
        <w:t>privacy, family, home or correspondence, nor to unlawful attacks on his</w:t>
      </w:r>
      <w:r>
        <w:rPr>
          <w:spacing w:val="-56"/>
          <w:sz w:val="22"/>
        </w:rPr>
        <w:t> </w:t>
      </w:r>
      <w:r>
        <w:rPr>
          <w:sz w:val="22"/>
        </w:rPr>
        <w:t>honour and</w:t>
      </w:r>
      <w:r>
        <w:rPr>
          <w:spacing w:val="-1"/>
          <w:sz w:val="22"/>
        </w:rPr>
        <w:t> </w:t>
      </w:r>
      <w:r>
        <w:rPr>
          <w:sz w:val="22"/>
        </w:rPr>
        <w:t>reputation.</w:t>
      </w:r>
    </w:p>
    <w:p>
      <w:pPr>
        <w:pStyle w:val="ListParagraph"/>
        <w:numPr>
          <w:ilvl w:val="0"/>
          <w:numId w:val="6"/>
        </w:numPr>
        <w:tabs>
          <w:tab w:pos="2186" w:val="left" w:leader="none"/>
        </w:tabs>
        <w:spacing w:line="240" w:lineRule="auto" w:before="3" w:after="0"/>
        <w:ind w:left="2185" w:right="182" w:hanging="360"/>
        <w:jc w:val="both"/>
        <w:rPr>
          <w:sz w:val="22"/>
        </w:rPr>
      </w:pPr>
      <w:r>
        <w:rPr>
          <w:sz w:val="22"/>
        </w:rPr>
        <w:t>Everyone has the right to the protection of the law against such interference</w:t>
      </w:r>
      <w:r>
        <w:rPr>
          <w:spacing w:val="-55"/>
          <w:sz w:val="22"/>
        </w:rPr>
        <w:t> </w:t>
      </w:r>
      <w:r>
        <w:rPr>
          <w:sz w:val="22"/>
        </w:rPr>
        <w:t>or attacks.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96" w:after="0"/>
        <w:ind w:left="1686" w:right="565" w:hanging="567"/>
        <w:jc w:val="left"/>
        <w:rPr>
          <w:sz w:val="24"/>
        </w:rPr>
      </w:pPr>
      <w:r>
        <w:rPr>
          <w:sz w:val="24"/>
        </w:rPr>
        <w:t>The right to privacy protects communications made in private. It is also</w:t>
      </w:r>
      <w:r>
        <w:rPr>
          <w:spacing w:val="-60"/>
          <w:sz w:val="24"/>
        </w:rPr>
        <w:t> </w:t>
      </w:r>
      <w:r>
        <w:rPr>
          <w:sz w:val="24"/>
        </w:rPr>
        <w:t>applicable to the collection and use of personal information by</w:t>
      </w:r>
      <w:r>
        <w:rPr>
          <w:spacing w:val="1"/>
          <w:sz w:val="24"/>
        </w:rPr>
        <w:t> </w:t>
      </w:r>
      <w:r>
        <w:rPr>
          <w:sz w:val="24"/>
        </w:rPr>
        <w:t>government.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0" w:after="0"/>
        <w:ind w:left="1686" w:right="179" w:hanging="567"/>
        <w:jc w:val="left"/>
        <w:rPr>
          <w:sz w:val="24"/>
        </w:rPr>
      </w:pPr>
      <w:r>
        <w:rPr>
          <w:sz w:val="24"/>
        </w:rPr>
        <w:t>The right to privacy is especially important in the context of the TOLA Act,</w:t>
      </w:r>
      <w:r>
        <w:rPr>
          <w:spacing w:val="1"/>
          <w:sz w:val="24"/>
        </w:rPr>
        <w:t> </w:t>
      </w:r>
      <w:r>
        <w:rPr>
          <w:sz w:val="24"/>
        </w:rPr>
        <w:t>given the narrow conception of privacy in Australian law and limited</w:t>
      </w:r>
      <w:r>
        <w:rPr>
          <w:spacing w:val="1"/>
          <w:sz w:val="24"/>
        </w:rPr>
        <w:t> </w:t>
      </w:r>
      <w:r>
        <w:rPr>
          <w:sz w:val="24"/>
        </w:rPr>
        <w:t>protection against invasion of privacy in our common law. Further, some</w:t>
      </w:r>
      <w:r>
        <w:rPr>
          <w:spacing w:val="1"/>
          <w:sz w:val="24"/>
        </w:rPr>
        <w:t> </w:t>
      </w:r>
      <w:r>
        <w:rPr>
          <w:sz w:val="24"/>
        </w:rPr>
        <w:t>intelligence agencies, including the Australian Security Intelligence</w:t>
      </w:r>
      <w:r>
        <w:rPr>
          <w:spacing w:val="1"/>
          <w:sz w:val="24"/>
        </w:rPr>
        <w:t> </w:t>
      </w:r>
      <w:r>
        <w:rPr>
          <w:sz w:val="24"/>
        </w:rPr>
        <w:t>Organisation (ASIO), are exempt from the operation of the </w:t>
      </w:r>
      <w:r>
        <w:rPr>
          <w:i/>
          <w:sz w:val="24"/>
        </w:rPr>
        <w:t>Privacy Act 1988</w:t>
      </w:r>
      <w:r>
        <w:rPr>
          <w:i/>
          <w:spacing w:val="-60"/>
          <w:sz w:val="24"/>
        </w:rPr>
        <w:t> </w:t>
      </w:r>
      <w:r>
        <w:rPr>
          <w:sz w:val="24"/>
        </w:rPr>
        <w:t>(Cth).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99" w:after="0"/>
        <w:ind w:left="1686" w:right="124" w:hanging="567"/>
        <w:jc w:val="left"/>
        <w:rPr>
          <w:sz w:val="24"/>
        </w:rPr>
      </w:pPr>
      <w:r>
        <w:rPr>
          <w:sz w:val="24"/>
        </w:rPr>
        <w:t>Under human rights law, any interference with the right to privacy must be</w:t>
      </w:r>
      <w:r>
        <w:rPr>
          <w:spacing w:val="-60"/>
          <w:sz w:val="24"/>
        </w:rPr>
        <w:t> </w:t>
      </w:r>
      <w:r>
        <w:rPr>
          <w:sz w:val="24"/>
        </w:rPr>
        <w:t>lawful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non-arbitrary.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1" w:after="0"/>
        <w:ind w:left="1686" w:right="115" w:hanging="567"/>
        <w:jc w:val="left"/>
        <w:rPr>
          <w:sz w:val="24"/>
        </w:rPr>
      </w:pPr>
      <w:r>
        <w:rPr>
          <w:sz w:val="24"/>
        </w:rPr>
        <w:t>‘Lawful’ means</w:t>
      </w:r>
      <w:r>
        <w:rPr>
          <w:spacing w:val="-1"/>
          <w:sz w:val="24"/>
        </w:rPr>
        <w:t> </w:t>
      </w:r>
      <w:r>
        <w:rPr>
          <w:sz w:val="24"/>
        </w:rPr>
        <w:t>that limitations</w:t>
      </w:r>
      <w:r>
        <w:rPr>
          <w:spacing w:val="3"/>
          <w:sz w:val="24"/>
        </w:rPr>
        <w:t> </w:t>
      </w:r>
      <w:r>
        <w:rPr>
          <w:sz w:val="24"/>
        </w:rPr>
        <w:t>must</w:t>
      </w:r>
      <w:r>
        <w:rPr>
          <w:spacing w:val="5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provided</w:t>
      </w:r>
      <w:r>
        <w:rPr>
          <w:spacing w:val="5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3"/>
          <w:sz w:val="24"/>
        </w:rPr>
        <w:t> </w:t>
      </w:r>
      <w:r>
        <w:rPr>
          <w:sz w:val="24"/>
        </w:rPr>
        <w:t>law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4"/>
          <w:sz w:val="24"/>
        </w:rPr>
        <w:t> </w:t>
      </w:r>
      <w:r>
        <w:rPr>
          <w:sz w:val="24"/>
        </w:rPr>
        <w:t>a precise</w:t>
      </w:r>
      <w:r>
        <w:rPr>
          <w:spacing w:val="1"/>
          <w:sz w:val="24"/>
        </w:rPr>
        <w:t> </w:t>
      </w:r>
      <w:r>
        <w:rPr>
          <w:sz w:val="24"/>
        </w:rPr>
        <w:t>and clear manner to allow individuals to regulate their conduct. The UN HR</w:t>
      </w:r>
      <w:r>
        <w:rPr>
          <w:spacing w:val="-61"/>
          <w:sz w:val="24"/>
        </w:rPr>
        <w:t> </w:t>
      </w:r>
      <w:r>
        <w:rPr>
          <w:sz w:val="24"/>
        </w:rPr>
        <w:t>Committee</w:t>
      </w:r>
      <w:r>
        <w:rPr>
          <w:spacing w:val="-7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explained the</w:t>
      </w:r>
      <w:r>
        <w:rPr>
          <w:spacing w:val="-2"/>
          <w:sz w:val="24"/>
        </w:rPr>
        <w:t> </w:t>
      </w:r>
      <w:r>
        <w:rPr>
          <w:sz w:val="24"/>
        </w:rPr>
        <w:t>requirements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lawfulness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follows: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1146" w:footer="333" w:top="1680" w:bottom="520" w:left="44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7"/>
        </w:rPr>
      </w:pPr>
    </w:p>
    <w:p>
      <w:pPr>
        <w:spacing w:line="240" w:lineRule="auto" w:before="101"/>
        <w:ind w:left="2416" w:right="542" w:firstLine="0"/>
        <w:jc w:val="left"/>
        <w:rPr>
          <w:sz w:val="22"/>
        </w:rPr>
      </w:pPr>
      <w:r>
        <w:rPr>
          <w:sz w:val="22"/>
        </w:rPr>
        <w:t>Relevant legislation must specify in detail the precise circumstances in</w:t>
      </w:r>
      <w:r>
        <w:rPr>
          <w:spacing w:val="-55"/>
          <w:sz w:val="22"/>
        </w:rPr>
        <w:t> </w:t>
      </w:r>
      <w:r>
        <w:rPr>
          <w:sz w:val="22"/>
        </w:rPr>
        <w:t>which such interferences may be permitted. A decision to make use of</w:t>
      </w:r>
      <w:r>
        <w:rPr>
          <w:spacing w:val="-55"/>
          <w:sz w:val="22"/>
        </w:rPr>
        <w:t> </w:t>
      </w:r>
      <w:r>
        <w:rPr>
          <w:sz w:val="22"/>
        </w:rPr>
        <w:t>such authorised interference must be made only by the authority</w:t>
      </w:r>
      <w:r>
        <w:rPr>
          <w:spacing w:val="1"/>
          <w:sz w:val="22"/>
        </w:rPr>
        <w:t> </w:t>
      </w:r>
      <w:r>
        <w:rPr>
          <w:sz w:val="22"/>
        </w:rPr>
        <w:t>designated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law,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case-by-case</w:t>
      </w:r>
      <w:r>
        <w:rPr>
          <w:spacing w:val="1"/>
          <w:sz w:val="22"/>
        </w:rPr>
        <w:t> </w:t>
      </w:r>
      <w:r>
        <w:rPr>
          <w:sz w:val="22"/>
        </w:rPr>
        <w:t>basis.</w:t>
      </w:r>
      <w:r>
        <w:rPr>
          <w:sz w:val="22"/>
          <w:vertAlign w:val="superscript"/>
        </w:rPr>
        <w:t>15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96" w:after="0"/>
        <w:ind w:left="1686" w:right="135" w:hanging="567"/>
        <w:jc w:val="left"/>
        <w:rPr>
          <w:sz w:val="24"/>
        </w:rPr>
      </w:pPr>
      <w:r>
        <w:rPr>
          <w:sz w:val="24"/>
        </w:rPr>
        <w:t>As stated by the OHCHR, ‘non-arbitrary’ means that any interference must</w:t>
      </w:r>
      <w:r>
        <w:rPr>
          <w:spacing w:val="1"/>
          <w:sz w:val="24"/>
        </w:rPr>
        <w:t> </w:t>
      </w:r>
      <w:r>
        <w:rPr>
          <w:sz w:val="24"/>
        </w:rPr>
        <w:t>be in accordance with the provisions, aims and objectives of the ICCPR and</w:t>
      </w:r>
      <w:r>
        <w:rPr>
          <w:spacing w:val="-61"/>
          <w:sz w:val="24"/>
        </w:rPr>
        <w:t> </w:t>
      </w:r>
      <w:r>
        <w:rPr>
          <w:sz w:val="24"/>
        </w:rPr>
        <w:t>should be reasonable—that is, proportionate and necessary to achieve a</w:t>
      </w:r>
      <w:r>
        <w:rPr>
          <w:spacing w:val="1"/>
          <w:sz w:val="24"/>
        </w:rPr>
        <w:t> </w:t>
      </w:r>
      <w:r>
        <w:rPr>
          <w:sz w:val="24"/>
        </w:rPr>
        <w:t>legitimate</w:t>
      </w:r>
      <w:r>
        <w:rPr>
          <w:spacing w:val="-2"/>
          <w:sz w:val="24"/>
        </w:rPr>
        <w:t> </w:t>
      </w:r>
      <w:r>
        <w:rPr>
          <w:sz w:val="24"/>
        </w:rPr>
        <w:t>objective—in the</w:t>
      </w:r>
      <w:r>
        <w:rPr>
          <w:spacing w:val="-2"/>
          <w:sz w:val="24"/>
        </w:rPr>
        <w:t> </w:t>
      </w:r>
      <w:r>
        <w:rPr>
          <w:sz w:val="24"/>
        </w:rPr>
        <w:t>particular</w:t>
      </w:r>
      <w:r>
        <w:rPr>
          <w:spacing w:val="-3"/>
          <w:sz w:val="24"/>
        </w:rPr>
        <w:t> </w:t>
      </w:r>
      <w:r>
        <w:rPr>
          <w:sz w:val="24"/>
        </w:rPr>
        <w:t>circumstances.</w:t>
      </w:r>
      <w:r>
        <w:rPr>
          <w:position w:val="8"/>
          <w:sz w:val="13"/>
        </w:rPr>
        <w:t>16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0" w:after="0"/>
        <w:ind w:left="1686" w:right="860" w:hanging="567"/>
        <w:jc w:val="left"/>
        <w:rPr>
          <w:sz w:val="24"/>
        </w:rPr>
      </w:pPr>
      <w:r>
        <w:rPr>
          <w:sz w:val="24"/>
        </w:rPr>
        <w:t>Further, for a limitation on the right to privacy to be compatible with</w:t>
      </w:r>
      <w:r>
        <w:rPr>
          <w:spacing w:val="-60"/>
          <w:sz w:val="24"/>
        </w:rPr>
        <w:t> </w:t>
      </w:r>
      <w:r>
        <w:rPr>
          <w:sz w:val="24"/>
        </w:rPr>
        <w:t>human rights:</w:t>
      </w:r>
    </w:p>
    <w:p>
      <w:pPr>
        <w:spacing w:line="242" w:lineRule="auto" w:before="203"/>
        <w:ind w:left="2416" w:right="265" w:firstLine="0"/>
        <w:jc w:val="left"/>
        <w:rPr>
          <w:sz w:val="22"/>
        </w:rPr>
      </w:pPr>
      <w:r>
        <w:rPr>
          <w:sz w:val="22"/>
        </w:rPr>
        <w:t>The limitation must be necessary for reaching a legitimate aim, as well as</w:t>
      </w:r>
      <w:r>
        <w:rPr>
          <w:spacing w:val="-56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proportion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aim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least</w:t>
      </w:r>
      <w:r>
        <w:rPr>
          <w:spacing w:val="-2"/>
          <w:sz w:val="22"/>
        </w:rPr>
        <w:t> </w:t>
      </w:r>
      <w:r>
        <w:rPr>
          <w:sz w:val="22"/>
        </w:rPr>
        <w:t>intrusive</w:t>
      </w:r>
      <w:r>
        <w:rPr>
          <w:spacing w:val="-5"/>
          <w:sz w:val="22"/>
        </w:rPr>
        <w:t> </w:t>
      </w:r>
      <w:r>
        <w:rPr>
          <w:sz w:val="22"/>
        </w:rPr>
        <w:t>option</w:t>
      </w:r>
      <w:r>
        <w:rPr>
          <w:spacing w:val="-1"/>
          <w:sz w:val="22"/>
        </w:rPr>
        <w:t> </w:t>
      </w:r>
      <w:r>
        <w:rPr>
          <w:sz w:val="22"/>
        </w:rPr>
        <w:t>available.</w:t>
      </w:r>
    </w:p>
    <w:p>
      <w:pPr>
        <w:spacing w:line="240" w:lineRule="auto" w:before="0"/>
        <w:ind w:left="2416" w:right="125" w:firstLine="0"/>
        <w:jc w:val="left"/>
        <w:rPr>
          <w:sz w:val="22"/>
        </w:rPr>
      </w:pPr>
      <w:r>
        <w:rPr>
          <w:sz w:val="22"/>
        </w:rPr>
        <w:t>Moreover, the limitation placed on the right (an interference with privacy,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2"/>
          <w:sz w:val="22"/>
        </w:rPr>
        <w:t> </w:t>
      </w:r>
      <w:r>
        <w:rPr>
          <w:sz w:val="22"/>
        </w:rPr>
        <w:t>example,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3"/>
          <w:sz w:val="22"/>
        </w:rPr>
        <w:t> </w:t>
      </w:r>
      <w:r>
        <w:rPr>
          <w:sz w:val="22"/>
        </w:rPr>
        <w:t>purposes</w:t>
      </w:r>
      <w:r>
        <w:rPr>
          <w:spacing w:val="2"/>
          <w:sz w:val="22"/>
        </w:rPr>
        <w:t> </w:t>
      </w:r>
      <w:r>
        <w:rPr>
          <w:sz w:val="22"/>
        </w:rPr>
        <w:t>of</w:t>
      </w:r>
      <w:r>
        <w:rPr>
          <w:spacing w:val="3"/>
          <w:sz w:val="22"/>
        </w:rPr>
        <w:t> </w:t>
      </w:r>
      <w:r>
        <w:rPr>
          <w:sz w:val="22"/>
        </w:rPr>
        <w:t>protecting</w:t>
      </w:r>
      <w:r>
        <w:rPr>
          <w:spacing w:val="1"/>
          <w:sz w:val="22"/>
        </w:rPr>
        <w:t> </w:t>
      </w:r>
      <w:r>
        <w:rPr>
          <w:sz w:val="22"/>
        </w:rPr>
        <w:t>national</w:t>
      </w:r>
      <w:r>
        <w:rPr>
          <w:spacing w:val="4"/>
          <w:sz w:val="22"/>
        </w:rPr>
        <w:t> </w:t>
      </w:r>
      <w:r>
        <w:rPr>
          <w:sz w:val="22"/>
        </w:rPr>
        <w:t>security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3"/>
          <w:sz w:val="22"/>
        </w:rPr>
        <w:t> </w:t>
      </w:r>
      <w:r>
        <w:rPr>
          <w:sz w:val="22"/>
        </w:rPr>
        <w:t>right</w:t>
      </w:r>
      <w:r>
        <w:rPr>
          <w:spacing w:val="1"/>
          <w:sz w:val="22"/>
        </w:rPr>
        <w:t> </w:t>
      </w:r>
      <w:r>
        <w:rPr>
          <w:sz w:val="22"/>
        </w:rPr>
        <w:t>to life of others) must be shown to have some chance of achieving that</w:t>
      </w:r>
      <w:r>
        <w:rPr>
          <w:spacing w:val="1"/>
          <w:sz w:val="22"/>
        </w:rPr>
        <w:t> </w:t>
      </w:r>
      <w:r>
        <w:rPr>
          <w:sz w:val="22"/>
        </w:rPr>
        <w:t>goal. The onus is on the authorities seeking to limit the right to show that</w:t>
      </w:r>
      <w:r>
        <w:rPr>
          <w:spacing w:val="1"/>
          <w:sz w:val="22"/>
        </w:rPr>
        <w:t> </w:t>
      </w:r>
      <w:r>
        <w:rPr>
          <w:sz w:val="22"/>
        </w:rPr>
        <w:t>the limitation is connected to a legitimate aim. Furthermore, any limitation</w:t>
      </w:r>
      <w:r>
        <w:rPr>
          <w:spacing w:val="-55"/>
          <w:sz w:val="22"/>
        </w:rPr>
        <w:t> </w:t>
      </w:r>
      <w:r>
        <w:rPr>
          <w:sz w:val="22"/>
        </w:rPr>
        <w:t>to the right to privacy must not render the essence of the right</w:t>
      </w:r>
      <w:r>
        <w:rPr>
          <w:spacing w:val="1"/>
          <w:sz w:val="22"/>
        </w:rPr>
        <w:t> </w:t>
      </w:r>
      <w:r>
        <w:rPr>
          <w:sz w:val="22"/>
        </w:rPr>
        <w:t>meaningless and must be consistent with other human rights, including</w:t>
      </w:r>
      <w:r>
        <w:rPr>
          <w:spacing w:val="1"/>
          <w:sz w:val="22"/>
        </w:rPr>
        <w:t> </w:t>
      </w:r>
      <w:r>
        <w:rPr>
          <w:sz w:val="22"/>
        </w:rPr>
        <w:t>the prohibition of discrimination. Where the limitation does not meet</w:t>
      </w:r>
      <w:r>
        <w:rPr>
          <w:spacing w:val="1"/>
          <w:sz w:val="22"/>
        </w:rPr>
        <w:t> </w:t>
      </w:r>
      <w:r>
        <w:rPr>
          <w:sz w:val="22"/>
        </w:rPr>
        <w:t>these criteria, the limitation would be unlawful and/or the interference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right</w:t>
      </w:r>
      <w:r>
        <w:rPr>
          <w:spacing w:val="-1"/>
          <w:sz w:val="22"/>
        </w:rPr>
        <w:t> </w:t>
      </w:r>
      <w:r>
        <w:rPr>
          <w:sz w:val="22"/>
        </w:rPr>
        <w:t>to privacy</w:t>
      </w:r>
      <w:r>
        <w:rPr>
          <w:spacing w:val="-1"/>
          <w:sz w:val="22"/>
        </w:rPr>
        <w:t> </w:t>
      </w:r>
      <w:r>
        <w:rPr>
          <w:sz w:val="22"/>
        </w:rPr>
        <w:t>would</w:t>
      </w:r>
      <w:r>
        <w:rPr>
          <w:spacing w:val="-1"/>
          <w:sz w:val="22"/>
        </w:rPr>
        <w:t> </w:t>
      </w:r>
      <w:r>
        <w:rPr>
          <w:sz w:val="22"/>
        </w:rPr>
        <w:t>be arbitrary.</w:t>
      </w:r>
      <w:r>
        <w:rPr>
          <w:sz w:val="22"/>
          <w:vertAlign w:val="superscript"/>
        </w:rPr>
        <w:t>17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93" w:after="0"/>
        <w:ind w:left="1686" w:right="738" w:hanging="567"/>
        <w:jc w:val="left"/>
        <w:rPr>
          <w:sz w:val="24"/>
        </w:rPr>
      </w:pPr>
      <w:r>
        <w:rPr>
          <w:sz w:val="24"/>
        </w:rPr>
        <w:t>The OHCHR has highlighted the fundamental importance, universal</w:t>
      </w:r>
      <w:r>
        <w:rPr>
          <w:spacing w:val="1"/>
          <w:sz w:val="24"/>
        </w:rPr>
        <w:t> </w:t>
      </w:r>
      <w:r>
        <w:rPr>
          <w:sz w:val="24"/>
        </w:rPr>
        <w:t>recognition and enduring relevance of the right to privacy, and the</w:t>
      </w:r>
      <w:r>
        <w:rPr>
          <w:spacing w:val="1"/>
          <w:sz w:val="24"/>
        </w:rPr>
        <w:t> </w:t>
      </w:r>
      <w:r>
        <w:rPr>
          <w:sz w:val="24"/>
        </w:rPr>
        <w:t>importance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ensuring</w:t>
      </w:r>
      <w:r>
        <w:rPr>
          <w:spacing w:val="-5"/>
          <w:sz w:val="24"/>
        </w:rPr>
        <w:t> </w:t>
      </w:r>
      <w:r>
        <w:rPr>
          <w:sz w:val="24"/>
        </w:rPr>
        <w:t>proper</w:t>
      </w:r>
      <w:r>
        <w:rPr>
          <w:spacing w:val="-6"/>
          <w:sz w:val="24"/>
        </w:rPr>
        <w:t> </w:t>
      </w:r>
      <w:r>
        <w:rPr>
          <w:sz w:val="24"/>
        </w:rPr>
        <w:t>safeguards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both</w:t>
      </w:r>
      <w:r>
        <w:rPr>
          <w:spacing w:val="-8"/>
          <w:sz w:val="24"/>
        </w:rPr>
        <w:t> </w:t>
      </w:r>
      <w:r>
        <w:rPr>
          <w:sz w:val="24"/>
        </w:rPr>
        <w:t>law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practice.</w:t>
      </w:r>
      <w:r>
        <w:rPr>
          <w:position w:val="8"/>
          <w:sz w:val="16"/>
        </w:rPr>
        <w:t>18</w:t>
      </w:r>
    </w:p>
    <w:p>
      <w:pPr>
        <w:pStyle w:val="BodyText"/>
        <w:spacing w:before="10"/>
        <w:ind w:left="0"/>
        <w:rPr>
          <w:sz w:val="26"/>
        </w:rPr>
      </w:pPr>
    </w:p>
    <w:p>
      <w:pPr>
        <w:pStyle w:val="Heading2"/>
        <w:numPr>
          <w:ilvl w:val="1"/>
          <w:numId w:val="5"/>
        </w:numPr>
        <w:tabs>
          <w:tab w:pos="1825" w:val="left" w:leader="none"/>
          <w:tab w:pos="1826" w:val="left" w:leader="none"/>
        </w:tabs>
        <w:spacing w:line="240" w:lineRule="auto" w:before="0" w:after="0"/>
        <w:ind w:left="1825" w:right="0" w:hanging="850"/>
        <w:jc w:val="left"/>
      </w:pPr>
      <w:bookmarkStart w:name="_TOC_250008" w:id="6"/>
      <w:r>
        <w:rPr/>
        <w:t>Right</w:t>
      </w:r>
      <w:r>
        <w:rPr>
          <w:spacing w:val="-5"/>
        </w:rPr>
        <w:t> </w:t>
      </w:r>
      <w:r>
        <w:rPr/>
        <w:t>to</w:t>
      </w:r>
      <w:r>
        <w:rPr>
          <w:spacing w:val="1"/>
        </w:rPr>
        <w:t> </w:t>
      </w:r>
      <w:r>
        <w:rPr/>
        <w:t>freedom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bookmarkEnd w:id="6"/>
      <w:r>
        <w:rPr/>
        <w:t>expression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99" w:after="0"/>
        <w:ind w:left="1686" w:right="0" w:hanging="567"/>
        <w:jc w:val="left"/>
        <w:rPr>
          <w:sz w:val="23"/>
        </w:rPr>
      </w:pPr>
      <w:r>
        <w:rPr>
          <w:sz w:val="24"/>
        </w:rPr>
        <w:t>Article</w:t>
      </w:r>
      <w:r>
        <w:rPr>
          <w:spacing w:val="-6"/>
          <w:sz w:val="24"/>
        </w:rPr>
        <w:t> </w:t>
      </w:r>
      <w:r>
        <w:rPr>
          <w:sz w:val="24"/>
        </w:rPr>
        <w:t>19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ICCPR</w:t>
      </w:r>
      <w:r>
        <w:rPr>
          <w:spacing w:val="-1"/>
          <w:sz w:val="24"/>
        </w:rPr>
        <w:t> </w:t>
      </w:r>
      <w:r>
        <w:rPr>
          <w:sz w:val="24"/>
        </w:rPr>
        <w:t>protects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right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freedom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expression:</w:t>
      </w:r>
    </w:p>
    <w:p>
      <w:pPr>
        <w:pStyle w:val="ListParagraph"/>
        <w:numPr>
          <w:ilvl w:val="0"/>
          <w:numId w:val="7"/>
        </w:numPr>
        <w:tabs>
          <w:tab w:pos="2186" w:val="left" w:leader="none"/>
        </w:tabs>
        <w:spacing w:line="240" w:lineRule="auto" w:before="199" w:after="0"/>
        <w:ind w:left="2185" w:right="0" w:hanging="361"/>
        <w:jc w:val="left"/>
        <w:rPr>
          <w:sz w:val="20"/>
        </w:rPr>
      </w:pPr>
      <w:r>
        <w:rPr>
          <w:sz w:val="22"/>
        </w:rPr>
        <w:t>Everyone</w:t>
      </w:r>
      <w:r>
        <w:rPr>
          <w:spacing w:val="-2"/>
          <w:sz w:val="22"/>
        </w:rPr>
        <w:t> </w:t>
      </w:r>
      <w:r>
        <w:rPr>
          <w:sz w:val="22"/>
        </w:rPr>
        <w:t>shall have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right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hold</w:t>
      </w:r>
      <w:r>
        <w:rPr>
          <w:spacing w:val="-9"/>
          <w:sz w:val="22"/>
        </w:rPr>
        <w:t> </w:t>
      </w:r>
      <w:r>
        <w:rPr>
          <w:sz w:val="22"/>
        </w:rPr>
        <w:t>opinions</w:t>
      </w:r>
      <w:r>
        <w:rPr>
          <w:spacing w:val="-7"/>
          <w:sz w:val="22"/>
        </w:rPr>
        <w:t> </w:t>
      </w:r>
      <w:r>
        <w:rPr>
          <w:sz w:val="22"/>
        </w:rPr>
        <w:t>without</w:t>
      </w:r>
      <w:r>
        <w:rPr>
          <w:spacing w:val="-3"/>
          <w:sz w:val="22"/>
        </w:rPr>
        <w:t> </w:t>
      </w:r>
      <w:r>
        <w:rPr>
          <w:sz w:val="22"/>
        </w:rPr>
        <w:t>interference.</w:t>
      </w:r>
    </w:p>
    <w:p>
      <w:pPr>
        <w:pStyle w:val="BodyText"/>
        <w:ind w:left="0"/>
        <w:rPr>
          <w:sz w:val="22"/>
        </w:rPr>
      </w:pPr>
    </w:p>
    <w:p>
      <w:pPr>
        <w:pStyle w:val="ListParagraph"/>
        <w:numPr>
          <w:ilvl w:val="0"/>
          <w:numId w:val="7"/>
        </w:numPr>
        <w:tabs>
          <w:tab w:pos="2186" w:val="left" w:leader="none"/>
        </w:tabs>
        <w:spacing w:line="240" w:lineRule="auto" w:before="1" w:after="0"/>
        <w:ind w:left="2185" w:right="304" w:hanging="360"/>
        <w:jc w:val="left"/>
        <w:rPr>
          <w:sz w:val="20"/>
        </w:rPr>
      </w:pPr>
      <w:r>
        <w:rPr>
          <w:sz w:val="22"/>
        </w:rPr>
        <w:t>Everyone shall have the right to freedom of expression; this right shall</w:t>
      </w:r>
      <w:r>
        <w:rPr>
          <w:spacing w:val="1"/>
          <w:sz w:val="22"/>
        </w:rPr>
        <w:t> </w:t>
      </w:r>
      <w:r>
        <w:rPr>
          <w:sz w:val="22"/>
        </w:rPr>
        <w:t>include freedom to seek, receive and impart information and ideas of all</w:t>
      </w:r>
      <w:r>
        <w:rPr>
          <w:spacing w:val="1"/>
          <w:sz w:val="22"/>
        </w:rPr>
        <w:t> </w:t>
      </w:r>
      <w:r>
        <w:rPr>
          <w:sz w:val="22"/>
        </w:rPr>
        <w:t>kinds, regardless of frontiers, either orally, in writing or in print, in the form</w:t>
      </w:r>
      <w:r>
        <w:rPr>
          <w:spacing w:val="-56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art,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through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other</w:t>
      </w:r>
      <w:r>
        <w:rPr>
          <w:spacing w:val="-4"/>
          <w:sz w:val="22"/>
        </w:rPr>
        <w:t> </w:t>
      </w:r>
      <w:r>
        <w:rPr>
          <w:sz w:val="22"/>
        </w:rPr>
        <w:t>media</w:t>
      </w:r>
      <w:r>
        <w:rPr>
          <w:spacing w:val="2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his choice.</w:t>
      </w:r>
    </w:p>
    <w:p>
      <w:pPr>
        <w:pStyle w:val="BodyText"/>
        <w:spacing w:before="13"/>
        <w:ind w:left="0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2186" w:val="left" w:leader="none"/>
        </w:tabs>
        <w:spacing w:line="240" w:lineRule="auto" w:before="0" w:after="0"/>
        <w:ind w:left="2185" w:right="379" w:hanging="360"/>
        <w:jc w:val="left"/>
        <w:rPr>
          <w:sz w:val="22"/>
        </w:rPr>
      </w:pPr>
      <w:r>
        <w:rPr>
          <w:sz w:val="22"/>
        </w:rPr>
        <w:t>The exercise of the rights provided for in paragraph 2 of this article carries</w:t>
      </w:r>
      <w:r>
        <w:rPr>
          <w:spacing w:val="-56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special</w:t>
      </w:r>
      <w:r>
        <w:rPr>
          <w:spacing w:val="1"/>
          <w:sz w:val="22"/>
        </w:rPr>
        <w:t> </w:t>
      </w:r>
      <w:r>
        <w:rPr>
          <w:sz w:val="22"/>
        </w:rPr>
        <w:t>duties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responsibilities.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7"/>
          <w:sz w:val="22"/>
        </w:rPr>
        <w:t> </w:t>
      </w:r>
      <w:r>
        <w:rPr>
          <w:sz w:val="22"/>
        </w:rPr>
        <w:t>therefore be</w:t>
      </w:r>
      <w:r>
        <w:rPr>
          <w:spacing w:val="-4"/>
          <w:sz w:val="22"/>
        </w:rPr>
        <w:t> </w:t>
      </w:r>
      <w:r>
        <w:rPr>
          <w:sz w:val="22"/>
        </w:rPr>
        <w:t>subject</w:t>
      </w:r>
      <w:r>
        <w:rPr>
          <w:spacing w:val="-2"/>
          <w:sz w:val="22"/>
        </w:rPr>
        <w:t> </w:t>
      </w:r>
      <w:r>
        <w:rPr>
          <w:sz w:val="22"/>
        </w:rPr>
        <w:t>to</w:t>
      </w:r>
    </w:p>
    <w:p>
      <w:pPr>
        <w:spacing w:after="0" w:line="240" w:lineRule="auto"/>
        <w:jc w:val="left"/>
        <w:rPr>
          <w:sz w:val="22"/>
        </w:rPr>
        <w:sectPr>
          <w:pgSz w:w="11900" w:h="16840"/>
          <w:pgMar w:header="1146" w:footer="333" w:top="1680" w:bottom="520" w:left="44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7"/>
        </w:rPr>
      </w:pPr>
    </w:p>
    <w:p>
      <w:pPr>
        <w:spacing w:before="101"/>
        <w:ind w:left="2185" w:right="272" w:firstLine="0"/>
        <w:jc w:val="left"/>
        <w:rPr>
          <w:sz w:val="22"/>
        </w:rPr>
      </w:pPr>
      <w:r>
        <w:rPr>
          <w:sz w:val="22"/>
        </w:rPr>
        <w:t>certain restrictions, but these shall only be such as are provided by law and</w:t>
      </w:r>
      <w:r>
        <w:rPr>
          <w:spacing w:val="-55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necessary:</w:t>
      </w:r>
    </w:p>
    <w:p>
      <w:pPr>
        <w:pStyle w:val="ListParagraph"/>
        <w:numPr>
          <w:ilvl w:val="1"/>
          <w:numId w:val="7"/>
        </w:numPr>
        <w:tabs>
          <w:tab w:pos="3135" w:val="left" w:leader="none"/>
          <w:tab w:pos="3136" w:val="left" w:leader="none"/>
        </w:tabs>
        <w:spacing w:line="299" w:lineRule="exact" w:before="1" w:after="0"/>
        <w:ind w:left="3136" w:right="0" w:hanging="720"/>
        <w:jc w:val="left"/>
        <w:rPr>
          <w:sz w:val="22"/>
        </w:rPr>
      </w:pP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respect</w:t>
      </w:r>
      <w:r>
        <w:rPr>
          <w:spacing w:val="-3"/>
          <w:sz w:val="22"/>
        </w:rPr>
        <w:t> </w:t>
      </w:r>
      <w:r>
        <w:rPr>
          <w:sz w:val="22"/>
        </w:rPr>
        <w:t>of the</w:t>
      </w:r>
      <w:r>
        <w:rPr>
          <w:spacing w:val="-1"/>
          <w:sz w:val="22"/>
        </w:rPr>
        <w:t> </w:t>
      </w:r>
      <w:r>
        <w:rPr>
          <w:sz w:val="22"/>
        </w:rPr>
        <w:t>rights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reputations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others;</w:t>
      </w:r>
    </w:p>
    <w:p>
      <w:pPr>
        <w:pStyle w:val="ListParagraph"/>
        <w:numPr>
          <w:ilvl w:val="1"/>
          <w:numId w:val="7"/>
        </w:numPr>
        <w:tabs>
          <w:tab w:pos="3135" w:val="left" w:leader="none"/>
          <w:tab w:pos="3136" w:val="left" w:leader="none"/>
        </w:tabs>
        <w:spacing w:line="242" w:lineRule="auto" w:before="0" w:after="0"/>
        <w:ind w:left="3135" w:right="649" w:hanging="720"/>
        <w:jc w:val="left"/>
        <w:rPr>
          <w:sz w:val="22"/>
        </w:rPr>
      </w:pP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protection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national security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of public</w:t>
      </w:r>
      <w:r>
        <w:rPr>
          <w:spacing w:val="-2"/>
          <w:sz w:val="22"/>
        </w:rPr>
        <w:t> </w:t>
      </w:r>
      <w:r>
        <w:rPr>
          <w:sz w:val="22"/>
        </w:rPr>
        <w:t>order</w:t>
      </w:r>
      <w:r>
        <w:rPr>
          <w:spacing w:val="-6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ordre</w:t>
      </w:r>
      <w:r>
        <w:rPr>
          <w:i/>
          <w:spacing w:val="-54"/>
          <w:sz w:val="22"/>
        </w:rPr>
        <w:t> </w:t>
      </w:r>
      <w:r>
        <w:rPr>
          <w:i/>
          <w:sz w:val="22"/>
        </w:rPr>
        <w:t>public</w:t>
      </w:r>
      <w:r>
        <w:rPr>
          <w:sz w:val="22"/>
        </w:rPr>
        <w:t>),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public</w:t>
      </w:r>
      <w:r>
        <w:rPr>
          <w:spacing w:val="1"/>
          <w:sz w:val="22"/>
        </w:rPr>
        <w:t> </w:t>
      </w:r>
      <w:r>
        <w:rPr>
          <w:sz w:val="22"/>
        </w:rPr>
        <w:t>health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morals.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93" w:after="0"/>
        <w:ind w:left="1686" w:right="282" w:hanging="567"/>
        <w:jc w:val="left"/>
        <w:rPr>
          <w:sz w:val="24"/>
        </w:rPr>
      </w:pPr>
      <w:r>
        <w:rPr>
          <w:sz w:val="22"/>
        </w:rPr>
        <w:t>The </w:t>
      </w:r>
      <w:r>
        <w:rPr>
          <w:sz w:val="24"/>
        </w:rPr>
        <w:t>right to freedom of expression protects all forms of communication,</w:t>
      </w:r>
      <w:r>
        <w:rPr>
          <w:spacing w:val="1"/>
          <w:sz w:val="24"/>
        </w:rPr>
        <w:t> </w:t>
      </w:r>
      <w:r>
        <w:rPr>
          <w:sz w:val="24"/>
        </w:rPr>
        <w:t>including ‘political discourse, commentary on one’s own and on public</w:t>
      </w:r>
      <w:r>
        <w:rPr>
          <w:spacing w:val="1"/>
          <w:sz w:val="24"/>
        </w:rPr>
        <w:t> </w:t>
      </w:r>
      <w:r>
        <w:rPr>
          <w:sz w:val="24"/>
        </w:rPr>
        <w:t>affairs, canvassing, discussion of human rights, journalism, cultural and</w:t>
      </w:r>
      <w:r>
        <w:rPr>
          <w:spacing w:val="1"/>
          <w:sz w:val="24"/>
        </w:rPr>
        <w:t> </w:t>
      </w:r>
      <w:r>
        <w:rPr>
          <w:sz w:val="24"/>
        </w:rPr>
        <w:t>artistic expression, teaching and religious discourse’.</w:t>
      </w:r>
      <w:r>
        <w:rPr>
          <w:position w:val="8"/>
          <w:sz w:val="16"/>
        </w:rPr>
        <w:t>19 </w:t>
      </w:r>
      <w:r>
        <w:rPr>
          <w:sz w:val="24"/>
        </w:rPr>
        <w:t>It also protects the</w:t>
      </w:r>
      <w:r>
        <w:rPr>
          <w:spacing w:val="-60"/>
          <w:sz w:val="24"/>
        </w:rPr>
        <w:t> </w:t>
      </w:r>
      <w:r>
        <w:rPr>
          <w:sz w:val="24"/>
        </w:rPr>
        <w:t>freedom to seek, receive and impart information and ideas of all kinds,</w:t>
      </w:r>
      <w:r>
        <w:rPr>
          <w:spacing w:val="1"/>
          <w:sz w:val="24"/>
        </w:rPr>
        <w:t> </w:t>
      </w:r>
      <w:r>
        <w:rPr>
          <w:sz w:val="24"/>
        </w:rPr>
        <w:t>free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2"/>
          <w:sz w:val="24"/>
        </w:rPr>
        <w:t> </w:t>
      </w:r>
      <w:r>
        <w:rPr>
          <w:sz w:val="24"/>
        </w:rPr>
        <w:t>unlawful</w:t>
      </w:r>
      <w:r>
        <w:rPr>
          <w:spacing w:val="1"/>
          <w:sz w:val="24"/>
        </w:rPr>
        <w:t> </w:t>
      </w:r>
      <w:r>
        <w:rPr>
          <w:sz w:val="24"/>
        </w:rPr>
        <w:t>interference.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99" w:after="0"/>
        <w:ind w:left="1686" w:right="406" w:hanging="567"/>
        <w:jc w:val="left"/>
        <w:rPr>
          <w:sz w:val="24"/>
        </w:rPr>
      </w:pPr>
      <w:r>
        <w:rPr>
          <w:sz w:val="24"/>
        </w:rPr>
        <w:t>By allowing individuals to monitor, discuss and expose the human rights</w:t>
      </w:r>
      <w:r>
        <w:rPr>
          <w:spacing w:val="-60"/>
          <w:sz w:val="24"/>
        </w:rPr>
        <w:t> </w:t>
      </w:r>
      <w:r>
        <w:rPr>
          <w:sz w:val="24"/>
        </w:rPr>
        <w:t>abuses of governments and other actors, the right to freedom of</w:t>
      </w:r>
      <w:r>
        <w:rPr>
          <w:spacing w:val="1"/>
          <w:sz w:val="24"/>
        </w:rPr>
        <w:t> </w:t>
      </w:r>
      <w:r>
        <w:rPr>
          <w:sz w:val="24"/>
        </w:rPr>
        <w:t>expression is integral to ‘the realisation of the principles of transparency</w:t>
      </w:r>
      <w:r>
        <w:rPr>
          <w:spacing w:val="-60"/>
          <w:sz w:val="24"/>
        </w:rPr>
        <w:t> </w:t>
      </w:r>
      <w:r>
        <w:rPr>
          <w:sz w:val="24"/>
        </w:rPr>
        <w:t>and accountability’.</w:t>
      </w:r>
      <w:r>
        <w:rPr>
          <w:position w:val="8"/>
          <w:sz w:val="13"/>
        </w:rPr>
        <w:t>20 </w:t>
      </w:r>
      <w:r>
        <w:rPr>
          <w:sz w:val="24"/>
        </w:rPr>
        <w:t>It is also necessary for the effective exercise of the</w:t>
      </w:r>
      <w:r>
        <w:rPr>
          <w:spacing w:val="1"/>
          <w:sz w:val="24"/>
        </w:rPr>
        <w:t> </w:t>
      </w:r>
      <w:r>
        <w:rPr>
          <w:sz w:val="24"/>
        </w:rPr>
        <w:t>right to</w:t>
      </w:r>
      <w:r>
        <w:rPr>
          <w:spacing w:val="-1"/>
          <w:sz w:val="24"/>
        </w:rPr>
        <w:t> </w:t>
      </w:r>
      <w:r>
        <w:rPr>
          <w:sz w:val="24"/>
        </w:rPr>
        <w:t>vote.</w:t>
      </w:r>
      <w:r>
        <w:rPr>
          <w:position w:val="8"/>
          <w:sz w:val="13"/>
        </w:rPr>
        <w:t>21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99" w:after="0"/>
        <w:ind w:left="1686" w:right="115" w:hanging="567"/>
        <w:jc w:val="left"/>
        <w:rPr>
          <w:sz w:val="24"/>
        </w:rPr>
      </w:pPr>
      <w:r>
        <w:rPr>
          <w:sz w:val="24"/>
        </w:rPr>
        <w:t>However, freedom of speech is not an absolute right and can be limited, as</w:t>
      </w:r>
      <w:r>
        <w:rPr>
          <w:spacing w:val="-60"/>
          <w:sz w:val="24"/>
        </w:rPr>
        <w:t> </w:t>
      </w:r>
      <w:r>
        <w:rPr>
          <w:sz w:val="24"/>
        </w:rPr>
        <w:t>indicated in article 19(3). Any limitation must be lawful, necessary and</w:t>
      </w:r>
      <w:r>
        <w:rPr>
          <w:spacing w:val="1"/>
          <w:sz w:val="24"/>
        </w:rPr>
        <w:t> </w:t>
      </w:r>
      <w:r>
        <w:rPr>
          <w:sz w:val="24"/>
        </w:rPr>
        <w:t>proportionate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achieve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legitimate</w:t>
      </w:r>
      <w:r>
        <w:rPr>
          <w:spacing w:val="-2"/>
          <w:sz w:val="24"/>
        </w:rPr>
        <w:t> </w:t>
      </w:r>
      <w:r>
        <w:rPr>
          <w:sz w:val="24"/>
        </w:rPr>
        <w:t>objective</w:t>
      </w:r>
      <w:r>
        <w:rPr>
          <w:spacing w:val="-2"/>
          <w:sz w:val="24"/>
        </w:rPr>
        <w:t> </w:t>
      </w:r>
      <w:r>
        <w:rPr>
          <w:sz w:val="24"/>
        </w:rPr>
        <w:t>within the</w:t>
      </w:r>
      <w:r>
        <w:rPr>
          <w:spacing w:val="-1"/>
          <w:sz w:val="24"/>
        </w:rPr>
        <w:t> </w:t>
      </w:r>
      <w:r>
        <w:rPr>
          <w:sz w:val="24"/>
        </w:rPr>
        <w:t>scope</w:t>
      </w:r>
      <w:r>
        <w:rPr>
          <w:spacing w:val="-2"/>
          <w:sz w:val="24"/>
        </w:rPr>
        <w:t> </w:t>
      </w:r>
      <w:r>
        <w:rPr>
          <w:sz w:val="24"/>
        </w:rPr>
        <w:t>of</w:t>
      </w:r>
    </w:p>
    <w:p>
      <w:pPr>
        <w:pStyle w:val="BodyText"/>
        <w:ind w:right="102"/>
        <w:rPr>
          <w:sz w:val="13"/>
        </w:rPr>
      </w:pPr>
      <w:r>
        <w:rPr/>
        <w:t>article 19(3). This includes limitations for the protection of national security</w:t>
      </w:r>
      <w:r>
        <w:rPr>
          <w:spacing w:val="-60"/>
        </w:rPr>
        <w:t> </w:t>
      </w:r>
      <w:r>
        <w:rPr/>
        <w:t>or to protect the rights of others, meaning human rights under</w:t>
      </w:r>
      <w:r>
        <w:rPr>
          <w:spacing w:val="1"/>
        </w:rPr>
        <w:t> </w:t>
      </w:r>
      <w:r>
        <w:rPr/>
        <w:t>international</w:t>
      </w:r>
      <w:r>
        <w:rPr>
          <w:spacing w:val="-5"/>
        </w:rPr>
        <w:t> </w:t>
      </w:r>
      <w:r>
        <w:rPr/>
        <w:t>human rights law,</w:t>
      </w:r>
      <w:r>
        <w:rPr>
          <w:spacing w:val="-3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ICCPR.</w:t>
      </w:r>
      <w:r>
        <w:rPr>
          <w:position w:val="8"/>
          <w:sz w:val="13"/>
        </w:rPr>
        <w:t>22</w:t>
      </w:r>
    </w:p>
    <w:p>
      <w:pPr>
        <w:pStyle w:val="BodyText"/>
        <w:spacing w:before="9"/>
        <w:ind w:left="0"/>
        <w:rPr>
          <w:sz w:val="26"/>
        </w:rPr>
      </w:pPr>
    </w:p>
    <w:p>
      <w:pPr>
        <w:pStyle w:val="Heading2"/>
        <w:numPr>
          <w:ilvl w:val="1"/>
          <w:numId w:val="5"/>
        </w:numPr>
        <w:tabs>
          <w:tab w:pos="1825" w:val="left" w:leader="none"/>
          <w:tab w:pos="1826" w:val="left" w:leader="none"/>
        </w:tabs>
        <w:spacing w:line="240" w:lineRule="auto" w:before="0" w:after="0"/>
        <w:ind w:left="1825" w:right="0" w:hanging="850"/>
        <w:jc w:val="left"/>
      </w:pPr>
      <w:bookmarkStart w:name="_TOC_250007" w:id="7"/>
      <w:r>
        <w:rPr/>
        <w:t>Other</w:t>
      </w:r>
      <w:r>
        <w:rPr>
          <w:spacing w:val="-5"/>
        </w:rPr>
        <w:t> </w:t>
      </w:r>
      <w:r>
        <w:rPr/>
        <w:t>human</w:t>
      </w:r>
      <w:r>
        <w:rPr>
          <w:spacing w:val="-4"/>
        </w:rPr>
        <w:t> </w:t>
      </w:r>
      <w:bookmarkEnd w:id="7"/>
      <w:r>
        <w:rPr/>
        <w:t>rights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99" w:after="0"/>
        <w:ind w:left="1686" w:right="182" w:hanging="567"/>
        <w:jc w:val="left"/>
        <w:rPr>
          <w:sz w:val="24"/>
        </w:rPr>
      </w:pPr>
      <w:r>
        <w:rPr>
          <w:sz w:val="24"/>
        </w:rPr>
        <w:t>Other human rights may also be inappropriately limited by the</w:t>
      </w:r>
      <w:r>
        <w:rPr>
          <w:spacing w:val="1"/>
          <w:sz w:val="24"/>
        </w:rPr>
        <w:t> </w:t>
      </w:r>
      <w:r>
        <w:rPr>
          <w:sz w:val="24"/>
        </w:rPr>
        <w:t>unnecessary or disproportionate exercise of digital surveillance,</w:t>
      </w:r>
      <w:r>
        <w:rPr>
          <w:spacing w:val="1"/>
          <w:sz w:val="24"/>
        </w:rPr>
        <w:t> </w:t>
      </w:r>
      <w:r>
        <w:rPr>
          <w:sz w:val="24"/>
        </w:rPr>
        <w:t>interception and decryption by law enforcement agencies. These include a</w:t>
      </w:r>
      <w:r>
        <w:rPr>
          <w:spacing w:val="-60"/>
          <w:sz w:val="24"/>
        </w:rPr>
        <w:t> </w:t>
      </w:r>
      <w:r>
        <w:rPr>
          <w:sz w:val="24"/>
        </w:rPr>
        <w:t>person’s enjoyment of their rights to freedom of religion, a fair hearing</w:t>
      </w:r>
      <w:r>
        <w:rPr>
          <w:spacing w:val="1"/>
          <w:sz w:val="24"/>
        </w:rPr>
        <w:t> </w:t>
      </w:r>
      <w:r>
        <w:rPr>
          <w:sz w:val="24"/>
        </w:rPr>
        <w:t>and equality.</w:t>
      </w:r>
      <w:r>
        <w:rPr>
          <w:position w:val="8"/>
          <w:sz w:val="13"/>
        </w:rPr>
        <w:t>23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99" w:after="0"/>
        <w:ind w:left="1686" w:right="115" w:hanging="567"/>
        <w:jc w:val="left"/>
        <w:rPr>
          <w:sz w:val="24"/>
        </w:rPr>
      </w:pPr>
      <w:r>
        <w:rPr>
          <w:sz w:val="24"/>
        </w:rPr>
        <w:t>For example, there is a risk of digital surveillance powers being used to</w:t>
      </w:r>
      <w:r>
        <w:rPr>
          <w:spacing w:val="1"/>
          <w:sz w:val="24"/>
        </w:rPr>
        <w:t> </w:t>
      </w:r>
      <w:r>
        <w:rPr>
          <w:sz w:val="24"/>
        </w:rPr>
        <w:t>monitor persons inappropriately on the basis of their race, religion or</w:t>
      </w:r>
      <w:r>
        <w:rPr>
          <w:spacing w:val="1"/>
          <w:sz w:val="24"/>
        </w:rPr>
        <w:t> </w:t>
      </w:r>
      <w:r>
        <w:rPr>
          <w:sz w:val="24"/>
        </w:rPr>
        <w:t>political opinions. Also concerning is the potential for targeting of</w:t>
      </w:r>
      <w:r>
        <w:rPr>
          <w:spacing w:val="1"/>
          <w:sz w:val="24"/>
        </w:rPr>
        <w:t> </w:t>
      </w:r>
      <w:r>
        <w:rPr>
          <w:sz w:val="24"/>
        </w:rPr>
        <w:t>journalists, whistle-blowers, opposition politicians, human rights</w:t>
      </w:r>
      <w:r>
        <w:rPr>
          <w:spacing w:val="1"/>
          <w:sz w:val="24"/>
        </w:rPr>
        <w:t> </w:t>
      </w:r>
      <w:r>
        <w:rPr>
          <w:sz w:val="24"/>
        </w:rPr>
        <w:t>defenders</w:t>
      </w:r>
      <w:r>
        <w:rPr>
          <w:position w:val="8"/>
          <w:sz w:val="13"/>
        </w:rPr>
        <w:t>24 </w:t>
      </w:r>
      <w:r>
        <w:rPr>
          <w:sz w:val="24"/>
        </w:rPr>
        <w:t>and persons engaging in lawful public dissent. Children’s rights</w:t>
      </w:r>
      <w:r>
        <w:rPr>
          <w:spacing w:val="-60"/>
          <w:sz w:val="24"/>
        </w:rPr>
        <w:t> </w:t>
      </w:r>
      <w:r>
        <w:rPr>
          <w:sz w:val="24"/>
        </w:rPr>
        <w:t>may</w:t>
      </w:r>
      <w:r>
        <w:rPr>
          <w:spacing w:val="5"/>
          <w:sz w:val="24"/>
        </w:rPr>
        <w:t> </w:t>
      </w:r>
      <w:r>
        <w:rPr>
          <w:sz w:val="24"/>
        </w:rPr>
        <w:t>also</w:t>
      </w:r>
      <w:r>
        <w:rPr>
          <w:spacing w:val="5"/>
          <w:sz w:val="24"/>
        </w:rPr>
        <w:t> </w:t>
      </w:r>
      <w:r>
        <w:rPr>
          <w:sz w:val="24"/>
        </w:rPr>
        <w:t>be</w:t>
      </w:r>
      <w:r>
        <w:rPr>
          <w:spacing w:val="2"/>
          <w:sz w:val="24"/>
        </w:rPr>
        <w:t> </w:t>
      </w:r>
      <w:r>
        <w:rPr>
          <w:sz w:val="24"/>
        </w:rPr>
        <w:t>affected</w:t>
      </w:r>
      <w:r>
        <w:rPr>
          <w:spacing w:val="7"/>
          <w:sz w:val="24"/>
        </w:rPr>
        <w:t> </w:t>
      </w:r>
      <w:r>
        <w:rPr>
          <w:sz w:val="24"/>
        </w:rPr>
        <w:t>by</w:t>
      </w:r>
      <w:r>
        <w:rPr>
          <w:spacing w:val="6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use</w:t>
      </w:r>
      <w:r>
        <w:rPr>
          <w:spacing w:val="6"/>
          <w:sz w:val="24"/>
        </w:rPr>
        <w:t> </w:t>
      </w:r>
      <w:r>
        <w:rPr>
          <w:sz w:val="24"/>
        </w:rPr>
        <w:t>of</w:t>
      </w:r>
      <w:r>
        <w:rPr>
          <w:spacing w:val="6"/>
          <w:sz w:val="24"/>
        </w:rPr>
        <w:t> </w:t>
      </w:r>
      <w:r>
        <w:rPr>
          <w:sz w:val="24"/>
        </w:rPr>
        <w:t>coercive</w:t>
      </w:r>
      <w:r>
        <w:rPr>
          <w:spacing w:val="1"/>
          <w:sz w:val="24"/>
        </w:rPr>
        <w:t> </w:t>
      </w:r>
      <w:r>
        <w:rPr>
          <w:sz w:val="24"/>
        </w:rPr>
        <w:t>powers</w:t>
      </w:r>
      <w:r>
        <w:rPr>
          <w:spacing w:val="7"/>
          <w:sz w:val="24"/>
        </w:rPr>
        <w:t> </w:t>
      </w:r>
      <w:r>
        <w:rPr>
          <w:sz w:val="24"/>
        </w:rPr>
        <w:t>on</w:t>
      </w:r>
      <w:r>
        <w:rPr>
          <w:spacing w:val="7"/>
          <w:sz w:val="24"/>
        </w:rPr>
        <w:t> </w:t>
      </w:r>
      <w:r>
        <w:rPr>
          <w:sz w:val="24"/>
        </w:rPr>
        <w:t>underage</w:t>
      </w:r>
      <w:r>
        <w:rPr>
          <w:spacing w:val="1"/>
          <w:sz w:val="24"/>
        </w:rPr>
        <w:t> </w:t>
      </w:r>
      <w:r>
        <w:rPr>
          <w:sz w:val="24"/>
        </w:rPr>
        <w:t>providers,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compel a</w:t>
      </w:r>
      <w:r>
        <w:rPr>
          <w:spacing w:val="-1"/>
          <w:sz w:val="24"/>
        </w:rPr>
        <w:t> </w:t>
      </w:r>
      <w:r>
        <w:rPr>
          <w:sz w:val="24"/>
        </w:rPr>
        <w:t>minor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give</w:t>
      </w:r>
      <w:r>
        <w:rPr>
          <w:spacing w:val="-2"/>
          <w:sz w:val="24"/>
        </w:rPr>
        <w:t> </w:t>
      </w:r>
      <w:r>
        <w:rPr>
          <w:sz w:val="24"/>
        </w:rPr>
        <w:t>access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device.</w:t>
      </w:r>
      <w:r>
        <w:rPr>
          <w:spacing w:val="-3"/>
          <w:sz w:val="24"/>
        </w:rPr>
        <w:t> </w:t>
      </w:r>
      <w:r>
        <w:rPr>
          <w:sz w:val="24"/>
        </w:rPr>
        <w:t>Such human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1146" w:footer="333" w:top="1680" w:bottom="520" w:left="44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before="101"/>
        <w:ind w:right="652"/>
        <w:rPr>
          <w:sz w:val="13"/>
        </w:rPr>
      </w:pPr>
      <w:r>
        <w:rPr/>
        <w:t>rights impacts are not addressed in the present submission, but merit</w:t>
      </w:r>
      <w:r>
        <w:rPr>
          <w:spacing w:val="-60"/>
        </w:rPr>
        <w:t> </w:t>
      </w:r>
      <w:r>
        <w:rPr/>
        <w:t>further</w:t>
      </w:r>
      <w:r>
        <w:rPr>
          <w:spacing w:val="-3"/>
        </w:rPr>
        <w:t> </w:t>
      </w:r>
      <w:r>
        <w:rPr/>
        <w:t>consideration.</w:t>
      </w:r>
      <w:r>
        <w:rPr>
          <w:position w:val="8"/>
          <w:sz w:val="13"/>
        </w:rPr>
        <w:t>25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0" w:after="0"/>
        <w:ind w:left="1686" w:right="217" w:hanging="567"/>
        <w:jc w:val="left"/>
        <w:rPr>
          <w:sz w:val="24"/>
        </w:rPr>
      </w:pPr>
      <w:r>
        <w:rPr>
          <w:sz w:val="24"/>
        </w:rPr>
        <w:t>Given the potentially significant and far-reaching consequences of digital</w:t>
      </w:r>
      <w:r>
        <w:rPr>
          <w:spacing w:val="1"/>
          <w:sz w:val="24"/>
        </w:rPr>
        <w:t> </w:t>
      </w:r>
      <w:r>
        <w:rPr>
          <w:sz w:val="24"/>
        </w:rPr>
        <w:t>law enforcement powers on human rights, it is crucial to ensure that any</w:t>
      </w:r>
      <w:r>
        <w:rPr>
          <w:spacing w:val="1"/>
          <w:sz w:val="24"/>
        </w:rPr>
        <w:t> </w:t>
      </w:r>
      <w:r>
        <w:rPr>
          <w:sz w:val="24"/>
        </w:rPr>
        <w:t>rights limitations they impose are necessary and proportionate. This must</w:t>
      </w:r>
      <w:r>
        <w:rPr>
          <w:spacing w:val="-60"/>
          <w:sz w:val="24"/>
        </w:rPr>
        <w:t> </w:t>
      </w:r>
      <w:r>
        <w:rPr>
          <w:sz w:val="24"/>
        </w:rPr>
        <w:t>be done by ensuring that legislation that permits government to interfere</w:t>
      </w:r>
      <w:r>
        <w:rPr>
          <w:spacing w:val="-60"/>
          <w:sz w:val="24"/>
        </w:rPr>
        <w:t> </w:t>
      </w:r>
      <w:r>
        <w:rPr>
          <w:sz w:val="24"/>
        </w:rPr>
        <w:t>with human rights is drafted with precision, so that relevant powers may</w:t>
      </w:r>
      <w:r>
        <w:rPr>
          <w:spacing w:val="1"/>
          <w:sz w:val="24"/>
        </w:rPr>
        <w:t> </w:t>
      </w:r>
      <w:r>
        <w:rPr>
          <w:sz w:val="24"/>
        </w:rPr>
        <w:t>only be exercised in appropriate circumstances. Another mechanism</w:t>
      </w:r>
      <w:r>
        <w:rPr>
          <w:spacing w:val="1"/>
          <w:sz w:val="24"/>
        </w:rPr>
        <w:t> </w:t>
      </w:r>
      <w:r>
        <w:rPr>
          <w:sz w:val="24"/>
        </w:rPr>
        <w:t>necessary to achieve human rights compatibility is the provision of</w:t>
      </w:r>
      <w:r>
        <w:rPr>
          <w:spacing w:val="1"/>
          <w:sz w:val="24"/>
        </w:rPr>
        <w:t> </w:t>
      </w:r>
      <w:r>
        <w:rPr>
          <w:sz w:val="24"/>
        </w:rPr>
        <w:t>effective</w:t>
      </w:r>
      <w:r>
        <w:rPr>
          <w:spacing w:val="-2"/>
          <w:sz w:val="24"/>
        </w:rPr>
        <w:t> </w:t>
      </w:r>
      <w:r>
        <w:rPr>
          <w:sz w:val="24"/>
        </w:rPr>
        <w:t>safeguards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oversight</w:t>
      </w:r>
      <w:r>
        <w:rPr>
          <w:spacing w:val="-4"/>
          <w:sz w:val="24"/>
        </w:rPr>
        <w:t> </w:t>
      </w:r>
      <w:r>
        <w:rPr>
          <w:sz w:val="24"/>
        </w:rPr>
        <w:t>mechanisms.</w:t>
      </w:r>
    </w:p>
    <w:p>
      <w:pPr>
        <w:pStyle w:val="BodyText"/>
        <w:spacing w:before="8"/>
        <w:ind w:left="0"/>
        <w:rPr>
          <w:sz w:val="26"/>
        </w:rPr>
      </w:pPr>
    </w:p>
    <w:p>
      <w:pPr>
        <w:pStyle w:val="Heading2"/>
        <w:numPr>
          <w:ilvl w:val="1"/>
          <w:numId w:val="5"/>
        </w:numPr>
        <w:tabs>
          <w:tab w:pos="1825" w:val="left" w:leader="none"/>
          <w:tab w:pos="1826" w:val="left" w:leader="none"/>
        </w:tabs>
        <w:spacing w:line="240" w:lineRule="auto" w:before="0" w:after="0"/>
        <w:ind w:left="1825" w:right="0" w:hanging="850"/>
        <w:jc w:val="left"/>
      </w:pPr>
      <w:bookmarkStart w:name="_TOC_250006" w:id="8"/>
      <w:r>
        <w:rPr/>
        <w:t>Permissible</w:t>
      </w:r>
      <w:r>
        <w:rPr>
          <w:spacing w:val="-7"/>
        </w:rPr>
        <w:t> </w:t>
      </w:r>
      <w:r>
        <w:rPr/>
        <w:t>limitations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human</w:t>
      </w:r>
      <w:r>
        <w:rPr>
          <w:spacing w:val="-1"/>
        </w:rPr>
        <w:t> </w:t>
      </w:r>
      <w:bookmarkEnd w:id="8"/>
      <w:r>
        <w:rPr/>
        <w:t>rights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99" w:after="0"/>
        <w:ind w:left="1686" w:right="236" w:hanging="567"/>
        <w:jc w:val="left"/>
        <w:rPr>
          <w:sz w:val="24"/>
        </w:rPr>
      </w:pPr>
      <w:r>
        <w:rPr>
          <w:sz w:val="24"/>
        </w:rPr>
        <w:t>Some human rights cannot legitimately be subject to any limitation—such</w:t>
      </w:r>
      <w:r>
        <w:rPr>
          <w:spacing w:val="-60"/>
          <w:sz w:val="24"/>
        </w:rPr>
        <w:t> </w:t>
      </w:r>
      <w:r>
        <w:rPr>
          <w:sz w:val="24"/>
        </w:rPr>
        <w:t>as the right to f</w:t>
      </w:r>
      <w:r>
        <w:rPr>
          <w:color w:val="111111"/>
          <w:sz w:val="24"/>
        </w:rPr>
        <w:t>reedom from torture or cruel, inhuman or degrading</w:t>
      </w:r>
      <w:r>
        <w:rPr>
          <w:color w:val="111111"/>
          <w:spacing w:val="1"/>
          <w:sz w:val="24"/>
        </w:rPr>
        <w:t> </w:t>
      </w:r>
      <w:r>
        <w:rPr>
          <w:color w:val="111111"/>
          <w:sz w:val="24"/>
        </w:rPr>
        <w:t>treatment or</w:t>
      </w:r>
      <w:r>
        <w:rPr>
          <w:color w:val="111111"/>
          <w:spacing w:val="-2"/>
          <w:sz w:val="24"/>
        </w:rPr>
        <w:t> </w:t>
      </w:r>
      <w:r>
        <w:rPr>
          <w:color w:val="111111"/>
          <w:sz w:val="24"/>
        </w:rPr>
        <w:t>punishment</w:t>
      </w:r>
      <w:r>
        <w:rPr>
          <w:sz w:val="24"/>
        </w:rPr>
        <w:t>.</w:t>
      </w:r>
      <w:r>
        <w:rPr>
          <w:position w:val="8"/>
          <w:sz w:val="13"/>
        </w:rPr>
        <w:t>26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0" w:after="0"/>
        <w:ind w:left="1686" w:right="309" w:hanging="567"/>
        <w:jc w:val="left"/>
        <w:rPr>
          <w:sz w:val="24"/>
        </w:rPr>
      </w:pPr>
      <w:r>
        <w:rPr>
          <w:sz w:val="24"/>
        </w:rPr>
        <w:t>However, other human rights including the rights to privacy and freedom</w:t>
      </w:r>
      <w:r>
        <w:rPr>
          <w:spacing w:val="-60"/>
          <w:sz w:val="24"/>
        </w:rPr>
        <w:t> </w:t>
      </w:r>
      <w:r>
        <w:rPr>
          <w:sz w:val="24"/>
        </w:rPr>
        <w:t>of expression can be limited where certain criteria are met as discussed</w:t>
      </w:r>
      <w:r>
        <w:rPr>
          <w:spacing w:val="1"/>
          <w:sz w:val="24"/>
        </w:rPr>
        <w:t> </w:t>
      </w:r>
      <w:r>
        <w:rPr>
          <w:sz w:val="24"/>
        </w:rPr>
        <w:t>below. A measure which limits a human right also must not be arbitrary</w:t>
      </w:r>
      <w:r>
        <w:rPr>
          <w:spacing w:val="1"/>
          <w:sz w:val="24"/>
        </w:rPr>
        <w:t> </w:t>
      </w:r>
      <w:r>
        <w:rPr>
          <w:sz w:val="24"/>
        </w:rPr>
        <w:t>and must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jeopardise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essence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right.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0" w:after="0"/>
        <w:ind w:left="1686" w:right="267" w:hanging="567"/>
        <w:jc w:val="left"/>
        <w:rPr>
          <w:sz w:val="24"/>
        </w:rPr>
      </w:pPr>
      <w:r>
        <w:rPr>
          <w:sz w:val="24"/>
        </w:rPr>
        <w:t>There is some overlap between a number of these criteria.</w:t>
      </w:r>
      <w:r>
        <w:rPr>
          <w:position w:val="8"/>
          <w:sz w:val="13"/>
        </w:rPr>
        <w:t>27 </w:t>
      </w:r>
      <w:r>
        <w:rPr>
          <w:sz w:val="24"/>
        </w:rPr>
        <w:t>In particular,</w:t>
      </w:r>
      <w:r>
        <w:rPr>
          <w:spacing w:val="1"/>
          <w:sz w:val="24"/>
        </w:rPr>
        <w:t> </w:t>
      </w:r>
      <w:r>
        <w:rPr>
          <w:sz w:val="24"/>
        </w:rPr>
        <w:t>the concept of ‘arbitrariness’ in human rights law includes notions of</w:t>
      </w:r>
      <w:r>
        <w:rPr>
          <w:spacing w:val="1"/>
          <w:sz w:val="24"/>
        </w:rPr>
        <w:t> </w:t>
      </w:r>
      <w:r>
        <w:rPr>
          <w:sz w:val="24"/>
        </w:rPr>
        <w:t>‘inappropriateness, injustice, lack of predictability and due process of law,</w:t>
      </w:r>
      <w:r>
        <w:rPr>
          <w:spacing w:val="-60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well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elements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reasonableness,</w:t>
      </w:r>
      <w:r>
        <w:rPr>
          <w:spacing w:val="-5"/>
          <w:sz w:val="24"/>
        </w:rPr>
        <w:t> </w:t>
      </w:r>
      <w:r>
        <w:rPr>
          <w:sz w:val="24"/>
        </w:rPr>
        <w:t>necessity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proportionality’.</w:t>
      </w:r>
      <w:r>
        <w:rPr>
          <w:position w:val="8"/>
          <w:sz w:val="13"/>
        </w:rPr>
        <w:t>28</w:t>
      </w:r>
    </w:p>
    <w:p>
      <w:pPr>
        <w:pStyle w:val="BodyText"/>
        <w:spacing w:before="4"/>
        <w:ind w:left="0"/>
        <w:rPr>
          <w:sz w:val="26"/>
        </w:rPr>
      </w:pPr>
    </w:p>
    <w:p>
      <w:pPr>
        <w:pStyle w:val="ListParagraph"/>
        <w:numPr>
          <w:ilvl w:val="0"/>
          <w:numId w:val="8"/>
        </w:numPr>
        <w:tabs>
          <w:tab w:pos="1825" w:val="left" w:leader="none"/>
          <w:tab w:pos="1826" w:val="left" w:leader="none"/>
        </w:tabs>
        <w:spacing w:line="240" w:lineRule="auto" w:before="0" w:after="0"/>
        <w:ind w:left="1825" w:right="0" w:hanging="850"/>
        <w:jc w:val="left"/>
        <w:rPr>
          <w:i/>
          <w:sz w:val="24"/>
        </w:rPr>
      </w:pPr>
      <w:r>
        <w:rPr>
          <w:i/>
          <w:sz w:val="24"/>
        </w:rPr>
        <w:t>Legitimate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aims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40" w:after="0"/>
        <w:ind w:left="1686" w:right="303" w:hanging="567"/>
        <w:jc w:val="left"/>
        <w:rPr>
          <w:sz w:val="24"/>
        </w:rPr>
      </w:pPr>
      <w:r>
        <w:rPr>
          <w:sz w:val="24"/>
        </w:rPr>
        <w:t>Human rights may be limited where the limitation is necessary and</w:t>
      </w:r>
      <w:r>
        <w:rPr>
          <w:spacing w:val="1"/>
          <w:sz w:val="24"/>
        </w:rPr>
        <w:t> </w:t>
      </w:r>
      <w:r>
        <w:rPr>
          <w:sz w:val="24"/>
        </w:rPr>
        <w:t>proportionate to achieving a legitimate aim. The protection of the human</w:t>
      </w:r>
      <w:r>
        <w:rPr>
          <w:spacing w:val="-60"/>
          <w:sz w:val="24"/>
        </w:rPr>
        <w:t> </w:t>
      </w:r>
      <w:r>
        <w:rPr>
          <w:sz w:val="24"/>
        </w:rPr>
        <w:t>rights of individuals endangered by serious criminal activity, such as the</w:t>
      </w:r>
      <w:r>
        <w:rPr>
          <w:spacing w:val="1"/>
          <w:sz w:val="24"/>
        </w:rPr>
        <w:t> </w:t>
      </w:r>
      <w:r>
        <w:rPr>
          <w:sz w:val="24"/>
        </w:rPr>
        <w:t>general public,</w:t>
      </w:r>
      <w:r>
        <w:rPr>
          <w:spacing w:val="-2"/>
          <w:sz w:val="24"/>
        </w:rPr>
        <w:t> </w:t>
      </w:r>
      <w:r>
        <w:rPr>
          <w:sz w:val="24"/>
        </w:rPr>
        <w:t>is a</w:t>
      </w:r>
      <w:r>
        <w:rPr>
          <w:spacing w:val="-4"/>
          <w:sz w:val="24"/>
        </w:rPr>
        <w:t> </w:t>
      </w:r>
      <w:r>
        <w:rPr>
          <w:sz w:val="24"/>
        </w:rPr>
        <w:t>legitimate</w:t>
      </w:r>
      <w:r>
        <w:rPr>
          <w:spacing w:val="-5"/>
          <w:sz w:val="24"/>
        </w:rPr>
        <w:t> </w:t>
      </w:r>
      <w:r>
        <w:rPr>
          <w:sz w:val="24"/>
        </w:rPr>
        <w:t>aim.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0" w:after="0"/>
        <w:ind w:left="1686" w:right="140" w:hanging="567"/>
        <w:jc w:val="left"/>
        <w:rPr>
          <w:sz w:val="24"/>
        </w:rPr>
      </w:pPr>
      <w:r>
        <w:rPr>
          <w:sz w:val="24"/>
        </w:rPr>
        <w:t>The OHCHR has stated that surveillance on the grounds of national</w:t>
      </w:r>
      <w:r>
        <w:rPr>
          <w:spacing w:val="1"/>
          <w:sz w:val="24"/>
        </w:rPr>
        <w:t> </w:t>
      </w:r>
      <w:r>
        <w:rPr>
          <w:sz w:val="24"/>
        </w:rPr>
        <w:t>security or for the prevention of terrorism or other crime may be a</w:t>
      </w:r>
      <w:r>
        <w:rPr>
          <w:spacing w:val="1"/>
          <w:sz w:val="24"/>
        </w:rPr>
        <w:t> </w:t>
      </w:r>
      <w:r>
        <w:rPr>
          <w:sz w:val="24"/>
        </w:rPr>
        <w:t>measure that serves a ‘legitimate aim’, but the degree of interference must</w:t>
      </w:r>
      <w:r>
        <w:rPr>
          <w:spacing w:val="-61"/>
          <w:sz w:val="24"/>
        </w:rPr>
        <w:t> </w:t>
      </w:r>
      <w:r>
        <w:rPr>
          <w:sz w:val="24"/>
        </w:rPr>
        <w:t>be assessed against the necessity of the measure to achieve that aim, and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actual</w:t>
      </w:r>
      <w:r>
        <w:rPr>
          <w:spacing w:val="-5"/>
          <w:sz w:val="24"/>
        </w:rPr>
        <w:t> </w:t>
      </w:r>
      <w:r>
        <w:rPr>
          <w:sz w:val="24"/>
        </w:rPr>
        <w:t>benefit</w:t>
      </w:r>
      <w:r>
        <w:rPr>
          <w:spacing w:val="1"/>
          <w:sz w:val="24"/>
        </w:rPr>
        <w:t> </w:t>
      </w:r>
      <w:r>
        <w:rPr>
          <w:sz w:val="24"/>
        </w:rPr>
        <w:t>it yields</w:t>
      </w:r>
      <w:r>
        <w:rPr>
          <w:spacing w:val="-5"/>
          <w:sz w:val="24"/>
        </w:rPr>
        <w:t> </w:t>
      </w:r>
      <w:r>
        <w:rPr>
          <w:sz w:val="24"/>
        </w:rPr>
        <w:t>towards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purpose.</w:t>
      </w:r>
      <w:r>
        <w:rPr>
          <w:position w:val="8"/>
          <w:sz w:val="13"/>
        </w:rPr>
        <w:t>29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1146" w:footer="333" w:top="1680" w:bottom="520" w:left="44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01" w:after="0"/>
        <w:ind w:left="1686" w:right="264" w:hanging="567"/>
        <w:jc w:val="left"/>
        <w:rPr>
          <w:sz w:val="24"/>
        </w:rPr>
      </w:pPr>
      <w:r>
        <w:rPr>
          <w:sz w:val="24"/>
        </w:rPr>
        <w:t>More generally, the </w:t>
      </w:r>
      <w:r>
        <w:rPr>
          <w:i/>
          <w:sz w:val="24"/>
        </w:rPr>
        <w:t>Siracusa Principles on the Limitation and Derogation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Provisions in the International Covenant on Civil and Political Rights </w:t>
      </w:r>
      <w:r>
        <w:rPr>
          <w:sz w:val="24"/>
        </w:rPr>
        <w:t>(Siracusa</w:t>
      </w:r>
      <w:r>
        <w:rPr>
          <w:spacing w:val="-60"/>
          <w:sz w:val="24"/>
        </w:rPr>
        <w:t> </w:t>
      </w:r>
      <w:r>
        <w:rPr>
          <w:sz w:val="24"/>
        </w:rPr>
        <w:t>Principles) state that national security cannot be used as a pretext for</w:t>
      </w:r>
      <w:r>
        <w:rPr>
          <w:spacing w:val="1"/>
          <w:sz w:val="24"/>
        </w:rPr>
        <w:t> </w:t>
      </w:r>
      <w:r>
        <w:rPr>
          <w:sz w:val="24"/>
        </w:rPr>
        <w:t>imposing vague or arbitrary rights limitations, and may only be invoked</w:t>
      </w:r>
      <w:r>
        <w:rPr>
          <w:spacing w:val="1"/>
          <w:sz w:val="24"/>
        </w:rPr>
        <w:t> </w:t>
      </w:r>
      <w:r>
        <w:rPr>
          <w:sz w:val="24"/>
        </w:rPr>
        <w:t>when there exist adequate safeguards and effective remedies against</w:t>
      </w:r>
      <w:r>
        <w:rPr>
          <w:spacing w:val="1"/>
          <w:sz w:val="24"/>
        </w:rPr>
        <w:t> </w:t>
      </w:r>
      <w:r>
        <w:rPr>
          <w:sz w:val="24"/>
        </w:rPr>
        <w:t>abuse.</w:t>
      </w:r>
      <w:r>
        <w:rPr>
          <w:position w:val="8"/>
          <w:sz w:val="13"/>
        </w:rPr>
        <w:t>30 </w:t>
      </w:r>
      <w:r>
        <w:rPr>
          <w:sz w:val="24"/>
        </w:rPr>
        <w:t>The term ‘national security’ relates to matters which threaten the</w:t>
      </w:r>
      <w:r>
        <w:rPr>
          <w:spacing w:val="-60"/>
          <w:sz w:val="24"/>
        </w:rPr>
        <w:t> </w:t>
      </w:r>
      <w:r>
        <w:rPr>
          <w:sz w:val="24"/>
        </w:rPr>
        <w:t>existence of the State, its territorial integrity or political independence—</w:t>
      </w:r>
      <w:r>
        <w:rPr>
          <w:spacing w:val="1"/>
          <w:sz w:val="24"/>
        </w:rPr>
        <w:t> </w:t>
      </w:r>
      <w:r>
        <w:rPr>
          <w:sz w:val="24"/>
        </w:rPr>
        <w:t>this is a high threshold and not every law criminalising conduct can</w:t>
      </w:r>
      <w:r>
        <w:rPr>
          <w:spacing w:val="1"/>
          <w:sz w:val="24"/>
        </w:rPr>
        <w:t> </w:t>
      </w:r>
      <w:r>
        <w:rPr>
          <w:sz w:val="24"/>
        </w:rPr>
        <w:t>properly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described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protecting</w:t>
      </w:r>
      <w:r>
        <w:rPr>
          <w:spacing w:val="-2"/>
          <w:sz w:val="24"/>
        </w:rPr>
        <w:t> </w:t>
      </w:r>
      <w:r>
        <w:rPr>
          <w:sz w:val="24"/>
        </w:rPr>
        <w:t>national</w:t>
      </w:r>
      <w:r>
        <w:rPr>
          <w:spacing w:val="1"/>
          <w:sz w:val="24"/>
        </w:rPr>
        <w:t> </w:t>
      </w:r>
      <w:r>
        <w:rPr>
          <w:sz w:val="24"/>
        </w:rPr>
        <w:t>security:</w:t>
      </w:r>
    </w:p>
    <w:p>
      <w:pPr>
        <w:pStyle w:val="ListParagraph"/>
        <w:numPr>
          <w:ilvl w:val="0"/>
          <w:numId w:val="9"/>
        </w:numPr>
        <w:tabs>
          <w:tab w:pos="2569" w:val="left" w:leader="none"/>
          <w:tab w:pos="2570" w:val="left" w:leader="none"/>
        </w:tabs>
        <w:spacing w:line="240" w:lineRule="auto" w:before="200" w:after="0"/>
        <w:ind w:left="2569" w:right="160" w:hanging="874"/>
        <w:jc w:val="left"/>
        <w:rPr>
          <w:sz w:val="22"/>
        </w:rPr>
      </w:pPr>
      <w:r>
        <w:rPr>
          <w:sz w:val="22"/>
        </w:rPr>
        <w:t>National security may be invoked to justify measures limiting certain</w:t>
      </w:r>
      <w:r>
        <w:rPr>
          <w:spacing w:val="1"/>
          <w:sz w:val="22"/>
        </w:rPr>
        <w:t> </w:t>
      </w:r>
      <w:r>
        <w:rPr>
          <w:sz w:val="22"/>
        </w:rPr>
        <w:t>rights only when they are taken to protect the existence of the nation or</w:t>
      </w:r>
      <w:r>
        <w:rPr>
          <w:spacing w:val="1"/>
          <w:sz w:val="22"/>
        </w:rPr>
        <w:t> </w:t>
      </w:r>
      <w:r>
        <w:rPr>
          <w:sz w:val="22"/>
        </w:rPr>
        <w:t>its territorial integrity or political independence against force or threat of</w:t>
      </w:r>
      <w:r>
        <w:rPr>
          <w:spacing w:val="-55"/>
          <w:sz w:val="22"/>
        </w:rPr>
        <w:t> </w:t>
      </w:r>
      <w:r>
        <w:rPr>
          <w:sz w:val="22"/>
        </w:rPr>
        <w:t>force.</w:t>
      </w:r>
    </w:p>
    <w:p>
      <w:pPr>
        <w:pStyle w:val="ListParagraph"/>
        <w:numPr>
          <w:ilvl w:val="0"/>
          <w:numId w:val="9"/>
        </w:numPr>
        <w:tabs>
          <w:tab w:pos="2569" w:val="left" w:leader="none"/>
          <w:tab w:pos="2570" w:val="left" w:leader="none"/>
        </w:tabs>
        <w:spacing w:line="237" w:lineRule="auto" w:before="3" w:after="0"/>
        <w:ind w:left="2569" w:right="193" w:hanging="874"/>
        <w:jc w:val="left"/>
        <w:rPr>
          <w:sz w:val="22"/>
        </w:rPr>
      </w:pPr>
      <w:r>
        <w:rPr>
          <w:sz w:val="22"/>
        </w:rPr>
        <w:t>National security cannot be invoked as a reason for imposing limitations</w:t>
      </w:r>
      <w:r>
        <w:rPr>
          <w:spacing w:val="-55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prevent merely local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relatively</w:t>
      </w:r>
      <w:r>
        <w:rPr>
          <w:spacing w:val="-1"/>
          <w:sz w:val="22"/>
        </w:rPr>
        <w:t> </w:t>
      </w:r>
      <w:r>
        <w:rPr>
          <w:sz w:val="22"/>
        </w:rPr>
        <w:t>isolated</w:t>
      </w:r>
      <w:r>
        <w:rPr>
          <w:spacing w:val="-1"/>
          <w:sz w:val="22"/>
        </w:rPr>
        <w:t> </w:t>
      </w:r>
      <w:r>
        <w:rPr>
          <w:sz w:val="22"/>
        </w:rPr>
        <w:t>threats to</w:t>
      </w:r>
      <w:r>
        <w:rPr>
          <w:spacing w:val="-4"/>
          <w:sz w:val="22"/>
        </w:rPr>
        <w:t> </w:t>
      </w:r>
      <w:r>
        <w:rPr>
          <w:sz w:val="22"/>
        </w:rPr>
        <w:t>law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order.</w:t>
      </w:r>
      <w:r>
        <w:rPr>
          <w:spacing w:val="-23"/>
          <w:sz w:val="22"/>
        </w:rPr>
        <w:t> </w:t>
      </w:r>
      <w:r>
        <w:rPr>
          <w:sz w:val="22"/>
          <w:vertAlign w:val="superscript"/>
        </w:rPr>
        <w:t>31</w:t>
      </w:r>
    </w:p>
    <w:p>
      <w:pPr>
        <w:pStyle w:val="BodyText"/>
        <w:spacing w:before="8"/>
        <w:ind w:left="0"/>
        <w:rPr>
          <w:sz w:val="26"/>
        </w:rPr>
      </w:pPr>
    </w:p>
    <w:p>
      <w:pPr>
        <w:pStyle w:val="ListParagraph"/>
        <w:numPr>
          <w:ilvl w:val="0"/>
          <w:numId w:val="8"/>
        </w:numPr>
        <w:tabs>
          <w:tab w:pos="1825" w:val="left" w:leader="none"/>
          <w:tab w:pos="1826" w:val="left" w:leader="none"/>
        </w:tabs>
        <w:spacing w:line="240" w:lineRule="auto" w:before="1" w:after="0"/>
        <w:ind w:left="1825" w:right="0" w:hanging="850"/>
        <w:jc w:val="left"/>
        <w:rPr>
          <w:i/>
          <w:sz w:val="24"/>
        </w:rPr>
      </w:pPr>
      <w:r>
        <w:rPr>
          <w:i/>
          <w:sz w:val="24"/>
        </w:rPr>
        <w:t>Necessity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39" w:after="0"/>
        <w:ind w:left="1686" w:right="531" w:hanging="567"/>
        <w:jc w:val="left"/>
        <w:rPr>
          <w:sz w:val="24"/>
        </w:rPr>
      </w:pPr>
      <w:r>
        <w:rPr>
          <w:sz w:val="24"/>
        </w:rPr>
        <w:t>A measure which limits human rights cannot be justified unless it is</w:t>
      </w:r>
      <w:r>
        <w:rPr>
          <w:spacing w:val="1"/>
          <w:sz w:val="24"/>
        </w:rPr>
        <w:t> </w:t>
      </w:r>
      <w:r>
        <w:rPr>
          <w:sz w:val="24"/>
        </w:rPr>
        <w:t>‘necessary’. This is a vital consideration in the law enforcement context,</w:t>
      </w:r>
      <w:r>
        <w:rPr>
          <w:spacing w:val="-60"/>
          <w:sz w:val="24"/>
        </w:rPr>
        <w:t> </w:t>
      </w:r>
      <w:r>
        <w:rPr>
          <w:sz w:val="24"/>
        </w:rPr>
        <w:t>given that there may be numerous available methods of gathering</w:t>
      </w:r>
      <w:r>
        <w:rPr>
          <w:spacing w:val="1"/>
          <w:sz w:val="24"/>
        </w:rPr>
        <w:t> </w:t>
      </w:r>
      <w:r>
        <w:rPr>
          <w:sz w:val="24"/>
        </w:rPr>
        <w:t>evidence.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0" w:after="0"/>
        <w:ind w:left="1686" w:right="122" w:hanging="567"/>
        <w:jc w:val="left"/>
        <w:rPr>
          <w:sz w:val="24"/>
        </w:rPr>
      </w:pPr>
      <w:r>
        <w:rPr>
          <w:sz w:val="24"/>
        </w:rPr>
        <w:t>To be ‘necessary’, a rights limitation must: be based on one of the grounds</w:t>
      </w:r>
      <w:r>
        <w:rPr>
          <w:spacing w:val="1"/>
          <w:sz w:val="24"/>
        </w:rPr>
        <w:t> </w:t>
      </w:r>
      <w:r>
        <w:rPr>
          <w:sz w:val="24"/>
        </w:rPr>
        <w:t>justifying limitation that are recognised in the ICCPR; respond to a pressing</w:t>
      </w:r>
      <w:r>
        <w:rPr>
          <w:spacing w:val="-60"/>
          <w:sz w:val="24"/>
        </w:rPr>
        <w:t> </w:t>
      </w:r>
      <w:r>
        <w:rPr>
          <w:sz w:val="24"/>
        </w:rPr>
        <w:t>public</w:t>
      </w:r>
      <w:r>
        <w:rPr>
          <w:spacing w:val="4"/>
          <w:sz w:val="24"/>
        </w:rPr>
        <w:t> </w:t>
      </w:r>
      <w:r>
        <w:rPr>
          <w:sz w:val="24"/>
        </w:rPr>
        <w:t>or</w:t>
      </w:r>
      <w:r>
        <w:rPr>
          <w:spacing w:val="2"/>
          <w:sz w:val="24"/>
        </w:rPr>
        <w:t> </w:t>
      </w:r>
      <w:r>
        <w:rPr>
          <w:sz w:val="24"/>
        </w:rPr>
        <w:t>social need;</w:t>
      </w:r>
      <w:r>
        <w:rPr>
          <w:spacing w:val="2"/>
          <w:sz w:val="24"/>
        </w:rPr>
        <w:t> </w:t>
      </w:r>
      <w:r>
        <w:rPr>
          <w:sz w:val="24"/>
        </w:rPr>
        <w:t>pursue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legitimate</w:t>
      </w:r>
      <w:r>
        <w:rPr>
          <w:spacing w:val="3"/>
          <w:sz w:val="24"/>
        </w:rPr>
        <w:t> </w:t>
      </w:r>
      <w:r>
        <w:rPr>
          <w:sz w:val="24"/>
        </w:rPr>
        <w:t>aim;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4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proportionate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that aim.</w:t>
      </w:r>
      <w:r>
        <w:rPr>
          <w:position w:val="8"/>
          <w:sz w:val="13"/>
        </w:rPr>
        <w:t>32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0" w:after="0"/>
        <w:ind w:left="1686" w:right="140" w:hanging="567"/>
        <w:jc w:val="left"/>
        <w:rPr>
          <w:sz w:val="24"/>
        </w:rPr>
      </w:pPr>
      <w:r>
        <w:rPr>
          <w:sz w:val="24"/>
        </w:rPr>
        <w:t>A measure is not necessary if the aim of that measure could be achieved</w:t>
      </w:r>
      <w:r>
        <w:rPr>
          <w:spacing w:val="1"/>
          <w:sz w:val="24"/>
        </w:rPr>
        <w:t> </w:t>
      </w:r>
      <w:r>
        <w:rPr>
          <w:sz w:val="24"/>
        </w:rPr>
        <w:t>through less rights-intrusive means. Similarly, a restrictive measure cannot</w:t>
      </w:r>
      <w:r>
        <w:rPr>
          <w:spacing w:val="-60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said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necessary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it essentially</w:t>
      </w:r>
      <w:r>
        <w:rPr>
          <w:spacing w:val="-2"/>
          <w:sz w:val="24"/>
        </w:rPr>
        <w:t> </w:t>
      </w:r>
      <w:r>
        <w:rPr>
          <w:sz w:val="24"/>
        </w:rPr>
        <w:t>duplicates</w:t>
      </w:r>
      <w:r>
        <w:rPr>
          <w:spacing w:val="-1"/>
          <w:sz w:val="24"/>
        </w:rPr>
        <w:t> </w:t>
      </w:r>
      <w:r>
        <w:rPr>
          <w:sz w:val="24"/>
        </w:rPr>
        <w:t>existing</w:t>
      </w:r>
      <w:r>
        <w:rPr>
          <w:spacing w:val="-4"/>
          <w:sz w:val="24"/>
        </w:rPr>
        <w:t> </w:t>
      </w:r>
      <w:r>
        <w:rPr>
          <w:sz w:val="24"/>
        </w:rPr>
        <w:t>measures.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0" w:after="0"/>
        <w:ind w:left="1686" w:right="308" w:hanging="567"/>
        <w:jc w:val="left"/>
        <w:rPr>
          <w:sz w:val="24"/>
        </w:rPr>
      </w:pPr>
      <w:r>
        <w:rPr>
          <w:sz w:val="24"/>
        </w:rPr>
        <w:t>Any assessment as to the necessity of a limitation is to be made on</w:t>
      </w:r>
      <w:r>
        <w:rPr>
          <w:spacing w:val="1"/>
          <w:sz w:val="24"/>
        </w:rPr>
        <w:t> </w:t>
      </w:r>
      <w:r>
        <w:rPr>
          <w:sz w:val="24"/>
        </w:rPr>
        <w:t>objective considerations. The burden of justifying a limitation of a human</w:t>
      </w:r>
      <w:r>
        <w:rPr>
          <w:spacing w:val="-60"/>
          <w:sz w:val="24"/>
        </w:rPr>
        <w:t> </w:t>
      </w:r>
      <w:r>
        <w:rPr>
          <w:sz w:val="24"/>
        </w:rPr>
        <w:t>right lies with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State.</w:t>
      </w:r>
      <w:r>
        <w:rPr>
          <w:position w:val="8"/>
          <w:sz w:val="13"/>
        </w:rPr>
        <w:t>33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1" w:after="0"/>
        <w:ind w:left="1686" w:right="248" w:hanging="567"/>
        <w:jc w:val="left"/>
        <w:rPr>
          <w:sz w:val="24"/>
        </w:rPr>
      </w:pPr>
      <w:r>
        <w:rPr>
          <w:sz w:val="24"/>
        </w:rPr>
        <w:t>There is a real risk that law enforcement powers will limit human rights to</w:t>
      </w:r>
      <w:r>
        <w:rPr>
          <w:spacing w:val="-60"/>
          <w:sz w:val="24"/>
        </w:rPr>
        <w:t> </w:t>
      </w:r>
      <w:r>
        <w:rPr>
          <w:sz w:val="24"/>
        </w:rPr>
        <w:t>a greater degree than is necessary through ’legislative creep’. That is,</w:t>
      </w:r>
      <w:r>
        <w:rPr>
          <w:spacing w:val="1"/>
          <w:sz w:val="24"/>
        </w:rPr>
        <w:t> </w:t>
      </w:r>
      <w:r>
        <w:rPr>
          <w:sz w:val="24"/>
        </w:rPr>
        <w:t>intrusive and previously extraordinary law enforcement powers can</w:t>
      </w:r>
      <w:r>
        <w:rPr>
          <w:spacing w:val="1"/>
          <w:sz w:val="24"/>
        </w:rPr>
        <w:t> </w:t>
      </w:r>
      <w:r>
        <w:rPr>
          <w:sz w:val="24"/>
        </w:rPr>
        <w:t>quickly become normalised through successive legislation and practice,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used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precedent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justify</w:t>
      </w:r>
      <w:r>
        <w:rPr>
          <w:spacing w:val="-3"/>
          <w:sz w:val="24"/>
        </w:rPr>
        <w:t> </w:t>
      </w:r>
      <w:r>
        <w:rPr>
          <w:sz w:val="24"/>
        </w:rPr>
        <w:t>even</w:t>
      </w:r>
      <w:r>
        <w:rPr>
          <w:spacing w:val="-6"/>
          <w:sz w:val="24"/>
        </w:rPr>
        <w:t> </w:t>
      </w:r>
      <w:r>
        <w:rPr>
          <w:sz w:val="24"/>
        </w:rPr>
        <w:t>more</w:t>
      </w:r>
      <w:r>
        <w:rPr>
          <w:spacing w:val="-3"/>
          <w:sz w:val="24"/>
        </w:rPr>
        <w:t> </w:t>
      </w:r>
      <w:r>
        <w:rPr>
          <w:sz w:val="24"/>
        </w:rPr>
        <w:t>invasive</w:t>
      </w:r>
      <w:r>
        <w:rPr>
          <w:spacing w:val="-3"/>
          <w:sz w:val="24"/>
        </w:rPr>
        <w:t> </w:t>
      </w:r>
      <w:r>
        <w:rPr>
          <w:sz w:val="24"/>
        </w:rPr>
        <w:t>future</w:t>
      </w:r>
      <w:r>
        <w:rPr>
          <w:spacing w:val="-3"/>
          <w:sz w:val="24"/>
        </w:rPr>
        <w:t> </w:t>
      </w:r>
      <w:r>
        <w:rPr>
          <w:sz w:val="24"/>
        </w:rPr>
        <w:t>measures.</w:t>
      </w:r>
      <w:r>
        <w:rPr>
          <w:position w:val="8"/>
          <w:sz w:val="13"/>
        </w:rPr>
        <w:t>34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1146" w:footer="333" w:top="1680" w:bottom="520" w:left="44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01" w:after="0"/>
        <w:ind w:left="1686" w:right="791" w:hanging="567"/>
        <w:jc w:val="left"/>
        <w:rPr>
          <w:sz w:val="24"/>
        </w:rPr>
      </w:pPr>
      <w:r>
        <w:rPr>
          <w:sz w:val="24"/>
        </w:rPr>
        <w:t>To establish necessity, the powers must be closely scrutinised to</w:t>
      </w:r>
      <w:r>
        <w:rPr>
          <w:spacing w:val="1"/>
          <w:sz w:val="24"/>
        </w:rPr>
        <w:t> </w:t>
      </w:r>
      <w:r>
        <w:rPr>
          <w:sz w:val="24"/>
        </w:rPr>
        <w:t>determine whether they go beyond what is genuinely needed for the</w:t>
      </w:r>
      <w:r>
        <w:rPr>
          <w:spacing w:val="-60"/>
          <w:sz w:val="24"/>
        </w:rPr>
        <w:t> </w:t>
      </w:r>
      <w:r>
        <w:rPr>
          <w:sz w:val="24"/>
        </w:rPr>
        <w:t>purposes</w:t>
      </w:r>
      <w:r>
        <w:rPr>
          <w:spacing w:val="-1"/>
          <w:sz w:val="24"/>
        </w:rPr>
        <w:t> </w:t>
      </w:r>
      <w:r>
        <w:rPr>
          <w:sz w:val="24"/>
        </w:rPr>
        <w:t>of law enforcement.</w:t>
      </w:r>
    </w:p>
    <w:p>
      <w:pPr>
        <w:pStyle w:val="BodyText"/>
        <w:spacing w:before="4"/>
        <w:ind w:left="0"/>
        <w:rPr>
          <w:sz w:val="26"/>
        </w:rPr>
      </w:pPr>
    </w:p>
    <w:p>
      <w:pPr>
        <w:pStyle w:val="ListParagraph"/>
        <w:numPr>
          <w:ilvl w:val="0"/>
          <w:numId w:val="8"/>
        </w:numPr>
        <w:tabs>
          <w:tab w:pos="1825" w:val="left" w:leader="none"/>
          <w:tab w:pos="1826" w:val="left" w:leader="none"/>
        </w:tabs>
        <w:spacing w:line="240" w:lineRule="auto" w:before="0" w:after="0"/>
        <w:ind w:left="1825" w:right="0" w:hanging="850"/>
        <w:jc w:val="left"/>
        <w:rPr>
          <w:i/>
          <w:sz w:val="24"/>
        </w:rPr>
      </w:pPr>
      <w:r>
        <w:rPr>
          <w:i/>
          <w:sz w:val="24"/>
        </w:rPr>
        <w:t>Proportionality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40" w:after="0"/>
        <w:ind w:left="1686" w:right="235" w:hanging="567"/>
        <w:jc w:val="left"/>
        <w:rPr>
          <w:sz w:val="24"/>
        </w:rPr>
      </w:pPr>
      <w:r>
        <w:rPr>
          <w:sz w:val="24"/>
        </w:rPr>
        <w:t>The Siracusa Principles state that a rights limitation must pursue a</w:t>
      </w:r>
      <w:r>
        <w:rPr>
          <w:spacing w:val="1"/>
          <w:sz w:val="24"/>
        </w:rPr>
        <w:t> </w:t>
      </w:r>
      <w:r>
        <w:rPr>
          <w:sz w:val="24"/>
        </w:rPr>
        <w:t>legitimate aim and be proportionate to that aim.</w:t>
      </w:r>
      <w:r>
        <w:rPr>
          <w:position w:val="8"/>
          <w:sz w:val="13"/>
        </w:rPr>
        <w:t>35 </w:t>
      </w:r>
      <w:r>
        <w:rPr>
          <w:sz w:val="24"/>
        </w:rPr>
        <w:t>Assessing whether a</w:t>
      </w:r>
      <w:r>
        <w:rPr>
          <w:spacing w:val="1"/>
          <w:sz w:val="24"/>
        </w:rPr>
        <w:t> </w:t>
      </w:r>
      <w:r>
        <w:rPr>
          <w:sz w:val="24"/>
        </w:rPr>
        <w:t>limitation is proportionate to the pursuit of a legitimate objective requires</w:t>
      </w:r>
      <w:r>
        <w:rPr>
          <w:spacing w:val="-60"/>
          <w:sz w:val="24"/>
        </w:rPr>
        <w:t> </w:t>
      </w:r>
      <w:r>
        <w:rPr>
          <w:sz w:val="24"/>
        </w:rPr>
        <w:t>an assessment of the nature and extent of each limitation, the urgency of</w:t>
      </w:r>
      <w:r>
        <w:rPr>
          <w:spacing w:val="-60"/>
          <w:sz w:val="24"/>
        </w:rPr>
        <w:t> </w:t>
      </w:r>
      <w:r>
        <w:rPr>
          <w:sz w:val="24"/>
        </w:rPr>
        <w:t>the objective, and the degree to which the rights-limiting measure is likely</w:t>
      </w:r>
      <w:r>
        <w:rPr>
          <w:spacing w:val="-60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achieve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objective.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2" w:lineRule="auto" w:before="199" w:after="0"/>
        <w:ind w:left="1686" w:right="1484" w:hanging="567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HR</w:t>
      </w:r>
      <w:r>
        <w:rPr>
          <w:spacing w:val="-2"/>
          <w:sz w:val="24"/>
        </w:rPr>
        <w:t> </w:t>
      </w:r>
      <w:r>
        <w:rPr>
          <w:sz w:val="24"/>
        </w:rPr>
        <w:t>Committee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provided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following</w:t>
      </w:r>
      <w:r>
        <w:rPr>
          <w:spacing w:val="-4"/>
          <w:sz w:val="24"/>
        </w:rPr>
        <w:t> </w:t>
      </w:r>
      <w:r>
        <w:rPr>
          <w:sz w:val="24"/>
        </w:rPr>
        <w:t>guidance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59"/>
          <w:sz w:val="24"/>
        </w:rPr>
        <w:t> </w:t>
      </w:r>
      <w:r>
        <w:rPr>
          <w:sz w:val="24"/>
        </w:rPr>
        <w:t>proportionality:</w:t>
      </w:r>
    </w:p>
    <w:p>
      <w:pPr>
        <w:spacing w:line="240" w:lineRule="auto" w:before="196"/>
        <w:ind w:left="2416" w:right="203" w:firstLine="0"/>
        <w:jc w:val="left"/>
        <w:rPr>
          <w:sz w:val="22"/>
        </w:rPr>
      </w:pPr>
      <w:r>
        <w:rPr>
          <w:sz w:val="22"/>
        </w:rPr>
        <w:t>Restrictive measures must conform to the principle of proportionality;</w:t>
      </w:r>
      <w:r>
        <w:rPr>
          <w:spacing w:val="1"/>
          <w:sz w:val="22"/>
        </w:rPr>
        <w:t> </w:t>
      </w:r>
      <w:r>
        <w:rPr>
          <w:sz w:val="22"/>
        </w:rPr>
        <w:t>they must be appropriate to achieve their protective function; they must</w:t>
      </w:r>
      <w:r>
        <w:rPr>
          <w:spacing w:val="1"/>
          <w:sz w:val="22"/>
        </w:rPr>
        <w:t> </w:t>
      </w:r>
      <w:r>
        <w:rPr>
          <w:sz w:val="22"/>
        </w:rPr>
        <w:t>be the least intrusive instrument amongst those which might achieve the</w:t>
      </w:r>
      <w:r>
        <w:rPr>
          <w:spacing w:val="1"/>
          <w:sz w:val="22"/>
        </w:rPr>
        <w:t> </w:t>
      </w:r>
      <w:r>
        <w:rPr>
          <w:sz w:val="22"/>
        </w:rPr>
        <w:t>desired result; and they must be proportionate to the interest to be</w:t>
      </w:r>
      <w:r>
        <w:rPr>
          <w:spacing w:val="1"/>
          <w:sz w:val="22"/>
        </w:rPr>
        <w:t> </w:t>
      </w:r>
      <w:r>
        <w:rPr>
          <w:sz w:val="22"/>
        </w:rPr>
        <w:t>protected. The principle of proportionality has to be respected not only in</w:t>
      </w:r>
      <w:r>
        <w:rPr>
          <w:spacing w:val="-55"/>
          <w:sz w:val="22"/>
        </w:rPr>
        <w:t> </w:t>
      </w:r>
      <w:r>
        <w:rPr>
          <w:sz w:val="22"/>
        </w:rPr>
        <w:t>the law that frames the restrictions, but also by the administrative and</w:t>
      </w:r>
      <w:r>
        <w:rPr>
          <w:spacing w:val="1"/>
          <w:sz w:val="22"/>
        </w:rPr>
        <w:t> </w:t>
      </w:r>
      <w:r>
        <w:rPr>
          <w:sz w:val="22"/>
        </w:rPr>
        <w:t>judicial</w:t>
      </w:r>
      <w:r>
        <w:rPr>
          <w:spacing w:val="-4"/>
          <w:sz w:val="22"/>
        </w:rPr>
        <w:t> </w:t>
      </w:r>
      <w:r>
        <w:rPr>
          <w:sz w:val="22"/>
        </w:rPr>
        <w:t>authorities in</w:t>
      </w:r>
      <w:r>
        <w:rPr>
          <w:spacing w:val="-6"/>
          <w:sz w:val="22"/>
        </w:rPr>
        <w:t> </w:t>
      </w:r>
      <w:r>
        <w:rPr>
          <w:sz w:val="22"/>
        </w:rPr>
        <w:t>applying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law.</w:t>
      </w:r>
      <w:r>
        <w:rPr>
          <w:sz w:val="22"/>
          <w:vertAlign w:val="superscript"/>
        </w:rPr>
        <w:t>36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0" w:after="0"/>
        <w:ind w:left="1686" w:right="432" w:hanging="567"/>
        <w:jc w:val="left"/>
        <w:rPr>
          <w:sz w:val="24"/>
        </w:rPr>
      </w:pPr>
      <w:r>
        <w:rPr>
          <w:sz w:val="24"/>
        </w:rPr>
        <w:t>The Siracusa Principles state that, even during a public emergency that</w:t>
      </w:r>
      <w:r>
        <w:rPr>
          <w:spacing w:val="1"/>
          <w:sz w:val="24"/>
        </w:rPr>
        <w:t> </w:t>
      </w:r>
      <w:r>
        <w:rPr>
          <w:sz w:val="24"/>
        </w:rPr>
        <w:t>threatens the life of a nation, any measure that derogates from a State’s</w:t>
      </w:r>
      <w:r>
        <w:rPr>
          <w:spacing w:val="-60"/>
          <w:sz w:val="24"/>
        </w:rPr>
        <w:t> </w:t>
      </w:r>
      <w:r>
        <w:rPr>
          <w:sz w:val="24"/>
        </w:rPr>
        <w:t>ICCPR obligations must be strictly necessary to deal with the threat, and</w:t>
      </w:r>
      <w:r>
        <w:rPr>
          <w:spacing w:val="-60"/>
          <w:sz w:val="24"/>
        </w:rPr>
        <w:t> </w:t>
      </w:r>
      <w:r>
        <w:rPr>
          <w:sz w:val="24"/>
        </w:rPr>
        <w:t>proportionate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nature</w:t>
      </w:r>
      <w:r>
        <w:rPr>
          <w:spacing w:val="-1"/>
          <w:sz w:val="24"/>
        </w:rPr>
        <w:t> </w:t>
      </w:r>
      <w:r>
        <w:rPr>
          <w:sz w:val="24"/>
        </w:rPr>
        <w:t>and extent of the</w:t>
      </w:r>
      <w:r>
        <w:rPr>
          <w:spacing w:val="-2"/>
          <w:sz w:val="24"/>
        </w:rPr>
        <w:t> </w:t>
      </w:r>
      <w:r>
        <w:rPr>
          <w:sz w:val="24"/>
        </w:rPr>
        <w:t>threat.</w:t>
      </w:r>
      <w:r>
        <w:rPr>
          <w:position w:val="8"/>
          <w:sz w:val="13"/>
        </w:rPr>
        <w:t>37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0" w:after="0"/>
        <w:ind w:left="1686" w:right="143" w:hanging="567"/>
        <w:jc w:val="left"/>
        <w:rPr>
          <w:sz w:val="24"/>
        </w:rPr>
      </w:pPr>
      <w:r>
        <w:rPr>
          <w:sz w:val="24"/>
        </w:rPr>
        <w:t>A fully informed assessment of these issues may, in some circumstances,</w:t>
      </w:r>
      <w:r>
        <w:rPr>
          <w:spacing w:val="1"/>
          <w:sz w:val="24"/>
        </w:rPr>
        <w:t> </w:t>
      </w:r>
      <w:r>
        <w:rPr>
          <w:sz w:val="24"/>
        </w:rPr>
        <w:t>depend on the consideration of classified security material. Often, only the</w:t>
      </w:r>
      <w:r>
        <w:rPr>
          <w:spacing w:val="-60"/>
          <w:sz w:val="24"/>
        </w:rPr>
        <w:t> </w:t>
      </w:r>
      <w:r>
        <w:rPr>
          <w:sz w:val="24"/>
        </w:rPr>
        <w:t>relevant decision makers empowered to give notices or to obtain warrants</w:t>
      </w:r>
      <w:r>
        <w:rPr>
          <w:spacing w:val="-60"/>
          <w:sz w:val="24"/>
        </w:rPr>
        <w:t> </w:t>
      </w:r>
      <w:r>
        <w:rPr>
          <w:sz w:val="24"/>
        </w:rPr>
        <w:t>will have access to this information, which is not made publicly available.</w:t>
      </w:r>
      <w:r>
        <w:rPr>
          <w:spacing w:val="1"/>
          <w:sz w:val="24"/>
        </w:rPr>
        <w:t> </w:t>
      </w:r>
      <w:r>
        <w:rPr>
          <w:sz w:val="24"/>
        </w:rPr>
        <w:t>Therefore, it is difficult to scrutinise these decisions and ensure that</w:t>
      </w:r>
      <w:r>
        <w:rPr>
          <w:spacing w:val="1"/>
          <w:sz w:val="24"/>
        </w:rPr>
        <w:t> </w:t>
      </w:r>
      <w:r>
        <w:rPr>
          <w:sz w:val="24"/>
        </w:rPr>
        <w:t>human rights are protected. In the Commission’s view, it is accordingly</w:t>
      </w:r>
      <w:r>
        <w:rPr>
          <w:spacing w:val="1"/>
          <w:sz w:val="24"/>
        </w:rPr>
        <w:t> </w:t>
      </w:r>
      <w:r>
        <w:rPr>
          <w:sz w:val="24"/>
        </w:rPr>
        <w:t>crucial that human rights protections are built into the decision-making</w:t>
      </w:r>
      <w:r>
        <w:rPr>
          <w:spacing w:val="1"/>
          <w:sz w:val="24"/>
        </w:rPr>
        <w:t> </w:t>
      </w:r>
      <w:r>
        <w:rPr>
          <w:sz w:val="24"/>
        </w:rPr>
        <w:t>process, as a safeguard to support proper consideration of human rights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decision</w:t>
      </w:r>
      <w:r>
        <w:rPr>
          <w:spacing w:val="1"/>
          <w:sz w:val="24"/>
        </w:rPr>
        <w:t> </w:t>
      </w:r>
      <w:r>
        <w:rPr>
          <w:sz w:val="24"/>
        </w:rPr>
        <w:t>makers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relevant circumstances.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1146" w:footer="333" w:top="1680" w:bottom="520" w:left="44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7"/>
        </w:rPr>
      </w:pPr>
    </w:p>
    <w:p>
      <w:pPr>
        <w:pStyle w:val="Heading1"/>
        <w:numPr>
          <w:ilvl w:val="0"/>
          <w:numId w:val="3"/>
        </w:numPr>
        <w:tabs>
          <w:tab w:pos="1825" w:val="left" w:leader="none"/>
          <w:tab w:pos="1826" w:val="left" w:leader="none"/>
        </w:tabs>
        <w:spacing w:line="240" w:lineRule="auto" w:before="100" w:after="0"/>
        <w:ind w:left="1825" w:right="0" w:hanging="850"/>
        <w:jc w:val="left"/>
      </w:pPr>
      <w:bookmarkStart w:name="_TOC_250005" w:id="9"/>
      <w:r>
        <w:rPr/>
        <w:t>Five</w:t>
      </w:r>
      <w:r>
        <w:rPr>
          <w:spacing w:val="-3"/>
        </w:rPr>
        <w:t> </w:t>
      </w:r>
      <w:r>
        <w:rPr/>
        <w:t>key</w:t>
      </w:r>
      <w:r>
        <w:rPr>
          <w:spacing w:val="-4"/>
        </w:rPr>
        <w:t> </w:t>
      </w:r>
      <w:r>
        <w:rPr/>
        <w:t>human</w:t>
      </w:r>
      <w:r>
        <w:rPr>
          <w:spacing w:val="-3"/>
        </w:rPr>
        <w:t> </w:t>
      </w:r>
      <w:r>
        <w:rPr/>
        <w:t>rights</w:t>
      </w:r>
      <w:r>
        <w:rPr>
          <w:spacing w:val="-2"/>
        </w:rPr>
        <w:t> </w:t>
      </w:r>
      <w:bookmarkEnd w:id="9"/>
      <w:r>
        <w:rPr/>
        <w:t>concerns</w:t>
      </w:r>
    </w:p>
    <w:p>
      <w:pPr>
        <w:pStyle w:val="Heading3"/>
        <w:spacing w:before="238"/>
        <w:rPr>
          <w:i/>
        </w:rPr>
      </w:pPr>
      <w:r>
        <w:rPr>
          <w:i/>
        </w:rPr>
        <w:t>Schedule</w:t>
      </w:r>
      <w:r>
        <w:rPr>
          <w:i/>
          <w:spacing w:val="-1"/>
        </w:rPr>
        <w:t> </w:t>
      </w:r>
      <w:r>
        <w:rPr>
          <w:i/>
        </w:rPr>
        <w:t>1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the</w:t>
      </w:r>
      <w:r>
        <w:rPr>
          <w:i/>
          <w:spacing w:val="-5"/>
        </w:rPr>
        <w:t> </w:t>
      </w:r>
      <w:r>
        <w:rPr>
          <w:i/>
        </w:rPr>
        <w:t>TOLA</w:t>
      </w:r>
      <w:r>
        <w:rPr>
          <w:i/>
          <w:spacing w:val="-1"/>
        </w:rPr>
        <w:t> </w:t>
      </w:r>
      <w:r>
        <w:rPr>
          <w:i/>
        </w:rPr>
        <w:t>Act</w:t>
      </w:r>
    </w:p>
    <w:p>
      <w:pPr>
        <w:pStyle w:val="BodyText"/>
        <w:spacing w:before="4"/>
        <w:ind w:left="0"/>
        <w:rPr>
          <w:b/>
          <w:i/>
          <w:sz w:val="26"/>
        </w:rPr>
      </w:pPr>
    </w:p>
    <w:p>
      <w:pPr>
        <w:pStyle w:val="Heading2"/>
        <w:numPr>
          <w:ilvl w:val="1"/>
          <w:numId w:val="10"/>
        </w:numPr>
        <w:tabs>
          <w:tab w:pos="1825" w:val="left" w:leader="none"/>
          <w:tab w:pos="1826" w:val="left" w:leader="none"/>
        </w:tabs>
        <w:spacing w:line="242" w:lineRule="auto" w:before="0" w:after="0"/>
        <w:ind w:left="1825" w:right="1203" w:hanging="850"/>
        <w:jc w:val="left"/>
      </w:pPr>
      <w:bookmarkStart w:name="_TOC_250004" w:id="10"/>
      <w:r>
        <w:rPr/>
        <w:t>Lack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requirement</w:t>
      </w:r>
      <w:r>
        <w:rPr>
          <w:spacing w:val="-1"/>
        </w:rPr>
        <w:t> </w:t>
      </w:r>
      <w:r>
        <w:rPr/>
        <w:t>for</w:t>
      </w:r>
      <w:r>
        <w:rPr>
          <w:spacing w:val="-6"/>
        </w:rPr>
        <w:t> </w:t>
      </w:r>
      <w:r>
        <w:rPr/>
        <w:t>judicial</w:t>
      </w:r>
      <w:r>
        <w:rPr>
          <w:spacing w:val="-4"/>
        </w:rPr>
        <w:t> </w:t>
      </w:r>
      <w:r>
        <w:rPr/>
        <w:t>authorisation</w:t>
      </w:r>
      <w:r>
        <w:rPr>
          <w:spacing w:val="-1"/>
        </w:rPr>
        <w:t> </w:t>
      </w:r>
      <w:r>
        <w:rPr/>
        <w:t>for</w:t>
      </w:r>
      <w:r>
        <w:rPr>
          <w:spacing w:val="-70"/>
        </w:rPr>
        <w:t> </w:t>
      </w:r>
      <w:r>
        <w:rPr/>
        <w:t>assistance</w:t>
      </w:r>
      <w:r>
        <w:rPr>
          <w:spacing w:val="1"/>
        </w:rPr>
        <w:t> </w:t>
      </w:r>
      <w:bookmarkEnd w:id="10"/>
      <w:r>
        <w:rPr/>
        <w:t>notices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2" w:lineRule="auto" w:before="233" w:after="0"/>
        <w:ind w:left="1686" w:right="1294" w:hanging="567"/>
        <w:jc w:val="left"/>
        <w:rPr>
          <w:sz w:val="24"/>
        </w:rPr>
      </w:pPr>
      <w:r>
        <w:rPr>
          <w:sz w:val="24"/>
        </w:rPr>
        <w:t>The TOLA Act introduced new powers under which designated</w:t>
      </w:r>
      <w:r>
        <w:rPr>
          <w:spacing w:val="1"/>
          <w:sz w:val="24"/>
        </w:rPr>
        <w:t> </w:t>
      </w:r>
      <w:r>
        <w:rPr>
          <w:sz w:val="24"/>
        </w:rPr>
        <w:t>communications providers can be compelled to provide certain</w:t>
      </w:r>
      <w:r>
        <w:rPr>
          <w:spacing w:val="1"/>
          <w:sz w:val="24"/>
        </w:rPr>
        <w:t> </w:t>
      </w:r>
      <w:r>
        <w:rPr>
          <w:sz w:val="24"/>
        </w:rPr>
        <w:t>government</w:t>
      </w:r>
      <w:r>
        <w:rPr>
          <w:spacing w:val="-3"/>
          <w:sz w:val="24"/>
        </w:rPr>
        <w:t> </w:t>
      </w:r>
      <w:r>
        <w:rPr>
          <w:sz w:val="24"/>
        </w:rPr>
        <w:t>agencies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various</w:t>
      </w:r>
      <w:r>
        <w:rPr>
          <w:spacing w:val="-4"/>
          <w:sz w:val="24"/>
        </w:rPr>
        <w:t> </w:t>
      </w:r>
      <w:r>
        <w:rPr>
          <w:sz w:val="24"/>
        </w:rPr>
        <w:t>forms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technical</w:t>
      </w:r>
      <w:r>
        <w:rPr>
          <w:spacing w:val="-2"/>
          <w:sz w:val="24"/>
        </w:rPr>
        <w:t> </w:t>
      </w:r>
      <w:r>
        <w:rPr>
          <w:sz w:val="24"/>
        </w:rPr>
        <w:t>assistance.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90" w:after="0"/>
        <w:ind w:left="1686" w:right="380" w:hanging="567"/>
        <w:jc w:val="left"/>
        <w:rPr>
          <w:sz w:val="24"/>
        </w:rPr>
      </w:pPr>
      <w:r>
        <w:rPr>
          <w:sz w:val="24"/>
        </w:rPr>
        <w:t>As explained in the Commission’s October 2018 submission on the TOLA</w:t>
      </w:r>
      <w:r>
        <w:rPr>
          <w:spacing w:val="-60"/>
          <w:sz w:val="24"/>
        </w:rPr>
        <w:t> </w:t>
      </w:r>
      <w:r>
        <w:rPr>
          <w:sz w:val="24"/>
        </w:rPr>
        <w:t>Bill,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Commission</w:t>
      </w:r>
      <w:r>
        <w:rPr>
          <w:spacing w:val="-4"/>
          <w:sz w:val="24"/>
        </w:rPr>
        <w:t> </w:t>
      </w:r>
      <w:r>
        <w:rPr>
          <w:sz w:val="24"/>
        </w:rPr>
        <w:t>considers that:</w:t>
      </w:r>
    </w:p>
    <w:p>
      <w:pPr>
        <w:pStyle w:val="ListParagraph"/>
        <w:numPr>
          <w:ilvl w:val="0"/>
          <w:numId w:val="11"/>
        </w:numPr>
        <w:tabs>
          <w:tab w:pos="2052" w:val="left" w:leader="none"/>
        </w:tabs>
        <w:spacing w:line="240" w:lineRule="auto" w:before="201" w:after="0"/>
        <w:ind w:left="2051" w:right="116" w:hanging="356"/>
        <w:jc w:val="left"/>
        <w:rPr>
          <w:sz w:val="24"/>
        </w:rPr>
      </w:pPr>
      <w:r>
        <w:rPr>
          <w:sz w:val="24"/>
        </w:rPr>
        <w:t>agencies should not be able to compel technical assistance without first</w:t>
      </w:r>
      <w:r>
        <w:rPr>
          <w:spacing w:val="-61"/>
          <w:sz w:val="24"/>
        </w:rPr>
        <w:t> </w:t>
      </w:r>
      <w:r>
        <w:rPr>
          <w:sz w:val="24"/>
        </w:rPr>
        <w:t>obtaining independent judicial authorisation (see Recommendation 28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Commission’s</w:t>
      </w:r>
      <w:r>
        <w:rPr>
          <w:spacing w:val="-1"/>
          <w:sz w:val="24"/>
        </w:rPr>
        <w:t> </w:t>
      </w:r>
      <w:r>
        <w:rPr>
          <w:sz w:val="24"/>
        </w:rPr>
        <w:t>October</w:t>
      </w:r>
      <w:r>
        <w:rPr>
          <w:spacing w:val="-2"/>
          <w:sz w:val="24"/>
        </w:rPr>
        <w:t> </w:t>
      </w:r>
      <w:r>
        <w:rPr>
          <w:sz w:val="24"/>
        </w:rPr>
        <w:t>2018</w:t>
      </w:r>
      <w:r>
        <w:rPr>
          <w:spacing w:val="2"/>
          <w:sz w:val="24"/>
        </w:rPr>
        <w:t> </w:t>
      </w:r>
      <w:r>
        <w:rPr>
          <w:sz w:val="24"/>
        </w:rPr>
        <w:t>submission)</w:t>
      </w:r>
    </w:p>
    <w:p>
      <w:pPr>
        <w:pStyle w:val="ListParagraph"/>
        <w:numPr>
          <w:ilvl w:val="0"/>
          <w:numId w:val="11"/>
        </w:numPr>
        <w:tabs>
          <w:tab w:pos="2052" w:val="left" w:leader="none"/>
        </w:tabs>
        <w:spacing w:line="240" w:lineRule="auto" w:before="119" w:after="0"/>
        <w:ind w:left="2051" w:right="419" w:hanging="356"/>
        <w:jc w:val="left"/>
        <w:rPr>
          <w:sz w:val="24"/>
        </w:rPr>
      </w:pPr>
      <w:r>
        <w:rPr>
          <w:sz w:val="24"/>
        </w:rPr>
        <w:t>providers who receive notices compelling them to provide technical</w:t>
      </w:r>
      <w:r>
        <w:rPr>
          <w:spacing w:val="1"/>
          <w:sz w:val="24"/>
        </w:rPr>
        <w:t> </w:t>
      </w:r>
      <w:r>
        <w:rPr>
          <w:sz w:val="24"/>
        </w:rPr>
        <w:t>assistance should have access to independent merits review of</w:t>
      </w:r>
      <w:r>
        <w:rPr>
          <w:spacing w:val="1"/>
          <w:sz w:val="24"/>
        </w:rPr>
        <w:t> </w:t>
      </w:r>
      <w:r>
        <w:rPr>
          <w:sz w:val="24"/>
        </w:rPr>
        <w:t>decisions made under Pt 15 of the </w:t>
      </w:r>
      <w:r>
        <w:rPr>
          <w:i/>
          <w:sz w:val="24"/>
        </w:rPr>
        <w:t>Telecommunications Act 1997 </w:t>
      </w:r>
      <w:r>
        <w:rPr>
          <w:sz w:val="24"/>
        </w:rPr>
        <w:t>(Cth)</w:t>
      </w:r>
      <w:r>
        <w:rPr>
          <w:spacing w:val="1"/>
          <w:sz w:val="24"/>
        </w:rPr>
        <w:t> </w:t>
      </w:r>
      <w:r>
        <w:rPr>
          <w:sz w:val="24"/>
        </w:rPr>
        <w:t>(the Telecommunications Act), including of a decision to give a notice</w:t>
      </w:r>
      <w:r>
        <w:rPr>
          <w:spacing w:val="-60"/>
          <w:sz w:val="24"/>
        </w:rPr>
        <w:t> </w:t>
      </w:r>
      <w:r>
        <w:rPr>
          <w:sz w:val="24"/>
        </w:rPr>
        <w:t>(see</w:t>
      </w:r>
      <w:r>
        <w:rPr>
          <w:spacing w:val="-4"/>
          <w:sz w:val="24"/>
        </w:rPr>
        <w:t> </w:t>
      </w:r>
      <w:r>
        <w:rPr>
          <w:sz w:val="24"/>
        </w:rPr>
        <w:t>Recommendations</w:t>
      </w:r>
      <w:r>
        <w:rPr>
          <w:spacing w:val="-7"/>
          <w:sz w:val="24"/>
        </w:rPr>
        <w:t> </w:t>
      </w:r>
      <w:r>
        <w:rPr>
          <w:sz w:val="24"/>
        </w:rPr>
        <w:t>14 and</w:t>
      </w:r>
      <w:r>
        <w:rPr>
          <w:spacing w:val="-1"/>
          <w:sz w:val="24"/>
        </w:rPr>
        <w:t> </w:t>
      </w:r>
      <w:r>
        <w:rPr>
          <w:sz w:val="24"/>
        </w:rPr>
        <w:t>31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Commission’s</w:t>
      </w:r>
      <w:r>
        <w:rPr>
          <w:spacing w:val="-2"/>
          <w:sz w:val="24"/>
        </w:rPr>
        <w:t> </w:t>
      </w:r>
      <w:r>
        <w:rPr>
          <w:sz w:val="24"/>
        </w:rPr>
        <w:t>October</w:t>
      </w:r>
      <w:r>
        <w:rPr>
          <w:spacing w:val="-4"/>
          <w:sz w:val="24"/>
        </w:rPr>
        <w:t> </w:t>
      </w:r>
      <w:r>
        <w:rPr>
          <w:sz w:val="24"/>
        </w:rPr>
        <w:t>2018</w:t>
      </w:r>
      <w:r>
        <w:rPr>
          <w:spacing w:val="-60"/>
          <w:sz w:val="24"/>
        </w:rPr>
        <w:t> </w:t>
      </w:r>
      <w:r>
        <w:rPr>
          <w:sz w:val="24"/>
        </w:rPr>
        <w:t>submission)</w:t>
      </w:r>
    </w:p>
    <w:p>
      <w:pPr>
        <w:pStyle w:val="ListParagraph"/>
        <w:numPr>
          <w:ilvl w:val="0"/>
          <w:numId w:val="11"/>
        </w:numPr>
        <w:tabs>
          <w:tab w:pos="2052" w:val="left" w:leader="none"/>
        </w:tabs>
        <w:spacing w:line="240" w:lineRule="auto" w:before="122" w:after="0"/>
        <w:ind w:left="2051" w:right="145" w:hanging="356"/>
        <w:jc w:val="both"/>
        <w:rPr>
          <w:sz w:val="24"/>
        </w:rPr>
      </w:pPr>
      <w:r>
        <w:rPr>
          <w:sz w:val="24"/>
        </w:rPr>
        <w:t>providers should have access to judicial review under the </w:t>
      </w:r>
      <w:r>
        <w:rPr>
          <w:i/>
          <w:sz w:val="24"/>
        </w:rPr>
        <w:t>Administrative</w:t>
      </w:r>
      <w:r>
        <w:rPr>
          <w:i/>
          <w:spacing w:val="-60"/>
          <w:sz w:val="24"/>
        </w:rPr>
        <w:t> </w:t>
      </w:r>
      <w:r>
        <w:rPr>
          <w:i/>
          <w:sz w:val="24"/>
        </w:rPr>
        <w:t>Decisions (Judicial Review) Act 1977 </w:t>
      </w:r>
      <w:r>
        <w:rPr>
          <w:sz w:val="24"/>
        </w:rPr>
        <w:t>(Cth) (see Recommendation 30 of the</w:t>
      </w:r>
      <w:r>
        <w:rPr>
          <w:spacing w:val="-60"/>
          <w:sz w:val="24"/>
        </w:rPr>
        <w:t> </w:t>
      </w:r>
      <w:r>
        <w:rPr>
          <w:sz w:val="24"/>
        </w:rPr>
        <w:t>Commission’s</w:t>
      </w:r>
      <w:r>
        <w:rPr>
          <w:spacing w:val="-1"/>
          <w:sz w:val="24"/>
        </w:rPr>
        <w:t> </w:t>
      </w:r>
      <w:r>
        <w:rPr>
          <w:sz w:val="24"/>
        </w:rPr>
        <w:t>October</w:t>
      </w:r>
      <w:r>
        <w:rPr>
          <w:spacing w:val="-2"/>
          <w:sz w:val="24"/>
        </w:rPr>
        <w:t> </w:t>
      </w:r>
      <w:r>
        <w:rPr>
          <w:sz w:val="24"/>
        </w:rPr>
        <w:t>2018</w:t>
      </w:r>
      <w:r>
        <w:rPr>
          <w:spacing w:val="2"/>
          <w:sz w:val="24"/>
        </w:rPr>
        <w:t> </w:t>
      </w:r>
      <w:r>
        <w:rPr>
          <w:sz w:val="24"/>
        </w:rPr>
        <w:t>submission).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0" w:after="0"/>
        <w:ind w:left="1686" w:right="241" w:hanging="567"/>
        <w:jc w:val="left"/>
        <w:rPr>
          <w:sz w:val="24"/>
        </w:rPr>
      </w:pPr>
      <w:r>
        <w:rPr>
          <w:sz w:val="24"/>
        </w:rPr>
        <w:t>The Government amendments to the TOLA Bill introduced an assessment</w:t>
      </w:r>
      <w:r>
        <w:rPr>
          <w:spacing w:val="-60"/>
          <w:sz w:val="24"/>
        </w:rPr>
        <w:t> </w:t>
      </w:r>
      <w:r>
        <w:rPr>
          <w:sz w:val="24"/>
        </w:rPr>
        <w:t>process in s 317WA of the Telecommunications Act, allowing affected</w:t>
      </w:r>
      <w:r>
        <w:rPr>
          <w:spacing w:val="1"/>
          <w:sz w:val="24"/>
        </w:rPr>
        <w:t> </w:t>
      </w:r>
      <w:r>
        <w:rPr>
          <w:sz w:val="24"/>
        </w:rPr>
        <w:t>providers to request an assessment of whether a proposed Technical</w:t>
      </w:r>
      <w:r>
        <w:rPr>
          <w:spacing w:val="1"/>
          <w:sz w:val="24"/>
        </w:rPr>
        <w:t> </w:t>
      </w:r>
      <w:r>
        <w:rPr>
          <w:sz w:val="24"/>
        </w:rPr>
        <w:t>Capability</w:t>
      </w:r>
      <w:r>
        <w:rPr>
          <w:spacing w:val="-2"/>
          <w:sz w:val="24"/>
        </w:rPr>
        <w:t> </w:t>
      </w:r>
      <w:r>
        <w:rPr>
          <w:sz w:val="24"/>
        </w:rPr>
        <w:t>Notice</w:t>
      </w:r>
      <w:r>
        <w:rPr>
          <w:spacing w:val="-1"/>
          <w:sz w:val="24"/>
        </w:rPr>
        <w:t> </w:t>
      </w:r>
      <w:r>
        <w:rPr>
          <w:sz w:val="24"/>
        </w:rPr>
        <w:t>(TCN)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given.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0" w:after="0"/>
        <w:ind w:left="1686" w:right="137" w:hanging="567"/>
        <w:jc w:val="left"/>
        <w:rPr>
          <w:sz w:val="24"/>
        </w:rPr>
      </w:pPr>
      <w:r>
        <w:rPr>
          <w:sz w:val="24"/>
        </w:rPr>
        <w:t>However, there is still no requirement that judicial authorisation be</w:t>
      </w:r>
      <w:r>
        <w:rPr>
          <w:spacing w:val="1"/>
          <w:sz w:val="24"/>
        </w:rPr>
        <w:t> </w:t>
      </w:r>
      <w:r>
        <w:rPr>
          <w:sz w:val="24"/>
        </w:rPr>
        <w:t>obtained before a TCN or a Technical Assistance Notice (TAN) is given. This</w:t>
      </w:r>
      <w:r>
        <w:rPr>
          <w:spacing w:val="-60"/>
          <w:sz w:val="24"/>
        </w:rPr>
        <w:t> </w:t>
      </w:r>
      <w:r>
        <w:rPr>
          <w:sz w:val="24"/>
        </w:rPr>
        <w:t>process does not ensure robust, independent and transparent decision</w:t>
      </w:r>
      <w:r>
        <w:rPr>
          <w:spacing w:val="1"/>
          <w:sz w:val="24"/>
        </w:rPr>
        <w:t> </w:t>
      </w:r>
      <w:r>
        <w:rPr>
          <w:sz w:val="24"/>
        </w:rPr>
        <w:t>making in relation to the giving of notices. The Commission repeats</w:t>
      </w:r>
      <w:r>
        <w:rPr>
          <w:spacing w:val="1"/>
          <w:sz w:val="24"/>
        </w:rPr>
        <w:t> </w:t>
      </w:r>
      <w:r>
        <w:rPr>
          <w:sz w:val="24"/>
        </w:rPr>
        <w:t>Recommendations 14, 28, 30 and 31 made in its October 2018 submission,</w:t>
      </w:r>
      <w:r>
        <w:rPr>
          <w:spacing w:val="-60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reasons given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submission.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99" w:after="0"/>
        <w:ind w:left="1686" w:right="444" w:hanging="567"/>
        <w:jc w:val="left"/>
        <w:rPr>
          <w:sz w:val="24"/>
        </w:rPr>
      </w:pPr>
      <w:r>
        <w:rPr>
          <w:sz w:val="24"/>
        </w:rPr>
        <w:t>If, contrary to the recommendations made in the Commission’s October</w:t>
      </w:r>
      <w:r>
        <w:rPr>
          <w:spacing w:val="-60"/>
          <w:sz w:val="24"/>
        </w:rPr>
        <w:t> </w:t>
      </w:r>
      <w:r>
        <w:rPr>
          <w:sz w:val="24"/>
        </w:rPr>
        <w:t>2018</w:t>
      </w:r>
      <w:r>
        <w:rPr>
          <w:spacing w:val="1"/>
          <w:sz w:val="24"/>
        </w:rPr>
        <w:t> </w:t>
      </w:r>
      <w:r>
        <w:rPr>
          <w:sz w:val="24"/>
        </w:rPr>
        <w:t>submission,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requirement for</w:t>
      </w:r>
      <w:r>
        <w:rPr>
          <w:spacing w:val="-3"/>
          <w:sz w:val="24"/>
        </w:rPr>
        <w:t> </w:t>
      </w:r>
      <w:r>
        <w:rPr>
          <w:sz w:val="24"/>
        </w:rPr>
        <w:t>judicial</w:t>
      </w:r>
      <w:r>
        <w:rPr>
          <w:spacing w:val="-5"/>
          <w:sz w:val="24"/>
        </w:rPr>
        <w:t> </w:t>
      </w:r>
      <w:r>
        <w:rPr>
          <w:sz w:val="24"/>
        </w:rPr>
        <w:t>authorisation is</w:t>
      </w:r>
      <w:r>
        <w:rPr>
          <w:spacing w:val="-1"/>
          <w:sz w:val="24"/>
        </w:rPr>
        <w:t> </w:t>
      </w:r>
      <w:r>
        <w:rPr>
          <w:sz w:val="24"/>
        </w:rPr>
        <w:t>not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1146" w:footer="333" w:top="1680" w:bottom="520" w:left="44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before="101"/>
        <w:ind w:right="430"/>
      </w:pPr>
      <w:r>
        <w:rPr/>
        <w:t>introduced, the effectiveness of s 317WA could be enhanced by making</w:t>
      </w:r>
      <w:r>
        <w:rPr>
          <w:spacing w:val="1"/>
        </w:rPr>
        <w:t> </w:t>
      </w:r>
      <w:r>
        <w:rPr/>
        <w:t>the outcome of the assessment process binding. A commensurate</w:t>
      </w:r>
      <w:r>
        <w:rPr>
          <w:spacing w:val="1"/>
        </w:rPr>
        <w:t> </w:t>
      </w:r>
      <w:r>
        <w:rPr/>
        <w:t>assessment process should also apply to TANs and Technical Assistance</w:t>
      </w:r>
      <w:r>
        <w:rPr>
          <w:spacing w:val="-60"/>
        </w:rPr>
        <w:t> </w:t>
      </w:r>
      <w:r>
        <w:rPr/>
        <w:t>Requests</w:t>
      </w:r>
      <w:r>
        <w:rPr>
          <w:spacing w:val="-6"/>
        </w:rPr>
        <w:t> </w:t>
      </w:r>
      <w:r>
        <w:rPr/>
        <w:t>(TAR)</w:t>
      </w:r>
      <w:r>
        <w:rPr>
          <w:sz w:val="16"/>
        </w:rPr>
        <w:t>,</w:t>
      </w:r>
      <w:r>
        <w:rPr>
          <w:spacing w:val="20"/>
          <w:sz w:val="16"/>
        </w:rPr>
        <w:t> </w:t>
      </w:r>
      <w:r>
        <w:rPr/>
        <w:t>as well</w:t>
      </w:r>
      <w:r>
        <w:rPr>
          <w:spacing w:val="1"/>
        </w:rPr>
        <w:t> </w:t>
      </w:r>
      <w:r>
        <w:rPr/>
        <w:t>as TCNs.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0" w:after="0"/>
        <w:ind w:left="1686" w:right="197" w:hanging="567"/>
        <w:jc w:val="left"/>
        <w:rPr>
          <w:sz w:val="24"/>
        </w:rPr>
      </w:pPr>
      <w:r>
        <w:rPr>
          <w:sz w:val="24"/>
        </w:rPr>
        <w:t>As noted above, s 317WA allows the recipient of a proposed TCN to</w:t>
      </w:r>
      <w:r>
        <w:rPr>
          <w:spacing w:val="1"/>
          <w:sz w:val="24"/>
        </w:rPr>
        <w:t> </w:t>
      </w:r>
      <w:r>
        <w:rPr>
          <w:sz w:val="24"/>
        </w:rPr>
        <w:t>request an assessment of whether the notice should be given. Following</w:t>
      </w:r>
      <w:r>
        <w:rPr>
          <w:spacing w:val="1"/>
          <w:sz w:val="24"/>
        </w:rPr>
        <w:t> </w:t>
      </w:r>
      <w:r>
        <w:rPr>
          <w:sz w:val="24"/>
        </w:rPr>
        <w:t>such a request, the provision currently allows for two assessors, being a</w:t>
      </w:r>
      <w:r>
        <w:rPr>
          <w:spacing w:val="1"/>
          <w:sz w:val="24"/>
        </w:rPr>
        <w:t> </w:t>
      </w:r>
      <w:r>
        <w:rPr>
          <w:sz w:val="24"/>
        </w:rPr>
        <w:t>person with relevant technical expertise and a former judge, to consider</w:t>
      </w:r>
      <w:r>
        <w:rPr>
          <w:spacing w:val="1"/>
          <w:sz w:val="24"/>
        </w:rPr>
        <w:t> </w:t>
      </w:r>
      <w:r>
        <w:rPr>
          <w:sz w:val="24"/>
        </w:rPr>
        <w:t>whether the building of the new capability would contravene the ‘systemic</w:t>
      </w:r>
      <w:r>
        <w:rPr>
          <w:spacing w:val="-60"/>
          <w:sz w:val="24"/>
        </w:rPr>
        <w:t> </w:t>
      </w:r>
      <w:r>
        <w:rPr>
          <w:sz w:val="24"/>
        </w:rPr>
        <w:t>weakness’ limitation</w:t>
      </w:r>
      <w:r>
        <w:rPr>
          <w:spacing w:val="-1"/>
          <w:sz w:val="24"/>
        </w:rPr>
        <w:t> </w:t>
      </w:r>
      <w:r>
        <w:rPr>
          <w:sz w:val="24"/>
        </w:rPr>
        <w:t>and/or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‘systemic vulnerability’ limitation</w:t>
      </w:r>
      <w:r>
        <w:rPr>
          <w:spacing w:val="-6"/>
          <w:sz w:val="24"/>
        </w:rPr>
        <w:t> </w:t>
      </w:r>
      <w:r>
        <w:rPr>
          <w:sz w:val="24"/>
        </w:rPr>
        <w:t>in</w:t>
      </w:r>
    </w:p>
    <w:p>
      <w:pPr>
        <w:pStyle w:val="BodyText"/>
        <w:spacing w:line="324" w:lineRule="exact"/>
        <w:rPr>
          <w:sz w:val="13"/>
        </w:rPr>
      </w:pPr>
      <w:r>
        <w:rPr/>
        <w:t>s</w:t>
      </w:r>
      <w:r>
        <w:rPr>
          <w:spacing w:val="-4"/>
        </w:rPr>
        <w:t> </w:t>
      </w:r>
      <w:r>
        <w:rPr/>
        <w:t>317ZG</w:t>
      </w:r>
      <w:r>
        <w:rPr>
          <w:spacing w:val="-6"/>
        </w:rPr>
        <w:t> </w:t>
      </w:r>
      <w:r>
        <w:rPr/>
        <w:t>(hereafter</w:t>
      </w:r>
      <w:r>
        <w:rPr>
          <w:spacing w:val="-5"/>
        </w:rPr>
        <w:t> </w:t>
      </w:r>
      <w:r>
        <w:rPr/>
        <w:t>referred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‘systemic</w:t>
      </w:r>
      <w:r>
        <w:rPr>
          <w:spacing w:val="-3"/>
        </w:rPr>
        <w:t> </w:t>
      </w:r>
      <w:r>
        <w:rPr/>
        <w:t>weakness’</w:t>
      </w:r>
      <w:r>
        <w:rPr>
          <w:spacing w:val="-6"/>
        </w:rPr>
        <w:t> </w:t>
      </w:r>
      <w:r>
        <w:rPr/>
        <w:t>limitation).</w:t>
      </w:r>
      <w:r>
        <w:rPr>
          <w:position w:val="8"/>
          <w:sz w:val="13"/>
        </w:rPr>
        <w:t>38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1" w:after="0"/>
        <w:ind w:left="1686" w:right="252" w:hanging="567"/>
        <w:jc w:val="left"/>
        <w:rPr>
          <w:sz w:val="24"/>
        </w:rPr>
      </w:pPr>
      <w:r>
        <w:rPr>
          <w:sz w:val="24"/>
        </w:rPr>
        <w:t>Under s 317W(7), the assessors must also consider whether the</w:t>
      </w:r>
      <w:r>
        <w:rPr>
          <w:spacing w:val="1"/>
          <w:sz w:val="24"/>
        </w:rPr>
        <w:t> </w:t>
      </w:r>
      <w:r>
        <w:rPr>
          <w:sz w:val="24"/>
        </w:rPr>
        <w:t>requirements imposed by the proposed TCN are reasonable and</w:t>
      </w:r>
      <w:r>
        <w:rPr>
          <w:spacing w:val="1"/>
          <w:sz w:val="24"/>
        </w:rPr>
        <w:t> </w:t>
      </w:r>
      <w:r>
        <w:rPr>
          <w:sz w:val="24"/>
        </w:rPr>
        <w:t>proportionate, whether compliance is practicable and technically feasible,</w:t>
      </w:r>
      <w:r>
        <w:rPr>
          <w:spacing w:val="-60"/>
          <w:sz w:val="24"/>
        </w:rPr>
        <w:t> </w:t>
      </w:r>
      <w:r>
        <w:rPr>
          <w:sz w:val="24"/>
        </w:rPr>
        <w:t>and whether it is the least intrusive measure that would be effective in</w:t>
      </w:r>
      <w:r>
        <w:rPr>
          <w:spacing w:val="1"/>
          <w:sz w:val="24"/>
        </w:rPr>
        <w:t> </w:t>
      </w:r>
      <w:r>
        <w:rPr>
          <w:sz w:val="24"/>
        </w:rPr>
        <w:t>achieving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legitimate</w:t>
      </w:r>
      <w:r>
        <w:rPr>
          <w:spacing w:val="-2"/>
          <w:sz w:val="24"/>
        </w:rPr>
        <w:t> </w:t>
      </w:r>
      <w:r>
        <w:rPr>
          <w:sz w:val="24"/>
        </w:rPr>
        <w:t>objective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proposed notice.</w:t>
      </w:r>
      <w:r>
        <w:rPr>
          <w:spacing w:val="-3"/>
          <w:sz w:val="24"/>
        </w:rPr>
        <w:t> </w:t>
      </w:r>
      <w:r>
        <w:rPr>
          <w:sz w:val="24"/>
        </w:rPr>
        <w:t>Under</w:t>
      </w:r>
    </w:p>
    <w:p>
      <w:pPr>
        <w:pStyle w:val="BodyText"/>
        <w:spacing w:before="2"/>
        <w:ind w:right="173"/>
      </w:pPr>
      <w:r>
        <w:rPr/>
        <w:t>s 317WA(11), the Attorney-General must ‘have regard’ to the resulting</w:t>
      </w:r>
      <w:r>
        <w:rPr>
          <w:spacing w:val="1"/>
        </w:rPr>
        <w:t> </w:t>
      </w:r>
      <w:r>
        <w:rPr/>
        <w:t>report of the assessors. That is, the decision of the assessors is </w:t>
      </w:r>
      <w:r>
        <w:rPr>
          <w:i/>
        </w:rPr>
        <w:t>not binding</w:t>
      </w:r>
      <w:r>
        <w:rPr>
          <w:i/>
          <w:spacing w:val="-60"/>
        </w:rPr>
        <w:t> </w:t>
      </w:r>
      <w:r>
        <w:rPr/>
        <w:t>and could</w:t>
      </w:r>
      <w:r>
        <w:rPr>
          <w:spacing w:val="1"/>
        </w:rPr>
        <w:t> </w:t>
      </w:r>
      <w:r>
        <w:rPr/>
        <w:t>ultimately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ignored.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1" w:after="0"/>
        <w:ind w:left="1686" w:right="187" w:hanging="567"/>
        <w:jc w:val="left"/>
        <w:rPr>
          <w:sz w:val="24"/>
        </w:rPr>
      </w:pPr>
      <w:r>
        <w:rPr>
          <w:sz w:val="24"/>
        </w:rPr>
        <w:t>The Commission considers that a non-binding form of assessment</w:t>
      </w:r>
      <w:r>
        <w:rPr>
          <w:spacing w:val="1"/>
          <w:sz w:val="24"/>
        </w:rPr>
        <w:t> </w:t>
      </w:r>
      <w:r>
        <w:rPr>
          <w:sz w:val="24"/>
        </w:rPr>
        <w:t>severely diminishes the integrity of the process and the utility of engaging</w:t>
      </w:r>
      <w:r>
        <w:rPr>
          <w:spacing w:val="1"/>
          <w:sz w:val="24"/>
        </w:rPr>
        <w:t> </w:t>
      </w:r>
      <w:r>
        <w:rPr>
          <w:sz w:val="24"/>
        </w:rPr>
        <w:t>experts with technical knowledge and a degree of independence to review</w:t>
      </w:r>
      <w:r>
        <w:rPr>
          <w:spacing w:val="-60"/>
          <w:sz w:val="24"/>
        </w:rPr>
        <w:t> </w:t>
      </w:r>
      <w:r>
        <w:rPr>
          <w:sz w:val="24"/>
        </w:rPr>
        <w:t>proposed TCNs.</w:t>
      </w:r>
      <w:r>
        <w:rPr>
          <w:position w:val="8"/>
          <w:sz w:val="13"/>
        </w:rPr>
        <w:t>39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99" w:after="0"/>
        <w:ind w:left="1686" w:right="214" w:hanging="567"/>
        <w:jc w:val="left"/>
        <w:rPr>
          <w:sz w:val="24"/>
        </w:rPr>
      </w:pPr>
      <w:r>
        <w:rPr>
          <w:sz w:val="24"/>
        </w:rPr>
        <w:t>Further, the assessment process currently only applies to TCNs and not to</w:t>
      </w:r>
      <w:r>
        <w:rPr>
          <w:spacing w:val="-60"/>
          <w:sz w:val="24"/>
        </w:rPr>
        <w:t> </w:t>
      </w:r>
      <w:r>
        <w:rPr>
          <w:sz w:val="24"/>
        </w:rPr>
        <w:t>other forms of technical assistance. TANs and TARs are also potentially</w:t>
      </w:r>
      <w:r>
        <w:rPr>
          <w:spacing w:val="1"/>
          <w:sz w:val="24"/>
        </w:rPr>
        <w:t> </w:t>
      </w:r>
      <w:r>
        <w:rPr>
          <w:sz w:val="24"/>
        </w:rPr>
        <w:t>onerous on those who receive them, and rights-intrusive for third parties.</w:t>
      </w:r>
      <w:r>
        <w:rPr>
          <w:spacing w:val="-60"/>
          <w:sz w:val="24"/>
        </w:rPr>
        <w:t> </w:t>
      </w:r>
      <w:r>
        <w:rPr>
          <w:sz w:val="24"/>
        </w:rPr>
        <w:t>They could also potentially be given (or purportedly given) in any or all 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following</w:t>
      </w:r>
      <w:r>
        <w:rPr>
          <w:spacing w:val="-2"/>
          <w:sz w:val="24"/>
        </w:rPr>
        <w:t> </w:t>
      </w:r>
      <w:r>
        <w:rPr>
          <w:sz w:val="24"/>
        </w:rPr>
        <w:t>circumstances:</w:t>
      </w:r>
    </w:p>
    <w:p>
      <w:pPr>
        <w:pStyle w:val="ListParagraph"/>
        <w:numPr>
          <w:ilvl w:val="0"/>
          <w:numId w:val="12"/>
        </w:numPr>
        <w:tabs>
          <w:tab w:pos="2052" w:val="left" w:leader="none"/>
        </w:tabs>
        <w:spacing w:line="240" w:lineRule="auto" w:before="200" w:after="0"/>
        <w:ind w:left="2051" w:right="0" w:hanging="356"/>
        <w:jc w:val="left"/>
        <w:rPr>
          <w:sz w:val="24"/>
        </w:rPr>
      </w:pP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request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not reasonable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proportionate</w:t>
      </w:r>
    </w:p>
    <w:p>
      <w:pPr>
        <w:pStyle w:val="ListParagraph"/>
        <w:numPr>
          <w:ilvl w:val="0"/>
          <w:numId w:val="12"/>
        </w:numPr>
        <w:tabs>
          <w:tab w:pos="2052" w:val="left" w:leader="none"/>
        </w:tabs>
        <w:spacing w:line="240" w:lineRule="auto" w:before="119" w:after="0"/>
        <w:ind w:left="2051" w:right="464" w:hanging="356"/>
        <w:jc w:val="left"/>
        <w:rPr>
          <w:sz w:val="24"/>
        </w:rPr>
      </w:pPr>
      <w:r>
        <w:rPr>
          <w:sz w:val="24"/>
        </w:rPr>
        <w:t>where compliance with the request is not practicable and technically</w:t>
      </w:r>
      <w:r>
        <w:rPr>
          <w:spacing w:val="-60"/>
          <w:sz w:val="24"/>
        </w:rPr>
        <w:t> </w:t>
      </w:r>
      <w:r>
        <w:rPr>
          <w:sz w:val="24"/>
        </w:rPr>
        <w:t>feasible</w:t>
      </w:r>
    </w:p>
    <w:p>
      <w:pPr>
        <w:pStyle w:val="ListParagraph"/>
        <w:numPr>
          <w:ilvl w:val="0"/>
          <w:numId w:val="12"/>
        </w:numPr>
        <w:tabs>
          <w:tab w:pos="2052" w:val="left" w:leader="none"/>
        </w:tabs>
        <w:spacing w:line="240" w:lineRule="auto" w:before="120" w:after="0"/>
        <w:ind w:left="2051" w:right="0" w:hanging="356"/>
        <w:jc w:val="left"/>
        <w:rPr>
          <w:sz w:val="24"/>
        </w:rPr>
      </w:pPr>
      <w:r>
        <w:rPr>
          <w:sz w:val="24"/>
        </w:rPr>
        <w:t>where</w:t>
      </w:r>
      <w:r>
        <w:rPr>
          <w:spacing w:val="-2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would</w:t>
      </w:r>
      <w:r>
        <w:rPr>
          <w:spacing w:val="-5"/>
          <w:sz w:val="24"/>
        </w:rPr>
        <w:t> </w:t>
      </w:r>
      <w:r>
        <w:rPr>
          <w:sz w:val="24"/>
        </w:rPr>
        <w:t>not be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least intrusive</w:t>
      </w:r>
      <w:r>
        <w:rPr>
          <w:spacing w:val="-5"/>
          <w:sz w:val="24"/>
        </w:rPr>
        <w:t> </w:t>
      </w:r>
      <w:r>
        <w:rPr>
          <w:sz w:val="24"/>
        </w:rPr>
        <w:t>form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assistance</w:t>
      </w:r>
    </w:p>
    <w:p>
      <w:pPr>
        <w:pStyle w:val="ListParagraph"/>
        <w:numPr>
          <w:ilvl w:val="0"/>
          <w:numId w:val="12"/>
        </w:numPr>
        <w:tabs>
          <w:tab w:pos="2052" w:val="left" w:leader="none"/>
        </w:tabs>
        <w:spacing w:line="240" w:lineRule="auto" w:before="119" w:after="0"/>
        <w:ind w:left="2051" w:right="224" w:hanging="356"/>
        <w:jc w:val="left"/>
        <w:rPr>
          <w:sz w:val="24"/>
        </w:rPr>
      </w:pPr>
      <w:r>
        <w:rPr>
          <w:sz w:val="24"/>
        </w:rPr>
        <w:t>where other relevant requirements of the Telecommunications Act are</w:t>
      </w:r>
      <w:r>
        <w:rPr>
          <w:spacing w:val="-60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met.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1146" w:footer="333" w:top="1680" w:bottom="520" w:left="44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101" w:after="0"/>
        <w:ind w:left="1686" w:right="112" w:hanging="567"/>
        <w:jc w:val="both"/>
        <w:rPr>
          <w:sz w:val="24"/>
        </w:rPr>
      </w:pPr>
      <w:r>
        <w:rPr>
          <w:sz w:val="24"/>
        </w:rPr>
        <w:t>The Commission considers that TARs and TANs should be subject to either</w:t>
      </w:r>
      <w:r>
        <w:rPr>
          <w:spacing w:val="-60"/>
          <w:sz w:val="24"/>
        </w:rPr>
        <w:t> </w:t>
      </w:r>
      <w:r>
        <w:rPr>
          <w:sz w:val="24"/>
        </w:rPr>
        <w:t>a similar assessment process to that established in s 317WA or some other</w:t>
      </w:r>
      <w:r>
        <w:rPr>
          <w:spacing w:val="-60"/>
          <w:sz w:val="24"/>
        </w:rPr>
        <w:t> </w:t>
      </w:r>
      <w:r>
        <w:rPr>
          <w:sz w:val="24"/>
        </w:rPr>
        <w:t>appropriate</w:t>
      </w:r>
      <w:r>
        <w:rPr>
          <w:spacing w:val="-2"/>
          <w:sz w:val="24"/>
        </w:rPr>
        <w:t> </w:t>
      </w:r>
      <w:r>
        <w:rPr>
          <w:sz w:val="24"/>
        </w:rPr>
        <w:t>form</w:t>
      </w:r>
      <w:r>
        <w:rPr>
          <w:spacing w:val="2"/>
          <w:sz w:val="24"/>
        </w:rPr>
        <w:t> </w:t>
      </w:r>
      <w:r>
        <w:rPr>
          <w:sz w:val="24"/>
        </w:rPr>
        <w:t>of independent review.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0" w:after="0"/>
        <w:ind w:left="1686" w:right="259" w:hanging="567"/>
        <w:jc w:val="left"/>
        <w:rPr>
          <w:sz w:val="24"/>
        </w:rPr>
      </w:pPr>
      <w:r>
        <w:rPr>
          <w:sz w:val="24"/>
        </w:rPr>
        <w:t>The Commission notes a further change made to the TOLA Bill before</w:t>
      </w:r>
      <w:r>
        <w:rPr>
          <w:spacing w:val="1"/>
          <w:sz w:val="24"/>
        </w:rPr>
        <w:t> </w:t>
      </w:r>
      <w:r>
        <w:rPr>
          <w:sz w:val="24"/>
        </w:rPr>
        <w:t>passage that altered the oversight of the TCN regime. Section 317TAAA(1)</w:t>
      </w:r>
      <w:r>
        <w:rPr>
          <w:spacing w:val="-60"/>
          <w:sz w:val="24"/>
        </w:rPr>
        <w:t> </w:t>
      </w:r>
      <w:r>
        <w:rPr>
          <w:sz w:val="24"/>
        </w:rPr>
        <w:t>of the Telecommunications Act requires the Minister for Communications</w:t>
      </w:r>
      <w:r>
        <w:rPr>
          <w:spacing w:val="-60"/>
          <w:sz w:val="24"/>
        </w:rPr>
        <w:t> </w:t>
      </w:r>
      <w:r>
        <w:rPr>
          <w:sz w:val="24"/>
        </w:rPr>
        <w:t>and the Arts to approve the giving of a TCN, in addition to the Attorney-</w:t>
      </w:r>
      <w:r>
        <w:rPr>
          <w:spacing w:val="1"/>
          <w:sz w:val="24"/>
        </w:rPr>
        <w:t> </w:t>
      </w:r>
      <w:r>
        <w:rPr>
          <w:sz w:val="24"/>
        </w:rPr>
        <w:t>General. However, as these are both ministerial approvals, the</w:t>
      </w:r>
      <w:r>
        <w:rPr>
          <w:spacing w:val="1"/>
          <w:sz w:val="24"/>
        </w:rPr>
        <w:t> </w:t>
      </w:r>
      <w:r>
        <w:rPr>
          <w:sz w:val="24"/>
        </w:rPr>
        <w:t>Commission considers that this additional approval does little to enhance</w:t>
      </w:r>
      <w:r>
        <w:rPr>
          <w:spacing w:val="-60"/>
          <w:sz w:val="24"/>
        </w:rPr>
        <w:t> </w:t>
      </w:r>
      <w:r>
        <w:rPr>
          <w:sz w:val="24"/>
        </w:rPr>
        <w:t>the independence of decision making, especially as compared with the</w:t>
      </w:r>
      <w:r>
        <w:rPr>
          <w:spacing w:val="1"/>
          <w:sz w:val="24"/>
        </w:rPr>
        <w:t> </w:t>
      </w:r>
      <w:r>
        <w:rPr>
          <w:sz w:val="24"/>
        </w:rPr>
        <w:t>preferred scenario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independent</w:t>
      </w:r>
      <w:r>
        <w:rPr>
          <w:spacing w:val="1"/>
          <w:sz w:val="24"/>
        </w:rPr>
        <w:t> </w:t>
      </w:r>
      <w:r>
        <w:rPr>
          <w:sz w:val="24"/>
        </w:rPr>
        <w:t>judicial authorisation.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98" w:after="0"/>
        <w:ind w:left="1686" w:right="118" w:hanging="567"/>
        <w:jc w:val="left"/>
        <w:rPr>
          <w:sz w:val="24"/>
        </w:rPr>
      </w:pPr>
      <w:r>
        <w:rPr>
          <w:sz w:val="24"/>
        </w:rPr>
        <w:t>The Commission notes the amendments proposed in Sheet 8627 to the</w:t>
      </w:r>
      <w:r>
        <w:rPr>
          <w:spacing w:val="1"/>
          <w:sz w:val="24"/>
        </w:rPr>
        <w:t> </w:t>
      </w:r>
      <w:r>
        <w:rPr>
          <w:sz w:val="24"/>
        </w:rPr>
        <w:t>TOLA Bill by Senator the Hon Penny Wong on 6 December 2018, providing</w:t>
      </w:r>
      <w:r>
        <w:rPr>
          <w:spacing w:val="1"/>
          <w:sz w:val="24"/>
        </w:rPr>
        <w:t> </w:t>
      </w:r>
      <w:r>
        <w:rPr>
          <w:sz w:val="24"/>
        </w:rPr>
        <w:t>that an eligible judge must approve the giving or variation of a TAN or TCN,</w:t>
      </w:r>
      <w:r>
        <w:rPr>
          <w:spacing w:val="-60"/>
          <w:sz w:val="24"/>
        </w:rPr>
        <w:t> </w:t>
      </w:r>
      <w:r>
        <w:rPr>
          <w:sz w:val="24"/>
        </w:rPr>
        <w:t>after being satisfied</w:t>
      </w:r>
      <w:r>
        <w:rPr>
          <w:spacing w:val="3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certain</w:t>
      </w:r>
      <w:r>
        <w:rPr>
          <w:spacing w:val="3"/>
          <w:sz w:val="24"/>
        </w:rPr>
        <w:t> </w:t>
      </w:r>
      <w:r>
        <w:rPr>
          <w:sz w:val="24"/>
        </w:rPr>
        <w:t>matters</w:t>
      </w:r>
      <w:r>
        <w:rPr>
          <w:spacing w:val="2"/>
          <w:sz w:val="24"/>
        </w:rPr>
        <w:t> </w:t>
      </w:r>
      <w:r>
        <w:rPr>
          <w:sz w:val="24"/>
        </w:rPr>
        <w:t>on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basis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evidence. The</w:t>
      </w:r>
      <w:r>
        <w:rPr>
          <w:spacing w:val="1"/>
          <w:sz w:val="24"/>
        </w:rPr>
        <w:t> </w:t>
      </w:r>
      <w:r>
        <w:rPr>
          <w:sz w:val="24"/>
        </w:rPr>
        <w:t>Senate did not agree to that proposed amendment. It does not form part</w:t>
      </w:r>
      <w:r>
        <w:rPr>
          <w:spacing w:val="1"/>
          <w:sz w:val="24"/>
        </w:rPr>
        <w:t> </w:t>
      </w:r>
      <w:r>
        <w:rPr>
          <w:sz w:val="24"/>
        </w:rPr>
        <w:t>of the TOLA Act. However, the Commission considers that the proposal</w:t>
      </w:r>
      <w:r>
        <w:rPr>
          <w:spacing w:val="1"/>
          <w:sz w:val="24"/>
        </w:rPr>
        <w:t> </w:t>
      </w:r>
      <w:r>
        <w:rPr>
          <w:sz w:val="24"/>
        </w:rPr>
        <w:t>would better address its human rights concerns, as compared to the</w:t>
      </w:r>
      <w:r>
        <w:rPr>
          <w:spacing w:val="1"/>
          <w:sz w:val="24"/>
        </w:rPr>
        <w:t> </w:t>
      </w:r>
      <w:r>
        <w:rPr>
          <w:sz w:val="24"/>
        </w:rPr>
        <w:t>current oversight</w:t>
      </w:r>
      <w:r>
        <w:rPr>
          <w:spacing w:val="1"/>
          <w:sz w:val="24"/>
        </w:rPr>
        <w:t> </w:t>
      </w:r>
      <w:r>
        <w:rPr>
          <w:sz w:val="24"/>
        </w:rPr>
        <w:t>of the</w:t>
      </w:r>
      <w:r>
        <w:rPr>
          <w:spacing w:val="-2"/>
          <w:sz w:val="24"/>
        </w:rPr>
        <w:t> </w:t>
      </w:r>
      <w:r>
        <w:rPr>
          <w:sz w:val="24"/>
        </w:rPr>
        <w:t>assistance</w:t>
      </w:r>
      <w:r>
        <w:rPr>
          <w:spacing w:val="-1"/>
          <w:sz w:val="24"/>
        </w:rPr>
        <w:t> </w:t>
      </w:r>
      <w:r>
        <w:rPr>
          <w:sz w:val="24"/>
        </w:rPr>
        <w:t>scheme.</w:t>
      </w:r>
    </w:p>
    <w:p>
      <w:pPr>
        <w:pStyle w:val="Heading5"/>
        <w:spacing w:before="203"/>
      </w:pPr>
      <w:r>
        <w:rPr/>
        <w:t>Recommendation</w:t>
      </w:r>
      <w:r>
        <w:rPr>
          <w:spacing w:val="-2"/>
        </w:rPr>
        <w:t> </w:t>
      </w:r>
      <w:r>
        <w:rPr/>
        <w:t>A</w:t>
      </w:r>
    </w:p>
    <w:p>
      <w:pPr>
        <w:pStyle w:val="BodyText"/>
        <w:spacing w:before="120"/>
        <w:ind w:left="1696" w:right="498"/>
      </w:pPr>
      <w:r>
        <w:rPr/>
        <w:t>Recommendations 14, 28, 30 and 31 in the Commission’s October 2018</w:t>
      </w:r>
      <w:r>
        <w:rPr>
          <w:spacing w:val="-60"/>
        </w:rPr>
        <w:t> </w:t>
      </w:r>
      <w:r>
        <w:rPr/>
        <w:t>submission should be implemented in full, in particular that judicial</w:t>
      </w:r>
      <w:r>
        <w:rPr>
          <w:spacing w:val="1"/>
        </w:rPr>
        <w:t> </w:t>
      </w:r>
      <w:r>
        <w:rPr/>
        <w:t>authorisation be required for the giving or varying of notices under the</w:t>
      </w:r>
      <w:r>
        <w:rPr>
          <w:spacing w:val="-60"/>
        </w:rPr>
        <w:t> </w:t>
      </w:r>
      <w:r>
        <w:rPr/>
        <w:t>assistance</w:t>
      </w:r>
      <w:r>
        <w:rPr>
          <w:spacing w:val="-2"/>
        </w:rPr>
        <w:t> </w:t>
      </w:r>
      <w:r>
        <w:rPr/>
        <w:t>scheme.</w:t>
      </w:r>
    </w:p>
    <w:p>
      <w:pPr>
        <w:pStyle w:val="Heading5"/>
      </w:pPr>
      <w:r>
        <w:rPr/>
        <w:t>Recommendation</w:t>
      </w:r>
      <w:r>
        <w:rPr>
          <w:spacing w:val="-2"/>
        </w:rPr>
        <w:t> </w:t>
      </w:r>
      <w:r>
        <w:rPr/>
        <w:t>B</w:t>
      </w:r>
    </w:p>
    <w:p>
      <w:pPr>
        <w:pStyle w:val="BodyText"/>
        <w:spacing w:before="119"/>
        <w:ind w:left="1696" w:right="260"/>
        <w:jc w:val="both"/>
      </w:pPr>
      <w:r>
        <w:rPr/>
        <w:t>In the event that Recommendation A is not implemented, s 317WA of the</w:t>
      </w:r>
      <w:r>
        <w:rPr>
          <w:spacing w:val="-60"/>
        </w:rPr>
        <w:t> </w:t>
      </w:r>
      <w:r>
        <w:rPr>
          <w:i/>
        </w:rPr>
        <w:t>Telecommunications Act 1997 </w:t>
      </w:r>
      <w:r>
        <w:rPr/>
        <w:t>(Cth) should be amended to make the report</w:t>
      </w:r>
      <w:r>
        <w:rPr>
          <w:spacing w:val="-61"/>
        </w:rPr>
        <w:t> </w:t>
      </w:r>
      <w:r>
        <w:rPr/>
        <w:t>of assessors regarding a proposed Technical Capability Notice binding on</w:t>
      </w:r>
      <w:r>
        <w:rPr>
          <w:spacing w:val="-60"/>
        </w:rPr>
        <w:t> </w:t>
      </w:r>
      <w:r>
        <w:rPr/>
        <w:t>the</w:t>
      </w:r>
      <w:r>
        <w:rPr>
          <w:spacing w:val="-2"/>
        </w:rPr>
        <w:t> </w:t>
      </w:r>
      <w:r>
        <w:rPr/>
        <w:t>Attorney-General.</w:t>
      </w:r>
    </w:p>
    <w:p>
      <w:pPr>
        <w:pStyle w:val="Heading5"/>
        <w:spacing w:before="123"/>
        <w:jc w:val="both"/>
      </w:pPr>
      <w:r>
        <w:rPr/>
        <w:t>Recommendation</w:t>
      </w:r>
      <w:r>
        <w:rPr>
          <w:spacing w:val="-2"/>
        </w:rPr>
        <w:t> </w:t>
      </w:r>
      <w:r>
        <w:rPr/>
        <w:t>C</w:t>
      </w:r>
    </w:p>
    <w:p>
      <w:pPr>
        <w:pStyle w:val="BodyText"/>
        <w:spacing w:before="120"/>
        <w:ind w:left="1696" w:right="327"/>
      </w:pPr>
      <w:r>
        <w:rPr/>
        <w:t>An independent assessment process commensurate to that contained in</w:t>
      </w:r>
      <w:r>
        <w:rPr>
          <w:spacing w:val="-60"/>
        </w:rPr>
        <w:t> </w:t>
      </w:r>
      <w:r>
        <w:rPr/>
        <w:t>s 317WA of the </w:t>
      </w:r>
      <w:r>
        <w:rPr>
          <w:i/>
        </w:rPr>
        <w:t>Telecommunications Act 1997 </w:t>
      </w:r>
      <w:r>
        <w:rPr/>
        <w:t>(Cth), or some other</w:t>
      </w:r>
      <w:r>
        <w:rPr>
          <w:spacing w:val="1"/>
        </w:rPr>
        <w:t> </w:t>
      </w:r>
      <w:r>
        <w:rPr/>
        <w:t>appropriate</w:t>
      </w:r>
      <w:r>
        <w:rPr>
          <w:spacing w:val="-3"/>
        </w:rPr>
        <w:t> </w:t>
      </w:r>
      <w:r>
        <w:rPr/>
        <w:t>and similar</w:t>
      </w:r>
      <w:r>
        <w:rPr>
          <w:spacing w:val="-4"/>
        </w:rPr>
        <w:t> </w:t>
      </w:r>
      <w:r>
        <w:rPr/>
        <w:t>form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independent</w:t>
      </w:r>
      <w:r>
        <w:rPr>
          <w:spacing w:val="-1"/>
        </w:rPr>
        <w:t> </w:t>
      </w:r>
      <w:r>
        <w:rPr/>
        <w:t>review,</w:t>
      </w:r>
      <w:r>
        <w:rPr>
          <w:spacing w:val="-3"/>
        </w:rPr>
        <w:t> </w:t>
      </w:r>
      <w:r>
        <w:rPr/>
        <w:t>should be</w:t>
      </w:r>
      <w:r>
        <w:rPr>
          <w:spacing w:val="-7"/>
        </w:rPr>
        <w:t> </w:t>
      </w:r>
      <w:r>
        <w:rPr/>
        <w:t>made</w:t>
      </w:r>
    </w:p>
    <w:p>
      <w:pPr>
        <w:spacing w:after="0"/>
        <w:sectPr>
          <w:pgSz w:w="11900" w:h="16840"/>
          <w:pgMar w:header="1146" w:footer="333" w:top="1680" w:bottom="520" w:left="44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before="101"/>
        <w:ind w:left="1696" w:right="708"/>
      </w:pPr>
      <w:r>
        <w:rPr/>
        <w:t>available with respect to Technical Assistance Requests and Technical</w:t>
      </w:r>
      <w:r>
        <w:rPr>
          <w:spacing w:val="-61"/>
        </w:rPr>
        <w:t> </w:t>
      </w:r>
      <w:r>
        <w:rPr/>
        <w:t>Assistance</w:t>
      </w:r>
      <w:r>
        <w:rPr>
          <w:spacing w:val="-6"/>
        </w:rPr>
        <w:t> </w:t>
      </w:r>
      <w:r>
        <w:rPr/>
        <w:t>Notices,</w:t>
      </w:r>
      <w:r>
        <w:rPr>
          <w:spacing w:val="-3"/>
        </w:rPr>
        <w:t> </w:t>
      </w:r>
      <w:r>
        <w:rPr/>
        <w:t>not just</w:t>
      </w:r>
      <w:r>
        <w:rPr>
          <w:spacing w:val="1"/>
        </w:rPr>
        <w:t> </w:t>
      </w:r>
      <w:r>
        <w:rPr/>
        <w:t>Technical Capability</w:t>
      </w:r>
      <w:r>
        <w:rPr>
          <w:spacing w:val="-2"/>
        </w:rPr>
        <w:t> </w:t>
      </w:r>
      <w:r>
        <w:rPr/>
        <w:t>Notices.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Heading2"/>
        <w:numPr>
          <w:ilvl w:val="1"/>
          <w:numId w:val="10"/>
        </w:numPr>
        <w:tabs>
          <w:tab w:pos="1825" w:val="left" w:leader="none"/>
          <w:tab w:pos="1826" w:val="left" w:leader="none"/>
        </w:tabs>
        <w:spacing w:line="240" w:lineRule="auto" w:before="0" w:after="0"/>
        <w:ind w:left="1825" w:right="0" w:hanging="850"/>
        <w:jc w:val="left"/>
      </w:pPr>
      <w:bookmarkStart w:name="_TOC_250003" w:id="11"/>
      <w:r>
        <w:rPr/>
        <w:t>‘Systemic</w:t>
      </w:r>
      <w:r>
        <w:rPr>
          <w:spacing w:val="-7"/>
        </w:rPr>
        <w:t> </w:t>
      </w:r>
      <w:r>
        <w:rPr/>
        <w:t>weakness’</w:t>
      </w:r>
      <w:r>
        <w:rPr>
          <w:spacing w:val="-5"/>
        </w:rPr>
        <w:t> </w:t>
      </w:r>
      <w:r>
        <w:rPr/>
        <w:t>limitation</w:t>
      </w:r>
      <w:r>
        <w:rPr>
          <w:spacing w:val="-3"/>
        </w:rPr>
        <w:t> </w:t>
      </w:r>
      <w:r>
        <w:rPr/>
        <w:t>remains</w:t>
      </w:r>
      <w:r>
        <w:rPr>
          <w:spacing w:val="-7"/>
        </w:rPr>
        <w:t> </w:t>
      </w:r>
      <w:bookmarkEnd w:id="11"/>
      <w:r>
        <w:rPr/>
        <w:t>ambiguous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42" w:after="0"/>
        <w:ind w:left="1686" w:right="484" w:hanging="567"/>
        <w:jc w:val="left"/>
        <w:rPr>
          <w:sz w:val="24"/>
        </w:rPr>
      </w:pPr>
      <w:r>
        <w:rPr>
          <w:sz w:val="24"/>
        </w:rPr>
        <w:t>A TAR, TAN or TCN must not require a provider to do something that</w:t>
      </w:r>
      <w:r>
        <w:rPr>
          <w:spacing w:val="1"/>
          <w:sz w:val="24"/>
        </w:rPr>
        <w:t> </w:t>
      </w:r>
      <w:r>
        <w:rPr>
          <w:sz w:val="24"/>
        </w:rPr>
        <w:t>would introduce a ‘systemic vulnerability’ or ‘systemic weakness’ into a</w:t>
      </w:r>
      <w:r>
        <w:rPr>
          <w:spacing w:val="1"/>
          <w:sz w:val="24"/>
        </w:rPr>
        <w:t> </w:t>
      </w:r>
      <w:r>
        <w:rPr>
          <w:sz w:val="24"/>
        </w:rPr>
        <w:t>form of electronic protection. Those terms were not fully defined in the</w:t>
      </w:r>
      <w:r>
        <w:rPr>
          <w:spacing w:val="-60"/>
          <w:sz w:val="24"/>
        </w:rPr>
        <w:t> </w:t>
      </w:r>
      <w:r>
        <w:rPr>
          <w:sz w:val="24"/>
        </w:rPr>
        <w:t>TOLA Bill as first introduced. The Commission recommended that these</w:t>
      </w:r>
      <w:r>
        <w:rPr>
          <w:spacing w:val="-61"/>
          <w:sz w:val="24"/>
        </w:rPr>
        <w:t> </w:t>
      </w:r>
      <w:r>
        <w:rPr>
          <w:sz w:val="24"/>
        </w:rPr>
        <w:t>terms be precisely and clearly defined (see Recommendation 15 of the</w:t>
      </w:r>
      <w:r>
        <w:rPr>
          <w:spacing w:val="1"/>
          <w:sz w:val="24"/>
        </w:rPr>
        <w:t> </w:t>
      </w:r>
      <w:r>
        <w:rPr>
          <w:sz w:val="24"/>
        </w:rPr>
        <w:t>Commission’s</w:t>
      </w:r>
      <w:r>
        <w:rPr>
          <w:spacing w:val="-1"/>
          <w:sz w:val="24"/>
        </w:rPr>
        <w:t> </w:t>
      </w:r>
      <w:r>
        <w:rPr>
          <w:sz w:val="24"/>
        </w:rPr>
        <w:t>October</w:t>
      </w:r>
      <w:r>
        <w:rPr>
          <w:spacing w:val="-2"/>
          <w:sz w:val="24"/>
        </w:rPr>
        <w:t> </w:t>
      </w:r>
      <w:r>
        <w:rPr>
          <w:sz w:val="24"/>
        </w:rPr>
        <w:t>2018</w:t>
      </w:r>
      <w:r>
        <w:rPr>
          <w:spacing w:val="2"/>
          <w:sz w:val="24"/>
        </w:rPr>
        <w:t> </w:t>
      </w:r>
      <w:r>
        <w:rPr>
          <w:sz w:val="24"/>
        </w:rPr>
        <w:t>submission).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99" w:after="0"/>
        <w:ind w:left="1686" w:right="341" w:hanging="567"/>
        <w:jc w:val="left"/>
        <w:rPr>
          <w:sz w:val="24"/>
        </w:rPr>
      </w:pPr>
      <w:r>
        <w:rPr>
          <w:sz w:val="24"/>
        </w:rPr>
        <w:t>The Government amendments made to the TOLA Bill before its passage</w:t>
      </w:r>
      <w:r>
        <w:rPr>
          <w:spacing w:val="1"/>
          <w:sz w:val="24"/>
        </w:rPr>
        <w:t> </w:t>
      </w:r>
      <w:r>
        <w:rPr>
          <w:sz w:val="24"/>
        </w:rPr>
        <w:t>introduced relevant definitions. Section 317B of the Telecommunications</w:t>
      </w:r>
      <w:r>
        <w:rPr>
          <w:spacing w:val="-60"/>
          <w:sz w:val="24"/>
        </w:rPr>
        <w:t> </w:t>
      </w:r>
      <w:r>
        <w:rPr>
          <w:sz w:val="24"/>
        </w:rPr>
        <w:t>Act currently</w:t>
      </w:r>
      <w:r>
        <w:rPr>
          <w:spacing w:val="-1"/>
          <w:sz w:val="24"/>
        </w:rPr>
        <w:t> </w:t>
      </w:r>
      <w:r>
        <w:rPr>
          <w:sz w:val="24"/>
        </w:rPr>
        <w:t>provides:</w:t>
      </w:r>
    </w:p>
    <w:p>
      <w:pPr>
        <w:spacing w:line="240" w:lineRule="auto" w:before="203"/>
        <w:ind w:left="2416" w:right="301" w:firstLine="0"/>
        <w:jc w:val="left"/>
        <w:rPr>
          <w:sz w:val="22"/>
        </w:rPr>
      </w:pPr>
      <w:r>
        <w:rPr>
          <w:b/>
          <w:i/>
          <w:sz w:val="22"/>
        </w:rPr>
        <w:t>systemic vulnerability </w:t>
      </w:r>
      <w:r>
        <w:rPr>
          <w:sz w:val="22"/>
        </w:rPr>
        <w:t>means a vulnerability that affects a whole class of</w:t>
      </w:r>
      <w:r>
        <w:rPr>
          <w:spacing w:val="-55"/>
          <w:sz w:val="22"/>
        </w:rPr>
        <w:t> </w:t>
      </w:r>
      <w:r>
        <w:rPr>
          <w:sz w:val="22"/>
        </w:rPr>
        <w:t>technology, but does not include a vulnerability that is selectively</w:t>
      </w:r>
      <w:r>
        <w:rPr>
          <w:spacing w:val="1"/>
          <w:sz w:val="22"/>
        </w:rPr>
        <w:t> </w:t>
      </w:r>
      <w:r>
        <w:rPr>
          <w:sz w:val="22"/>
        </w:rPr>
        <w:t>introduced to one or more target technologies that are connected with a</w:t>
      </w:r>
      <w:r>
        <w:rPr>
          <w:spacing w:val="-55"/>
          <w:sz w:val="22"/>
        </w:rPr>
        <w:t> </w:t>
      </w:r>
      <w:r>
        <w:rPr>
          <w:sz w:val="22"/>
        </w:rPr>
        <w:t>particular person. For this purpose, it is immaterial whether the person</w:t>
      </w:r>
      <w:r>
        <w:rPr>
          <w:spacing w:val="1"/>
          <w:sz w:val="22"/>
        </w:rPr>
        <w:t> </w:t>
      </w:r>
      <w:r>
        <w:rPr>
          <w:sz w:val="22"/>
        </w:rPr>
        <w:t>can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identified.</w:t>
      </w:r>
    </w:p>
    <w:p>
      <w:pPr>
        <w:pStyle w:val="BodyText"/>
        <w:spacing w:before="11"/>
        <w:ind w:left="0"/>
        <w:rPr>
          <w:sz w:val="21"/>
        </w:rPr>
      </w:pPr>
    </w:p>
    <w:p>
      <w:pPr>
        <w:spacing w:line="240" w:lineRule="auto" w:before="0"/>
        <w:ind w:left="2416" w:right="170" w:firstLine="0"/>
        <w:jc w:val="left"/>
        <w:rPr>
          <w:sz w:val="22"/>
        </w:rPr>
      </w:pPr>
      <w:r>
        <w:rPr>
          <w:b/>
          <w:i/>
          <w:sz w:val="22"/>
        </w:rPr>
        <w:t>systemic weakness </w:t>
      </w:r>
      <w:r>
        <w:rPr>
          <w:sz w:val="22"/>
        </w:rPr>
        <w:t>means a weakness that affects a whole class of</w:t>
      </w:r>
      <w:r>
        <w:rPr>
          <w:spacing w:val="1"/>
          <w:sz w:val="22"/>
        </w:rPr>
        <w:t> </w:t>
      </w:r>
      <w:r>
        <w:rPr>
          <w:sz w:val="22"/>
        </w:rPr>
        <w:t>technology, but does not include a weakness that is selectively introduced</w:t>
      </w:r>
      <w:r>
        <w:rPr>
          <w:spacing w:val="-55"/>
          <w:sz w:val="22"/>
        </w:rPr>
        <w:t> </w:t>
      </w:r>
      <w:r>
        <w:rPr>
          <w:sz w:val="22"/>
        </w:rPr>
        <w:t>to one or more target technologies that are connected with a particular</w:t>
      </w:r>
      <w:r>
        <w:rPr>
          <w:spacing w:val="1"/>
          <w:sz w:val="22"/>
        </w:rPr>
        <w:t> </w:t>
      </w:r>
      <w:r>
        <w:rPr>
          <w:sz w:val="22"/>
        </w:rPr>
        <w:t>person. For this purpose, it is immaterial whether the person can be</w:t>
      </w:r>
      <w:r>
        <w:rPr>
          <w:spacing w:val="1"/>
          <w:sz w:val="22"/>
        </w:rPr>
        <w:t> </w:t>
      </w:r>
      <w:r>
        <w:rPr>
          <w:sz w:val="22"/>
        </w:rPr>
        <w:t>identified.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99" w:after="0"/>
        <w:ind w:left="1686" w:right="151" w:hanging="567"/>
        <w:jc w:val="left"/>
        <w:rPr>
          <w:sz w:val="24"/>
        </w:rPr>
      </w:pPr>
      <w:r>
        <w:rPr>
          <w:sz w:val="24"/>
        </w:rPr>
        <w:t>Section 317B of the Telecommunications Act also defines ‘target</w:t>
      </w:r>
      <w:r>
        <w:rPr>
          <w:spacing w:val="1"/>
          <w:sz w:val="24"/>
        </w:rPr>
        <w:t> </w:t>
      </w:r>
      <w:r>
        <w:rPr>
          <w:sz w:val="24"/>
        </w:rPr>
        <w:t>technology’. Under that definition, a particular carriage service, electronic</w:t>
      </w:r>
      <w:r>
        <w:rPr>
          <w:spacing w:val="1"/>
          <w:sz w:val="24"/>
        </w:rPr>
        <w:t> </w:t>
      </w:r>
      <w:r>
        <w:rPr>
          <w:sz w:val="24"/>
        </w:rPr>
        <w:t>service, software or software update on a computer or item of equipment,</w:t>
      </w:r>
      <w:r>
        <w:rPr>
          <w:spacing w:val="-60"/>
          <w:sz w:val="24"/>
        </w:rPr>
        <w:t> </w:t>
      </w:r>
      <w:r>
        <w:rPr>
          <w:sz w:val="24"/>
        </w:rPr>
        <w:t>an item of customer equipment or a data processing device that is used or</w:t>
      </w:r>
      <w:r>
        <w:rPr>
          <w:spacing w:val="-60"/>
          <w:sz w:val="24"/>
        </w:rPr>
        <w:t> </w:t>
      </w:r>
      <w:r>
        <w:rPr>
          <w:sz w:val="24"/>
        </w:rPr>
        <w:t>likely to be used by a particular person is ‘target technology’ connected</w:t>
      </w:r>
      <w:r>
        <w:rPr>
          <w:spacing w:val="1"/>
          <w:sz w:val="24"/>
        </w:rPr>
        <w:t> </w:t>
      </w:r>
      <w:r>
        <w:rPr>
          <w:sz w:val="24"/>
        </w:rPr>
        <w:t>with a person. It is immaterial whether the person can be identified.</w:t>
      </w:r>
      <w:r>
        <w:rPr>
          <w:spacing w:val="1"/>
          <w:sz w:val="24"/>
        </w:rPr>
        <w:t> </w:t>
      </w:r>
      <w:r>
        <w:rPr>
          <w:sz w:val="24"/>
        </w:rPr>
        <w:t>‘Electronic protection’ is also defined, to include authentication and</w:t>
      </w:r>
      <w:r>
        <w:rPr>
          <w:spacing w:val="1"/>
          <w:sz w:val="24"/>
        </w:rPr>
        <w:t> </w:t>
      </w:r>
      <w:r>
        <w:rPr>
          <w:sz w:val="24"/>
        </w:rPr>
        <w:t>encryption.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98" w:after="0"/>
        <w:ind w:left="1686" w:right="588" w:hanging="567"/>
        <w:jc w:val="left"/>
        <w:rPr>
          <w:sz w:val="24"/>
        </w:rPr>
      </w:pPr>
      <w:r>
        <w:rPr>
          <w:sz w:val="24"/>
        </w:rPr>
        <w:t>Subsection 317ZG(1) of the Telecommunications Act sets out the</w:t>
      </w:r>
      <w:r>
        <w:rPr>
          <w:spacing w:val="1"/>
          <w:sz w:val="24"/>
        </w:rPr>
        <w:t> </w:t>
      </w:r>
      <w:r>
        <w:rPr>
          <w:sz w:val="24"/>
        </w:rPr>
        <w:t>prohibition on a TAR, TAN or TCN requiring a provider to implement or</w:t>
      </w:r>
      <w:r>
        <w:rPr>
          <w:spacing w:val="-60"/>
          <w:sz w:val="24"/>
        </w:rPr>
        <w:t> </w:t>
      </w:r>
      <w:r>
        <w:rPr>
          <w:sz w:val="24"/>
        </w:rPr>
        <w:t>build a systemic weakness or vulnerability into a form of electronic</w:t>
      </w:r>
      <w:r>
        <w:rPr>
          <w:spacing w:val="1"/>
          <w:sz w:val="24"/>
        </w:rPr>
        <w:t> </w:t>
      </w:r>
      <w:r>
        <w:rPr>
          <w:sz w:val="24"/>
        </w:rPr>
        <w:t>protection, or from rectifying a systemic weakness or vulnerability.</w:t>
      </w:r>
      <w:r>
        <w:rPr>
          <w:position w:val="8"/>
          <w:sz w:val="13"/>
        </w:rPr>
        <w:t>40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request or notice will have no effect to the extent that it contravenes s</w:t>
      </w:r>
      <w:r>
        <w:rPr>
          <w:spacing w:val="1"/>
          <w:sz w:val="24"/>
        </w:rPr>
        <w:t> </w:t>
      </w:r>
      <w:r>
        <w:rPr>
          <w:sz w:val="24"/>
        </w:rPr>
        <w:t>317ZG(1).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1146" w:footer="333" w:top="1680" w:bottom="520" w:left="44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01" w:after="0"/>
        <w:ind w:left="1686" w:right="1225" w:hanging="567"/>
        <w:jc w:val="left"/>
        <w:rPr>
          <w:sz w:val="24"/>
        </w:rPr>
      </w:pPr>
      <w:r>
        <w:rPr>
          <w:sz w:val="24"/>
        </w:rPr>
        <w:t>Subsections 317ZG(4A)–(4C) were introduced by the Government</w:t>
      </w:r>
      <w:r>
        <w:rPr>
          <w:spacing w:val="-60"/>
          <w:sz w:val="24"/>
        </w:rPr>
        <w:t> </w:t>
      </w:r>
      <w:r>
        <w:rPr>
          <w:sz w:val="24"/>
        </w:rPr>
        <w:t>amendments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TOLA Bill prior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its</w:t>
      </w:r>
      <w:r>
        <w:rPr>
          <w:spacing w:val="-1"/>
          <w:sz w:val="24"/>
        </w:rPr>
        <w:t> </w:t>
      </w:r>
      <w:r>
        <w:rPr>
          <w:sz w:val="24"/>
        </w:rPr>
        <w:t>passage,</w:t>
      </w:r>
      <w:r>
        <w:rPr>
          <w:spacing w:val="-3"/>
          <w:sz w:val="24"/>
        </w:rPr>
        <w:t> </w:t>
      </w:r>
      <w:r>
        <w:rPr>
          <w:sz w:val="24"/>
        </w:rPr>
        <w:t>and provide:</w:t>
      </w:r>
    </w:p>
    <w:p>
      <w:pPr>
        <w:tabs>
          <w:tab w:pos="2415" w:val="left" w:leader="none"/>
        </w:tabs>
        <w:spacing w:line="240" w:lineRule="auto" w:before="203"/>
        <w:ind w:left="2416" w:right="138" w:hanging="720"/>
        <w:jc w:val="left"/>
        <w:rPr>
          <w:sz w:val="22"/>
        </w:rPr>
      </w:pPr>
      <w:r>
        <w:rPr>
          <w:sz w:val="22"/>
        </w:rPr>
        <w:t>(4A)</w:t>
        <w:tab/>
        <w:t>In a case where a weakness is selectively introduced to one or more target</w:t>
      </w:r>
      <w:r>
        <w:rPr>
          <w:spacing w:val="-55"/>
          <w:sz w:val="22"/>
        </w:rPr>
        <w:t> </w:t>
      </w:r>
      <w:r>
        <w:rPr>
          <w:sz w:val="22"/>
        </w:rPr>
        <w:t>technologies that are connected with a particular person, the reference in</w:t>
      </w:r>
      <w:r>
        <w:rPr>
          <w:spacing w:val="1"/>
          <w:sz w:val="22"/>
        </w:rPr>
        <w:t> </w:t>
      </w:r>
      <w:r>
        <w:rPr>
          <w:sz w:val="22"/>
        </w:rPr>
        <w:t>paragraph (1)(a) to implement or build a systemic weakness into a form of</w:t>
      </w:r>
      <w:r>
        <w:rPr>
          <w:spacing w:val="-55"/>
          <w:sz w:val="22"/>
        </w:rPr>
        <w:t> </w:t>
      </w:r>
      <w:r>
        <w:rPr>
          <w:sz w:val="22"/>
        </w:rPr>
        <w:t>electronic protection includes a reference to any act or thing that will, or is</w:t>
      </w:r>
      <w:r>
        <w:rPr>
          <w:spacing w:val="-55"/>
          <w:sz w:val="22"/>
        </w:rPr>
        <w:t> </w:t>
      </w:r>
      <w:r>
        <w:rPr>
          <w:sz w:val="22"/>
        </w:rPr>
        <w:t>likely to, jeopardise the security of any information held by any other</w:t>
      </w:r>
      <w:r>
        <w:rPr>
          <w:spacing w:val="1"/>
          <w:sz w:val="22"/>
        </w:rPr>
        <w:t> </w:t>
      </w:r>
      <w:r>
        <w:rPr>
          <w:sz w:val="22"/>
        </w:rPr>
        <w:t>person.</w:t>
      </w:r>
    </w:p>
    <w:p>
      <w:pPr>
        <w:pStyle w:val="BodyText"/>
        <w:ind w:left="0"/>
        <w:rPr>
          <w:sz w:val="22"/>
        </w:rPr>
      </w:pPr>
    </w:p>
    <w:p>
      <w:pPr>
        <w:tabs>
          <w:tab w:pos="2415" w:val="left" w:leader="none"/>
        </w:tabs>
        <w:spacing w:line="240" w:lineRule="auto" w:before="0"/>
        <w:ind w:left="2416" w:right="432" w:hanging="720"/>
        <w:jc w:val="left"/>
        <w:rPr>
          <w:sz w:val="22"/>
        </w:rPr>
      </w:pPr>
      <w:r>
        <w:rPr>
          <w:sz w:val="22"/>
        </w:rPr>
        <w:t>(4B)</w:t>
        <w:tab/>
        <w:t>In a case where a vulnerability is selectively introduced to one or more</w:t>
      </w:r>
      <w:r>
        <w:rPr>
          <w:spacing w:val="1"/>
          <w:sz w:val="22"/>
        </w:rPr>
        <w:t> </w:t>
      </w:r>
      <w:r>
        <w:rPr>
          <w:sz w:val="22"/>
        </w:rPr>
        <w:t>target technologies that are connected with a particular person, the</w:t>
      </w:r>
      <w:r>
        <w:rPr>
          <w:spacing w:val="1"/>
          <w:sz w:val="22"/>
        </w:rPr>
        <w:t> </w:t>
      </w:r>
      <w:r>
        <w:rPr>
          <w:sz w:val="22"/>
        </w:rPr>
        <w:t>reference in paragraph (1)(a) to implement or build a systemic</w:t>
      </w:r>
      <w:r>
        <w:rPr>
          <w:spacing w:val="1"/>
          <w:sz w:val="22"/>
        </w:rPr>
        <w:t> </w:t>
      </w:r>
      <w:r>
        <w:rPr>
          <w:sz w:val="22"/>
        </w:rPr>
        <w:t>vulnerability into a form of electronic protection includes a reference to</w:t>
      </w:r>
      <w:r>
        <w:rPr>
          <w:spacing w:val="-55"/>
          <w:sz w:val="22"/>
        </w:rPr>
        <w:t> </w:t>
      </w:r>
      <w:r>
        <w:rPr>
          <w:sz w:val="22"/>
        </w:rPr>
        <w:t>any act or thing that will, or is likely to, jeopardise the security of any</w:t>
      </w:r>
      <w:r>
        <w:rPr>
          <w:spacing w:val="1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held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other</w:t>
      </w:r>
      <w:r>
        <w:rPr>
          <w:spacing w:val="1"/>
          <w:sz w:val="22"/>
        </w:rPr>
        <w:t> </w:t>
      </w:r>
      <w:r>
        <w:rPr>
          <w:sz w:val="22"/>
        </w:rPr>
        <w:t>person.</w:t>
      </w:r>
    </w:p>
    <w:p>
      <w:pPr>
        <w:pStyle w:val="BodyText"/>
        <w:ind w:left="0"/>
        <w:rPr>
          <w:sz w:val="22"/>
        </w:rPr>
      </w:pPr>
    </w:p>
    <w:p>
      <w:pPr>
        <w:tabs>
          <w:tab w:pos="2415" w:val="left" w:leader="none"/>
        </w:tabs>
        <w:spacing w:line="240" w:lineRule="auto" w:before="0"/>
        <w:ind w:left="2416" w:right="189" w:hanging="720"/>
        <w:jc w:val="left"/>
        <w:rPr>
          <w:sz w:val="22"/>
        </w:rPr>
      </w:pPr>
      <w:r>
        <w:rPr>
          <w:sz w:val="22"/>
        </w:rPr>
        <w:t>(4C)</w:t>
        <w:tab/>
        <w:t>For the purposes of subsections (4A) and (4B), an act or thing will, or is</w:t>
      </w:r>
      <w:r>
        <w:rPr>
          <w:spacing w:val="1"/>
          <w:sz w:val="22"/>
        </w:rPr>
        <w:t> </w:t>
      </w:r>
      <w:r>
        <w:rPr>
          <w:sz w:val="22"/>
        </w:rPr>
        <w:t>likely to, jeopardise the security of information if the act or thing creates a</w:t>
      </w:r>
      <w:r>
        <w:rPr>
          <w:spacing w:val="-55"/>
          <w:sz w:val="22"/>
        </w:rPr>
        <w:t> </w:t>
      </w:r>
      <w:r>
        <w:rPr>
          <w:sz w:val="22"/>
        </w:rPr>
        <w:t>material risk that otherwise secure information can be accessed by an</w:t>
      </w:r>
      <w:r>
        <w:rPr>
          <w:spacing w:val="1"/>
          <w:sz w:val="22"/>
        </w:rPr>
        <w:t> </w:t>
      </w:r>
      <w:r>
        <w:rPr>
          <w:sz w:val="22"/>
        </w:rPr>
        <w:t>unauthorised</w:t>
      </w:r>
      <w:r>
        <w:rPr>
          <w:spacing w:val="-2"/>
          <w:sz w:val="22"/>
        </w:rPr>
        <w:t> </w:t>
      </w:r>
      <w:r>
        <w:rPr>
          <w:sz w:val="22"/>
        </w:rPr>
        <w:t>third</w:t>
      </w:r>
      <w:r>
        <w:rPr>
          <w:spacing w:val="-1"/>
          <w:sz w:val="22"/>
        </w:rPr>
        <w:t> </w:t>
      </w:r>
      <w:r>
        <w:rPr>
          <w:sz w:val="22"/>
        </w:rPr>
        <w:t>party.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97" w:after="0"/>
        <w:ind w:left="1686" w:right="398" w:hanging="567"/>
        <w:jc w:val="left"/>
        <w:rPr>
          <w:sz w:val="24"/>
        </w:rPr>
      </w:pPr>
      <w:r>
        <w:rPr>
          <w:sz w:val="24"/>
        </w:rPr>
        <w:t>These provisions purport to govern situations where a weakness or</w:t>
      </w:r>
      <w:r>
        <w:rPr>
          <w:spacing w:val="1"/>
          <w:sz w:val="24"/>
        </w:rPr>
        <w:t> </w:t>
      </w:r>
      <w:r>
        <w:rPr>
          <w:sz w:val="24"/>
        </w:rPr>
        <w:t>vulnerability is selectively introduced into a target technology. It appears</w:t>
      </w:r>
      <w:r>
        <w:rPr>
          <w:spacing w:val="-60"/>
          <w:sz w:val="24"/>
        </w:rPr>
        <w:t> </w:t>
      </w:r>
      <w:r>
        <w:rPr>
          <w:sz w:val="24"/>
        </w:rPr>
        <w:t>that they were intended to introduce a safeguard, to prevent action that</w:t>
      </w:r>
      <w:r>
        <w:rPr>
          <w:spacing w:val="-60"/>
          <w:sz w:val="24"/>
        </w:rPr>
        <w:t> </w:t>
      </w:r>
      <w:r>
        <w:rPr>
          <w:sz w:val="24"/>
        </w:rPr>
        <w:t>would ‘jeopardise’ the security of information of people who are not the</w:t>
      </w:r>
      <w:r>
        <w:rPr>
          <w:spacing w:val="1"/>
          <w:sz w:val="24"/>
        </w:rPr>
        <w:t> </w:t>
      </w:r>
      <w:r>
        <w:rPr>
          <w:sz w:val="24"/>
        </w:rPr>
        <w:t>direct targets of a request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notice.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99" w:after="0"/>
        <w:ind w:left="1686" w:right="532" w:hanging="567"/>
        <w:jc w:val="left"/>
        <w:rPr>
          <w:sz w:val="24"/>
        </w:rPr>
      </w:pPr>
      <w:r>
        <w:rPr>
          <w:sz w:val="24"/>
        </w:rPr>
        <w:t>The Supplementary Explanatory Memorandum to the Bill describes the</w:t>
      </w:r>
      <w:r>
        <w:rPr>
          <w:spacing w:val="-60"/>
          <w:sz w:val="24"/>
        </w:rPr>
        <w:t> </w:t>
      </w:r>
      <w:r>
        <w:rPr>
          <w:sz w:val="24"/>
        </w:rPr>
        <w:t>purpose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operation of the</w:t>
      </w:r>
      <w:r>
        <w:rPr>
          <w:spacing w:val="-2"/>
          <w:sz w:val="24"/>
        </w:rPr>
        <w:t> </w:t>
      </w:r>
      <w:r>
        <w:rPr>
          <w:sz w:val="24"/>
        </w:rPr>
        <w:t>safeguard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follows:</w:t>
      </w:r>
    </w:p>
    <w:p>
      <w:pPr>
        <w:spacing w:line="240" w:lineRule="auto" w:before="203"/>
        <w:ind w:left="2416" w:right="261" w:firstLine="0"/>
        <w:jc w:val="left"/>
        <w:rPr>
          <w:sz w:val="22"/>
        </w:rPr>
      </w:pPr>
      <w:r>
        <w:rPr>
          <w:sz w:val="22"/>
        </w:rPr>
        <w:t>This definition makes clear that a systemic weakness is something that</w:t>
      </w:r>
      <w:r>
        <w:rPr>
          <w:spacing w:val="1"/>
          <w:sz w:val="22"/>
        </w:rPr>
        <w:t> </w:t>
      </w:r>
      <w:r>
        <w:rPr>
          <w:sz w:val="22"/>
        </w:rPr>
        <w:t>makes general items of technology less secure. Technological classes</w:t>
      </w:r>
      <w:r>
        <w:rPr>
          <w:spacing w:val="1"/>
          <w:sz w:val="22"/>
        </w:rPr>
        <w:t> </w:t>
      </w:r>
      <w:r>
        <w:rPr>
          <w:sz w:val="22"/>
        </w:rPr>
        <w:t>include particular mobile device models carriage services, electronic</w:t>
      </w:r>
      <w:r>
        <w:rPr>
          <w:spacing w:val="1"/>
          <w:sz w:val="22"/>
        </w:rPr>
        <w:t> </w:t>
      </w:r>
      <w:r>
        <w:rPr>
          <w:sz w:val="22"/>
        </w:rPr>
        <w:t>services or software. The term is intended to encompass both old and</w:t>
      </w:r>
      <w:r>
        <w:rPr>
          <w:spacing w:val="1"/>
          <w:sz w:val="22"/>
        </w:rPr>
        <w:t> </w:t>
      </w:r>
      <w:r>
        <w:rPr>
          <w:sz w:val="22"/>
        </w:rPr>
        <w:t>new technology or a subclass within a broader class of technology; for</w:t>
      </w:r>
      <w:r>
        <w:rPr>
          <w:spacing w:val="1"/>
          <w:sz w:val="22"/>
        </w:rPr>
        <w:t> </w:t>
      </w:r>
      <w:r>
        <w:rPr>
          <w:sz w:val="22"/>
        </w:rPr>
        <w:t>example an iOS mobile operating system within a particular class, or</w:t>
      </w:r>
      <w:r>
        <w:rPr>
          <w:spacing w:val="1"/>
          <w:sz w:val="22"/>
        </w:rPr>
        <w:t> </w:t>
      </w:r>
      <w:r>
        <w:rPr>
          <w:sz w:val="22"/>
        </w:rPr>
        <w:t>classes, of mobile devices. Where requirements in a notice make the</w:t>
      </w:r>
      <w:r>
        <w:rPr>
          <w:spacing w:val="1"/>
          <w:sz w:val="22"/>
        </w:rPr>
        <w:t> </w:t>
      </w:r>
      <w:r>
        <w:rPr>
          <w:sz w:val="22"/>
        </w:rPr>
        <w:t>whole set of these items more vulnerable, it will be prohibited. This</w:t>
      </w:r>
      <w:r>
        <w:rPr>
          <w:spacing w:val="1"/>
          <w:sz w:val="22"/>
        </w:rPr>
        <w:t> </w:t>
      </w:r>
      <w:r>
        <w:rPr>
          <w:sz w:val="22"/>
        </w:rPr>
        <w:t>ensures that the powers do not jeopardise the general use of technology</w:t>
      </w:r>
      <w:r>
        <w:rPr>
          <w:spacing w:val="-55"/>
          <w:sz w:val="22"/>
        </w:rPr>
        <w:t> </w:t>
      </w:r>
      <w:r>
        <w:rPr>
          <w:sz w:val="22"/>
        </w:rPr>
        <w:t>by persons who are not of interest to law enforcement and security</w:t>
      </w:r>
      <w:r>
        <w:rPr>
          <w:spacing w:val="1"/>
          <w:sz w:val="22"/>
        </w:rPr>
        <w:t> </w:t>
      </w:r>
      <w:r>
        <w:rPr>
          <w:sz w:val="22"/>
        </w:rPr>
        <w:t>agencies. The intent of the prohibition as expressed in the definition is to</w:t>
      </w:r>
      <w:r>
        <w:rPr>
          <w:spacing w:val="-55"/>
          <w:sz w:val="22"/>
        </w:rPr>
        <w:t> </w:t>
      </w:r>
      <w:r>
        <w:rPr>
          <w:sz w:val="22"/>
        </w:rPr>
        <w:t>rule out requirements that would create a material risk of otherwise</w:t>
      </w:r>
      <w:r>
        <w:rPr>
          <w:spacing w:val="1"/>
          <w:sz w:val="22"/>
        </w:rPr>
        <w:t> </w:t>
      </w:r>
      <w:r>
        <w:rPr>
          <w:sz w:val="22"/>
        </w:rPr>
        <w:t>secure</w:t>
      </w:r>
      <w:r>
        <w:rPr>
          <w:spacing w:val="-5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being</w:t>
      </w:r>
      <w:r>
        <w:rPr>
          <w:spacing w:val="-2"/>
          <w:sz w:val="22"/>
        </w:rPr>
        <w:t> </w:t>
      </w:r>
      <w:r>
        <w:rPr>
          <w:sz w:val="22"/>
        </w:rPr>
        <w:t>accessed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unauthorised</w:t>
      </w:r>
      <w:r>
        <w:rPr>
          <w:spacing w:val="-2"/>
          <w:sz w:val="22"/>
        </w:rPr>
        <w:t> </w:t>
      </w:r>
      <w:r>
        <w:rPr>
          <w:sz w:val="22"/>
        </w:rPr>
        <w:t>third</w:t>
      </w:r>
      <w:r>
        <w:rPr>
          <w:spacing w:val="-2"/>
          <w:sz w:val="22"/>
        </w:rPr>
        <w:t> </w:t>
      </w:r>
      <w:r>
        <w:rPr>
          <w:sz w:val="22"/>
        </w:rPr>
        <w:t>parties.</w:t>
      </w:r>
    </w:p>
    <w:p>
      <w:pPr>
        <w:spacing w:after="0" w:line="240" w:lineRule="auto"/>
        <w:jc w:val="left"/>
        <w:rPr>
          <w:sz w:val="22"/>
        </w:rPr>
        <w:sectPr>
          <w:pgSz w:w="11900" w:h="16840"/>
          <w:pgMar w:header="1146" w:footer="333" w:top="1680" w:bottom="520" w:left="44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01" w:after="0"/>
        <w:ind w:left="1686" w:right="187" w:hanging="567"/>
        <w:jc w:val="left"/>
        <w:rPr>
          <w:sz w:val="24"/>
        </w:rPr>
      </w:pPr>
      <w:r>
        <w:rPr>
          <w:sz w:val="24"/>
        </w:rPr>
        <w:t>The Commission supports the aim of restricting the scope of the industry</w:t>
      </w:r>
      <w:r>
        <w:rPr>
          <w:spacing w:val="1"/>
          <w:sz w:val="24"/>
        </w:rPr>
        <w:t> </w:t>
      </w:r>
      <w:r>
        <w:rPr>
          <w:sz w:val="24"/>
        </w:rPr>
        <w:t>assistance provisions, to ensure they cannot be used in ways that make</w:t>
      </w:r>
      <w:r>
        <w:rPr>
          <w:spacing w:val="1"/>
          <w:sz w:val="24"/>
        </w:rPr>
        <w:t> </w:t>
      </w:r>
      <w:r>
        <w:rPr>
          <w:sz w:val="24"/>
        </w:rPr>
        <w:t>the information of people who are not of interest to relevant agencies less</w:t>
      </w:r>
      <w:r>
        <w:rPr>
          <w:spacing w:val="-60"/>
          <w:sz w:val="24"/>
        </w:rPr>
        <w:t> </w:t>
      </w:r>
      <w:r>
        <w:rPr>
          <w:sz w:val="24"/>
        </w:rPr>
        <w:t>secure. For instance, the powers should not permit the introduction of a</w:t>
      </w:r>
      <w:r>
        <w:rPr>
          <w:spacing w:val="1"/>
          <w:sz w:val="24"/>
        </w:rPr>
        <w:t> </w:t>
      </w:r>
      <w:r>
        <w:rPr>
          <w:sz w:val="24"/>
        </w:rPr>
        <w:t>weakness into all devices of a particular kind, which could be exploited by</w:t>
      </w:r>
      <w:r>
        <w:rPr>
          <w:spacing w:val="1"/>
          <w:sz w:val="24"/>
        </w:rPr>
        <w:t> </w:t>
      </w:r>
      <w:r>
        <w:rPr>
          <w:sz w:val="24"/>
        </w:rPr>
        <w:t>unauthorised third</w:t>
      </w:r>
      <w:r>
        <w:rPr>
          <w:spacing w:val="1"/>
          <w:sz w:val="24"/>
        </w:rPr>
        <w:t> </w:t>
      </w:r>
      <w:r>
        <w:rPr>
          <w:sz w:val="24"/>
        </w:rPr>
        <w:t>parties.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99" w:after="0"/>
        <w:ind w:left="1686" w:right="209" w:hanging="567"/>
        <w:jc w:val="left"/>
        <w:rPr>
          <w:sz w:val="24"/>
        </w:rPr>
      </w:pPr>
      <w:r>
        <w:rPr>
          <w:sz w:val="24"/>
        </w:rPr>
        <w:t>The Commission also supports restricting the use of the industry</w:t>
      </w:r>
      <w:r>
        <w:rPr>
          <w:spacing w:val="1"/>
          <w:sz w:val="24"/>
        </w:rPr>
        <w:t> </w:t>
      </w:r>
      <w:r>
        <w:rPr>
          <w:sz w:val="24"/>
        </w:rPr>
        <w:t>assistance provisions to ensure that relevant agencies can only use the</w:t>
      </w:r>
      <w:r>
        <w:rPr>
          <w:spacing w:val="1"/>
          <w:sz w:val="24"/>
        </w:rPr>
        <w:t> </w:t>
      </w:r>
      <w:r>
        <w:rPr>
          <w:sz w:val="24"/>
        </w:rPr>
        <w:t>scheme in relation to individuals who are legitimately of interest to them,</w:t>
      </w:r>
      <w:r>
        <w:rPr>
          <w:spacing w:val="1"/>
          <w:sz w:val="24"/>
        </w:rPr>
        <w:t> </w:t>
      </w:r>
      <w:r>
        <w:rPr>
          <w:sz w:val="24"/>
        </w:rPr>
        <w:t>and in a proportionate manner. That is, the provisions should not allow</w:t>
      </w:r>
      <w:r>
        <w:rPr>
          <w:spacing w:val="1"/>
          <w:sz w:val="24"/>
        </w:rPr>
        <w:t> </w:t>
      </w:r>
      <w:r>
        <w:rPr>
          <w:sz w:val="24"/>
        </w:rPr>
        <w:t>agencies to require providers to develop tools that give them the ability to</w:t>
      </w:r>
      <w:r>
        <w:rPr>
          <w:spacing w:val="-60"/>
          <w:sz w:val="24"/>
        </w:rPr>
        <w:t> </w:t>
      </w:r>
      <w:r>
        <w:rPr>
          <w:sz w:val="24"/>
        </w:rPr>
        <w:t>access all encrypted communications of a particular kind, including those</w:t>
      </w:r>
      <w:r>
        <w:rPr>
          <w:spacing w:val="1"/>
          <w:sz w:val="24"/>
        </w:rPr>
        <w:t> </w:t>
      </w:r>
      <w:r>
        <w:rPr>
          <w:sz w:val="24"/>
        </w:rPr>
        <w:t>passing between people not suspected of wrongdoing, or where</w:t>
      </w:r>
      <w:r>
        <w:rPr>
          <w:spacing w:val="1"/>
          <w:sz w:val="24"/>
        </w:rPr>
        <w:t> </w:t>
      </w:r>
      <w:r>
        <w:rPr>
          <w:sz w:val="24"/>
        </w:rPr>
        <w:t>communications are not reasonably connected to a particular and</w:t>
      </w:r>
      <w:r>
        <w:rPr>
          <w:spacing w:val="1"/>
          <w:sz w:val="24"/>
        </w:rPr>
        <w:t> </w:t>
      </w:r>
      <w:r>
        <w:rPr>
          <w:sz w:val="24"/>
        </w:rPr>
        <w:t>legitimate</w:t>
      </w:r>
      <w:r>
        <w:rPr>
          <w:spacing w:val="-2"/>
          <w:sz w:val="24"/>
        </w:rPr>
        <w:t> </w:t>
      </w:r>
      <w:r>
        <w:rPr>
          <w:sz w:val="24"/>
        </w:rPr>
        <w:t>matter.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2" w:after="0"/>
        <w:ind w:left="1686" w:right="173" w:hanging="567"/>
        <w:jc w:val="left"/>
        <w:rPr>
          <w:sz w:val="24"/>
        </w:rPr>
      </w:pPr>
      <w:r>
        <w:rPr>
          <w:sz w:val="24"/>
        </w:rPr>
        <w:t>However, the Commission considers that the current form of the ‘systemic</w:t>
      </w:r>
      <w:r>
        <w:rPr>
          <w:spacing w:val="-60"/>
          <w:sz w:val="24"/>
        </w:rPr>
        <w:t> </w:t>
      </w:r>
      <w:r>
        <w:rPr>
          <w:sz w:val="24"/>
        </w:rPr>
        <w:t>weakness’ limitation: is ambiguous; is potentially internally incoherent;</w:t>
      </w:r>
      <w:r>
        <w:rPr>
          <w:spacing w:val="1"/>
          <w:sz w:val="24"/>
        </w:rPr>
        <w:t> </w:t>
      </w:r>
      <w:r>
        <w:rPr>
          <w:sz w:val="24"/>
        </w:rPr>
        <w:t>permits extensive access to information beyond what is necessary in a</w:t>
      </w:r>
      <w:r>
        <w:rPr>
          <w:spacing w:val="1"/>
          <w:sz w:val="24"/>
        </w:rPr>
        <w:t> </w:t>
      </w:r>
      <w:r>
        <w:rPr>
          <w:sz w:val="24"/>
        </w:rPr>
        <w:t>particular instance; and could result in the harms that it intends to protect</w:t>
      </w:r>
      <w:r>
        <w:rPr>
          <w:spacing w:val="-60"/>
          <w:sz w:val="24"/>
        </w:rPr>
        <w:t> </w:t>
      </w:r>
      <w:r>
        <w:rPr>
          <w:sz w:val="24"/>
        </w:rPr>
        <w:t>against.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0" w:after="0"/>
        <w:ind w:left="1686" w:right="163" w:hanging="567"/>
        <w:jc w:val="left"/>
        <w:rPr>
          <w:sz w:val="24"/>
        </w:rPr>
      </w:pPr>
      <w:r>
        <w:rPr>
          <w:sz w:val="24"/>
        </w:rPr>
        <w:t>First, the meaning of a ‘class of technology’ in the definitions of systemic</w:t>
      </w:r>
      <w:r>
        <w:rPr>
          <w:spacing w:val="1"/>
          <w:sz w:val="24"/>
        </w:rPr>
        <w:t> </w:t>
      </w:r>
      <w:r>
        <w:rPr>
          <w:sz w:val="24"/>
        </w:rPr>
        <w:t>weakness and systemic vulnerability is not clear. This term is not</w:t>
      </w:r>
      <w:r>
        <w:rPr>
          <w:spacing w:val="1"/>
          <w:sz w:val="24"/>
        </w:rPr>
        <w:t> </w:t>
      </w:r>
      <w:r>
        <w:rPr>
          <w:sz w:val="24"/>
        </w:rPr>
        <w:t>legislatively defined. The Supplementary Explanatory Memorandum states</w:t>
      </w:r>
      <w:r>
        <w:rPr>
          <w:spacing w:val="-60"/>
          <w:sz w:val="24"/>
        </w:rPr>
        <w:t> </w:t>
      </w:r>
      <w:r>
        <w:rPr>
          <w:sz w:val="24"/>
        </w:rPr>
        <w:t>that a ‘class’ includes ‘particular mobile device models, carriage services,</w:t>
      </w:r>
      <w:r>
        <w:rPr>
          <w:spacing w:val="1"/>
          <w:sz w:val="24"/>
        </w:rPr>
        <w:t> </w:t>
      </w:r>
      <w:r>
        <w:rPr>
          <w:sz w:val="24"/>
        </w:rPr>
        <w:t>electronic services or software’. It further states that the term is intended</w:t>
      </w:r>
      <w:r>
        <w:rPr>
          <w:spacing w:val="1"/>
          <w:sz w:val="24"/>
        </w:rPr>
        <w:t> </w:t>
      </w:r>
      <w:r>
        <w:rPr>
          <w:sz w:val="24"/>
        </w:rPr>
        <w:t>to encompass both old and new technology or a ‘subclass’ within a</w:t>
      </w:r>
      <w:r>
        <w:rPr>
          <w:spacing w:val="1"/>
          <w:sz w:val="24"/>
        </w:rPr>
        <w:t> </w:t>
      </w:r>
      <w:r>
        <w:rPr>
          <w:sz w:val="24"/>
        </w:rPr>
        <w:t>broader class of technology, for example ‘an iOS mobile operating system</w:t>
      </w:r>
      <w:r>
        <w:rPr>
          <w:spacing w:val="1"/>
          <w:sz w:val="24"/>
        </w:rPr>
        <w:t> </w:t>
      </w:r>
      <w:r>
        <w:rPr>
          <w:sz w:val="24"/>
        </w:rPr>
        <w:t>within a particular class, or classes, of mobile devices’. The Commission</w:t>
      </w:r>
      <w:r>
        <w:rPr>
          <w:spacing w:val="1"/>
          <w:sz w:val="24"/>
        </w:rPr>
        <w:t> </w:t>
      </w:r>
      <w:r>
        <w:rPr>
          <w:sz w:val="24"/>
        </w:rPr>
        <w:t>considers that it is not clear how the boundaries of a class can be drawn,</w:t>
      </w:r>
      <w:r>
        <w:rPr>
          <w:spacing w:val="1"/>
          <w:sz w:val="24"/>
        </w:rPr>
        <w:t> </w:t>
      </w:r>
      <w:r>
        <w:rPr>
          <w:sz w:val="24"/>
        </w:rPr>
        <w:t>including</w:t>
      </w:r>
      <w:r>
        <w:rPr>
          <w:spacing w:val="-3"/>
          <w:sz w:val="24"/>
        </w:rPr>
        <w:t> </w:t>
      </w:r>
      <w:r>
        <w:rPr>
          <w:sz w:val="24"/>
        </w:rPr>
        <w:t>how small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large</w:t>
      </w:r>
      <w:r>
        <w:rPr>
          <w:spacing w:val="-2"/>
          <w:sz w:val="24"/>
        </w:rPr>
        <w:t> </w:t>
      </w:r>
      <w:r>
        <w:rPr>
          <w:sz w:val="24"/>
        </w:rPr>
        <w:t>a class</w:t>
      </w:r>
      <w:r>
        <w:rPr>
          <w:spacing w:val="-5"/>
          <w:sz w:val="24"/>
        </w:rPr>
        <w:t> </w:t>
      </w:r>
      <w:r>
        <w:rPr>
          <w:sz w:val="24"/>
        </w:rPr>
        <w:t>might</w:t>
      </w:r>
      <w:r>
        <w:rPr>
          <w:spacing w:val="1"/>
          <w:sz w:val="24"/>
        </w:rPr>
        <w:t> </w:t>
      </w:r>
      <w:r>
        <w:rPr>
          <w:sz w:val="24"/>
        </w:rPr>
        <w:t>be.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97" w:after="0"/>
        <w:ind w:left="1686" w:right="108" w:hanging="567"/>
        <w:jc w:val="left"/>
        <w:rPr>
          <w:sz w:val="24"/>
        </w:rPr>
      </w:pPr>
      <w:r>
        <w:rPr>
          <w:sz w:val="24"/>
        </w:rPr>
        <w:t>It appears that a very wide category of technological devices, services or</w:t>
      </w:r>
      <w:r>
        <w:rPr>
          <w:spacing w:val="1"/>
          <w:sz w:val="24"/>
        </w:rPr>
        <w:t> </w:t>
      </w:r>
      <w:r>
        <w:rPr>
          <w:sz w:val="24"/>
        </w:rPr>
        <w:t>software could be said to constitute a ‘class’. For example, ‘devices allowing</w:t>
      </w:r>
      <w:r>
        <w:rPr>
          <w:spacing w:val="-60"/>
          <w:sz w:val="24"/>
        </w:rPr>
        <w:t> </w:t>
      </w:r>
      <w:r>
        <w:rPr>
          <w:sz w:val="24"/>
        </w:rPr>
        <w:t>electronic communication’ could meet the definition of a ‘class’, and is</w:t>
      </w:r>
      <w:r>
        <w:rPr>
          <w:spacing w:val="1"/>
          <w:sz w:val="24"/>
        </w:rPr>
        <w:t> </w:t>
      </w:r>
      <w:r>
        <w:rPr>
          <w:sz w:val="24"/>
        </w:rPr>
        <w:t>evidently extremely broad so as to serve no protective function. The</w:t>
      </w:r>
      <w:r>
        <w:rPr>
          <w:spacing w:val="1"/>
          <w:sz w:val="24"/>
        </w:rPr>
        <w:t> </w:t>
      </w:r>
      <w:r>
        <w:rPr>
          <w:sz w:val="24"/>
        </w:rPr>
        <w:t>Commission queries how useful the concept of a ‘class’ is. If this concept is</w:t>
      </w:r>
      <w:r>
        <w:rPr>
          <w:spacing w:val="1"/>
          <w:sz w:val="24"/>
        </w:rPr>
        <w:t> </w:t>
      </w:r>
      <w:r>
        <w:rPr>
          <w:sz w:val="24"/>
        </w:rPr>
        <w:t>maintained,</w:t>
      </w:r>
      <w:r>
        <w:rPr>
          <w:spacing w:val="3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should</w:t>
      </w:r>
      <w:r>
        <w:rPr>
          <w:spacing w:val="6"/>
          <w:sz w:val="24"/>
        </w:rPr>
        <w:t> </w:t>
      </w:r>
      <w:r>
        <w:rPr>
          <w:sz w:val="24"/>
        </w:rPr>
        <w:t>be</w:t>
      </w:r>
      <w:r>
        <w:rPr>
          <w:spacing w:val="3"/>
          <w:sz w:val="24"/>
        </w:rPr>
        <w:t> </w:t>
      </w:r>
      <w:r>
        <w:rPr>
          <w:sz w:val="24"/>
        </w:rPr>
        <w:t>clearly</w:t>
      </w:r>
      <w:r>
        <w:rPr>
          <w:spacing w:val="4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precisely</w:t>
      </w:r>
      <w:r>
        <w:rPr>
          <w:spacing w:val="3"/>
          <w:sz w:val="24"/>
        </w:rPr>
        <w:t> </w:t>
      </w:r>
      <w:r>
        <w:rPr>
          <w:sz w:val="24"/>
        </w:rPr>
        <w:t>defined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4"/>
          <w:sz w:val="24"/>
        </w:rPr>
        <w:t> </w:t>
      </w:r>
      <w:r>
        <w:rPr>
          <w:sz w:val="24"/>
        </w:rPr>
        <w:t>protect</w:t>
      </w:r>
      <w:r>
        <w:rPr>
          <w:spacing w:val="5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privacy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cybersecurity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innocent</w:t>
      </w:r>
      <w:r>
        <w:rPr>
          <w:spacing w:val="1"/>
          <w:sz w:val="24"/>
        </w:rPr>
        <w:t> </w:t>
      </w:r>
      <w:r>
        <w:rPr>
          <w:sz w:val="24"/>
        </w:rPr>
        <w:t>third</w:t>
      </w:r>
      <w:r>
        <w:rPr>
          <w:spacing w:val="-4"/>
          <w:sz w:val="24"/>
        </w:rPr>
        <w:t> </w:t>
      </w:r>
      <w:r>
        <w:rPr>
          <w:sz w:val="24"/>
        </w:rPr>
        <w:t>parties.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1146" w:footer="333" w:top="1680" w:bottom="520" w:left="44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01" w:after="0"/>
        <w:ind w:left="1686" w:right="163" w:hanging="567"/>
        <w:jc w:val="left"/>
        <w:rPr>
          <w:sz w:val="24"/>
        </w:rPr>
      </w:pPr>
      <w:r>
        <w:rPr>
          <w:sz w:val="24"/>
        </w:rPr>
        <w:t>Second, the requirement that a systemic weakness or vulnerability affect a</w:t>
      </w:r>
      <w:r>
        <w:rPr>
          <w:spacing w:val="-60"/>
          <w:sz w:val="24"/>
        </w:rPr>
        <w:t> </w:t>
      </w:r>
      <w:r>
        <w:rPr>
          <w:sz w:val="24"/>
        </w:rPr>
        <w:t>‘</w:t>
      </w:r>
      <w:r>
        <w:rPr>
          <w:i/>
          <w:sz w:val="24"/>
        </w:rPr>
        <w:t>whole </w:t>
      </w:r>
      <w:r>
        <w:rPr>
          <w:sz w:val="24"/>
        </w:rPr>
        <w:t>class of technology’ is an overly high bar. The word ‘whole’ implies</w:t>
      </w:r>
      <w:r>
        <w:rPr>
          <w:spacing w:val="1"/>
          <w:sz w:val="24"/>
        </w:rPr>
        <w:t> </w:t>
      </w:r>
      <w:r>
        <w:rPr>
          <w:sz w:val="24"/>
        </w:rPr>
        <w:t>that the </w:t>
      </w:r>
      <w:r>
        <w:rPr>
          <w:i/>
          <w:sz w:val="24"/>
        </w:rPr>
        <w:t>entire </w:t>
      </w:r>
      <w:r>
        <w:rPr>
          <w:sz w:val="24"/>
        </w:rPr>
        <w:t>relevant category of device or service or software must be</w:t>
      </w:r>
      <w:r>
        <w:rPr>
          <w:spacing w:val="1"/>
          <w:sz w:val="24"/>
        </w:rPr>
        <w:t> </w:t>
      </w:r>
      <w:r>
        <w:rPr>
          <w:sz w:val="24"/>
        </w:rPr>
        <w:t>affected before a systemic weakness is established. The Supplementary</w:t>
      </w:r>
      <w:r>
        <w:rPr>
          <w:spacing w:val="1"/>
          <w:sz w:val="24"/>
        </w:rPr>
        <w:t> </w:t>
      </w:r>
      <w:r>
        <w:rPr>
          <w:sz w:val="24"/>
        </w:rPr>
        <w:t>Explanatory Memorandum states that ‘where requirements in a notice</w:t>
      </w:r>
      <w:r>
        <w:rPr>
          <w:spacing w:val="1"/>
          <w:sz w:val="24"/>
        </w:rPr>
        <w:t> </w:t>
      </w:r>
      <w:r>
        <w:rPr>
          <w:sz w:val="24"/>
        </w:rPr>
        <w:t>make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whole</w:t>
      </w:r>
      <w:r>
        <w:rPr>
          <w:spacing w:val="-3"/>
          <w:sz w:val="24"/>
        </w:rPr>
        <w:t> </w:t>
      </w:r>
      <w:r>
        <w:rPr>
          <w:sz w:val="24"/>
        </w:rPr>
        <w:t>set of</w:t>
      </w:r>
      <w:r>
        <w:rPr>
          <w:spacing w:val="-2"/>
          <w:sz w:val="24"/>
        </w:rPr>
        <w:t> </w:t>
      </w:r>
      <w:r>
        <w:rPr>
          <w:sz w:val="24"/>
        </w:rPr>
        <w:t>these</w:t>
      </w:r>
      <w:r>
        <w:rPr>
          <w:spacing w:val="-2"/>
          <w:sz w:val="24"/>
        </w:rPr>
        <w:t> </w:t>
      </w:r>
      <w:r>
        <w:rPr>
          <w:sz w:val="24"/>
        </w:rPr>
        <w:t>items</w:t>
      </w:r>
      <w:r>
        <w:rPr>
          <w:spacing w:val="-6"/>
          <w:sz w:val="24"/>
        </w:rPr>
        <w:t> </w:t>
      </w:r>
      <w:r>
        <w:rPr>
          <w:sz w:val="24"/>
        </w:rPr>
        <w:t>more</w:t>
      </w:r>
      <w:r>
        <w:rPr>
          <w:spacing w:val="-3"/>
          <w:sz w:val="24"/>
        </w:rPr>
        <w:t> </w:t>
      </w:r>
      <w:r>
        <w:rPr>
          <w:sz w:val="24"/>
        </w:rPr>
        <w:t>vulnerable,</w:t>
      </w:r>
      <w:r>
        <w:rPr>
          <w:spacing w:val="-3"/>
          <w:sz w:val="24"/>
        </w:rPr>
        <w:t> </w:t>
      </w:r>
      <w:r>
        <w:rPr>
          <w:sz w:val="24"/>
        </w:rPr>
        <w:t>it will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prohibited’.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99" w:after="0"/>
        <w:ind w:left="1686" w:right="119" w:hanging="567"/>
        <w:jc w:val="left"/>
        <w:rPr>
          <w:sz w:val="24"/>
        </w:rPr>
      </w:pPr>
      <w:r>
        <w:rPr>
          <w:sz w:val="24"/>
        </w:rPr>
        <w:t>The Commission is concerned that there may be circumstances where, for</w:t>
      </w:r>
      <w:r>
        <w:rPr>
          <w:spacing w:val="1"/>
          <w:sz w:val="24"/>
        </w:rPr>
        <w:t> </w:t>
      </w:r>
      <w:r>
        <w:rPr>
          <w:sz w:val="24"/>
        </w:rPr>
        <w:t>example, a measure has detrimental impacts on a significant proportion of</w:t>
      </w:r>
      <w:r>
        <w:rPr>
          <w:spacing w:val="-60"/>
          <w:sz w:val="24"/>
        </w:rPr>
        <w:t> </w:t>
      </w:r>
      <w:r>
        <w:rPr>
          <w:sz w:val="24"/>
        </w:rPr>
        <w:t>users, or a significant number of users, but not all users, and therefore</w:t>
      </w:r>
      <w:r>
        <w:rPr>
          <w:spacing w:val="1"/>
          <w:sz w:val="24"/>
        </w:rPr>
        <w:t> </w:t>
      </w:r>
      <w:r>
        <w:rPr>
          <w:sz w:val="24"/>
        </w:rPr>
        <w:t>cannot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4"/>
          <w:sz w:val="24"/>
        </w:rPr>
        <w:t> </w:t>
      </w:r>
      <w:r>
        <w:rPr>
          <w:sz w:val="24"/>
        </w:rPr>
        <w:t>said</w:t>
      </w:r>
      <w:r>
        <w:rPr>
          <w:spacing w:val="6"/>
          <w:sz w:val="24"/>
        </w:rPr>
        <w:t> </w:t>
      </w:r>
      <w:r>
        <w:rPr>
          <w:sz w:val="24"/>
        </w:rPr>
        <w:t>to</w:t>
      </w:r>
      <w:r>
        <w:rPr>
          <w:spacing w:val="4"/>
          <w:sz w:val="24"/>
        </w:rPr>
        <w:t> </w:t>
      </w:r>
      <w:r>
        <w:rPr>
          <w:sz w:val="24"/>
        </w:rPr>
        <w:t>affect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‘whole’</w:t>
      </w:r>
      <w:r>
        <w:rPr>
          <w:spacing w:val="2"/>
          <w:sz w:val="24"/>
        </w:rPr>
        <w:t> </w:t>
      </w:r>
      <w:r>
        <w:rPr>
          <w:sz w:val="24"/>
        </w:rPr>
        <w:t>class.</w:t>
      </w:r>
      <w:r>
        <w:rPr>
          <w:spacing w:val="4"/>
          <w:sz w:val="24"/>
        </w:rPr>
        <w:t> </w:t>
      </w:r>
      <w:r>
        <w:rPr>
          <w:sz w:val="24"/>
        </w:rPr>
        <w:t>It</w:t>
      </w:r>
      <w:r>
        <w:rPr>
          <w:spacing w:val="6"/>
          <w:sz w:val="24"/>
        </w:rPr>
        <w:t> </w:t>
      </w:r>
      <w:r>
        <w:rPr>
          <w:sz w:val="24"/>
        </w:rPr>
        <w:t>is also</w:t>
      </w:r>
      <w:r>
        <w:rPr>
          <w:spacing w:val="4"/>
          <w:sz w:val="24"/>
        </w:rPr>
        <w:t> </w:t>
      </w:r>
      <w:r>
        <w:rPr>
          <w:sz w:val="24"/>
        </w:rPr>
        <w:t>unclear,</w:t>
      </w:r>
      <w:r>
        <w:rPr>
          <w:spacing w:val="3"/>
          <w:sz w:val="24"/>
        </w:rPr>
        <w:t> </w:t>
      </w:r>
      <w:r>
        <w:rPr>
          <w:sz w:val="24"/>
        </w:rPr>
        <w:t>on</w:t>
      </w:r>
      <w:r>
        <w:rPr>
          <w:spacing w:val="6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natural</w:t>
      </w:r>
      <w:r>
        <w:rPr>
          <w:spacing w:val="1"/>
          <w:sz w:val="24"/>
        </w:rPr>
        <w:t> </w:t>
      </w:r>
      <w:r>
        <w:rPr>
          <w:sz w:val="24"/>
        </w:rPr>
        <w:t>and ordinary meaning of ‘whole’ and ‘class’, how an individual software</w:t>
      </w:r>
      <w:r>
        <w:rPr>
          <w:spacing w:val="1"/>
          <w:sz w:val="24"/>
        </w:rPr>
        <w:t> </w:t>
      </w:r>
      <w:r>
        <w:rPr>
          <w:sz w:val="24"/>
        </w:rPr>
        <w:t>application could be said to constitute a whole class of technology. For</w:t>
      </w:r>
      <w:r>
        <w:rPr>
          <w:spacing w:val="1"/>
          <w:sz w:val="24"/>
        </w:rPr>
        <w:t> </w:t>
      </w:r>
      <w:r>
        <w:rPr>
          <w:sz w:val="24"/>
        </w:rPr>
        <w:t>example, the Facebook Messenger phone application is ‘software’, but it is</w:t>
      </w:r>
      <w:r>
        <w:rPr>
          <w:spacing w:val="1"/>
          <w:sz w:val="24"/>
        </w:rPr>
        <w:t> </w:t>
      </w:r>
      <w:r>
        <w:rPr>
          <w:sz w:val="24"/>
        </w:rPr>
        <w:t>not evident how it could form a ‘class’ let alone a ‘whole set’ of ‘items’. The</w:t>
      </w:r>
      <w:r>
        <w:rPr>
          <w:spacing w:val="1"/>
          <w:sz w:val="24"/>
        </w:rPr>
        <w:t> </w:t>
      </w:r>
      <w:r>
        <w:rPr>
          <w:sz w:val="24"/>
        </w:rPr>
        <w:t>Commission</w:t>
      </w:r>
      <w:r>
        <w:rPr>
          <w:spacing w:val="2"/>
          <w:sz w:val="24"/>
        </w:rPr>
        <w:t> </w:t>
      </w:r>
      <w:r>
        <w:rPr>
          <w:sz w:val="24"/>
        </w:rPr>
        <w:t>considers</w:t>
      </w:r>
      <w:r>
        <w:rPr>
          <w:spacing w:val="6"/>
          <w:sz w:val="24"/>
        </w:rPr>
        <w:t> </w:t>
      </w:r>
      <w:r>
        <w:rPr>
          <w:sz w:val="24"/>
        </w:rPr>
        <w:t>that</w:t>
      </w:r>
      <w:r>
        <w:rPr>
          <w:spacing w:val="7"/>
          <w:sz w:val="24"/>
        </w:rPr>
        <w:t> </w:t>
      </w:r>
      <w:r>
        <w:rPr>
          <w:sz w:val="24"/>
        </w:rPr>
        <w:t>meaning</w:t>
      </w:r>
      <w:r>
        <w:rPr>
          <w:spacing w:val="4"/>
          <w:sz w:val="24"/>
        </w:rPr>
        <w:t> </w:t>
      </w:r>
      <w:r>
        <w:rPr>
          <w:sz w:val="24"/>
        </w:rPr>
        <w:t>of</w:t>
      </w:r>
      <w:r>
        <w:rPr>
          <w:spacing w:val="6"/>
          <w:sz w:val="24"/>
        </w:rPr>
        <w:t> </w:t>
      </w:r>
      <w:r>
        <w:rPr>
          <w:sz w:val="24"/>
        </w:rPr>
        <w:t>‘affects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whole</w:t>
      </w:r>
      <w:r>
        <w:rPr>
          <w:spacing w:val="6"/>
          <w:sz w:val="24"/>
        </w:rPr>
        <w:t> </w:t>
      </w:r>
      <w:r>
        <w:rPr>
          <w:sz w:val="24"/>
        </w:rPr>
        <w:t>class</w:t>
      </w:r>
      <w:r>
        <w:rPr>
          <w:spacing w:val="6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technology’ should be clarified to ensure that the systemic weakness</w:t>
      </w:r>
      <w:r>
        <w:rPr>
          <w:spacing w:val="1"/>
          <w:sz w:val="24"/>
        </w:rPr>
        <w:t> </w:t>
      </w:r>
      <w:r>
        <w:rPr>
          <w:sz w:val="24"/>
        </w:rPr>
        <w:t>limitation is</w:t>
      </w:r>
      <w:r>
        <w:rPr>
          <w:spacing w:val="-5"/>
          <w:sz w:val="24"/>
        </w:rPr>
        <w:t> </w:t>
      </w:r>
      <w:r>
        <w:rPr>
          <w:sz w:val="24"/>
        </w:rPr>
        <w:t>applied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individual software</w:t>
      </w:r>
      <w:r>
        <w:rPr>
          <w:spacing w:val="-1"/>
          <w:sz w:val="24"/>
        </w:rPr>
        <w:t> </w:t>
      </w:r>
      <w:r>
        <w:rPr>
          <w:sz w:val="24"/>
        </w:rPr>
        <w:t>applications.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1" w:after="0"/>
        <w:ind w:left="1686" w:right="610" w:hanging="567"/>
        <w:jc w:val="left"/>
        <w:rPr>
          <w:sz w:val="24"/>
        </w:rPr>
      </w:pPr>
      <w:r>
        <w:rPr>
          <w:sz w:val="24"/>
        </w:rPr>
        <w:t>The Commission considers that s 317G should be amended to prevent</w:t>
      </w:r>
      <w:r>
        <w:rPr>
          <w:spacing w:val="-60"/>
          <w:sz w:val="24"/>
        </w:rPr>
        <w:t> </w:t>
      </w:r>
      <w:r>
        <w:rPr>
          <w:sz w:val="24"/>
        </w:rPr>
        <w:t>assistance measures that have a negative impact on the privacy or</w:t>
      </w:r>
      <w:r>
        <w:rPr>
          <w:spacing w:val="1"/>
          <w:sz w:val="24"/>
        </w:rPr>
        <w:t> </w:t>
      </w:r>
      <w:r>
        <w:rPr>
          <w:sz w:val="24"/>
        </w:rPr>
        <w:t>cybersecurity of a significant proportion or number of innocent third</w:t>
      </w:r>
      <w:r>
        <w:rPr>
          <w:spacing w:val="1"/>
          <w:sz w:val="24"/>
        </w:rPr>
        <w:t> </w:t>
      </w:r>
      <w:r>
        <w:rPr>
          <w:sz w:val="24"/>
        </w:rPr>
        <w:t>parties. This should be in addition to prohibiting the weakening of a</w:t>
      </w:r>
      <w:r>
        <w:rPr>
          <w:spacing w:val="1"/>
          <w:sz w:val="24"/>
        </w:rPr>
        <w:t> </w:t>
      </w:r>
      <w:r>
        <w:rPr>
          <w:sz w:val="24"/>
        </w:rPr>
        <w:t>significant</w:t>
      </w:r>
      <w:r>
        <w:rPr>
          <w:spacing w:val="-5"/>
          <w:sz w:val="24"/>
        </w:rPr>
        <w:t> </w:t>
      </w:r>
      <w:r>
        <w:rPr>
          <w:sz w:val="24"/>
        </w:rPr>
        <w:t>part of</w:t>
      </w:r>
      <w:r>
        <w:rPr>
          <w:spacing w:val="-1"/>
          <w:sz w:val="24"/>
        </w:rPr>
        <w:t> </w:t>
      </w:r>
      <w:r>
        <w:rPr>
          <w:sz w:val="24"/>
        </w:rPr>
        <w:t>a relevant system,</w:t>
      </w:r>
      <w:r>
        <w:rPr>
          <w:spacing w:val="-3"/>
          <w:sz w:val="24"/>
        </w:rPr>
        <w:t> </w:t>
      </w:r>
      <w:r>
        <w:rPr>
          <w:sz w:val="24"/>
        </w:rPr>
        <w:t>as well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whole</w:t>
      </w:r>
      <w:r>
        <w:rPr>
          <w:spacing w:val="-2"/>
          <w:sz w:val="24"/>
        </w:rPr>
        <w:t> </w:t>
      </w:r>
      <w:r>
        <w:rPr>
          <w:sz w:val="24"/>
        </w:rPr>
        <w:t>system.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0" w:after="0"/>
        <w:ind w:left="1686" w:right="148" w:hanging="567"/>
        <w:jc w:val="left"/>
        <w:rPr>
          <w:sz w:val="24"/>
        </w:rPr>
      </w:pPr>
      <w:r>
        <w:rPr>
          <w:sz w:val="24"/>
        </w:rPr>
        <w:t>Third, the Commission is concerned that the interaction between the</w:t>
      </w:r>
      <w:r>
        <w:rPr>
          <w:spacing w:val="1"/>
          <w:sz w:val="24"/>
        </w:rPr>
        <w:t> </w:t>
      </w:r>
      <w:r>
        <w:rPr>
          <w:sz w:val="24"/>
        </w:rPr>
        <w:t>relevant definitions in s 317B and the limitation in ss 317ZG(4A)–(4C) is not</w:t>
      </w:r>
      <w:r>
        <w:rPr>
          <w:spacing w:val="-60"/>
          <w:sz w:val="24"/>
        </w:rPr>
        <w:t> </w:t>
      </w:r>
      <w:r>
        <w:rPr>
          <w:sz w:val="24"/>
        </w:rPr>
        <w:t>clear, undermining the safeguard that prevents the information security of</w:t>
      </w:r>
      <w:r>
        <w:rPr>
          <w:spacing w:val="-60"/>
          <w:sz w:val="24"/>
        </w:rPr>
        <w:t> </w:t>
      </w:r>
      <w:r>
        <w:rPr>
          <w:sz w:val="24"/>
        </w:rPr>
        <w:t>third parties being jeopardised when a weakness or vulnerability is</w:t>
      </w:r>
      <w:r>
        <w:rPr>
          <w:spacing w:val="1"/>
          <w:sz w:val="24"/>
        </w:rPr>
        <w:t> </w:t>
      </w:r>
      <w:r>
        <w:rPr>
          <w:sz w:val="24"/>
        </w:rPr>
        <w:t>‘selectively</w:t>
      </w:r>
      <w:r>
        <w:rPr>
          <w:spacing w:val="-2"/>
          <w:sz w:val="24"/>
        </w:rPr>
        <w:t> </w:t>
      </w:r>
      <w:r>
        <w:rPr>
          <w:sz w:val="24"/>
        </w:rPr>
        <w:t>introduced to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more</w:t>
      </w:r>
      <w:r>
        <w:rPr>
          <w:spacing w:val="-2"/>
          <w:sz w:val="24"/>
        </w:rPr>
        <w:t> </w:t>
      </w:r>
      <w:r>
        <w:rPr>
          <w:sz w:val="24"/>
        </w:rPr>
        <w:t>target technologies’.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99" w:after="0"/>
        <w:ind w:left="1686" w:right="644" w:hanging="567"/>
        <w:jc w:val="left"/>
        <w:rPr>
          <w:sz w:val="24"/>
        </w:rPr>
      </w:pPr>
      <w:r>
        <w:rPr>
          <w:sz w:val="24"/>
        </w:rPr>
        <w:t>On one reading, ss 317ZG(4A)–(4C) could overcome the problems</w:t>
      </w:r>
      <w:r>
        <w:rPr>
          <w:spacing w:val="1"/>
          <w:sz w:val="24"/>
        </w:rPr>
        <w:t> </w:t>
      </w:r>
      <w:r>
        <w:rPr>
          <w:sz w:val="24"/>
        </w:rPr>
        <w:t>identified</w:t>
      </w:r>
      <w:r>
        <w:rPr>
          <w:spacing w:val="-7"/>
          <w:sz w:val="24"/>
        </w:rPr>
        <w:t> </w:t>
      </w:r>
      <w:r>
        <w:rPr>
          <w:sz w:val="24"/>
        </w:rPr>
        <w:t>above,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prevent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weakness</w:t>
      </w:r>
      <w:r>
        <w:rPr>
          <w:spacing w:val="-3"/>
          <w:sz w:val="24"/>
        </w:rPr>
        <w:t> </w:t>
      </w:r>
      <w:r>
        <w:rPr>
          <w:sz w:val="24"/>
        </w:rPr>
        <w:t>being</w:t>
      </w:r>
      <w:r>
        <w:rPr>
          <w:spacing w:val="-5"/>
          <w:sz w:val="24"/>
        </w:rPr>
        <w:t> </w:t>
      </w:r>
      <w:r>
        <w:rPr>
          <w:sz w:val="24"/>
        </w:rPr>
        <w:t>introduced</w:t>
      </w:r>
      <w:r>
        <w:rPr>
          <w:spacing w:val="-2"/>
          <w:sz w:val="24"/>
        </w:rPr>
        <w:t> </w:t>
      </w:r>
      <w:r>
        <w:rPr>
          <w:sz w:val="24"/>
        </w:rPr>
        <w:t>into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target</w:t>
      </w:r>
      <w:r>
        <w:rPr>
          <w:spacing w:val="-59"/>
          <w:sz w:val="24"/>
        </w:rPr>
        <w:t> </w:t>
      </w:r>
      <w:r>
        <w:rPr>
          <w:sz w:val="24"/>
        </w:rPr>
        <w:t>device</w:t>
      </w:r>
      <w:r>
        <w:rPr>
          <w:spacing w:val="-3"/>
          <w:sz w:val="24"/>
        </w:rPr>
        <w:t> </w:t>
      </w:r>
      <w:r>
        <w:rPr>
          <w:sz w:val="24"/>
        </w:rPr>
        <w:t>where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jeopardises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information</w:t>
      </w:r>
      <w:r>
        <w:rPr>
          <w:spacing w:val="-5"/>
          <w:sz w:val="24"/>
        </w:rPr>
        <w:t> </w:t>
      </w:r>
      <w:r>
        <w:rPr>
          <w:sz w:val="24"/>
        </w:rPr>
        <w:t>held by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person.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0" w:after="0"/>
        <w:ind w:left="1686" w:right="455" w:hanging="567"/>
        <w:jc w:val="left"/>
        <w:rPr>
          <w:sz w:val="24"/>
        </w:rPr>
      </w:pPr>
      <w:r>
        <w:rPr>
          <w:sz w:val="24"/>
        </w:rPr>
        <w:t>However, a possible alternative reading of ss 317ZG(4A)–(4C) would give</w:t>
      </w:r>
      <w:r>
        <w:rPr>
          <w:spacing w:val="-60"/>
          <w:sz w:val="24"/>
        </w:rPr>
        <w:t> </w:t>
      </w:r>
      <w:r>
        <w:rPr>
          <w:sz w:val="24"/>
        </w:rPr>
        <w:t>those</w:t>
      </w:r>
      <w:r>
        <w:rPr>
          <w:spacing w:val="-2"/>
          <w:sz w:val="24"/>
        </w:rPr>
        <w:t> </w:t>
      </w:r>
      <w:r>
        <w:rPr>
          <w:sz w:val="24"/>
        </w:rPr>
        <w:t>provisions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effect,</w:t>
      </w:r>
      <w:r>
        <w:rPr>
          <w:spacing w:val="-2"/>
          <w:sz w:val="24"/>
        </w:rPr>
        <w:t> </w:t>
      </w:r>
      <w:r>
        <w:rPr>
          <w:sz w:val="24"/>
        </w:rPr>
        <w:t>as explained below.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1" w:after="0"/>
        <w:ind w:left="1686" w:right="513" w:hanging="567"/>
        <w:jc w:val="left"/>
        <w:rPr>
          <w:sz w:val="24"/>
        </w:rPr>
      </w:pPr>
      <w:r>
        <w:rPr>
          <w:sz w:val="24"/>
        </w:rPr>
        <w:t>Section 317B defines ‘systemic weakness’ to exclude ‘a weakness that is</w:t>
      </w:r>
      <w:r>
        <w:rPr>
          <w:spacing w:val="-60"/>
          <w:sz w:val="24"/>
        </w:rPr>
        <w:t> </w:t>
      </w:r>
      <w:r>
        <w:rPr>
          <w:sz w:val="24"/>
        </w:rPr>
        <w:t>selectively introduced to one or more target technologies that are</w:t>
      </w:r>
      <w:r>
        <w:rPr>
          <w:spacing w:val="1"/>
          <w:sz w:val="24"/>
        </w:rPr>
        <w:t> </w:t>
      </w:r>
      <w:r>
        <w:rPr>
          <w:sz w:val="24"/>
        </w:rPr>
        <w:t>connected with a particular person’ from the definition of ‘systemic</w:t>
      </w:r>
      <w:r>
        <w:rPr>
          <w:spacing w:val="1"/>
          <w:sz w:val="24"/>
        </w:rPr>
        <w:t> </w:t>
      </w:r>
      <w:r>
        <w:rPr>
          <w:sz w:val="24"/>
        </w:rPr>
        <w:t>weakness’.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1146" w:footer="333" w:top="1680" w:bottom="520" w:left="44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01" w:after="0"/>
        <w:ind w:left="1686" w:right="206" w:hanging="567"/>
        <w:jc w:val="left"/>
        <w:rPr>
          <w:sz w:val="24"/>
        </w:rPr>
      </w:pPr>
      <w:r>
        <w:rPr>
          <w:sz w:val="24"/>
        </w:rPr>
        <w:t>Subsection 317ZG(4A) then seeks to reintroduce the scenario of a</w:t>
      </w:r>
      <w:r>
        <w:rPr>
          <w:spacing w:val="1"/>
          <w:sz w:val="24"/>
        </w:rPr>
        <w:t> </w:t>
      </w:r>
      <w:r>
        <w:rPr>
          <w:sz w:val="24"/>
        </w:rPr>
        <w:t>selectively introduced weakness, into the definition of ‘systemic weakness’</w:t>
      </w:r>
      <w:r>
        <w:rPr>
          <w:spacing w:val="-60"/>
          <w:sz w:val="24"/>
        </w:rPr>
        <w:t> </w:t>
      </w:r>
      <w:r>
        <w:rPr>
          <w:sz w:val="24"/>
        </w:rPr>
        <w:t>in ss 317ZG(1)(a)–(b). It provides that a ‘systemic weakness’ includes ‘any</w:t>
      </w:r>
      <w:r>
        <w:rPr>
          <w:spacing w:val="1"/>
          <w:sz w:val="24"/>
        </w:rPr>
        <w:t> </w:t>
      </w:r>
      <w:r>
        <w:rPr>
          <w:sz w:val="24"/>
        </w:rPr>
        <w:t>act or thing that will, or is likely to, jeopardise the security of any</w:t>
      </w:r>
      <w:r>
        <w:rPr>
          <w:spacing w:val="1"/>
          <w:sz w:val="24"/>
        </w:rPr>
        <w:t> </w:t>
      </w:r>
      <w:r>
        <w:rPr>
          <w:sz w:val="24"/>
        </w:rPr>
        <w:t>information held by any other person’. Subsection 317ZG(4B) introduces a</w:t>
      </w:r>
      <w:r>
        <w:rPr>
          <w:spacing w:val="-60"/>
          <w:sz w:val="24"/>
        </w:rPr>
        <w:t> </w:t>
      </w:r>
      <w:r>
        <w:rPr>
          <w:sz w:val="24"/>
        </w:rPr>
        <w:t>similar reintroduction for the definition of ‘systemic vulnerability’, with</w:t>
      </w:r>
      <w:r>
        <w:rPr>
          <w:spacing w:val="1"/>
          <w:sz w:val="24"/>
        </w:rPr>
        <w:t> </w:t>
      </w:r>
      <w:r>
        <w:rPr>
          <w:sz w:val="24"/>
        </w:rPr>
        <w:t>respect to</w:t>
      </w:r>
      <w:r>
        <w:rPr>
          <w:spacing w:val="-1"/>
          <w:sz w:val="24"/>
        </w:rPr>
        <w:t> </w:t>
      </w:r>
      <w:r>
        <w:rPr>
          <w:sz w:val="24"/>
        </w:rPr>
        <w:t>ss 317ZG(1)(a)–(b).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98" w:after="0"/>
        <w:ind w:left="1686" w:right="452" w:hanging="567"/>
        <w:jc w:val="left"/>
        <w:rPr>
          <w:sz w:val="24"/>
        </w:rPr>
      </w:pPr>
      <w:r>
        <w:rPr>
          <w:sz w:val="24"/>
        </w:rPr>
        <w:t>Subsection 317ZG(4C) provides that an ‘act or thing’ will, or is likely to,</w:t>
      </w:r>
      <w:r>
        <w:rPr>
          <w:spacing w:val="1"/>
          <w:sz w:val="24"/>
        </w:rPr>
        <w:t> </w:t>
      </w:r>
      <w:r>
        <w:rPr>
          <w:sz w:val="24"/>
        </w:rPr>
        <w:t>‘jeopardise’ security of information if it creates a material risk that</w:t>
      </w:r>
      <w:r>
        <w:rPr>
          <w:spacing w:val="1"/>
          <w:sz w:val="24"/>
        </w:rPr>
        <w:t> </w:t>
      </w:r>
      <w:r>
        <w:rPr>
          <w:sz w:val="24"/>
        </w:rPr>
        <w:t>otherwise secure information can be accessed by an unauthorised third</w:t>
      </w:r>
      <w:r>
        <w:rPr>
          <w:spacing w:val="-60"/>
          <w:sz w:val="24"/>
        </w:rPr>
        <w:t> </w:t>
      </w:r>
      <w:r>
        <w:rPr>
          <w:sz w:val="24"/>
        </w:rPr>
        <w:t>party.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meaning</w:t>
      </w:r>
      <w:r>
        <w:rPr>
          <w:spacing w:val="-3"/>
          <w:sz w:val="24"/>
        </w:rPr>
        <w:t> </w:t>
      </w:r>
      <w:r>
        <w:rPr>
          <w:sz w:val="24"/>
        </w:rPr>
        <w:t>of unauthorised third party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not defined.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0" w:after="0"/>
        <w:ind w:left="1686" w:right="357" w:hanging="567"/>
        <w:jc w:val="left"/>
        <w:rPr>
          <w:sz w:val="24"/>
        </w:rPr>
      </w:pPr>
      <w:r>
        <w:rPr>
          <w:sz w:val="24"/>
        </w:rPr>
        <w:t>The Commission considers that, on one reading, these provisions could</w:t>
      </w:r>
      <w:r>
        <w:rPr>
          <w:spacing w:val="1"/>
          <w:sz w:val="24"/>
        </w:rPr>
        <w:t> </w:t>
      </w:r>
      <w:r>
        <w:rPr>
          <w:sz w:val="24"/>
        </w:rPr>
        <w:t>operate so that s 317B excludes the selective weakness and vulnerability</w:t>
      </w:r>
      <w:r>
        <w:rPr>
          <w:spacing w:val="-60"/>
          <w:sz w:val="24"/>
        </w:rPr>
        <w:t> </w:t>
      </w:r>
      <w:r>
        <w:rPr>
          <w:sz w:val="24"/>
        </w:rPr>
        <w:t>scenarios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ss</w:t>
      </w:r>
      <w:r>
        <w:rPr>
          <w:spacing w:val="-3"/>
          <w:sz w:val="24"/>
        </w:rPr>
        <w:t> </w:t>
      </w:r>
      <w:r>
        <w:rPr>
          <w:sz w:val="24"/>
        </w:rPr>
        <w:t>317ZG(4A)–(4C)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definition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‘systemic</w:t>
      </w:r>
      <w:r>
        <w:rPr>
          <w:spacing w:val="-3"/>
          <w:sz w:val="24"/>
        </w:rPr>
        <w:t> </w:t>
      </w:r>
      <w:r>
        <w:rPr>
          <w:sz w:val="24"/>
        </w:rPr>
        <w:t>weakness’</w:t>
      </w:r>
      <w:r>
        <w:rPr>
          <w:spacing w:val="-59"/>
          <w:sz w:val="24"/>
        </w:rPr>
        <w:t> </w:t>
      </w:r>
      <w:r>
        <w:rPr>
          <w:sz w:val="24"/>
        </w:rPr>
        <w:t>and ‘systemic vulnerability’ that is picked up in ss 317ZG(1)(a)–(b). That</w:t>
      </w:r>
      <w:r>
        <w:rPr>
          <w:spacing w:val="1"/>
          <w:sz w:val="24"/>
        </w:rPr>
        <w:t> </w:t>
      </w:r>
      <w:r>
        <w:rPr>
          <w:sz w:val="24"/>
        </w:rPr>
        <w:t>would result 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ss</w:t>
      </w:r>
      <w:r>
        <w:rPr>
          <w:spacing w:val="-6"/>
          <w:sz w:val="24"/>
        </w:rPr>
        <w:t> </w:t>
      </w:r>
      <w:r>
        <w:rPr>
          <w:sz w:val="24"/>
        </w:rPr>
        <w:t>317ZG(4A)–(4C) safeguards</w:t>
      </w:r>
      <w:r>
        <w:rPr>
          <w:spacing w:val="-1"/>
          <w:sz w:val="24"/>
        </w:rPr>
        <w:t> </w:t>
      </w:r>
      <w:r>
        <w:rPr>
          <w:sz w:val="24"/>
        </w:rPr>
        <w:t>having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effect.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0" w:after="0"/>
        <w:ind w:left="1686" w:right="812" w:hanging="567"/>
        <w:jc w:val="left"/>
        <w:rPr>
          <w:sz w:val="24"/>
        </w:rPr>
      </w:pPr>
      <w:r>
        <w:rPr>
          <w:sz w:val="24"/>
        </w:rPr>
        <w:t>The Commission considers that the interaction between ss 317B and</w:t>
      </w:r>
      <w:r>
        <w:rPr>
          <w:spacing w:val="-60"/>
          <w:sz w:val="24"/>
        </w:rPr>
        <w:t> </w:t>
      </w:r>
      <w:r>
        <w:rPr>
          <w:sz w:val="24"/>
        </w:rPr>
        <w:t>317ZG</w:t>
      </w:r>
      <w:r>
        <w:rPr>
          <w:spacing w:val="-3"/>
          <w:sz w:val="24"/>
        </w:rPr>
        <w:t> </w:t>
      </w:r>
      <w:r>
        <w:rPr>
          <w:sz w:val="24"/>
        </w:rPr>
        <w:t>should be</w:t>
      </w:r>
      <w:r>
        <w:rPr>
          <w:spacing w:val="-2"/>
          <w:sz w:val="24"/>
        </w:rPr>
        <w:t> </w:t>
      </w:r>
      <w:r>
        <w:rPr>
          <w:sz w:val="24"/>
        </w:rPr>
        <w:t>clarified,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avoid any</w:t>
      </w:r>
      <w:r>
        <w:rPr>
          <w:spacing w:val="-2"/>
          <w:sz w:val="24"/>
        </w:rPr>
        <w:t> </w:t>
      </w:r>
      <w:r>
        <w:rPr>
          <w:sz w:val="24"/>
        </w:rPr>
        <w:t>doubt and ensure</w:t>
      </w:r>
      <w:r>
        <w:rPr>
          <w:spacing w:val="-1"/>
          <w:sz w:val="24"/>
        </w:rPr>
        <w:t> </w:t>
      </w:r>
      <w:r>
        <w:rPr>
          <w:sz w:val="24"/>
        </w:rPr>
        <w:t>that</w:t>
      </w:r>
    </w:p>
    <w:p>
      <w:pPr>
        <w:pStyle w:val="BodyText"/>
        <w:spacing w:before="3"/>
        <w:ind w:right="987"/>
      </w:pPr>
      <w:r>
        <w:rPr/>
        <w:t>ss 317ZG(4A)–(4C) operate effectively to prevent the security of any</w:t>
      </w:r>
      <w:r>
        <w:rPr>
          <w:spacing w:val="-60"/>
        </w:rPr>
        <w:t> </w:t>
      </w:r>
      <w:r>
        <w:rPr/>
        <w:t>information held by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persons being</w:t>
      </w:r>
      <w:r>
        <w:rPr>
          <w:spacing w:val="-3"/>
        </w:rPr>
        <w:t> </w:t>
      </w:r>
      <w:r>
        <w:rPr/>
        <w:t>jeopardised.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196" w:after="0"/>
        <w:ind w:left="1686" w:right="139" w:hanging="567"/>
        <w:jc w:val="left"/>
        <w:rPr>
          <w:sz w:val="24"/>
        </w:rPr>
      </w:pPr>
      <w:r>
        <w:rPr>
          <w:sz w:val="24"/>
        </w:rPr>
        <w:t>The Commission notes the amendments to the Telecommunications and</w:t>
      </w:r>
      <w:r>
        <w:rPr>
          <w:spacing w:val="1"/>
          <w:sz w:val="24"/>
        </w:rPr>
        <w:t> </w:t>
      </w:r>
      <w:r>
        <w:rPr>
          <w:sz w:val="24"/>
        </w:rPr>
        <w:t>Other Legislation Amendment (Miscellaneous Amendments) Bill 2019 (Cth)</w:t>
      </w:r>
      <w:r>
        <w:rPr>
          <w:spacing w:val="-60"/>
          <w:sz w:val="24"/>
        </w:rPr>
        <w:t> </w:t>
      </w:r>
      <w:r>
        <w:rPr>
          <w:sz w:val="24"/>
        </w:rPr>
        <w:t>moved by Senator the Hon Jenny McAllister in Sheet 8642 on 14 February</w:t>
      </w:r>
      <w:r>
        <w:rPr>
          <w:spacing w:val="1"/>
          <w:sz w:val="24"/>
        </w:rPr>
        <w:t> </w:t>
      </w:r>
      <w:r>
        <w:rPr>
          <w:sz w:val="24"/>
        </w:rPr>
        <w:t>2019, setting out an alternate form of the ‘systemic weakness’ limitation in</w:t>
      </w:r>
      <w:r>
        <w:rPr>
          <w:spacing w:val="1"/>
          <w:sz w:val="24"/>
        </w:rPr>
        <w:t> </w:t>
      </w:r>
      <w:r>
        <w:rPr>
          <w:sz w:val="24"/>
        </w:rPr>
        <w:t>s 317ZG. The formerly constituted Senate agreed to that amendment, but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Bill</w:t>
      </w:r>
      <w:r>
        <w:rPr>
          <w:spacing w:val="-4"/>
          <w:sz w:val="24"/>
        </w:rPr>
        <w:t> </w:t>
      </w:r>
      <w:r>
        <w:rPr>
          <w:sz w:val="24"/>
        </w:rPr>
        <w:t>lapsed with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proroguing</w:t>
      </w:r>
      <w:r>
        <w:rPr>
          <w:spacing w:val="-2"/>
          <w:sz w:val="24"/>
        </w:rPr>
        <w:t> </w:t>
      </w:r>
      <w:r>
        <w:rPr>
          <w:sz w:val="24"/>
        </w:rPr>
        <w:t>of the</w:t>
      </w:r>
      <w:r>
        <w:rPr>
          <w:spacing w:val="-2"/>
          <w:sz w:val="24"/>
        </w:rPr>
        <w:t> </w:t>
      </w:r>
      <w:r>
        <w:rPr>
          <w:sz w:val="24"/>
        </w:rPr>
        <w:t>45</w:t>
      </w:r>
      <w:r>
        <w:rPr>
          <w:position w:val="8"/>
          <w:sz w:val="16"/>
        </w:rPr>
        <w:t>th</w:t>
      </w:r>
      <w:r>
        <w:rPr>
          <w:spacing w:val="19"/>
          <w:position w:val="8"/>
          <w:sz w:val="16"/>
        </w:rPr>
        <w:t> </w:t>
      </w:r>
      <w:r>
        <w:rPr>
          <w:sz w:val="24"/>
        </w:rPr>
        <w:t>Parliament.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  <w:tab w:pos="1687" w:val="left" w:leader="none"/>
        </w:tabs>
        <w:spacing w:line="240" w:lineRule="auto" w:before="204" w:after="0"/>
        <w:ind w:left="1686" w:right="283" w:hanging="567"/>
        <w:jc w:val="left"/>
        <w:rPr>
          <w:sz w:val="24"/>
        </w:rPr>
      </w:pPr>
      <w:r>
        <w:rPr>
          <w:sz w:val="24"/>
        </w:rPr>
        <w:t>The Sheet 8642 amendment sought to remove ambiguity about the</w:t>
      </w:r>
      <w:r>
        <w:rPr>
          <w:spacing w:val="1"/>
          <w:sz w:val="24"/>
        </w:rPr>
        <w:t> </w:t>
      </w:r>
      <w:r>
        <w:rPr>
          <w:sz w:val="24"/>
        </w:rPr>
        <w:t>interaction between ss 317B and 317ZG(4A)–(4C), and appears to address</w:t>
      </w:r>
      <w:r>
        <w:rPr>
          <w:spacing w:val="-60"/>
          <w:sz w:val="24"/>
        </w:rPr>
        <w:t> </w:t>
      </w:r>
      <w:r>
        <w:rPr>
          <w:sz w:val="24"/>
        </w:rPr>
        <w:t>several of the</w:t>
      </w:r>
      <w:r>
        <w:rPr>
          <w:spacing w:val="-1"/>
          <w:sz w:val="24"/>
        </w:rPr>
        <w:t> </w:t>
      </w:r>
      <w:r>
        <w:rPr>
          <w:sz w:val="24"/>
        </w:rPr>
        <w:t>Commission’s concerns.</w:t>
      </w:r>
    </w:p>
    <w:p>
      <w:pPr>
        <w:pStyle w:val="Heading5"/>
        <w:spacing w:before="200"/>
      </w:pPr>
      <w:r>
        <w:rPr/>
        <w:t>Recommendation</w:t>
      </w:r>
      <w:r>
        <w:rPr>
          <w:spacing w:val="-2"/>
        </w:rPr>
        <w:t> </w:t>
      </w:r>
      <w:r>
        <w:rPr/>
        <w:t>D</w:t>
      </w:r>
    </w:p>
    <w:p>
      <w:pPr>
        <w:pStyle w:val="BodyText"/>
        <w:spacing w:before="120"/>
        <w:ind w:left="1696" w:right="194"/>
      </w:pPr>
      <w:r>
        <w:rPr/>
        <w:t>The Government consult widely with industry and technical experts, as</w:t>
      </w:r>
      <w:r>
        <w:rPr>
          <w:spacing w:val="1"/>
        </w:rPr>
        <w:t> </w:t>
      </w:r>
      <w:r>
        <w:rPr/>
        <w:t>well as bodies with human rights expertise, to formulate and implement a</w:t>
      </w:r>
      <w:r>
        <w:rPr>
          <w:spacing w:val="-60"/>
        </w:rPr>
        <w:t> </w:t>
      </w:r>
      <w:r>
        <w:rPr/>
        <w:t>revised ‘systemic weakness’ limitation in s 317ZG of the</w:t>
      </w:r>
      <w:r>
        <w:rPr>
          <w:spacing w:val="1"/>
        </w:rPr>
        <w:t> </w:t>
      </w:r>
      <w:r>
        <w:rPr>
          <w:i/>
        </w:rPr>
        <w:t>Telecommunications Act 1997 </w:t>
      </w:r>
      <w:r>
        <w:rPr/>
        <w:t>(Cth) that is clear, precise, and prohibits</w:t>
      </w:r>
      <w:r>
        <w:rPr>
          <w:spacing w:val="1"/>
        </w:rPr>
        <w:t> </w:t>
      </w:r>
      <w:r>
        <w:rPr/>
        <w:t>action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would</w:t>
      </w:r>
      <w:r>
        <w:rPr>
          <w:spacing w:val="-5"/>
        </w:rPr>
        <w:t> </w:t>
      </w:r>
      <w:r>
        <w:rPr/>
        <w:t>detrimentally</w:t>
      </w:r>
      <w:r>
        <w:rPr>
          <w:spacing w:val="-1"/>
        </w:rPr>
        <w:t> </w:t>
      </w:r>
      <w:r>
        <w:rPr/>
        <w:t>affect the</w:t>
      </w:r>
      <w:r>
        <w:rPr>
          <w:spacing w:val="-6"/>
        </w:rPr>
        <w:t> </w:t>
      </w:r>
      <w:r>
        <w:rPr/>
        <w:t>cybersecurity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privacy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</w:p>
    <w:p>
      <w:pPr>
        <w:spacing w:after="0"/>
        <w:sectPr>
          <w:pgSz w:w="11900" w:h="16840"/>
          <w:pgMar w:header="1146" w:footer="333" w:top="1680" w:bottom="520" w:left="44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before="101"/>
        <w:ind w:left="1696" w:right="368"/>
      </w:pPr>
      <w:r>
        <w:rPr/>
        <w:t>significant proportion or number of innocent third parties, or that would</w:t>
      </w:r>
      <w:r>
        <w:rPr>
          <w:spacing w:val="-60"/>
        </w:rPr>
        <w:t> </w:t>
      </w:r>
      <w:r>
        <w:rPr/>
        <w:t>weaken a</w:t>
      </w:r>
      <w:r>
        <w:rPr>
          <w:spacing w:val="-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part or</w:t>
      </w:r>
      <w:r>
        <w:rPr>
          <w:spacing w:val="-3"/>
        </w:rPr>
        <w:t> </w:t>
      </w:r>
      <w:r>
        <w:rPr/>
        <w:t>whole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relevant</w:t>
      </w:r>
      <w:r>
        <w:rPr>
          <w:spacing w:val="1"/>
        </w:rPr>
        <w:t> </w:t>
      </w:r>
      <w:r>
        <w:rPr/>
        <w:t>system.</w:t>
      </w:r>
    </w:p>
    <w:p>
      <w:pPr>
        <w:pStyle w:val="Heading5"/>
        <w:spacing w:before="119"/>
      </w:pPr>
      <w:r>
        <w:rPr/>
        <w:t>Recommendation</w:t>
      </w:r>
      <w:r>
        <w:rPr>
          <w:spacing w:val="-2"/>
        </w:rPr>
        <w:t> </w:t>
      </w:r>
      <w:r>
        <w:rPr/>
        <w:t>E</w:t>
      </w:r>
    </w:p>
    <w:p>
      <w:pPr>
        <w:pStyle w:val="BodyText"/>
        <w:spacing w:before="119"/>
        <w:ind w:left="1696" w:right="280"/>
      </w:pPr>
      <w:r>
        <w:rPr/>
        <w:t>If Recommendation D is not accepted, the Government seek and publish</w:t>
      </w:r>
      <w:r>
        <w:rPr>
          <w:spacing w:val="1"/>
        </w:rPr>
        <w:t> </w:t>
      </w:r>
      <w:r>
        <w:rPr/>
        <w:t>legal advice as to the interaction between ss 317B and 317ZG of the</w:t>
      </w:r>
      <w:r>
        <w:rPr>
          <w:spacing w:val="1"/>
        </w:rPr>
        <w:t> </w:t>
      </w:r>
      <w:r>
        <w:rPr>
          <w:i/>
        </w:rPr>
        <w:t>Telecommunications Act 1997 </w:t>
      </w:r>
      <w:r>
        <w:rPr/>
        <w:t>(Cth), and implement reforms to ensure that</w:t>
      </w:r>
      <w:r>
        <w:rPr>
          <w:spacing w:val="-60"/>
        </w:rPr>
        <w:t> </w:t>
      </w:r>
      <w:r>
        <w:rPr/>
        <w:t>an ‘act or thing’ cannot be requested or compelled under the assistance</w:t>
      </w:r>
      <w:r>
        <w:rPr>
          <w:spacing w:val="1"/>
        </w:rPr>
        <w:t> </w:t>
      </w:r>
      <w:r>
        <w:rPr/>
        <w:t>scheme if it would jeopardise or be likely to jeopardise the information</w:t>
      </w:r>
      <w:r>
        <w:rPr>
          <w:spacing w:val="1"/>
        </w:rPr>
        <w:t> </w:t>
      </w:r>
      <w:r>
        <w:rPr/>
        <w:t>security</w:t>
      </w:r>
      <w:r>
        <w:rPr>
          <w:spacing w:val="-2"/>
        </w:rPr>
        <w:t> </w:t>
      </w:r>
      <w:r>
        <w:rPr/>
        <w:t>of innocent</w:t>
      </w:r>
      <w:r>
        <w:rPr>
          <w:spacing w:val="-4"/>
        </w:rPr>
        <w:t> </w:t>
      </w:r>
      <w:r>
        <w:rPr/>
        <w:t>third</w:t>
      </w:r>
      <w:r>
        <w:rPr>
          <w:spacing w:val="-4"/>
        </w:rPr>
        <w:t> </w:t>
      </w:r>
      <w:r>
        <w:rPr/>
        <w:t>parties.</w:t>
      </w:r>
    </w:p>
    <w:p>
      <w:pPr>
        <w:pStyle w:val="BodyText"/>
        <w:spacing w:before="9"/>
        <w:ind w:left="0"/>
        <w:rPr>
          <w:sz w:val="26"/>
        </w:rPr>
      </w:pPr>
    </w:p>
    <w:p>
      <w:pPr>
        <w:pStyle w:val="Heading2"/>
        <w:numPr>
          <w:ilvl w:val="1"/>
          <w:numId w:val="10"/>
        </w:numPr>
        <w:tabs>
          <w:tab w:pos="1825" w:val="left" w:leader="none"/>
          <w:tab w:pos="1826" w:val="left" w:leader="none"/>
        </w:tabs>
        <w:spacing w:line="240" w:lineRule="auto" w:before="0" w:after="0"/>
        <w:ind w:left="1825" w:right="0" w:hanging="850"/>
        <w:jc w:val="left"/>
      </w:pPr>
      <w:bookmarkStart w:name="_TOC_250002" w:id="12"/>
      <w:r>
        <w:rPr/>
        <w:t>‘Relevant</w:t>
      </w:r>
      <w:r>
        <w:rPr>
          <w:spacing w:val="-8"/>
        </w:rPr>
        <w:t> </w:t>
      </w:r>
      <w:r>
        <w:rPr/>
        <w:t>objectives’</w:t>
      </w:r>
      <w:r>
        <w:rPr>
          <w:spacing w:val="-4"/>
        </w:rPr>
        <w:t> </w:t>
      </w:r>
      <w:r>
        <w:rPr/>
        <w:t>too</w:t>
      </w:r>
      <w:r>
        <w:rPr>
          <w:spacing w:val="-2"/>
        </w:rPr>
        <w:t> </w:t>
      </w:r>
      <w:bookmarkEnd w:id="12"/>
      <w:r>
        <w:rPr/>
        <w:t>broad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237" w:after="0"/>
        <w:ind w:left="1686" w:right="219" w:hanging="567"/>
        <w:jc w:val="left"/>
        <w:rPr>
          <w:sz w:val="24"/>
        </w:rPr>
      </w:pPr>
      <w:r>
        <w:rPr>
          <w:sz w:val="24"/>
        </w:rPr>
        <w:t>Amendments to the TOLA Bill before its passage narrowed the ‘relevant</w:t>
      </w:r>
      <w:r>
        <w:rPr>
          <w:spacing w:val="1"/>
          <w:sz w:val="24"/>
        </w:rPr>
        <w:t> </w:t>
      </w:r>
      <w:r>
        <w:rPr>
          <w:sz w:val="24"/>
        </w:rPr>
        <w:t>objectives’ for which TARs, TANs and TCNs may be issued. Despite those</w:t>
      </w:r>
      <w:r>
        <w:rPr>
          <w:spacing w:val="1"/>
          <w:sz w:val="24"/>
        </w:rPr>
        <w:t> </w:t>
      </w:r>
      <w:r>
        <w:rPr>
          <w:sz w:val="24"/>
        </w:rPr>
        <w:t>changes, the Commission considers that problems remain with the</w:t>
      </w:r>
      <w:r>
        <w:rPr>
          <w:spacing w:val="1"/>
          <w:sz w:val="24"/>
        </w:rPr>
        <w:t> </w:t>
      </w:r>
      <w:r>
        <w:rPr>
          <w:sz w:val="24"/>
        </w:rPr>
        <w:t>unjustifiably wide breadth of the permitted ‘relevant objectives’, especially</w:t>
      </w:r>
      <w:r>
        <w:rPr>
          <w:spacing w:val="-60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TARs.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200" w:after="0"/>
        <w:ind w:left="1686" w:right="223" w:hanging="567"/>
        <w:jc w:val="left"/>
        <w:rPr>
          <w:sz w:val="24"/>
        </w:rPr>
      </w:pPr>
      <w:r>
        <w:rPr>
          <w:sz w:val="24"/>
        </w:rPr>
        <w:t>The ‘relevant objectives’ set out in s 317G(5) of the Telecommunications</w:t>
      </w:r>
      <w:r>
        <w:rPr>
          <w:spacing w:val="1"/>
          <w:sz w:val="24"/>
        </w:rPr>
        <w:t> </w:t>
      </w:r>
      <w:r>
        <w:rPr>
          <w:sz w:val="24"/>
        </w:rPr>
        <w:t>Act permit the giving of a TAR to assist the Australian Secret Intelligence</w:t>
      </w:r>
      <w:r>
        <w:rPr>
          <w:spacing w:val="1"/>
          <w:sz w:val="24"/>
        </w:rPr>
        <w:t> </w:t>
      </w:r>
      <w:r>
        <w:rPr>
          <w:sz w:val="24"/>
        </w:rPr>
        <w:t>Service in relation to ‘the interests of Australia’s national economic well-</w:t>
      </w:r>
      <w:r>
        <w:rPr>
          <w:spacing w:val="1"/>
          <w:sz w:val="24"/>
        </w:rPr>
        <w:t> </w:t>
      </w:r>
      <w:r>
        <w:rPr>
          <w:sz w:val="24"/>
        </w:rPr>
        <w:t>being’. TARs can also be given to assist the Australian Signals Directorate</w:t>
      </w:r>
      <w:r>
        <w:rPr>
          <w:spacing w:val="1"/>
          <w:sz w:val="24"/>
        </w:rPr>
        <w:t> </w:t>
      </w:r>
      <w:r>
        <w:rPr>
          <w:sz w:val="24"/>
        </w:rPr>
        <w:t>‘on matters relating to the security and integrity of information that is</w:t>
      </w:r>
      <w:r>
        <w:rPr>
          <w:spacing w:val="1"/>
          <w:sz w:val="24"/>
        </w:rPr>
        <w:t> </w:t>
      </w:r>
      <w:r>
        <w:rPr>
          <w:sz w:val="24"/>
        </w:rPr>
        <w:t>processed, stored or communicated by electronic or similar means’. The</w:t>
      </w:r>
      <w:r>
        <w:rPr>
          <w:spacing w:val="1"/>
          <w:sz w:val="24"/>
        </w:rPr>
        <w:t> </w:t>
      </w:r>
      <w:r>
        <w:rPr>
          <w:sz w:val="24"/>
        </w:rPr>
        <w:t>Supplementary Explanatory Memorandum does not address the meaning</w:t>
      </w:r>
      <w:r>
        <w:rPr>
          <w:spacing w:val="-60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latter</w:t>
      </w:r>
      <w:r>
        <w:rPr>
          <w:spacing w:val="-2"/>
          <w:sz w:val="24"/>
        </w:rPr>
        <w:t> </w:t>
      </w:r>
      <w:r>
        <w:rPr>
          <w:sz w:val="24"/>
        </w:rPr>
        <w:t>phrase.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203" w:after="0"/>
        <w:ind w:left="1686" w:right="319" w:hanging="567"/>
        <w:jc w:val="left"/>
        <w:rPr>
          <w:sz w:val="24"/>
        </w:rPr>
      </w:pPr>
      <w:r>
        <w:rPr>
          <w:sz w:val="24"/>
        </w:rPr>
        <w:t>The Commission considers that the scope of these objectives is not clear.</w:t>
      </w:r>
      <w:r>
        <w:rPr>
          <w:spacing w:val="-60"/>
          <w:sz w:val="24"/>
        </w:rPr>
        <w:t> </w:t>
      </w:r>
      <w:r>
        <w:rPr>
          <w:sz w:val="24"/>
        </w:rPr>
        <w:t>While measures that significantly limit human rights may, in some</w:t>
      </w:r>
      <w:r>
        <w:rPr>
          <w:spacing w:val="1"/>
          <w:sz w:val="24"/>
        </w:rPr>
        <w:t> </w:t>
      </w:r>
      <w:r>
        <w:rPr>
          <w:sz w:val="24"/>
        </w:rPr>
        <w:t>circumstances, be permissible to protect national security, it is more</w:t>
      </w:r>
      <w:r>
        <w:rPr>
          <w:spacing w:val="1"/>
          <w:sz w:val="24"/>
        </w:rPr>
        <w:t> </w:t>
      </w:r>
      <w:r>
        <w:rPr>
          <w:sz w:val="24"/>
        </w:rPr>
        <w:t>difficult to establish proportionality with respect to achieving</w:t>
      </w:r>
      <w:r>
        <w:rPr>
          <w:spacing w:val="1"/>
          <w:sz w:val="24"/>
        </w:rPr>
        <w:t> </w:t>
      </w:r>
      <w:r>
        <w:rPr>
          <w:sz w:val="24"/>
        </w:rPr>
        <w:t>comparatively less important and pressing objectives. In particular, the</w:t>
      </w:r>
      <w:r>
        <w:rPr>
          <w:spacing w:val="1"/>
          <w:sz w:val="24"/>
        </w:rPr>
        <w:t> </w:t>
      </w:r>
      <w:r>
        <w:rPr>
          <w:sz w:val="24"/>
        </w:rPr>
        <w:t>concept of ‘national economic well-being’ could permit use of the</w:t>
      </w:r>
      <w:r>
        <w:rPr>
          <w:spacing w:val="1"/>
          <w:sz w:val="24"/>
        </w:rPr>
        <w:t> </w:t>
      </w:r>
      <w:r>
        <w:rPr>
          <w:sz w:val="24"/>
        </w:rPr>
        <w:t>assistance</w:t>
      </w:r>
      <w:r>
        <w:rPr>
          <w:spacing w:val="-2"/>
          <w:sz w:val="24"/>
        </w:rPr>
        <w:t> </w:t>
      </w:r>
      <w:r>
        <w:rPr>
          <w:sz w:val="24"/>
        </w:rPr>
        <w:t>scheme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tax</w:t>
      </w:r>
      <w:r>
        <w:rPr>
          <w:spacing w:val="-2"/>
          <w:sz w:val="24"/>
        </w:rPr>
        <w:t> </w:t>
      </w:r>
      <w:r>
        <w:rPr>
          <w:sz w:val="24"/>
        </w:rPr>
        <w:t>and superannuation law</w:t>
      </w:r>
      <w:r>
        <w:rPr>
          <w:spacing w:val="-1"/>
          <w:sz w:val="24"/>
        </w:rPr>
        <w:t> </w:t>
      </w:r>
      <w:r>
        <w:rPr>
          <w:sz w:val="24"/>
        </w:rPr>
        <w:t>compliance.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198" w:after="0"/>
        <w:ind w:left="1686" w:right="130" w:hanging="567"/>
        <w:jc w:val="left"/>
        <w:rPr>
          <w:sz w:val="24"/>
        </w:rPr>
      </w:pPr>
      <w:r>
        <w:rPr>
          <w:sz w:val="24"/>
        </w:rPr>
        <w:t>In certain cases, the powers introduced by Schedule 1 of the TOLA Act limit</w:t>
      </w:r>
      <w:r>
        <w:rPr>
          <w:spacing w:val="-60"/>
          <w:sz w:val="24"/>
        </w:rPr>
        <w:t> </w:t>
      </w:r>
      <w:r>
        <w:rPr>
          <w:sz w:val="24"/>
        </w:rPr>
        <w:t>the objectives for which assistance can be compelled or requested to</w:t>
      </w:r>
      <w:r>
        <w:rPr>
          <w:spacing w:val="1"/>
          <w:sz w:val="24"/>
        </w:rPr>
        <w:t> </w:t>
      </w:r>
      <w:r>
        <w:rPr>
          <w:sz w:val="24"/>
        </w:rPr>
        <w:t>enforcing the criminal law ‘so far as it relates to serious Australian</w:t>
      </w:r>
      <w:r>
        <w:rPr>
          <w:spacing w:val="1"/>
          <w:sz w:val="24"/>
        </w:rPr>
        <w:t> </w:t>
      </w:r>
      <w:r>
        <w:rPr>
          <w:sz w:val="24"/>
        </w:rPr>
        <w:t>offences’. This is a new reform introduced by the Government</w:t>
      </w:r>
      <w:r>
        <w:rPr>
          <w:spacing w:val="1"/>
          <w:sz w:val="24"/>
        </w:rPr>
        <w:t> </w:t>
      </w:r>
      <w:r>
        <w:rPr>
          <w:sz w:val="24"/>
        </w:rPr>
        <w:t>amendments, that partially implements Recommendation 6 of the</w:t>
      </w:r>
      <w:r>
        <w:rPr>
          <w:spacing w:val="1"/>
          <w:sz w:val="24"/>
        </w:rPr>
        <w:t> </w:t>
      </w:r>
      <w:r>
        <w:rPr>
          <w:sz w:val="24"/>
        </w:rPr>
        <w:t>Commission’s</w:t>
      </w:r>
      <w:r>
        <w:rPr>
          <w:spacing w:val="-2"/>
          <w:sz w:val="24"/>
        </w:rPr>
        <w:t> </w:t>
      </w:r>
      <w:r>
        <w:rPr>
          <w:sz w:val="24"/>
        </w:rPr>
        <w:t>October</w:t>
      </w:r>
      <w:r>
        <w:rPr>
          <w:spacing w:val="-3"/>
          <w:sz w:val="24"/>
        </w:rPr>
        <w:t> </w:t>
      </w:r>
      <w:r>
        <w:rPr>
          <w:sz w:val="24"/>
        </w:rPr>
        <w:t>2018</w:t>
      </w:r>
      <w:r>
        <w:rPr>
          <w:spacing w:val="1"/>
          <w:sz w:val="24"/>
        </w:rPr>
        <w:t> </w:t>
      </w:r>
      <w:r>
        <w:rPr>
          <w:sz w:val="24"/>
        </w:rPr>
        <w:t>submission,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confine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scheme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1146" w:footer="333" w:top="1680" w:bottom="520" w:left="44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before="101"/>
        <w:ind w:right="119"/>
      </w:pPr>
      <w:r>
        <w:rPr/>
        <w:t>enforcement of serious offences. However, the Commission considers that</w:t>
      </w:r>
      <w:r>
        <w:rPr>
          <w:spacing w:val="-60"/>
        </w:rPr>
        <w:t> </w:t>
      </w:r>
      <w:r>
        <w:rPr/>
        <w:t>this reform does not provide for a high enough bar in respect of criminal</w:t>
      </w:r>
      <w:r>
        <w:rPr>
          <w:spacing w:val="1"/>
        </w:rPr>
        <w:t> </w:t>
      </w:r>
      <w:r>
        <w:rPr/>
        <w:t>conduct.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200" w:after="0"/>
        <w:ind w:left="1686" w:right="125" w:hanging="567"/>
        <w:jc w:val="left"/>
        <w:rPr>
          <w:sz w:val="24"/>
        </w:rPr>
      </w:pPr>
      <w:r>
        <w:rPr>
          <w:sz w:val="24"/>
        </w:rPr>
        <w:t>‘Serious Australian offence’ is defined in s 317B of the Telecommunications</w:t>
      </w:r>
      <w:r>
        <w:rPr>
          <w:spacing w:val="-60"/>
          <w:sz w:val="24"/>
        </w:rPr>
        <w:t> </w:t>
      </w:r>
      <w:r>
        <w:rPr>
          <w:sz w:val="24"/>
        </w:rPr>
        <w:t>Act to mean an offence against a law of the Commonwealth, a State or a</w:t>
      </w:r>
      <w:r>
        <w:rPr>
          <w:spacing w:val="1"/>
          <w:sz w:val="24"/>
        </w:rPr>
        <w:t> </w:t>
      </w:r>
      <w:r>
        <w:rPr>
          <w:sz w:val="24"/>
        </w:rPr>
        <w:t>Territory that is punishable by a maximum term of imprisonment of 3</w:t>
      </w:r>
      <w:r>
        <w:rPr>
          <w:spacing w:val="1"/>
          <w:sz w:val="24"/>
        </w:rPr>
        <w:t> </w:t>
      </w:r>
      <w:r>
        <w:rPr>
          <w:sz w:val="24"/>
        </w:rPr>
        <w:t>years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more,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life.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200" w:after="0"/>
        <w:ind w:left="1686" w:right="221" w:hanging="567"/>
        <w:jc w:val="left"/>
        <w:rPr>
          <w:sz w:val="24"/>
        </w:rPr>
      </w:pPr>
      <w:r>
        <w:rPr>
          <w:sz w:val="24"/>
        </w:rPr>
        <w:t>The Commission previously recommended a higher threshold for a</w:t>
      </w:r>
      <w:r>
        <w:rPr>
          <w:spacing w:val="1"/>
          <w:sz w:val="24"/>
        </w:rPr>
        <w:t> </w:t>
      </w:r>
      <w:r>
        <w:rPr>
          <w:sz w:val="24"/>
        </w:rPr>
        <w:t>serious offence, by reference to s 5D of the </w:t>
      </w:r>
      <w:r>
        <w:rPr>
          <w:i/>
          <w:sz w:val="24"/>
        </w:rPr>
        <w:t>Telecommunications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(Interception and Access) Act 1979 </w:t>
      </w:r>
      <w:r>
        <w:rPr>
          <w:sz w:val="24"/>
        </w:rPr>
        <w:t>(Cth) (TIA Act) (see Recommendation 6 of</w:t>
      </w:r>
      <w:r>
        <w:rPr>
          <w:spacing w:val="-60"/>
          <w:sz w:val="24"/>
        </w:rPr>
        <w:t> </w:t>
      </w:r>
      <w:r>
        <w:rPr>
          <w:sz w:val="24"/>
        </w:rPr>
        <w:t>the Commission’s October 2018 submission). That provision includes</w:t>
      </w:r>
      <w:r>
        <w:rPr>
          <w:spacing w:val="1"/>
          <w:sz w:val="24"/>
        </w:rPr>
        <w:t> </w:t>
      </w:r>
      <w:r>
        <w:rPr>
          <w:sz w:val="24"/>
        </w:rPr>
        <w:t>offences punishable by imprisonment for life, or a period of at least seven</w:t>
      </w:r>
      <w:r>
        <w:rPr>
          <w:spacing w:val="-60"/>
          <w:sz w:val="24"/>
        </w:rPr>
        <w:t> </w:t>
      </w:r>
      <w:r>
        <w:rPr>
          <w:sz w:val="24"/>
        </w:rPr>
        <w:t>years.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199" w:after="0"/>
        <w:ind w:left="1686" w:right="370" w:hanging="567"/>
        <w:jc w:val="left"/>
        <w:rPr>
          <w:sz w:val="24"/>
        </w:rPr>
      </w:pPr>
      <w:r>
        <w:rPr>
          <w:sz w:val="24"/>
        </w:rPr>
        <w:t>The Commission considers that, to establish an appropriately serious</w:t>
      </w:r>
      <w:r>
        <w:rPr>
          <w:spacing w:val="1"/>
          <w:sz w:val="24"/>
        </w:rPr>
        <w:t> </w:t>
      </w:r>
      <w:r>
        <w:rPr>
          <w:sz w:val="24"/>
        </w:rPr>
        <w:t>threshold of conduct and to ensure legislative consistency, the threshold</w:t>
      </w:r>
      <w:r>
        <w:rPr>
          <w:spacing w:val="-60"/>
          <w:sz w:val="24"/>
        </w:rPr>
        <w:t> </w:t>
      </w:r>
      <w:r>
        <w:rPr>
          <w:sz w:val="24"/>
        </w:rPr>
        <w:t>in s 5D of the TIA Act for a ‘serious offence’ is a more appropriate</w:t>
      </w:r>
      <w:r>
        <w:rPr>
          <w:spacing w:val="1"/>
          <w:sz w:val="24"/>
        </w:rPr>
        <w:t> </w:t>
      </w:r>
      <w:r>
        <w:rPr>
          <w:sz w:val="24"/>
        </w:rPr>
        <w:t>minimum</w:t>
      </w:r>
      <w:r>
        <w:rPr>
          <w:spacing w:val="1"/>
          <w:sz w:val="24"/>
        </w:rPr>
        <w:t> </w:t>
      </w:r>
      <w:r>
        <w:rPr>
          <w:sz w:val="24"/>
        </w:rPr>
        <w:t>bar.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200" w:after="0"/>
        <w:ind w:left="1686" w:right="318" w:hanging="567"/>
        <w:jc w:val="left"/>
        <w:rPr>
          <w:sz w:val="24"/>
        </w:rPr>
      </w:pPr>
      <w:r>
        <w:rPr>
          <w:sz w:val="24"/>
        </w:rPr>
        <w:t>The Commission otherwise welcomes the narrowing of ‘relevant</w:t>
      </w:r>
      <w:r>
        <w:rPr>
          <w:spacing w:val="1"/>
          <w:sz w:val="24"/>
        </w:rPr>
        <w:t> </w:t>
      </w:r>
      <w:r>
        <w:rPr>
          <w:sz w:val="24"/>
        </w:rPr>
        <w:t>objectives’ that authorise the giving of a request or notice. In particular, it</w:t>
      </w:r>
      <w:r>
        <w:rPr>
          <w:spacing w:val="-60"/>
          <w:sz w:val="24"/>
        </w:rPr>
        <w:t> </w:t>
      </w:r>
      <w:r>
        <w:rPr>
          <w:sz w:val="24"/>
        </w:rPr>
        <w:t>supports the removal of the enforcement of pecuniary penalties as a</w:t>
      </w:r>
      <w:r>
        <w:rPr>
          <w:spacing w:val="1"/>
          <w:sz w:val="24"/>
        </w:rPr>
        <w:t> </w:t>
      </w:r>
      <w:r>
        <w:rPr>
          <w:sz w:val="24"/>
        </w:rPr>
        <w:t>relevant objective, which enhances the proportionality of the scheme</w:t>
      </w:r>
      <w:r>
        <w:rPr>
          <w:spacing w:val="1"/>
          <w:sz w:val="24"/>
        </w:rPr>
        <w:t> </w:t>
      </w:r>
      <w:r>
        <w:rPr>
          <w:sz w:val="24"/>
        </w:rPr>
        <w:t>overall.</w:t>
      </w:r>
    </w:p>
    <w:p>
      <w:pPr>
        <w:pStyle w:val="Heading5"/>
        <w:spacing w:before="199"/>
      </w:pPr>
      <w:r>
        <w:rPr/>
        <w:t>Recommendation</w:t>
      </w:r>
      <w:r>
        <w:rPr>
          <w:spacing w:val="-2"/>
        </w:rPr>
        <w:t> </w:t>
      </w:r>
      <w:r>
        <w:rPr/>
        <w:t>F</w:t>
      </w:r>
    </w:p>
    <w:p>
      <w:pPr>
        <w:pStyle w:val="BodyText"/>
        <w:spacing w:before="120"/>
        <w:ind w:left="1696" w:right="122"/>
      </w:pPr>
      <w:r>
        <w:rPr/>
        <w:t>The ‘relevant objectives’ for which Technical Assistance Requests may be</w:t>
      </w:r>
      <w:r>
        <w:rPr>
          <w:spacing w:val="1"/>
        </w:rPr>
        <w:t> </w:t>
      </w:r>
      <w:r>
        <w:rPr/>
        <w:t>issued should be further amended so that it is not possible to use the</w:t>
      </w:r>
      <w:r>
        <w:rPr>
          <w:spacing w:val="1"/>
        </w:rPr>
        <w:t> </w:t>
      </w:r>
      <w:r>
        <w:rPr/>
        <w:t>assistance scheme for purposes related to ‘the interests of Australia’s</w:t>
      </w:r>
      <w:r>
        <w:rPr>
          <w:spacing w:val="1"/>
        </w:rPr>
        <w:t> </w:t>
      </w:r>
      <w:r>
        <w:rPr/>
        <w:t>national economic well-being’, and so that the meaning of ‘matters relating</w:t>
      </w:r>
      <w:r>
        <w:rPr>
          <w:spacing w:val="-60"/>
        </w:rPr>
        <w:t> </w:t>
      </w:r>
      <w:r>
        <w:rPr/>
        <w:t>to the security and integrity of information that is processed, stored or</w:t>
      </w:r>
      <w:r>
        <w:rPr>
          <w:spacing w:val="1"/>
        </w:rPr>
        <w:t> </w:t>
      </w:r>
      <w:r>
        <w:rPr/>
        <w:t>communicated</w:t>
      </w:r>
      <w:r>
        <w:rPr>
          <w:spacing w:val="6"/>
        </w:rPr>
        <w:t> </w:t>
      </w:r>
      <w:r>
        <w:rPr/>
        <w:t>by</w:t>
      </w:r>
      <w:r>
        <w:rPr>
          <w:spacing w:val="5"/>
        </w:rPr>
        <w:t> </w:t>
      </w:r>
      <w:r>
        <w:rPr/>
        <w:t>electronic</w:t>
      </w:r>
      <w:r>
        <w:rPr>
          <w:spacing w:val="7"/>
        </w:rPr>
        <w:t> </w:t>
      </w:r>
      <w:r>
        <w:rPr/>
        <w:t>or</w:t>
      </w:r>
      <w:r>
        <w:rPr>
          <w:spacing w:val="3"/>
        </w:rPr>
        <w:t> </w:t>
      </w:r>
      <w:r>
        <w:rPr/>
        <w:t>similar</w:t>
      </w:r>
      <w:r>
        <w:rPr>
          <w:spacing w:val="4"/>
        </w:rPr>
        <w:t> </w:t>
      </w:r>
      <w:r>
        <w:rPr/>
        <w:t>means’</w:t>
      </w:r>
      <w:r>
        <w:rPr>
          <w:spacing w:val="8"/>
        </w:rPr>
        <w:t> </w:t>
      </w:r>
      <w:r>
        <w:rPr/>
        <w:t>is more</w:t>
      </w:r>
      <w:r>
        <w:rPr>
          <w:spacing w:val="5"/>
        </w:rPr>
        <w:t> </w:t>
      </w:r>
      <w:r>
        <w:rPr/>
        <w:t>clearly</w:t>
      </w:r>
      <w:r>
        <w:rPr>
          <w:spacing w:val="5"/>
        </w:rPr>
        <w:t> </w:t>
      </w:r>
      <w:r>
        <w:rPr/>
        <w:t>and</w:t>
      </w:r>
      <w:r>
        <w:rPr>
          <w:spacing w:val="1"/>
        </w:rPr>
        <w:t> </w:t>
      </w:r>
      <w:r>
        <w:rPr/>
        <w:t>precisely</w:t>
      </w:r>
      <w:r>
        <w:rPr>
          <w:spacing w:val="-2"/>
        </w:rPr>
        <w:t> </w:t>
      </w:r>
      <w:r>
        <w:rPr/>
        <w:t>defined.</w:t>
      </w:r>
    </w:p>
    <w:p>
      <w:pPr>
        <w:pStyle w:val="Heading5"/>
        <w:spacing w:before="121"/>
      </w:pPr>
      <w:r>
        <w:rPr/>
        <w:t>Recommendation</w:t>
      </w:r>
      <w:r>
        <w:rPr>
          <w:spacing w:val="-2"/>
        </w:rPr>
        <w:t> </w:t>
      </w:r>
      <w:r>
        <w:rPr/>
        <w:t>G</w:t>
      </w:r>
    </w:p>
    <w:p>
      <w:pPr>
        <w:spacing w:before="120"/>
        <w:ind w:left="1696" w:right="166" w:firstLine="0"/>
        <w:jc w:val="left"/>
        <w:rPr>
          <w:sz w:val="24"/>
        </w:rPr>
      </w:pPr>
      <w:r>
        <w:rPr>
          <w:sz w:val="24"/>
        </w:rPr>
        <w:t>The definition of ‘serious offence’ in s 317B of the </w:t>
      </w:r>
      <w:r>
        <w:rPr>
          <w:i/>
          <w:sz w:val="24"/>
        </w:rPr>
        <w:t>Telecommunications Act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1997 </w:t>
      </w:r>
      <w:r>
        <w:rPr>
          <w:sz w:val="24"/>
        </w:rPr>
        <w:t>(Cth) should be amended so that it is consistent with the definition in</w:t>
      </w:r>
      <w:r>
        <w:rPr>
          <w:spacing w:val="-60"/>
          <w:sz w:val="24"/>
        </w:rPr>
        <w:t> </w:t>
      </w:r>
      <w:r>
        <w:rPr>
          <w:sz w:val="24"/>
        </w:rPr>
        <w:t>s</w:t>
      </w:r>
      <w:r>
        <w:rPr>
          <w:spacing w:val="-1"/>
          <w:sz w:val="24"/>
        </w:rPr>
        <w:t> </w:t>
      </w:r>
      <w:r>
        <w:rPr>
          <w:sz w:val="24"/>
        </w:rPr>
        <w:t>5D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i/>
          <w:sz w:val="24"/>
        </w:rPr>
        <w:t>Telecommunications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(Interception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Access)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Act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1979</w:t>
      </w:r>
      <w:r>
        <w:rPr>
          <w:i/>
          <w:spacing w:val="1"/>
          <w:sz w:val="24"/>
        </w:rPr>
        <w:t> </w:t>
      </w:r>
      <w:r>
        <w:rPr>
          <w:sz w:val="24"/>
        </w:rPr>
        <w:t>(Cth).</w:t>
      </w:r>
    </w:p>
    <w:p>
      <w:pPr>
        <w:spacing w:after="0"/>
        <w:jc w:val="left"/>
        <w:rPr>
          <w:sz w:val="24"/>
        </w:rPr>
        <w:sectPr>
          <w:pgSz w:w="11900" w:h="16840"/>
          <w:pgMar w:header="1146" w:footer="333" w:top="1680" w:bottom="520" w:left="44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7"/>
        </w:rPr>
      </w:pPr>
    </w:p>
    <w:p>
      <w:pPr>
        <w:pStyle w:val="Heading3"/>
        <w:rPr>
          <w:i/>
        </w:rPr>
      </w:pPr>
      <w:r>
        <w:rPr>
          <w:i/>
        </w:rPr>
        <w:t>Schedules</w:t>
      </w:r>
      <w:r>
        <w:rPr>
          <w:i/>
          <w:spacing w:val="-6"/>
        </w:rPr>
        <w:t> </w:t>
      </w:r>
      <w:r>
        <w:rPr>
          <w:i/>
        </w:rPr>
        <w:t>2–5</w:t>
      </w:r>
      <w:r>
        <w:rPr>
          <w:i/>
          <w:spacing w:val="2"/>
        </w:rPr>
        <w:t> </w:t>
      </w:r>
      <w:r>
        <w:rPr>
          <w:i/>
        </w:rPr>
        <w:t>of</w:t>
      </w:r>
      <w:r>
        <w:rPr>
          <w:i/>
          <w:spacing w:val="-2"/>
        </w:rPr>
        <w:t> </w:t>
      </w:r>
      <w:r>
        <w:rPr>
          <w:i/>
        </w:rPr>
        <w:t>the</w:t>
      </w:r>
      <w:r>
        <w:rPr>
          <w:i/>
          <w:spacing w:val="-5"/>
        </w:rPr>
        <w:t> </w:t>
      </w:r>
      <w:r>
        <w:rPr>
          <w:i/>
        </w:rPr>
        <w:t>TOLA</w:t>
      </w:r>
      <w:r>
        <w:rPr>
          <w:i/>
          <w:spacing w:val="-1"/>
        </w:rPr>
        <w:t> </w:t>
      </w:r>
      <w:r>
        <w:rPr>
          <w:i/>
        </w:rPr>
        <w:t>Act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238" w:after="0"/>
        <w:ind w:left="1686" w:right="239" w:hanging="567"/>
        <w:jc w:val="left"/>
        <w:rPr>
          <w:sz w:val="24"/>
        </w:rPr>
      </w:pPr>
      <w:r>
        <w:rPr>
          <w:sz w:val="24"/>
        </w:rPr>
        <w:t>In its October 2018 submission, the Commission raised serious concerns</w:t>
      </w:r>
      <w:r>
        <w:rPr>
          <w:spacing w:val="1"/>
          <w:sz w:val="24"/>
        </w:rPr>
        <w:t> </w:t>
      </w:r>
      <w:r>
        <w:rPr>
          <w:sz w:val="24"/>
        </w:rPr>
        <w:t>about the human rights implications of Schedules 2–5 of the TOLA Bill.</w:t>
      </w:r>
      <w:r>
        <w:rPr>
          <w:spacing w:val="1"/>
          <w:sz w:val="24"/>
        </w:rPr>
        <w:t> </w:t>
      </w:r>
      <w:r>
        <w:rPr>
          <w:sz w:val="24"/>
        </w:rPr>
        <w:t>These issues have received comparatively less public attention than those</w:t>
      </w:r>
      <w:r>
        <w:rPr>
          <w:spacing w:val="-60"/>
          <w:sz w:val="24"/>
        </w:rPr>
        <w:t> </w:t>
      </w:r>
      <w:r>
        <w:rPr>
          <w:sz w:val="24"/>
        </w:rPr>
        <w:t>arising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Schedule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that Act,</w:t>
      </w:r>
      <w:r>
        <w:rPr>
          <w:spacing w:val="-3"/>
          <w:sz w:val="24"/>
        </w:rPr>
        <w:t> </w:t>
      </w:r>
      <w:r>
        <w:rPr>
          <w:sz w:val="24"/>
        </w:rPr>
        <w:t>but are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comparable</w:t>
      </w:r>
      <w:r>
        <w:rPr>
          <w:spacing w:val="-6"/>
          <w:sz w:val="24"/>
        </w:rPr>
        <w:t> </w:t>
      </w:r>
      <w:r>
        <w:rPr>
          <w:sz w:val="24"/>
        </w:rPr>
        <w:t>importance.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199" w:after="0"/>
        <w:ind w:left="1686" w:right="134" w:hanging="567"/>
        <w:jc w:val="left"/>
        <w:rPr>
          <w:sz w:val="24"/>
        </w:rPr>
      </w:pPr>
      <w:r>
        <w:rPr>
          <w:sz w:val="24"/>
        </w:rPr>
        <w:t>Schedules 2–5 significantly broaden the intrusive and coercive powers</w:t>
      </w:r>
      <w:r>
        <w:rPr>
          <w:spacing w:val="1"/>
          <w:sz w:val="24"/>
        </w:rPr>
        <w:t> </w:t>
      </w:r>
      <w:r>
        <w:rPr>
          <w:sz w:val="24"/>
        </w:rPr>
        <w:t>available to law enforcement and security agencies, for example, by way of</w:t>
      </w:r>
      <w:r>
        <w:rPr>
          <w:spacing w:val="-60"/>
          <w:sz w:val="24"/>
        </w:rPr>
        <w:t> </w:t>
      </w:r>
      <w:r>
        <w:rPr>
          <w:sz w:val="24"/>
        </w:rPr>
        <w:t>a new ‘computer access warrant’ regime in the </w:t>
      </w:r>
      <w:r>
        <w:rPr>
          <w:i/>
          <w:sz w:val="24"/>
        </w:rPr>
        <w:t>Surveillance Devices Act 2004</w:t>
      </w:r>
      <w:r>
        <w:rPr>
          <w:i/>
          <w:spacing w:val="-60"/>
          <w:sz w:val="24"/>
        </w:rPr>
        <w:t> </w:t>
      </w:r>
      <w:r>
        <w:rPr>
          <w:sz w:val="24"/>
        </w:rPr>
        <w:t>(Cth) (SD Act). Schedules 2–5 also amended nine pieces of existing</w:t>
      </w:r>
      <w:r>
        <w:rPr>
          <w:spacing w:val="1"/>
          <w:sz w:val="24"/>
        </w:rPr>
        <w:t> </w:t>
      </w:r>
      <w:r>
        <w:rPr>
          <w:sz w:val="24"/>
        </w:rPr>
        <w:t>Commonwealth legislation, including the </w:t>
      </w:r>
      <w:r>
        <w:rPr>
          <w:i/>
          <w:sz w:val="24"/>
        </w:rPr>
        <w:t>Australian Security Intelligence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Organisation Act 1979 </w:t>
      </w:r>
      <w:r>
        <w:rPr>
          <w:sz w:val="24"/>
        </w:rPr>
        <w:t>(Cth) (ASIO Act), to enhance warrant and evidence-</w:t>
      </w:r>
      <w:r>
        <w:rPr>
          <w:spacing w:val="1"/>
          <w:sz w:val="24"/>
        </w:rPr>
        <w:t> </w:t>
      </w:r>
      <w:r>
        <w:rPr>
          <w:sz w:val="24"/>
        </w:rPr>
        <w:t>gathering</w:t>
      </w:r>
      <w:r>
        <w:rPr>
          <w:spacing w:val="-3"/>
          <w:sz w:val="24"/>
        </w:rPr>
        <w:t> </w:t>
      </w:r>
      <w:r>
        <w:rPr>
          <w:sz w:val="24"/>
        </w:rPr>
        <w:t>powers.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204" w:after="0"/>
        <w:ind w:left="1686" w:right="257" w:hanging="567"/>
        <w:jc w:val="left"/>
        <w:rPr>
          <w:sz w:val="24"/>
        </w:rPr>
      </w:pPr>
      <w:r>
        <w:rPr>
          <w:sz w:val="24"/>
        </w:rPr>
        <w:t>While some amendments to the TOLA Bill were made prior to its passage,</w:t>
      </w:r>
      <w:r>
        <w:rPr>
          <w:spacing w:val="-60"/>
          <w:sz w:val="24"/>
        </w:rPr>
        <w:t> </w:t>
      </w:r>
      <w:r>
        <w:rPr>
          <w:sz w:val="24"/>
        </w:rPr>
        <w:t>from a human rights perspective, the Commission considers that</w:t>
      </w:r>
      <w:r>
        <w:rPr>
          <w:spacing w:val="1"/>
          <w:sz w:val="24"/>
        </w:rPr>
        <w:t> </w:t>
      </w:r>
      <w:r>
        <w:rPr>
          <w:sz w:val="24"/>
        </w:rPr>
        <w:t>significant problems remain with the amendments to federal law</w:t>
      </w:r>
      <w:r>
        <w:rPr>
          <w:spacing w:val="1"/>
          <w:sz w:val="24"/>
        </w:rPr>
        <w:t> </w:t>
      </w:r>
      <w:r>
        <w:rPr>
          <w:sz w:val="24"/>
        </w:rPr>
        <w:t>implemented by</w:t>
      </w:r>
      <w:r>
        <w:rPr>
          <w:spacing w:val="-1"/>
          <w:sz w:val="24"/>
        </w:rPr>
        <w:t> </w:t>
      </w:r>
      <w:r>
        <w:rPr>
          <w:sz w:val="24"/>
        </w:rPr>
        <w:t>Schedules</w:t>
      </w:r>
      <w:r>
        <w:rPr>
          <w:spacing w:val="-5"/>
          <w:sz w:val="24"/>
        </w:rPr>
        <w:t> </w:t>
      </w:r>
      <w:r>
        <w:rPr>
          <w:sz w:val="24"/>
        </w:rPr>
        <w:t>2–5</w:t>
      </w:r>
      <w:r>
        <w:rPr>
          <w:spacing w:val="1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TOLA</w:t>
      </w:r>
      <w:r>
        <w:rPr>
          <w:spacing w:val="-4"/>
          <w:sz w:val="24"/>
        </w:rPr>
        <w:t> </w:t>
      </w:r>
      <w:r>
        <w:rPr>
          <w:sz w:val="24"/>
        </w:rPr>
        <w:t>Act.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200" w:after="0"/>
        <w:ind w:left="1686" w:right="307" w:hanging="567"/>
        <w:jc w:val="left"/>
        <w:rPr>
          <w:sz w:val="24"/>
        </w:rPr>
      </w:pPr>
      <w:r>
        <w:rPr>
          <w:sz w:val="24"/>
        </w:rPr>
        <w:t>The Commission made 20 recommendations relating to Schedules 2–5 of</w:t>
      </w:r>
      <w:r>
        <w:rPr>
          <w:spacing w:val="-60"/>
          <w:sz w:val="24"/>
        </w:rPr>
        <w:t> </w:t>
      </w:r>
      <w:r>
        <w:rPr>
          <w:sz w:val="24"/>
        </w:rPr>
        <w:t>the TOLA Bill (see Recommendations 34–53 of the Commission’s October</w:t>
      </w:r>
      <w:r>
        <w:rPr>
          <w:spacing w:val="-60"/>
          <w:sz w:val="24"/>
        </w:rPr>
        <w:t> </w:t>
      </w:r>
      <w:r>
        <w:rPr>
          <w:sz w:val="24"/>
        </w:rPr>
        <w:t>2018 submission) that aimed to address the substantial human rights</w:t>
      </w:r>
      <w:r>
        <w:rPr>
          <w:spacing w:val="1"/>
          <w:sz w:val="24"/>
        </w:rPr>
        <w:t> </w:t>
      </w:r>
      <w:r>
        <w:rPr>
          <w:sz w:val="24"/>
        </w:rPr>
        <w:t>concerns that the Commission had identified. The Commission considers</w:t>
      </w:r>
      <w:r>
        <w:rPr>
          <w:spacing w:val="-60"/>
          <w:sz w:val="24"/>
        </w:rPr>
        <w:t> </w:t>
      </w:r>
      <w:r>
        <w:rPr>
          <w:sz w:val="24"/>
        </w:rPr>
        <w:t>that the Government amendments implemented only two of those 20</w:t>
      </w:r>
      <w:r>
        <w:rPr>
          <w:spacing w:val="1"/>
          <w:sz w:val="24"/>
        </w:rPr>
        <w:t> </w:t>
      </w:r>
      <w:r>
        <w:rPr>
          <w:sz w:val="24"/>
        </w:rPr>
        <w:t>recommendations.</w:t>
      </w:r>
    </w:p>
    <w:p>
      <w:pPr>
        <w:pStyle w:val="BodyText"/>
        <w:spacing w:before="8"/>
        <w:ind w:left="0"/>
        <w:rPr>
          <w:sz w:val="26"/>
        </w:rPr>
      </w:pPr>
    </w:p>
    <w:p>
      <w:pPr>
        <w:pStyle w:val="Heading2"/>
        <w:numPr>
          <w:ilvl w:val="1"/>
          <w:numId w:val="10"/>
        </w:numPr>
        <w:tabs>
          <w:tab w:pos="1825" w:val="left" w:leader="none"/>
          <w:tab w:pos="1826" w:val="left" w:leader="none"/>
        </w:tabs>
        <w:spacing w:line="240" w:lineRule="auto" w:before="0" w:after="0"/>
        <w:ind w:left="1825" w:right="0" w:hanging="850"/>
        <w:jc w:val="left"/>
      </w:pPr>
      <w:bookmarkStart w:name="_TOC_250001" w:id="13"/>
      <w:r>
        <w:rPr/>
        <w:t>Breadth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ASIO’s</w:t>
      </w:r>
      <w:r>
        <w:rPr>
          <w:spacing w:val="-4"/>
        </w:rPr>
        <w:t> </w:t>
      </w:r>
      <w:r>
        <w:rPr/>
        <w:t>mandatory</w:t>
      </w:r>
      <w:r>
        <w:rPr>
          <w:spacing w:val="-4"/>
        </w:rPr>
        <w:t> </w:t>
      </w:r>
      <w:r>
        <w:rPr/>
        <w:t>assistance</w:t>
      </w:r>
      <w:r>
        <w:rPr>
          <w:spacing w:val="-6"/>
        </w:rPr>
        <w:t> </w:t>
      </w:r>
      <w:bookmarkEnd w:id="13"/>
      <w:r>
        <w:rPr/>
        <w:t>powers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2" w:lineRule="auto" w:before="194" w:after="0"/>
        <w:ind w:left="1686" w:right="346" w:hanging="567"/>
        <w:jc w:val="left"/>
        <w:rPr>
          <w:sz w:val="24"/>
        </w:rPr>
      </w:pPr>
      <w:r>
        <w:rPr>
          <w:sz w:val="24"/>
        </w:rPr>
        <w:t>The Commission is concerned that legislative changes made by the TOLA</w:t>
      </w:r>
      <w:r>
        <w:rPr>
          <w:spacing w:val="-60"/>
          <w:sz w:val="24"/>
        </w:rPr>
        <w:t> </w:t>
      </w:r>
      <w:r>
        <w:rPr>
          <w:sz w:val="24"/>
        </w:rPr>
        <w:t>Act may at present allow ASIO to detain people without effective</w:t>
      </w:r>
      <w:r>
        <w:rPr>
          <w:spacing w:val="1"/>
          <w:sz w:val="24"/>
        </w:rPr>
        <w:t> </w:t>
      </w:r>
      <w:r>
        <w:rPr>
          <w:sz w:val="24"/>
        </w:rPr>
        <w:t>safeguards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1"/>
          <w:sz w:val="24"/>
        </w:rPr>
        <w:t> </w:t>
      </w:r>
      <w:r>
        <w:rPr>
          <w:sz w:val="24"/>
        </w:rPr>
        <w:t>as judicial</w:t>
      </w:r>
      <w:r>
        <w:rPr>
          <w:spacing w:val="-5"/>
          <w:sz w:val="24"/>
        </w:rPr>
        <w:t> </w:t>
      </w:r>
      <w:r>
        <w:rPr>
          <w:sz w:val="24"/>
        </w:rPr>
        <w:t>authorisation.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191" w:after="0"/>
        <w:ind w:left="1686" w:right="119" w:hanging="567"/>
        <w:jc w:val="left"/>
        <w:rPr>
          <w:sz w:val="24"/>
        </w:rPr>
      </w:pPr>
      <w:r>
        <w:rPr>
          <w:sz w:val="24"/>
        </w:rPr>
        <w:t>The TOLA Act inserted s 34AAA into the ASIO Act, which allows ASIO to</w:t>
      </w:r>
      <w:r>
        <w:rPr>
          <w:spacing w:val="1"/>
          <w:sz w:val="24"/>
        </w:rPr>
        <w:t> </w:t>
      </w:r>
      <w:r>
        <w:rPr>
          <w:sz w:val="24"/>
        </w:rPr>
        <w:t>apply for ‘assistance orders’ relating to computer access. Similar assistance</w:t>
      </w:r>
      <w:r>
        <w:rPr>
          <w:spacing w:val="-60"/>
          <w:sz w:val="24"/>
        </w:rPr>
        <w:t> </w:t>
      </w:r>
      <w:r>
        <w:rPr>
          <w:sz w:val="24"/>
        </w:rPr>
        <w:t>order provisions already exist in the </w:t>
      </w:r>
      <w:r>
        <w:rPr>
          <w:i/>
          <w:sz w:val="24"/>
        </w:rPr>
        <w:t>Crimes Act 1914 </w:t>
      </w:r>
      <w:r>
        <w:rPr>
          <w:sz w:val="24"/>
        </w:rPr>
        <w:t>(Cth) (Crimes Act) and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i/>
          <w:sz w:val="24"/>
        </w:rPr>
        <w:t>Customs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Act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1901</w:t>
      </w:r>
      <w:r>
        <w:rPr>
          <w:i/>
          <w:spacing w:val="-3"/>
          <w:sz w:val="24"/>
        </w:rPr>
        <w:t> </w:t>
      </w:r>
      <w:r>
        <w:rPr>
          <w:sz w:val="24"/>
        </w:rPr>
        <w:t>(Cth)</w:t>
      </w:r>
      <w:r>
        <w:rPr>
          <w:spacing w:val="1"/>
          <w:sz w:val="24"/>
        </w:rPr>
        <w:t> </w:t>
      </w:r>
      <w:r>
        <w:rPr>
          <w:sz w:val="24"/>
        </w:rPr>
        <w:t>(Customs Act).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200" w:after="0"/>
        <w:ind w:left="1686" w:right="153" w:hanging="567"/>
        <w:jc w:val="left"/>
        <w:rPr>
          <w:sz w:val="24"/>
        </w:rPr>
      </w:pPr>
      <w:r>
        <w:rPr>
          <w:sz w:val="24"/>
        </w:rPr>
        <w:t>The new s 34AAA of the ASIO Act provides that the Director-General of</w:t>
      </w:r>
      <w:r>
        <w:rPr>
          <w:spacing w:val="1"/>
          <w:sz w:val="24"/>
        </w:rPr>
        <w:t> </w:t>
      </w:r>
      <w:r>
        <w:rPr>
          <w:sz w:val="24"/>
        </w:rPr>
        <w:t>ASIO may request the Attorney-General to make an order requiring a</w:t>
      </w:r>
      <w:r>
        <w:rPr>
          <w:spacing w:val="1"/>
          <w:sz w:val="24"/>
        </w:rPr>
        <w:t> </w:t>
      </w:r>
      <w:r>
        <w:rPr>
          <w:sz w:val="24"/>
        </w:rPr>
        <w:t>specified person to do anything that is reasonable and necessary to allow</w:t>
      </w:r>
      <w:r>
        <w:rPr>
          <w:spacing w:val="1"/>
          <w:sz w:val="24"/>
        </w:rPr>
        <w:t> </w:t>
      </w:r>
      <w:r>
        <w:rPr>
          <w:sz w:val="24"/>
        </w:rPr>
        <w:t>ASIO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access,</w:t>
      </w:r>
      <w:r>
        <w:rPr>
          <w:spacing w:val="-4"/>
          <w:sz w:val="24"/>
        </w:rPr>
        <w:t> </w:t>
      </w:r>
      <w:r>
        <w:rPr>
          <w:sz w:val="24"/>
        </w:rPr>
        <w:t>copy,</w:t>
      </w:r>
      <w:r>
        <w:rPr>
          <w:spacing w:val="-5"/>
          <w:sz w:val="24"/>
        </w:rPr>
        <w:t> </w:t>
      </w:r>
      <w:r>
        <w:rPr>
          <w:sz w:val="24"/>
        </w:rPr>
        <w:t>convert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make</w:t>
      </w:r>
      <w:r>
        <w:rPr>
          <w:spacing w:val="-3"/>
          <w:sz w:val="24"/>
        </w:rPr>
        <w:t> </w:t>
      </w:r>
      <w:r>
        <w:rPr>
          <w:sz w:val="24"/>
        </w:rPr>
        <w:t>intelligible,</w:t>
      </w:r>
      <w:r>
        <w:rPr>
          <w:spacing w:val="-5"/>
          <w:sz w:val="24"/>
        </w:rPr>
        <w:t> </w:t>
      </w:r>
      <w:r>
        <w:rPr>
          <w:sz w:val="24"/>
        </w:rPr>
        <w:t>data,</w:t>
      </w:r>
      <w:r>
        <w:rPr>
          <w:spacing w:val="-4"/>
          <w:sz w:val="24"/>
        </w:rPr>
        <w:t> </w:t>
      </w:r>
      <w:r>
        <w:rPr>
          <w:sz w:val="24"/>
        </w:rPr>
        <w:t>subject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warrants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1146" w:footer="333" w:top="1680" w:bottom="520" w:left="44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before="101"/>
        <w:ind w:right="220"/>
      </w:pPr>
      <w:r>
        <w:rPr/>
        <w:t>under the ASIO Act. This enables ASIO to compel those who are able to</w:t>
      </w:r>
      <w:r>
        <w:rPr>
          <w:spacing w:val="1"/>
        </w:rPr>
        <w:t> </w:t>
      </w:r>
      <w:r>
        <w:rPr/>
        <w:t>provide it with knowledge or assistance on how to access data on</w:t>
      </w:r>
      <w:r>
        <w:rPr>
          <w:spacing w:val="1"/>
        </w:rPr>
        <w:t> </w:t>
      </w:r>
      <w:r>
        <w:rPr/>
        <w:t>computer networks and devices subject to warrants to do so. Punishment</w:t>
      </w:r>
      <w:r>
        <w:rPr>
          <w:spacing w:val="-60"/>
        </w:rPr>
        <w:t> </w:t>
      </w:r>
      <w:r>
        <w:rPr/>
        <w:t>for failure to comply with an assistance order is imprisonment for a</w:t>
      </w:r>
      <w:r>
        <w:rPr>
          <w:spacing w:val="1"/>
        </w:rPr>
        <w:t> </w:t>
      </w:r>
      <w:r>
        <w:rPr/>
        <w:t>maximum</w:t>
      </w:r>
      <w:r>
        <w:rPr>
          <w:spacing w:val="1"/>
        </w:rPr>
        <w:t> </w:t>
      </w:r>
      <w:r>
        <w:rPr/>
        <w:t>of five</w:t>
      </w:r>
      <w:r>
        <w:rPr>
          <w:spacing w:val="-1"/>
        </w:rPr>
        <w:t> </w:t>
      </w:r>
      <w:r>
        <w:rPr/>
        <w:t>years or</w:t>
      </w:r>
      <w:r>
        <w:rPr>
          <w:spacing w:val="-2"/>
        </w:rPr>
        <w:t> </w:t>
      </w:r>
      <w:r>
        <w:rPr/>
        <w:t>a fine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$63,000,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both.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199" w:after="0"/>
        <w:ind w:left="1686" w:right="307" w:hanging="567"/>
        <w:jc w:val="left"/>
        <w:rPr>
          <w:sz w:val="24"/>
        </w:rPr>
      </w:pPr>
      <w:r>
        <w:rPr>
          <w:sz w:val="24"/>
        </w:rPr>
        <w:t>Assistance orders can only be directed at people who have relevant</w:t>
      </w:r>
      <w:r>
        <w:rPr>
          <w:spacing w:val="1"/>
          <w:sz w:val="24"/>
        </w:rPr>
        <w:t> </w:t>
      </w:r>
      <w:r>
        <w:rPr>
          <w:sz w:val="24"/>
        </w:rPr>
        <w:t>knowledge of a computer or device, or the measures applied to protect</w:t>
      </w:r>
      <w:r>
        <w:rPr>
          <w:spacing w:val="1"/>
          <w:sz w:val="24"/>
        </w:rPr>
        <w:t> </w:t>
      </w:r>
      <w:r>
        <w:rPr>
          <w:sz w:val="24"/>
        </w:rPr>
        <w:t>the data. However, they can be made in relation to people who are not</w:t>
      </w:r>
      <w:r>
        <w:rPr>
          <w:spacing w:val="1"/>
          <w:sz w:val="24"/>
        </w:rPr>
        <w:t> </w:t>
      </w:r>
      <w:r>
        <w:rPr>
          <w:sz w:val="24"/>
        </w:rPr>
        <w:t>suspected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committing</w:t>
      </w:r>
      <w:r>
        <w:rPr>
          <w:spacing w:val="-5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offences,</w:t>
      </w:r>
      <w:r>
        <w:rPr>
          <w:spacing w:val="-5"/>
          <w:sz w:val="24"/>
        </w:rPr>
        <w:t> </w:t>
      </w:r>
      <w:r>
        <w:rPr>
          <w:sz w:val="24"/>
        </w:rPr>
        <w:t>such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owners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lessees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59"/>
          <w:sz w:val="24"/>
        </w:rPr>
        <w:t> </w:t>
      </w:r>
      <w:r>
        <w:rPr>
          <w:sz w:val="24"/>
        </w:rPr>
        <w:t>the relevant devices, employees, system administrators or people who</w:t>
      </w:r>
      <w:r>
        <w:rPr>
          <w:spacing w:val="1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used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relevant</w:t>
      </w:r>
      <w:r>
        <w:rPr>
          <w:spacing w:val="1"/>
          <w:sz w:val="24"/>
        </w:rPr>
        <w:t> </w:t>
      </w:r>
      <w:r>
        <w:rPr>
          <w:sz w:val="24"/>
        </w:rPr>
        <w:t>devices.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199" w:after="0"/>
        <w:ind w:left="1686" w:right="261" w:hanging="567"/>
        <w:jc w:val="left"/>
        <w:rPr>
          <w:sz w:val="24"/>
        </w:rPr>
      </w:pPr>
      <w:r>
        <w:rPr>
          <w:sz w:val="24"/>
        </w:rPr>
        <w:t>Significantly, unlike the assistance orders that may be made under the SD</w:t>
      </w:r>
      <w:r>
        <w:rPr>
          <w:spacing w:val="-60"/>
          <w:sz w:val="24"/>
        </w:rPr>
        <w:t> </w:t>
      </w:r>
      <w:r>
        <w:rPr>
          <w:sz w:val="24"/>
        </w:rPr>
        <w:t>Act, the Crimes Act and the Customs Act (which are issued by eligible</w:t>
      </w:r>
      <w:r>
        <w:rPr>
          <w:spacing w:val="1"/>
          <w:sz w:val="24"/>
        </w:rPr>
        <w:t> </w:t>
      </w:r>
      <w:r>
        <w:rPr>
          <w:sz w:val="24"/>
        </w:rPr>
        <w:t>Judges or nominated Administrative Appeals Tribunal members), the</w:t>
      </w:r>
      <w:r>
        <w:rPr>
          <w:spacing w:val="1"/>
          <w:sz w:val="24"/>
        </w:rPr>
        <w:t> </w:t>
      </w:r>
      <w:r>
        <w:rPr>
          <w:sz w:val="24"/>
        </w:rPr>
        <w:t>assistance orders issued under the ASIO Act are issued by the Attorney-</w:t>
      </w:r>
      <w:r>
        <w:rPr>
          <w:spacing w:val="1"/>
          <w:sz w:val="24"/>
        </w:rPr>
        <w:t> </w:t>
      </w:r>
      <w:r>
        <w:rPr>
          <w:sz w:val="24"/>
        </w:rPr>
        <w:t>General.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200" w:after="0"/>
        <w:ind w:left="1686" w:right="330" w:hanging="567"/>
        <w:jc w:val="left"/>
        <w:rPr>
          <w:sz w:val="24"/>
        </w:rPr>
      </w:pPr>
      <w:r>
        <w:rPr>
          <w:sz w:val="24"/>
        </w:rPr>
        <w:t>Under the new s 34ZH(2) of the ASIO Act, the Government amendments</w:t>
      </w:r>
      <w:r>
        <w:rPr>
          <w:spacing w:val="1"/>
          <w:sz w:val="24"/>
        </w:rPr>
        <w:t> </w:t>
      </w:r>
      <w:r>
        <w:rPr>
          <w:sz w:val="24"/>
        </w:rPr>
        <w:t>introduced an obligation on the Director-General of ASIO to report to the</w:t>
      </w:r>
      <w:r>
        <w:rPr>
          <w:spacing w:val="-60"/>
          <w:sz w:val="24"/>
        </w:rPr>
        <w:t> </w:t>
      </w:r>
      <w:r>
        <w:rPr>
          <w:sz w:val="24"/>
        </w:rPr>
        <w:t>Attorney-General the extent to which compliance with a compulsory</w:t>
      </w:r>
      <w:r>
        <w:rPr>
          <w:spacing w:val="1"/>
          <w:sz w:val="24"/>
        </w:rPr>
        <w:t> </w:t>
      </w:r>
      <w:r>
        <w:rPr>
          <w:sz w:val="24"/>
        </w:rPr>
        <w:t>assistance</w:t>
      </w:r>
      <w:r>
        <w:rPr>
          <w:spacing w:val="-3"/>
          <w:sz w:val="24"/>
        </w:rPr>
        <w:t> </w:t>
      </w:r>
      <w:r>
        <w:rPr>
          <w:sz w:val="24"/>
        </w:rPr>
        <w:t>order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assisted ASIO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carrying</w:t>
      </w:r>
      <w:r>
        <w:rPr>
          <w:spacing w:val="-3"/>
          <w:sz w:val="24"/>
        </w:rPr>
        <w:t> </w:t>
      </w:r>
      <w:r>
        <w:rPr>
          <w:sz w:val="24"/>
        </w:rPr>
        <w:t>out its</w:t>
      </w:r>
      <w:r>
        <w:rPr>
          <w:spacing w:val="-1"/>
          <w:sz w:val="24"/>
        </w:rPr>
        <w:t> </w:t>
      </w:r>
      <w:r>
        <w:rPr>
          <w:sz w:val="24"/>
        </w:rPr>
        <w:t>function.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new</w:t>
      </w:r>
    </w:p>
    <w:p>
      <w:pPr>
        <w:pStyle w:val="BodyText"/>
        <w:spacing w:before="3"/>
        <w:ind w:right="442"/>
      </w:pPr>
      <w:r>
        <w:rPr/>
        <w:t>s 94(2BC) also requires ASIO to list the total number of compulsory</w:t>
      </w:r>
      <w:r>
        <w:rPr>
          <w:spacing w:val="1"/>
        </w:rPr>
        <w:t> </w:t>
      </w:r>
      <w:r>
        <w:rPr/>
        <w:t>assistance orders that the Attorney General has made under s 34AAA(2)</w:t>
      </w:r>
      <w:r>
        <w:rPr>
          <w:spacing w:val="-60"/>
        </w:rPr>
        <w:t> </w:t>
      </w:r>
      <w:r>
        <w:rPr/>
        <w:t>within a particular period in its annual report to the Minister, which is</w:t>
      </w:r>
      <w:r>
        <w:rPr>
          <w:spacing w:val="1"/>
        </w:rPr>
        <w:t> </w:t>
      </w:r>
      <w:r>
        <w:rPr/>
        <w:t>tabled in</w:t>
      </w:r>
      <w:r>
        <w:rPr>
          <w:spacing w:val="1"/>
        </w:rPr>
        <w:t> </w:t>
      </w:r>
      <w:r>
        <w:rPr/>
        <w:t>Parliament.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199" w:after="0"/>
        <w:ind w:left="1686" w:right="148" w:hanging="567"/>
        <w:jc w:val="left"/>
        <w:rPr>
          <w:sz w:val="24"/>
        </w:rPr>
      </w:pPr>
      <w:r>
        <w:rPr>
          <w:sz w:val="24"/>
        </w:rPr>
        <w:t>New s 34AAA(3C) of the ASIO Act now requires that a request for</w:t>
      </w:r>
      <w:r>
        <w:rPr>
          <w:spacing w:val="1"/>
          <w:sz w:val="24"/>
        </w:rPr>
        <w:t> </w:t>
      </w:r>
      <w:r>
        <w:rPr>
          <w:sz w:val="24"/>
        </w:rPr>
        <w:t>compulsory assistance be accompanied by a statement setting out the</w:t>
      </w:r>
      <w:r>
        <w:rPr>
          <w:spacing w:val="1"/>
          <w:sz w:val="24"/>
        </w:rPr>
        <w:t> </w:t>
      </w:r>
      <w:r>
        <w:rPr>
          <w:sz w:val="24"/>
        </w:rPr>
        <w:t>particulars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outcomes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previous</w:t>
      </w:r>
      <w:r>
        <w:rPr>
          <w:spacing w:val="-2"/>
          <w:sz w:val="24"/>
        </w:rPr>
        <w:t> </w:t>
      </w:r>
      <w:r>
        <w:rPr>
          <w:sz w:val="24"/>
        </w:rPr>
        <w:t>requests</w:t>
      </w:r>
      <w:r>
        <w:rPr>
          <w:spacing w:val="-7"/>
          <w:sz w:val="24"/>
        </w:rPr>
        <w:t> </w:t>
      </w:r>
      <w:r>
        <w:rPr>
          <w:sz w:val="24"/>
        </w:rPr>
        <w:t>(if</w:t>
      </w:r>
      <w:r>
        <w:rPr>
          <w:spacing w:val="-2"/>
          <w:sz w:val="24"/>
        </w:rPr>
        <w:t> </w:t>
      </w:r>
      <w:r>
        <w:rPr>
          <w:sz w:val="24"/>
        </w:rPr>
        <w:t>any)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making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0"/>
          <w:sz w:val="24"/>
        </w:rPr>
        <w:t> </w:t>
      </w:r>
      <w:r>
        <w:rPr>
          <w:sz w:val="24"/>
        </w:rPr>
        <w:t>an order relating to the person specified in the current request. Sections</w:t>
      </w:r>
      <w:r>
        <w:rPr>
          <w:spacing w:val="1"/>
          <w:sz w:val="24"/>
        </w:rPr>
        <w:t> </w:t>
      </w:r>
      <w:r>
        <w:rPr>
          <w:sz w:val="24"/>
        </w:rPr>
        <w:t>34AAA(3D)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(3E)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 ASIO</w:t>
      </w:r>
      <w:r>
        <w:rPr>
          <w:spacing w:val="1"/>
          <w:sz w:val="24"/>
        </w:rPr>
        <w:t> </w:t>
      </w:r>
      <w:r>
        <w:rPr>
          <w:sz w:val="24"/>
        </w:rPr>
        <w:t>Act</w:t>
      </w:r>
      <w:r>
        <w:rPr>
          <w:spacing w:val="2"/>
          <w:sz w:val="24"/>
        </w:rPr>
        <w:t> </w:t>
      </w:r>
      <w:r>
        <w:rPr>
          <w:sz w:val="24"/>
        </w:rPr>
        <w:t>require</w:t>
      </w:r>
      <w:r>
        <w:rPr>
          <w:spacing w:val="-1"/>
          <w:sz w:val="24"/>
        </w:rPr>
        <w:t> </w:t>
      </w:r>
      <w:r>
        <w:rPr>
          <w:sz w:val="24"/>
        </w:rPr>
        <w:t>that,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1"/>
          <w:sz w:val="24"/>
        </w:rPr>
        <w:t> </w:t>
      </w:r>
      <w:r>
        <w:rPr>
          <w:sz w:val="24"/>
        </w:rPr>
        <w:t>the grounds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2"/>
          <w:sz w:val="24"/>
        </w:rPr>
        <w:t> </w:t>
      </w:r>
      <w:r>
        <w:rPr>
          <w:sz w:val="24"/>
        </w:rPr>
        <w:t>which</w:t>
      </w:r>
      <w:r>
        <w:rPr>
          <w:spacing w:val="1"/>
          <w:sz w:val="24"/>
        </w:rPr>
        <w:t> </w:t>
      </w:r>
      <w:r>
        <w:rPr>
          <w:sz w:val="24"/>
        </w:rPr>
        <w:t>an order under s 34AAA was made have ceased to exist, the Director-</w:t>
      </w:r>
      <w:r>
        <w:rPr>
          <w:spacing w:val="1"/>
          <w:sz w:val="24"/>
        </w:rPr>
        <w:t> </w:t>
      </w:r>
      <w:r>
        <w:rPr>
          <w:sz w:val="24"/>
        </w:rPr>
        <w:t>General must inform the Attorney-General and, if the Attorney-General is</w:t>
      </w:r>
      <w:r>
        <w:rPr>
          <w:spacing w:val="1"/>
          <w:sz w:val="24"/>
        </w:rPr>
        <w:t> </w:t>
      </w:r>
      <w:r>
        <w:rPr>
          <w:sz w:val="24"/>
        </w:rPr>
        <w:t>also satisfied that the grounds have ceased to exist, the Attorney-General</w:t>
      </w:r>
      <w:r>
        <w:rPr>
          <w:spacing w:val="1"/>
          <w:sz w:val="24"/>
        </w:rPr>
        <w:t> </w:t>
      </w:r>
      <w:r>
        <w:rPr>
          <w:sz w:val="24"/>
        </w:rPr>
        <w:t>must revoke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order.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198" w:after="0"/>
        <w:ind w:left="1686" w:right="210" w:hanging="567"/>
        <w:jc w:val="both"/>
        <w:rPr>
          <w:sz w:val="24"/>
        </w:rPr>
      </w:pPr>
      <w:r>
        <w:rPr>
          <w:sz w:val="24"/>
        </w:rPr>
        <w:t>These reporting and revocation provisions discussed above were inserted</w:t>
      </w:r>
      <w:r>
        <w:rPr>
          <w:spacing w:val="-60"/>
          <w:sz w:val="24"/>
        </w:rPr>
        <w:t> </w:t>
      </w:r>
      <w:r>
        <w:rPr>
          <w:sz w:val="24"/>
        </w:rPr>
        <w:t>into the TOLA Bill by amendments made immediately prior to the passage</w:t>
      </w:r>
      <w:r>
        <w:rPr>
          <w:spacing w:val="-60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Bill.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header="1146" w:footer="333" w:top="1680" w:bottom="520" w:left="44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101" w:after="0"/>
        <w:ind w:left="1686" w:right="263" w:hanging="567"/>
        <w:jc w:val="left"/>
        <w:rPr>
          <w:sz w:val="24"/>
        </w:rPr>
      </w:pPr>
      <w:r>
        <w:rPr>
          <w:sz w:val="24"/>
        </w:rPr>
        <w:t>While the Commission supports the additional reporting, record keeping</w:t>
      </w:r>
      <w:r>
        <w:rPr>
          <w:spacing w:val="1"/>
          <w:sz w:val="24"/>
        </w:rPr>
        <w:t> </w:t>
      </w:r>
      <w:r>
        <w:rPr>
          <w:sz w:val="24"/>
        </w:rPr>
        <w:t>and procedural changes introduced by the Government amendments,</w:t>
      </w:r>
      <w:r>
        <w:rPr>
          <w:spacing w:val="1"/>
          <w:sz w:val="24"/>
        </w:rPr>
        <w:t> </w:t>
      </w:r>
      <w:r>
        <w:rPr>
          <w:sz w:val="24"/>
        </w:rPr>
        <w:t>those amendments did not address the significant concerns raised by the</w:t>
      </w:r>
      <w:r>
        <w:rPr>
          <w:spacing w:val="-60"/>
          <w:sz w:val="24"/>
        </w:rPr>
        <w:t> </w:t>
      </w:r>
      <w:r>
        <w:rPr>
          <w:sz w:val="24"/>
        </w:rPr>
        <w:t>Commission, the Inspector-General of Intelligence and Security (IGIS) and</w:t>
      </w:r>
      <w:r>
        <w:rPr>
          <w:spacing w:val="-60"/>
          <w:sz w:val="24"/>
        </w:rPr>
        <w:t> </w:t>
      </w:r>
      <w:r>
        <w:rPr>
          <w:sz w:val="24"/>
        </w:rPr>
        <w:t>the Law Council of Australia about the potential for assistance orders</w:t>
      </w:r>
      <w:r>
        <w:rPr>
          <w:spacing w:val="1"/>
          <w:sz w:val="24"/>
        </w:rPr>
        <w:t> </w:t>
      </w:r>
      <w:r>
        <w:rPr>
          <w:sz w:val="24"/>
        </w:rPr>
        <w:t>under</w:t>
      </w:r>
      <w:r>
        <w:rPr>
          <w:spacing w:val="-5"/>
          <w:sz w:val="24"/>
        </w:rPr>
        <w:t> </w:t>
      </w:r>
      <w:r>
        <w:rPr>
          <w:sz w:val="24"/>
        </w:rPr>
        <w:t>s</w:t>
      </w:r>
      <w:r>
        <w:rPr>
          <w:spacing w:val="-2"/>
          <w:sz w:val="24"/>
        </w:rPr>
        <w:t> </w:t>
      </w:r>
      <w:r>
        <w:rPr>
          <w:sz w:val="24"/>
        </w:rPr>
        <w:t>34AAA(2)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authorise</w:t>
      </w:r>
      <w:r>
        <w:rPr>
          <w:spacing w:val="-4"/>
          <w:sz w:val="24"/>
        </w:rPr>
        <w:t> </w:t>
      </w:r>
      <w:r>
        <w:rPr>
          <w:sz w:val="24"/>
        </w:rPr>
        <w:t>effective</w:t>
      </w:r>
      <w:r>
        <w:rPr>
          <w:spacing w:val="-3"/>
          <w:sz w:val="24"/>
        </w:rPr>
        <w:t> </w:t>
      </w:r>
      <w:r>
        <w:rPr>
          <w:sz w:val="24"/>
        </w:rPr>
        <w:t>detention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non-judicial</w:t>
      </w:r>
      <w:r>
        <w:rPr>
          <w:spacing w:val="-1"/>
          <w:sz w:val="24"/>
        </w:rPr>
        <w:t> </w:t>
      </w:r>
      <w:r>
        <w:rPr>
          <w:sz w:val="24"/>
        </w:rPr>
        <w:t>officers.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199" w:after="0"/>
        <w:ind w:left="1686" w:right="254" w:hanging="567"/>
        <w:jc w:val="left"/>
        <w:rPr>
          <w:sz w:val="24"/>
        </w:rPr>
      </w:pPr>
      <w:r>
        <w:rPr>
          <w:sz w:val="24"/>
        </w:rPr>
        <w:t>Section 34AAA(3) contemplates that a person subject to an assistance</w:t>
      </w:r>
      <w:r>
        <w:rPr>
          <w:spacing w:val="1"/>
          <w:sz w:val="24"/>
        </w:rPr>
        <w:t> </w:t>
      </w:r>
      <w:r>
        <w:rPr>
          <w:sz w:val="24"/>
        </w:rPr>
        <w:t>order can be required to attend a specified place to provide assistance. In</w:t>
      </w:r>
      <w:r>
        <w:rPr>
          <w:spacing w:val="-60"/>
          <w:sz w:val="24"/>
        </w:rPr>
        <w:t> </w:t>
      </w:r>
      <w:r>
        <w:rPr>
          <w:sz w:val="24"/>
        </w:rPr>
        <w:t>such circumstances, the assistance order must specify the period within</w:t>
      </w:r>
      <w:r>
        <w:rPr>
          <w:spacing w:val="1"/>
          <w:sz w:val="24"/>
        </w:rPr>
        <w:t> </w:t>
      </w:r>
      <w:r>
        <w:rPr>
          <w:sz w:val="24"/>
        </w:rPr>
        <w:t>which the person must provide the assistance, but no maximum period is</w:t>
      </w:r>
      <w:r>
        <w:rPr>
          <w:spacing w:val="-60"/>
          <w:sz w:val="24"/>
        </w:rPr>
        <w:t> </w:t>
      </w:r>
      <w:r>
        <w:rPr>
          <w:sz w:val="24"/>
        </w:rPr>
        <w:t>set.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199" w:after="0"/>
        <w:ind w:left="1686" w:right="143" w:hanging="567"/>
        <w:jc w:val="left"/>
        <w:rPr>
          <w:sz w:val="24"/>
        </w:rPr>
      </w:pPr>
      <w:r>
        <w:rPr>
          <w:sz w:val="24"/>
        </w:rPr>
        <w:t>As discussed in the Commission’s October 2018 submission there is a real</w:t>
      </w:r>
      <w:r>
        <w:rPr>
          <w:spacing w:val="1"/>
          <w:sz w:val="24"/>
        </w:rPr>
        <w:t> </w:t>
      </w:r>
      <w:r>
        <w:rPr>
          <w:sz w:val="24"/>
        </w:rPr>
        <w:t>question whether a person subject to an assistance order is effectively</w:t>
      </w:r>
      <w:r>
        <w:rPr>
          <w:spacing w:val="1"/>
          <w:sz w:val="24"/>
        </w:rPr>
        <w:t> </w:t>
      </w:r>
      <w:r>
        <w:rPr>
          <w:sz w:val="24"/>
        </w:rPr>
        <w:t>being detained during the period in which they are required to provide the</w:t>
      </w:r>
      <w:r>
        <w:rPr>
          <w:spacing w:val="-60"/>
          <w:sz w:val="24"/>
        </w:rPr>
        <w:t> </w:t>
      </w:r>
      <w:r>
        <w:rPr>
          <w:sz w:val="24"/>
        </w:rPr>
        <w:t>assistance.</w:t>
      </w:r>
      <w:r>
        <w:rPr>
          <w:spacing w:val="3"/>
          <w:sz w:val="24"/>
        </w:rPr>
        <w:t> </w:t>
      </w:r>
      <w:r>
        <w:rPr>
          <w:sz w:val="24"/>
        </w:rPr>
        <w:t>While they</w:t>
      </w:r>
      <w:r>
        <w:rPr>
          <w:spacing w:val="4"/>
          <w:sz w:val="24"/>
        </w:rPr>
        <w:t> </w:t>
      </w:r>
      <w:r>
        <w:rPr>
          <w:sz w:val="24"/>
        </w:rPr>
        <w:t>may</w:t>
      </w:r>
      <w:r>
        <w:rPr>
          <w:spacing w:val="4"/>
          <w:sz w:val="24"/>
        </w:rPr>
        <w:t> </w:t>
      </w:r>
      <w:r>
        <w:rPr>
          <w:sz w:val="24"/>
        </w:rPr>
        <w:t>not</w:t>
      </w:r>
      <w:r>
        <w:rPr>
          <w:spacing w:val="7"/>
          <w:sz w:val="24"/>
        </w:rPr>
        <w:t> </w:t>
      </w:r>
      <w:r>
        <w:rPr>
          <w:sz w:val="24"/>
        </w:rPr>
        <w:t>be physically</w:t>
      </w:r>
      <w:r>
        <w:rPr>
          <w:spacing w:val="4"/>
          <w:sz w:val="24"/>
        </w:rPr>
        <w:t> </w:t>
      </w:r>
      <w:r>
        <w:rPr>
          <w:sz w:val="24"/>
        </w:rPr>
        <w:t>restrained,</w:t>
      </w:r>
      <w:r>
        <w:rPr>
          <w:spacing w:val="3"/>
          <w:sz w:val="24"/>
        </w:rPr>
        <w:t> </w:t>
      </w:r>
      <w:r>
        <w:rPr>
          <w:sz w:val="24"/>
        </w:rPr>
        <w:t>they</w:t>
      </w:r>
      <w:r>
        <w:rPr>
          <w:spacing w:val="5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effectively</w:t>
      </w:r>
      <w:r>
        <w:rPr>
          <w:spacing w:val="3"/>
          <w:sz w:val="24"/>
        </w:rPr>
        <w:t> </w:t>
      </w:r>
      <w:r>
        <w:rPr>
          <w:sz w:val="24"/>
        </w:rPr>
        <w:t>prevented</w:t>
      </w:r>
      <w:r>
        <w:rPr>
          <w:spacing w:val="5"/>
          <w:sz w:val="24"/>
        </w:rPr>
        <w:t> </w:t>
      </w:r>
      <w:r>
        <w:rPr>
          <w:sz w:val="24"/>
        </w:rPr>
        <w:t>from</w:t>
      </w:r>
      <w:r>
        <w:rPr>
          <w:spacing w:val="6"/>
          <w:sz w:val="24"/>
        </w:rPr>
        <w:t> </w:t>
      </w:r>
      <w:r>
        <w:rPr>
          <w:sz w:val="24"/>
        </w:rPr>
        <w:t>leaving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specified</w:t>
      </w:r>
      <w:r>
        <w:rPr>
          <w:spacing w:val="5"/>
          <w:sz w:val="24"/>
        </w:rPr>
        <w:t> </w:t>
      </w:r>
      <w:r>
        <w:rPr>
          <w:sz w:val="24"/>
        </w:rPr>
        <w:t>place</w:t>
      </w:r>
      <w:r>
        <w:rPr>
          <w:spacing w:val="-1"/>
          <w:sz w:val="24"/>
        </w:rPr>
        <w:t> </w:t>
      </w:r>
      <w:r>
        <w:rPr>
          <w:sz w:val="24"/>
        </w:rPr>
        <w:t>prior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4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completion of the designated assistance task, under pain of criminal</w:t>
      </w:r>
      <w:r>
        <w:rPr>
          <w:spacing w:val="1"/>
          <w:sz w:val="24"/>
        </w:rPr>
        <w:t> </w:t>
      </w:r>
      <w:r>
        <w:rPr>
          <w:sz w:val="24"/>
        </w:rPr>
        <w:t>penalties. This might engage the prohibition on arbitrary detention in</w:t>
      </w:r>
      <w:r>
        <w:rPr>
          <w:spacing w:val="1"/>
          <w:sz w:val="24"/>
        </w:rPr>
        <w:t> </w:t>
      </w:r>
      <w:r>
        <w:rPr>
          <w:sz w:val="24"/>
        </w:rPr>
        <w:t>article</w:t>
      </w:r>
      <w:r>
        <w:rPr>
          <w:spacing w:val="-1"/>
          <w:sz w:val="24"/>
        </w:rPr>
        <w:t> </w:t>
      </w:r>
      <w:r>
        <w:rPr>
          <w:sz w:val="24"/>
        </w:rPr>
        <w:t>9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ICCPR.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203" w:after="0"/>
        <w:ind w:left="1686" w:right="176" w:hanging="567"/>
        <w:jc w:val="left"/>
        <w:rPr>
          <w:sz w:val="24"/>
        </w:rPr>
      </w:pPr>
      <w:r>
        <w:rPr>
          <w:sz w:val="24"/>
        </w:rPr>
        <w:t>The assistance order provisions introduced by the TOLA Act do not make</w:t>
      </w:r>
      <w:r>
        <w:rPr>
          <w:spacing w:val="1"/>
          <w:sz w:val="24"/>
        </w:rPr>
        <w:t> </w:t>
      </w:r>
      <w:r>
        <w:rPr>
          <w:sz w:val="24"/>
        </w:rPr>
        <w:t>provision for the kinds of protections available to people who are subject</w:t>
      </w:r>
      <w:r>
        <w:rPr>
          <w:spacing w:val="1"/>
          <w:sz w:val="24"/>
        </w:rPr>
        <w:t> </w:t>
      </w:r>
      <w:r>
        <w:rPr>
          <w:sz w:val="24"/>
        </w:rPr>
        <w:t>to questioning warrants or questioning and detention warrants under Pt</w:t>
      </w:r>
      <w:r>
        <w:rPr>
          <w:spacing w:val="1"/>
          <w:sz w:val="24"/>
        </w:rPr>
        <w:t> </w:t>
      </w:r>
      <w:r>
        <w:rPr>
          <w:sz w:val="24"/>
        </w:rPr>
        <w:t>III, Div 3 of the ASIO Act. For example, the new assistance order regime</w:t>
      </w:r>
      <w:r>
        <w:rPr>
          <w:spacing w:val="1"/>
          <w:sz w:val="24"/>
        </w:rPr>
        <w:t> </w:t>
      </w:r>
      <w:r>
        <w:rPr>
          <w:sz w:val="24"/>
        </w:rPr>
        <w:t>under s 34AAA of the ASIO Act does not make provision for a person to</w:t>
      </w:r>
      <w:r>
        <w:rPr>
          <w:spacing w:val="1"/>
          <w:sz w:val="24"/>
        </w:rPr>
        <w:t> </w:t>
      </w:r>
      <w:r>
        <w:rPr>
          <w:sz w:val="24"/>
        </w:rPr>
        <w:t>contact a lawyer or family member; there is no maximum period</w:t>
      </w:r>
      <w:r>
        <w:rPr>
          <w:spacing w:val="1"/>
          <w:sz w:val="24"/>
        </w:rPr>
        <w:t> </w:t>
      </w:r>
      <w:r>
        <w:rPr>
          <w:sz w:val="24"/>
        </w:rPr>
        <w:t>prescribed for the giving of assistance; there is no obligation on officers to</w:t>
      </w:r>
      <w:r>
        <w:rPr>
          <w:spacing w:val="-60"/>
          <w:sz w:val="24"/>
        </w:rPr>
        <w:t> </w:t>
      </w:r>
      <w:r>
        <w:rPr>
          <w:sz w:val="24"/>
        </w:rPr>
        <w:t>explain the nature of the assistance order and what it requires; there is no</w:t>
      </w:r>
      <w:r>
        <w:rPr>
          <w:spacing w:val="-60"/>
          <w:sz w:val="24"/>
        </w:rPr>
        <w:t> </w:t>
      </w:r>
      <w:r>
        <w:rPr>
          <w:sz w:val="24"/>
        </w:rPr>
        <w:t>obligation on officers to explain how to make a complaint to the IGIS or to</w:t>
      </w:r>
      <w:r>
        <w:rPr>
          <w:spacing w:val="1"/>
          <w:sz w:val="24"/>
        </w:rPr>
        <w:t> </w:t>
      </w:r>
      <w:r>
        <w:rPr>
          <w:sz w:val="24"/>
        </w:rPr>
        <w:t>challenge the making of the assistance order in court; there is no</w:t>
      </w:r>
      <w:r>
        <w:rPr>
          <w:spacing w:val="1"/>
          <w:sz w:val="24"/>
        </w:rPr>
        <w:t> </w:t>
      </w:r>
      <w:r>
        <w:rPr>
          <w:sz w:val="24"/>
        </w:rPr>
        <w:t>obligation to make an interpreter available if necessary; and there is no</w:t>
      </w:r>
      <w:r>
        <w:rPr>
          <w:spacing w:val="1"/>
          <w:sz w:val="24"/>
        </w:rPr>
        <w:t> </w:t>
      </w:r>
      <w:r>
        <w:rPr>
          <w:sz w:val="24"/>
        </w:rPr>
        <w:t>statutory obligation to treat the person humanely and with respect for</w:t>
      </w:r>
      <w:r>
        <w:rPr>
          <w:spacing w:val="1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human</w:t>
      </w:r>
      <w:r>
        <w:rPr>
          <w:spacing w:val="-4"/>
          <w:sz w:val="24"/>
        </w:rPr>
        <w:t> </w:t>
      </w:r>
      <w:r>
        <w:rPr>
          <w:sz w:val="24"/>
        </w:rPr>
        <w:t>dignity.</w:t>
      </w:r>
    </w:p>
    <w:p>
      <w:pPr>
        <w:pStyle w:val="Heading5"/>
        <w:spacing w:before="196"/>
      </w:pPr>
      <w:r>
        <w:rPr/>
        <w:t>Recommendation</w:t>
      </w:r>
      <w:r>
        <w:rPr>
          <w:spacing w:val="-2"/>
        </w:rPr>
        <w:t> </w:t>
      </w:r>
      <w:r>
        <w:rPr/>
        <w:t>H</w:t>
      </w:r>
    </w:p>
    <w:p>
      <w:pPr>
        <w:spacing w:line="327" w:lineRule="exact" w:before="124"/>
        <w:ind w:left="1696" w:right="0" w:firstLine="0"/>
        <w:jc w:val="left"/>
        <w:rPr>
          <w:i/>
          <w:sz w:val="24"/>
        </w:rPr>
      </w:pPr>
      <w:r>
        <w:rPr>
          <w:sz w:val="24"/>
        </w:rPr>
        <w:t>Section</w:t>
      </w:r>
      <w:r>
        <w:rPr>
          <w:spacing w:val="-2"/>
          <w:sz w:val="24"/>
        </w:rPr>
        <w:t> </w:t>
      </w:r>
      <w:r>
        <w:rPr>
          <w:sz w:val="24"/>
        </w:rPr>
        <w:t>34AAA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i/>
          <w:sz w:val="24"/>
        </w:rPr>
        <w:t>Australian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Security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Intelligence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Organisation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Act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1979</w:t>
      </w:r>
    </w:p>
    <w:p>
      <w:pPr>
        <w:pStyle w:val="BodyText"/>
        <w:spacing w:line="327" w:lineRule="exact"/>
        <w:ind w:left="1696"/>
      </w:pPr>
      <w:r>
        <w:rPr/>
        <w:t>(Cth)</w:t>
      </w:r>
      <w:r>
        <w:rPr>
          <w:spacing w:val="-2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amended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include</w:t>
      </w:r>
      <w:r>
        <w:rPr>
          <w:spacing w:val="-4"/>
        </w:rPr>
        <w:t> </w:t>
      </w:r>
      <w:r>
        <w:rPr/>
        <w:t>protections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persons</w:t>
      </w:r>
      <w:r>
        <w:rPr>
          <w:spacing w:val="-3"/>
        </w:rPr>
        <w:t> </w:t>
      </w:r>
      <w:r>
        <w:rPr/>
        <w:t>compelled</w:t>
      </w:r>
      <w:r>
        <w:rPr>
          <w:spacing w:val="-6"/>
        </w:rPr>
        <w:t> </w:t>
      </w:r>
      <w:r>
        <w:rPr/>
        <w:t>to</w:t>
      </w:r>
    </w:p>
    <w:p>
      <w:pPr>
        <w:spacing w:after="0" w:line="327" w:lineRule="exact"/>
        <w:sectPr>
          <w:pgSz w:w="11900" w:h="16840"/>
          <w:pgMar w:header="1146" w:footer="333" w:top="1680" w:bottom="520" w:left="44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before="101"/>
        <w:ind w:left="1696" w:right="167"/>
      </w:pPr>
      <w:r>
        <w:rPr/>
        <w:t>attend or remain in a specified place under an assistance order, in line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Recommendation</w:t>
      </w:r>
      <w:r>
        <w:rPr>
          <w:spacing w:val="-2"/>
        </w:rPr>
        <w:t> </w:t>
      </w:r>
      <w:r>
        <w:rPr/>
        <w:t>48 of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Commission’s</w:t>
      </w:r>
      <w:r>
        <w:rPr>
          <w:spacing w:val="-2"/>
        </w:rPr>
        <w:t> </w:t>
      </w:r>
      <w:r>
        <w:rPr/>
        <w:t>October</w:t>
      </w:r>
      <w:r>
        <w:rPr>
          <w:spacing w:val="-5"/>
        </w:rPr>
        <w:t> </w:t>
      </w:r>
      <w:r>
        <w:rPr/>
        <w:t>2018 submission.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Heading2"/>
        <w:numPr>
          <w:ilvl w:val="1"/>
          <w:numId w:val="10"/>
        </w:numPr>
        <w:tabs>
          <w:tab w:pos="1825" w:val="left" w:leader="none"/>
          <w:tab w:pos="1826" w:val="left" w:leader="none"/>
        </w:tabs>
        <w:spacing w:line="240" w:lineRule="auto" w:before="0" w:after="0"/>
        <w:ind w:left="1825" w:right="0" w:hanging="850"/>
        <w:jc w:val="left"/>
      </w:pPr>
      <w:bookmarkStart w:name="_TOC_250000" w:id="14"/>
      <w:r>
        <w:rPr/>
        <w:t>Breadth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concealment of</w:t>
      </w:r>
      <w:r>
        <w:rPr>
          <w:spacing w:val="-1"/>
        </w:rPr>
        <w:t> </w:t>
      </w:r>
      <w:r>
        <w:rPr/>
        <w:t>access</w:t>
      </w:r>
      <w:r>
        <w:rPr>
          <w:spacing w:val="-3"/>
        </w:rPr>
        <w:t> </w:t>
      </w:r>
      <w:bookmarkEnd w:id="14"/>
      <w:r>
        <w:rPr/>
        <w:t>powers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199" w:after="0"/>
        <w:ind w:left="1686" w:right="995" w:hanging="567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Commission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concerned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7"/>
          <w:sz w:val="24"/>
        </w:rPr>
        <w:t> </w:t>
      </w:r>
      <w:r>
        <w:rPr>
          <w:sz w:val="24"/>
        </w:rPr>
        <w:t>‘concealment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access’</w:t>
      </w:r>
      <w:r>
        <w:rPr>
          <w:spacing w:val="-59"/>
          <w:sz w:val="24"/>
        </w:rPr>
        <w:t> </w:t>
      </w:r>
      <w:r>
        <w:rPr>
          <w:sz w:val="24"/>
        </w:rPr>
        <w:t>powers</w:t>
      </w:r>
      <w:r>
        <w:rPr>
          <w:spacing w:val="-1"/>
          <w:sz w:val="24"/>
        </w:rPr>
        <w:t> </w:t>
      </w:r>
      <w:r>
        <w:rPr>
          <w:sz w:val="24"/>
        </w:rPr>
        <w:t>introduced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TOLA</w:t>
      </w:r>
      <w:r>
        <w:rPr>
          <w:spacing w:val="-5"/>
          <w:sz w:val="24"/>
        </w:rPr>
        <w:t> </w:t>
      </w:r>
      <w:r>
        <w:rPr>
          <w:sz w:val="24"/>
        </w:rPr>
        <w:t>Act</w:t>
      </w:r>
      <w:r>
        <w:rPr>
          <w:spacing w:val="1"/>
          <w:sz w:val="24"/>
        </w:rPr>
        <w:t> </w:t>
      </w:r>
      <w:r>
        <w:rPr>
          <w:sz w:val="24"/>
        </w:rPr>
        <w:t>remain</w:t>
      </w:r>
      <w:r>
        <w:rPr>
          <w:spacing w:val="-4"/>
          <w:sz w:val="24"/>
        </w:rPr>
        <w:t> </w:t>
      </w:r>
      <w:r>
        <w:rPr>
          <w:sz w:val="24"/>
        </w:rPr>
        <w:t>overly</w:t>
      </w:r>
      <w:r>
        <w:rPr>
          <w:spacing w:val="-2"/>
          <w:sz w:val="24"/>
        </w:rPr>
        <w:t> </w:t>
      </w:r>
      <w:r>
        <w:rPr>
          <w:sz w:val="24"/>
        </w:rPr>
        <w:t>broad.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201" w:after="0"/>
        <w:ind w:left="1686" w:right="336" w:hanging="567"/>
        <w:jc w:val="left"/>
        <w:rPr>
          <w:sz w:val="24"/>
        </w:rPr>
      </w:pPr>
      <w:r>
        <w:rPr>
          <w:sz w:val="24"/>
        </w:rPr>
        <w:t>These powers automatically attach to the new computer access warrants</w:t>
      </w:r>
      <w:r>
        <w:rPr>
          <w:spacing w:val="-60"/>
          <w:sz w:val="24"/>
        </w:rPr>
        <w:t> </w:t>
      </w:r>
      <w:r>
        <w:rPr>
          <w:sz w:val="24"/>
        </w:rPr>
        <w:t>issued under the SD Act, as well as warrants issued under the ASIO Act,</w:t>
      </w:r>
      <w:r>
        <w:rPr>
          <w:spacing w:val="1"/>
          <w:sz w:val="24"/>
        </w:rPr>
        <w:t> </w:t>
      </w:r>
      <w:r>
        <w:rPr>
          <w:sz w:val="24"/>
        </w:rPr>
        <w:t>and permit relevant agencies and ASIO to do ‘anything reasonably</w:t>
      </w:r>
      <w:r>
        <w:rPr>
          <w:spacing w:val="1"/>
          <w:sz w:val="24"/>
        </w:rPr>
        <w:t> </w:t>
      </w:r>
      <w:r>
        <w:rPr>
          <w:sz w:val="24"/>
        </w:rPr>
        <w:t>necessary to conceal the fact that any thing has been done under the</w:t>
      </w:r>
      <w:r>
        <w:rPr>
          <w:spacing w:val="1"/>
          <w:sz w:val="24"/>
        </w:rPr>
        <w:t> </w:t>
      </w:r>
      <w:r>
        <w:rPr>
          <w:sz w:val="24"/>
        </w:rPr>
        <w:t>warrant’.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199" w:after="0"/>
        <w:ind w:left="1686" w:right="138" w:hanging="567"/>
        <w:jc w:val="left"/>
        <w:rPr>
          <w:sz w:val="24"/>
        </w:rPr>
      </w:pPr>
      <w:r>
        <w:rPr>
          <w:sz w:val="24"/>
        </w:rPr>
        <w:t>The timeframes provided for these concealment activities include any time</w:t>
      </w:r>
      <w:r>
        <w:rPr>
          <w:spacing w:val="-60"/>
          <w:sz w:val="24"/>
        </w:rPr>
        <w:t> </w:t>
      </w:r>
      <w:r>
        <w:rPr>
          <w:sz w:val="24"/>
        </w:rPr>
        <w:t>while the warrant is in force, within 28 days after it ceases to be in force or</w:t>
      </w:r>
      <w:r>
        <w:rPr>
          <w:spacing w:val="-60"/>
          <w:sz w:val="24"/>
        </w:rPr>
        <w:t> </w:t>
      </w:r>
      <w:r>
        <w:rPr>
          <w:sz w:val="24"/>
        </w:rPr>
        <w:t>‘at the earliest time after that 28 day period at which it is reasonably</w:t>
      </w:r>
      <w:r>
        <w:rPr>
          <w:spacing w:val="1"/>
          <w:sz w:val="24"/>
        </w:rPr>
        <w:t> </w:t>
      </w:r>
      <w:r>
        <w:rPr>
          <w:sz w:val="24"/>
        </w:rPr>
        <w:t>practicable’.</w:t>
      </w:r>
      <w:r>
        <w:rPr>
          <w:spacing w:val="-3"/>
          <w:sz w:val="24"/>
        </w:rPr>
        <w:t> </w:t>
      </w:r>
      <w:r>
        <w:rPr>
          <w:sz w:val="24"/>
        </w:rPr>
        <w:t>This has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potential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apply</w:t>
      </w:r>
      <w:r>
        <w:rPr>
          <w:spacing w:val="-6"/>
          <w:sz w:val="24"/>
        </w:rPr>
        <w:t> </w:t>
      </w:r>
      <w:r>
        <w:rPr>
          <w:sz w:val="24"/>
        </w:rPr>
        <w:t>very</w:t>
      </w:r>
      <w:r>
        <w:rPr>
          <w:spacing w:val="-1"/>
          <w:sz w:val="24"/>
        </w:rPr>
        <w:t> </w:t>
      </w:r>
      <w:r>
        <w:rPr>
          <w:sz w:val="24"/>
        </w:rPr>
        <w:t>broadly.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200" w:after="0"/>
        <w:ind w:left="1686" w:right="566" w:hanging="567"/>
        <w:jc w:val="left"/>
        <w:rPr>
          <w:sz w:val="24"/>
        </w:rPr>
      </w:pPr>
      <w:r>
        <w:rPr>
          <w:sz w:val="24"/>
        </w:rPr>
        <w:t>The Government amendments imposed additional obligations on ASIO</w:t>
      </w:r>
      <w:r>
        <w:rPr>
          <w:spacing w:val="-60"/>
          <w:sz w:val="24"/>
        </w:rPr>
        <w:t> </w:t>
      </w:r>
      <w:r>
        <w:rPr>
          <w:sz w:val="24"/>
        </w:rPr>
        <w:t>and relevant agencies to report activities undertaken under the</w:t>
      </w:r>
      <w:r>
        <w:rPr>
          <w:spacing w:val="1"/>
          <w:sz w:val="24"/>
        </w:rPr>
        <w:t> </w:t>
      </w:r>
      <w:r>
        <w:rPr>
          <w:sz w:val="24"/>
        </w:rPr>
        <w:t>concealment of access provisions relating to expired warrants to the</w:t>
      </w:r>
      <w:r>
        <w:rPr>
          <w:spacing w:val="1"/>
          <w:sz w:val="24"/>
        </w:rPr>
        <w:t> </w:t>
      </w:r>
      <w:r>
        <w:rPr>
          <w:sz w:val="24"/>
        </w:rPr>
        <w:t>Attorney-General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Commonwealth</w:t>
      </w:r>
      <w:r>
        <w:rPr>
          <w:spacing w:val="-7"/>
          <w:sz w:val="24"/>
        </w:rPr>
        <w:t> </w:t>
      </w:r>
      <w:r>
        <w:rPr>
          <w:sz w:val="24"/>
        </w:rPr>
        <w:t>Ombudsman</w:t>
      </w:r>
      <w:r>
        <w:rPr>
          <w:spacing w:val="-1"/>
          <w:sz w:val="24"/>
        </w:rPr>
        <w:t> </w:t>
      </w:r>
      <w:r>
        <w:rPr>
          <w:sz w:val="24"/>
        </w:rPr>
        <w:t>respectively.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200" w:after="0"/>
        <w:ind w:left="1686" w:right="124" w:hanging="567"/>
        <w:jc w:val="left"/>
        <w:rPr>
          <w:sz w:val="24"/>
        </w:rPr>
      </w:pPr>
      <w:r>
        <w:rPr>
          <w:sz w:val="24"/>
        </w:rPr>
        <w:t>The Commission welcomes these additional reporting obligations from the</w:t>
      </w:r>
      <w:r>
        <w:rPr>
          <w:spacing w:val="-60"/>
          <w:sz w:val="24"/>
        </w:rPr>
        <w:t> </w:t>
      </w:r>
      <w:r>
        <w:rPr>
          <w:sz w:val="24"/>
        </w:rPr>
        <w:t>perspective of transparency, accountability and oversight. However, these</w:t>
      </w:r>
      <w:r>
        <w:rPr>
          <w:spacing w:val="1"/>
          <w:sz w:val="24"/>
        </w:rPr>
        <w:t> </w:t>
      </w:r>
      <w:r>
        <w:rPr>
          <w:sz w:val="24"/>
        </w:rPr>
        <w:t>amendments are insufficient and do not address the Commission’s</w:t>
      </w:r>
      <w:r>
        <w:rPr>
          <w:spacing w:val="1"/>
          <w:sz w:val="24"/>
        </w:rPr>
        <w:t> </w:t>
      </w:r>
      <w:r>
        <w:rPr>
          <w:sz w:val="24"/>
        </w:rPr>
        <w:t>underlying concern that the new powers allow for highly privacy-intrusive</w:t>
      </w:r>
      <w:r>
        <w:rPr>
          <w:spacing w:val="1"/>
          <w:sz w:val="24"/>
        </w:rPr>
        <w:t> </w:t>
      </w:r>
      <w:r>
        <w:rPr>
          <w:sz w:val="24"/>
        </w:rPr>
        <w:t>activities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occur</w:t>
      </w:r>
      <w:r>
        <w:rPr>
          <w:spacing w:val="-2"/>
          <w:sz w:val="24"/>
        </w:rPr>
        <w:t> </w:t>
      </w:r>
      <w:r>
        <w:rPr>
          <w:sz w:val="24"/>
        </w:rPr>
        <w:t>long</w:t>
      </w:r>
      <w:r>
        <w:rPr>
          <w:spacing w:val="-2"/>
          <w:sz w:val="24"/>
        </w:rPr>
        <w:t> </w:t>
      </w:r>
      <w:r>
        <w:rPr>
          <w:sz w:val="24"/>
        </w:rPr>
        <w:t>after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warrant</w:t>
      </w:r>
      <w:r>
        <w:rPr>
          <w:spacing w:val="-4"/>
          <w:sz w:val="24"/>
        </w:rPr>
        <w:t> </w:t>
      </w:r>
      <w:r>
        <w:rPr>
          <w:sz w:val="24"/>
        </w:rPr>
        <w:t>has expired.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200" w:after="0"/>
        <w:ind w:left="1686" w:right="121" w:hanging="567"/>
        <w:jc w:val="left"/>
        <w:rPr>
          <w:sz w:val="24"/>
        </w:rPr>
      </w:pPr>
      <w:r>
        <w:rPr>
          <w:sz w:val="24"/>
        </w:rPr>
        <w:t>By way of example, it is not difficult to imagine a situation where the</w:t>
      </w:r>
      <w:r>
        <w:rPr>
          <w:spacing w:val="1"/>
          <w:sz w:val="24"/>
        </w:rPr>
        <w:t> </w:t>
      </w:r>
      <w:r>
        <w:rPr>
          <w:sz w:val="24"/>
        </w:rPr>
        <w:t>subject of a covert computer access warrant leaves Australia before a</w:t>
      </w:r>
      <w:r>
        <w:rPr>
          <w:spacing w:val="1"/>
          <w:sz w:val="24"/>
        </w:rPr>
        <w:t> </w:t>
      </w:r>
      <w:r>
        <w:rPr>
          <w:sz w:val="24"/>
        </w:rPr>
        <w:t>security or law enforcement agency takes action to conceal the fact that</w:t>
      </w:r>
      <w:r>
        <w:rPr>
          <w:spacing w:val="1"/>
          <w:sz w:val="24"/>
        </w:rPr>
        <w:t> </w:t>
      </w:r>
      <w:r>
        <w:rPr>
          <w:sz w:val="24"/>
        </w:rPr>
        <w:t>access to a computer has occurred. If not considered ‘reasonably</w:t>
      </w:r>
      <w:r>
        <w:rPr>
          <w:spacing w:val="1"/>
          <w:sz w:val="24"/>
        </w:rPr>
        <w:t> </w:t>
      </w:r>
      <w:r>
        <w:rPr>
          <w:sz w:val="24"/>
        </w:rPr>
        <w:t>practicable’ for the suspect to be pursued into a foreign jurisdiction, the</w:t>
      </w:r>
      <w:r>
        <w:rPr>
          <w:spacing w:val="1"/>
          <w:sz w:val="24"/>
        </w:rPr>
        <w:t> </w:t>
      </w:r>
      <w:r>
        <w:rPr>
          <w:sz w:val="24"/>
        </w:rPr>
        <w:t>‘concealment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access’</w:t>
      </w:r>
      <w:r>
        <w:rPr>
          <w:spacing w:val="-2"/>
          <w:sz w:val="24"/>
        </w:rPr>
        <w:t> </w:t>
      </w:r>
      <w:r>
        <w:rPr>
          <w:sz w:val="24"/>
        </w:rPr>
        <w:t>powers</w:t>
      </w:r>
      <w:r>
        <w:rPr>
          <w:spacing w:val="-4"/>
          <w:sz w:val="24"/>
        </w:rPr>
        <w:t> </w:t>
      </w:r>
      <w:r>
        <w:rPr>
          <w:sz w:val="24"/>
        </w:rPr>
        <w:t>would</w:t>
      </w:r>
      <w:r>
        <w:rPr>
          <w:spacing w:val="-4"/>
          <w:sz w:val="24"/>
        </w:rPr>
        <w:t> </w:t>
      </w:r>
      <w:r>
        <w:rPr>
          <w:sz w:val="24"/>
        </w:rPr>
        <w:t>arguably</w:t>
      </w:r>
      <w:r>
        <w:rPr>
          <w:spacing w:val="-5"/>
          <w:sz w:val="24"/>
        </w:rPr>
        <w:t> </w:t>
      </w:r>
      <w:r>
        <w:rPr>
          <w:sz w:val="24"/>
        </w:rPr>
        <w:t>empower</w:t>
      </w:r>
      <w:r>
        <w:rPr>
          <w:spacing w:val="-6"/>
          <w:sz w:val="24"/>
        </w:rPr>
        <w:t> </w:t>
      </w:r>
      <w:r>
        <w:rPr>
          <w:sz w:val="24"/>
        </w:rPr>
        <w:t>law</w:t>
      </w:r>
      <w:r>
        <w:rPr>
          <w:spacing w:val="-4"/>
          <w:sz w:val="24"/>
        </w:rPr>
        <w:t> </w:t>
      </w:r>
      <w:r>
        <w:rPr>
          <w:sz w:val="24"/>
        </w:rPr>
        <w:t>enforcement</w:t>
      </w:r>
      <w:r>
        <w:rPr>
          <w:spacing w:val="-59"/>
          <w:sz w:val="24"/>
        </w:rPr>
        <w:t> </w:t>
      </w:r>
      <w:r>
        <w:rPr>
          <w:sz w:val="24"/>
        </w:rPr>
        <w:t>authorities or ASIO to covertly access the subject’s computer (to do</w:t>
      </w:r>
      <w:r>
        <w:rPr>
          <w:spacing w:val="1"/>
          <w:sz w:val="24"/>
        </w:rPr>
        <w:t> </w:t>
      </w:r>
      <w:r>
        <w:rPr>
          <w:sz w:val="24"/>
        </w:rPr>
        <w:t>anything reasonably necessary to conceal the fact that access had</w:t>
      </w:r>
      <w:r>
        <w:rPr>
          <w:spacing w:val="1"/>
          <w:sz w:val="24"/>
        </w:rPr>
        <w:t> </w:t>
      </w:r>
      <w:r>
        <w:rPr>
          <w:sz w:val="24"/>
        </w:rPr>
        <w:t>previously been obtained) when they return to Australia. This could be</w:t>
      </w:r>
      <w:r>
        <w:rPr>
          <w:spacing w:val="1"/>
          <w:sz w:val="24"/>
        </w:rPr>
        <w:t> </w:t>
      </w:r>
      <w:r>
        <w:rPr>
          <w:sz w:val="24"/>
        </w:rPr>
        <w:t>after a significant amount of time has passed (possibly years) and could</w:t>
      </w:r>
      <w:r>
        <w:rPr>
          <w:spacing w:val="1"/>
          <w:sz w:val="24"/>
        </w:rPr>
        <w:t> </w:t>
      </w:r>
      <w:r>
        <w:rPr>
          <w:sz w:val="24"/>
        </w:rPr>
        <w:t>occur</w:t>
      </w:r>
      <w:r>
        <w:rPr>
          <w:spacing w:val="-3"/>
          <w:sz w:val="24"/>
        </w:rPr>
        <w:t> </w:t>
      </w:r>
      <w:r>
        <w:rPr>
          <w:sz w:val="24"/>
        </w:rPr>
        <w:t>without any</w:t>
      </w:r>
      <w:r>
        <w:rPr>
          <w:spacing w:val="-2"/>
          <w:sz w:val="24"/>
        </w:rPr>
        <w:t> </w:t>
      </w:r>
      <w:r>
        <w:rPr>
          <w:sz w:val="24"/>
        </w:rPr>
        <w:t>further</w:t>
      </w:r>
      <w:r>
        <w:rPr>
          <w:spacing w:val="-3"/>
          <w:sz w:val="24"/>
        </w:rPr>
        <w:t> </w:t>
      </w:r>
      <w:r>
        <w:rPr>
          <w:sz w:val="24"/>
        </w:rPr>
        <w:t>authorisation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an eligible</w:t>
      </w:r>
      <w:r>
        <w:rPr>
          <w:spacing w:val="-2"/>
          <w:sz w:val="24"/>
        </w:rPr>
        <w:t> </w:t>
      </w:r>
      <w:r>
        <w:rPr>
          <w:sz w:val="24"/>
        </w:rPr>
        <w:t>Judge</w:t>
      </w:r>
      <w:r>
        <w:rPr>
          <w:spacing w:val="-2"/>
          <w:sz w:val="24"/>
        </w:rPr>
        <w:t> </w:t>
      </w:r>
      <w:r>
        <w:rPr>
          <w:sz w:val="24"/>
        </w:rPr>
        <w:t>or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1146" w:footer="333" w:top="1680" w:bottom="520" w:left="44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before="101"/>
        <w:ind w:right="318"/>
      </w:pPr>
      <w:r>
        <w:rPr/>
        <w:t>nominated Administrative Appeals Tribunal (AAT) member or, in the case</w:t>
      </w:r>
      <w:r>
        <w:rPr>
          <w:spacing w:val="-60"/>
        </w:rPr>
        <w:t> </w:t>
      </w:r>
      <w:r>
        <w:rPr/>
        <w:t>of</w:t>
      </w:r>
      <w:r>
        <w:rPr>
          <w:spacing w:val="-1"/>
        </w:rPr>
        <w:t> </w:t>
      </w:r>
      <w:r>
        <w:rPr/>
        <w:t>ASIO warrants,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Attorney-General.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200" w:after="0"/>
        <w:ind w:left="1686" w:right="234" w:hanging="567"/>
        <w:jc w:val="left"/>
        <w:rPr>
          <w:sz w:val="24"/>
        </w:rPr>
      </w:pPr>
      <w:r>
        <w:rPr>
          <w:sz w:val="24"/>
        </w:rPr>
        <w:t>In most cases, computer access warrants under the SD Act can only be</w:t>
      </w:r>
      <w:r>
        <w:rPr>
          <w:spacing w:val="1"/>
          <w:sz w:val="24"/>
        </w:rPr>
        <w:t> </w:t>
      </w:r>
      <w:r>
        <w:rPr>
          <w:sz w:val="24"/>
        </w:rPr>
        <w:t>made after an eligible Judge or nominated AAT member is satisfied that</w:t>
      </w:r>
      <w:r>
        <w:rPr>
          <w:spacing w:val="1"/>
          <w:sz w:val="24"/>
        </w:rPr>
        <w:t> </w:t>
      </w:r>
      <w:r>
        <w:rPr>
          <w:sz w:val="24"/>
        </w:rPr>
        <w:t>there are reasonable grounds for issuing the warrant. In deciding this, the</w:t>
      </w:r>
      <w:r>
        <w:rPr>
          <w:spacing w:val="-60"/>
          <w:sz w:val="24"/>
        </w:rPr>
        <w:t> </w:t>
      </w:r>
      <w:r>
        <w:rPr>
          <w:sz w:val="24"/>
        </w:rPr>
        <w:t>issuing authority must have regard to certain factors such as the nature</w:t>
      </w:r>
      <w:r>
        <w:rPr>
          <w:spacing w:val="1"/>
          <w:sz w:val="24"/>
        </w:rPr>
        <w:t> </w:t>
      </w:r>
      <w:r>
        <w:rPr>
          <w:sz w:val="24"/>
        </w:rPr>
        <w:t>and gravity of the alleged offence, the extent to which the privacy of any</w:t>
      </w:r>
      <w:r>
        <w:rPr>
          <w:spacing w:val="1"/>
          <w:sz w:val="24"/>
        </w:rPr>
        <w:t> </w:t>
      </w:r>
      <w:r>
        <w:rPr>
          <w:sz w:val="24"/>
        </w:rPr>
        <w:t>person is likely to be affected and the existence of any alternative means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obtaining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evidence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information.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199" w:after="0"/>
        <w:ind w:left="1686" w:right="317" w:hanging="567"/>
        <w:jc w:val="left"/>
        <w:rPr>
          <w:sz w:val="24"/>
        </w:rPr>
      </w:pPr>
      <w:r>
        <w:rPr>
          <w:sz w:val="24"/>
        </w:rPr>
        <w:t>In the case of computer access warrants issued under the ASIO Act, the</w:t>
      </w:r>
      <w:r>
        <w:rPr>
          <w:spacing w:val="1"/>
          <w:sz w:val="24"/>
        </w:rPr>
        <w:t> </w:t>
      </w:r>
      <w:r>
        <w:rPr>
          <w:sz w:val="24"/>
        </w:rPr>
        <w:t>Attorney-General can only issue a warrant if he or she is satisfied that</w:t>
      </w:r>
      <w:r>
        <w:rPr>
          <w:spacing w:val="1"/>
          <w:sz w:val="24"/>
        </w:rPr>
        <w:t> </w:t>
      </w:r>
      <w:r>
        <w:rPr>
          <w:sz w:val="24"/>
        </w:rPr>
        <w:t>there are reasonable grounds for believing that access by ASIO to data</w:t>
      </w:r>
      <w:r>
        <w:rPr>
          <w:spacing w:val="1"/>
          <w:sz w:val="24"/>
        </w:rPr>
        <w:t> </w:t>
      </w:r>
      <w:r>
        <w:rPr>
          <w:sz w:val="24"/>
        </w:rPr>
        <w:t>held in a computer will substantially assist the collection of intelligence in</w:t>
      </w:r>
      <w:r>
        <w:rPr>
          <w:spacing w:val="-60"/>
          <w:sz w:val="24"/>
        </w:rPr>
        <w:t> </w:t>
      </w:r>
      <w:r>
        <w:rPr>
          <w:sz w:val="24"/>
        </w:rPr>
        <w:t>respect of a matter</w:t>
      </w:r>
      <w:r>
        <w:rPr>
          <w:spacing w:val="-2"/>
          <w:sz w:val="24"/>
        </w:rPr>
        <w:t> </w:t>
      </w:r>
      <w:r>
        <w:rPr>
          <w:sz w:val="24"/>
        </w:rPr>
        <w:t>that is</w:t>
      </w:r>
      <w:r>
        <w:rPr>
          <w:spacing w:val="-5"/>
          <w:sz w:val="24"/>
        </w:rPr>
        <w:t> </w:t>
      </w:r>
      <w:r>
        <w:rPr>
          <w:sz w:val="24"/>
        </w:rPr>
        <w:t>important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security.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199" w:after="0"/>
        <w:ind w:left="1686" w:right="277" w:hanging="567"/>
        <w:jc w:val="left"/>
        <w:rPr>
          <w:sz w:val="24"/>
        </w:rPr>
      </w:pPr>
      <w:r>
        <w:rPr>
          <w:sz w:val="24"/>
        </w:rPr>
        <w:t>These thresholds recognise that activities authorised by computer access</w:t>
      </w:r>
      <w:r>
        <w:rPr>
          <w:spacing w:val="-60"/>
          <w:sz w:val="24"/>
        </w:rPr>
        <w:t> </w:t>
      </w:r>
      <w:r>
        <w:rPr>
          <w:sz w:val="24"/>
        </w:rPr>
        <w:t>warrants, and now the ancillary concealment of access powers, are highly</w:t>
      </w:r>
      <w:r>
        <w:rPr>
          <w:spacing w:val="-60"/>
          <w:sz w:val="24"/>
        </w:rPr>
        <w:t> </w:t>
      </w:r>
      <w:r>
        <w:rPr>
          <w:sz w:val="24"/>
        </w:rPr>
        <w:t>privacy-intrusive and should only be permitted when it has been</w:t>
      </w:r>
      <w:r>
        <w:rPr>
          <w:spacing w:val="1"/>
          <w:sz w:val="24"/>
        </w:rPr>
        <w:t> </w:t>
      </w:r>
      <w:r>
        <w:rPr>
          <w:sz w:val="24"/>
        </w:rPr>
        <w:t>established that there are reasonable grounds for allowing such</w:t>
      </w:r>
      <w:r>
        <w:rPr>
          <w:spacing w:val="1"/>
          <w:sz w:val="24"/>
        </w:rPr>
        <w:t> </w:t>
      </w:r>
      <w:r>
        <w:rPr>
          <w:sz w:val="24"/>
        </w:rPr>
        <w:t>interference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state.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200" w:after="0"/>
        <w:ind w:left="1686" w:right="244" w:hanging="567"/>
        <w:jc w:val="left"/>
        <w:rPr>
          <w:sz w:val="24"/>
        </w:rPr>
      </w:pPr>
      <w:r>
        <w:rPr>
          <w:sz w:val="24"/>
        </w:rPr>
        <w:t>Given this, the Commission considers that it is not reasonable to continue</w:t>
      </w:r>
      <w:r>
        <w:rPr>
          <w:spacing w:val="-60"/>
          <w:sz w:val="24"/>
        </w:rPr>
        <w:t> </w:t>
      </w:r>
      <w:r>
        <w:rPr>
          <w:sz w:val="24"/>
        </w:rPr>
        <w:t>to place reliance upon the original ‘reasonable suspicion/reasonable</w:t>
      </w:r>
      <w:r>
        <w:rPr>
          <w:spacing w:val="1"/>
          <w:sz w:val="24"/>
        </w:rPr>
        <w:t> </w:t>
      </w:r>
      <w:r>
        <w:rPr>
          <w:sz w:val="24"/>
        </w:rPr>
        <w:t>grounds’ threshold that underpinned the initial warrant if significant time</w:t>
      </w:r>
      <w:r>
        <w:rPr>
          <w:spacing w:val="1"/>
          <w:sz w:val="24"/>
        </w:rPr>
        <w:t> </w:t>
      </w:r>
      <w:r>
        <w:rPr>
          <w:sz w:val="24"/>
        </w:rPr>
        <w:t>has passed. The facts and circumstances of an investigation may have</w:t>
      </w:r>
      <w:r>
        <w:rPr>
          <w:spacing w:val="1"/>
          <w:sz w:val="24"/>
        </w:rPr>
        <w:t> </w:t>
      </w:r>
      <w:r>
        <w:rPr>
          <w:sz w:val="24"/>
        </w:rPr>
        <w:t>changed considerably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-1"/>
          <w:sz w:val="24"/>
        </w:rPr>
        <w:t> </w:t>
      </w:r>
      <w:r>
        <w:rPr>
          <w:sz w:val="24"/>
        </w:rPr>
        <w:t>intervening</w:t>
      </w:r>
      <w:r>
        <w:rPr>
          <w:spacing w:val="-3"/>
          <w:sz w:val="24"/>
        </w:rPr>
        <w:t> </w:t>
      </w:r>
      <w:r>
        <w:rPr>
          <w:sz w:val="24"/>
        </w:rPr>
        <w:t>period.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</w:tabs>
        <w:spacing w:line="240" w:lineRule="auto" w:before="199" w:after="0"/>
        <w:ind w:left="1686" w:right="802" w:hanging="567"/>
        <w:jc w:val="left"/>
        <w:rPr>
          <w:sz w:val="24"/>
        </w:rPr>
      </w:pPr>
      <w:r>
        <w:rPr>
          <w:sz w:val="24"/>
        </w:rPr>
        <w:t>In these circumstances, the Commission recommends that relevant</w:t>
      </w:r>
      <w:r>
        <w:rPr>
          <w:spacing w:val="1"/>
          <w:sz w:val="24"/>
        </w:rPr>
        <w:t> </w:t>
      </w:r>
      <w:r>
        <w:rPr>
          <w:sz w:val="24"/>
        </w:rPr>
        <w:t>authorities be required to return to an issuing authority to show that</w:t>
      </w:r>
      <w:r>
        <w:rPr>
          <w:spacing w:val="-60"/>
          <w:sz w:val="24"/>
        </w:rPr>
        <w:t> </w:t>
      </w:r>
      <w:r>
        <w:rPr>
          <w:sz w:val="24"/>
        </w:rPr>
        <w:t>privacy intrusive activities are still justifiable with reference to</w:t>
      </w:r>
      <w:r>
        <w:rPr>
          <w:spacing w:val="1"/>
          <w:sz w:val="24"/>
        </w:rPr>
        <w:t> </w:t>
      </w:r>
      <w:r>
        <w:rPr>
          <w:sz w:val="24"/>
        </w:rPr>
        <w:t>contemporary</w:t>
      </w:r>
      <w:r>
        <w:rPr>
          <w:spacing w:val="-2"/>
          <w:sz w:val="24"/>
        </w:rPr>
        <w:t> </w:t>
      </w:r>
      <w:r>
        <w:rPr>
          <w:sz w:val="24"/>
        </w:rPr>
        <w:t>facts.</w:t>
      </w:r>
    </w:p>
    <w:p>
      <w:pPr>
        <w:pStyle w:val="Heading5"/>
        <w:spacing w:before="200"/>
      </w:pPr>
      <w:r>
        <w:rPr/>
        <w:t>Recommendation</w:t>
      </w:r>
      <w:r>
        <w:rPr>
          <w:spacing w:val="-2"/>
        </w:rPr>
        <w:t> </w:t>
      </w:r>
      <w:r>
        <w:rPr/>
        <w:t>I</w:t>
      </w:r>
    </w:p>
    <w:p>
      <w:pPr>
        <w:pStyle w:val="BodyText"/>
        <w:spacing w:before="124"/>
        <w:ind w:left="1696" w:right="106"/>
      </w:pPr>
      <w:r>
        <w:rPr/>
        <w:t>The </w:t>
      </w:r>
      <w:r>
        <w:rPr>
          <w:i/>
        </w:rPr>
        <w:t>Australian Security Intelligence Organisation Act 1979 </w:t>
      </w:r>
      <w:r>
        <w:rPr/>
        <w:t>(Cth) and the</w:t>
      </w:r>
      <w:r>
        <w:rPr>
          <w:spacing w:val="1"/>
        </w:rPr>
        <w:t> </w:t>
      </w:r>
      <w:r>
        <w:rPr>
          <w:i/>
        </w:rPr>
        <w:t>Surveillance Devices Act 2004 </w:t>
      </w:r>
      <w:r>
        <w:rPr/>
        <w:t>(Cth) should be amended so that, if it is not</w:t>
      </w:r>
      <w:r>
        <w:rPr>
          <w:spacing w:val="1"/>
        </w:rPr>
        <w:t> </w:t>
      </w:r>
      <w:r>
        <w:rPr/>
        <w:t>reasonably practicable for ‘concealment of access’ to occur while a warrant</w:t>
      </w:r>
      <w:r>
        <w:rPr>
          <w:spacing w:val="-60"/>
        </w:rPr>
        <w:t> </w:t>
      </w:r>
      <w:r>
        <w:rPr/>
        <w:t>is in effect, or within 28 days of its expiry, law enforcement authorities are</w:t>
      </w:r>
      <w:r>
        <w:rPr>
          <w:spacing w:val="1"/>
        </w:rPr>
        <w:t> </w:t>
      </w:r>
      <w:r>
        <w:rPr/>
        <w:t>required to return to an eligible Judge or nominated Administrative</w:t>
      </w:r>
      <w:r>
        <w:rPr>
          <w:spacing w:val="1"/>
        </w:rPr>
        <w:t> </w:t>
      </w:r>
      <w:r>
        <w:rPr/>
        <w:t>Appeals Tribunal member or, in the case of Australian Security Intelligence</w:t>
      </w:r>
      <w:r>
        <w:rPr>
          <w:spacing w:val="-60"/>
        </w:rPr>
        <w:t> </w:t>
      </w:r>
      <w:r>
        <w:rPr/>
        <w:t>Organisation</w:t>
      </w:r>
      <w:r>
        <w:rPr>
          <w:spacing w:val="-1"/>
        </w:rPr>
        <w:t> </w:t>
      </w:r>
      <w:r>
        <w:rPr/>
        <w:t>warrants,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Attorney-General for</w:t>
      </w:r>
      <w:r>
        <w:rPr>
          <w:spacing w:val="-3"/>
        </w:rPr>
        <w:t> </w:t>
      </w:r>
      <w:r>
        <w:rPr/>
        <w:t>further</w:t>
      </w:r>
      <w:r>
        <w:rPr>
          <w:spacing w:val="-3"/>
        </w:rPr>
        <w:t> </w:t>
      </w:r>
      <w:r>
        <w:rPr/>
        <w:t>authorisation</w:t>
      </w:r>
    </w:p>
    <w:p>
      <w:pPr>
        <w:spacing w:after="0"/>
        <w:sectPr>
          <w:pgSz w:w="11900" w:h="16840"/>
          <w:pgMar w:header="1146" w:footer="333" w:top="1680" w:bottom="520" w:left="44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7"/>
        </w:rPr>
      </w:pPr>
    </w:p>
    <w:p>
      <w:pPr>
        <w:spacing w:before="101"/>
        <w:ind w:left="1696" w:right="0" w:firstLine="0"/>
        <w:jc w:val="left"/>
        <w:rPr>
          <w:sz w:val="24"/>
        </w:rPr>
      </w:pPr>
      <w:r>
        <w:rPr>
          <w:sz w:val="24"/>
        </w:rPr>
        <w:t>before any of the concealment of access powers introduced by the</w:t>
      </w:r>
      <w:r>
        <w:rPr>
          <w:spacing w:val="1"/>
          <w:sz w:val="24"/>
        </w:rPr>
        <w:t> </w:t>
      </w:r>
      <w:r>
        <w:rPr>
          <w:i/>
          <w:sz w:val="24"/>
        </w:rPr>
        <w:t>Telecommunications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Other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Legislation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Amendment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(Assistance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Access)</w:t>
      </w:r>
      <w:r>
        <w:rPr>
          <w:i/>
          <w:spacing w:val="-59"/>
          <w:sz w:val="24"/>
        </w:rPr>
        <w:t> </w:t>
      </w:r>
      <w:r>
        <w:rPr>
          <w:i/>
          <w:sz w:val="24"/>
        </w:rPr>
        <w:t>Act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2018</w:t>
      </w:r>
      <w:r>
        <w:rPr>
          <w:i/>
          <w:spacing w:val="-3"/>
          <w:sz w:val="24"/>
        </w:rPr>
        <w:t> </w:t>
      </w:r>
      <w:r>
        <w:rPr>
          <w:sz w:val="24"/>
        </w:rPr>
        <w:t>(Cth)</w:t>
      </w:r>
      <w:r>
        <w:rPr>
          <w:spacing w:val="1"/>
          <w:sz w:val="24"/>
        </w:rPr>
        <w:t> </w:t>
      </w:r>
      <w:r>
        <w:rPr>
          <w:sz w:val="24"/>
        </w:rPr>
        <w:t>can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exercised.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4"/>
        </w:rPr>
      </w:pPr>
      <w:r>
        <w:rPr/>
        <w:pict>
          <v:rect style="position:absolute;margin-left:70.800003pt;margin-top:10.96372pt;width:144pt;height:.4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2"/>
        <w:ind w:left="0"/>
        <w:rPr>
          <w:sz w:val="26"/>
        </w:rPr>
      </w:pPr>
    </w:p>
    <w:p>
      <w:pPr>
        <w:tabs>
          <w:tab w:pos="1484" w:val="left" w:leader="none"/>
        </w:tabs>
        <w:spacing w:before="1"/>
        <w:ind w:left="1484" w:right="1303" w:hanging="452"/>
        <w:jc w:val="left"/>
        <w:rPr>
          <w:sz w:val="20"/>
        </w:rPr>
      </w:pPr>
      <w:r>
        <w:rPr>
          <w:position w:val="8"/>
          <w:sz w:val="13"/>
        </w:rPr>
        <w:t>1</w:t>
        <w:tab/>
      </w:r>
      <w:r>
        <w:rPr>
          <w:sz w:val="20"/>
        </w:rPr>
        <w:t>Revised Explanatory Memorandum, Telecommunications and Other Legislation</w:t>
      </w:r>
      <w:r>
        <w:rPr>
          <w:spacing w:val="-49"/>
          <w:sz w:val="20"/>
        </w:rPr>
        <w:t> </w:t>
      </w:r>
      <w:r>
        <w:rPr>
          <w:sz w:val="20"/>
        </w:rPr>
        <w:t>Amendment (Assistance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2"/>
          <w:sz w:val="20"/>
        </w:rPr>
        <w:t> </w:t>
      </w:r>
      <w:r>
        <w:rPr>
          <w:sz w:val="20"/>
        </w:rPr>
        <w:t>Access)</w:t>
      </w:r>
      <w:r>
        <w:rPr>
          <w:spacing w:val="-3"/>
          <w:sz w:val="20"/>
        </w:rPr>
        <w:t> </w:t>
      </w:r>
      <w:r>
        <w:rPr>
          <w:sz w:val="20"/>
        </w:rPr>
        <w:t>Bill</w:t>
      </w:r>
      <w:r>
        <w:rPr>
          <w:spacing w:val="1"/>
          <w:sz w:val="20"/>
        </w:rPr>
        <w:t> </w:t>
      </w:r>
      <w:r>
        <w:rPr>
          <w:sz w:val="20"/>
        </w:rPr>
        <w:t>2018 (Cth)</w:t>
      </w:r>
      <w:r>
        <w:rPr>
          <w:spacing w:val="-2"/>
          <w:sz w:val="20"/>
        </w:rPr>
        <w:t> </w:t>
      </w:r>
      <w:r>
        <w:rPr>
          <w:sz w:val="20"/>
        </w:rPr>
        <w:t>2.</w:t>
      </w:r>
    </w:p>
    <w:p>
      <w:pPr>
        <w:tabs>
          <w:tab w:pos="1484" w:val="left" w:leader="none"/>
        </w:tabs>
        <w:spacing w:line="237" w:lineRule="auto" w:before="0"/>
        <w:ind w:left="1484" w:right="1303" w:hanging="452"/>
        <w:jc w:val="left"/>
        <w:rPr>
          <w:sz w:val="20"/>
        </w:rPr>
      </w:pPr>
      <w:r>
        <w:rPr>
          <w:position w:val="8"/>
          <w:sz w:val="13"/>
        </w:rPr>
        <w:t>2</w:t>
        <w:tab/>
      </w:r>
      <w:r>
        <w:rPr>
          <w:sz w:val="20"/>
        </w:rPr>
        <w:t>Revised Explanatory Memorandum, Telecommunications and Other Legislation</w:t>
      </w:r>
      <w:r>
        <w:rPr>
          <w:spacing w:val="-49"/>
          <w:sz w:val="20"/>
        </w:rPr>
        <w:t> </w:t>
      </w:r>
      <w:r>
        <w:rPr>
          <w:sz w:val="20"/>
        </w:rPr>
        <w:t>Amendment (Assistance</w:t>
      </w:r>
      <w:r>
        <w:rPr>
          <w:spacing w:val="3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Access)</w:t>
      </w:r>
      <w:r>
        <w:rPr>
          <w:spacing w:val="-2"/>
          <w:sz w:val="20"/>
        </w:rPr>
        <w:t> </w:t>
      </w:r>
      <w:r>
        <w:rPr>
          <w:sz w:val="20"/>
        </w:rPr>
        <w:t>Bill</w:t>
      </w:r>
      <w:r>
        <w:rPr>
          <w:spacing w:val="1"/>
          <w:sz w:val="20"/>
        </w:rPr>
        <w:t> </w:t>
      </w:r>
      <w:r>
        <w:rPr>
          <w:sz w:val="20"/>
        </w:rPr>
        <w:t>2018 (Cth)</w:t>
      </w:r>
      <w:r>
        <w:rPr>
          <w:spacing w:val="-2"/>
          <w:sz w:val="20"/>
        </w:rPr>
        <w:t> </w:t>
      </w:r>
      <w:r>
        <w:rPr>
          <w:sz w:val="20"/>
        </w:rPr>
        <w:t>9</w:t>
      </w:r>
      <w:r>
        <w:rPr>
          <w:spacing w:val="-5"/>
          <w:sz w:val="20"/>
        </w:rPr>
        <w:t> </w:t>
      </w:r>
      <w:r>
        <w:rPr>
          <w:sz w:val="20"/>
        </w:rPr>
        <w:t>[31].</w:t>
      </w:r>
    </w:p>
    <w:p>
      <w:pPr>
        <w:tabs>
          <w:tab w:pos="1484" w:val="left" w:leader="none"/>
        </w:tabs>
        <w:spacing w:line="240" w:lineRule="auto" w:before="0"/>
        <w:ind w:left="1484" w:right="860" w:hanging="452"/>
        <w:jc w:val="left"/>
        <w:rPr>
          <w:sz w:val="20"/>
        </w:rPr>
      </w:pPr>
      <w:r>
        <w:rPr>
          <w:position w:val="8"/>
          <w:sz w:val="13"/>
        </w:rPr>
        <w:t>3</w:t>
        <w:tab/>
      </w:r>
      <w:r>
        <w:rPr>
          <w:sz w:val="20"/>
        </w:rPr>
        <w:t>Explanatory Memorandum, Telecommunications and Other Legislation Amendment</w:t>
      </w:r>
      <w:r>
        <w:rPr>
          <w:spacing w:val="-49"/>
          <w:sz w:val="20"/>
        </w:rPr>
        <w:t> </w:t>
      </w:r>
      <w:r>
        <w:rPr>
          <w:sz w:val="20"/>
        </w:rPr>
        <w:t>(Assistance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Access)</w:t>
      </w:r>
      <w:r>
        <w:rPr>
          <w:spacing w:val="-2"/>
          <w:sz w:val="20"/>
        </w:rPr>
        <w:t> </w:t>
      </w:r>
      <w:r>
        <w:rPr>
          <w:sz w:val="20"/>
        </w:rPr>
        <w:t>Bill</w:t>
      </w:r>
      <w:r>
        <w:rPr>
          <w:spacing w:val="2"/>
          <w:sz w:val="20"/>
        </w:rPr>
        <w:t> </w:t>
      </w:r>
      <w:r>
        <w:rPr>
          <w:sz w:val="20"/>
        </w:rPr>
        <w:t>2018 (Cth)</w:t>
      </w:r>
      <w:r>
        <w:rPr>
          <w:spacing w:val="-2"/>
          <w:sz w:val="20"/>
        </w:rPr>
        <w:t> </w:t>
      </w:r>
      <w:r>
        <w:rPr>
          <w:sz w:val="20"/>
        </w:rPr>
        <w:t>3 [8].</w:t>
      </w:r>
    </w:p>
    <w:p>
      <w:pPr>
        <w:tabs>
          <w:tab w:pos="1484" w:val="left" w:leader="none"/>
        </w:tabs>
        <w:spacing w:line="240" w:lineRule="auto" w:before="0"/>
        <w:ind w:left="1484" w:right="186" w:hanging="452"/>
        <w:jc w:val="left"/>
        <w:rPr>
          <w:sz w:val="20"/>
        </w:rPr>
      </w:pPr>
      <w:r>
        <w:rPr>
          <w:position w:val="8"/>
          <w:sz w:val="13"/>
        </w:rPr>
        <w:t>4</w:t>
        <w:tab/>
      </w:r>
      <w:r>
        <w:rPr>
          <w:sz w:val="20"/>
        </w:rPr>
        <w:t>The Explanatory Memorandum states that s 313 of the </w:t>
      </w:r>
      <w:r>
        <w:rPr>
          <w:i/>
          <w:sz w:val="20"/>
        </w:rPr>
        <w:t>Telecommunications Act 1997 </w:t>
      </w:r>
      <w:r>
        <w:rPr>
          <w:sz w:val="20"/>
        </w:rPr>
        <w:t>(Cth)</w:t>
      </w:r>
      <w:r>
        <w:rPr>
          <w:spacing w:val="1"/>
          <w:sz w:val="20"/>
        </w:rPr>
        <w:t> </w:t>
      </w:r>
      <w:r>
        <w:rPr>
          <w:sz w:val="20"/>
        </w:rPr>
        <w:t>already requires domestic carriers and carriage service providers to provide ‘such help as is</w:t>
      </w:r>
      <w:r>
        <w:rPr>
          <w:spacing w:val="-49"/>
          <w:sz w:val="20"/>
        </w:rPr>
        <w:t> </w:t>
      </w:r>
      <w:r>
        <w:rPr>
          <w:sz w:val="20"/>
        </w:rPr>
        <w:t>reasonably’ necessary to law enforcement and national security agencies, and that the Bill</w:t>
      </w:r>
      <w:r>
        <w:rPr>
          <w:spacing w:val="1"/>
          <w:sz w:val="20"/>
        </w:rPr>
        <w:t> </w:t>
      </w:r>
      <w:r>
        <w:rPr>
          <w:sz w:val="20"/>
        </w:rPr>
        <w:t>introduces additional obligations to operate alongside s 313: see Explanatory</w:t>
      </w:r>
      <w:r>
        <w:rPr>
          <w:spacing w:val="1"/>
          <w:sz w:val="20"/>
        </w:rPr>
        <w:t> </w:t>
      </w:r>
      <w:r>
        <w:rPr>
          <w:sz w:val="20"/>
        </w:rPr>
        <w:t>Memorandum, Telecommunications and Other Legislation Amendment (Assistance and</w:t>
      </w:r>
      <w:r>
        <w:rPr>
          <w:spacing w:val="1"/>
          <w:sz w:val="20"/>
        </w:rPr>
        <w:t> </w:t>
      </w:r>
      <w:r>
        <w:rPr>
          <w:sz w:val="20"/>
        </w:rPr>
        <w:t>Access)</w:t>
      </w:r>
      <w:r>
        <w:rPr>
          <w:spacing w:val="-3"/>
          <w:sz w:val="20"/>
        </w:rPr>
        <w:t> </w:t>
      </w:r>
      <w:r>
        <w:rPr>
          <w:sz w:val="20"/>
        </w:rPr>
        <w:t>Bill</w:t>
      </w:r>
      <w:r>
        <w:rPr>
          <w:spacing w:val="2"/>
          <w:sz w:val="20"/>
        </w:rPr>
        <w:t> </w:t>
      </w:r>
      <w:r>
        <w:rPr>
          <w:sz w:val="20"/>
        </w:rPr>
        <w:t>2018 (Cth)</w:t>
      </w:r>
      <w:r>
        <w:rPr>
          <w:spacing w:val="-2"/>
          <w:sz w:val="20"/>
        </w:rPr>
        <w:t> </w:t>
      </w:r>
      <w:r>
        <w:rPr>
          <w:sz w:val="20"/>
        </w:rPr>
        <w:t>118 [652].</w:t>
      </w:r>
    </w:p>
    <w:p>
      <w:pPr>
        <w:tabs>
          <w:tab w:pos="1484" w:val="left" w:leader="none"/>
        </w:tabs>
        <w:spacing w:line="240" w:lineRule="auto" w:before="0"/>
        <w:ind w:left="1484" w:right="296" w:hanging="452"/>
        <w:jc w:val="left"/>
        <w:rPr>
          <w:sz w:val="20"/>
        </w:rPr>
      </w:pPr>
      <w:r>
        <w:rPr>
          <w:position w:val="8"/>
          <w:sz w:val="13"/>
        </w:rPr>
        <w:t>5</w:t>
        <w:tab/>
      </w:r>
      <w:r>
        <w:rPr>
          <w:i/>
          <w:sz w:val="20"/>
        </w:rPr>
        <w:t>International Covenant on Civil and Political Rights</w:t>
      </w:r>
      <w:r>
        <w:rPr>
          <w:sz w:val="20"/>
        </w:rPr>
        <w:t>, opened for signature 19 December 1966,</w:t>
      </w:r>
      <w:r>
        <w:rPr>
          <w:spacing w:val="-49"/>
          <w:sz w:val="20"/>
        </w:rPr>
        <w:t> </w:t>
      </w:r>
      <w:r>
        <w:rPr>
          <w:sz w:val="20"/>
        </w:rPr>
        <w:t>999</w:t>
      </w:r>
      <w:r>
        <w:rPr>
          <w:spacing w:val="-1"/>
          <w:sz w:val="20"/>
        </w:rPr>
        <w:t> </w:t>
      </w:r>
      <w:r>
        <w:rPr>
          <w:sz w:val="20"/>
        </w:rPr>
        <w:t>UNTS 171 (entered</w:t>
      </w:r>
      <w:r>
        <w:rPr>
          <w:spacing w:val="2"/>
          <w:sz w:val="20"/>
        </w:rPr>
        <w:t> </w:t>
      </w:r>
      <w:r>
        <w:rPr>
          <w:sz w:val="20"/>
        </w:rPr>
        <w:t>into</w:t>
      </w:r>
      <w:r>
        <w:rPr>
          <w:spacing w:val="-2"/>
          <w:sz w:val="20"/>
        </w:rPr>
        <w:t> </w:t>
      </w:r>
      <w:r>
        <w:rPr>
          <w:sz w:val="20"/>
        </w:rPr>
        <w:t>force</w:t>
      </w:r>
      <w:r>
        <w:rPr>
          <w:spacing w:val="3"/>
          <w:sz w:val="20"/>
        </w:rPr>
        <w:t> </w:t>
      </w:r>
      <w:r>
        <w:rPr>
          <w:sz w:val="20"/>
        </w:rPr>
        <w:t>23</w:t>
      </w:r>
      <w:r>
        <w:rPr>
          <w:spacing w:val="-4"/>
          <w:sz w:val="20"/>
        </w:rPr>
        <w:t> </w:t>
      </w:r>
      <w:r>
        <w:rPr>
          <w:sz w:val="20"/>
        </w:rPr>
        <w:t>March</w:t>
      </w:r>
      <w:r>
        <w:rPr>
          <w:spacing w:val="2"/>
          <w:sz w:val="20"/>
        </w:rPr>
        <w:t> </w:t>
      </w:r>
      <w:r>
        <w:rPr>
          <w:sz w:val="20"/>
        </w:rPr>
        <w:t>1976).</w:t>
      </w:r>
    </w:p>
    <w:p>
      <w:pPr>
        <w:tabs>
          <w:tab w:pos="1484" w:val="left" w:leader="none"/>
        </w:tabs>
        <w:spacing w:line="237" w:lineRule="auto" w:before="0"/>
        <w:ind w:left="1484" w:right="224" w:hanging="452"/>
        <w:jc w:val="left"/>
        <w:rPr>
          <w:sz w:val="20"/>
        </w:rPr>
      </w:pPr>
      <w:r>
        <w:rPr>
          <w:position w:val="8"/>
          <w:sz w:val="13"/>
        </w:rPr>
        <w:t>6</w:t>
        <w:tab/>
      </w:r>
      <w:r>
        <w:rPr>
          <w:sz w:val="20"/>
        </w:rPr>
        <w:t>See Frank La Rue, </w:t>
      </w:r>
      <w:r>
        <w:rPr>
          <w:i/>
          <w:sz w:val="20"/>
        </w:rPr>
        <w:t>Report of the United Nations Special Rapporteur on the promotion 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protection of the right to freedom of opinion and expression</w:t>
      </w:r>
      <w:r>
        <w:rPr>
          <w:sz w:val="20"/>
        </w:rPr>
        <w:t>, 29</w:t>
      </w:r>
      <w:r>
        <w:rPr>
          <w:position w:val="8"/>
          <w:sz w:val="13"/>
        </w:rPr>
        <w:t>th </w:t>
      </w:r>
      <w:r>
        <w:rPr>
          <w:sz w:val="20"/>
        </w:rPr>
        <w:t>sess, Agenda Item 3, UN Doc</w:t>
      </w:r>
      <w:r>
        <w:rPr>
          <w:spacing w:val="-49"/>
          <w:sz w:val="20"/>
        </w:rPr>
        <w:t> </w:t>
      </w:r>
      <w:r>
        <w:rPr>
          <w:sz w:val="20"/>
        </w:rPr>
        <w:t>A/HRC/17/27</w:t>
      </w:r>
      <w:r>
        <w:rPr>
          <w:spacing w:val="-1"/>
          <w:sz w:val="20"/>
        </w:rPr>
        <w:t> </w:t>
      </w:r>
      <w:r>
        <w:rPr>
          <w:sz w:val="20"/>
        </w:rPr>
        <w:t>(16 May</w:t>
      </w:r>
      <w:r>
        <w:rPr>
          <w:spacing w:val="-5"/>
          <w:sz w:val="20"/>
        </w:rPr>
        <w:t> </w:t>
      </w:r>
      <w:r>
        <w:rPr>
          <w:sz w:val="20"/>
        </w:rPr>
        <w:t>2011)</w:t>
      </w:r>
      <w:r>
        <w:rPr>
          <w:spacing w:val="-2"/>
          <w:sz w:val="20"/>
        </w:rPr>
        <w:t> </w:t>
      </w:r>
      <w:r>
        <w:rPr>
          <w:sz w:val="20"/>
        </w:rPr>
        <w:t>15–16 [53]–[59].</w:t>
      </w:r>
    </w:p>
    <w:p>
      <w:pPr>
        <w:tabs>
          <w:tab w:pos="1484" w:val="left" w:leader="none"/>
        </w:tabs>
        <w:spacing w:line="232" w:lineRule="auto" w:before="0"/>
        <w:ind w:left="1484" w:right="430" w:hanging="452"/>
        <w:jc w:val="left"/>
        <w:rPr>
          <w:sz w:val="20"/>
        </w:rPr>
      </w:pPr>
      <w:r>
        <w:rPr>
          <w:position w:val="8"/>
          <w:sz w:val="13"/>
        </w:rPr>
        <w:t>7</w:t>
        <w:tab/>
      </w:r>
      <w:r>
        <w:rPr>
          <w:sz w:val="20"/>
        </w:rPr>
        <w:t>United Nations Human Rights Committee, </w:t>
      </w:r>
      <w:r>
        <w:rPr>
          <w:i/>
          <w:sz w:val="20"/>
        </w:rPr>
        <w:t>General Comment No 34: Article 19, Freedoms of</w:t>
      </w:r>
      <w:r>
        <w:rPr>
          <w:i/>
          <w:spacing w:val="-49"/>
          <w:sz w:val="20"/>
        </w:rPr>
        <w:t> </w:t>
      </w:r>
      <w:r>
        <w:rPr>
          <w:i/>
          <w:sz w:val="20"/>
        </w:rPr>
        <w:t>opinion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expression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102</w:t>
      </w:r>
      <w:r>
        <w:rPr>
          <w:position w:val="8"/>
          <w:sz w:val="13"/>
        </w:rPr>
        <w:t>nd</w:t>
      </w:r>
      <w:r>
        <w:rPr>
          <w:spacing w:val="20"/>
          <w:position w:val="8"/>
          <w:sz w:val="13"/>
        </w:rPr>
        <w:t> </w:t>
      </w:r>
      <w:r>
        <w:rPr>
          <w:sz w:val="20"/>
        </w:rPr>
        <w:t>sess,</w:t>
      </w:r>
      <w:r>
        <w:rPr>
          <w:spacing w:val="-6"/>
          <w:sz w:val="20"/>
        </w:rPr>
        <w:t> </w:t>
      </w: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Doc</w:t>
      </w:r>
      <w:r>
        <w:rPr>
          <w:spacing w:val="-5"/>
          <w:sz w:val="20"/>
        </w:rPr>
        <w:t> </w:t>
      </w:r>
      <w:r>
        <w:rPr>
          <w:sz w:val="20"/>
        </w:rPr>
        <w:t>CCPR/C/GC/34 (12</w:t>
      </w:r>
      <w:r>
        <w:rPr>
          <w:spacing w:val="-1"/>
          <w:sz w:val="20"/>
        </w:rPr>
        <w:t> </w:t>
      </w:r>
      <w:r>
        <w:rPr>
          <w:sz w:val="20"/>
        </w:rPr>
        <w:t>September</w:t>
      </w:r>
      <w:r>
        <w:rPr>
          <w:spacing w:val="-1"/>
          <w:sz w:val="20"/>
        </w:rPr>
        <w:t> </w:t>
      </w:r>
      <w:r>
        <w:rPr>
          <w:sz w:val="20"/>
        </w:rPr>
        <w:t>2011)</w:t>
      </w:r>
      <w:r>
        <w:rPr>
          <w:spacing w:val="-3"/>
          <w:sz w:val="20"/>
        </w:rPr>
        <w:t> </w:t>
      </w:r>
      <w:r>
        <w:rPr>
          <w:sz w:val="20"/>
        </w:rPr>
        <w:t>1 [3].</w:t>
      </w:r>
    </w:p>
    <w:p>
      <w:pPr>
        <w:tabs>
          <w:tab w:pos="1484" w:val="left" w:leader="none"/>
        </w:tabs>
        <w:spacing w:line="240" w:lineRule="auto" w:before="0"/>
        <w:ind w:left="1484" w:right="354" w:hanging="452"/>
        <w:jc w:val="left"/>
        <w:rPr>
          <w:sz w:val="20"/>
        </w:rPr>
      </w:pPr>
      <w:r>
        <w:rPr>
          <w:position w:val="8"/>
          <w:sz w:val="13"/>
        </w:rPr>
        <w:t>8</w:t>
        <w:tab/>
      </w:r>
      <w:r>
        <w:rPr>
          <w:sz w:val="20"/>
        </w:rPr>
        <w:t>For example, the </w:t>
      </w:r>
      <w:r>
        <w:rPr>
          <w:i/>
          <w:sz w:val="20"/>
        </w:rPr>
        <w:t>International Covenant on Economic, Social and Cultural Rights</w:t>
      </w:r>
      <w:r>
        <w:rPr>
          <w:sz w:val="20"/>
        </w:rPr>
        <w:t>, opened for</w:t>
      </w:r>
      <w:r>
        <w:rPr>
          <w:spacing w:val="-49"/>
          <w:sz w:val="20"/>
        </w:rPr>
        <w:t> </w:t>
      </w:r>
      <w:r>
        <w:rPr>
          <w:sz w:val="20"/>
        </w:rPr>
        <w:t>signature 16 December 1966, 993 UNTS 3 (entered into force 3 January 1976); </w:t>
      </w:r>
      <w:r>
        <w:rPr>
          <w:i/>
          <w:sz w:val="20"/>
        </w:rPr>
        <w:t>Convention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on the Rights of the Child</w:t>
      </w:r>
      <w:r>
        <w:rPr>
          <w:sz w:val="20"/>
        </w:rPr>
        <w:t>, opened for signature 20 November 1989, [1991] ATS 4 (entered</w:t>
      </w:r>
      <w:r>
        <w:rPr>
          <w:spacing w:val="1"/>
          <w:sz w:val="20"/>
        </w:rPr>
        <w:t> </w:t>
      </w:r>
      <w:r>
        <w:rPr>
          <w:sz w:val="20"/>
        </w:rPr>
        <w:t>into</w:t>
      </w:r>
      <w:r>
        <w:rPr>
          <w:spacing w:val="-2"/>
          <w:sz w:val="20"/>
        </w:rPr>
        <w:t> </w:t>
      </w:r>
      <w:r>
        <w:rPr>
          <w:sz w:val="20"/>
        </w:rPr>
        <w:t>force</w:t>
      </w:r>
      <w:r>
        <w:rPr>
          <w:spacing w:val="3"/>
          <w:sz w:val="20"/>
        </w:rPr>
        <w:t> </w:t>
      </w:r>
      <w:r>
        <w:rPr>
          <w:sz w:val="20"/>
        </w:rPr>
        <w:t>2 September 1990).</w:t>
      </w:r>
    </w:p>
    <w:p>
      <w:pPr>
        <w:tabs>
          <w:tab w:pos="1484" w:val="left" w:leader="none"/>
        </w:tabs>
        <w:spacing w:line="237" w:lineRule="auto" w:before="0"/>
        <w:ind w:left="1484" w:right="431" w:hanging="452"/>
        <w:jc w:val="left"/>
        <w:rPr>
          <w:sz w:val="20"/>
        </w:rPr>
      </w:pPr>
      <w:r>
        <w:rPr>
          <w:position w:val="8"/>
          <w:sz w:val="13"/>
        </w:rPr>
        <w:t>9</w:t>
        <w:tab/>
      </w:r>
      <w:r>
        <w:rPr>
          <w:sz w:val="20"/>
        </w:rPr>
        <w:t>United Nations Human Rights Committee, </w:t>
      </w:r>
      <w:r>
        <w:rPr>
          <w:i/>
          <w:sz w:val="20"/>
        </w:rPr>
        <w:t>General Comment No 34: Article 19, Freedoms of</w:t>
      </w:r>
      <w:r>
        <w:rPr>
          <w:i/>
          <w:spacing w:val="-49"/>
          <w:sz w:val="20"/>
        </w:rPr>
        <w:t> </w:t>
      </w:r>
      <w:r>
        <w:rPr>
          <w:i/>
          <w:sz w:val="20"/>
        </w:rPr>
        <w:t>opinion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expression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102</w:t>
      </w:r>
      <w:r>
        <w:rPr>
          <w:position w:val="8"/>
          <w:sz w:val="13"/>
        </w:rPr>
        <w:t>nd</w:t>
      </w:r>
      <w:r>
        <w:rPr>
          <w:spacing w:val="20"/>
          <w:position w:val="8"/>
          <w:sz w:val="13"/>
        </w:rPr>
        <w:t> </w:t>
      </w:r>
      <w:r>
        <w:rPr>
          <w:sz w:val="20"/>
        </w:rPr>
        <w:t>sess,UN</w:t>
      </w:r>
      <w:r>
        <w:rPr>
          <w:spacing w:val="-4"/>
          <w:sz w:val="20"/>
        </w:rPr>
        <w:t> </w:t>
      </w:r>
      <w:r>
        <w:rPr>
          <w:sz w:val="20"/>
        </w:rPr>
        <w:t>Doc</w:t>
      </w:r>
      <w:r>
        <w:rPr>
          <w:spacing w:val="-5"/>
          <w:sz w:val="20"/>
        </w:rPr>
        <w:t> </w:t>
      </w:r>
      <w:r>
        <w:rPr>
          <w:sz w:val="20"/>
        </w:rPr>
        <w:t>CCPR/C/GC/34 (12</w:t>
      </w:r>
      <w:r>
        <w:rPr>
          <w:spacing w:val="-1"/>
          <w:sz w:val="20"/>
        </w:rPr>
        <w:t> </w:t>
      </w:r>
      <w:r>
        <w:rPr>
          <w:sz w:val="20"/>
        </w:rPr>
        <w:t>September</w:t>
      </w:r>
      <w:r>
        <w:rPr>
          <w:spacing w:val="-1"/>
          <w:sz w:val="20"/>
        </w:rPr>
        <w:t> </w:t>
      </w:r>
      <w:r>
        <w:rPr>
          <w:sz w:val="20"/>
        </w:rPr>
        <w:t>2011)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[2].</w:t>
      </w:r>
    </w:p>
    <w:p>
      <w:pPr>
        <w:tabs>
          <w:tab w:pos="1484" w:val="left" w:leader="none"/>
        </w:tabs>
        <w:spacing w:line="237" w:lineRule="auto" w:before="0"/>
        <w:ind w:left="1484" w:right="257" w:hanging="452"/>
        <w:jc w:val="left"/>
        <w:rPr>
          <w:sz w:val="20"/>
        </w:rPr>
      </w:pPr>
      <w:r>
        <w:rPr>
          <w:position w:val="8"/>
          <w:sz w:val="13"/>
        </w:rPr>
        <w:t>10</w:t>
        <w:tab/>
      </w:r>
      <w:r>
        <w:rPr>
          <w:i/>
          <w:sz w:val="20"/>
        </w:rPr>
        <w:t>The right to privacy in the digital age, </w:t>
      </w:r>
      <w:r>
        <w:rPr>
          <w:sz w:val="20"/>
        </w:rPr>
        <w:t>GA Res 68/167, UN GAOR, 68</w:t>
      </w:r>
      <w:r>
        <w:rPr>
          <w:position w:val="8"/>
          <w:sz w:val="13"/>
        </w:rPr>
        <w:t>th </w:t>
      </w:r>
      <w:r>
        <w:rPr>
          <w:sz w:val="20"/>
        </w:rPr>
        <w:t>sess, Agenda Item 69(b),</w:t>
      </w:r>
      <w:r>
        <w:rPr>
          <w:spacing w:val="-49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Doc</w:t>
      </w:r>
      <w:r>
        <w:rPr>
          <w:spacing w:val="-4"/>
          <w:sz w:val="20"/>
        </w:rPr>
        <w:t> </w:t>
      </w:r>
      <w:r>
        <w:rPr>
          <w:sz w:val="20"/>
        </w:rPr>
        <w:t>A/RES/68/167 (18</w:t>
      </w:r>
      <w:r>
        <w:rPr>
          <w:spacing w:val="-5"/>
          <w:sz w:val="20"/>
        </w:rPr>
        <w:t> </w:t>
      </w:r>
      <w:r>
        <w:rPr>
          <w:sz w:val="20"/>
        </w:rPr>
        <w:t>December 2013)</w:t>
      </w:r>
      <w:r>
        <w:rPr>
          <w:spacing w:val="-2"/>
          <w:sz w:val="20"/>
        </w:rPr>
        <w:t> </w:t>
      </w:r>
      <w:r>
        <w:rPr>
          <w:sz w:val="20"/>
        </w:rPr>
        <w:t>2.</w:t>
      </w:r>
    </w:p>
    <w:p>
      <w:pPr>
        <w:tabs>
          <w:tab w:pos="1484" w:val="left" w:leader="none"/>
        </w:tabs>
        <w:spacing w:line="240" w:lineRule="auto" w:before="0"/>
        <w:ind w:left="1484" w:right="257" w:hanging="452"/>
        <w:jc w:val="left"/>
        <w:rPr>
          <w:sz w:val="20"/>
        </w:rPr>
      </w:pPr>
      <w:r>
        <w:rPr>
          <w:position w:val="8"/>
          <w:sz w:val="13"/>
        </w:rPr>
        <w:t>11</w:t>
        <w:tab/>
      </w:r>
      <w:r>
        <w:rPr>
          <w:i/>
          <w:sz w:val="20"/>
        </w:rPr>
        <w:t>The right to privacy in the digital age, </w:t>
      </w:r>
      <w:r>
        <w:rPr>
          <w:sz w:val="20"/>
        </w:rPr>
        <w:t>GA Res 68/167, UN GAOR, 68</w:t>
      </w:r>
      <w:r>
        <w:rPr>
          <w:position w:val="8"/>
          <w:sz w:val="13"/>
        </w:rPr>
        <w:t>th </w:t>
      </w:r>
      <w:r>
        <w:rPr>
          <w:sz w:val="20"/>
        </w:rPr>
        <w:t>sess, Agenda Item 69(b),</w:t>
      </w:r>
      <w:r>
        <w:rPr>
          <w:spacing w:val="-49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Doc</w:t>
      </w:r>
      <w:r>
        <w:rPr>
          <w:spacing w:val="-4"/>
          <w:sz w:val="20"/>
        </w:rPr>
        <w:t> </w:t>
      </w:r>
      <w:r>
        <w:rPr>
          <w:sz w:val="20"/>
        </w:rPr>
        <w:t>A/RES/68/167 (18</w:t>
      </w:r>
      <w:r>
        <w:rPr>
          <w:spacing w:val="-5"/>
          <w:sz w:val="20"/>
        </w:rPr>
        <w:t> </w:t>
      </w:r>
      <w:r>
        <w:rPr>
          <w:sz w:val="20"/>
        </w:rPr>
        <w:t>December 2013)</w:t>
      </w:r>
      <w:r>
        <w:rPr>
          <w:spacing w:val="-2"/>
          <w:sz w:val="20"/>
        </w:rPr>
        <w:t> </w:t>
      </w:r>
      <w:r>
        <w:rPr>
          <w:sz w:val="20"/>
        </w:rPr>
        <w:t>2.</w:t>
      </w:r>
    </w:p>
    <w:p>
      <w:pPr>
        <w:tabs>
          <w:tab w:pos="1484" w:val="left" w:leader="none"/>
        </w:tabs>
        <w:spacing w:line="237" w:lineRule="auto" w:before="0"/>
        <w:ind w:left="1484" w:right="257" w:hanging="452"/>
        <w:jc w:val="left"/>
        <w:rPr>
          <w:sz w:val="20"/>
        </w:rPr>
      </w:pPr>
      <w:r>
        <w:rPr>
          <w:position w:val="8"/>
          <w:sz w:val="13"/>
        </w:rPr>
        <w:t>12</w:t>
        <w:tab/>
      </w:r>
      <w:r>
        <w:rPr>
          <w:i/>
          <w:sz w:val="20"/>
        </w:rPr>
        <w:t>The right to privacy in the digital age, </w:t>
      </w:r>
      <w:r>
        <w:rPr>
          <w:sz w:val="20"/>
        </w:rPr>
        <w:t>GA Res 68/167, UN GAOR, 68</w:t>
      </w:r>
      <w:r>
        <w:rPr>
          <w:position w:val="8"/>
          <w:sz w:val="13"/>
        </w:rPr>
        <w:t>th </w:t>
      </w:r>
      <w:r>
        <w:rPr>
          <w:sz w:val="20"/>
        </w:rPr>
        <w:t>sess, Agenda Item 69(b),</w:t>
      </w:r>
      <w:r>
        <w:rPr>
          <w:spacing w:val="-49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Doc</w:t>
      </w:r>
      <w:r>
        <w:rPr>
          <w:spacing w:val="-4"/>
          <w:sz w:val="20"/>
        </w:rPr>
        <w:t> </w:t>
      </w:r>
      <w:r>
        <w:rPr>
          <w:sz w:val="20"/>
        </w:rPr>
        <w:t>A/RES/68/167 (18</w:t>
      </w:r>
      <w:r>
        <w:rPr>
          <w:spacing w:val="-5"/>
          <w:sz w:val="20"/>
        </w:rPr>
        <w:t> </w:t>
      </w:r>
      <w:r>
        <w:rPr>
          <w:sz w:val="20"/>
        </w:rPr>
        <w:t>December 2013)</w:t>
      </w:r>
      <w:r>
        <w:rPr>
          <w:spacing w:val="-2"/>
          <w:sz w:val="20"/>
        </w:rPr>
        <w:t> </w:t>
      </w:r>
      <w:r>
        <w:rPr>
          <w:sz w:val="20"/>
        </w:rPr>
        <w:t>2.</w:t>
      </w:r>
    </w:p>
    <w:p>
      <w:pPr>
        <w:tabs>
          <w:tab w:pos="1484" w:val="left" w:leader="none"/>
        </w:tabs>
        <w:spacing w:line="237" w:lineRule="auto" w:before="0"/>
        <w:ind w:left="1484" w:right="323" w:hanging="452"/>
        <w:jc w:val="left"/>
        <w:rPr>
          <w:sz w:val="20"/>
        </w:rPr>
      </w:pPr>
      <w:r>
        <w:rPr>
          <w:position w:val="8"/>
          <w:sz w:val="13"/>
        </w:rPr>
        <w:t>13</w:t>
        <w:tab/>
      </w:r>
      <w:r>
        <w:rPr>
          <w:sz w:val="20"/>
        </w:rPr>
        <w:t>Office of the United Nations High Commissioner for Human Rights, </w:t>
      </w:r>
      <w:r>
        <w:rPr>
          <w:i/>
          <w:sz w:val="20"/>
        </w:rPr>
        <w:t>The Right to Privacy 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 Digital Age,</w:t>
      </w:r>
      <w:r>
        <w:rPr>
          <w:i/>
          <w:spacing w:val="-6"/>
          <w:sz w:val="20"/>
        </w:rPr>
        <w:t> </w:t>
      </w:r>
      <w:r>
        <w:rPr>
          <w:sz w:val="20"/>
        </w:rPr>
        <w:t>27</w:t>
      </w:r>
      <w:r>
        <w:rPr>
          <w:position w:val="8"/>
          <w:sz w:val="13"/>
        </w:rPr>
        <w:t>th</w:t>
      </w:r>
      <w:r>
        <w:rPr>
          <w:spacing w:val="19"/>
          <w:position w:val="8"/>
          <w:sz w:val="13"/>
        </w:rPr>
        <w:t> </w:t>
      </w:r>
      <w:r>
        <w:rPr>
          <w:sz w:val="20"/>
        </w:rPr>
        <w:t>sess,</w:t>
      </w:r>
      <w:r>
        <w:rPr>
          <w:spacing w:val="-2"/>
          <w:sz w:val="20"/>
        </w:rPr>
        <w:t> </w:t>
      </w:r>
      <w:r>
        <w:rPr>
          <w:sz w:val="20"/>
        </w:rPr>
        <w:t>Agenda</w:t>
      </w:r>
      <w:r>
        <w:rPr>
          <w:spacing w:val="-8"/>
          <w:sz w:val="20"/>
        </w:rPr>
        <w:t> </w:t>
      </w:r>
      <w:r>
        <w:rPr>
          <w:sz w:val="20"/>
        </w:rPr>
        <w:t>Items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3,</w:t>
      </w:r>
      <w:r>
        <w:rPr>
          <w:spacing w:val="-8"/>
          <w:sz w:val="20"/>
        </w:rPr>
        <w:t> </w:t>
      </w: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Doc</w:t>
      </w:r>
      <w:r>
        <w:rPr>
          <w:spacing w:val="-1"/>
          <w:sz w:val="20"/>
        </w:rPr>
        <w:t> </w:t>
      </w:r>
      <w:r>
        <w:rPr>
          <w:sz w:val="20"/>
        </w:rPr>
        <w:t>A/HRC/27/37</w:t>
      </w:r>
      <w:r>
        <w:rPr>
          <w:spacing w:val="-1"/>
          <w:sz w:val="20"/>
        </w:rPr>
        <w:t> </w:t>
      </w:r>
      <w:r>
        <w:rPr>
          <w:sz w:val="20"/>
        </w:rPr>
        <w:t>(30</w:t>
      </w:r>
      <w:r>
        <w:rPr>
          <w:spacing w:val="-2"/>
          <w:sz w:val="20"/>
        </w:rPr>
        <w:t> </w:t>
      </w:r>
      <w:r>
        <w:rPr>
          <w:sz w:val="20"/>
        </w:rPr>
        <w:t>June</w:t>
      </w:r>
      <w:r>
        <w:rPr>
          <w:spacing w:val="2"/>
          <w:sz w:val="20"/>
        </w:rPr>
        <w:t> </w:t>
      </w:r>
      <w:r>
        <w:rPr>
          <w:sz w:val="20"/>
        </w:rPr>
        <w:t>2014)</w:t>
      </w:r>
      <w:r>
        <w:rPr>
          <w:spacing w:val="-4"/>
          <w:sz w:val="20"/>
        </w:rPr>
        <w:t> </w:t>
      </w:r>
      <w:r>
        <w:rPr>
          <w:sz w:val="20"/>
        </w:rPr>
        <w:t>7</w:t>
      </w:r>
      <w:r>
        <w:rPr>
          <w:spacing w:val="-1"/>
          <w:sz w:val="20"/>
        </w:rPr>
        <w:t> </w:t>
      </w:r>
      <w:r>
        <w:rPr>
          <w:sz w:val="20"/>
        </w:rPr>
        <w:t>[20].</w:t>
      </w:r>
    </w:p>
    <w:p>
      <w:pPr>
        <w:tabs>
          <w:tab w:pos="1484" w:val="left" w:leader="none"/>
        </w:tabs>
        <w:spacing w:line="240" w:lineRule="auto" w:before="0"/>
        <w:ind w:left="1484" w:right="552" w:hanging="452"/>
        <w:jc w:val="left"/>
        <w:rPr>
          <w:sz w:val="20"/>
        </w:rPr>
      </w:pPr>
      <w:r>
        <w:rPr>
          <w:position w:val="8"/>
          <w:sz w:val="13"/>
        </w:rPr>
        <w:t>14</w:t>
        <w:tab/>
      </w:r>
      <w:r>
        <w:rPr>
          <w:sz w:val="20"/>
        </w:rPr>
        <w:t>Moira Paterson, ‘Surveillance in Public Places and the Role of the Media: Achieving an</w:t>
      </w:r>
      <w:r>
        <w:rPr>
          <w:spacing w:val="1"/>
          <w:sz w:val="20"/>
        </w:rPr>
        <w:t> </w:t>
      </w:r>
      <w:r>
        <w:rPr>
          <w:sz w:val="20"/>
        </w:rPr>
        <w:t>Optimal Balance’ (2009) 14 </w:t>
      </w:r>
      <w:r>
        <w:rPr>
          <w:i/>
          <w:sz w:val="20"/>
        </w:rPr>
        <w:t>Media and Arts Law Review </w:t>
      </w:r>
      <w:r>
        <w:rPr>
          <w:sz w:val="20"/>
        </w:rPr>
        <w:t>241, 249 quoted in Australian Law</w:t>
      </w:r>
      <w:r>
        <w:rPr>
          <w:spacing w:val="-49"/>
          <w:sz w:val="20"/>
        </w:rPr>
        <w:t> </w:t>
      </w:r>
      <w:r>
        <w:rPr>
          <w:sz w:val="20"/>
        </w:rPr>
        <w:t>Reform Commission, </w:t>
      </w:r>
      <w:r>
        <w:rPr>
          <w:i/>
          <w:sz w:val="20"/>
        </w:rPr>
        <w:t>Serious Invasions of Privacy in the Digital Era</w:t>
      </w:r>
      <w:r>
        <w:rPr>
          <w:sz w:val="20"/>
        </w:rPr>
        <w:t>, Report No 123 (2014)</w:t>
      </w:r>
      <w:r>
        <w:rPr>
          <w:spacing w:val="1"/>
          <w:sz w:val="20"/>
        </w:rPr>
        <w:t> </w:t>
      </w:r>
      <w:r>
        <w:rPr>
          <w:sz w:val="20"/>
        </w:rPr>
        <w:t>[14.13].</w:t>
      </w:r>
    </w:p>
    <w:p>
      <w:pPr>
        <w:tabs>
          <w:tab w:pos="1484" w:val="left" w:leader="none"/>
        </w:tabs>
        <w:spacing w:line="237" w:lineRule="auto" w:before="0"/>
        <w:ind w:left="1484" w:right="348" w:hanging="452"/>
        <w:jc w:val="left"/>
        <w:rPr>
          <w:sz w:val="20"/>
        </w:rPr>
      </w:pPr>
      <w:r>
        <w:rPr>
          <w:position w:val="8"/>
          <w:sz w:val="13"/>
        </w:rPr>
        <w:t>15</w:t>
        <w:tab/>
      </w:r>
      <w:r>
        <w:rPr>
          <w:sz w:val="20"/>
        </w:rPr>
        <w:t>United Nations Human Rights Committee, </w:t>
      </w:r>
      <w:r>
        <w:rPr>
          <w:i/>
          <w:sz w:val="20"/>
        </w:rPr>
        <w:t>General Comment 16: Article 17 (Right to Privacy)</w:t>
      </w:r>
      <w:r>
        <w:rPr>
          <w:sz w:val="20"/>
        </w:rPr>
        <w:t>,</w:t>
      </w:r>
      <w:r>
        <w:rPr>
          <w:spacing w:val="-49"/>
          <w:sz w:val="20"/>
        </w:rPr>
        <w:t> </w:t>
      </w:r>
      <w:r>
        <w:rPr>
          <w:sz w:val="20"/>
        </w:rPr>
        <w:t>23rd</w:t>
      </w:r>
      <w:r>
        <w:rPr>
          <w:spacing w:val="1"/>
          <w:sz w:val="20"/>
        </w:rPr>
        <w:t> </w:t>
      </w:r>
      <w:r>
        <w:rPr>
          <w:sz w:val="20"/>
        </w:rPr>
        <w:t>sess,</w:t>
      </w:r>
      <w:r>
        <w:rPr>
          <w:spacing w:val="-6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Doc. HRI/GEN/1/Rev.1 (1988)</w:t>
      </w:r>
      <w:r>
        <w:rPr>
          <w:spacing w:val="-2"/>
          <w:sz w:val="20"/>
        </w:rPr>
        <w:t> </w:t>
      </w:r>
      <w:r>
        <w:rPr>
          <w:sz w:val="20"/>
        </w:rPr>
        <w:t>21</w:t>
      </w:r>
      <w:r>
        <w:rPr>
          <w:spacing w:val="-5"/>
          <w:sz w:val="20"/>
        </w:rPr>
        <w:t> </w:t>
      </w:r>
      <w:r>
        <w:rPr>
          <w:sz w:val="20"/>
        </w:rPr>
        <w:t>[8].</w:t>
      </w:r>
    </w:p>
    <w:p>
      <w:pPr>
        <w:spacing w:after="0" w:line="237" w:lineRule="auto"/>
        <w:jc w:val="left"/>
        <w:rPr>
          <w:sz w:val="20"/>
        </w:rPr>
        <w:sectPr>
          <w:pgSz w:w="11900" w:h="16840"/>
          <w:pgMar w:header="1146" w:footer="333" w:top="1680" w:bottom="520" w:left="440" w:right="1300"/>
        </w:sectPr>
      </w:pPr>
    </w:p>
    <w:p>
      <w:pPr>
        <w:pStyle w:val="BodyText"/>
        <w:spacing w:before="10"/>
        <w:ind w:left="0"/>
        <w:rPr>
          <w:sz w:val="18"/>
        </w:rPr>
      </w:pPr>
    </w:p>
    <w:p>
      <w:pPr>
        <w:tabs>
          <w:tab w:pos="1484" w:val="left" w:leader="none"/>
        </w:tabs>
        <w:spacing w:line="232" w:lineRule="auto" w:before="108"/>
        <w:ind w:left="1484" w:right="323" w:hanging="452"/>
        <w:jc w:val="left"/>
        <w:rPr>
          <w:sz w:val="20"/>
        </w:rPr>
      </w:pPr>
      <w:r>
        <w:rPr>
          <w:position w:val="8"/>
          <w:sz w:val="13"/>
        </w:rPr>
        <w:t>16</w:t>
        <w:tab/>
      </w:r>
      <w:r>
        <w:rPr>
          <w:sz w:val="20"/>
        </w:rPr>
        <w:t>Office of the United Nations High Commissioner for Human Rights, </w:t>
      </w:r>
      <w:r>
        <w:rPr>
          <w:i/>
          <w:sz w:val="20"/>
        </w:rPr>
        <w:t>The Right to Privacy 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Digital Age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27</w:t>
      </w:r>
      <w:r>
        <w:rPr>
          <w:position w:val="8"/>
          <w:sz w:val="13"/>
        </w:rPr>
        <w:t>th</w:t>
      </w:r>
      <w:r>
        <w:rPr>
          <w:spacing w:val="15"/>
          <w:position w:val="8"/>
          <w:sz w:val="13"/>
        </w:rPr>
        <w:t> </w:t>
      </w:r>
      <w:r>
        <w:rPr>
          <w:sz w:val="20"/>
        </w:rPr>
        <w:t>sess,</w:t>
      </w:r>
      <w:r>
        <w:rPr>
          <w:spacing w:val="-3"/>
          <w:sz w:val="20"/>
        </w:rPr>
        <w:t> </w:t>
      </w:r>
      <w:r>
        <w:rPr>
          <w:sz w:val="20"/>
        </w:rPr>
        <w:t>Agenda</w:t>
      </w:r>
      <w:r>
        <w:rPr>
          <w:spacing w:val="-3"/>
          <w:sz w:val="20"/>
        </w:rPr>
        <w:t> </w:t>
      </w:r>
      <w:r>
        <w:rPr>
          <w:sz w:val="20"/>
        </w:rPr>
        <w:t>Items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and 3,</w:t>
      </w:r>
      <w:r>
        <w:rPr>
          <w:spacing w:val="-8"/>
          <w:sz w:val="20"/>
        </w:rPr>
        <w:t> </w:t>
      </w:r>
      <w:r>
        <w:rPr>
          <w:sz w:val="20"/>
        </w:rPr>
        <w:t>UN Doc</w:t>
      </w:r>
      <w:r>
        <w:rPr>
          <w:spacing w:val="-2"/>
          <w:sz w:val="20"/>
        </w:rPr>
        <w:t> </w:t>
      </w:r>
      <w:r>
        <w:rPr>
          <w:sz w:val="20"/>
        </w:rPr>
        <w:t>A/HRC/27/37</w:t>
      </w:r>
      <w:r>
        <w:rPr>
          <w:spacing w:val="-2"/>
          <w:sz w:val="20"/>
        </w:rPr>
        <w:t> </w:t>
      </w:r>
      <w:r>
        <w:rPr>
          <w:sz w:val="20"/>
        </w:rPr>
        <w:t>(30</w:t>
      </w:r>
      <w:r>
        <w:rPr>
          <w:spacing w:val="-2"/>
          <w:sz w:val="20"/>
        </w:rPr>
        <w:t> </w:t>
      </w:r>
      <w:r>
        <w:rPr>
          <w:sz w:val="20"/>
        </w:rPr>
        <w:t>June 2014)</w:t>
      </w:r>
      <w:r>
        <w:rPr>
          <w:spacing w:val="-4"/>
          <w:sz w:val="20"/>
        </w:rPr>
        <w:t> </w:t>
      </w:r>
      <w:r>
        <w:rPr>
          <w:sz w:val="20"/>
        </w:rPr>
        <w:t>7</w:t>
      </w:r>
      <w:r>
        <w:rPr>
          <w:spacing w:val="-2"/>
          <w:sz w:val="20"/>
        </w:rPr>
        <w:t> </w:t>
      </w:r>
      <w:r>
        <w:rPr>
          <w:sz w:val="20"/>
        </w:rPr>
        <w:t>[21].</w:t>
      </w:r>
    </w:p>
    <w:p>
      <w:pPr>
        <w:tabs>
          <w:tab w:pos="1484" w:val="left" w:leader="none"/>
        </w:tabs>
        <w:spacing w:line="237" w:lineRule="auto" w:before="0"/>
        <w:ind w:left="1484" w:right="323" w:hanging="452"/>
        <w:jc w:val="left"/>
        <w:rPr>
          <w:sz w:val="20"/>
        </w:rPr>
      </w:pPr>
      <w:r>
        <w:rPr>
          <w:position w:val="8"/>
          <w:sz w:val="13"/>
        </w:rPr>
        <w:t>17</w:t>
        <w:tab/>
      </w:r>
      <w:r>
        <w:rPr>
          <w:sz w:val="20"/>
        </w:rPr>
        <w:t>Office of the United Nations High Commissioner for Human Rights, </w:t>
      </w:r>
      <w:r>
        <w:rPr>
          <w:i/>
          <w:sz w:val="20"/>
        </w:rPr>
        <w:t>The Right to Privacy 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 Digital Age,</w:t>
      </w:r>
      <w:r>
        <w:rPr>
          <w:i/>
          <w:spacing w:val="-6"/>
          <w:sz w:val="20"/>
        </w:rPr>
        <w:t> </w:t>
      </w:r>
      <w:r>
        <w:rPr>
          <w:sz w:val="20"/>
        </w:rPr>
        <w:t>27</w:t>
      </w:r>
      <w:r>
        <w:rPr>
          <w:position w:val="8"/>
          <w:sz w:val="13"/>
        </w:rPr>
        <w:t>th</w:t>
      </w:r>
      <w:r>
        <w:rPr>
          <w:spacing w:val="19"/>
          <w:position w:val="8"/>
          <w:sz w:val="13"/>
        </w:rPr>
        <w:t> </w:t>
      </w:r>
      <w:r>
        <w:rPr>
          <w:sz w:val="20"/>
        </w:rPr>
        <w:t>sess,</w:t>
      </w:r>
      <w:r>
        <w:rPr>
          <w:spacing w:val="-3"/>
          <w:sz w:val="20"/>
        </w:rPr>
        <w:t> </w:t>
      </w:r>
      <w:r>
        <w:rPr>
          <w:sz w:val="20"/>
        </w:rPr>
        <w:t>Agenda</w:t>
      </w:r>
      <w:r>
        <w:rPr>
          <w:spacing w:val="-7"/>
          <w:sz w:val="20"/>
        </w:rPr>
        <w:t> </w:t>
      </w:r>
      <w:r>
        <w:rPr>
          <w:sz w:val="20"/>
        </w:rPr>
        <w:t>Items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and 3,</w:t>
      </w:r>
      <w:r>
        <w:rPr>
          <w:spacing w:val="-7"/>
          <w:sz w:val="20"/>
        </w:rPr>
        <w:t> </w:t>
      </w:r>
      <w:r>
        <w:rPr>
          <w:sz w:val="20"/>
        </w:rPr>
        <w:t>UN</w:t>
      </w:r>
      <w:r>
        <w:rPr>
          <w:spacing w:val="-5"/>
          <w:sz w:val="20"/>
        </w:rPr>
        <w:t> </w:t>
      </w:r>
      <w:r>
        <w:rPr>
          <w:sz w:val="20"/>
        </w:rPr>
        <w:t>Doc A/HRC/27/37</w:t>
      </w:r>
      <w:r>
        <w:rPr>
          <w:spacing w:val="-2"/>
          <w:sz w:val="20"/>
        </w:rPr>
        <w:t> </w:t>
      </w:r>
      <w:r>
        <w:rPr>
          <w:sz w:val="20"/>
        </w:rPr>
        <w:t>(30</w:t>
      </w:r>
      <w:r>
        <w:rPr>
          <w:spacing w:val="-2"/>
          <w:sz w:val="20"/>
        </w:rPr>
        <w:t> </w:t>
      </w:r>
      <w:r>
        <w:rPr>
          <w:sz w:val="20"/>
        </w:rPr>
        <w:t>June</w:t>
      </w:r>
      <w:r>
        <w:rPr>
          <w:spacing w:val="2"/>
          <w:sz w:val="20"/>
        </w:rPr>
        <w:t> </w:t>
      </w:r>
      <w:r>
        <w:rPr>
          <w:sz w:val="20"/>
        </w:rPr>
        <w:t>2014)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[23].</w:t>
      </w:r>
    </w:p>
    <w:p>
      <w:pPr>
        <w:tabs>
          <w:tab w:pos="1484" w:val="left" w:leader="none"/>
        </w:tabs>
        <w:spacing w:line="232" w:lineRule="auto" w:before="1"/>
        <w:ind w:left="1484" w:right="327" w:hanging="452"/>
        <w:jc w:val="left"/>
        <w:rPr>
          <w:sz w:val="20"/>
        </w:rPr>
      </w:pPr>
      <w:r>
        <w:rPr>
          <w:position w:val="8"/>
          <w:sz w:val="13"/>
        </w:rPr>
        <w:t>18</w:t>
        <w:tab/>
      </w:r>
      <w:r>
        <w:rPr>
          <w:sz w:val="20"/>
        </w:rPr>
        <w:t>Office of the United Nations High Commissioner for Human Rights, </w:t>
      </w:r>
      <w:r>
        <w:rPr>
          <w:i/>
          <w:sz w:val="20"/>
        </w:rPr>
        <w:t>The Right to Privacy 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 Digital Age,</w:t>
      </w:r>
      <w:r>
        <w:rPr>
          <w:i/>
          <w:spacing w:val="-7"/>
          <w:sz w:val="20"/>
        </w:rPr>
        <w:t> </w:t>
      </w:r>
      <w:r>
        <w:rPr>
          <w:sz w:val="20"/>
        </w:rPr>
        <w:t>27</w:t>
      </w:r>
      <w:r>
        <w:rPr>
          <w:position w:val="8"/>
          <w:sz w:val="13"/>
        </w:rPr>
        <w:t>th</w:t>
      </w:r>
      <w:r>
        <w:rPr>
          <w:spacing w:val="19"/>
          <w:position w:val="8"/>
          <w:sz w:val="13"/>
        </w:rPr>
        <w:t> </w:t>
      </w:r>
      <w:r>
        <w:rPr>
          <w:sz w:val="20"/>
        </w:rPr>
        <w:t>sess,</w:t>
      </w:r>
      <w:r>
        <w:rPr>
          <w:spacing w:val="-2"/>
          <w:sz w:val="20"/>
        </w:rPr>
        <w:t> </w:t>
      </w:r>
      <w:r>
        <w:rPr>
          <w:sz w:val="20"/>
        </w:rPr>
        <w:t>Agenda</w:t>
      </w:r>
      <w:r>
        <w:rPr>
          <w:spacing w:val="-8"/>
          <w:sz w:val="20"/>
        </w:rPr>
        <w:t> </w:t>
      </w:r>
      <w:r>
        <w:rPr>
          <w:sz w:val="20"/>
        </w:rPr>
        <w:t>Items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and 3,</w:t>
      </w:r>
      <w:r>
        <w:rPr>
          <w:spacing w:val="-7"/>
          <w:sz w:val="20"/>
        </w:rPr>
        <w:t> </w:t>
      </w:r>
      <w:r>
        <w:rPr>
          <w:sz w:val="20"/>
        </w:rPr>
        <w:t>UN</w:t>
      </w:r>
      <w:r>
        <w:rPr>
          <w:spacing w:val="-5"/>
          <w:sz w:val="20"/>
        </w:rPr>
        <w:t> </w:t>
      </w:r>
      <w:r>
        <w:rPr>
          <w:sz w:val="20"/>
        </w:rPr>
        <w:t>Doc</w:t>
      </w:r>
      <w:r>
        <w:rPr>
          <w:spacing w:val="-1"/>
          <w:sz w:val="20"/>
        </w:rPr>
        <w:t> </w:t>
      </w:r>
      <w:r>
        <w:rPr>
          <w:sz w:val="20"/>
        </w:rPr>
        <w:t>A/HRC/27/37</w:t>
      </w:r>
      <w:r>
        <w:rPr>
          <w:spacing w:val="-2"/>
          <w:sz w:val="20"/>
        </w:rPr>
        <w:t> </w:t>
      </w:r>
      <w:r>
        <w:rPr>
          <w:sz w:val="20"/>
        </w:rPr>
        <w:t>(30</w:t>
      </w:r>
      <w:r>
        <w:rPr>
          <w:spacing w:val="-1"/>
          <w:sz w:val="20"/>
        </w:rPr>
        <w:t> </w:t>
      </w:r>
      <w:r>
        <w:rPr>
          <w:sz w:val="20"/>
        </w:rPr>
        <w:t>June 2014)</w:t>
      </w:r>
      <w:r>
        <w:rPr>
          <w:spacing w:val="-4"/>
          <w:sz w:val="20"/>
        </w:rPr>
        <w:t> </w:t>
      </w:r>
      <w:r>
        <w:rPr>
          <w:sz w:val="20"/>
        </w:rPr>
        <w:t>5</w:t>
      </w:r>
      <w:r>
        <w:rPr>
          <w:spacing w:val="-1"/>
          <w:sz w:val="20"/>
        </w:rPr>
        <w:t> </w:t>
      </w:r>
      <w:r>
        <w:rPr>
          <w:sz w:val="20"/>
        </w:rPr>
        <w:t>[13].</w:t>
      </w:r>
    </w:p>
    <w:p>
      <w:pPr>
        <w:tabs>
          <w:tab w:pos="1484" w:val="left" w:leader="none"/>
        </w:tabs>
        <w:spacing w:line="237" w:lineRule="auto" w:before="0"/>
        <w:ind w:left="1484" w:right="431" w:hanging="452"/>
        <w:jc w:val="left"/>
        <w:rPr>
          <w:sz w:val="20"/>
        </w:rPr>
      </w:pPr>
      <w:r>
        <w:rPr>
          <w:position w:val="8"/>
          <w:sz w:val="13"/>
        </w:rPr>
        <w:t>19</w:t>
        <w:tab/>
      </w:r>
      <w:r>
        <w:rPr>
          <w:sz w:val="20"/>
        </w:rPr>
        <w:t>United Nations Human Rights Committee, </w:t>
      </w:r>
      <w:r>
        <w:rPr>
          <w:i/>
          <w:sz w:val="20"/>
        </w:rPr>
        <w:t>General Comment No 34: Article 19, Freedoms of</w:t>
      </w:r>
      <w:r>
        <w:rPr>
          <w:i/>
          <w:spacing w:val="-49"/>
          <w:sz w:val="20"/>
        </w:rPr>
        <w:t> </w:t>
      </w:r>
      <w:r>
        <w:rPr>
          <w:i/>
          <w:sz w:val="20"/>
        </w:rPr>
        <w:t>opinion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expression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102</w:t>
      </w:r>
      <w:r>
        <w:rPr>
          <w:position w:val="8"/>
          <w:sz w:val="13"/>
        </w:rPr>
        <w:t>nd</w:t>
      </w:r>
      <w:r>
        <w:rPr>
          <w:spacing w:val="20"/>
          <w:position w:val="8"/>
          <w:sz w:val="13"/>
        </w:rPr>
        <w:t> </w:t>
      </w:r>
      <w:r>
        <w:rPr>
          <w:sz w:val="20"/>
        </w:rPr>
        <w:t>sess,</w:t>
      </w:r>
      <w:r>
        <w:rPr>
          <w:spacing w:val="-7"/>
          <w:sz w:val="20"/>
        </w:rPr>
        <w:t> </w:t>
      </w: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Doc</w:t>
      </w:r>
      <w:r>
        <w:rPr>
          <w:spacing w:val="-4"/>
          <w:sz w:val="20"/>
        </w:rPr>
        <w:t> </w:t>
      </w:r>
      <w:r>
        <w:rPr>
          <w:sz w:val="20"/>
        </w:rPr>
        <w:t>CCPR/C/GC/34</w:t>
      </w:r>
      <w:r>
        <w:rPr>
          <w:spacing w:val="-1"/>
          <w:sz w:val="20"/>
        </w:rPr>
        <w:t> </w:t>
      </w:r>
      <w:r>
        <w:rPr>
          <w:sz w:val="20"/>
        </w:rPr>
        <w:t>(12</w:t>
      </w:r>
      <w:r>
        <w:rPr>
          <w:spacing w:val="-1"/>
          <w:sz w:val="20"/>
        </w:rPr>
        <w:t> </w:t>
      </w:r>
      <w:r>
        <w:rPr>
          <w:sz w:val="20"/>
        </w:rPr>
        <w:t>September</w:t>
      </w:r>
      <w:r>
        <w:rPr>
          <w:spacing w:val="-1"/>
          <w:sz w:val="20"/>
        </w:rPr>
        <w:t> </w:t>
      </w:r>
      <w:r>
        <w:rPr>
          <w:sz w:val="20"/>
        </w:rPr>
        <w:t>2011)</w:t>
      </w:r>
      <w:r>
        <w:rPr>
          <w:spacing w:val="-3"/>
          <w:sz w:val="20"/>
        </w:rPr>
        <w:t> </w:t>
      </w:r>
      <w:r>
        <w:rPr>
          <w:sz w:val="20"/>
        </w:rPr>
        <w:t>3 [11].</w:t>
      </w:r>
    </w:p>
    <w:p>
      <w:pPr>
        <w:tabs>
          <w:tab w:pos="1484" w:val="left" w:leader="none"/>
        </w:tabs>
        <w:spacing w:line="232" w:lineRule="auto" w:before="1"/>
        <w:ind w:left="1484" w:right="430" w:hanging="452"/>
        <w:jc w:val="left"/>
        <w:rPr>
          <w:sz w:val="20"/>
        </w:rPr>
      </w:pPr>
      <w:r>
        <w:rPr>
          <w:position w:val="8"/>
          <w:sz w:val="13"/>
        </w:rPr>
        <w:t>20</w:t>
        <w:tab/>
      </w:r>
      <w:r>
        <w:rPr>
          <w:sz w:val="20"/>
        </w:rPr>
        <w:t>United Nations Human Rights Committee, </w:t>
      </w:r>
      <w:r>
        <w:rPr>
          <w:i/>
          <w:sz w:val="20"/>
        </w:rPr>
        <w:t>General Comment No 34: Article 19, Freedoms of</w:t>
      </w:r>
      <w:r>
        <w:rPr>
          <w:i/>
          <w:spacing w:val="-49"/>
          <w:sz w:val="20"/>
        </w:rPr>
        <w:t> </w:t>
      </w:r>
      <w:r>
        <w:rPr>
          <w:i/>
          <w:sz w:val="20"/>
        </w:rPr>
        <w:t>opinion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expression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102</w:t>
      </w:r>
      <w:r>
        <w:rPr>
          <w:position w:val="8"/>
          <w:sz w:val="13"/>
        </w:rPr>
        <w:t>nd</w:t>
      </w:r>
      <w:r>
        <w:rPr>
          <w:spacing w:val="19"/>
          <w:position w:val="8"/>
          <w:sz w:val="13"/>
        </w:rPr>
        <w:t> </w:t>
      </w:r>
      <w:r>
        <w:rPr>
          <w:sz w:val="20"/>
        </w:rPr>
        <w:t>sess,</w:t>
      </w:r>
      <w:r>
        <w:rPr>
          <w:spacing w:val="-7"/>
          <w:sz w:val="20"/>
        </w:rPr>
        <w:t> </w:t>
      </w: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Doc</w:t>
      </w:r>
      <w:r>
        <w:rPr>
          <w:spacing w:val="-5"/>
          <w:sz w:val="20"/>
        </w:rPr>
        <w:t> </w:t>
      </w:r>
      <w:r>
        <w:rPr>
          <w:sz w:val="20"/>
        </w:rPr>
        <w:t>CCPR/C/GC/34</w:t>
      </w:r>
      <w:r>
        <w:rPr>
          <w:spacing w:val="-1"/>
          <w:sz w:val="20"/>
        </w:rPr>
        <w:t> </w:t>
      </w:r>
      <w:r>
        <w:rPr>
          <w:sz w:val="20"/>
        </w:rPr>
        <w:t>(12</w:t>
      </w:r>
      <w:r>
        <w:rPr>
          <w:spacing w:val="-1"/>
          <w:sz w:val="20"/>
        </w:rPr>
        <w:t> </w:t>
      </w:r>
      <w:r>
        <w:rPr>
          <w:sz w:val="20"/>
        </w:rPr>
        <w:t>September</w:t>
      </w:r>
      <w:r>
        <w:rPr>
          <w:spacing w:val="-1"/>
          <w:sz w:val="20"/>
        </w:rPr>
        <w:t> </w:t>
      </w:r>
      <w:r>
        <w:rPr>
          <w:sz w:val="20"/>
        </w:rPr>
        <w:t>2011)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[3]–[4].</w:t>
      </w:r>
    </w:p>
    <w:p>
      <w:pPr>
        <w:tabs>
          <w:tab w:pos="1484" w:val="left" w:leader="none"/>
        </w:tabs>
        <w:spacing w:line="240" w:lineRule="auto" w:before="0"/>
        <w:ind w:left="1484" w:right="172" w:hanging="452"/>
        <w:jc w:val="left"/>
        <w:rPr>
          <w:sz w:val="20"/>
        </w:rPr>
      </w:pPr>
      <w:r>
        <w:rPr>
          <w:position w:val="8"/>
          <w:sz w:val="13"/>
        </w:rPr>
        <w:t>21</w:t>
        <w:tab/>
      </w:r>
      <w:r>
        <w:rPr>
          <w:sz w:val="20"/>
        </w:rPr>
        <w:t>The right to vote is protected under article 25(b) of the ICCPR; see also United Nations</w:t>
      </w:r>
      <w:r>
        <w:rPr>
          <w:spacing w:val="1"/>
          <w:sz w:val="20"/>
        </w:rPr>
        <w:t> </w:t>
      </w:r>
      <w:r>
        <w:rPr>
          <w:sz w:val="20"/>
        </w:rPr>
        <w:t>Human Rights Committee, </w:t>
      </w:r>
      <w:r>
        <w:rPr>
          <w:i/>
          <w:sz w:val="20"/>
        </w:rPr>
        <w:t>General comment No 25: Participation in public affairs, voting rights</w:t>
      </w:r>
      <w:r>
        <w:rPr>
          <w:i/>
          <w:spacing w:val="-4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equal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public service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(Art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25)</w:t>
      </w:r>
      <w:r>
        <w:rPr>
          <w:sz w:val="20"/>
        </w:rPr>
        <w:t>,</w:t>
      </w:r>
      <w:r>
        <w:rPr>
          <w:spacing w:val="-6"/>
          <w:sz w:val="20"/>
        </w:rPr>
        <w:t> </w:t>
      </w:r>
      <w:r>
        <w:rPr>
          <w:sz w:val="20"/>
        </w:rPr>
        <w:t>57</w:t>
      </w:r>
      <w:r>
        <w:rPr>
          <w:position w:val="8"/>
          <w:sz w:val="13"/>
        </w:rPr>
        <w:t>th</w:t>
      </w:r>
      <w:r>
        <w:rPr>
          <w:spacing w:val="21"/>
          <w:position w:val="8"/>
          <w:sz w:val="13"/>
        </w:rPr>
        <w:t> </w:t>
      </w:r>
      <w:r>
        <w:rPr>
          <w:sz w:val="20"/>
        </w:rPr>
        <w:t>sess,</w:t>
      </w:r>
      <w:r>
        <w:rPr>
          <w:spacing w:val="-6"/>
          <w:sz w:val="20"/>
        </w:rPr>
        <w:t> </w:t>
      </w: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Doc</w:t>
      </w:r>
      <w:r>
        <w:rPr>
          <w:spacing w:val="-4"/>
          <w:sz w:val="20"/>
        </w:rPr>
        <w:t> </w:t>
      </w:r>
      <w:r>
        <w:rPr>
          <w:sz w:val="20"/>
        </w:rPr>
        <w:t>CCPR/C/21/Rev.1</w:t>
      </w:r>
    </w:p>
    <w:p>
      <w:pPr>
        <w:spacing w:line="264" w:lineRule="exact" w:before="0"/>
        <w:ind w:left="1484" w:right="0" w:firstLine="0"/>
        <w:jc w:val="left"/>
        <w:rPr>
          <w:sz w:val="20"/>
        </w:rPr>
      </w:pPr>
      <w:r>
        <w:rPr>
          <w:sz w:val="20"/>
        </w:rPr>
        <w:t>/Add.7</w:t>
      </w:r>
      <w:r>
        <w:rPr>
          <w:spacing w:val="-4"/>
          <w:sz w:val="20"/>
        </w:rPr>
        <w:t> </w:t>
      </w:r>
      <w:r>
        <w:rPr>
          <w:sz w:val="20"/>
        </w:rPr>
        <w:t>(12 July 1996)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4"/>
          <w:sz w:val="20"/>
        </w:rPr>
        <w:t> </w:t>
      </w:r>
      <w:r>
        <w:rPr>
          <w:sz w:val="20"/>
        </w:rPr>
        <w:t>[12].</w:t>
      </w:r>
    </w:p>
    <w:p>
      <w:pPr>
        <w:tabs>
          <w:tab w:pos="1484" w:val="left" w:leader="none"/>
        </w:tabs>
        <w:spacing w:line="237" w:lineRule="auto" w:before="0"/>
        <w:ind w:left="1484" w:right="431" w:hanging="452"/>
        <w:jc w:val="left"/>
        <w:rPr>
          <w:sz w:val="20"/>
        </w:rPr>
      </w:pPr>
      <w:r>
        <w:rPr>
          <w:position w:val="8"/>
          <w:sz w:val="13"/>
        </w:rPr>
        <w:t>22</w:t>
        <w:tab/>
      </w:r>
      <w:r>
        <w:rPr>
          <w:sz w:val="20"/>
        </w:rPr>
        <w:t>United Nations Human Rights Committee, </w:t>
      </w:r>
      <w:r>
        <w:rPr>
          <w:i/>
          <w:sz w:val="20"/>
        </w:rPr>
        <w:t>General Comment No 34: Article 19, Freedoms of</w:t>
      </w:r>
      <w:r>
        <w:rPr>
          <w:i/>
          <w:spacing w:val="-49"/>
          <w:sz w:val="20"/>
        </w:rPr>
        <w:t> </w:t>
      </w:r>
      <w:r>
        <w:rPr>
          <w:i/>
          <w:sz w:val="20"/>
        </w:rPr>
        <w:t>opinion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expression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102</w:t>
      </w:r>
      <w:r>
        <w:rPr>
          <w:position w:val="8"/>
          <w:sz w:val="13"/>
        </w:rPr>
        <w:t>nd</w:t>
      </w:r>
      <w:r>
        <w:rPr>
          <w:spacing w:val="20"/>
          <w:position w:val="8"/>
          <w:sz w:val="13"/>
        </w:rPr>
        <w:t> </w:t>
      </w:r>
      <w:r>
        <w:rPr>
          <w:sz w:val="20"/>
        </w:rPr>
        <w:t>sess,</w:t>
      </w:r>
      <w:r>
        <w:rPr>
          <w:spacing w:val="-7"/>
          <w:sz w:val="20"/>
        </w:rPr>
        <w:t> </w:t>
      </w: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Doc</w:t>
      </w:r>
      <w:r>
        <w:rPr>
          <w:spacing w:val="-4"/>
          <w:sz w:val="20"/>
        </w:rPr>
        <w:t> </w:t>
      </w:r>
      <w:r>
        <w:rPr>
          <w:sz w:val="20"/>
        </w:rPr>
        <w:t>CCPR/C/GC/34</w:t>
      </w:r>
      <w:r>
        <w:rPr>
          <w:spacing w:val="-1"/>
          <w:sz w:val="20"/>
        </w:rPr>
        <w:t> </w:t>
      </w:r>
      <w:r>
        <w:rPr>
          <w:sz w:val="20"/>
        </w:rPr>
        <w:t>(12</w:t>
      </w:r>
      <w:r>
        <w:rPr>
          <w:spacing w:val="-1"/>
          <w:sz w:val="20"/>
        </w:rPr>
        <w:t> </w:t>
      </w:r>
      <w:r>
        <w:rPr>
          <w:sz w:val="20"/>
        </w:rPr>
        <w:t>September</w:t>
      </w:r>
      <w:r>
        <w:rPr>
          <w:spacing w:val="-1"/>
          <w:sz w:val="20"/>
        </w:rPr>
        <w:t> </w:t>
      </w:r>
      <w:r>
        <w:rPr>
          <w:sz w:val="20"/>
        </w:rPr>
        <w:t>2011)</w:t>
      </w:r>
      <w:r>
        <w:rPr>
          <w:spacing w:val="-3"/>
          <w:sz w:val="20"/>
        </w:rPr>
        <w:t> </w:t>
      </w:r>
      <w:r>
        <w:rPr>
          <w:sz w:val="20"/>
        </w:rPr>
        <w:t>7 [28].</w:t>
      </w:r>
    </w:p>
    <w:p>
      <w:pPr>
        <w:tabs>
          <w:tab w:pos="1484" w:val="left" w:leader="none"/>
        </w:tabs>
        <w:spacing w:line="237" w:lineRule="auto" w:before="0"/>
        <w:ind w:left="1484" w:right="327" w:hanging="452"/>
        <w:jc w:val="left"/>
        <w:rPr>
          <w:sz w:val="20"/>
        </w:rPr>
      </w:pPr>
      <w:r>
        <w:rPr>
          <w:position w:val="8"/>
          <w:sz w:val="13"/>
        </w:rPr>
        <w:t>23</w:t>
        <w:tab/>
      </w:r>
      <w:r>
        <w:rPr>
          <w:sz w:val="20"/>
        </w:rPr>
        <w:t>See Mr Pieter Omtzigt, Rapporteur, </w:t>
      </w:r>
      <w:r>
        <w:rPr>
          <w:i/>
          <w:sz w:val="20"/>
        </w:rPr>
        <w:t>Mass Surveillance </w:t>
      </w:r>
      <w:r>
        <w:rPr>
          <w:sz w:val="20"/>
        </w:rPr>
        <w:t>(18 March 2015) Committee on Legal</w:t>
      </w:r>
      <w:r>
        <w:rPr>
          <w:spacing w:val="-49"/>
          <w:sz w:val="20"/>
        </w:rPr>
        <w:t> </w:t>
      </w:r>
      <w:r>
        <w:rPr>
          <w:sz w:val="20"/>
        </w:rPr>
        <w:t>Affairs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Human</w:t>
      </w:r>
      <w:r>
        <w:rPr>
          <w:spacing w:val="-3"/>
          <w:sz w:val="20"/>
        </w:rPr>
        <w:t> </w:t>
      </w:r>
      <w:r>
        <w:rPr>
          <w:sz w:val="20"/>
        </w:rPr>
        <w:t>Rights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Parliamentary</w:t>
      </w:r>
      <w:r>
        <w:rPr>
          <w:spacing w:val="-1"/>
          <w:sz w:val="20"/>
        </w:rPr>
        <w:t> </w:t>
      </w:r>
      <w:r>
        <w:rPr>
          <w:sz w:val="20"/>
        </w:rPr>
        <w:t>Assembly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Council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Europe,</w:t>
      </w:r>
      <w:r>
        <w:rPr>
          <w:spacing w:val="-2"/>
          <w:sz w:val="20"/>
        </w:rPr>
        <w:t> </w:t>
      </w:r>
      <w:r>
        <w:rPr>
          <w:sz w:val="20"/>
        </w:rPr>
        <w:t>34.</w:t>
      </w:r>
    </w:p>
    <w:p>
      <w:pPr>
        <w:tabs>
          <w:tab w:pos="1484" w:val="left" w:leader="none"/>
        </w:tabs>
        <w:spacing w:line="240" w:lineRule="auto" w:before="0"/>
        <w:ind w:left="1484" w:right="429" w:hanging="452"/>
        <w:jc w:val="left"/>
        <w:rPr>
          <w:sz w:val="20"/>
        </w:rPr>
      </w:pPr>
      <w:r>
        <w:rPr>
          <w:position w:val="8"/>
          <w:sz w:val="13"/>
        </w:rPr>
        <w:t>24</w:t>
        <w:tab/>
      </w:r>
      <w:r>
        <w:rPr>
          <w:sz w:val="20"/>
        </w:rPr>
        <w:t>Margaret Sekaggya, United Nations Special Rapporteur on the situation of human rights</w:t>
      </w:r>
      <w:r>
        <w:rPr>
          <w:spacing w:val="1"/>
          <w:sz w:val="20"/>
        </w:rPr>
        <w:t> </w:t>
      </w:r>
      <w:r>
        <w:rPr>
          <w:sz w:val="20"/>
        </w:rPr>
        <w:t>defenders, </w:t>
      </w:r>
      <w:r>
        <w:rPr>
          <w:i/>
          <w:sz w:val="20"/>
        </w:rPr>
        <w:t>Report on the situation of human rights defenders</w:t>
      </w:r>
      <w:r>
        <w:rPr>
          <w:sz w:val="20"/>
        </w:rPr>
        <w:t>, 67</w:t>
      </w:r>
      <w:r>
        <w:rPr>
          <w:position w:val="8"/>
          <w:sz w:val="13"/>
        </w:rPr>
        <w:t>th </w:t>
      </w:r>
      <w:r>
        <w:rPr>
          <w:sz w:val="20"/>
        </w:rPr>
        <w:t>sess, Provisional Agenda</w:t>
      </w:r>
      <w:r>
        <w:rPr>
          <w:spacing w:val="-49"/>
          <w:sz w:val="20"/>
        </w:rPr>
        <w:t> </w:t>
      </w:r>
      <w:r>
        <w:rPr>
          <w:sz w:val="20"/>
        </w:rPr>
        <w:t>Item</w:t>
      </w:r>
      <w:r>
        <w:rPr>
          <w:spacing w:val="-1"/>
          <w:sz w:val="20"/>
        </w:rPr>
        <w:t> </w:t>
      </w:r>
      <w:r>
        <w:rPr>
          <w:sz w:val="20"/>
        </w:rPr>
        <w:t>70(b),</w:t>
      </w:r>
      <w:r>
        <w:rPr>
          <w:spacing w:val="-6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Doc</w:t>
      </w:r>
      <w:r>
        <w:rPr>
          <w:spacing w:val="-5"/>
          <w:sz w:val="20"/>
        </w:rPr>
        <w:t> </w:t>
      </w:r>
      <w:r>
        <w:rPr>
          <w:sz w:val="20"/>
        </w:rPr>
        <w:t>A/67/292 (10</w:t>
      </w:r>
      <w:r>
        <w:rPr>
          <w:spacing w:val="-5"/>
          <w:sz w:val="20"/>
        </w:rPr>
        <w:t> </w:t>
      </w:r>
      <w:r>
        <w:rPr>
          <w:sz w:val="20"/>
        </w:rPr>
        <w:t>August</w:t>
      </w:r>
      <w:r>
        <w:rPr>
          <w:spacing w:val="1"/>
          <w:sz w:val="20"/>
        </w:rPr>
        <w:t> </w:t>
      </w:r>
      <w:r>
        <w:rPr>
          <w:sz w:val="20"/>
        </w:rPr>
        <w:t>2012)</w:t>
      </w:r>
      <w:r>
        <w:rPr>
          <w:spacing w:val="-2"/>
          <w:sz w:val="20"/>
        </w:rPr>
        <w:t> </w:t>
      </w:r>
      <w:r>
        <w:rPr>
          <w:sz w:val="20"/>
        </w:rPr>
        <w:t>16-17</w:t>
      </w:r>
      <w:r>
        <w:rPr>
          <w:spacing w:val="-4"/>
          <w:sz w:val="20"/>
        </w:rPr>
        <w:t> </w:t>
      </w:r>
      <w:r>
        <w:rPr>
          <w:sz w:val="20"/>
        </w:rPr>
        <w:t>[61]–[62].</w:t>
      </w:r>
    </w:p>
    <w:p>
      <w:pPr>
        <w:tabs>
          <w:tab w:pos="1484" w:val="left" w:leader="none"/>
        </w:tabs>
        <w:spacing w:line="266" w:lineRule="exact" w:before="0"/>
        <w:ind w:left="1033" w:right="0" w:firstLine="0"/>
        <w:jc w:val="left"/>
        <w:rPr>
          <w:sz w:val="20"/>
        </w:rPr>
      </w:pPr>
      <w:r>
        <w:rPr>
          <w:position w:val="8"/>
          <w:sz w:val="13"/>
        </w:rPr>
        <w:t>25</w:t>
        <w:tab/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Commission also</w:t>
      </w:r>
      <w:r>
        <w:rPr>
          <w:spacing w:val="-8"/>
          <w:sz w:val="20"/>
        </w:rPr>
        <w:t> </w:t>
      </w:r>
      <w:r>
        <w:rPr>
          <w:sz w:val="20"/>
        </w:rPr>
        <w:t>notes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significant</w:t>
      </w:r>
      <w:r>
        <w:rPr>
          <w:spacing w:val="-1"/>
          <w:sz w:val="20"/>
        </w:rPr>
        <w:t> </w:t>
      </w:r>
      <w:r>
        <w:rPr>
          <w:sz w:val="20"/>
        </w:rPr>
        <w:t>role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communications</w:t>
      </w:r>
      <w:r>
        <w:rPr>
          <w:spacing w:val="-2"/>
          <w:sz w:val="20"/>
        </w:rPr>
        <w:t> </w:t>
      </w:r>
      <w:r>
        <w:rPr>
          <w:sz w:val="20"/>
        </w:rPr>
        <w:t>providers</w:t>
      </w:r>
      <w:r>
        <w:rPr>
          <w:spacing w:val="-5"/>
          <w:sz w:val="20"/>
        </w:rPr>
        <w:t> </w:t>
      </w:r>
      <w:r>
        <w:rPr>
          <w:sz w:val="20"/>
        </w:rPr>
        <w:t>play</w:t>
      </w:r>
      <w:r>
        <w:rPr>
          <w:spacing w:val="-7"/>
          <w:sz w:val="20"/>
        </w:rPr>
        <w:t> </w:t>
      </w:r>
      <w:r>
        <w:rPr>
          <w:sz w:val="20"/>
        </w:rPr>
        <w:t>in</w:t>
      </w:r>
    </w:p>
    <w:p>
      <w:pPr>
        <w:spacing w:line="240" w:lineRule="auto" w:before="0"/>
        <w:ind w:left="1484" w:right="210" w:firstLine="0"/>
        <w:jc w:val="left"/>
        <w:rPr>
          <w:sz w:val="20"/>
        </w:rPr>
      </w:pPr>
      <w:r>
        <w:rPr>
          <w:sz w:val="20"/>
        </w:rPr>
        <w:t>ensuring respect for privacy and other human rights, but does not address this issue in the</w:t>
      </w:r>
      <w:r>
        <w:rPr>
          <w:spacing w:val="-49"/>
          <w:sz w:val="20"/>
        </w:rPr>
        <w:t> </w:t>
      </w:r>
      <w:r>
        <w:rPr>
          <w:sz w:val="20"/>
        </w:rPr>
        <w:t>current submission. See generally John Ruggie, Special Representative of the United</w:t>
      </w:r>
      <w:r>
        <w:rPr>
          <w:spacing w:val="1"/>
          <w:sz w:val="20"/>
        </w:rPr>
        <w:t> </w:t>
      </w:r>
      <w:r>
        <w:rPr>
          <w:sz w:val="20"/>
        </w:rPr>
        <w:t>Nations Secretary-General on the issue of human rights and transnational corporations</w:t>
      </w:r>
      <w:r>
        <w:rPr>
          <w:spacing w:val="1"/>
          <w:sz w:val="20"/>
        </w:rPr>
        <w:t> </w:t>
      </w:r>
      <w:r>
        <w:rPr>
          <w:sz w:val="20"/>
        </w:rPr>
        <w:t>and other business enterprises, </w:t>
      </w:r>
      <w:r>
        <w:rPr>
          <w:i/>
          <w:sz w:val="20"/>
        </w:rPr>
        <w:t>Promotion and protection of all human rights, civil, political,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economic, social and cultural rights, including the right to development: Protect, Respect 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Remedy: a Framework for Business and Human Rights</w:t>
      </w:r>
      <w:r>
        <w:rPr>
          <w:sz w:val="20"/>
        </w:rPr>
        <w:t>, 8</w:t>
      </w:r>
      <w:r>
        <w:rPr>
          <w:position w:val="8"/>
          <w:sz w:val="13"/>
        </w:rPr>
        <w:t>th </w:t>
      </w:r>
      <w:r>
        <w:rPr>
          <w:sz w:val="20"/>
        </w:rPr>
        <w:t>sess, Agenda Item 3, UN Doc</w:t>
      </w:r>
      <w:r>
        <w:rPr>
          <w:spacing w:val="1"/>
          <w:sz w:val="20"/>
        </w:rPr>
        <w:t> </w:t>
      </w:r>
      <w:r>
        <w:rPr>
          <w:sz w:val="20"/>
        </w:rPr>
        <w:t>A/HRC/8/5</w:t>
      </w:r>
      <w:r>
        <w:rPr>
          <w:spacing w:val="-1"/>
          <w:sz w:val="20"/>
        </w:rPr>
        <w:t> </w:t>
      </w:r>
      <w:r>
        <w:rPr>
          <w:sz w:val="20"/>
        </w:rPr>
        <w:t>(7 April</w:t>
      </w:r>
      <w:r>
        <w:rPr>
          <w:spacing w:val="2"/>
          <w:sz w:val="20"/>
        </w:rPr>
        <w:t> </w:t>
      </w:r>
      <w:r>
        <w:rPr>
          <w:sz w:val="20"/>
        </w:rPr>
        <w:t>2008).</w:t>
      </w:r>
    </w:p>
    <w:p>
      <w:pPr>
        <w:tabs>
          <w:tab w:pos="1484" w:val="left" w:leader="none"/>
        </w:tabs>
        <w:spacing w:line="266" w:lineRule="exact" w:before="0"/>
        <w:ind w:left="1033" w:right="0" w:firstLine="0"/>
        <w:jc w:val="left"/>
        <w:rPr>
          <w:sz w:val="20"/>
        </w:rPr>
      </w:pPr>
      <w:r>
        <w:rPr>
          <w:position w:val="8"/>
          <w:sz w:val="13"/>
        </w:rPr>
        <w:t>26</w:t>
        <w:tab/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example,</w:t>
      </w:r>
      <w:r>
        <w:rPr>
          <w:spacing w:val="-2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discussion regarding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prohibition</w:t>
      </w:r>
      <w:r>
        <w:rPr>
          <w:spacing w:val="-1"/>
          <w:sz w:val="20"/>
        </w:rPr>
        <w:t> </w:t>
      </w:r>
      <w:r>
        <w:rPr>
          <w:sz w:val="20"/>
        </w:rPr>
        <w:t>against torture:</w:t>
      </w:r>
      <w:r>
        <w:rPr>
          <w:spacing w:val="-6"/>
          <w:sz w:val="20"/>
        </w:rPr>
        <w:t> </w:t>
      </w:r>
      <w:r>
        <w:rPr>
          <w:sz w:val="20"/>
        </w:rPr>
        <w:t>United</w:t>
      </w:r>
      <w:r>
        <w:rPr>
          <w:spacing w:val="-5"/>
          <w:sz w:val="20"/>
        </w:rPr>
        <w:t> </w:t>
      </w:r>
      <w:r>
        <w:rPr>
          <w:sz w:val="20"/>
        </w:rPr>
        <w:t>Nations</w:t>
      </w:r>
    </w:p>
    <w:p>
      <w:pPr>
        <w:spacing w:before="0"/>
        <w:ind w:left="1484" w:right="644" w:firstLine="0"/>
        <w:jc w:val="left"/>
        <w:rPr>
          <w:sz w:val="20"/>
        </w:rPr>
      </w:pPr>
      <w:r>
        <w:rPr>
          <w:sz w:val="20"/>
        </w:rPr>
        <w:t>Committee against Torture, </w:t>
      </w:r>
      <w:r>
        <w:rPr>
          <w:i/>
          <w:sz w:val="20"/>
        </w:rPr>
        <w:t>General Comment No 2: Implementation of article 2 by States</w:t>
      </w:r>
      <w:r>
        <w:rPr>
          <w:i/>
          <w:spacing w:val="-49"/>
          <w:sz w:val="20"/>
        </w:rPr>
        <w:t> </w:t>
      </w:r>
      <w:r>
        <w:rPr>
          <w:i/>
          <w:sz w:val="20"/>
        </w:rPr>
        <w:t>Parties</w:t>
      </w:r>
      <w:r>
        <w:rPr>
          <w:sz w:val="20"/>
        </w:rPr>
        <w:t>,</w:t>
      </w:r>
      <w:r>
        <w:rPr>
          <w:spacing w:val="-6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Doc</w:t>
      </w:r>
      <w:r>
        <w:rPr>
          <w:spacing w:val="-4"/>
          <w:sz w:val="20"/>
        </w:rPr>
        <w:t> </w:t>
      </w:r>
      <w:r>
        <w:rPr>
          <w:sz w:val="20"/>
        </w:rPr>
        <w:t>CAT/C/GC/2 (24 January 2008)</w:t>
      </w:r>
      <w:r>
        <w:rPr>
          <w:spacing w:val="-2"/>
          <w:sz w:val="20"/>
        </w:rPr>
        <w:t> </w:t>
      </w:r>
      <w:r>
        <w:rPr>
          <w:sz w:val="20"/>
        </w:rPr>
        <w:t>2 [5].</w:t>
      </w:r>
    </w:p>
    <w:p>
      <w:pPr>
        <w:spacing w:line="240" w:lineRule="auto" w:before="0"/>
        <w:ind w:left="1484" w:right="872" w:hanging="452"/>
        <w:jc w:val="both"/>
        <w:rPr>
          <w:sz w:val="20"/>
        </w:rPr>
      </w:pPr>
      <w:r>
        <w:rPr>
          <w:position w:val="8"/>
          <w:sz w:val="13"/>
        </w:rPr>
        <w:t>27</w:t>
      </w:r>
      <w:r>
        <w:rPr>
          <w:spacing w:val="1"/>
          <w:position w:val="8"/>
          <w:sz w:val="13"/>
        </w:rPr>
        <w:t> </w:t>
      </w:r>
      <w:r>
        <w:rPr>
          <w:sz w:val="20"/>
        </w:rPr>
        <w:t>United Nations Economic and Social Council, </w:t>
      </w:r>
      <w:r>
        <w:rPr>
          <w:i/>
          <w:sz w:val="20"/>
        </w:rPr>
        <w:t>Siracusa Principles on the Limitation and</w:t>
      </w:r>
      <w:r>
        <w:rPr>
          <w:i/>
          <w:spacing w:val="-49"/>
          <w:sz w:val="20"/>
        </w:rPr>
        <w:t> </w:t>
      </w:r>
      <w:r>
        <w:rPr>
          <w:i/>
          <w:sz w:val="20"/>
        </w:rPr>
        <w:t>Derogation Provisions in the International Covenant on Civil and Political Rights</w:t>
      </w:r>
      <w:r>
        <w:rPr>
          <w:sz w:val="20"/>
        </w:rPr>
        <w:t>, UN Doc</w:t>
      </w:r>
      <w:r>
        <w:rPr>
          <w:spacing w:val="-49"/>
          <w:sz w:val="20"/>
        </w:rPr>
        <w:t> </w:t>
      </w:r>
      <w:r>
        <w:rPr>
          <w:sz w:val="20"/>
        </w:rPr>
        <w:t>E/CN.4/1985/4,</w:t>
      </w:r>
      <w:r>
        <w:rPr>
          <w:spacing w:val="-7"/>
          <w:sz w:val="20"/>
        </w:rPr>
        <w:t> </w:t>
      </w:r>
      <w:r>
        <w:rPr>
          <w:sz w:val="20"/>
        </w:rPr>
        <w:t>Annex (1985)</w:t>
      </w:r>
      <w:r>
        <w:rPr>
          <w:spacing w:val="-2"/>
          <w:sz w:val="20"/>
        </w:rPr>
        <w:t> </w:t>
      </w:r>
      <w:r>
        <w:rPr>
          <w:sz w:val="20"/>
        </w:rPr>
        <w:t>[2].</w:t>
      </w:r>
    </w:p>
    <w:p>
      <w:pPr>
        <w:tabs>
          <w:tab w:pos="1484" w:val="left" w:leader="none"/>
        </w:tabs>
        <w:spacing w:line="232" w:lineRule="auto" w:before="0"/>
        <w:ind w:left="1484" w:right="627" w:hanging="452"/>
        <w:jc w:val="left"/>
        <w:rPr>
          <w:sz w:val="20"/>
        </w:rPr>
      </w:pPr>
      <w:r>
        <w:rPr>
          <w:position w:val="8"/>
          <w:sz w:val="13"/>
        </w:rPr>
        <w:t>28</w:t>
        <w:tab/>
      </w:r>
      <w:r>
        <w:rPr>
          <w:sz w:val="20"/>
        </w:rPr>
        <w:t>United Nations Human Rights Committee, </w:t>
      </w:r>
      <w:r>
        <w:rPr>
          <w:i/>
          <w:sz w:val="20"/>
        </w:rPr>
        <w:t>General Comment No 35: Article 9 (Liberty and</w:t>
      </w:r>
      <w:r>
        <w:rPr>
          <w:i/>
          <w:spacing w:val="-49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 person), </w:t>
      </w:r>
      <w:r>
        <w:rPr>
          <w:sz w:val="20"/>
        </w:rPr>
        <w:t>112</w:t>
      </w:r>
      <w:r>
        <w:rPr>
          <w:position w:val="8"/>
          <w:sz w:val="13"/>
        </w:rPr>
        <w:t>th</w:t>
      </w:r>
      <w:r>
        <w:rPr>
          <w:spacing w:val="15"/>
          <w:position w:val="8"/>
          <w:sz w:val="13"/>
        </w:rPr>
        <w:t> </w:t>
      </w:r>
      <w:r>
        <w:rPr>
          <w:sz w:val="20"/>
        </w:rPr>
        <w:t>sess,</w:t>
      </w:r>
      <w:r>
        <w:rPr>
          <w:spacing w:val="-6"/>
          <w:sz w:val="20"/>
        </w:rPr>
        <w:t> </w:t>
      </w:r>
      <w:r>
        <w:rPr>
          <w:sz w:val="20"/>
        </w:rPr>
        <w:t>UN</w:t>
      </w:r>
      <w:r>
        <w:rPr>
          <w:spacing w:val="2"/>
          <w:sz w:val="20"/>
        </w:rPr>
        <w:t> </w:t>
      </w:r>
      <w:r>
        <w:rPr>
          <w:sz w:val="20"/>
        </w:rPr>
        <w:t>Doc</w:t>
      </w:r>
      <w:r>
        <w:rPr>
          <w:spacing w:val="-4"/>
          <w:sz w:val="20"/>
        </w:rPr>
        <w:t> </w:t>
      </w:r>
      <w:r>
        <w:rPr>
          <w:sz w:val="20"/>
        </w:rPr>
        <w:t>CCPR/C/GC/35</w:t>
      </w:r>
      <w:r>
        <w:rPr>
          <w:spacing w:val="-5"/>
          <w:sz w:val="20"/>
        </w:rPr>
        <w:t> </w:t>
      </w:r>
      <w:r>
        <w:rPr>
          <w:sz w:val="20"/>
        </w:rPr>
        <w:t>(16 December 2014)</w:t>
      </w:r>
      <w:r>
        <w:rPr>
          <w:spacing w:val="-7"/>
          <w:sz w:val="20"/>
        </w:rPr>
        <w:t> </w:t>
      </w:r>
      <w:r>
        <w:rPr>
          <w:sz w:val="20"/>
        </w:rPr>
        <w:t>3–4</w:t>
      </w:r>
      <w:r>
        <w:rPr>
          <w:spacing w:val="-1"/>
          <w:sz w:val="20"/>
        </w:rPr>
        <w:t> </w:t>
      </w:r>
      <w:r>
        <w:rPr>
          <w:sz w:val="20"/>
        </w:rPr>
        <w:t>[12].</w:t>
      </w:r>
    </w:p>
    <w:p>
      <w:pPr>
        <w:tabs>
          <w:tab w:pos="1484" w:val="left" w:leader="none"/>
        </w:tabs>
        <w:spacing w:line="237" w:lineRule="auto" w:before="0"/>
        <w:ind w:left="1484" w:right="323" w:hanging="452"/>
        <w:jc w:val="left"/>
        <w:rPr>
          <w:sz w:val="20"/>
        </w:rPr>
      </w:pPr>
      <w:r>
        <w:rPr>
          <w:position w:val="8"/>
          <w:sz w:val="13"/>
        </w:rPr>
        <w:t>29</w:t>
        <w:tab/>
      </w:r>
      <w:r>
        <w:rPr>
          <w:sz w:val="20"/>
        </w:rPr>
        <w:t>Office of the United Nations High Commissioner for Human Rights, </w:t>
      </w:r>
      <w:r>
        <w:rPr>
          <w:i/>
          <w:sz w:val="20"/>
        </w:rPr>
        <w:t>The Right to Privacy 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 Digital Age,</w:t>
      </w:r>
      <w:r>
        <w:rPr>
          <w:i/>
          <w:spacing w:val="-6"/>
          <w:sz w:val="20"/>
        </w:rPr>
        <w:t> </w:t>
      </w:r>
      <w:r>
        <w:rPr>
          <w:sz w:val="20"/>
        </w:rPr>
        <w:t>27</w:t>
      </w:r>
      <w:r>
        <w:rPr>
          <w:position w:val="8"/>
          <w:sz w:val="13"/>
        </w:rPr>
        <w:t>th</w:t>
      </w:r>
      <w:r>
        <w:rPr>
          <w:spacing w:val="19"/>
          <w:position w:val="8"/>
          <w:sz w:val="13"/>
        </w:rPr>
        <w:t> </w:t>
      </w:r>
      <w:r>
        <w:rPr>
          <w:sz w:val="20"/>
        </w:rPr>
        <w:t>sess,</w:t>
      </w:r>
      <w:r>
        <w:rPr>
          <w:spacing w:val="-2"/>
          <w:sz w:val="20"/>
        </w:rPr>
        <w:t> </w:t>
      </w:r>
      <w:r>
        <w:rPr>
          <w:sz w:val="20"/>
        </w:rPr>
        <w:t>Agenda</w:t>
      </w:r>
      <w:r>
        <w:rPr>
          <w:spacing w:val="-8"/>
          <w:sz w:val="20"/>
        </w:rPr>
        <w:t> </w:t>
      </w:r>
      <w:r>
        <w:rPr>
          <w:sz w:val="20"/>
        </w:rPr>
        <w:t>Items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3,</w:t>
      </w:r>
      <w:r>
        <w:rPr>
          <w:spacing w:val="-8"/>
          <w:sz w:val="20"/>
        </w:rPr>
        <w:t> </w:t>
      </w: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Doc</w:t>
      </w:r>
      <w:r>
        <w:rPr>
          <w:spacing w:val="-1"/>
          <w:sz w:val="20"/>
        </w:rPr>
        <w:t> </w:t>
      </w:r>
      <w:r>
        <w:rPr>
          <w:sz w:val="20"/>
        </w:rPr>
        <w:t>A/HRC/27/37</w:t>
      </w:r>
      <w:r>
        <w:rPr>
          <w:spacing w:val="-1"/>
          <w:sz w:val="20"/>
        </w:rPr>
        <w:t> </w:t>
      </w:r>
      <w:r>
        <w:rPr>
          <w:sz w:val="20"/>
        </w:rPr>
        <w:t>(30</w:t>
      </w:r>
      <w:r>
        <w:rPr>
          <w:spacing w:val="-2"/>
          <w:sz w:val="20"/>
        </w:rPr>
        <w:t> </w:t>
      </w:r>
      <w:r>
        <w:rPr>
          <w:sz w:val="20"/>
        </w:rPr>
        <w:t>June</w:t>
      </w:r>
      <w:r>
        <w:rPr>
          <w:spacing w:val="2"/>
          <w:sz w:val="20"/>
        </w:rPr>
        <w:t> </w:t>
      </w:r>
      <w:r>
        <w:rPr>
          <w:sz w:val="20"/>
        </w:rPr>
        <w:t>2014)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[34].</w:t>
      </w:r>
    </w:p>
    <w:p>
      <w:pPr>
        <w:tabs>
          <w:tab w:pos="1484" w:val="left" w:leader="none"/>
        </w:tabs>
        <w:spacing w:line="240" w:lineRule="auto" w:before="0"/>
        <w:ind w:left="1484" w:right="718" w:hanging="452"/>
        <w:jc w:val="left"/>
        <w:rPr>
          <w:sz w:val="20"/>
        </w:rPr>
      </w:pPr>
      <w:r>
        <w:rPr/>
        <w:pict>
          <v:rect style="position:absolute;margin-left:166.320007pt;margin-top:11.667506pt;width:2.64pt;height:.48pt;mso-position-horizontal-relative:page;mso-position-vertical-relative:paragraph;z-index:-16043008" id="docshape7" filled="true" fillcolor="#000000" stroked="false">
            <v:fill type="solid"/>
            <w10:wrap type="none"/>
          </v:rect>
        </w:pict>
      </w:r>
      <w:r>
        <w:rPr>
          <w:position w:val="8"/>
          <w:sz w:val="13"/>
        </w:rPr>
        <w:t>30</w:t>
        <w:tab/>
      </w:r>
      <w:r>
        <w:rPr>
          <w:sz w:val="20"/>
        </w:rPr>
        <w:t>United Nations Economic and Social Council, </w:t>
      </w:r>
      <w:r>
        <w:rPr>
          <w:i/>
          <w:sz w:val="20"/>
        </w:rPr>
        <w:t>Siracusa Principles on the Limitation 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Derogation Provisions in the International Covenant on Civil and Political Rights</w:t>
      </w:r>
      <w:r>
        <w:rPr>
          <w:sz w:val="20"/>
        </w:rPr>
        <w:t>, U.N. Doc.</w:t>
      </w:r>
      <w:r>
        <w:rPr>
          <w:spacing w:val="-49"/>
          <w:sz w:val="20"/>
        </w:rPr>
        <w:t> </w:t>
      </w:r>
      <w:r>
        <w:rPr>
          <w:sz w:val="20"/>
        </w:rPr>
        <w:t>E/CN.4/1985/4,</w:t>
      </w:r>
      <w:r>
        <w:rPr>
          <w:spacing w:val="-7"/>
          <w:sz w:val="20"/>
        </w:rPr>
        <w:t> </w:t>
      </w:r>
      <w:r>
        <w:rPr>
          <w:sz w:val="20"/>
        </w:rPr>
        <w:t>Annex (1985)</w:t>
      </w:r>
      <w:r>
        <w:rPr>
          <w:spacing w:val="-2"/>
          <w:sz w:val="20"/>
        </w:rPr>
        <w:t> </w:t>
      </w:r>
      <w:r>
        <w:rPr>
          <w:sz w:val="20"/>
        </w:rPr>
        <w:t>[29]–[32].</w:t>
      </w:r>
    </w:p>
    <w:p>
      <w:pPr>
        <w:spacing w:line="240" w:lineRule="auto" w:before="0"/>
        <w:ind w:left="1484" w:right="872" w:hanging="452"/>
        <w:jc w:val="both"/>
        <w:rPr>
          <w:sz w:val="20"/>
        </w:rPr>
      </w:pPr>
      <w:r>
        <w:rPr>
          <w:position w:val="8"/>
          <w:sz w:val="13"/>
        </w:rPr>
        <w:t>31</w:t>
      </w:r>
      <w:r>
        <w:rPr>
          <w:spacing w:val="1"/>
          <w:position w:val="8"/>
          <w:sz w:val="13"/>
        </w:rPr>
        <w:t> </w:t>
      </w:r>
      <w:r>
        <w:rPr>
          <w:sz w:val="20"/>
        </w:rPr>
        <w:t>United Nations Economic and Social Council, </w:t>
      </w:r>
      <w:r>
        <w:rPr>
          <w:i/>
          <w:sz w:val="20"/>
        </w:rPr>
        <w:t>Siracusa Principles on the Limitation and</w:t>
      </w:r>
      <w:r>
        <w:rPr>
          <w:i/>
          <w:spacing w:val="-49"/>
          <w:sz w:val="20"/>
        </w:rPr>
        <w:t> </w:t>
      </w:r>
      <w:r>
        <w:rPr>
          <w:i/>
          <w:sz w:val="20"/>
        </w:rPr>
        <w:t>Derogation Provisions in the International Covenant on Civil and Political Rights</w:t>
      </w:r>
      <w:r>
        <w:rPr>
          <w:sz w:val="20"/>
        </w:rPr>
        <w:t>, UN Doc</w:t>
      </w:r>
      <w:r>
        <w:rPr>
          <w:spacing w:val="-49"/>
          <w:sz w:val="20"/>
        </w:rPr>
        <w:t> </w:t>
      </w:r>
      <w:r>
        <w:rPr>
          <w:sz w:val="20"/>
        </w:rPr>
        <w:t>E/CN.4/1985/4,</w:t>
      </w:r>
      <w:r>
        <w:rPr>
          <w:spacing w:val="-7"/>
          <w:sz w:val="20"/>
        </w:rPr>
        <w:t> </w:t>
      </w:r>
      <w:r>
        <w:rPr>
          <w:sz w:val="20"/>
        </w:rPr>
        <w:t>Annex (1985)</w:t>
      </w:r>
      <w:r>
        <w:rPr>
          <w:spacing w:val="-2"/>
          <w:sz w:val="20"/>
        </w:rPr>
        <w:t> </w:t>
      </w:r>
      <w:r>
        <w:rPr>
          <w:sz w:val="20"/>
        </w:rPr>
        <w:t>[29]–[30].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8"/>
          <w:footerReference w:type="default" r:id="rId9"/>
          <w:pgSz w:w="11900" w:h="16840"/>
          <w:pgMar w:header="1146" w:footer="333" w:top="2640" w:bottom="520" w:left="440" w:right="1300"/>
        </w:sectPr>
      </w:pPr>
    </w:p>
    <w:p>
      <w:pPr>
        <w:pStyle w:val="BodyText"/>
        <w:spacing w:before="10"/>
        <w:ind w:left="0"/>
        <w:rPr>
          <w:sz w:val="18"/>
        </w:rPr>
      </w:pPr>
    </w:p>
    <w:p>
      <w:pPr>
        <w:spacing w:line="240" w:lineRule="auto" w:before="102"/>
        <w:ind w:left="1484" w:right="872" w:hanging="452"/>
        <w:jc w:val="both"/>
        <w:rPr>
          <w:sz w:val="20"/>
        </w:rPr>
      </w:pPr>
      <w:r>
        <w:rPr>
          <w:position w:val="8"/>
          <w:sz w:val="13"/>
        </w:rPr>
        <w:t>32</w:t>
      </w:r>
      <w:r>
        <w:rPr>
          <w:spacing w:val="1"/>
          <w:position w:val="8"/>
          <w:sz w:val="13"/>
        </w:rPr>
        <w:t> </w:t>
      </w:r>
      <w:r>
        <w:rPr>
          <w:sz w:val="20"/>
        </w:rPr>
        <w:t>United Nations Economic and Social Council, </w:t>
      </w:r>
      <w:r>
        <w:rPr>
          <w:i/>
          <w:sz w:val="20"/>
        </w:rPr>
        <w:t>Siracusa Principles on the Limitation and</w:t>
      </w:r>
      <w:r>
        <w:rPr>
          <w:i/>
          <w:spacing w:val="-49"/>
          <w:sz w:val="20"/>
        </w:rPr>
        <w:t> </w:t>
      </w:r>
      <w:r>
        <w:rPr>
          <w:i/>
          <w:sz w:val="20"/>
        </w:rPr>
        <w:t>Derogation Provisions in the International Covenant on Civil and Political Rights</w:t>
      </w:r>
      <w:r>
        <w:rPr>
          <w:sz w:val="20"/>
        </w:rPr>
        <w:t>, UN Doc</w:t>
      </w:r>
      <w:r>
        <w:rPr>
          <w:spacing w:val="-49"/>
          <w:sz w:val="20"/>
        </w:rPr>
        <w:t> </w:t>
      </w:r>
      <w:r>
        <w:rPr>
          <w:sz w:val="20"/>
        </w:rPr>
        <w:t>E/CN.4/1985/4,</w:t>
      </w:r>
      <w:r>
        <w:rPr>
          <w:spacing w:val="-7"/>
          <w:sz w:val="20"/>
        </w:rPr>
        <w:t> </w:t>
      </w:r>
      <w:r>
        <w:rPr>
          <w:sz w:val="20"/>
        </w:rPr>
        <w:t>Annex (1985)</w:t>
      </w:r>
      <w:r>
        <w:rPr>
          <w:spacing w:val="-2"/>
          <w:sz w:val="20"/>
        </w:rPr>
        <w:t> </w:t>
      </w:r>
      <w:r>
        <w:rPr>
          <w:sz w:val="20"/>
        </w:rPr>
        <w:t>[10].</w:t>
      </w:r>
    </w:p>
    <w:p>
      <w:pPr>
        <w:spacing w:line="240" w:lineRule="auto" w:before="0"/>
        <w:ind w:left="1484" w:right="872" w:hanging="452"/>
        <w:jc w:val="both"/>
        <w:rPr>
          <w:sz w:val="20"/>
        </w:rPr>
      </w:pPr>
      <w:r>
        <w:rPr>
          <w:position w:val="8"/>
          <w:sz w:val="13"/>
        </w:rPr>
        <w:t>33</w:t>
      </w:r>
      <w:r>
        <w:rPr>
          <w:spacing w:val="1"/>
          <w:position w:val="8"/>
          <w:sz w:val="13"/>
        </w:rPr>
        <w:t> </w:t>
      </w:r>
      <w:r>
        <w:rPr>
          <w:sz w:val="20"/>
        </w:rPr>
        <w:t>United Nations Economic and Social Council, </w:t>
      </w:r>
      <w:r>
        <w:rPr>
          <w:i/>
          <w:sz w:val="20"/>
        </w:rPr>
        <w:t>Siracusa Principles on the Limitation and</w:t>
      </w:r>
      <w:r>
        <w:rPr>
          <w:i/>
          <w:spacing w:val="-49"/>
          <w:sz w:val="20"/>
        </w:rPr>
        <w:t> </w:t>
      </w:r>
      <w:r>
        <w:rPr>
          <w:i/>
          <w:sz w:val="20"/>
        </w:rPr>
        <w:t>Derogation Provisions in the International Covenant on Civil and Political Rights</w:t>
      </w:r>
      <w:r>
        <w:rPr>
          <w:sz w:val="20"/>
        </w:rPr>
        <w:t>, UN Doc</w:t>
      </w:r>
      <w:r>
        <w:rPr>
          <w:spacing w:val="-49"/>
          <w:sz w:val="20"/>
        </w:rPr>
        <w:t> </w:t>
      </w:r>
      <w:r>
        <w:rPr>
          <w:sz w:val="20"/>
        </w:rPr>
        <w:t>E/CN.4/1985/4,</w:t>
      </w:r>
      <w:r>
        <w:rPr>
          <w:spacing w:val="-7"/>
          <w:sz w:val="20"/>
        </w:rPr>
        <w:t> </w:t>
      </w:r>
      <w:r>
        <w:rPr>
          <w:sz w:val="20"/>
        </w:rPr>
        <w:t>Annex (1985)</w:t>
      </w:r>
      <w:r>
        <w:rPr>
          <w:spacing w:val="-2"/>
          <w:sz w:val="20"/>
        </w:rPr>
        <w:t> </w:t>
      </w:r>
      <w:r>
        <w:rPr>
          <w:sz w:val="20"/>
        </w:rPr>
        <w:t>[12].</w:t>
      </w:r>
    </w:p>
    <w:p>
      <w:pPr>
        <w:tabs>
          <w:tab w:pos="1484" w:val="left" w:leader="none"/>
        </w:tabs>
        <w:spacing w:line="240" w:lineRule="auto" w:before="0"/>
        <w:ind w:left="1484" w:right="174" w:hanging="452"/>
        <w:jc w:val="left"/>
        <w:rPr>
          <w:sz w:val="20"/>
        </w:rPr>
      </w:pPr>
      <w:r>
        <w:rPr>
          <w:position w:val="8"/>
          <w:sz w:val="13"/>
        </w:rPr>
        <w:t>34</w:t>
        <w:tab/>
      </w:r>
      <w:r>
        <w:rPr>
          <w:sz w:val="20"/>
        </w:rPr>
        <w:t>See the comments made in respect of emergency powers and counter-terrorism by</w:t>
      </w:r>
      <w:r>
        <w:rPr>
          <w:spacing w:val="1"/>
          <w:sz w:val="20"/>
        </w:rPr>
        <w:t> </w:t>
      </w:r>
      <w:r>
        <w:rPr>
          <w:sz w:val="20"/>
        </w:rPr>
        <w:t>Fionnuala Ní Aoláin, United Nations Special Rapporteur on the promotion and protection of</w:t>
      </w:r>
      <w:r>
        <w:rPr>
          <w:spacing w:val="-50"/>
          <w:sz w:val="20"/>
        </w:rPr>
        <w:t> </w:t>
      </w:r>
      <w:r>
        <w:rPr>
          <w:sz w:val="20"/>
        </w:rPr>
        <w:t>human rights and fundamental freedoms while countering terrorism, </w:t>
      </w:r>
      <w:r>
        <w:rPr>
          <w:i/>
          <w:sz w:val="20"/>
        </w:rPr>
        <w:t>Report on 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promotion and protection of human rights and fundamental freedoms while countering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terrorism </w:t>
      </w:r>
      <w:r>
        <w:rPr>
          <w:sz w:val="20"/>
        </w:rPr>
        <w:t>(Advance Unedited Version) 72</w:t>
      </w:r>
      <w:r>
        <w:rPr>
          <w:position w:val="8"/>
          <w:sz w:val="13"/>
        </w:rPr>
        <w:t>nd </w:t>
      </w:r>
      <w:r>
        <w:rPr>
          <w:sz w:val="20"/>
        </w:rPr>
        <w:t>sess, Provisional Agenda Item 73(b), UN Doc</w:t>
      </w:r>
      <w:r>
        <w:rPr>
          <w:spacing w:val="1"/>
          <w:sz w:val="20"/>
        </w:rPr>
        <w:t> </w:t>
      </w:r>
      <w:r>
        <w:rPr>
          <w:sz w:val="20"/>
        </w:rPr>
        <w:t>A/72/43280</w:t>
      </w:r>
      <w:r>
        <w:rPr>
          <w:spacing w:val="-1"/>
          <w:sz w:val="20"/>
        </w:rPr>
        <w:t> </w:t>
      </w:r>
      <w:r>
        <w:rPr>
          <w:sz w:val="20"/>
        </w:rPr>
        <w:t>(27 September</w:t>
      </w:r>
      <w:r>
        <w:rPr>
          <w:spacing w:val="-5"/>
          <w:sz w:val="20"/>
        </w:rPr>
        <w:t> </w:t>
      </w:r>
      <w:r>
        <w:rPr>
          <w:sz w:val="20"/>
        </w:rPr>
        <w:t>2017)</w:t>
      </w:r>
      <w:r>
        <w:rPr>
          <w:spacing w:val="-2"/>
          <w:sz w:val="20"/>
        </w:rPr>
        <w:t> </w:t>
      </w:r>
      <w:r>
        <w:rPr>
          <w:sz w:val="20"/>
        </w:rPr>
        <w:t>[14]–[16].</w:t>
      </w:r>
    </w:p>
    <w:p>
      <w:pPr>
        <w:spacing w:line="240" w:lineRule="auto" w:before="0"/>
        <w:ind w:left="1484" w:right="872" w:hanging="452"/>
        <w:jc w:val="both"/>
        <w:rPr>
          <w:sz w:val="20"/>
        </w:rPr>
      </w:pPr>
      <w:r>
        <w:rPr>
          <w:position w:val="8"/>
          <w:sz w:val="13"/>
        </w:rPr>
        <w:t>35</w:t>
      </w:r>
      <w:r>
        <w:rPr>
          <w:spacing w:val="1"/>
          <w:position w:val="8"/>
          <w:sz w:val="13"/>
        </w:rPr>
        <w:t> </w:t>
      </w:r>
      <w:r>
        <w:rPr>
          <w:sz w:val="20"/>
        </w:rPr>
        <w:t>United Nations Economic and Social Council, </w:t>
      </w:r>
      <w:r>
        <w:rPr>
          <w:i/>
          <w:sz w:val="20"/>
        </w:rPr>
        <w:t>Siracusa Principles on the Limitation and</w:t>
      </w:r>
      <w:r>
        <w:rPr>
          <w:i/>
          <w:spacing w:val="-49"/>
          <w:sz w:val="20"/>
        </w:rPr>
        <w:t> </w:t>
      </w:r>
      <w:r>
        <w:rPr>
          <w:i/>
          <w:sz w:val="20"/>
        </w:rPr>
        <w:t>Derogation Provisions in the International Covenant on Civil and Political Rights</w:t>
      </w:r>
      <w:r>
        <w:rPr>
          <w:sz w:val="20"/>
        </w:rPr>
        <w:t>, UN Doc</w:t>
      </w:r>
      <w:r>
        <w:rPr>
          <w:spacing w:val="-49"/>
          <w:sz w:val="20"/>
        </w:rPr>
        <w:t> </w:t>
      </w:r>
      <w:r>
        <w:rPr>
          <w:sz w:val="20"/>
        </w:rPr>
        <w:t>E/CN.4/1985/4,</w:t>
      </w:r>
      <w:r>
        <w:rPr>
          <w:spacing w:val="-7"/>
          <w:sz w:val="20"/>
        </w:rPr>
        <w:t> </w:t>
      </w:r>
      <w:r>
        <w:rPr>
          <w:sz w:val="20"/>
        </w:rPr>
        <w:t>Annex (1985)</w:t>
      </w:r>
      <w:r>
        <w:rPr>
          <w:spacing w:val="-2"/>
          <w:sz w:val="20"/>
        </w:rPr>
        <w:t> </w:t>
      </w:r>
      <w:r>
        <w:rPr>
          <w:sz w:val="20"/>
        </w:rPr>
        <w:t>[10].</w:t>
      </w:r>
    </w:p>
    <w:p>
      <w:pPr>
        <w:spacing w:line="237" w:lineRule="auto" w:before="0"/>
        <w:ind w:left="1484" w:right="508" w:hanging="452"/>
        <w:jc w:val="both"/>
        <w:rPr>
          <w:sz w:val="20"/>
        </w:rPr>
      </w:pPr>
      <w:r>
        <w:rPr>
          <w:position w:val="8"/>
          <w:sz w:val="13"/>
        </w:rPr>
        <w:t>36</w:t>
      </w:r>
      <w:r>
        <w:rPr>
          <w:spacing w:val="1"/>
          <w:position w:val="8"/>
          <w:sz w:val="13"/>
        </w:rPr>
        <w:t> </w:t>
      </w:r>
      <w:r>
        <w:rPr>
          <w:sz w:val="20"/>
        </w:rPr>
        <w:t>United Nations Human Rights Committee, </w:t>
      </w:r>
      <w:r>
        <w:rPr>
          <w:i/>
          <w:sz w:val="20"/>
        </w:rPr>
        <w:t>General Comment No 27: Article 12 (Freedom of</w:t>
      </w:r>
      <w:r>
        <w:rPr>
          <w:i/>
          <w:spacing w:val="-49"/>
          <w:sz w:val="20"/>
        </w:rPr>
        <w:t> </w:t>
      </w:r>
      <w:r>
        <w:rPr>
          <w:i/>
          <w:sz w:val="20"/>
        </w:rPr>
        <w:t>Movement)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67</w:t>
      </w:r>
      <w:r>
        <w:rPr>
          <w:position w:val="8"/>
          <w:sz w:val="13"/>
        </w:rPr>
        <w:t>th</w:t>
      </w:r>
      <w:r>
        <w:rPr>
          <w:spacing w:val="20"/>
          <w:position w:val="8"/>
          <w:sz w:val="13"/>
        </w:rPr>
        <w:t> </w:t>
      </w:r>
      <w:r>
        <w:rPr>
          <w:sz w:val="20"/>
        </w:rPr>
        <w:t>sess,</w:t>
      </w:r>
      <w:r>
        <w:rPr>
          <w:spacing w:val="-7"/>
          <w:sz w:val="20"/>
        </w:rPr>
        <w:t> </w:t>
      </w: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Doc</w:t>
      </w:r>
      <w:r>
        <w:rPr>
          <w:spacing w:val="-5"/>
          <w:sz w:val="20"/>
        </w:rPr>
        <w:t> </w:t>
      </w:r>
      <w:r>
        <w:rPr>
          <w:sz w:val="20"/>
        </w:rPr>
        <w:t>CCPR/C/21/Rev.1/Add.9</w:t>
      </w:r>
      <w:r>
        <w:rPr>
          <w:spacing w:val="-1"/>
          <w:sz w:val="20"/>
        </w:rPr>
        <w:t> </w:t>
      </w:r>
      <w:r>
        <w:rPr>
          <w:sz w:val="20"/>
        </w:rPr>
        <w:t>(2</w:t>
      </w:r>
      <w:r>
        <w:rPr>
          <w:spacing w:val="-1"/>
          <w:sz w:val="20"/>
        </w:rPr>
        <w:t> </w:t>
      </w:r>
      <w:r>
        <w:rPr>
          <w:sz w:val="20"/>
        </w:rPr>
        <w:t>November</w:t>
      </w:r>
      <w:r>
        <w:rPr>
          <w:spacing w:val="-1"/>
          <w:sz w:val="20"/>
        </w:rPr>
        <w:t> </w:t>
      </w:r>
      <w:r>
        <w:rPr>
          <w:sz w:val="20"/>
        </w:rPr>
        <w:t>1999)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[13]–[14].</w:t>
      </w:r>
    </w:p>
    <w:p>
      <w:pPr>
        <w:spacing w:line="268" w:lineRule="exact" w:before="0"/>
        <w:ind w:left="1033" w:right="0" w:firstLine="0"/>
        <w:jc w:val="both"/>
        <w:rPr>
          <w:i/>
          <w:sz w:val="20"/>
        </w:rPr>
      </w:pPr>
      <w:r>
        <w:rPr>
          <w:position w:val="8"/>
          <w:sz w:val="13"/>
        </w:rPr>
        <w:t>37      </w:t>
      </w:r>
      <w:r>
        <w:rPr>
          <w:spacing w:val="30"/>
          <w:position w:val="8"/>
          <w:sz w:val="13"/>
        </w:rPr>
        <w:t> </w:t>
      </w:r>
      <w:r>
        <w:rPr>
          <w:sz w:val="20"/>
        </w:rPr>
        <w:t>United</w:t>
      </w:r>
      <w:r>
        <w:rPr>
          <w:spacing w:val="-5"/>
          <w:sz w:val="20"/>
        </w:rPr>
        <w:t> </w:t>
      </w:r>
      <w:r>
        <w:rPr>
          <w:sz w:val="20"/>
        </w:rPr>
        <w:t>Nations</w:t>
      </w:r>
      <w:r>
        <w:rPr>
          <w:spacing w:val="-1"/>
          <w:sz w:val="20"/>
        </w:rPr>
        <w:t> </w:t>
      </w:r>
      <w:r>
        <w:rPr>
          <w:sz w:val="20"/>
        </w:rPr>
        <w:t>Economic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Social</w:t>
      </w:r>
      <w:r>
        <w:rPr>
          <w:spacing w:val="-4"/>
          <w:sz w:val="20"/>
        </w:rPr>
        <w:t> </w:t>
      </w:r>
      <w:r>
        <w:rPr>
          <w:sz w:val="20"/>
        </w:rPr>
        <w:t>Council,</w:t>
      </w:r>
      <w:r>
        <w:rPr>
          <w:spacing w:val="-2"/>
          <w:sz w:val="20"/>
        </w:rPr>
        <w:t> </w:t>
      </w:r>
      <w:r>
        <w:rPr>
          <w:i/>
          <w:sz w:val="20"/>
        </w:rPr>
        <w:t>Siracusa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Principles 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Limitation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</w:p>
    <w:p>
      <w:pPr>
        <w:spacing w:before="0"/>
        <w:ind w:left="1484" w:right="878" w:firstLine="0"/>
        <w:jc w:val="both"/>
        <w:rPr>
          <w:sz w:val="20"/>
        </w:rPr>
      </w:pPr>
      <w:r>
        <w:rPr>
          <w:i/>
          <w:sz w:val="20"/>
        </w:rPr>
        <w:t>Derogation Provisions in the International Covenant on Civil and Political Rights</w:t>
      </w:r>
      <w:r>
        <w:rPr>
          <w:sz w:val="20"/>
        </w:rPr>
        <w:t>, UN Doc</w:t>
      </w:r>
      <w:r>
        <w:rPr>
          <w:spacing w:val="-49"/>
          <w:sz w:val="20"/>
        </w:rPr>
        <w:t> </w:t>
      </w:r>
      <w:r>
        <w:rPr>
          <w:sz w:val="20"/>
        </w:rPr>
        <w:t>E/CN.4/1985/4,</w:t>
      </w:r>
      <w:r>
        <w:rPr>
          <w:spacing w:val="-7"/>
          <w:sz w:val="20"/>
        </w:rPr>
        <w:t> </w:t>
      </w:r>
      <w:r>
        <w:rPr>
          <w:sz w:val="20"/>
        </w:rPr>
        <w:t>Annex (1985)</w:t>
      </w:r>
      <w:r>
        <w:rPr>
          <w:spacing w:val="-2"/>
          <w:sz w:val="20"/>
        </w:rPr>
        <w:t> </w:t>
      </w:r>
      <w:r>
        <w:rPr>
          <w:sz w:val="20"/>
        </w:rPr>
        <w:t>[51].</w:t>
      </w:r>
    </w:p>
    <w:p>
      <w:pPr>
        <w:tabs>
          <w:tab w:pos="1484" w:val="left" w:leader="none"/>
        </w:tabs>
        <w:spacing w:line="237" w:lineRule="auto" w:before="0"/>
        <w:ind w:left="1484" w:right="1043" w:hanging="452"/>
        <w:jc w:val="left"/>
        <w:rPr>
          <w:sz w:val="20"/>
        </w:rPr>
      </w:pPr>
      <w:r>
        <w:rPr>
          <w:position w:val="8"/>
          <w:sz w:val="13"/>
        </w:rPr>
        <w:t>38</w:t>
        <w:tab/>
      </w:r>
      <w:r>
        <w:rPr>
          <w:sz w:val="20"/>
        </w:rPr>
        <w:t>This limitation is discussed in detail in the Commission’s October 2018 submission</w:t>
      </w:r>
      <w:r>
        <w:rPr>
          <w:spacing w:val="-49"/>
          <w:sz w:val="20"/>
        </w:rPr>
        <w:t> </w:t>
      </w:r>
      <w:r>
        <w:rPr>
          <w:sz w:val="20"/>
        </w:rPr>
        <w:t>at Part</w:t>
      </w:r>
      <w:r>
        <w:rPr>
          <w:spacing w:val="1"/>
          <w:sz w:val="20"/>
        </w:rPr>
        <w:t> </w:t>
      </w:r>
      <w:r>
        <w:rPr>
          <w:sz w:val="20"/>
        </w:rPr>
        <w:t>5.2.</w:t>
      </w:r>
    </w:p>
    <w:p>
      <w:pPr>
        <w:tabs>
          <w:tab w:pos="1484" w:val="left" w:leader="none"/>
        </w:tabs>
        <w:spacing w:line="240" w:lineRule="auto" w:before="0"/>
        <w:ind w:left="1484" w:right="303" w:hanging="452"/>
        <w:jc w:val="left"/>
        <w:rPr>
          <w:sz w:val="20"/>
        </w:rPr>
      </w:pPr>
      <w:r>
        <w:rPr>
          <w:position w:val="8"/>
          <w:sz w:val="13"/>
        </w:rPr>
        <w:t>39</w:t>
        <w:tab/>
      </w:r>
      <w:r>
        <w:rPr>
          <w:sz w:val="20"/>
        </w:rPr>
        <w:t>The need for a binding independent assessment was also recognised by the Committee in</w:t>
      </w:r>
      <w:r>
        <w:rPr>
          <w:spacing w:val="-49"/>
          <w:sz w:val="20"/>
        </w:rPr>
        <w:t> </w:t>
      </w:r>
      <w:r>
        <w:rPr>
          <w:sz w:val="20"/>
        </w:rPr>
        <w:t>Recommendation 11 of</w:t>
      </w:r>
      <w:r>
        <w:rPr>
          <w:spacing w:val="-6"/>
          <w:sz w:val="20"/>
        </w:rPr>
        <w:t> </w:t>
      </w:r>
      <w:r>
        <w:rPr>
          <w:sz w:val="20"/>
        </w:rPr>
        <w:t>its report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TOLA</w:t>
      </w:r>
      <w:r>
        <w:rPr>
          <w:spacing w:val="-2"/>
          <w:sz w:val="20"/>
        </w:rPr>
        <w:t> </w:t>
      </w:r>
      <w:r>
        <w:rPr>
          <w:sz w:val="20"/>
        </w:rPr>
        <w:t>Bill.</w:t>
      </w:r>
    </w:p>
    <w:p>
      <w:pPr>
        <w:tabs>
          <w:tab w:pos="1484" w:val="left" w:leader="none"/>
        </w:tabs>
        <w:spacing w:line="240" w:lineRule="auto" w:before="0"/>
        <w:ind w:left="1484" w:right="293" w:hanging="452"/>
        <w:jc w:val="left"/>
        <w:rPr>
          <w:sz w:val="20"/>
        </w:rPr>
      </w:pPr>
      <w:r>
        <w:rPr>
          <w:position w:val="8"/>
          <w:sz w:val="13"/>
        </w:rPr>
        <w:t>40</w:t>
        <w:tab/>
      </w:r>
      <w:r>
        <w:rPr>
          <w:sz w:val="20"/>
        </w:rPr>
        <w:t>Under the TOLA Bill, this prohibition applied only to TANs and TCNs, while under the TOLA</w:t>
      </w:r>
      <w:r>
        <w:rPr>
          <w:spacing w:val="-49"/>
          <w:sz w:val="20"/>
        </w:rPr>
        <w:t> </w:t>
      </w:r>
      <w:r>
        <w:rPr>
          <w:sz w:val="20"/>
        </w:rPr>
        <w:t>Act it has been expanded to also include TARs. Pursuant to s 317ZG(2)–(3), building or</w:t>
      </w:r>
      <w:r>
        <w:rPr>
          <w:spacing w:val="1"/>
          <w:sz w:val="20"/>
        </w:rPr>
        <w:t> </w:t>
      </w:r>
      <w:r>
        <w:rPr>
          <w:sz w:val="20"/>
        </w:rPr>
        <w:t>implementing a relevant weakness includes building a decryption capability, or taking</w:t>
      </w:r>
      <w:r>
        <w:rPr>
          <w:spacing w:val="1"/>
          <w:sz w:val="20"/>
        </w:rPr>
        <w:t> </w:t>
      </w:r>
      <w:r>
        <w:rPr>
          <w:sz w:val="20"/>
        </w:rPr>
        <w:t>action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would render</w:t>
      </w:r>
      <w:r>
        <w:rPr>
          <w:spacing w:val="-6"/>
          <w:sz w:val="20"/>
        </w:rPr>
        <w:t> </w:t>
      </w:r>
      <w:r>
        <w:rPr>
          <w:sz w:val="20"/>
        </w:rPr>
        <w:t>systemic</w:t>
      </w:r>
      <w:r>
        <w:rPr>
          <w:spacing w:val="-2"/>
          <w:sz w:val="20"/>
        </w:rPr>
        <w:t> </w:t>
      </w:r>
      <w:r>
        <w:rPr>
          <w:sz w:val="20"/>
        </w:rPr>
        <w:t>methods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authentication or</w:t>
      </w:r>
      <w:r>
        <w:rPr>
          <w:spacing w:val="-7"/>
          <w:sz w:val="20"/>
        </w:rPr>
        <w:t> </w:t>
      </w:r>
      <w:r>
        <w:rPr>
          <w:sz w:val="20"/>
        </w:rPr>
        <w:t>encryption</w:t>
      </w:r>
      <w:r>
        <w:rPr>
          <w:spacing w:val="-4"/>
          <w:sz w:val="20"/>
        </w:rPr>
        <w:t> </w:t>
      </w:r>
      <w:r>
        <w:rPr>
          <w:sz w:val="20"/>
        </w:rPr>
        <w:t>less</w:t>
      </w:r>
      <w:r>
        <w:rPr>
          <w:spacing w:val="-1"/>
          <w:sz w:val="20"/>
        </w:rPr>
        <w:t> </w:t>
      </w:r>
      <w:r>
        <w:rPr>
          <w:sz w:val="20"/>
        </w:rPr>
        <w:t>effective.</w:t>
      </w:r>
    </w:p>
    <w:sectPr>
      <w:pgSz w:w="11900" w:h="16840"/>
      <w:pgMar w:header="1146" w:footer="333" w:top="2640" w:bottom="520" w:left="4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Open Sans">
    <w:altName w:val="Open San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11.079987pt;margin-top:814.372131pt;width:17.6pt;height:14.45pt;mso-position-horizontal-relative:page;mso-position-vertical-relative:page;z-index:-16043520" type="#_x0000_t202" id="docshape2" filled="false" stroked="false">
          <v:textbox inset="0,0,0,0">
            <w:txbxContent>
              <w:p>
                <w:pPr>
                  <w:spacing w:before="2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11.079987pt;margin-top:814.372131pt;width:17.6pt;height:14.45pt;mso-position-horizontal-relative:page;mso-position-vertical-relative:page;z-index:-16041984" type="#_x0000_t202" id="docshape6" filled="false" stroked="false">
          <v:textbox inset="0,0,0,0">
            <w:txbxContent>
              <w:p>
                <w:pPr>
                  <w:spacing w:before="2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399994pt;margin-top:56.319923pt;width:224.35pt;height:29.2pt;mso-position-horizontal-relative:page;mso-position-vertical-relative:page;z-index:-16044032" type="#_x0000_t202" id="docshape1" filled="false" stroked="false">
          <v:textbox inset="0,0,0,0">
            <w:txbxContent>
              <w:p>
                <w:pPr>
                  <w:spacing w:line="298" w:lineRule="exact" w:before="21"/>
                  <w:ind w:left="591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Australian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Human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Rights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Commission</w:t>
                </w:r>
              </w:p>
              <w:p>
                <w:pPr>
                  <w:spacing w:line="244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b/>
                    <w:sz w:val="18"/>
                  </w:rPr>
                  <w:t>INSLM Review</w:t>
                </w:r>
                <w:r>
                  <w:rPr>
                    <w:b/>
                    <w:spacing w:val="-3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of</w:t>
                </w:r>
                <w:r>
                  <w:rPr>
                    <w:b/>
                    <w:spacing w:val="-3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the</w:t>
                </w:r>
                <w:r>
                  <w:rPr>
                    <w:b/>
                    <w:spacing w:val="-7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TOLA</w:t>
                </w:r>
                <w:r>
                  <w:rPr>
                    <w:b/>
                    <w:spacing w:val="-1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Act, </w:t>
                </w:r>
                <w:r>
                  <w:rPr>
                    <w:sz w:val="18"/>
                  </w:rPr>
                  <w:t>20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September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2019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rect style="position:absolute;margin-left:70.800003pt;margin-top:131.759995pt;width:453.6pt;height:.48pt;mso-position-horizontal-relative:page;mso-position-vertical-relative:page;z-index:-16043008" id="docshape4" filled="true" fillcolor="#000000" stroked="false">
          <v:fill type="solid"/>
          <w10:wrap type="none"/>
        </v:rect>
      </w:pict>
    </w:r>
    <w:r>
      <w:rPr/>
      <w:pict>
        <v:shape style="position:absolute;margin-left:301.160004pt;margin-top:56.319923pt;width:224.6pt;height:29.2pt;mso-position-horizontal-relative:page;mso-position-vertical-relative:page;z-index:-16042496" type="#_x0000_t202" id="docshape5" filled="false" stroked="false">
          <v:textbox inset="0,0,0,0">
            <w:txbxContent>
              <w:p>
                <w:pPr>
                  <w:spacing w:line="298" w:lineRule="exact" w:before="21"/>
                  <w:ind w:left="596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Australian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Human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Rights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Commission</w:t>
                </w:r>
              </w:p>
              <w:p>
                <w:pPr>
                  <w:spacing w:line="244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b/>
                    <w:sz w:val="18"/>
                  </w:rPr>
                  <w:t>INSLM Review</w:t>
                </w:r>
                <w:r>
                  <w:rPr>
                    <w:b/>
                    <w:spacing w:val="-3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of</w:t>
                </w:r>
                <w:r>
                  <w:rPr>
                    <w:b/>
                    <w:spacing w:val="-3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the</w:t>
                </w:r>
                <w:r>
                  <w:rPr>
                    <w:b/>
                    <w:spacing w:val="-7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TOLA</w:t>
                </w:r>
                <w:r>
                  <w:rPr>
                    <w:b/>
                    <w:spacing w:val="-1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Act, </w:t>
                </w:r>
                <w:r>
                  <w:rPr>
                    <w:sz w:val="18"/>
                  </w:rPr>
                  <w:t>20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September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2019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lowerLetter"/>
      <w:lvlText w:val="%1)"/>
      <w:lvlJc w:val="left"/>
      <w:pPr>
        <w:ind w:left="2051" w:hanging="356"/>
        <w:jc w:val="left"/>
      </w:pPr>
      <w:rPr>
        <w:rFonts w:hint="default" w:ascii="Open Sans" w:hAnsi="Open Sans" w:eastAsia="Open Sans" w:cs="Open Sans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870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80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90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00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10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20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30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40" w:hanging="356"/>
      </w:pPr>
      <w:rPr>
        <w:rFonts w:hint="default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2051" w:hanging="356"/>
        <w:jc w:val="left"/>
      </w:pPr>
      <w:rPr>
        <w:rFonts w:hint="default" w:ascii="Open Sans" w:hAnsi="Open Sans" w:eastAsia="Open Sans" w:cs="Open Sans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870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80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90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00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10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20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30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40" w:hanging="356"/>
      </w:pPr>
      <w:rPr>
        <w:rFonts w:hint="default"/>
      </w:rPr>
    </w:lvl>
  </w:abstractNum>
  <w:abstractNum w:abstractNumId="9">
    <w:multiLevelType w:val="hybridMultilevel"/>
    <w:lvl w:ilvl="0">
      <w:start w:val="5"/>
      <w:numFmt w:val="decimal"/>
      <w:lvlText w:val="%1"/>
      <w:lvlJc w:val="left"/>
      <w:pPr>
        <w:ind w:left="1825" w:hanging="85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5" w:hanging="850"/>
        <w:jc w:val="left"/>
      </w:pPr>
      <w:rPr>
        <w:rFonts w:hint="default" w:ascii="Open Sans" w:hAnsi="Open Sans" w:eastAsia="Open Sans" w:cs="Open Sans"/>
        <w:b/>
        <w:bCs/>
        <w:i w:val="0"/>
        <w:iCs w:val="0"/>
        <w:spacing w:val="-1"/>
        <w:w w:val="99"/>
        <w:sz w:val="28"/>
        <w:szCs w:val="28"/>
      </w:rPr>
    </w:lvl>
    <w:lvl w:ilvl="2">
      <w:start w:val="0"/>
      <w:numFmt w:val="bullet"/>
      <w:lvlText w:val="•"/>
      <w:lvlJc w:val="left"/>
      <w:pPr>
        <w:ind w:left="3488" w:hanging="8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22" w:hanging="8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56" w:hanging="8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90" w:hanging="8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24" w:hanging="8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58" w:hanging="8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92" w:hanging="850"/>
      </w:pPr>
      <w:rPr>
        <w:rFonts w:hint="default"/>
      </w:rPr>
    </w:lvl>
  </w:abstractNum>
  <w:abstractNum w:abstractNumId="8">
    <w:multiLevelType w:val="hybridMultilevel"/>
    <w:lvl w:ilvl="0">
      <w:start w:val="29"/>
      <w:numFmt w:val="decimal"/>
      <w:lvlText w:val="%1."/>
      <w:lvlJc w:val="left"/>
      <w:pPr>
        <w:ind w:left="2569" w:hanging="874"/>
        <w:jc w:val="left"/>
      </w:pPr>
      <w:rPr>
        <w:rFonts w:hint="default" w:ascii="Open Sans" w:hAnsi="Open Sans" w:eastAsia="Open Sans" w:cs="Open Sans"/>
        <w:b w:val="0"/>
        <w:bCs w:val="0"/>
        <w:i w:val="0"/>
        <w:iCs w:val="0"/>
        <w:spacing w:val="-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320" w:hanging="8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80" w:hanging="8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40" w:hanging="8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00" w:hanging="8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60" w:hanging="8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20" w:hanging="8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80" w:hanging="8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40" w:hanging="874"/>
      </w:pPr>
      <w:rPr>
        <w:rFonts w:hint="default"/>
      </w:rPr>
    </w:lvl>
  </w:abstractNum>
  <w:abstractNum w:abstractNumId="7">
    <w:multiLevelType w:val="hybridMultilevel"/>
    <w:lvl w:ilvl="0">
      <w:start w:val="1"/>
      <w:numFmt w:val="lowerLetter"/>
      <w:lvlText w:val="(%1)"/>
      <w:lvlJc w:val="left"/>
      <w:pPr>
        <w:ind w:left="1825" w:hanging="850"/>
        <w:jc w:val="left"/>
      </w:pPr>
      <w:rPr>
        <w:rFonts w:hint="default" w:ascii="Open Sans" w:hAnsi="Open Sans" w:eastAsia="Open Sans" w:cs="Open Sans"/>
        <w:b w:val="0"/>
        <w:bCs w:val="0"/>
        <w:i/>
        <w:iCs/>
        <w:spacing w:val="-2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654" w:hanging="8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8" w:hanging="8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22" w:hanging="8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56" w:hanging="8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90" w:hanging="8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24" w:hanging="8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58" w:hanging="8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92" w:hanging="85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185" w:hanging="360"/>
        <w:jc w:val="left"/>
      </w:pPr>
      <w:rPr>
        <w:rFonts w:hint="default"/>
        <w:spacing w:val="-1"/>
        <w:w w:val="100"/>
      </w:rPr>
    </w:lvl>
    <w:lvl w:ilvl="1">
      <w:start w:val="1"/>
      <w:numFmt w:val="lowerLetter"/>
      <w:lvlText w:val="(%2)"/>
      <w:lvlJc w:val="left"/>
      <w:pPr>
        <w:ind w:left="3136" w:hanging="720"/>
        <w:jc w:val="left"/>
      </w:pPr>
      <w:rPr>
        <w:rFonts w:hint="default" w:ascii="Open Sans" w:hAnsi="Open Sans" w:eastAsia="Open Sans" w:cs="Open Sans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3920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00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80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6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40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20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00" w:hanging="72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185" w:hanging="360"/>
        <w:jc w:val="left"/>
      </w:pPr>
      <w:rPr>
        <w:rFonts w:hint="default" w:ascii="Open Sans" w:hAnsi="Open Sans" w:eastAsia="Open Sans" w:cs="Open Sans"/>
        <w:b w:val="0"/>
        <w:bCs w:val="0"/>
        <w:i w:val="0"/>
        <w:iCs w:val="0"/>
        <w:spacing w:val="-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97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7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7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7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6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6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64" w:hanging="360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825" w:hanging="85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5" w:hanging="850"/>
        <w:jc w:val="left"/>
      </w:pPr>
      <w:rPr>
        <w:rFonts w:hint="default" w:ascii="Open Sans" w:hAnsi="Open Sans" w:eastAsia="Open Sans" w:cs="Open Sans"/>
        <w:b/>
        <w:bCs/>
        <w:i w:val="0"/>
        <w:iCs w:val="0"/>
        <w:spacing w:val="-1"/>
        <w:w w:val="99"/>
        <w:sz w:val="28"/>
        <w:szCs w:val="28"/>
      </w:rPr>
    </w:lvl>
    <w:lvl w:ilvl="2">
      <w:start w:val="0"/>
      <w:numFmt w:val="bullet"/>
      <w:lvlText w:val="•"/>
      <w:lvlJc w:val="left"/>
      <w:pPr>
        <w:ind w:left="3488" w:hanging="8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22" w:hanging="8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56" w:hanging="8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90" w:hanging="8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24" w:hanging="8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58" w:hanging="8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92" w:hanging="850"/>
      </w:pPr>
      <w:rPr>
        <w:rFonts w:hint="default"/>
      </w:rPr>
    </w:lvl>
  </w:abstractNum>
  <w:abstractNum w:abstractNumId="3">
    <w:multiLevelType w:val="hybridMultilevel"/>
    <w:lvl w:ilvl="0">
      <w:start w:val="15"/>
      <w:numFmt w:val="decimal"/>
      <w:lvlText w:val="%1."/>
      <w:lvlJc w:val="left"/>
      <w:pPr>
        <w:ind w:left="1686" w:hanging="567"/>
        <w:jc w:val="left"/>
      </w:pPr>
      <w:rPr>
        <w:rFonts w:hint="default"/>
        <w:spacing w:val="0"/>
        <w:w w:val="100"/>
      </w:rPr>
    </w:lvl>
    <w:lvl w:ilvl="1">
      <w:start w:val="1"/>
      <w:numFmt w:val="lowerRoman"/>
      <w:lvlText w:val="%2."/>
      <w:lvlJc w:val="left"/>
      <w:pPr>
        <w:ind w:left="2636" w:hanging="308"/>
        <w:jc w:val="right"/>
      </w:pPr>
      <w:rPr>
        <w:rFonts w:hint="default" w:ascii="Open Sans" w:hAnsi="Open Sans" w:eastAsia="Open Sans" w:cs="Open Sans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3475" w:hanging="3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11" w:hanging="3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46" w:hanging="3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82" w:hanging="3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17" w:hanging="3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53" w:hanging="3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88" w:hanging="308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825" w:hanging="850"/>
        <w:jc w:val="left"/>
      </w:pPr>
      <w:rPr>
        <w:rFonts w:hint="default" w:ascii="Open Sans" w:hAnsi="Open Sans" w:eastAsia="Open Sans" w:cs="Open Sans"/>
        <w:b/>
        <w:bCs/>
        <w:i w:val="0"/>
        <w:iCs w:val="0"/>
        <w:w w:val="100"/>
        <w:sz w:val="36"/>
        <w:szCs w:val="36"/>
      </w:rPr>
    </w:lvl>
    <w:lvl w:ilvl="1">
      <w:start w:val="1"/>
      <w:numFmt w:val="decimal"/>
      <w:lvlText w:val="%2."/>
      <w:lvlJc w:val="left"/>
      <w:pPr>
        <w:ind w:left="1686" w:hanging="567"/>
        <w:jc w:val="left"/>
      </w:pPr>
      <w:rPr>
        <w:rFonts w:hint="default" w:ascii="Open Sans" w:hAnsi="Open Sans" w:eastAsia="Open Sans" w:cs="Open Sans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Roman"/>
      <w:lvlText w:val="%3."/>
      <w:lvlJc w:val="left"/>
      <w:pPr>
        <w:ind w:left="2636" w:hanging="308"/>
        <w:jc w:val="right"/>
      </w:pPr>
      <w:rPr>
        <w:rFonts w:hint="default" w:ascii="Open Sans" w:hAnsi="Open Sans" w:eastAsia="Open Sans" w:cs="Open Sans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3580" w:hanging="3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0" w:hanging="3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60" w:hanging="3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00" w:hanging="3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40" w:hanging="3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80" w:hanging="308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(%1)"/>
      <w:lvlJc w:val="left"/>
      <w:pPr>
        <w:ind w:left="1696" w:hanging="720"/>
        <w:jc w:val="left"/>
      </w:pPr>
      <w:rPr>
        <w:rFonts w:hint="default" w:ascii="Open Sans" w:hAnsi="Open Sans" w:eastAsia="Open Sans" w:cs="Open Sans"/>
        <w:b w:val="0"/>
        <w:bCs w:val="0"/>
        <w:i/>
        <w:iCs/>
        <w:spacing w:val="-2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546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9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3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8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3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7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2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8" w:hanging="72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96" w:hanging="720"/>
        <w:jc w:val="left"/>
      </w:pPr>
      <w:rPr>
        <w:rFonts w:hint="default" w:ascii="Open Sans" w:hAnsi="Open Sans" w:eastAsia="Open Sans" w:cs="Open Sans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696" w:hanging="720"/>
        <w:jc w:val="left"/>
      </w:pPr>
      <w:rPr>
        <w:rFonts w:hint="default" w:ascii="Open Sans" w:hAnsi="Open Sans" w:eastAsia="Open Sans" w:cs="Open Sans"/>
        <w:b w:val="0"/>
        <w:bCs w:val="0"/>
        <w:i/>
        <w:iCs/>
        <w:spacing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339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3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8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3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7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2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8" w:hanging="720"/>
      </w:pPr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Open Sans" w:hAnsi="Open Sans" w:eastAsia="Open Sans" w:cs="Open Sans"/>
    </w:rPr>
  </w:style>
  <w:style w:styleId="TOC1" w:type="paragraph">
    <w:name w:val="TOC 1"/>
    <w:basedOn w:val="Normal"/>
    <w:uiPriority w:val="1"/>
    <w:qFormat/>
    <w:pPr>
      <w:spacing w:before="240"/>
      <w:ind w:left="1696" w:hanging="720"/>
    </w:pPr>
    <w:rPr>
      <w:rFonts w:ascii="Open Sans" w:hAnsi="Open Sans" w:eastAsia="Open Sans" w:cs="Open Sans"/>
      <w:sz w:val="24"/>
      <w:szCs w:val="24"/>
    </w:rPr>
  </w:style>
  <w:style w:styleId="TOC2" w:type="paragraph">
    <w:name w:val="TOC 2"/>
    <w:basedOn w:val="Normal"/>
    <w:uiPriority w:val="1"/>
    <w:qFormat/>
    <w:pPr>
      <w:spacing w:line="326" w:lineRule="exact"/>
      <w:ind w:left="1696" w:hanging="720"/>
    </w:pPr>
    <w:rPr>
      <w:rFonts w:ascii="Open Sans" w:hAnsi="Open Sans" w:eastAsia="Open Sans" w:cs="Open Sans"/>
      <w:i/>
      <w:iCs/>
      <w:sz w:val="24"/>
      <w:szCs w:val="24"/>
    </w:rPr>
  </w:style>
  <w:style w:styleId="BodyText" w:type="paragraph">
    <w:name w:val="Body Text"/>
    <w:basedOn w:val="Normal"/>
    <w:uiPriority w:val="1"/>
    <w:qFormat/>
    <w:pPr>
      <w:ind w:left="1686"/>
    </w:pPr>
    <w:rPr>
      <w:rFonts w:ascii="Open Sans" w:hAnsi="Open Sans" w:eastAsia="Open Sans" w:cs="Open Sans"/>
      <w:sz w:val="24"/>
      <w:szCs w:val="24"/>
    </w:rPr>
  </w:style>
  <w:style w:styleId="Heading1" w:type="paragraph">
    <w:name w:val="Heading 1"/>
    <w:basedOn w:val="Normal"/>
    <w:uiPriority w:val="1"/>
    <w:qFormat/>
    <w:pPr>
      <w:ind w:left="1825" w:hanging="850"/>
      <w:outlineLvl w:val="1"/>
    </w:pPr>
    <w:rPr>
      <w:rFonts w:ascii="Open Sans" w:hAnsi="Open Sans" w:eastAsia="Open Sans" w:cs="Open Sans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ind w:left="1825" w:hanging="850"/>
      <w:outlineLvl w:val="2"/>
    </w:pPr>
    <w:rPr>
      <w:rFonts w:ascii="Open Sans" w:hAnsi="Open Sans" w:eastAsia="Open Sans" w:cs="Open Sans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spacing w:before="98"/>
      <w:ind w:left="976"/>
      <w:outlineLvl w:val="3"/>
    </w:pPr>
    <w:rPr>
      <w:rFonts w:ascii="Open Sans" w:hAnsi="Open Sans" w:eastAsia="Open Sans" w:cs="Open Sans"/>
      <w:b/>
      <w:bCs/>
      <w:i/>
      <w:iCs/>
      <w:sz w:val="28"/>
      <w:szCs w:val="28"/>
    </w:rPr>
  </w:style>
  <w:style w:styleId="Heading4" w:type="paragraph">
    <w:name w:val="Heading 4"/>
    <w:basedOn w:val="Normal"/>
    <w:uiPriority w:val="1"/>
    <w:qFormat/>
    <w:pPr>
      <w:ind w:right="386"/>
      <w:jc w:val="right"/>
      <w:outlineLvl w:val="4"/>
    </w:pPr>
    <w:rPr>
      <w:rFonts w:ascii="Open Sans" w:hAnsi="Open Sans" w:eastAsia="Open Sans" w:cs="Open Sans"/>
      <w:sz w:val="26"/>
      <w:szCs w:val="26"/>
    </w:rPr>
  </w:style>
  <w:style w:styleId="Heading5" w:type="paragraph">
    <w:name w:val="Heading 5"/>
    <w:basedOn w:val="Normal"/>
    <w:uiPriority w:val="1"/>
    <w:qFormat/>
    <w:pPr>
      <w:spacing w:before="118"/>
      <w:ind w:left="1696"/>
      <w:outlineLvl w:val="5"/>
    </w:pPr>
    <w:rPr>
      <w:rFonts w:ascii="Open Sans" w:hAnsi="Open Sans" w:eastAsia="Open Sans" w:cs="Open Sans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spacing w:before="102"/>
      <w:ind w:left="1043" w:right="391" w:firstLine="52"/>
      <w:jc w:val="right"/>
    </w:pPr>
    <w:rPr>
      <w:rFonts w:ascii="Open Sans" w:hAnsi="Open Sans" w:eastAsia="Open Sans" w:cs="Open Sans"/>
      <w:i/>
      <w:iCs/>
      <w:sz w:val="56"/>
      <w:szCs w:val="56"/>
    </w:rPr>
  </w:style>
  <w:style w:styleId="ListParagraph" w:type="paragraph">
    <w:name w:val="List Paragraph"/>
    <w:basedOn w:val="Normal"/>
    <w:uiPriority w:val="1"/>
    <w:qFormat/>
    <w:pPr>
      <w:spacing w:before="200"/>
      <w:ind w:left="1686" w:hanging="567"/>
    </w:pPr>
    <w:rPr>
      <w:rFonts w:ascii="Open Sans" w:hAnsi="Open Sans" w:eastAsia="Open Sans" w:cs="Open Sans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2021-08-13T05:34:35Z</dcterms:created>
  <dcterms:modified xsi:type="dcterms:W3CDTF">2021-08-13T05:34:35Z</dcterms:modified>
</cp:coreProperties>
</file>