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337FA" w14:textId="1241FA19" w:rsidR="00A355F9" w:rsidRDefault="002C5D36" w:rsidP="00A355F9">
      <w:pPr>
        <w:pStyle w:val="MainTitle"/>
      </w:pPr>
      <w:r>
        <w:t xml:space="preserve">Review of Australia’s </w:t>
      </w:r>
    </w:p>
    <w:p w14:paraId="0C57649D" w14:textId="5C7F6F4C" w:rsidR="00A355F9" w:rsidRDefault="002C5D36" w:rsidP="00A355F9">
      <w:pPr>
        <w:pStyle w:val="MainTitle"/>
      </w:pPr>
      <w:r>
        <w:t xml:space="preserve">Disability Strategy </w:t>
      </w:r>
    </w:p>
    <w:p w14:paraId="0FBB9901" w14:textId="7CC6A438" w:rsidR="00A355F9" w:rsidRDefault="002C5D36" w:rsidP="00A355F9">
      <w:pPr>
        <w:pStyle w:val="MainTitle"/>
      </w:pPr>
      <w:r>
        <w:t>2021-2031</w:t>
      </w:r>
    </w:p>
    <w:p w14:paraId="2AE97728" w14:textId="77777777" w:rsidR="00817C73" w:rsidRDefault="00817C73" w:rsidP="00817C73">
      <w:pPr>
        <w:pStyle w:val="Subtitle"/>
      </w:pPr>
      <w:bookmarkStart w:id="0" w:name="_Toc515873204"/>
      <w:bookmarkStart w:id="1" w:name="_Toc175763787"/>
      <w:bookmarkStart w:id="2" w:name="_Toc175847507"/>
      <w:r>
        <w:t>Australian Human Rights Commission</w:t>
      </w:r>
      <w:bookmarkEnd w:id="0"/>
      <w:bookmarkEnd w:id="1"/>
      <w:bookmarkEnd w:id="2"/>
    </w:p>
    <w:p w14:paraId="598D116C" w14:textId="37C7441F" w:rsidR="00817C73" w:rsidRDefault="00817C73" w:rsidP="00817C73">
      <w:pPr>
        <w:pStyle w:val="Subtitle"/>
      </w:pPr>
      <w:bookmarkStart w:id="3" w:name="_Toc515873205"/>
      <w:bookmarkStart w:id="4" w:name="_Toc175763788"/>
      <w:bookmarkStart w:id="5" w:name="_Toc175847508"/>
      <w:r>
        <w:t xml:space="preserve">Submission to the </w:t>
      </w:r>
      <w:bookmarkEnd w:id="3"/>
      <w:r w:rsidR="00AC5DA3">
        <w:t>Department of Social Services</w:t>
      </w:r>
      <w:bookmarkEnd w:id="4"/>
      <w:bookmarkEnd w:id="5"/>
    </w:p>
    <w:p w14:paraId="13E2388D" w14:textId="400E3098" w:rsidR="00F220A5" w:rsidRPr="00817C73" w:rsidRDefault="00187940" w:rsidP="00F220A5">
      <w:pPr>
        <w:pStyle w:val="Date"/>
      </w:pPr>
      <w:r w:rsidRPr="006A53CD">
        <w:t>6</w:t>
      </w:r>
      <w:r w:rsidR="00AC5DA3" w:rsidRPr="006A53CD">
        <w:t xml:space="preserve"> September 2024</w:t>
      </w:r>
    </w:p>
    <w:p w14:paraId="68A0244E" w14:textId="77777777" w:rsidR="00AC636D" w:rsidRDefault="00AC636D" w:rsidP="00AC636D"/>
    <w:p w14:paraId="629DAF2F" w14:textId="77777777" w:rsidR="009E4BD0" w:rsidRPr="00AC636D" w:rsidRDefault="009E4BD0" w:rsidP="00AC636D">
      <w:pPr>
        <w:sectPr w:rsidR="009E4BD0" w:rsidRPr="00AC636D" w:rsidSect="00AC636D">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228" w:right="1700" w:bottom="1134" w:left="1418" w:header="277" w:footer="1361" w:gutter="0"/>
          <w:pgNumType w:start="2"/>
          <w:cols w:space="708"/>
          <w:titlePg/>
          <w:docGrid w:linePitch="360"/>
        </w:sectPr>
      </w:pPr>
    </w:p>
    <w:p w14:paraId="3BC3F3B2" w14:textId="3F52D802" w:rsidR="00AD10C3" w:rsidRPr="00AD10C3" w:rsidRDefault="009F2764" w:rsidP="00AD10C3">
      <w:pPr>
        <w:pStyle w:val="Heading1"/>
      </w:pPr>
      <w:bookmarkStart w:id="6" w:name="_Toc209316062"/>
      <w:bookmarkStart w:id="7" w:name="_Toc207761830"/>
      <w:bookmarkStart w:id="8" w:name="_Toc209578266"/>
      <w:bookmarkStart w:id="9" w:name="_Toc209941766"/>
      <w:bookmarkStart w:id="10" w:name="_Toc175847509"/>
      <w:bookmarkEnd w:id="6"/>
      <w:r w:rsidRPr="009E08D1">
        <w:lastRenderedPageBreak/>
        <w:t>Introduction</w:t>
      </w:r>
      <w:bookmarkEnd w:id="7"/>
      <w:bookmarkEnd w:id="8"/>
      <w:bookmarkEnd w:id="9"/>
      <w:bookmarkEnd w:id="10"/>
      <w:r w:rsidR="00286A83">
        <w:t xml:space="preserve">  </w:t>
      </w:r>
    </w:p>
    <w:p w14:paraId="3D55D74B" w14:textId="08139457" w:rsidR="00D423E7" w:rsidRDefault="00D423E7" w:rsidP="00D423E7">
      <w:r>
        <w:t xml:space="preserve">The Australian Human Rights Commission (Commission) welcomes the opportunity to provide a written submission in response to the Australian Department of Social Services (DSS) </w:t>
      </w:r>
      <w:r w:rsidR="009869EB" w:rsidRPr="00BC31E6">
        <w:rPr>
          <w:i/>
          <w:iCs/>
        </w:rPr>
        <w:t>Discussion</w:t>
      </w:r>
      <w:r w:rsidRPr="00BC31E6">
        <w:rPr>
          <w:i/>
          <w:iCs/>
        </w:rPr>
        <w:t xml:space="preserve"> Paper on </w:t>
      </w:r>
      <w:r w:rsidR="00067F0F" w:rsidRPr="00BC31E6">
        <w:rPr>
          <w:i/>
          <w:iCs/>
        </w:rPr>
        <w:t>Australia’s Disability Strategy Review</w:t>
      </w:r>
      <w:r w:rsidR="00BC31E6">
        <w:rPr>
          <w:i/>
          <w:iCs/>
        </w:rPr>
        <w:t xml:space="preserve"> </w:t>
      </w:r>
      <w:r w:rsidR="00BC31E6">
        <w:t>(Discussion Paper)</w:t>
      </w:r>
      <w:r>
        <w:t xml:space="preserve">. </w:t>
      </w:r>
    </w:p>
    <w:p w14:paraId="21311A7C" w14:textId="5CA3FC04" w:rsidR="00D423E7" w:rsidRDefault="00D423E7" w:rsidP="00D423E7">
      <w:r>
        <w:t xml:space="preserve">The Commission is Australia’s National Human Rights Institution, established under the </w:t>
      </w:r>
      <w:r w:rsidRPr="008E1101">
        <w:rPr>
          <w:i/>
          <w:iCs/>
        </w:rPr>
        <w:t>Australian Human Rights Commission Act 1986</w:t>
      </w:r>
      <w:r>
        <w:t xml:space="preserve"> (Cth),</w:t>
      </w:r>
      <w:r>
        <w:rPr>
          <w:rStyle w:val="EndnoteReference"/>
        </w:rPr>
        <w:endnoteReference w:id="2"/>
      </w:r>
      <w:r>
        <w:t xml:space="preserve"> with recognised independent status and roles in United Nations human rights fora. The Commission’s operations are determined independently of government </w:t>
      </w:r>
      <w:r w:rsidR="00A54773">
        <w:t>by</w:t>
      </w:r>
      <w:r>
        <w:t xml:space="preserve"> the President and Commissioners. </w:t>
      </w:r>
    </w:p>
    <w:p w14:paraId="73D1D066" w14:textId="77777777" w:rsidR="00D423E7" w:rsidRDefault="00D423E7" w:rsidP="00D423E7">
      <w:r>
        <w:t>The Commission provides independent and impartial services to promote and protect human rights and fundamental freedoms in Australia. The Commission undertakes a range of policy development and research tasks that aim to promote compliance with Australia’s human rights obligations, while also investigating and conciliating complaints of unlawful discrimination and breaches of human rights. The Commission also has a role in promoting an understanding and acceptance of human rights in Australia.</w:t>
      </w:r>
      <w:r>
        <w:rPr>
          <w:rStyle w:val="EndnoteReference"/>
        </w:rPr>
        <w:endnoteReference w:id="3"/>
      </w:r>
    </w:p>
    <w:p w14:paraId="5A3CC7C6" w14:textId="77777777" w:rsidR="00D03307" w:rsidRDefault="00D03307" w:rsidP="0015239E">
      <w:pPr>
        <w:pStyle w:val="Heading1"/>
      </w:pPr>
      <w:bookmarkStart w:id="11" w:name="_Toc175847510"/>
      <w:r>
        <w:t>Recommendations</w:t>
      </w:r>
      <w:bookmarkEnd w:id="11"/>
    </w:p>
    <w:p w14:paraId="682C0B84" w14:textId="4F033E6E" w:rsidR="003423F4" w:rsidRDefault="003423F4" w:rsidP="00AD10C3">
      <w:r>
        <w:t xml:space="preserve">The </w:t>
      </w:r>
      <w:r w:rsidR="003B4F1B">
        <w:t>C</w:t>
      </w:r>
      <w:r>
        <w:t xml:space="preserve">ommission </w:t>
      </w:r>
      <w:r w:rsidR="003B4F1B">
        <w:t>makes the following recommendations</w:t>
      </w:r>
      <w:r w:rsidR="008F3537">
        <w:t>:</w:t>
      </w:r>
      <w:r>
        <w:t xml:space="preserve"> </w:t>
      </w:r>
    </w:p>
    <w:p w14:paraId="337B8618" w14:textId="4A3828CF" w:rsidR="1E4F77EF" w:rsidRDefault="1E4F77EF" w:rsidP="75A096A2">
      <w:r w:rsidRPr="75A096A2">
        <w:rPr>
          <w:rFonts w:eastAsia="Open Sans" w:cs="Open Sans"/>
          <w:b/>
          <w:bCs/>
        </w:rPr>
        <w:t xml:space="preserve">Recommendation 1: Public consultation on the Review of Australia’s Disability Strategy should be based on outcomes of the independent evaluation in 2025 and public consultation on the findings of the evaluation.  </w:t>
      </w:r>
    </w:p>
    <w:p w14:paraId="475F0D51" w14:textId="77590039" w:rsidR="1E4F77EF" w:rsidRDefault="1E4F77EF" w:rsidP="75A096A2">
      <w:r w:rsidRPr="75A096A2">
        <w:rPr>
          <w:rFonts w:eastAsia="Open Sans" w:cs="Open Sans"/>
          <w:b/>
          <w:bCs/>
        </w:rPr>
        <w:t xml:space="preserve">Recommendation 2: The timing of future consultation should be cognisant of competing demands on the disability community and sector, and timeframes should be sufficient to allow meaningful engagement. </w:t>
      </w:r>
      <w:r w:rsidRPr="75A096A2">
        <w:rPr>
          <w:rFonts w:eastAsia="Open Sans" w:cs="Open Sans"/>
          <w:b/>
          <w:bCs/>
          <w:lang w:val="en-US"/>
        </w:rPr>
        <w:t xml:space="preserve"> </w:t>
      </w:r>
    </w:p>
    <w:p w14:paraId="425E222C" w14:textId="7F57823F" w:rsidR="1E4F77EF" w:rsidRDefault="1E4F77EF" w:rsidP="75A096A2">
      <w:r w:rsidRPr="75A096A2">
        <w:rPr>
          <w:rFonts w:eastAsia="Open Sans" w:cs="Open Sans"/>
          <w:b/>
          <w:bCs/>
        </w:rPr>
        <w:t xml:space="preserve">Recommendation 3: The Review of Australia’s Disability Strategy should </w:t>
      </w:r>
      <w:proofErr w:type="gramStart"/>
      <w:r w:rsidRPr="75A096A2">
        <w:rPr>
          <w:rFonts w:eastAsia="Open Sans" w:cs="Open Sans"/>
          <w:b/>
          <w:bCs/>
        </w:rPr>
        <w:t>take into account</w:t>
      </w:r>
      <w:proofErr w:type="gramEnd"/>
      <w:r w:rsidRPr="75A096A2">
        <w:rPr>
          <w:rFonts w:eastAsia="Open Sans" w:cs="Open Sans"/>
          <w:b/>
          <w:bCs/>
        </w:rPr>
        <w:t xml:space="preserve"> recommendations made by the Disability Royal Commission. Amendments should be clear on how they progress implementation of all relevant Royal Commission recommendations.</w:t>
      </w:r>
    </w:p>
    <w:p w14:paraId="36962BDB" w14:textId="175761E8" w:rsidR="1E4F77EF" w:rsidRDefault="1E4F77EF" w:rsidP="75A096A2">
      <w:r w:rsidRPr="75A096A2">
        <w:rPr>
          <w:rFonts w:eastAsia="Open Sans" w:cs="Open Sans"/>
          <w:b/>
          <w:bCs/>
        </w:rPr>
        <w:t>Recommendation 4: All policy priorities and actions in Australia’s Disability Strategy should be aimed at addressing ableism and exclusion of people with disability.</w:t>
      </w:r>
    </w:p>
    <w:p w14:paraId="0EBA098D" w14:textId="1991C6BD" w:rsidR="1E4F77EF" w:rsidRDefault="1E4F77EF" w:rsidP="75A096A2">
      <w:r w:rsidRPr="75A096A2">
        <w:rPr>
          <w:rFonts w:eastAsia="Open Sans" w:cs="Open Sans"/>
          <w:b/>
          <w:bCs/>
        </w:rPr>
        <w:lastRenderedPageBreak/>
        <w:t>Recommendation 5: Australia’s Disability Strategy policy priorities should be framed around human rights, with supporting target outcome measures.</w:t>
      </w:r>
    </w:p>
    <w:p w14:paraId="57BE9146" w14:textId="2C57C3B0" w:rsidR="1E4F77EF" w:rsidRDefault="1E4F77EF" w:rsidP="75A096A2">
      <w:r w:rsidRPr="75A096A2">
        <w:rPr>
          <w:rFonts w:eastAsia="Open Sans" w:cs="Open Sans"/>
          <w:b/>
          <w:bCs/>
        </w:rPr>
        <w:t xml:space="preserve">Recommendation 6: Engagement activities for Australia’s Disability Strategy should comply with Article 4(3) of the United Nations </w:t>
      </w:r>
      <w:r w:rsidRPr="75A096A2">
        <w:rPr>
          <w:rFonts w:eastAsia="Open Sans" w:cs="Open Sans"/>
          <w:b/>
          <w:bCs/>
          <w:i/>
          <w:iCs/>
        </w:rPr>
        <w:t>Convention on the Rights of Persons with Disabilities</w:t>
      </w:r>
      <w:r w:rsidRPr="75A096A2">
        <w:rPr>
          <w:rFonts w:eastAsia="Open Sans" w:cs="Open Sans"/>
          <w:b/>
          <w:bCs/>
        </w:rPr>
        <w:t xml:space="preserve">, including by: </w:t>
      </w:r>
    </w:p>
    <w:p w14:paraId="2032BD78" w14:textId="26DF9E9C" w:rsidR="1E4F77EF" w:rsidRDefault="1E4F77EF" w:rsidP="75A096A2">
      <w:pPr>
        <w:pStyle w:val="ListParagraph"/>
        <w:numPr>
          <w:ilvl w:val="0"/>
          <w:numId w:val="2"/>
        </w:numPr>
        <w:spacing w:before="0" w:after="0"/>
        <w:rPr>
          <w:rFonts w:eastAsia="Open Sans" w:cs="Open Sans"/>
          <w:b/>
          <w:bCs/>
        </w:rPr>
      </w:pPr>
      <w:r w:rsidRPr="75A096A2">
        <w:rPr>
          <w:rFonts w:eastAsia="Open Sans" w:cs="Open Sans"/>
          <w:b/>
          <w:bCs/>
        </w:rPr>
        <w:t xml:space="preserve">being co-owned and co-led via a formal partnership with people with disability through their representative </w:t>
      </w:r>
      <w:proofErr w:type="gramStart"/>
      <w:r w:rsidRPr="75A096A2">
        <w:rPr>
          <w:rFonts w:eastAsia="Open Sans" w:cs="Open Sans"/>
          <w:b/>
          <w:bCs/>
        </w:rPr>
        <w:t>organisations;</w:t>
      </w:r>
      <w:proofErr w:type="gramEnd"/>
    </w:p>
    <w:p w14:paraId="4853BDDC" w14:textId="3BA36478" w:rsidR="1E4F77EF" w:rsidRDefault="1E4F77EF" w:rsidP="75A096A2">
      <w:pPr>
        <w:pStyle w:val="ListParagraph"/>
        <w:numPr>
          <w:ilvl w:val="0"/>
          <w:numId w:val="2"/>
        </w:numPr>
        <w:spacing w:before="0" w:after="0"/>
        <w:rPr>
          <w:rFonts w:eastAsia="Open Sans" w:cs="Open Sans"/>
          <w:b/>
          <w:bCs/>
        </w:rPr>
      </w:pPr>
      <w:r w:rsidRPr="75A096A2">
        <w:rPr>
          <w:rFonts w:eastAsia="Open Sans" w:cs="Open Sans"/>
          <w:b/>
          <w:bCs/>
        </w:rPr>
        <w:t>having a standalone priority area to enable greater participation and voice of people with disability through their representative organisations in policy making.</w:t>
      </w:r>
    </w:p>
    <w:p w14:paraId="488E4271" w14:textId="1C345B67" w:rsidR="1E4F77EF" w:rsidRDefault="1E4F77EF" w:rsidP="75A096A2">
      <w:r w:rsidRPr="75A096A2">
        <w:rPr>
          <w:rFonts w:eastAsia="Open Sans" w:cs="Open Sans"/>
          <w:b/>
          <w:bCs/>
        </w:rPr>
        <w:t>Recommendation 7: The Australian Human Rights Commission, under the leadership of the Disability Discrimination Commissioner, should have a formal role in the implementation, evaluation and monitoring of Australia’s Disability Strategy.</w:t>
      </w:r>
    </w:p>
    <w:p w14:paraId="22382019" w14:textId="1FA890F0" w:rsidR="1E4F77EF" w:rsidRDefault="1E4F77EF" w:rsidP="75A096A2">
      <w:r w:rsidRPr="75A096A2">
        <w:rPr>
          <w:rFonts w:eastAsia="Open Sans" w:cs="Open Sans"/>
          <w:b/>
          <w:bCs/>
        </w:rPr>
        <w:t xml:space="preserve">Recommendation 8: Australia’s Disability Strategy should include harmonisation of laws and policies that relate to the rights of persons with disability as a priority. </w:t>
      </w:r>
    </w:p>
    <w:p w14:paraId="1BE429E9" w14:textId="003901BC" w:rsidR="1E4F77EF" w:rsidRDefault="1E4F77EF" w:rsidP="75A096A2">
      <w:r w:rsidRPr="75A096A2">
        <w:rPr>
          <w:rFonts w:eastAsia="Open Sans" w:cs="Open Sans"/>
          <w:b/>
          <w:bCs/>
        </w:rPr>
        <w:t xml:space="preserve">Recommendation 9: The Review of Australia’s Disability Strategy should include the implementation of recommendation 5.4 of the Disability Royal Commission to review national agreements, strategies and plans. The outcomes, and any action taken </w:t>
      </w:r>
      <w:proofErr w:type="gramStart"/>
      <w:r w:rsidRPr="75A096A2">
        <w:rPr>
          <w:rFonts w:eastAsia="Open Sans" w:cs="Open Sans"/>
          <w:b/>
          <w:bCs/>
        </w:rPr>
        <w:t>as a result of</w:t>
      </w:r>
      <w:proofErr w:type="gramEnd"/>
      <w:r w:rsidRPr="75A096A2">
        <w:rPr>
          <w:rFonts w:eastAsia="Open Sans" w:cs="Open Sans"/>
          <w:b/>
          <w:bCs/>
        </w:rPr>
        <w:t xml:space="preserve"> the reviews, should be made public.</w:t>
      </w:r>
    </w:p>
    <w:p w14:paraId="2EB846A7" w14:textId="085293BE" w:rsidR="1E4F77EF" w:rsidRDefault="1E4F77EF" w:rsidP="75A096A2">
      <w:pPr>
        <w:rPr>
          <w:rFonts w:eastAsia="Open Sans" w:cs="Open Sans"/>
        </w:rPr>
      </w:pPr>
      <w:r w:rsidRPr="75A096A2">
        <w:rPr>
          <w:rFonts w:eastAsia="Open Sans" w:cs="Open Sans"/>
          <w:b/>
          <w:bCs/>
        </w:rPr>
        <w:t xml:space="preserve">Recommendation 10: A more robust governance framework and data development plan for Australia’s Disability Strategy should be put in place. </w:t>
      </w:r>
    </w:p>
    <w:p w14:paraId="1DA97DB0" w14:textId="6B117705" w:rsidR="006F5544" w:rsidRDefault="006F5544" w:rsidP="006F5544">
      <w:pPr>
        <w:pStyle w:val="Heading1"/>
      </w:pPr>
      <w:bookmarkStart w:id="12" w:name="_Toc175847511"/>
      <w:r>
        <w:t>Timing</w:t>
      </w:r>
      <w:r w:rsidR="008E24AF">
        <w:t xml:space="preserve">, timeframes, and methodology for </w:t>
      </w:r>
      <w:r>
        <w:t>the Review</w:t>
      </w:r>
    </w:p>
    <w:p w14:paraId="44A8E6C4" w14:textId="55DF344F" w:rsidR="006F5544" w:rsidRDefault="00C15BB8" w:rsidP="006F5544">
      <w:r>
        <w:t>This is a time during which t</w:t>
      </w:r>
      <w:r w:rsidR="006F5544">
        <w:t xml:space="preserve">he disability community and sector </w:t>
      </w:r>
      <w:r w:rsidR="00435EA6">
        <w:t>are</w:t>
      </w:r>
      <w:r w:rsidR="006F5544">
        <w:t xml:space="preserve"> facing </w:t>
      </w:r>
      <w:r w:rsidR="00890F8C">
        <w:t xml:space="preserve">unrelenting </w:t>
      </w:r>
      <w:r w:rsidR="006F5544">
        <w:t>pressures</w:t>
      </w:r>
      <w:r w:rsidR="00890F8C">
        <w:t xml:space="preserve">. </w:t>
      </w:r>
      <w:r w:rsidR="001E6758">
        <w:t>T</w:t>
      </w:r>
      <w:r w:rsidR="006F5544">
        <w:t xml:space="preserve">he Government Response to the final report </w:t>
      </w:r>
      <w:r w:rsidR="00486E3F">
        <w:t>of the Royal Commission into Violence, Abuse, Neglect and Exploitation of People with Disability (Disability Royal Commission)</w:t>
      </w:r>
      <w:r w:rsidR="0073566D">
        <w:t xml:space="preserve"> </w:t>
      </w:r>
      <w:r w:rsidR="001E6758">
        <w:t xml:space="preserve">was published </w:t>
      </w:r>
      <w:r w:rsidR="0073566D">
        <w:t>in July 2024</w:t>
      </w:r>
      <w:r w:rsidR="001E6758">
        <w:t xml:space="preserve">, and there has been </w:t>
      </w:r>
      <w:r>
        <w:t>continuous</w:t>
      </w:r>
      <w:r w:rsidR="00CC018C">
        <w:t xml:space="preserve"> engagement on</w:t>
      </w:r>
      <w:r w:rsidR="005B60C4">
        <w:t xml:space="preserve"> the </w:t>
      </w:r>
      <w:r w:rsidR="005B60C4">
        <w:rPr>
          <w:i/>
          <w:iCs/>
        </w:rPr>
        <w:t>National Disability Insurance Scheme Amendment (Getting the NDIS Back on Track No.1) Bill 2024</w:t>
      </w:r>
      <w:r w:rsidR="00CC018C">
        <w:t xml:space="preserve">, which was recently passed in Parliament. </w:t>
      </w:r>
      <w:r w:rsidR="00B32E61">
        <w:t xml:space="preserve">While the Commission welcomes consultation on the </w:t>
      </w:r>
      <w:r w:rsidR="00B32E61">
        <w:lastRenderedPageBreak/>
        <w:t xml:space="preserve">review of </w:t>
      </w:r>
      <w:r w:rsidR="00B32E61" w:rsidRPr="00B32E61">
        <w:rPr>
          <w:i/>
          <w:iCs/>
        </w:rPr>
        <w:t>Australia’s Disability Strategy 2021-2031</w:t>
      </w:r>
      <w:r w:rsidR="00B32E61">
        <w:t xml:space="preserve"> (ADS), a</w:t>
      </w:r>
      <w:r w:rsidR="00B06B95">
        <w:t xml:space="preserve"> consultation</w:t>
      </w:r>
      <w:r w:rsidR="00984F55">
        <w:t xml:space="preserve"> period of four weeks </w:t>
      </w:r>
      <w:r w:rsidR="00A2241F">
        <w:t>is insufficient</w:t>
      </w:r>
      <w:r w:rsidR="00F66613">
        <w:t xml:space="preserve"> in present circumstances</w:t>
      </w:r>
      <w:r w:rsidR="00A2241F">
        <w:t>.</w:t>
      </w:r>
    </w:p>
    <w:p w14:paraId="364121CE" w14:textId="6AA9AED1" w:rsidR="000F25CA" w:rsidRDefault="000F25CA" w:rsidP="000F25CA">
      <w:r>
        <w:t>The sequencing of the Review before the independent evaluation of the ADS</w:t>
      </w:r>
      <w:r w:rsidR="00F66613">
        <w:t xml:space="preserve">, scheduled for </w:t>
      </w:r>
      <w:r>
        <w:t>2025</w:t>
      </w:r>
      <w:r w:rsidR="00F66613">
        <w:t>,</w:t>
      </w:r>
      <w:r w:rsidR="00A90879">
        <w:t xml:space="preserve"> is counterproductive</w:t>
      </w:r>
      <w:r>
        <w:t xml:space="preserve">. </w:t>
      </w:r>
      <w:r w:rsidR="00E9218B">
        <w:t xml:space="preserve">It is difficult to see genuine commitment to the </w:t>
      </w:r>
      <w:r w:rsidR="00F921A3">
        <w:t>ADS</w:t>
      </w:r>
      <w:r w:rsidR="00E9218B">
        <w:t xml:space="preserve">, if </w:t>
      </w:r>
      <w:r w:rsidR="65C6D6E0">
        <w:t>the Review</w:t>
      </w:r>
      <w:r w:rsidR="00E9218B">
        <w:t xml:space="preserve"> </w:t>
      </w:r>
      <w:r w:rsidR="00F921A3">
        <w:t>is</w:t>
      </w:r>
      <w:r w:rsidR="00E9218B">
        <w:t xml:space="preserve"> not </w:t>
      </w:r>
      <w:r w:rsidR="27FA3905">
        <w:t xml:space="preserve">drawing on </w:t>
      </w:r>
      <w:r w:rsidR="00E9218B">
        <w:t xml:space="preserve">all the resources </w:t>
      </w:r>
      <w:r w:rsidR="7AA8D7C1">
        <w:t>necessary</w:t>
      </w:r>
      <w:r w:rsidR="00E9218B">
        <w:t xml:space="preserve"> to review and update the </w:t>
      </w:r>
      <w:r w:rsidR="00F921A3">
        <w:t>ADS</w:t>
      </w:r>
      <w:r w:rsidR="00ED5805">
        <w:t>, which include</w:t>
      </w:r>
      <w:r w:rsidR="00E9218B">
        <w:t xml:space="preserve"> findings</w:t>
      </w:r>
      <w:r w:rsidR="00F921A3">
        <w:t xml:space="preserve"> </w:t>
      </w:r>
      <w:r w:rsidR="10FD360C">
        <w:t xml:space="preserve">recommendations </w:t>
      </w:r>
      <w:r w:rsidR="00F921A3">
        <w:t>from the Disability Royal Commission</w:t>
      </w:r>
      <w:r w:rsidR="00E9218B">
        <w:t>,</w:t>
      </w:r>
      <w:r w:rsidR="00F921A3">
        <w:t xml:space="preserve"> the</w:t>
      </w:r>
      <w:r w:rsidR="00E9218B">
        <w:t xml:space="preserve"> government response</w:t>
      </w:r>
      <w:r w:rsidR="00C738C0">
        <w:t xml:space="preserve"> to the Disability Royal Commission</w:t>
      </w:r>
      <w:r w:rsidR="00E9218B">
        <w:t xml:space="preserve">, and the outcome of </w:t>
      </w:r>
      <w:r w:rsidR="7FDCE766">
        <w:t xml:space="preserve">2025 ADS independent </w:t>
      </w:r>
      <w:r w:rsidR="00E9218B">
        <w:t>evaluation.</w:t>
      </w:r>
    </w:p>
    <w:p w14:paraId="0A478F26" w14:textId="2601F096" w:rsidR="006F5544" w:rsidRDefault="006F5544" w:rsidP="006F5544">
      <w:r>
        <w:t xml:space="preserve">It would be of greater value to sequence the </w:t>
      </w:r>
      <w:r w:rsidR="00F7270D">
        <w:t>R</w:t>
      </w:r>
      <w:r>
        <w:t xml:space="preserve">eview, and accompanying public consultation, </w:t>
      </w:r>
      <w:r w:rsidR="005918F0">
        <w:t>after</w:t>
      </w:r>
      <w:r>
        <w:t xml:space="preserve"> the evaluation</w:t>
      </w:r>
      <w:r w:rsidR="005C7F49">
        <w:t xml:space="preserve">. </w:t>
      </w:r>
      <w:r>
        <w:t xml:space="preserve">The Commission </w:t>
      </w:r>
      <w:r w:rsidR="005600A4">
        <w:t>urges DSS to commit to</w:t>
      </w:r>
      <w:r>
        <w:t xml:space="preserve"> public consultation</w:t>
      </w:r>
      <w:r w:rsidR="005600A4">
        <w:t>, with sufficient timeframes,</w:t>
      </w:r>
      <w:r>
        <w:t xml:space="preserve"> at this later stage.</w:t>
      </w:r>
    </w:p>
    <w:p w14:paraId="764BD306" w14:textId="60A3F786" w:rsidR="00257B6D" w:rsidRPr="006A53CD" w:rsidRDefault="00257B6D" w:rsidP="00257B6D">
      <w:pPr>
        <w:rPr>
          <w:b/>
          <w:bCs/>
        </w:rPr>
      </w:pPr>
      <w:r w:rsidRPr="006A53CD">
        <w:rPr>
          <w:b/>
          <w:bCs/>
        </w:rPr>
        <w:t xml:space="preserve">Recommendation </w:t>
      </w:r>
      <w:r w:rsidR="00531585">
        <w:rPr>
          <w:b/>
          <w:bCs/>
        </w:rPr>
        <w:t>1</w:t>
      </w:r>
      <w:r w:rsidRPr="006A53CD">
        <w:rPr>
          <w:b/>
          <w:bCs/>
        </w:rPr>
        <w:t>: Public consultation on the Review of Australia’s Disability Strategy should be based on outcomes of the independent evaluation in 2025 and public consultation on the findings of the evaluation.  </w:t>
      </w:r>
    </w:p>
    <w:p w14:paraId="55EB752E" w14:textId="3C676350" w:rsidR="00257B6D" w:rsidRPr="006A53CD" w:rsidRDefault="00257B6D" w:rsidP="00257B6D">
      <w:pPr>
        <w:rPr>
          <w:b/>
          <w:bCs/>
          <w:lang w:val="en-US"/>
        </w:rPr>
      </w:pPr>
      <w:r w:rsidRPr="006A53CD">
        <w:rPr>
          <w:b/>
          <w:bCs/>
        </w:rPr>
        <w:t xml:space="preserve">Recommendation </w:t>
      </w:r>
      <w:r w:rsidR="00EA4FBC">
        <w:rPr>
          <w:b/>
          <w:bCs/>
        </w:rPr>
        <w:t>2</w:t>
      </w:r>
      <w:r w:rsidRPr="006A53CD">
        <w:rPr>
          <w:b/>
          <w:bCs/>
        </w:rPr>
        <w:t>:</w:t>
      </w:r>
      <w:r w:rsidR="00EA4FBC">
        <w:rPr>
          <w:b/>
          <w:bCs/>
        </w:rPr>
        <w:t xml:space="preserve"> </w:t>
      </w:r>
      <w:r w:rsidRPr="006A53CD">
        <w:rPr>
          <w:b/>
          <w:bCs/>
        </w:rPr>
        <w:t xml:space="preserve">The timing of future consultation should be cognisant of competing demands on the disability community and sector, and timeframes should be sufficient to allow meaningful engagement. </w:t>
      </w:r>
      <w:r w:rsidRPr="006A53CD">
        <w:rPr>
          <w:b/>
          <w:bCs/>
          <w:lang w:val="en-US"/>
        </w:rPr>
        <w:t> </w:t>
      </w:r>
    </w:p>
    <w:p w14:paraId="7A0657A4" w14:textId="64E1CD57" w:rsidR="00345F7D" w:rsidRDefault="00345F7D" w:rsidP="00345F7D">
      <w:r>
        <w:t>The Discussion Paper presents draft findings</w:t>
      </w:r>
      <w:r w:rsidR="000D2811">
        <w:t xml:space="preserve"> to guide the Review</w:t>
      </w:r>
      <w:r>
        <w:t xml:space="preserve"> without clearly </w:t>
      </w:r>
      <w:r w:rsidR="18A80C2A">
        <w:t xml:space="preserve">explaining the process and evidence for determining these draft </w:t>
      </w:r>
      <w:r w:rsidR="00ED5805">
        <w:t>findings.</w:t>
      </w:r>
      <w:r w:rsidR="000D2811">
        <w:t xml:space="preserve"> Furthermore,</w:t>
      </w:r>
      <w:r w:rsidR="0029421D">
        <w:t xml:space="preserve"> the</w:t>
      </w:r>
      <w:r w:rsidR="00FC2486">
        <w:t xml:space="preserve"> </w:t>
      </w:r>
      <w:r w:rsidR="00F705F0">
        <w:t>consideration of</w:t>
      </w:r>
      <w:r>
        <w:t xml:space="preserve"> Disability Royal Commission</w:t>
      </w:r>
      <w:r w:rsidR="00C7487F">
        <w:t xml:space="preserve"> recommendations</w:t>
      </w:r>
      <w:r w:rsidR="0029421D">
        <w:t xml:space="preserve"> in the Discussion Paper is not comprehensive</w:t>
      </w:r>
      <w:r>
        <w:t xml:space="preserve">. </w:t>
      </w:r>
      <w:r w:rsidR="00A429FA">
        <w:t>M</w:t>
      </w:r>
      <w:r w:rsidR="00F705F0">
        <w:t xml:space="preserve">apping </w:t>
      </w:r>
      <w:r w:rsidR="00A429FA">
        <w:t xml:space="preserve">against </w:t>
      </w:r>
      <w:r w:rsidR="00853381">
        <w:t>ADS specific Disability Royal Commission recommendations (i.e</w:t>
      </w:r>
      <w:r w:rsidR="007B124F">
        <w:t>. 5.2-5.4</w:t>
      </w:r>
      <w:r w:rsidR="00853381">
        <w:t xml:space="preserve">), and </w:t>
      </w:r>
      <w:r w:rsidR="0029421D">
        <w:t xml:space="preserve">all </w:t>
      </w:r>
      <w:r w:rsidR="00853381">
        <w:t>other recommendations that relate to priority areas and actions in the ADS and Targeted Action Plans (TAPs)</w:t>
      </w:r>
      <w:r w:rsidR="00A429FA">
        <w:t xml:space="preserve"> is a necessary step in this Review</w:t>
      </w:r>
      <w:r w:rsidR="00853381">
        <w:t>.</w:t>
      </w:r>
    </w:p>
    <w:p w14:paraId="0922445A" w14:textId="7C827C45" w:rsidR="009E7E99" w:rsidRPr="005600A4" w:rsidRDefault="009E7E99" w:rsidP="006F5544">
      <w:pPr>
        <w:rPr>
          <w:b/>
          <w:bCs/>
        </w:rPr>
      </w:pPr>
      <w:r w:rsidRPr="006A53CD">
        <w:rPr>
          <w:b/>
          <w:bCs/>
        </w:rPr>
        <w:t xml:space="preserve">Recommendation </w:t>
      </w:r>
      <w:r w:rsidR="00EA4FBC" w:rsidRPr="006A53CD">
        <w:rPr>
          <w:b/>
          <w:bCs/>
        </w:rPr>
        <w:t>3</w:t>
      </w:r>
      <w:r w:rsidRPr="006A53CD">
        <w:rPr>
          <w:b/>
          <w:bCs/>
        </w:rPr>
        <w:t>:</w:t>
      </w:r>
      <w:r w:rsidRPr="00EA4FBC">
        <w:rPr>
          <w:b/>
          <w:bCs/>
        </w:rPr>
        <w:t xml:space="preserve"> The</w:t>
      </w:r>
      <w:r>
        <w:rPr>
          <w:b/>
          <w:bCs/>
        </w:rPr>
        <w:t xml:space="preserve"> Review of Australia’s Disability Strategy should </w:t>
      </w:r>
      <w:proofErr w:type="gramStart"/>
      <w:r w:rsidR="00861228">
        <w:rPr>
          <w:b/>
          <w:bCs/>
        </w:rPr>
        <w:t>take into account</w:t>
      </w:r>
      <w:proofErr w:type="gramEnd"/>
      <w:r w:rsidR="00B55CC6">
        <w:rPr>
          <w:b/>
          <w:bCs/>
        </w:rPr>
        <w:t xml:space="preserve"> recommendations made by the Disability Royal Commission.</w:t>
      </w:r>
      <w:r w:rsidR="00861228">
        <w:rPr>
          <w:b/>
          <w:bCs/>
        </w:rPr>
        <w:t xml:space="preserve"> </w:t>
      </w:r>
      <w:r w:rsidR="007178F1">
        <w:rPr>
          <w:b/>
          <w:bCs/>
        </w:rPr>
        <w:t>Amendments should be clear on how they progress implementation of</w:t>
      </w:r>
      <w:r w:rsidR="0029421D">
        <w:rPr>
          <w:b/>
          <w:bCs/>
        </w:rPr>
        <w:t xml:space="preserve"> all relevant</w:t>
      </w:r>
      <w:r w:rsidR="007178F1">
        <w:rPr>
          <w:b/>
          <w:bCs/>
        </w:rPr>
        <w:t xml:space="preserve"> Royal Commission recommendations.</w:t>
      </w:r>
    </w:p>
    <w:p w14:paraId="10B1262A" w14:textId="0682A044" w:rsidR="005B3AD0" w:rsidRPr="002C0A1A" w:rsidRDefault="00E50B1E" w:rsidP="00E50B1E">
      <w:pPr>
        <w:pStyle w:val="Heading1"/>
      </w:pPr>
      <w:r w:rsidRPr="002C0A1A">
        <w:t>Alignment with the CRPD</w:t>
      </w:r>
      <w:bookmarkEnd w:id="12"/>
    </w:p>
    <w:p w14:paraId="508CDBEE" w14:textId="47D7D2CB" w:rsidR="00711078" w:rsidRDefault="00B55CC6" w:rsidP="00ED36CB">
      <w:r>
        <w:t xml:space="preserve">The </w:t>
      </w:r>
      <w:r w:rsidR="0026602E">
        <w:t>ADS</w:t>
      </w:r>
      <w:r w:rsidR="00D044FF">
        <w:t xml:space="preserve"> is </w:t>
      </w:r>
      <w:r w:rsidR="00E11ED6">
        <w:t>the</w:t>
      </w:r>
      <w:r w:rsidR="00EA0738">
        <w:t xml:space="preserve"> </w:t>
      </w:r>
      <w:r w:rsidR="00853381">
        <w:t>government’s</w:t>
      </w:r>
      <w:r w:rsidR="0026602E">
        <w:t xml:space="preserve"> </w:t>
      </w:r>
      <w:r w:rsidR="00EA0738">
        <w:t>framework</w:t>
      </w:r>
      <w:r w:rsidR="00BB29AF">
        <w:t xml:space="preserve"> </w:t>
      </w:r>
      <w:r w:rsidR="00711078">
        <w:t>for</w:t>
      </w:r>
      <w:r w:rsidR="0026602E">
        <w:t xml:space="preserve"> </w:t>
      </w:r>
      <w:r w:rsidR="00302FD5">
        <w:t>an inclusive Australia</w:t>
      </w:r>
      <w:r w:rsidR="00853381">
        <w:t>,</w:t>
      </w:r>
      <w:r w:rsidR="00CA29E4">
        <w:t xml:space="preserve"> with </w:t>
      </w:r>
      <w:r w:rsidR="00853381">
        <w:t>an</w:t>
      </w:r>
      <w:r w:rsidR="004331B2">
        <w:t xml:space="preserve"> aim</w:t>
      </w:r>
      <w:r w:rsidR="00272911">
        <w:t xml:space="preserve"> </w:t>
      </w:r>
      <w:r w:rsidR="00222FCC">
        <w:t>‘</w:t>
      </w:r>
      <w:r w:rsidR="00466849">
        <w:t>to protect, promote and realise the human rights of people with disability in line with Australia’s commitments under the</w:t>
      </w:r>
      <w:r w:rsidR="004A25C9">
        <w:t xml:space="preserve"> United Nations </w:t>
      </w:r>
      <w:r w:rsidR="004A25C9">
        <w:rPr>
          <w:i/>
          <w:iCs/>
        </w:rPr>
        <w:t>Convention on the Rights of Persons with Disabilities</w:t>
      </w:r>
      <w:r w:rsidR="00493014">
        <w:t>’</w:t>
      </w:r>
      <w:r w:rsidR="00466849">
        <w:rPr>
          <w:rStyle w:val="EndnoteReference"/>
        </w:rPr>
        <w:endnoteReference w:id="4"/>
      </w:r>
      <w:r w:rsidR="004A25C9">
        <w:t xml:space="preserve"> (CRPD</w:t>
      </w:r>
      <w:r w:rsidR="004A25C9" w:rsidRPr="00B54281">
        <w:t>)</w:t>
      </w:r>
      <w:r w:rsidR="006E1BC6" w:rsidRPr="00B54281">
        <w:t>.</w:t>
      </w:r>
      <w:r w:rsidR="005F0F92">
        <w:t xml:space="preserve"> </w:t>
      </w:r>
      <w:r w:rsidR="00590ABE">
        <w:t>As the headline national strategy for people with disability in Australi</w:t>
      </w:r>
      <w:r w:rsidR="00ED36CB">
        <w:t>a</w:t>
      </w:r>
      <w:r w:rsidR="00590ABE">
        <w:t>, i</w:t>
      </w:r>
      <w:r w:rsidR="00C35CBF">
        <w:t xml:space="preserve">t is </w:t>
      </w:r>
      <w:r w:rsidR="003019AA">
        <w:t>imperative</w:t>
      </w:r>
      <w:r w:rsidR="00C35CBF">
        <w:t xml:space="preserve"> that the ADS</w:t>
      </w:r>
      <w:r w:rsidR="00272911">
        <w:t xml:space="preserve"> </w:t>
      </w:r>
      <w:r w:rsidR="000C78E1">
        <w:t xml:space="preserve">be effective in </w:t>
      </w:r>
      <w:r w:rsidR="000C78E1">
        <w:lastRenderedPageBreak/>
        <w:t>progressing</w:t>
      </w:r>
      <w:r w:rsidR="000B04C0">
        <w:t xml:space="preserve"> the implementation of the CRPD</w:t>
      </w:r>
      <w:r w:rsidR="005F0F92">
        <w:t>.</w:t>
      </w:r>
      <w:r w:rsidR="00ED36CB" w:rsidRPr="00ED36CB">
        <w:t xml:space="preserve"> </w:t>
      </w:r>
      <w:r w:rsidR="005F0F92">
        <w:t>However, a</w:t>
      </w:r>
      <w:r w:rsidR="00ED36CB">
        <w:t>fter 4.5 years</w:t>
      </w:r>
      <w:r w:rsidR="00C91BF1">
        <w:t xml:space="preserve"> of evidence of people with disability</w:t>
      </w:r>
      <w:r w:rsidR="00ED36CB">
        <w:t xml:space="preserve"> and other expert</w:t>
      </w:r>
      <w:r w:rsidR="19E5CC1F">
        <w:t>s</w:t>
      </w:r>
      <w:r w:rsidR="00DA3FCF">
        <w:t>, t</w:t>
      </w:r>
      <w:r w:rsidR="00ED36CB">
        <w:t>he Disability Royal Commission found</w:t>
      </w:r>
      <w:r w:rsidR="005F0F92">
        <w:t xml:space="preserve"> that the</w:t>
      </w:r>
      <w:r w:rsidR="00E16BFB">
        <w:t xml:space="preserve"> ADS was lacking </w:t>
      </w:r>
      <w:r w:rsidR="0075085D">
        <w:t xml:space="preserve">in </w:t>
      </w:r>
      <w:r w:rsidR="00E16BFB">
        <w:t>alignment with the CRPD</w:t>
      </w:r>
      <w:r w:rsidR="00ED36CB">
        <w:t>.</w:t>
      </w:r>
      <w:r w:rsidR="00FA3122">
        <w:rPr>
          <w:rStyle w:val="EndnoteReference"/>
        </w:rPr>
        <w:endnoteReference w:id="5"/>
      </w:r>
      <w:r w:rsidR="00ED36CB">
        <w:t xml:space="preserve"> The Commission shares this view</w:t>
      </w:r>
      <w:r w:rsidR="00671412">
        <w:t>.</w:t>
      </w:r>
    </w:p>
    <w:p w14:paraId="15970DB9" w14:textId="77777777" w:rsidR="002463DE" w:rsidRDefault="005C1DAE" w:rsidP="005C1DAE">
      <w:r>
        <w:t>The CRPD sets the roadmap for achieving formal, substantive, and transformative equality</w:t>
      </w:r>
      <w:r w:rsidR="000C78E1">
        <w:t xml:space="preserve"> (explained below)</w:t>
      </w:r>
      <w:r w:rsidR="00DB671A">
        <w:t>; it</w:t>
      </w:r>
      <w:r w:rsidR="000C78E1">
        <w:t xml:space="preserve"> </w:t>
      </w:r>
      <w:r w:rsidR="00671412">
        <w:t xml:space="preserve">should be </w:t>
      </w:r>
      <w:r w:rsidR="00711078">
        <w:t xml:space="preserve">the </w:t>
      </w:r>
      <w:r w:rsidR="00671412">
        <w:t>departure point</w:t>
      </w:r>
      <w:r w:rsidR="0075085D">
        <w:t xml:space="preserve"> for the ADS</w:t>
      </w:r>
      <w:r w:rsidR="00671412">
        <w:t>, as it is for this submission.</w:t>
      </w:r>
      <w:r w:rsidR="00711078">
        <w:t xml:space="preserve"> </w:t>
      </w:r>
    </w:p>
    <w:p w14:paraId="50B91F12" w14:textId="1CCC7896" w:rsidR="005C1DAE" w:rsidRDefault="00B042F2" w:rsidP="005C1DAE">
      <w:r w:rsidRPr="00AA5138">
        <w:t>The CRPD</w:t>
      </w:r>
      <w:r w:rsidR="68781A37">
        <w:t xml:space="preserve"> establishes that people with disability are rights holders</w:t>
      </w:r>
      <w:r w:rsidRPr="00AA5138">
        <w:t xml:space="preserve"> </w:t>
      </w:r>
      <w:r w:rsidR="68781A37">
        <w:t xml:space="preserve">and can exercise </w:t>
      </w:r>
      <w:r w:rsidR="1FE8CBD6">
        <w:t xml:space="preserve">and enjoy their </w:t>
      </w:r>
      <w:r w:rsidR="68781A37">
        <w:t>human rights on an equal basis with others.  It</w:t>
      </w:r>
      <w:r w:rsidRPr="00AA5138">
        <w:t xml:space="preserve"> </w:t>
      </w:r>
      <w:r w:rsidR="000F057E" w:rsidRPr="00AA5138">
        <w:t xml:space="preserve">is centred on the principle of </w:t>
      </w:r>
      <w:r w:rsidR="00DA4D11" w:rsidRPr="00AA5138">
        <w:t>non-discrimination</w:t>
      </w:r>
      <w:r w:rsidR="007904A5" w:rsidRPr="00AA5138">
        <w:t>, defined as ‘any distinction, exclusion or restriction</w:t>
      </w:r>
      <w:r w:rsidR="000F0486" w:rsidRPr="00AA5138">
        <w:t xml:space="preserve"> on the basis of disability’ with the effect of impairing the enjoyment or exercise of human rights</w:t>
      </w:r>
      <w:r w:rsidR="00B00792" w:rsidRPr="00AA5138">
        <w:t>.</w:t>
      </w:r>
      <w:r w:rsidR="000F0486" w:rsidRPr="00AA5138">
        <w:rPr>
          <w:rStyle w:val="EndnoteReference"/>
        </w:rPr>
        <w:endnoteReference w:id="6"/>
      </w:r>
      <w:r w:rsidR="00C91BF1">
        <w:t xml:space="preserve"> This translates to the recognition that impairment should never be the basis for the denial or diminishment of the enjoyment and exercise of human rights.</w:t>
      </w:r>
    </w:p>
    <w:p w14:paraId="6ED98F21" w14:textId="3DBE8612" w:rsidR="00DB671A" w:rsidRDefault="00C14C50" w:rsidP="005C1DAE">
      <w:r w:rsidRPr="00BE13DF">
        <w:t>Simply put, f</w:t>
      </w:r>
      <w:r w:rsidR="00DB671A" w:rsidRPr="00BE13DF">
        <w:t>ormal equality</w:t>
      </w:r>
      <w:r w:rsidR="00D84E26" w:rsidRPr="00BE13DF">
        <w:t xml:space="preserve"> </w:t>
      </w:r>
      <w:r w:rsidR="006C66E5">
        <w:t>has to do with</w:t>
      </w:r>
      <w:r w:rsidRPr="00BE13DF">
        <w:t xml:space="preserve"> equality of treatment (everyone is treated the same) </w:t>
      </w:r>
      <w:r w:rsidR="00DA4D11" w:rsidRPr="00BE13DF">
        <w:t>whereas</w:t>
      </w:r>
      <w:r w:rsidRPr="00BE13DF">
        <w:t xml:space="preserve"> s</w:t>
      </w:r>
      <w:r w:rsidR="00DB671A" w:rsidRPr="00BE13DF">
        <w:t>ubstantive equality</w:t>
      </w:r>
      <w:r w:rsidRPr="00BE13DF">
        <w:t xml:space="preserve"> is</w:t>
      </w:r>
      <w:r w:rsidR="006C66E5">
        <w:t xml:space="preserve"> achieved through</w:t>
      </w:r>
      <w:r w:rsidRPr="00BE13DF">
        <w:t xml:space="preserve"> </w:t>
      </w:r>
      <w:r w:rsidR="00217111" w:rsidRPr="00BE13DF">
        <w:t xml:space="preserve">equality of </w:t>
      </w:r>
      <w:r w:rsidR="7CB6635D">
        <w:t xml:space="preserve">opportunities and </w:t>
      </w:r>
      <w:r w:rsidR="00217111">
        <w:t xml:space="preserve">equality of </w:t>
      </w:r>
      <w:r w:rsidR="00217111" w:rsidRPr="00BE13DF">
        <w:t>outcomes. The latter</w:t>
      </w:r>
      <w:r w:rsidR="00217111">
        <w:t xml:space="preserve"> is only possible </w:t>
      </w:r>
      <w:r w:rsidR="00B33D1F">
        <w:t xml:space="preserve">with the recognition </w:t>
      </w:r>
      <w:r w:rsidR="006C66E5">
        <w:t xml:space="preserve">that </w:t>
      </w:r>
      <w:r w:rsidR="00217111">
        <w:t xml:space="preserve">ableist structures and systems </w:t>
      </w:r>
      <w:r w:rsidR="00BE13DF">
        <w:t>disadvantage people with disability</w:t>
      </w:r>
      <w:r w:rsidR="007B7271">
        <w:t>, an assertion that is</w:t>
      </w:r>
      <w:r w:rsidR="00B33D1F">
        <w:t xml:space="preserve"> wholly</w:t>
      </w:r>
      <w:r w:rsidR="007B7271">
        <w:t xml:space="preserve"> absent from the ADS.</w:t>
      </w:r>
    </w:p>
    <w:p w14:paraId="68E9D2F9" w14:textId="31146773" w:rsidR="005C1DAE" w:rsidRDefault="005C1DAE" w:rsidP="005C1DAE">
      <w:r>
        <w:t xml:space="preserve">Transformative equality </w:t>
      </w:r>
      <w:r w:rsidR="00B33D1F">
        <w:t xml:space="preserve">goes further, </w:t>
      </w:r>
      <w:r w:rsidR="00105BB5">
        <w:t>by</w:t>
      </w:r>
      <w:r>
        <w:t xml:space="preserve"> ‘State Parties taking positive measures to dismantle existing normative frameworks underpinned by ableism.’</w:t>
      </w:r>
      <w:r>
        <w:rPr>
          <w:rStyle w:val="EndnoteReference"/>
        </w:rPr>
        <w:endnoteReference w:id="7"/>
      </w:r>
      <w:r>
        <w:t xml:space="preserve"> The CRPD requires that State Parties go beyond reforming existing systems – particularly where they are specialised and / or segregated – by taking steps to transform systemic structures. </w:t>
      </w:r>
    </w:p>
    <w:p w14:paraId="6D4F87B3" w14:textId="77777777" w:rsidR="005C1DAE" w:rsidRDefault="005C1DAE" w:rsidP="005C1DAE">
      <w:pPr>
        <w:ind w:left="720"/>
        <w:rPr>
          <w:sz w:val="22"/>
          <w:szCs w:val="22"/>
        </w:rPr>
      </w:pPr>
      <w:r w:rsidRPr="004504F4">
        <w:rPr>
          <w:sz w:val="22"/>
          <w:szCs w:val="22"/>
        </w:rPr>
        <w:t>“If the focus continues to be on fixing, reforming or maintaining existing systems that are built on ableism, the necessary social transformation required by the CRPD will never be understood or realised.”</w:t>
      </w:r>
      <w:r w:rsidRPr="004504F4">
        <w:rPr>
          <w:rStyle w:val="EndnoteReference"/>
          <w:sz w:val="22"/>
          <w:szCs w:val="22"/>
        </w:rPr>
        <w:endnoteReference w:id="8"/>
      </w:r>
    </w:p>
    <w:p w14:paraId="0B29CC7D" w14:textId="77777777" w:rsidR="0069788D" w:rsidRDefault="0091489E" w:rsidP="0091489E">
      <w:r w:rsidRPr="003317B8">
        <w:t xml:space="preserve">The ADS as it stands is maintaining the status quo rather than </w:t>
      </w:r>
      <w:r w:rsidR="00937875">
        <w:t>acting as</w:t>
      </w:r>
      <w:r w:rsidRPr="003317B8">
        <w:t xml:space="preserve"> </w:t>
      </w:r>
      <w:r w:rsidR="00937875">
        <w:t>the</w:t>
      </w:r>
      <w:r w:rsidRPr="003317B8">
        <w:t xml:space="preserve"> vehicle for </w:t>
      </w:r>
      <w:r w:rsidR="003317B8" w:rsidRPr="003317B8">
        <w:t xml:space="preserve">formal, substantive, and </w:t>
      </w:r>
      <w:r w:rsidRPr="003317B8">
        <w:t>transformative equality</w:t>
      </w:r>
      <w:r w:rsidR="003317B8" w:rsidRPr="003317B8">
        <w:t xml:space="preserve"> envisioned by the CRPD</w:t>
      </w:r>
      <w:r w:rsidRPr="003317B8">
        <w:t xml:space="preserve">. Without </w:t>
      </w:r>
      <w:r w:rsidR="0069788D">
        <w:t>aligning itself to the CRPD</w:t>
      </w:r>
      <w:r w:rsidRPr="003317B8">
        <w:t xml:space="preserve">, it will not achieve its vision for greater inclusion of people with disability in Australian society. </w:t>
      </w:r>
    </w:p>
    <w:p w14:paraId="755ED540" w14:textId="4F1111F6" w:rsidR="0091489E" w:rsidRDefault="0091489E" w:rsidP="0091489E">
      <w:r w:rsidRPr="003317B8">
        <w:t>The review of the ADS is an opportunity to act on the</w:t>
      </w:r>
      <w:r w:rsidR="00744D46">
        <w:t xml:space="preserve"> evidence-based recommendations made by</w:t>
      </w:r>
      <w:r w:rsidRPr="003317B8">
        <w:t xml:space="preserve"> the </w:t>
      </w:r>
      <w:r w:rsidR="0069788D">
        <w:t xml:space="preserve">Disability </w:t>
      </w:r>
      <w:r w:rsidRPr="003317B8">
        <w:t xml:space="preserve">Royal Commission and NDIS Review, </w:t>
      </w:r>
      <w:r w:rsidR="00744D46">
        <w:t>so that</w:t>
      </w:r>
      <w:r w:rsidRPr="003317B8">
        <w:t xml:space="preserve"> Australia continues the</w:t>
      </w:r>
      <w:r w:rsidR="00D81938">
        <w:t xml:space="preserve"> </w:t>
      </w:r>
      <w:r w:rsidR="00ED5805">
        <w:t>implementation</w:t>
      </w:r>
      <w:r w:rsidR="00ED5805" w:rsidRPr="003317B8">
        <w:t xml:space="preserve"> of</w:t>
      </w:r>
      <w:r w:rsidRPr="003317B8">
        <w:t xml:space="preserve"> the CRPD. Australia is scheduled for review by </w:t>
      </w:r>
      <w:r w:rsidR="009C387C">
        <w:t xml:space="preserve">the </w:t>
      </w:r>
      <w:r w:rsidRPr="003317B8">
        <w:t xml:space="preserve">Committee </w:t>
      </w:r>
      <w:r w:rsidR="009C387C">
        <w:t xml:space="preserve">on the Rights of Persons with Disabilities </w:t>
      </w:r>
      <w:r w:rsidRPr="003317B8">
        <w:t>in 2029</w:t>
      </w:r>
      <w:r w:rsidR="00744D46">
        <w:t>. T</w:t>
      </w:r>
      <w:r w:rsidRPr="003317B8">
        <w:t xml:space="preserve">he Committee will undoubtedly scrutinise the effectiveness of the ADS over its </w:t>
      </w:r>
      <w:r w:rsidRPr="003317B8">
        <w:lastRenderedPageBreak/>
        <w:t>decade long life span</w:t>
      </w:r>
      <w:r w:rsidR="00744D46">
        <w:t>, and there is an opportunity now to place Australia in good stead for this</w:t>
      </w:r>
      <w:r w:rsidR="000F057E">
        <w:t xml:space="preserve"> treaty review</w:t>
      </w:r>
      <w:r w:rsidRPr="003317B8">
        <w:t>.</w:t>
      </w:r>
      <w:r>
        <w:t xml:space="preserve"> </w:t>
      </w:r>
    </w:p>
    <w:p w14:paraId="3891AD29" w14:textId="7DD1BD2A" w:rsidR="00554716" w:rsidRDefault="003317B8" w:rsidP="00ED36CB">
      <w:r>
        <w:t xml:space="preserve">In this section of the submission, the Commission makes recommendations </w:t>
      </w:r>
      <w:r w:rsidR="00104EA8">
        <w:t xml:space="preserve">on how the ADS could </w:t>
      </w:r>
      <w:r w:rsidR="00744B16">
        <w:t>align</w:t>
      </w:r>
      <w:r w:rsidR="00104EA8">
        <w:t xml:space="preserve"> with the CRPD.</w:t>
      </w:r>
    </w:p>
    <w:p w14:paraId="23B67339" w14:textId="77777777" w:rsidR="003127F9" w:rsidRDefault="003127F9" w:rsidP="003127F9">
      <w:pPr>
        <w:pStyle w:val="Heading2"/>
      </w:pPr>
      <w:r>
        <w:t>Human rights model of disability</w:t>
      </w:r>
    </w:p>
    <w:p w14:paraId="296F20AF" w14:textId="1AAE6995" w:rsidR="003127F9" w:rsidRDefault="003127F9" w:rsidP="003127F9">
      <w:r>
        <w:t xml:space="preserve">The ADS should be framed within the human rights model of disability, </w:t>
      </w:r>
      <w:r w:rsidR="17B9BFC6">
        <w:t xml:space="preserve">which incorporates </w:t>
      </w:r>
      <w:r>
        <w:t>the social model</w:t>
      </w:r>
      <w:r w:rsidR="49F52372">
        <w:t xml:space="preserve"> of disabilit</w:t>
      </w:r>
      <w:r w:rsidR="388AB848">
        <w:t>y</w:t>
      </w:r>
      <w:r>
        <w:t>. The human rights model respects and accepts</w:t>
      </w:r>
      <w:r w:rsidRPr="009C092F">
        <w:t xml:space="preserve"> impairment as part of human diversity and dignity</w:t>
      </w:r>
      <w:r w:rsidR="408A79F6">
        <w:t>,</w:t>
      </w:r>
      <w:r w:rsidRPr="009C092F">
        <w:rPr>
          <w:rStyle w:val="EndnoteReference"/>
        </w:rPr>
        <w:endnoteReference w:id="9"/>
      </w:r>
      <w:r>
        <w:t xml:space="preserve"> </w:t>
      </w:r>
      <w:r w:rsidR="0A34B84A">
        <w:t xml:space="preserve">and </w:t>
      </w:r>
      <w:r w:rsidR="118EF665">
        <w:t>affirms that impairment can never be the basis for the denial or diminishment of human rights.</w:t>
      </w:r>
      <w:r>
        <w:t xml:space="preserve"> </w:t>
      </w:r>
      <w:r w:rsidR="15A2EC28">
        <w:t>T</w:t>
      </w:r>
      <w:r>
        <w:t xml:space="preserve">he CRPD is grounded in the </w:t>
      </w:r>
      <w:r w:rsidR="32710E1F">
        <w:t xml:space="preserve">principles of personal autonomy, the freedom to make </w:t>
      </w:r>
      <w:proofErr w:type="gramStart"/>
      <w:r w:rsidR="32710E1F">
        <w:t>one‘</w:t>
      </w:r>
      <w:proofErr w:type="gramEnd"/>
      <w:r w:rsidR="32710E1F">
        <w:t xml:space="preserve">s own choices </w:t>
      </w:r>
      <w:r w:rsidR="044883A5">
        <w:t xml:space="preserve">and the respect for the human dignity and worth </w:t>
      </w:r>
      <w:r>
        <w:t xml:space="preserve">of people with disability. </w:t>
      </w:r>
    </w:p>
    <w:p w14:paraId="27459E49" w14:textId="77777777" w:rsidR="003127F9" w:rsidRDefault="003127F9" w:rsidP="003127F9">
      <w:r>
        <w:t>The human rights model is foundational if the ADS is to shift policy and community attitudes in a transformative way. It should feature in the pre-amble and strongly underlie the priorities and actions in the ‘Community Attitudes’ outcomes area, as well as inform all aspects of the ADS.</w:t>
      </w:r>
    </w:p>
    <w:p w14:paraId="41CF7CA3" w14:textId="585B8DBA" w:rsidR="00AE468D" w:rsidRDefault="00AE468D" w:rsidP="00AE468D">
      <w:pPr>
        <w:pStyle w:val="Heading2"/>
      </w:pPr>
      <w:r>
        <w:t>Acknowledgment of</w:t>
      </w:r>
      <w:r w:rsidR="00B309AD">
        <w:t xml:space="preserve">, and action </w:t>
      </w:r>
      <w:r w:rsidR="00104EA8">
        <w:t>to address</w:t>
      </w:r>
      <w:r w:rsidR="00B309AD">
        <w:t xml:space="preserve">, </w:t>
      </w:r>
      <w:r>
        <w:t>systemic disadvantage</w:t>
      </w:r>
    </w:p>
    <w:p w14:paraId="35513043" w14:textId="3A1A686D" w:rsidR="00F802C3" w:rsidRDefault="002A05BA" w:rsidP="000817EC">
      <w:r>
        <w:t xml:space="preserve">A </w:t>
      </w:r>
      <w:r w:rsidR="00104EA8">
        <w:t>rights-based</w:t>
      </w:r>
      <w:r>
        <w:t xml:space="preserve"> strategy </w:t>
      </w:r>
      <w:r w:rsidR="00744B16">
        <w:t>should,</w:t>
      </w:r>
      <w:r>
        <w:t xml:space="preserve"> first and foremost</w:t>
      </w:r>
      <w:r w:rsidR="00744B16">
        <w:t>,</w:t>
      </w:r>
      <w:r>
        <w:t xml:space="preserve"> acknowledge the systemic inequality </w:t>
      </w:r>
      <w:r w:rsidR="7AE5F0C9">
        <w:t>and discrimination</w:t>
      </w:r>
      <w:r>
        <w:t xml:space="preserve"> it seeks to </w:t>
      </w:r>
      <w:r w:rsidR="7CADB454">
        <w:t>address</w:t>
      </w:r>
      <w:r>
        <w:t xml:space="preserve">. </w:t>
      </w:r>
      <w:r w:rsidR="00303564">
        <w:t>T</w:t>
      </w:r>
      <w:r w:rsidR="00F903FC">
        <w:t>he</w:t>
      </w:r>
      <w:r w:rsidR="00E04051">
        <w:t xml:space="preserve"> Commission points to </w:t>
      </w:r>
      <w:r w:rsidR="002026A5">
        <w:t xml:space="preserve">two </w:t>
      </w:r>
      <w:r w:rsidR="00F802C3">
        <w:t>national strategies</w:t>
      </w:r>
      <w:r w:rsidR="00303564">
        <w:t xml:space="preserve"> as </w:t>
      </w:r>
      <w:r w:rsidR="00744B16">
        <w:t>positive examples</w:t>
      </w:r>
      <w:r w:rsidR="00303564">
        <w:t xml:space="preserve"> to draw on</w:t>
      </w:r>
      <w:r w:rsidR="00C44A03">
        <w:t xml:space="preserve">: </w:t>
      </w:r>
      <w:r w:rsidR="000817EC">
        <w:t xml:space="preserve">the </w:t>
      </w:r>
      <w:r w:rsidR="00F802C3" w:rsidRPr="000817EC">
        <w:rPr>
          <w:i/>
          <w:iCs/>
        </w:rPr>
        <w:t>National Agreement on Closing the Gap</w:t>
      </w:r>
      <w:r w:rsidR="000817EC">
        <w:rPr>
          <w:i/>
          <w:iCs/>
        </w:rPr>
        <w:t xml:space="preserve"> </w:t>
      </w:r>
      <w:r w:rsidR="000817EC">
        <w:t xml:space="preserve">(Closing the Gap) and the </w:t>
      </w:r>
      <w:r w:rsidR="000817EC">
        <w:rPr>
          <w:i/>
          <w:iCs/>
        </w:rPr>
        <w:t>National Plan to End Violence against Women and Children 2022-2032</w:t>
      </w:r>
      <w:r w:rsidR="000817EC">
        <w:t xml:space="preserve"> (National </w:t>
      </w:r>
      <w:r w:rsidR="00501765">
        <w:t xml:space="preserve">Plan to End Violence against Women). </w:t>
      </w:r>
    </w:p>
    <w:p w14:paraId="422C97A8" w14:textId="77777777" w:rsidR="00E33279" w:rsidRDefault="00A30F58" w:rsidP="00381A96">
      <w:r>
        <w:t>B</w:t>
      </w:r>
      <w:r w:rsidR="00381A96">
        <w:t>oth</w:t>
      </w:r>
      <w:r w:rsidR="00973EB5">
        <w:t xml:space="preserve"> strategies</w:t>
      </w:r>
      <w:r w:rsidR="00381A96">
        <w:t xml:space="preserve"> </w:t>
      </w:r>
      <w:r w:rsidR="00266637">
        <w:t>are founded on</w:t>
      </w:r>
      <w:r w:rsidR="008C6BF3">
        <w:t xml:space="preserve"> a recognition of the</w:t>
      </w:r>
      <w:r w:rsidR="001A3C07">
        <w:t xml:space="preserve"> </w:t>
      </w:r>
      <w:r w:rsidR="009A2978">
        <w:t>inequality</w:t>
      </w:r>
      <w:r w:rsidR="00266637">
        <w:t xml:space="preserve"> and</w:t>
      </w:r>
      <w:r w:rsidR="009A2978">
        <w:t xml:space="preserve"> discrimination </w:t>
      </w:r>
      <w:r w:rsidR="001E59E6">
        <w:t>faced by the relevant groups</w:t>
      </w:r>
      <w:r w:rsidR="00851559">
        <w:t>.</w:t>
      </w:r>
      <w:r w:rsidR="00851559" w:rsidRPr="00851559">
        <w:t xml:space="preserve"> </w:t>
      </w:r>
      <w:r w:rsidR="00851559">
        <w:t>For example, Closing the Gap identifies ‘entrenched disadvantage, political exclusion, intergenerational trauma and ongoing institutional racism’</w:t>
      </w:r>
      <w:r w:rsidR="008C6BF3">
        <w:rPr>
          <w:rStyle w:val="EndnoteReference"/>
        </w:rPr>
        <w:endnoteReference w:id="10"/>
      </w:r>
      <w:r w:rsidR="00851559">
        <w:t xml:space="preserve"> endured by Australia’s First Nations people. </w:t>
      </w:r>
    </w:p>
    <w:p w14:paraId="0C07B5B0" w14:textId="77777777" w:rsidR="00E33279" w:rsidRDefault="008C6BF3" w:rsidP="00E33279">
      <w:r>
        <w:t>B</w:t>
      </w:r>
      <w:r w:rsidR="00851559">
        <w:t xml:space="preserve">oth </w:t>
      </w:r>
      <w:r w:rsidR="00973EB5">
        <w:t xml:space="preserve">strategies </w:t>
      </w:r>
      <w:r w:rsidR="009A2978">
        <w:t xml:space="preserve">direct </w:t>
      </w:r>
      <w:r w:rsidR="00851559">
        <w:t>policy actions</w:t>
      </w:r>
      <w:r w:rsidR="001E59E6">
        <w:t xml:space="preserve"> to</w:t>
      </w:r>
      <w:r w:rsidR="00851559">
        <w:t xml:space="preserve">wards </w:t>
      </w:r>
      <w:r w:rsidR="001E59E6">
        <w:t>the</w:t>
      </w:r>
      <w:r w:rsidR="00164EFB">
        <w:t xml:space="preserve"> political, economic and </w:t>
      </w:r>
      <w:r w:rsidR="00D76FA9">
        <w:t>social</w:t>
      </w:r>
      <w:r w:rsidR="001E59E6">
        <w:t xml:space="preserve"> </w:t>
      </w:r>
      <w:r>
        <w:t xml:space="preserve">known </w:t>
      </w:r>
      <w:r w:rsidR="001E59E6">
        <w:t>causes</w:t>
      </w:r>
      <w:r w:rsidR="00851559">
        <w:t xml:space="preserve"> </w:t>
      </w:r>
      <w:r w:rsidR="002C7526">
        <w:t>of</w:t>
      </w:r>
      <w:r w:rsidR="00D76FA9">
        <w:t xml:space="preserve"> </w:t>
      </w:r>
      <w:r>
        <w:t>disadvantage</w:t>
      </w:r>
      <w:r w:rsidR="001D42F9">
        <w:t xml:space="preserve">. </w:t>
      </w:r>
      <w:r w:rsidR="00E33279">
        <w:t>The stated vision of the National Plan to End Violence against Women explicitly recognises the human right to live free from violence and commits ‘to ending violence against women and children in Australian in one generation’.</w:t>
      </w:r>
      <w:r w:rsidR="00E33279">
        <w:rPr>
          <w:rStyle w:val="EndnoteReference"/>
        </w:rPr>
        <w:endnoteReference w:id="11"/>
      </w:r>
      <w:r w:rsidR="00E33279">
        <w:t xml:space="preserve"> </w:t>
      </w:r>
    </w:p>
    <w:p w14:paraId="5D5A35AB" w14:textId="6E27E63F" w:rsidR="002E419C" w:rsidRDefault="00F7384D" w:rsidP="00381A96">
      <w:r>
        <w:t>By contrast, the ADS</w:t>
      </w:r>
      <w:r w:rsidR="00766818">
        <w:t>’s vision is for</w:t>
      </w:r>
      <w:r w:rsidR="00766818" w:rsidRPr="00766818">
        <w:t xml:space="preserve"> </w:t>
      </w:r>
      <w:r w:rsidR="00766818">
        <w:t>‘</w:t>
      </w:r>
      <w:r w:rsidR="00766818" w:rsidRPr="00766818">
        <w:t>an inclusive Australian society that ensures people with disability can fulfil their potential, as equal members of the communit</w:t>
      </w:r>
      <w:r w:rsidR="00596EF7">
        <w:t>y</w:t>
      </w:r>
      <w:r w:rsidR="00766818">
        <w:t>.’</w:t>
      </w:r>
      <w:r w:rsidR="00766818">
        <w:rPr>
          <w:rStyle w:val="EndnoteReference"/>
        </w:rPr>
        <w:endnoteReference w:id="12"/>
      </w:r>
      <w:r w:rsidR="00EA4FBC">
        <w:t xml:space="preserve"> </w:t>
      </w:r>
      <w:r w:rsidR="002D473E">
        <w:t>This</w:t>
      </w:r>
      <w:r w:rsidR="000C39BB">
        <w:t xml:space="preserve"> fails to </w:t>
      </w:r>
      <w:r w:rsidR="00E33279">
        <w:t>recognise</w:t>
      </w:r>
      <w:r w:rsidR="002C3A63">
        <w:t xml:space="preserve"> ableism and</w:t>
      </w:r>
      <w:r w:rsidR="00E33279">
        <w:t xml:space="preserve"> identify the known</w:t>
      </w:r>
      <w:r w:rsidR="002C3A63">
        <w:t xml:space="preserve"> </w:t>
      </w:r>
      <w:r w:rsidR="00C66C86">
        <w:t>drivers</w:t>
      </w:r>
      <w:r w:rsidR="00DA3FE4">
        <w:t xml:space="preserve"> of </w:t>
      </w:r>
      <w:r w:rsidR="008C6BF3">
        <w:lastRenderedPageBreak/>
        <w:t>discrimination, segregation,</w:t>
      </w:r>
      <w:r w:rsidR="00C66C86">
        <w:t xml:space="preserve"> institutionalisation</w:t>
      </w:r>
      <w:r w:rsidR="00DA3FE4">
        <w:t xml:space="preserve"> and exclusion </w:t>
      </w:r>
      <w:r w:rsidR="008C6BF3">
        <w:t>of</w:t>
      </w:r>
      <w:r w:rsidR="00DA3FE4">
        <w:t xml:space="preserve"> people with disability in Australia.</w:t>
      </w:r>
      <w:r w:rsidR="0090278C">
        <w:t xml:space="preserve"> </w:t>
      </w:r>
      <w:r w:rsidR="002E419C">
        <w:t>The focus on people with disability achieving their ’full potential’</w:t>
      </w:r>
      <w:r w:rsidR="00E27314">
        <w:t xml:space="preserve"> is underlined by ableist assumptions that people with disability are not </w:t>
      </w:r>
      <w:r w:rsidR="00323FCA">
        <w:t xml:space="preserve">already doing so. The ADS needs to move the emphasis away from the individual to </w:t>
      </w:r>
      <w:r w:rsidR="009C3ECA">
        <w:t xml:space="preserve">get at the systemic root causes that </w:t>
      </w:r>
      <w:r w:rsidR="00584EED">
        <w:t xml:space="preserve">prevent the enjoyment of rights on an equal basis. </w:t>
      </w:r>
    </w:p>
    <w:p w14:paraId="05106AB4" w14:textId="1AE38B14" w:rsidR="00D6478C" w:rsidRDefault="000D4419" w:rsidP="00381A96">
      <w:r>
        <w:t xml:space="preserve">Some of the ADS supporting documents </w:t>
      </w:r>
      <w:r w:rsidR="00DC042E">
        <w:t>present</w:t>
      </w:r>
      <w:r>
        <w:t xml:space="preserve"> prevalence </w:t>
      </w:r>
      <w:r w:rsidR="00DC042E">
        <w:t xml:space="preserve">rates for various forms of disadvantage and harm, but the </w:t>
      </w:r>
      <w:r w:rsidR="00584EED">
        <w:t xml:space="preserve">underlying </w:t>
      </w:r>
      <w:r w:rsidR="00DC042E">
        <w:t xml:space="preserve">causes </w:t>
      </w:r>
      <w:r w:rsidR="007F60C6">
        <w:t>go unmentioned and unquestioned.</w:t>
      </w:r>
      <w:r w:rsidR="00584EED">
        <w:t xml:space="preserve"> The Disability Royal Commission has clearly shown that benevolent and benign systems</w:t>
      </w:r>
      <w:r w:rsidR="004E2845">
        <w:t xml:space="preserve"> deny people with disability the ability to exercise their human rights, for example</w:t>
      </w:r>
      <w:r w:rsidR="003127F9">
        <w:t>, around access to adequate housing, education, privacy.</w:t>
      </w:r>
      <w:r>
        <w:t xml:space="preserve"> </w:t>
      </w:r>
    </w:p>
    <w:p w14:paraId="0E7789D9" w14:textId="0FD0D0A1" w:rsidR="00061243" w:rsidRDefault="004047B1" w:rsidP="00381A96">
      <w:pPr>
        <w:rPr>
          <w:b/>
          <w:bCs/>
        </w:rPr>
      </w:pPr>
      <w:r>
        <w:rPr>
          <w:b/>
          <w:bCs/>
        </w:rPr>
        <w:t xml:space="preserve">Recommendation </w:t>
      </w:r>
      <w:r w:rsidR="003127F9">
        <w:rPr>
          <w:b/>
          <w:bCs/>
        </w:rPr>
        <w:t>4</w:t>
      </w:r>
      <w:r>
        <w:rPr>
          <w:b/>
          <w:bCs/>
        </w:rPr>
        <w:t xml:space="preserve">: </w:t>
      </w:r>
      <w:r w:rsidR="00C86086">
        <w:rPr>
          <w:b/>
          <w:bCs/>
        </w:rPr>
        <w:t>All policy priorities and actions</w:t>
      </w:r>
      <w:r w:rsidR="003127F9">
        <w:rPr>
          <w:b/>
          <w:bCs/>
        </w:rPr>
        <w:t xml:space="preserve"> in Australia’s Disability Strategy</w:t>
      </w:r>
      <w:r w:rsidR="00C86086">
        <w:rPr>
          <w:b/>
          <w:bCs/>
        </w:rPr>
        <w:t xml:space="preserve"> should </w:t>
      </w:r>
      <w:r w:rsidR="00597646">
        <w:rPr>
          <w:b/>
          <w:bCs/>
        </w:rPr>
        <w:t xml:space="preserve">be aimed at </w:t>
      </w:r>
      <w:r w:rsidR="001F0372">
        <w:rPr>
          <w:b/>
          <w:bCs/>
        </w:rPr>
        <w:t xml:space="preserve">addressing </w:t>
      </w:r>
      <w:r w:rsidR="007F60C6">
        <w:rPr>
          <w:b/>
          <w:bCs/>
        </w:rPr>
        <w:t>ableism and</w:t>
      </w:r>
      <w:r w:rsidR="00597646">
        <w:rPr>
          <w:b/>
          <w:bCs/>
        </w:rPr>
        <w:t xml:space="preserve"> exclusion of people with disability.</w:t>
      </w:r>
    </w:p>
    <w:p w14:paraId="43ACCC32" w14:textId="77F4B267" w:rsidR="00BD4884" w:rsidRDefault="00BD4884" w:rsidP="00D76FA9">
      <w:pPr>
        <w:pStyle w:val="Heading2"/>
      </w:pPr>
      <w:r>
        <w:t xml:space="preserve">Intersectionality </w:t>
      </w:r>
    </w:p>
    <w:p w14:paraId="5060273C" w14:textId="3D5DE901" w:rsidR="00BD4884" w:rsidRDefault="00BD4884" w:rsidP="00BD4884">
      <w:r>
        <w:t>The CRPD is one of the first international treaties to deal with intersecting identities.</w:t>
      </w:r>
      <w:r w:rsidR="004931B0">
        <w:t xml:space="preserve"> With individual articles relating to women with disability</w:t>
      </w:r>
      <w:r w:rsidR="00525F68">
        <w:rPr>
          <w:rStyle w:val="EndnoteReference"/>
        </w:rPr>
        <w:endnoteReference w:id="13"/>
      </w:r>
      <w:r w:rsidR="00525F68">
        <w:t xml:space="preserve"> and children with disability</w:t>
      </w:r>
      <w:r w:rsidR="00A56DDF">
        <w:t>,</w:t>
      </w:r>
      <w:r w:rsidR="00525F68">
        <w:rPr>
          <w:rStyle w:val="EndnoteReference"/>
        </w:rPr>
        <w:endnoteReference w:id="14"/>
      </w:r>
      <w:r w:rsidR="00A56DDF">
        <w:t xml:space="preserve"> the CRPD is clear </w:t>
      </w:r>
      <w:r w:rsidR="001620F0">
        <w:t xml:space="preserve">in its understanding that </w:t>
      </w:r>
      <w:r w:rsidR="004F7300">
        <w:t xml:space="preserve">intersecting identities </w:t>
      </w:r>
      <w:r w:rsidR="001620F0">
        <w:t>impact</w:t>
      </w:r>
      <w:r w:rsidR="004F7300">
        <w:t xml:space="preserve"> the ways in which </w:t>
      </w:r>
      <w:r w:rsidR="001620F0">
        <w:t>people with disability</w:t>
      </w:r>
      <w:r w:rsidR="004F7300">
        <w:t xml:space="preserve"> are discriminated against and excluded from society.</w:t>
      </w:r>
    </w:p>
    <w:p w14:paraId="48674F54" w14:textId="6B295217" w:rsidR="00901DA0" w:rsidRPr="00BD4884" w:rsidRDefault="00901DA0" w:rsidP="00BD4884">
      <w:r>
        <w:t xml:space="preserve">There needs to be recognition within the ADS </w:t>
      </w:r>
      <w:r w:rsidR="0F4BC65C">
        <w:t xml:space="preserve">that people with disability are not a homogenous group. People with disability </w:t>
      </w:r>
      <w:r w:rsidR="1FE7A876">
        <w:t xml:space="preserve">can </w:t>
      </w:r>
      <w:r w:rsidR="0F4BC65C">
        <w:t xml:space="preserve">have </w:t>
      </w:r>
      <w:r w:rsidR="1FE7A876">
        <w:t xml:space="preserve">multiple </w:t>
      </w:r>
      <w:r w:rsidR="01A62EC9">
        <w:t xml:space="preserve">layers </w:t>
      </w:r>
      <w:r>
        <w:t xml:space="preserve">of </w:t>
      </w:r>
      <w:r w:rsidR="40B66F23">
        <w:t>p</w:t>
      </w:r>
      <w:r>
        <w:t xml:space="preserve">ersonal identities </w:t>
      </w:r>
      <w:r w:rsidR="7F80C961">
        <w:t>and life statuses</w:t>
      </w:r>
      <w:r>
        <w:t xml:space="preserve"> that </w:t>
      </w:r>
      <w:r w:rsidR="487A4A14">
        <w:t>create unique and specific experiences.</w:t>
      </w:r>
      <w:r>
        <w:t xml:space="preserve"> </w:t>
      </w:r>
      <w:r w:rsidR="00C653E3">
        <w:t xml:space="preserve">It is also crucial that </w:t>
      </w:r>
      <w:r w:rsidR="7DFB8DA3">
        <w:t xml:space="preserve">intersectionality </w:t>
      </w:r>
      <w:r w:rsidR="00C653E3">
        <w:t xml:space="preserve">be recognised across all areas of the ADS and within </w:t>
      </w:r>
      <w:r w:rsidR="2EE56E5E">
        <w:t xml:space="preserve">broader </w:t>
      </w:r>
      <w:r w:rsidR="00C653E3">
        <w:t>mainstream policy making</w:t>
      </w:r>
      <w:r w:rsidR="00C653E3" w:rsidRPr="00360FF8">
        <w:t xml:space="preserve">. Section </w:t>
      </w:r>
      <w:r w:rsidR="00360FF8" w:rsidRPr="00360FF8">
        <w:t>5.2</w:t>
      </w:r>
      <w:r w:rsidR="00C653E3">
        <w:t xml:space="preserve"> of this submission speaks to th</w:t>
      </w:r>
      <w:r w:rsidR="000C5BBF">
        <w:t xml:space="preserve">is integration across other national agreements. </w:t>
      </w:r>
    </w:p>
    <w:p w14:paraId="12B959AE" w14:textId="77777777" w:rsidR="00604F82" w:rsidRDefault="00604F82" w:rsidP="00604F82">
      <w:pPr>
        <w:pStyle w:val="Heading2"/>
      </w:pPr>
      <w:r>
        <w:t>Rights based framing of policy priorities, actions, and outcomes</w:t>
      </w:r>
    </w:p>
    <w:p w14:paraId="4F610003" w14:textId="3D2FC498" w:rsidR="00166130" w:rsidRDefault="00606A2A" w:rsidP="00737CA0">
      <w:r>
        <w:t xml:space="preserve">There is </w:t>
      </w:r>
      <w:r w:rsidR="00166130">
        <w:t xml:space="preserve">one </w:t>
      </w:r>
      <w:r w:rsidR="00817A29">
        <w:t xml:space="preserve">specific </w:t>
      </w:r>
      <w:r w:rsidR="00166130">
        <w:t>policy priority</w:t>
      </w:r>
      <w:r w:rsidR="00420CCA">
        <w:t xml:space="preserve"> in the </w:t>
      </w:r>
      <w:r w:rsidR="00C55AFE">
        <w:t xml:space="preserve">ADS’ </w:t>
      </w:r>
      <w:r w:rsidR="00420CCA">
        <w:t>Safety</w:t>
      </w:r>
      <w:r w:rsidR="00BF00E1">
        <w:t xml:space="preserve">, </w:t>
      </w:r>
      <w:r w:rsidR="00420CCA">
        <w:t xml:space="preserve">Rights and </w:t>
      </w:r>
      <w:r w:rsidR="00BF00E1">
        <w:t>Justice</w:t>
      </w:r>
      <w:r w:rsidR="00420CCA">
        <w:t xml:space="preserve"> Outcome Area </w:t>
      </w:r>
      <w:r w:rsidR="00817A29">
        <w:t>to ‘</w:t>
      </w:r>
      <w:r w:rsidR="000348CC">
        <w:t>uphold and protect the rights of people with disability.</w:t>
      </w:r>
      <w:r w:rsidR="00817A29">
        <w:t>’</w:t>
      </w:r>
      <w:r w:rsidR="009C380A">
        <w:rPr>
          <w:rStyle w:val="EndnoteReference"/>
        </w:rPr>
        <w:endnoteReference w:id="15"/>
      </w:r>
      <w:r w:rsidR="000348CC">
        <w:t xml:space="preserve"> </w:t>
      </w:r>
      <w:r w:rsidR="000C11FA">
        <w:t xml:space="preserve">It is confusing to have such a broad and </w:t>
      </w:r>
      <w:r w:rsidR="00C55AFE">
        <w:t>all-encompassing</w:t>
      </w:r>
      <w:r w:rsidR="000C11FA">
        <w:t xml:space="preserve"> </w:t>
      </w:r>
      <w:r w:rsidR="00A20AF2">
        <w:t>priority</w:t>
      </w:r>
      <w:r>
        <w:t xml:space="preserve"> that </w:t>
      </w:r>
      <w:r w:rsidR="00006366">
        <w:t>is also</w:t>
      </w:r>
      <w:r w:rsidR="00B16F5A">
        <w:t xml:space="preserve"> the overall aim of the ADS</w:t>
      </w:r>
      <w:r w:rsidR="003B328F">
        <w:t xml:space="preserve">. </w:t>
      </w:r>
      <w:r w:rsidR="00FE1963">
        <w:t xml:space="preserve">This policy priority has no associated actions or </w:t>
      </w:r>
      <w:r w:rsidR="00F2122B">
        <w:t>targets but</w:t>
      </w:r>
      <w:r w:rsidR="00FE1963">
        <w:t xml:space="preserve"> does have two associated outcomes measures</w:t>
      </w:r>
      <w:r w:rsidR="005165BB">
        <w:t>:</w:t>
      </w:r>
      <w:r w:rsidR="00FE1963">
        <w:t xml:space="preserve"> the</w:t>
      </w:r>
      <w:r w:rsidR="003B328F">
        <w:t xml:space="preserve"> percentage of access </w:t>
      </w:r>
      <w:r w:rsidR="00751AA0">
        <w:t xml:space="preserve">to </w:t>
      </w:r>
      <w:r w:rsidR="009C0172">
        <w:t xml:space="preserve">independent advocacy and </w:t>
      </w:r>
      <w:r w:rsidR="001159A0">
        <w:t xml:space="preserve">the number of complaints made under the </w:t>
      </w:r>
      <w:r w:rsidR="001159A0" w:rsidRPr="001159A0">
        <w:rPr>
          <w:i/>
          <w:iCs/>
        </w:rPr>
        <w:t xml:space="preserve">Disability Discrimination </w:t>
      </w:r>
      <w:r w:rsidR="001159A0" w:rsidRPr="001159A0">
        <w:rPr>
          <w:i/>
          <w:iCs/>
        </w:rPr>
        <w:lastRenderedPageBreak/>
        <w:t>Act 1992</w:t>
      </w:r>
      <w:r w:rsidR="001159A0">
        <w:t xml:space="preserve"> (Cth)</w:t>
      </w:r>
      <w:r w:rsidR="00E44D1B">
        <w:t xml:space="preserve">. </w:t>
      </w:r>
      <w:r w:rsidR="00D95108">
        <w:t xml:space="preserve">These </w:t>
      </w:r>
      <w:r w:rsidR="00FE1963">
        <w:t xml:space="preserve">measures are </w:t>
      </w:r>
      <w:r w:rsidR="00F2122B">
        <w:t>reductionist and</w:t>
      </w:r>
      <w:r w:rsidR="0079122B">
        <w:t xml:space="preserve"> </w:t>
      </w:r>
      <w:r w:rsidR="00F2122B">
        <w:t>in</w:t>
      </w:r>
      <w:r w:rsidR="004B1F57">
        <w:t>accurate</w:t>
      </w:r>
      <w:r w:rsidR="005165BB">
        <w:t xml:space="preserve"> or </w:t>
      </w:r>
      <w:r w:rsidR="00F2122B">
        <w:t>in</w:t>
      </w:r>
      <w:r w:rsidR="005165BB">
        <w:t>complete measures</w:t>
      </w:r>
      <w:r w:rsidR="00D95108">
        <w:t xml:space="preserve"> of the exercise of or fulfillment of rights. </w:t>
      </w:r>
    </w:p>
    <w:p w14:paraId="5EF677AB" w14:textId="5B513922" w:rsidR="00737CA0" w:rsidRDefault="00364C48" w:rsidP="00737CA0">
      <w:r>
        <w:t xml:space="preserve">The Disability Royal Commission </w:t>
      </w:r>
      <w:r w:rsidR="00945009">
        <w:t>pointed to the absence of</w:t>
      </w:r>
      <w:r>
        <w:t xml:space="preserve"> a TAP on human rights,</w:t>
      </w:r>
      <w:r w:rsidRPr="00364C48">
        <w:rPr>
          <w:rStyle w:val="EndnoteReference"/>
        </w:rPr>
        <w:t xml:space="preserve"> </w:t>
      </w:r>
      <w:r>
        <w:rPr>
          <w:rStyle w:val="EndnoteReference"/>
        </w:rPr>
        <w:endnoteReference w:id="16"/>
      </w:r>
      <w:r w:rsidR="0079122B">
        <w:t xml:space="preserve"> </w:t>
      </w:r>
      <w:r w:rsidR="00945009">
        <w:t>which causes</w:t>
      </w:r>
      <w:r w:rsidR="0079122B">
        <w:t xml:space="preserve"> difficulties in</w:t>
      </w:r>
      <w:r>
        <w:t xml:space="preserve"> monitor</w:t>
      </w:r>
      <w:r w:rsidR="0079122B">
        <w:t>ing</w:t>
      </w:r>
      <w:r>
        <w:t xml:space="preserve"> and assess</w:t>
      </w:r>
      <w:r w:rsidR="0079122B">
        <w:t>ing</w:t>
      </w:r>
      <w:r>
        <w:t xml:space="preserve"> ‘what actions, if any, are targeted at realising human rights.’</w:t>
      </w:r>
      <w:r>
        <w:rPr>
          <w:rStyle w:val="EndnoteReference"/>
        </w:rPr>
        <w:endnoteReference w:id="17"/>
      </w:r>
      <w:r w:rsidR="000C1569">
        <w:t xml:space="preserve"> T</w:t>
      </w:r>
      <w:r w:rsidR="000D682F">
        <w:t>he Commission</w:t>
      </w:r>
      <w:r w:rsidR="00096AD4">
        <w:t xml:space="preserve">’s </w:t>
      </w:r>
      <w:r w:rsidR="008A2601">
        <w:t>view</w:t>
      </w:r>
      <w:r w:rsidR="00096AD4">
        <w:t xml:space="preserve"> is that, in a first </w:t>
      </w:r>
      <w:r w:rsidR="00096AD4" w:rsidRPr="008A2601">
        <w:t xml:space="preserve">instance, </w:t>
      </w:r>
      <w:r w:rsidR="000D682F" w:rsidRPr="008A2601">
        <w:t xml:space="preserve">human rights should frame and permeate every element of the ADS. </w:t>
      </w:r>
      <w:r w:rsidR="00737CA0">
        <w:t xml:space="preserve">To achieve this, </w:t>
      </w:r>
      <w:r w:rsidR="00C60109">
        <w:t>the</w:t>
      </w:r>
      <w:r w:rsidR="00737CA0">
        <w:t xml:space="preserve"> ADS </w:t>
      </w:r>
      <w:r w:rsidR="00C60109" w:rsidRPr="008A2601">
        <w:t>need</w:t>
      </w:r>
      <w:r w:rsidR="008A2601">
        <w:t>s</w:t>
      </w:r>
      <w:r w:rsidR="00C60109">
        <w:t xml:space="preserve"> to be restructured so that every </w:t>
      </w:r>
      <w:r w:rsidR="00004BF8">
        <w:t>policy priority be worded in such a way that</w:t>
      </w:r>
      <w:r w:rsidR="00737CA0" w:rsidRPr="008A2601">
        <w:t xml:space="preserve"> identif</w:t>
      </w:r>
      <w:r w:rsidR="00004BF8">
        <w:t>ies</w:t>
      </w:r>
      <w:r w:rsidR="00737CA0" w:rsidRPr="008A2601">
        <w:t xml:space="preserve"> </w:t>
      </w:r>
      <w:r w:rsidR="00604F82">
        <w:t>the</w:t>
      </w:r>
      <w:r w:rsidR="00751AA0" w:rsidRPr="008A2601">
        <w:t xml:space="preserve"> </w:t>
      </w:r>
      <w:r w:rsidR="00737CA0">
        <w:t>individual rights it seeks to realise</w:t>
      </w:r>
      <w:r w:rsidR="00004BF8">
        <w:t>. Associated</w:t>
      </w:r>
      <w:r w:rsidR="00737CA0">
        <w:t xml:space="preserve"> TAPs and outcomes </w:t>
      </w:r>
      <w:r w:rsidR="00004BF8">
        <w:t>can then consequently relate to</w:t>
      </w:r>
      <w:r w:rsidR="00737CA0">
        <w:t xml:space="preserve"> the realisation of these rights. </w:t>
      </w:r>
    </w:p>
    <w:p w14:paraId="748091E1" w14:textId="6C95D74E" w:rsidR="002F4644" w:rsidRDefault="009D548B" w:rsidP="009D548B">
      <w:r>
        <w:t xml:space="preserve">At present, some – albeit a minority – of the ADS policy priorities </w:t>
      </w:r>
      <w:r w:rsidR="00335F85">
        <w:t xml:space="preserve">are </w:t>
      </w:r>
      <w:r w:rsidR="00352210">
        <w:t xml:space="preserve">framed using in a </w:t>
      </w:r>
      <w:r w:rsidR="00F2122B">
        <w:t>rights-based</w:t>
      </w:r>
      <w:r w:rsidR="00352210">
        <w:t xml:space="preserve"> approach</w:t>
      </w:r>
      <w:r>
        <w:t xml:space="preserve">. The Commission recommends </w:t>
      </w:r>
      <w:r w:rsidR="00335F85">
        <w:t>all</w:t>
      </w:r>
      <w:r>
        <w:t xml:space="preserve"> ADS priority areas should be explicit in using rights language, mirroring the CRPD. For example</w:t>
      </w:r>
      <w:r w:rsidR="002F4644">
        <w:t>:</w:t>
      </w:r>
    </w:p>
    <w:p w14:paraId="03E86493" w14:textId="6AA0E8BD" w:rsidR="004138C1" w:rsidRDefault="008B5F75" w:rsidP="004138C1">
      <w:pPr>
        <w:pStyle w:val="ListParagraph"/>
        <w:numPr>
          <w:ilvl w:val="0"/>
          <w:numId w:val="48"/>
        </w:numPr>
      </w:pPr>
      <w:r>
        <w:t xml:space="preserve">Policy priority 1, Employment and </w:t>
      </w:r>
      <w:r w:rsidRPr="004138C1">
        <w:t>Financial Security</w:t>
      </w:r>
      <w:r>
        <w:t xml:space="preserve">, to </w:t>
      </w:r>
      <w:r w:rsidR="002F4644">
        <w:t>‘</w:t>
      </w:r>
      <w:r>
        <w:t>i</w:t>
      </w:r>
      <w:r w:rsidR="009D548B">
        <w:t>ncrease employment of people with disability’</w:t>
      </w:r>
      <w:r w:rsidR="004F18DF">
        <w:t xml:space="preserve"> </w:t>
      </w:r>
      <w:r w:rsidR="009D548B" w:rsidRPr="004138C1">
        <w:t xml:space="preserve">should </w:t>
      </w:r>
      <w:r w:rsidR="002F4644" w:rsidRPr="004138C1">
        <w:t>be</w:t>
      </w:r>
      <w:r w:rsidR="000E01EA" w:rsidRPr="004138C1">
        <w:t xml:space="preserve"> centred on </w:t>
      </w:r>
      <w:r w:rsidR="00A33612" w:rsidRPr="004138C1">
        <w:t xml:space="preserve">realising the right </w:t>
      </w:r>
      <w:r w:rsidR="009D548B" w:rsidRPr="004138C1">
        <w:t>to work on equal basis with others</w:t>
      </w:r>
      <w:r w:rsidR="001B0868" w:rsidRPr="004138C1">
        <w:t>, with a set target</w:t>
      </w:r>
      <w:r>
        <w:t xml:space="preserve"> to</w:t>
      </w:r>
      <w:r w:rsidR="001B0868" w:rsidRPr="004138C1">
        <w:t xml:space="preserve"> </w:t>
      </w:r>
      <w:r w:rsidR="00995D7B" w:rsidRPr="004138C1">
        <w:t xml:space="preserve">increase employment </w:t>
      </w:r>
      <w:r>
        <w:t>rates</w:t>
      </w:r>
      <w:r w:rsidR="00995D7B" w:rsidRPr="004138C1">
        <w:t>.</w:t>
      </w:r>
    </w:p>
    <w:p w14:paraId="22C4C01F" w14:textId="21BF0E54" w:rsidR="002F4644" w:rsidRPr="004138C1" w:rsidRDefault="0067092B" w:rsidP="004138C1">
      <w:pPr>
        <w:pStyle w:val="ListParagraph"/>
        <w:numPr>
          <w:ilvl w:val="0"/>
          <w:numId w:val="48"/>
        </w:numPr>
      </w:pPr>
      <w:r>
        <w:t>P</w:t>
      </w:r>
      <w:r w:rsidRPr="004138C1">
        <w:t>olicy priority 4, Health and Wellbeing</w:t>
      </w:r>
      <w:r>
        <w:t>, for</w:t>
      </w:r>
      <w:r w:rsidRPr="004138C1">
        <w:t xml:space="preserve"> </w:t>
      </w:r>
      <w:r w:rsidR="00C15359" w:rsidRPr="004138C1">
        <w:t>‘</w:t>
      </w:r>
      <w:r>
        <w:t>d</w:t>
      </w:r>
      <w:r w:rsidR="00E37560" w:rsidRPr="004138C1">
        <w:t>isa</w:t>
      </w:r>
      <w:r w:rsidR="00C15359" w:rsidRPr="004138C1">
        <w:t xml:space="preserve">ster preparedness, risk management plans and public emergency responses </w:t>
      </w:r>
      <w:r>
        <w:t>to be</w:t>
      </w:r>
      <w:r w:rsidR="00C15359" w:rsidRPr="004138C1">
        <w:t xml:space="preserve"> inclusive of people with disability and support their health and wellbeing’ should </w:t>
      </w:r>
      <w:r w:rsidR="00A33612" w:rsidRPr="004138C1">
        <w:t xml:space="preserve">be centred on realising </w:t>
      </w:r>
      <w:r w:rsidR="00300F5B" w:rsidRPr="004138C1">
        <w:t xml:space="preserve">‘the right to </w:t>
      </w:r>
      <w:r w:rsidR="004F18DF" w:rsidRPr="004138C1">
        <w:t>protection</w:t>
      </w:r>
      <w:r w:rsidR="004F18DF" w:rsidRPr="00A33612">
        <w:t xml:space="preserve"> and safety of people with disability in situations of risk and emergencies and natural disasters</w:t>
      </w:r>
      <w:r w:rsidR="00A33612">
        <w:t>.’</w:t>
      </w:r>
      <w:r w:rsidR="00300F5B" w:rsidRPr="00A33612">
        <w:t xml:space="preserve"> </w:t>
      </w:r>
    </w:p>
    <w:p w14:paraId="617C88AD" w14:textId="1EB32898" w:rsidR="00C91283" w:rsidRDefault="00B426A0" w:rsidP="00C91283">
      <w:r>
        <w:t xml:space="preserve">The </w:t>
      </w:r>
      <w:r w:rsidR="00833398">
        <w:t>rights-based</w:t>
      </w:r>
      <w:r>
        <w:t xml:space="preserve"> </w:t>
      </w:r>
      <w:r w:rsidR="00833398">
        <w:t>approach needs to trickle down into actions and outcomes measures, too.</w:t>
      </w:r>
      <w:r w:rsidR="004265BB">
        <w:t xml:space="preserve"> For instance, </w:t>
      </w:r>
      <w:r w:rsidR="00CF7AC5">
        <w:t>o</w:t>
      </w:r>
      <w:r w:rsidR="00126491">
        <w:t xml:space="preserve">bjective 4 of 5 </w:t>
      </w:r>
      <w:r w:rsidR="004265BB">
        <w:t>of</w:t>
      </w:r>
      <w:r w:rsidR="00707903">
        <w:t xml:space="preserve"> the Safety TAP </w:t>
      </w:r>
      <w:r w:rsidR="004265BB">
        <w:t xml:space="preserve">is </w:t>
      </w:r>
      <w:r w:rsidR="00707903">
        <w:t>to ‘reduce and eliminate the use of restrictive practices in all government service systems</w:t>
      </w:r>
      <w:r w:rsidR="004265BB">
        <w:t>.</w:t>
      </w:r>
      <w:r w:rsidR="00F06251">
        <w:t>’</w:t>
      </w:r>
      <w:r w:rsidR="002E16D8">
        <w:rPr>
          <w:rStyle w:val="EndnoteReference"/>
        </w:rPr>
        <w:endnoteReference w:id="18"/>
      </w:r>
      <w:r w:rsidR="004265BB">
        <w:t xml:space="preserve"> At face value, this is a rights based objective</w:t>
      </w:r>
      <w:r w:rsidR="00F32960">
        <w:t xml:space="preserve">, and </w:t>
      </w:r>
      <w:r w:rsidR="00056DF8">
        <w:t xml:space="preserve">undoubtedly the right one, but the associated policy actions narrowly </w:t>
      </w:r>
      <w:r w:rsidR="00274D48">
        <w:t xml:space="preserve">target the </w:t>
      </w:r>
      <w:r w:rsidR="00056DF8">
        <w:t>align</w:t>
      </w:r>
      <w:r w:rsidR="00274D48">
        <w:t>ment</w:t>
      </w:r>
      <w:r w:rsidR="00056DF8">
        <w:t xml:space="preserve"> </w:t>
      </w:r>
      <w:r w:rsidR="41185B6F">
        <w:t xml:space="preserve">of </w:t>
      </w:r>
      <w:r w:rsidR="00056DF8">
        <w:t>authorisation processes and regulatory frameworks</w:t>
      </w:r>
      <w:r w:rsidR="00157944">
        <w:t>,</w:t>
      </w:r>
      <w:r w:rsidR="00056DF8">
        <w:rPr>
          <w:rStyle w:val="EndnoteReference"/>
        </w:rPr>
        <w:endnoteReference w:id="19"/>
      </w:r>
      <w:r w:rsidR="00F1217E">
        <w:t xml:space="preserve"> rather than being grounded in </w:t>
      </w:r>
      <w:r w:rsidR="00700921">
        <w:t>the CRPD obligations and principles relat</w:t>
      </w:r>
      <w:r w:rsidR="00B8001C">
        <w:t xml:space="preserve">ing </w:t>
      </w:r>
      <w:r w:rsidR="00700921">
        <w:t>to the right to liberty of person</w:t>
      </w:r>
      <w:r w:rsidR="00B8001C">
        <w:t>, and working towards the rights based</w:t>
      </w:r>
      <w:r w:rsidR="00936702">
        <w:t xml:space="preserve"> target outcome of </w:t>
      </w:r>
      <w:r w:rsidR="00C91283">
        <w:t xml:space="preserve">elimination. </w:t>
      </w:r>
    </w:p>
    <w:p w14:paraId="4EC10010" w14:textId="314587E5" w:rsidR="00A179B5" w:rsidRDefault="00A179B5" w:rsidP="00C91283">
      <w:r>
        <w:t xml:space="preserve">The Disability Royal Commission made several recommendations for the elimination of restrictive practices, including recommending the immediate prohibition of certain </w:t>
      </w:r>
      <w:r w:rsidR="006E5151">
        <w:t>restrictive practices and the introduction of targets to drive the reduction and elimination of restrictive practices.</w:t>
      </w:r>
      <w:r w:rsidR="006E5151">
        <w:rPr>
          <w:rStyle w:val="EndnoteReference"/>
        </w:rPr>
        <w:endnoteReference w:id="20"/>
      </w:r>
      <w:r w:rsidR="0097421F">
        <w:t xml:space="preserve"> </w:t>
      </w:r>
      <w:r w:rsidR="00933535">
        <w:t>None of these are accepted</w:t>
      </w:r>
      <w:r w:rsidR="00552FFE">
        <w:t xml:space="preserve"> in full</w:t>
      </w:r>
      <w:r w:rsidR="00933535">
        <w:t>, s</w:t>
      </w:r>
      <w:r w:rsidR="0097421F">
        <w:t xml:space="preserve">ome </w:t>
      </w:r>
      <w:r w:rsidR="00933535">
        <w:t xml:space="preserve">are </w:t>
      </w:r>
      <w:r w:rsidR="0097421F">
        <w:t>accepted in principle</w:t>
      </w:r>
      <w:r w:rsidR="00053206">
        <w:t>,</w:t>
      </w:r>
      <w:r w:rsidR="00867CE5">
        <w:rPr>
          <w:rStyle w:val="EndnoteReference"/>
        </w:rPr>
        <w:endnoteReference w:id="21"/>
      </w:r>
      <w:r w:rsidR="00053206">
        <w:t xml:space="preserve"> which is concerning given that the overall</w:t>
      </w:r>
      <w:r w:rsidR="00867CE5">
        <w:t xml:space="preserve"> aim for elimination</w:t>
      </w:r>
      <w:r w:rsidR="00053206">
        <w:t xml:space="preserve"> is agreed to in the ADS. This could be read as a </w:t>
      </w:r>
      <w:r w:rsidR="00053206">
        <w:lastRenderedPageBreak/>
        <w:t>reneging of ADS commitments</w:t>
      </w:r>
      <w:r w:rsidR="00002CA3">
        <w:t xml:space="preserve">, rather than an opportunity to </w:t>
      </w:r>
      <w:r w:rsidR="007F63AB">
        <w:t xml:space="preserve">reaffirm the rights based imperative to achieve this objective </w:t>
      </w:r>
      <w:r w:rsidR="00097BB9">
        <w:t>and refine policy actions towards it</w:t>
      </w:r>
      <w:r w:rsidR="00002CA3">
        <w:t>.</w:t>
      </w:r>
    </w:p>
    <w:p w14:paraId="651A776D" w14:textId="35E076DD" w:rsidR="00700921" w:rsidRPr="00700921" w:rsidRDefault="00700921" w:rsidP="00C91283">
      <w:pPr>
        <w:rPr>
          <w:b/>
          <w:bCs/>
        </w:rPr>
      </w:pPr>
      <w:r>
        <w:rPr>
          <w:b/>
          <w:bCs/>
        </w:rPr>
        <w:t xml:space="preserve">Recommendation </w:t>
      </w:r>
      <w:r w:rsidR="00DA0116">
        <w:rPr>
          <w:b/>
          <w:bCs/>
        </w:rPr>
        <w:t>5</w:t>
      </w:r>
      <w:r>
        <w:rPr>
          <w:b/>
          <w:bCs/>
        </w:rPr>
        <w:t xml:space="preserve">: </w:t>
      </w:r>
      <w:r w:rsidR="003127F9">
        <w:rPr>
          <w:b/>
          <w:bCs/>
        </w:rPr>
        <w:t xml:space="preserve">Australia’s Disability Strategy </w:t>
      </w:r>
      <w:r w:rsidR="001F0372">
        <w:rPr>
          <w:b/>
          <w:bCs/>
        </w:rPr>
        <w:t xml:space="preserve">policy priorities </w:t>
      </w:r>
      <w:r w:rsidR="003127F9">
        <w:rPr>
          <w:b/>
          <w:bCs/>
        </w:rPr>
        <w:t xml:space="preserve">should be framed </w:t>
      </w:r>
      <w:r w:rsidR="001F0372">
        <w:rPr>
          <w:b/>
          <w:bCs/>
        </w:rPr>
        <w:t xml:space="preserve">around </w:t>
      </w:r>
      <w:r w:rsidR="00DA0116">
        <w:rPr>
          <w:b/>
          <w:bCs/>
        </w:rPr>
        <w:t xml:space="preserve">human </w:t>
      </w:r>
      <w:r w:rsidR="001F0372">
        <w:rPr>
          <w:b/>
          <w:bCs/>
        </w:rPr>
        <w:t xml:space="preserve">rights, with </w:t>
      </w:r>
      <w:r w:rsidR="00DA0116">
        <w:rPr>
          <w:b/>
          <w:bCs/>
        </w:rPr>
        <w:t xml:space="preserve">supporting target </w:t>
      </w:r>
      <w:r w:rsidR="003127F9">
        <w:rPr>
          <w:b/>
          <w:bCs/>
        </w:rPr>
        <w:t>outcome measures</w:t>
      </w:r>
      <w:r w:rsidR="00DA0116">
        <w:rPr>
          <w:b/>
          <w:bCs/>
        </w:rPr>
        <w:t>.</w:t>
      </w:r>
    </w:p>
    <w:p w14:paraId="2A5FA0CC" w14:textId="2729777F" w:rsidR="00352210" w:rsidRDefault="00700921" w:rsidP="00352210">
      <w:r>
        <w:t xml:space="preserve">Returning to the Disability Royal Commission </w:t>
      </w:r>
      <w:r w:rsidR="00072D97">
        <w:t>observation around</w:t>
      </w:r>
      <w:r>
        <w:t xml:space="preserve"> a</w:t>
      </w:r>
      <w:r w:rsidR="00352210">
        <w:t xml:space="preserve"> standalone TAP on human rights</w:t>
      </w:r>
      <w:r w:rsidR="00094F70">
        <w:t>, this</w:t>
      </w:r>
      <w:r w:rsidR="00352210">
        <w:t xml:space="preserve"> could fit within </w:t>
      </w:r>
      <w:r w:rsidR="00094F70">
        <w:t>the</w:t>
      </w:r>
      <w:r w:rsidR="00352210">
        <w:t xml:space="preserve"> new </w:t>
      </w:r>
      <w:r w:rsidR="00094F70">
        <w:t xml:space="preserve">ADS </w:t>
      </w:r>
      <w:r w:rsidR="00352210">
        <w:t xml:space="preserve">structure </w:t>
      </w:r>
      <w:r w:rsidR="00094F70">
        <w:t xml:space="preserve">proposed in this </w:t>
      </w:r>
      <w:proofErr w:type="gramStart"/>
      <w:r w:rsidR="00094F70">
        <w:t>submission, and</w:t>
      </w:r>
      <w:proofErr w:type="gramEnd"/>
      <w:r w:rsidR="00094F70">
        <w:t xml:space="preserve"> could </w:t>
      </w:r>
      <w:r w:rsidR="00787CD6">
        <w:t xml:space="preserve">contain </w:t>
      </w:r>
      <w:r w:rsidR="002E7512">
        <w:t xml:space="preserve">high level universal </w:t>
      </w:r>
      <w:r w:rsidR="00352210">
        <w:t xml:space="preserve">actions for the establishment of a human rights framework, such as the modernisation of discrimination law, the introduction of </w:t>
      </w:r>
      <w:proofErr w:type="gramStart"/>
      <w:r w:rsidR="00352210">
        <w:t>rights based</w:t>
      </w:r>
      <w:proofErr w:type="gramEnd"/>
      <w:r w:rsidR="00352210">
        <w:t xml:space="preserve"> legislation, and other systems of governance and accountability. The Commission refers DSS to its report entitled, </w:t>
      </w:r>
      <w:r w:rsidR="00352210" w:rsidRPr="00DD4D58">
        <w:rPr>
          <w:i/>
          <w:iCs/>
        </w:rPr>
        <w:t>Free &amp; Equal</w:t>
      </w:r>
      <w:r w:rsidR="00352210">
        <w:rPr>
          <w:i/>
          <w:iCs/>
        </w:rPr>
        <w:t>: Revitalising Australia’s commitment to human rights</w:t>
      </w:r>
      <w:r w:rsidR="00352210">
        <w:t xml:space="preserve">, which outlines a proposal for a human rights framework. </w:t>
      </w:r>
    </w:p>
    <w:p w14:paraId="657C38B9" w14:textId="29B427BD" w:rsidR="00FE4D0D" w:rsidRPr="00F9462A" w:rsidRDefault="00FE4D0D" w:rsidP="00FE4D0D">
      <w:pPr>
        <w:pStyle w:val="Heading2"/>
      </w:pPr>
      <w:r>
        <w:t xml:space="preserve">Participation of people with disability </w:t>
      </w:r>
    </w:p>
    <w:p w14:paraId="699900EC" w14:textId="00F69984" w:rsidR="00FE4D0D" w:rsidRDefault="00FE4D0D" w:rsidP="00FE4D0D">
      <w:r>
        <w:t xml:space="preserve">Article 4(3) of the CRPD requires Australia to closely consult with and actively involve </w:t>
      </w:r>
      <w:r w:rsidRPr="00E56B6E">
        <w:t>persons with disabilities, including children with disabilities, in the development and implementation of legislation and policies that relate to them.</w:t>
      </w:r>
      <w:r w:rsidRPr="00E56B6E">
        <w:rPr>
          <w:rStyle w:val="EndnoteReference"/>
        </w:rPr>
        <w:endnoteReference w:id="22"/>
      </w:r>
      <w:r w:rsidRPr="00E56B6E">
        <w:t xml:space="preserve"> Participation is one of the enablers of transformative equality</w:t>
      </w:r>
      <w:r w:rsidR="00763EAB">
        <w:t xml:space="preserve"> and </w:t>
      </w:r>
      <w:r w:rsidR="003A09AC">
        <w:t>quintessential to</w:t>
      </w:r>
      <w:r w:rsidR="00763EAB">
        <w:t xml:space="preserve"> the CRPD</w:t>
      </w:r>
      <w:r w:rsidRPr="00E56B6E">
        <w:t>.</w:t>
      </w:r>
    </w:p>
    <w:p w14:paraId="06B1BD60" w14:textId="0AC42652" w:rsidR="00FE4D0D" w:rsidRDefault="00973992" w:rsidP="00FE4D0D">
      <w:r>
        <w:t>The</w:t>
      </w:r>
      <w:r w:rsidR="00FE4D0D">
        <w:t xml:space="preserve"> ADS </w:t>
      </w:r>
      <w:r>
        <w:t>aims</w:t>
      </w:r>
      <w:r w:rsidR="00FE4D0D">
        <w:t xml:space="preserve"> to ‘engage, inform and involve the whole community in achieving a more inclusive society’.</w:t>
      </w:r>
      <w:r w:rsidR="00FE4D0D">
        <w:rPr>
          <w:rStyle w:val="EndnoteReference"/>
        </w:rPr>
        <w:endnoteReference w:id="23"/>
      </w:r>
      <w:r w:rsidR="00FE4D0D">
        <w:t xml:space="preserve"> The Discussion Paper seeks feedback on a draft recommendation to ‘develop and implement an ADS Community Engagement Plan, in addition to the existing ADS engagement commitments.’</w:t>
      </w:r>
      <w:r w:rsidR="00FE4D0D">
        <w:rPr>
          <w:rStyle w:val="EndnoteReference"/>
        </w:rPr>
        <w:endnoteReference w:id="24"/>
      </w:r>
      <w:r w:rsidR="00FE4D0D">
        <w:t xml:space="preserve"> The Commission is of the view that an additional engagement plan with a focus on ‘campaigns to improve public knowledge and awareness of the ADS</w:t>
      </w:r>
      <w:r w:rsidR="00A735BE">
        <w:t>,</w:t>
      </w:r>
      <w:r w:rsidR="00FE4D0D">
        <w:t>’</w:t>
      </w:r>
      <w:r w:rsidR="00FE4D0D">
        <w:rPr>
          <w:rStyle w:val="EndnoteReference"/>
        </w:rPr>
        <w:endnoteReference w:id="25"/>
      </w:r>
      <w:r w:rsidR="00A735BE">
        <w:t xml:space="preserve"> as proposed in the discussion paper,</w:t>
      </w:r>
      <w:r w:rsidR="00FE4D0D">
        <w:t xml:space="preserve"> </w:t>
      </w:r>
      <w:r w:rsidR="00A735BE">
        <w:t>will not facilitate the necessary conditions for</w:t>
      </w:r>
      <w:r w:rsidR="00FE4D0D">
        <w:t xml:space="preserve"> genuine involvement of people with disability in the design, implementation and governance of the ADS.</w:t>
      </w:r>
      <w:r w:rsidR="00FE4D0D">
        <w:rPr>
          <w:rStyle w:val="EndnoteReference"/>
        </w:rPr>
        <w:endnoteReference w:id="26"/>
      </w:r>
      <w:r w:rsidR="00FE4D0D">
        <w:t xml:space="preserve"> </w:t>
      </w:r>
    </w:p>
    <w:p w14:paraId="6BBAAE0A" w14:textId="77777777" w:rsidR="00FE4D0D" w:rsidRDefault="00FE4D0D" w:rsidP="00FE4D0D">
      <w:r>
        <w:t>In its 2019 Concluding Observations, the CRPD Committee raised concerns about the weakness of mechanisms and limited funding under the then NDS (and National Disability Agreement) for the full and effective engagement of persons with disabilities, through their representative organisations in policy development, implementation and monitoring of actions relating to the Convention.</w:t>
      </w:r>
      <w:r>
        <w:rPr>
          <w:rStyle w:val="EndnoteReference"/>
        </w:rPr>
        <w:endnoteReference w:id="27"/>
      </w:r>
    </w:p>
    <w:p w14:paraId="73B3AF3D" w14:textId="5586A806" w:rsidR="00FE4D0D" w:rsidRDefault="00FE4D0D" w:rsidP="00FE4D0D">
      <w:r>
        <w:t>The Commission is pleased to see that all levels of government accepted the Disability Royal Commission recommendation to review and update the ADS ‘</w:t>
      </w:r>
      <w:r w:rsidRPr="00814725">
        <w:rPr>
          <w:i/>
          <w:iCs/>
        </w:rPr>
        <w:t>in partnership</w:t>
      </w:r>
      <w:r>
        <w:t xml:space="preserve"> with people with disability and their representative organisations’.</w:t>
      </w:r>
      <w:r>
        <w:rPr>
          <w:rStyle w:val="EndnoteReference"/>
        </w:rPr>
        <w:endnoteReference w:id="28"/>
      </w:r>
      <w:r>
        <w:t xml:space="preserve"> </w:t>
      </w:r>
      <w:r w:rsidR="00D81938">
        <w:t>A</w:t>
      </w:r>
      <w:r>
        <w:t xml:space="preserve"> </w:t>
      </w:r>
      <w:r>
        <w:lastRenderedPageBreak/>
        <w:t xml:space="preserve">deeper level of engagement is required to meet the ‘partnership’ threshold set by the Disability Royal Commission, and, more importantly, to meet the requirements of CRPD Article 4(3). </w:t>
      </w:r>
    </w:p>
    <w:p w14:paraId="4F56AFDE" w14:textId="77777777" w:rsidR="00FE4D0D" w:rsidRDefault="00FE4D0D" w:rsidP="00FE4D0D">
      <w:r>
        <w:t xml:space="preserve">For instance, the CRPD Committee states that: </w:t>
      </w:r>
    </w:p>
    <w:p w14:paraId="4BA5C977" w14:textId="77777777" w:rsidR="00FE4D0D" w:rsidRPr="004504F4" w:rsidRDefault="00FE4D0D" w:rsidP="00FE4D0D">
      <w:pPr>
        <w:ind w:left="720"/>
        <w:rPr>
          <w:sz w:val="22"/>
          <w:szCs w:val="22"/>
        </w:rPr>
      </w:pPr>
      <w:r w:rsidRPr="004504F4">
        <w:rPr>
          <w:sz w:val="22"/>
          <w:szCs w:val="22"/>
        </w:rPr>
        <w:t>Public authorities should give due consideration and priority to the opinions and views of organizations of persons with disabilities when addressing issues directly related to persons with disabilities. Public authorities leading decision-making processes have a duty to inform organizations of persons with disabilities of the outcomes of such processes, including an explicit explanation in an understandable format of the findings, considerations and reasoning of decisions on how their views were considered and why.</w:t>
      </w:r>
      <w:r w:rsidRPr="004504F4">
        <w:rPr>
          <w:rStyle w:val="EndnoteReference"/>
          <w:sz w:val="22"/>
          <w:szCs w:val="22"/>
        </w:rPr>
        <w:endnoteReference w:id="29"/>
      </w:r>
    </w:p>
    <w:p w14:paraId="322EB0B3" w14:textId="77777777" w:rsidR="00FE4D0D" w:rsidRDefault="00FE4D0D" w:rsidP="00FE4D0D">
      <w:r>
        <w:t xml:space="preserve">On the matter of engaging children with disability, the Commission is engaged by the DSS to lead the </w:t>
      </w:r>
      <w:r w:rsidRPr="00FF7ABA">
        <w:rPr>
          <w:i/>
          <w:iCs/>
        </w:rPr>
        <w:t>Supporting Quality Engagement with Children</w:t>
      </w:r>
      <w:r>
        <w:t xml:space="preserve"> consultation project, which aims to include the voices of children, young people and their families in policies and services that directly affect them. Consultation activities focus on five National Strategies, one of which is the ADS.</w:t>
      </w:r>
    </w:p>
    <w:p w14:paraId="443D8E08" w14:textId="77777777" w:rsidR="00FE4D0D" w:rsidRDefault="00FE4D0D" w:rsidP="00FE4D0D">
      <w:r>
        <w:t>In its recent report,</w:t>
      </w:r>
      <w:r w:rsidRPr="00567EA8">
        <w:t xml:space="preserve"> ‘</w:t>
      </w:r>
      <w:r w:rsidRPr="001854DB">
        <w:rPr>
          <w:i/>
          <w:iCs/>
        </w:rPr>
        <w:t>Do things with the information we tell you’: Supporting Quality Engagement with Children</w:t>
      </w:r>
      <w:r w:rsidRPr="001854DB">
        <w:t>,</w:t>
      </w:r>
      <w:r>
        <w:t xml:space="preserve"> the Commission recommended that</w:t>
      </w:r>
      <w:r w:rsidRPr="00567EA8">
        <w:t xml:space="preserve"> children’s rights, including children with disability, should be at the centre of policy and program design.</w:t>
      </w:r>
      <w:r>
        <w:rPr>
          <w:rStyle w:val="EndnoteReference"/>
        </w:rPr>
        <w:endnoteReference w:id="30"/>
      </w:r>
      <w:r w:rsidRPr="00567EA8">
        <w:t xml:space="preserve"> One way to achieve this is to use a Child Rights Impact Assessment (CRIA) tool. </w:t>
      </w:r>
      <w:r>
        <w:t>In line with CRPD obligations, the Commission recommended that c</w:t>
      </w:r>
      <w:r w:rsidRPr="00567EA8">
        <w:t xml:space="preserve">hildren and young people with </w:t>
      </w:r>
      <w:r>
        <w:t>disability</w:t>
      </w:r>
      <w:r w:rsidRPr="00567EA8">
        <w:t xml:space="preserve"> should be directly involved in the design and implementation of policies and services affecting them, including providing feedback about how their input has been used.</w:t>
      </w:r>
      <w:r>
        <w:rPr>
          <w:rStyle w:val="EndnoteReference"/>
        </w:rPr>
        <w:endnoteReference w:id="31"/>
      </w:r>
      <w:r w:rsidRPr="00567EA8">
        <w:t xml:space="preserve"> </w:t>
      </w:r>
    </w:p>
    <w:p w14:paraId="087E9BEE" w14:textId="29E8C7A5" w:rsidR="00FE4D0D" w:rsidRDefault="00FE4D0D" w:rsidP="00FE4D0D">
      <w:r>
        <w:t>One relevant example of good practice is the partnership between Australian Governments and the Coalition of Aboriginal and Torres Strait Islander Peak Organisations to develop</w:t>
      </w:r>
      <w:r w:rsidR="002353F6">
        <w:t xml:space="preserve"> and implement</w:t>
      </w:r>
      <w:r>
        <w:t xml:space="preserve"> Closing the Gap. </w:t>
      </w:r>
      <w:r w:rsidR="00E02DC2">
        <w:t>Not only is Closing the Gap co-owned</w:t>
      </w:r>
      <w:r w:rsidR="002B6A4C">
        <w:t xml:space="preserve"> and co-led</w:t>
      </w:r>
      <w:r w:rsidR="00E02DC2">
        <w:t xml:space="preserve"> </w:t>
      </w:r>
      <w:r w:rsidR="002B6A4C">
        <w:t>with</w:t>
      </w:r>
      <w:r w:rsidR="00E02DC2">
        <w:t xml:space="preserve"> Aboriginal partners, </w:t>
      </w:r>
      <w:proofErr w:type="gramStart"/>
      <w:r w:rsidR="00E02DC2">
        <w:t>it</w:t>
      </w:r>
      <w:proofErr w:type="gramEnd"/>
      <w:r w:rsidR="00E02DC2">
        <w:t xml:space="preserve"> </w:t>
      </w:r>
      <w:r>
        <w:t>also has a</w:t>
      </w:r>
      <w:r w:rsidR="002B6A4C">
        <w:t xml:space="preserve"> standalone</w:t>
      </w:r>
      <w:r>
        <w:t xml:space="preserve"> priority reform area </w:t>
      </w:r>
      <w:r w:rsidR="00295ACD">
        <w:t>on</w:t>
      </w:r>
      <w:r>
        <w:t xml:space="preserve"> formal partnerships and shared decision-making</w:t>
      </w:r>
      <w:r w:rsidR="00295ACD">
        <w:t>,</w:t>
      </w:r>
      <w:r>
        <w:t xml:space="preserve"> with concrete actions to enable participation</w:t>
      </w:r>
      <w:r w:rsidR="00117964">
        <w:t xml:space="preserve"> and targets to measure progress</w:t>
      </w:r>
      <w:r>
        <w:t>.</w:t>
      </w:r>
      <w:r>
        <w:rPr>
          <w:rStyle w:val="EndnoteReference"/>
        </w:rPr>
        <w:endnoteReference w:id="32"/>
      </w:r>
      <w:r w:rsidR="001961A2">
        <w:t xml:space="preserve"> This </w:t>
      </w:r>
      <w:r w:rsidR="00295ACD">
        <w:t xml:space="preserve">robust </w:t>
      </w:r>
      <w:r w:rsidR="001961A2">
        <w:t xml:space="preserve">approach </w:t>
      </w:r>
      <w:r w:rsidR="124145E5">
        <w:t>c</w:t>
      </w:r>
      <w:r w:rsidR="001961A2">
        <w:t>ould be replicated in the ADS.</w:t>
      </w:r>
    </w:p>
    <w:p w14:paraId="7C30B6D3" w14:textId="77777777" w:rsidR="00FE4D0D" w:rsidRDefault="00FE4D0D" w:rsidP="00FE4D0D">
      <w:r>
        <w:t>Any engagement around the ADS must adhere to human rights standards to comply with CRPD Article 4(3). CRPD General Comment No.7 provides further guidance on these standards.</w:t>
      </w:r>
      <w:r>
        <w:rPr>
          <w:rStyle w:val="EndnoteReference"/>
        </w:rPr>
        <w:endnoteReference w:id="33"/>
      </w:r>
      <w:r>
        <w:t xml:space="preserve"> The Commission is available to advise DSS and the ADS Advisory Council on how to fulfill these obligations.</w:t>
      </w:r>
    </w:p>
    <w:p w14:paraId="73E2B3C9" w14:textId="623FDA22" w:rsidR="00FE4D0D" w:rsidRDefault="004047B1" w:rsidP="00FE4D0D">
      <w:pPr>
        <w:rPr>
          <w:b/>
          <w:bCs/>
        </w:rPr>
      </w:pPr>
      <w:r>
        <w:rPr>
          <w:b/>
          <w:bCs/>
        </w:rPr>
        <w:t xml:space="preserve">Recommendation </w:t>
      </w:r>
      <w:r w:rsidR="00DA0116">
        <w:rPr>
          <w:b/>
          <w:bCs/>
        </w:rPr>
        <w:t>6</w:t>
      </w:r>
      <w:r>
        <w:rPr>
          <w:b/>
          <w:bCs/>
        </w:rPr>
        <w:t xml:space="preserve">: </w:t>
      </w:r>
      <w:r w:rsidR="00FE4D0D">
        <w:rPr>
          <w:b/>
          <w:bCs/>
        </w:rPr>
        <w:t xml:space="preserve">Engagement activities for Australia’s Disability Strategy should comply with Article 4(3) of the United Nations </w:t>
      </w:r>
      <w:r w:rsidR="00FE4D0D" w:rsidRPr="00254B31">
        <w:rPr>
          <w:b/>
          <w:bCs/>
          <w:i/>
          <w:iCs/>
        </w:rPr>
        <w:t>Convention on the Rights of Persons with Disabilities</w:t>
      </w:r>
      <w:r w:rsidR="00B44660">
        <w:rPr>
          <w:b/>
          <w:bCs/>
        </w:rPr>
        <w:t>, i</w:t>
      </w:r>
      <w:r w:rsidR="00117964">
        <w:rPr>
          <w:b/>
          <w:bCs/>
        </w:rPr>
        <w:t xml:space="preserve">ncluding by: </w:t>
      </w:r>
    </w:p>
    <w:p w14:paraId="49DAE6BA" w14:textId="1784BE48" w:rsidR="00117964" w:rsidRDefault="00B44660" w:rsidP="00117964">
      <w:pPr>
        <w:pStyle w:val="ListParagraph"/>
        <w:numPr>
          <w:ilvl w:val="0"/>
          <w:numId w:val="47"/>
        </w:numPr>
        <w:rPr>
          <w:b/>
          <w:bCs/>
        </w:rPr>
      </w:pPr>
      <w:r>
        <w:rPr>
          <w:b/>
          <w:bCs/>
        </w:rPr>
        <w:lastRenderedPageBreak/>
        <w:t>b</w:t>
      </w:r>
      <w:r w:rsidR="00117964">
        <w:rPr>
          <w:b/>
          <w:bCs/>
        </w:rPr>
        <w:t>eing co-owned</w:t>
      </w:r>
      <w:r>
        <w:rPr>
          <w:b/>
          <w:bCs/>
        </w:rPr>
        <w:t xml:space="preserve"> and co-led via a formal</w:t>
      </w:r>
      <w:r w:rsidR="00117964">
        <w:rPr>
          <w:b/>
          <w:bCs/>
        </w:rPr>
        <w:t xml:space="preserve"> partnership with </w:t>
      </w:r>
      <w:r w:rsidR="001F0372">
        <w:rPr>
          <w:b/>
          <w:bCs/>
        </w:rPr>
        <w:t xml:space="preserve">people with disability through their representative </w:t>
      </w:r>
      <w:proofErr w:type="gramStart"/>
      <w:r w:rsidR="001F0372">
        <w:rPr>
          <w:b/>
          <w:bCs/>
        </w:rPr>
        <w:t>organisations</w:t>
      </w:r>
      <w:r>
        <w:rPr>
          <w:b/>
          <w:bCs/>
        </w:rPr>
        <w:t>;</w:t>
      </w:r>
      <w:proofErr w:type="gramEnd"/>
    </w:p>
    <w:p w14:paraId="0FE31CAE" w14:textId="59D568EF" w:rsidR="00FE4D0D" w:rsidRDefault="00B44660" w:rsidP="00885F6D">
      <w:pPr>
        <w:pStyle w:val="ListParagraph"/>
        <w:numPr>
          <w:ilvl w:val="0"/>
          <w:numId w:val="47"/>
        </w:numPr>
        <w:rPr>
          <w:b/>
        </w:rPr>
      </w:pPr>
      <w:r>
        <w:rPr>
          <w:b/>
        </w:rPr>
        <w:t>h</w:t>
      </w:r>
      <w:r w:rsidR="00117964" w:rsidRPr="00117964">
        <w:rPr>
          <w:b/>
        </w:rPr>
        <w:t xml:space="preserve">aving a </w:t>
      </w:r>
      <w:r>
        <w:rPr>
          <w:b/>
        </w:rPr>
        <w:t xml:space="preserve">standalone </w:t>
      </w:r>
      <w:r w:rsidR="00117964" w:rsidRPr="00117964">
        <w:rPr>
          <w:b/>
        </w:rPr>
        <w:t xml:space="preserve">priority area </w:t>
      </w:r>
      <w:r>
        <w:rPr>
          <w:b/>
        </w:rPr>
        <w:t>to enable greater</w:t>
      </w:r>
      <w:r w:rsidR="00117964" w:rsidRPr="00117964">
        <w:rPr>
          <w:b/>
        </w:rPr>
        <w:t xml:space="preserve"> participation </w:t>
      </w:r>
      <w:r>
        <w:rPr>
          <w:b/>
        </w:rPr>
        <w:t xml:space="preserve">and voice </w:t>
      </w:r>
      <w:r w:rsidR="00117964" w:rsidRPr="00117964">
        <w:rPr>
          <w:b/>
        </w:rPr>
        <w:t xml:space="preserve">of people with disability </w:t>
      </w:r>
      <w:r w:rsidR="001F0372">
        <w:rPr>
          <w:b/>
        </w:rPr>
        <w:t>through</w:t>
      </w:r>
      <w:r w:rsidR="001F0372" w:rsidRPr="00117964">
        <w:rPr>
          <w:b/>
        </w:rPr>
        <w:t xml:space="preserve"> </w:t>
      </w:r>
      <w:r w:rsidR="00117964" w:rsidRPr="00117964">
        <w:rPr>
          <w:b/>
        </w:rPr>
        <w:t>their representative organisations</w:t>
      </w:r>
      <w:r>
        <w:rPr>
          <w:b/>
        </w:rPr>
        <w:t xml:space="preserve"> in policy making.</w:t>
      </w:r>
    </w:p>
    <w:p w14:paraId="697A90CA" w14:textId="77777777" w:rsidR="00E74A3C" w:rsidRPr="00F9462A" w:rsidRDefault="00E74A3C" w:rsidP="00E74A3C">
      <w:pPr>
        <w:pStyle w:val="Heading2"/>
      </w:pPr>
      <w:r>
        <w:t>The role of the Australian Human Rights Commission and the Disability Discrimination Commissioner</w:t>
      </w:r>
    </w:p>
    <w:p w14:paraId="1E1187CD" w14:textId="77777777" w:rsidR="00E74A3C" w:rsidRDefault="00E74A3C" w:rsidP="00E74A3C">
      <w:r>
        <w:t xml:space="preserve">This submission makes the case for a renewed focus on human rights in the ADS, which should naturally result in increased and formalised engagement with the Commission and Disability Discrimination Commissioner. </w:t>
      </w:r>
    </w:p>
    <w:p w14:paraId="219384F6" w14:textId="33F52734" w:rsidR="00E74A3C" w:rsidRDefault="00E74A3C" w:rsidP="00E74A3C">
      <w:r>
        <w:t>The Commission is Australia’s A-status National Human Rights Institution (NHRI)</w:t>
      </w:r>
      <w:r w:rsidR="006C6248">
        <w:t xml:space="preserve"> and operates independently from government</w:t>
      </w:r>
      <w:r>
        <w:t xml:space="preserve">. As </w:t>
      </w:r>
      <w:r w:rsidR="6AEDB6E2">
        <w:t>a</w:t>
      </w:r>
      <w:r>
        <w:t xml:space="preserve"> NHRI and by way of statutory functions, the Commission has a role to hold governments accountable by monitoring and reporting on Australia’s compliance with international human rights treaties.</w:t>
      </w:r>
      <w:r>
        <w:rPr>
          <w:rStyle w:val="EndnoteReference"/>
        </w:rPr>
        <w:endnoteReference w:id="34"/>
      </w:r>
      <w:r>
        <w:t xml:space="preserve"> The Commission also has a role in building the capacity of governments and the public service workforce to understand and </w:t>
      </w:r>
      <w:r w:rsidR="006C6248">
        <w:t>comply with</w:t>
      </w:r>
      <w:r>
        <w:t xml:space="preserve"> human rights obligations.</w:t>
      </w:r>
    </w:p>
    <w:p w14:paraId="3360A1C4" w14:textId="75630D0C" w:rsidR="00E74A3C" w:rsidRDefault="00E74A3C" w:rsidP="00E74A3C">
      <w:r>
        <w:t xml:space="preserve">At present, the Commission and Disability Discrimination Commissioner have minimal visibility of, or input into, the ADS. </w:t>
      </w:r>
      <w:r w:rsidR="00310481">
        <w:t>Engagement</w:t>
      </w:r>
      <w:r>
        <w:t xml:space="preserve"> </w:t>
      </w:r>
      <w:r w:rsidR="00310481">
        <w:t>is</w:t>
      </w:r>
      <w:r>
        <w:t xml:space="preserve"> limited to public consultations and ad-hoc</w:t>
      </w:r>
      <w:r w:rsidR="00310481">
        <w:t xml:space="preserve"> presentations to</w:t>
      </w:r>
      <w:r>
        <w:t xml:space="preserve"> the ADS Advisory Council. Under past operating arrangements, the Disability Discrimination Commissioner was the appointed Chair of the ADS Advisory Council, but this arrangement (appropriately) ceased in June 2023 without a suitable alternative mechanism being put in place.</w:t>
      </w:r>
    </w:p>
    <w:p w14:paraId="1D2AB239" w14:textId="02C7C604" w:rsidR="00E74A3C" w:rsidRDefault="00E74A3C" w:rsidP="00E74A3C">
      <w:r>
        <w:t xml:space="preserve">Notwithstanding that the Commission’s broad monitoring functions as they are currently written into law do not satisfy CRPD </w:t>
      </w:r>
      <w:r w:rsidR="00CB4156">
        <w:t xml:space="preserve">Article 33(2) </w:t>
      </w:r>
      <w:r>
        <w:t>requirements for a designated Independent Monitoring Mechanism</w:t>
      </w:r>
      <w:r>
        <w:rPr>
          <w:rStyle w:val="EndnoteReference"/>
        </w:rPr>
        <w:endnoteReference w:id="35"/>
      </w:r>
      <w:r>
        <w:t xml:space="preserve"> (a designation the Commission continues to advocate for), international treaty bodies </w:t>
      </w:r>
      <w:r w:rsidR="00FE323D">
        <w:t xml:space="preserve">see the Commission </w:t>
      </w:r>
      <w:r>
        <w:t xml:space="preserve">as having a de-facto role in monitoring the implementation of the CRPD in Australia. </w:t>
      </w:r>
    </w:p>
    <w:p w14:paraId="0A03FC44" w14:textId="4EF9B374" w:rsidR="00E74A3C" w:rsidRDefault="00E74A3C" w:rsidP="00E74A3C">
      <w:r>
        <w:t xml:space="preserve">The above factors – the Commission’s mandate as NHRI, its statutory functions, and </w:t>
      </w:r>
      <w:proofErr w:type="gramStart"/>
      <w:r>
        <w:t>its</w:t>
      </w:r>
      <w:proofErr w:type="gramEnd"/>
      <w:r>
        <w:t xml:space="preserve"> position</w:t>
      </w:r>
      <w:r w:rsidR="00FE323D">
        <w:t>ing</w:t>
      </w:r>
      <w:r>
        <w:t xml:space="preserve"> as de-facto CRPD monitor – should result in the Commission having a rightful</w:t>
      </w:r>
      <w:r w:rsidR="00ED2DBD">
        <w:t xml:space="preserve">, </w:t>
      </w:r>
      <w:r>
        <w:t xml:space="preserve">pertinent </w:t>
      </w:r>
      <w:r w:rsidR="00ED2DBD">
        <w:t xml:space="preserve">and formalised </w:t>
      </w:r>
      <w:r>
        <w:t xml:space="preserve">role in the implementation and oversight of the ADS. The Commission </w:t>
      </w:r>
      <w:r w:rsidR="00ED2DBD">
        <w:t>is</w:t>
      </w:r>
      <w:r>
        <w:t xml:space="preserve"> available and willing to partner with DSS and the ADS Advisory </w:t>
      </w:r>
      <w:r w:rsidR="00ED2DBD">
        <w:t>Council</w:t>
      </w:r>
      <w:r>
        <w:t xml:space="preserve"> in a greater capacity.</w:t>
      </w:r>
    </w:p>
    <w:p w14:paraId="55F18216" w14:textId="6B277F19" w:rsidR="00E74A3C" w:rsidRPr="00F70A44" w:rsidRDefault="00E74A3C" w:rsidP="00E74A3C">
      <w:pPr>
        <w:rPr>
          <w:b/>
          <w:bCs/>
        </w:rPr>
      </w:pPr>
      <w:r>
        <w:rPr>
          <w:b/>
          <w:bCs/>
        </w:rPr>
        <w:t>Recommendation</w:t>
      </w:r>
      <w:r w:rsidR="004047B1">
        <w:rPr>
          <w:b/>
          <w:bCs/>
        </w:rPr>
        <w:t xml:space="preserve"> </w:t>
      </w:r>
      <w:r w:rsidR="00DA0116">
        <w:rPr>
          <w:b/>
          <w:bCs/>
        </w:rPr>
        <w:t>7</w:t>
      </w:r>
      <w:r>
        <w:rPr>
          <w:b/>
          <w:bCs/>
        </w:rPr>
        <w:t xml:space="preserve">: The Australian Human Rights Commission, under the leadership of the Disability Discrimination Commissioner, should have a </w:t>
      </w:r>
      <w:r>
        <w:rPr>
          <w:b/>
          <w:bCs/>
        </w:rPr>
        <w:lastRenderedPageBreak/>
        <w:t>formal role in the implementation</w:t>
      </w:r>
      <w:r w:rsidR="06406D98" w:rsidRPr="4013AAA3">
        <w:rPr>
          <w:b/>
          <w:bCs/>
        </w:rPr>
        <w:t xml:space="preserve">, evaluation and </w:t>
      </w:r>
      <w:r w:rsidR="06406D98" w:rsidRPr="747E64AA">
        <w:rPr>
          <w:b/>
          <w:bCs/>
        </w:rPr>
        <w:t>monitoring</w:t>
      </w:r>
      <w:r>
        <w:rPr>
          <w:b/>
          <w:bCs/>
        </w:rPr>
        <w:t xml:space="preserve"> of Australia’s Disability Strategy.</w:t>
      </w:r>
    </w:p>
    <w:p w14:paraId="4F9F8A3C" w14:textId="120A051C" w:rsidR="00D366E4" w:rsidRDefault="00D366E4" w:rsidP="00D366E4">
      <w:pPr>
        <w:pStyle w:val="Heading1"/>
      </w:pPr>
      <w:bookmarkStart w:id="13" w:name="_Toc175847512"/>
      <w:r>
        <w:t>Comments on draft findings and recommendations</w:t>
      </w:r>
      <w:bookmarkEnd w:id="13"/>
    </w:p>
    <w:p w14:paraId="3D103A9C" w14:textId="02F8667D" w:rsidR="00D366E4" w:rsidRDefault="00D366E4" w:rsidP="00D366E4">
      <w:r>
        <w:t xml:space="preserve">In </w:t>
      </w:r>
      <w:r w:rsidR="00584D5A">
        <w:t>this last</w:t>
      </w:r>
      <w:r>
        <w:t xml:space="preserve"> section</w:t>
      </w:r>
      <w:r w:rsidR="00584D5A">
        <w:t xml:space="preserve"> of the submission</w:t>
      </w:r>
      <w:r>
        <w:t xml:space="preserve">, the Commission responds to draft findings and recommendations in the </w:t>
      </w:r>
      <w:r w:rsidR="009869EB">
        <w:t>Discussion</w:t>
      </w:r>
      <w:r>
        <w:t xml:space="preserve"> Paper</w:t>
      </w:r>
      <w:r w:rsidR="00685454">
        <w:t xml:space="preserve"> that relate to ADS governance, coordination</w:t>
      </w:r>
      <w:r w:rsidR="00EC0F70">
        <w:t xml:space="preserve"> and </w:t>
      </w:r>
      <w:r w:rsidR="00685454">
        <w:t>accountability</w:t>
      </w:r>
      <w:r>
        <w:t xml:space="preserve">. </w:t>
      </w:r>
    </w:p>
    <w:p w14:paraId="67387D95" w14:textId="71C60E1C" w:rsidR="007F1AE7" w:rsidRPr="007F1AE7" w:rsidRDefault="00037B4D" w:rsidP="00037B4D">
      <w:pPr>
        <w:pStyle w:val="Heading2"/>
      </w:pPr>
      <w:bookmarkStart w:id="14" w:name="_Toc175847513"/>
      <w:r>
        <w:t>The ADS as a</w:t>
      </w:r>
      <w:r w:rsidR="001A5AF2">
        <w:t xml:space="preserve"> guiding policy framework for </w:t>
      </w:r>
      <w:r w:rsidR="00D77E84">
        <w:t>harmonisation of laws, policies and agreements</w:t>
      </w:r>
      <w:bookmarkEnd w:id="14"/>
    </w:p>
    <w:p w14:paraId="397C235E" w14:textId="6CC0AFCB" w:rsidR="002B3014" w:rsidRDefault="00B8319F" w:rsidP="00DF3DCE">
      <w:r>
        <w:t>The</w:t>
      </w:r>
      <w:r w:rsidR="007B122E">
        <w:t xml:space="preserve"> strengths of the ADS </w:t>
      </w:r>
      <w:r w:rsidR="00723CAD">
        <w:t>are</w:t>
      </w:r>
      <w:r w:rsidR="004578AA">
        <w:t xml:space="preserve"> that it is agreed to</w:t>
      </w:r>
      <w:r w:rsidR="000F1A6B">
        <w:t xml:space="preserve"> by</w:t>
      </w:r>
      <w:r w:rsidR="007B122E">
        <w:t xml:space="preserve"> all levels </w:t>
      </w:r>
      <w:r w:rsidR="00AB3E25">
        <w:t>of</w:t>
      </w:r>
      <w:r w:rsidR="007B122E">
        <w:t xml:space="preserve"> government</w:t>
      </w:r>
      <w:r w:rsidR="00AC5B11">
        <w:t xml:space="preserve"> </w:t>
      </w:r>
      <w:r w:rsidR="000F1A6B">
        <w:t>and it spans</w:t>
      </w:r>
      <w:r w:rsidR="00AC5B11">
        <w:t xml:space="preserve"> multiple areas of </w:t>
      </w:r>
      <w:r w:rsidR="004578AA">
        <w:t xml:space="preserve">government </w:t>
      </w:r>
      <w:r w:rsidR="00AC5B11">
        <w:t>responsibility</w:t>
      </w:r>
      <w:r w:rsidR="00D37E80">
        <w:t xml:space="preserve">. The </w:t>
      </w:r>
      <w:r w:rsidR="000F1A6B">
        <w:t>exten</w:t>
      </w:r>
      <w:r w:rsidR="78ECB955">
        <w:t>sion</w:t>
      </w:r>
      <w:r w:rsidR="000F1A6B">
        <w:t xml:space="preserve"> of its remit</w:t>
      </w:r>
      <w:r w:rsidR="00D37E80">
        <w:t xml:space="preserve"> beyond</w:t>
      </w:r>
      <w:r>
        <w:t xml:space="preserve"> </w:t>
      </w:r>
      <w:r w:rsidR="004578AA">
        <w:t xml:space="preserve">disability </w:t>
      </w:r>
      <w:r w:rsidR="00D37E80">
        <w:t>specific policy is welcome</w:t>
      </w:r>
      <w:r w:rsidR="009A00C6">
        <w:t>, but the ADS</w:t>
      </w:r>
      <w:r w:rsidR="008B4EAF">
        <w:t xml:space="preserve">’ priority </w:t>
      </w:r>
      <w:r w:rsidR="008C4061">
        <w:t>areas and outcomes are for the most part</w:t>
      </w:r>
      <w:r w:rsidR="004B27F4">
        <w:t xml:space="preserve"> geared towards</w:t>
      </w:r>
      <w:r w:rsidR="00721E0B">
        <w:t xml:space="preserve"> the delivery of social and welfare services.</w:t>
      </w:r>
      <w:r w:rsidR="002B3014">
        <w:t xml:space="preserve"> </w:t>
      </w:r>
    </w:p>
    <w:p w14:paraId="207CD738" w14:textId="51732041" w:rsidR="00670C64" w:rsidRDefault="00F96E5E" w:rsidP="00DF3DCE">
      <w:r>
        <w:t xml:space="preserve">Draft finding 1 in the Discussion Paper identifies a need for the ADS to support </w:t>
      </w:r>
      <w:r w:rsidR="00670C64">
        <w:t>consistent and coordinated actions across governments.</w:t>
      </w:r>
      <w:r w:rsidR="00DD37A6" w:rsidRPr="00DD37A6">
        <w:rPr>
          <w:rStyle w:val="EndnoteReference"/>
        </w:rPr>
        <w:t xml:space="preserve"> </w:t>
      </w:r>
      <w:r w:rsidR="00DD37A6">
        <w:rPr>
          <w:rStyle w:val="EndnoteReference"/>
        </w:rPr>
        <w:endnoteReference w:id="36"/>
      </w:r>
      <w:r w:rsidR="00DD37A6">
        <w:t xml:space="preserve"> </w:t>
      </w:r>
      <w:r w:rsidR="00500FC3">
        <w:t xml:space="preserve">This replicates a Disability Royal Commission </w:t>
      </w:r>
      <w:r w:rsidR="6732A624">
        <w:t xml:space="preserve">recommendation </w:t>
      </w:r>
      <w:r w:rsidR="00500FC3">
        <w:t xml:space="preserve">for national coordination and </w:t>
      </w:r>
      <w:r w:rsidR="005C0FBB">
        <w:t>greater leadership by the Australian Government.</w:t>
      </w:r>
      <w:r w:rsidR="005C0FBB">
        <w:rPr>
          <w:rStyle w:val="EndnoteReference"/>
        </w:rPr>
        <w:endnoteReference w:id="37"/>
      </w:r>
    </w:p>
    <w:p w14:paraId="54551A09" w14:textId="5AA7119B" w:rsidR="00670C64" w:rsidRDefault="00670C64" w:rsidP="00670C64">
      <w:r>
        <w:t xml:space="preserve">In its 2019 review of Australia’s implementation of the CRPD, </w:t>
      </w:r>
      <w:r w:rsidRPr="0048656D">
        <w:t>the CRPD Committee called on Australia to ‘fully harmonise domestic legisla</w:t>
      </w:r>
      <w:r>
        <w:t>tion with the Convention</w:t>
      </w:r>
      <w:r w:rsidR="00504A44">
        <w:t>.’</w:t>
      </w:r>
      <w:r>
        <w:rPr>
          <w:rStyle w:val="EndnoteReference"/>
        </w:rPr>
        <w:endnoteReference w:id="38"/>
      </w:r>
      <w:r>
        <w:t xml:space="preserve"> More recently, the Disability Royal Commission made several recommendations that, if implemented, would have the effect of harmonising laws and policies across Australia, to ensure equivalent rights protections </w:t>
      </w:r>
      <w:r w:rsidR="00702566">
        <w:t xml:space="preserve">to people with disability </w:t>
      </w:r>
      <w:r>
        <w:t xml:space="preserve">across the country. </w:t>
      </w:r>
    </w:p>
    <w:p w14:paraId="46AFD28A" w14:textId="77F3C033" w:rsidR="006409C4" w:rsidRDefault="00670C64" w:rsidP="00DF3DCE">
      <w:r>
        <w:t xml:space="preserve">The </w:t>
      </w:r>
      <w:r w:rsidR="009C274D">
        <w:t>Australian Government</w:t>
      </w:r>
      <w:r w:rsidR="00366E1F">
        <w:t xml:space="preserve"> </w:t>
      </w:r>
      <w:r w:rsidR="00005386">
        <w:t>should</w:t>
      </w:r>
      <w:r w:rsidR="00366E1F">
        <w:t xml:space="preserve"> </w:t>
      </w:r>
      <w:r w:rsidR="009C274D">
        <w:t>seek to utilise the ADS</w:t>
      </w:r>
      <w:r w:rsidR="00214BE7">
        <w:t xml:space="preserve"> </w:t>
      </w:r>
      <w:r w:rsidR="00354A08">
        <w:t>to</w:t>
      </w:r>
      <w:r w:rsidR="00366DC8">
        <w:t xml:space="preserve"> not only</w:t>
      </w:r>
      <w:r w:rsidR="00354A08">
        <w:t xml:space="preserve"> </w:t>
      </w:r>
      <w:r w:rsidR="00366DC8">
        <w:t>identify areas of law and policy that require</w:t>
      </w:r>
      <w:r w:rsidR="00214BE7">
        <w:t xml:space="preserve"> harmonisation</w:t>
      </w:r>
      <w:r w:rsidR="00366DC8">
        <w:t xml:space="preserve">, but </w:t>
      </w:r>
      <w:r w:rsidR="00433AF0">
        <w:t>act</w:t>
      </w:r>
      <w:r w:rsidR="00366DC8">
        <w:t xml:space="preserve"> </w:t>
      </w:r>
      <w:r>
        <w:t xml:space="preserve">as a mechanism to </w:t>
      </w:r>
      <w:r w:rsidR="00EB42B4">
        <w:t>set the minimum agreed standards</w:t>
      </w:r>
      <w:r w:rsidR="00DB2C4D">
        <w:t xml:space="preserve"> for</w:t>
      </w:r>
      <w:r w:rsidR="00504A44">
        <w:t xml:space="preserve"> </w:t>
      </w:r>
      <w:r w:rsidR="3B44C778">
        <w:t xml:space="preserve">measuring </w:t>
      </w:r>
      <w:r w:rsidR="00504A44">
        <w:t>reform</w:t>
      </w:r>
      <w:r w:rsidR="00803EC7">
        <w:t>. These could</w:t>
      </w:r>
      <w:r w:rsidR="00241F75">
        <w:t xml:space="preserve"> </w:t>
      </w:r>
      <w:r w:rsidR="00E73959">
        <w:t>then</w:t>
      </w:r>
      <w:r w:rsidR="00241F75">
        <w:t xml:space="preserve"> be</w:t>
      </w:r>
      <w:r w:rsidR="00E73959">
        <w:t xml:space="preserve"> translated into TAPs setting out</w:t>
      </w:r>
      <w:r>
        <w:t>, and monitoring,</w:t>
      </w:r>
      <w:r w:rsidR="00E73959">
        <w:t xml:space="preserve"> </w:t>
      </w:r>
      <w:r w:rsidR="00C64BB8">
        <w:t>the</w:t>
      </w:r>
      <w:r w:rsidR="00E73959">
        <w:t xml:space="preserve"> </w:t>
      </w:r>
      <w:r>
        <w:t xml:space="preserve">necessary </w:t>
      </w:r>
      <w:r w:rsidR="00463677">
        <w:t xml:space="preserve">reform in </w:t>
      </w:r>
      <w:r>
        <w:t>every</w:t>
      </w:r>
      <w:r w:rsidR="00C64BB8">
        <w:t xml:space="preserve"> </w:t>
      </w:r>
      <w:r w:rsidR="00463677">
        <w:t>jurisdiction</w:t>
      </w:r>
      <w:r w:rsidR="00BD01CF">
        <w:t xml:space="preserve">. </w:t>
      </w:r>
    </w:p>
    <w:p w14:paraId="685CC256" w14:textId="1AC84FC3" w:rsidR="00DF3DCE" w:rsidRDefault="008F759A" w:rsidP="00DF3DCE">
      <w:r w:rsidRPr="000E7E78">
        <w:t xml:space="preserve">This could be achieved </w:t>
      </w:r>
      <w:r w:rsidR="005F1DC5" w:rsidRPr="000E7E78">
        <w:t xml:space="preserve">within existing TAPs, as illustrated </w:t>
      </w:r>
      <w:r w:rsidR="007606D3" w:rsidRPr="000E7E78">
        <w:t xml:space="preserve">in section </w:t>
      </w:r>
      <w:r w:rsidR="000E7E78" w:rsidRPr="000E7E78">
        <w:t>5.3</w:t>
      </w:r>
      <w:r w:rsidR="007606D3">
        <w:t xml:space="preserve"> with </w:t>
      </w:r>
      <w:r w:rsidR="005F1DC5">
        <w:t>regards to restrictive practices</w:t>
      </w:r>
      <w:r w:rsidR="005F1DC5" w:rsidRPr="00A87232">
        <w:t xml:space="preserve">, or </w:t>
      </w:r>
      <w:r w:rsidR="00F77EC1" w:rsidRPr="00A87232">
        <w:t xml:space="preserve">for </w:t>
      </w:r>
      <w:r w:rsidR="00A87232" w:rsidRPr="00A87232">
        <w:t xml:space="preserve">the advancement of rights through </w:t>
      </w:r>
      <w:r w:rsidR="007606D3" w:rsidRPr="00A87232">
        <w:t>policy areas</w:t>
      </w:r>
      <w:r w:rsidR="00A87232" w:rsidRPr="00A87232">
        <w:t xml:space="preserve"> not yet captured in the ADS</w:t>
      </w:r>
      <w:r w:rsidR="00A87232">
        <w:t>, for example the right to the exercise of legal capacity</w:t>
      </w:r>
      <w:r w:rsidR="007606D3">
        <w:t xml:space="preserve">. </w:t>
      </w:r>
      <w:r w:rsidR="003F21E4">
        <w:t>Mapping</w:t>
      </w:r>
      <w:r w:rsidR="00810111">
        <w:t xml:space="preserve"> of laws</w:t>
      </w:r>
      <w:r w:rsidR="003F21E4">
        <w:t xml:space="preserve"> and recommendations </w:t>
      </w:r>
      <w:r w:rsidR="00810111">
        <w:t xml:space="preserve">for harmonisation </w:t>
      </w:r>
      <w:r w:rsidR="003F21E4">
        <w:t>were made</w:t>
      </w:r>
      <w:r w:rsidR="00D85833" w:rsidRPr="00BA4723">
        <w:t xml:space="preserve"> </w:t>
      </w:r>
      <w:r w:rsidR="00B373AA" w:rsidRPr="00BA4723">
        <w:t>in 2014</w:t>
      </w:r>
      <w:r w:rsidR="00810111">
        <w:t xml:space="preserve"> by </w:t>
      </w:r>
      <w:r w:rsidR="00B373AA" w:rsidRPr="00BA4723">
        <w:t>the Australian Law Reform Commission</w:t>
      </w:r>
      <w:r w:rsidR="0048656D" w:rsidRPr="00BA4723">
        <w:t xml:space="preserve"> (ALRC)</w:t>
      </w:r>
      <w:r w:rsidR="00B373AA" w:rsidRPr="00BA4723">
        <w:t xml:space="preserve"> </w:t>
      </w:r>
      <w:r w:rsidR="00810111">
        <w:t xml:space="preserve">in its report on </w:t>
      </w:r>
      <w:r w:rsidR="00810111">
        <w:rPr>
          <w:i/>
          <w:iCs/>
        </w:rPr>
        <w:lastRenderedPageBreak/>
        <w:t xml:space="preserve">Equality, Capacity and Disability </w:t>
      </w:r>
      <w:r w:rsidR="005A1F40">
        <w:rPr>
          <w:i/>
          <w:iCs/>
        </w:rPr>
        <w:t xml:space="preserve">in Commonwealth Laws. </w:t>
      </w:r>
      <w:r w:rsidR="00B373AA" w:rsidRPr="00BA4723">
        <w:t>National Decision-Making Principles</w:t>
      </w:r>
      <w:r w:rsidR="00717AAA" w:rsidRPr="00BA4723">
        <w:rPr>
          <w:rStyle w:val="EndnoteReference"/>
        </w:rPr>
        <w:endnoteReference w:id="39"/>
      </w:r>
      <w:r w:rsidR="005A1F40">
        <w:t xml:space="preserve"> were proposed as the minimum standard to be incorporated into law</w:t>
      </w:r>
      <w:r w:rsidR="0050102F">
        <w:t>.</w:t>
      </w:r>
      <w:r w:rsidR="007A4B76" w:rsidRPr="00BA4723">
        <w:t xml:space="preserve"> </w:t>
      </w:r>
      <w:r w:rsidR="002A3CB9" w:rsidRPr="00BA4723">
        <w:t>The</w:t>
      </w:r>
      <w:r w:rsidR="005D7A64" w:rsidRPr="00BA4723">
        <w:t xml:space="preserve"> ADS </w:t>
      </w:r>
      <w:r w:rsidR="005958A1" w:rsidRPr="00BA4723">
        <w:t>c</w:t>
      </w:r>
      <w:r w:rsidR="005D7A64" w:rsidRPr="00BA4723">
        <w:t xml:space="preserve">ould </w:t>
      </w:r>
      <w:r w:rsidR="0050102F">
        <w:t xml:space="preserve">be the mechanism through </w:t>
      </w:r>
      <w:r w:rsidR="00DF4F0C">
        <w:t xml:space="preserve">which to achieve agreement by jurisdictions to the </w:t>
      </w:r>
      <w:r w:rsidR="002E2720">
        <w:t>P</w:t>
      </w:r>
      <w:r w:rsidR="00DF4F0C">
        <w:t xml:space="preserve">rinciples, </w:t>
      </w:r>
      <w:r w:rsidR="00FF0344" w:rsidRPr="00BA4723">
        <w:t xml:space="preserve">and </w:t>
      </w:r>
      <w:r w:rsidR="00DF4F0C">
        <w:t xml:space="preserve">from there, </w:t>
      </w:r>
      <w:r w:rsidR="00FF0344" w:rsidRPr="00BA4723">
        <w:t>monitor reform of each of these laws</w:t>
      </w:r>
      <w:r w:rsidR="00717AAA" w:rsidRPr="00BA4723">
        <w:t>.</w:t>
      </w:r>
      <w:r w:rsidR="00717AAA">
        <w:t xml:space="preserve"> </w:t>
      </w:r>
      <w:r w:rsidR="00DF3DCE">
        <w:t xml:space="preserve">  </w:t>
      </w:r>
    </w:p>
    <w:p w14:paraId="3F60C7CA" w14:textId="14F7169A" w:rsidR="004D0D14" w:rsidRPr="00DA0116" w:rsidRDefault="004D0D14" w:rsidP="00DF3DCE">
      <w:pPr>
        <w:rPr>
          <w:b/>
          <w:bCs/>
        </w:rPr>
      </w:pPr>
      <w:r>
        <w:rPr>
          <w:b/>
          <w:bCs/>
        </w:rPr>
        <w:t>Recommendation</w:t>
      </w:r>
      <w:r w:rsidR="004047B1">
        <w:rPr>
          <w:b/>
          <w:bCs/>
        </w:rPr>
        <w:t xml:space="preserve"> </w:t>
      </w:r>
      <w:r w:rsidR="00422277">
        <w:rPr>
          <w:b/>
          <w:bCs/>
        </w:rPr>
        <w:t>8</w:t>
      </w:r>
      <w:r w:rsidR="004047B1">
        <w:rPr>
          <w:b/>
          <w:bCs/>
        </w:rPr>
        <w:t>:</w:t>
      </w:r>
      <w:r>
        <w:rPr>
          <w:b/>
          <w:bCs/>
        </w:rPr>
        <w:t xml:space="preserve"> </w:t>
      </w:r>
      <w:r w:rsidR="00E02977" w:rsidRPr="006A53CD">
        <w:rPr>
          <w:b/>
        </w:rPr>
        <w:t xml:space="preserve">Australia’s Disability Strategy should </w:t>
      </w:r>
      <w:r w:rsidR="00BA4723" w:rsidRPr="006A53CD">
        <w:rPr>
          <w:b/>
        </w:rPr>
        <w:t xml:space="preserve">include harmonisation of laws and </w:t>
      </w:r>
      <w:r w:rsidR="007F2C02" w:rsidRPr="006A53CD">
        <w:rPr>
          <w:b/>
        </w:rPr>
        <w:t>policies</w:t>
      </w:r>
      <w:r w:rsidR="00CB6F87" w:rsidRPr="006A53CD">
        <w:rPr>
          <w:b/>
          <w:bCs/>
        </w:rPr>
        <w:t xml:space="preserve"> that relate to the rights of persons with disability</w:t>
      </w:r>
      <w:r w:rsidR="00F45D79">
        <w:rPr>
          <w:b/>
          <w:bCs/>
        </w:rPr>
        <w:t xml:space="preserve"> as a priority</w:t>
      </w:r>
      <w:r w:rsidR="007F2C02" w:rsidRPr="006A53CD">
        <w:rPr>
          <w:b/>
        </w:rPr>
        <w:t>.</w:t>
      </w:r>
      <w:r w:rsidR="007F2C02" w:rsidRPr="00DA0116">
        <w:rPr>
          <w:b/>
          <w:bCs/>
        </w:rPr>
        <w:t xml:space="preserve"> </w:t>
      </w:r>
    </w:p>
    <w:p w14:paraId="610489BD" w14:textId="67320284" w:rsidR="007F08D9" w:rsidRPr="006A53CD" w:rsidRDefault="000F04C2" w:rsidP="004005C9">
      <w:pPr>
        <w:pStyle w:val="Heading2"/>
      </w:pPr>
      <w:r w:rsidRPr="006A53CD">
        <w:t xml:space="preserve">The ADS and </w:t>
      </w:r>
      <w:r w:rsidR="4B5A6F81">
        <w:t xml:space="preserve">Government </w:t>
      </w:r>
      <w:r w:rsidRPr="006A53CD">
        <w:t>leadership</w:t>
      </w:r>
    </w:p>
    <w:p w14:paraId="70A2EE63" w14:textId="62771A21" w:rsidR="00C47943" w:rsidRDefault="00C47943" w:rsidP="00C47943">
      <w:r>
        <w:t xml:space="preserve">Transformative equality </w:t>
      </w:r>
      <w:r w:rsidR="7A0F3D8D">
        <w:t xml:space="preserve">can </w:t>
      </w:r>
      <w:r>
        <w:t>take</w:t>
      </w:r>
      <w:r w:rsidR="00242194">
        <w:t xml:space="preserve"> </w:t>
      </w:r>
      <w:r>
        <w:t xml:space="preserve">generations to achieve. The ADS can commence the transition away from existing systems and structures that maintain exclusion and segregation of people with disability. </w:t>
      </w:r>
    </w:p>
    <w:p w14:paraId="464EDBD9" w14:textId="3E0DE7E4" w:rsidR="0022050C" w:rsidRDefault="00AF41BF" w:rsidP="00BA470E">
      <w:r>
        <w:t xml:space="preserve">The ADS should lay the necessary foundations </w:t>
      </w:r>
      <w:r w:rsidR="00410D61">
        <w:t>and chart the course</w:t>
      </w:r>
      <w:r>
        <w:t xml:space="preserve"> for all levels of government to innovate </w:t>
      </w:r>
      <w:r w:rsidR="002A5E51">
        <w:t>by initiating and</w:t>
      </w:r>
      <w:r>
        <w:t xml:space="preserve"> progress</w:t>
      </w:r>
      <w:r w:rsidR="002A5E51">
        <w:t>ing</w:t>
      </w:r>
      <w:r>
        <w:t xml:space="preserve"> reform, especially in mainstream policy areas. </w:t>
      </w:r>
      <w:r w:rsidR="00BA56B8">
        <w:t>It</w:t>
      </w:r>
      <w:r w:rsidR="00113F4F">
        <w:t xml:space="preserve"> should not be a static document, </w:t>
      </w:r>
      <w:r w:rsidR="00BA56B8">
        <w:t xml:space="preserve">and its </w:t>
      </w:r>
      <w:r w:rsidR="00113F4F">
        <w:t xml:space="preserve">implementation should not </w:t>
      </w:r>
      <w:r w:rsidR="00462E76">
        <w:t xml:space="preserve">result </w:t>
      </w:r>
      <w:r w:rsidR="47672730">
        <w:t>i</w:t>
      </w:r>
      <w:r w:rsidR="00113F4F">
        <w:t>n maintaining the status quo.</w:t>
      </w:r>
      <w:r w:rsidR="00A11383">
        <w:t xml:space="preserve"> </w:t>
      </w:r>
      <w:r w:rsidR="0022050C">
        <w:t xml:space="preserve">This was recognised </w:t>
      </w:r>
      <w:r w:rsidR="007F2C02">
        <w:t xml:space="preserve">in the Discussion Paper and </w:t>
      </w:r>
      <w:r w:rsidR="0022050C">
        <w:t>by the Disability Royal Commission</w:t>
      </w:r>
      <w:r w:rsidR="00B47871">
        <w:t>,</w:t>
      </w:r>
      <w:r w:rsidR="007F2C02">
        <w:t xml:space="preserve"> which </w:t>
      </w:r>
      <w:r w:rsidR="0022050C">
        <w:t>identif</w:t>
      </w:r>
      <w:r w:rsidR="00B47871">
        <w:t>y</w:t>
      </w:r>
      <w:r w:rsidR="0022050C">
        <w:t xml:space="preserve"> significant flaws </w:t>
      </w:r>
      <w:r w:rsidR="00B47871">
        <w:t>in</w:t>
      </w:r>
      <w:r w:rsidR="0022050C">
        <w:t xml:space="preserve"> </w:t>
      </w:r>
      <w:r w:rsidR="00B47871">
        <w:t>TAPs that point to</w:t>
      </w:r>
      <w:r w:rsidR="0022050C">
        <w:t xml:space="preserve"> programs that have been in place for some time.  </w:t>
      </w:r>
    </w:p>
    <w:p w14:paraId="73DCC1CB" w14:textId="77777777" w:rsidR="003652E7" w:rsidRDefault="00C47943" w:rsidP="00BA470E">
      <w:r>
        <w:t xml:space="preserve">A more dynamic use of the </w:t>
      </w:r>
      <w:r w:rsidR="00A11383">
        <w:t xml:space="preserve">ADS </w:t>
      </w:r>
      <w:r w:rsidR="00D21191">
        <w:t xml:space="preserve">would see it used </w:t>
      </w:r>
      <w:r w:rsidR="00A11383">
        <w:t>as a</w:t>
      </w:r>
      <w:r w:rsidR="00BA470E">
        <w:t xml:space="preserve"> bargaining tool </w:t>
      </w:r>
      <w:r w:rsidR="00D21191">
        <w:t xml:space="preserve">by the Australian Government </w:t>
      </w:r>
      <w:r w:rsidR="00BA470E">
        <w:t>to uplift intergovernmental agreements, strategies and plans</w:t>
      </w:r>
      <w:r w:rsidR="00A11383">
        <w:t xml:space="preserve"> to ensure they progress</w:t>
      </w:r>
      <w:r w:rsidR="00BA470E">
        <w:t xml:space="preserve"> commitments made in the ADS, and </w:t>
      </w:r>
      <w:r w:rsidR="00A11383">
        <w:t>in</w:t>
      </w:r>
      <w:r w:rsidR="00BA470E">
        <w:t xml:space="preserve"> the CRPD. </w:t>
      </w:r>
    </w:p>
    <w:p w14:paraId="722B546E" w14:textId="4B71AE3E" w:rsidR="003652E7" w:rsidRDefault="003652E7" w:rsidP="003652E7">
      <w:r>
        <w:t xml:space="preserve">For instance, the Commission is aware that the </w:t>
      </w:r>
      <w:r w:rsidRPr="006A53CD">
        <w:rPr>
          <w:i/>
          <w:iCs/>
        </w:rPr>
        <w:t>Better and Fairer School Agreement</w:t>
      </w:r>
      <w:r>
        <w:t xml:space="preserve"> </w:t>
      </w:r>
      <w:r w:rsidR="009208FD">
        <w:t xml:space="preserve">was released this year, </w:t>
      </w:r>
      <w:r>
        <w:t xml:space="preserve">with bilateral agreements being negotiated </w:t>
      </w:r>
      <w:r w:rsidR="00FD5555">
        <w:t>for a 1 January 2025 commencement</w:t>
      </w:r>
      <w:r>
        <w:t>.</w:t>
      </w:r>
      <w:r>
        <w:rPr>
          <w:rStyle w:val="EndnoteReference"/>
        </w:rPr>
        <w:endnoteReference w:id="40"/>
      </w:r>
      <w:r>
        <w:t xml:space="preserve"> The Agreement reaffirms a ‘continued commitment to the implementation of the ADS’,</w:t>
      </w:r>
      <w:r>
        <w:rPr>
          <w:rStyle w:val="EndnoteReference"/>
        </w:rPr>
        <w:endnoteReference w:id="41"/>
      </w:r>
      <w:r w:rsidR="003C0492">
        <w:t xml:space="preserve"> but it is not clear how the Agreement aligns with, or progresses, the ADS</w:t>
      </w:r>
      <w:r w:rsidR="00FD5555">
        <w:t xml:space="preserve"> general and specific aims</w:t>
      </w:r>
      <w:r w:rsidR="003C0492">
        <w:t xml:space="preserve">. While it </w:t>
      </w:r>
      <w:r>
        <w:t>includes national</w:t>
      </w:r>
      <w:r w:rsidR="00D64062">
        <w:t xml:space="preserve"> future</w:t>
      </w:r>
      <w:r>
        <w:t xml:space="preserve"> measures for students with disability (around access, participation and outcomes)</w:t>
      </w:r>
      <w:r w:rsidR="003C0492">
        <w:t xml:space="preserve">, the Agreement </w:t>
      </w:r>
      <w:r w:rsidR="00783CD4">
        <w:t>excludes students with disability from some of</w:t>
      </w:r>
      <w:r w:rsidR="0085129D">
        <w:t xml:space="preserve"> its Improvement Measures</w:t>
      </w:r>
      <w:r w:rsidR="0040009E">
        <w:t xml:space="preserve"> relating to </w:t>
      </w:r>
      <w:r w:rsidR="00763CE5">
        <w:t>Year 12 certification,</w:t>
      </w:r>
      <w:r w:rsidR="00E25229">
        <w:rPr>
          <w:rStyle w:val="EndnoteReference"/>
        </w:rPr>
        <w:endnoteReference w:id="42"/>
      </w:r>
      <w:r w:rsidR="00763CE5">
        <w:t xml:space="preserve"> for example</w:t>
      </w:r>
      <w:r w:rsidR="00981C6B">
        <w:t xml:space="preserve">, which </w:t>
      </w:r>
      <w:r w:rsidR="00763CE5">
        <w:t xml:space="preserve">goes against </w:t>
      </w:r>
      <w:r w:rsidR="00E25229">
        <w:t>the ADS policy priority to improve pathways to further education.</w:t>
      </w:r>
      <w:r w:rsidR="00981C6B">
        <w:t xml:space="preserve"> A stronger, </w:t>
      </w:r>
      <w:r w:rsidR="00895B2B">
        <w:t>rights-based</w:t>
      </w:r>
      <w:r w:rsidR="00981C6B">
        <w:t xml:space="preserve"> ADS would trickle down </w:t>
      </w:r>
      <w:r w:rsidR="0024460D">
        <w:t>to like Agreements to address barriers and move away from segregated settings.</w:t>
      </w:r>
    </w:p>
    <w:p w14:paraId="646A4277" w14:textId="05A94853" w:rsidR="00BA470E" w:rsidRDefault="00BA470E" w:rsidP="00BA470E">
      <w:r>
        <w:t xml:space="preserve">The Disability Royal Commission </w:t>
      </w:r>
      <w:r w:rsidR="00D21191">
        <w:t>made a recommendation for</w:t>
      </w:r>
      <w:r>
        <w:t xml:space="preserve"> all national agreements, strategies and plans that affect people with disability </w:t>
      </w:r>
      <w:r w:rsidR="00D21191">
        <w:t>to</w:t>
      </w:r>
      <w:r>
        <w:t xml:space="preserve"> be reviewed to consider, among </w:t>
      </w:r>
      <w:proofErr w:type="gramStart"/>
      <w:r>
        <w:t>a number of</w:t>
      </w:r>
      <w:proofErr w:type="gramEnd"/>
      <w:r>
        <w:t xml:space="preserve"> factors, their alignment with the ADS.</w:t>
      </w:r>
      <w:r>
        <w:rPr>
          <w:rStyle w:val="EndnoteReference"/>
        </w:rPr>
        <w:endnoteReference w:id="43"/>
      </w:r>
      <w:r>
        <w:t xml:space="preserve"> </w:t>
      </w:r>
      <w:r w:rsidR="00D21191">
        <w:t xml:space="preserve">While </w:t>
      </w:r>
      <w:r w:rsidR="00D21191">
        <w:lastRenderedPageBreak/>
        <w:t>t</w:t>
      </w:r>
      <w:r>
        <w:t xml:space="preserve">his should already be occurring </w:t>
      </w:r>
      <w:r w:rsidR="00D21191">
        <w:t>when</w:t>
      </w:r>
      <w:r>
        <w:t xml:space="preserve"> new agreements </w:t>
      </w:r>
      <w:r w:rsidR="00D21191">
        <w:t>are developed, it</w:t>
      </w:r>
      <w:r>
        <w:t xml:space="preserve"> has not been common practice. </w:t>
      </w:r>
    </w:p>
    <w:p w14:paraId="326D90DD" w14:textId="1BF9D79B" w:rsidR="00BA470E" w:rsidRDefault="00686CAB" w:rsidP="00BA470E">
      <w:pPr>
        <w:rPr>
          <w:b/>
          <w:bCs/>
        </w:rPr>
      </w:pPr>
      <w:r>
        <w:t>It is encouraging that the relevant</w:t>
      </w:r>
      <w:r w:rsidR="00A1751F">
        <w:t xml:space="preserve"> Disability Royal Commission recommendation was accepted in principle by all governments</w:t>
      </w:r>
      <w:r>
        <w:t>. The Commission</w:t>
      </w:r>
      <w:r w:rsidR="00A1751F">
        <w:t xml:space="preserve"> recommends that th</w:t>
      </w:r>
      <w:r>
        <w:t>e assessment of national agreements against the ADS form</w:t>
      </w:r>
      <w:r w:rsidR="00A1751F">
        <w:t xml:space="preserve"> part of the</w:t>
      </w:r>
      <w:r>
        <w:t xml:space="preserve"> ADS</w:t>
      </w:r>
      <w:r w:rsidR="00A1751F">
        <w:t xml:space="preserve"> Review</w:t>
      </w:r>
      <w:r w:rsidR="00F36B28">
        <w:t xml:space="preserve">, and that the </w:t>
      </w:r>
      <w:r w:rsidR="00BA470E">
        <w:t xml:space="preserve">outcomes </w:t>
      </w:r>
      <w:r w:rsidR="004664C0">
        <w:t>of such assessments</w:t>
      </w:r>
      <w:r w:rsidR="00BA470E">
        <w:t xml:space="preserve"> be published</w:t>
      </w:r>
      <w:r>
        <w:t>, along with any actions taken</w:t>
      </w:r>
      <w:r w:rsidR="00BA470E">
        <w:t>.</w:t>
      </w:r>
      <w:r w:rsidR="00BA470E" w:rsidRPr="00BA470E">
        <w:rPr>
          <w:b/>
          <w:bCs/>
        </w:rPr>
        <w:t xml:space="preserve"> </w:t>
      </w:r>
    </w:p>
    <w:p w14:paraId="32B093B4" w14:textId="4A484915" w:rsidR="00BA470E" w:rsidRPr="00FD6896" w:rsidRDefault="00BA470E" w:rsidP="00BA470E">
      <w:pPr>
        <w:rPr>
          <w:b/>
          <w:bCs/>
        </w:rPr>
      </w:pPr>
      <w:r>
        <w:rPr>
          <w:b/>
          <w:bCs/>
        </w:rPr>
        <w:t>Recommendation</w:t>
      </w:r>
      <w:r w:rsidR="004047B1">
        <w:rPr>
          <w:b/>
          <w:bCs/>
        </w:rPr>
        <w:t xml:space="preserve"> </w:t>
      </w:r>
      <w:r w:rsidR="00E55551">
        <w:rPr>
          <w:b/>
          <w:bCs/>
        </w:rPr>
        <w:t>9</w:t>
      </w:r>
      <w:r w:rsidR="004047B1">
        <w:rPr>
          <w:b/>
          <w:bCs/>
        </w:rPr>
        <w:t>:</w:t>
      </w:r>
      <w:r>
        <w:rPr>
          <w:b/>
          <w:bCs/>
        </w:rPr>
        <w:t xml:space="preserve"> The Review of Australia’s Disability Strategy should include the implementation of recommendation </w:t>
      </w:r>
      <w:r w:rsidRPr="004664C0">
        <w:rPr>
          <w:b/>
        </w:rPr>
        <w:t>5.</w:t>
      </w:r>
      <w:r w:rsidR="004664C0" w:rsidRPr="004664C0">
        <w:rPr>
          <w:b/>
          <w:bCs/>
        </w:rPr>
        <w:t>4</w:t>
      </w:r>
      <w:r>
        <w:rPr>
          <w:b/>
          <w:bCs/>
        </w:rPr>
        <w:t xml:space="preserve"> of the Disability Royal Commission to </w:t>
      </w:r>
      <w:r w:rsidR="004664C0">
        <w:rPr>
          <w:b/>
          <w:bCs/>
        </w:rPr>
        <w:t xml:space="preserve">review </w:t>
      </w:r>
      <w:r w:rsidR="00056EB2">
        <w:rPr>
          <w:b/>
          <w:bCs/>
        </w:rPr>
        <w:t>national agreements, strategies and plans.</w:t>
      </w:r>
      <w:r>
        <w:rPr>
          <w:b/>
          <w:bCs/>
        </w:rPr>
        <w:t xml:space="preserve"> The outcomes, and any action taken </w:t>
      </w:r>
      <w:proofErr w:type="gramStart"/>
      <w:r>
        <w:rPr>
          <w:b/>
          <w:bCs/>
        </w:rPr>
        <w:t>as a result of</w:t>
      </w:r>
      <w:proofErr w:type="gramEnd"/>
      <w:r>
        <w:rPr>
          <w:b/>
          <w:bCs/>
        </w:rPr>
        <w:t xml:space="preserve"> the reviews, should be made public.</w:t>
      </w:r>
    </w:p>
    <w:p w14:paraId="7843F39D" w14:textId="77777777" w:rsidR="00E14651" w:rsidRDefault="00E14651" w:rsidP="00E14651">
      <w:pPr>
        <w:pStyle w:val="Heading2"/>
      </w:pPr>
      <w:bookmarkStart w:id="15" w:name="_Toc175847514"/>
      <w:r>
        <w:t>Accountability</w:t>
      </w:r>
    </w:p>
    <w:p w14:paraId="340384AF" w14:textId="363CD6DA" w:rsidR="00592347" w:rsidRDefault="00E14651" w:rsidP="00E14651">
      <w:r>
        <w:t xml:space="preserve">The Discussion Paper </w:t>
      </w:r>
      <w:r w:rsidR="004E7237">
        <w:t>acknowledge</w:t>
      </w:r>
      <w:r w:rsidR="002F4FB6">
        <w:t xml:space="preserve">s that ‘ADS reporting </w:t>
      </w:r>
      <w:r w:rsidR="0FD90031">
        <w:t>d</w:t>
      </w:r>
      <w:r w:rsidR="002F4FB6">
        <w:t>oes not support government accountability and implementation compliance.’</w:t>
      </w:r>
      <w:r w:rsidR="002F4FB6">
        <w:rPr>
          <w:rStyle w:val="EndnoteReference"/>
        </w:rPr>
        <w:endnoteReference w:id="44"/>
      </w:r>
      <w:r w:rsidR="002F4FB6">
        <w:t xml:space="preserve"> </w:t>
      </w:r>
      <w:r w:rsidR="000A4E52">
        <w:t xml:space="preserve">Draft recommendations for comment include reporting through the Outcomes Framework </w:t>
      </w:r>
      <w:r w:rsidR="00592347">
        <w:t xml:space="preserve">and more robust reporting for TAPs. The Commission agrees with </w:t>
      </w:r>
      <w:r w:rsidR="00D12B65">
        <w:t xml:space="preserve">these recommendations, with the addition of more robust and consistent TAPs, as explained below. </w:t>
      </w:r>
    </w:p>
    <w:p w14:paraId="4CC02EF2" w14:textId="55C7EF9B" w:rsidR="00D12B65" w:rsidRDefault="00D12B65" w:rsidP="00E14651">
      <w:r>
        <w:t xml:space="preserve">Firstly, it should be noted that </w:t>
      </w:r>
      <w:r w:rsidR="00A10946">
        <w:t xml:space="preserve">ADS agreements are spread across </w:t>
      </w:r>
      <w:proofErr w:type="gramStart"/>
      <w:r w:rsidR="00A10946">
        <w:t>a number of</w:t>
      </w:r>
      <w:proofErr w:type="gramEnd"/>
      <w:r w:rsidR="00A10946">
        <w:t xml:space="preserve"> documents, </w:t>
      </w:r>
      <w:r w:rsidR="00D7518B">
        <w:t>and not all policy priorities agreed to in the ADS have a corresponding TAP, making it difficult to know how these priorities are progressed by government</w:t>
      </w:r>
      <w:r w:rsidR="00DD79A7">
        <w:t>, if at all.</w:t>
      </w:r>
    </w:p>
    <w:p w14:paraId="4E59A478" w14:textId="114F07C1" w:rsidR="00D7518B" w:rsidRDefault="000D3A8D" w:rsidP="00E14651">
      <w:r>
        <w:t>In addition, where TAPs are in place, the actions are not congruent with</w:t>
      </w:r>
      <w:r w:rsidR="006B55D0">
        <w:t>,</w:t>
      </w:r>
      <w:r>
        <w:t xml:space="preserve"> or sufficient to achieve</w:t>
      </w:r>
      <w:r w:rsidR="006B55D0">
        <w:t>,</w:t>
      </w:r>
      <w:r>
        <w:t xml:space="preserve"> objectives. T</w:t>
      </w:r>
      <w:r w:rsidR="006767AC">
        <w:t xml:space="preserve">he Commission </w:t>
      </w:r>
      <w:r w:rsidR="00640E33">
        <w:t>build</w:t>
      </w:r>
      <w:r w:rsidR="00D96FE1">
        <w:t>s</w:t>
      </w:r>
      <w:r w:rsidR="00640E33">
        <w:t xml:space="preserve"> on the analysis provided </w:t>
      </w:r>
      <w:r w:rsidR="00640E33" w:rsidRPr="004C5050">
        <w:t xml:space="preserve">in section </w:t>
      </w:r>
      <w:r w:rsidR="004C5050" w:rsidRPr="004C5050">
        <w:t>4.4</w:t>
      </w:r>
      <w:r w:rsidR="00640E33" w:rsidRPr="004C5050">
        <w:t xml:space="preserve">, </w:t>
      </w:r>
      <w:r w:rsidR="004C5050">
        <w:t>relating to</w:t>
      </w:r>
      <w:r w:rsidR="00640E33" w:rsidRPr="004C5050">
        <w:t xml:space="preserve"> the</w:t>
      </w:r>
      <w:r w:rsidR="00640E33">
        <w:t xml:space="preserve"> objective to reduce and eliminate restrictive practices, as per the Safety TAP.</w:t>
      </w:r>
      <w:r w:rsidR="006767AC">
        <w:t xml:space="preserve"> </w:t>
      </w:r>
    </w:p>
    <w:p w14:paraId="76226C43" w14:textId="0F5DA610" w:rsidR="009D7B3D" w:rsidRDefault="009D7B3D" w:rsidP="009D7B3D">
      <w:r>
        <w:t xml:space="preserve">The first observation is that there are significant inconsistencies across the Australian Government’s TAP and State based TAPs. For instance, the Australian Government </w:t>
      </w:r>
      <w:r w:rsidR="00A25F22">
        <w:t xml:space="preserve">TAP </w:t>
      </w:r>
      <w:r>
        <w:t>has an action to ‘work with states and territories to align to agreed national principles, with definitions and authorisation processes in place by 2023.</w:t>
      </w:r>
      <w:r>
        <w:rPr>
          <w:rStyle w:val="EndnoteReference"/>
        </w:rPr>
        <w:endnoteReference w:id="45"/>
      </w:r>
      <w:r>
        <w:t xml:space="preserve"> </w:t>
      </w:r>
      <w:r w:rsidR="00572953">
        <w:t>E</w:t>
      </w:r>
      <w:r>
        <w:t>very jurisdiction</w:t>
      </w:r>
      <w:r w:rsidR="00572953">
        <w:t>al TAP should</w:t>
      </w:r>
      <w:r>
        <w:t xml:space="preserve"> have a</w:t>
      </w:r>
      <w:r w:rsidR="00572953">
        <w:t>n ensuing</w:t>
      </w:r>
      <w:r>
        <w:t xml:space="preserve"> similar action, but this is not the case. State TAPs</w:t>
      </w:r>
      <w:r w:rsidR="00EA1DAA">
        <w:t xml:space="preserve"> are also </w:t>
      </w:r>
      <w:proofErr w:type="gramStart"/>
      <w:r w:rsidR="00EA1DAA">
        <w:t>piecemeal</w:t>
      </w:r>
      <w:proofErr w:type="gramEnd"/>
      <w:r w:rsidR="00EA1DAA">
        <w:t xml:space="preserve"> in their interpretation of the scope of the objective</w:t>
      </w:r>
      <w:r w:rsidR="009905CD">
        <w:t>, which applies across all settings. Yet,</w:t>
      </w:r>
      <w:r>
        <w:t xml:space="preserve"> Victoria’s TAP is solely focused on custodial </w:t>
      </w:r>
      <w:proofErr w:type="gramStart"/>
      <w:r>
        <w:t>settings, and</w:t>
      </w:r>
      <w:proofErr w:type="gramEnd"/>
      <w:r>
        <w:t xml:space="preserve"> makes no </w:t>
      </w:r>
      <w:r w:rsidR="009905CD">
        <w:t xml:space="preserve">direct </w:t>
      </w:r>
      <w:r>
        <w:t>mention of the use of restrictive practices</w:t>
      </w:r>
      <w:r w:rsidR="009905CD">
        <w:t>;</w:t>
      </w:r>
      <w:r>
        <w:t xml:space="preserve"> NSW </w:t>
      </w:r>
      <w:r w:rsidR="009905CD">
        <w:t xml:space="preserve">focuses </w:t>
      </w:r>
      <w:r>
        <w:t>on education</w:t>
      </w:r>
      <w:r w:rsidR="009905CD">
        <w:t xml:space="preserve"> settings; </w:t>
      </w:r>
      <w:r>
        <w:t>Queensland on health settings.</w:t>
      </w:r>
      <w:r>
        <w:rPr>
          <w:rStyle w:val="EndnoteReference"/>
        </w:rPr>
        <w:endnoteReference w:id="46"/>
      </w:r>
    </w:p>
    <w:p w14:paraId="0C9D587A" w14:textId="7B555882" w:rsidR="00205AFF" w:rsidRDefault="00205AFF" w:rsidP="00205AFF">
      <w:r>
        <w:lastRenderedPageBreak/>
        <w:t xml:space="preserve">It is unclear how the </w:t>
      </w:r>
      <w:r w:rsidR="00A50E6A">
        <w:t>Australian Government</w:t>
      </w:r>
      <w:r>
        <w:t xml:space="preserve"> is taking</w:t>
      </w:r>
      <w:r w:rsidR="00A50E6A">
        <w:t xml:space="preserve"> on its</w:t>
      </w:r>
      <w:r>
        <w:t xml:space="preserve"> leadership </w:t>
      </w:r>
      <w:r w:rsidR="00A50E6A">
        <w:t xml:space="preserve">role </w:t>
      </w:r>
      <w:r>
        <w:t xml:space="preserve">to coordinate </w:t>
      </w:r>
      <w:r w:rsidR="00A50E6A">
        <w:t>action across jurisdictions.</w:t>
      </w:r>
      <w:r>
        <w:t xml:space="preserve">  </w:t>
      </w:r>
    </w:p>
    <w:p w14:paraId="73AAB12F" w14:textId="6938B9A1" w:rsidR="00A50E6A" w:rsidRPr="00E46C83" w:rsidRDefault="00A50E6A" w:rsidP="00A50E6A">
      <w:r>
        <w:t xml:space="preserve">The TAP, and indeed the ADS, is also silent on </w:t>
      </w:r>
      <w:r w:rsidR="002638F8">
        <w:t>previous commitments towards this objective. The</w:t>
      </w:r>
      <w:r>
        <w:t xml:space="preserve"> National Framework for Reducing and Eliminating the Use of Restrictive Practices in the Disability Service Sector was endorsed by Commonwealth, State and Territory Ministers in 2014, more than ten years ago. While the Framework would need to be expanded to all settings beyon</w:t>
      </w:r>
      <w:r w:rsidR="708D870F">
        <w:t>d</w:t>
      </w:r>
      <w:r>
        <w:t xml:space="preserve"> disability services</w:t>
      </w:r>
      <w:r w:rsidR="04DB2C2C">
        <w:t>, such as mental health, justice, child protection and aged care</w:t>
      </w:r>
      <w:r>
        <w:t xml:space="preserve"> and needs refreshing to apply to the current service landscape (most notably, NDIS</w:t>
      </w:r>
      <w:proofErr w:type="gramStart"/>
      <w:r w:rsidR="00E202A4">
        <w:t>),it</w:t>
      </w:r>
      <w:proofErr w:type="gramEnd"/>
      <w:r w:rsidR="00E202A4">
        <w:t xml:space="preserve"> provides a good starting point</w:t>
      </w:r>
      <w:r w:rsidR="003C791D">
        <w:t xml:space="preserve"> for this work.</w:t>
      </w:r>
    </w:p>
    <w:p w14:paraId="0B57F945" w14:textId="2A39AA30" w:rsidR="00205AFF" w:rsidRDefault="00C9329F" w:rsidP="00205AFF">
      <w:r>
        <w:t>Finally,</w:t>
      </w:r>
      <w:r w:rsidR="00C61C58">
        <w:t xml:space="preserve"> current ADS reporting frameworks are not presented in a way that is specific to any TAP objective or action.</w:t>
      </w:r>
      <w:r>
        <w:t xml:space="preserve"> </w:t>
      </w:r>
      <w:r w:rsidR="00205AFF" w:rsidRPr="00722BFD">
        <w:t xml:space="preserve">The </w:t>
      </w:r>
      <w:r w:rsidR="00205AFF">
        <w:t>two</w:t>
      </w:r>
      <w:r w:rsidR="00C61C58">
        <w:t xml:space="preserve"> published</w:t>
      </w:r>
      <w:r w:rsidR="00205AFF">
        <w:t xml:space="preserve"> </w:t>
      </w:r>
      <w:r w:rsidR="00205AFF" w:rsidRPr="00C61C58">
        <w:rPr>
          <w:i/>
          <w:iCs/>
        </w:rPr>
        <w:t>TAP Reports</w:t>
      </w:r>
      <w:r w:rsidR="00205AFF" w:rsidRPr="00722BFD">
        <w:t xml:space="preserve"> present</w:t>
      </w:r>
      <w:r w:rsidR="00205AFF">
        <w:t xml:space="preserve"> disaggregated data in tables and graph</w:t>
      </w:r>
      <w:r w:rsidR="0098782A">
        <w:t>s</w:t>
      </w:r>
      <w:r w:rsidR="00205AFF">
        <w:t xml:space="preserve"> showing the </w:t>
      </w:r>
      <w:r w:rsidR="00205AFF" w:rsidRPr="00722BFD">
        <w:rPr>
          <w:i/>
          <w:iCs/>
        </w:rPr>
        <w:t>total</w:t>
      </w:r>
      <w:r w:rsidR="00205AFF">
        <w:t xml:space="preserve"> number of actions that are complete / on track / delayed, rather than providing a status update for </w:t>
      </w:r>
      <w:r w:rsidR="00205AFF" w:rsidRPr="0098782A">
        <w:rPr>
          <w:i/>
          <w:iCs/>
        </w:rPr>
        <w:t>each individual</w:t>
      </w:r>
      <w:r w:rsidR="00205AFF">
        <w:t xml:space="preserve"> action committed to.</w:t>
      </w:r>
      <w:r w:rsidR="00205AFF">
        <w:rPr>
          <w:rStyle w:val="EndnoteReference"/>
        </w:rPr>
        <w:endnoteReference w:id="47"/>
      </w:r>
      <w:r w:rsidR="0098782A">
        <w:t xml:space="preserve"> Reports make no reference to the objectives in each TAP.</w:t>
      </w:r>
      <w:r w:rsidR="00205AFF">
        <w:t xml:space="preserve"> </w:t>
      </w:r>
      <w:r w:rsidR="0098782A">
        <w:t>This makes it</w:t>
      </w:r>
      <w:r w:rsidR="00205AFF">
        <w:t xml:space="preserve"> impossible to decipher whether or how any action – for example the goal to have all jurisdictions agree to national principles</w:t>
      </w:r>
      <w:r w:rsidR="0098782A">
        <w:t xml:space="preserve"> </w:t>
      </w:r>
      <w:r w:rsidR="00CD4168">
        <w:t>for restrictive practices</w:t>
      </w:r>
      <w:r w:rsidR="00205AFF">
        <w:t xml:space="preserve"> by 2023 – has been progressed. The ADS Implementation Report is equally </w:t>
      </w:r>
      <w:r w:rsidR="00CD4168">
        <w:t>non-specific</w:t>
      </w:r>
      <w:r w:rsidR="00205AFF">
        <w:t xml:space="preserve"> and opts for presenting high level dot point lists of examples of activities, rather than comprehensively reporting on implementation. </w:t>
      </w:r>
    </w:p>
    <w:p w14:paraId="0028C611" w14:textId="6336515F" w:rsidR="00205AFF" w:rsidRDefault="00205AFF" w:rsidP="00205AFF">
      <w:r>
        <w:t xml:space="preserve">A </w:t>
      </w:r>
      <w:r w:rsidR="006C30D6">
        <w:t>rights-based</w:t>
      </w:r>
      <w:r>
        <w:t xml:space="preserve"> framing and understanding of </w:t>
      </w:r>
      <w:r w:rsidR="00CD4168">
        <w:t>each ADS</w:t>
      </w:r>
      <w:r>
        <w:t xml:space="preserve"> objective is needed in a first instance</w:t>
      </w:r>
      <w:r w:rsidR="00CD4168">
        <w:t xml:space="preserve"> as recommended earlier in this submission. This needs to be</w:t>
      </w:r>
      <w:r>
        <w:t xml:space="preserve"> supported by </w:t>
      </w:r>
      <w:r w:rsidR="00CD4168">
        <w:t xml:space="preserve">shared </w:t>
      </w:r>
      <w:r>
        <w:t>workplan</w:t>
      </w:r>
      <w:r w:rsidR="00CD4168">
        <w:t>s</w:t>
      </w:r>
      <w:r w:rsidR="00CF79AD" w:rsidRPr="00CF79AD">
        <w:t xml:space="preserve"> </w:t>
      </w:r>
      <w:r w:rsidR="00CF79AD">
        <w:t>across all jurisdictions for each TAP, and</w:t>
      </w:r>
      <w:r>
        <w:t xml:space="preserve"> similar benchmark indicators.  </w:t>
      </w:r>
    </w:p>
    <w:p w14:paraId="602A4DC4" w14:textId="13125860" w:rsidR="00016372" w:rsidRDefault="00016372" w:rsidP="0069000B">
      <w:pPr>
        <w:pStyle w:val="Heading2"/>
      </w:pPr>
      <w:r>
        <w:t>The role the Outcomes Framework</w:t>
      </w:r>
      <w:bookmarkEnd w:id="15"/>
    </w:p>
    <w:p w14:paraId="7878987F" w14:textId="22222DB0" w:rsidR="005330EF" w:rsidRDefault="003C4013" w:rsidP="00AF41BF">
      <w:r>
        <w:t>The ADS Outcomes Framework</w:t>
      </w:r>
      <w:r w:rsidR="007D1383">
        <w:t xml:space="preserve"> is </w:t>
      </w:r>
      <w:r w:rsidR="001841EB">
        <w:t>a notable improvement from the NDS</w:t>
      </w:r>
      <w:r w:rsidR="0043406F">
        <w:t xml:space="preserve"> and an important</w:t>
      </w:r>
      <w:r w:rsidR="00296580">
        <w:t xml:space="preserve"> tool to</w:t>
      </w:r>
      <w:r w:rsidR="00686CAB">
        <w:t xml:space="preserve"> monitor and</w:t>
      </w:r>
      <w:r w:rsidR="00296580">
        <w:t xml:space="preserve"> inform implementation</w:t>
      </w:r>
      <w:r w:rsidR="00F95061">
        <w:t>, and to hold governments to account</w:t>
      </w:r>
      <w:r w:rsidR="00296580">
        <w:t>.</w:t>
      </w:r>
      <w:r w:rsidR="004763FD">
        <w:t xml:space="preserve"> </w:t>
      </w:r>
    </w:p>
    <w:p w14:paraId="76B0A31E" w14:textId="5365228A" w:rsidR="002D0CDA" w:rsidRDefault="00D45D43" w:rsidP="002D0CDA">
      <w:r>
        <w:t>It is inevitable that policy will evolve during the decade long life span of the ADS</w:t>
      </w:r>
      <w:r w:rsidR="00C9469A">
        <w:t>, and so</w:t>
      </w:r>
      <w:r>
        <w:t xml:space="preserve"> it should be sufficiently supple to reflect </w:t>
      </w:r>
      <w:r w:rsidR="00A371BA">
        <w:t>new data where it is being collected</w:t>
      </w:r>
      <w:r>
        <w:t xml:space="preserve">. </w:t>
      </w:r>
      <w:r w:rsidR="0024460D">
        <w:t>Notwithstanding the concerns raised above</w:t>
      </w:r>
      <w:r w:rsidR="002D0CDA">
        <w:t xml:space="preserve">, </w:t>
      </w:r>
      <w:r w:rsidR="00C11A9C">
        <w:t>t</w:t>
      </w:r>
      <w:r w:rsidR="002D0CDA">
        <w:t xml:space="preserve">he </w:t>
      </w:r>
      <w:r w:rsidR="00C11A9C">
        <w:rPr>
          <w:i/>
          <w:iCs/>
        </w:rPr>
        <w:t xml:space="preserve">Better and Fairer Schools </w:t>
      </w:r>
      <w:r w:rsidR="002D0CDA" w:rsidRPr="00C11A9C">
        <w:rPr>
          <w:i/>
          <w:iCs/>
        </w:rPr>
        <w:t>Agreement</w:t>
      </w:r>
      <w:r w:rsidR="00C11A9C">
        <w:rPr>
          <w:i/>
          <w:iCs/>
        </w:rPr>
        <w:t xml:space="preserve"> </w:t>
      </w:r>
      <w:r w:rsidR="00C11A9C">
        <w:t xml:space="preserve">includes </w:t>
      </w:r>
      <w:r w:rsidR="00D655DA">
        <w:t xml:space="preserve">a review of the Measurement Framework for Schooling in Australia </w:t>
      </w:r>
      <w:r w:rsidR="00ED7E23">
        <w:t xml:space="preserve">to consider </w:t>
      </w:r>
      <w:r w:rsidR="00C11A9C">
        <w:t>data reporting</w:t>
      </w:r>
      <w:r w:rsidR="002D0CDA">
        <w:t xml:space="preserve"> that </w:t>
      </w:r>
      <w:r w:rsidR="00301C96">
        <w:t>would</w:t>
      </w:r>
      <w:r w:rsidR="007C77E7">
        <w:t xml:space="preserve"> capture access and outcomes</w:t>
      </w:r>
      <w:r w:rsidR="007F2880">
        <w:t>, in addition to the</w:t>
      </w:r>
      <w:r w:rsidR="00666CB3">
        <w:t xml:space="preserve"> school participation indicator</w:t>
      </w:r>
      <w:r w:rsidR="007F2880">
        <w:t xml:space="preserve"> that is already captured in</w:t>
      </w:r>
      <w:r w:rsidR="3CA91B46">
        <w:t xml:space="preserve"> </w:t>
      </w:r>
      <w:r w:rsidR="002D0CDA">
        <w:t>the ADS Outcomes Framework</w:t>
      </w:r>
      <w:r w:rsidR="007F2880">
        <w:t xml:space="preserve">. </w:t>
      </w:r>
      <w:r w:rsidR="00F11E97">
        <w:t>Should t</w:t>
      </w:r>
      <w:r w:rsidR="00666CB3">
        <w:t>his</w:t>
      </w:r>
      <w:r w:rsidR="00C7124D">
        <w:t xml:space="preserve"> data</w:t>
      </w:r>
      <w:r w:rsidR="00666CB3">
        <w:t xml:space="preserve"> improvement</w:t>
      </w:r>
      <w:r w:rsidR="00C7124D">
        <w:t xml:space="preserve"> (and </w:t>
      </w:r>
      <w:r w:rsidR="00C7124D">
        <w:lastRenderedPageBreak/>
        <w:t>hopefully others)</w:t>
      </w:r>
      <w:r w:rsidR="002D0CDA">
        <w:t xml:space="preserve"> </w:t>
      </w:r>
      <w:r w:rsidR="007F2880">
        <w:t>be agreed to</w:t>
      </w:r>
      <w:r w:rsidR="00807675">
        <w:t xml:space="preserve">, </w:t>
      </w:r>
      <w:r w:rsidR="00FE2D33">
        <w:t xml:space="preserve">it </w:t>
      </w:r>
      <w:r w:rsidR="002D0CDA">
        <w:t xml:space="preserve">should trigger amendments to the ADS Outcomes Framework. </w:t>
      </w:r>
    </w:p>
    <w:p w14:paraId="779DAADC" w14:textId="791587E8" w:rsidR="002D0CDA" w:rsidRDefault="00D45D43" w:rsidP="00AF41BF">
      <w:r>
        <w:t>The Outcomes Framework should also be used to drive</w:t>
      </w:r>
      <w:r w:rsidR="00DD6F52">
        <w:t xml:space="preserve"> increased reporting</w:t>
      </w:r>
      <w:r>
        <w:t>, especially in mainstream policy areas.</w:t>
      </w:r>
    </w:p>
    <w:p w14:paraId="7426F241" w14:textId="3C27E86F" w:rsidR="001D79E1" w:rsidRDefault="00D95435" w:rsidP="00AF41BF">
      <w:r>
        <w:t>As an example, t</w:t>
      </w:r>
      <w:r w:rsidR="00AF41BF">
        <w:t xml:space="preserve">he ADS Outcomes Framework has an agreed future outcome measure on percentage compliance with the </w:t>
      </w:r>
      <w:r w:rsidR="00AF41BF" w:rsidRPr="00D95435">
        <w:rPr>
          <w:i/>
          <w:iCs/>
        </w:rPr>
        <w:t>Disability Standards for Accessible Public Transport</w:t>
      </w:r>
      <w:r>
        <w:rPr>
          <w:i/>
          <w:iCs/>
        </w:rPr>
        <w:t xml:space="preserve"> 2002 </w:t>
      </w:r>
      <w:r>
        <w:t>(Cth) (DSAPT)</w:t>
      </w:r>
      <w:r w:rsidR="00AF41BF">
        <w:t>.</w:t>
      </w:r>
      <w:r w:rsidR="00AF41BF">
        <w:rPr>
          <w:rStyle w:val="EndnoteReference"/>
        </w:rPr>
        <w:endnoteReference w:id="48"/>
      </w:r>
      <w:r w:rsidR="00AF41BF">
        <w:t xml:space="preserve"> </w:t>
      </w:r>
      <w:r w:rsidR="00210B90">
        <w:t>Once reported on, t</w:t>
      </w:r>
      <w:r w:rsidR="00AF41BF">
        <w:t>his data point will</w:t>
      </w:r>
      <w:r w:rsidR="001D79E1">
        <w:t xml:space="preserve"> </w:t>
      </w:r>
      <w:r w:rsidR="00DD6F52">
        <w:t>be</w:t>
      </w:r>
      <w:r w:rsidR="001D79E1">
        <w:t xml:space="preserve"> the first</w:t>
      </w:r>
      <w:r w:rsidR="00AF41BF">
        <w:t xml:space="preserve"> </w:t>
      </w:r>
      <w:r w:rsidR="001D79E1">
        <w:t>ascertainment of</w:t>
      </w:r>
      <w:r w:rsidR="00AF41BF">
        <w:t xml:space="preserve"> </w:t>
      </w:r>
      <w:r w:rsidR="001D79E1">
        <w:t xml:space="preserve">DSAPT </w:t>
      </w:r>
      <w:r w:rsidR="00AF41BF">
        <w:t>compliance</w:t>
      </w:r>
      <w:r w:rsidR="00F45B5A">
        <w:t xml:space="preserve"> in the 22 years of their operation</w:t>
      </w:r>
      <w:r w:rsidR="00512ECC">
        <w:t>.</w:t>
      </w:r>
      <w:r w:rsidR="00AC28DA">
        <w:t xml:space="preserve"> That this data point has been agreed to by </w:t>
      </w:r>
      <w:r w:rsidR="00B92593">
        <w:t>all parties to the ADS is a</w:t>
      </w:r>
      <w:r w:rsidR="00512ECC">
        <w:t xml:space="preserve">n </w:t>
      </w:r>
      <w:r w:rsidR="005C220D">
        <w:t>achievement</w:t>
      </w:r>
      <w:r w:rsidR="00884EF5">
        <w:t>.</w:t>
      </w:r>
    </w:p>
    <w:p w14:paraId="15F82A4E" w14:textId="1003A7AE" w:rsidR="00AF41BF" w:rsidRDefault="00AF41BF" w:rsidP="00AF41BF">
      <w:r>
        <w:t>A working group has now been established by the Australian Department of Infrastructure, Transport, Regional Development, Communications and the Arts (DITRDCA)</w:t>
      </w:r>
      <w:r w:rsidR="00F45B5A">
        <w:t xml:space="preserve"> to </w:t>
      </w:r>
      <w:r>
        <w:t>develop a non-mandatory reporting framework for DSAPT</w:t>
      </w:r>
      <w:r w:rsidR="00202AEC">
        <w:t xml:space="preserve"> compliance</w:t>
      </w:r>
      <w:r>
        <w:t>.</w:t>
      </w:r>
      <w:r w:rsidR="00F91897">
        <w:t xml:space="preserve"> The Commission has issue with non</w:t>
      </w:r>
      <w:r w:rsidR="00F45B5A">
        <w:t>-</w:t>
      </w:r>
      <w:r w:rsidR="00F91897">
        <w:t>mandatory reporting, which is flawed, inaccurate, and likely be incomplete.</w:t>
      </w:r>
      <w:r w:rsidR="005B2A82">
        <w:t xml:space="preserve"> R</w:t>
      </w:r>
      <w:r w:rsidR="005D730E">
        <w:t xml:space="preserve">eporting is not </w:t>
      </w:r>
      <w:r w:rsidR="5F019DE0">
        <w:t>obliged</w:t>
      </w:r>
      <w:r w:rsidR="005D730E">
        <w:t xml:space="preserve"> </w:t>
      </w:r>
      <w:r w:rsidR="00A76867">
        <w:t xml:space="preserve">by law under the DSAPT, </w:t>
      </w:r>
      <w:r w:rsidR="005B2A82">
        <w:t xml:space="preserve">but </w:t>
      </w:r>
      <w:r w:rsidR="00CB582E">
        <w:t>th</w:t>
      </w:r>
      <w:r w:rsidR="004B0460">
        <w:t xml:space="preserve">at it was agreed to in </w:t>
      </w:r>
      <w:r w:rsidR="00CB582E">
        <w:t xml:space="preserve">the ADS </w:t>
      </w:r>
      <w:r w:rsidR="005B2A82">
        <w:t xml:space="preserve">Outcomes </w:t>
      </w:r>
      <w:r w:rsidR="00CB582E">
        <w:t xml:space="preserve">Framework </w:t>
      </w:r>
      <w:r w:rsidR="006C704A">
        <w:t xml:space="preserve">should be </w:t>
      </w:r>
      <w:r w:rsidR="004B0460">
        <w:t xml:space="preserve">sufficient to materialise in </w:t>
      </w:r>
      <w:r w:rsidR="002D20DD" w:rsidRPr="3E84DB2A">
        <w:t>mandatory</w:t>
      </w:r>
      <w:r w:rsidR="004B0460">
        <w:t xml:space="preserve"> reporting</w:t>
      </w:r>
      <w:r w:rsidR="000F1FD0">
        <w:t>, at least for the governments who have agreed to it</w:t>
      </w:r>
      <w:r w:rsidR="002D20DD">
        <w:t>.</w:t>
      </w:r>
      <w:r w:rsidR="001C5144">
        <w:rPr>
          <w:rStyle w:val="EndnoteReference"/>
        </w:rPr>
        <w:endnoteReference w:id="49"/>
      </w:r>
      <w:r w:rsidR="002D20DD">
        <w:t xml:space="preserve"> </w:t>
      </w:r>
      <w:r w:rsidR="005B2A82">
        <w:t xml:space="preserve">The Commission is hopeful that the ADS can be used to persuade reporting on this measure. </w:t>
      </w:r>
    </w:p>
    <w:p w14:paraId="2D33E7FC" w14:textId="53584C92" w:rsidR="00377068" w:rsidRDefault="00377068" w:rsidP="00377068">
      <w:pPr>
        <w:pStyle w:val="Heading2"/>
      </w:pPr>
      <w:r>
        <w:t>Governance for the Outcomes Framework and data development plan</w:t>
      </w:r>
    </w:p>
    <w:p w14:paraId="603525AE" w14:textId="168E0CD7" w:rsidR="00884EF5" w:rsidRDefault="004748A8" w:rsidP="00AF41BF">
      <w:r>
        <w:t xml:space="preserve">It is a significant concern that measures </w:t>
      </w:r>
      <w:r w:rsidR="00AC61B6">
        <w:t>are</w:t>
      </w:r>
      <w:r>
        <w:t xml:space="preserve"> set for future reporting</w:t>
      </w:r>
      <w:r w:rsidR="00AC61B6">
        <w:t xml:space="preserve"> in the ADS Outcomes Framework</w:t>
      </w:r>
      <w:r>
        <w:t xml:space="preserve">, without a comprehensive plan or </w:t>
      </w:r>
      <w:r w:rsidR="00377068">
        <w:t xml:space="preserve">identified </w:t>
      </w:r>
      <w:r>
        <w:t xml:space="preserve">data points to build </w:t>
      </w:r>
      <w:r w:rsidR="00D462AA">
        <w:t xml:space="preserve">and gather </w:t>
      </w:r>
      <w:r>
        <w:t>the evidence. For example, i</w:t>
      </w:r>
      <w:r w:rsidR="00884EF5">
        <w:t xml:space="preserve">t is </w:t>
      </w:r>
      <w:r>
        <w:t>unclear</w:t>
      </w:r>
      <w:r w:rsidR="007F274C">
        <w:t xml:space="preserve"> to the Commission how the full measure of DSAPT compliance </w:t>
      </w:r>
      <w:r w:rsidR="00CE2738">
        <w:t>mentioned above</w:t>
      </w:r>
      <w:r w:rsidR="007F274C">
        <w:t xml:space="preserve"> will be arrived at, given that the DSAPT applies not only to governments</w:t>
      </w:r>
      <w:r>
        <w:t xml:space="preserve"> (who at least </w:t>
      </w:r>
      <w:r w:rsidR="00D462AA">
        <w:t>are party</w:t>
      </w:r>
      <w:r>
        <w:t xml:space="preserve"> to </w:t>
      </w:r>
      <w:r w:rsidR="00D462AA">
        <w:t>the ADS</w:t>
      </w:r>
      <w:r>
        <w:t>)</w:t>
      </w:r>
      <w:r w:rsidR="007F274C">
        <w:t>, but also to private transport providers and operators.</w:t>
      </w:r>
      <w:r w:rsidR="00DB464B">
        <w:t xml:space="preserve"> </w:t>
      </w:r>
    </w:p>
    <w:p w14:paraId="527473DB" w14:textId="11D7F442" w:rsidR="00C66555" w:rsidRDefault="00C66555" w:rsidP="00AF41BF">
      <w:r>
        <w:t xml:space="preserve">It is also concerning that the ADS </w:t>
      </w:r>
      <w:proofErr w:type="gramStart"/>
      <w:r>
        <w:t>does</w:t>
      </w:r>
      <w:proofErr w:type="gramEnd"/>
      <w:r>
        <w:t xml:space="preserve"> not link to the National Disability Data Asset (NDDA).</w:t>
      </w:r>
      <w:r w:rsidR="506EA53E">
        <w:t xml:space="preserve"> The NDDA aims to be fundamental in supporting the development </w:t>
      </w:r>
      <w:r w:rsidR="6239D518">
        <w:t xml:space="preserve">of human rights indicators and </w:t>
      </w:r>
      <w:r w:rsidR="506EA53E">
        <w:t>an evidence base for transformative policy reform.</w:t>
      </w:r>
    </w:p>
    <w:p w14:paraId="2E85C5A2" w14:textId="54539D3D" w:rsidR="00CE2738" w:rsidRDefault="00D02327" w:rsidP="00AF41BF">
      <w:r>
        <w:t xml:space="preserve">More robust governance around the Outcomes Framework would be </w:t>
      </w:r>
      <w:r w:rsidR="00C66555">
        <w:t xml:space="preserve">highly </w:t>
      </w:r>
      <w:r>
        <w:t>beneficial</w:t>
      </w:r>
      <w:r w:rsidR="00C66555">
        <w:t xml:space="preserve"> </w:t>
      </w:r>
      <w:r w:rsidR="00304F1C">
        <w:t>as an</w:t>
      </w:r>
      <w:r w:rsidR="0081042D">
        <w:t xml:space="preserve"> accountability</w:t>
      </w:r>
      <w:r w:rsidR="00304F1C">
        <w:t xml:space="preserve"> measure</w:t>
      </w:r>
      <w:r>
        <w:t xml:space="preserve">. By way of comparison, </w:t>
      </w:r>
      <w:r w:rsidR="008430A0">
        <w:t>Closing the Gap includes a thorough data development plan that includes prioritisation and time frames</w:t>
      </w:r>
      <w:r w:rsidR="00EB5E60">
        <w:t>, as well as</w:t>
      </w:r>
      <w:r w:rsidR="00513CC4">
        <w:t xml:space="preserve"> two</w:t>
      </w:r>
      <w:r w:rsidR="00EB5E60">
        <w:t xml:space="preserve"> independent reviews</w:t>
      </w:r>
      <w:r w:rsidR="00513CC4">
        <w:t xml:space="preserve">, one led by </w:t>
      </w:r>
      <w:r w:rsidR="00EB5E60">
        <w:t>the Productivity Commission (owner of the reporting dashboard) and</w:t>
      </w:r>
      <w:r w:rsidR="00513CC4">
        <w:t xml:space="preserve"> another by</w:t>
      </w:r>
      <w:r w:rsidR="00EB5E60">
        <w:t xml:space="preserve"> </w:t>
      </w:r>
      <w:r w:rsidR="00FE6F01">
        <w:t>Aboriginal and Torres Strait Islander</w:t>
      </w:r>
      <w:r w:rsidR="00513CC4">
        <w:t xml:space="preserve"> people.</w:t>
      </w:r>
      <w:r w:rsidR="00513CC4">
        <w:rPr>
          <w:rStyle w:val="EndnoteReference"/>
        </w:rPr>
        <w:endnoteReference w:id="50"/>
      </w:r>
      <w:r w:rsidR="00513CC4">
        <w:t xml:space="preserve"> </w:t>
      </w:r>
    </w:p>
    <w:p w14:paraId="1404CE87" w14:textId="6391FF54" w:rsidR="00F43FE9" w:rsidRPr="00A3467D" w:rsidRDefault="00AC61B6" w:rsidP="00F43FE9">
      <w:r>
        <w:rPr>
          <w:b/>
          <w:bCs/>
        </w:rPr>
        <w:lastRenderedPageBreak/>
        <w:t xml:space="preserve">Recommendation </w:t>
      </w:r>
      <w:r w:rsidR="001D3BCD">
        <w:rPr>
          <w:b/>
          <w:bCs/>
        </w:rPr>
        <w:t>10</w:t>
      </w:r>
      <w:r>
        <w:rPr>
          <w:b/>
          <w:bCs/>
        </w:rPr>
        <w:t>:</w:t>
      </w:r>
      <w:r w:rsidR="001D3BCD">
        <w:rPr>
          <w:b/>
          <w:bCs/>
        </w:rPr>
        <w:t xml:space="preserve"> A more</w:t>
      </w:r>
      <w:r w:rsidR="009B03C9">
        <w:rPr>
          <w:b/>
          <w:bCs/>
        </w:rPr>
        <w:t xml:space="preserve"> robust</w:t>
      </w:r>
      <w:r w:rsidR="00B62F42">
        <w:rPr>
          <w:b/>
          <w:bCs/>
        </w:rPr>
        <w:t xml:space="preserve"> </w:t>
      </w:r>
      <w:r w:rsidR="00C64CAF">
        <w:rPr>
          <w:b/>
          <w:bCs/>
        </w:rPr>
        <w:t xml:space="preserve">governance framework </w:t>
      </w:r>
      <w:r w:rsidR="000E2BDE">
        <w:rPr>
          <w:b/>
          <w:bCs/>
        </w:rPr>
        <w:t xml:space="preserve">and </w:t>
      </w:r>
      <w:r w:rsidR="0096028D">
        <w:rPr>
          <w:b/>
          <w:bCs/>
        </w:rPr>
        <w:t xml:space="preserve">data development plan </w:t>
      </w:r>
      <w:r w:rsidR="00826FE0">
        <w:rPr>
          <w:b/>
          <w:bCs/>
        </w:rPr>
        <w:t xml:space="preserve">for Australia’s Disability Strategy </w:t>
      </w:r>
      <w:r w:rsidR="0096028D">
        <w:rPr>
          <w:b/>
          <w:bCs/>
        </w:rPr>
        <w:t>should be put in place.</w:t>
      </w:r>
      <w:r>
        <w:rPr>
          <w:b/>
          <w:bCs/>
        </w:rPr>
        <w:t xml:space="preserve"> </w:t>
      </w:r>
      <w:r>
        <w:t xml:space="preserve"> </w:t>
      </w:r>
    </w:p>
    <w:sectPr w:rsidR="00F43FE9" w:rsidRPr="00A3467D" w:rsidSect="00460EE0">
      <w:headerReference w:type="even" r:id="rId20"/>
      <w:headerReference w:type="default" r:id="rId21"/>
      <w:footerReference w:type="even" r:id="rId22"/>
      <w:footerReference w:type="default" r:id="rId23"/>
      <w:headerReference w:type="first" r:id="rId24"/>
      <w:footerReference w:type="first" r:id="rId25"/>
      <w:endnotePr>
        <w:numFmt w:val="decimal"/>
      </w:endnotePr>
      <w:pgSz w:w="11906" w:h="16838" w:code="9"/>
      <w:pgMar w:top="1134" w:right="1418" w:bottom="1134" w:left="1418" w:header="907" w:footer="28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BBC75" w14:textId="77777777" w:rsidR="00EF59D0" w:rsidRDefault="00EF59D0" w:rsidP="00F14C6D">
      <w:r>
        <w:separator/>
      </w:r>
    </w:p>
  </w:endnote>
  <w:endnote w:type="continuationSeparator" w:id="0">
    <w:p w14:paraId="5BF01036" w14:textId="77777777" w:rsidR="00EF59D0" w:rsidRDefault="00EF59D0" w:rsidP="00F14C6D">
      <w:r>
        <w:continuationSeparator/>
      </w:r>
    </w:p>
  </w:endnote>
  <w:endnote w:type="continuationNotice" w:id="1">
    <w:p w14:paraId="6B16DCCA" w14:textId="77777777" w:rsidR="00EF59D0" w:rsidRDefault="00EF59D0">
      <w:pPr>
        <w:spacing w:before="0" w:after="0"/>
      </w:pPr>
    </w:p>
  </w:endnote>
  <w:endnote w:id="2">
    <w:p w14:paraId="2C7FB64F" w14:textId="77777777" w:rsidR="00D423E7" w:rsidRPr="0016306F" w:rsidRDefault="00D423E7" w:rsidP="00D423E7">
      <w:pPr>
        <w:pStyle w:val="EndnoteText"/>
        <w:rPr>
          <w:rFonts w:cs="Open Sans"/>
        </w:rPr>
      </w:pPr>
      <w:r w:rsidRPr="0016306F">
        <w:rPr>
          <w:rStyle w:val="EndnoteReference"/>
          <w:rFonts w:cs="Open Sans"/>
        </w:rPr>
        <w:endnoteRef/>
      </w:r>
      <w:r w:rsidRPr="0016306F">
        <w:rPr>
          <w:rFonts w:cs="Open Sans"/>
        </w:rPr>
        <w:t xml:space="preserve"> </w:t>
      </w:r>
      <w:r>
        <w:rPr>
          <w:rFonts w:cs="Open Sans"/>
          <w:i/>
          <w:iCs/>
        </w:rPr>
        <w:t xml:space="preserve">Australian Human Rights Commission Act 1986 </w:t>
      </w:r>
      <w:r>
        <w:rPr>
          <w:rFonts w:cs="Open Sans"/>
        </w:rPr>
        <w:t>(Cth)</w:t>
      </w:r>
      <w:r w:rsidRPr="0016306F">
        <w:rPr>
          <w:rFonts w:cs="Open Sans"/>
        </w:rPr>
        <w:t xml:space="preserve"> s 7.</w:t>
      </w:r>
    </w:p>
  </w:endnote>
  <w:endnote w:id="3">
    <w:p w14:paraId="3A81CB2B" w14:textId="77777777" w:rsidR="00D423E7" w:rsidRPr="0016306F" w:rsidRDefault="00D423E7" w:rsidP="00D423E7">
      <w:pPr>
        <w:pStyle w:val="EndnoteText"/>
        <w:rPr>
          <w:rFonts w:cs="Open Sans"/>
        </w:rPr>
      </w:pPr>
      <w:r w:rsidRPr="0016306F">
        <w:rPr>
          <w:rStyle w:val="EndnoteReference"/>
          <w:rFonts w:cs="Open Sans"/>
        </w:rPr>
        <w:endnoteRef/>
      </w:r>
      <w:r w:rsidRPr="0016306F">
        <w:rPr>
          <w:rFonts w:cs="Open Sans"/>
        </w:rPr>
        <w:t xml:space="preserve"> </w:t>
      </w:r>
      <w:r>
        <w:rPr>
          <w:rFonts w:cs="Open Sans"/>
        </w:rPr>
        <w:t>Ibid</w:t>
      </w:r>
      <w:r w:rsidRPr="0016306F">
        <w:rPr>
          <w:rFonts w:cs="Open Sans"/>
        </w:rPr>
        <w:t xml:space="preserve"> s 11(1)(g). </w:t>
      </w:r>
    </w:p>
  </w:endnote>
  <w:endnote w:id="4">
    <w:p w14:paraId="0DA0C363" w14:textId="467CFAC4" w:rsidR="00466849" w:rsidRDefault="00466849" w:rsidP="00466849">
      <w:pPr>
        <w:pStyle w:val="EndnoteText"/>
      </w:pPr>
      <w:r>
        <w:rPr>
          <w:rStyle w:val="EndnoteReference"/>
        </w:rPr>
        <w:endnoteRef/>
      </w:r>
      <w:r>
        <w:t xml:space="preserve"> </w:t>
      </w:r>
      <w:r w:rsidR="00451CE4">
        <w:t>See Department of Social Services (Cth</w:t>
      </w:r>
      <w:r w:rsidR="00455F94">
        <w:t>)</w:t>
      </w:r>
      <w:r w:rsidR="00A37D58">
        <w:t>,</w:t>
      </w:r>
      <w:r w:rsidR="00455F94">
        <w:t xml:space="preserve"> </w:t>
      </w:r>
      <w:r w:rsidR="00451CE4">
        <w:rPr>
          <w:i/>
          <w:iCs/>
        </w:rPr>
        <w:t xml:space="preserve">Australia’s Disability Strategy 2021-2023 </w:t>
      </w:r>
      <w:r w:rsidR="00451CE4">
        <w:t>(3 December 2021) &lt;</w:t>
      </w:r>
      <w:r w:rsidR="00451CE4" w:rsidRPr="005874ED">
        <w:t xml:space="preserve"> </w:t>
      </w:r>
      <w:hyperlink r:id="rId1" w:history="1">
        <w:r w:rsidR="00451CE4">
          <w:rPr>
            <w:rStyle w:val="Hyperlink"/>
          </w:rPr>
          <w:t>Australia’s Disability Strategy 2021–2031 | Disability Gateway</w:t>
        </w:r>
      </w:hyperlink>
      <w:r w:rsidR="00451CE4">
        <w:t>&gt; (</w:t>
      </w:r>
      <w:r w:rsidR="00451CE4">
        <w:rPr>
          <w:i/>
          <w:iCs/>
        </w:rPr>
        <w:t>‘Australia’s Disability Strategy’</w:t>
      </w:r>
      <w:r w:rsidR="00451CE4">
        <w:t>).</w:t>
      </w:r>
    </w:p>
  </w:endnote>
  <w:endnote w:id="5">
    <w:p w14:paraId="420C8AE0" w14:textId="5B978156" w:rsidR="00FA3122" w:rsidRDefault="00FA3122">
      <w:pPr>
        <w:pStyle w:val="EndnoteText"/>
      </w:pPr>
      <w:r>
        <w:rPr>
          <w:rStyle w:val="EndnoteReference"/>
        </w:rPr>
        <w:endnoteRef/>
      </w:r>
      <w:r>
        <w:t xml:space="preserve"> </w:t>
      </w:r>
      <w:r w:rsidRPr="00E01EE7">
        <w:t>Royal Commission into Violence, Abuse, Neglect and Exploitation of People with Disability (Final Report, September 2023),</w:t>
      </w:r>
      <w:r>
        <w:t xml:space="preserve"> </w:t>
      </w:r>
      <w:r w:rsidR="00E01EE7">
        <w:t>vol 5</w:t>
      </w:r>
      <w:r>
        <w:t xml:space="preserve">, </w:t>
      </w:r>
      <w:r w:rsidR="00983877">
        <w:t>83</w:t>
      </w:r>
      <w:r>
        <w:t>.</w:t>
      </w:r>
    </w:p>
  </w:endnote>
  <w:endnote w:id="6">
    <w:p w14:paraId="45F7F511" w14:textId="7504F2BE" w:rsidR="000F0486" w:rsidRDefault="000F0486">
      <w:pPr>
        <w:pStyle w:val="EndnoteText"/>
      </w:pPr>
      <w:r>
        <w:rPr>
          <w:rStyle w:val="EndnoteReference"/>
        </w:rPr>
        <w:endnoteRef/>
      </w:r>
      <w:r>
        <w:t xml:space="preserve"> </w:t>
      </w:r>
      <w:r w:rsidR="001A7E95" w:rsidRPr="0016306F">
        <w:rPr>
          <w:rFonts w:cs="Open Sans"/>
          <w:i/>
          <w:iCs/>
        </w:rPr>
        <w:t>United Nations Convention on the Rights of Persons with Disabilities</w:t>
      </w:r>
      <w:r w:rsidR="001A7E95" w:rsidRPr="0016306F">
        <w:rPr>
          <w:rFonts w:cs="Open Sans"/>
        </w:rPr>
        <w:t>, opened for signature 30 March 2007, 2515 UNTS 3 (entered into force 3 May 2008) (</w:t>
      </w:r>
      <w:r w:rsidR="001A7E95" w:rsidRPr="0016306F">
        <w:rPr>
          <w:rFonts w:cs="Open Sans"/>
          <w:i/>
          <w:iCs/>
        </w:rPr>
        <w:t>‘CRPD’</w:t>
      </w:r>
      <w:r w:rsidR="001A7E95" w:rsidRPr="0016306F">
        <w:rPr>
          <w:rFonts w:cs="Open Sans"/>
        </w:rPr>
        <w:t>)</w:t>
      </w:r>
      <w:r w:rsidR="001A7E95">
        <w:rPr>
          <w:rFonts w:cs="Open Sans"/>
        </w:rPr>
        <w:t xml:space="preserve"> </w:t>
      </w:r>
      <w:r w:rsidR="00AA5138">
        <w:t>art 2.</w:t>
      </w:r>
    </w:p>
  </w:endnote>
  <w:endnote w:id="7">
    <w:p w14:paraId="1F15D7CA" w14:textId="77777777" w:rsidR="005C1DAE" w:rsidRPr="001A7E95" w:rsidRDefault="005C1DAE" w:rsidP="005C1DAE">
      <w:pPr>
        <w:pStyle w:val="EndnoteText"/>
      </w:pPr>
      <w:r>
        <w:rPr>
          <w:rStyle w:val="EndnoteReference"/>
        </w:rPr>
        <w:endnoteRef/>
      </w:r>
      <w:r>
        <w:t xml:space="preserve"> </w:t>
      </w:r>
      <w:r w:rsidRPr="00E91FDD">
        <w:t xml:space="preserve">Rosemary Kayess and Therese Sands, UNSW Social Policy Research Centre, </w:t>
      </w:r>
      <w:r w:rsidRPr="00E91FDD">
        <w:rPr>
          <w:i/>
          <w:iCs/>
        </w:rPr>
        <w:t>Convention on the Rights of Persons with Disabilities: Shining a light on Social Transformation</w:t>
      </w:r>
      <w:r w:rsidRPr="00E91FDD">
        <w:t xml:space="preserve"> (Research Report, September 2020) </w:t>
      </w:r>
      <w:r w:rsidRPr="001A7E95">
        <w:t>30.</w:t>
      </w:r>
    </w:p>
  </w:endnote>
  <w:endnote w:id="8">
    <w:p w14:paraId="24041A4E" w14:textId="5B669171" w:rsidR="005C1DAE" w:rsidRDefault="005C1DAE" w:rsidP="005C1DAE">
      <w:pPr>
        <w:pStyle w:val="EndnoteText"/>
      </w:pPr>
      <w:r w:rsidRPr="00AB2BAD">
        <w:rPr>
          <w:rStyle w:val="EndnoteReference"/>
        </w:rPr>
        <w:endnoteRef/>
      </w:r>
      <w:r w:rsidRPr="00AB2BAD">
        <w:t xml:space="preserve"> </w:t>
      </w:r>
      <w:r w:rsidR="008D3C92">
        <w:t>Ibid</w:t>
      </w:r>
      <w:r w:rsidRPr="00E91FDD">
        <w:t xml:space="preserve"> </w:t>
      </w:r>
      <w:r w:rsidRPr="001A7E95">
        <w:t>46.</w:t>
      </w:r>
    </w:p>
  </w:endnote>
  <w:endnote w:id="9">
    <w:p w14:paraId="158907F0" w14:textId="08E6834E" w:rsidR="003127F9" w:rsidRDefault="003127F9" w:rsidP="003127F9">
      <w:pPr>
        <w:pStyle w:val="EndnoteText"/>
      </w:pPr>
      <w:r w:rsidRPr="001A7E95">
        <w:rPr>
          <w:rStyle w:val="EndnoteReference"/>
        </w:rPr>
        <w:endnoteRef/>
      </w:r>
      <w:r w:rsidR="00E779CB">
        <w:t xml:space="preserve"> </w:t>
      </w:r>
      <w:r w:rsidRPr="001A7E95">
        <w:t xml:space="preserve">CRPD </w:t>
      </w:r>
      <w:r w:rsidRPr="001A7E95">
        <w:rPr>
          <w:rFonts w:cs="Open Sans"/>
        </w:rPr>
        <w:t>art 3(d).</w:t>
      </w:r>
    </w:p>
  </w:endnote>
  <w:endnote w:id="10">
    <w:p w14:paraId="426F96E3" w14:textId="4F95A87B" w:rsidR="008C6BF3" w:rsidRDefault="008C6BF3" w:rsidP="008C6BF3">
      <w:pPr>
        <w:pStyle w:val="EndnoteText"/>
      </w:pPr>
      <w:r>
        <w:rPr>
          <w:rStyle w:val="EndnoteReference"/>
        </w:rPr>
        <w:endnoteRef/>
      </w:r>
      <w:r>
        <w:t xml:space="preserve"> </w:t>
      </w:r>
      <w:r w:rsidR="00CD0565">
        <w:t xml:space="preserve">Department of </w:t>
      </w:r>
      <w:r w:rsidR="00CD0565" w:rsidRPr="000F6FB3">
        <w:t>Prime Minister and Cabinet</w:t>
      </w:r>
      <w:r w:rsidR="000F6FB3" w:rsidRPr="000F6FB3">
        <w:t xml:space="preserve"> (Cth), </w:t>
      </w:r>
      <w:r w:rsidRPr="000F6FB3">
        <w:t>National Agreement on Closing the Gap (July 2020), 2.</w:t>
      </w:r>
      <w:r>
        <w:t xml:space="preserve"> </w:t>
      </w:r>
    </w:p>
  </w:endnote>
  <w:endnote w:id="11">
    <w:p w14:paraId="745E51B4" w14:textId="6DE4153D" w:rsidR="00E33279" w:rsidRDefault="00E33279" w:rsidP="00E33279">
      <w:pPr>
        <w:pStyle w:val="EndnoteText"/>
      </w:pPr>
      <w:r>
        <w:rPr>
          <w:rStyle w:val="EndnoteReference"/>
        </w:rPr>
        <w:endnoteRef/>
      </w:r>
      <w:r>
        <w:t xml:space="preserve"> Department of Social Services</w:t>
      </w:r>
      <w:r w:rsidR="000F6FB3">
        <w:t xml:space="preserve"> (Cth)</w:t>
      </w:r>
      <w:r>
        <w:t xml:space="preserve">, </w:t>
      </w:r>
      <w:r w:rsidRPr="000F6FB3">
        <w:rPr>
          <w:i/>
          <w:iCs/>
        </w:rPr>
        <w:t>National Plan to End Violence against Women and Children 2022-2032</w:t>
      </w:r>
      <w:r>
        <w:t xml:space="preserve"> (2022), 14.</w:t>
      </w:r>
    </w:p>
  </w:endnote>
  <w:endnote w:id="12">
    <w:p w14:paraId="32206959" w14:textId="41AF5D16" w:rsidR="00766818" w:rsidRDefault="00766818">
      <w:pPr>
        <w:pStyle w:val="EndnoteText"/>
      </w:pPr>
      <w:r>
        <w:rPr>
          <w:rStyle w:val="EndnoteReference"/>
        </w:rPr>
        <w:endnoteRef/>
      </w:r>
      <w:r>
        <w:t xml:space="preserve"> </w:t>
      </w:r>
      <w:r w:rsidR="002D473E" w:rsidRPr="008D3C92">
        <w:t>Australia’s Disability Strategy, 5.</w:t>
      </w:r>
    </w:p>
  </w:endnote>
  <w:endnote w:id="13">
    <w:p w14:paraId="35FF2D3D" w14:textId="6ED192EA" w:rsidR="00525F68" w:rsidRPr="001A7E95" w:rsidRDefault="00525F68">
      <w:pPr>
        <w:pStyle w:val="EndnoteText"/>
      </w:pPr>
      <w:r>
        <w:rPr>
          <w:rStyle w:val="EndnoteReference"/>
        </w:rPr>
        <w:endnoteRef/>
      </w:r>
      <w:r>
        <w:t xml:space="preserve"> </w:t>
      </w:r>
      <w:r w:rsidRPr="001A7E95">
        <w:t xml:space="preserve">CRPD </w:t>
      </w:r>
      <w:r w:rsidR="001A7E95" w:rsidRPr="001A7E95">
        <w:t>art 6</w:t>
      </w:r>
      <w:r w:rsidRPr="001A7E95">
        <w:t>.</w:t>
      </w:r>
    </w:p>
  </w:endnote>
  <w:endnote w:id="14">
    <w:p w14:paraId="02CB569E" w14:textId="36EE9B16" w:rsidR="00525F68" w:rsidRPr="001A7E95" w:rsidRDefault="00525F68">
      <w:pPr>
        <w:pStyle w:val="EndnoteText"/>
      </w:pPr>
      <w:r w:rsidRPr="001A7E95">
        <w:rPr>
          <w:rStyle w:val="EndnoteReference"/>
        </w:rPr>
        <w:endnoteRef/>
      </w:r>
      <w:r w:rsidRPr="001A7E95">
        <w:t xml:space="preserve"> CRPD </w:t>
      </w:r>
      <w:r w:rsidR="001A7E95" w:rsidRPr="001A7E95">
        <w:t>art</w:t>
      </w:r>
      <w:r w:rsidRPr="001A7E95">
        <w:t xml:space="preserve"> 7. </w:t>
      </w:r>
    </w:p>
  </w:endnote>
  <w:endnote w:id="15">
    <w:p w14:paraId="467566C9" w14:textId="380FBD59" w:rsidR="009C380A" w:rsidRDefault="009C380A">
      <w:pPr>
        <w:pStyle w:val="EndnoteText"/>
      </w:pPr>
      <w:r>
        <w:rPr>
          <w:rStyle w:val="EndnoteReference"/>
        </w:rPr>
        <w:endnoteRef/>
      </w:r>
      <w:r>
        <w:t xml:space="preserve"> </w:t>
      </w:r>
      <w:r w:rsidR="008D3C92" w:rsidRPr="008D3C92">
        <w:t xml:space="preserve">Australia’s Disability Strategy, </w:t>
      </w:r>
      <w:r>
        <w:t>17.</w:t>
      </w:r>
    </w:p>
  </w:endnote>
  <w:endnote w:id="16">
    <w:p w14:paraId="522F5F27" w14:textId="6CE95B20" w:rsidR="00364C48" w:rsidRDefault="00364C48" w:rsidP="00364C48">
      <w:pPr>
        <w:pStyle w:val="EndnoteText"/>
      </w:pPr>
      <w:r>
        <w:rPr>
          <w:rStyle w:val="EndnoteReference"/>
        </w:rPr>
        <w:endnoteRef/>
      </w:r>
      <w:r>
        <w:t xml:space="preserve"> </w:t>
      </w:r>
      <w:r w:rsidR="00E779CB" w:rsidRPr="006A53CD">
        <w:t xml:space="preserve">Royal Commission into Violence, Abuse, Neglect and Exploitation of People with Disability (Final Report, September 2023) </w:t>
      </w:r>
      <w:r w:rsidR="00072D97">
        <w:t>vol 5, 83.</w:t>
      </w:r>
    </w:p>
  </w:endnote>
  <w:endnote w:id="17">
    <w:p w14:paraId="37A77948" w14:textId="77777777" w:rsidR="00364C48" w:rsidRPr="006A53CD" w:rsidRDefault="00364C48" w:rsidP="00364C48">
      <w:pPr>
        <w:pStyle w:val="EndnoteText"/>
      </w:pPr>
      <w:r>
        <w:rPr>
          <w:rStyle w:val="EndnoteReference"/>
        </w:rPr>
        <w:endnoteRef/>
      </w:r>
      <w:r>
        <w:t xml:space="preserve"> </w:t>
      </w:r>
      <w:r w:rsidRPr="006A53CD">
        <w:t>Royal Commission into Violence, Abuse, Neglect and Exploitation of People with Disability (Final Report, September 2023) Executive Summary, 179.</w:t>
      </w:r>
    </w:p>
  </w:endnote>
  <w:endnote w:id="18">
    <w:p w14:paraId="384AA8C6" w14:textId="03A6587C" w:rsidR="002E16D8" w:rsidRPr="00C82189" w:rsidRDefault="002E16D8">
      <w:pPr>
        <w:pStyle w:val="EndnoteText"/>
      </w:pPr>
      <w:r w:rsidRPr="006A53CD">
        <w:rPr>
          <w:rStyle w:val="EndnoteReference"/>
        </w:rPr>
        <w:endnoteRef/>
      </w:r>
      <w:r w:rsidRPr="006A53CD">
        <w:t xml:space="preserve"> Australia’s Disability Strategy Safety Targeted Action Plan, </w:t>
      </w:r>
      <w:r w:rsidR="00E55BA0" w:rsidRPr="006A53CD">
        <w:t>5.</w:t>
      </w:r>
    </w:p>
  </w:endnote>
  <w:endnote w:id="19">
    <w:p w14:paraId="52835D15" w14:textId="77777777" w:rsidR="00056DF8" w:rsidRDefault="00056DF8" w:rsidP="00056DF8">
      <w:pPr>
        <w:pStyle w:val="EndnoteText"/>
      </w:pPr>
      <w:r w:rsidRPr="00C82189">
        <w:rPr>
          <w:rStyle w:val="EndnoteReference"/>
        </w:rPr>
        <w:endnoteRef/>
      </w:r>
      <w:r w:rsidRPr="00C82189">
        <w:t xml:space="preserve"> </w:t>
      </w:r>
      <w:r w:rsidRPr="006A53CD">
        <w:t xml:space="preserve">Australia’s Disability Strategy Safety Targeted Action Plan, </w:t>
      </w:r>
      <w:r w:rsidRPr="00C82189">
        <w:t>10.</w:t>
      </w:r>
    </w:p>
  </w:endnote>
  <w:endnote w:id="20">
    <w:p w14:paraId="7048B3CD" w14:textId="7DC63134" w:rsidR="006E5151" w:rsidRDefault="006E5151">
      <w:pPr>
        <w:pStyle w:val="EndnoteText"/>
      </w:pPr>
      <w:r>
        <w:rPr>
          <w:rStyle w:val="EndnoteReference"/>
        </w:rPr>
        <w:endnoteRef/>
      </w:r>
      <w:r>
        <w:t xml:space="preserve"> </w:t>
      </w:r>
      <w:r w:rsidR="00C82189" w:rsidRPr="00EE1A97">
        <w:t xml:space="preserve">Royal Commission into Violence, Abuse, Neglect and Exploitation of People with Disability (Final Report, September </w:t>
      </w:r>
      <w:r w:rsidR="00C82189" w:rsidRPr="00B54AB9">
        <w:t>2023) vol</w:t>
      </w:r>
      <w:r w:rsidRPr="00B54AB9">
        <w:t xml:space="preserve"> 6.</w:t>
      </w:r>
    </w:p>
  </w:endnote>
  <w:endnote w:id="21">
    <w:p w14:paraId="045542A2" w14:textId="26C4F25E" w:rsidR="00867CE5" w:rsidRDefault="00867CE5">
      <w:pPr>
        <w:pStyle w:val="EndnoteText"/>
      </w:pPr>
      <w:r>
        <w:rPr>
          <w:rStyle w:val="EndnoteReference"/>
        </w:rPr>
        <w:endnoteRef/>
      </w:r>
      <w:r>
        <w:t xml:space="preserve"> Department of </w:t>
      </w:r>
      <w:r w:rsidRPr="00C82189">
        <w:t xml:space="preserve">Social Services (Cth), Australian </w:t>
      </w:r>
      <w:r w:rsidRPr="006A53CD">
        <w:t>Government Response to the Disability Royal Commission (July 2024)</w:t>
      </w:r>
      <w:r w:rsidR="00552FFE">
        <w:t>.</w:t>
      </w:r>
    </w:p>
  </w:endnote>
  <w:endnote w:id="22">
    <w:p w14:paraId="5B181F07" w14:textId="27B95DD0" w:rsidR="00FE4D0D" w:rsidRPr="009B336C" w:rsidRDefault="00FE4D0D" w:rsidP="00FE4D0D">
      <w:pPr>
        <w:pStyle w:val="EndnoteText"/>
      </w:pPr>
      <w:r>
        <w:rPr>
          <w:rStyle w:val="EndnoteReference"/>
        </w:rPr>
        <w:endnoteRef/>
      </w:r>
      <w:r>
        <w:t xml:space="preserve"> </w:t>
      </w:r>
      <w:r w:rsidR="009B336C">
        <w:rPr>
          <w:rFonts w:cs="Open Sans"/>
        </w:rPr>
        <w:t>CRPD</w:t>
      </w:r>
      <w:r w:rsidRPr="009B336C">
        <w:rPr>
          <w:rFonts w:cs="Open Sans"/>
        </w:rPr>
        <w:t xml:space="preserve"> art 4(3).</w:t>
      </w:r>
    </w:p>
  </w:endnote>
  <w:endnote w:id="23">
    <w:p w14:paraId="476B36DE" w14:textId="6A7F16F9" w:rsidR="00FE4D0D" w:rsidRPr="004504F4" w:rsidRDefault="00FE4D0D" w:rsidP="00FE4D0D">
      <w:pPr>
        <w:pStyle w:val="EndnoteText"/>
      </w:pPr>
      <w:r w:rsidRPr="009B336C">
        <w:rPr>
          <w:rStyle w:val="EndnoteReference"/>
        </w:rPr>
        <w:endnoteRef/>
      </w:r>
      <w:r w:rsidRPr="009B336C">
        <w:t xml:space="preserve"> </w:t>
      </w:r>
      <w:r w:rsidR="00C82189" w:rsidRPr="009B336C">
        <w:t xml:space="preserve">Australia’s Disability Strategy, </w:t>
      </w:r>
      <w:r w:rsidRPr="006A53CD">
        <w:t>7.</w:t>
      </w:r>
    </w:p>
  </w:endnote>
  <w:endnote w:id="24">
    <w:p w14:paraId="7724CEFE" w14:textId="77777777" w:rsidR="00FE4D0D" w:rsidRPr="004504F4" w:rsidRDefault="00FE4D0D" w:rsidP="00FE4D0D">
      <w:pPr>
        <w:pStyle w:val="EndnoteText"/>
      </w:pPr>
      <w:r w:rsidRPr="004504F4">
        <w:rPr>
          <w:rStyle w:val="EndnoteReference"/>
        </w:rPr>
        <w:endnoteRef/>
      </w:r>
      <w:r w:rsidRPr="004504F4">
        <w:t xml:space="preserve"> Department of Social Services</w:t>
      </w:r>
      <w:r>
        <w:t xml:space="preserve"> (Cth)</w:t>
      </w:r>
      <w:r w:rsidRPr="004504F4">
        <w:t xml:space="preserve">, </w:t>
      </w:r>
      <w:r w:rsidRPr="006A53CD">
        <w:rPr>
          <w:i/>
          <w:iCs/>
        </w:rPr>
        <w:t>Australia’s Disability Strategy Review</w:t>
      </w:r>
      <w:r w:rsidRPr="004504F4">
        <w:t xml:space="preserve"> </w:t>
      </w:r>
      <w:r>
        <w:t>(</w:t>
      </w:r>
      <w:r w:rsidRPr="004504F4">
        <w:t>Discussion Paper</w:t>
      </w:r>
      <w:r>
        <w:t xml:space="preserve">, </w:t>
      </w:r>
      <w:r w:rsidRPr="004504F4">
        <w:t>August 2024) 12</w:t>
      </w:r>
      <w:r>
        <w:t>.</w:t>
      </w:r>
    </w:p>
  </w:endnote>
  <w:endnote w:id="25">
    <w:p w14:paraId="5A25D923" w14:textId="3F3C12EA" w:rsidR="00FE4D0D" w:rsidRPr="004504F4" w:rsidRDefault="00FE4D0D" w:rsidP="00FE4D0D">
      <w:pPr>
        <w:pStyle w:val="EndnoteText"/>
      </w:pPr>
      <w:r w:rsidRPr="004504F4">
        <w:rPr>
          <w:rStyle w:val="EndnoteReference"/>
        </w:rPr>
        <w:endnoteRef/>
      </w:r>
      <w:r w:rsidRPr="004504F4">
        <w:t xml:space="preserve"> </w:t>
      </w:r>
      <w:r w:rsidR="009B336C">
        <w:t>Ibid.</w:t>
      </w:r>
    </w:p>
  </w:endnote>
  <w:endnote w:id="26">
    <w:p w14:paraId="7907FF15" w14:textId="7D63B787" w:rsidR="00FE4D0D" w:rsidRDefault="00FE4D0D" w:rsidP="00FE4D0D">
      <w:pPr>
        <w:pStyle w:val="EndnoteText"/>
      </w:pPr>
      <w:r w:rsidRPr="004504F4">
        <w:rPr>
          <w:rStyle w:val="EndnoteReference"/>
        </w:rPr>
        <w:endnoteRef/>
      </w:r>
      <w:r w:rsidRPr="004504F4">
        <w:t xml:space="preserve"> </w:t>
      </w:r>
      <w:r w:rsidR="009B336C">
        <w:t>Ibid.</w:t>
      </w:r>
    </w:p>
  </w:endnote>
  <w:endnote w:id="27">
    <w:p w14:paraId="42D1D3FF" w14:textId="75849F04" w:rsidR="00FE4D0D" w:rsidRDefault="00FE4D0D" w:rsidP="00FE4D0D">
      <w:pPr>
        <w:pStyle w:val="EndnoteText"/>
      </w:pPr>
      <w:r>
        <w:rPr>
          <w:rStyle w:val="EndnoteReference"/>
        </w:rPr>
        <w:endnoteRef/>
      </w:r>
      <w:r>
        <w:t xml:space="preserve"> United Nations </w:t>
      </w:r>
      <w:r w:rsidRPr="0016306F">
        <w:rPr>
          <w:rFonts w:cs="Open Sans"/>
          <w:i/>
        </w:rPr>
        <w:t>Committee on the Rights of Persons with Disabilities</w:t>
      </w:r>
      <w:r w:rsidRPr="0016306F">
        <w:rPr>
          <w:rFonts w:cs="Open Sans"/>
        </w:rPr>
        <w:t xml:space="preserve">, </w:t>
      </w:r>
      <w:r w:rsidRPr="0016306F">
        <w:rPr>
          <w:rFonts w:cs="Open Sans"/>
          <w:i/>
          <w:iCs/>
        </w:rPr>
        <w:t>Concluding Observations on the combined second and third periodic reports of Australia</w:t>
      </w:r>
      <w:r w:rsidRPr="0016306F">
        <w:rPr>
          <w:rFonts w:cs="Open Sans"/>
        </w:rPr>
        <w:t>, 22</w:t>
      </w:r>
      <w:r w:rsidRPr="0016306F">
        <w:rPr>
          <w:rFonts w:cs="Open Sans"/>
          <w:vertAlign w:val="superscript"/>
        </w:rPr>
        <w:t>nd</w:t>
      </w:r>
      <w:r w:rsidRPr="0016306F">
        <w:rPr>
          <w:rFonts w:cs="Open Sans"/>
        </w:rPr>
        <w:t xml:space="preserve"> sess, UN Doc CRPD/C/AUS/CO/2-3 (15 October 2019, adopted 20 September 2019)</w:t>
      </w:r>
      <w:r>
        <w:rPr>
          <w:rFonts w:cs="Open Sans"/>
        </w:rPr>
        <w:t xml:space="preserve">, </w:t>
      </w:r>
      <w:r>
        <w:t>5(d).</w:t>
      </w:r>
    </w:p>
  </w:endnote>
  <w:endnote w:id="28">
    <w:p w14:paraId="06BEB1C9" w14:textId="77777777" w:rsidR="00FE4D0D" w:rsidRDefault="00FE4D0D" w:rsidP="00FE4D0D">
      <w:pPr>
        <w:pStyle w:val="EndnoteText"/>
      </w:pPr>
      <w:r>
        <w:rPr>
          <w:rStyle w:val="EndnoteReference"/>
        </w:rPr>
        <w:endnoteRef/>
      </w:r>
      <w:r>
        <w:t xml:space="preserve"> Emphasis added. Department of Social </w:t>
      </w:r>
      <w:r w:rsidRPr="002D473E">
        <w:t xml:space="preserve">Services (Cth), Australian </w:t>
      </w:r>
      <w:r w:rsidRPr="006A53CD">
        <w:t xml:space="preserve">Government Response to the Disability Royal Commission (July 2024) </w:t>
      </w:r>
      <w:r w:rsidRPr="002D473E">
        <w:t>63.</w:t>
      </w:r>
    </w:p>
  </w:endnote>
  <w:endnote w:id="29">
    <w:p w14:paraId="5CB71ED2" w14:textId="77777777" w:rsidR="00FE4D0D" w:rsidRDefault="00FE4D0D" w:rsidP="00FE4D0D">
      <w:pPr>
        <w:pStyle w:val="EndnoteText"/>
      </w:pPr>
      <w:r>
        <w:rPr>
          <w:rStyle w:val="EndnoteReference"/>
        </w:rPr>
        <w:endnoteRef/>
      </w:r>
      <w:r>
        <w:t xml:space="preserve"> United Nations Committee on the Rights of Persons with Disabilities, General Comment 7 on the participation of persons with disabilities, including children with disabilities, through their representative organizations, in the implementation and monitoring of the Convention, UN Doc CRPD/C/GC/7 (9 November 2018) [23].</w:t>
      </w:r>
    </w:p>
  </w:endnote>
  <w:endnote w:id="30">
    <w:p w14:paraId="78263DF8" w14:textId="77777777" w:rsidR="00FE4D0D" w:rsidRDefault="00FE4D0D" w:rsidP="00FE4D0D">
      <w:pPr>
        <w:pStyle w:val="EndnoteText"/>
      </w:pPr>
      <w:r>
        <w:rPr>
          <w:rStyle w:val="EndnoteReference"/>
        </w:rPr>
        <w:endnoteRef/>
      </w:r>
      <w:r>
        <w:t xml:space="preserve"> </w:t>
      </w:r>
      <w:r w:rsidRPr="007D24D2">
        <w:t>Australian Human Rights Commission</w:t>
      </w:r>
      <w:r>
        <w:t>,</w:t>
      </w:r>
      <w:r w:rsidRPr="007D24D2">
        <w:t xml:space="preserve"> </w:t>
      </w:r>
      <w:r>
        <w:t>‘</w:t>
      </w:r>
      <w:r w:rsidRPr="007D24D2">
        <w:t xml:space="preserve">Do things with the information we tell you’: Supporting Quality Engagement with </w:t>
      </w:r>
      <w:r w:rsidRPr="00BA7F7F">
        <w:t>Children</w:t>
      </w:r>
      <w:r>
        <w:rPr>
          <w:i/>
          <w:iCs/>
        </w:rPr>
        <w:t xml:space="preserve"> </w:t>
      </w:r>
      <w:r>
        <w:t>(Report, 2024)  64.</w:t>
      </w:r>
    </w:p>
  </w:endnote>
  <w:endnote w:id="31">
    <w:p w14:paraId="6E245192" w14:textId="493F7DCB" w:rsidR="00FE4D0D" w:rsidRDefault="00FE4D0D" w:rsidP="00FE4D0D">
      <w:pPr>
        <w:pStyle w:val="EndnoteText"/>
      </w:pPr>
      <w:r>
        <w:rPr>
          <w:rStyle w:val="EndnoteReference"/>
        </w:rPr>
        <w:endnoteRef/>
      </w:r>
      <w:r>
        <w:t xml:space="preserve"> </w:t>
      </w:r>
      <w:r w:rsidR="004509E8">
        <w:t>Ibid.</w:t>
      </w:r>
    </w:p>
  </w:endnote>
  <w:endnote w:id="32">
    <w:p w14:paraId="025A3F43" w14:textId="6648DE60" w:rsidR="00FE4D0D" w:rsidRDefault="00FE4D0D" w:rsidP="00FE4D0D">
      <w:pPr>
        <w:pStyle w:val="EndnoteText"/>
      </w:pPr>
      <w:r>
        <w:rPr>
          <w:rStyle w:val="EndnoteReference"/>
        </w:rPr>
        <w:endnoteRef/>
      </w:r>
      <w:r>
        <w:t xml:space="preserve"> </w:t>
      </w:r>
      <w:r w:rsidR="00AB76C6">
        <w:t xml:space="preserve">Department of </w:t>
      </w:r>
      <w:r w:rsidR="00AB76C6" w:rsidRPr="000F6FB3">
        <w:t xml:space="preserve">Prime Minister and Cabinet (Cth), National Agreement on Closing the Gap (July 2020), </w:t>
      </w:r>
      <w:r>
        <w:t>5.</w:t>
      </w:r>
    </w:p>
  </w:endnote>
  <w:endnote w:id="33">
    <w:p w14:paraId="5B398C22" w14:textId="77777777" w:rsidR="00FE4D0D" w:rsidRDefault="00FE4D0D" w:rsidP="00FE4D0D">
      <w:pPr>
        <w:pStyle w:val="EndnoteText"/>
      </w:pPr>
      <w:r>
        <w:rPr>
          <w:rStyle w:val="EndnoteReference"/>
        </w:rPr>
        <w:endnoteRef/>
      </w:r>
      <w:r>
        <w:t xml:space="preserve"> United Nations Committee on the Rights of Persons with Disabilities, </w:t>
      </w:r>
      <w:r w:rsidRPr="00E30A57">
        <w:rPr>
          <w:i/>
          <w:iCs/>
        </w:rPr>
        <w:t>General Comment 7 on the participation of persons with disabilities, including children with disabilities, through their representative organizations, in the implementation and monitoring of the Convention</w:t>
      </w:r>
      <w:r>
        <w:t>, UN Doc CRPD/C/GC/7 (9 November 2018)</w:t>
      </w:r>
    </w:p>
  </w:endnote>
  <w:endnote w:id="34">
    <w:p w14:paraId="2D18677A" w14:textId="77777777" w:rsidR="00E74A3C" w:rsidRPr="00650B45" w:rsidRDefault="00E74A3C" w:rsidP="00E74A3C">
      <w:pPr>
        <w:pStyle w:val="EndnoteText"/>
      </w:pPr>
      <w:r>
        <w:rPr>
          <w:rStyle w:val="EndnoteReference"/>
        </w:rPr>
        <w:endnoteRef/>
      </w:r>
      <w:r>
        <w:t xml:space="preserve"> </w:t>
      </w:r>
      <w:r>
        <w:rPr>
          <w:i/>
          <w:iCs/>
        </w:rPr>
        <w:t xml:space="preserve">Australian Human Rights Commission Act 1986 </w:t>
      </w:r>
      <w:r>
        <w:t>(Cth) s 10.</w:t>
      </w:r>
    </w:p>
  </w:endnote>
  <w:endnote w:id="35">
    <w:p w14:paraId="1C4672DD" w14:textId="4AB7FA62" w:rsidR="00E74A3C" w:rsidRDefault="00E74A3C" w:rsidP="00E74A3C">
      <w:pPr>
        <w:pStyle w:val="EndnoteText"/>
      </w:pPr>
      <w:r>
        <w:rPr>
          <w:rStyle w:val="EndnoteReference"/>
        </w:rPr>
        <w:endnoteRef/>
      </w:r>
      <w:r w:rsidR="2ECF8708">
        <w:t xml:space="preserve"> Article 33 of the </w:t>
      </w:r>
      <w:r w:rsidR="2ECF8708" w:rsidRPr="2ECF8708">
        <w:rPr>
          <w:i/>
          <w:iCs/>
        </w:rPr>
        <w:t>CRPD</w:t>
      </w:r>
      <w:r w:rsidR="2ECF8708" w:rsidRPr="003046A7">
        <w:t xml:space="preserve"> is in</w:t>
      </w:r>
      <w:r w:rsidR="2ECF8708">
        <w:t xml:space="preserve"> relation to National </w:t>
      </w:r>
      <w:r w:rsidR="2ECF8708" w:rsidRPr="2ECF8708">
        <w:rPr>
          <w:rStyle w:val="EndnoteTextChar1"/>
        </w:rPr>
        <w:t>Implement</w:t>
      </w:r>
      <w:r w:rsidR="2ECF8708">
        <w:t xml:space="preserve">ation and Monitoring. Article 33(2) specifies that: </w:t>
      </w:r>
    </w:p>
    <w:p w14:paraId="55B13CF5" w14:textId="77777777" w:rsidR="00E74A3C" w:rsidRDefault="00E74A3C" w:rsidP="00E74A3C">
      <w:pPr>
        <w:pStyle w:val="EndnoteText"/>
        <w:ind w:left="720" w:firstLine="0"/>
      </w:pPr>
      <w:r w:rsidRPr="005F21BF">
        <w:rPr>
          <w:sz w:val="18"/>
          <w:szCs w:val="18"/>
        </w:rPr>
        <w:t>States Parties shall, in accordance with their legal and administrative systems, maintain, strengthen, designate or establish within the State Party, a framework, including one or more independent mechanisms, as appropriate, to promote, protect and monitor implementation of the present Convention. When designating or establishing such a mechanism, States Parties shall take into account the principles relating to the status and functioning of national institutions for protection and promotion of human rights</w:t>
      </w:r>
      <w:r>
        <w:rPr>
          <w:sz w:val="18"/>
          <w:szCs w:val="18"/>
        </w:rPr>
        <w:t>.</w:t>
      </w:r>
    </w:p>
  </w:endnote>
  <w:endnote w:id="36">
    <w:p w14:paraId="28C8E1A4" w14:textId="3E1F6FEA" w:rsidR="00DD37A6" w:rsidRPr="009869EB" w:rsidRDefault="00DD37A6" w:rsidP="00DD37A6">
      <w:pPr>
        <w:pStyle w:val="EndnoteText"/>
      </w:pPr>
      <w:r w:rsidRPr="004504F4">
        <w:rPr>
          <w:rStyle w:val="EndnoteReference"/>
        </w:rPr>
        <w:endnoteRef/>
      </w:r>
      <w:r w:rsidRPr="004504F4">
        <w:t xml:space="preserve"> </w:t>
      </w:r>
      <w:r w:rsidR="00DB45F5" w:rsidRPr="004504F4">
        <w:t>Department of Social Services</w:t>
      </w:r>
      <w:r w:rsidR="00DB45F5">
        <w:t xml:space="preserve"> (Cth)</w:t>
      </w:r>
      <w:r w:rsidR="00DB45F5" w:rsidRPr="004504F4">
        <w:t xml:space="preserve">, Australia’s Disability Strategy Review </w:t>
      </w:r>
      <w:r w:rsidR="00DB45F5">
        <w:t>(</w:t>
      </w:r>
      <w:r w:rsidR="00DB45F5" w:rsidRPr="004504F4">
        <w:t>Discussion Paper</w:t>
      </w:r>
      <w:r w:rsidR="00DB45F5">
        <w:t xml:space="preserve">, </w:t>
      </w:r>
      <w:r w:rsidR="00DB45F5" w:rsidRPr="004504F4">
        <w:t xml:space="preserve">August 2024) </w:t>
      </w:r>
      <w:r w:rsidRPr="004504F4">
        <w:t>9.</w:t>
      </w:r>
    </w:p>
  </w:endnote>
  <w:endnote w:id="37">
    <w:p w14:paraId="031A43DF" w14:textId="0F0D56B9" w:rsidR="005C0FBB" w:rsidRDefault="005C0FBB">
      <w:pPr>
        <w:pStyle w:val="EndnoteText"/>
      </w:pPr>
      <w:r>
        <w:rPr>
          <w:rStyle w:val="EndnoteReference"/>
        </w:rPr>
        <w:endnoteRef/>
      </w:r>
      <w:r>
        <w:t xml:space="preserve"> </w:t>
      </w:r>
      <w:r w:rsidR="004509E8" w:rsidRPr="00EE1A97">
        <w:t>Royal Commission into Violence, Abuse, Neglect and Exploitation of People with Disability (Final Report, September 2023)</w:t>
      </w:r>
      <w:r w:rsidR="004509E8">
        <w:t xml:space="preserve">, </w:t>
      </w:r>
      <w:r w:rsidR="004509E8" w:rsidRPr="004509E8">
        <w:t xml:space="preserve">vol </w:t>
      </w:r>
      <w:r w:rsidRPr="006A53CD">
        <w:t>5, 84.</w:t>
      </w:r>
    </w:p>
  </w:endnote>
  <w:endnote w:id="38">
    <w:p w14:paraId="5FD49E70" w14:textId="77777777" w:rsidR="00670C64" w:rsidRPr="009869EB" w:rsidRDefault="00670C64" w:rsidP="00670C64">
      <w:pPr>
        <w:pStyle w:val="EndnoteText"/>
      </w:pPr>
      <w:r w:rsidRPr="009869EB">
        <w:rPr>
          <w:rStyle w:val="EndnoteReference"/>
        </w:rPr>
        <w:endnoteRef/>
      </w:r>
      <w:r>
        <w:t xml:space="preserve"> United Nations</w:t>
      </w:r>
      <w:r w:rsidRPr="009869EB">
        <w:t xml:space="preserve"> </w:t>
      </w:r>
      <w:r w:rsidRPr="009869EB">
        <w:rPr>
          <w:rFonts w:cs="Open Sans"/>
          <w:i/>
        </w:rPr>
        <w:t>Committee on the Rights of Persons with Disabilities</w:t>
      </w:r>
      <w:r w:rsidRPr="009869EB">
        <w:rPr>
          <w:rFonts w:cs="Open Sans"/>
        </w:rPr>
        <w:t xml:space="preserve">, </w:t>
      </w:r>
      <w:r w:rsidRPr="009869EB">
        <w:rPr>
          <w:rFonts w:cs="Open Sans"/>
          <w:i/>
          <w:iCs/>
        </w:rPr>
        <w:t>Concluding Observations on the combined second and third periodic reports of Australia</w:t>
      </w:r>
      <w:r w:rsidRPr="009869EB">
        <w:rPr>
          <w:rFonts w:cs="Open Sans"/>
        </w:rPr>
        <w:t>, 22</w:t>
      </w:r>
      <w:r w:rsidRPr="009869EB">
        <w:rPr>
          <w:rFonts w:cs="Open Sans"/>
          <w:vertAlign w:val="superscript"/>
        </w:rPr>
        <w:t>nd</w:t>
      </w:r>
      <w:r w:rsidRPr="009869EB">
        <w:rPr>
          <w:rFonts w:cs="Open Sans"/>
        </w:rPr>
        <w:t xml:space="preserve"> sess, UN Doc CRPD/C/AUS/CO/2-3 (15 October 2019, adopted 20 September 2019), 2 [6(a)].</w:t>
      </w:r>
    </w:p>
  </w:endnote>
  <w:endnote w:id="39">
    <w:p w14:paraId="775EBF78" w14:textId="34FDF327" w:rsidR="00717AAA" w:rsidRPr="00AC7044" w:rsidRDefault="00717AAA">
      <w:pPr>
        <w:pStyle w:val="EndnoteText"/>
      </w:pPr>
      <w:r w:rsidRPr="009869EB">
        <w:rPr>
          <w:rStyle w:val="EndnoteReference"/>
        </w:rPr>
        <w:endnoteRef/>
      </w:r>
      <w:r w:rsidRPr="009869EB">
        <w:t xml:space="preserve"> </w:t>
      </w:r>
      <w:r w:rsidRPr="00AC7044">
        <w:t xml:space="preserve">Australian Law Reform Commission, </w:t>
      </w:r>
      <w:r w:rsidRPr="00AC7044">
        <w:rPr>
          <w:i/>
          <w:iCs/>
        </w:rPr>
        <w:t>Equality, Capacity and Decision-Making in Commonwealth Laws</w:t>
      </w:r>
      <w:r w:rsidR="00CE1DE6" w:rsidRPr="00AC7044">
        <w:t xml:space="preserve"> (Report No.</w:t>
      </w:r>
      <w:r w:rsidR="00F31193" w:rsidRPr="00AC7044">
        <w:t xml:space="preserve"> 124</w:t>
      </w:r>
      <w:r w:rsidR="00F32C68" w:rsidRPr="00AC7044">
        <w:t>, November 2014), page.</w:t>
      </w:r>
    </w:p>
  </w:endnote>
  <w:endnote w:id="40">
    <w:p w14:paraId="0352E69E" w14:textId="1DBD2494" w:rsidR="003652E7" w:rsidRPr="00AC7044" w:rsidRDefault="003652E7" w:rsidP="003652E7">
      <w:pPr>
        <w:pStyle w:val="EndnoteText"/>
      </w:pPr>
      <w:r w:rsidRPr="00AC7044">
        <w:rPr>
          <w:rStyle w:val="EndnoteReference"/>
        </w:rPr>
        <w:endnoteRef/>
      </w:r>
      <w:r w:rsidRPr="00AC7044">
        <w:t xml:space="preserve"> </w:t>
      </w:r>
      <w:r w:rsidR="00F43042" w:rsidRPr="00AC7044">
        <w:t xml:space="preserve">Department of Education (Cth) </w:t>
      </w:r>
      <w:r w:rsidR="00F43042" w:rsidRPr="00AC7044">
        <w:rPr>
          <w:i/>
          <w:iCs/>
        </w:rPr>
        <w:t>Better</w:t>
      </w:r>
      <w:r w:rsidR="004E4C6A" w:rsidRPr="00AC7044">
        <w:rPr>
          <w:i/>
          <w:iCs/>
        </w:rPr>
        <w:t xml:space="preserve"> and Fairer Schools Agreement 2025-2034</w:t>
      </w:r>
      <w:r w:rsidR="004E4C6A" w:rsidRPr="00AC7044">
        <w:t xml:space="preserve"> (</w:t>
      </w:r>
      <w:r w:rsidR="00AC7044" w:rsidRPr="00AC7044">
        <w:t>31 July 2024)</w:t>
      </w:r>
      <w:r w:rsidRPr="00AC7044">
        <w:t>.</w:t>
      </w:r>
    </w:p>
  </w:endnote>
  <w:endnote w:id="41">
    <w:p w14:paraId="1E65E92F" w14:textId="5D215D85" w:rsidR="003652E7" w:rsidRPr="00AC7044" w:rsidRDefault="003652E7" w:rsidP="003652E7">
      <w:pPr>
        <w:pStyle w:val="EndnoteText"/>
      </w:pPr>
      <w:r w:rsidRPr="00AC7044">
        <w:rPr>
          <w:rStyle w:val="EndnoteReference"/>
        </w:rPr>
        <w:endnoteRef/>
      </w:r>
      <w:r w:rsidRPr="00AC7044">
        <w:t xml:space="preserve"> </w:t>
      </w:r>
      <w:r w:rsidR="00AC7044" w:rsidRPr="00AC7044">
        <w:t xml:space="preserve">Ibid </w:t>
      </w:r>
      <w:r w:rsidRPr="00AC7044">
        <w:t>4.</w:t>
      </w:r>
    </w:p>
  </w:endnote>
  <w:endnote w:id="42">
    <w:p w14:paraId="69EB1770" w14:textId="35BA5BD3" w:rsidR="00E25229" w:rsidRDefault="00E25229">
      <w:pPr>
        <w:pStyle w:val="EndnoteText"/>
      </w:pPr>
      <w:r w:rsidRPr="00AC7044">
        <w:rPr>
          <w:rStyle w:val="EndnoteReference"/>
        </w:rPr>
        <w:endnoteRef/>
      </w:r>
      <w:r w:rsidRPr="00AC7044">
        <w:t xml:space="preserve"> </w:t>
      </w:r>
      <w:r w:rsidR="00AC7044" w:rsidRPr="00AC7044">
        <w:t>Ibid.</w:t>
      </w:r>
    </w:p>
  </w:endnote>
  <w:endnote w:id="43">
    <w:p w14:paraId="76CB2BBC" w14:textId="4AB1684E" w:rsidR="00BA470E" w:rsidRDefault="00BA470E" w:rsidP="00BA470E">
      <w:pPr>
        <w:pStyle w:val="EndnoteText"/>
      </w:pPr>
      <w:r>
        <w:rPr>
          <w:rStyle w:val="EndnoteReference"/>
        </w:rPr>
        <w:endnoteRef/>
      </w:r>
      <w:r>
        <w:t xml:space="preserve"> </w:t>
      </w:r>
      <w:r w:rsidRPr="00F03B46">
        <w:t>Royal Commission into Violence, Abuse, Neglect and Exploitation of People with Disability (Final Report</w:t>
      </w:r>
      <w:r w:rsidR="002D62D0">
        <w:t xml:space="preserve">, </w:t>
      </w:r>
      <w:r w:rsidRPr="00F03B46">
        <w:t>September 2023)</w:t>
      </w:r>
      <w:r w:rsidR="002D62D0">
        <w:t xml:space="preserve"> vol 5,</w:t>
      </w:r>
      <w:r w:rsidRPr="00F03B46">
        <w:t xml:space="preserve"> </w:t>
      </w:r>
      <w:r>
        <w:t>94</w:t>
      </w:r>
      <w:r w:rsidRPr="00F03B46">
        <w:t>.</w:t>
      </w:r>
    </w:p>
  </w:endnote>
  <w:endnote w:id="44">
    <w:p w14:paraId="1A32FDF8" w14:textId="0CAD6A52" w:rsidR="002F4FB6" w:rsidRDefault="002F4FB6">
      <w:pPr>
        <w:pStyle w:val="EndnoteText"/>
      </w:pPr>
      <w:r>
        <w:rPr>
          <w:rStyle w:val="EndnoteReference"/>
        </w:rPr>
        <w:endnoteRef/>
      </w:r>
      <w:r>
        <w:t xml:space="preserve"> </w:t>
      </w:r>
      <w:r w:rsidRPr="004504F4">
        <w:t>Department of Social Services</w:t>
      </w:r>
      <w:r>
        <w:t xml:space="preserve"> (Cth)</w:t>
      </w:r>
      <w:r w:rsidRPr="00E30A57">
        <w:t xml:space="preserve">, </w:t>
      </w:r>
      <w:r w:rsidRPr="00E30A57">
        <w:rPr>
          <w:i/>
          <w:iCs/>
        </w:rPr>
        <w:t>Australia’s Disability Strategy Review</w:t>
      </w:r>
      <w:r w:rsidRPr="00E30A57">
        <w:t xml:space="preserve"> </w:t>
      </w:r>
      <w:r>
        <w:t>(</w:t>
      </w:r>
      <w:r w:rsidRPr="00E30A57">
        <w:t>Discussion Paper</w:t>
      </w:r>
      <w:r>
        <w:t xml:space="preserve">, </w:t>
      </w:r>
      <w:r w:rsidRPr="00E30A57">
        <w:t>August 2024)</w:t>
      </w:r>
      <w:r>
        <w:t xml:space="preserve"> 11.</w:t>
      </w:r>
    </w:p>
  </w:endnote>
  <w:endnote w:id="45">
    <w:p w14:paraId="21A03131" w14:textId="77777777" w:rsidR="009D7B3D" w:rsidRPr="00252576" w:rsidRDefault="009D7B3D" w:rsidP="009D7B3D">
      <w:pPr>
        <w:pStyle w:val="EndnoteText"/>
      </w:pPr>
      <w:r w:rsidRPr="004509E8">
        <w:rPr>
          <w:rStyle w:val="EndnoteReference"/>
        </w:rPr>
        <w:endnoteRef/>
      </w:r>
      <w:r w:rsidRPr="004509E8">
        <w:t xml:space="preserve"> </w:t>
      </w:r>
      <w:r w:rsidRPr="006A53CD">
        <w:t xml:space="preserve">Australia’s </w:t>
      </w:r>
      <w:r w:rsidRPr="00252576">
        <w:t>Disability Strategy Safety Targeted Action Plan, 10.</w:t>
      </w:r>
    </w:p>
  </w:endnote>
  <w:endnote w:id="46">
    <w:p w14:paraId="25176BEA" w14:textId="59BDCD51" w:rsidR="009D7B3D" w:rsidRDefault="009D7B3D" w:rsidP="009D7B3D">
      <w:pPr>
        <w:pStyle w:val="EndnoteText"/>
      </w:pPr>
      <w:r w:rsidRPr="00252576">
        <w:rPr>
          <w:rStyle w:val="EndnoteReference"/>
        </w:rPr>
        <w:endnoteRef/>
      </w:r>
      <w:r w:rsidRPr="00252576">
        <w:t xml:space="preserve"> Australia’s Disability Strategy Safety Targeted Action Plan</w:t>
      </w:r>
      <w:r w:rsidR="00252576" w:rsidRPr="00252576">
        <w:t>.</w:t>
      </w:r>
    </w:p>
  </w:endnote>
  <w:endnote w:id="47">
    <w:p w14:paraId="1AA39B6C" w14:textId="77777777" w:rsidR="00205AFF" w:rsidRDefault="00205AFF" w:rsidP="00205AFF">
      <w:pPr>
        <w:pStyle w:val="EndnoteText"/>
      </w:pPr>
      <w:r>
        <w:rPr>
          <w:rStyle w:val="EndnoteReference"/>
        </w:rPr>
        <w:endnoteRef/>
      </w:r>
      <w:r>
        <w:t xml:space="preserve"> Department of Social Services, </w:t>
      </w:r>
      <w:r w:rsidRPr="006A53CD">
        <w:rPr>
          <w:i/>
          <w:iCs/>
        </w:rPr>
        <w:t>Australia’s Disability Strategy Targeted Action Plans Report, 1</w:t>
      </w:r>
      <w:r w:rsidRPr="006A53CD">
        <w:rPr>
          <w:i/>
          <w:iCs/>
          <w:vertAlign w:val="superscript"/>
        </w:rPr>
        <w:t xml:space="preserve"> </w:t>
      </w:r>
      <w:r w:rsidRPr="006A53CD">
        <w:rPr>
          <w:i/>
          <w:iCs/>
        </w:rPr>
        <w:t>July 2022 to 30 June 2023</w:t>
      </w:r>
      <w:r>
        <w:t>, (2023) 20.</w:t>
      </w:r>
    </w:p>
  </w:endnote>
  <w:endnote w:id="48">
    <w:p w14:paraId="3947CCE7" w14:textId="1AD61C33" w:rsidR="00AF41BF" w:rsidRPr="009869EB" w:rsidRDefault="00AF41BF" w:rsidP="00AF41BF">
      <w:pPr>
        <w:pStyle w:val="EndnoteText"/>
      </w:pPr>
      <w:r w:rsidRPr="009869EB">
        <w:rPr>
          <w:rStyle w:val="EndnoteReference"/>
        </w:rPr>
        <w:endnoteRef/>
      </w:r>
      <w:r w:rsidRPr="009869EB">
        <w:t xml:space="preserve"> Department of Social Services</w:t>
      </w:r>
      <w:r w:rsidR="008E5ED9">
        <w:t xml:space="preserve"> (Cth),</w:t>
      </w:r>
      <w:r w:rsidRPr="009869EB">
        <w:t xml:space="preserve"> </w:t>
      </w:r>
      <w:r w:rsidRPr="009869EB">
        <w:rPr>
          <w:i/>
          <w:iCs/>
        </w:rPr>
        <w:t>Australia’s Disability Strategy 2021-2031 Outcomes Framework</w:t>
      </w:r>
      <w:r w:rsidR="00E633E0">
        <w:t xml:space="preserve"> (2012)</w:t>
      </w:r>
      <w:r w:rsidRPr="009869EB">
        <w:t xml:space="preserve"> 2.</w:t>
      </w:r>
    </w:p>
  </w:endnote>
  <w:endnote w:id="49">
    <w:p w14:paraId="3A6B51F1" w14:textId="3ED3FF80" w:rsidR="001C5144" w:rsidRDefault="001C5144">
      <w:pPr>
        <w:pStyle w:val="EndnoteText"/>
      </w:pPr>
      <w:r>
        <w:rPr>
          <w:rStyle w:val="EndnoteReference"/>
        </w:rPr>
        <w:endnoteRef/>
      </w:r>
      <w:r>
        <w:t xml:space="preserve"> The </w:t>
      </w:r>
      <w:r w:rsidRPr="006A53CD">
        <w:rPr>
          <w:i/>
          <w:iCs/>
        </w:rPr>
        <w:t>Disability Discrimination Act</w:t>
      </w:r>
      <w:r w:rsidR="00081D79" w:rsidRPr="006A53CD">
        <w:rPr>
          <w:i/>
          <w:iCs/>
        </w:rPr>
        <w:t xml:space="preserve"> 1992</w:t>
      </w:r>
      <w:r w:rsidR="00081D79">
        <w:t xml:space="preserve"> (Cth)</w:t>
      </w:r>
      <w:r>
        <w:t xml:space="preserve">, and disability standards, apply to both government entities and private transport providers and operators. </w:t>
      </w:r>
    </w:p>
  </w:endnote>
  <w:endnote w:id="50">
    <w:p w14:paraId="7F6301B7" w14:textId="17CC2CAC" w:rsidR="00513CC4" w:rsidRDefault="00513CC4">
      <w:pPr>
        <w:pStyle w:val="EndnoteText"/>
      </w:pPr>
      <w:r>
        <w:rPr>
          <w:rStyle w:val="EndnoteReference"/>
        </w:rPr>
        <w:endnoteRef/>
      </w:r>
      <w:r>
        <w:t xml:space="preserve"> </w:t>
      </w:r>
      <w:r w:rsidR="00252576">
        <w:t xml:space="preserve">Department of </w:t>
      </w:r>
      <w:r w:rsidR="00252576" w:rsidRPr="000F6FB3">
        <w:t>Prime Minister and Cabinet (Cth), National Agreement on Closing the Gap (July 2020)</w:t>
      </w:r>
      <w:r w:rsidR="00252576">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337EDF54" w14:paraId="244748D3" w14:textId="77777777" w:rsidTr="337EDF54">
      <w:trPr>
        <w:trHeight w:val="300"/>
      </w:trPr>
      <w:tc>
        <w:tcPr>
          <w:tcW w:w="2925" w:type="dxa"/>
        </w:tcPr>
        <w:p w14:paraId="6276C439" w14:textId="4314800A" w:rsidR="337EDF54" w:rsidRDefault="337EDF54" w:rsidP="337EDF54">
          <w:pPr>
            <w:pStyle w:val="Header"/>
            <w:ind w:left="-115"/>
            <w:jc w:val="left"/>
          </w:pPr>
        </w:p>
      </w:tc>
      <w:tc>
        <w:tcPr>
          <w:tcW w:w="2925" w:type="dxa"/>
        </w:tcPr>
        <w:p w14:paraId="0473D830" w14:textId="51F8430B" w:rsidR="337EDF54" w:rsidRDefault="337EDF54" w:rsidP="337EDF54">
          <w:pPr>
            <w:pStyle w:val="Header"/>
            <w:jc w:val="center"/>
          </w:pPr>
        </w:p>
      </w:tc>
      <w:tc>
        <w:tcPr>
          <w:tcW w:w="2925" w:type="dxa"/>
        </w:tcPr>
        <w:p w14:paraId="2B524573" w14:textId="52866174" w:rsidR="337EDF54" w:rsidRDefault="337EDF54" w:rsidP="337EDF54">
          <w:pPr>
            <w:pStyle w:val="Header"/>
            <w:ind w:right="-115"/>
          </w:pPr>
        </w:p>
      </w:tc>
    </w:tr>
  </w:tbl>
  <w:p w14:paraId="4B94B832" w14:textId="1D2C1AAE" w:rsidR="337EDF54" w:rsidRDefault="337EDF54" w:rsidP="337ED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337EDF54" w14:paraId="31994331" w14:textId="77777777" w:rsidTr="337EDF54">
      <w:trPr>
        <w:trHeight w:val="300"/>
      </w:trPr>
      <w:tc>
        <w:tcPr>
          <w:tcW w:w="2925" w:type="dxa"/>
        </w:tcPr>
        <w:p w14:paraId="40732B8C" w14:textId="291445B2" w:rsidR="337EDF54" w:rsidRDefault="337EDF54" w:rsidP="337EDF54">
          <w:pPr>
            <w:pStyle w:val="Header"/>
            <w:ind w:left="-115"/>
            <w:jc w:val="left"/>
          </w:pPr>
        </w:p>
      </w:tc>
      <w:tc>
        <w:tcPr>
          <w:tcW w:w="2925" w:type="dxa"/>
        </w:tcPr>
        <w:p w14:paraId="2FD2504C" w14:textId="708F5EF8" w:rsidR="337EDF54" w:rsidRDefault="337EDF54" w:rsidP="337EDF54">
          <w:pPr>
            <w:pStyle w:val="Header"/>
            <w:jc w:val="center"/>
          </w:pPr>
        </w:p>
      </w:tc>
      <w:tc>
        <w:tcPr>
          <w:tcW w:w="2925" w:type="dxa"/>
        </w:tcPr>
        <w:p w14:paraId="4ED9FF55" w14:textId="44BEA43D" w:rsidR="337EDF54" w:rsidRDefault="337EDF54" w:rsidP="337EDF54">
          <w:pPr>
            <w:pStyle w:val="Header"/>
            <w:ind w:right="-115"/>
          </w:pPr>
        </w:p>
      </w:tc>
    </w:tr>
  </w:tbl>
  <w:p w14:paraId="07E02D1F" w14:textId="4BBA9400" w:rsidR="337EDF54" w:rsidRDefault="337EDF54" w:rsidP="337ED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0CA5" w14:textId="77777777" w:rsidR="00AC636D" w:rsidRPr="000465F1" w:rsidRDefault="00AC636D" w:rsidP="000465F1">
    <w:pPr>
      <w:pStyle w:val="Footer"/>
    </w:pPr>
    <w:r w:rsidRPr="000465F1">
      <w:t>ABN 47 996 232 602</w:t>
    </w:r>
  </w:p>
  <w:p w14:paraId="14D8A061" w14:textId="77777777" w:rsidR="00AC636D" w:rsidRPr="000465F1" w:rsidRDefault="00AC636D" w:rsidP="000465F1">
    <w:pPr>
      <w:pStyle w:val="Footer"/>
    </w:pPr>
    <w:r w:rsidRPr="000465F1">
      <w:t>GPO Box 5218, Sydney NSW 2001</w:t>
    </w:r>
  </w:p>
  <w:p w14:paraId="558D6089" w14:textId="77777777" w:rsidR="00AC636D" w:rsidRPr="000465F1" w:rsidRDefault="00AC636D" w:rsidP="000465F1">
    <w:pPr>
      <w:pStyle w:val="Footer"/>
    </w:pPr>
    <w:r w:rsidRPr="000465F1">
      <w:t>General enquiries 1300 369 711</w:t>
    </w:r>
  </w:p>
  <w:p w14:paraId="2BBD438F" w14:textId="77777777" w:rsidR="00AC636D" w:rsidRPr="000465F1" w:rsidRDefault="00AC636D" w:rsidP="000465F1">
    <w:pPr>
      <w:pStyle w:val="Footer"/>
    </w:pPr>
    <w:r w:rsidRPr="000465F1">
      <w:t>Complaints info line 1300 656 419</w:t>
    </w:r>
  </w:p>
  <w:p w14:paraId="16D58BFC" w14:textId="77777777" w:rsidR="00B34946" w:rsidRPr="000465F1" w:rsidRDefault="000465F1" w:rsidP="000465F1">
    <w:pPr>
      <w:pStyle w:val="Footer"/>
    </w:pPr>
    <w:r w:rsidRPr="000465F1">
      <w:t>TTY 1800 620 241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C235" w14:textId="77777777" w:rsidR="00DC343B" w:rsidRDefault="00BF6406">
    <w:pPr>
      <w:pStyle w:val="Footer"/>
    </w:pPr>
    <w:r w:rsidRPr="00622508">
      <w:fldChar w:fldCharType="begin"/>
    </w:r>
    <w:r>
      <w:instrText xml:space="preserve"> PAGE   \* MERGEFORMAT </w:instrText>
    </w:r>
    <w:r w:rsidRPr="00622508">
      <w:fldChar w:fldCharType="separate"/>
    </w:r>
    <w:r w:rsidR="00A27ABE" w:rsidRPr="00AB7C8F">
      <w:t>4</w:t>
    </w:r>
    <w:r w:rsidRPr="00622508">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E526" w14:textId="77777777" w:rsidR="00DA1D32" w:rsidRDefault="00DA1D32" w:rsidP="00E53546">
    <w:pPr>
      <w:pStyle w:val="FooterOddPageNumber"/>
    </w:pPr>
    <w:r w:rsidRPr="00AB7C8F">
      <w:fldChar w:fldCharType="begin"/>
    </w:r>
    <w:r>
      <w:instrText xml:space="preserve"> PAGE   \* MERGEFORMAT </w:instrText>
    </w:r>
    <w:r w:rsidRPr="00AB7C8F">
      <w:fldChar w:fldCharType="separate"/>
    </w:r>
    <w:r w:rsidR="00460EE0">
      <w:rPr>
        <w:noProof/>
      </w:rPr>
      <w:t>3</w:t>
    </w:r>
    <w:r w:rsidRPr="00AB7C8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6227" w14:textId="77777777" w:rsidR="0063009F" w:rsidRDefault="0063009F" w:rsidP="00E53546">
    <w:pPr>
      <w:pStyle w:val="FooterEvenPageNumber"/>
    </w:pPr>
    <w:r w:rsidRPr="00F127A8">
      <w:fldChar w:fldCharType="begin"/>
    </w:r>
    <w:r>
      <w:instrText xml:space="preserve"> PAGE   \* MERGEFORMAT </w:instrText>
    </w:r>
    <w:r w:rsidRPr="00F127A8">
      <w:fldChar w:fldCharType="separate"/>
    </w:r>
    <w:r w:rsidR="00460EE0">
      <w:rPr>
        <w:noProof/>
      </w:rPr>
      <w:t>2</w:t>
    </w:r>
    <w:r w:rsidRPr="00F127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AF89C" w14:textId="77777777" w:rsidR="00EF59D0" w:rsidRDefault="00EF59D0" w:rsidP="00F14C6D">
      <w:r>
        <w:separator/>
      </w:r>
    </w:p>
  </w:footnote>
  <w:footnote w:type="continuationSeparator" w:id="0">
    <w:p w14:paraId="1EF9DBD7" w14:textId="77777777" w:rsidR="00EF59D0" w:rsidRDefault="00EF59D0" w:rsidP="00F14C6D">
      <w:r>
        <w:continuationSeparator/>
      </w:r>
    </w:p>
  </w:footnote>
  <w:footnote w:type="continuationNotice" w:id="1">
    <w:p w14:paraId="57D88242" w14:textId="77777777" w:rsidR="00EF59D0" w:rsidRDefault="00EF59D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30C1" w14:textId="78607CB7" w:rsidR="00BF6406" w:rsidRPr="000465F1" w:rsidRDefault="006303A6" w:rsidP="000465F1">
    <w:pPr>
      <w:pStyle w:val="Header"/>
    </w:pPr>
    <w:r>
      <w:rPr>
        <w:noProof/>
      </w:rPr>
      <w:drawing>
        <wp:anchor distT="0" distB="0" distL="114300" distR="114300" simplePos="0" relativeHeight="251658241" behindDoc="1" locked="0" layoutInCell="0" allowOverlap="1" wp14:anchorId="2658B32B" wp14:editId="5EA1C318">
          <wp:simplePos x="0" y="0"/>
          <wp:positionH relativeFrom="margin">
            <wp:align>center</wp:align>
          </wp:positionH>
          <wp:positionV relativeFrom="margin">
            <wp:align>center</wp:align>
          </wp:positionV>
          <wp:extent cx="11822430" cy="17271365"/>
          <wp:effectExtent l="0" t="0" r="1270" b="635"/>
          <wp:wrapNone/>
          <wp:docPr id="19" name="WordPictureWatermark1034833"/>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034833"/>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22430" cy="17271365"/>
                  </a:xfrm>
                  <a:prstGeom prst="rect">
                    <a:avLst/>
                  </a:prstGeom>
                  <a:noFill/>
                </pic:spPr>
              </pic:pic>
            </a:graphicData>
          </a:graphic>
          <wp14:sizeRelH relativeFrom="page">
            <wp14:pctWidth>0</wp14:pctWidth>
          </wp14:sizeRelH>
          <wp14:sizeRelV relativeFrom="page">
            <wp14:pctHeight>0</wp14:pctHeight>
          </wp14:sizeRelV>
        </wp:anchor>
      </w:drawing>
    </w:r>
    <w:r w:rsidR="00BF6406" w:rsidRPr="000465F1">
      <w:t>Australian Human Rights Commission</w:t>
    </w:r>
  </w:p>
  <w:p w14:paraId="496D60D0" w14:textId="77777777" w:rsidR="00B34946" w:rsidRPr="00622508" w:rsidRDefault="00BF6406" w:rsidP="00622508">
    <w:pPr>
      <w:pStyle w:val="Footer"/>
    </w:pPr>
    <w:r w:rsidRPr="001F62CC">
      <w:rPr>
        <w:rStyle w:val="HeaderDocumentTitle"/>
      </w:rPr>
      <w:t>Short title</w:t>
    </w:r>
    <w:r w:rsidRPr="00622508">
      <w:rPr>
        <w:rStyle w:val="HeaderDocumentTitle"/>
      </w:rPr>
      <w:t>, report name</w:t>
    </w:r>
    <w:r w:rsidR="001F62CC" w:rsidRPr="00622508">
      <w:rPr>
        <w:rStyle w:val="HeaderDocumentTitle"/>
      </w:rPr>
      <w:t>,</w:t>
    </w:r>
    <w:r w:rsidR="001F62CC" w:rsidRPr="00622508">
      <w:t xml:space="preserve"> </w:t>
    </w:r>
    <w:r w:rsidRPr="00622508">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86C9" w14:textId="289D6CD9" w:rsidR="00B34946" w:rsidRPr="000465F1" w:rsidRDefault="006303A6" w:rsidP="000465F1">
    <w:r>
      <w:rPr>
        <w:noProof/>
      </w:rPr>
      <w:drawing>
        <wp:anchor distT="0" distB="0" distL="114300" distR="114300" simplePos="0" relativeHeight="251658242" behindDoc="1" locked="0" layoutInCell="0" allowOverlap="1" wp14:anchorId="33DE36BD" wp14:editId="7EC66188">
          <wp:simplePos x="0" y="0"/>
          <wp:positionH relativeFrom="margin">
            <wp:align>center</wp:align>
          </wp:positionH>
          <wp:positionV relativeFrom="margin">
            <wp:align>center</wp:align>
          </wp:positionV>
          <wp:extent cx="11822430" cy="17271365"/>
          <wp:effectExtent l="0" t="0" r="1270" b="635"/>
          <wp:wrapNone/>
          <wp:docPr id="20" name="WordPictureWatermark1034834"/>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034834"/>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22430" cy="17271365"/>
                  </a:xfrm>
                  <a:prstGeom prst="rect">
                    <a:avLst/>
                  </a:prstGeom>
                  <a:noFill/>
                </pic:spPr>
              </pic:pic>
            </a:graphicData>
          </a:graphic>
          <wp14:sizeRelH relativeFrom="page">
            <wp14:pctWidth>0</wp14:pctWidth>
          </wp14:sizeRelH>
          <wp14:sizeRelV relativeFrom="page">
            <wp14:pctHeight>0</wp14:pctHeight>
          </wp14:sizeRelV>
        </wp:anchor>
      </w:drawing>
    </w:r>
    <w:r w:rsidR="00B34946" w:rsidRPr="000465F1">
      <w:t>Australian Human Rights Commission</w:t>
    </w:r>
  </w:p>
  <w:p w14:paraId="4C5B873D" w14:textId="77777777" w:rsidR="00B34946" w:rsidRPr="000465F1" w:rsidRDefault="00B34946" w:rsidP="000465F1">
    <w:pPr>
      <w:pStyle w:val="Footer"/>
    </w:pPr>
    <w:r w:rsidRPr="000465F1">
      <w:t>Short document title, 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6DBF" w14:textId="3A6577C1" w:rsidR="00CC2AA0" w:rsidRDefault="006303A6" w:rsidP="002012F7">
    <w:pPr>
      <w:pStyle w:val="Header"/>
    </w:pPr>
    <w:r>
      <w:rPr>
        <w:noProof/>
      </w:rPr>
      <w:drawing>
        <wp:anchor distT="0" distB="0" distL="114300" distR="114300" simplePos="0" relativeHeight="251658243" behindDoc="1" locked="0" layoutInCell="0" allowOverlap="1" wp14:anchorId="6EE6BA63" wp14:editId="1B989B3D">
          <wp:simplePos x="0" y="0"/>
          <wp:positionH relativeFrom="margin">
            <wp:posOffset>-902335</wp:posOffset>
          </wp:positionH>
          <wp:positionV relativeFrom="margin">
            <wp:posOffset>-1377950</wp:posOffset>
          </wp:positionV>
          <wp:extent cx="7564755" cy="11050905"/>
          <wp:effectExtent l="0" t="0" r="4445" b="0"/>
          <wp:wrapNone/>
          <wp:docPr id="23" name="WordPictureWatermark1406601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4066017"/>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10509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0" allowOverlap="1" wp14:anchorId="24895DFB" wp14:editId="48883E2A">
          <wp:simplePos x="0" y="0"/>
          <wp:positionH relativeFrom="margin">
            <wp:posOffset>-900430</wp:posOffset>
          </wp:positionH>
          <wp:positionV relativeFrom="margin">
            <wp:posOffset>-1384935</wp:posOffset>
          </wp:positionV>
          <wp:extent cx="7557770" cy="11041380"/>
          <wp:effectExtent l="0" t="0" r="0" b="0"/>
          <wp:wrapNone/>
          <wp:docPr id="18" name="WordPictureWatermark1034832"/>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034832"/>
                  <pic:cNvPicPr>
                    <a:picLocks noGrp="1" noRot="1" noChangeAspect="1" noResize="1" noEditPoints="1" noAdjustHandles="1" noChangeArrowheads="1" noChangeShapeType="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7770" cy="11041380"/>
                  </a:xfrm>
                  <a:prstGeom prst="rect">
                    <a:avLst/>
                  </a:prstGeom>
                  <a:noFill/>
                </pic:spPr>
              </pic:pic>
            </a:graphicData>
          </a:graphic>
          <wp14:sizeRelH relativeFrom="page">
            <wp14:pctWidth>0</wp14:pctWidth>
          </wp14:sizeRelH>
          <wp14:sizeRelV relativeFrom="page">
            <wp14:pctHeight>0</wp14:pctHeight>
          </wp14:sizeRelV>
        </wp:anchor>
      </w:drawing>
    </w:r>
  </w:p>
  <w:p w14:paraId="55DB2867" w14:textId="77777777" w:rsidR="008B3899" w:rsidRDefault="008B3899" w:rsidP="002012F7">
    <w:pPr>
      <w:pStyle w:val="Header"/>
    </w:pPr>
  </w:p>
  <w:p w14:paraId="53A9E689" w14:textId="77777777" w:rsidR="008B3899" w:rsidRDefault="008B3899"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88EB" w14:textId="77777777" w:rsidR="0015239E" w:rsidRPr="000465F1" w:rsidRDefault="0015239E" w:rsidP="0015239E">
    <w:pPr>
      <w:pStyle w:val="Header"/>
    </w:pPr>
    <w:r w:rsidRPr="000465F1">
      <w:t>Australian Human Rights Commission</w:t>
    </w:r>
  </w:p>
  <w:p w14:paraId="6BC5F5AA" w14:textId="2530C1A1" w:rsidR="00834AF7" w:rsidRPr="000465F1" w:rsidRDefault="00834AF7" w:rsidP="00834AF7">
    <w:pPr>
      <w:pStyle w:val="HeaderDocumentDate"/>
    </w:pPr>
    <w:r w:rsidRPr="008F3537">
      <w:rPr>
        <w:rStyle w:val="HeaderDocumentTitle"/>
      </w:rPr>
      <w:t>Review of Australia’s Disability Strategy 2021-2031,</w:t>
    </w:r>
    <w:r w:rsidRPr="008F3537">
      <w:t xml:space="preserve"> </w:t>
    </w:r>
    <w:r w:rsidR="00681653">
      <w:t>06 September 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B480" w14:textId="77777777" w:rsidR="00BF6406" w:rsidRPr="000465F1" w:rsidRDefault="00BF6406" w:rsidP="00CA5D90">
    <w:pPr>
      <w:pStyle w:val="Header"/>
    </w:pPr>
    <w:bookmarkStart w:id="16" w:name="_Hlk514672172"/>
    <w:bookmarkStart w:id="17" w:name="_Hlk514672173"/>
    <w:r w:rsidRPr="000465F1">
      <w:t>Australian Human Rights Commission</w:t>
    </w:r>
  </w:p>
  <w:bookmarkEnd w:id="16"/>
  <w:bookmarkEnd w:id="17"/>
  <w:p w14:paraId="414D4334" w14:textId="04BE9FFB" w:rsidR="00C00733" w:rsidRPr="000465F1" w:rsidRDefault="00834AF7" w:rsidP="00834AF7">
    <w:pPr>
      <w:pStyle w:val="HeaderDocumentDate"/>
    </w:pPr>
    <w:r w:rsidRPr="008F3537">
      <w:rPr>
        <w:rStyle w:val="HeaderDocumentTitle"/>
      </w:rPr>
      <w:t>Review of Australia’s Disability Strategy 2021-2031,</w:t>
    </w:r>
    <w:r w:rsidR="00681653">
      <w:t xml:space="preserve"> </w:t>
    </w:r>
    <w:r w:rsidR="00681653">
      <w:t>06 September 2024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37F2" w14:textId="77777777" w:rsidR="0063009F" w:rsidRPr="008F3537" w:rsidRDefault="0063009F" w:rsidP="0063009F">
    <w:pPr>
      <w:pStyle w:val="Header"/>
    </w:pPr>
    <w:r w:rsidRPr="00AC5DA3">
      <w:t>Australian Human Rig</w:t>
    </w:r>
    <w:r w:rsidRPr="008F3537">
      <w:t>hts Commission</w:t>
    </w:r>
  </w:p>
  <w:p w14:paraId="3B9B12C2" w14:textId="4063894D" w:rsidR="0063009F" w:rsidRPr="000465F1" w:rsidRDefault="00AC5DA3" w:rsidP="0063009F">
    <w:pPr>
      <w:pStyle w:val="HeaderDocumentDate"/>
    </w:pPr>
    <w:r w:rsidRPr="008F3537">
      <w:rPr>
        <w:rStyle w:val="HeaderDocumentTitle"/>
      </w:rPr>
      <w:t>Review of Australia’s Disability Strategy 2021-2031</w:t>
    </w:r>
    <w:r w:rsidR="0063009F" w:rsidRPr="008F3537">
      <w:rPr>
        <w:rStyle w:val="HeaderDocumentTitle"/>
      </w:rPr>
      <w:t>,</w:t>
    </w:r>
    <w:r w:rsidR="0063009F" w:rsidRPr="008F3537">
      <w:t xml:space="preserve"> </w:t>
    </w:r>
    <w:r w:rsidR="00681653">
      <w:t>06 September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D44524"/>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051829BD"/>
    <w:multiLevelType w:val="hybridMultilevel"/>
    <w:tmpl w:val="E7E84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633D7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6B95A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2B2CF5"/>
    <w:multiLevelType w:val="hybridMultilevel"/>
    <w:tmpl w:val="7BB2DAD8"/>
    <w:lvl w:ilvl="0" w:tplc="ADFE67F4">
      <w:start w:val="15"/>
      <w:numFmt w:val="bullet"/>
      <w:lvlText w:val="-"/>
      <w:lvlJc w:val="left"/>
      <w:pPr>
        <w:ind w:left="720" w:hanging="360"/>
      </w:pPr>
      <w:rPr>
        <w:rFonts w:ascii="Open Sans" w:eastAsia="MS Mincho"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3FB7F6C"/>
    <w:multiLevelType w:val="hybridMultilevel"/>
    <w:tmpl w:val="302A09FE"/>
    <w:lvl w:ilvl="0" w:tplc="F2AC77AA">
      <w:start w:val="15"/>
      <w:numFmt w:val="bullet"/>
      <w:lvlText w:val="-"/>
      <w:lvlJc w:val="left"/>
      <w:pPr>
        <w:ind w:left="720" w:hanging="360"/>
      </w:pPr>
      <w:rPr>
        <w:rFonts w:ascii="Open Sans" w:eastAsia="MS Mincho" w:hAnsi="Open Sans" w:cs="Open San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3B1A6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B4E087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CB47BA3"/>
    <w:multiLevelType w:val="hybridMultilevel"/>
    <w:tmpl w:val="F41EC598"/>
    <w:lvl w:ilvl="0" w:tplc="D728BA3E">
      <w:start w:val="1"/>
      <w:numFmt w:val="bullet"/>
      <w:lvlText w:val="-"/>
      <w:lvlJc w:val="left"/>
      <w:pPr>
        <w:ind w:left="720" w:hanging="360"/>
      </w:pPr>
      <w:rPr>
        <w:rFonts w:ascii="Symbol" w:hAnsi="Symbol" w:hint="default"/>
      </w:rPr>
    </w:lvl>
    <w:lvl w:ilvl="1" w:tplc="6020200C">
      <w:start w:val="1"/>
      <w:numFmt w:val="bullet"/>
      <w:lvlText w:val="o"/>
      <w:lvlJc w:val="left"/>
      <w:pPr>
        <w:ind w:left="1440" w:hanging="360"/>
      </w:pPr>
      <w:rPr>
        <w:rFonts w:ascii="Courier New" w:hAnsi="Courier New" w:hint="default"/>
      </w:rPr>
    </w:lvl>
    <w:lvl w:ilvl="2" w:tplc="BC56D00E">
      <w:start w:val="1"/>
      <w:numFmt w:val="bullet"/>
      <w:lvlText w:val=""/>
      <w:lvlJc w:val="left"/>
      <w:pPr>
        <w:ind w:left="2160" w:hanging="360"/>
      </w:pPr>
      <w:rPr>
        <w:rFonts w:ascii="Wingdings" w:hAnsi="Wingdings" w:hint="default"/>
      </w:rPr>
    </w:lvl>
    <w:lvl w:ilvl="3" w:tplc="4FA28370">
      <w:start w:val="1"/>
      <w:numFmt w:val="bullet"/>
      <w:lvlText w:val=""/>
      <w:lvlJc w:val="left"/>
      <w:pPr>
        <w:ind w:left="2880" w:hanging="360"/>
      </w:pPr>
      <w:rPr>
        <w:rFonts w:ascii="Symbol" w:hAnsi="Symbol" w:hint="default"/>
      </w:rPr>
    </w:lvl>
    <w:lvl w:ilvl="4" w:tplc="E14A5ACC">
      <w:start w:val="1"/>
      <w:numFmt w:val="bullet"/>
      <w:lvlText w:val="o"/>
      <w:lvlJc w:val="left"/>
      <w:pPr>
        <w:ind w:left="3600" w:hanging="360"/>
      </w:pPr>
      <w:rPr>
        <w:rFonts w:ascii="Courier New" w:hAnsi="Courier New" w:hint="default"/>
      </w:rPr>
    </w:lvl>
    <w:lvl w:ilvl="5" w:tplc="C8EED6EA">
      <w:start w:val="1"/>
      <w:numFmt w:val="bullet"/>
      <w:lvlText w:val=""/>
      <w:lvlJc w:val="left"/>
      <w:pPr>
        <w:ind w:left="4320" w:hanging="360"/>
      </w:pPr>
      <w:rPr>
        <w:rFonts w:ascii="Wingdings" w:hAnsi="Wingdings" w:hint="default"/>
      </w:rPr>
    </w:lvl>
    <w:lvl w:ilvl="6" w:tplc="892AA708">
      <w:start w:val="1"/>
      <w:numFmt w:val="bullet"/>
      <w:lvlText w:val=""/>
      <w:lvlJc w:val="left"/>
      <w:pPr>
        <w:ind w:left="5040" w:hanging="360"/>
      </w:pPr>
      <w:rPr>
        <w:rFonts w:ascii="Symbol" w:hAnsi="Symbol" w:hint="default"/>
      </w:rPr>
    </w:lvl>
    <w:lvl w:ilvl="7" w:tplc="48E87EF6">
      <w:start w:val="1"/>
      <w:numFmt w:val="bullet"/>
      <w:lvlText w:val="o"/>
      <w:lvlJc w:val="left"/>
      <w:pPr>
        <w:ind w:left="5760" w:hanging="360"/>
      </w:pPr>
      <w:rPr>
        <w:rFonts w:ascii="Courier New" w:hAnsi="Courier New" w:hint="default"/>
      </w:rPr>
    </w:lvl>
    <w:lvl w:ilvl="8" w:tplc="0E7AB142">
      <w:start w:val="1"/>
      <w:numFmt w:val="bullet"/>
      <w:lvlText w:val=""/>
      <w:lvlJc w:val="left"/>
      <w:pPr>
        <w:ind w:left="6480" w:hanging="360"/>
      </w:pPr>
      <w:rPr>
        <w:rFonts w:ascii="Wingdings" w:hAnsi="Wingdings" w:hint="default"/>
      </w:rPr>
    </w:lvl>
  </w:abstractNum>
  <w:abstractNum w:abstractNumId="23" w15:restartNumberingAfterBreak="0">
    <w:nsid w:val="33521522"/>
    <w:multiLevelType w:val="hybridMultilevel"/>
    <w:tmpl w:val="DF2079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5"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ECE19DF"/>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1A09E4"/>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8E476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30" w15:restartNumberingAfterBreak="0">
    <w:nsid w:val="4B84C941"/>
    <w:multiLevelType w:val="hybridMultilevel"/>
    <w:tmpl w:val="A08EE7BC"/>
    <w:lvl w:ilvl="0" w:tplc="C0ECA2E2">
      <w:start w:val="1"/>
      <w:numFmt w:val="bullet"/>
      <w:lvlText w:val="-"/>
      <w:lvlJc w:val="left"/>
      <w:pPr>
        <w:ind w:left="720" w:hanging="360"/>
      </w:pPr>
      <w:rPr>
        <w:rFonts w:ascii="Symbol" w:hAnsi="Symbol" w:hint="default"/>
      </w:rPr>
    </w:lvl>
    <w:lvl w:ilvl="1" w:tplc="47C484EE">
      <w:start w:val="1"/>
      <w:numFmt w:val="bullet"/>
      <w:lvlText w:val="o"/>
      <w:lvlJc w:val="left"/>
      <w:pPr>
        <w:ind w:left="1440" w:hanging="360"/>
      </w:pPr>
      <w:rPr>
        <w:rFonts w:ascii="Courier New" w:hAnsi="Courier New" w:hint="default"/>
      </w:rPr>
    </w:lvl>
    <w:lvl w:ilvl="2" w:tplc="293AF1EE">
      <w:start w:val="1"/>
      <w:numFmt w:val="bullet"/>
      <w:lvlText w:val=""/>
      <w:lvlJc w:val="left"/>
      <w:pPr>
        <w:ind w:left="2160" w:hanging="360"/>
      </w:pPr>
      <w:rPr>
        <w:rFonts w:ascii="Wingdings" w:hAnsi="Wingdings" w:hint="default"/>
      </w:rPr>
    </w:lvl>
    <w:lvl w:ilvl="3" w:tplc="BC5CA048">
      <w:start w:val="1"/>
      <w:numFmt w:val="bullet"/>
      <w:lvlText w:val=""/>
      <w:lvlJc w:val="left"/>
      <w:pPr>
        <w:ind w:left="2880" w:hanging="360"/>
      </w:pPr>
      <w:rPr>
        <w:rFonts w:ascii="Symbol" w:hAnsi="Symbol" w:hint="default"/>
      </w:rPr>
    </w:lvl>
    <w:lvl w:ilvl="4" w:tplc="68981E7E">
      <w:start w:val="1"/>
      <w:numFmt w:val="bullet"/>
      <w:lvlText w:val="o"/>
      <w:lvlJc w:val="left"/>
      <w:pPr>
        <w:ind w:left="3600" w:hanging="360"/>
      </w:pPr>
      <w:rPr>
        <w:rFonts w:ascii="Courier New" w:hAnsi="Courier New" w:hint="default"/>
      </w:rPr>
    </w:lvl>
    <w:lvl w:ilvl="5" w:tplc="36BC52BA">
      <w:start w:val="1"/>
      <w:numFmt w:val="bullet"/>
      <w:lvlText w:val=""/>
      <w:lvlJc w:val="left"/>
      <w:pPr>
        <w:ind w:left="4320" w:hanging="360"/>
      </w:pPr>
      <w:rPr>
        <w:rFonts w:ascii="Wingdings" w:hAnsi="Wingdings" w:hint="default"/>
      </w:rPr>
    </w:lvl>
    <w:lvl w:ilvl="6" w:tplc="2042E9BC">
      <w:start w:val="1"/>
      <w:numFmt w:val="bullet"/>
      <w:lvlText w:val=""/>
      <w:lvlJc w:val="left"/>
      <w:pPr>
        <w:ind w:left="5040" w:hanging="360"/>
      </w:pPr>
      <w:rPr>
        <w:rFonts w:ascii="Symbol" w:hAnsi="Symbol" w:hint="default"/>
      </w:rPr>
    </w:lvl>
    <w:lvl w:ilvl="7" w:tplc="6FEC089A">
      <w:start w:val="1"/>
      <w:numFmt w:val="bullet"/>
      <w:lvlText w:val="o"/>
      <w:lvlJc w:val="left"/>
      <w:pPr>
        <w:ind w:left="5760" w:hanging="360"/>
      </w:pPr>
      <w:rPr>
        <w:rFonts w:ascii="Courier New" w:hAnsi="Courier New" w:hint="default"/>
      </w:rPr>
    </w:lvl>
    <w:lvl w:ilvl="8" w:tplc="3C8C5340">
      <w:start w:val="1"/>
      <w:numFmt w:val="bullet"/>
      <w:lvlText w:val=""/>
      <w:lvlJc w:val="left"/>
      <w:pPr>
        <w:ind w:left="6480" w:hanging="360"/>
      </w:pPr>
      <w:rPr>
        <w:rFonts w:ascii="Wingdings" w:hAnsi="Wingdings" w:hint="default"/>
      </w:rPr>
    </w:lvl>
  </w:abstractNum>
  <w:abstractNum w:abstractNumId="31" w15:restartNumberingAfterBreak="0">
    <w:nsid w:val="4B9008C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CC612F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5" w15:restartNumberingAfterBreak="0">
    <w:nsid w:val="539D7D54"/>
    <w:multiLevelType w:val="hybridMultilevel"/>
    <w:tmpl w:val="065E8C4E"/>
    <w:lvl w:ilvl="0" w:tplc="4BF21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5B30A04"/>
    <w:multiLevelType w:val="hybridMultilevel"/>
    <w:tmpl w:val="3C5E6224"/>
    <w:lvl w:ilvl="0" w:tplc="E8E4FEA2">
      <w:start w:val="15"/>
      <w:numFmt w:val="bullet"/>
      <w:lvlText w:val="-"/>
      <w:lvlJc w:val="left"/>
      <w:pPr>
        <w:ind w:left="720" w:hanging="360"/>
      </w:pPr>
      <w:rPr>
        <w:rFonts w:ascii="Open Sans" w:eastAsia="MS Mincho"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8" w15:restartNumberingAfterBreak="0">
    <w:nsid w:val="65B350B5"/>
    <w:multiLevelType w:val="hybridMultilevel"/>
    <w:tmpl w:val="F2D8E0CA"/>
    <w:lvl w:ilvl="0" w:tplc="9BBACED4">
      <w:start w:val="1"/>
      <w:numFmt w:val="decimal"/>
      <w:lvlText w:val="%1."/>
      <w:lvlJc w:val="left"/>
      <w:pPr>
        <w:ind w:left="360" w:hanging="360"/>
      </w:pPr>
      <w:rPr>
        <w:rFonts w:hint="default"/>
        <w:b w:val="0"/>
        <w:bCs w:val="0"/>
      </w:rPr>
    </w:lvl>
    <w:lvl w:ilvl="1" w:tplc="A7EE05C2">
      <w:numFmt w:val="bullet"/>
      <w:lvlText w:val="-"/>
      <w:lvlJc w:val="left"/>
      <w:pPr>
        <w:ind w:left="1080" w:hanging="360"/>
      </w:pPr>
      <w:rPr>
        <w:rFonts w:ascii="Open Sans" w:eastAsiaTheme="minorHAnsi" w:hAnsi="Open Sans" w:cs="Open San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8AC565C"/>
    <w:multiLevelType w:val="hybridMultilevel"/>
    <w:tmpl w:val="79727DEC"/>
    <w:lvl w:ilvl="0" w:tplc="14124514">
      <w:numFmt w:val="bullet"/>
      <w:lvlText w:val="-"/>
      <w:lvlJc w:val="left"/>
      <w:pPr>
        <w:ind w:left="720" w:hanging="360"/>
      </w:pPr>
      <w:rPr>
        <w:rFonts w:ascii="Open Sans" w:eastAsia="MS Mincho"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5C5BC0"/>
    <w:multiLevelType w:val="hybridMultilevel"/>
    <w:tmpl w:val="A630F54A"/>
    <w:lvl w:ilvl="0" w:tplc="810E5BEA">
      <w:numFmt w:val="bullet"/>
      <w:lvlText w:val="-"/>
      <w:lvlJc w:val="left"/>
      <w:pPr>
        <w:ind w:left="720" w:hanging="360"/>
      </w:pPr>
      <w:rPr>
        <w:rFonts w:ascii="Open Sans" w:eastAsia="MS Mincho"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2E1368"/>
    <w:multiLevelType w:val="hybridMultilevel"/>
    <w:tmpl w:val="4F443B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BC79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74D1A5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1417601">
    <w:abstractNumId w:val="30"/>
  </w:num>
  <w:num w:numId="2" w16cid:durableId="324867195">
    <w:abstractNumId w:val="22"/>
  </w:num>
  <w:num w:numId="3" w16cid:durableId="234703894">
    <w:abstractNumId w:val="20"/>
  </w:num>
  <w:num w:numId="4" w16cid:durableId="1898003874">
    <w:abstractNumId w:val="29"/>
  </w:num>
  <w:num w:numId="5" w16cid:durableId="1353337326">
    <w:abstractNumId w:val="35"/>
  </w:num>
  <w:num w:numId="6" w16cid:durableId="187066170">
    <w:abstractNumId w:val="19"/>
  </w:num>
  <w:num w:numId="7" w16cid:durableId="1376966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43705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3517317">
    <w:abstractNumId w:val="9"/>
  </w:num>
  <w:num w:numId="10" w16cid:durableId="1418673179">
    <w:abstractNumId w:val="7"/>
  </w:num>
  <w:num w:numId="11" w16cid:durableId="830220321">
    <w:abstractNumId w:val="6"/>
  </w:num>
  <w:num w:numId="12" w16cid:durableId="843319387">
    <w:abstractNumId w:val="5"/>
  </w:num>
  <w:num w:numId="13" w16cid:durableId="1004935470">
    <w:abstractNumId w:val="4"/>
  </w:num>
  <w:num w:numId="14" w16cid:durableId="125006363">
    <w:abstractNumId w:val="8"/>
  </w:num>
  <w:num w:numId="15" w16cid:durableId="2035186892">
    <w:abstractNumId w:val="1"/>
  </w:num>
  <w:num w:numId="16" w16cid:durableId="1194420606">
    <w:abstractNumId w:val="0"/>
  </w:num>
  <w:num w:numId="17" w16cid:durableId="1931698996">
    <w:abstractNumId w:val="3"/>
  </w:num>
  <w:num w:numId="18" w16cid:durableId="167252229">
    <w:abstractNumId w:val="2"/>
  </w:num>
  <w:num w:numId="19" w16cid:durableId="284049543">
    <w:abstractNumId w:val="33"/>
  </w:num>
  <w:num w:numId="20" w16cid:durableId="916016366">
    <w:abstractNumId w:val="25"/>
  </w:num>
  <w:num w:numId="21" w16cid:durableId="1263146071">
    <w:abstractNumId w:val="16"/>
  </w:num>
  <w:num w:numId="22" w16cid:durableId="1676031522">
    <w:abstractNumId w:val="41"/>
  </w:num>
  <w:num w:numId="23" w16cid:durableId="976492136">
    <w:abstractNumId w:val="27"/>
  </w:num>
  <w:num w:numId="24" w16cid:durableId="1145245908">
    <w:abstractNumId w:val="26"/>
  </w:num>
  <w:num w:numId="25" w16cid:durableId="1745562216">
    <w:abstractNumId w:val="43"/>
  </w:num>
  <w:num w:numId="26" w16cid:durableId="535655178">
    <w:abstractNumId w:val="12"/>
  </w:num>
  <w:num w:numId="27" w16cid:durableId="936979572">
    <w:abstractNumId w:val="42"/>
  </w:num>
  <w:num w:numId="28" w16cid:durableId="792360453">
    <w:abstractNumId w:val="28"/>
  </w:num>
  <w:num w:numId="29" w16cid:durableId="215749734">
    <w:abstractNumId w:val="13"/>
  </w:num>
  <w:num w:numId="30" w16cid:durableId="258802111">
    <w:abstractNumId w:val="18"/>
  </w:num>
  <w:num w:numId="31" w16cid:durableId="743449249">
    <w:abstractNumId w:val="32"/>
  </w:num>
  <w:num w:numId="32" w16cid:durableId="294527586">
    <w:abstractNumId w:val="31"/>
  </w:num>
  <w:num w:numId="33" w16cid:durableId="4603907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95539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0280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608992">
    <w:abstractNumId w:val="21"/>
  </w:num>
  <w:num w:numId="37" w16cid:durableId="1243484744">
    <w:abstractNumId w:val="37"/>
  </w:num>
  <w:num w:numId="38" w16cid:durableId="875125171">
    <w:abstractNumId w:val="15"/>
  </w:num>
  <w:num w:numId="39" w16cid:durableId="1799647012">
    <w:abstractNumId w:val="10"/>
  </w:num>
  <w:num w:numId="40" w16cid:durableId="554006448">
    <w:abstractNumId w:val="9"/>
    <w:lvlOverride w:ilvl="0">
      <w:startOverride w:val="1"/>
    </w:lvlOverride>
  </w:num>
  <w:num w:numId="41" w16cid:durableId="224487954">
    <w:abstractNumId w:val="11"/>
  </w:num>
  <w:num w:numId="42" w16cid:durableId="1242643307">
    <w:abstractNumId w:val="40"/>
  </w:num>
  <w:num w:numId="43" w16cid:durableId="804547781">
    <w:abstractNumId w:val="39"/>
  </w:num>
  <w:num w:numId="44" w16cid:durableId="1727411951">
    <w:abstractNumId w:val="23"/>
  </w:num>
  <w:num w:numId="45" w16cid:durableId="13238534">
    <w:abstractNumId w:val="38"/>
  </w:num>
  <w:num w:numId="46" w16cid:durableId="72314545">
    <w:abstractNumId w:val="14"/>
  </w:num>
  <w:num w:numId="47" w16cid:durableId="983119928">
    <w:abstractNumId w:val="36"/>
  </w:num>
  <w:num w:numId="48" w16cid:durableId="14561024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25"/>
    <w:rsid w:val="0000007F"/>
    <w:rsid w:val="000015EC"/>
    <w:rsid w:val="00001D85"/>
    <w:rsid w:val="00002CA3"/>
    <w:rsid w:val="00003EA5"/>
    <w:rsid w:val="000046B2"/>
    <w:rsid w:val="00004BF8"/>
    <w:rsid w:val="00005151"/>
    <w:rsid w:val="00005386"/>
    <w:rsid w:val="00006366"/>
    <w:rsid w:val="00006B21"/>
    <w:rsid w:val="00006D7D"/>
    <w:rsid w:val="00014455"/>
    <w:rsid w:val="00015617"/>
    <w:rsid w:val="000161C2"/>
    <w:rsid w:val="00016372"/>
    <w:rsid w:val="00016702"/>
    <w:rsid w:val="000167BB"/>
    <w:rsid w:val="00016C40"/>
    <w:rsid w:val="00016F33"/>
    <w:rsid w:val="00020EB3"/>
    <w:rsid w:val="000218E0"/>
    <w:rsid w:val="000221A5"/>
    <w:rsid w:val="00022F01"/>
    <w:rsid w:val="00023260"/>
    <w:rsid w:val="000235EB"/>
    <w:rsid w:val="0002476A"/>
    <w:rsid w:val="00026E08"/>
    <w:rsid w:val="000279CC"/>
    <w:rsid w:val="000308A7"/>
    <w:rsid w:val="0003218B"/>
    <w:rsid w:val="00032CD2"/>
    <w:rsid w:val="000338C2"/>
    <w:rsid w:val="000340CF"/>
    <w:rsid w:val="000348CC"/>
    <w:rsid w:val="00036BE4"/>
    <w:rsid w:val="00037B4D"/>
    <w:rsid w:val="00041C24"/>
    <w:rsid w:val="0004227C"/>
    <w:rsid w:val="000425F6"/>
    <w:rsid w:val="00042F4E"/>
    <w:rsid w:val="000430B8"/>
    <w:rsid w:val="000435E9"/>
    <w:rsid w:val="00044A92"/>
    <w:rsid w:val="0004520D"/>
    <w:rsid w:val="00045712"/>
    <w:rsid w:val="00045C4B"/>
    <w:rsid w:val="000465F1"/>
    <w:rsid w:val="00046642"/>
    <w:rsid w:val="0004697E"/>
    <w:rsid w:val="00047823"/>
    <w:rsid w:val="00047BA0"/>
    <w:rsid w:val="00047D4C"/>
    <w:rsid w:val="00050183"/>
    <w:rsid w:val="000508B3"/>
    <w:rsid w:val="00051839"/>
    <w:rsid w:val="00051C5D"/>
    <w:rsid w:val="00052E4F"/>
    <w:rsid w:val="00053206"/>
    <w:rsid w:val="0005355D"/>
    <w:rsid w:val="00055CA6"/>
    <w:rsid w:val="00056D94"/>
    <w:rsid w:val="00056DF8"/>
    <w:rsid w:val="00056EB2"/>
    <w:rsid w:val="000575BD"/>
    <w:rsid w:val="000577F5"/>
    <w:rsid w:val="000579B1"/>
    <w:rsid w:val="00061243"/>
    <w:rsid w:val="00061C6C"/>
    <w:rsid w:val="00061E3A"/>
    <w:rsid w:val="00064E15"/>
    <w:rsid w:val="00065B24"/>
    <w:rsid w:val="00067F0F"/>
    <w:rsid w:val="000707A3"/>
    <w:rsid w:val="000707DF"/>
    <w:rsid w:val="00070EEF"/>
    <w:rsid w:val="00072D97"/>
    <w:rsid w:val="00072EDA"/>
    <w:rsid w:val="000737E4"/>
    <w:rsid w:val="00073A29"/>
    <w:rsid w:val="00074864"/>
    <w:rsid w:val="00074CAB"/>
    <w:rsid w:val="000767D5"/>
    <w:rsid w:val="00077789"/>
    <w:rsid w:val="00081242"/>
    <w:rsid w:val="000817EC"/>
    <w:rsid w:val="00081D79"/>
    <w:rsid w:val="00081FA4"/>
    <w:rsid w:val="0008239B"/>
    <w:rsid w:val="00084553"/>
    <w:rsid w:val="00084F39"/>
    <w:rsid w:val="000851B5"/>
    <w:rsid w:val="0008582C"/>
    <w:rsid w:val="00085F76"/>
    <w:rsid w:val="00085F87"/>
    <w:rsid w:val="00087266"/>
    <w:rsid w:val="000919B3"/>
    <w:rsid w:val="000920DE"/>
    <w:rsid w:val="00094601"/>
    <w:rsid w:val="0009467E"/>
    <w:rsid w:val="00094F70"/>
    <w:rsid w:val="000959BA"/>
    <w:rsid w:val="00096AD4"/>
    <w:rsid w:val="00096C05"/>
    <w:rsid w:val="00097BB9"/>
    <w:rsid w:val="00097FAE"/>
    <w:rsid w:val="000A0974"/>
    <w:rsid w:val="000A17DE"/>
    <w:rsid w:val="000A1CD7"/>
    <w:rsid w:val="000A1DB8"/>
    <w:rsid w:val="000A2208"/>
    <w:rsid w:val="000A305F"/>
    <w:rsid w:val="000A32D0"/>
    <w:rsid w:val="000A45E9"/>
    <w:rsid w:val="000A467F"/>
    <w:rsid w:val="000A48AC"/>
    <w:rsid w:val="000A4E52"/>
    <w:rsid w:val="000A520E"/>
    <w:rsid w:val="000B04C0"/>
    <w:rsid w:val="000B0603"/>
    <w:rsid w:val="000B0A5D"/>
    <w:rsid w:val="000B1EC4"/>
    <w:rsid w:val="000B37AB"/>
    <w:rsid w:val="000B5B68"/>
    <w:rsid w:val="000B5E76"/>
    <w:rsid w:val="000B6858"/>
    <w:rsid w:val="000B6CC3"/>
    <w:rsid w:val="000B79AE"/>
    <w:rsid w:val="000C06F9"/>
    <w:rsid w:val="000C091F"/>
    <w:rsid w:val="000C11FA"/>
    <w:rsid w:val="000C1569"/>
    <w:rsid w:val="000C2E5B"/>
    <w:rsid w:val="000C39BB"/>
    <w:rsid w:val="000C3CC3"/>
    <w:rsid w:val="000C448E"/>
    <w:rsid w:val="000C4F1F"/>
    <w:rsid w:val="000C5608"/>
    <w:rsid w:val="000C5953"/>
    <w:rsid w:val="000C5BBF"/>
    <w:rsid w:val="000C5DA6"/>
    <w:rsid w:val="000C6101"/>
    <w:rsid w:val="000C61C0"/>
    <w:rsid w:val="000C7610"/>
    <w:rsid w:val="000C78E1"/>
    <w:rsid w:val="000C7F26"/>
    <w:rsid w:val="000D0931"/>
    <w:rsid w:val="000D138F"/>
    <w:rsid w:val="000D19E0"/>
    <w:rsid w:val="000D2811"/>
    <w:rsid w:val="000D38CB"/>
    <w:rsid w:val="000D3A8D"/>
    <w:rsid w:val="000D4419"/>
    <w:rsid w:val="000D539F"/>
    <w:rsid w:val="000D5A39"/>
    <w:rsid w:val="000D6023"/>
    <w:rsid w:val="000D608E"/>
    <w:rsid w:val="000D60BE"/>
    <w:rsid w:val="000D62E3"/>
    <w:rsid w:val="000D682F"/>
    <w:rsid w:val="000D767B"/>
    <w:rsid w:val="000D78FF"/>
    <w:rsid w:val="000D795D"/>
    <w:rsid w:val="000E01EA"/>
    <w:rsid w:val="000E0A06"/>
    <w:rsid w:val="000E130A"/>
    <w:rsid w:val="000E13AC"/>
    <w:rsid w:val="000E1712"/>
    <w:rsid w:val="000E17A5"/>
    <w:rsid w:val="000E1D53"/>
    <w:rsid w:val="000E2BAE"/>
    <w:rsid w:val="000E2BDE"/>
    <w:rsid w:val="000E3562"/>
    <w:rsid w:val="000E41A9"/>
    <w:rsid w:val="000E47CF"/>
    <w:rsid w:val="000E546A"/>
    <w:rsid w:val="000E5CEB"/>
    <w:rsid w:val="000E76F0"/>
    <w:rsid w:val="000E7E78"/>
    <w:rsid w:val="000F0486"/>
    <w:rsid w:val="000F04C2"/>
    <w:rsid w:val="000F057E"/>
    <w:rsid w:val="000F1A6B"/>
    <w:rsid w:val="000F1FD0"/>
    <w:rsid w:val="000F23C7"/>
    <w:rsid w:val="000F25CA"/>
    <w:rsid w:val="000F2984"/>
    <w:rsid w:val="000F3EC9"/>
    <w:rsid w:val="000F4731"/>
    <w:rsid w:val="000F4C41"/>
    <w:rsid w:val="000F55EE"/>
    <w:rsid w:val="000F6750"/>
    <w:rsid w:val="000F6FB3"/>
    <w:rsid w:val="000F7427"/>
    <w:rsid w:val="00100456"/>
    <w:rsid w:val="00100C30"/>
    <w:rsid w:val="00102557"/>
    <w:rsid w:val="001030F3"/>
    <w:rsid w:val="00103109"/>
    <w:rsid w:val="00103393"/>
    <w:rsid w:val="00104085"/>
    <w:rsid w:val="00104C01"/>
    <w:rsid w:val="00104EA8"/>
    <w:rsid w:val="0010584F"/>
    <w:rsid w:val="00105BB5"/>
    <w:rsid w:val="00105ECE"/>
    <w:rsid w:val="00106386"/>
    <w:rsid w:val="001101F8"/>
    <w:rsid w:val="00110E96"/>
    <w:rsid w:val="00110EE2"/>
    <w:rsid w:val="00111A1A"/>
    <w:rsid w:val="00111E0F"/>
    <w:rsid w:val="00111EE2"/>
    <w:rsid w:val="00113F4F"/>
    <w:rsid w:val="001140F9"/>
    <w:rsid w:val="0011464F"/>
    <w:rsid w:val="00114C80"/>
    <w:rsid w:val="001159A0"/>
    <w:rsid w:val="00116A48"/>
    <w:rsid w:val="00117964"/>
    <w:rsid w:val="00123F4E"/>
    <w:rsid w:val="00124995"/>
    <w:rsid w:val="001255DA"/>
    <w:rsid w:val="00126491"/>
    <w:rsid w:val="00130C0B"/>
    <w:rsid w:val="00131340"/>
    <w:rsid w:val="00131DF7"/>
    <w:rsid w:val="00133B52"/>
    <w:rsid w:val="00133CC1"/>
    <w:rsid w:val="00134774"/>
    <w:rsid w:val="00135D06"/>
    <w:rsid w:val="001367BC"/>
    <w:rsid w:val="00136A7F"/>
    <w:rsid w:val="00136CE2"/>
    <w:rsid w:val="00140015"/>
    <w:rsid w:val="00140105"/>
    <w:rsid w:val="0014025D"/>
    <w:rsid w:val="00140274"/>
    <w:rsid w:val="001403AC"/>
    <w:rsid w:val="00140E62"/>
    <w:rsid w:val="00142D41"/>
    <w:rsid w:val="001437AD"/>
    <w:rsid w:val="00143845"/>
    <w:rsid w:val="001472B3"/>
    <w:rsid w:val="00151263"/>
    <w:rsid w:val="00151739"/>
    <w:rsid w:val="00151A77"/>
    <w:rsid w:val="0015239E"/>
    <w:rsid w:val="0015263C"/>
    <w:rsid w:val="00152FED"/>
    <w:rsid w:val="001530BF"/>
    <w:rsid w:val="001533F8"/>
    <w:rsid w:val="00154081"/>
    <w:rsid w:val="00155AC6"/>
    <w:rsid w:val="001578C0"/>
    <w:rsid w:val="00157944"/>
    <w:rsid w:val="00160572"/>
    <w:rsid w:val="00160FCC"/>
    <w:rsid w:val="00161779"/>
    <w:rsid w:val="00161FB4"/>
    <w:rsid w:val="001620F0"/>
    <w:rsid w:val="0016266F"/>
    <w:rsid w:val="00162861"/>
    <w:rsid w:val="00162A8D"/>
    <w:rsid w:val="001632C7"/>
    <w:rsid w:val="00164EFB"/>
    <w:rsid w:val="0016516F"/>
    <w:rsid w:val="00165E3C"/>
    <w:rsid w:val="001660F4"/>
    <w:rsid w:val="00166130"/>
    <w:rsid w:val="001661AA"/>
    <w:rsid w:val="00166FBC"/>
    <w:rsid w:val="00167B2F"/>
    <w:rsid w:val="00170CD5"/>
    <w:rsid w:val="00171941"/>
    <w:rsid w:val="00172057"/>
    <w:rsid w:val="00172B2B"/>
    <w:rsid w:val="00173FB5"/>
    <w:rsid w:val="00174C7C"/>
    <w:rsid w:val="00174D9A"/>
    <w:rsid w:val="00177247"/>
    <w:rsid w:val="0018070F"/>
    <w:rsid w:val="00180734"/>
    <w:rsid w:val="00180E43"/>
    <w:rsid w:val="001827C7"/>
    <w:rsid w:val="0018377A"/>
    <w:rsid w:val="001841EB"/>
    <w:rsid w:val="00184F08"/>
    <w:rsid w:val="001854DB"/>
    <w:rsid w:val="001867B4"/>
    <w:rsid w:val="00187577"/>
    <w:rsid w:val="00187940"/>
    <w:rsid w:val="001910F8"/>
    <w:rsid w:val="00191C49"/>
    <w:rsid w:val="0019278F"/>
    <w:rsid w:val="00192F0E"/>
    <w:rsid w:val="00193D71"/>
    <w:rsid w:val="00194313"/>
    <w:rsid w:val="00195CE9"/>
    <w:rsid w:val="00195EDE"/>
    <w:rsid w:val="001961A2"/>
    <w:rsid w:val="001964CF"/>
    <w:rsid w:val="001970AD"/>
    <w:rsid w:val="001971D3"/>
    <w:rsid w:val="0019721A"/>
    <w:rsid w:val="00197A6A"/>
    <w:rsid w:val="001A218A"/>
    <w:rsid w:val="001A2A86"/>
    <w:rsid w:val="001A2ACA"/>
    <w:rsid w:val="001A393F"/>
    <w:rsid w:val="001A3976"/>
    <w:rsid w:val="001A3C07"/>
    <w:rsid w:val="001A4B82"/>
    <w:rsid w:val="001A523B"/>
    <w:rsid w:val="001A5928"/>
    <w:rsid w:val="001A5AF2"/>
    <w:rsid w:val="001A7E95"/>
    <w:rsid w:val="001B0353"/>
    <w:rsid w:val="001B0868"/>
    <w:rsid w:val="001B131A"/>
    <w:rsid w:val="001B1BF4"/>
    <w:rsid w:val="001B2318"/>
    <w:rsid w:val="001B44C5"/>
    <w:rsid w:val="001B50AC"/>
    <w:rsid w:val="001B5882"/>
    <w:rsid w:val="001B6019"/>
    <w:rsid w:val="001B6179"/>
    <w:rsid w:val="001B659A"/>
    <w:rsid w:val="001B72AC"/>
    <w:rsid w:val="001B7865"/>
    <w:rsid w:val="001B7F17"/>
    <w:rsid w:val="001C1F62"/>
    <w:rsid w:val="001C1F8B"/>
    <w:rsid w:val="001C20C1"/>
    <w:rsid w:val="001C5144"/>
    <w:rsid w:val="001C7B2A"/>
    <w:rsid w:val="001C7CB6"/>
    <w:rsid w:val="001C7CD1"/>
    <w:rsid w:val="001D0866"/>
    <w:rsid w:val="001D3BCD"/>
    <w:rsid w:val="001D3CA1"/>
    <w:rsid w:val="001D409F"/>
    <w:rsid w:val="001D42F9"/>
    <w:rsid w:val="001D630F"/>
    <w:rsid w:val="001D79E1"/>
    <w:rsid w:val="001E09C2"/>
    <w:rsid w:val="001E0ED9"/>
    <w:rsid w:val="001E1068"/>
    <w:rsid w:val="001E1751"/>
    <w:rsid w:val="001E2DDC"/>
    <w:rsid w:val="001E331E"/>
    <w:rsid w:val="001E3E5E"/>
    <w:rsid w:val="001E501F"/>
    <w:rsid w:val="001E548A"/>
    <w:rsid w:val="001E5676"/>
    <w:rsid w:val="001E58C4"/>
    <w:rsid w:val="001E59E6"/>
    <w:rsid w:val="001E606C"/>
    <w:rsid w:val="001E6758"/>
    <w:rsid w:val="001E6E88"/>
    <w:rsid w:val="001F000A"/>
    <w:rsid w:val="001F030C"/>
    <w:rsid w:val="001F0372"/>
    <w:rsid w:val="001F2BBB"/>
    <w:rsid w:val="001F2C40"/>
    <w:rsid w:val="001F3E93"/>
    <w:rsid w:val="001F43B8"/>
    <w:rsid w:val="001F485D"/>
    <w:rsid w:val="001F50FB"/>
    <w:rsid w:val="001F52FD"/>
    <w:rsid w:val="001F62CC"/>
    <w:rsid w:val="001F6E02"/>
    <w:rsid w:val="00200677"/>
    <w:rsid w:val="00200DF4"/>
    <w:rsid w:val="00200E82"/>
    <w:rsid w:val="002012F7"/>
    <w:rsid w:val="00201C62"/>
    <w:rsid w:val="002026A5"/>
    <w:rsid w:val="002027F6"/>
    <w:rsid w:val="00202AEC"/>
    <w:rsid w:val="00203332"/>
    <w:rsid w:val="002034B7"/>
    <w:rsid w:val="00204399"/>
    <w:rsid w:val="0020583B"/>
    <w:rsid w:val="00205853"/>
    <w:rsid w:val="00205AFF"/>
    <w:rsid w:val="00206857"/>
    <w:rsid w:val="002068EB"/>
    <w:rsid w:val="0020774B"/>
    <w:rsid w:val="00207BC3"/>
    <w:rsid w:val="00207E1A"/>
    <w:rsid w:val="002109BA"/>
    <w:rsid w:val="00210B90"/>
    <w:rsid w:val="00212750"/>
    <w:rsid w:val="00212C67"/>
    <w:rsid w:val="00212C9F"/>
    <w:rsid w:val="00212EEB"/>
    <w:rsid w:val="00214BE7"/>
    <w:rsid w:val="00214DCC"/>
    <w:rsid w:val="00215B49"/>
    <w:rsid w:val="00215D70"/>
    <w:rsid w:val="00215EE9"/>
    <w:rsid w:val="00216A4B"/>
    <w:rsid w:val="00217111"/>
    <w:rsid w:val="002179CE"/>
    <w:rsid w:val="0022050C"/>
    <w:rsid w:val="00220C2C"/>
    <w:rsid w:val="00221BF9"/>
    <w:rsid w:val="00222281"/>
    <w:rsid w:val="00222FCC"/>
    <w:rsid w:val="00224F14"/>
    <w:rsid w:val="0022745C"/>
    <w:rsid w:val="00230690"/>
    <w:rsid w:val="00231ED1"/>
    <w:rsid w:val="00232A4F"/>
    <w:rsid w:val="00232C41"/>
    <w:rsid w:val="00233116"/>
    <w:rsid w:val="0023353A"/>
    <w:rsid w:val="0023480F"/>
    <w:rsid w:val="0023482F"/>
    <w:rsid w:val="002353F6"/>
    <w:rsid w:val="00237A74"/>
    <w:rsid w:val="002407C4"/>
    <w:rsid w:val="00240BCF"/>
    <w:rsid w:val="00240E80"/>
    <w:rsid w:val="00241063"/>
    <w:rsid w:val="00241523"/>
    <w:rsid w:val="00241A9D"/>
    <w:rsid w:val="00241F75"/>
    <w:rsid w:val="00242194"/>
    <w:rsid w:val="00242624"/>
    <w:rsid w:val="002431F3"/>
    <w:rsid w:val="00243E7A"/>
    <w:rsid w:val="00244388"/>
    <w:rsid w:val="002445E3"/>
    <w:rsid w:val="0024460D"/>
    <w:rsid w:val="0024557E"/>
    <w:rsid w:val="002463DE"/>
    <w:rsid w:val="002465A5"/>
    <w:rsid w:val="00246FAB"/>
    <w:rsid w:val="002471FD"/>
    <w:rsid w:val="00247723"/>
    <w:rsid w:val="00247A70"/>
    <w:rsid w:val="00250B06"/>
    <w:rsid w:val="00250F8E"/>
    <w:rsid w:val="00251B4E"/>
    <w:rsid w:val="00252576"/>
    <w:rsid w:val="00253BED"/>
    <w:rsid w:val="0025474C"/>
    <w:rsid w:val="00254B31"/>
    <w:rsid w:val="00256A4A"/>
    <w:rsid w:val="00257B6D"/>
    <w:rsid w:val="00260E9F"/>
    <w:rsid w:val="0026130F"/>
    <w:rsid w:val="00262AED"/>
    <w:rsid w:val="002632C5"/>
    <w:rsid w:val="002632EA"/>
    <w:rsid w:val="002638F8"/>
    <w:rsid w:val="00264E80"/>
    <w:rsid w:val="0026602E"/>
    <w:rsid w:val="00266637"/>
    <w:rsid w:val="0026778A"/>
    <w:rsid w:val="00267A91"/>
    <w:rsid w:val="00267CEC"/>
    <w:rsid w:val="00267E30"/>
    <w:rsid w:val="00267F73"/>
    <w:rsid w:val="00271663"/>
    <w:rsid w:val="00272911"/>
    <w:rsid w:val="00273866"/>
    <w:rsid w:val="00274D48"/>
    <w:rsid w:val="002765E9"/>
    <w:rsid w:val="00276A17"/>
    <w:rsid w:val="00276B7F"/>
    <w:rsid w:val="00276C6D"/>
    <w:rsid w:val="002771AA"/>
    <w:rsid w:val="00277285"/>
    <w:rsid w:val="00277E69"/>
    <w:rsid w:val="00277F8A"/>
    <w:rsid w:val="002803E9"/>
    <w:rsid w:val="00280EA7"/>
    <w:rsid w:val="002810D3"/>
    <w:rsid w:val="0028137F"/>
    <w:rsid w:val="0028145B"/>
    <w:rsid w:val="00281C0E"/>
    <w:rsid w:val="00281D29"/>
    <w:rsid w:val="00281FD4"/>
    <w:rsid w:val="00282439"/>
    <w:rsid w:val="00282612"/>
    <w:rsid w:val="00284B12"/>
    <w:rsid w:val="0028506A"/>
    <w:rsid w:val="002850B0"/>
    <w:rsid w:val="002852FE"/>
    <w:rsid w:val="0028582F"/>
    <w:rsid w:val="002863D7"/>
    <w:rsid w:val="00286A83"/>
    <w:rsid w:val="00286E35"/>
    <w:rsid w:val="002873B4"/>
    <w:rsid w:val="002875FF"/>
    <w:rsid w:val="00287A0D"/>
    <w:rsid w:val="0029021E"/>
    <w:rsid w:val="00291240"/>
    <w:rsid w:val="00292AB5"/>
    <w:rsid w:val="0029421D"/>
    <w:rsid w:val="00294E92"/>
    <w:rsid w:val="00295A88"/>
    <w:rsid w:val="00295ACD"/>
    <w:rsid w:val="00296189"/>
    <w:rsid w:val="002962CA"/>
    <w:rsid w:val="00296405"/>
    <w:rsid w:val="00296580"/>
    <w:rsid w:val="002967C1"/>
    <w:rsid w:val="0029737F"/>
    <w:rsid w:val="00297EC2"/>
    <w:rsid w:val="002A05BA"/>
    <w:rsid w:val="002A0622"/>
    <w:rsid w:val="002A0A2B"/>
    <w:rsid w:val="002A0B44"/>
    <w:rsid w:val="002A183E"/>
    <w:rsid w:val="002A25CE"/>
    <w:rsid w:val="002A3565"/>
    <w:rsid w:val="002A3CB9"/>
    <w:rsid w:val="002A43C2"/>
    <w:rsid w:val="002A480A"/>
    <w:rsid w:val="002A5CA5"/>
    <w:rsid w:val="002A5E51"/>
    <w:rsid w:val="002A72B6"/>
    <w:rsid w:val="002A76E9"/>
    <w:rsid w:val="002B039C"/>
    <w:rsid w:val="002B0EB9"/>
    <w:rsid w:val="002B14B7"/>
    <w:rsid w:val="002B14E6"/>
    <w:rsid w:val="002B1B65"/>
    <w:rsid w:val="002B1DD3"/>
    <w:rsid w:val="002B2485"/>
    <w:rsid w:val="002B2526"/>
    <w:rsid w:val="002B2D8F"/>
    <w:rsid w:val="002B3014"/>
    <w:rsid w:val="002B4D24"/>
    <w:rsid w:val="002B62E1"/>
    <w:rsid w:val="002B6A4C"/>
    <w:rsid w:val="002B6CA1"/>
    <w:rsid w:val="002B73B8"/>
    <w:rsid w:val="002B7629"/>
    <w:rsid w:val="002B7725"/>
    <w:rsid w:val="002C02DB"/>
    <w:rsid w:val="002C0A1A"/>
    <w:rsid w:val="002C1866"/>
    <w:rsid w:val="002C3742"/>
    <w:rsid w:val="002C3A63"/>
    <w:rsid w:val="002C442F"/>
    <w:rsid w:val="002C4A53"/>
    <w:rsid w:val="002C5D36"/>
    <w:rsid w:val="002C64D4"/>
    <w:rsid w:val="002C7526"/>
    <w:rsid w:val="002C7742"/>
    <w:rsid w:val="002C7D4B"/>
    <w:rsid w:val="002D0CDA"/>
    <w:rsid w:val="002D1031"/>
    <w:rsid w:val="002D11C5"/>
    <w:rsid w:val="002D1C98"/>
    <w:rsid w:val="002D20DD"/>
    <w:rsid w:val="002D2D8F"/>
    <w:rsid w:val="002D3834"/>
    <w:rsid w:val="002D3B24"/>
    <w:rsid w:val="002D473E"/>
    <w:rsid w:val="002D477D"/>
    <w:rsid w:val="002D4DAF"/>
    <w:rsid w:val="002D6071"/>
    <w:rsid w:val="002D62D0"/>
    <w:rsid w:val="002D632C"/>
    <w:rsid w:val="002E049A"/>
    <w:rsid w:val="002E097D"/>
    <w:rsid w:val="002E107B"/>
    <w:rsid w:val="002E1415"/>
    <w:rsid w:val="002E16D8"/>
    <w:rsid w:val="002E1E01"/>
    <w:rsid w:val="002E24E5"/>
    <w:rsid w:val="002E2720"/>
    <w:rsid w:val="002E3B41"/>
    <w:rsid w:val="002E419C"/>
    <w:rsid w:val="002E4627"/>
    <w:rsid w:val="002E4FFB"/>
    <w:rsid w:val="002E59A2"/>
    <w:rsid w:val="002E5A1B"/>
    <w:rsid w:val="002E7512"/>
    <w:rsid w:val="002F04C1"/>
    <w:rsid w:val="002F1042"/>
    <w:rsid w:val="002F2566"/>
    <w:rsid w:val="002F4644"/>
    <w:rsid w:val="002F4CE1"/>
    <w:rsid w:val="002F4FB6"/>
    <w:rsid w:val="002F5C60"/>
    <w:rsid w:val="002F5E96"/>
    <w:rsid w:val="002F66A3"/>
    <w:rsid w:val="002F6718"/>
    <w:rsid w:val="0030053D"/>
    <w:rsid w:val="00300F22"/>
    <w:rsid w:val="00300F5B"/>
    <w:rsid w:val="00301006"/>
    <w:rsid w:val="003019AA"/>
    <w:rsid w:val="00301C96"/>
    <w:rsid w:val="00302200"/>
    <w:rsid w:val="00302FD5"/>
    <w:rsid w:val="00303564"/>
    <w:rsid w:val="003037DC"/>
    <w:rsid w:val="0030381A"/>
    <w:rsid w:val="00304A37"/>
    <w:rsid w:val="00304E2E"/>
    <w:rsid w:val="00304F1C"/>
    <w:rsid w:val="003067E2"/>
    <w:rsid w:val="00306DE0"/>
    <w:rsid w:val="00307A36"/>
    <w:rsid w:val="00307ED0"/>
    <w:rsid w:val="0031040E"/>
    <w:rsid w:val="00310481"/>
    <w:rsid w:val="00310ED4"/>
    <w:rsid w:val="00311069"/>
    <w:rsid w:val="00311B91"/>
    <w:rsid w:val="00312301"/>
    <w:rsid w:val="003127F9"/>
    <w:rsid w:val="00312CC9"/>
    <w:rsid w:val="003131FE"/>
    <w:rsid w:val="00314883"/>
    <w:rsid w:val="0031492A"/>
    <w:rsid w:val="003162AC"/>
    <w:rsid w:val="00316C1A"/>
    <w:rsid w:val="003171E9"/>
    <w:rsid w:val="003201CC"/>
    <w:rsid w:val="0032119C"/>
    <w:rsid w:val="00323C73"/>
    <w:rsid w:val="00323FCA"/>
    <w:rsid w:val="00324229"/>
    <w:rsid w:val="00324EB5"/>
    <w:rsid w:val="0032515F"/>
    <w:rsid w:val="00325A74"/>
    <w:rsid w:val="003275BE"/>
    <w:rsid w:val="0033111D"/>
    <w:rsid w:val="00331141"/>
    <w:rsid w:val="003317B8"/>
    <w:rsid w:val="00331D3B"/>
    <w:rsid w:val="00331EAA"/>
    <w:rsid w:val="00333EAF"/>
    <w:rsid w:val="00335F85"/>
    <w:rsid w:val="00335FA2"/>
    <w:rsid w:val="00337399"/>
    <w:rsid w:val="00341316"/>
    <w:rsid w:val="00341DAA"/>
    <w:rsid w:val="003423F4"/>
    <w:rsid w:val="00344140"/>
    <w:rsid w:val="00344758"/>
    <w:rsid w:val="00345F7D"/>
    <w:rsid w:val="00346F42"/>
    <w:rsid w:val="00347142"/>
    <w:rsid w:val="003506A6"/>
    <w:rsid w:val="00350D1B"/>
    <w:rsid w:val="00351568"/>
    <w:rsid w:val="0035178A"/>
    <w:rsid w:val="00352210"/>
    <w:rsid w:val="00352CE4"/>
    <w:rsid w:val="003536C1"/>
    <w:rsid w:val="00353788"/>
    <w:rsid w:val="003537DA"/>
    <w:rsid w:val="00354A08"/>
    <w:rsid w:val="00356324"/>
    <w:rsid w:val="0035646C"/>
    <w:rsid w:val="003565A8"/>
    <w:rsid w:val="003566EA"/>
    <w:rsid w:val="00356F98"/>
    <w:rsid w:val="00356FB6"/>
    <w:rsid w:val="00357171"/>
    <w:rsid w:val="003571C6"/>
    <w:rsid w:val="00357E8D"/>
    <w:rsid w:val="0036033E"/>
    <w:rsid w:val="00360600"/>
    <w:rsid w:val="0036092A"/>
    <w:rsid w:val="00360FF8"/>
    <w:rsid w:val="0036130B"/>
    <w:rsid w:val="00364642"/>
    <w:rsid w:val="00364C48"/>
    <w:rsid w:val="003652E7"/>
    <w:rsid w:val="00365717"/>
    <w:rsid w:val="00366DC8"/>
    <w:rsid w:val="00366E1F"/>
    <w:rsid w:val="003679CD"/>
    <w:rsid w:val="00371B06"/>
    <w:rsid w:val="00371D7E"/>
    <w:rsid w:val="00372C79"/>
    <w:rsid w:val="00372EFA"/>
    <w:rsid w:val="003733E4"/>
    <w:rsid w:val="00376595"/>
    <w:rsid w:val="00376774"/>
    <w:rsid w:val="00377068"/>
    <w:rsid w:val="003775A4"/>
    <w:rsid w:val="00377E29"/>
    <w:rsid w:val="00380415"/>
    <w:rsid w:val="00380622"/>
    <w:rsid w:val="00380E45"/>
    <w:rsid w:val="00381A96"/>
    <w:rsid w:val="0038589F"/>
    <w:rsid w:val="00386977"/>
    <w:rsid w:val="00386A19"/>
    <w:rsid w:val="00386AFC"/>
    <w:rsid w:val="00386D95"/>
    <w:rsid w:val="00390B63"/>
    <w:rsid w:val="00390EB4"/>
    <w:rsid w:val="00392262"/>
    <w:rsid w:val="0039444A"/>
    <w:rsid w:val="00395DF8"/>
    <w:rsid w:val="00395EE0"/>
    <w:rsid w:val="003960F3"/>
    <w:rsid w:val="00396EEF"/>
    <w:rsid w:val="00397D33"/>
    <w:rsid w:val="003A09AC"/>
    <w:rsid w:val="003A0C01"/>
    <w:rsid w:val="003A168E"/>
    <w:rsid w:val="003A2F58"/>
    <w:rsid w:val="003A32B8"/>
    <w:rsid w:val="003A3CD8"/>
    <w:rsid w:val="003A48B7"/>
    <w:rsid w:val="003A5A3F"/>
    <w:rsid w:val="003A5CAF"/>
    <w:rsid w:val="003A5EBF"/>
    <w:rsid w:val="003A6D1B"/>
    <w:rsid w:val="003A73A1"/>
    <w:rsid w:val="003B05FA"/>
    <w:rsid w:val="003B0FF7"/>
    <w:rsid w:val="003B1DAE"/>
    <w:rsid w:val="003B28E9"/>
    <w:rsid w:val="003B2F7E"/>
    <w:rsid w:val="003B328F"/>
    <w:rsid w:val="003B4D14"/>
    <w:rsid w:val="003B4F1B"/>
    <w:rsid w:val="003B6B10"/>
    <w:rsid w:val="003B6FDF"/>
    <w:rsid w:val="003C0492"/>
    <w:rsid w:val="003C0A1F"/>
    <w:rsid w:val="003C12B2"/>
    <w:rsid w:val="003C2984"/>
    <w:rsid w:val="003C2C82"/>
    <w:rsid w:val="003C351C"/>
    <w:rsid w:val="003C4013"/>
    <w:rsid w:val="003C4CD6"/>
    <w:rsid w:val="003C4E2D"/>
    <w:rsid w:val="003C50F4"/>
    <w:rsid w:val="003C7891"/>
    <w:rsid w:val="003C791D"/>
    <w:rsid w:val="003D0275"/>
    <w:rsid w:val="003D0B48"/>
    <w:rsid w:val="003D2E8C"/>
    <w:rsid w:val="003D3539"/>
    <w:rsid w:val="003D3D87"/>
    <w:rsid w:val="003D45F6"/>
    <w:rsid w:val="003D5A0C"/>
    <w:rsid w:val="003D6B96"/>
    <w:rsid w:val="003D7EF9"/>
    <w:rsid w:val="003D7FDA"/>
    <w:rsid w:val="003E09BC"/>
    <w:rsid w:val="003E0AF9"/>
    <w:rsid w:val="003E0FE0"/>
    <w:rsid w:val="003E18AD"/>
    <w:rsid w:val="003E1D9E"/>
    <w:rsid w:val="003E1F8B"/>
    <w:rsid w:val="003E30E3"/>
    <w:rsid w:val="003E4757"/>
    <w:rsid w:val="003E5DEF"/>
    <w:rsid w:val="003E6765"/>
    <w:rsid w:val="003E7171"/>
    <w:rsid w:val="003E7317"/>
    <w:rsid w:val="003E73A2"/>
    <w:rsid w:val="003E7AC2"/>
    <w:rsid w:val="003F0718"/>
    <w:rsid w:val="003F1F40"/>
    <w:rsid w:val="003F21E4"/>
    <w:rsid w:val="003F3142"/>
    <w:rsid w:val="003F4F6E"/>
    <w:rsid w:val="003F603C"/>
    <w:rsid w:val="0040009E"/>
    <w:rsid w:val="0040024E"/>
    <w:rsid w:val="004005C9"/>
    <w:rsid w:val="00402622"/>
    <w:rsid w:val="004036F3"/>
    <w:rsid w:val="00403DB7"/>
    <w:rsid w:val="004047B1"/>
    <w:rsid w:val="0040497E"/>
    <w:rsid w:val="00406C1C"/>
    <w:rsid w:val="00410CB6"/>
    <w:rsid w:val="00410D61"/>
    <w:rsid w:val="00411968"/>
    <w:rsid w:val="004138C1"/>
    <w:rsid w:val="004143E0"/>
    <w:rsid w:val="00415565"/>
    <w:rsid w:val="00417B82"/>
    <w:rsid w:val="00417C98"/>
    <w:rsid w:val="00417D6C"/>
    <w:rsid w:val="00420043"/>
    <w:rsid w:val="0042061E"/>
    <w:rsid w:val="00420CCA"/>
    <w:rsid w:val="00421047"/>
    <w:rsid w:val="00421BCF"/>
    <w:rsid w:val="00422277"/>
    <w:rsid w:val="00422417"/>
    <w:rsid w:val="004226FF"/>
    <w:rsid w:val="00424233"/>
    <w:rsid w:val="00424515"/>
    <w:rsid w:val="00424AFD"/>
    <w:rsid w:val="004265BB"/>
    <w:rsid w:val="0042719A"/>
    <w:rsid w:val="004276EE"/>
    <w:rsid w:val="00427B5F"/>
    <w:rsid w:val="0043161B"/>
    <w:rsid w:val="00431EA2"/>
    <w:rsid w:val="004326C4"/>
    <w:rsid w:val="004331B2"/>
    <w:rsid w:val="00433AF0"/>
    <w:rsid w:val="0043406F"/>
    <w:rsid w:val="00434465"/>
    <w:rsid w:val="00434D7A"/>
    <w:rsid w:val="004354F6"/>
    <w:rsid w:val="004358EB"/>
    <w:rsid w:val="00435EA6"/>
    <w:rsid w:val="00435F26"/>
    <w:rsid w:val="0043666A"/>
    <w:rsid w:val="004367AE"/>
    <w:rsid w:val="004374C1"/>
    <w:rsid w:val="0043765A"/>
    <w:rsid w:val="004413AD"/>
    <w:rsid w:val="00442278"/>
    <w:rsid w:val="00442F2E"/>
    <w:rsid w:val="00443A36"/>
    <w:rsid w:val="00445071"/>
    <w:rsid w:val="00445CB5"/>
    <w:rsid w:val="00446ADA"/>
    <w:rsid w:val="00447417"/>
    <w:rsid w:val="004504F4"/>
    <w:rsid w:val="004509E8"/>
    <w:rsid w:val="00451CE4"/>
    <w:rsid w:val="00451D67"/>
    <w:rsid w:val="00451DBA"/>
    <w:rsid w:val="00451DC6"/>
    <w:rsid w:val="004526AA"/>
    <w:rsid w:val="00453C74"/>
    <w:rsid w:val="00455F94"/>
    <w:rsid w:val="00456B00"/>
    <w:rsid w:val="0045753B"/>
    <w:rsid w:val="004578AA"/>
    <w:rsid w:val="00460EE0"/>
    <w:rsid w:val="0046291A"/>
    <w:rsid w:val="004629D5"/>
    <w:rsid w:val="00462E76"/>
    <w:rsid w:val="00463677"/>
    <w:rsid w:val="00464CC5"/>
    <w:rsid w:val="00465282"/>
    <w:rsid w:val="004664C0"/>
    <w:rsid w:val="004664D2"/>
    <w:rsid w:val="00466849"/>
    <w:rsid w:val="004712FB"/>
    <w:rsid w:val="00471BB7"/>
    <w:rsid w:val="00472EFF"/>
    <w:rsid w:val="00474063"/>
    <w:rsid w:val="00474807"/>
    <w:rsid w:val="004748A8"/>
    <w:rsid w:val="00475ED7"/>
    <w:rsid w:val="004763FD"/>
    <w:rsid w:val="00476793"/>
    <w:rsid w:val="004771AA"/>
    <w:rsid w:val="004772A9"/>
    <w:rsid w:val="004779E3"/>
    <w:rsid w:val="00477FC3"/>
    <w:rsid w:val="004803DB"/>
    <w:rsid w:val="00480DB5"/>
    <w:rsid w:val="00481A25"/>
    <w:rsid w:val="00481B2A"/>
    <w:rsid w:val="00482091"/>
    <w:rsid w:val="004831F6"/>
    <w:rsid w:val="004832D2"/>
    <w:rsid w:val="00483EFB"/>
    <w:rsid w:val="004849FE"/>
    <w:rsid w:val="0048619F"/>
    <w:rsid w:val="0048656D"/>
    <w:rsid w:val="00486637"/>
    <w:rsid w:val="00486E3F"/>
    <w:rsid w:val="00487880"/>
    <w:rsid w:val="00490228"/>
    <w:rsid w:val="00491C92"/>
    <w:rsid w:val="00492615"/>
    <w:rsid w:val="00492AD3"/>
    <w:rsid w:val="00493014"/>
    <w:rsid w:val="004931B0"/>
    <w:rsid w:val="00493E08"/>
    <w:rsid w:val="004960F2"/>
    <w:rsid w:val="004A05C2"/>
    <w:rsid w:val="004A0F50"/>
    <w:rsid w:val="004A187B"/>
    <w:rsid w:val="004A2187"/>
    <w:rsid w:val="004A2494"/>
    <w:rsid w:val="004A25C9"/>
    <w:rsid w:val="004A29F0"/>
    <w:rsid w:val="004A2D3C"/>
    <w:rsid w:val="004A346B"/>
    <w:rsid w:val="004A3964"/>
    <w:rsid w:val="004A39AC"/>
    <w:rsid w:val="004A3BDD"/>
    <w:rsid w:val="004A3FEB"/>
    <w:rsid w:val="004A4AA2"/>
    <w:rsid w:val="004A7DE0"/>
    <w:rsid w:val="004B026A"/>
    <w:rsid w:val="004B0460"/>
    <w:rsid w:val="004B0E4B"/>
    <w:rsid w:val="004B1BF4"/>
    <w:rsid w:val="004B1F57"/>
    <w:rsid w:val="004B27F4"/>
    <w:rsid w:val="004B3899"/>
    <w:rsid w:val="004B5E6D"/>
    <w:rsid w:val="004B6D52"/>
    <w:rsid w:val="004B72AE"/>
    <w:rsid w:val="004B73F7"/>
    <w:rsid w:val="004B79F6"/>
    <w:rsid w:val="004C280E"/>
    <w:rsid w:val="004C39C0"/>
    <w:rsid w:val="004C3B2F"/>
    <w:rsid w:val="004C5050"/>
    <w:rsid w:val="004C5096"/>
    <w:rsid w:val="004C607E"/>
    <w:rsid w:val="004C66EB"/>
    <w:rsid w:val="004C7412"/>
    <w:rsid w:val="004D04BF"/>
    <w:rsid w:val="004D07AA"/>
    <w:rsid w:val="004D0888"/>
    <w:rsid w:val="004D0D14"/>
    <w:rsid w:val="004D0FEB"/>
    <w:rsid w:val="004D318C"/>
    <w:rsid w:val="004D39F5"/>
    <w:rsid w:val="004D3C2E"/>
    <w:rsid w:val="004D458D"/>
    <w:rsid w:val="004D4EA5"/>
    <w:rsid w:val="004D4F9F"/>
    <w:rsid w:val="004D5560"/>
    <w:rsid w:val="004D5858"/>
    <w:rsid w:val="004D63B9"/>
    <w:rsid w:val="004D69D0"/>
    <w:rsid w:val="004D77FC"/>
    <w:rsid w:val="004D7E6A"/>
    <w:rsid w:val="004E0355"/>
    <w:rsid w:val="004E060A"/>
    <w:rsid w:val="004E0649"/>
    <w:rsid w:val="004E0DFF"/>
    <w:rsid w:val="004E0E1F"/>
    <w:rsid w:val="004E2845"/>
    <w:rsid w:val="004E2B62"/>
    <w:rsid w:val="004E356B"/>
    <w:rsid w:val="004E391A"/>
    <w:rsid w:val="004E39F4"/>
    <w:rsid w:val="004E3DA8"/>
    <w:rsid w:val="004E4C6A"/>
    <w:rsid w:val="004E522C"/>
    <w:rsid w:val="004E6DE8"/>
    <w:rsid w:val="004E7237"/>
    <w:rsid w:val="004F00B7"/>
    <w:rsid w:val="004F18DF"/>
    <w:rsid w:val="004F1C7C"/>
    <w:rsid w:val="004F213B"/>
    <w:rsid w:val="004F3FC6"/>
    <w:rsid w:val="004F54D3"/>
    <w:rsid w:val="004F65AD"/>
    <w:rsid w:val="004F7300"/>
    <w:rsid w:val="004F7315"/>
    <w:rsid w:val="004F7902"/>
    <w:rsid w:val="004F7EF0"/>
    <w:rsid w:val="004F7FBF"/>
    <w:rsid w:val="0050002B"/>
    <w:rsid w:val="0050003F"/>
    <w:rsid w:val="00500A2F"/>
    <w:rsid w:val="00500FC3"/>
    <w:rsid w:val="0050102F"/>
    <w:rsid w:val="00501479"/>
    <w:rsid w:val="00501765"/>
    <w:rsid w:val="00502283"/>
    <w:rsid w:val="005025CF"/>
    <w:rsid w:val="005038CA"/>
    <w:rsid w:val="00503A19"/>
    <w:rsid w:val="00504A44"/>
    <w:rsid w:val="005067C5"/>
    <w:rsid w:val="00506CF6"/>
    <w:rsid w:val="00507655"/>
    <w:rsid w:val="00510390"/>
    <w:rsid w:val="005104C0"/>
    <w:rsid w:val="00511952"/>
    <w:rsid w:val="005119FE"/>
    <w:rsid w:val="00511D6F"/>
    <w:rsid w:val="005123F0"/>
    <w:rsid w:val="00512B73"/>
    <w:rsid w:val="00512ECC"/>
    <w:rsid w:val="00513149"/>
    <w:rsid w:val="00513540"/>
    <w:rsid w:val="00513941"/>
    <w:rsid w:val="00513A56"/>
    <w:rsid w:val="00513CC4"/>
    <w:rsid w:val="00513EEB"/>
    <w:rsid w:val="005150AA"/>
    <w:rsid w:val="00516400"/>
    <w:rsid w:val="005165BB"/>
    <w:rsid w:val="0051699C"/>
    <w:rsid w:val="00517716"/>
    <w:rsid w:val="00517867"/>
    <w:rsid w:val="00517F9E"/>
    <w:rsid w:val="00520814"/>
    <w:rsid w:val="005210AF"/>
    <w:rsid w:val="005215FD"/>
    <w:rsid w:val="00522D06"/>
    <w:rsid w:val="005247BE"/>
    <w:rsid w:val="00525481"/>
    <w:rsid w:val="00525F68"/>
    <w:rsid w:val="0052787B"/>
    <w:rsid w:val="00527BD1"/>
    <w:rsid w:val="00527C0A"/>
    <w:rsid w:val="00527E9C"/>
    <w:rsid w:val="0053051D"/>
    <w:rsid w:val="0053083A"/>
    <w:rsid w:val="00531585"/>
    <w:rsid w:val="00532088"/>
    <w:rsid w:val="005323F5"/>
    <w:rsid w:val="005330EF"/>
    <w:rsid w:val="005331C3"/>
    <w:rsid w:val="00533722"/>
    <w:rsid w:val="00534111"/>
    <w:rsid w:val="0053413C"/>
    <w:rsid w:val="00534175"/>
    <w:rsid w:val="005341E6"/>
    <w:rsid w:val="00534DBF"/>
    <w:rsid w:val="0053526D"/>
    <w:rsid w:val="005354AD"/>
    <w:rsid w:val="00535F8A"/>
    <w:rsid w:val="0053612A"/>
    <w:rsid w:val="005361C9"/>
    <w:rsid w:val="00536928"/>
    <w:rsid w:val="00536C67"/>
    <w:rsid w:val="00537984"/>
    <w:rsid w:val="00537E3C"/>
    <w:rsid w:val="005411B8"/>
    <w:rsid w:val="005419C4"/>
    <w:rsid w:val="00543BCD"/>
    <w:rsid w:val="005452BB"/>
    <w:rsid w:val="005457A0"/>
    <w:rsid w:val="00546087"/>
    <w:rsid w:val="00546198"/>
    <w:rsid w:val="00547FE1"/>
    <w:rsid w:val="00551560"/>
    <w:rsid w:val="005517AB"/>
    <w:rsid w:val="00551DE1"/>
    <w:rsid w:val="00552FFE"/>
    <w:rsid w:val="00554716"/>
    <w:rsid w:val="00555249"/>
    <w:rsid w:val="00555602"/>
    <w:rsid w:val="00556241"/>
    <w:rsid w:val="00557BE5"/>
    <w:rsid w:val="00560084"/>
    <w:rsid w:val="005600A4"/>
    <w:rsid w:val="00560FCE"/>
    <w:rsid w:val="005611EB"/>
    <w:rsid w:val="0056141C"/>
    <w:rsid w:val="005617D4"/>
    <w:rsid w:val="005619EC"/>
    <w:rsid w:val="00561E64"/>
    <w:rsid w:val="00562123"/>
    <w:rsid w:val="00562B76"/>
    <w:rsid w:val="00564208"/>
    <w:rsid w:val="00566685"/>
    <w:rsid w:val="00566A79"/>
    <w:rsid w:val="00566BEA"/>
    <w:rsid w:val="0056724F"/>
    <w:rsid w:val="00567EA8"/>
    <w:rsid w:val="00571A73"/>
    <w:rsid w:val="00571CEB"/>
    <w:rsid w:val="00572953"/>
    <w:rsid w:val="00573478"/>
    <w:rsid w:val="0057483F"/>
    <w:rsid w:val="0057790C"/>
    <w:rsid w:val="00577A02"/>
    <w:rsid w:val="005802E2"/>
    <w:rsid w:val="00583C9F"/>
    <w:rsid w:val="00584D5A"/>
    <w:rsid w:val="00584EED"/>
    <w:rsid w:val="0058566E"/>
    <w:rsid w:val="00586359"/>
    <w:rsid w:val="00586D96"/>
    <w:rsid w:val="00587373"/>
    <w:rsid w:val="00587705"/>
    <w:rsid w:val="00587F9B"/>
    <w:rsid w:val="00590A51"/>
    <w:rsid w:val="00590ABE"/>
    <w:rsid w:val="005912BB"/>
    <w:rsid w:val="005918F0"/>
    <w:rsid w:val="00591951"/>
    <w:rsid w:val="00592347"/>
    <w:rsid w:val="00592B7E"/>
    <w:rsid w:val="00595473"/>
    <w:rsid w:val="005958A1"/>
    <w:rsid w:val="00596EF7"/>
    <w:rsid w:val="005974E5"/>
    <w:rsid w:val="00597646"/>
    <w:rsid w:val="005A0964"/>
    <w:rsid w:val="005A123A"/>
    <w:rsid w:val="005A1F40"/>
    <w:rsid w:val="005A3701"/>
    <w:rsid w:val="005A4B75"/>
    <w:rsid w:val="005A4C07"/>
    <w:rsid w:val="005A5098"/>
    <w:rsid w:val="005A77FC"/>
    <w:rsid w:val="005B042A"/>
    <w:rsid w:val="005B0732"/>
    <w:rsid w:val="005B2A82"/>
    <w:rsid w:val="005B36F6"/>
    <w:rsid w:val="005B3AD0"/>
    <w:rsid w:val="005B5585"/>
    <w:rsid w:val="005B5CA5"/>
    <w:rsid w:val="005B60C4"/>
    <w:rsid w:val="005B68D9"/>
    <w:rsid w:val="005C0A12"/>
    <w:rsid w:val="005C0FBB"/>
    <w:rsid w:val="005C1DAE"/>
    <w:rsid w:val="005C220D"/>
    <w:rsid w:val="005C2441"/>
    <w:rsid w:val="005C2BF6"/>
    <w:rsid w:val="005C2ECF"/>
    <w:rsid w:val="005C5D41"/>
    <w:rsid w:val="005C68CC"/>
    <w:rsid w:val="005C6BAE"/>
    <w:rsid w:val="005C78AA"/>
    <w:rsid w:val="005C7F49"/>
    <w:rsid w:val="005D0068"/>
    <w:rsid w:val="005D1867"/>
    <w:rsid w:val="005D1F34"/>
    <w:rsid w:val="005D25D1"/>
    <w:rsid w:val="005D383D"/>
    <w:rsid w:val="005D4064"/>
    <w:rsid w:val="005D475A"/>
    <w:rsid w:val="005D4787"/>
    <w:rsid w:val="005D730E"/>
    <w:rsid w:val="005D733A"/>
    <w:rsid w:val="005D7A64"/>
    <w:rsid w:val="005E010C"/>
    <w:rsid w:val="005E1229"/>
    <w:rsid w:val="005E1A05"/>
    <w:rsid w:val="005E1DB2"/>
    <w:rsid w:val="005E3B36"/>
    <w:rsid w:val="005E3EA3"/>
    <w:rsid w:val="005E4B56"/>
    <w:rsid w:val="005E597E"/>
    <w:rsid w:val="005E62F3"/>
    <w:rsid w:val="005E687A"/>
    <w:rsid w:val="005E7DD1"/>
    <w:rsid w:val="005F0F92"/>
    <w:rsid w:val="005F1409"/>
    <w:rsid w:val="005F1DC5"/>
    <w:rsid w:val="005F511B"/>
    <w:rsid w:val="005F51A1"/>
    <w:rsid w:val="005F5257"/>
    <w:rsid w:val="005F5B2D"/>
    <w:rsid w:val="00603450"/>
    <w:rsid w:val="00603A19"/>
    <w:rsid w:val="00604012"/>
    <w:rsid w:val="00604F82"/>
    <w:rsid w:val="00605444"/>
    <w:rsid w:val="00605448"/>
    <w:rsid w:val="0060610C"/>
    <w:rsid w:val="00606A2A"/>
    <w:rsid w:val="0061179B"/>
    <w:rsid w:val="00611C38"/>
    <w:rsid w:val="006120AB"/>
    <w:rsid w:val="00612C19"/>
    <w:rsid w:val="00614DAD"/>
    <w:rsid w:val="006160D0"/>
    <w:rsid w:val="00616F88"/>
    <w:rsid w:val="00617907"/>
    <w:rsid w:val="00617EB1"/>
    <w:rsid w:val="0062035D"/>
    <w:rsid w:val="0062087F"/>
    <w:rsid w:val="00620CC7"/>
    <w:rsid w:val="00620FE0"/>
    <w:rsid w:val="0062132D"/>
    <w:rsid w:val="006213EE"/>
    <w:rsid w:val="0062180C"/>
    <w:rsid w:val="00622508"/>
    <w:rsid w:val="00622E82"/>
    <w:rsid w:val="00623FDF"/>
    <w:rsid w:val="00625298"/>
    <w:rsid w:val="00625F7D"/>
    <w:rsid w:val="00626348"/>
    <w:rsid w:val="00626554"/>
    <w:rsid w:val="00627172"/>
    <w:rsid w:val="0062763C"/>
    <w:rsid w:val="006279E2"/>
    <w:rsid w:val="00627CF5"/>
    <w:rsid w:val="0063009F"/>
    <w:rsid w:val="0063020B"/>
    <w:rsid w:val="006303A6"/>
    <w:rsid w:val="006310FF"/>
    <w:rsid w:val="00631F9E"/>
    <w:rsid w:val="00632758"/>
    <w:rsid w:val="0063324F"/>
    <w:rsid w:val="00633ECD"/>
    <w:rsid w:val="006356C3"/>
    <w:rsid w:val="006356C5"/>
    <w:rsid w:val="00637068"/>
    <w:rsid w:val="0063736C"/>
    <w:rsid w:val="00640855"/>
    <w:rsid w:val="006409C4"/>
    <w:rsid w:val="00640E33"/>
    <w:rsid w:val="00642558"/>
    <w:rsid w:val="00642EE8"/>
    <w:rsid w:val="00643AD3"/>
    <w:rsid w:val="00643FAB"/>
    <w:rsid w:val="00644707"/>
    <w:rsid w:val="00644CE7"/>
    <w:rsid w:val="00645646"/>
    <w:rsid w:val="00645E25"/>
    <w:rsid w:val="00645E3C"/>
    <w:rsid w:val="00646519"/>
    <w:rsid w:val="00646981"/>
    <w:rsid w:val="00647BE1"/>
    <w:rsid w:val="00650AB4"/>
    <w:rsid w:val="00650B45"/>
    <w:rsid w:val="00650D9B"/>
    <w:rsid w:val="00650E26"/>
    <w:rsid w:val="0065162B"/>
    <w:rsid w:val="00653378"/>
    <w:rsid w:val="00653A11"/>
    <w:rsid w:val="00653E71"/>
    <w:rsid w:val="00654793"/>
    <w:rsid w:val="006557E1"/>
    <w:rsid w:val="00655C63"/>
    <w:rsid w:val="00656FA1"/>
    <w:rsid w:val="00661353"/>
    <w:rsid w:val="00662759"/>
    <w:rsid w:val="00662D08"/>
    <w:rsid w:val="00663602"/>
    <w:rsid w:val="00663AAA"/>
    <w:rsid w:val="00663FFC"/>
    <w:rsid w:val="00665B73"/>
    <w:rsid w:val="00665E61"/>
    <w:rsid w:val="006663CF"/>
    <w:rsid w:val="006663D1"/>
    <w:rsid w:val="00666CB3"/>
    <w:rsid w:val="006671C8"/>
    <w:rsid w:val="0066765F"/>
    <w:rsid w:val="0067092B"/>
    <w:rsid w:val="00670C64"/>
    <w:rsid w:val="00671412"/>
    <w:rsid w:val="00676079"/>
    <w:rsid w:val="006767AC"/>
    <w:rsid w:val="0068080B"/>
    <w:rsid w:val="00680B6C"/>
    <w:rsid w:val="00681653"/>
    <w:rsid w:val="006820E6"/>
    <w:rsid w:val="00684658"/>
    <w:rsid w:val="0068475D"/>
    <w:rsid w:val="00685454"/>
    <w:rsid w:val="00685E4D"/>
    <w:rsid w:val="00685F52"/>
    <w:rsid w:val="00685FB7"/>
    <w:rsid w:val="0068612C"/>
    <w:rsid w:val="006864DE"/>
    <w:rsid w:val="00686CAB"/>
    <w:rsid w:val="00687297"/>
    <w:rsid w:val="0069000B"/>
    <w:rsid w:val="006907C2"/>
    <w:rsid w:val="006909D3"/>
    <w:rsid w:val="00691287"/>
    <w:rsid w:val="00691356"/>
    <w:rsid w:val="00691B9E"/>
    <w:rsid w:val="00691BC0"/>
    <w:rsid w:val="006922DA"/>
    <w:rsid w:val="006924AC"/>
    <w:rsid w:val="0069338C"/>
    <w:rsid w:val="006936C0"/>
    <w:rsid w:val="006946FB"/>
    <w:rsid w:val="006958DB"/>
    <w:rsid w:val="00696EA2"/>
    <w:rsid w:val="00696F5D"/>
    <w:rsid w:val="0069788D"/>
    <w:rsid w:val="006A1E51"/>
    <w:rsid w:val="006A2361"/>
    <w:rsid w:val="006A2E2C"/>
    <w:rsid w:val="006A53CD"/>
    <w:rsid w:val="006A6447"/>
    <w:rsid w:val="006A6BB3"/>
    <w:rsid w:val="006A777F"/>
    <w:rsid w:val="006A77AD"/>
    <w:rsid w:val="006A7ADD"/>
    <w:rsid w:val="006A7E93"/>
    <w:rsid w:val="006B08BF"/>
    <w:rsid w:val="006B1929"/>
    <w:rsid w:val="006B1F5D"/>
    <w:rsid w:val="006B2690"/>
    <w:rsid w:val="006B2924"/>
    <w:rsid w:val="006B3394"/>
    <w:rsid w:val="006B3673"/>
    <w:rsid w:val="006B3DE1"/>
    <w:rsid w:val="006B4000"/>
    <w:rsid w:val="006B421B"/>
    <w:rsid w:val="006B4A26"/>
    <w:rsid w:val="006B55D0"/>
    <w:rsid w:val="006B57C6"/>
    <w:rsid w:val="006B5DBE"/>
    <w:rsid w:val="006B5FF8"/>
    <w:rsid w:val="006B6DF2"/>
    <w:rsid w:val="006C0642"/>
    <w:rsid w:val="006C0C55"/>
    <w:rsid w:val="006C30D6"/>
    <w:rsid w:val="006C3F58"/>
    <w:rsid w:val="006C41BE"/>
    <w:rsid w:val="006C5E68"/>
    <w:rsid w:val="006C6248"/>
    <w:rsid w:val="006C66E5"/>
    <w:rsid w:val="006C6804"/>
    <w:rsid w:val="006C704A"/>
    <w:rsid w:val="006C70A8"/>
    <w:rsid w:val="006C7B90"/>
    <w:rsid w:val="006C7FEC"/>
    <w:rsid w:val="006D0407"/>
    <w:rsid w:val="006D0975"/>
    <w:rsid w:val="006D0A26"/>
    <w:rsid w:val="006D19A7"/>
    <w:rsid w:val="006D290C"/>
    <w:rsid w:val="006D33B4"/>
    <w:rsid w:val="006D4E6D"/>
    <w:rsid w:val="006D5E2A"/>
    <w:rsid w:val="006D5EE5"/>
    <w:rsid w:val="006D6FFF"/>
    <w:rsid w:val="006E1723"/>
    <w:rsid w:val="006E1BC6"/>
    <w:rsid w:val="006E21CA"/>
    <w:rsid w:val="006E2846"/>
    <w:rsid w:val="006E2F29"/>
    <w:rsid w:val="006E330F"/>
    <w:rsid w:val="006E4BD2"/>
    <w:rsid w:val="006E5151"/>
    <w:rsid w:val="006E60E2"/>
    <w:rsid w:val="006E6D3B"/>
    <w:rsid w:val="006E7530"/>
    <w:rsid w:val="006E769D"/>
    <w:rsid w:val="006E772A"/>
    <w:rsid w:val="006F1872"/>
    <w:rsid w:val="006F1D0A"/>
    <w:rsid w:val="006F3B1D"/>
    <w:rsid w:val="006F5544"/>
    <w:rsid w:val="006F5A1E"/>
    <w:rsid w:val="006F7351"/>
    <w:rsid w:val="006F7A27"/>
    <w:rsid w:val="00700921"/>
    <w:rsid w:val="00700CF4"/>
    <w:rsid w:val="007015DE"/>
    <w:rsid w:val="00701C40"/>
    <w:rsid w:val="00702009"/>
    <w:rsid w:val="007023B5"/>
    <w:rsid w:val="00702566"/>
    <w:rsid w:val="00702671"/>
    <w:rsid w:val="00703803"/>
    <w:rsid w:val="00704B24"/>
    <w:rsid w:val="00704E95"/>
    <w:rsid w:val="00705594"/>
    <w:rsid w:val="007055E5"/>
    <w:rsid w:val="00705A12"/>
    <w:rsid w:val="00706264"/>
    <w:rsid w:val="007067B5"/>
    <w:rsid w:val="00706FAE"/>
    <w:rsid w:val="00707903"/>
    <w:rsid w:val="00707CF0"/>
    <w:rsid w:val="00710654"/>
    <w:rsid w:val="00711078"/>
    <w:rsid w:val="00711142"/>
    <w:rsid w:val="00712890"/>
    <w:rsid w:val="0071485D"/>
    <w:rsid w:val="00714FF5"/>
    <w:rsid w:val="00715D4D"/>
    <w:rsid w:val="007164E1"/>
    <w:rsid w:val="00716D88"/>
    <w:rsid w:val="00717590"/>
    <w:rsid w:val="007178F1"/>
    <w:rsid w:val="00717AAA"/>
    <w:rsid w:val="00721A30"/>
    <w:rsid w:val="00721DE7"/>
    <w:rsid w:val="00721E0B"/>
    <w:rsid w:val="0072238C"/>
    <w:rsid w:val="00722BFD"/>
    <w:rsid w:val="007238C8"/>
    <w:rsid w:val="00723CAD"/>
    <w:rsid w:val="00723EBE"/>
    <w:rsid w:val="0072748A"/>
    <w:rsid w:val="00727B96"/>
    <w:rsid w:val="00730BD2"/>
    <w:rsid w:val="00732309"/>
    <w:rsid w:val="00732B09"/>
    <w:rsid w:val="0073367B"/>
    <w:rsid w:val="007336A6"/>
    <w:rsid w:val="00733958"/>
    <w:rsid w:val="00733A62"/>
    <w:rsid w:val="00733F36"/>
    <w:rsid w:val="007346A9"/>
    <w:rsid w:val="0073566D"/>
    <w:rsid w:val="00735D79"/>
    <w:rsid w:val="00735F96"/>
    <w:rsid w:val="00737CA0"/>
    <w:rsid w:val="00740771"/>
    <w:rsid w:val="00740E44"/>
    <w:rsid w:val="00741011"/>
    <w:rsid w:val="0074239B"/>
    <w:rsid w:val="00743AC0"/>
    <w:rsid w:val="00744B16"/>
    <w:rsid w:val="00744D46"/>
    <w:rsid w:val="0074595B"/>
    <w:rsid w:val="0074778B"/>
    <w:rsid w:val="0075040A"/>
    <w:rsid w:val="0075085D"/>
    <w:rsid w:val="00750C70"/>
    <w:rsid w:val="00751276"/>
    <w:rsid w:val="00751533"/>
    <w:rsid w:val="00751AA0"/>
    <w:rsid w:val="00751E84"/>
    <w:rsid w:val="00752E1E"/>
    <w:rsid w:val="007540BF"/>
    <w:rsid w:val="007544B4"/>
    <w:rsid w:val="007546D1"/>
    <w:rsid w:val="00755547"/>
    <w:rsid w:val="007579CF"/>
    <w:rsid w:val="00757A90"/>
    <w:rsid w:val="007606D3"/>
    <w:rsid w:val="0076138D"/>
    <w:rsid w:val="00762B03"/>
    <w:rsid w:val="00763184"/>
    <w:rsid w:val="007637A8"/>
    <w:rsid w:val="00763B88"/>
    <w:rsid w:val="00763CE5"/>
    <w:rsid w:val="00763EAB"/>
    <w:rsid w:val="007657B5"/>
    <w:rsid w:val="00765924"/>
    <w:rsid w:val="00765AE3"/>
    <w:rsid w:val="00765B58"/>
    <w:rsid w:val="00765D4F"/>
    <w:rsid w:val="00766818"/>
    <w:rsid w:val="00766ECD"/>
    <w:rsid w:val="00767042"/>
    <w:rsid w:val="007673A8"/>
    <w:rsid w:val="00770A00"/>
    <w:rsid w:val="00770DCB"/>
    <w:rsid w:val="00771465"/>
    <w:rsid w:val="00771591"/>
    <w:rsid w:val="00773185"/>
    <w:rsid w:val="00773296"/>
    <w:rsid w:val="00773F3A"/>
    <w:rsid w:val="0077534C"/>
    <w:rsid w:val="00775485"/>
    <w:rsid w:val="00776D02"/>
    <w:rsid w:val="007802C2"/>
    <w:rsid w:val="007802DE"/>
    <w:rsid w:val="00780EFE"/>
    <w:rsid w:val="00783532"/>
    <w:rsid w:val="00783764"/>
    <w:rsid w:val="00783CD4"/>
    <w:rsid w:val="007846B5"/>
    <w:rsid w:val="00784A79"/>
    <w:rsid w:val="00784EA3"/>
    <w:rsid w:val="00784EF7"/>
    <w:rsid w:val="0078654B"/>
    <w:rsid w:val="00787353"/>
    <w:rsid w:val="00787CD6"/>
    <w:rsid w:val="007904A5"/>
    <w:rsid w:val="00791159"/>
    <w:rsid w:val="0079122B"/>
    <w:rsid w:val="00792BE7"/>
    <w:rsid w:val="00794485"/>
    <w:rsid w:val="0079462D"/>
    <w:rsid w:val="00795939"/>
    <w:rsid w:val="007A209A"/>
    <w:rsid w:val="007A20A3"/>
    <w:rsid w:val="007A224B"/>
    <w:rsid w:val="007A49C6"/>
    <w:rsid w:val="007A4B76"/>
    <w:rsid w:val="007A4B85"/>
    <w:rsid w:val="007A5C86"/>
    <w:rsid w:val="007B06EA"/>
    <w:rsid w:val="007B1167"/>
    <w:rsid w:val="007B122E"/>
    <w:rsid w:val="007B124F"/>
    <w:rsid w:val="007B1650"/>
    <w:rsid w:val="007B33C8"/>
    <w:rsid w:val="007B60C4"/>
    <w:rsid w:val="007B6F66"/>
    <w:rsid w:val="007B6FE5"/>
    <w:rsid w:val="007B7271"/>
    <w:rsid w:val="007C03AD"/>
    <w:rsid w:val="007C0C45"/>
    <w:rsid w:val="007C1283"/>
    <w:rsid w:val="007C1296"/>
    <w:rsid w:val="007C231C"/>
    <w:rsid w:val="007C3510"/>
    <w:rsid w:val="007C4E4E"/>
    <w:rsid w:val="007C7235"/>
    <w:rsid w:val="007C77E7"/>
    <w:rsid w:val="007C7BE4"/>
    <w:rsid w:val="007D1383"/>
    <w:rsid w:val="007D24D2"/>
    <w:rsid w:val="007D2F00"/>
    <w:rsid w:val="007D3B11"/>
    <w:rsid w:val="007D434E"/>
    <w:rsid w:val="007D50A0"/>
    <w:rsid w:val="007D6989"/>
    <w:rsid w:val="007D6C01"/>
    <w:rsid w:val="007D712D"/>
    <w:rsid w:val="007D7FD0"/>
    <w:rsid w:val="007E030D"/>
    <w:rsid w:val="007E29E2"/>
    <w:rsid w:val="007E2EF7"/>
    <w:rsid w:val="007E458F"/>
    <w:rsid w:val="007E5158"/>
    <w:rsid w:val="007E5B88"/>
    <w:rsid w:val="007E5E68"/>
    <w:rsid w:val="007E7DB9"/>
    <w:rsid w:val="007F04E3"/>
    <w:rsid w:val="007F08CF"/>
    <w:rsid w:val="007F08D9"/>
    <w:rsid w:val="007F0D0B"/>
    <w:rsid w:val="007F0D59"/>
    <w:rsid w:val="007F141B"/>
    <w:rsid w:val="007F1AE7"/>
    <w:rsid w:val="007F274C"/>
    <w:rsid w:val="007F2880"/>
    <w:rsid w:val="007F2C02"/>
    <w:rsid w:val="007F44FD"/>
    <w:rsid w:val="007F4D6F"/>
    <w:rsid w:val="007F60C6"/>
    <w:rsid w:val="007F63AB"/>
    <w:rsid w:val="00800729"/>
    <w:rsid w:val="008007A8"/>
    <w:rsid w:val="00800FF1"/>
    <w:rsid w:val="00801270"/>
    <w:rsid w:val="00801B85"/>
    <w:rsid w:val="008032A3"/>
    <w:rsid w:val="0080337E"/>
    <w:rsid w:val="00803E8B"/>
    <w:rsid w:val="00803EC7"/>
    <w:rsid w:val="008042D9"/>
    <w:rsid w:val="00804564"/>
    <w:rsid w:val="00805FAA"/>
    <w:rsid w:val="008062D9"/>
    <w:rsid w:val="00807675"/>
    <w:rsid w:val="00810111"/>
    <w:rsid w:val="0081042D"/>
    <w:rsid w:val="00810754"/>
    <w:rsid w:val="00811681"/>
    <w:rsid w:val="008117A7"/>
    <w:rsid w:val="00813754"/>
    <w:rsid w:val="00814725"/>
    <w:rsid w:val="00814FC0"/>
    <w:rsid w:val="008159F1"/>
    <w:rsid w:val="00815CC1"/>
    <w:rsid w:val="00816777"/>
    <w:rsid w:val="008168BE"/>
    <w:rsid w:val="0081736A"/>
    <w:rsid w:val="00817819"/>
    <w:rsid w:val="00817A29"/>
    <w:rsid w:val="00817C73"/>
    <w:rsid w:val="0082059B"/>
    <w:rsid w:val="008225CD"/>
    <w:rsid w:val="00822779"/>
    <w:rsid w:val="008229D0"/>
    <w:rsid w:val="00823005"/>
    <w:rsid w:val="008234F3"/>
    <w:rsid w:val="00823736"/>
    <w:rsid w:val="00824625"/>
    <w:rsid w:val="00824642"/>
    <w:rsid w:val="00824A61"/>
    <w:rsid w:val="00826FE0"/>
    <w:rsid w:val="0083102F"/>
    <w:rsid w:val="0083153A"/>
    <w:rsid w:val="00831B38"/>
    <w:rsid w:val="00832891"/>
    <w:rsid w:val="00833117"/>
    <w:rsid w:val="00833398"/>
    <w:rsid w:val="00833C21"/>
    <w:rsid w:val="00833DFF"/>
    <w:rsid w:val="00834AF7"/>
    <w:rsid w:val="00834EEF"/>
    <w:rsid w:val="00835404"/>
    <w:rsid w:val="00835C95"/>
    <w:rsid w:val="00836977"/>
    <w:rsid w:val="00836AEB"/>
    <w:rsid w:val="00836DE0"/>
    <w:rsid w:val="00837E0D"/>
    <w:rsid w:val="008415A0"/>
    <w:rsid w:val="00841F9B"/>
    <w:rsid w:val="00842568"/>
    <w:rsid w:val="008430A0"/>
    <w:rsid w:val="008431AD"/>
    <w:rsid w:val="008449B9"/>
    <w:rsid w:val="00844AF7"/>
    <w:rsid w:val="00844D77"/>
    <w:rsid w:val="00845CFF"/>
    <w:rsid w:val="00847191"/>
    <w:rsid w:val="0084743B"/>
    <w:rsid w:val="0085012C"/>
    <w:rsid w:val="0085129D"/>
    <w:rsid w:val="00851559"/>
    <w:rsid w:val="00851792"/>
    <w:rsid w:val="0085230F"/>
    <w:rsid w:val="008531E7"/>
    <w:rsid w:val="00853381"/>
    <w:rsid w:val="00854358"/>
    <w:rsid w:val="00854852"/>
    <w:rsid w:val="00854D76"/>
    <w:rsid w:val="008556F4"/>
    <w:rsid w:val="00857BDA"/>
    <w:rsid w:val="00861228"/>
    <w:rsid w:val="0086254F"/>
    <w:rsid w:val="00862AC6"/>
    <w:rsid w:val="00862F4B"/>
    <w:rsid w:val="008634C0"/>
    <w:rsid w:val="008646B6"/>
    <w:rsid w:val="00864F73"/>
    <w:rsid w:val="00865D80"/>
    <w:rsid w:val="008669F7"/>
    <w:rsid w:val="00867CE5"/>
    <w:rsid w:val="00867D23"/>
    <w:rsid w:val="008701F6"/>
    <w:rsid w:val="008703A0"/>
    <w:rsid w:val="0087086C"/>
    <w:rsid w:val="00870C63"/>
    <w:rsid w:val="0087152C"/>
    <w:rsid w:val="008724DE"/>
    <w:rsid w:val="00872D06"/>
    <w:rsid w:val="00873C85"/>
    <w:rsid w:val="008758D9"/>
    <w:rsid w:val="008768EC"/>
    <w:rsid w:val="0088002F"/>
    <w:rsid w:val="008800B4"/>
    <w:rsid w:val="00880C95"/>
    <w:rsid w:val="00882916"/>
    <w:rsid w:val="00882B0A"/>
    <w:rsid w:val="00884EF5"/>
    <w:rsid w:val="0088539A"/>
    <w:rsid w:val="0088588C"/>
    <w:rsid w:val="00885F6D"/>
    <w:rsid w:val="008878DF"/>
    <w:rsid w:val="00890F8C"/>
    <w:rsid w:val="008926C4"/>
    <w:rsid w:val="0089288E"/>
    <w:rsid w:val="00894AB4"/>
    <w:rsid w:val="00894BF7"/>
    <w:rsid w:val="00895B2B"/>
    <w:rsid w:val="00896F3B"/>
    <w:rsid w:val="008A0FD4"/>
    <w:rsid w:val="008A2601"/>
    <w:rsid w:val="008A3210"/>
    <w:rsid w:val="008A3AD6"/>
    <w:rsid w:val="008A3D57"/>
    <w:rsid w:val="008A4ADA"/>
    <w:rsid w:val="008A6391"/>
    <w:rsid w:val="008B059E"/>
    <w:rsid w:val="008B1D52"/>
    <w:rsid w:val="008B215E"/>
    <w:rsid w:val="008B2352"/>
    <w:rsid w:val="008B23BC"/>
    <w:rsid w:val="008B3899"/>
    <w:rsid w:val="008B3FA7"/>
    <w:rsid w:val="008B492F"/>
    <w:rsid w:val="008B4EAF"/>
    <w:rsid w:val="008B5F3A"/>
    <w:rsid w:val="008B5F75"/>
    <w:rsid w:val="008B7CA6"/>
    <w:rsid w:val="008C16C0"/>
    <w:rsid w:val="008C2003"/>
    <w:rsid w:val="008C2256"/>
    <w:rsid w:val="008C23CC"/>
    <w:rsid w:val="008C263C"/>
    <w:rsid w:val="008C4061"/>
    <w:rsid w:val="008C4785"/>
    <w:rsid w:val="008C578B"/>
    <w:rsid w:val="008C5C72"/>
    <w:rsid w:val="008C6BF3"/>
    <w:rsid w:val="008C738E"/>
    <w:rsid w:val="008D0ABB"/>
    <w:rsid w:val="008D1524"/>
    <w:rsid w:val="008D1598"/>
    <w:rsid w:val="008D281F"/>
    <w:rsid w:val="008D3609"/>
    <w:rsid w:val="008D3A78"/>
    <w:rsid w:val="008D3C92"/>
    <w:rsid w:val="008D5744"/>
    <w:rsid w:val="008D6994"/>
    <w:rsid w:val="008E0476"/>
    <w:rsid w:val="008E0620"/>
    <w:rsid w:val="008E2381"/>
    <w:rsid w:val="008E23F7"/>
    <w:rsid w:val="008E24AF"/>
    <w:rsid w:val="008E30E5"/>
    <w:rsid w:val="008E328C"/>
    <w:rsid w:val="008E37E6"/>
    <w:rsid w:val="008E3D60"/>
    <w:rsid w:val="008E3F4C"/>
    <w:rsid w:val="008E40A5"/>
    <w:rsid w:val="008E4CB0"/>
    <w:rsid w:val="008E4CBA"/>
    <w:rsid w:val="008E4D34"/>
    <w:rsid w:val="008E5ED9"/>
    <w:rsid w:val="008E68FC"/>
    <w:rsid w:val="008E6A9D"/>
    <w:rsid w:val="008F04BC"/>
    <w:rsid w:val="008F062E"/>
    <w:rsid w:val="008F3537"/>
    <w:rsid w:val="008F3A86"/>
    <w:rsid w:val="008F3F09"/>
    <w:rsid w:val="008F4090"/>
    <w:rsid w:val="008F6D1A"/>
    <w:rsid w:val="008F759A"/>
    <w:rsid w:val="008F75D0"/>
    <w:rsid w:val="008F76D1"/>
    <w:rsid w:val="008F7C0A"/>
    <w:rsid w:val="008F7D65"/>
    <w:rsid w:val="009009F5"/>
    <w:rsid w:val="00900C99"/>
    <w:rsid w:val="0090165F"/>
    <w:rsid w:val="00901AA4"/>
    <w:rsid w:val="00901B82"/>
    <w:rsid w:val="00901DA0"/>
    <w:rsid w:val="0090278C"/>
    <w:rsid w:val="00902866"/>
    <w:rsid w:val="00904E66"/>
    <w:rsid w:val="00904FA9"/>
    <w:rsid w:val="00906A71"/>
    <w:rsid w:val="009072E8"/>
    <w:rsid w:val="00907B7B"/>
    <w:rsid w:val="00910899"/>
    <w:rsid w:val="00910D82"/>
    <w:rsid w:val="00912B09"/>
    <w:rsid w:val="00913C70"/>
    <w:rsid w:val="0091489E"/>
    <w:rsid w:val="009155D9"/>
    <w:rsid w:val="00915866"/>
    <w:rsid w:val="009160BB"/>
    <w:rsid w:val="0091733F"/>
    <w:rsid w:val="0091762C"/>
    <w:rsid w:val="00917DD7"/>
    <w:rsid w:val="009208FD"/>
    <w:rsid w:val="00921888"/>
    <w:rsid w:val="00921980"/>
    <w:rsid w:val="00921EC0"/>
    <w:rsid w:val="009235C1"/>
    <w:rsid w:val="009238CD"/>
    <w:rsid w:val="00924BFD"/>
    <w:rsid w:val="00924DF4"/>
    <w:rsid w:val="009251EC"/>
    <w:rsid w:val="009257B6"/>
    <w:rsid w:val="0092688B"/>
    <w:rsid w:val="00927B91"/>
    <w:rsid w:val="00930854"/>
    <w:rsid w:val="00931F9A"/>
    <w:rsid w:val="009323CE"/>
    <w:rsid w:val="00933442"/>
    <w:rsid w:val="00933535"/>
    <w:rsid w:val="00935280"/>
    <w:rsid w:val="00935A45"/>
    <w:rsid w:val="009365AE"/>
    <w:rsid w:val="00936702"/>
    <w:rsid w:val="0093714A"/>
    <w:rsid w:val="00937875"/>
    <w:rsid w:val="0093796A"/>
    <w:rsid w:val="00940A34"/>
    <w:rsid w:val="00942028"/>
    <w:rsid w:val="009432CF"/>
    <w:rsid w:val="00943BF2"/>
    <w:rsid w:val="00945009"/>
    <w:rsid w:val="00945611"/>
    <w:rsid w:val="00945DF6"/>
    <w:rsid w:val="00947EFF"/>
    <w:rsid w:val="009506A2"/>
    <w:rsid w:val="00951E11"/>
    <w:rsid w:val="009521B5"/>
    <w:rsid w:val="009542CE"/>
    <w:rsid w:val="0095442D"/>
    <w:rsid w:val="00954BA8"/>
    <w:rsid w:val="00955819"/>
    <w:rsid w:val="00955A13"/>
    <w:rsid w:val="0095609F"/>
    <w:rsid w:val="0095656A"/>
    <w:rsid w:val="00956A55"/>
    <w:rsid w:val="00957211"/>
    <w:rsid w:val="0095749B"/>
    <w:rsid w:val="009576A5"/>
    <w:rsid w:val="00957CE4"/>
    <w:rsid w:val="0096028D"/>
    <w:rsid w:val="00960BA7"/>
    <w:rsid w:val="00961EF8"/>
    <w:rsid w:val="009632F9"/>
    <w:rsid w:val="00963589"/>
    <w:rsid w:val="00963AA0"/>
    <w:rsid w:val="00965832"/>
    <w:rsid w:val="009661CD"/>
    <w:rsid w:val="00966C2F"/>
    <w:rsid w:val="0096742A"/>
    <w:rsid w:val="0097104C"/>
    <w:rsid w:val="00973992"/>
    <w:rsid w:val="00973EB5"/>
    <w:rsid w:val="0097421F"/>
    <w:rsid w:val="00974A2D"/>
    <w:rsid w:val="0097503D"/>
    <w:rsid w:val="0097512B"/>
    <w:rsid w:val="00975EC9"/>
    <w:rsid w:val="00975FCC"/>
    <w:rsid w:val="00976F9B"/>
    <w:rsid w:val="00977410"/>
    <w:rsid w:val="0097784B"/>
    <w:rsid w:val="00977A44"/>
    <w:rsid w:val="009801E4"/>
    <w:rsid w:val="00981827"/>
    <w:rsid w:val="00981C6B"/>
    <w:rsid w:val="00982404"/>
    <w:rsid w:val="0098249B"/>
    <w:rsid w:val="00983877"/>
    <w:rsid w:val="009847D2"/>
    <w:rsid w:val="00984F55"/>
    <w:rsid w:val="00986180"/>
    <w:rsid w:val="009865DD"/>
    <w:rsid w:val="009869EB"/>
    <w:rsid w:val="0098782A"/>
    <w:rsid w:val="00987FC1"/>
    <w:rsid w:val="009905CD"/>
    <w:rsid w:val="009919C2"/>
    <w:rsid w:val="00991AF3"/>
    <w:rsid w:val="0099231D"/>
    <w:rsid w:val="00992913"/>
    <w:rsid w:val="0099292A"/>
    <w:rsid w:val="009935DC"/>
    <w:rsid w:val="009947D7"/>
    <w:rsid w:val="00995D7B"/>
    <w:rsid w:val="009A00C6"/>
    <w:rsid w:val="009A0617"/>
    <w:rsid w:val="009A0DA1"/>
    <w:rsid w:val="009A1259"/>
    <w:rsid w:val="009A1B51"/>
    <w:rsid w:val="009A2088"/>
    <w:rsid w:val="009A25ED"/>
    <w:rsid w:val="009A26E6"/>
    <w:rsid w:val="009A2978"/>
    <w:rsid w:val="009A3D01"/>
    <w:rsid w:val="009A4E84"/>
    <w:rsid w:val="009A4FB7"/>
    <w:rsid w:val="009A5634"/>
    <w:rsid w:val="009A65F2"/>
    <w:rsid w:val="009A6A9A"/>
    <w:rsid w:val="009A6C53"/>
    <w:rsid w:val="009B03C9"/>
    <w:rsid w:val="009B07B3"/>
    <w:rsid w:val="009B0FC3"/>
    <w:rsid w:val="009B2844"/>
    <w:rsid w:val="009B2EC6"/>
    <w:rsid w:val="009B3099"/>
    <w:rsid w:val="009B336C"/>
    <w:rsid w:val="009B3595"/>
    <w:rsid w:val="009B4163"/>
    <w:rsid w:val="009B476D"/>
    <w:rsid w:val="009B5337"/>
    <w:rsid w:val="009B65E1"/>
    <w:rsid w:val="009B66F5"/>
    <w:rsid w:val="009B76E5"/>
    <w:rsid w:val="009C0172"/>
    <w:rsid w:val="009C0636"/>
    <w:rsid w:val="009C092F"/>
    <w:rsid w:val="009C0F90"/>
    <w:rsid w:val="009C1942"/>
    <w:rsid w:val="009C274D"/>
    <w:rsid w:val="009C380A"/>
    <w:rsid w:val="009C387C"/>
    <w:rsid w:val="009C3ECA"/>
    <w:rsid w:val="009C54E4"/>
    <w:rsid w:val="009C5DE3"/>
    <w:rsid w:val="009C67BF"/>
    <w:rsid w:val="009D1F11"/>
    <w:rsid w:val="009D24B0"/>
    <w:rsid w:val="009D2682"/>
    <w:rsid w:val="009D3A97"/>
    <w:rsid w:val="009D43F0"/>
    <w:rsid w:val="009D48A7"/>
    <w:rsid w:val="009D548B"/>
    <w:rsid w:val="009D61C4"/>
    <w:rsid w:val="009D66F9"/>
    <w:rsid w:val="009D67F6"/>
    <w:rsid w:val="009D7B3D"/>
    <w:rsid w:val="009E08D1"/>
    <w:rsid w:val="009E0FE1"/>
    <w:rsid w:val="009E17C0"/>
    <w:rsid w:val="009E1FFF"/>
    <w:rsid w:val="009E2CBA"/>
    <w:rsid w:val="009E3E87"/>
    <w:rsid w:val="009E4BD0"/>
    <w:rsid w:val="009E5154"/>
    <w:rsid w:val="009E5177"/>
    <w:rsid w:val="009E6BEA"/>
    <w:rsid w:val="009E7D31"/>
    <w:rsid w:val="009E7E24"/>
    <w:rsid w:val="009E7E99"/>
    <w:rsid w:val="009F10D0"/>
    <w:rsid w:val="009F18E2"/>
    <w:rsid w:val="009F1E72"/>
    <w:rsid w:val="009F231F"/>
    <w:rsid w:val="009F2764"/>
    <w:rsid w:val="009F29A4"/>
    <w:rsid w:val="009F3712"/>
    <w:rsid w:val="009F4845"/>
    <w:rsid w:val="009F4BE3"/>
    <w:rsid w:val="009F5F5D"/>
    <w:rsid w:val="009F655C"/>
    <w:rsid w:val="009F73A6"/>
    <w:rsid w:val="009F75D9"/>
    <w:rsid w:val="009F7E64"/>
    <w:rsid w:val="00A002F6"/>
    <w:rsid w:val="00A00BBE"/>
    <w:rsid w:val="00A01F45"/>
    <w:rsid w:val="00A02541"/>
    <w:rsid w:val="00A03E69"/>
    <w:rsid w:val="00A04060"/>
    <w:rsid w:val="00A0406E"/>
    <w:rsid w:val="00A046BF"/>
    <w:rsid w:val="00A06B2A"/>
    <w:rsid w:val="00A06E57"/>
    <w:rsid w:val="00A1090D"/>
    <w:rsid w:val="00A10946"/>
    <w:rsid w:val="00A11307"/>
    <w:rsid w:val="00A11383"/>
    <w:rsid w:val="00A11BBF"/>
    <w:rsid w:val="00A11EC8"/>
    <w:rsid w:val="00A12F28"/>
    <w:rsid w:val="00A136F4"/>
    <w:rsid w:val="00A13AF3"/>
    <w:rsid w:val="00A140B9"/>
    <w:rsid w:val="00A15F6D"/>
    <w:rsid w:val="00A17186"/>
    <w:rsid w:val="00A1751F"/>
    <w:rsid w:val="00A179B5"/>
    <w:rsid w:val="00A20AF2"/>
    <w:rsid w:val="00A21388"/>
    <w:rsid w:val="00A221FD"/>
    <w:rsid w:val="00A2241F"/>
    <w:rsid w:val="00A2307D"/>
    <w:rsid w:val="00A2350A"/>
    <w:rsid w:val="00A23E95"/>
    <w:rsid w:val="00A25F22"/>
    <w:rsid w:val="00A25FFE"/>
    <w:rsid w:val="00A2603D"/>
    <w:rsid w:val="00A2626A"/>
    <w:rsid w:val="00A27791"/>
    <w:rsid w:val="00A27ABE"/>
    <w:rsid w:val="00A30F58"/>
    <w:rsid w:val="00A31157"/>
    <w:rsid w:val="00A31566"/>
    <w:rsid w:val="00A31AF0"/>
    <w:rsid w:val="00A31D21"/>
    <w:rsid w:val="00A32505"/>
    <w:rsid w:val="00A32B6E"/>
    <w:rsid w:val="00A33612"/>
    <w:rsid w:val="00A337A3"/>
    <w:rsid w:val="00A3467D"/>
    <w:rsid w:val="00A355F9"/>
    <w:rsid w:val="00A3642E"/>
    <w:rsid w:val="00A36E53"/>
    <w:rsid w:val="00A370FD"/>
    <w:rsid w:val="00A371BA"/>
    <w:rsid w:val="00A37D58"/>
    <w:rsid w:val="00A41355"/>
    <w:rsid w:val="00A41F92"/>
    <w:rsid w:val="00A424A5"/>
    <w:rsid w:val="00A429FA"/>
    <w:rsid w:val="00A437B6"/>
    <w:rsid w:val="00A43B92"/>
    <w:rsid w:val="00A44128"/>
    <w:rsid w:val="00A45DF0"/>
    <w:rsid w:val="00A4735A"/>
    <w:rsid w:val="00A47396"/>
    <w:rsid w:val="00A50E6A"/>
    <w:rsid w:val="00A50FFF"/>
    <w:rsid w:val="00A514B7"/>
    <w:rsid w:val="00A51ED0"/>
    <w:rsid w:val="00A530E2"/>
    <w:rsid w:val="00A53B10"/>
    <w:rsid w:val="00A53F07"/>
    <w:rsid w:val="00A53F53"/>
    <w:rsid w:val="00A54251"/>
    <w:rsid w:val="00A54773"/>
    <w:rsid w:val="00A5589D"/>
    <w:rsid w:val="00A56C88"/>
    <w:rsid w:val="00A56DDF"/>
    <w:rsid w:val="00A602A8"/>
    <w:rsid w:val="00A60534"/>
    <w:rsid w:val="00A60941"/>
    <w:rsid w:val="00A60B4B"/>
    <w:rsid w:val="00A60DCE"/>
    <w:rsid w:val="00A60E6D"/>
    <w:rsid w:val="00A60F1B"/>
    <w:rsid w:val="00A6179E"/>
    <w:rsid w:val="00A621EE"/>
    <w:rsid w:val="00A62F94"/>
    <w:rsid w:val="00A64316"/>
    <w:rsid w:val="00A646CA"/>
    <w:rsid w:val="00A65746"/>
    <w:rsid w:val="00A662B5"/>
    <w:rsid w:val="00A67F16"/>
    <w:rsid w:val="00A70577"/>
    <w:rsid w:val="00A70C00"/>
    <w:rsid w:val="00A71E9F"/>
    <w:rsid w:val="00A7253D"/>
    <w:rsid w:val="00A72AD9"/>
    <w:rsid w:val="00A72E4D"/>
    <w:rsid w:val="00A73425"/>
    <w:rsid w:val="00A735BE"/>
    <w:rsid w:val="00A75CAD"/>
    <w:rsid w:val="00A7672B"/>
    <w:rsid w:val="00A76867"/>
    <w:rsid w:val="00A76D3F"/>
    <w:rsid w:val="00A76F84"/>
    <w:rsid w:val="00A77212"/>
    <w:rsid w:val="00A773E9"/>
    <w:rsid w:val="00A77DA3"/>
    <w:rsid w:val="00A804D9"/>
    <w:rsid w:val="00A81449"/>
    <w:rsid w:val="00A82F1C"/>
    <w:rsid w:val="00A833C4"/>
    <w:rsid w:val="00A8483D"/>
    <w:rsid w:val="00A84C50"/>
    <w:rsid w:val="00A85672"/>
    <w:rsid w:val="00A8573B"/>
    <w:rsid w:val="00A857A5"/>
    <w:rsid w:val="00A8608E"/>
    <w:rsid w:val="00A8700C"/>
    <w:rsid w:val="00A87232"/>
    <w:rsid w:val="00A90879"/>
    <w:rsid w:val="00A90A60"/>
    <w:rsid w:val="00A912A6"/>
    <w:rsid w:val="00A91911"/>
    <w:rsid w:val="00A920B6"/>
    <w:rsid w:val="00A92915"/>
    <w:rsid w:val="00A92DE8"/>
    <w:rsid w:val="00A92F92"/>
    <w:rsid w:val="00A93542"/>
    <w:rsid w:val="00A93902"/>
    <w:rsid w:val="00A940E1"/>
    <w:rsid w:val="00A94D06"/>
    <w:rsid w:val="00A955C3"/>
    <w:rsid w:val="00A96892"/>
    <w:rsid w:val="00A96A48"/>
    <w:rsid w:val="00A96C48"/>
    <w:rsid w:val="00AA13C2"/>
    <w:rsid w:val="00AA2051"/>
    <w:rsid w:val="00AA2A1D"/>
    <w:rsid w:val="00AA5138"/>
    <w:rsid w:val="00AA5843"/>
    <w:rsid w:val="00AA6C65"/>
    <w:rsid w:val="00AA6F6E"/>
    <w:rsid w:val="00AA70C4"/>
    <w:rsid w:val="00AB04A0"/>
    <w:rsid w:val="00AB0696"/>
    <w:rsid w:val="00AB0CA8"/>
    <w:rsid w:val="00AB1615"/>
    <w:rsid w:val="00AB2BAD"/>
    <w:rsid w:val="00AB3547"/>
    <w:rsid w:val="00AB385C"/>
    <w:rsid w:val="00AB3E25"/>
    <w:rsid w:val="00AB50D7"/>
    <w:rsid w:val="00AB5541"/>
    <w:rsid w:val="00AB5789"/>
    <w:rsid w:val="00AB76C6"/>
    <w:rsid w:val="00AB7C8F"/>
    <w:rsid w:val="00AB7E50"/>
    <w:rsid w:val="00AB7FDF"/>
    <w:rsid w:val="00AC12A7"/>
    <w:rsid w:val="00AC1982"/>
    <w:rsid w:val="00AC2192"/>
    <w:rsid w:val="00AC28DA"/>
    <w:rsid w:val="00AC3821"/>
    <w:rsid w:val="00AC3BB3"/>
    <w:rsid w:val="00AC4C56"/>
    <w:rsid w:val="00AC5B11"/>
    <w:rsid w:val="00AC5C29"/>
    <w:rsid w:val="00AC5DA3"/>
    <w:rsid w:val="00AC61B6"/>
    <w:rsid w:val="00AC636D"/>
    <w:rsid w:val="00AC64AA"/>
    <w:rsid w:val="00AC6BCB"/>
    <w:rsid w:val="00AC7044"/>
    <w:rsid w:val="00AD028A"/>
    <w:rsid w:val="00AD105C"/>
    <w:rsid w:val="00AD10C3"/>
    <w:rsid w:val="00AD189B"/>
    <w:rsid w:val="00AD3E05"/>
    <w:rsid w:val="00AD4EC6"/>
    <w:rsid w:val="00AD5152"/>
    <w:rsid w:val="00AD5EB8"/>
    <w:rsid w:val="00AD5F65"/>
    <w:rsid w:val="00AE1070"/>
    <w:rsid w:val="00AE109E"/>
    <w:rsid w:val="00AE1416"/>
    <w:rsid w:val="00AE1D5B"/>
    <w:rsid w:val="00AE2682"/>
    <w:rsid w:val="00AE35B5"/>
    <w:rsid w:val="00AE3BFA"/>
    <w:rsid w:val="00AE3CEB"/>
    <w:rsid w:val="00AE468D"/>
    <w:rsid w:val="00AE502A"/>
    <w:rsid w:val="00AE57C3"/>
    <w:rsid w:val="00AE77A8"/>
    <w:rsid w:val="00AE7A8B"/>
    <w:rsid w:val="00AF07DF"/>
    <w:rsid w:val="00AF1CA9"/>
    <w:rsid w:val="00AF1DCB"/>
    <w:rsid w:val="00AF41BF"/>
    <w:rsid w:val="00AF46C2"/>
    <w:rsid w:val="00AF62B5"/>
    <w:rsid w:val="00B00792"/>
    <w:rsid w:val="00B00F61"/>
    <w:rsid w:val="00B01A86"/>
    <w:rsid w:val="00B01BE4"/>
    <w:rsid w:val="00B03934"/>
    <w:rsid w:val="00B042F2"/>
    <w:rsid w:val="00B06707"/>
    <w:rsid w:val="00B06781"/>
    <w:rsid w:val="00B06892"/>
    <w:rsid w:val="00B06B95"/>
    <w:rsid w:val="00B06D8C"/>
    <w:rsid w:val="00B07DF7"/>
    <w:rsid w:val="00B12717"/>
    <w:rsid w:val="00B13307"/>
    <w:rsid w:val="00B14379"/>
    <w:rsid w:val="00B152FB"/>
    <w:rsid w:val="00B16F5A"/>
    <w:rsid w:val="00B203AD"/>
    <w:rsid w:val="00B22A1D"/>
    <w:rsid w:val="00B237FB"/>
    <w:rsid w:val="00B24B1D"/>
    <w:rsid w:val="00B24D0E"/>
    <w:rsid w:val="00B25135"/>
    <w:rsid w:val="00B251E8"/>
    <w:rsid w:val="00B257F2"/>
    <w:rsid w:val="00B2613D"/>
    <w:rsid w:val="00B26C33"/>
    <w:rsid w:val="00B276B7"/>
    <w:rsid w:val="00B276DF"/>
    <w:rsid w:val="00B277E0"/>
    <w:rsid w:val="00B27D84"/>
    <w:rsid w:val="00B3025C"/>
    <w:rsid w:val="00B309AD"/>
    <w:rsid w:val="00B311E7"/>
    <w:rsid w:val="00B31D57"/>
    <w:rsid w:val="00B31E7B"/>
    <w:rsid w:val="00B3289B"/>
    <w:rsid w:val="00B32E61"/>
    <w:rsid w:val="00B33CEC"/>
    <w:rsid w:val="00B33D1F"/>
    <w:rsid w:val="00B33FD5"/>
    <w:rsid w:val="00B34946"/>
    <w:rsid w:val="00B3523B"/>
    <w:rsid w:val="00B35AB4"/>
    <w:rsid w:val="00B35BDD"/>
    <w:rsid w:val="00B366B2"/>
    <w:rsid w:val="00B36BD3"/>
    <w:rsid w:val="00B373AA"/>
    <w:rsid w:val="00B402C4"/>
    <w:rsid w:val="00B40D6D"/>
    <w:rsid w:val="00B41C97"/>
    <w:rsid w:val="00B426A0"/>
    <w:rsid w:val="00B42FFB"/>
    <w:rsid w:val="00B44660"/>
    <w:rsid w:val="00B458A2"/>
    <w:rsid w:val="00B45F01"/>
    <w:rsid w:val="00B47871"/>
    <w:rsid w:val="00B519FD"/>
    <w:rsid w:val="00B520BC"/>
    <w:rsid w:val="00B52622"/>
    <w:rsid w:val="00B53982"/>
    <w:rsid w:val="00B539BD"/>
    <w:rsid w:val="00B539CC"/>
    <w:rsid w:val="00B54281"/>
    <w:rsid w:val="00B54442"/>
    <w:rsid w:val="00B5456D"/>
    <w:rsid w:val="00B54AB9"/>
    <w:rsid w:val="00B54BCD"/>
    <w:rsid w:val="00B55CC6"/>
    <w:rsid w:val="00B57ED2"/>
    <w:rsid w:val="00B60051"/>
    <w:rsid w:val="00B6036D"/>
    <w:rsid w:val="00B60954"/>
    <w:rsid w:val="00B61A16"/>
    <w:rsid w:val="00B62F42"/>
    <w:rsid w:val="00B63D24"/>
    <w:rsid w:val="00B64534"/>
    <w:rsid w:val="00B646F0"/>
    <w:rsid w:val="00B6563B"/>
    <w:rsid w:val="00B66127"/>
    <w:rsid w:val="00B6687F"/>
    <w:rsid w:val="00B670F5"/>
    <w:rsid w:val="00B714DE"/>
    <w:rsid w:val="00B71643"/>
    <w:rsid w:val="00B71672"/>
    <w:rsid w:val="00B71AAE"/>
    <w:rsid w:val="00B72BD0"/>
    <w:rsid w:val="00B759C0"/>
    <w:rsid w:val="00B75E27"/>
    <w:rsid w:val="00B764C2"/>
    <w:rsid w:val="00B7767B"/>
    <w:rsid w:val="00B8001C"/>
    <w:rsid w:val="00B80193"/>
    <w:rsid w:val="00B81040"/>
    <w:rsid w:val="00B814B9"/>
    <w:rsid w:val="00B82827"/>
    <w:rsid w:val="00B82979"/>
    <w:rsid w:val="00B8319F"/>
    <w:rsid w:val="00B8378E"/>
    <w:rsid w:val="00B840EF"/>
    <w:rsid w:val="00B844AE"/>
    <w:rsid w:val="00B85480"/>
    <w:rsid w:val="00B85807"/>
    <w:rsid w:val="00B8581B"/>
    <w:rsid w:val="00B8688A"/>
    <w:rsid w:val="00B86F50"/>
    <w:rsid w:val="00B90406"/>
    <w:rsid w:val="00B908D0"/>
    <w:rsid w:val="00B9141C"/>
    <w:rsid w:val="00B915E1"/>
    <w:rsid w:val="00B91BC0"/>
    <w:rsid w:val="00B91BC5"/>
    <w:rsid w:val="00B9224F"/>
    <w:rsid w:val="00B924E6"/>
    <w:rsid w:val="00B92593"/>
    <w:rsid w:val="00B93119"/>
    <w:rsid w:val="00B93F7C"/>
    <w:rsid w:val="00B9468E"/>
    <w:rsid w:val="00B94726"/>
    <w:rsid w:val="00B9490E"/>
    <w:rsid w:val="00B95846"/>
    <w:rsid w:val="00B95955"/>
    <w:rsid w:val="00B95B7A"/>
    <w:rsid w:val="00B976A3"/>
    <w:rsid w:val="00BA0415"/>
    <w:rsid w:val="00BA21B0"/>
    <w:rsid w:val="00BA262D"/>
    <w:rsid w:val="00BA2C13"/>
    <w:rsid w:val="00BA3239"/>
    <w:rsid w:val="00BA3374"/>
    <w:rsid w:val="00BA41B7"/>
    <w:rsid w:val="00BA470E"/>
    <w:rsid w:val="00BA4723"/>
    <w:rsid w:val="00BA5698"/>
    <w:rsid w:val="00BA56B8"/>
    <w:rsid w:val="00BA61B2"/>
    <w:rsid w:val="00BA7058"/>
    <w:rsid w:val="00BA750A"/>
    <w:rsid w:val="00BA7F7F"/>
    <w:rsid w:val="00BB0AC7"/>
    <w:rsid w:val="00BB11DD"/>
    <w:rsid w:val="00BB12CF"/>
    <w:rsid w:val="00BB29AF"/>
    <w:rsid w:val="00BB2ED6"/>
    <w:rsid w:val="00BB3A8E"/>
    <w:rsid w:val="00BB3E27"/>
    <w:rsid w:val="00BB7A0D"/>
    <w:rsid w:val="00BC081B"/>
    <w:rsid w:val="00BC15BF"/>
    <w:rsid w:val="00BC18E3"/>
    <w:rsid w:val="00BC1AA7"/>
    <w:rsid w:val="00BC1CB7"/>
    <w:rsid w:val="00BC1DFA"/>
    <w:rsid w:val="00BC2104"/>
    <w:rsid w:val="00BC2B06"/>
    <w:rsid w:val="00BC31E6"/>
    <w:rsid w:val="00BC4E95"/>
    <w:rsid w:val="00BC5F33"/>
    <w:rsid w:val="00BC6C91"/>
    <w:rsid w:val="00BC6ECB"/>
    <w:rsid w:val="00BC6F9B"/>
    <w:rsid w:val="00BC7693"/>
    <w:rsid w:val="00BC79EB"/>
    <w:rsid w:val="00BD01CF"/>
    <w:rsid w:val="00BD05DB"/>
    <w:rsid w:val="00BD17EA"/>
    <w:rsid w:val="00BD28BD"/>
    <w:rsid w:val="00BD2EF4"/>
    <w:rsid w:val="00BD4219"/>
    <w:rsid w:val="00BD4884"/>
    <w:rsid w:val="00BD50EB"/>
    <w:rsid w:val="00BD5A74"/>
    <w:rsid w:val="00BD5C5A"/>
    <w:rsid w:val="00BD62AE"/>
    <w:rsid w:val="00BD71E0"/>
    <w:rsid w:val="00BD771D"/>
    <w:rsid w:val="00BD799D"/>
    <w:rsid w:val="00BD7A1B"/>
    <w:rsid w:val="00BD7FCF"/>
    <w:rsid w:val="00BE01C9"/>
    <w:rsid w:val="00BE13DF"/>
    <w:rsid w:val="00BE22F7"/>
    <w:rsid w:val="00BE2532"/>
    <w:rsid w:val="00BE2DE5"/>
    <w:rsid w:val="00BE42A7"/>
    <w:rsid w:val="00BE4A1F"/>
    <w:rsid w:val="00BE4C36"/>
    <w:rsid w:val="00BE57BE"/>
    <w:rsid w:val="00BE64D0"/>
    <w:rsid w:val="00BE6C18"/>
    <w:rsid w:val="00BE6F12"/>
    <w:rsid w:val="00BE7DA9"/>
    <w:rsid w:val="00BF00E1"/>
    <w:rsid w:val="00BF09BA"/>
    <w:rsid w:val="00BF3E59"/>
    <w:rsid w:val="00BF6406"/>
    <w:rsid w:val="00BF6A47"/>
    <w:rsid w:val="00BF6B36"/>
    <w:rsid w:val="00C0023F"/>
    <w:rsid w:val="00C00733"/>
    <w:rsid w:val="00C008E9"/>
    <w:rsid w:val="00C012AC"/>
    <w:rsid w:val="00C01D82"/>
    <w:rsid w:val="00C02105"/>
    <w:rsid w:val="00C02596"/>
    <w:rsid w:val="00C03C4F"/>
    <w:rsid w:val="00C04589"/>
    <w:rsid w:val="00C04C86"/>
    <w:rsid w:val="00C05659"/>
    <w:rsid w:val="00C0577B"/>
    <w:rsid w:val="00C0631F"/>
    <w:rsid w:val="00C064DC"/>
    <w:rsid w:val="00C06AAF"/>
    <w:rsid w:val="00C1053B"/>
    <w:rsid w:val="00C10FEE"/>
    <w:rsid w:val="00C11A9C"/>
    <w:rsid w:val="00C11CCE"/>
    <w:rsid w:val="00C12873"/>
    <w:rsid w:val="00C12898"/>
    <w:rsid w:val="00C1397B"/>
    <w:rsid w:val="00C142F6"/>
    <w:rsid w:val="00C14673"/>
    <w:rsid w:val="00C149BD"/>
    <w:rsid w:val="00C14C50"/>
    <w:rsid w:val="00C14DC6"/>
    <w:rsid w:val="00C15359"/>
    <w:rsid w:val="00C15BB8"/>
    <w:rsid w:val="00C168AE"/>
    <w:rsid w:val="00C1700F"/>
    <w:rsid w:val="00C17B34"/>
    <w:rsid w:val="00C17DC0"/>
    <w:rsid w:val="00C20035"/>
    <w:rsid w:val="00C2154C"/>
    <w:rsid w:val="00C220CA"/>
    <w:rsid w:val="00C22922"/>
    <w:rsid w:val="00C2453C"/>
    <w:rsid w:val="00C24A79"/>
    <w:rsid w:val="00C2535D"/>
    <w:rsid w:val="00C25BDA"/>
    <w:rsid w:val="00C2758A"/>
    <w:rsid w:val="00C31DE9"/>
    <w:rsid w:val="00C33104"/>
    <w:rsid w:val="00C332D4"/>
    <w:rsid w:val="00C33374"/>
    <w:rsid w:val="00C339FD"/>
    <w:rsid w:val="00C34B58"/>
    <w:rsid w:val="00C35CBF"/>
    <w:rsid w:val="00C36D1C"/>
    <w:rsid w:val="00C401D4"/>
    <w:rsid w:val="00C407F8"/>
    <w:rsid w:val="00C4216F"/>
    <w:rsid w:val="00C43675"/>
    <w:rsid w:val="00C440D3"/>
    <w:rsid w:val="00C443B9"/>
    <w:rsid w:val="00C44A03"/>
    <w:rsid w:val="00C44F5C"/>
    <w:rsid w:val="00C4609C"/>
    <w:rsid w:val="00C46DE1"/>
    <w:rsid w:val="00C47943"/>
    <w:rsid w:val="00C50BD0"/>
    <w:rsid w:val="00C51011"/>
    <w:rsid w:val="00C51344"/>
    <w:rsid w:val="00C51787"/>
    <w:rsid w:val="00C53129"/>
    <w:rsid w:val="00C53CF0"/>
    <w:rsid w:val="00C545A4"/>
    <w:rsid w:val="00C54608"/>
    <w:rsid w:val="00C54A93"/>
    <w:rsid w:val="00C54B1A"/>
    <w:rsid w:val="00C55AFE"/>
    <w:rsid w:val="00C55DCC"/>
    <w:rsid w:val="00C560AC"/>
    <w:rsid w:val="00C56753"/>
    <w:rsid w:val="00C56B08"/>
    <w:rsid w:val="00C5781C"/>
    <w:rsid w:val="00C57BD3"/>
    <w:rsid w:val="00C57C52"/>
    <w:rsid w:val="00C60109"/>
    <w:rsid w:val="00C60343"/>
    <w:rsid w:val="00C613B6"/>
    <w:rsid w:val="00C61417"/>
    <w:rsid w:val="00C614E5"/>
    <w:rsid w:val="00C61C58"/>
    <w:rsid w:val="00C61E5B"/>
    <w:rsid w:val="00C63997"/>
    <w:rsid w:val="00C639F4"/>
    <w:rsid w:val="00C644C2"/>
    <w:rsid w:val="00C64BB8"/>
    <w:rsid w:val="00C64CAF"/>
    <w:rsid w:val="00C653E3"/>
    <w:rsid w:val="00C65BD6"/>
    <w:rsid w:val="00C66555"/>
    <w:rsid w:val="00C665F8"/>
    <w:rsid w:val="00C66991"/>
    <w:rsid w:val="00C66C86"/>
    <w:rsid w:val="00C70970"/>
    <w:rsid w:val="00C7124D"/>
    <w:rsid w:val="00C71D3C"/>
    <w:rsid w:val="00C71DCB"/>
    <w:rsid w:val="00C71E8F"/>
    <w:rsid w:val="00C720CE"/>
    <w:rsid w:val="00C7304E"/>
    <w:rsid w:val="00C73477"/>
    <w:rsid w:val="00C738C0"/>
    <w:rsid w:val="00C73BE1"/>
    <w:rsid w:val="00C74018"/>
    <w:rsid w:val="00C747A1"/>
    <w:rsid w:val="00C7487F"/>
    <w:rsid w:val="00C74CF9"/>
    <w:rsid w:val="00C764CA"/>
    <w:rsid w:val="00C76A7B"/>
    <w:rsid w:val="00C82189"/>
    <w:rsid w:val="00C8315C"/>
    <w:rsid w:val="00C84F5E"/>
    <w:rsid w:val="00C85059"/>
    <w:rsid w:val="00C8508A"/>
    <w:rsid w:val="00C854D4"/>
    <w:rsid w:val="00C85D4E"/>
    <w:rsid w:val="00C86086"/>
    <w:rsid w:val="00C86C79"/>
    <w:rsid w:val="00C877F8"/>
    <w:rsid w:val="00C90556"/>
    <w:rsid w:val="00C91283"/>
    <w:rsid w:val="00C91BF1"/>
    <w:rsid w:val="00C92328"/>
    <w:rsid w:val="00C9285A"/>
    <w:rsid w:val="00C92E1D"/>
    <w:rsid w:val="00C9329F"/>
    <w:rsid w:val="00C94605"/>
    <w:rsid w:val="00C9469A"/>
    <w:rsid w:val="00C958CA"/>
    <w:rsid w:val="00C97E09"/>
    <w:rsid w:val="00CA0BA8"/>
    <w:rsid w:val="00CA0D78"/>
    <w:rsid w:val="00CA19BD"/>
    <w:rsid w:val="00CA29E4"/>
    <w:rsid w:val="00CA34EC"/>
    <w:rsid w:val="00CA37E1"/>
    <w:rsid w:val="00CA395C"/>
    <w:rsid w:val="00CA4855"/>
    <w:rsid w:val="00CA4A02"/>
    <w:rsid w:val="00CA4BD3"/>
    <w:rsid w:val="00CA5D90"/>
    <w:rsid w:val="00CA5E50"/>
    <w:rsid w:val="00CA66C5"/>
    <w:rsid w:val="00CA6FC9"/>
    <w:rsid w:val="00CA7C97"/>
    <w:rsid w:val="00CB0C01"/>
    <w:rsid w:val="00CB12E2"/>
    <w:rsid w:val="00CB24FE"/>
    <w:rsid w:val="00CB251C"/>
    <w:rsid w:val="00CB2FD3"/>
    <w:rsid w:val="00CB4156"/>
    <w:rsid w:val="00CB582E"/>
    <w:rsid w:val="00CB59D7"/>
    <w:rsid w:val="00CB6095"/>
    <w:rsid w:val="00CB6CA1"/>
    <w:rsid w:val="00CB6E43"/>
    <w:rsid w:val="00CB6F87"/>
    <w:rsid w:val="00CB7DA5"/>
    <w:rsid w:val="00CB7DB6"/>
    <w:rsid w:val="00CC018C"/>
    <w:rsid w:val="00CC073E"/>
    <w:rsid w:val="00CC1005"/>
    <w:rsid w:val="00CC2AA0"/>
    <w:rsid w:val="00CC57C6"/>
    <w:rsid w:val="00CC6848"/>
    <w:rsid w:val="00CC70BD"/>
    <w:rsid w:val="00CD0565"/>
    <w:rsid w:val="00CD264D"/>
    <w:rsid w:val="00CD30DF"/>
    <w:rsid w:val="00CD30E1"/>
    <w:rsid w:val="00CD3344"/>
    <w:rsid w:val="00CD4168"/>
    <w:rsid w:val="00CD4D02"/>
    <w:rsid w:val="00CD58FD"/>
    <w:rsid w:val="00CD5BB6"/>
    <w:rsid w:val="00CD6BDE"/>
    <w:rsid w:val="00CD6E65"/>
    <w:rsid w:val="00CE0431"/>
    <w:rsid w:val="00CE0809"/>
    <w:rsid w:val="00CE157C"/>
    <w:rsid w:val="00CE15B6"/>
    <w:rsid w:val="00CE1863"/>
    <w:rsid w:val="00CE1DE6"/>
    <w:rsid w:val="00CE1F60"/>
    <w:rsid w:val="00CE2738"/>
    <w:rsid w:val="00CE2DEC"/>
    <w:rsid w:val="00CE36C1"/>
    <w:rsid w:val="00CE3E2F"/>
    <w:rsid w:val="00CE4810"/>
    <w:rsid w:val="00CE5D7A"/>
    <w:rsid w:val="00CE67A0"/>
    <w:rsid w:val="00CE6D79"/>
    <w:rsid w:val="00CE6EB1"/>
    <w:rsid w:val="00CE6FEB"/>
    <w:rsid w:val="00CE74C4"/>
    <w:rsid w:val="00CE7E6B"/>
    <w:rsid w:val="00CF0627"/>
    <w:rsid w:val="00CF093F"/>
    <w:rsid w:val="00CF12CA"/>
    <w:rsid w:val="00CF1B02"/>
    <w:rsid w:val="00CF1F42"/>
    <w:rsid w:val="00CF283B"/>
    <w:rsid w:val="00CF28B8"/>
    <w:rsid w:val="00CF35E5"/>
    <w:rsid w:val="00CF3616"/>
    <w:rsid w:val="00CF41D4"/>
    <w:rsid w:val="00CF603E"/>
    <w:rsid w:val="00CF6BD4"/>
    <w:rsid w:val="00CF754A"/>
    <w:rsid w:val="00CF79AD"/>
    <w:rsid w:val="00CF7AC5"/>
    <w:rsid w:val="00D00574"/>
    <w:rsid w:val="00D00857"/>
    <w:rsid w:val="00D014C2"/>
    <w:rsid w:val="00D01B81"/>
    <w:rsid w:val="00D02327"/>
    <w:rsid w:val="00D02B90"/>
    <w:rsid w:val="00D03307"/>
    <w:rsid w:val="00D03549"/>
    <w:rsid w:val="00D04282"/>
    <w:rsid w:val="00D044FF"/>
    <w:rsid w:val="00D04ACF"/>
    <w:rsid w:val="00D05167"/>
    <w:rsid w:val="00D11DCF"/>
    <w:rsid w:val="00D12B65"/>
    <w:rsid w:val="00D1783C"/>
    <w:rsid w:val="00D21191"/>
    <w:rsid w:val="00D222AC"/>
    <w:rsid w:val="00D2250C"/>
    <w:rsid w:val="00D22DCE"/>
    <w:rsid w:val="00D24A2B"/>
    <w:rsid w:val="00D2523C"/>
    <w:rsid w:val="00D270B4"/>
    <w:rsid w:val="00D2798D"/>
    <w:rsid w:val="00D3091A"/>
    <w:rsid w:val="00D30945"/>
    <w:rsid w:val="00D34303"/>
    <w:rsid w:val="00D343FA"/>
    <w:rsid w:val="00D3477F"/>
    <w:rsid w:val="00D348D0"/>
    <w:rsid w:val="00D366E4"/>
    <w:rsid w:val="00D37209"/>
    <w:rsid w:val="00D376AD"/>
    <w:rsid w:val="00D376E1"/>
    <w:rsid w:val="00D37E80"/>
    <w:rsid w:val="00D403E2"/>
    <w:rsid w:val="00D404B8"/>
    <w:rsid w:val="00D406D9"/>
    <w:rsid w:val="00D418FF"/>
    <w:rsid w:val="00D41BB5"/>
    <w:rsid w:val="00D420FA"/>
    <w:rsid w:val="00D423E7"/>
    <w:rsid w:val="00D4330A"/>
    <w:rsid w:val="00D44453"/>
    <w:rsid w:val="00D44718"/>
    <w:rsid w:val="00D44F0C"/>
    <w:rsid w:val="00D45921"/>
    <w:rsid w:val="00D4597D"/>
    <w:rsid w:val="00D45D43"/>
    <w:rsid w:val="00D462AA"/>
    <w:rsid w:val="00D50099"/>
    <w:rsid w:val="00D50F4A"/>
    <w:rsid w:val="00D51637"/>
    <w:rsid w:val="00D52093"/>
    <w:rsid w:val="00D5219C"/>
    <w:rsid w:val="00D52B93"/>
    <w:rsid w:val="00D52F50"/>
    <w:rsid w:val="00D55400"/>
    <w:rsid w:val="00D56238"/>
    <w:rsid w:val="00D56432"/>
    <w:rsid w:val="00D5751F"/>
    <w:rsid w:val="00D60785"/>
    <w:rsid w:val="00D61320"/>
    <w:rsid w:val="00D62A24"/>
    <w:rsid w:val="00D6364D"/>
    <w:rsid w:val="00D64062"/>
    <w:rsid w:val="00D6478C"/>
    <w:rsid w:val="00D64A5F"/>
    <w:rsid w:val="00D655DA"/>
    <w:rsid w:val="00D65C76"/>
    <w:rsid w:val="00D67130"/>
    <w:rsid w:val="00D70B15"/>
    <w:rsid w:val="00D71889"/>
    <w:rsid w:val="00D734C7"/>
    <w:rsid w:val="00D73B9D"/>
    <w:rsid w:val="00D744EA"/>
    <w:rsid w:val="00D7518B"/>
    <w:rsid w:val="00D7542B"/>
    <w:rsid w:val="00D76C35"/>
    <w:rsid w:val="00D76FA9"/>
    <w:rsid w:val="00D77B14"/>
    <w:rsid w:val="00D77E60"/>
    <w:rsid w:val="00D77E84"/>
    <w:rsid w:val="00D803E4"/>
    <w:rsid w:val="00D805C6"/>
    <w:rsid w:val="00D809CD"/>
    <w:rsid w:val="00D80E58"/>
    <w:rsid w:val="00D81938"/>
    <w:rsid w:val="00D81A6D"/>
    <w:rsid w:val="00D8351F"/>
    <w:rsid w:val="00D836E6"/>
    <w:rsid w:val="00D83785"/>
    <w:rsid w:val="00D83BEF"/>
    <w:rsid w:val="00D84E26"/>
    <w:rsid w:val="00D85833"/>
    <w:rsid w:val="00D86F5E"/>
    <w:rsid w:val="00D870DC"/>
    <w:rsid w:val="00D93D9D"/>
    <w:rsid w:val="00D94167"/>
    <w:rsid w:val="00D95108"/>
    <w:rsid w:val="00D95435"/>
    <w:rsid w:val="00D9614C"/>
    <w:rsid w:val="00D962FC"/>
    <w:rsid w:val="00D96FE1"/>
    <w:rsid w:val="00D9768E"/>
    <w:rsid w:val="00DA0116"/>
    <w:rsid w:val="00DA0E6F"/>
    <w:rsid w:val="00DA1732"/>
    <w:rsid w:val="00DA1D32"/>
    <w:rsid w:val="00DA248A"/>
    <w:rsid w:val="00DA2C9C"/>
    <w:rsid w:val="00DA2F73"/>
    <w:rsid w:val="00DA3AB5"/>
    <w:rsid w:val="00DA3FCF"/>
    <w:rsid w:val="00DA3FE4"/>
    <w:rsid w:val="00DA4D11"/>
    <w:rsid w:val="00DA53A4"/>
    <w:rsid w:val="00DA56F9"/>
    <w:rsid w:val="00DA588A"/>
    <w:rsid w:val="00DA60A6"/>
    <w:rsid w:val="00DA7131"/>
    <w:rsid w:val="00DA7A55"/>
    <w:rsid w:val="00DB0164"/>
    <w:rsid w:val="00DB0A9B"/>
    <w:rsid w:val="00DB12C5"/>
    <w:rsid w:val="00DB23A8"/>
    <w:rsid w:val="00DB2832"/>
    <w:rsid w:val="00DB2C4D"/>
    <w:rsid w:val="00DB3695"/>
    <w:rsid w:val="00DB45F5"/>
    <w:rsid w:val="00DB464B"/>
    <w:rsid w:val="00DB671A"/>
    <w:rsid w:val="00DB6DAA"/>
    <w:rsid w:val="00DB6FC8"/>
    <w:rsid w:val="00DB6FCA"/>
    <w:rsid w:val="00DB755D"/>
    <w:rsid w:val="00DC042E"/>
    <w:rsid w:val="00DC0689"/>
    <w:rsid w:val="00DC0A93"/>
    <w:rsid w:val="00DC15E2"/>
    <w:rsid w:val="00DC307B"/>
    <w:rsid w:val="00DC332C"/>
    <w:rsid w:val="00DC343B"/>
    <w:rsid w:val="00DC39CB"/>
    <w:rsid w:val="00DC3DE9"/>
    <w:rsid w:val="00DC462F"/>
    <w:rsid w:val="00DC46A1"/>
    <w:rsid w:val="00DC4882"/>
    <w:rsid w:val="00DC499A"/>
    <w:rsid w:val="00DC6A1C"/>
    <w:rsid w:val="00DC6FC8"/>
    <w:rsid w:val="00DC74BD"/>
    <w:rsid w:val="00DD0DF4"/>
    <w:rsid w:val="00DD328F"/>
    <w:rsid w:val="00DD37A6"/>
    <w:rsid w:val="00DD48EC"/>
    <w:rsid w:val="00DD4A8B"/>
    <w:rsid w:val="00DD4D58"/>
    <w:rsid w:val="00DD6A21"/>
    <w:rsid w:val="00DD6F52"/>
    <w:rsid w:val="00DD79A7"/>
    <w:rsid w:val="00DD7D64"/>
    <w:rsid w:val="00DD7F46"/>
    <w:rsid w:val="00DE134A"/>
    <w:rsid w:val="00DE16AF"/>
    <w:rsid w:val="00DE18A7"/>
    <w:rsid w:val="00DE1CED"/>
    <w:rsid w:val="00DE2EFB"/>
    <w:rsid w:val="00DE2F0A"/>
    <w:rsid w:val="00DE4166"/>
    <w:rsid w:val="00DE5A05"/>
    <w:rsid w:val="00DE60CA"/>
    <w:rsid w:val="00DE61AB"/>
    <w:rsid w:val="00DF02D5"/>
    <w:rsid w:val="00DF0D90"/>
    <w:rsid w:val="00DF11CC"/>
    <w:rsid w:val="00DF2BC8"/>
    <w:rsid w:val="00DF2DF6"/>
    <w:rsid w:val="00DF3DCE"/>
    <w:rsid w:val="00DF4577"/>
    <w:rsid w:val="00DF4A3B"/>
    <w:rsid w:val="00DF4F0C"/>
    <w:rsid w:val="00DF528D"/>
    <w:rsid w:val="00DF5CFF"/>
    <w:rsid w:val="00DF5D66"/>
    <w:rsid w:val="00DF5F34"/>
    <w:rsid w:val="00DF671D"/>
    <w:rsid w:val="00DF6DB4"/>
    <w:rsid w:val="00E01608"/>
    <w:rsid w:val="00E01848"/>
    <w:rsid w:val="00E01979"/>
    <w:rsid w:val="00E01EE7"/>
    <w:rsid w:val="00E02517"/>
    <w:rsid w:val="00E02977"/>
    <w:rsid w:val="00E02DC2"/>
    <w:rsid w:val="00E04051"/>
    <w:rsid w:val="00E04DDA"/>
    <w:rsid w:val="00E05ABB"/>
    <w:rsid w:val="00E078EE"/>
    <w:rsid w:val="00E07D0F"/>
    <w:rsid w:val="00E10E91"/>
    <w:rsid w:val="00E10F15"/>
    <w:rsid w:val="00E11ED6"/>
    <w:rsid w:val="00E129A9"/>
    <w:rsid w:val="00E12E48"/>
    <w:rsid w:val="00E13A13"/>
    <w:rsid w:val="00E13F2A"/>
    <w:rsid w:val="00E14651"/>
    <w:rsid w:val="00E14659"/>
    <w:rsid w:val="00E14833"/>
    <w:rsid w:val="00E1675F"/>
    <w:rsid w:val="00E16BFB"/>
    <w:rsid w:val="00E17A07"/>
    <w:rsid w:val="00E202A4"/>
    <w:rsid w:val="00E207CF"/>
    <w:rsid w:val="00E223D8"/>
    <w:rsid w:val="00E22BCB"/>
    <w:rsid w:val="00E22D33"/>
    <w:rsid w:val="00E237F8"/>
    <w:rsid w:val="00E2409A"/>
    <w:rsid w:val="00E244B7"/>
    <w:rsid w:val="00E24FA3"/>
    <w:rsid w:val="00E25229"/>
    <w:rsid w:val="00E25348"/>
    <w:rsid w:val="00E26B28"/>
    <w:rsid w:val="00E27314"/>
    <w:rsid w:val="00E276DA"/>
    <w:rsid w:val="00E2773E"/>
    <w:rsid w:val="00E27B3D"/>
    <w:rsid w:val="00E27B91"/>
    <w:rsid w:val="00E31465"/>
    <w:rsid w:val="00E318BD"/>
    <w:rsid w:val="00E31E61"/>
    <w:rsid w:val="00E328CD"/>
    <w:rsid w:val="00E32CC2"/>
    <w:rsid w:val="00E33279"/>
    <w:rsid w:val="00E3489E"/>
    <w:rsid w:val="00E354EA"/>
    <w:rsid w:val="00E35F55"/>
    <w:rsid w:val="00E362AF"/>
    <w:rsid w:val="00E362F0"/>
    <w:rsid w:val="00E36B95"/>
    <w:rsid w:val="00E36CE2"/>
    <w:rsid w:val="00E37366"/>
    <w:rsid w:val="00E37560"/>
    <w:rsid w:val="00E37C66"/>
    <w:rsid w:val="00E4003F"/>
    <w:rsid w:val="00E422D5"/>
    <w:rsid w:val="00E43129"/>
    <w:rsid w:val="00E43E06"/>
    <w:rsid w:val="00E44677"/>
    <w:rsid w:val="00E44D1B"/>
    <w:rsid w:val="00E458F6"/>
    <w:rsid w:val="00E45954"/>
    <w:rsid w:val="00E46106"/>
    <w:rsid w:val="00E46704"/>
    <w:rsid w:val="00E46C21"/>
    <w:rsid w:val="00E46C83"/>
    <w:rsid w:val="00E47D16"/>
    <w:rsid w:val="00E47EE1"/>
    <w:rsid w:val="00E50B1E"/>
    <w:rsid w:val="00E515D6"/>
    <w:rsid w:val="00E51F4D"/>
    <w:rsid w:val="00E51F54"/>
    <w:rsid w:val="00E522AC"/>
    <w:rsid w:val="00E5293C"/>
    <w:rsid w:val="00E53546"/>
    <w:rsid w:val="00E54025"/>
    <w:rsid w:val="00E54344"/>
    <w:rsid w:val="00E54540"/>
    <w:rsid w:val="00E55551"/>
    <w:rsid w:val="00E556E6"/>
    <w:rsid w:val="00E55BA0"/>
    <w:rsid w:val="00E55F24"/>
    <w:rsid w:val="00E564D2"/>
    <w:rsid w:val="00E56B6E"/>
    <w:rsid w:val="00E56E81"/>
    <w:rsid w:val="00E57643"/>
    <w:rsid w:val="00E619A9"/>
    <w:rsid w:val="00E61F42"/>
    <w:rsid w:val="00E62342"/>
    <w:rsid w:val="00E62AE0"/>
    <w:rsid w:val="00E633E0"/>
    <w:rsid w:val="00E63590"/>
    <w:rsid w:val="00E64048"/>
    <w:rsid w:val="00E64483"/>
    <w:rsid w:val="00E64F52"/>
    <w:rsid w:val="00E652EB"/>
    <w:rsid w:val="00E700B5"/>
    <w:rsid w:val="00E71130"/>
    <w:rsid w:val="00E71504"/>
    <w:rsid w:val="00E72CFF"/>
    <w:rsid w:val="00E72D42"/>
    <w:rsid w:val="00E7352E"/>
    <w:rsid w:val="00E73959"/>
    <w:rsid w:val="00E739E1"/>
    <w:rsid w:val="00E740B8"/>
    <w:rsid w:val="00E74A3C"/>
    <w:rsid w:val="00E74D8C"/>
    <w:rsid w:val="00E7531B"/>
    <w:rsid w:val="00E7542F"/>
    <w:rsid w:val="00E779CB"/>
    <w:rsid w:val="00E80355"/>
    <w:rsid w:val="00E819AB"/>
    <w:rsid w:val="00E81C32"/>
    <w:rsid w:val="00E81D0C"/>
    <w:rsid w:val="00E81DF9"/>
    <w:rsid w:val="00E824AD"/>
    <w:rsid w:val="00E82F35"/>
    <w:rsid w:val="00E8360E"/>
    <w:rsid w:val="00E83D3E"/>
    <w:rsid w:val="00E83EBC"/>
    <w:rsid w:val="00E84919"/>
    <w:rsid w:val="00E860B8"/>
    <w:rsid w:val="00E86876"/>
    <w:rsid w:val="00E87074"/>
    <w:rsid w:val="00E874A7"/>
    <w:rsid w:val="00E9014D"/>
    <w:rsid w:val="00E90F01"/>
    <w:rsid w:val="00E9193F"/>
    <w:rsid w:val="00E91FDD"/>
    <w:rsid w:val="00E9218B"/>
    <w:rsid w:val="00E924B0"/>
    <w:rsid w:val="00E94136"/>
    <w:rsid w:val="00E96056"/>
    <w:rsid w:val="00E96147"/>
    <w:rsid w:val="00E96EEE"/>
    <w:rsid w:val="00E9722A"/>
    <w:rsid w:val="00E9754B"/>
    <w:rsid w:val="00E97D12"/>
    <w:rsid w:val="00EA0738"/>
    <w:rsid w:val="00EA1DAA"/>
    <w:rsid w:val="00EA346B"/>
    <w:rsid w:val="00EA3C69"/>
    <w:rsid w:val="00EA3F24"/>
    <w:rsid w:val="00EA44D9"/>
    <w:rsid w:val="00EA46CB"/>
    <w:rsid w:val="00EA4FBC"/>
    <w:rsid w:val="00EB1616"/>
    <w:rsid w:val="00EB1CAF"/>
    <w:rsid w:val="00EB2B74"/>
    <w:rsid w:val="00EB36CF"/>
    <w:rsid w:val="00EB37E1"/>
    <w:rsid w:val="00EB42B4"/>
    <w:rsid w:val="00EB503E"/>
    <w:rsid w:val="00EB5946"/>
    <w:rsid w:val="00EB5D3E"/>
    <w:rsid w:val="00EB5E60"/>
    <w:rsid w:val="00EB6A76"/>
    <w:rsid w:val="00EB6D56"/>
    <w:rsid w:val="00EB77BE"/>
    <w:rsid w:val="00EB7E41"/>
    <w:rsid w:val="00EC0674"/>
    <w:rsid w:val="00EC0BE5"/>
    <w:rsid w:val="00EC0EE0"/>
    <w:rsid w:val="00EC0F70"/>
    <w:rsid w:val="00EC1F18"/>
    <w:rsid w:val="00EC28A4"/>
    <w:rsid w:val="00EC2A24"/>
    <w:rsid w:val="00EC3176"/>
    <w:rsid w:val="00EC3312"/>
    <w:rsid w:val="00EC33FF"/>
    <w:rsid w:val="00EC341D"/>
    <w:rsid w:val="00EC4F79"/>
    <w:rsid w:val="00EC4FA5"/>
    <w:rsid w:val="00EC524C"/>
    <w:rsid w:val="00EC66AA"/>
    <w:rsid w:val="00EC6BC3"/>
    <w:rsid w:val="00ED0312"/>
    <w:rsid w:val="00ED05B6"/>
    <w:rsid w:val="00ED0C1F"/>
    <w:rsid w:val="00ED11C0"/>
    <w:rsid w:val="00ED1551"/>
    <w:rsid w:val="00ED2DBD"/>
    <w:rsid w:val="00ED36CB"/>
    <w:rsid w:val="00ED57E7"/>
    <w:rsid w:val="00ED5805"/>
    <w:rsid w:val="00ED6421"/>
    <w:rsid w:val="00ED7E1D"/>
    <w:rsid w:val="00ED7E23"/>
    <w:rsid w:val="00EE006B"/>
    <w:rsid w:val="00EE12FE"/>
    <w:rsid w:val="00EE1AD6"/>
    <w:rsid w:val="00EE2A3C"/>
    <w:rsid w:val="00EE4059"/>
    <w:rsid w:val="00EE4E3F"/>
    <w:rsid w:val="00EE5F86"/>
    <w:rsid w:val="00EE5FA0"/>
    <w:rsid w:val="00EF14FE"/>
    <w:rsid w:val="00EF1F33"/>
    <w:rsid w:val="00EF5811"/>
    <w:rsid w:val="00EF59D0"/>
    <w:rsid w:val="00EF67DF"/>
    <w:rsid w:val="00EF6B3B"/>
    <w:rsid w:val="00EF7EA3"/>
    <w:rsid w:val="00F01D02"/>
    <w:rsid w:val="00F01D5E"/>
    <w:rsid w:val="00F020E0"/>
    <w:rsid w:val="00F02984"/>
    <w:rsid w:val="00F030E3"/>
    <w:rsid w:val="00F03B46"/>
    <w:rsid w:val="00F046B2"/>
    <w:rsid w:val="00F05909"/>
    <w:rsid w:val="00F06251"/>
    <w:rsid w:val="00F069B2"/>
    <w:rsid w:val="00F06FC4"/>
    <w:rsid w:val="00F0799D"/>
    <w:rsid w:val="00F107A0"/>
    <w:rsid w:val="00F11A52"/>
    <w:rsid w:val="00F11AAB"/>
    <w:rsid w:val="00F11D27"/>
    <w:rsid w:val="00F11E97"/>
    <w:rsid w:val="00F1217E"/>
    <w:rsid w:val="00F127A8"/>
    <w:rsid w:val="00F1333B"/>
    <w:rsid w:val="00F149F3"/>
    <w:rsid w:val="00F14C6D"/>
    <w:rsid w:val="00F17043"/>
    <w:rsid w:val="00F2122B"/>
    <w:rsid w:val="00F220A5"/>
    <w:rsid w:val="00F22759"/>
    <w:rsid w:val="00F2377B"/>
    <w:rsid w:val="00F248FF"/>
    <w:rsid w:val="00F24A85"/>
    <w:rsid w:val="00F252E8"/>
    <w:rsid w:val="00F2580B"/>
    <w:rsid w:val="00F25E10"/>
    <w:rsid w:val="00F275F4"/>
    <w:rsid w:val="00F27FD8"/>
    <w:rsid w:val="00F3070F"/>
    <w:rsid w:val="00F309A1"/>
    <w:rsid w:val="00F3107D"/>
    <w:rsid w:val="00F31193"/>
    <w:rsid w:val="00F3253C"/>
    <w:rsid w:val="00F32960"/>
    <w:rsid w:val="00F32C68"/>
    <w:rsid w:val="00F32C8D"/>
    <w:rsid w:val="00F3304C"/>
    <w:rsid w:val="00F33295"/>
    <w:rsid w:val="00F3391C"/>
    <w:rsid w:val="00F33B65"/>
    <w:rsid w:val="00F34362"/>
    <w:rsid w:val="00F34543"/>
    <w:rsid w:val="00F34BC9"/>
    <w:rsid w:val="00F35DA6"/>
    <w:rsid w:val="00F36010"/>
    <w:rsid w:val="00F36391"/>
    <w:rsid w:val="00F367F7"/>
    <w:rsid w:val="00F36B28"/>
    <w:rsid w:val="00F36C76"/>
    <w:rsid w:val="00F36D8C"/>
    <w:rsid w:val="00F404D7"/>
    <w:rsid w:val="00F40CFD"/>
    <w:rsid w:val="00F4207F"/>
    <w:rsid w:val="00F43042"/>
    <w:rsid w:val="00F43061"/>
    <w:rsid w:val="00F430BE"/>
    <w:rsid w:val="00F43FE9"/>
    <w:rsid w:val="00F4431F"/>
    <w:rsid w:val="00F452BF"/>
    <w:rsid w:val="00F45389"/>
    <w:rsid w:val="00F454A6"/>
    <w:rsid w:val="00F45B5A"/>
    <w:rsid w:val="00F45D79"/>
    <w:rsid w:val="00F46E61"/>
    <w:rsid w:val="00F4750A"/>
    <w:rsid w:val="00F47D39"/>
    <w:rsid w:val="00F513AE"/>
    <w:rsid w:val="00F54D23"/>
    <w:rsid w:val="00F5611C"/>
    <w:rsid w:val="00F56E5C"/>
    <w:rsid w:val="00F60170"/>
    <w:rsid w:val="00F619F1"/>
    <w:rsid w:val="00F6201E"/>
    <w:rsid w:val="00F63410"/>
    <w:rsid w:val="00F63621"/>
    <w:rsid w:val="00F65284"/>
    <w:rsid w:val="00F658FF"/>
    <w:rsid w:val="00F660AD"/>
    <w:rsid w:val="00F66613"/>
    <w:rsid w:val="00F700A5"/>
    <w:rsid w:val="00F705F0"/>
    <w:rsid w:val="00F70A44"/>
    <w:rsid w:val="00F7150D"/>
    <w:rsid w:val="00F71579"/>
    <w:rsid w:val="00F7166B"/>
    <w:rsid w:val="00F7250D"/>
    <w:rsid w:val="00F7270D"/>
    <w:rsid w:val="00F7384D"/>
    <w:rsid w:val="00F73A96"/>
    <w:rsid w:val="00F7570F"/>
    <w:rsid w:val="00F7595A"/>
    <w:rsid w:val="00F768BA"/>
    <w:rsid w:val="00F771B8"/>
    <w:rsid w:val="00F77682"/>
    <w:rsid w:val="00F77AE9"/>
    <w:rsid w:val="00F77D8A"/>
    <w:rsid w:val="00F77EC1"/>
    <w:rsid w:val="00F802C3"/>
    <w:rsid w:val="00F8196E"/>
    <w:rsid w:val="00F8302E"/>
    <w:rsid w:val="00F83206"/>
    <w:rsid w:val="00F85FB8"/>
    <w:rsid w:val="00F8619F"/>
    <w:rsid w:val="00F86DAB"/>
    <w:rsid w:val="00F903FC"/>
    <w:rsid w:val="00F90CE2"/>
    <w:rsid w:val="00F90FF5"/>
    <w:rsid w:val="00F9125B"/>
    <w:rsid w:val="00F91897"/>
    <w:rsid w:val="00F92179"/>
    <w:rsid w:val="00F921A3"/>
    <w:rsid w:val="00F927AC"/>
    <w:rsid w:val="00F92EB1"/>
    <w:rsid w:val="00F9462A"/>
    <w:rsid w:val="00F95061"/>
    <w:rsid w:val="00F9514A"/>
    <w:rsid w:val="00F959F4"/>
    <w:rsid w:val="00F969CF"/>
    <w:rsid w:val="00F96E5E"/>
    <w:rsid w:val="00F9755F"/>
    <w:rsid w:val="00FA1062"/>
    <w:rsid w:val="00FA143B"/>
    <w:rsid w:val="00FA1B02"/>
    <w:rsid w:val="00FA3122"/>
    <w:rsid w:val="00FA40CC"/>
    <w:rsid w:val="00FA41D5"/>
    <w:rsid w:val="00FA4916"/>
    <w:rsid w:val="00FA4D4E"/>
    <w:rsid w:val="00FA51C5"/>
    <w:rsid w:val="00FA5346"/>
    <w:rsid w:val="00FA5F29"/>
    <w:rsid w:val="00FA7A89"/>
    <w:rsid w:val="00FA7E5C"/>
    <w:rsid w:val="00FB019A"/>
    <w:rsid w:val="00FB0614"/>
    <w:rsid w:val="00FB0693"/>
    <w:rsid w:val="00FB193D"/>
    <w:rsid w:val="00FB1A0F"/>
    <w:rsid w:val="00FB28C5"/>
    <w:rsid w:val="00FB2E2D"/>
    <w:rsid w:val="00FB3422"/>
    <w:rsid w:val="00FB6D60"/>
    <w:rsid w:val="00FB7AD6"/>
    <w:rsid w:val="00FB7F4B"/>
    <w:rsid w:val="00FC0263"/>
    <w:rsid w:val="00FC0739"/>
    <w:rsid w:val="00FC0E35"/>
    <w:rsid w:val="00FC19CB"/>
    <w:rsid w:val="00FC1C1C"/>
    <w:rsid w:val="00FC2486"/>
    <w:rsid w:val="00FC3507"/>
    <w:rsid w:val="00FC368C"/>
    <w:rsid w:val="00FC3FB9"/>
    <w:rsid w:val="00FC6BB1"/>
    <w:rsid w:val="00FC73E6"/>
    <w:rsid w:val="00FCC980"/>
    <w:rsid w:val="00FD01B5"/>
    <w:rsid w:val="00FD1004"/>
    <w:rsid w:val="00FD4668"/>
    <w:rsid w:val="00FD4892"/>
    <w:rsid w:val="00FD4DD3"/>
    <w:rsid w:val="00FD4DD9"/>
    <w:rsid w:val="00FD549E"/>
    <w:rsid w:val="00FD5555"/>
    <w:rsid w:val="00FD5AE2"/>
    <w:rsid w:val="00FD5BF0"/>
    <w:rsid w:val="00FD5FE7"/>
    <w:rsid w:val="00FD6896"/>
    <w:rsid w:val="00FD71C9"/>
    <w:rsid w:val="00FD74AC"/>
    <w:rsid w:val="00FD7882"/>
    <w:rsid w:val="00FE0009"/>
    <w:rsid w:val="00FE06E6"/>
    <w:rsid w:val="00FE139E"/>
    <w:rsid w:val="00FE1963"/>
    <w:rsid w:val="00FE1B00"/>
    <w:rsid w:val="00FE2973"/>
    <w:rsid w:val="00FE2D33"/>
    <w:rsid w:val="00FE323D"/>
    <w:rsid w:val="00FE3890"/>
    <w:rsid w:val="00FE4D0D"/>
    <w:rsid w:val="00FE6E55"/>
    <w:rsid w:val="00FE6F01"/>
    <w:rsid w:val="00FF0344"/>
    <w:rsid w:val="00FF2F4A"/>
    <w:rsid w:val="00FF34AC"/>
    <w:rsid w:val="00FF3ACE"/>
    <w:rsid w:val="00FF42B6"/>
    <w:rsid w:val="00FF5606"/>
    <w:rsid w:val="00FF561F"/>
    <w:rsid w:val="00FF5A1F"/>
    <w:rsid w:val="00FF7067"/>
    <w:rsid w:val="00FF7ABA"/>
    <w:rsid w:val="00FF7E61"/>
    <w:rsid w:val="014B6650"/>
    <w:rsid w:val="01A62EC9"/>
    <w:rsid w:val="01E5E4CB"/>
    <w:rsid w:val="02007162"/>
    <w:rsid w:val="024310D4"/>
    <w:rsid w:val="0292C5D8"/>
    <w:rsid w:val="03484C39"/>
    <w:rsid w:val="044883A5"/>
    <w:rsid w:val="0458346E"/>
    <w:rsid w:val="04CA0DCE"/>
    <w:rsid w:val="04DB2C2C"/>
    <w:rsid w:val="058AF9D4"/>
    <w:rsid w:val="060A8AA4"/>
    <w:rsid w:val="06406D98"/>
    <w:rsid w:val="067B3585"/>
    <w:rsid w:val="06D4D443"/>
    <w:rsid w:val="070B3D65"/>
    <w:rsid w:val="07F69D36"/>
    <w:rsid w:val="07FDAAFC"/>
    <w:rsid w:val="080DB3C4"/>
    <w:rsid w:val="0847470B"/>
    <w:rsid w:val="08E5752B"/>
    <w:rsid w:val="08EEBDBE"/>
    <w:rsid w:val="0923F8AB"/>
    <w:rsid w:val="092C497D"/>
    <w:rsid w:val="0A34B84A"/>
    <w:rsid w:val="0B48214D"/>
    <w:rsid w:val="0B6DF492"/>
    <w:rsid w:val="0C2E45C2"/>
    <w:rsid w:val="0CD45080"/>
    <w:rsid w:val="0D7C074F"/>
    <w:rsid w:val="0D89A2E1"/>
    <w:rsid w:val="0E4276C7"/>
    <w:rsid w:val="0EB69CA6"/>
    <w:rsid w:val="0F4BC65C"/>
    <w:rsid w:val="0F5F4E37"/>
    <w:rsid w:val="0F853CE8"/>
    <w:rsid w:val="0FD90031"/>
    <w:rsid w:val="10CE8D48"/>
    <w:rsid w:val="10FD360C"/>
    <w:rsid w:val="114B8BCA"/>
    <w:rsid w:val="11851DE5"/>
    <w:rsid w:val="118EF665"/>
    <w:rsid w:val="11DB3328"/>
    <w:rsid w:val="124145E5"/>
    <w:rsid w:val="127239A9"/>
    <w:rsid w:val="12EBCF22"/>
    <w:rsid w:val="13A15D2B"/>
    <w:rsid w:val="13AACE9C"/>
    <w:rsid w:val="14275D9D"/>
    <w:rsid w:val="14B81212"/>
    <w:rsid w:val="14E796BB"/>
    <w:rsid w:val="15A2EC28"/>
    <w:rsid w:val="1609AFB1"/>
    <w:rsid w:val="169061E8"/>
    <w:rsid w:val="16B5EC19"/>
    <w:rsid w:val="17575A09"/>
    <w:rsid w:val="17AE9B58"/>
    <w:rsid w:val="17B9BFC6"/>
    <w:rsid w:val="17D8D7C9"/>
    <w:rsid w:val="17DEBC72"/>
    <w:rsid w:val="18A80C2A"/>
    <w:rsid w:val="18F2490A"/>
    <w:rsid w:val="1932C1CD"/>
    <w:rsid w:val="19E5CC1F"/>
    <w:rsid w:val="1A9B592C"/>
    <w:rsid w:val="1AC2D260"/>
    <w:rsid w:val="1B89645B"/>
    <w:rsid w:val="1CBA0FF3"/>
    <w:rsid w:val="1D169F0B"/>
    <w:rsid w:val="1D43BF52"/>
    <w:rsid w:val="1D813AA1"/>
    <w:rsid w:val="1E008F19"/>
    <w:rsid w:val="1E4F77EF"/>
    <w:rsid w:val="1E67F201"/>
    <w:rsid w:val="1EC8EEC6"/>
    <w:rsid w:val="1F7C232C"/>
    <w:rsid w:val="1FE7A876"/>
    <w:rsid w:val="1FE8CBD6"/>
    <w:rsid w:val="2004A5A5"/>
    <w:rsid w:val="21589E72"/>
    <w:rsid w:val="21A3D276"/>
    <w:rsid w:val="22A734BA"/>
    <w:rsid w:val="23B5424D"/>
    <w:rsid w:val="241248D1"/>
    <w:rsid w:val="266D18CD"/>
    <w:rsid w:val="27145F82"/>
    <w:rsid w:val="275D1694"/>
    <w:rsid w:val="27FA3905"/>
    <w:rsid w:val="28E0C70D"/>
    <w:rsid w:val="2956153F"/>
    <w:rsid w:val="2A704528"/>
    <w:rsid w:val="2A7CDCCC"/>
    <w:rsid w:val="2AB12D1C"/>
    <w:rsid w:val="2B7B1EFC"/>
    <w:rsid w:val="2B95887B"/>
    <w:rsid w:val="2C154418"/>
    <w:rsid w:val="2D107E14"/>
    <w:rsid w:val="2D5CD15E"/>
    <w:rsid w:val="2D63B9E3"/>
    <w:rsid w:val="2D7F0405"/>
    <w:rsid w:val="2DDB83B1"/>
    <w:rsid w:val="2ECF8708"/>
    <w:rsid w:val="2EE56E5E"/>
    <w:rsid w:val="2EEBAE9C"/>
    <w:rsid w:val="2EFDD2A9"/>
    <w:rsid w:val="2F8E67FD"/>
    <w:rsid w:val="2F9D8751"/>
    <w:rsid w:val="2FC66BC8"/>
    <w:rsid w:val="2FD7E139"/>
    <w:rsid w:val="2FED0E63"/>
    <w:rsid w:val="30C5A680"/>
    <w:rsid w:val="317F98E9"/>
    <w:rsid w:val="3230E250"/>
    <w:rsid w:val="323D86E0"/>
    <w:rsid w:val="32710E1F"/>
    <w:rsid w:val="32742DDC"/>
    <w:rsid w:val="337EDF54"/>
    <w:rsid w:val="33B83B73"/>
    <w:rsid w:val="33D88675"/>
    <w:rsid w:val="33FA279B"/>
    <w:rsid w:val="343D2FFD"/>
    <w:rsid w:val="3550E824"/>
    <w:rsid w:val="369A1C48"/>
    <w:rsid w:val="37591F5F"/>
    <w:rsid w:val="38355B35"/>
    <w:rsid w:val="388AB848"/>
    <w:rsid w:val="39F4AC13"/>
    <w:rsid w:val="3B44C778"/>
    <w:rsid w:val="3B77FD60"/>
    <w:rsid w:val="3BBCC33F"/>
    <w:rsid w:val="3BC369B3"/>
    <w:rsid w:val="3CA91B46"/>
    <w:rsid w:val="3D0D39B9"/>
    <w:rsid w:val="3D5FFB4B"/>
    <w:rsid w:val="3D698F4E"/>
    <w:rsid w:val="3DF67A42"/>
    <w:rsid w:val="3E6B58F0"/>
    <w:rsid w:val="3E76A79C"/>
    <w:rsid w:val="3E84DB2A"/>
    <w:rsid w:val="3F178D08"/>
    <w:rsid w:val="3F634E2D"/>
    <w:rsid w:val="4013AAA3"/>
    <w:rsid w:val="403D7B3B"/>
    <w:rsid w:val="408A79F6"/>
    <w:rsid w:val="409EEAED"/>
    <w:rsid w:val="40B66F23"/>
    <w:rsid w:val="410D307C"/>
    <w:rsid w:val="41104D4D"/>
    <w:rsid w:val="41185B6F"/>
    <w:rsid w:val="41AD0F0A"/>
    <w:rsid w:val="41CA622D"/>
    <w:rsid w:val="4363F3B3"/>
    <w:rsid w:val="43685EA5"/>
    <w:rsid w:val="438CEDF1"/>
    <w:rsid w:val="43C83BB5"/>
    <w:rsid w:val="44531343"/>
    <w:rsid w:val="452C17CF"/>
    <w:rsid w:val="456C1C84"/>
    <w:rsid w:val="45A973DD"/>
    <w:rsid w:val="47672730"/>
    <w:rsid w:val="47B47A2F"/>
    <w:rsid w:val="487A4A14"/>
    <w:rsid w:val="494E2CE8"/>
    <w:rsid w:val="49B4BE8E"/>
    <w:rsid w:val="49F52372"/>
    <w:rsid w:val="4A6C4A54"/>
    <w:rsid w:val="4A7F4030"/>
    <w:rsid w:val="4AC8442E"/>
    <w:rsid w:val="4B5A6F81"/>
    <w:rsid w:val="4C860528"/>
    <w:rsid w:val="4C8A9217"/>
    <w:rsid w:val="4CC86054"/>
    <w:rsid w:val="4F96A069"/>
    <w:rsid w:val="5014E356"/>
    <w:rsid w:val="506A5B9B"/>
    <w:rsid w:val="506EA53E"/>
    <w:rsid w:val="50816AEC"/>
    <w:rsid w:val="50D842AC"/>
    <w:rsid w:val="51408ED1"/>
    <w:rsid w:val="51BE6835"/>
    <w:rsid w:val="53016D06"/>
    <w:rsid w:val="53F9CCD9"/>
    <w:rsid w:val="543161E5"/>
    <w:rsid w:val="549DDBF8"/>
    <w:rsid w:val="549E7B8F"/>
    <w:rsid w:val="54BEA2EC"/>
    <w:rsid w:val="54D7F463"/>
    <w:rsid w:val="553F15F7"/>
    <w:rsid w:val="5747EA62"/>
    <w:rsid w:val="575B0308"/>
    <w:rsid w:val="579128D0"/>
    <w:rsid w:val="579C46A8"/>
    <w:rsid w:val="57C89E56"/>
    <w:rsid w:val="57E2E762"/>
    <w:rsid w:val="581AAD77"/>
    <w:rsid w:val="58C69512"/>
    <w:rsid w:val="5A5E78E4"/>
    <w:rsid w:val="5A90AA3A"/>
    <w:rsid w:val="5C8BB59E"/>
    <w:rsid w:val="5E781CB7"/>
    <w:rsid w:val="5E899D2A"/>
    <w:rsid w:val="5F019DE0"/>
    <w:rsid w:val="5FC3853E"/>
    <w:rsid w:val="5FF9B66A"/>
    <w:rsid w:val="60240FF9"/>
    <w:rsid w:val="60381675"/>
    <w:rsid w:val="6049CDEA"/>
    <w:rsid w:val="60AC9388"/>
    <w:rsid w:val="6119D279"/>
    <w:rsid w:val="6239D518"/>
    <w:rsid w:val="64B21D1D"/>
    <w:rsid w:val="64C8F568"/>
    <w:rsid w:val="64E2A99D"/>
    <w:rsid w:val="65C6D6E0"/>
    <w:rsid w:val="66268E7F"/>
    <w:rsid w:val="66CE00BB"/>
    <w:rsid w:val="671D149E"/>
    <w:rsid w:val="6732A624"/>
    <w:rsid w:val="676BD40A"/>
    <w:rsid w:val="67B92023"/>
    <w:rsid w:val="6812C41D"/>
    <w:rsid w:val="6852B694"/>
    <w:rsid w:val="68781A37"/>
    <w:rsid w:val="687AF734"/>
    <w:rsid w:val="6907E16F"/>
    <w:rsid w:val="695192BF"/>
    <w:rsid w:val="695F223C"/>
    <w:rsid w:val="6AEDB6E2"/>
    <w:rsid w:val="6DD59897"/>
    <w:rsid w:val="6E90828F"/>
    <w:rsid w:val="6EEC4FD1"/>
    <w:rsid w:val="6FDDEB8A"/>
    <w:rsid w:val="708D870F"/>
    <w:rsid w:val="71453CE9"/>
    <w:rsid w:val="73262FE9"/>
    <w:rsid w:val="73D8AECC"/>
    <w:rsid w:val="747E64AA"/>
    <w:rsid w:val="748780DE"/>
    <w:rsid w:val="74B4823D"/>
    <w:rsid w:val="75A096A2"/>
    <w:rsid w:val="76406396"/>
    <w:rsid w:val="765BBCD4"/>
    <w:rsid w:val="774D3BFD"/>
    <w:rsid w:val="7751CF3C"/>
    <w:rsid w:val="776F2F7F"/>
    <w:rsid w:val="77ABF399"/>
    <w:rsid w:val="78278780"/>
    <w:rsid w:val="78577108"/>
    <w:rsid w:val="789E01FE"/>
    <w:rsid w:val="78AB381F"/>
    <w:rsid w:val="78ECB955"/>
    <w:rsid w:val="7A0F3D8D"/>
    <w:rsid w:val="7A767C18"/>
    <w:rsid w:val="7AA8D7C1"/>
    <w:rsid w:val="7ABE3C55"/>
    <w:rsid w:val="7AE5F0C9"/>
    <w:rsid w:val="7B5D7CFE"/>
    <w:rsid w:val="7BAAEC05"/>
    <w:rsid w:val="7C36CAA4"/>
    <w:rsid w:val="7CADB454"/>
    <w:rsid w:val="7CB6635D"/>
    <w:rsid w:val="7DFB8DA3"/>
    <w:rsid w:val="7E8E0AA3"/>
    <w:rsid w:val="7F26B238"/>
    <w:rsid w:val="7F80C961"/>
    <w:rsid w:val="7FD5C2B7"/>
    <w:rsid w:val="7FDCE7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AAAC0"/>
  <w15:chartTrackingRefBased/>
  <w15:docId w15:val="{3FF792E0-A22C-4D37-A87E-C3E01E0B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header" w:locked="0" w:qFormat="1"/>
    <w:lsdException w:name="footer" w:locked="0" w:uiPriority="99"/>
    <w:lsdException w:name="caption" w:semiHidden="1" w:unhideWhenUsed="1" w:qFormat="1"/>
    <w:lsdException w:name="endnote reference" w:locked="0" w:uiPriority="99" w:qFormat="1"/>
    <w:lsdException w:name="endnote text" w:locked="0" w:qFormat="1"/>
    <w:lsdException w:name="List Bullet" w:qFormat="1"/>
    <w:lsdException w:name="List Number" w:qFormat="1"/>
    <w:lsdException w:name="Default Paragraph Font" w:locked="0"/>
    <w:lsdException w:name="List Continue 4" w:locked="0"/>
    <w:lsdException w:name="Subtitle" w:qFormat="1"/>
    <w:lsdException w:name="Hyperlink" w:locked="0" w:uiPriority="99"/>
    <w:lsdException w:name="Strong" w:locked="0"/>
    <w:lsdException w:name="HTML Top of Form" w:locked="0"/>
    <w:lsdException w:name="HTML Bottom of Form" w:locked="0"/>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qFormat/>
    <w:rsid w:val="005C2ECF"/>
    <w:pPr>
      <w:keepNext/>
      <w:keepLines/>
      <w:numPr>
        <w:numId w:val="4"/>
      </w:numPr>
      <w:spacing w:before="360"/>
      <w:outlineLvl w:val="0"/>
    </w:pPr>
    <w:rPr>
      <w:b/>
      <w:bCs/>
      <w:sz w:val="36"/>
      <w:szCs w:val="28"/>
    </w:rPr>
  </w:style>
  <w:style w:type="paragraph" w:styleId="Heading2">
    <w:name w:val="heading 2"/>
    <w:basedOn w:val="Heading1"/>
    <w:next w:val="Normal"/>
    <w:link w:val="Heading2Char"/>
    <w:qFormat/>
    <w:rsid w:val="005C2ECF"/>
    <w:pPr>
      <w:numPr>
        <w:ilvl w:val="1"/>
      </w:numPr>
      <w:outlineLvl w:val="1"/>
    </w:pPr>
    <w:rPr>
      <w:bCs w:val="0"/>
      <w:sz w:val="28"/>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4"/>
      </w:numPr>
      <w:spacing w:before="200"/>
      <w:outlineLvl w:val="4"/>
    </w:pPr>
  </w:style>
  <w:style w:type="paragraph" w:styleId="Heading6">
    <w:name w:val="heading 6"/>
    <w:basedOn w:val="Normal"/>
    <w:next w:val="Normal"/>
    <w:link w:val="Heading6Char"/>
    <w:locked/>
    <w:rsid w:val="005C2ECF"/>
    <w:pPr>
      <w:keepNext/>
      <w:keepLines/>
      <w:numPr>
        <w:ilvl w:val="5"/>
        <w:numId w:val="4"/>
      </w:numPr>
      <w:spacing w:before="200"/>
      <w:outlineLvl w:val="5"/>
    </w:pPr>
    <w:rPr>
      <w:i/>
      <w:iCs/>
    </w:rPr>
  </w:style>
  <w:style w:type="paragraph" w:styleId="Heading7">
    <w:name w:val="heading 7"/>
    <w:basedOn w:val="Normal"/>
    <w:next w:val="Normal"/>
    <w:link w:val="Heading7Char"/>
    <w:locked/>
    <w:rsid w:val="005C2ECF"/>
    <w:pPr>
      <w:keepNext/>
      <w:keepLines/>
      <w:numPr>
        <w:ilvl w:val="6"/>
        <w:numId w:val="4"/>
      </w:numPr>
      <w:spacing w:before="200"/>
      <w:outlineLvl w:val="6"/>
    </w:pPr>
    <w:rPr>
      <w:i/>
      <w:iCs/>
    </w:rPr>
  </w:style>
  <w:style w:type="paragraph" w:styleId="Heading8">
    <w:name w:val="heading 8"/>
    <w:basedOn w:val="Normal"/>
    <w:next w:val="Normal"/>
    <w:link w:val="Heading8Char"/>
    <w:locked/>
    <w:rsid w:val="005C2ECF"/>
    <w:pPr>
      <w:keepNext/>
      <w:keepLines/>
      <w:numPr>
        <w:ilvl w:val="7"/>
        <w:numId w:val="4"/>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4"/>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5C2ECF"/>
    <w:rPr>
      <w:rFonts w:ascii="Open Sans" w:eastAsia="MS Mincho" w:hAnsi="Open Sans"/>
      <w:b/>
      <w:sz w:val="28"/>
      <w:szCs w:val="26"/>
    </w:rPr>
  </w:style>
  <w:style w:type="character" w:customStyle="1" w:styleId="Heading3Char">
    <w:name w:val="Heading 3 Char"/>
    <w:link w:val="Heading3"/>
    <w:rsid w:val="008007A8"/>
    <w:rPr>
      <w:rFonts w:ascii="Arial" w:eastAsia="MS Mincho" w:hAnsi="Arial"/>
      <w:bCs/>
      <w:i/>
      <w:sz w:val="24"/>
      <w:szCs w:val="26"/>
      <w:lang w:val="en-AU" w:eastAsia="en-AU" w:bidi="ar-SA"/>
    </w:rPr>
  </w:style>
  <w:style w:type="character" w:customStyle="1" w:styleId="Heading4Char">
    <w:name w:val="Heading 4 Char"/>
    <w:link w:val="Heading4"/>
    <w:rsid w:val="008007A8"/>
    <w:rPr>
      <w:rFonts w:ascii="Arial" w:eastAsia="MS Mincho" w:hAnsi="Arial"/>
      <w:iCs/>
      <w:sz w:val="24"/>
      <w:szCs w:val="26"/>
      <w:lang w:val="en-AU" w:eastAsia="en-AU" w:bidi="ar-SA"/>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CA5D90"/>
    <w:pPr>
      <w:tabs>
        <w:tab w:val="center" w:pos="4513"/>
        <w:tab w:val="right" w:pos="9026"/>
      </w:tabs>
      <w:spacing w:after="0"/>
      <w:jc w:val="right"/>
    </w:pPr>
    <w:rPr>
      <w:sz w:val="22"/>
    </w:rPr>
  </w:style>
  <w:style w:type="character" w:customStyle="1" w:styleId="HeaderChar">
    <w:name w:val="Header Char"/>
    <w:link w:val="Header"/>
    <w:rsid w:val="0016266F"/>
    <w:rPr>
      <w:rFonts w:ascii="Open Sans" w:eastAsia="MS Mincho" w:hAnsi="Open Sans"/>
      <w:sz w:val="22"/>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9"/>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aliases w:val="2_G"/>
    <w:basedOn w:val="Normal"/>
    <w:link w:val="EndnoteTextChar1"/>
    <w:qFormat/>
    <w:rsid w:val="0002476A"/>
    <w:pPr>
      <w:spacing w:before="0" w:after="0"/>
      <w:ind w:left="142" w:hanging="142"/>
    </w:pPr>
    <w:rPr>
      <w:sz w:val="20"/>
      <w:szCs w:val="20"/>
    </w:rPr>
  </w:style>
  <w:style w:type="character" w:customStyle="1" w:styleId="EndnoteTextChar1">
    <w:name w:val="Endnote Text Char1"/>
    <w:aliases w:val="2_G Char"/>
    <w:link w:val="EndnoteText"/>
    <w:rsid w:val="00E55F24"/>
    <w:rPr>
      <w:rFonts w:ascii="Open Sans" w:eastAsia="MS Mincho" w:hAnsi="Open Sans"/>
    </w:rPr>
  </w:style>
  <w:style w:type="character" w:styleId="EndnoteReference">
    <w:name w:val="endnote reference"/>
    <w:aliases w:val="QUOTE,1_G,Quote1"/>
    <w:uiPriority w:val="99"/>
    <w:qFormat/>
    <w:rsid w:val="00045C4B"/>
    <w:rPr>
      <w:rFonts w:ascii="Open Sans" w:hAnsi="Open Sans"/>
      <w:sz w:val="20"/>
      <w:vertAlign w:val="superscript"/>
    </w:rPr>
  </w:style>
  <w:style w:type="numbering" w:styleId="1ai">
    <w:name w:val="Outline List 1"/>
    <w:basedOn w:val="NoList"/>
    <w:semiHidden/>
    <w:locked/>
    <w:rsid w:val="00E45954"/>
    <w:pPr>
      <w:numPr>
        <w:numId w:val="20"/>
      </w:numPr>
    </w:pPr>
  </w:style>
  <w:style w:type="numbering" w:styleId="ArticleSection">
    <w:name w:val="Outline List 3"/>
    <w:basedOn w:val="NoList"/>
    <w:semiHidden/>
    <w:locked/>
    <w:rsid w:val="00E45954"/>
    <w:pPr>
      <w:numPr>
        <w:numId w:val="21"/>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DC307B"/>
    <w:pPr>
      <w:numPr>
        <w:numId w:val="9"/>
      </w:numPr>
      <w:spacing w:before="0"/>
    </w:pPr>
  </w:style>
  <w:style w:type="paragraph" w:styleId="ListBullet2">
    <w:name w:val="List Bullet 2"/>
    <w:basedOn w:val="Normal"/>
    <w:semiHidden/>
    <w:locked/>
    <w:rsid w:val="005C2ECF"/>
    <w:pPr>
      <w:numPr>
        <w:numId w:val="10"/>
      </w:numPr>
    </w:pPr>
  </w:style>
  <w:style w:type="paragraph" w:styleId="ListBullet3">
    <w:name w:val="List Bullet 3"/>
    <w:basedOn w:val="Normal"/>
    <w:semiHidden/>
    <w:locked/>
    <w:rsid w:val="005C2ECF"/>
    <w:pPr>
      <w:numPr>
        <w:numId w:val="11"/>
      </w:numPr>
    </w:pPr>
  </w:style>
  <w:style w:type="paragraph" w:styleId="ListBullet4">
    <w:name w:val="List Bullet 4"/>
    <w:basedOn w:val="Normal"/>
    <w:semiHidden/>
    <w:locked/>
    <w:rsid w:val="005C2ECF"/>
    <w:pPr>
      <w:numPr>
        <w:numId w:val="12"/>
      </w:numPr>
    </w:pPr>
  </w:style>
  <w:style w:type="paragraph" w:styleId="ListBullet5">
    <w:name w:val="List Bullet 5"/>
    <w:basedOn w:val="Normal"/>
    <w:semiHidden/>
    <w:locked/>
    <w:rsid w:val="005C2ECF"/>
    <w:pPr>
      <w:numPr>
        <w:numId w:val="13"/>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7B06EA"/>
    <w:pPr>
      <w:numPr>
        <w:numId w:val="14"/>
      </w:numPr>
      <w:tabs>
        <w:tab w:val="clear" w:pos="360"/>
        <w:tab w:val="left" w:pos="1134"/>
      </w:tabs>
      <w:spacing w:before="120" w:after="120"/>
      <w:ind w:left="1094" w:hanging="737"/>
    </w:pPr>
  </w:style>
  <w:style w:type="paragraph" w:styleId="ListNumber2">
    <w:name w:val="List Number 2"/>
    <w:basedOn w:val="Normal"/>
    <w:semiHidden/>
    <w:locked/>
    <w:rsid w:val="005C2ECF"/>
    <w:pPr>
      <w:numPr>
        <w:numId w:val="17"/>
      </w:numPr>
    </w:pPr>
  </w:style>
  <w:style w:type="paragraph" w:styleId="ListNumber3">
    <w:name w:val="List Number 3"/>
    <w:basedOn w:val="Normal"/>
    <w:semiHidden/>
    <w:locked/>
    <w:rsid w:val="005C2ECF"/>
    <w:pPr>
      <w:numPr>
        <w:numId w:val="18"/>
      </w:numPr>
    </w:pPr>
  </w:style>
  <w:style w:type="paragraph" w:styleId="ListNumber4">
    <w:name w:val="List Number 4"/>
    <w:basedOn w:val="Normal"/>
    <w:semiHidden/>
    <w:locked/>
    <w:rsid w:val="005C2ECF"/>
    <w:pPr>
      <w:numPr>
        <w:numId w:val="15"/>
      </w:numPr>
    </w:pPr>
  </w:style>
  <w:style w:type="paragraph" w:styleId="ListNumber5">
    <w:name w:val="List Number 5"/>
    <w:basedOn w:val="Normal"/>
    <w:semiHidden/>
    <w:locked/>
    <w:rsid w:val="005C2ECF"/>
    <w:pPr>
      <w:numPr>
        <w:numId w:val="16"/>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qFormat/>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qFormat/>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semiHidden/>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38"/>
      </w:numPr>
      <w:tabs>
        <w:tab w:val="clear" w:pos="720"/>
      </w:tabs>
      <w:ind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uiPriority w:val="1"/>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uiPriority w:val="34"/>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HeaderDocumentTitle">
    <w:name w:val="Header Document Title"/>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styleId="Revision">
    <w:name w:val="Revision"/>
    <w:hidden/>
    <w:uiPriority w:val="99"/>
    <w:semiHidden/>
    <w:rsid w:val="00E54025"/>
    <w:rPr>
      <w:rFonts w:ascii="Open Sans" w:eastAsia="MS Mincho" w:hAnsi="Open Sans"/>
      <w:sz w:val="24"/>
      <w:szCs w:val="24"/>
    </w:rPr>
  </w:style>
  <w:style w:type="character" w:styleId="UnresolvedMention">
    <w:name w:val="Unresolved Mention"/>
    <w:basedOn w:val="DefaultParagraphFont"/>
    <w:uiPriority w:val="99"/>
    <w:semiHidden/>
    <w:unhideWhenUsed/>
    <w:rsid w:val="006E60E2"/>
    <w:rPr>
      <w:color w:val="605E5C"/>
      <w:shd w:val="clear" w:color="auto" w:fill="E1DFDD"/>
    </w:rPr>
  </w:style>
  <w:style w:type="paragraph" w:styleId="FootnoteText">
    <w:name w:val="footnote text"/>
    <w:basedOn w:val="Normal"/>
    <w:link w:val="FootnoteTextChar"/>
    <w:locked/>
    <w:rsid w:val="00562123"/>
    <w:pPr>
      <w:spacing w:before="0" w:after="0"/>
    </w:pPr>
    <w:rPr>
      <w:sz w:val="20"/>
      <w:szCs w:val="20"/>
    </w:rPr>
  </w:style>
  <w:style w:type="character" w:customStyle="1" w:styleId="FootnoteTextChar">
    <w:name w:val="Footnote Text Char"/>
    <w:basedOn w:val="DefaultParagraphFont"/>
    <w:link w:val="FootnoteText"/>
    <w:rsid w:val="00562123"/>
    <w:rPr>
      <w:rFonts w:ascii="Open Sans" w:eastAsia="MS Mincho" w:hAnsi="Open Sans"/>
    </w:rPr>
  </w:style>
  <w:style w:type="character" w:styleId="FootnoteReference">
    <w:name w:val="footnote reference"/>
    <w:basedOn w:val="DefaultParagraphFont"/>
    <w:locked/>
    <w:rsid w:val="005621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7193">
      <w:bodyDiv w:val="1"/>
      <w:marLeft w:val="0"/>
      <w:marRight w:val="0"/>
      <w:marTop w:val="0"/>
      <w:marBottom w:val="0"/>
      <w:divBdr>
        <w:top w:val="none" w:sz="0" w:space="0" w:color="auto"/>
        <w:left w:val="none" w:sz="0" w:space="0" w:color="auto"/>
        <w:bottom w:val="none" w:sz="0" w:space="0" w:color="auto"/>
        <w:right w:val="none" w:sz="0" w:space="0" w:color="auto"/>
      </w:divBdr>
    </w:div>
    <w:div w:id="427384085">
      <w:bodyDiv w:val="1"/>
      <w:marLeft w:val="0"/>
      <w:marRight w:val="0"/>
      <w:marTop w:val="0"/>
      <w:marBottom w:val="0"/>
      <w:divBdr>
        <w:top w:val="none" w:sz="0" w:space="0" w:color="auto"/>
        <w:left w:val="none" w:sz="0" w:space="0" w:color="auto"/>
        <w:bottom w:val="none" w:sz="0" w:space="0" w:color="auto"/>
        <w:right w:val="none" w:sz="0" w:space="0" w:color="auto"/>
      </w:divBdr>
      <w:divsChild>
        <w:div w:id="510918757">
          <w:marLeft w:val="0"/>
          <w:marRight w:val="0"/>
          <w:marTop w:val="0"/>
          <w:marBottom w:val="0"/>
          <w:divBdr>
            <w:top w:val="none" w:sz="0" w:space="0" w:color="auto"/>
            <w:left w:val="none" w:sz="0" w:space="0" w:color="auto"/>
            <w:bottom w:val="none" w:sz="0" w:space="0" w:color="auto"/>
            <w:right w:val="none" w:sz="0" w:space="0" w:color="auto"/>
          </w:divBdr>
        </w:div>
        <w:div w:id="1025907508">
          <w:marLeft w:val="0"/>
          <w:marRight w:val="0"/>
          <w:marTop w:val="0"/>
          <w:marBottom w:val="0"/>
          <w:divBdr>
            <w:top w:val="none" w:sz="0" w:space="0" w:color="auto"/>
            <w:left w:val="none" w:sz="0" w:space="0" w:color="auto"/>
            <w:bottom w:val="none" w:sz="0" w:space="0" w:color="auto"/>
            <w:right w:val="none" w:sz="0" w:space="0" w:color="auto"/>
          </w:divBdr>
        </w:div>
      </w:divsChild>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077284047">
      <w:bodyDiv w:val="1"/>
      <w:marLeft w:val="0"/>
      <w:marRight w:val="0"/>
      <w:marTop w:val="0"/>
      <w:marBottom w:val="0"/>
      <w:divBdr>
        <w:top w:val="none" w:sz="0" w:space="0" w:color="auto"/>
        <w:left w:val="none" w:sz="0" w:space="0" w:color="auto"/>
        <w:bottom w:val="none" w:sz="0" w:space="0" w:color="auto"/>
        <w:right w:val="none" w:sz="0" w:space="0" w:color="auto"/>
      </w:divBdr>
    </w:div>
    <w:div w:id="1263566715">
      <w:bodyDiv w:val="1"/>
      <w:marLeft w:val="0"/>
      <w:marRight w:val="0"/>
      <w:marTop w:val="0"/>
      <w:marBottom w:val="0"/>
      <w:divBdr>
        <w:top w:val="none" w:sz="0" w:space="0" w:color="auto"/>
        <w:left w:val="none" w:sz="0" w:space="0" w:color="auto"/>
        <w:bottom w:val="none" w:sz="0" w:space="0" w:color="auto"/>
        <w:right w:val="none" w:sz="0" w:space="0" w:color="auto"/>
      </w:divBdr>
    </w:div>
    <w:div w:id="1365862206">
      <w:bodyDiv w:val="1"/>
      <w:marLeft w:val="0"/>
      <w:marRight w:val="0"/>
      <w:marTop w:val="0"/>
      <w:marBottom w:val="0"/>
      <w:divBdr>
        <w:top w:val="none" w:sz="0" w:space="0" w:color="auto"/>
        <w:left w:val="none" w:sz="0" w:space="0" w:color="auto"/>
        <w:bottom w:val="none" w:sz="0" w:space="0" w:color="auto"/>
        <w:right w:val="none" w:sz="0" w:space="0" w:color="auto"/>
      </w:divBdr>
      <w:divsChild>
        <w:div w:id="1530410350">
          <w:marLeft w:val="0"/>
          <w:marRight w:val="0"/>
          <w:marTop w:val="0"/>
          <w:marBottom w:val="0"/>
          <w:divBdr>
            <w:top w:val="none" w:sz="0" w:space="0" w:color="auto"/>
            <w:left w:val="none" w:sz="0" w:space="0" w:color="auto"/>
            <w:bottom w:val="none" w:sz="0" w:space="0" w:color="auto"/>
            <w:right w:val="none" w:sz="0" w:space="0" w:color="auto"/>
          </w:divBdr>
        </w:div>
        <w:div w:id="1669015644">
          <w:marLeft w:val="0"/>
          <w:marRight w:val="0"/>
          <w:marTop w:val="0"/>
          <w:marBottom w:val="0"/>
          <w:divBdr>
            <w:top w:val="none" w:sz="0" w:space="0" w:color="auto"/>
            <w:left w:val="none" w:sz="0" w:space="0" w:color="auto"/>
            <w:bottom w:val="none" w:sz="0" w:space="0" w:color="auto"/>
            <w:right w:val="none" w:sz="0" w:space="0" w:color="auto"/>
          </w:divBdr>
        </w:div>
      </w:divsChild>
    </w:div>
    <w:div w:id="202003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disabilitygateway.gov.au/document/31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hrc.sharepoint.com/sites/intranet/TEMPLATES/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975c5ac6-a0cc-43ed-b850-4a2ae59237b6" ContentTypeId="0x0101" PreviousValue="false" LastSyncTimeStamp="2019-01-22T02:06:15.047Z"/>
</file>

<file path=customXml/item4.xml><?xml version="1.0" encoding="utf-8"?>
<ct:contentTypeSchema xmlns:ct="http://schemas.microsoft.com/office/2006/metadata/contentType" xmlns:ma="http://schemas.microsoft.com/office/2006/metadata/properties/metaAttributes" ct:_="" ma:_="" ma:contentTypeName="Document" ma:contentTypeID="0x010100967940E70C94354F8F8561BF2727C984" ma:contentTypeVersion="21" ma:contentTypeDescription="Create a new document." ma:contentTypeScope="" ma:versionID="a7d45e2877701f6be8ed5ac1e7063508">
  <xsd:schema xmlns:xsd="http://www.w3.org/2001/XMLSchema" xmlns:xs="http://www.w3.org/2001/XMLSchema" xmlns:p="http://schemas.microsoft.com/office/2006/metadata/properties" xmlns:ns2="6500fe01-343b-4fb9-a1b0-68ac19d62e01" xmlns:ns3="d305f544-be6d-4a06-9182-35e488c047b9" xmlns:ns4="39d46e2e-af2c-4283-b2c0-dbe09d693c60" targetNamespace="http://schemas.microsoft.com/office/2006/metadata/properties" ma:root="true" ma:fieldsID="2308fdaba4ba0bf72c4f977063fd8643" ns2:_="" ns3:_="" ns4:_="">
    <xsd:import namespace="6500fe01-343b-4fb9-a1b0-68ac19d62e01"/>
    <xsd:import namespace="d305f544-be6d-4a06-9182-35e488c047b9"/>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Notes" minOccurs="0"/>
                <xsd:element ref="ns3:Notes0"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05f544-be6d-4a06-9182-35e488c047b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Notes" ma:index="19" nillable="true" ma:displayName="Reference" ma:format="Dropdown" ma:internalName="Notes">
      <xsd:simpleType>
        <xsd:restriction base="dms:Note"/>
      </xsd:simpleType>
    </xsd:element>
    <xsd:element name="Notes0" ma:index="20" nillable="true" ma:displayName="Notes" ma:format="Dropdown" ma:internalName="Notes0">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WEV44C3EEZP4-1056255319-7132</_dlc_DocId>
    <_dlc_DocIdUrl xmlns="6500fe01-343b-4fb9-a1b0-68ac19d62e01">
      <Url>https://australianhrc.sharepoint.com/sites/DisabilityRights/_layouts/15/DocIdRedir.aspx?ID=WEV44C3EEZP4-1056255319-7132</Url>
      <Description>WEV44C3EEZP4-1056255319-7132</Description>
    </_dlc_DocIdUrl>
    <lcf76f155ced4ddcb4097134ff3c332f xmlns="d305f544-be6d-4a06-9182-35e488c047b9">
      <Terms xmlns="http://schemas.microsoft.com/office/infopath/2007/PartnerControls"/>
    </lcf76f155ced4ddcb4097134ff3c332f>
    <Notes xmlns="d305f544-be6d-4a06-9182-35e488c047b9" xsi:nil="true"/>
    <Notes0 xmlns="d305f544-be6d-4a06-9182-35e488c047b9" xsi:nil="true"/>
  </documentManagement>
</p:properties>
</file>

<file path=customXml/itemProps1.xml><?xml version="1.0" encoding="utf-8"?>
<ds:datastoreItem xmlns:ds="http://schemas.openxmlformats.org/officeDocument/2006/customXml" ds:itemID="{B034F6BE-1A64-4A1C-92AD-238F0159AFE7}">
  <ds:schemaRefs>
    <ds:schemaRef ds:uri="http://schemas.microsoft.com/sharepoint/v3/contenttype/forms"/>
  </ds:schemaRefs>
</ds:datastoreItem>
</file>

<file path=customXml/itemProps2.xml><?xml version="1.0" encoding="utf-8"?>
<ds:datastoreItem xmlns:ds="http://schemas.openxmlformats.org/officeDocument/2006/customXml" ds:itemID="{221D3C63-0C46-49A4-B926-30794ADA32FC}">
  <ds:schemaRefs>
    <ds:schemaRef ds:uri="http://schemas.openxmlformats.org/officeDocument/2006/bibliography"/>
  </ds:schemaRefs>
</ds:datastoreItem>
</file>

<file path=customXml/itemProps3.xml><?xml version="1.0" encoding="utf-8"?>
<ds:datastoreItem xmlns:ds="http://schemas.openxmlformats.org/officeDocument/2006/customXml" ds:itemID="{3B3C5130-51C0-43DC-86C9-4C38672B5C71}">
  <ds:schemaRefs>
    <ds:schemaRef ds:uri="Microsoft.SharePoint.Taxonomy.ContentTypeSync"/>
  </ds:schemaRefs>
</ds:datastoreItem>
</file>

<file path=customXml/itemProps4.xml><?xml version="1.0" encoding="utf-8"?>
<ds:datastoreItem xmlns:ds="http://schemas.openxmlformats.org/officeDocument/2006/customXml" ds:itemID="{20FF7E2E-3653-4D3D-BF4A-9B1C24E61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d305f544-be6d-4a06-9182-35e488c047b9"/>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F7606B-64CD-4B86-8CB1-2E0DE0CD8911}">
  <ds:schemaRefs>
    <ds:schemaRef ds:uri="http://schemas.microsoft.com/office/2006/metadata/customXsn"/>
  </ds:schemaRefs>
</ds:datastoreItem>
</file>

<file path=customXml/itemProps6.xml><?xml version="1.0" encoding="utf-8"?>
<ds:datastoreItem xmlns:ds="http://schemas.openxmlformats.org/officeDocument/2006/customXml" ds:itemID="{4FFFF486-CE15-45B2-AD37-2BE2B10776FD}">
  <ds:schemaRefs>
    <ds:schemaRef ds:uri="http://schemas.microsoft.com/sharepoint/events"/>
  </ds:schemaRefs>
</ds:datastoreItem>
</file>

<file path=customXml/itemProps7.xml><?xml version="1.0" encoding="utf-8"?>
<ds:datastoreItem xmlns:ds="http://schemas.openxmlformats.org/officeDocument/2006/customXml" ds:itemID="{9D234E28-B345-4108-8EB3-981E9AB2F75F}">
  <ds:schemaRefs>
    <ds:schemaRef ds:uri="d305f544-be6d-4a06-9182-35e488c047b9"/>
    <ds:schemaRef ds:uri="http://schemas.openxmlformats.org/package/2006/metadata/core-properties"/>
    <ds:schemaRef ds:uri="http://purl.org/dc/elements/1.1/"/>
    <ds:schemaRef ds:uri="6500fe01-343b-4fb9-a1b0-68ac19d62e01"/>
    <ds:schemaRef ds:uri="http://purl.org/dc/dcmitype/"/>
    <ds:schemaRef ds:uri="39d46e2e-af2c-4283-b2c0-dbe09d693c60"/>
    <ds:schemaRef ds:uri="http://purl.org/dc/terms/"/>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Submission.dotx</Template>
  <TotalTime>5</TotalTime>
  <Pages>19</Pages>
  <Words>5433</Words>
  <Characters>30935</Characters>
  <Application>Microsoft Office Word</Application>
  <DocSecurity>0</DocSecurity>
  <Lines>257</Lines>
  <Paragraphs>72</Paragraphs>
  <ScaleCrop>false</ScaleCrop>
  <Company>Human Rights and Equal Opportunity Commission</Company>
  <LinksUpToDate>false</LinksUpToDate>
  <CharactersWithSpaces>36296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Dunn</dc:creator>
  <cp:keywords/>
  <cp:lastModifiedBy>Alexandra Dunn</cp:lastModifiedBy>
  <cp:revision>7</cp:revision>
  <cp:lastPrinted>2025-07-25T06:42:00Z</cp:lastPrinted>
  <dcterms:created xsi:type="dcterms:W3CDTF">2025-07-25T06:26:00Z</dcterms:created>
  <dcterms:modified xsi:type="dcterms:W3CDTF">2025-07-25T06:44:00Z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0x010100967940E70C94354F8F8561BF2727C984</vt:lpwstr>
  </property>
  <property fmtid="{D5CDD505-2E9C-101B-9397-08002B2CF9AE}" pid="3" name="TaxKeyword">
    <vt:lpwstr/>
  </property>
  <property fmtid="{D5CDD505-2E9C-101B-9397-08002B2CF9AE}" pid="4" name="MediaServiceImageTags">
    <vt:lpwstr/>
  </property>
  <property fmtid="{D5CDD505-2E9C-101B-9397-08002B2CF9AE}" pid="5" name="_dlc_DocIdItemGuid">
    <vt:lpwstr>ab7cfdf7-5c28-45fa-ba81-f6d627fb853b</vt:lpwstr>
  </property>
</Properties>
</file>