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F9" w:rsidRPr="00023DF9" w:rsidRDefault="00C714AC" w:rsidP="00023DF9">
      <w:pPr>
        <w:tabs>
          <w:tab w:val="left" w:pos="3014"/>
        </w:tabs>
        <w:spacing w:after="3000"/>
        <w:rPr>
          <w:sz w:val="20"/>
          <w:vertAlign w:val="superscript"/>
        </w:rPr>
      </w:pPr>
      <w:r>
        <w:rPr>
          <w:noProof/>
        </w:rPr>
        <mc:AlternateContent>
          <mc:Choice Requires="wps">
            <w:drawing>
              <wp:anchor distT="0" distB="0" distL="114300" distR="114300" simplePos="0" relativeHeight="251657216" behindDoc="0" locked="0" layoutInCell="1" allowOverlap="1">
                <wp:simplePos x="0" y="0"/>
                <wp:positionH relativeFrom="column">
                  <wp:posOffset>852171</wp:posOffset>
                </wp:positionH>
                <wp:positionV relativeFrom="paragraph">
                  <wp:posOffset>-41910</wp:posOffset>
                </wp:positionV>
                <wp:extent cx="5025390" cy="3679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679825"/>
                        </a:xfrm>
                        <a:prstGeom prst="rect">
                          <a:avLst/>
                        </a:prstGeom>
                        <a:noFill/>
                        <a:ln w="6350">
                          <a:noFill/>
                        </a:ln>
                        <a:effectLst/>
                      </wps:spPr>
                      <wps:txbx>
                        <w:txbxContent>
                          <w:p w:rsidR="00FA4975" w:rsidRPr="002D2DBD" w:rsidRDefault="00FA4975" w:rsidP="0046068A">
                            <w:pPr>
                              <w:pStyle w:val="MainTitle"/>
                              <w:rPr>
                                <w:rFonts w:cs="Arial"/>
                                <w:color w:val="0070C0"/>
                                <w:szCs w:val="56"/>
                              </w:rPr>
                            </w:pPr>
                            <w:r>
                              <w:t xml:space="preserve"> </w:t>
                            </w:r>
                            <w:r w:rsidRPr="002D2DBD">
                              <w:rPr>
                                <w:rFonts w:cs="Arial"/>
                                <w:color w:val="0070C0"/>
                                <w:szCs w:val="56"/>
                              </w:rPr>
                              <w:t xml:space="preserve">Background paper: </w:t>
                            </w:r>
                          </w:p>
                          <w:p w:rsidR="00FA4975" w:rsidRPr="002D2DBD" w:rsidRDefault="00FA4975" w:rsidP="0046068A">
                            <w:pPr>
                              <w:pStyle w:val="MainTitle"/>
                              <w:rPr>
                                <w:szCs w:val="56"/>
                              </w:rPr>
                            </w:pPr>
                            <w:r w:rsidRPr="002D2DBD">
                              <w:rPr>
                                <w:rFonts w:cs="Arial"/>
                                <w:color w:val="0070C0"/>
                                <w:szCs w:val="56"/>
                              </w:rPr>
                              <w:t>Human rights issues raised by visa refusal or cancellation under s</w:t>
                            </w:r>
                            <w:r>
                              <w:rPr>
                                <w:rFonts w:cs="Arial"/>
                                <w:color w:val="0070C0"/>
                                <w:szCs w:val="56"/>
                              </w:rPr>
                              <w:t>ection</w:t>
                            </w:r>
                            <w:r w:rsidRPr="002D2DBD">
                              <w:rPr>
                                <w:rFonts w:cs="Arial"/>
                                <w:color w:val="0070C0"/>
                                <w:szCs w:val="56"/>
                              </w:rPr>
                              <w:t xml:space="preserve"> 501 of the Migration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1pt;margin-top:-3.3pt;width:395.7pt;height:28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" filled="f" stroked="f" strokeweight=".5pt">
                <v:path arrowok="t"/>
                <v:textbox>
                  <w:txbxContent>
                    <w:p w:rsidR="00FA4975" w:rsidRPr="002D2DBD" w:rsidRDefault="00FA4975" w:rsidP="0046068A">
                      <w:pPr>
                        <w:pStyle w:val="MainTitle"/>
                        <w:rPr>
                          <w:rFonts w:cs="Arial"/>
                          <w:color w:val="0070C0"/>
                          <w:szCs w:val="56"/>
                        </w:rPr>
                      </w:pPr>
                      <w:r>
                        <w:t xml:space="preserve"> </w:t>
                      </w:r>
                      <w:r w:rsidRPr="002D2DBD">
                        <w:rPr>
                          <w:rFonts w:cs="Arial"/>
                          <w:color w:val="0070C0"/>
                          <w:szCs w:val="56"/>
                        </w:rPr>
                        <w:t xml:space="preserve">Background paper: </w:t>
                      </w:r>
                    </w:p>
                    <w:p w:rsidR="00FA4975" w:rsidRPr="002D2DBD" w:rsidRDefault="00FA4975" w:rsidP="0046068A">
                      <w:pPr>
                        <w:pStyle w:val="MainTitle"/>
                        <w:rPr>
                          <w:szCs w:val="56"/>
                        </w:rPr>
                      </w:pPr>
                      <w:r w:rsidRPr="002D2DBD">
                        <w:rPr>
                          <w:rFonts w:cs="Arial"/>
                          <w:color w:val="0070C0"/>
                          <w:szCs w:val="56"/>
                        </w:rPr>
                        <w:t>Human rights issues raised by visa refusal or cancellation under s</w:t>
                      </w:r>
                      <w:r>
                        <w:rPr>
                          <w:rFonts w:cs="Arial"/>
                          <w:color w:val="0070C0"/>
                          <w:szCs w:val="56"/>
                        </w:rPr>
                        <w:t>ection</w:t>
                      </w:r>
                      <w:r w:rsidRPr="002D2DBD">
                        <w:rPr>
                          <w:rFonts w:cs="Arial"/>
                          <w:color w:val="0070C0"/>
                          <w:szCs w:val="56"/>
                        </w:rPr>
                        <w:t xml:space="preserve"> 501 of the Migration Act</w:t>
                      </w:r>
                    </w:p>
                  </w:txbxContent>
                </v:textbox>
              </v:shape>
            </w:pict>
          </mc:Fallback>
        </mc:AlternateContent>
      </w:r>
      <w:bookmarkStart w:id="0" w:name="_Toc209316062"/>
      <w:bookmarkEnd w:id="0"/>
    </w:p>
    <w:p w:rsidR="00023DF9" w:rsidRPr="00130A16" w:rsidRDefault="00023DF9" w:rsidP="0046068A">
      <w:pPr>
        <w:tabs>
          <w:tab w:val="left" w:pos="426"/>
        </w:tabs>
        <w:contextualSpacing/>
        <w:rPr>
          <w:rFonts w:eastAsia="Times New Roman"/>
          <w:b/>
          <w:bCs/>
          <w:i/>
          <w:color w:val="237BBC"/>
          <w:kern w:val="32"/>
          <w:sz w:val="28"/>
          <w:szCs w:val="28"/>
        </w:rPr>
      </w:pPr>
    </w:p>
    <w:p w:rsidR="00023DF9" w:rsidRPr="00E71282" w:rsidRDefault="00C714AC" w:rsidP="00023DF9">
      <w:pPr>
        <w:autoSpaceDE w:val="0"/>
        <w:autoSpaceDN w:val="0"/>
        <w:adjustRightInd w:val="0"/>
        <w:spacing w:before="0" w:after="0"/>
        <w:ind w:left="720"/>
        <w:contextualSpacing/>
        <w:rPr>
          <w:rFonts w:eastAsia="Times New Roman" w:cs="Arial"/>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3324860</wp:posOffset>
                </wp:positionH>
                <wp:positionV relativeFrom="paragraph">
                  <wp:posOffset>160020</wp:posOffset>
                </wp:positionV>
                <wp:extent cx="2796540" cy="716280"/>
                <wp:effectExtent l="5715" t="0" r="7620" b="762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716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975" w:rsidRDefault="004A0F7E">
                            <w:r>
                              <w:rPr>
                                <w:rFonts w:cs="Arial"/>
                                <w:sz w:val="44"/>
                                <w:szCs w:val="44"/>
                              </w:rPr>
                              <w:t xml:space="preserve">             </w:t>
                            </w:r>
                            <w:r w:rsidR="00FA4975">
                              <w:rPr>
                                <w:rFonts w:cs="Arial"/>
                                <w:sz w:val="44"/>
                                <w:szCs w:val="44"/>
                              </w:rPr>
                              <w:t>June 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61.8pt;margin-top:12.6pt;width:220.2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" stroked="f">
                <v:fill opacity="0"/>
                <v:textbox>
                  <w:txbxContent>
                    <w:p w:rsidR="00FA4975" w:rsidRDefault="004A0F7E">
                      <w:r>
                        <w:rPr>
                          <w:rFonts w:cs="Arial"/>
                          <w:sz w:val="44"/>
                          <w:szCs w:val="44"/>
                        </w:rPr>
                        <w:t xml:space="preserve">             </w:t>
                      </w:r>
                      <w:r w:rsidR="00FA4975">
                        <w:rPr>
                          <w:rFonts w:cs="Arial"/>
                          <w:sz w:val="44"/>
                          <w:szCs w:val="44"/>
                        </w:rPr>
                        <w:t>June 2013</w:t>
                      </w:r>
                    </w:p>
                  </w:txbxContent>
                </v:textbox>
              </v:shape>
            </w:pict>
          </mc:Fallback>
        </mc:AlternateContent>
      </w:r>
    </w:p>
    <w:p w:rsidR="001C71D1" w:rsidRDefault="00497C67" w:rsidP="0046068A">
      <w:pPr>
        <w:autoSpaceDE w:val="0"/>
        <w:autoSpaceDN w:val="0"/>
        <w:adjustRightInd w:val="0"/>
        <w:spacing w:before="0" w:after="0"/>
        <w:ind w:left="426"/>
        <w:rPr>
          <w:rFonts w:eastAsia="Times New Roman" w:cs="Arial"/>
          <w:color w:val="000000"/>
        </w:rPr>
      </w:pPr>
      <w:r>
        <w:rPr>
          <w:rFonts w:eastAsia="Times New Roman" w:cs="Arial"/>
          <w:color w:val="000000"/>
        </w:rPr>
        <w:t xml:space="preserve"> </w:t>
      </w:r>
    </w:p>
    <w:p w:rsidR="00023DF9" w:rsidRPr="00E71282" w:rsidRDefault="00023DF9" w:rsidP="00023DF9">
      <w:pPr>
        <w:ind w:left="426"/>
        <w:contextualSpacing/>
        <w:rPr>
          <w:rFonts w:eastAsia="Times New Roman"/>
          <w:b/>
        </w:rPr>
      </w:pPr>
    </w:p>
    <w:p w:rsidR="00404097" w:rsidRDefault="00404097" w:rsidP="0046213C">
      <w:pPr>
        <w:autoSpaceDE w:val="0"/>
        <w:autoSpaceDN w:val="0"/>
        <w:adjustRightInd w:val="0"/>
        <w:spacing w:before="0" w:after="0"/>
        <w:rPr>
          <w:rFonts w:eastAsia="Times New Roman" w:cs="Arial"/>
          <w:lang w:val="en"/>
        </w:rPr>
        <w:sectPr w:rsidR="00404097" w:rsidSect="00B24B1D">
          <w:headerReference w:type="even" r:id="rId9"/>
          <w:headerReference w:type="default" r:id="rId10"/>
          <w:footerReference w:type="default" r:id="rId11"/>
          <w:headerReference w:type="first" r:id="rId12"/>
          <w:type w:val="continuous"/>
          <w:pgSz w:w="11906" w:h="16838" w:code="9"/>
          <w:pgMar w:top="228" w:right="1700" w:bottom="1134" w:left="1418" w:header="277" w:footer="415" w:gutter="0"/>
          <w:cols w:space="708"/>
          <w:titlePg/>
          <w:docGrid w:linePitch="360"/>
        </w:sectPr>
      </w:pPr>
      <w:bookmarkStart w:id="1" w:name="_GoBack"/>
      <w:bookmarkEnd w:id="1"/>
    </w:p>
    <w:p w:rsidR="0071036A" w:rsidRPr="00B766ED" w:rsidRDefault="0071036A" w:rsidP="00B766ED">
      <w:pPr>
        <w:pStyle w:val="TOC1"/>
      </w:pPr>
      <w:r w:rsidRPr="00B766ED">
        <w:lastRenderedPageBreak/>
        <w:t>Table of Contents</w:t>
      </w:r>
    </w:p>
    <w:p w:rsidR="0071036A" w:rsidRPr="00947328" w:rsidRDefault="0071036A" w:rsidP="0071036A">
      <w:pPr>
        <w:spacing w:before="0" w:after="0"/>
      </w:pPr>
    </w:p>
    <w:bookmarkStart w:id="2" w:name="_Toc355100894"/>
    <w:bookmarkStart w:id="3" w:name="_Toc355363536"/>
    <w:bookmarkStart w:id="4" w:name="_Toc355952709"/>
    <w:p w:rsidR="009D5292" w:rsidRDefault="009B1785" w:rsidP="009D5292">
      <w:pPr>
        <w:pStyle w:val="TOC1"/>
        <w:rPr>
          <w:rFonts w:asciiTheme="minorHAnsi" w:eastAsiaTheme="minorEastAsia" w:hAnsiTheme="minorHAnsi" w:cstheme="minorBidi"/>
          <w:b w:val="0"/>
          <w:sz w:val="22"/>
          <w:szCs w:val="22"/>
        </w:rPr>
      </w:pPr>
      <w:r w:rsidRPr="00947328">
        <w:rPr>
          <w:bCs/>
        </w:rPr>
        <w:fldChar w:fldCharType="begin"/>
      </w:r>
      <w:r w:rsidRPr="00947328">
        <w:rPr>
          <w:bCs/>
        </w:rPr>
        <w:instrText xml:space="preserve"> TOC \o "1-2" \h \z \u </w:instrText>
      </w:r>
      <w:r w:rsidRPr="00947328">
        <w:rPr>
          <w:bCs/>
        </w:rPr>
        <w:fldChar w:fldCharType="separate"/>
      </w:r>
      <w:hyperlink w:anchor="_Toc362012104" w:history="1">
        <w:r w:rsidR="009D5292" w:rsidRPr="00124922">
          <w:rPr>
            <w:rStyle w:val="Hyperlink"/>
          </w:rPr>
          <w:t>1</w:t>
        </w:r>
        <w:r w:rsidR="009D5292">
          <w:rPr>
            <w:rFonts w:asciiTheme="minorHAnsi" w:eastAsiaTheme="minorEastAsia" w:hAnsiTheme="minorHAnsi" w:cstheme="minorBidi"/>
            <w:b w:val="0"/>
            <w:sz w:val="22"/>
            <w:szCs w:val="22"/>
          </w:rPr>
          <w:tab/>
        </w:r>
        <w:r w:rsidR="009D5292" w:rsidRPr="00124922">
          <w:rPr>
            <w:rStyle w:val="Hyperlink"/>
          </w:rPr>
          <w:t>Summary</w:t>
        </w:r>
        <w:r w:rsidR="009D5292">
          <w:rPr>
            <w:webHidden/>
          </w:rPr>
          <w:tab/>
        </w:r>
        <w:r w:rsidR="009D5292">
          <w:rPr>
            <w:webHidden/>
          </w:rPr>
          <w:fldChar w:fldCharType="begin"/>
        </w:r>
        <w:r w:rsidR="009D5292">
          <w:rPr>
            <w:webHidden/>
          </w:rPr>
          <w:instrText xml:space="preserve"> PAGEREF _Toc362012104 \h </w:instrText>
        </w:r>
        <w:r w:rsidR="009D5292">
          <w:rPr>
            <w:webHidden/>
          </w:rPr>
        </w:r>
        <w:r w:rsidR="009D5292">
          <w:rPr>
            <w:webHidden/>
          </w:rPr>
          <w:fldChar w:fldCharType="separate"/>
        </w:r>
        <w:r w:rsidR="009D5292">
          <w:rPr>
            <w:webHidden/>
          </w:rPr>
          <w:t>3</w:t>
        </w:r>
        <w:r w:rsidR="009D5292">
          <w:rPr>
            <w:webHidden/>
          </w:rPr>
          <w:fldChar w:fldCharType="end"/>
        </w:r>
      </w:hyperlink>
    </w:p>
    <w:p w:rsidR="009D5292" w:rsidRDefault="009D5292" w:rsidP="009D5292">
      <w:pPr>
        <w:pStyle w:val="TOC1"/>
        <w:rPr>
          <w:rFonts w:asciiTheme="minorHAnsi" w:eastAsiaTheme="minorEastAsia" w:hAnsiTheme="minorHAnsi" w:cstheme="minorBidi"/>
          <w:b w:val="0"/>
          <w:sz w:val="22"/>
          <w:szCs w:val="22"/>
        </w:rPr>
      </w:pPr>
      <w:hyperlink w:anchor="_Toc362012105" w:history="1">
        <w:r w:rsidRPr="00124922">
          <w:rPr>
            <w:rStyle w:val="Hyperlink"/>
          </w:rPr>
          <w:t>2</w:t>
        </w:r>
        <w:r>
          <w:rPr>
            <w:rFonts w:asciiTheme="minorHAnsi" w:eastAsiaTheme="minorEastAsia" w:hAnsiTheme="minorHAnsi" w:cstheme="minorBidi"/>
            <w:b w:val="0"/>
            <w:sz w:val="22"/>
            <w:szCs w:val="22"/>
          </w:rPr>
          <w:tab/>
        </w:r>
        <w:r w:rsidRPr="00124922">
          <w:rPr>
            <w:rStyle w:val="Hyperlink"/>
          </w:rPr>
          <w:t>When can a visa be refused or cancelled under section 501?</w:t>
        </w:r>
        <w:r>
          <w:rPr>
            <w:webHidden/>
          </w:rPr>
          <w:tab/>
        </w:r>
        <w:r>
          <w:rPr>
            <w:webHidden/>
          </w:rPr>
          <w:fldChar w:fldCharType="begin"/>
        </w:r>
        <w:r>
          <w:rPr>
            <w:webHidden/>
          </w:rPr>
          <w:instrText xml:space="preserve"> PAGEREF _Toc362012105 \h </w:instrText>
        </w:r>
        <w:r>
          <w:rPr>
            <w:webHidden/>
          </w:rPr>
        </w:r>
        <w:r>
          <w:rPr>
            <w:webHidden/>
          </w:rPr>
          <w:fldChar w:fldCharType="separate"/>
        </w:r>
        <w:r>
          <w:rPr>
            <w:webHidden/>
          </w:rPr>
          <w:t>3</w:t>
        </w:r>
        <w:r>
          <w:rPr>
            <w:webHidden/>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06" w:history="1">
        <w:r w:rsidRPr="009D5292">
          <w:rPr>
            <w:rStyle w:val="Hyperlink"/>
            <w:sz w:val="22"/>
            <w:szCs w:val="22"/>
          </w:rPr>
          <w:t>2.1</w:t>
        </w:r>
        <w:r w:rsidRPr="009D5292">
          <w:rPr>
            <w:rFonts w:asciiTheme="minorHAnsi" w:eastAsiaTheme="minorEastAsia" w:hAnsiTheme="minorHAnsi" w:cstheme="minorBidi"/>
            <w:b w:val="0"/>
            <w:i w:val="0"/>
            <w:sz w:val="22"/>
            <w:szCs w:val="22"/>
          </w:rPr>
          <w:tab/>
        </w:r>
        <w:r w:rsidRPr="009D5292">
          <w:rPr>
            <w:rStyle w:val="Hyperlink"/>
            <w:sz w:val="22"/>
            <w:szCs w:val="22"/>
          </w:rPr>
          <w:t>A two stage decision-making process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_Toc362012106 \h </w:instrText>
        </w:r>
        <w:r w:rsidRPr="009D5292">
          <w:rPr>
            <w:webHidden/>
            <w:sz w:val="22"/>
            <w:szCs w:val="22"/>
          </w:rPr>
        </w:r>
        <w:r w:rsidRPr="009D5292">
          <w:rPr>
            <w:webHidden/>
            <w:sz w:val="22"/>
            <w:szCs w:val="22"/>
          </w:rPr>
          <w:fldChar w:fldCharType="separate"/>
        </w:r>
        <w:r w:rsidRPr="009D5292">
          <w:rPr>
            <w:webHidden/>
            <w:sz w:val="22"/>
            <w:szCs w:val="22"/>
          </w:rPr>
          <w:t>3</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07" w:history="1">
        <w:r w:rsidRPr="009D5292">
          <w:rPr>
            <w:rStyle w:val="Hyperlink"/>
            <w:sz w:val="22"/>
            <w:szCs w:val="22"/>
          </w:rPr>
          <w:t>2.2</w:t>
        </w:r>
        <w:r w:rsidRPr="009D5292">
          <w:rPr>
            <w:rFonts w:asciiTheme="minorHAnsi" w:eastAsiaTheme="minorEastAsia" w:hAnsiTheme="minorHAnsi" w:cstheme="minorBidi"/>
            <w:b w:val="0"/>
            <w:i w:val="0"/>
            <w:sz w:val="22"/>
            <w:szCs w:val="22"/>
          </w:rPr>
          <w:tab/>
        </w:r>
        <w:r w:rsidRPr="009D5292">
          <w:rPr>
            <w:rStyle w:val="Hyperlink"/>
            <w:sz w:val="22"/>
            <w:szCs w:val="22"/>
          </w:rPr>
          <w:t>Stage 1: The threshold test for refusal or cancellation</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_Toc362012107 \h </w:instrText>
        </w:r>
        <w:r w:rsidRPr="009D5292">
          <w:rPr>
            <w:webHidden/>
            <w:sz w:val="22"/>
            <w:szCs w:val="22"/>
          </w:rPr>
        </w:r>
        <w:r w:rsidRPr="009D5292">
          <w:rPr>
            <w:webHidden/>
            <w:sz w:val="22"/>
            <w:szCs w:val="22"/>
          </w:rPr>
          <w:fldChar w:fldCharType="separate"/>
        </w:r>
        <w:r w:rsidRPr="009D5292">
          <w:rPr>
            <w:webHidden/>
            <w:sz w:val="22"/>
            <w:szCs w:val="22"/>
          </w:rPr>
          <w:t>4</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08" w:history="1">
        <w:r w:rsidRPr="009D5292">
          <w:rPr>
            <w:rStyle w:val="Hyperlink"/>
            <w:sz w:val="22"/>
            <w:szCs w:val="22"/>
          </w:rPr>
          <w:t>2.3</w:t>
        </w:r>
        <w:r w:rsidRPr="009D5292">
          <w:rPr>
            <w:rFonts w:asciiTheme="minorHAnsi" w:eastAsiaTheme="minorEastAsia" w:hAnsiTheme="minorHAnsi" w:cstheme="minorBidi"/>
            <w:b w:val="0"/>
            <w:i w:val="0"/>
            <w:sz w:val="22"/>
            <w:szCs w:val="22"/>
          </w:rPr>
          <w:tab/>
        </w:r>
        <w:r w:rsidRPr="009D5292">
          <w:rPr>
            <w:rStyle w:val="Hyperlink"/>
            <w:sz w:val="22"/>
            <w:szCs w:val="22"/>
          </w:rPr>
          <w:t>The character test</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_Toc362012108 \h </w:instrText>
        </w:r>
        <w:r w:rsidRPr="009D5292">
          <w:rPr>
            <w:webHidden/>
            <w:sz w:val="22"/>
            <w:szCs w:val="22"/>
          </w:rPr>
        </w:r>
        <w:r w:rsidRPr="009D5292">
          <w:rPr>
            <w:webHidden/>
            <w:sz w:val="22"/>
            <w:szCs w:val="22"/>
          </w:rPr>
          <w:fldChar w:fldCharType="separate"/>
        </w:r>
        <w:r w:rsidRPr="009D5292">
          <w:rPr>
            <w:webHidden/>
            <w:sz w:val="22"/>
            <w:szCs w:val="22"/>
          </w:rPr>
          <w:t>5</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09" w:history="1">
        <w:r w:rsidRPr="009D5292">
          <w:rPr>
            <w:rStyle w:val="Hyperlink"/>
            <w:sz w:val="22"/>
            <w:szCs w:val="22"/>
          </w:rPr>
          <w:t>2.4</w:t>
        </w:r>
        <w:r w:rsidRPr="009D5292">
          <w:rPr>
            <w:rFonts w:asciiTheme="minorHAnsi" w:eastAsiaTheme="minorEastAsia" w:hAnsiTheme="minorHAnsi" w:cstheme="minorBidi"/>
            <w:b w:val="0"/>
            <w:i w:val="0"/>
            <w:sz w:val="22"/>
            <w:szCs w:val="22"/>
          </w:rPr>
          <w:tab/>
        </w:r>
        <w:r w:rsidRPr="009D5292">
          <w:rPr>
            <w:rStyle w:val="Hyperlink"/>
            <w:sz w:val="22"/>
            <w:szCs w:val="22"/>
          </w:rPr>
          <w:t>Stage 2: Factors relevant to the exercise of discretion to refuse or cancel a visa</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_Toc362012109 \h </w:instrText>
        </w:r>
        <w:r w:rsidRPr="009D5292">
          <w:rPr>
            <w:webHidden/>
            <w:sz w:val="22"/>
            <w:szCs w:val="22"/>
          </w:rPr>
        </w:r>
        <w:r w:rsidRPr="009D5292">
          <w:rPr>
            <w:webHidden/>
            <w:sz w:val="22"/>
            <w:szCs w:val="22"/>
          </w:rPr>
          <w:fldChar w:fldCharType="separate"/>
        </w:r>
        <w:r w:rsidRPr="009D5292">
          <w:rPr>
            <w:webHidden/>
            <w:sz w:val="22"/>
            <w:szCs w:val="22"/>
          </w:rPr>
          <w:t>8</w:t>
        </w:r>
        <w:r w:rsidRPr="009D5292">
          <w:rPr>
            <w:webHidden/>
            <w:sz w:val="22"/>
            <w:szCs w:val="22"/>
          </w:rPr>
          <w:fldChar w:fldCharType="end"/>
        </w:r>
      </w:hyperlink>
    </w:p>
    <w:p w:rsidR="009D5292" w:rsidRDefault="009D5292" w:rsidP="009D5292">
      <w:pPr>
        <w:pStyle w:val="TOC1"/>
        <w:rPr>
          <w:rFonts w:asciiTheme="minorHAnsi" w:eastAsiaTheme="minorEastAsia" w:hAnsiTheme="minorHAnsi" w:cstheme="minorBidi"/>
          <w:b w:val="0"/>
          <w:sz w:val="22"/>
          <w:szCs w:val="22"/>
        </w:rPr>
      </w:pPr>
      <w:hyperlink w:anchor="_Toc362012110" w:history="1">
        <w:r w:rsidRPr="00124922">
          <w:rPr>
            <w:rStyle w:val="Hyperlink"/>
          </w:rPr>
          <w:t>3</w:t>
        </w:r>
        <w:r>
          <w:rPr>
            <w:rFonts w:asciiTheme="minorHAnsi" w:eastAsiaTheme="minorEastAsia" w:hAnsiTheme="minorHAnsi" w:cstheme="minorBidi"/>
            <w:b w:val="0"/>
            <w:sz w:val="22"/>
            <w:szCs w:val="22"/>
          </w:rPr>
          <w:tab/>
        </w:r>
        <w:r w:rsidRPr="00124922">
          <w:rPr>
            <w:rStyle w:val="Hyperlink"/>
          </w:rPr>
          <w:t>What are the consequences of visa refusal or cancellation?</w:t>
        </w:r>
        <w:r>
          <w:rPr>
            <w:webHidden/>
          </w:rPr>
          <w:tab/>
        </w:r>
        <w:r>
          <w:rPr>
            <w:webHidden/>
          </w:rPr>
          <w:fldChar w:fldCharType="begin"/>
        </w:r>
        <w:r>
          <w:rPr>
            <w:webHidden/>
          </w:rPr>
          <w:instrText xml:space="preserve"> PAGEREF _Toc362012110 \h </w:instrText>
        </w:r>
        <w:r>
          <w:rPr>
            <w:webHidden/>
          </w:rPr>
        </w:r>
        <w:r>
          <w:rPr>
            <w:webHidden/>
          </w:rPr>
          <w:fldChar w:fldCharType="separate"/>
        </w:r>
        <w:r>
          <w:rPr>
            <w:webHidden/>
          </w:rPr>
          <w:t>9</w:t>
        </w:r>
        <w:r>
          <w:rPr>
            <w:webHidden/>
          </w:rPr>
          <w:fldChar w:fldCharType="end"/>
        </w:r>
      </w:hyperlink>
    </w:p>
    <w:p w:rsidR="009D5292" w:rsidRDefault="009D5292" w:rsidP="009D5292">
      <w:pPr>
        <w:pStyle w:val="TOC1"/>
        <w:rPr>
          <w:rFonts w:asciiTheme="minorHAnsi" w:eastAsiaTheme="minorEastAsia" w:hAnsiTheme="minorHAnsi" w:cstheme="minorBidi"/>
          <w:b w:val="0"/>
          <w:sz w:val="22"/>
          <w:szCs w:val="22"/>
        </w:rPr>
      </w:pPr>
      <w:hyperlink w:anchor="_Toc362012111" w:history="1">
        <w:r w:rsidRPr="00124922">
          <w:rPr>
            <w:rStyle w:val="Hyperlink"/>
          </w:rPr>
          <w:t>4</w:t>
        </w:r>
        <w:r>
          <w:rPr>
            <w:rFonts w:asciiTheme="minorHAnsi" w:eastAsiaTheme="minorEastAsia" w:hAnsiTheme="minorHAnsi" w:cstheme="minorBidi"/>
            <w:b w:val="0"/>
            <w:sz w:val="22"/>
            <w:szCs w:val="22"/>
          </w:rPr>
          <w:tab/>
        </w:r>
        <w:r w:rsidRPr="00124922">
          <w:rPr>
            <w:rStyle w:val="Hyperlink"/>
          </w:rPr>
          <w:t>What are the human rights issues raised by refusal or cancellation of visas under section 501?</w:t>
        </w:r>
        <w:r>
          <w:rPr>
            <w:webHidden/>
          </w:rPr>
          <w:tab/>
        </w:r>
        <w:r>
          <w:rPr>
            <w:webHidden/>
          </w:rPr>
          <w:fldChar w:fldCharType="begin"/>
        </w:r>
        <w:r>
          <w:rPr>
            <w:webHidden/>
          </w:rPr>
          <w:instrText xml:space="preserve"> PAGEREF _Toc362012111 \h </w:instrText>
        </w:r>
        <w:r>
          <w:rPr>
            <w:webHidden/>
          </w:rPr>
        </w:r>
        <w:r>
          <w:rPr>
            <w:webHidden/>
          </w:rPr>
          <w:fldChar w:fldCharType="separate"/>
        </w:r>
        <w:r>
          <w:rPr>
            <w:webHidden/>
          </w:rPr>
          <w:t>10</w:t>
        </w:r>
        <w:r>
          <w:rPr>
            <w:webHidden/>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2" w:history="1">
        <w:r w:rsidRPr="009D5292">
          <w:rPr>
            <w:rStyle w:val="Hyperlink"/>
            <w:sz w:val="22"/>
            <w:szCs w:val="22"/>
          </w:rPr>
          <w:t>4.1</w:t>
        </w:r>
        <w:r w:rsidRPr="009D5292">
          <w:rPr>
            <w:rFonts w:asciiTheme="minorHAnsi" w:eastAsiaTheme="minorEastAsia" w:hAnsiTheme="minorHAnsi" w:cstheme="minorBidi"/>
            <w:b w:val="0"/>
            <w:i w:val="0"/>
            <w:sz w:val="22"/>
            <w:szCs w:val="22"/>
          </w:rPr>
          <w:tab/>
        </w:r>
        <w:r w:rsidRPr="009D5292">
          <w:rPr>
            <w:rStyle w:val="Hyperlink"/>
            <w:sz w:val="22"/>
            <w:szCs w:val="22"/>
          </w:rPr>
          <w:t>Impact of visa refusal on refugees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_Toc362012112 \h </w:instrText>
        </w:r>
        <w:r w:rsidRPr="009D5292">
          <w:rPr>
            <w:webHidden/>
            <w:sz w:val="22"/>
            <w:szCs w:val="22"/>
          </w:rPr>
        </w:r>
        <w:r w:rsidRPr="009D5292">
          <w:rPr>
            <w:webHidden/>
            <w:sz w:val="22"/>
            <w:szCs w:val="22"/>
          </w:rPr>
          <w:fldChar w:fldCharType="separate"/>
        </w:r>
        <w:r w:rsidRPr="009D5292">
          <w:rPr>
            <w:webHidden/>
            <w:sz w:val="22"/>
            <w:szCs w:val="22"/>
          </w:rPr>
          <w:t>10</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3" w:history="1">
        <w:r w:rsidRPr="009D5292">
          <w:rPr>
            <w:rStyle w:val="Hyperlink"/>
            <w:sz w:val="22"/>
            <w:szCs w:val="22"/>
          </w:rPr>
          <w:t>4.2</w:t>
        </w:r>
        <w:r w:rsidRPr="009D5292">
          <w:rPr>
            <w:rFonts w:asciiTheme="minorHAnsi" w:eastAsiaTheme="minorEastAsia" w:hAnsiTheme="minorHAnsi" w:cstheme="minorBidi"/>
            <w:b w:val="0"/>
            <w:i w:val="0"/>
            <w:sz w:val="22"/>
            <w:szCs w:val="22"/>
          </w:rPr>
          <w:tab/>
        </w:r>
        <w:r w:rsidRPr="009D5292">
          <w:rPr>
            <w:rStyle w:val="Hyperlink"/>
            <w:sz w:val="22"/>
            <w:szCs w:val="22"/>
          </w:rPr>
          <w:t>Impact of visa cancellation on long-term permanent residents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_Toc362012113 \h </w:instrText>
        </w:r>
        <w:r w:rsidRPr="009D5292">
          <w:rPr>
            <w:webHidden/>
            <w:sz w:val="22"/>
            <w:szCs w:val="22"/>
          </w:rPr>
        </w:r>
        <w:r w:rsidRPr="009D5292">
          <w:rPr>
            <w:webHidden/>
            <w:sz w:val="22"/>
            <w:szCs w:val="22"/>
          </w:rPr>
          <w:fldChar w:fldCharType="separate"/>
        </w:r>
        <w:r w:rsidRPr="009D5292">
          <w:rPr>
            <w:webHidden/>
            <w:sz w:val="22"/>
            <w:szCs w:val="22"/>
          </w:rPr>
          <w:t>11</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4" w:history="1">
        <w:r w:rsidRPr="009D5292">
          <w:rPr>
            <w:rStyle w:val="Hyperlink"/>
            <w:sz w:val="22"/>
            <w:szCs w:val="22"/>
          </w:rPr>
          <w:t>4.3</w:t>
        </w:r>
        <w:r w:rsidRPr="009D5292">
          <w:rPr>
            <w:rFonts w:asciiTheme="minorHAnsi" w:eastAsiaTheme="minorEastAsia" w:hAnsiTheme="minorHAnsi" w:cstheme="minorBidi"/>
            <w:b w:val="0"/>
            <w:i w:val="0"/>
            <w:sz w:val="22"/>
            <w:szCs w:val="22"/>
          </w:rPr>
          <w:tab/>
        </w:r>
        <w:r w:rsidRPr="009D5292">
          <w:rPr>
            <w:rStyle w:val="Hyperlink"/>
            <w:sz w:val="22"/>
            <w:szCs w:val="22"/>
          </w:rPr>
          <w:t>Risk of arbitrary detention</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_Toc362012114 \h </w:instrText>
        </w:r>
        <w:r w:rsidRPr="009D5292">
          <w:rPr>
            <w:webHidden/>
            <w:sz w:val="22"/>
            <w:szCs w:val="22"/>
          </w:rPr>
        </w:r>
        <w:r w:rsidRPr="009D5292">
          <w:rPr>
            <w:webHidden/>
            <w:sz w:val="22"/>
            <w:szCs w:val="22"/>
          </w:rPr>
          <w:fldChar w:fldCharType="separate"/>
        </w:r>
        <w:r w:rsidRPr="009D5292">
          <w:rPr>
            <w:webHidden/>
            <w:sz w:val="22"/>
            <w:szCs w:val="22"/>
          </w:rPr>
          <w:t>13</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5" w:history="1">
        <w:r w:rsidRPr="009D5292">
          <w:rPr>
            <w:rStyle w:val="Hyperlink"/>
            <w:sz w:val="22"/>
            <w:szCs w:val="22"/>
          </w:rPr>
          <w:t>4.4</w:t>
        </w:r>
        <w:r w:rsidRPr="009D5292">
          <w:rPr>
            <w:rFonts w:asciiTheme="minorHAnsi" w:eastAsiaTheme="minorEastAsia" w:hAnsiTheme="minorHAnsi" w:cstheme="minorBidi"/>
            <w:b w:val="0"/>
            <w:i w:val="0"/>
            <w:sz w:val="22"/>
            <w:szCs w:val="22"/>
          </w:rPr>
          <w:tab/>
        </w:r>
        <w:r w:rsidRPr="009D5292">
          <w:rPr>
            <w:rStyle w:val="Hyperlink"/>
            <w:sz w:val="22"/>
            <w:szCs w:val="22"/>
          </w:rPr>
          <w:t>Risk of separation from children and other family members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_Toc362012115 \h </w:instrText>
        </w:r>
        <w:r w:rsidRPr="009D5292">
          <w:rPr>
            <w:webHidden/>
            <w:sz w:val="22"/>
            <w:szCs w:val="22"/>
          </w:rPr>
        </w:r>
        <w:r w:rsidRPr="009D5292">
          <w:rPr>
            <w:webHidden/>
            <w:sz w:val="22"/>
            <w:szCs w:val="22"/>
          </w:rPr>
          <w:fldChar w:fldCharType="separate"/>
        </w:r>
        <w:r w:rsidRPr="009D5292">
          <w:rPr>
            <w:webHidden/>
            <w:sz w:val="22"/>
            <w:szCs w:val="22"/>
          </w:rPr>
          <w:t>17</w:t>
        </w:r>
        <w:r w:rsidRPr="009D5292">
          <w:rPr>
            <w:webHidden/>
            <w:sz w:val="22"/>
            <w:szCs w:val="22"/>
          </w:rPr>
          <w:fldChar w:fldCharType="end"/>
        </w:r>
      </w:hyperlink>
    </w:p>
    <w:p w:rsidR="009D5292" w:rsidRDefault="009D5292" w:rsidP="009D5292">
      <w:pPr>
        <w:pStyle w:val="TOC1"/>
        <w:rPr>
          <w:rFonts w:asciiTheme="minorHAnsi" w:eastAsiaTheme="minorEastAsia" w:hAnsiTheme="minorHAnsi" w:cstheme="minorBidi"/>
          <w:b w:val="0"/>
          <w:sz w:val="22"/>
          <w:szCs w:val="22"/>
        </w:rPr>
      </w:pPr>
      <w:hyperlink w:anchor="_Toc362012116" w:history="1">
        <w:r w:rsidRPr="00124922">
          <w:rPr>
            <w:rStyle w:val="Hyperlink"/>
          </w:rPr>
          <w:t>5</w:t>
        </w:r>
        <w:r>
          <w:rPr>
            <w:rFonts w:asciiTheme="minorHAnsi" w:eastAsiaTheme="minorEastAsia" w:hAnsiTheme="minorHAnsi" w:cstheme="minorBidi"/>
            <w:b w:val="0"/>
            <w:sz w:val="22"/>
            <w:szCs w:val="22"/>
          </w:rPr>
          <w:tab/>
        </w:r>
        <w:r w:rsidRPr="00124922">
          <w:rPr>
            <w:rStyle w:val="Hyperlink"/>
          </w:rPr>
          <w:t>Can a person seek review of a decision under section 501 to refuse or cancel a visa?</w:t>
        </w:r>
        <w:r>
          <w:rPr>
            <w:webHidden/>
          </w:rPr>
          <w:tab/>
        </w:r>
        <w:r>
          <w:rPr>
            <w:webHidden/>
          </w:rPr>
          <w:fldChar w:fldCharType="begin"/>
        </w:r>
        <w:r>
          <w:rPr>
            <w:webHidden/>
          </w:rPr>
          <w:instrText xml:space="preserve"> PAGEREF _Toc362012116 \h </w:instrText>
        </w:r>
        <w:r>
          <w:rPr>
            <w:webHidden/>
          </w:rPr>
        </w:r>
        <w:r>
          <w:rPr>
            <w:webHidden/>
          </w:rPr>
          <w:fldChar w:fldCharType="separate"/>
        </w:r>
        <w:r>
          <w:rPr>
            <w:webHidden/>
          </w:rPr>
          <w:t>19</w:t>
        </w:r>
        <w:r>
          <w:rPr>
            <w:webHidden/>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7" w:history="1">
        <w:r w:rsidRPr="009D5292">
          <w:rPr>
            <w:rStyle w:val="Hyperlink"/>
            <w:sz w:val="22"/>
            <w:szCs w:val="22"/>
          </w:rPr>
          <w:t>5.1</w:t>
        </w:r>
        <w:r w:rsidRPr="009D5292">
          <w:rPr>
            <w:rFonts w:asciiTheme="minorHAnsi" w:eastAsiaTheme="minorEastAsia" w:hAnsiTheme="minorHAnsi" w:cstheme="minorBidi"/>
            <w:b w:val="0"/>
            <w:i w:val="0"/>
            <w:sz w:val="22"/>
            <w:szCs w:val="22"/>
          </w:rPr>
          <w:tab/>
        </w:r>
        <w:r w:rsidRPr="009D5292">
          <w:rPr>
            <w:rStyle w:val="Hyperlink"/>
            <w:sz w:val="22"/>
            <w:szCs w:val="22"/>
          </w:rPr>
          <w:t>Access to merits review</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_Toc362012117 \h </w:instrText>
        </w:r>
        <w:r w:rsidRPr="009D5292">
          <w:rPr>
            <w:webHidden/>
            <w:sz w:val="22"/>
            <w:szCs w:val="22"/>
          </w:rPr>
        </w:r>
        <w:r w:rsidRPr="009D5292">
          <w:rPr>
            <w:webHidden/>
            <w:sz w:val="22"/>
            <w:szCs w:val="22"/>
          </w:rPr>
          <w:fldChar w:fldCharType="separate"/>
        </w:r>
        <w:r w:rsidRPr="009D5292">
          <w:rPr>
            <w:webHidden/>
            <w:sz w:val="22"/>
            <w:szCs w:val="22"/>
          </w:rPr>
          <w:t>19</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8" w:history="1">
        <w:r w:rsidRPr="009D5292">
          <w:rPr>
            <w:rStyle w:val="Hyperlink"/>
            <w:rFonts w:cs="Arial"/>
            <w:sz w:val="22"/>
            <w:szCs w:val="22"/>
          </w:rPr>
          <w:t>5.2</w:t>
        </w:r>
        <w:r w:rsidRPr="009D5292">
          <w:rPr>
            <w:rFonts w:asciiTheme="minorHAnsi" w:eastAsiaTheme="minorEastAsia" w:hAnsiTheme="minorHAnsi" w:cstheme="minorBidi"/>
            <w:b w:val="0"/>
            <w:i w:val="0"/>
            <w:sz w:val="22"/>
            <w:szCs w:val="22"/>
          </w:rPr>
          <w:tab/>
        </w:r>
        <w:r w:rsidRPr="009D5292">
          <w:rPr>
            <w:rStyle w:val="Hyperlink"/>
            <w:sz w:val="22"/>
            <w:szCs w:val="22"/>
          </w:rPr>
          <w:t>Access to judicial review</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_Toc362012118 \h </w:instrText>
        </w:r>
        <w:r w:rsidRPr="009D5292">
          <w:rPr>
            <w:webHidden/>
            <w:sz w:val="22"/>
            <w:szCs w:val="22"/>
          </w:rPr>
        </w:r>
        <w:r w:rsidRPr="009D5292">
          <w:rPr>
            <w:webHidden/>
            <w:sz w:val="22"/>
            <w:szCs w:val="22"/>
          </w:rPr>
          <w:fldChar w:fldCharType="separate"/>
        </w:r>
        <w:r w:rsidRPr="009D5292">
          <w:rPr>
            <w:webHidden/>
            <w:sz w:val="22"/>
            <w:szCs w:val="22"/>
          </w:rPr>
          <w:t>19</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19" w:history="1">
        <w:r w:rsidRPr="009D5292">
          <w:rPr>
            <w:rStyle w:val="Hyperlink"/>
            <w:sz w:val="22"/>
            <w:szCs w:val="22"/>
          </w:rPr>
          <w:t>5.3</w:t>
        </w:r>
        <w:r w:rsidRPr="009D5292">
          <w:rPr>
            <w:rFonts w:asciiTheme="minorHAnsi" w:eastAsiaTheme="minorEastAsia" w:hAnsiTheme="minorHAnsi" w:cstheme="minorBidi"/>
            <w:b w:val="0"/>
            <w:i w:val="0"/>
            <w:sz w:val="22"/>
            <w:szCs w:val="22"/>
          </w:rPr>
          <w:tab/>
        </w:r>
        <w:r w:rsidRPr="009D5292">
          <w:rPr>
            <w:rStyle w:val="Hyperlink"/>
            <w:sz w:val="22"/>
            <w:szCs w:val="22"/>
          </w:rPr>
          <w:t>The Minister’s personal powers to refuse or cancel visas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_Toc362012119 \h </w:instrText>
        </w:r>
        <w:r w:rsidRPr="009D5292">
          <w:rPr>
            <w:webHidden/>
            <w:sz w:val="22"/>
            <w:szCs w:val="22"/>
          </w:rPr>
        </w:r>
        <w:r w:rsidRPr="009D5292">
          <w:rPr>
            <w:webHidden/>
            <w:sz w:val="22"/>
            <w:szCs w:val="22"/>
          </w:rPr>
          <w:fldChar w:fldCharType="separate"/>
        </w:r>
        <w:r w:rsidRPr="009D5292">
          <w:rPr>
            <w:webHidden/>
            <w:sz w:val="22"/>
            <w:szCs w:val="22"/>
          </w:rPr>
          <w:t>20</w:t>
        </w:r>
        <w:r w:rsidRPr="009D5292">
          <w:rPr>
            <w:webHidden/>
            <w:sz w:val="22"/>
            <w:szCs w:val="22"/>
          </w:rPr>
          <w:fldChar w:fldCharType="end"/>
        </w:r>
      </w:hyperlink>
    </w:p>
    <w:p w:rsidR="009D5292" w:rsidRDefault="009D5292" w:rsidP="009D5292">
      <w:pPr>
        <w:pStyle w:val="TOC1"/>
        <w:rPr>
          <w:rFonts w:asciiTheme="minorHAnsi" w:eastAsiaTheme="minorEastAsia" w:hAnsiTheme="minorHAnsi" w:cstheme="minorBidi"/>
          <w:b w:val="0"/>
          <w:sz w:val="22"/>
          <w:szCs w:val="22"/>
        </w:rPr>
      </w:pPr>
      <w:hyperlink w:anchor="_Toc362012120" w:history="1">
        <w:r w:rsidRPr="00124922">
          <w:rPr>
            <w:rStyle w:val="Hyperlink"/>
          </w:rPr>
          <w:t>6</w:t>
        </w:r>
        <w:r>
          <w:rPr>
            <w:rFonts w:asciiTheme="minorHAnsi" w:eastAsiaTheme="minorEastAsia" w:hAnsiTheme="minorHAnsi" w:cstheme="minorBidi"/>
            <w:b w:val="0"/>
            <w:sz w:val="22"/>
            <w:szCs w:val="22"/>
          </w:rPr>
          <w:tab/>
        </w:r>
        <w:r w:rsidRPr="00124922">
          <w:rPr>
            <w:rStyle w:val="Hyperlink"/>
          </w:rPr>
          <w:t>Links to further information</w:t>
        </w:r>
        <w:r>
          <w:rPr>
            <w:webHidden/>
          </w:rPr>
          <w:tab/>
        </w:r>
        <w:r>
          <w:rPr>
            <w:webHidden/>
          </w:rPr>
          <w:fldChar w:fldCharType="begin"/>
        </w:r>
        <w:r>
          <w:rPr>
            <w:webHidden/>
          </w:rPr>
          <w:instrText xml:space="preserve"> PAGEREF _Toc362012120 \h </w:instrText>
        </w:r>
        <w:r>
          <w:rPr>
            <w:webHidden/>
          </w:rPr>
        </w:r>
        <w:r>
          <w:rPr>
            <w:webHidden/>
          </w:rPr>
          <w:fldChar w:fldCharType="separate"/>
        </w:r>
        <w:r>
          <w:rPr>
            <w:webHidden/>
          </w:rPr>
          <w:t>20</w:t>
        </w:r>
        <w:r>
          <w:rPr>
            <w:webHidden/>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21" w:history="1">
        <w:r w:rsidRPr="009D5292">
          <w:rPr>
            <w:rStyle w:val="Hyperlink"/>
            <w:sz w:val="22"/>
            <w:szCs w:val="22"/>
          </w:rPr>
          <w:t>6.1</w:t>
        </w:r>
        <w:r w:rsidRPr="009D5292">
          <w:rPr>
            <w:rFonts w:asciiTheme="minorHAnsi" w:eastAsiaTheme="minorEastAsia" w:hAnsiTheme="minorHAnsi" w:cstheme="minorBidi"/>
            <w:b w:val="0"/>
            <w:i w:val="0"/>
            <w:sz w:val="22"/>
            <w:szCs w:val="22"/>
          </w:rPr>
          <w:tab/>
        </w:r>
        <w:r w:rsidRPr="009D5292">
          <w:rPr>
            <w:rStyle w:val="Hyperlink"/>
            <w:sz w:val="22"/>
            <w:szCs w:val="22"/>
          </w:rPr>
          <w:t>Commission projects and publications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_Toc362012121 \h </w:instrText>
        </w:r>
        <w:r w:rsidRPr="009D5292">
          <w:rPr>
            <w:webHidden/>
            <w:sz w:val="22"/>
            <w:szCs w:val="22"/>
          </w:rPr>
        </w:r>
        <w:r w:rsidRPr="009D5292">
          <w:rPr>
            <w:webHidden/>
            <w:sz w:val="22"/>
            <w:szCs w:val="22"/>
          </w:rPr>
          <w:fldChar w:fldCharType="separate"/>
        </w:r>
        <w:r w:rsidRPr="009D5292">
          <w:rPr>
            <w:webHidden/>
            <w:sz w:val="22"/>
            <w:szCs w:val="22"/>
          </w:rPr>
          <w:t>20</w:t>
        </w:r>
        <w:r w:rsidRPr="009D5292">
          <w:rPr>
            <w:webHidden/>
            <w:sz w:val="22"/>
            <w:szCs w:val="22"/>
          </w:rPr>
          <w:fldChar w:fldCharType="end"/>
        </w:r>
      </w:hyperlink>
    </w:p>
    <w:p w:rsidR="009D5292" w:rsidRPr="009D5292" w:rsidRDefault="009D5292" w:rsidP="009D5292">
      <w:pPr>
        <w:pStyle w:val="TOC2"/>
        <w:spacing w:after="120"/>
        <w:ind w:left="1061" w:hanging="775"/>
        <w:rPr>
          <w:rFonts w:asciiTheme="minorHAnsi" w:eastAsiaTheme="minorEastAsia" w:hAnsiTheme="minorHAnsi" w:cstheme="minorBidi"/>
          <w:b w:val="0"/>
          <w:i w:val="0"/>
          <w:sz w:val="22"/>
          <w:szCs w:val="22"/>
        </w:rPr>
      </w:pPr>
      <w:hyperlink w:anchor="_Toc362012122" w:history="1">
        <w:r w:rsidRPr="009D5292">
          <w:rPr>
            <w:rStyle w:val="Hyperlink"/>
            <w:sz w:val="22"/>
            <w:szCs w:val="22"/>
          </w:rPr>
          <w:t>6.2</w:t>
        </w:r>
        <w:r w:rsidRPr="009D5292">
          <w:rPr>
            <w:rFonts w:asciiTheme="minorHAnsi" w:eastAsiaTheme="minorEastAsia" w:hAnsiTheme="minorHAnsi" w:cstheme="minorBidi"/>
            <w:b w:val="0"/>
            <w:i w:val="0"/>
            <w:sz w:val="22"/>
            <w:szCs w:val="22"/>
          </w:rPr>
          <w:tab/>
        </w:r>
        <w:r w:rsidRPr="009D5292">
          <w:rPr>
            <w:rStyle w:val="Hyperlink"/>
            <w:sz w:val="22"/>
            <w:szCs w:val="22"/>
          </w:rPr>
          <w:t>Other useful links</w:t>
        </w:r>
        <w:r w:rsidRPr="009D5292">
          <w:rPr>
            <w:webHidden/>
            <w:sz w:val="22"/>
            <w:szCs w:val="22"/>
          </w:rPr>
          <w:tab/>
        </w:r>
        <w:r w:rsidRPr="009D5292">
          <w:rPr>
            <w:webHidden/>
            <w:sz w:val="22"/>
            <w:szCs w:val="22"/>
          </w:rPr>
          <w:fldChar w:fldCharType="begin"/>
        </w:r>
        <w:r w:rsidRPr="009D5292">
          <w:rPr>
            <w:webHidden/>
            <w:sz w:val="22"/>
            <w:szCs w:val="22"/>
          </w:rPr>
          <w:instrText xml:space="preserve"> PAGEREF _Toc362012122 \h </w:instrText>
        </w:r>
        <w:r w:rsidRPr="009D5292">
          <w:rPr>
            <w:webHidden/>
            <w:sz w:val="22"/>
            <w:szCs w:val="22"/>
          </w:rPr>
        </w:r>
        <w:r w:rsidRPr="009D5292">
          <w:rPr>
            <w:webHidden/>
            <w:sz w:val="22"/>
            <w:szCs w:val="22"/>
          </w:rPr>
          <w:fldChar w:fldCharType="separate"/>
        </w:r>
        <w:r w:rsidRPr="009D5292">
          <w:rPr>
            <w:webHidden/>
            <w:sz w:val="22"/>
            <w:szCs w:val="22"/>
          </w:rPr>
          <w:t>21</w:t>
        </w:r>
        <w:r w:rsidRPr="009D5292">
          <w:rPr>
            <w:webHidden/>
            <w:sz w:val="22"/>
            <w:szCs w:val="22"/>
          </w:rPr>
          <w:fldChar w:fldCharType="end"/>
        </w:r>
      </w:hyperlink>
    </w:p>
    <w:p w:rsidR="009B1785" w:rsidRPr="009B1785" w:rsidRDefault="009B1785" w:rsidP="009D5292">
      <w:pPr>
        <w:pStyle w:val="Heading1"/>
        <w:numPr>
          <w:ilvl w:val="0"/>
          <w:numId w:val="0"/>
        </w:numPr>
        <w:spacing w:before="0" w:after="120"/>
        <w:ind w:left="851"/>
      </w:pPr>
      <w:r w:rsidRPr="00947328">
        <w:rPr>
          <w:bCs w:val="0"/>
          <w:noProof/>
          <w:sz w:val="24"/>
          <w:szCs w:val="24"/>
        </w:rPr>
        <w:fldChar w:fldCharType="end"/>
      </w:r>
    </w:p>
    <w:p w:rsidR="00076ABF" w:rsidRDefault="00076ABF">
      <w:pPr>
        <w:spacing w:before="0" w:after="0"/>
        <w:rPr>
          <w:b/>
          <w:bCs/>
          <w:sz w:val="28"/>
          <w:szCs w:val="28"/>
        </w:rPr>
      </w:pPr>
      <w:r>
        <w:br w:type="page"/>
      </w:r>
    </w:p>
    <w:p w:rsidR="0046213C" w:rsidRPr="0046213C" w:rsidRDefault="0046213C" w:rsidP="0071036A">
      <w:pPr>
        <w:pStyle w:val="Heading1"/>
        <w:spacing w:before="0" w:after="0"/>
      </w:pPr>
      <w:bookmarkStart w:id="5" w:name="_Toc362012104"/>
      <w:r w:rsidRPr="00F05473">
        <w:lastRenderedPageBreak/>
        <w:t>Summary</w:t>
      </w:r>
      <w:bookmarkEnd w:id="2"/>
      <w:bookmarkEnd w:id="3"/>
      <w:bookmarkEnd w:id="4"/>
      <w:bookmarkEnd w:id="5"/>
    </w:p>
    <w:p w:rsidR="000604CD" w:rsidRPr="00F05473" w:rsidRDefault="000604CD" w:rsidP="000604CD">
      <w:pPr>
        <w:rPr>
          <w:lang w:val="en"/>
        </w:rPr>
      </w:pPr>
      <w:r w:rsidRPr="0021699D">
        <w:rPr>
          <w:rFonts w:cs="Arial"/>
        </w:rPr>
        <w:t>Under s</w:t>
      </w:r>
      <w:r w:rsidR="00A66906">
        <w:rPr>
          <w:rFonts w:cs="Arial"/>
        </w:rPr>
        <w:t>ection</w:t>
      </w:r>
      <w:r w:rsidRPr="0021699D">
        <w:rPr>
          <w:rFonts w:cs="Arial"/>
        </w:rPr>
        <w:t xml:space="preserve"> 501</w:t>
      </w:r>
      <w:r w:rsidR="00ED48E9">
        <w:rPr>
          <w:rFonts w:cs="Arial"/>
        </w:rPr>
        <w:t xml:space="preserve"> (and/or sections 501A </w:t>
      </w:r>
      <w:r w:rsidR="00F43933">
        <w:rPr>
          <w:rFonts w:cs="Arial"/>
        </w:rPr>
        <w:t>and 501B)</w:t>
      </w:r>
      <w:r w:rsidR="000C7C64">
        <w:rPr>
          <w:rStyle w:val="EndnoteReference"/>
          <w:rFonts w:cs="Arial"/>
        </w:rPr>
        <w:endnoteReference w:id="1"/>
      </w:r>
      <w:r w:rsidR="000C7C64" w:rsidRPr="0021699D">
        <w:rPr>
          <w:rFonts w:cs="Arial"/>
        </w:rPr>
        <w:t xml:space="preserve"> of the </w:t>
      </w:r>
      <w:r w:rsidR="000C7C64" w:rsidRPr="0021699D">
        <w:rPr>
          <w:rFonts w:cs="Arial"/>
          <w:i/>
        </w:rPr>
        <w:t>Migration Act 1958</w:t>
      </w:r>
      <w:r w:rsidR="000C7C64" w:rsidRPr="0021699D">
        <w:rPr>
          <w:rFonts w:cs="Arial"/>
        </w:rPr>
        <w:t xml:space="preserve"> (Cth) (Migration Act), </w:t>
      </w:r>
      <w:r w:rsidR="000C7C64">
        <w:rPr>
          <w:rFonts w:cs="Arial"/>
        </w:rPr>
        <w:t>a non-citizen’s applic</w:t>
      </w:r>
      <w:r w:rsidR="00D8517C">
        <w:rPr>
          <w:rFonts w:cs="Arial"/>
        </w:rPr>
        <w:t>ation for a visa may be refused or their visa may be cancelled</w:t>
      </w:r>
      <w:r w:rsidR="000C7C64">
        <w:rPr>
          <w:rFonts w:cs="Arial"/>
        </w:rPr>
        <w:t xml:space="preserve"> if they do not </w:t>
      </w:r>
      <w:r w:rsidR="000C7C64" w:rsidRPr="0021699D">
        <w:rPr>
          <w:rFonts w:cs="Arial"/>
        </w:rPr>
        <w:t>satisfy the Minister for Immigration</w:t>
      </w:r>
      <w:r w:rsidR="000C7C64">
        <w:rPr>
          <w:rFonts w:cs="Arial"/>
        </w:rPr>
        <w:t xml:space="preserve"> and Citizenship</w:t>
      </w:r>
      <w:r w:rsidR="000C7C64" w:rsidRPr="0021699D">
        <w:rPr>
          <w:rFonts w:cs="Arial"/>
        </w:rPr>
        <w:t xml:space="preserve"> (the Minister)</w:t>
      </w:r>
      <w:r w:rsidR="00D8517C">
        <w:rPr>
          <w:rFonts w:cs="Arial"/>
        </w:rPr>
        <w:t>,</w:t>
      </w:r>
      <w:r w:rsidR="000C7C64" w:rsidRPr="0021699D">
        <w:rPr>
          <w:rFonts w:cs="Arial"/>
        </w:rPr>
        <w:t xml:space="preserve"> </w:t>
      </w:r>
      <w:r w:rsidR="000C7C64">
        <w:rPr>
          <w:rFonts w:cs="Arial"/>
        </w:rPr>
        <w:t>or the Minister’s delegate</w:t>
      </w:r>
      <w:r w:rsidR="00D8517C">
        <w:rPr>
          <w:rFonts w:cs="Arial"/>
        </w:rPr>
        <w:t>,</w:t>
      </w:r>
      <w:r w:rsidR="000C7C64">
        <w:rPr>
          <w:rFonts w:cs="Arial"/>
        </w:rPr>
        <w:t xml:space="preserve"> that they pass the ‘character test’. </w:t>
      </w:r>
      <w:r w:rsidR="000C7C64" w:rsidRPr="008C3FAD">
        <w:rPr>
          <w:lang w:val="en"/>
        </w:rPr>
        <w:t>During the 20</w:t>
      </w:r>
      <w:r w:rsidR="000C7C64">
        <w:rPr>
          <w:lang w:val="en"/>
        </w:rPr>
        <w:t>11</w:t>
      </w:r>
      <w:r w:rsidR="005A13F9">
        <w:rPr>
          <w:lang w:val="en"/>
        </w:rPr>
        <w:t>-</w:t>
      </w:r>
      <w:r w:rsidR="000C7C64">
        <w:rPr>
          <w:lang w:val="en"/>
        </w:rPr>
        <w:t>12</w:t>
      </w:r>
      <w:r w:rsidR="000C7C64" w:rsidRPr="008C3FAD">
        <w:rPr>
          <w:lang w:val="en"/>
        </w:rPr>
        <w:t xml:space="preserve"> financial year</w:t>
      </w:r>
      <w:r w:rsidR="000C7C64">
        <w:rPr>
          <w:lang w:val="en"/>
        </w:rPr>
        <w:t xml:space="preserve"> 88 people had their visa applications refused and 157 people had their visas </w:t>
      </w:r>
      <w:r w:rsidR="000C7C64" w:rsidRPr="008C3FAD">
        <w:rPr>
          <w:lang w:val="en"/>
        </w:rPr>
        <w:t>cancelled on</w:t>
      </w:r>
      <w:r w:rsidR="000C7C64">
        <w:rPr>
          <w:lang w:val="en"/>
        </w:rPr>
        <w:t xml:space="preserve"> this basis</w:t>
      </w:r>
      <w:r w:rsidR="000C7C64" w:rsidRPr="008C3FAD">
        <w:rPr>
          <w:lang w:val="en"/>
        </w:rPr>
        <w:t>.</w:t>
      </w:r>
      <w:r w:rsidR="000C7C64">
        <w:rPr>
          <w:rStyle w:val="EndnoteReference"/>
          <w:lang w:val="en"/>
        </w:rPr>
        <w:endnoteReference w:id="2"/>
      </w:r>
      <w:r w:rsidR="000C7C64">
        <w:rPr>
          <w:lang w:val="en"/>
        </w:rPr>
        <w:t xml:space="preserve"> </w:t>
      </w:r>
    </w:p>
    <w:p w:rsidR="000604CD" w:rsidRDefault="000604CD" w:rsidP="00E269D0">
      <w:pPr>
        <w:spacing w:after="120"/>
        <w:rPr>
          <w:rFonts w:cs="Arial"/>
        </w:rPr>
      </w:pPr>
      <w:r w:rsidRPr="007D2E17">
        <w:rPr>
          <w:rFonts w:cs="Arial"/>
        </w:rPr>
        <w:t xml:space="preserve">Visa </w:t>
      </w:r>
      <w:r>
        <w:rPr>
          <w:rFonts w:cs="Arial"/>
        </w:rPr>
        <w:t xml:space="preserve">refusal or </w:t>
      </w:r>
      <w:r w:rsidRPr="007D2E17">
        <w:rPr>
          <w:rFonts w:cs="Arial"/>
        </w:rPr>
        <w:t>cancellation</w:t>
      </w:r>
      <w:r>
        <w:rPr>
          <w:rFonts w:cs="Arial"/>
        </w:rPr>
        <w:t xml:space="preserve"> can have serious consequences for a person, including</w:t>
      </w:r>
      <w:r w:rsidRPr="007D2E17">
        <w:rPr>
          <w:rFonts w:cs="Arial"/>
        </w:rPr>
        <w:t xml:space="preserve"> </w:t>
      </w:r>
      <w:r>
        <w:rPr>
          <w:rFonts w:cs="Arial"/>
        </w:rPr>
        <w:t xml:space="preserve">placement in immigration </w:t>
      </w:r>
      <w:r w:rsidRPr="007D2E17">
        <w:rPr>
          <w:rFonts w:cs="Arial"/>
        </w:rPr>
        <w:t>detention</w:t>
      </w:r>
      <w:r>
        <w:rPr>
          <w:rFonts w:cs="Arial"/>
        </w:rPr>
        <w:t xml:space="preserve"> for lengthy periods of time</w:t>
      </w:r>
      <w:r w:rsidRPr="007D2E17">
        <w:rPr>
          <w:rFonts w:cs="Arial"/>
        </w:rPr>
        <w:t xml:space="preserve">, </w:t>
      </w:r>
      <w:r>
        <w:rPr>
          <w:rFonts w:cs="Arial"/>
        </w:rPr>
        <w:t xml:space="preserve">separation from </w:t>
      </w:r>
      <w:r w:rsidRPr="007D2E17">
        <w:rPr>
          <w:rFonts w:cs="Arial"/>
        </w:rPr>
        <w:t>family and friends</w:t>
      </w:r>
      <w:r w:rsidR="00B77911">
        <w:rPr>
          <w:rFonts w:cs="Arial"/>
        </w:rPr>
        <w:t>, removal and effective</w:t>
      </w:r>
      <w:r>
        <w:rPr>
          <w:rFonts w:cs="Arial"/>
        </w:rPr>
        <w:t xml:space="preserve"> exclusion from Australia</w:t>
      </w:r>
      <w:r w:rsidR="00A45E3A">
        <w:rPr>
          <w:lang w:val="en"/>
        </w:rPr>
        <w:t xml:space="preserve">. </w:t>
      </w:r>
      <w:r w:rsidRPr="007D2E17">
        <w:rPr>
          <w:rFonts w:cs="Arial"/>
        </w:rPr>
        <w:t>The Australian Human Rights Commission</w:t>
      </w:r>
      <w:r>
        <w:rPr>
          <w:rFonts w:cs="Arial"/>
        </w:rPr>
        <w:t xml:space="preserve"> is </w:t>
      </w:r>
      <w:r w:rsidR="00E14A5D">
        <w:rPr>
          <w:rFonts w:cs="Arial"/>
        </w:rPr>
        <w:t xml:space="preserve">concerned </w:t>
      </w:r>
      <w:r w:rsidR="00631136">
        <w:rPr>
          <w:rFonts w:cs="Arial"/>
        </w:rPr>
        <w:t xml:space="preserve">that </w:t>
      </w:r>
      <w:r w:rsidR="00E14A5D">
        <w:rPr>
          <w:rFonts w:cs="Arial"/>
        </w:rPr>
        <w:t>a decision to refuse or cancel a person’</w:t>
      </w:r>
      <w:r w:rsidR="000C6341">
        <w:rPr>
          <w:rFonts w:cs="Arial"/>
        </w:rPr>
        <w:t>s visa may lead to breaches of</w:t>
      </w:r>
      <w:r w:rsidR="00E14A5D">
        <w:rPr>
          <w:rFonts w:cs="Arial"/>
        </w:rPr>
        <w:t xml:space="preserve"> the human rights of that individual and their family members</w:t>
      </w:r>
      <w:r>
        <w:rPr>
          <w:rFonts w:cs="Arial"/>
        </w:rPr>
        <w:t xml:space="preserve">. </w:t>
      </w:r>
      <w:r w:rsidR="00A45E3A" w:rsidRPr="000D122B">
        <w:rPr>
          <w:rFonts w:cs="Arial"/>
        </w:rPr>
        <w:t>The Commission is particularly concerned about the impact on refugees who have their applications for protection visas refused under s</w:t>
      </w:r>
      <w:r w:rsidR="000162D7" w:rsidRPr="000D122B">
        <w:rPr>
          <w:rFonts w:cs="Arial"/>
        </w:rPr>
        <w:t>ection</w:t>
      </w:r>
      <w:r w:rsidR="00A45E3A" w:rsidRPr="000D122B">
        <w:rPr>
          <w:rFonts w:cs="Arial"/>
        </w:rPr>
        <w:t xml:space="preserve"> 501, and the impact of visa cancellation on long-term permanent residents of Australia </w:t>
      </w:r>
      <w:r w:rsidR="00A45E3A" w:rsidRPr="000D122B">
        <w:t xml:space="preserve">who </w:t>
      </w:r>
      <w:r w:rsidR="00A45E3A" w:rsidRPr="000D122B">
        <w:rPr>
          <w:lang w:val="en"/>
        </w:rPr>
        <w:t>have strong ties to the Australian community, including Australian partners or spouses, and</w:t>
      </w:r>
      <w:r w:rsidR="005B7051" w:rsidRPr="000D122B">
        <w:rPr>
          <w:lang w:val="en"/>
        </w:rPr>
        <w:t>/or</w:t>
      </w:r>
      <w:r w:rsidR="00A45E3A" w:rsidRPr="000D122B">
        <w:rPr>
          <w:lang w:val="en"/>
        </w:rPr>
        <w:t xml:space="preserve"> children.</w:t>
      </w:r>
      <w:r w:rsidR="00490430">
        <w:rPr>
          <w:rFonts w:cs="Arial"/>
        </w:rPr>
        <w:t>The Commission has concerns about</w:t>
      </w:r>
      <w:r w:rsidR="00DA7C01">
        <w:rPr>
          <w:rFonts w:cs="Arial"/>
        </w:rPr>
        <w:t>:</w:t>
      </w:r>
    </w:p>
    <w:p w:rsidR="000604CD" w:rsidRDefault="000604CD" w:rsidP="00E269D0">
      <w:pPr>
        <w:numPr>
          <w:ilvl w:val="0"/>
          <w:numId w:val="31"/>
        </w:numPr>
        <w:spacing w:after="120"/>
        <w:rPr>
          <w:rFonts w:cs="Arial"/>
        </w:rPr>
      </w:pPr>
      <w:r>
        <w:rPr>
          <w:rFonts w:cs="Arial"/>
        </w:rPr>
        <w:t xml:space="preserve">the risk that such persons </w:t>
      </w:r>
      <w:r w:rsidR="008D2BF6">
        <w:rPr>
          <w:rFonts w:cs="Arial"/>
        </w:rPr>
        <w:t>may</w:t>
      </w:r>
      <w:r>
        <w:rPr>
          <w:rFonts w:cs="Arial"/>
        </w:rPr>
        <w:t xml:space="preserve"> be subjected to arbitrary </w:t>
      </w:r>
      <w:r w:rsidR="00E25589">
        <w:rPr>
          <w:rFonts w:cs="Arial"/>
        </w:rPr>
        <w:t xml:space="preserve">detention </w:t>
      </w:r>
      <w:r>
        <w:rPr>
          <w:rFonts w:cs="Arial"/>
        </w:rPr>
        <w:t>(including prolonged or indefinite detention</w:t>
      </w:r>
      <w:r w:rsidR="00E25589">
        <w:rPr>
          <w:rFonts w:cs="Arial"/>
        </w:rPr>
        <w:t>)</w:t>
      </w:r>
    </w:p>
    <w:p w:rsidR="000604CD" w:rsidRDefault="000604CD" w:rsidP="00E269D0">
      <w:pPr>
        <w:numPr>
          <w:ilvl w:val="0"/>
          <w:numId w:val="24"/>
        </w:numPr>
        <w:spacing w:before="120" w:after="120"/>
        <w:ind w:left="714" w:hanging="357"/>
        <w:rPr>
          <w:rFonts w:cs="Arial"/>
        </w:rPr>
      </w:pPr>
      <w:r>
        <w:rPr>
          <w:rFonts w:cs="Arial"/>
        </w:rPr>
        <w:t>the risk of separation from children and other family members due to a person’s detention and/or removal from Australia</w:t>
      </w:r>
    </w:p>
    <w:p w:rsidR="00B719F6" w:rsidRDefault="00B719F6" w:rsidP="00E269D0">
      <w:pPr>
        <w:numPr>
          <w:ilvl w:val="0"/>
          <w:numId w:val="24"/>
        </w:numPr>
        <w:spacing w:before="120" w:after="120"/>
        <w:rPr>
          <w:rFonts w:cs="Arial"/>
        </w:rPr>
      </w:pPr>
      <w:r>
        <w:rPr>
          <w:rFonts w:cs="Arial"/>
        </w:rPr>
        <w:t xml:space="preserve">the broad nature of the Minister’s personal powers to refuse or cancel a visa on character grounds, and the limited ability of persons to seek review of the Minister’s decisions. </w:t>
      </w:r>
    </w:p>
    <w:p w:rsidR="004C099E" w:rsidRDefault="004C099E" w:rsidP="000604CD">
      <w:pPr>
        <w:rPr>
          <w:rFonts w:cs="Arial"/>
        </w:rPr>
      </w:pPr>
      <w:r w:rsidRPr="004C099E">
        <w:rPr>
          <w:rFonts w:cs="Arial"/>
        </w:rPr>
        <w:t xml:space="preserve">This background paper sets out some basic information about the process of visa </w:t>
      </w:r>
      <w:r>
        <w:rPr>
          <w:rFonts w:cs="Arial"/>
        </w:rPr>
        <w:t xml:space="preserve">refusal and </w:t>
      </w:r>
      <w:r w:rsidRPr="004C099E">
        <w:rPr>
          <w:rFonts w:cs="Arial"/>
        </w:rPr>
        <w:t xml:space="preserve">cancellation under </w:t>
      </w:r>
      <w:r w:rsidR="00A66906">
        <w:rPr>
          <w:rFonts w:cs="Arial"/>
        </w:rPr>
        <w:t>section 501</w:t>
      </w:r>
      <w:r w:rsidR="00767E63">
        <w:rPr>
          <w:rFonts w:cs="Arial"/>
        </w:rPr>
        <w:t>, and discusses</w:t>
      </w:r>
      <w:r w:rsidR="00C80ECF">
        <w:rPr>
          <w:rFonts w:cs="Arial"/>
        </w:rPr>
        <w:t xml:space="preserve"> these</w:t>
      </w:r>
      <w:r w:rsidRPr="004C099E">
        <w:rPr>
          <w:rFonts w:cs="Arial"/>
        </w:rPr>
        <w:t xml:space="preserve"> human rights concerns about the process and its consequences.</w:t>
      </w:r>
    </w:p>
    <w:p w:rsidR="000604CD" w:rsidRDefault="000604CD" w:rsidP="000604CD">
      <w:pPr>
        <w:pStyle w:val="Heading1"/>
      </w:pPr>
      <w:bookmarkStart w:id="6" w:name="_Toc355100895"/>
      <w:bookmarkStart w:id="7" w:name="_Toc355363537"/>
      <w:bookmarkStart w:id="8" w:name="_Toc355952710"/>
      <w:bookmarkStart w:id="9" w:name="_Toc362012105"/>
      <w:r>
        <w:t xml:space="preserve">When can a visa </w:t>
      </w:r>
      <w:r w:rsidRPr="004A088B">
        <w:t>be refused</w:t>
      </w:r>
      <w:r w:rsidR="00731408">
        <w:t xml:space="preserve"> or cancelled under </w:t>
      </w:r>
      <w:r w:rsidR="00A66906">
        <w:t>section 501</w:t>
      </w:r>
      <w:r>
        <w:t>?</w:t>
      </w:r>
      <w:bookmarkEnd w:id="6"/>
      <w:bookmarkEnd w:id="7"/>
      <w:bookmarkEnd w:id="8"/>
      <w:bookmarkEnd w:id="9"/>
    </w:p>
    <w:p w:rsidR="000604CD" w:rsidRDefault="00206604" w:rsidP="00BF0352">
      <w:pPr>
        <w:pStyle w:val="Heading2"/>
      </w:pPr>
      <w:bookmarkStart w:id="10" w:name="_Toc355952711"/>
      <w:bookmarkStart w:id="11" w:name="_Toc362012106"/>
      <w:r>
        <w:t>A</w:t>
      </w:r>
      <w:r w:rsidR="00E25D9B">
        <w:t xml:space="preserve"> </w:t>
      </w:r>
      <w:r w:rsidR="000604CD">
        <w:t>two stage decision-making process</w:t>
      </w:r>
      <w:bookmarkEnd w:id="10"/>
      <w:bookmarkEnd w:id="11"/>
      <w:r w:rsidR="000604CD">
        <w:t xml:space="preserve"> </w:t>
      </w:r>
    </w:p>
    <w:p w:rsidR="00786ABC" w:rsidRDefault="000604CD" w:rsidP="000604CD">
      <w:pPr>
        <w:spacing w:before="120" w:after="120"/>
        <w:rPr>
          <w:rFonts w:cs="Arial"/>
        </w:rPr>
      </w:pPr>
      <w:r>
        <w:rPr>
          <w:rFonts w:cs="Arial"/>
        </w:rPr>
        <w:t xml:space="preserve">There are two stages of the decision-making process under </w:t>
      </w:r>
      <w:r w:rsidR="00A66906">
        <w:rPr>
          <w:rFonts w:cs="Arial"/>
        </w:rPr>
        <w:t>section 501</w:t>
      </w:r>
      <w:r>
        <w:rPr>
          <w:rFonts w:cs="Arial"/>
        </w:rPr>
        <w:t>. At the f</w:t>
      </w:r>
      <w:r w:rsidR="00042462">
        <w:rPr>
          <w:rFonts w:cs="Arial"/>
        </w:rPr>
        <w:t>irst stage, the Minister or the</w:t>
      </w:r>
      <w:r w:rsidR="006F03A2">
        <w:rPr>
          <w:rFonts w:cs="Arial"/>
        </w:rPr>
        <w:t xml:space="preserve"> </w:t>
      </w:r>
      <w:r>
        <w:rPr>
          <w:rFonts w:cs="Arial"/>
        </w:rPr>
        <w:t xml:space="preserve">delegate must consider whether </w:t>
      </w:r>
      <w:r w:rsidR="00126483">
        <w:rPr>
          <w:rFonts w:cs="Arial"/>
        </w:rPr>
        <w:t xml:space="preserve">the </w:t>
      </w:r>
      <w:r>
        <w:rPr>
          <w:rFonts w:cs="Arial"/>
        </w:rPr>
        <w:t>person passes the character test</w:t>
      </w:r>
      <w:r w:rsidR="00E3400D">
        <w:rPr>
          <w:rFonts w:cs="Arial"/>
        </w:rPr>
        <w:t xml:space="preserve"> (referred to as the ‘</w:t>
      </w:r>
      <w:r w:rsidR="007B33C9">
        <w:rPr>
          <w:rFonts w:cs="Arial"/>
        </w:rPr>
        <w:t xml:space="preserve">threshold </w:t>
      </w:r>
      <w:r w:rsidR="00352890">
        <w:rPr>
          <w:rFonts w:cs="Arial"/>
        </w:rPr>
        <w:t xml:space="preserve">test </w:t>
      </w:r>
      <w:r w:rsidR="007B33C9">
        <w:rPr>
          <w:rFonts w:cs="Arial"/>
        </w:rPr>
        <w:t>for</w:t>
      </w:r>
      <w:r w:rsidR="00E3400D">
        <w:rPr>
          <w:rFonts w:cs="Arial"/>
        </w:rPr>
        <w:t xml:space="preserve"> refusal or cancellation’ in the sections below)</w:t>
      </w:r>
      <w:r>
        <w:rPr>
          <w:rFonts w:cs="Arial"/>
        </w:rPr>
        <w:t xml:space="preserve">. The character test is set out in </w:t>
      </w:r>
      <w:r w:rsidR="00A66906">
        <w:rPr>
          <w:rFonts w:cs="Arial"/>
        </w:rPr>
        <w:t>subsection 501</w:t>
      </w:r>
      <w:r>
        <w:rPr>
          <w:rFonts w:cs="Arial"/>
        </w:rPr>
        <w:t xml:space="preserve">(6), and is discussed in </w:t>
      </w:r>
      <w:r w:rsidRPr="00651752">
        <w:rPr>
          <w:rFonts w:cs="Arial"/>
        </w:rPr>
        <w:t>section</w:t>
      </w:r>
      <w:r w:rsidR="00493285">
        <w:rPr>
          <w:rFonts w:cs="Arial"/>
        </w:rPr>
        <w:t xml:space="preserve"> 2.3</w:t>
      </w:r>
      <w:r w:rsidRPr="00651752">
        <w:rPr>
          <w:rFonts w:cs="Arial"/>
        </w:rPr>
        <w:t xml:space="preserve"> </w:t>
      </w:r>
      <w:r>
        <w:rPr>
          <w:rFonts w:cs="Arial"/>
        </w:rPr>
        <w:t>below.</w:t>
      </w:r>
      <w:r w:rsidR="00D01B2B">
        <w:rPr>
          <w:rFonts w:cs="Arial"/>
        </w:rPr>
        <w:t xml:space="preserve"> </w:t>
      </w:r>
    </w:p>
    <w:p w:rsidR="00126483" w:rsidRPr="00696CCB" w:rsidRDefault="00042462" w:rsidP="00B223F6">
      <w:pPr>
        <w:spacing w:before="120" w:after="120"/>
        <w:rPr>
          <w:rFonts w:cs="Arial"/>
        </w:rPr>
      </w:pPr>
      <w:r>
        <w:rPr>
          <w:rFonts w:cs="Arial"/>
        </w:rPr>
        <w:t>If the Minister or the</w:t>
      </w:r>
      <w:r w:rsidR="002E7E01">
        <w:rPr>
          <w:rFonts w:cs="Arial"/>
        </w:rPr>
        <w:t xml:space="preserve"> </w:t>
      </w:r>
      <w:r w:rsidR="00D01B2B">
        <w:rPr>
          <w:rFonts w:cs="Arial"/>
        </w:rPr>
        <w:t>delegate</w:t>
      </w:r>
      <w:r w:rsidR="003F036C">
        <w:rPr>
          <w:rFonts w:cs="Arial"/>
        </w:rPr>
        <w:t xml:space="preserve"> </w:t>
      </w:r>
      <w:r w:rsidR="00D01B2B">
        <w:rPr>
          <w:rFonts w:cs="Arial"/>
        </w:rPr>
        <w:t xml:space="preserve">is satisfied that the threshold </w:t>
      </w:r>
      <w:r w:rsidR="00B458FB">
        <w:rPr>
          <w:rFonts w:cs="Arial"/>
        </w:rPr>
        <w:t xml:space="preserve">test </w:t>
      </w:r>
      <w:r w:rsidR="00E64801">
        <w:rPr>
          <w:rFonts w:cs="Arial"/>
        </w:rPr>
        <w:t xml:space="preserve">under </w:t>
      </w:r>
      <w:r w:rsidR="00A66906">
        <w:rPr>
          <w:rFonts w:cs="Arial"/>
        </w:rPr>
        <w:t>subsection</w:t>
      </w:r>
      <w:r w:rsidR="00E85577">
        <w:rPr>
          <w:rFonts w:cs="Arial"/>
        </w:rPr>
        <w:t> </w:t>
      </w:r>
      <w:r w:rsidR="00A66906">
        <w:rPr>
          <w:rFonts w:cs="Arial"/>
        </w:rPr>
        <w:t>501</w:t>
      </w:r>
      <w:r w:rsidR="00D01B2B">
        <w:rPr>
          <w:rFonts w:cs="Arial"/>
        </w:rPr>
        <w:t>(1), (2)</w:t>
      </w:r>
      <w:r w:rsidR="00E64801">
        <w:rPr>
          <w:rFonts w:cs="Arial"/>
        </w:rPr>
        <w:t>,</w:t>
      </w:r>
      <w:r w:rsidR="00D01B2B">
        <w:rPr>
          <w:rFonts w:cs="Arial"/>
        </w:rPr>
        <w:t xml:space="preserve"> or (3) </w:t>
      </w:r>
      <w:r w:rsidR="00076ABF">
        <w:rPr>
          <w:rFonts w:cs="Arial"/>
        </w:rPr>
        <w:t xml:space="preserve">for refusal or cancellation </w:t>
      </w:r>
      <w:r w:rsidR="00D01B2B" w:rsidRPr="00076ABF">
        <w:rPr>
          <w:rFonts w:cs="Arial"/>
        </w:rPr>
        <w:t>has been met</w:t>
      </w:r>
      <w:r w:rsidR="00D01B2B">
        <w:rPr>
          <w:rFonts w:cs="Arial"/>
        </w:rPr>
        <w:t xml:space="preserve">, </w:t>
      </w:r>
      <w:r w:rsidR="00B223F6">
        <w:rPr>
          <w:rFonts w:cs="Arial"/>
        </w:rPr>
        <w:t>t</w:t>
      </w:r>
      <w:r w:rsidR="00126483">
        <w:rPr>
          <w:rFonts w:cs="Arial"/>
        </w:rPr>
        <w:t>his</w:t>
      </w:r>
      <w:r w:rsidR="00730AAD">
        <w:rPr>
          <w:rFonts w:cs="Arial"/>
        </w:rPr>
        <w:t xml:space="preserve"> </w:t>
      </w:r>
      <w:r w:rsidR="00126483">
        <w:rPr>
          <w:rFonts w:cs="Arial"/>
        </w:rPr>
        <w:t xml:space="preserve">triggers the second stage of the decision-making process under </w:t>
      </w:r>
      <w:r w:rsidR="00A66906">
        <w:rPr>
          <w:rFonts w:cs="Arial"/>
        </w:rPr>
        <w:t>section 501</w:t>
      </w:r>
      <w:r w:rsidR="00126483">
        <w:rPr>
          <w:rFonts w:cs="Arial"/>
        </w:rPr>
        <w:t xml:space="preserve">. At this stage, the Minister or </w:t>
      </w:r>
      <w:r>
        <w:rPr>
          <w:rFonts w:cs="Arial"/>
        </w:rPr>
        <w:t>the</w:t>
      </w:r>
      <w:r w:rsidR="002E7E01">
        <w:rPr>
          <w:rFonts w:cs="Arial"/>
        </w:rPr>
        <w:t xml:space="preserve"> </w:t>
      </w:r>
      <w:r w:rsidR="007E5FBE">
        <w:rPr>
          <w:rFonts w:cs="Arial"/>
        </w:rPr>
        <w:t xml:space="preserve">delegate </w:t>
      </w:r>
      <w:r w:rsidR="00DB4BDF">
        <w:rPr>
          <w:rFonts w:cs="Arial"/>
        </w:rPr>
        <w:t xml:space="preserve">must decide whether to </w:t>
      </w:r>
      <w:r w:rsidR="001B6B06">
        <w:rPr>
          <w:rFonts w:cs="Arial"/>
        </w:rPr>
        <w:t>exercise</w:t>
      </w:r>
      <w:r w:rsidR="00DB4BDF">
        <w:rPr>
          <w:rFonts w:cs="Arial"/>
        </w:rPr>
        <w:t xml:space="preserve"> their </w:t>
      </w:r>
      <w:r w:rsidR="00126483">
        <w:rPr>
          <w:rFonts w:cs="Arial"/>
        </w:rPr>
        <w:t xml:space="preserve">discretion to refuse or cancel the person’s visa. </w:t>
      </w:r>
    </w:p>
    <w:p w:rsidR="00126483" w:rsidRDefault="00126483" w:rsidP="00B223F6">
      <w:pPr>
        <w:spacing w:after="120"/>
        <w:rPr>
          <w:rFonts w:cs="Arial"/>
        </w:rPr>
      </w:pPr>
      <w:r>
        <w:rPr>
          <w:rFonts w:cs="Arial"/>
        </w:rPr>
        <w:t xml:space="preserve">To guide the decision-making process under </w:t>
      </w:r>
      <w:r w:rsidR="00A66906">
        <w:rPr>
          <w:rFonts w:cs="Arial"/>
        </w:rPr>
        <w:t>section 501</w:t>
      </w:r>
      <w:r>
        <w:rPr>
          <w:rFonts w:cs="Arial"/>
        </w:rPr>
        <w:t>, the Minister can give a Direction under s</w:t>
      </w:r>
      <w:r w:rsidR="00A920CD">
        <w:rPr>
          <w:rFonts w:cs="Arial"/>
        </w:rPr>
        <w:t>ection</w:t>
      </w:r>
      <w:r>
        <w:rPr>
          <w:rFonts w:cs="Arial"/>
        </w:rPr>
        <w:t xml:space="preserve"> 499 of the Migration Act. The current Ministerial Direction is </w:t>
      </w:r>
      <w:r>
        <w:rPr>
          <w:rFonts w:cs="Arial"/>
        </w:rPr>
        <w:lastRenderedPageBreak/>
        <w:t>Direction No</w:t>
      </w:r>
      <w:r w:rsidR="000B46DB">
        <w:rPr>
          <w:rFonts w:cs="Arial"/>
        </w:rPr>
        <w:t>.</w:t>
      </w:r>
      <w:r>
        <w:rPr>
          <w:rFonts w:cs="Arial"/>
        </w:rPr>
        <w:t xml:space="preserve"> 55, which commenced on 1 September 2012.</w:t>
      </w:r>
      <w:bookmarkStart w:id="12" w:name="_Ref356908615"/>
      <w:r w:rsidR="00FB72A2">
        <w:rPr>
          <w:rStyle w:val="EndnoteReference"/>
          <w:rFonts w:cs="Arial"/>
        </w:rPr>
        <w:endnoteReference w:id="3"/>
      </w:r>
      <w:bookmarkEnd w:id="12"/>
      <w:r w:rsidR="00FB72A2">
        <w:rPr>
          <w:rFonts w:cs="Arial"/>
        </w:rPr>
        <w:t xml:space="preserve"> Officers of the Department of Immigration and Citizenship (DIAC) making visa cancellation and refusal decisions under subsections 501(1) and (2) must comply with this Direction.</w:t>
      </w:r>
      <w:r w:rsidR="00FB72A2">
        <w:rPr>
          <w:rStyle w:val="EndnoteReference"/>
          <w:rFonts w:cs="Arial"/>
        </w:rPr>
        <w:endnoteReference w:id="4"/>
      </w:r>
      <w:r w:rsidR="00FB72A2">
        <w:rPr>
          <w:rFonts w:cs="Arial"/>
        </w:rPr>
        <w:t xml:space="preserve"> </w:t>
      </w:r>
      <w:r>
        <w:rPr>
          <w:rFonts w:cs="Arial"/>
        </w:rPr>
        <w:t>The Direction does not apply to visa refusal or cancellation decisions made by the Minister personally</w:t>
      </w:r>
      <w:r w:rsidR="005E1431">
        <w:rPr>
          <w:rFonts w:cs="Arial"/>
        </w:rPr>
        <w:t>. I</w:t>
      </w:r>
      <w:r>
        <w:rPr>
          <w:rFonts w:cs="Arial"/>
        </w:rPr>
        <w:t xml:space="preserve">n exercising his or her personal powers, the Minister may refer to the Direction, but he or she is not obliged to follow it (the Minister’s personal powers are </w:t>
      </w:r>
      <w:r w:rsidRPr="005B186C">
        <w:rPr>
          <w:rFonts w:cs="Arial"/>
        </w:rPr>
        <w:t xml:space="preserve">discussed </w:t>
      </w:r>
      <w:r>
        <w:rPr>
          <w:rFonts w:cs="Arial"/>
        </w:rPr>
        <w:t xml:space="preserve">further </w:t>
      </w:r>
      <w:r w:rsidRPr="005B186C">
        <w:rPr>
          <w:rFonts w:cs="Arial"/>
        </w:rPr>
        <w:t xml:space="preserve">in </w:t>
      </w:r>
      <w:r w:rsidRPr="002F380B">
        <w:rPr>
          <w:rFonts w:cs="Arial"/>
        </w:rPr>
        <w:t>section</w:t>
      </w:r>
      <w:r w:rsidR="00C1395F">
        <w:rPr>
          <w:rFonts w:cs="Arial"/>
        </w:rPr>
        <w:t xml:space="preserve"> 5.3</w:t>
      </w:r>
      <w:r w:rsidRPr="005B186C">
        <w:rPr>
          <w:rFonts w:cs="Arial"/>
        </w:rPr>
        <w:t xml:space="preserve"> below</w:t>
      </w:r>
      <w:r>
        <w:rPr>
          <w:rFonts w:cs="Arial"/>
        </w:rPr>
        <w:t>)</w:t>
      </w:r>
      <w:r w:rsidRPr="005B186C">
        <w:rPr>
          <w:rFonts w:cs="Arial"/>
        </w:rPr>
        <w:t>.</w:t>
      </w:r>
    </w:p>
    <w:p w:rsidR="00DD703F" w:rsidRDefault="00BA5942" w:rsidP="00604BA9">
      <w:pPr>
        <w:pStyle w:val="Heading2"/>
      </w:pPr>
      <w:bookmarkStart w:id="13" w:name="_Toc355952712"/>
      <w:bookmarkStart w:id="14" w:name="_Ref356931040"/>
      <w:bookmarkStart w:id="15" w:name="_Ref356931063"/>
      <w:bookmarkStart w:id="16" w:name="_Toc362012107"/>
      <w:r>
        <w:t xml:space="preserve">Stage 1: </w:t>
      </w:r>
      <w:r w:rsidR="00491EFB">
        <w:t>T</w:t>
      </w:r>
      <w:r w:rsidR="00250BA6">
        <w:t>he t</w:t>
      </w:r>
      <w:r w:rsidR="00DD703F">
        <w:t xml:space="preserve">hreshold </w:t>
      </w:r>
      <w:r w:rsidR="00352890">
        <w:t xml:space="preserve">test </w:t>
      </w:r>
      <w:r w:rsidR="00DD703F">
        <w:t>for r</w:t>
      </w:r>
      <w:r w:rsidR="00500712">
        <w:t>efusal or cancellation</w:t>
      </w:r>
      <w:bookmarkEnd w:id="13"/>
      <w:bookmarkEnd w:id="14"/>
      <w:bookmarkEnd w:id="15"/>
      <w:bookmarkEnd w:id="16"/>
      <w:r w:rsidR="00500712">
        <w:t xml:space="preserve"> </w:t>
      </w:r>
    </w:p>
    <w:p w:rsidR="00500712" w:rsidRDefault="008C643B" w:rsidP="00693CDC">
      <w:pPr>
        <w:pStyle w:val="Heading3"/>
      </w:pPr>
      <w:bookmarkStart w:id="17" w:name="_Toc355952713"/>
      <w:r>
        <w:t>R</w:t>
      </w:r>
      <w:r w:rsidR="00DD703F">
        <w:t xml:space="preserve">efusal or cancellation by the Minister or </w:t>
      </w:r>
      <w:r w:rsidR="00042462">
        <w:t>a</w:t>
      </w:r>
      <w:r w:rsidR="006F03A2">
        <w:t xml:space="preserve"> </w:t>
      </w:r>
      <w:r w:rsidR="00DD703F">
        <w:t xml:space="preserve">delegate under </w:t>
      </w:r>
      <w:r w:rsidR="00A66906">
        <w:t>subsection</w:t>
      </w:r>
      <w:r w:rsidR="00BE0373">
        <w:t>s</w:t>
      </w:r>
      <w:r w:rsidR="00A66906">
        <w:t xml:space="preserve"> 501</w:t>
      </w:r>
      <w:r w:rsidR="00DD703F">
        <w:t xml:space="preserve">(1) </w:t>
      </w:r>
      <w:r>
        <w:t xml:space="preserve">or </w:t>
      </w:r>
      <w:r w:rsidR="00DD703F">
        <w:t>(2)</w:t>
      </w:r>
      <w:bookmarkEnd w:id="17"/>
    </w:p>
    <w:p w:rsidR="00500712" w:rsidRDefault="00500712" w:rsidP="00500712">
      <w:pPr>
        <w:spacing w:before="120" w:after="120"/>
        <w:rPr>
          <w:rFonts w:cs="Arial"/>
        </w:rPr>
      </w:pPr>
      <w:r>
        <w:rPr>
          <w:rFonts w:cs="Arial"/>
        </w:rPr>
        <w:t xml:space="preserve">The Minister may refuse to grant a visa to a person under </w:t>
      </w:r>
      <w:r w:rsidR="00A66906">
        <w:rPr>
          <w:rFonts w:cs="Arial"/>
        </w:rPr>
        <w:t>section 501</w:t>
      </w:r>
      <w:r>
        <w:rPr>
          <w:rFonts w:cs="Arial"/>
        </w:rPr>
        <w:t>(1) if the person does not satisfy the Minister that he or she passes the character test.</w:t>
      </w:r>
    </w:p>
    <w:p w:rsidR="00500712" w:rsidRDefault="00500712" w:rsidP="00500712">
      <w:pPr>
        <w:spacing w:before="120" w:after="120"/>
        <w:rPr>
          <w:rFonts w:cs="Arial"/>
        </w:rPr>
      </w:pPr>
      <w:r>
        <w:rPr>
          <w:rFonts w:cs="Arial"/>
        </w:rPr>
        <w:t xml:space="preserve">A person’s visa may be </w:t>
      </w:r>
      <w:r w:rsidRPr="000D69F7">
        <w:rPr>
          <w:rFonts w:cs="Arial"/>
        </w:rPr>
        <w:t>cancelled</w:t>
      </w:r>
      <w:r>
        <w:rPr>
          <w:rFonts w:cs="Arial"/>
        </w:rPr>
        <w:t xml:space="preserve"> under section 501(2) of the Migration Act if:</w:t>
      </w:r>
    </w:p>
    <w:p w:rsidR="00500712" w:rsidRDefault="00500712" w:rsidP="00500712">
      <w:pPr>
        <w:numPr>
          <w:ilvl w:val="0"/>
          <w:numId w:val="35"/>
        </w:numPr>
        <w:spacing w:before="120" w:after="120"/>
        <w:rPr>
          <w:rFonts w:cs="Arial"/>
        </w:rPr>
      </w:pPr>
      <w:r>
        <w:rPr>
          <w:rFonts w:cs="Arial"/>
        </w:rPr>
        <w:t>the Minister reasonably suspects that the person does not pass the character test</w:t>
      </w:r>
      <w:r w:rsidR="00753685">
        <w:rPr>
          <w:rFonts w:cs="Arial"/>
        </w:rPr>
        <w:t>,</w:t>
      </w:r>
      <w:r>
        <w:rPr>
          <w:rFonts w:cs="Arial"/>
        </w:rPr>
        <w:t xml:space="preserve"> and</w:t>
      </w:r>
    </w:p>
    <w:p w:rsidR="003F5A34" w:rsidRDefault="003F5A34" w:rsidP="003F5A34">
      <w:pPr>
        <w:numPr>
          <w:ilvl w:val="0"/>
          <w:numId w:val="35"/>
        </w:numPr>
        <w:spacing w:before="120" w:after="120"/>
        <w:rPr>
          <w:rFonts w:cs="Arial"/>
        </w:rPr>
      </w:pPr>
      <w:r>
        <w:rPr>
          <w:rFonts w:cs="Arial"/>
        </w:rPr>
        <w:t>the person does not satisfy the Minister that they pass the character test.</w:t>
      </w:r>
    </w:p>
    <w:p w:rsidR="003F5A34" w:rsidRDefault="003F5A34" w:rsidP="003F5A34">
      <w:pPr>
        <w:rPr>
          <w:rFonts w:cs="Arial"/>
        </w:rPr>
      </w:pPr>
      <w:r>
        <w:rPr>
          <w:rFonts w:cs="Arial"/>
        </w:rPr>
        <w:t xml:space="preserve">The power in </w:t>
      </w:r>
      <w:r w:rsidR="00A66906">
        <w:rPr>
          <w:rFonts w:cs="Arial"/>
        </w:rPr>
        <w:t>subsection</w:t>
      </w:r>
      <w:r w:rsidR="003244AF">
        <w:rPr>
          <w:rFonts w:cs="Arial"/>
        </w:rPr>
        <w:t>s</w:t>
      </w:r>
      <w:r w:rsidR="00A66906">
        <w:rPr>
          <w:rFonts w:cs="Arial"/>
        </w:rPr>
        <w:t xml:space="preserve"> 501</w:t>
      </w:r>
      <w:r>
        <w:rPr>
          <w:rFonts w:cs="Arial"/>
        </w:rPr>
        <w:t xml:space="preserve">(1) and 501(2) can be exercised by the Minister personally, or by a delegate of the Minister. In practice, certain DIAC officers </w:t>
      </w:r>
      <w:r w:rsidR="00221D82">
        <w:rPr>
          <w:rFonts w:cs="Arial"/>
        </w:rPr>
        <w:t xml:space="preserve">usually </w:t>
      </w:r>
      <w:r>
        <w:rPr>
          <w:rFonts w:cs="Arial"/>
        </w:rPr>
        <w:t>act as the Minister’s delegate</w:t>
      </w:r>
      <w:r w:rsidR="008468DF">
        <w:rPr>
          <w:rFonts w:cs="Arial"/>
        </w:rPr>
        <w:t>s</w:t>
      </w:r>
      <w:r>
        <w:rPr>
          <w:rFonts w:cs="Arial"/>
        </w:rPr>
        <w:t xml:space="preserve"> in making such decisions. </w:t>
      </w:r>
    </w:p>
    <w:p w:rsidR="003F5A34" w:rsidRDefault="003F5A34" w:rsidP="00734650">
      <w:pPr>
        <w:pStyle w:val="Heading3"/>
      </w:pPr>
      <w:bookmarkStart w:id="18" w:name="_Toc355952714"/>
      <w:r>
        <w:t xml:space="preserve">Refusal or cancellation </w:t>
      </w:r>
      <w:r w:rsidR="00734650">
        <w:t xml:space="preserve">by the Minister </w:t>
      </w:r>
      <w:r>
        <w:t xml:space="preserve">under </w:t>
      </w:r>
      <w:r w:rsidR="00A66906">
        <w:t>subsection 501</w:t>
      </w:r>
      <w:r>
        <w:t>(3)</w:t>
      </w:r>
      <w:bookmarkEnd w:id="18"/>
    </w:p>
    <w:p w:rsidR="003F5A34" w:rsidRDefault="003F5A34" w:rsidP="003F5A34">
      <w:pPr>
        <w:spacing w:before="120" w:after="120"/>
        <w:rPr>
          <w:rFonts w:cs="Arial"/>
        </w:rPr>
      </w:pPr>
      <w:r>
        <w:rPr>
          <w:rFonts w:cs="Arial"/>
        </w:rPr>
        <w:t xml:space="preserve">The Minister may refuse to grant </w:t>
      </w:r>
      <w:r w:rsidR="006E7193">
        <w:rPr>
          <w:rFonts w:cs="Arial"/>
        </w:rPr>
        <w:t xml:space="preserve">a visa or may </w:t>
      </w:r>
      <w:r>
        <w:rPr>
          <w:rFonts w:cs="Arial"/>
        </w:rPr>
        <w:t xml:space="preserve">cancel a person’s visa under </w:t>
      </w:r>
      <w:r w:rsidR="00F20B5A">
        <w:rPr>
          <w:rFonts w:cs="Arial"/>
        </w:rPr>
        <w:t>sub</w:t>
      </w:r>
      <w:r>
        <w:rPr>
          <w:rFonts w:cs="Arial"/>
        </w:rPr>
        <w:t>section 501(3) of the Migration Act if:</w:t>
      </w:r>
    </w:p>
    <w:p w:rsidR="003F5A34" w:rsidRDefault="003F5A34" w:rsidP="003F5A34">
      <w:pPr>
        <w:numPr>
          <w:ilvl w:val="0"/>
          <w:numId w:val="37"/>
        </w:numPr>
        <w:spacing w:before="120" w:after="120"/>
        <w:rPr>
          <w:rFonts w:cs="Arial"/>
        </w:rPr>
      </w:pPr>
      <w:r>
        <w:rPr>
          <w:rFonts w:cs="Arial"/>
        </w:rPr>
        <w:t xml:space="preserve">the Minister reasonably suspects that the person does not pass the character test and </w:t>
      </w:r>
    </w:p>
    <w:p w:rsidR="003F5A34" w:rsidRDefault="003F5A34" w:rsidP="003F5A34">
      <w:pPr>
        <w:numPr>
          <w:ilvl w:val="0"/>
          <w:numId w:val="37"/>
        </w:numPr>
        <w:spacing w:before="120" w:after="120"/>
        <w:rPr>
          <w:rFonts w:cs="Arial"/>
        </w:rPr>
      </w:pPr>
      <w:r>
        <w:rPr>
          <w:rFonts w:cs="Arial"/>
        </w:rPr>
        <w:t xml:space="preserve">the Minister is satisfied that the </w:t>
      </w:r>
      <w:r w:rsidR="00730AAD">
        <w:rPr>
          <w:rFonts w:cs="Arial"/>
        </w:rPr>
        <w:t xml:space="preserve">refusal or </w:t>
      </w:r>
      <w:r>
        <w:rPr>
          <w:rFonts w:cs="Arial"/>
        </w:rPr>
        <w:t xml:space="preserve">cancellation is in the national interest. </w:t>
      </w:r>
    </w:p>
    <w:p w:rsidR="00500712" w:rsidRDefault="003F5A34" w:rsidP="008E285B">
      <w:pPr>
        <w:spacing w:after="120"/>
        <w:rPr>
          <w:rFonts w:cs="Arial"/>
        </w:rPr>
      </w:pPr>
      <w:r w:rsidRPr="005C3322">
        <w:rPr>
          <w:rFonts w:cs="Arial"/>
        </w:rPr>
        <w:t>This power can only be exercised by the Minister personally. ‘National interest’ is not defined – it is a matter for the Minister to determine what constitutes the national interest in making a decision about whether to refuse or cancel a person’s visa.</w:t>
      </w:r>
      <w:r>
        <w:rPr>
          <w:rFonts w:cs="Arial"/>
        </w:rPr>
        <w:t xml:space="preserve"> </w:t>
      </w:r>
    </w:p>
    <w:p w:rsidR="00CA7BB4" w:rsidRDefault="00CA7BB4" w:rsidP="008E285B">
      <w:pPr>
        <w:spacing w:after="120"/>
        <w:rPr>
          <w:rFonts w:cs="Arial"/>
        </w:rPr>
      </w:pPr>
      <w:r>
        <w:rPr>
          <w:rFonts w:cs="Arial"/>
        </w:rPr>
        <w:t>It is also importan</w:t>
      </w:r>
      <w:r w:rsidR="00B04B10">
        <w:rPr>
          <w:rFonts w:cs="Arial"/>
        </w:rPr>
        <w:t>t to note</w:t>
      </w:r>
      <w:r>
        <w:rPr>
          <w:rFonts w:cs="Arial"/>
        </w:rPr>
        <w:t xml:space="preserve"> the Minister</w:t>
      </w:r>
      <w:r w:rsidR="00B04B10">
        <w:rPr>
          <w:rFonts w:cs="Arial"/>
        </w:rPr>
        <w:t xml:space="preserve">’s </w:t>
      </w:r>
      <w:r>
        <w:rPr>
          <w:rFonts w:cs="Arial"/>
        </w:rPr>
        <w:t>personal powers under sections 501A and 501B of the Migration Act</w:t>
      </w:r>
      <w:r w:rsidR="002D4678">
        <w:rPr>
          <w:rFonts w:cs="Arial"/>
        </w:rPr>
        <w:t>. These powers</w:t>
      </w:r>
      <w:r>
        <w:rPr>
          <w:rFonts w:cs="Arial"/>
        </w:rPr>
        <w:t xml:space="preserve"> enable </w:t>
      </w:r>
      <w:r w:rsidR="00BD5682">
        <w:rPr>
          <w:rFonts w:cs="Arial"/>
        </w:rPr>
        <w:t xml:space="preserve">the Minister </w:t>
      </w:r>
      <w:r>
        <w:rPr>
          <w:rFonts w:cs="Arial"/>
        </w:rPr>
        <w:t>to set aside an initial decision by a delegate</w:t>
      </w:r>
      <w:r w:rsidR="009468B6">
        <w:rPr>
          <w:rFonts w:cs="Arial"/>
        </w:rPr>
        <w:t xml:space="preserve"> or the Administrative Appeals Tribunal</w:t>
      </w:r>
      <w:r>
        <w:rPr>
          <w:rFonts w:cs="Arial"/>
        </w:rPr>
        <w:t xml:space="preserve"> in relation to refusal or cancellation</w:t>
      </w:r>
      <w:r w:rsidR="00FF16CB">
        <w:rPr>
          <w:rFonts w:cs="Arial"/>
        </w:rPr>
        <w:t xml:space="preserve"> under s</w:t>
      </w:r>
      <w:r w:rsidR="00287EA1">
        <w:rPr>
          <w:rFonts w:cs="Arial"/>
        </w:rPr>
        <w:t>ection</w:t>
      </w:r>
      <w:r w:rsidR="00FF16CB">
        <w:rPr>
          <w:rFonts w:cs="Arial"/>
        </w:rPr>
        <w:t xml:space="preserve"> 501</w:t>
      </w:r>
      <w:r>
        <w:rPr>
          <w:rFonts w:cs="Arial"/>
        </w:rPr>
        <w:t xml:space="preserve">, and substitute it with his </w:t>
      </w:r>
      <w:r w:rsidR="00C615AC">
        <w:rPr>
          <w:rFonts w:cs="Arial"/>
        </w:rPr>
        <w:t xml:space="preserve">or her </w:t>
      </w:r>
      <w:r>
        <w:rPr>
          <w:rFonts w:cs="Arial"/>
        </w:rPr>
        <w:t xml:space="preserve">own decision to refuse or cancel the visa on character grounds. These personal powers are discussed in </w:t>
      </w:r>
      <w:r w:rsidRPr="00E424C6">
        <w:rPr>
          <w:rFonts w:cs="Arial"/>
        </w:rPr>
        <w:t>section</w:t>
      </w:r>
      <w:r w:rsidR="005D2420">
        <w:rPr>
          <w:rFonts w:cs="Arial"/>
        </w:rPr>
        <w:t xml:space="preserve"> 5.3</w:t>
      </w:r>
      <w:r>
        <w:rPr>
          <w:rFonts w:cs="Arial"/>
        </w:rPr>
        <w:t xml:space="preserve"> below.</w:t>
      </w:r>
    </w:p>
    <w:p w:rsidR="000604CD" w:rsidRDefault="00820B53" w:rsidP="000604CD">
      <w:pPr>
        <w:pStyle w:val="Heading2"/>
        <w:tabs>
          <w:tab w:val="num" w:pos="1134"/>
        </w:tabs>
        <w:ind w:left="1134"/>
      </w:pPr>
      <w:bookmarkStart w:id="19" w:name="_Toc257299791"/>
      <w:bookmarkStart w:id="20" w:name="_Toc257299793"/>
      <w:bookmarkStart w:id="21" w:name="_Toc257299794"/>
      <w:bookmarkStart w:id="22" w:name="_Toc257299796"/>
      <w:bookmarkStart w:id="23" w:name="_Toc355952715"/>
      <w:bookmarkStart w:id="24" w:name="_Ref356900194"/>
      <w:bookmarkStart w:id="25" w:name="_Toc362012108"/>
      <w:bookmarkEnd w:id="19"/>
      <w:bookmarkEnd w:id="20"/>
      <w:bookmarkEnd w:id="21"/>
      <w:bookmarkEnd w:id="22"/>
      <w:r>
        <w:lastRenderedPageBreak/>
        <w:t>T</w:t>
      </w:r>
      <w:r w:rsidR="000604CD">
        <w:t>he character test</w:t>
      </w:r>
      <w:bookmarkEnd w:id="23"/>
      <w:bookmarkEnd w:id="24"/>
      <w:bookmarkEnd w:id="25"/>
    </w:p>
    <w:p w:rsidR="000604CD" w:rsidRPr="00B00E07" w:rsidRDefault="000604CD" w:rsidP="000604CD">
      <w:pPr>
        <w:pStyle w:val="Heading3"/>
      </w:pPr>
      <w:bookmarkStart w:id="26" w:name="_Toc355952716"/>
      <w:r>
        <w:t>Introduction</w:t>
      </w:r>
      <w:bookmarkEnd w:id="26"/>
    </w:p>
    <w:p w:rsidR="000604CD" w:rsidRDefault="00A80699" w:rsidP="000604CD">
      <w:pPr>
        <w:spacing w:after="120"/>
        <w:rPr>
          <w:rFonts w:cs="Arial"/>
        </w:rPr>
      </w:pPr>
      <w:r>
        <w:rPr>
          <w:rFonts w:cs="Arial"/>
        </w:rPr>
        <w:t>Section 501 of the Migration Act provides that a</w:t>
      </w:r>
      <w:r w:rsidR="000604CD">
        <w:rPr>
          <w:rFonts w:cs="Arial"/>
        </w:rPr>
        <w:t xml:space="preserve"> person does not pass the character test if they fall within any of the </w:t>
      </w:r>
      <w:r>
        <w:rPr>
          <w:rFonts w:cs="Arial"/>
        </w:rPr>
        <w:t xml:space="preserve">grounds specified in </w:t>
      </w:r>
      <w:r w:rsidR="00A66906">
        <w:rPr>
          <w:rFonts w:cs="Arial"/>
        </w:rPr>
        <w:t>subsection</w:t>
      </w:r>
      <w:r w:rsidR="001E6815">
        <w:rPr>
          <w:rFonts w:cs="Arial"/>
        </w:rPr>
        <w:t>s</w:t>
      </w:r>
      <w:r w:rsidR="00A66906">
        <w:rPr>
          <w:rFonts w:cs="Arial"/>
        </w:rPr>
        <w:t xml:space="preserve"> 501</w:t>
      </w:r>
      <w:r w:rsidR="000604CD">
        <w:rPr>
          <w:rFonts w:cs="Arial"/>
        </w:rPr>
        <w:t>(6)(a) to (d). These grounds can be grouped into five broad categories:</w:t>
      </w:r>
    </w:p>
    <w:p w:rsidR="000604CD" w:rsidRDefault="000604CD" w:rsidP="008E6E0F">
      <w:pPr>
        <w:numPr>
          <w:ilvl w:val="0"/>
          <w:numId w:val="22"/>
        </w:numPr>
        <w:spacing w:before="120" w:after="120"/>
        <w:ind w:left="714" w:hanging="357"/>
        <w:rPr>
          <w:rFonts w:cs="Arial"/>
        </w:rPr>
      </w:pPr>
      <w:r>
        <w:rPr>
          <w:rFonts w:cs="Arial"/>
        </w:rPr>
        <w:t>substantial criminal record</w:t>
      </w:r>
    </w:p>
    <w:p w:rsidR="000604CD" w:rsidRDefault="000604CD" w:rsidP="008E6E0F">
      <w:pPr>
        <w:numPr>
          <w:ilvl w:val="0"/>
          <w:numId w:val="22"/>
        </w:numPr>
        <w:spacing w:before="120" w:after="120"/>
        <w:ind w:left="714" w:hanging="357"/>
        <w:rPr>
          <w:rFonts w:cs="Arial"/>
        </w:rPr>
      </w:pPr>
      <w:r>
        <w:rPr>
          <w:rFonts w:cs="Arial"/>
        </w:rPr>
        <w:t>conviction for immigration detention offences</w:t>
      </w:r>
    </w:p>
    <w:p w:rsidR="000604CD" w:rsidRDefault="000604CD" w:rsidP="008E6E0F">
      <w:pPr>
        <w:numPr>
          <w:ilvl w:val="0"/>
          <w:numId w:val="22"/>
        </w:numPr>
        <w:spacing w:before="120" w:after="120"/>
        <w:ind w:left="714" w:hanging="357"/>
        <w:rPr>
          <w:rFonts w:cs="Arial"/>
        </w:rPr>
      </w:pPr>
      <w:r>
        <w:rPr>
          <w:rFonts w:cs="Arial"/>
        </w:rPr>
        <w:t>association with persons suspected of engaging in criminal conduct</w:t>
      </w:r>
    </w:p>
    <w:p w:rsidR="000604CD" w:rsidRDefault="000604CD" w:rsidP="008E6E0F">
      <w:pPr>
        <w:numPr>
          <w:ilvl w:val="0"/>
          <w:numId w:val="22"/>
        </w:numPr>
        <w:spacing w:before="120" w:after="120"/>
        <w:ind w:left="714" w:hanging="357"/>
        <w:rPr>
          <w:rFonts w:cs="Arial"/>
        </w:rPr>
      </w:pPr>
      <w:r>
        <w:rPr>
          <w:rFonts w:cs="Arial"/>
        </w:rPr>
        <w:t>past and present criminal or general conduct</w:t>
      </w:r>
    </w:p>
    <w:p w:rsidR="00C67022" w:rsidRDefault="000604CD" w:rsidP="008E6E0F">
      <w:pPr>
        <w:numPr>
          <w:ilvl w:val="0"/>
          <w:numId w:val="22"/>
        </w:numPr>
        <w:spacing w:before="120" w:after="120"/>
        <w:ind w:left="714" w:hanging="357"/>
        <w:rPr>
          <w:rFonts w:cs="Arial"/>
        </w:rPr>
      </w:pPr>
      <w:r>
        <w:rPr>
          <w:rFonts w:cs="Arial"/>
        </w:rPr>
        <w:t>significant risk of particular types of future conduct.</w:t>
      </w:r>
      <w:r w:rsidR="00C67022">
        <w:rPr>
          <w:rStyle w:val="EndnoteReference"/>
          <w:rFonts w:cs="Arial"/>
        </w:rPr>
        <w:endnoteReference w:id="5"/>
      </w:r>
      <w:r w:rsidR="00C67022">
        <w:rPr>
          <w:rFonts w:cs="Arial"/>
        </w:rPr>
        <w:t xml:space="preserve"> </w:t>
      </w:r>
    </w:p>
    <w:p w:rsidR="00C67022" w:rsidRDefault="00C67022" w:rsidP="000604CD">
      <w:pPr>
        <w:spacing w:after="120"/>
        <w:rPr>
          <w:rFonts w:cs="Arial"/>
        </w:rPr>
      </w:pPr>
      <w:r>
        <w:rPr>
          <w:rFonts w:cs="Arial"/>
        </w:rPr>
        <w:t>Further guidance on the interpretation and application of these grounds is contained in Direction No. 55.</w:t>
      </w:r>
      <w:bookmarkStart w:id="27" w:name="_Ref250637344"/>
      <w:r>
        <w:rPr>
          <w:rStyle w:val="EndnoteReference"/>
          <w:rFonts w:cs="Arial"/>
        </w:rPr>
        <w:endnoteReference w:id="6"/>
      </w:r>
      <w:bookmarkEnd w:id="27"/>
      <w:r>
        <w:rPr>
          <w:rFonts w:cs="Arial"/>
        </w:rPr>
        <w:t xml:space="preserve">  Each of these categories is discussed briefly below.</w:t>
      </w:r>
    </w:p>
    <w:p w:rsidR="00C67022" w:rsidRPr="00E506A7" w:rsidRDefault="00C67022" w:rsidP="000604CD">
      <w:pPr>
        <w:pStyle w:val="Heading3"/>
      </w:pPr>
      <w:bookmarkStart w:id="28" w:name="_Toc355952717"/>
      <w:r w:rsidRPr="00E506A7">
        <w:t>Substantial criminal record</w:t>
      </w:r>
      <w:bookmarkEnd w:id="28"/>
    </w:p>
    <w:p w:rsidR="00C67022" w:rsidRPr="00E506A7" w:rsidRDefault="00C67022" w:rsidP="000604CD">
      <w:pPr>
        <w:spacing w:after="120"/>
        <w:rPr>
          <w:rFonts w:cs="Arial"/>
        </w:rPr>
      </w:pPr>
      <w:r>
        <w:rPr>
          <w:rFonts w:cs="Arial"/>
        </w:rPr>
        <w:t xml:space="preserve">A person will not pass the character test if they have a ‘substantial criminal record’, as defined in </w:t>
      </w:r>
      <w:r w:rsidR="00792DB9">
        <w:rPr>
          <w:rFonts w:cs="Arial"/>
        </w:rPr>
        <w:t>sub</w:t>
      </w:r>
      <w:r>
        <w:rPr>
          <w:rFonts w:cs="Arial"/>
        </w:rPr>
        <w:t>section 501(7).</w:t>
      </w:r>
      <w:r>
        <w:rPr>
          <w:rStyle w:val="EndnoteReference"/>
          <w:rFonts w:cs="Arial"/>
        </w:rPr>
        <w:endnoteReference w:id="7"/>
      </w:r>
      <w:r>
        <w:rPr>
          <w:rFonts w:cs="Arial"/>
        </w:rPr>
        <w:t xml:space="preserve"> For the purposes of the character test, a person has a ‘</w:t>
      </w:r>
      <w:r w:rsidRPr="00E506A7">
        <w:rPr>
          <w:rFonts w:cs="Arial"/>
        </w:rPr>
        <w:t>substantial criminal record</w:t>
      </w:r>
      <w:r>
        <w:rPr>
          <w:rFonts w:cs="Arial"/>
        </w:rPr>
        <w:t>’</w:t>
      </w:r>
      <w:r w:rsidRPr="00E506A7">
        <w:rPr>
          <w:rFonts w:cs="Arial"/>
        </w:rPr>
        <w:t xml:space="preserve"> </w:t>
      </w:r>
      <w:r>
        <w:rPr>
          <w:rFonts w:cs="Arial"/>
        </w:rPr>
        <w:t>if they have been:</w:t>
      </w:r>
    </w:p>
    <w:p w:rsidR="00C67022" w:rsidRPr="00E506A7" w:rsidRDefault="00C67022" w:rsidP="008E6E0F">
      <w:pPr>
        <w:numPr>
          <w:ilvl w:val="0"/>
          <w:numId w:val="17"/>
        </w:numPr>
        <w:spacing w:before="120" w:after="120"/>
        <w:ind w:left="714" w:hanging="357"/>
        <w:rPr>
          <w:rFonts w:cs="Arial"/>
        </w:rPr>
      </w:pPr>
      <w:r>
        <w:rPr>
          <w:rFonts w:cs="Arial"/>
        </w:rPr>
        <w:t>s</w:t>
      </w:r>
      <w:r w:rsidRPr="00E506A7">
        <w:rPr>
          <w:rFonts w:cs="Arial"/>
        </w:rPr>
        <w:t>entenced to death or to imprisonment for life</w:t>
      </w:r>
    </w:p>
    <w:p w:rsidR="00C67022" w:rsidRPr="00E506A7" w:rsidRDefault="00C67022" w:rsidP="008E6E0F">
      <w:pPr>
        <w:numPr>
          <w:ilvl w:val="0"/>
          <w:numId w:val="17"/>
        </w:numPr>
        <w:spacing w:before="120" w:after="120"/>
        <w:ind w:left="714" w:hanging="357"/>
        <w:rPr>
          <w:rFonts w:cs="Arial"/>
        </w:rPr>
      </w:pPr>
      <w:r>
        <w:rPr>
          <w:rFonts w:cs="Arial"/>
        </w:rPr>
        <w:t>s</w:t>
      </w:r>
      <w:r w:rsidRPr="00E506A7">
        <w:rPr>
          <w:rFonts w:cs="Arial"/>
        </w:rPr>
        <w:t>entenced to imprisonment for 12 months or more</w:t>
      </w:r>
    </w:p>
    <w:p w:rsidR="00C67022" w:rsidRPr="00E506A7" w:rsidRDefault="00C67022" w:rsidP="008E6E0F">
      <w:pPr>
        <w:numPr>
          <w:ilvl w:val="0"/>
          <w:numId w:val="17"/>
        </w:numPr>
        <w:spacing w:before="120" w:after="120"/>
        <w:ind w:left="714" w:hanging="357"/>
        <w:rPr>
          <w:rFonts w:cs="Arial"/>
        </w:rPr>
      </w:pPr>
      <w:r>
        <w:rPr>
          <w:rFonts w:cs="Arial"/>
        </w:rPr>
        <w:t>s</w:t>
      </w:r>
      <w:r w:rsidRPr="00E506A7">
        <w:rPr>
          <w:rFonts w:cs="Arial"/>
        </w:rPr>
        <w:t>entenced to two or more terms of imprisonment</w:t>
      </w:r>
      <w:r>
        <w:rPr>
          <w:rFonts w:cs="Arial"/>
        </w:rPr>
        <w:t xml:space="preserve"> </w:t>
      </w:r>
      <w:r w:rsidRPr="00E506A7">
        <w:rPr>
          <w:rFonts w:cs="Arial"/>
        </w:rPr>
        <w:t xml:space="preserve">where the total </w:t>
      </w:r>
      <w:r>
        <w:rPr>
          <w:rFonts w:cs="Arial"/>
        </w:rPr>
        <w:t xml:space="preserve">of these terms </w:t>
      </w:r>
      <w:r w:rsidRPr="00E506A7">
        <w:rPr>
          <w:rFonts w:cs="Arial"/>
        </w:rPr>
        <w:t>is two years</w:t>
      </w:r>
      <w:r>
        <w:rPr>
          <w:rFonts w:cs="Arial"/>
        </w:rPr>
        <w:t xml:space="preserve"> </w:t>
      </w:r>
      <w:r w:rsidRPr="00E506A7">
        <w:rPr>
          <w:rFonts w:cs="Arial"/>
        </w:rPr>
        <w:t>or more</w:t>
      </w:r>
    </w:p>
    <w:p w:rsidR="00C67022" w:rsidRDefault="00C67022" w:rsidP="008E6E0F">
      <w:pPr>
        <w:numPr>
          <w:ilvl w:val="0"/>
          <w:numId w:val="17"/>
        </w:numPr>
        <w:spacing w:before="120" w:after="120"/>
        <w:ind w:left="714" w:hanging="357"/>
        <w:rPr>
          <w:rFonts w:cs="Arial"/>
        </w:rPr>
      </w:pPr>
      <w:r>
        <w:rPr>
          <w:rFonts w:cs="Arial"/>
        </w:rPr>
        <w:t>a</w:t>
      </w:r>
      <w:r w:rsidRPr="00E506A7">
        <w:rPr>
          <w:rFonts w:cs="Arial"/>
        </w:rPr>
        <w:t>cquitted of an offence on the grounds of unsoundness of mind or insanity</w:t>
      </w:r>
      <w:r>
        <w:rPr>
          <w:rFonts w:cs="Arial"/>
        </w:rPr>
        <w:t>, and as a result they have</w:t>
      </w:r>
      <w:r w:rsidRPr="00E506A7">
        <w:rPr>
          <w:rFonts w:cs="Arial"/>
        </w:rPr>
        <w:t xml:space="preserve"> been detained in a facility or institution.</w:t>
      </w:r>
      <w:r w:rsidRPr="00E506A7">
        <w:rPr>
          <w:rStyle w:val="EndnoteReference"/>
          <w:rFonts w:cs="Arial"/>
        </w:rPr>
        <w:endnoteReference w:id="8"/>
      </w:r>
    </w:p>
    <w:p w:rsidR="000604CD" w:rsidRDefault="004C75B6" w:rsidP="000604CD">
      <w:pPr>
        <w:spacing w:before="120" w:after="120"/>
        <w:rPr>
          <w:rFonts w:cs="Arial"/>
        </w:rPr>
      </w:pPr>
      <w:r>
        <w:rPr>
          <w:rFonts w:cs="Arial"/>
        </w:rPr>
        <w:t>A</w:t>
      </w:r>
      <w:r w:rsidR="000604CD">
        <w:rPr>
          <w:rFonts w:cs="Arial"/>
        </w:rPr>
        <w:t xml:space="preserve"> person</w:t>
      </w:r>
      <w:r>
        <w:rPr>
          <w:rFonts w:cs="Arial"/>
        </w:rPr>
        <w:t xml:space="preserve"> who</w:t>
      </w:r>
      <w:r w:rsidR="000604CD">
        <w:rPr>
          <w:rFonts w:cs="Arial"/>
        </w:rPr>
        <w:t xml:space="preserve"> has a ‘substantial criminal record’</w:t>
      </w:r>
      <w:r>
        <w:rPr>
          <w:rFonts w:cs="Arial"/>
        </w:rPr>
        <w:t xml:space="preserve"> will</w:t>
      </w:r>
      <w:r w:rsidR="000604CD">
        <w:rPr>
          <w:rFonts w:cs="Arial"/>
        </w:rPr>
        <w:t xml:space="preserve"> automatically fail the character test</w:t>
      </w:r>
      <w:r>
        <w:rPr>
          <w:rFonts w:cs="Arial"/>
        </w:rPr>
        <w:t>,</w:t>
      </w:r>
      <w:r w:rsidR="000604CD">
        <w:rPr>
          <w:rFonts w:cs="Arial"/>
        </w:rPr>
        <w:t xml:space="preserve"> regardless of </w:t>
      </w:r>
      <w:r>
        <w:rPr>
          <w:rFonts w:cs="Arial"/>
        </w:rPr>
        <w:t>any</w:t>
      </w:r>
      <w:r w:rsidR="000604CD">
        <w:rPr>
          <w:rFonts w:cs="Arial"/>
        </w:rPr>
        <w:t xml:space="preserve"> mitigating factors</w:t>
      </w:r>
      <w:r w:rsidR="004B409A">
        <w:rPr>
          <w:rFonts w:cs="Arial"/>
        </w:rPr>
        <w:t xml:space="preserve"> which attended their offending</w:t>
      </w:r>
      <w:r w:rsidR="000604CD">
        <w:rPr>
          <w:rFonts w:cs="Arial"/>
        </w:rPr>
        <w:t xml:space="preserve">. However, mitigating factors may be taken into account </w:t>
      </w:r>
      <w:r w:rsidR="00E215B7">
        <w:rPr>
          <w:rFonts w:cs="Arial"/>
        </w:rPr>
        <w:t>at the second stage</w:t>
      </w:r>
      <w:r w:rsidR="00081AA3">
        <w:rPr>
          <w:rFonts w:cs="Arial"/>
        </w:rPr>
        <w:t xml:space="preserve"> under section 501</w:t>
      </w:r>
      <w:r w:rsidR="00E215B7">
        <w:rPr>
          <w:rFonts w:cs="Arial"/>
        </w:rPr>
        <w:t xml:space="preserve">, </w:t>
      </w:r>
      <w:r w:rsidR="000604CD">
        <w:rPr>
          <w:rFonts w:cs="Arial"/>
        </w:rPr>
        <w:t xml:space="preserve">when the decision-maker </w:t>
      </w:r>
      <w:r w:rsidR="00CF0DFD">
        <w:rPr>
          <w:rFonts w:cs="Arial"/>
        </w:rPr>
        <w:t>is considering</w:t>
      </w:r>
      <w:r w:rsidR="000604CD">
        <w:rPr>
          <w:rFonts w:cs="Arial"/>
        </w:rPr>
        <w:t xml:space="preserve"> whether </w:t>
      </w:r>
      <w:r w:rsidR="00CF0DFD">
        <w:rPr>
          <w:rFonts w:cs="Arial"/>
        </w:rPr>
        <w:t>to exercise the</w:t>
      </w:r>
      <w:r w:rsidR="000604CD">
        <w:rPr>
          <w:rFonts w:cs="Arial"/>
        </w:rPr>
        <w:t xml:space="preserve"> discretion to refuse </w:t>
      </w:r>
      <w:r w:rsidR="00E215B7">
        <w:rPr>
          <w:rFonts w:cs="Arial"/>
        </w:rPr>
        <w:t xml:space="preserve">or cancel the person’s visa </w:t>
      </w:r>
      <w:r w:rsidR="00CF0DFD">
        <w:rPr>
          <w:rFonts w:cs="Arial"/>
        </w:rPr>
        <w:t>(</w:t>
      </w:r>
      <w:r w:rsidR="000604CD" w:rsidRPr="005B186C">
        <w:rPr>
          <w:rFonts w:cs="Arial"/>
        </w:rPr>
        <w:t xml:space="preserve">discussed in </w:t>
      </w:r>
      <w:r w:rsidR="000604CD" w:rsidRPr="00B86E67">
        <w:rPr>
          <w:rFonts w:cs="Arial"/>
        </w:rPr>
        <w:t>section</w:t>
      </w:r>
      <w:r w:rsidR="00983F32">
        <w:rPr>
          <w:rFonts w:cs="Arial"/>
        </w:rPr>
        <w:t xml:space="preserve"> 2.4</w:t>
      </w:r>
      <w:r w:rsidR="000604CD" w:rsidRPr="00B86E67">
        <w:rPr>
          <w:rFonts w:cs="Arial"/>
        </w:rPr>
        <w:t xml:space="preserve"> </w:t>
      </w:r>
      <w:r w:rsidR="000604CD" w:rsidRPr="005B186C">
        <w:rPr>
          <w:rFonts w:cs="Arial"/>
        </w:rPr>
        <w:t>below</w:t>
      </w:r>
      <w:r w:rsidR="00CF0DFD">
        <w:rPr>
          <w:rFonts w:cs="Arial"/>
        </w:rPr>
        <w:t>)</w:t>
      </w:r>
      <w:r w:rsidR="000604CD" w:rsidRPr="005B186C">
        <w:rPr>
          <w:rFonts w:cs="Arial"/>
        </w:rPr>
        <w:t>.</w:t>
      </w:r>
    </w:p>
    <w:p w:rsidR="000604CD" w:rsidRDefault="000604CD" w:rsidP="000604CD">
      <w:pPr>
        <w:pStyle w:val="Heading3"/>
      </w:pPr>
      <w:bookmarkStart w:id="29" w:name="_Toc355952718"/>
      <w:bookmarkStart w:id="30" w:name="_Ref356921532"/>
      <w:bookmarkStart w:id="31" w:name="_Ref356921552"/>
      <w:r>
        <w:t>Conviction for immigration detention offences</w:t>
      </w:r>
      <w:bookmarkEnd w:id="29"/>
      <w:bookmarkEnd w:id="30"/>
      <w:bookmarkEnd w:id="31"/>
    </w:p>
    <w:p w:rsidR="00627E04" w:rsidRDefault="000604CD" w:rsidP="000604CD">
      <w:pPr>
        <w:spacing w:before="120" w:after="120"/>
        <w:rPr>
          <w:rFonts w:cs="Arial"/>
        </w:rPr>
      </w:pPr>
      <w:r w:rsidRPr="00F05473">
        <w:rPr>
          <w:rFonts w:cs="Arial"/>
        </w:rPr>
        <w:t xml:space="preserve">In 2011 the character test in </w:t>
      </w:r>
      <w:r w:rsidR="00A66906">
        <w:rPr>
          <w:rFonts w:cs="Arial"/>
        </w:rPr>
        <w:t>section 501</w:t>
      </w:r>
      <w:r w:rsidRPr="00F05473">
        <w:rPr>
          <w:rFonts w:cs="Arial"/>
        </w:rPr>
        <w:t xml:space="preserve"> was amended to </w:t>
      </w:r>
      <w:r w:rsidRPr="00065274">
        <w:rPr>
          <w:rFonts w:cs="Arial"/>
        </w:rPr>
        <w:t xml:space="preserve">include </w:t>
      </w:r>
      <w:r w:rsidRPr="00F05473">
        <w:t>additional ground</w:t>
      </w:r>
      <w:r w:rsidR="00E075DC">
        <w:t>s upon which the Minister or a</w:t>
      </w:r>
      <w:r w:rsidRPr="00F05473">
        <w:t xml:space="preserve"> delegate may decide to refuse to grant, or to cancel, a </w:t>
      </w:r>
      <w:r w:rsidR="00F76843">
        <w:t xml:space="preserve">person’s </w:t>
      </w:r>
      <w:r w:rsidRPr="00F05473">
        <w:t>visa.</w:t>
      </w:r>
      <w:r w:rsidR="002B0616" w:rsidRPr="00A7559F">
        <w:rPr>
          <w:rStyle w:val="EndnoteReference"/>
          <w:rFonts w:cs="Arial"/>
        </w:rPr>
        <w:endnoteReference w:id="9"/>
      </w:r>
      <w:r w:rsidR="002B0616">
        <w:t xml:space="preserve"> </w:t>
      </w:r>
      <w:r w:rsidR="00FE32F3">
        <w:rPr>
          <w:rFonts w:cs="Arial"/>
        </w:rPr>
        <w:t xml:space="preserve">These amendments to the character test </w:t>
      </w:r>
      <w:r w:rsidR="00627E04">
        <w:rPr>
          <w:rFonts w:cs="Arial"/>
        </w:rPr>
        <w:t>were introduced following</w:t>
      </w:r>
      <w:r w:rsidR="00FE32F3">
        <w:rPr>
          <w:rFonts w:cs="Arial"/>
        </w:rPr>
        <w:t xml:space="preserve"> disturbances in the Christmas Island and Villawood Immigration Detention Centres in March and April 2011</w:t>
      </w:r>
      <w:r w:rsidR="00FE32F3" w:rsidRPr="00065274">
        <w:rPr>
          <w:rFonts w:cs="Arial"/>
        </w:rPr>
        <w:t>.</w:t>
      </w:r>
      <w:r w:rsidR="00FE32F3" w:rsidRPr="00556831">
        <w:rPr>
          <w:rStyle w:val="EndnoteReference"/>
          <w:rFonts w:cs="Arial"/>
          <w:szCs w:val="20"/>
        </w:rPr>
        <w:endnoteReference w:id="10"/>
      </w:r>
      <w:r w:rsidR="00FE32F3" w:rsidRPr="00226BE6">
        <w:rPr>
          <w:rFonts w:cs="Arial"/>
        </w:rPr>
        <w:t xml:space="preserve"> </w:t>
      </w:r>
      <w:r w:rsidR="00627E04">
        <w:t xml:space="preserve">Due to </w:t>
      </w:r>
      <w:r>
        <w:t>the</w:t>
      </w:r>
      <w:r w:rsidR="00627E04">
        <w:t xml:space="preserve">se amendments, </w:t>
      </w:r>
      <w:r>
        <w:t xml:space="preserve">a person will fail the character test if that person has been convicted of any offence which was committed </w:t>
      </w:r>
      <w:r>
        <w:rPr>
          <w:rFonts w:cs="Arial"/>
        </w:rPr>
        <w:t>while the person was in immigration detention, or during or after an escape from immigration detention, before being re-detained.</w:t>
      </w:r>
      <w:r w:rsidR="007402CA">
        <w:rPr>
          <w:rStyle w:val="EndnoteReference"/>
          <w:rFonts w:cs="Arial"/>
        </w:rPr>
        <w:endnoteReference w:id="11"/>
      </w:r>
      <w:r w:rsidR="007402CA">
        <w:rPr>
          <w:rFonts w:cs="Arial"/>
        </w:rPr>
        <w:t xml:space="preserve"> Also, an escape from immigration detention is itself an offence which will result in the person failing the character test under section 501.</w:t>
      </w:r>
      <w:r w:rsidR="007402CA">
        <w:rPr>
          <w:rStyle w:val="EndnoteReference"/>
          <w:rFonts w:cs="Arial"/>
        </w:rPr>
        <w:endnoteReference w:id="12"/>
      </w:r>
    </w:p>
    <w:p w:rsidR="00627E04" w:rsidRDefault="00627E04" w:rsidP="00627E04">
      <w:pPr>
        <w:spacing w:before="120" w:after="120"/>
        <w:rPr>
          <w:rStyle w:val="hps-normal1"/>
          <w:rFonts w:cs="Arial"/>
          <w:lang w:val="en-US"/>
        </w:rPr>
      </w:pPr>
      <w:r>
        <w:rPr>
          <w:rStyle w:val="hps-normal1"/>
          <w:rFonts w:cs="Arial"/>
          <w:lang w:val="en-US"/>
        </w:rPr>
        <w:lastRenderedPageBreak/>
        <w:t xml:space="preserve">The effect of these amendments is that if a person commits an offence while in (or while escaping from) immigration detention, pursuant to subsection 501(6)(aa) or (ab) their criminal behavior will trigger the power in section 501 to refuse or cancel their visa, even if the offence is not serious enough to warrant a sentence of 12 months’ imprisonment (or any period of imprisonment). Under subsection 501(6)(aa) or (ab) therefore, a lower level of criminality may cause a person to fail the character test, because of the context in which their offence was committed, as compared to the criminality required for a ‘substantial criminal record’ for the purposes of subsection 501(6)(a). </w:t>
      </w:r>
    </w:p>
    <w:p w:rsidR="007402CA" w:rsidRPr="00627E04" w:rsidRDefault="00627E04" w:rsidP="000604CD">
      <w:pPr>
        <w:spacing w:before="120" w:after="120"/>
        <w:rPr>
          <w:rFonts w:cs="Arial"/>
          <w:lang w:val="en-US"/>
        </w:rPr>
      </w:pPr>
      <w:r>
        <w:rPr>
          <w:rStyle w:val="hps-normal1"/>
          <w:rFonts w:cs="Arial"/>
          <w:lang w:val="en-US"/>
        </w:rPr>
        <w:t>Also, unlike under the ground of ‘past and present criminal or general conduct’ in subsection 501(6)(c) (discussed below), under subsection</w:t>
      </w:r>
      <w:r w:rsidR="000770C5">
        <w:rPr>
          <w:rStyle w:val="hps-normal1"/>
          <w:rFonts w:cs="Arial"/>
          <w:lang w:val="en-US"/>
        </w:rPr>
        <w:t>s</w:t>
      </w:r>
      <w:r>
        <w:rPr>
          <w:rStyle w:val="hps-normal1"/>
          <w:rFonts w:cs="Arial"/>
          <w:lang w:val="en-US"/>
        </w:rPr>
        <w:t xml:space="preserve"> 501(6)(aa) and (ab) there is no consideration of the severity (or lack thereof) of the offending, or </w:t>
      </w:r>
      <w:r w:rsidR="005C7ABC">
        <w:rPr>
          <w:rStyle w:val="hps-normal1"/>
          <w:rFonts w:cs="Arial"/>
          <w:lang w:val="en-US"/>
        </w:rPr>
        <w:t>any mitigating circumstances. I</w:t>
      </w:r>
      <w:r>
        <w:rPr>
          <w:rStyle w:val="hps-normal1"/>
          <w:rFonts w:cs="Arial"/>
          <w:lang w:val="en-US"/>
        </w:rPr>
        <w:t>f an ‘immigration detention offence’ conviction has been recorded, the person will automatically fail the character test.</w:t>
      </w:r>
    </w:p>
    <w:p w:rsidR="007402CA" w:rsidRPr="00E506A7" w:rsidRDefault="007402CA" w:rsidP="000604CD">
      <w:pPr>
        <w:pStyle w:val="Heading3"/>
      </w:pPr>
      <w:bookmarkStart w:id="32" w:name="_Toc355952719"/>
      <w:r w:rsidRPr="00E506A7">
        <w:t xml:space="preserve">Association with </w:t>
      </w:r>
      <w:r>
        <w:t xml:space="preserve">persons suspected of engaging in </w:t>
      </w:r>
      <w:r w:rsidRPr="00E506A7">
        <w:t>criminal conduct</w:t>
      </w:r>
      <w:bookmarkEnd w:id="32"/>
      <w:r>
        <w:t xml:space="preserve"> </w:t>
      </w:r>
    </w:p>
    <w:p w:rsidR="000604CD" w:rsidRDefault="007402CA" w:rsidP="000604CD">
      <w:pPr>
        <w:spacing w:after="120"/>
        <w:rPr>
          <w:rFonts w:cs="Arial"/>
        </w:rPr>
      </w:pPr>
      <w:r>
        <w:rPr>
          <w:rFonts w:cs="Arial"/>
        </w:rPr>
        <w:t xml:space="preserve">A </w:t>
      </w:r>
      <w:r w:rsidRPr="00E506A7">
        <w:rPr>
          <w:rFonts w:cs="Arial"/>
        </w:rPr>
        <w:t xml:space="preserve">person </w:t>
      </w:r>
      <w:r>
        <w:rPr>
          <w:rFonts w:cs="Arial"/>
        </w:rPr>
        <w:t xml:space="preserve">does </w:t>
      </w:r>
      <w:r w:rsidRPr="00E506A7">
        <w:rPr>
          <w:rFonts w:cs="Arial"/>
        </w:rPr>
        <w:t>not</w:t>
      </w:r>
      <w:r>
        <w:rPr>
          <w:rFonts w:cs="Arial"/>
        </w:rPr>
        <w:t xml:space="preserve"> pass the character test</w:t>
      </w:r>
      <w:r w:rsidRPr="006D0023">
        <w:rPr>
          <w:rFonts w:cs="Arial"/>
        </w:rPr>
        <w:t xml:space="preserve"> </w:t>
      </w:r>
      <w:r>
        <w:rPr>
          <w:rFonts w:cs="Arial"/>
        </w:rPr>
        <w:t>under subsection 501</w:t>
      </w:r>
      <w:r w:rsidR="007F2DC3">
        <w:rPr>
          <w:rFonts w:cs="Arial"/>
        </w:rPr>
        <w:t>(</w:t>
      </w:r>
      <w:r>
        <w:rPr>
          <w:rFonts w:cs="Arial"/>
        </w:rPr>
        <w:t>6</w:t>
      </w:r>
      <w:r w:rsidR="007F2DC3">
        <w:rPr>
          <w:rFonts w:cs="Arial"/>
        </w:rPr>
        <w:t>)</w:t>
      </w:r>
      <w:r>
        <w:rPr>
          <w:rFonts w:cs="Arial"/>
        </w:rPr>
        <w:t xml:space="preserve">(b) if the person ‘has or has had an </w:t>
      </w:r>
      <w:r w:rsidRPr="00E506A7">
        <w:rPr>
          <w:rFonts w:cs="Arial"/>
        </w:rPr>
        <w:t>a</w:t>
      </w:r>
      <w:r>
        <w:rPr>
          <w:rFonts w:cs="Arial"/>
        </w:rPr>
        <w:t xml:space="preserve">ssociation with someone else, or with a </w:t>
      </w:r>
      <w:r w:rsidRPr="00E506A7">
        <w:rPr>
          <w:rFonts w:cs="Arial"/>
        </w:rPr>
        <w:t>group</w:t>
      </w:r>
      <w:r>
        <w:rPr>
          <w:rFonts w:cs="Arial"/>
        </w:rPr>
        <w:t xml:space="preserve"> or organisation, whom</w:t>
      </w:r>
      <w:r w:rsidRPr="00E506A7">
        <w:rPr>
          <w:rFonts w:cs="Arial"/>
        </w:rPr>
        <w:t xml:space="preserve"> the Minister reasonably suspects has been or is involved in criminal conduct</w:t>
      </w:r>
      <w:r>
        <w:rPr>
          <w:rFonts w:cs="Arial"/>
        </w:rPr>
        <w:t>’</w:t>
      </w:r>
      <w:r w:rsidRPr="00E506A7">
        <w:rPr>
          <w:rFonts w:cs="Arial"/>
        </w:rPr>
        <w:t>.</w:t>
      </w:r>
      <w:r w:rsidRPr="00E506A7">
        <w:rPr>
          <w:rStyle w:val="EndnoteReference"/>
          <w:rFonts w:cs="Arial"/>
        </w:rPr>
        <w:endnoteReference w:id="13"/>
      </w:r>
      <w:r w:rsidRPr="00E506A7">
        <w:rPr>
          <w:rFonts w:cs="Arial"/>
        </w:rPr>
        <w:t xml:space="preserve"> </w:t>
      </w:r>
    </w:p>
    <w:p w:rsidR="000604CD" w:rsidRDefault="0084205E" w:rsidP="000604CD">
      <w:pPr>
        <w:spacing w:after="120"/>
        <w:rPr>
          <w:rFonts w:cs="Arial"/>
        </w:rPr>
      </w:pPr>
      <w:r>
        <w:rPr>
          <w:rFonts w:cs="Arial"/>
        </w:rPr>
        <w:t>Direction No. 55 requires that</w:t>
      </w:r>
      <w:r w:rsidR="000604CD">
        <w:rPr>
          <w:rFonts w:cs="Arial"/>
        </w:rPr>
        <w:t xml:space="preserve"> in establishing ‘association’ for the purposes of the character test, decision-makers are to consider: </w:t>
      </w:r>
    </w:p>
    <w:p w:rsidR="000604CD" w:rsidRPr="00654589" w:rsidRDefault="000604CD" w:rsidP="008E6E0F">
      <w:pPr>
        <w:numPr>
          <w:ilvl w:val="0"/>
          <w:numId w:val="17"/>
        </w:numPr>
        <w:spacing w:before="120" w:after="120"/>
        <w:ind w:left="714" w:hanging="357"/>
        <w:rPr>
          <w:rFonts w:cs="Arial"/>
        </w:rPr>
      </w:pPr>
      <w:r>
        <w:rPr>
          <w:rFonts w:cs="Arial"/>
        </w:rPr>
        <w:t xml:space="preserve">the </w:t>
      </w:r>
      <w:r w:rsidRPr="00654589">
        <w:rPr>
          <w:rFonts w:cs="Arial"/>
        </w:rPr>
        <w:t>nature of the association</w:t>
      </w:r>
    </w:p>
    <w:p w:rsidR="000604CD" w:rsidRPr="00654589" w:rsidRDefault="000604CD" w:rsidP="008E6E0F">
      <w:pPr>
        <w:numPr>
          <w:ilvl w:val="0"/>
          <w:numId w:val="17"/>
        </w:numPr>
        <w:spacing w:before="120" w:after="120"/>
        <w:ind w:left="714" w:hanging="357"/>
        <w:rPr>
          <w:rFonts w:cs="Arial"/>
        </w:rPr>
      </w:pPr>
      <w:r>
        <w:rPr>
          <w:rFonts w:cs="Arial"/>
        </w:rPr>
        <w:t xml:space="preserve">the </w:t>
      </w:r>
      <w:r w:rsidRPr="00654589">
        <w:rPr>
          <w:rFonts w:cs="Arial"/>
        </w:rPr>
        <w:t>degree and frequency of association the person had or has with the individual, group or organisation</w:t>
      </w:r>
      <w:r w:rsidR="009B5493">
        <w:rPr>
          <w:rFonts w:cs="Arial"/>
        </w:rPr>
        <w:t>,</w:t>
      </w:r>
      <w:r>
        <w:rPr>
          <w:rFonts w:cs="Arial"/>
        </w:rPr>
        <w:t xml:space="preserve"> and</w:t>
      </w:r>
    </w:p>
    <w:p w:rsidR="000604CD" w:rsidRDefault="000604CD" w:rsidP="008E6E0F">
      <w:pPr>
        <w:numPr>
          <w:ilvl w:val="0"/>
          <w:numId w:val="17"/>
        </w:numPr>
        <w:spacing w:before="120" w:after="120"/>
        <w:ind w:left="714" w:hanging="357"/>
        <w:rPr>
          <w:rFonts w:cs="Arial"/>
        </w:rPr>
      </w:pPr>
      <w:r>
        <w:rPr>
          <w:rFonts w:cs="Arial"/>
        </w:rPr>
        <w:t xml:space="preserve">the </w:t>
      </w:r>
      <w:r w:rsidRPr="00654589">
        <w:rPr>
          <w:rFonts w:cs="Arial"/>
        </w:rPr>
        <w:t>duration of the association.</w:t>
      </w:r>
      <w:r w:rsidR="00E11CC6">
        <w:rPr>
          <w:rStyle w:val="EndnoteReference"/>
          <w:rFonts w:cs="Arial"/>
        </w:rPr>
        <w:endnoteReference w:id="14"/>
      </w:r>
      <w:r w:rsidR="00E11CC6" w:rsidRPr="00654589">
        <w:rPr>
          <w:rFonts w:cs="Arial"/>
        </w:rPr>
        <w:t xml:space="preserve"> </w:t>
      </w:r>
    </w:p>
    <w:p w:rsidR="00C84795" w:rsidRPr="00AE1A6F" w:rsidRDefault="000604CD" w:rsidP="000604CD">
      <w:pPr>
        <w:spacing w:after="120"/>
        <w:rPr>
          <w:rFonts w:cs="Arial"/>
        </w:rPr>
      </w:pPr>
      <w:r>
        <w:rPr>
          <w:rFonts w:cs="Arial"/>
        </w:rPr>
        <w:t xml:space="preserve">Direction No. 55 also requires decision-makers to assess </w:t>
      </w:r>
      <w:r w:rsidRPr="00AE1A6F">
        <w:rPr>
          <w:rFonts w:cs="Arial"/>
        </w:rPr>
        <w:t>whether the person was sympathetic with, supportive of, or involved in the criminal conduct of the person, group or organisation</w:t>
      </w:r>
      <w:r>
        <w:rPr>
          <w:rFonts w:cs="Arial"/>
        </w:rPr>
        <w:t xml:space="preserve">, and directs that ‘mere knowledge </w:t>
      </w:r>
      <w:r w:rsidRPr="00AE1A6F">
        <w:rPr>
          <w:rFonts w:cs="Arial"/>
        </w:rPr>
        <w:t>of the criminality of the associate is not, in itself, sufficient to establish association</w:t>
      </w:r>
      <w:r>
        <w:rPr>
          <w:rFonts w:cs="Arial"/>
        </w:rPr>
        <w:t>’</w:t>
      </w:r>
      <w:r w:rsidR="00906EE5">
        <w:rPr>
          <w:rFonts w:cs="Arial"/>
        </w:rPr>
        <w:t>.</w:t>
      </w:r>
      <w:r w:rsidR="00B2570E">
        <w:rPr>
          <w:rStyle w:val="EndnoteReference"/>
          <w:rFonts w:cs="Arial"/>
        </w:rPr>
        <w:endnoteReference w:id="15"/>
      </w:r>
      <w:r w:rsidR="00B2570E">
        <w:rPr>
          <w:rFonts w:cs="Arial"/>
        </w:rPr>
        <w:t xml:space="preserve"> </w:t>
      </w:r>
      <w:r>
        <w:rPr>
          <w:rFonts w:cs="Arial"/>
        </w:rPr>
        <w:t xml:space="preserve">The </w:t>
      </w:r>
      <w:r w:rsidRPr="00AE1A6F">
        <w:rPr>
          <w:rFonts w:cs="Arial"/>
        </w:rPr>
        <w:t>association must have some negative bearing upon the person’s character</w:t>
      </w:r>
      <w:r>
        <w:rPr>
          <w:rFonts w:cs="Arial"/>
        </w:rPr>
        <w:t xml:space="preserve"> in order for the person to fail the </w:t>
      </w:r>
      <w:r w:rsidRPr="00AE1A6F">
        <w:rPr>
          <w:rFonts w:cs="Arial"/>
        </w:rPr>
        <w:t xml:space="preserve">character </w:t>
      </w:r>
      <w:r>
        <w:rPr>
          <w:rFonts w:cs="Arial"/>
        </w:rPr>
        <w:t>test on this ground</w:t>
      </w:r>
      <w:r w:rsidRPr="00AE1A6F">
        <w:rPr>
          <w:rFonts w:cs="Arial"/>
        </w:rPr>
        <w:t>.</w:t>
      </w:r>
      <w:r w:rsidR="00C84795" w:rsidRPr="00906EE5">
        <w:rPr>
          <w:rStyle w:val="EndnoteReference"/>
          <w:rFonts w:cs="Arial"/>
          <w:szCs w:val="20"/>
        </w:rPr>
        <w:endnoteReference w:id="16"/>
      </w:r>
      <w:r w:rsidR="00C84795" w:rsidRPr="00AE1A6F">
        <w:rPr>
          <w:rFonts w:cs="Arial"/>
        </w:rPr>
        <w:t xml:space="preserve"> </w:t>
      </w:r>
    </w:p>
    <w:p w:rsidR="00C84795" w:rsidRDefault="00C84795" w:rsidP="000604CD">
      <w:pPr>
        <w:pStyle w:val="Heading3"/>
      </w:pPr>
      <w:bookmarkStart w:id="33" w:name="_Toc355952720"/>
      <w:r>
        <w:t>P</w:t>
      </w:r>
      <w:r w:rsidRPr="00E506A7">
        <w:t xml:space="preserve">ast </w:t>
      </w:r>
      <w:r>
        <w:t xml:space="preserve">and </w:t>
      </w:r>
      <w:r w:rsidRPr="00E506A7">
        <w:t xml:space="preserve">present criminal </w:t>
      </w:r>
      <w:r>
        <w:t>or general c</w:t>
      </w:r>
      <w:r w:rsidRPr="00E506A7">
        <w:t>onduct</w:t>
      </w:r>
      <w:bookmarkEnd w:id="33"/>
    </w:p>
    <w:p w:rsidR="00C84795" w:rsidRDefault="00C84795" w:rsidP="000604CD">
      <w:pPr>
        <w:spacing w:after="120"/>
        <w:rPr>
          <w:rFonts w:cs="Arial"/>
        </w:rPr>
      </w:pPr>
      <w:r>
        <w:rPr>
          <w:rFonts w:cs="Arial"/>
        </w:rPr>
        <w:t xml:space="preserve">Under subsection 501(6)(c) of the Migration Act, a person does not pass the character test if, having regard to the person’s past and present criminal conduct and/or general conduct, the person is ‘not of good character’. </w:t>
      </w:r>
    </w:p>
    <w:p w:rsidR="00C84795" w:rsidRDefault="00C84795" w:rsidP="000604CD">
      <w:pPr>
        <w:spacing w:after="120"/>
        <w:rPr>
          <w:rFonts w:cs="Arial"/>
        </w:rPr>
      </w:pPr>
      <w:r>
        <w:rPr>
          <w:rFonts w:cs="Arial"/>
        </w:rPr>
        <w:t>In considering whether a person is ‘not of good character’, Direction No. 55 requires decision-makers to take into account ‘</w:t>
      </w:r>
      <w:r w:rsidRPr="00182097">
        <w:rPr>
          <w:rFonts w:cs="Arial"/>
        </w:rPr>
        <w:t>all the relevant circumstances of the particular case</w:t>
      </w:r>
      <w:r>
        <w:rPr>
          <w:rFonts w:cs="Arial"/>
        </w:rPr>
        <w:t xml:space="preserve"> … to obtain a complete picture of the person’s character’</w:t>
      </w:r>
      <w:r w:rsidRPr="00182097">
        <w:rPr>
          <w:rFonts w:cs="Arial"/>
        </w:rPr>
        <w:t xml:space="preserve">, including evidence of </w:t>
      </w:r>
      <w:r>
        <w:rPr>
          <w:rFonts w:cs="Arial"/>
        </w:rPr>
        <w:t>‘</w:t>
      </w:r>
      <w:r w:rsidRPr="00182097">
        <w:rPr>
          <w:rFonts w:cs="Arial"/>
        </w:rPr>
        <w:t xml:space="preserve">recent good </w:t>
      </w:r>
      <w:r>
        <w:rPr>
          <w:rFonts w:cs="Arial"/>
        </w:rPr>
        <w:t>behaviour’.</w:t>
      </w:r>
      <w:r>
        <w:rPr>
          <w:rStyle w:val="EndnoteReference"/>
          <w:rFonts w:cs="Arial"/>
        </w:rPr>
        <w:endnoteReference w:id="17"/>
      </w:r>
    </w:p>
    <w:p w:rsidR="00C84795" w:rsidRDefault="00C84795" w:rsidP="000604CD">
      <w:pPr>
        <w:spacing w:after="120"/>
        <w:rPr>
          <w:rFonts w:cs="Arial"/>
        </w:rPr>
      </w:pPr>
      <w:r>
        <w:rPr>
          <w:rFonts w:cs="Arial"/>
        </w:rPr>
        <w:t xml:space="preserve">In determining whether a person’s </w:t>
      </w:r>
      <w:r w:rsidRPr="00210B2B">
        <w:rPr>
          <w:rFonts w:cs="Arial"/>
        </w:rPr>
        <w:t>past or present</w:t>
      </w:r>
      <w:r w:rsidRPr="002069A7">
        <w:rPr>
          <w:rFonts w:cs="Arial"/>
          <w:i/>
        </w:rPr>
        <w:t xml:space="preserve"> criminal conduct</w:t>
      </w:r>
      <w:r>
        <w:rPr>
          <w:rFonts w:cs="Arial"/>
        </w:rPr>
        <w:t xml:space="preserve"> means that they are ‘not of good character’, decision-makers are to consider:</w:t>
      </w:r>
    </w:p>
    <w:p w:rsidR="00C84795" w:rsidRDefault="00C84795" w:rsidP="008E6E0F">
      <w:pPr>
        <w:numPr>
          <w:ilvl w:val="0"/>
          <w:numId w:val="17"/>
        </w:numPr>
        <w:spacing w:before="120" w:after="120"/>
        <w:ind w:left="714" w:hanging="357"/>
        <w:rPr>
          <w:rFonts w:cs="Arial"/>
        </w:rPr>
      </w:pPr>
      <w:r>
        <w:rPr>
          <w:rFonts w:cs="Arial"/>
        </w:rPr>
        <w:t xml:space="preserve">the nature, severity, </w:t>
      </w:r>
      <w:r w:rsidRPr="00E506A7">
        <w:rPr>
          <w:rFonts w:cs="Arial"/>
        </w:rPr>
        <w:t>frequency</w:t>
      </w:r>
      <w:r>
        <w:rPr>
          <w:rFonts w:cs="Arial"/>
        </w:rPr>
        <w:t xml:space="preserve"> and cumulative effect of the offence/s</w:t>
      </w:r>
    </w:p>
    <w:p w:rsidR="00C84795" w:rsidRDefault="00C84795" w:rsidP="008E6E0F">
      <w:pPr>
        <w:numPr>
          <w:ilvl w:val="0"/>
          <w:numId w:val="17"/>
        </w:numPr>
        <w:spacing w:before="120" w:after="120"/>
        <w:ind w:left="714" w:hanging="357"/>
        <w:rPr>
          <w:rFonts w:cs="Arial"/>
        </w:rPr>
      </w:pPr>
      <w:r>
        <w:rPr>
          <w:rFonts w:cs="Arial"/>
        </w:rPr>
        <w:lastRenderedPageBreak/>
        <w:t xml:space="preserve">any surrounding circumstances which may explain the criminal conduct </w:t>
      </w:r>
    </w:p>
    <w:p w:rsidR="00C84795" w:rsidRDefault="00C84795" w:rsidP="008E6E0F">
      <w:pPr>
        <w:numPr>
          <w:ilvl w:val="0"/>
          <w:numId w:val="17"/>
        </w:numPr>
        <w:spacing w:before="120" w:after="120"/>
        <w:ind w:left="714" w:hanging="357"/>
        <w:rPr>
          <w:rFonts w:cs="Arial"/>
        </w:rPr>
      </w:pPr>
      <w:r>
        <w:rPr>
          <w:rFonts w:cs="Arial"/>
        </w:rPr>
        <w:t>the person’s conduct since the offence/s were committed, including:</w:t>
      </w:r>
    </w:p>
    <w:p w:rsidR="00C84795" w:rsidRDefault="00C84795" w:rsidP="00A65A40">
      <w:pPr>
        <w:numPr>
          <w:ilvl w:val="1"/>
          <w:numId w:val="33"/>
        </w:numPr>
        <w:tabs>
          <w:tab w:val="clear" w:pos="1800"/>
          <w:tab w:val="num" w:pos="1418"/>
        </w:tabs>
        <w:spacing w:before="120" w:after="120"/>
        <w:ind w:left="1418" w:hanging="338"/>
        <w:rPr>
          <w:rFonts w:cs="Arial"/>
        </w:rPr>
      </w:pPr>
      <w:r>
        <w:rPr>
          <w:rFonts w:cs="Arial"/>
        </w:rPr>
        <w:t>the length of time since the person last engaged in criminal conduct</w:t>
      </w:r>
    </w:p>
    <w:p w:rsidR="00C84795" w:rsidRDefault="00C84795" w:rsidP="00A65A40">
      <w:pPr>
        <w:numPr>
          <w:ilvl w:val="1"/>
          <w:numId w:val="33"/>
        </w:numPr>
        <w:tabs>
          <w:tab w:val="clear" w:pos="1800"/>
          <w:tab w:val="num" w:pos="1418"/>
        </w:tabs>
        <w:spacing w:before="120" w:after="120"/>
        <w:ind w:left="1418" w:hanging="338"/>
        <w:rPr>
          <w:rFonts w:cs="Arial"/>
        </w:rPr>
      </w:pPr>
      <w:r>
        <w:rPr>
          <w:rFonts w:cs="Arial"/>
        </w:rPr>
        <w:t>any evidence of recidivism or continuing association with criminals; any pattern of similar offences; or any pattern of continued or blatant disregard or contempt for the law</w:t>
      </w:r>
    </w:p>
    <w:p w:rsidR="00C84795" w:rsidRPr="00A65A40" w:rsidRDefault="00C84795" w:rsidP="00A65A40">
      <w:pPr>
        <w:numPr>
          <w:ilvl w:val="1"/>
          <w:numId w:val="33"/>
        </w:numPr>
        <w:tabs>
          <w:tab w:val="clear" w:pos="1800"/>
          <w:tab w:val="num" w:pos="1418"/>
        </w:tabs>
        <w:spacing w:before="120" w:after="120"/>
        <w:ind w:left="1418" w:hanging="338"/>
        <w:rPr>
          <w:rFonts w:cs="Arial"/>
        </w:rPr>
      </w:pPr>
      <w:r w:rsidRPr="00A65A40">
        <w:rPr>
          <w:rFonts w:cs="Arial"/>
        </w:rPr>
        <w:t>‘any conduct which may indicate character reform’.</w:t>
      </w:r>
      <w:r w:rsidRPr="00DB2025">
        <w:rPr>
          <w:rStyle w:val="EndnoteReference"/>
          <w:rFonts w:cs="Arial"/>
        </w:rPr>
        <w:endnoteReference w:id="18"/>
      </w:r>
    </w:p>
    <w:p w:rsidR="00C84795" w:rsidRDefault="00C84795" w:rsidP="000604CD">
      <w:pPr>
        <w:spacing w:after="120"/>
        <w:rPr>
          <w:rFonts w:cs="Arial"/>
        </w:rPr>
      </w:pPr>
      <w:r>
        <w:rPr>
          <w:rFonts w:cs="Arial"/>
        </w:rPr>
        <w:t xml:space="preserve">The consideration under subsection 501(6)(c)(ii) of a person’s </w:t>
      </w:r>
      <w:r w:rsidRPr="00210B2B">
        <w:rPr>
          <w:rFonts w:cs="Arial"/>
        </w:rPr>
        <w:t>past or present</w:t>
      </w:r>
      <w:r w:rsidRPr="002069A7">
        <w:rPr>
          <w:rFonts w:cs="Arial"/>
          <w:i/>
        </w:rPr>
        <w:t xml:space="preserve"> general conduct</w:t>
      </w:r>
      <w:r>
        <w:rPr>
          <w:rFonts w:cs="Arial"/>
          <w:i/>
        </w:rPr>
        <w:t xml:space="preserve"> </w:t>
      </w:r>
      <w:r w:rsidRPr="00F05473">
        <w:rPr>
          <w:rFonts w:cs="Arial"/>
        </w:rPr>
        <w:t xml:space="preserve">allows the </w:t>
      </w:r>
      <w:r>
        <w:rPr>
          <w:rFonts w:cs="Arial"/>
        </w:rPr>
        <w:t>decision-maker</w:t>
      </w:r>
      <w:r w:rsidRPr="00F05473">
        <w:rPr>
          <w:rFonts w:cs="Arial"/>
        </w:rPr>
        <w:t xml:space="preserve"> to take into account ‘a broader view of a person’s character where convictions may not have been recorded or where the person’s conduct may not have constituted a criminal offence’</w:t>
      </w:r>
      <w:r>
        <w:rPr>
          <w:rFonts w:cs="Arial"/>
        </w:rPr>
        <w:t>.</w:t>
      </w:r>
      <w:r>
        <w:rPr>
          <w:rStyle w:val="EndnoteReference"/>
          <w:rFonts w:cs="Arial"/>
        </w:rPr>
        <w:endnoteReference w:id="19"/>
      </w:r>
      <w:r>
        <w:rPr>
          <w:rFonts w:cs="Arial"/>
        </w:rPr>
        <w:t xml:space="preserve"> In considering this broader view of character, the decision-maker should take into account all relevant circumstances, including evidence of rehabilitation and any relevant periods of good conduct’.</w:t>
      </w:r>
      <w:r>
        <w:rPr>
          <w:rStyle w:val="EndnoteReference"/>
          <w:rFonts w:cs="Arial"/>
        </w:rPr>
        <w:endnoteReference w:id="20"/>
      </w:r>
    </w:p>
    <w:p w:rsidR="000604CD" w:rsidRDefault="000604CD" w:rsidP="000604CD">
      <w:pPr>
        <w:spacing w:after="120"/>
        <w:rPr>
          <w:rFonts w:cs="Arial"/>
        </w:rPr>
      </w:pPr>
      <w:r>
        <w:rPr>
          <w:rFonts w:cs="Arial"/>
        </w:rPr>
        <w:t xml:space="preserve">Direction </w:t>
      </w:r>
      <w:r w:rsidR="003753B0">
        <w:rPr>
          <w:rFonts w:cs="Arial"/>
        </w:rPr>
        <w:t xml:space="preserve">No. 55 </w:t>
      </w:r>
      <w:r>
        <w:rPr>
          <w:rFonts w:cs="Arial"/>
        </w:rPr>
        <w:t>sets o</w:t>
      </w:r>
      <w:r w:rsidR="007B33A6">
        <w:rPr>
          <w:rFonts w:cs="Arial"/>
        </w:rPr>
        <w:t xml:space="preserve">ut the following factors which </w:t>
      </w:r>
      <w:r>
        <w:rPr>
          <w:rFonts w:cs="Arial"/>
        </w:rPr>
        <w:t xml:space="preserve">may be considered in determining whether a person’s </w:t>
      </w:r>
      <w:r w:rsidRPr="00210B2B">
        <w:rPr>
          <w:rFonts w:cs="Arial"/>
        </w:rPr>
        <w:t>past or present</w:t>
      </w:r>
      <w:r w:rsidRPr="002069A7">
        <w:rPr>
          <w:rFonts w:cs="Arial"/>
          <w:i/>
        </w:rPr>
        <w:t xml:space="preserve"> </w:t>
      </w:r>
      <w:r w:rsidRPr="00F05473">
        <w:rPr>
          <w:rFonts w:cs="Arial"/>
        </w:rPr>
        <w:t>general conduct</w:t>
      </w:r>
      <w:r>
        <w:rPr>
          <w:rFonts w:cs="Arial"/>
        </w:rPr>
        <w:t xml:space="preserve"> means that they are ‘not of good character’:</w:t>
      </w:r>
    </w:p>
    <w:p w:rsidR="000604CD" w:rsidRDefault="000604CD" w:rsidP="008E6E0F">
      <w:pPr>
        <w:numPr>
          <w:ilvl w:val="0"/>
          <w:numId w:val="23"/>
        </w:numPr>
        <w:spacing w:before="120" w:after="120"/>
        <w:ind w:left="714" w:hanging="357"/>
        <w:rPr>
          <w:rFonts w:cs="Arial"/>
        </w:rPr>
      </w:pPr>
      <w:r>
        <w:rPr>
          <w:rFonts w:cs="Arial"/>
        </w:rPr>
        <w:t xml:space="preserve">whether the person has been involved in activities which show contempt or disregard for the law or human rights (such as </w:t>
      </w:r>
      <w:r w:rsidR="00814F56">
        <w:rPr>
          <w:rFonts w:cs="Arial"/>
        </w:rPr>
        <w:t xml:space="preserve">war crimes, </w:t>
      </w:r>
      <w:r w:rsidR="005821C1">
        <w:rPr>
          <w:rFonts w:cs="Arial"/>
        </w:rPr>
        <w:t xml:space="preserve">crimes against humanity, </w:t>
      </w:r>
      <w:r>
        <w:rPr>
          <w:rFonts w:cs="Arial"/>
        </w:rPr>
        <w:t xml:space="preserve">terrorist activities, drug trafficking, ‘political extremism’, </w:t>
      </w:r>
      <w:r w:rsidR="00814F56">
        <w:rPr>
          <w:rFonts w:cs="Arial"/>
        </w:rPr>
        <w:t xml:space="preserve">extortion, fraud, </w:t>
      </w:r>
      <w:r>
        <w:rPr>
          <w:rFonts w:cs="Arial"/>
        </w:rPr>
        <w:t>or ‘a history of serious breaches of immigration law’)</w:t>
      </w:r>
    </w:p>
    <w:p w:rsidR="000604CD" w:rsidRDefault="000604CD" w:rsidP="008E6E0F">
      <w:pPr>
        <w:numPr>
          <w:ilvl w:val="0"/>
          <w:numId w:val="23"/>
        </w:numPr>
        <w:spacing w:before="120" w:after="120"/>
        <w:ind w:left="714" w:hanging="357"/>
        <w:rPr>
          <w:rFonts w:cs="Arial"/>
        </w:rPr>
      </w:pPr>
      <w:r>
        <w:rPr>
          <w:rFonts w:cs="Arial"/>
        </w:rPr>
        <w:t xml:space="preserve">whether the person has been removed or deported from Australia or another country, and the circumstances that led to the removal or deportation </w:t>
      </w:r>
    </w:p>
    <w:p w:rsidR="00C84795" w:rsidRPr="00E506A7" w:rsidRDefault="000604CD" w:rsidP="008E6E0F">
      <w:pPr>
        <w:numPr>
          <w:ilvl w:val="0"/>
          <w:numId w:val="23"/>
        </w:numPr>
        <w:spacing w:before="120" w:after="120"/>
        <w:ind w:left="714" w:hanging="357"/>
        <w:rPr>
          <w:rFonts w:cs="Arial"/>
        </w:rPr>
      </w:pPr>
      <w:r>
        <w:rPr>
          <w:rFonts w:cs="Arial"/>
        </w:rPr>
        <w:t xml:space="preserve">whether the person has been dishonourably discharged or discharged prematurely from the armed forces of another country as the result of disciplinary action in circumstances, or because of conduct, that in </w:t>
      </w:r>
      <w:smartTag w:uri="urn:schemas-microsoft-com:office:smarttags" w:element="place">
        <w:smartTag w:uri="urn:schemas-microsoft-com:office:smarttags" w:element="country-region">
          <w:r>
            <w:rPr>
              <w:rFonts w:cs="Arial"/>
            </w:rPr>
            <w:t>Australia</w:t>
          </w:r>
        </w:smartTag>
      </w:smartTag>
      <w:r>
        <w:rPr>
          <w:rFonts w:cs="Arial"/>
        </w:rPr>
        <w:t xml:space="preserve"> would be regarded as serious.</w:t>
      </w:r>
      <w:r w:rsidR="00C84795">
        <w:rPr>
          <w:rStyle w:val="EndnoteReference"/>
          <w:rFonts w:cs="Arial"/>
        </w:rPr>
        <w:endnoteReference w:id="21"/>
      </w:r>
    </w:p>
    <w:p w:rsidR="000604CD" w:rsidRPr="00E506A7" w:rsidRDefault="000604CD" w:rsidP="000604CD">
      <w:pPr>
        <w:pStyle w:val="Heading3"/>
      </w:pPr>
      <w:bookmarkStart w:id="34" w:name="_Toc355952721"/>
      <w:r w:rsidRPr="00E506A7">
        <w:t xml:space="preserve">Significant risk of </w:t>
      </w:r>
      <w:r>
        <w:t xml:space="preserve">particular types of </w:t>
      </w:r>
      <w:r w:rsidRPr="00E506A7">
        <w:t>future conduct</w:t>
      </w:r>
      <w:bookmarkEnd w:id="34"/>
      <w:r>
        <w:t xml:space="preserve"> </w:t>
      </w:r>
    </w:p>
    <w:p w:rsidR="000604CD" w:rsidRDefault="00A66906" w:rsidP="00272F28">
      <w:pPr>
        <w:spacing w:after="120"/>
        <w:rPr>
          <w:rFonts w:cs="Arial"/>
        </w:rPr>
      </w:pPr>
      <w:r>
        <w:rPr>
          <w:rFonts w:cs="Arial"/>
        </w:rPr>
        <w:t>Subsection</w:t>
      </w:r>
      <w:r w:rsidR="00B3648C">
        <w:rPr>
          <w:rFonts w:cs="Arial"/>
        </w:rPr>
        <w:t xml:space="preserve"> </w:t>
      </w:r>
      <w:r>
        <w:rPr>
          <w:rFonts w:cs="Arial"/>
        </w:rPr>
        <w:t>501</w:t>
      </w:r>
      <w:r w:rsidR="005821C1">
        <w:rPr>
          <w:rFonts w:cs="Arial"/>
        </w:rPr>
        <w:t>(6)(d)</w:t>
      </w:r>
      <w:r w:rsidR="001712FF">
        <w:rPr>
          <w:rFonts w:cs="Arial"/>
        </w:rPr>
        <w:t xml:space="preserve"> provides that</w:t>
      </w:r>
      <w:r w:rsidR="000604CD" w:rsidRPr="00540875">
        <w:rPr>
          <w:rFonts w:cs="Arial"/>
        </w:rPr>
        <w:t xml:space="preserve"> a person does not pass the character test if there is a significant risk that, while in Australia, the person would: </w:t>
      </w:r>
    </w:p>
    <w:p w:rsidR="000604CD" w:rsidRDefault="000604CD" w:rsidP="00272F28">
      <w:pPr>
        <w:numPr>
          <w:ilvl w:val="0"/>
          <w:numId w:val="26"/>
        </w:numPr>
        <w:spacing w:before="120" w:after="120"/>
        <w:rPr>
          <w:rFonts w:cs="Arial"/>
        </w:rPr>
      </w:pPr>
      <w:r w:rsidRPr="00E506A7">
        <w:rPr>
          <w:rFonts w:cs="Arial"/>
        </w:rPr>
        <w:t>engage in criminal conduct</w:t>
      </w:r>
    </w:p>
    <w:p w:rsidR="000604CD" w:rsidRDefault="000604CD" w:rsidP="00272F28">
      <w:pPr>
        <w:numPr>
          <w:ilvl w:val="0"/>
          <w:numId w:val="26"/>
        </w:numPr>
        <w:spacing w:before="120" w:after="120"/>
        <w:rPr>
          <w:rFonts w:cs="Arial"/>
        </w:rPr>
      </w:pPr>
      <w:r w:rsidRPr="00E506A7">
        <w:rPr>
          <w:rFonts w:cs="Arial"/>
        </w:rPr>
        <w:t>harass, molest, intimidate or stalk another person</w:t>
      </w:r>
    </w:p>
    <w:p w:rsidR="000604CD" w:rsidRDefault="000604CD" w:rsidP="00272F28">
      <w:pPr>
        <w:numPr>
          <w:ilvl w:val="0"/>
          <w:numId w:val="26"/>
        </w:numPr>
        <w:spacing w:before="120" w:after="120"/>
        <w:rPr>
          <w:rFonts w:cs="Arial"/>
        </w:rPr>
      </w:pPr>
      <w:r w:rsidRPr="00E506A7">
        <w:rPr>
          <w:rFonts w:cs="Arial"/>
        </w:rPr>
        <w:t>vilify a segment of the Australian community</w:t>
      </w:r>
    </w:p>
    <w:p w:rsidR="000604CD" w:rsidRDefault="000604CD" w:rsidP="00272F28">
      <w:pPr>
        <w:numPr>
          <w:ilvl w:val="0"/>
          <w:numId w:val="26"/>
        </w:numPr>
        <w:spacing w:before="120" w:after="120"/>
        <w:rPr>
          <w:rFonts w:cs="Arial"/>
        </w:rPr>
      </w:pPr>
      <w:r w:rsidRPr="00E506A7">
        <w:rPr>
          <w:rFonts w:cs="Arial"/>
        </w:rPr>
        <w:t xml:space="preserve">incite discord </w:t>
      </w:r>
      <w:r>
        <w:rPr>
          <w:rFonts w:cs="Arial"/>
        </w:rPr>
        <w:t>in the Australian community or in a segment of the community or</w:t>
      </w:r>
    </w:p>
    <w:p w:rsidR="001B3986" w:rsidRDefault="000604CD" w:rsidP="00272F28">
      <w:pPr>
        <w:numPr>
          <w:ilvl w:val="0"/>
          <w:numId w:val="26"/>
        </w:numPr>
        <w:spacing w:before="120" w:after="120"/>
        <w:rPr>
          <w:rFonts w:cs="Arial"/>
        </w:rPr>
      </w:pPr>
      <w:r>
        <w:rPr>
          <w:rFonts w:cs="Arial"/>
        </w:rPr>
        <w:t>represent a danger to</w:t>
      </w:r>
      <w:r w:rsidRPr="00E506A7">
        <w:rPr>
          <w:rFonts w:cs="Arial"/>
        </w:rPr>
        <w:t xml:space="preserve"> the Australian community </w:t>
      </w:r>
      <w:r>
        <w:rPr>
          <w:rFonts w:cs="Arial"/>
        </w:rPr>
        <w:t>or to a segment of the community, whether by way of being liable to become involved in activities that are disruptive to, or in violence threatening harm to, that community or segment, or in any other way.</w:t>
      </w:r>
      <w:r w:rsidR="001B3986">
        <w:rPr>
          <w:rStyle w:val="EndnoteReference"/>
          <w:rFonts w:cs="Arial"/>
        </w:rPr>
        <w:endnoteReference w:id="22"/>
      </w:r>
    </w:p>
    <w:p w:rsidR="001B3986" w:rsidRDefault="001B3986" w:rsidP="000604CD">
      <w:pPr>
        <w:rPr>
          <w:rFonts w:cs="Arial"/>
        </w:rPr>
      </w:pPr>
      <w:r>
        <w:rPr>
          <w:rFonts w:cs="Arial"/>
        </w:rPr>
        <w:t xml:space="preserve">Direction No. 55 provides that these </w:t>
      </w:r>
      <w:r w:rsidR="001A126A">
        <w:rPr>
          <w:rFonts w:cs="Arial"/>
        </w:rPr>
        <w:t>‘significant risk’ grounds are enlivened</w:t>
      </w:r>
      <w:r>
        <w:rPr>
          <w:rFonts w:cs="Arial"/>
        </w:rPr>
        <w:t xml:space="preserve"> if there is evidence suggesting that there is ‘more than a minimal or remote chance that the </w:t>
      </w:r>
      <w:r>
        <w:rPr>
          <w:rFonts w:cs="Arial"/>
        </w:rPr>
        <w:lastRenderedPageBreak/>
        <w:t>person, if allowed to enter or remain in Australia, would engage in [the prescribed] conduct’.</w:t>
      </w:r>
      <w:r>
        <w:rPr>
          <w:rStyle w:val="EndnoteReference"/>
          <w:rFonts w:cs="Arial"/>
        </w:rPr>
        <w:endnoteReference w:id="23"/>
      </w:r>
      <w:r>
        <w:rPr>
          <w:rFonts w:cs="Arial"/>
        </w:rPr>
        <w:t xml:space="preserve"> It is not sufficient to find that the person has engaged in such conduct in the past – there must be a significant risk that the person would engage in such conduct in the future.</w:t>
      </w:r>
      <w:r>
        <w:rPr>
          <w:rStyle w:val="EndnoteReference"/>
          <w:rFonts w:cs="Arial"/>
        </w:rPr>
        <w:endnoteReference w:id="24"/>
      </w:r>
    </w:p>
    <w:p w:rsidR="001B3986" w:rsidRPr="00CF4FDA" w:rsidRDefault="001B3986" w:rsidP="000604CD">
      <w:pPr>
        <w:rPr>
          <w:rFonts w:cs="Arial"/>
        </w:rPr>
      </w:pPr>
      <w:r>
        <w:rPr>
          <w:rFonts w:cs="Arial"/>
        </w:rPr>
        <w:t>Direction No. 55 also states that the operation of the last three grounds of ‘future conduct’ set out above must be balanced against Australia’s ‘well established tradition of free expression’. The Direction states that these grounds are not intended to be used in order to deny entry or continued stay of persons merely because they hold and are likely to express unpopular opinions, even if those opinions may attract strong expressions of disagreement and condemnation from some elements of the Australian community.</w:t>
      </w:r>
      <w:r>
        <w:rPr>
          <w:rStyle w:val="EndnoteReference"/>
          <w:rFonts w:cs="Arial"/>
        </w:rPr>
        <w:endnoteReference w:id="25"/>
      </w:r>
    </w:p>
    <w:p w:rsidR="000604CD" w:rsidRDefault="000604CD" w:rsidP="000604CD">
      <w:pPr>
        <w:pStyle w:val="Heading2"/>
        <w:tabs>
          <w:tab w:val="num" w:pos="1134"/>
        </w:tabs>
        <w:ind w:left="1134"/>
      </w:pPr>
      <w:bookmarkStart w:id="35" w:name="_Toc355952722"/>
      <w:bookmarkStart w:id="36" w:name="_Ref356902289"/>
      <w:bookmarkStart w:id="37" w:name="_Toc362012109"/>
      <w:r>
        <w:t>Stage 2: Factors relevant to the exercise of discretion to refus</w:t>
      </w:r>
      <w:r w:rsidR="00F514DC">
        <w:t>e</w:t>
      </w:r>
      <w:r>
        <w:t xml:space="preserve"> or cancel a visa</w:t>
      </w:r>
      <w:bookmarkEnd w:id="35"/>
      <w:bookmarkEnd w:id="36"/>
      <w:bookmarkEnd w:id="37"/>
    </w:p>
    <w:p w:rsidR="000604CD" w:rsidRPr="00270F64" w:rsidRDefault="000C68D6" w:rsidP="000604CD">
      <w:pPr>
        <w:pStyle w:val="Heading3"/>
      </w:pPr>
      <w:bookmarkStart w:id="38" w:name="_Toc355952723"/>
      <w:r>
        <w:t>The</w:t>
      </w:r>
      <w:r w:rsidR="00CF0D44">
        <w:t xml:space="preserve"> relevance</w:t>
      </w:r>
      <w:r>
        <w:t xml:space="preserve"> of </w:t>
      </w:r>
      <w:r w:rsidR="00AF0141">
        <w:t xml:space="preserve">Ministerial </w:t>
      </w:r>
      <w:r w:rsidR="000604CD">
        <w:t>Direction No. 55</w:t>
      </w:r>
      <w:r w:rsidR="00CF0D44">
        <w:t xml:space="preserve"> to the exercise of the discretion</w:t>
      </w:r>
      <w:bookmarkEnd w:id="38"/>
    </w:p>
    <w:p w:rsidR="000604CD" w:rsidRDefault="000604CD" w:rsidP="000604CD">
      <w:pPr>
        <w:spacing w:after="120"/>
        <w:rPr>
          <w:rFonts w:cs="Arial"/>
        </w:rPr>
      </w:pPr>
      <w:r>
        <w:rPr>
          <w:rFonts w:cs="Arial"/>
        </w:rPr>
        <w:t>As mentioned above, i</w:t>
      </w:r>
      <w:r w:rsidRPr="00904DC9">
        <w:rPr>
          <w:rFonts w:cs="Arial"/>
        </w:rPr>
        <w:t>f</w:t>
      </w:r>
      <w:r>
        <w:rPr>
          <w:rFonts w:cs="Arial"/>
        </w:rPr>
        <w:t xml:space="preserve"> a person fail</w:t>
      </w:r>
      <w:r w:rsidR="00FC037E">
        <w:rPr>
          <w:rFonts w:cs="Arial"/>
        </w:rPr>
        <w:t>s to satisfy the Minister or a</w:t>
      </w:r>
      <w:r>
        <w:rPr>
          <w:rFonts w:cs="Arial"/>
        </w:rPr>
        <w:t xml:space="preserve"> delegate that he or she passes</w:t>
      </w:r>
      <w:r w:rsidRPr="00904DC9">
        <w:rPr>
          <w:rFonts w:cs="Arial"/>
        </w:rPr>
        <w:t xml:space="preserve"> the</w:t>
      </w:r>
      <w:r w:rsidR="00113084">
        <w:rPr>
          <w:rFonts w:cs="Arial"/>
        </w:rPr>
        <w:t xml:space="preserve"> </w:t>
      </w:r>
      <w:r w:rsidRPr="00904DC9">
        <w:rPr>
          <w:rFonts w:cs="Arial"/>
        </w:rPr>
        <w:t>character tes</w:t>
      </w:r>
      <w:r>
        <w:rPr>
          <w:rFonts w:cs="Arial"/>
        </w:rPr>
        <w:t xml:space="preserve">t, the person’s </w:t>
      </w:r>
      <w:r w:rsidRPr="00904DC9">
        <w:rPr>
          <w:rFonts w:cs="Arial"/>
        </w:rPr>
        <w:t xml:space="preserve">visa is </w:t>
      </w:r>
      <w:r>
        <w:rPr>
          <w:rFonts w:cs="Arial"/>
        </w:rPr>
        <w:t xml:space="preserve">not </w:t>
      </w:r>
      <w:r w:rsidRPr="00904DC9">
        <w:rPr>
          <w:rFonts w:cs="Arial"/>
        </w:rPr>
        <w:t xml:space="preserve">automatically </w:t>
      </w:r>
      <w:r>
        <w:rPr>
          <w:rFonts w:cs="Arial"/>
        </w:rPr>
        <w:t xml:space="preserve">refused or </w:t>
      </w:r>
      <w:r w:rsidRPr="00904DC9">
        <w:rPr>
          <w:rFonts w:cs="Arial"/>
        </w:rPr>
        <w:t>cancelled</w:t>
      </w:r>
      <w:r w:rsidR="00346672">
        <w:rPr>
          <w:rFonts w:cs="Arial"/>
        </w:rPr>
        <w:t xml:space="preserve">. The decision-maker must </w:t>
      </w:r>
      <w:r>
        <w:rPr>
          <w:rFonts w:cs="Arial"/>
        </w:rPr>
        <w:t>decide whether to exercis</w:t>
      </w:r>
      <w:r w:rsidR="00113084">
        <w:rPr>
          <w:rFonts w:cs="Arial"/>
        </w:rPr>
        <w:t xml:space="preserve">e their discretion under </w:t>
      </w:r>
      <w:r w:rsidR="00A66906">
        <w:rPr>
          <w:rFonts w:cs="Arial"/>
        </w:rPr>
        <w:t>section 501</w:t>
      </w:r>
      <w:r>
        <w:rPr>
          <w:rFonts w:cs="Arial"/>
        </w:rPr>
        <w:t xml:space="preserve"> to refuse or cancel the person’s visa. </w:t>
      </w:r>
    </w:p>
    <w:p w:rsidR="000604CD" w:rsidRDefault="000265E0" w:rsidP="00147F6E">
      <w:pPr>
        <w:rPr>
          <w:rFonts w:cs="Arial"/>
        </w:rPr>
      </w:pPr>
      <w:r w:rsidRPr="000265E0">
        <w:rPr>
          <w:rFonts w:cs="Arial"/>
        </w:rPr>
        <w:t xml:space="preserve">In making that decision, the </w:t>
      </w:r>
      <w:r w:rsidR="00944D31">
        <w:rPr>
          <w:rFonts w:cs="Arial"/>
        </w:rPr>
        <w:t xml:space="preserve">Minister’s delegate </w:t>
      </w:r>
      <w:r w:rsidRPr="000265E0">
        <w:rPr>
          <w:rFonts w:cs="Arial"/>
        </w:rPr>
        <w:t>is required to consider a number of factors, as set out</w:t>
      </w:r>
      <w:r>
        <w:rPr>
          <w:rFonts w:cs="Arial"/>
        </w:rPr>
        <w:t xml:space="preserve"> in Direction No. 55</w:t>
      </w:r>
      <w:r w:rsidR="00147F6E">
        <w:rPr>
          <w:rFonts w:cs="Arial"/>
        </w:rPr>
        <w:t xml:space="preserve">. </w:t>
      </w:r>
      <w:r w:rsidR="000604CD">
        <w:rPr>
          <w:rFonts w:cs="Arial"/>
        </w:rPr>
        <w:t xml:space="preserve">Part A of the Direction sets out a range of primary considerations and other considerations which must be taken into account (where relevant) when deciding whether to cancel a visa. Part B of the Direction sets out those primary and other considerations which must be taken into account when deciding whether to refuse a visa application. An overview of these considerations is provided below. </w:t>
      </w:r>
    </w:p>
    <w:p w:rsidR="000C0345" w:rsidRDefault="00761CE9" w:rsidP="000604CD">
      <w:pPr>
        <w:spacing w:after="120"/>
        <w:rPr>
          <w:rFonts w:cs="Arial"/>
        </w:rPr>
      </w:pPr>
      <w:r>
        <w:rPr>
          <w:rFonts w:cs="Arial"/>
        </w:rPr>
        <w:t>In addition to taking into account the considerations in Part A or Part B, t</w:t>
      </w:r>
      <w:r w:rsidR="00716C4B">
        <w:rPr>
          <w:rFonts w:cs="Arial"/>
        </w:rPr>
        <w:t>he Direction requires the</w:t>
      </w:r>
      <w:r w:rsidR="000604CD">
        <w:rPr>
          <w:rFonts w:cs="Arial"/>
        </w:rPr>
        <w:t xml:space="preserve"> decision-maker, to ‘determine whether the risk of future harm by a non-citizen is unacceptable’.</w:t>
      </w:r>
      <w:r w:rsidR="000C0345">
        <w:rPr>
          <w:rStyle w:val="EndnoteReference"/>
          <w:rFonts w:cs="Arial"/>
        </w:rPr>
        <w:endnoteReference w:id="26"/>
      </w:r>
      <w:r w:rsidR="000C0345">
        <w:rPr>
          <w:rFonts w:cs="Arial"/>
        </w:rPr>
        <w:t xml:space="preserve"> To assess this, the decision-maker is required to undertake a balancing exercise and to consider ‘the likelihood of any future harm, the extent of the potential harm if it should occur, and the extent to which, if at all, any risk of future harm should be tolerated by the Australian community’.</w:t>
      </w:r>
      <w:r w:rsidR="000C0345">
        <w:rPr>
          <w:rStyle w:val="EndnoteReference"/>
          <w:rFonts w:cs="Arial"/>
        </w:rPr>
        <w:endnoteReference w:id="27"/>
      </w:r>
    </w:p>
    <w:p w:rsidR="000C0345" w:rsidRDefault="000C0345" w:rsidP="000604CD">
      <w:pPr>
        <w:spacing w:after="120"/>
        <w:rPr>
          <w:rFonts w:cs="Arial"/>
        </w:rPr>
      </w:pPr>
      <w:r>
        <w:rPr>
          <w:rFonts w:cs="Arial"/>
        </w:rPr>
        <w:t>Although the Direction sets out primary and other considerations which must be considered by DIAC officers in exercising their discretion,</w:t>
      </w:r>
      <w:r w:rsidR="000A5FCA">
        <w:rPr>
          <w:rFonts w:cs="Arial"/>
        </w:rPr>
        <w:t xml:space="preserve"> it does not dictate outcomes. </w:t>
      </w:r>
      <w:r>
        <w:rPr>
          <w:rFonts w:cs="Arial"/>
        </w:rPr>
        <w:t>Also, as noted above, the Minister is under no obligation to follow the Direction when making a personal decision to refuse or cancel a visa on character grounds under section 501</w:t>
      </w:r>
      <w:r w:rsidRPr="00036DFD">
        <w:rPr>
          <w:rFonts w:cs="Arial"/>
        </w:rPr>
        <w:t>.</w:t>
      </w:r>
      <w:r>
        <w:rPr>
          <w:rFonts w:cs="Arial"/>
        </w:rPr>
        <w:t xml:space="preserve"> </w:t>
      </w:r>
    </w:p>
    <w:p w:rsidR="000C0345" w:rsidRPr="00904DC9" w:rsidRDefault="000C0345" w:rsidP="000604CD">
      <w:pPr>
        <w:pStyle w:val="Heading3"/>
      </w:pPr>
      <w:bookmarkStart w:id="39" w:name="_Toc355952724"/>
      <w:r w:rsidRPr="00904DC9">
        <w:t>Primary considerations</w:t>
      </w:r>
      <w:bookmarkEnd w:id="39"/>
    </w:p>
    <w:p w:rsidR="000C0345" w:rsidRPr="00904DC9" w:rsidRDefault="006F33F9" w:rsidP="000604CD">
      <w:pPr>
        <w:spacing w:after="120"/>
        <w:rPr>
          <w:rFonts w:cs="Arial"/>
        </w:rPr>
      </w:pPr>
      <w:r>
        <w:rPr>
          <w:rFonts w:cs="Arial"/>
        </w:rPr>
        <w:t>Direction No. 55 provides that</w:t>
      </w:r>
      <w:r w:rsidR="000C0345">
        <w:rPr>
          <w:rFonts w:cs="Arial"/>
        </w:rPr>
        <w:t xml:space="preserve"> </w:t>
      </w:r>
      <w:r w:rsidR="000C0345" w:rsidRPr="00904DC9">
        <w:rPr>
          <w:rFonts w:cs="Arial"/>
        </w:rPr>
        <w:t xml:space="preserve">in deciding whether to </w:t>
      </w:r>
      <w:r w:rsidR="000C0345">
        <w:rPr>
          <w:rFonts w:cs="Arial"/>
        </w:rPr>
        <w:t xml:space="preserve">refuse or </w:t>
      </w:r>
      <w:r w:rsidR="000C0345" w:rsidRPr="00904DC9">
        <w:rPr>
          <w:rFonts w:cs="Arial"/>
        </w:rPr>
        <w:t xml:space="preserve">cancel a </w:t>
      </w:r>
      <w:r w:rsidR="000C0345">
        <w:rPr>
          <w:rFonts w:cs="Arial"/>
        </w:rPr>
        <w:t xml:space="preserve">person’s </w:t>
      </w:r>
      <w:r w:rsidR="000C0345" w:rsidRPr="00904DC9">
        <w:rPr>
          <w:rFonts w:cs="Arial"/>
        </w:rPr>
        <w:t>visa</w:t>
      </w:r>
      <w:r w:rsidR="000C0345">
        <w:rPr>
          <w:rFonts w:cs="Arial"/>
        </w:rPr>
        <w:t xml:space="preserve"> under section 501, the following primary considerations must be taken into account:</w:t>
      </w:r>
      <w:r w:rsidR="000C0345">
        <w:rPr>
          <w:rStyle w:val="EndnoteReference"/>
          <w:rFonts w:cs="Arial"/>
        </w:rPr>
        <w:endnoteReference w:id="28"/>
      </w:r>
    </w:p>
    <w:p w:rsidR="000C0345" w:rsidRPr="0081405E" w:rsidRDefault="000C0345" w:rsidP="00272F28">
      <w:pPr>
        <w:numPr>
          <w:ilvl w:val="0"/>
          <w:numId w:val="19"/>
        </w:numPr>
        <w:spacing w:before="0" w:after="120"/>
        <w:ind w:hanging="357"/>
        <w:rPr>
          <w:rFonts w:cs="Arial"/>
        </w:rPr>
      </w:pPr>
      <w:r w:rsidRPr="0081405E">
        <w:rPr>
          <w:rFonts w:cs="Arial"/>
        </w:rPr>
        <w:t>the protection of the Australian community from criminal or other</w:t>
      </w:r>
      <w:r>
        <w:rPr>
          <w:rFonts w:cs="Arial"/>
        </w:rPr>
        <w:t xml:space="preserve"> serious conduct</w:t>
      </w:r>
      <w:r w:rsidRPr="0081405E">
        <w:rPr>
          <w:rStyle w:val="EndnoteReference"/>
          <w:rFonts w:cs="Arial"/>
        </w:rPr>
        <w:endnoteReference w:id="29"/>
      </w:r>
    </w:p>
    <w:p w:rsidR="000C0345" w:rsidRDefault="000C0345" w:rsidP="00272F28">
      <w:pPr>
        <w:numPr>
          <w:ilvl w:val="0"/>
          <w:numId w:val="19"/>
        </w:numPr>
        <w:spacing w:before="0" w:after="120"/>
        <w:ind w:hanging="357"/>
        <w:rPr>
          <w:rFonts w:cs="Arial"/>
        </w:rPr>
      </w:pPr>
      <w:r>
        <w:rPr>
          <w:rFonts w:cs="Arial"/>
        </w:rPr>
        <w:lastRenderedPageBreak/>
        <w:t>the best interests of minor children in Australia</w:t>
      </w:r>
      <w:r>
        <w:rPr>
          <w:rStyle w:val="EndnoteReference"/>
          <w:rFonts w:cs="Arial"/>
        </w:rPr>
        <w:endnoteReference w:id="30"/>
      </w:r>
    </w:p>
    <w:p w:rsidR="00587B35" w:rsidRPr="004A088B" w:rsidRDefault="000C0345" w:rsidP="00272F28">
      <w:pPr>
        <w:numPr>
          <w:ilvl w:val="0"/>
          <w:numId w:val="19"/>
        </w:numPr>
        <w:spacing w:before="0" w:after="120"/>
        <w:ind w:hanging="357"/>
        <w:rPr>
          <w:rFonts w:cs="Arial"/>
        </w:rPr>
      </w:pPr>
      <w:r>
        <w:rPr>
          <w:rFonts w:cs="Arial"/>
        </w:rPr>
        <w:t>whether Australia owes international non-refoulement obligations to the person</w:t>
      </w:r>
      <w:r>
        <w:rPr>
          <w:rStyle w:val="EndnoteReference"/>
          <w:rFonts w:cs="Arial"/>
        </w:rPr>
        <w:endnoteReference w:id="31"/>
      </w:r>
      <w:r>
        <w:rPr>
          <w:rFonts w:cs="Arial"/>
        </w:rPr>
        <w:t xml:space="preserve"> </w:t>
      </w:r>
      <w:r w:rsidR="000604CD">
        <w:rPr>
          <w:rFonts w:cs="Arial"/>
        </w:rPr>
        <w:t xml:space="preserve">(under the </w:t>
      </w:r>
      <w:r w:rsidR="000604CD" w:rsidRPr="003F7B5D">
        <w:rPr>
          <w:rFonts w:cs="Arial"/>
          <w:i/>
        </w:rPr>
        <w:t>Convention</w:t>
      </w:r>
      <w:r w:rsidR="00556831" w:rsidRPr="003F7B5D">
        <w:rPr>
          <w:rFonts w:cs="Arial"/>
          <w:i/>
        </w:rPr>
        <w:t xml:space="preserve"> </w:t>
      </w:r>
      <w:r w:rsidR="00556831" w:rsidRPr="006507D7">
        <w:rPr>
          <w:rFonts w:cs="Arial"/>
          <w:i/>
        </w:rPr>
        <w:t>Relating to the Status of Refugees</w:t>
      </w:r>
      <w:r w:rsidR="006507D7">
        <w:rPr>
          <w:rFonts w:cs="Arial"/>
          <w:i/>
        </w:rPr>
        <w:t xml:space="preserve"> </w:t>
      </w:r>
      <w:r w:rsidR="006507D7" w:rsidRPr="006507D7">
        <w:rPr>
          <w:rFonts w:cs="Arial"/>
        </w:rPr>
        <w:t>(Refugee Convention)</w:t>
      </w:r>
      <w:r w:rsidR="000604CD" w:rsidRPr="006507D7">
        <w:rPr>
          <w:rFonts w:cs="Arial"/>
        </w:rPr>
        <w:t>,</w:t>
      </w:r>
      <w:bookmarkStart w:id="40" w:name="_Ref356919761"/>
      <w:r w:rsidR="00587B35" w:rsidRPr="00F05473">
        <w:rPr>
          <w:rStyle w:val="EndnoteReference"/>
          <w:rFonts w:cs="Arial"/>
        </w:rPr>
        <w:endnoteReference w:id="32"/>
      </w:r>
      <w:bookmarkEnd w:id="40"/>
      <w:r w:rsidR="00587B35" w:rsidRPr="005F18AA">
        <w:rPr>
          <w:rFonts w:cs="Arial"/>
        </w:rPr>
        <w:t xml:space="preserve"> the</w:t>
      </w:r>
      <w:r w:rsidR="00587B35">
        <w:rPr>
          <w:rFonts w:cs="Arial"/>
        </w:rPr>
        <w:t xml:space="preserve"> </w:t>
      </w:r>
      <w:r w:rsidR="00587B35" w:rsidRPr="009D224E">
        <w:rPr>
          <w:rFonts w:cs="Arial"/>
          <w:i/>
        </w:rPr>
        <w:t>Convention against Torture and Other Cruel, Inhuman or Degrading Treatment or Punishment</w:t>
      </w:r>
      <w:r w:rsidR="00587B35">
        <w:rPr>
          <w:rFonts w:cs="Arial"/>
          <w:i/>
        </w:rPr>
        <w:t xml:space="preserve"> </w:t>
      </w:r>
      <w:r w:rsidR="00587B35" w:rsidRPr="00F05473">
        <w:rPr>
          <w:rFonts w:cs="Arial"/>
        </w:rPr>
        <w:t>(</w:t>
      </w:r>
      <w:r w:rsidR="00587B35">
        <w:rPr>
          <w:rFonts w:cs="Arial"/>
        </w:rPr>
        <w:t>CAT</w:t>
      </w:r>
      <w:r w:rsidR="00587B35" w:rsidRPr="00F05473">
        <w:rPr>
          <w:rFonts w:cs="Arial"/>
        </w:rPr>
        <w:t>),</w:t>
      </w:r>
      <w:bookmarkStart w:id="41" w:name="_Ref356920105"/>
      <w:r w:rsidR="00587B35">
        <w:rPr>
          <w:rStyle w:val="EndnoteReference"/>
          <w:rFonts w:cs="Arial"/>
        </w:rPr>
        <w:endnoteReference w:id="33"/>
      </w:r>
      <w:bookmarkEnd w:id="41"/>
      <w:r w:rsidR="00587B35">
        <w:rPr>
          <w:rFonts w:cs="Arial"/>
        </w:rPr>
        <w:t xml:space="preserve"> and the </w:t>
      </w:r>
      <w:r w:rsidR="00587B35" w:rsidRPr="00F05473">
        <w:rPr>
          <w:rFonts w:cs="Arial"/>
          <w:i/>
        </w:rPr>
        <w:t>International Covenant on Civil and Political Rights</w:t>
      </w:r>
      <w:r w:rsidR="00587B35">
        <w:rPr>
          <w:rFonts w:cs="Arial"/>
          <w:i/>
        </w:rPr>
        <w:t xml:space="preserve"> </w:t>
      </w:r>
      <w:r w:rsidR="00587B35" w:rsidRPr="00F05473">
        <w:rPr>
          <w:rFonts w:cs="Arial"/>
        </w:rPr>
        <w:t>(ICCPR)</w:t>
      </w:r>
      <w:r w:rsidR="00587B35">
        <w:rPr>
          <w:rFonts w:cs="Arial"/>
        </w:rPr>
        <w:t>.</w:t>
      </w:r>
      <w:bookmarkStart w:id="42" w:name="_Ref356920088"/>
      <w:r w:rsidR="00587B35">
        <w:rPr>
          <w:rStyle w:val="EndnoteReference"/>
          <w:rFonts w:cs="Arial"/>
        </w:rPr>
        <w:endnoteReference w:id="34"/>
      </w:r>
      <w:bookmarkEnd w:id="42"/>
      <w:r w:rsidR="00587B35" w:rsidRPr="00EE7639" w:rsidDel="000E2B51">
        <w:rPr>
          <w:rFonts w:cs="Arial"/>
        </w:rPr>
        <w:t xml:space="preserve"> </w:t>
      </w:r>
    </w:p>
    <w:p w:rsidR="00587B35" w:rsidRDefault="00587B35" w:rsidP="000604CD">
      <w:pPr>
        <w:spacing w:before="120" w:after="120"/>
        <w:rPr>
          <w:rFonts w:cs="Arial"/>
        </w:rPr>
      </w:pPr>
      <w:r>
        <w:rPr>
          <w:rFonts w:cs="Arial"/>
        </w:rPr>
        <w:t xml:space="preserve">When considering whether to </w:t>
      </w:r>
      <w:r w:rsidRPr="00644E1D">
        <w:rPr>
          <w:rFonts w:cs="Arial"/>
          <w:i/>
        </w:rPr>
        <w:t>cancel</w:t>
      </w:r>
      <w:r>
        <w:rPr>
          <w:rFonts w:cs="Arial"/>
        </w:rPr>
        <w:t xml:space="preserve"> a visa, the decision-maker must take into account the additional primary consideration</w:t>
      </w:r>
      <w:r w:rsidR="005D2751">
        <w:rPr>
          <w:rFonts w:cs="Arial"/>
        </w:rPr>
        <w:t>s</w:t>
      </w:r>
      <w:r>
        <w:rPr>
          <w:rFonts w:cs="Arial"/>
        </w:rPr>
        <w:t xml:space="preserve"> of ‘</w:t>
      </w:r>
      <w:r w:rsidRPr="00EE7639">
        <w:rPr>
          <w:rFonts w:cs="Arial"/>
        </w:rPr>
        <w:t>the</w:t>
      </w:r>
      <w:r>
        <w:rPr>
          <w:rFonts w:cs="Arial"/>
        </w:rPr>
        <w:t xml:space="preserve"> strength, duration and nature of the person’s ties to Australia’.</w:t>
      </w:r>
      <w:r>
        <w:rPr>
          <w:rStyle w:val="EndnoteReference"/>
          <w:rFonts w:cs="Arial"/>
        </w:rPr>
        <w:endnoteReference w:id="35"/>
      </w:r>
      <w:r>
        <w:rPr>
          <w:rFonts w:cs="Arial"/>
        </w:rPr>
        <w:t xml:space="preserve"> </w:t>
      </w:r>
    </w:p>
    <w:p w:rsidR="00587B35" w:rsidRPr="00C32389" w:rsidRDefault="00587B35" w:rsidP="00C32389">
      <w:pPr>
        <w:pStyle w:val="Heading3"/>
      </w:pPr>
      <w:bookmarkStart w:id="43" w:name="_Toc355952725"/>
      <w:r w:rsidRPr="00904DC9">
        <w:t>Other considerations</w:t>
      </w:r>
      <w:bookmarkEnd w:id="43"/>
    </w:p>
    <w:p w:rsidR="000604CD" w:rsidRPr="00904DC9" w:rsidRDefault="00587B35" w:rsidP="00272F28">
      <w:pPr>
        <w:spacing w:after="120"/>
        <w:rPr>
          <w:rFonts w:cs="Arial"/>
        </w:rPr>
      </w:pPr>
      <w:r>
        <w:rPr>
          <w:rFonts w:cs="Arial"/>
        </w:rPr>
        <w:t xml:space="preserve">Direction No. 55 sets out a range of other considerations </w:t>
      </w:r>
      <w:r w:rsidRPr="00904DC9">
        <w:rPr>
          <w:rFonts w:cs="Arial"/>
        </w:rPr>
        <w:t>that may be relevant</w:t>
      </w:r>
      <w:r>
        <w:rPr>
          <w:rFonts w:cs="Arial"/>
        </w:rPr>
        <w:t xml:space="preserve"> and, if so, must be taken into account </w:t>
      </w:r>
      <w:r w:rsidRPr="00904DC9">
        <w:rPr>
          <w:rFonts w:cs="Arial"/>
        </w:rPr>
        <w:t>in determining whether to</w:t>
      </w:r>
      <w:r>
        <w:rPr>
          <w:rFonts w:cs="Arial"/>
        </w:rPr>
        <w:t xml:space="preserve"> refuse or</w:t>
      </w:r>
      <w:r w:rsidRPr="00904DC9">
        <w:rPr>
          <w:rFonts w:cs="Arial"/>
        </w:rPr>
        <w:t xml:space="preserve"> cancel a</w:t>
      </w:r>
      <w:r>
        <w:rPr>
          <w:rFonts w:cs="Arial"/>
        </w:rPr>
        <w:t xml:space="preserve"> </w:t>
      </w:r>
      <w:r w:rsidRPr="00904DC9">
        <w:rPr>
          <w:rFonts w:cs="Arial"/>
        </w:rPr>
        <w:t>visa</w:t>
      </w:r>
      <w:r>
        <w:rPr>
          <w:rFonts w:cs="Arial"/>
        </w:rPr>
        <w:t xml:space="preserve"> under section 501</w:t>
      </w:r>
      <w:r w:rsidRPr="00904DC9">
        <w:rPr>
          <w:rFonts w:cs="Arial"/>
        </w:rPr>
        <w:t xml:space="preserve">. These considerations are </w:t>
      </w:r>
      <w:r>
        <w:rPr>
          <w:rFonts w:cs="Arial"/>
        </w:rPr>
        <w:t xml:space="preserve">generally to be </w:t>
      </w:r>
      <w:r w:rsidRPr="00904DC9">
        <w:rPr>
          <w:rFonts w:cs="Arial"/>
        </w:rPr>
        <w:t>given less weight than the primary considerations</w:t>
      </w:r>
      <w:r>
        <w:rPr>
          <w:rFonts w:cs="Arial"/>
        </w:rPr>
        <w:t xml:space="preserve"> set out above</w:t>
      </w:r>
      <w:r w:rsidRPr="00904DC9">
        <w:rPr>
          <w:rFonts w:cs="Arial"/>
        </w:rPr>
        <w:t>.</w:t>
      </w:r>
      <w:r w:rsidRPr="00904DC9">
        <w:rPr>
          <w:rStyle w:val="EndnoteReference"/>
          <w:rFonts w:cs="Arial"/>
        </w:rPr>
        <w:endnoteReference w:id="36"/>
      </w:r>
      <w:r w:rsidRPr="00904DC9">
        <w:rPr>
          <w:rFonts w:cs="Arial"/>
        </w:rPr>
        <w:t xml:space="preserve"> </w:t>
      </w:r>
      <w:r w:rsidR="000604CD">
        <w:rPr>
          <w:rFonts w:cs="Arial"/>
        </w:rPr>
        <w:t>These o</w:t>
      </w:r>
      <w:r w:rsidR="000604CD" w:rsidRPr="00904DC9">
        <w:rPr>
          <w:rFonts w:cs="Arial"/>
        </w:rPr>
        <w:t>ther considerations include</w:t>
      </w:r>
      <w:r w:rsidR="00B11778">
        <w:rPr>
          <w:rFonts w:cs="Arial"/>
        </w:rPr>
        <w:t xml:space="preserve"> the impact of refusal or cancellation on</w:t>
      </w:r>
      <w:r w:rsidR="000604CD">
        <w:rPr>
          <w:rFonts w:cs="Arial"/>
        </w:rPr>
        <w:t>:</w:t>
      </w:r>
    </w:p>
    <w:p w:rsidR="001B50D2" w:rsidRDefault="000604CD" w:rsidP="00272F28">
      <w:pPr>
        <w:numPr>
          <w:ilvl w:val="0"/>
          <w:numId w:val="18"/>
        </w:numPr>
        <w:spacing w:before="120" w:after="120"/>
        <w:ind w:left="714" w:hanging="357"/>
        <w:rPr>
          <w:rFonts w:cs="Arial"/>
        </w:rPr>
      </w:pPr>
      <w:r>
        <w:rPr>
          <w:rFonts w:cs="Arial"/>
        </w:rPr>
        <w:t>the person’s immediate family in Australia (if those family members are Australian citizens, permanent residents, or people who have a right to remain in Australia indefinitely)</w:t>
      </w:r>
      <w:r w:rsidR="001B50D2">
        <w:rPr>
          <w:rStyle w:val="EndnoteReference"/>
          <w:rFonts w:cs="Arial"/>
        </w:rPr>
        <w:endnoteReference w:id="37"/>
      </w:r>
    </w:p>
    <w:p w:rsidR="001B50D2" w:rsidRDefault="001B50D2" w:rsidP="00272F28">
      <w:pPr>
        <w:numPr>
          <w:ilvl w:val="0"/>
          <w:numId w:val="18"/>
        </w:numPr>
        <w:spacing w:before="120" w:after="120"/>
        <w:ind w:left="714" w:hanging="357"/>
        <w:rPr>
          <w:rFonts w:cs="Arial"/>
        </w:rPr>
      </w:pPr>
      <w:r>
        <w:rPr>
          <w:rFonts w:cs="Arial"/>
        </w:rPr>
        <w:t>Australian business interests</w:t>
      </w:r>
      <w:r>
        <w:rPr>
          <w:rStyle w:val="EndnoteReference"/>
          <w:rFonts w:cs="Arial"/>
        </w:rPr>
        <w:endnoteReference w:id="38"/>
      </w:r>
    </w:p>
    <w:p w:rsidR="001B50D2" w:rsidRDefault="000604CD" w:rsidP="00272F28">
      <w:pPr>
        <w:numPr>
          <w:ilvl w:val="0"/>
          <w:numId w:val="18"/>
        </w:numPr>
        <w:spacing w:before="120" w:after="120"/>
        <w:ind w:left="714" w:hanging="357"/>
        <w:rPr>
          <w:rFonts w:cs="Arial"/>
        </w:rPr>
      </w:pPr>
      <w:r>
        <w:rPr>
          <w:rFonts w:cs="Arial"/>
        </w:rPr>
        <w:t>members of the Australian community, including victims of the person’s criminal behaviour and those victims’ families.</w:t>
      </w:r>
      <w:r w:rsidR="001B50D2">
        <w:rPr>
          <w:rStyle w:val="EndnoteReference"/>
          <w:rFonts w:cs="Arial"/>
        </w:rPr>
        <w:endnoteReference w:id="39"/>
      </w:r>
    </w:p>
    <w:p w:rsidR="000604CD" w:rsidRDefault="000604CD" w:rsidP="00272F28">
      <w:pPr>
        <w:spacing w:before="120" w:after="120"/>
        <w:rPr>
          <w:rFonts w:cs="Arial"/>
        </w:rPr>
      </w:pPr>
      <w:r>
        <w:rPr>
          <w:rFonts w:cs="Arial"/>
        </w:rPr>
        <w:t>Again, in the case of cancellation of a visa (rather than refusal) there is an additional consideration, that is ‘the extent of any impediments that the person may face if removed from Australia to their home country, in establishing themselves and maintaining basic living standards’ in light of:</w:t>
      </w:r>
    </w:p>
    <w:p w:rsidR="000604CD" w:rsidRDefault="000604CD" w:rsidP="00272F28">
      <w:pPr>
        <w:numPr>
          <w:ilvl w:val="0"/>
          <w:numId w:val="29"/>
        </w:numPr>
        <w:spacing w:before="120" w:after="120"/>
        <w:rPr>
          <w:rFonts w:cs="Arial"/>
        </w:rPr>
      </w:pPr>
      <w:r>
        <w:rPr>
          <w:rFonts w:cs="Arial"/>
        </w:rPr>
        <w:t>the person’s age and health</w:t>
      </w:r>
    </w:p>
    <w:p w:rsidR="000604CD" w:rsidRDefault="000604CD" w:rsidP="00272F28">
      <w:pPr>
        <w:numPr>
          <w:ilvl w:val="0"/>
          <w:numId w:val="29"/>
        </w:numPr>
        <w:spacing w:before="120" w:after="120"/>
        <w:rPr>
          <w:rFonts w:cs="Arial"/>
        </w:rPr>
      </w:pPr>
      <w:r>
        <w:rPr>
          <w:rFonts w:cs="Arial"/>
        </w:rPr>
        <w:t>any substantial language or cultural barriers, and</w:t>
      </w:r>
    </w:p>
    <w:p w:rsidR="009E5116" w:rsidRDefault="000604CD" w:rsidP="00272F28">
      <w:pPr>
        <w:numPr>
          <w:ilvl w:val="0"/>
          <w:numId w:val="29"/>
        </w:numPr>
        <w:spacing w:before="120" w:after="120"/>
        <w:rPr>
          <w:rFonts w:cs="Arial"/>
        </w:rPr>
      </w:pPr>
      <w:r>
        <w:rPr>
          <w:rFonts w:cs="Arial"/>
        </w:rPr>
        <w:t>any ‘social, medical and/or economic support available to them in that country’</w:t>
      </w:r>
      <w:r w:rsidR="00955549">
        <w:rPr>
          <w:rFonts w:cs="Arial"/>
        </w:rPr>
        <w:t>.</w:t>
      </w:r>
      <w:r w:rsidR="009E5116">
        <w:rPr>
          <w:rStyle w:val="EndnoteReference"/>
          <w:rFonts w:cs="Arial"/>
        </w:rPr>
        <w:endnoteReference w:id="40"/>
      </w:r>
    </w:p>
    <w:p w:rsidR="000604CD" w:rsidRPr="00F1678C" w:rsidRDefault="000604CD" w:rsidP="000604CD">
      <w:pPr>
        <w:pStyle w:val="Heading1"/>
      </w:pPr>
      <w:bookmarkStart w:id="44" w:name="_Toc354064290"/>
      <w:bookmarkStart w:id="45" w:name="_Toc354064291"/>
      <w:bookmarkStart w:id="46" w:name="_Toc354064292"/>
      <w:bookmarkStart w:id="47" w:name="_Toc354064293"/>
      <w:bookmarkStart w:id="48" w:name="_Toc354064294"/>
      <w:bookmarkStart w:id="49" w:name="param86"/>
      <w:bookmarkStart w:id="50" w:name="_Toc354064295"/>
      <w:bookmarkStart w:id="51" w:name="_What_are_the"/>
      <w:bookmarkStart w:id="52" w:name="_Toc355363538"/>
      <w:bookmarkStart w:id="53" w:name="_Toc355952726"/>
      <w:bookmarkStart w:id="54" w:name="_Toc362012110"/>
      <w:bookmarkEnd w:id="44"/>
      <w:bookmarkEnd w:id="45"/>
      <w:bookmarkEnd w:id="46"/>
      <w:bookmarkEnd w:id="47"/>
      <w:bookmarkEnd w:id="48"/>
      <w:bookmarkEnd w:id="49"/>
      <w:bookmarkEnd w:id="50"/>
      <w:bookmarkEnd w:id="51"/>
      <w:r w:rsidRPr="00F1678C">
        <w:t xml:space="preserve">What are the consequences of visa </w:t>
      </w:r>
      <w:r w:rsidRPr="00F05473">
        <w:t xml:space="preserve">refusal or </w:t>
      </w:r>
      <w:r w:rsidRPr="00F1678C">
        <w:t>cancellation?</w:t>
      </w:r>
      <w:bookmarkEnd w:id="52"/>
      <w:bookmarkEnd w:id="53"/>
      <w:bookmarkEnd w:id="54"/>
    </w:p>
    <w:p w:rsidR="00C00204" w:rsidRDefault="000604CD" w:rsidP="000604CD">
      <w:pPr>
        <w:spacing w:after="120"/>
        <w:rPr>
          <w:rFonts w:cs="Arial"/>
        </w:rPr>
      </w:pPr>
      <w:r w:rsidRPr="008B2F0A">
        <w:rPr>
          <w:rFonts w:cs="Arial"/>
        </w:rPr>
        <w:t xml:space="preserve">When a </w:t>
      </w:r>
      <w:r>
        <w:rPr>
          <w:rFonts w:cs="Arial"/>
        </w:rPr>
        <w:t>person’s ap</w:t>
      </w:r>
      <w:r w:rsidR="0000636D">
        <w:rPr>
          <w:rFonts w:cs="Arial"/>
        </w:rPr>
        <w:t>plication for a visa is refused</w:t>
      </w:r>
      <w:r>
        <w:rPr>
          <w:rFonts w:cs="Arial"/>
        </w:rPr>
        <w:t xml:space="preserve"> or his or her visa </w:t>
      </w:r>
      <w:r w:rsidR="00DE4134">
        <w:rPr>
          <w:rFonts w:cs="Arial"/>
        </w:rPr>
        <w:t xml:space="preserve">is </w:t>
      </w:r>
      <w:r>
        <w:rPr>
          <w:rFonts w:cs="Arial"/>
        </w:rPr>
        <w:t xml:space="preserve">cancelled under </w:t>
      </w:r>
      <w:r w:rsidR="00A66906">
        <w:rPr>
          <w:rFonts w:cs="Arial"/>
        </w:rPr>
        <w:t>section 501</w:t>
      </w:r>
      <w:r>
        <w:rPr>
          <w:rFonts w:cs="Arial"/>
        </w:rPr>
        <w:t xml:space="preserve"> of the Migration Act, unless he or she already holds a protection visa, the person becomes an </w:t>
      </w:r>
      <w:r w:rsidRPr="00904DC9">
        <w:rPr>
          <w:rFonts w:cs="Arial"/>
        </w:rPr>
        <w:t>unlawful non-citizen</w:t>
      </w:r>
      <w:r>
        <w:rPr>
          <w:rFonts w:cs="Arial"/>
        </w:rPr>
        <w:t>.</w:t>
      </w:r>
      <w:r w:rsidR="00C00204">
        <w:rPr>
          <w:rStyle w:val="EndnoteReference"/>
          <w:rFonts w:cs="Arial"/>
        </w:rPr>
        <w:endnoteReference w:id="41"/>
      </w:r>
    </w:p>
    <w:p w:rsidR="00C00204" w:rsidRDefault="00C00204" w:rsidP="000604CD">
      <w:pPr>
        <w:spacing w:after="120"/>
        <w:rPr>
          <w:rFonts w:cs="Arial"/>
        </w:rPr>
      </w:pPr>
      <w:r>
        <w:rPr>
          <w:rFonts w:cs="Arial"/>
        </w:rPr>
        <w:t>Under the Migration Act, as an unlawful non-citizen the person must be placed in immigration detention and detained until he or she is either granted a visa, deported</w:t>
      </w:r>
      <w:r w:rsidR="0000636D">
        <w:rPr>
          <w:rFonts w:cs="Arial"/>
        </w:rPr>
        <w:t>,</w:t>
      </w:r>
      <w:r>
        <w:rPr>
          <w:rFonts w:cs="Arial"/>
        </w:rPr>
        <w:t xml:space="preserve"> or removed from Australia.</w:t>
      </w:r>
      <w:r>
        <w:rPr>
          <w:rStyle w:val="EndnoteReference"/>
          <w:rFonts w:cs="Arial"/>
        </w:rPr>
        <w:endnoteReference w:id="42"/>
      </w:r>
    </w:p>
    <w:p w:rsidR="00CC25E8" w:rsidRDefault="000E3819" w:rsidP="00272F28">
      <w:pPr>
        <w:spacing w:after="120"/>
        <w:rPr>
          <w:rFonts w:cs="Arial"/>
        </w:rPr>
      </w:pPr>
      <w:r w:rsidRPr="009C4FB2">
        <w:rPr>
          <w:lang w:val="en"/>
        </w:rPr>
        <w:t xml:space="preserve">As at 23 May 2013, there were 49 people in </w:t>
      </w:r>
      <w:r w:rsidR="008B1EFC">
        <w:rPr>
          <w:lang w:val="en"/>
        </w:rPr>
        <w:t xml:space="preserve">immigration </w:t>
      </w:r>
      <w:r w:rsidRPr="009C4FB2">
        <w:rPr>
          <w:lang w:val="en"/>
        </w:rPr>
        <w:t>detention because their visas had been cancelled</w:t>
      </w:r>
      <w:r w:rsidR="009C4FB2">
        <w:rPr>
          <w:lang w:val="en"/>
        </w:rPr>
        <w:t xml:space="preserve"> under s</w:t>
      </w:r>
      <w:r w:rsidR="00CE3CAF">
        <w:rPr>
          <w:lang w:val="en"/>
        </w:rPr>
        <w:t>ection 501</w:t>
      </w:r>
      <w:r w:rsidR="008B1EFC">
        <w:rPr>
          <w:lang w:val="en"/>
        </w:rPr>
        <w:t>,</w:t>
      </w:r>
      <w:r w:rsidR="00E906D1">
        <w:rPr>
          <w:lang w:val="en"/>
        </w:rPr>
        <w:t xml:space="preserve"> and seven</w:t>
      </w:r>
      <w:r w:rsidRPr="009C4FB2">
        <w:rPr>
          <w:lang w:val="en"/>
        </w:rPr>
        <w:t xml:space="preserve"> people in detention who had their visa</w:t>
      </w:r>
      <w:r w:rsidR="00CD37B4">
        <w:rPr>
          <w:lang w:val="en"/>
        </w:rPr>
        <w:t>s</w:t>
      </w:r>
      <w:r w:rsidRPr="009C4FB2">
        <w:rPr>
          <w:lang w:val="en"/>
        </w:rPr>
        <w:t xml:space="preserve"> refused under s</w:t>
      </w:r>
      <w:r w:rsidR="00EC3A24">
        <w:rPr>
          <w:lang w:val="en"/>
        </w:rPr>
        <w:t>ection</w:t>
      </w:r>
      <w:r w:rsidRPr="009C4FB2">
        <w:rPr>
          <w:lang w:val="en"/>
        </w:rPr>
        <w:t> 501.</w:t>
      </w:r>
      <w:r w:rsidR="00CC25E8" w:rsidRPr="009C4FB2">
        <w:rPr>
          <w:rStyle w:val="EndnoteReference"/>
          <w:lang w:val="en"/>
        </w:rPr>
        <w:endnoteReference w:id="43"/>
      </w:r>
      <w:r w:rsidR="00CC25E8" w:rsidRPr="009C4FB2">
        <w:rPr>
          <w:rFonts w:cs="Arial"/>
        </w:rPr>
        <w:t xml:space="preserve"> </w:t>
      </w:r>
      <w:r w:rsidR="00CC25E8" w:rsidRPr="00050DB6">
        <w:rPr>
          <w:rFonts w:cs="Arial"/>
        </w:rPr>
        <w:t xml:space="preserve"> </w:t>
      </w:r>
      <w:r w:rsidR="00CC25E8">
        <w:rPr>
          <w:rFonts w:cs="Arial"/>
        </w:rPr>
        <w:t xml:space="preserve">In 2011-12, 78 people who had been </w:t>
      </w:r>
      <w:r w:rsidR="00CC25E8">
        <w:rPr>
          <w:rFonts w:cs="Arial"/>
        </w:rPr>
        <w:lastRenderedPageBreak/>
        <w:t>detained due to their visa</w:t>
      </w:r>
      <w:r w:rsidR="009D39FD">
        <w:rPr>
          <w:rFonts w:cs="Arial"/>
        </w:rPr>
        <w:t>s</w:t>
      </w:r>
      <w:r w:rsidR="00CC25E8">
        <w:rPr>
          <w:rFonts w:cs="Arial"/>
        </w:rPr>
        <w:t xml:space="preserve"> being cancelled under s</w:t>
      </w:r>
      <w:r w:rsidR="00CD37B4">
        <w:rPr>
          <w:rFonts w:cs="Arial"/>
        </w:rPr>
        <w:t>ection</w:t>
      </w:r>
      <w:r w:rsidR="00CC25E8">
        <w:rPr>
          <w:rFonts w:cs="Arial"/>
        </w:rPr>
        <w:t> 501 were removed from Australia.</w:t>
      </w:r>
      <w:r w:rsidR="00CC25E8">
        <w:rPr>
          <w:rStyle w:val="EndnoteReference"/>
          <w:rFonts w:cs="Arial"/>
        </w:rPr>
        <w:endnoteReference w:id="44"/>
      </w:r>
    </w:p>
    <w:p w:rsidR="00C00204" w:rsidRPr="00F71207" w:rsidRDefault="00C00204" w:rsidP="00272F28">
      <w:pPr>
        <w:spacing w:after="120"/>
        <w:rPr>
          <w:rFonts w:cs="Arial"/>
        </w:rPr>
      </w:pPr>
      <w:r w:rsidRPr="00F71207">
        <w:rPr>
          <w:rFonts w:cs="Arial"/>
        </w:rPr>
        <w:t>In addition to being detained and possibly removed from Australia, a person who has a visa refused or cancelled under section 501:</w:t>
      </w:r>
    </w:p>
    <w:p w:rsidR="00C00204" w:rsidRPr="00F71207" w:rsidRDefault="00C00204" w:rsidP="00272F28">
      <w:pPr>
        <w:numPr>
          <w:ilvl w:val="0"/>
          <w:numId w:val="20"/>
        </w:numPr>
        <w:spacing w:before="120" w:after="120"/>
        <w:ind w:left="714" w:hanging="357"/>
        <w:rPr>
          <w:rFonts w:cs="Arial"/>
        </w:rPr>
      </w:pPr>
      <w:r w:rsidRPr="00F71207">
        <w:rPr>
          <w:rFonts w:cs="Arial"/>
        </w:rPr>
        <w:t>will be prohibited from applying for another visa (other than a protection visa or a ‘removal pending’ bridging visa) while in Australia</w:t>
      </w:r>
      <w:r w:rsidRPr="00F71207">
        <w:rPr>
          <w:rStyle w:val="EndnoteReference"/>
          <w:rFonts w:cs="Arial"/>
        </w:rPr>
        <w:endnoteReference w:id="45"/>
      </w:r>
      <w:r w:rsidRPr="00F71207">
        <w:rPr>
          <w:rFonts w:cs="Arial"/>
        </w:rPr>
        <w:t xml:space="preserve"> </w:t>
      </w:r>
    </w:p>
    <w:p w:rsidR="000604CD" w:rsidRPr="00EE381A" w:rsidRDefault="00C00204" w:rsidP="00272F28">
      <w:pPr>
        <w:numPr>
          <w:ilvl w:val="0"/>
          <w:numId w:val="20"/>
        </w:numPr>
        <w:spacing w:before="120" w:after="120"/>
        <w:ind w:left="714" w:hanging="357"/>
        <w:rPr>
          <w:rFonts w:cs="Arial"/>
        </w:rPr>
      </w:pPr>
      <w:r w:rsidRPr="00EE381A">
        <w:rPr>
          <w:rFonts w:cs="Arial"/>
        </w:rPr>
        <w:t xml:space="preserve">if removed from Australia following </w:t>
      </w:r>
      <w:r w:rsidRPr="00EE381A">
        <w:rPr>
          <w:rFonts w:cs="Arial"/>
          <w:i/>
        </w:rPr>
        <w:t>cancellation</w:t>
      </w:r>
      <w:r w:rsidRPr="00EE381A">
        <w:rPr>
          <w:rFonts w:cs="Arial"/>
        </w:rPr>
        <w:t xml:space="preserve"> of their visa, will not be eligible to be granted </w:t>
      </w:r>
      <w:r w:rsidR="0020337B" w:rsidRPr="00EE381A">
        <w:rPr>
          <w:rFonts w:cs="Arial"/>
        </w:rPr>
        <w:t xml:space="preserve">most </w:t>
      </w:r>
      <w:r w:rsidRPr="00EE381A">
        <w:rPr>
          <w:rFonts w:cs="Arial"/>
        </w:rPr>
        <w:t xml:space="preserve">types of visas (and therefore to return to Australia) </w:t>
      </w:r>
      <w:r w:rsidRPr="00EE381A">
        <w:t>if their visa was cancelled because of a substantial criminal record, past or present criminal conduct, or a combination of past or present criminal and general conduct.</w:t>
      </w:r>
      <w:r w:rsidRPr="00EE381A">
        <w:rPr>
          <w:rStyle w:val="EndnoteReference"/>
          <w:rFonts w:cs="Arial"/>
        </w:rPr>
        <w:endnoteReference w:id="46"/>
      </w:r>
      <w:r w:rsidRPr="00EE381A">
        <w:rPr>
          <w:rFonts w:cs="Arial"/>
        </w:rPr>
        <w:t xml:space="preserve"> </w:t>
      </w:r>
    </w:p>
    <w:p w:rsidR="000604CD" w:rsidRPr="00C33B5D" w:rsidRDefault="000604CD" w:rsidP="000604CD">
      <w:pPr>
        <w:pStyle w:val="Heading1"/>
      </w:pPr>
      <w:bookmarkStart w:id="55" w:name="_Can_the_decision"/>
      <w:bookmarkStart w:id="56" w:name="_Toc257299801"/>
      <w:bookmarkStart w:id="57" w:name="_Toc257299802"/>
      <w:bookmarkStart w:id="58" w:name="_Toc355100898"/>
      <w:bookmarkStart w:id="59" w:name="_Toc355363539"/>
      <w:bookmarkStart w:id="60" w:name="_Toc355952727"/>
      <w:bookmarkStart w:id="61" w:name="_Toc362012111"/>
      <w:bookmarkEnd w:id="55"/>
      <w:bookmarkEnd w:id="56"/>
      <w:bookmarkEnd w:id="57"/>
      <w:r>
        <w:t>What are the h</w:t>
      </w:r>
      <w:r w:rsidRPr="00C33B5D">
        <w:t xml:space="preserve">uman rights issues raised by </w:t>
      </w:r>
      <w:r>
        <w:t xml:space="preserve">refusal or cancellation of visas under </w:t>
      </w:r>
      <w:r w:rsidR="00A66906">
        <w:t>section 501</w:t>
      </w:r>
      <w:bookmarkEnd w:id="58"/>
      <w:r>
        <w:t>?</w:t>
      </w:r>
      <w:bookmarkEnd w:id="59"/>
      <w:bookmarkEnd w:id="60"/>
      <w:bookmarkEnd w:id="61"/>
    </w:p>
    <w:p w:rsidR="00794CE2" w:rsidRPr="00511445" w:rsidRDefault="000604CD" w:rsidP="00FE32F3">
      <w:pPr>
        <w:spacing w:before="0" w:after="120"/>
        <w:rPr>
          <w:rFonts w:cs="Arial"/>
          <w:highlight w:val="green"/>
        </w:rPr>
      </w:pPr>
      <w:r w:rsidRPr="007D2E17">
        <w:rPr>
          <w:rFonts w:cs="Arial"/>
        </w:rPr>
        <w:t xml:space="preserve">The </w:t>
      </w:r>
      <w:r w:rsidR="009075F4">
        <w:rPr>
          <w:rFonts w:cs="Arial"/>
        </w:rPr>
        <w:t>Commission has a number</w:t>
      </w:r>
      <w:r>
        <w:rPr>
          <w:rFonts w:cs="Arial"/>
        </w:rPr>
        <w:t xml:space="preserve"> of concerns about </w:t>
      </w:r>
      <w:r w:rsidR="00EF3740">
        <w:rPr>
          <w:rFonts w:cs="Arial"/>
        </w:rPr>
        <w:t>the impact</w:t>
      </w:r>
      <w:r>
        <w:rPr>
          <w:rFonts w:cs="Arial"/>
        </w:rPr>
        <w:t xml:space="preserve"> on the human rights of people whose app</w:t>
      </w:r>
      <w:r w:rsidR="009C375E">
        <w:rPr>
          <w:rFonts w:cs="Arial"/>
        </w:rPr>
        <w:t>lications for visas are refused</w:t>
      </w:r>
      <w:r>
        <w:rPr>
          <w:rFonts w:cs="Arial"/>
        </w:rPr>
        <w:t xml:space="preserve"> o</w:t>
      </w:r>
      <w:r w:rsidR="00EF3740">
        <w:rPr>
          <w:rFonts w:cs="Arial"/>
        </w:rPr>
        <w:t xml:space="preserve">r </w:t>
      </w:r>
      <w:r w:rsidR="00C9135C">
        <w:rPr>
          <w:rFonts w:cs="Arial"/>
        </w:rPr>
        <w:t xml:space="preserve">whose </w:t>
      </w:r>
      <w:r w:rsidR="00EF3740">
        <w:rPr>
          <w:rFonts w:cs="Arial"/>
        </w:rPr>
        <w:t xml:space="preserve">visas </w:t>
      </w:r>
      <w:r w:rsidR="00C9135C">
        <w:rPr>
          <w:rFonts w:cs="Arial"/>
        </w:rPr>
        <w:t xml:space="preserve">are </w:t>
      </w:r>
      <w:r w:rsidR="009C375E">
        <w:rPr>
          <w:rFonts w:cs="Arial"/>
        </w:rPr>
        <w:t>cancelled</w:t>
      </w:r>
      <w:r w:rsidR="00EF3740">
        <w:rPr>
          <w:rFonts w:cs="Arial"/>
        </w:rPr>
        <w:t xml:space="preserve"> under </w:t>
      </w:r>
      <w:r w:rsidR="00A66906">
        <w:rPr>
          <w:rFonts w:cs="Arial"/>
        </w:rPr>
        <w:t>section 501</w:t>
      </w:r>
      <w:r>
        <w:rPr>
          <w:rFonts w:cs="Arial"/>
        </w:rPr>
        <w:t xml:space="preserve"> of the Migration Act. </w:t>
      </w:r>
      <w:r w:rsidR="00E65122" w:rsidRPr="0070198C">
        <w:rPr>
          <w:rFonts w:cs="Arial"/>
        </w:rPr>
        <w:t>The Commission is particularly concerned about</w:t>
      </w:r>
      <w:r w:rsidR="00602A8C" w:rsidRPr="0070198C">
        <w:rPr>
          <w:rFonts w:cs="Arial"/>
        </w:rPr>
        <w:t xml:space="preserve"> the consequences for</w:t>
      </w:r>
      <w:r w:rsidR="00E65122" w:rsidRPr="0070198C">
        <w:rPr>
          <w:rFonts w:cs="Arial"/>
        </w:rPr>
        <w:t>:</w:t>
      </w:r>
    </w:p>
    <w:p w:rsidR="00373E56" w:rsidRPr="00B75360" w:rsidRDefault="00E65122" w:rsidP="00FE32F3">
      <w:pPr>
        <w:pStyle w:val="ListParagraph"/>
        <w:numPr>
          <w:ilvl w:val="0"/>
          <w:numId w:val="39"/>
        </w:numPr>
        <w:spacing w:before="0" w:after="120"/>
        <w:contextualSpacing w:val="0"/>
        <w:rPr>
          <w:rFonts w:cs="Arial"/>
        </w:rPr>
      </w:pPr>
      <w:r w:rsidRPr="00B75360">
        <w:rPr>
          <w:rFonts w:cs="Arial"/>
        </w:rPr>
        <w:t xml:space="preserve">refugees </w:t>
      </w:r>
      <w:r w:rsidR="00B451C5" w:rsidRPr="00B75360">
        <w:rPr>
          <w:rFonts w:cs="Arial"/>
        </w:rPr>
        <w:t xml:space="preserve">who have their applications for protection visas </w:t>
      </w:r>
      <w:r w:rsidR="00B451C5" w:rsidRPr="00B75360">
        <w:rPr>
          <w:rFonts w:cs="Arial"/>
          <w:i/>
        </w:rPr>
        <w:t>refus</w:t>
      </w:r>
      <w:r w:rsidRPr="00B75360">
        <w:rPr>
          <w:rFonts w:cs="Arial"/>
          <w:i/>
        </w:rPr>
        <w:t>ed</w:t>
      </w:r>
      <w:r w:rsidRPr="00B75360">
        <w:rPr>
          <w:rFonts w:cs="Arial"/>
        </w:rPr>
        <w:t xml:space="preserve"> on character grounds</w:t>
      </w:r>
    </w:p>
    <w:p w:rsidR="00794CE2" w:rsidRPr="008A3F56" w:rsidRDefault="00B451C5" w:rsidP="00FE32F3">
      <w:pPr>
        <w:pStyle w:val="ListParagraph"/>
        <w:numPr>
          <w:ilvl w:val="0"/>
          <w:numId w:val="39"/>
        </w:numPr>
        <w:spacing w:before="0" w:after="120"/>
        <w:contextualSpacing w:val="0"/>
        <w:rPr>
          <w:rFonts w:cs="Arial"/>
        </w:rPr>
      </w:pPr>
      <w:r w:rsidRPr="008A3F56">
        <w:rPr>
          <w:rFonts w:cs="Arial"/>
        </w:rPr>
        <w:t xml:space="preserve">long-term permanent residents of Australia </w:t>
      </w:r>
      <w:r w:rsidRPr="008A3F56">
        <w:t xml:space="preserve">who </w:t>
      </w:r>
      <w:r w:rsidR="00E65122" w:rsidRPr="008A3F56">
        <w:rPr>
          <w:lang w:val="en"/>
        </w:rPr>
        <w:t xml:space="preserve">have their visas </w:t>
      </w:r>
      <w:r w:rsidR="00E65122" w:rsidRPr="008A3F56">
        <w:rPr>
          <w:i/>
          <w:lang w:val="en"/>
        </w:rPr>
        <w:t>cancelled</w:t>
      </w:r>
      <w:r w:rsidR="00E65122" w:rsidRPr="008A3F56">
        <w:rPr>
          <w:lang w:val="en"/>
        </w:rPr>
        <w:t xml:space="preserve"> on character grounds</w:t>
      </w:r>
      <w:r w:rsidR="00FE32F3" w:rsidRPr="008A3F56">
        <w:rPr>
          <w:lang w:val="en"/>
        </w:rPr>
        <w:t>.</w:t>
      </w:r>
      <w:r w:rsidR="00E65122" w:rsidRPr="008A3F56">
        <w:rPr>
          <w:lang w:val="en"/>
        </w:rPr>
        <w:t xml:space="preserve"> </w:t>
      </w:r>
    </w:p>
    <w:p w:rsidR="00B80AAB" w:rsidRDefault="00B80AAB" w:rsidP="00B80AAB">
      <w:pPr>
        <w:rPr>
          <w:rFonts w:cs="Arial"/>
        </w:rPr>
      </w:pPr>
      <w:r>
        <w:rPr>
          <w:rFonts w:cs="Arial"/>
        </w:rPr>
        <w:t xml:space="preserve">The Commission’s major concerns, discussed in the following sections, relate to:  </w:t>
      </w:r>
    </w:p>
    <w:p w:rsidR="00B80AAB" w:rsidRDefault="00B80AAB" w:rsidP="00B80AAB">
      <w:pPr>
        <w:numPr>
          <w:ilvl w:val="0"/>
          <w:numId w:val="31"/>
        </w:numPr>
        <w:spacing w:after="120"/>
        <w:rPr>
          <w:rFonts w:cs="Arial"/>
        </w:rPr>
      </w:pPr>
      <w:r>
        <w:rPr>
          <w:rFonts w:cs="Arial"/>
        </w:rPr>
        <w:t>the risk that such persons may be subjected to arbitrary detention (including prolonged or indefinite detention), contrary to article 9(1) of the ICCPR</w:t>
      </w:r>
    </w:p>
    <w:p w:rsidR="00B80AAB" w:rsidRPr="00CC1977" w:rsidRDefault="00B80AAB" w:rsidP="00CC1977">
      <w:pPr>
        <w:numPr>
          <w:ilvl w:val="0"/>
          <w:numId w:val="24"/>
        </w:numPr>
        <w:spacing w:before="120" w:after="120"/>
        <w:ind w:left="714" w:hanging="357"/>
        <w:rPr>
          <w:rFonts w:cs="Arial"/>
        </w:rPr>
      </w:pPr>
      <w:r>
        <w:rPr>
          <w:rFonts w:cs="Arial"/>
        </w:rPr>
        <w:t xml:space="preserve">the risk of separation from children and other family members due to a </w:t>
      </w:r>
      <w:r w:rsidRPr="001D567D">
        <w:rPr>
          <w:rFonts w:cs="Arial"/>
        </w:rPr>
        <w:t xml:space="preserve">person’s detention and/or removal from Australia, resulting in possible </w:t>
      </w:r>
      <w:r w:rsidR="00004FDA" w:rsidRPr="001D567D">
        <w:rPr>
          <w:rFonts w:cs="Arial"/>
        </w:rPr>
        <w:t xml:space="preserve">breaches of </w:t>
      </w:r>
      <w:r w:rsidR="00CC1977" w:rsidRPr="001D567D">
        <w:rPr>
          <w:rFonts w:cs="Arial"/>
        </w:rPr>
        <w:t>article</w:t>
      </w:r>
      <w:r w:rsidR="009F481A" w:rsidRPr="001D567D">
        <w:rPr>
          <w:rFonts w:cs="Arial"/>
        </w:rPr>
        <w:t>s</w:t>
      </w:r>
      <w:r w:rsidR="00CC1977" w:rsidRPr="001D567D">
        <w:rPr>
          <w:rFonts w:cs="Arial"/>
        </w:rPr>
        <w:t xml:space="preserve"> 17</w:t>
      </w:r>
      <w:r w:rsidR="009F481A" w:rsidRPr="001D567D">
        <w:rPr>
          <w:rFonts w:cs="Arial"/>
        </w:rPr>
        <w:t xml:space="preserve"> and 23</w:t>
      </w:r>
      <w:r w:rsidR="00CC1977" w:rsidRPr="001D567D">
        <w:rPr>
          <w:rFonts w:cs="Arial"/>
        </w:rPr>
        <w:t xml:space="preserve"> of the ICCPR.</w:t>
      </w:r>
    </w:p>
    <w:p w:rsidR="00794CE2" w:rsidRDefault="00D05D5B" w:rsidP="00CC1977">
      <w:pPr>
        <w:pStyle w:val="Heading2"/>
        <w:tabs>
          <w:tab w:val="clear" w:pos="1277"/>
          <w:tab w:val="num" w:pos="1134"/>
        </w:tabs>
        <w:ind w:left="1134"/>
      </w:pPr>
      <w:bookmarkStart w:id="62" w:name="_Toc362012112"/>
      <w:r>
        <w:t>Impact of visa refusal on</w:t>
      </w:r>
      <w:r w:rsidR="00EB4836">
        <w:t xml:space="preserve"> refugees</w:t>
      </w:r>
      <w:bookmarkEnd w:id="62"/>
    </w:p>
    <w:p w:rsidR="00FE32F3" w:rsidRPr="00065274" w:rsidRDefault="002D5DD0" w:rsidP="004B21AF">
      <w:pPr>
        <w:rPr>
          <w:rFonts w:cs="Arial"/>
        </w:rPr>
      </w:pPr>
      <w:r>
        <w:rPr>
          <w:rStyle w:val="hps-normal1"/>
          <w:rFonts w:cs="Arial"/>
          <w:lang w:val="en-US"/>
        </w:rPr>
        <w:t xml:space="preserve">The Commission is concerned </w:t>
      </w:r>
      <w:r w:rsidR="00F55A60">
        <w:rPr>
          <w:rStyle w:val="hps-normal1"/>
          <w:rFonts w:cs="Arial"/>
          <w:lang w:val="en-US"/>
        </w:rPr>
        <w:t xml:space="preserve">about the impact </w:t>
      </w:r>
      <w:r>
        <w:rPr>
          <w:rStyle w:val="hps-normal1"/>
          <w:rFonts w:cs="Arial"/>
          <w:lang w:val="en-US"/>
        </w:rPr>
        <w:t xml:space="preserve">that the </w:t>
      </w:r>
      <w:r w:rsidR="00F55A60">
        <w:rPr>
          <w:rStyle w:val="hps-normal1"/>
          <w:rFonts w:cs="Arial"/>
          <w:lang w:val="en-US"/>
        </w:rPr>
        <w:t xml:space="preserve">introduction of the </w:t>
      </w:r>
      <w:r>
        <w:rPr>
          <w:rStyle w:val="hps-normal1"/>
          <w:rFonts w:cs="Arial"/>
          <w:lang w:val="en-US"/>
        </w:rPr>
        <w:t>new ‘immigration detention offences’ ground for visa refusal or cancellation in</w:t>
      </w:r>
      <w:r w:rsidR="00260A79">
        <w:rPr>
          <w:rStyle w:val="hps-normal1"/>
          <w:rFonts w:cs="Arial"/>
          <w:lang w:val="en-US"/>
        </w:rPr>
        <w:t xml:space="preserve"> section 5</w:t>
      </w:r>
      <w:r w:rsidR="00D63B44">
        <w:rPr>
          <w:rStyle w:val="hps-normal1"/>
          <w:rFonts w:cs="Arial"/>
          <w:lang w:val="en-US"/>
        </w:rPr>
        <w:t>0</w:t>
      </w:r>
      <w:r w:rsidR="00260A79">
        <w:rPr>
          <w:rStyle w:val="hps-normal1"/>
          <w:rFonts w:cs="Arial"/>
          <w:lang w:val="en-US"/>
        </w:rPr>
        <w:t>1</w:t>
      </w:r>
      <w:r w:rsidR="001111D6">
        <w:rPr>
          <w:rStyle w:val="EndnoteReference"/>
          <w:rFonts w:cs="Arial"/>
          <w:lang w:val="en-US"/>
        </w:rPr>
        <w:endnoteReference w:id="47"/>
      </w:r>
      <w:r w:rsidR="001111D6">
        <w:rPr>
          <w:rStyle w:val="hps-normal1"/>
          <w:rFonts w:cs="Arial"/>
          <w:lang w:val="en-US"/>
        </w:rPr>
        <w:t xml:space="preserve"> </w:t>
      </w:r>
      <w:r>
        <w:rPr>
          <w:rStyle w:val="hps-normal1"/>
          <w:rFonts w:cs="Arial"/>
          <w:lang w:val="en-US"/>
        </w:rPr>
        <w:t>may have on asylum seekers</w:t>
      </w:r>
      <w:r w:rsidR="00AD0BA7">
        <w:rPr>
          <w:rStyle w:val="hps-normal1"/>
          <w:rFonts w:cs="Arial"/>
          <w:lang w:val="en-US"/>
        </w:rPr>
        <w:t xml:space="preserve"> who come to Australia</w:t>
      </w:r>
      <w:r w:rsidR="00FB7AA1">
        <w:rPr>
          <w:rStyle w:val="hps-normal1"/>
          <w:rFonts w:cs="Arial"/>
          <w:lang w:val="en-US"/>
        </w:rPr>
        <w:t xml:space="preserve"> seeking protection</w:t>
      </w:r>
      <w:r>
        <w:rPr>
          <w:rStyle w:val="hps-normal1"/>
          <w:rFonts w:cs="Arial"/>
          <w:lang w:val="en-US"/>
        </w:rPr>
        <w:t>.</w:t>
      </w:r>
      <w:r w:rsidR="00206015">
        <w:rPr>
          <w:rStyle w:val="hps-normal1"/>
          <w:rFonts w:cs="Arial"/>
          <w:lang w:val="en-US"/>
        </w:rPr>
        <w:t xml:space="preserve"> This is because of </w:t>
      </w:r>
      <w:r>
        <w:rPr>
          <w:rStyle w:val="hps-normal1"/>
          <w:rFonts w:cs="Arial"/>
          <w:lang w:val="en-US"/>
        </w:rPr>
        <w:t>the context in which this amendment was introduced</w:t>
      </w:r>
      <w:r w:rsidR="00206015">
        <w:rPr>
          <w:rStyle w:val="hps-normal1"/>
          <w:rFonts w:cs="Arial"/>
          <w:lang w:val="en-US"/>
        </w:rPr>
        <w:t xml:space="preserve"> (namely following the disturbances </w:t>
      </w:r>
      <w:r w:rsidR="00206015">
        <w:rPr>
          <w:rFonts w:cs="Arial"/>
        </w:rPr>
        <w:t>in the Christmas Island and Villawood Immigration Detention Centres</w:t>
      </w:r>
      <w:r w:rsidR="005A5F26">
        <w:rPr>
          <w:rFonts w:cs="Arial"/>
        </w:rPr>
        <w:t>)</w:t>
      </w:r>
      <w:r>
        <w:rPr>
          <w:rStyle w:val="hps-normal1"/>
          <w:rFonts w:cs="Arial"/>
          <w:lang w:val="en-US"/>
        </w:rPr>
        <w:t>,</w:t>
      </w:r>
      <w:r w:rsidR="00206015" w:rsidRPr="00556831">
        <w:rPr>
          <w:rStyle w:val="EndnoteReference"/>
          <w:rFonts w:cs="Arial"/>
          <w:szCs w:val="20"/>
        </w:rPr>
        <w:endnoteReference w:id="48"/>
      </w:r>
      <w:r w:rsidR="00206015" w:rsidRPr="00226BE6">
        <w:rPr>
          <w:rFonts w:cs="Arial"/>
        </w:rPr>
        <w:t xml:space="preserve"> </w:t>
      </w:r>
      <w:r>
        <w:rPr>
          <w:rStyle w:val="hps-normal1"/>
          <w:rFonts w:cs="Arial"/>
          <w:lang w:val="en-US"/>
        </w:rPr>
        <w:t>and the fact that all asylum seekers who come to Australia without a visa are</w:t>
      </w:r>
      <w:r w:rsidR="00206015">
        <w:rPr>
          <w:rStyle w:val="hps-normal1"/>
          <w:rFonts w:cs="Arial"/>
          <w:lang w:val="en-US"/>
        </w:rPr>
        <w:t xml:space="preserve"> subject to mandatory detention</w:t>
      </w:r>
      <w:r>
        <w:rPr>
          <w:rStyle w:val="hps-normal1"/>
          <w:rFonts w:cs="Arial"/>
          <w:lang w:val="en-US"/>
        </w:rPr>
        <w:t xml:space="preserve">. </w:t>
      </w:r>
      <w:r w:rsidR="00FE32F3">
        <w:rPr>
          <w:rStyle w:val="hps-normal1"/>
          <w:rFonts w:cs="Arial"/>
          <w:lang w:val="en-US"/>
        </w:rPr>
        <w:t>The new groun</w:t>
      </w:r>
      <w:r w:rsidR="008D3D10">
        <w:rPr>
          <w:rStyle w:val="hps-normal1"/>
          <w:rFonts w:cs="Arial"/>
          <w:lang w:val="en-US"/>
        </w:rPr>
        <w:t>d will allow the Minister or a</w:t>
      </w:r>
      <w:r w:rsidR="00FE32F3">
        <w:rPr>
          <w:rStyle w:val="hps-normal1"/>
          <w:rFonts w:cs="Arial"/>
          <w:lang w:val="en-US"/>
        </w:rPr>
        <w:t xml:space="preserve"> delegate to refuse to grant a protection visa to an asylum seeker if he or she is convicted of </w:t>
      </w:r>
      <w:r w:rsidR="00FE32F3" w:rsidRPr="00CA7FA8">
        <w:rPr>
          <w:rStyle w:val="hps-normal1"/>
          <w:rFonts w:cs="Arial"/>
          <w:i/>
          <w:lang w:val="en-US"/>
        </w:rPr>
        <w:t>any</w:t>
      </w:r>
      <w:r w:rsidR="00FE32F3">
        <w:rPr>
          <w:rStyle w:val="hps-normal1"/>
          <w:rFonts w:cs="Arial"/>
          <w:lang w:val="en-US"/>
        </w:rPr>
        <w:t xml:space="preserve"> offence in relation to his or her detention, even if he or she is found to be a refugee, and therefore someone to whom Australia owes protection obligations</w:t>
      </w:r>
      <w:r w:rsidR="00FE32F3">
        <w:rPr>
          <w:rFonts w:cs="Arial"/>
        </w:rPr>
        <w:t xml:space="preserve">. This is discussed further in </w:t>
      </w:r>
      <w:r w:rsidR="00FE32F3" w:rsidRPr="0055136B">
        <w:rPr>
          <w:rFonts w:cs="Arial"/>
        </w:rPr>
        <w:t>section</w:t>
      </w:r>
      <w:r w:rsidR="0055136B" w:rsidRPr="0055136B">
        <w:rPr>
          <w:rFonts w:cs="Arial"/>
        </w:rPr>
        <w:t xml:space="preserve"> 4.3</w:t>
      </w:r>
      <w:r w:rsidR="00FE32F3" w:rsidRPr="0055136B">
        <w:rPr>
          <w:rFonts w:cs="Arial"/>
        </w:rPr>
        <w:t xml:space="preserve"> </w:t>
      </w:r>
      <w:r w:rsidR="00FE32F3">
        <w:rPr>
          <w:rFonts w:cs="Arial"/>
        </w:rPr>
        <w:t>below.</w:t>
      </w:r>
    </w:p>
    <w:p w:rsidR="00BD4992" w:rsidRPr="00CC1977" w:rsidRDefault="00BD4992" w:rsidP="00CC1977">
      <w:pPr>
        <w:pStyle w:val="Heading2"/>
        <w:tabs>
          <w:tab w:val="clear" w:pos="1277"/>
          <w:tab w:val="num" w:pos="1134"/>
        </w:tabs>
        <w:ind w:left="1134"/>
      </w:pPr>
      <w:bookmarkStart w:id="63" w:name="_Toc355952735"/>
      <w:bookmarkStart w:id="64" w:name="_Ref356927377"/>
      <w:bookmarkStart w:id="65" w:name="_Toc362012113"/>
      <w:r w:rsidRPr="00CC1977">
        <w:lastRenderedPageBreak/>
        <w:t>Impact of visa cancellation on long-term permanent residents</w:t>
      </w:r>
      <w:bookmarkEnd w:id="63"/>
      <w:bookmarkEnd w:id="64"/>
      <w:bookmarkEnd w:id="65"/>
      <w:r w:rsidRPr="00CC1977">
        <w:t xml:space="preserve"> </w:t>
      </w:r>
    </w:p>
    <w:p w:rsidR="00BD4992" w:rsidRPr="00FA3582" w:rsidRDefault="00DA13DB" w:rsidP="00BD4992">
      <w:pPr>
        <w:shd w:val="clear" w:color="auto" w:fill="FFFFFF"/>
        <w:spacing w:before="100" w:beforeAutospacing="1" w:after="100" w:afterAutospacing="1"/>
        <w:rPr>
          <w:lang w:val="en"/>
        </w:rPr>
      </w:pPr>
      <w:r>
        <w:rPr>
          <w:rFonts w:cs="Arial"/>
        </w:rPr>
        <w:t xml:space="preserve">The Commission is also particularly concerned about the impact </w:t>
      </w:r>
      <w:r w:rsidR="009C2C30">
        <w:rPr>
          <w:rFonts w:cs="Arial"/>
        </w:rPr>
        <w:t xml:space="preserve">that </w:t>
      </w:r>
      <w:r>
        <w:rPr>
          <w:rFonts w:cs="Arial"/>
        </w:rPr>
        <w:t>visa cancellation under s</w:t>
      </w:r>
      <w:r w:rsidR="00FC1567">
        <w:rPr>
          <w:rFonts w:cs="Arial"/>
        </w:rPr>
        <w:t>ection</w:t>
      </w:r>
      <w:r>
        <w:rPr>
          <w:rFonts w:cs="Arial"/>
        </w:rPr>
        <w:t xml:space="preserve"> 501 may have on a person who has been residing in Australia for a long period of time. </w:t>
      </w:r>
      <w:r w:rsidR="00BD4992" w:rsidRPr="00774B59">
        <w:rPr>
          <w:rFonts w:cs="Arial"/>
        </w:rPr>
        <w:t xml:space="preserve">Prior to the introduction of </w:t>
      </w:r>
      <w:r w:rsidR="00BD4992">
        <w:rPr>
          <w:rFonts w:cs="Arial"/>
        </w:rPr>
        <w:t>section 501</w:t>
      </w:r>
      <w:r w:rsidR="00BD4992" w:rsidRPr="00774B59">
        <w:rPr>
          <w:rFonts w:cs="Arial"/>
        </w:rPr>
        <w:t xml:space="preserve"> in 1998, the deportation of non-citizens who had committed criminal offences was covered by s</w:t>
      </w:r>
      <w:r w:rsidR="00BD4992">
        <w:rPr>
          <w:rFonts w:cs="Arial"/>
        </w:rPr>
        <w:t>ection</w:t>
      </w:r>
      <w:r w:rsidR="00B978E1">
        <w:rPr>
          <w:rFonts w:cs="Arial"/>
        </w:rPr>
        <w:t xml:space="preserve">s 200 and </w:t>
      </w:r>
      <w:r w:rsidR="00BD4992" w:rsidRPr="00774B59">
        <w:rPr>
          <w:rFonts w:cs="Arial"/>
        </w:rPr>
        <w:t xml:space="preserve">201 of the Migration Act. Under these sections, the Minister could only deport a non-citizen who had been convicted of a crime </w:t>
      </w:r>
      <w:r w:rsidR="00FB7F44">
        <w:rPr>
          <w:rFonts w:cs="Arial"/>
        </w:rPr>
        <w:t>(</w:t>
      </w:r>
      <w:r w:rsidR="00BD4992" w:rsidRPr="00774B59">
        <w:rPr>
          <w:rFonts w:cs="Arial"/>
        </w:rPr>
        <w:t>punishable by imprisonment for one year or more</w:t>
      </w:r>
      <w:r w:rsidR="00FB7F44">
        <w:rPr>
          <w:rFonts w:cs="Arial"/>
        </w:rPr>
        <w:t>) if the non-citizen</w:t>
      </w:r>
      <w:r w:rsidR="00BD4992" w:rsidRPr="00774B59">
        <w:rPr>
          <w:rFonts w:cs="Arial"/>
        </w:rPr>
        <w:t xml:space="preserve"> had been</w:t>
      </w:r>
      <w:r w:rsidR="00BD4992">
        <w:rPr>
          <w:lang w:val="en"/>
        </w:rPr>
        <w:t xml:space="preserve"> resident in Australia for less than ten years.</w:t>
      </w:r>
      <w:r w:rsidR="00BF59DA">
        <w:rPr>
          <w:rStyle w:val="EndnoteReference"/>
          <w:lang w:val="en"/>
        </w:rPr>
        <w:endnoteReference w:id="49"/>
      </w:r>
      <w:r w:rsidR="00BF59DA">
        <w:rPr>
          <w:lang w:val="en"/>
        </w:rPr>
        <w:t xml:space="preserve"> S</w:t>
      </w:r>
      <w:r w:rsidR="00BF59DA" w:rsidRPr="006060DE">
        <w:rPr>
          <w:lang w:val="en"/>
        </w:rPr>
        <w:t xml:space="preserve">ince 1998, </w:t>
      </w:r>
      <w:r w:rsidR="00D429FA">
        <w:rPr>
          <w:lang w:val="en"/>
        </w:rPr>
        <w:t>the powers in</w:t>
      </w:r>
      <w:r w:rsidR="00BF59DA">
        <w:rPr>
          <w:lang w:val="en"/>
        </w:rPr>
        <w:t xml:space="preserve"> section 501</w:t>
      </w:r>
      <w:r w:rsidR="00BF59DA" w:rsidRPr="006060DE">
        <w:rPr>
          <w:lang w:val="en"/>
        </w:rPr>
        <w:t xml:space="preserve"> </w:t>
      </w:r>
      <w:r w:rsidR="0043402C">
        <w:rPr>
          <w:lang w:val="en"/>
        </w:rPr>
        <w:t xml:space="preserve">of the Migration Act </w:t>
      </w:r>
      <w:r w:rsidR="00BF59DA">
        <w:rPr>
          <w:lang w:val="en"/>
        </w:rPr>
        <w:t>have</w:t>
      </w:r>
      <w:r w:rsidR="00BF59DA" w:rsidRPr="006060DE">
        <w:rPr>
          <w:lang w:val="en"/>
        </w:rPr>
        <w:t xml:space="preserve"> </w:t>
      </w:r>
      <w:r w:rsidR="00BF59DA">
        <w:rPr>
          <w:lang w:val="en"/>
        </w:rPr>
        <w:t xml:space="preserve">been used </w:t>
      </w:r>
      <w:r w:rsidR="00BF59DA" w:rsidRPr="006060DE">
        <w:rPr>
          <w:lang w:val="en"/>
        </w:rPr>
        <w:t xml:space="preserve">to cancel the visas of </w:t>
      </w:r>
      <w:r w:rsidR="00BF59DA">
        <w:rPr>
          <w:lang w:val="en"/>
        </w:rPr>
        <w:t xml:space="preserve">permanent </w:t>
      </w:r>
      <w:r w:rsidR="00BF59DA" w:rsidRPr="006060DE">
        <w:rPr>
          <w:lang w:val="en"/>
        </w:rPr>
        <w:t>residents</w:t>
      </w:r>
      <w:r w:rsidR="00BF59DA">
        <w:rPr>
          <w:lang w:val="en"/>
        </w:rPr>
        <w:t xml:space="preserve"> who have lived in Australia for</w:t>
      </w:r>
      <w:r w:rsidR="00BF59DA" w:rsidRPr="006060DE">
        <w:rPr>
          <w:lang w:val="en"/>
        </w:rPr>
        <w:t xml:space="preserve"> more than ten years (hereafter referred to as ‘long-term’ permanent residents)</w:t>
      </w:r>
      <w:r w:rsidR="00BF59DA" w:rsidRPr="00B415E5">
        <w:rPr>
          <w:rFonts w:cs="Arial"/>
        </w:rPr>
        <w:t>.</w:t>
      </w:r>
      <w:bookmarkStart w:id="66" w:name="_Ref250734034"/>
      <w:r w:rsidR="00BF59DA" w:rsidRPr="00B415E5">
        <w:rPr>
          <w:rStyle w:val="EndnoteReference"/>
          <w:rFonts w:cs="Arial"/>
        </w:rPr>
        <w:endnoteReference w:id="50"/>
      </w:r>
      <w:bookmarkEnd w:id="66"/>
      <w:r w:rsidR="00BF59DA" w:rsidRPr="00B415E5">
        <w:rPr>
          <w:rFonts w:cs="Arial"/>
        </w:rPr>
        <w:t xml:space="preserve"> </w:t>
      </w:r>
      <w:r w:rsidR="00BD4992" w:rsidRPr="00CA108A">
        <w:rPr>
          <w:lang w:val="en"/>
        </w:rPr>
        <w:t>For example, as at May 2008, 24 of the 25 people in immigration detention whose visas had been cancelled under section 501 had lived in Australia for more than 11 years; 17 of them had lived in Australia for more than 20 years. The majority of the</w:t>
      </w:r>
      <w:r w:rsidR="00FA6C64">
        <w:rPr>
          <w:lang w:val="en"/>
        </w:rPr>
        <w:t>se people</w:t>
      </w:r>
      <w:r w:rsidR="00BD4992" w:rsidRPr="00CA108A">
        <w:rPr>
          <w:lang w:val="en"/>
        </w:rPr>
        <w:t xml:space="preserve"> were 15 years old or younger when they first arrived in Australia.</w:t>
      </w:r>
      <w:r w:rsidR="00681690" w:rsidRPr="00CA108A">
        <w:rPr>
          <w:rStyle w:val="EndnoteReference"/>
          <w:rFonts w:cs="Arial"/>
          <w:sz w:val="24"/>
          <w:lang w:val="en"/>
        </w:rPr>
        <w:endnoteReference w:id="51"/>
      </w:r>
      <w:r w:rsidR="00681690" w:rsidRPr="006060DE">
        <w:rPr>
          <w:vertAlign w:val="superscript"/>
          <w:lang w:val="en"/>
        </w:rPr>
        <w:t xml:space="preserve"> </w:t>
      </w:r>
    </w:p>
    <w:p w:rsidR="00E138DD" w:rsidRDefault="00BD4992" w:rsidP="00BD4992">
      <w:pPr>
        <w:spacing w:after="120"/>
        <w:rPr>
          <w:rFonts w:cs="Arial"/>
        </w:rPr>
      </w:pPr>
      <w:r w:rsidRPr="00505E61">
        <w:rPr>
          <w:rFonts w:cs="Arial"/>
        </w:rPr>
        <w:t>The Commonwealth Ombudsman has s</w:t>
      </w:r>
      <w:r>
        <w:rPr>
          <w:rFonts w:cs="Arial"/>
        </w:rPr>
        <w:t>uggested that the use of section 501</w:t>
      </w:r>
      <w:r w:rsidRPr="00505E61">
        <w:rPr>
          <w:rFonts w:cs="Arial"/>
        </w:rPr>
        <w:t xml:space="preserve"> to cancel the visas of long-term permanent residents goes beyond the original intention of the provision.</w:t>
      </w:r>
      <w:r w:rsidR="00AB0CBC" w:rsidRPr="00505E61">
        <w:rPr>
          <w:rStyle w:val="EndnoteReference"/>
          <w:rFonts w:cs="Arial"/>
        </w:rPr>
        <w:endnoteReference w:id="52"/>
      </w:r>
      <w:r w:rsidR="00AB0CBC" w:rsidRPr="00505E61">
        <w:rPr>
          <w:rFonts w:cs="Arial"/>
        </w:rPr>
        <w:t xml:space="preserve"> </w:t>
      </w:r>
      <w:r w:rsidRPr="009648D6">
        <w:rPr>
          <w:rFonts w:cs="Arial"/>
        </w:rPr>
        <w:t>Nevert</w:t>
      </w:r>
      <w:r>
        <w:rPr>
          <w:rFonts w:cs="Arial"/>
        </w:rPr>
        <w:t>heless, in recent years section 501</w:t>
      </w:r>
      <w:r w:rsidRPr="009648D6">
        <w:rPr>
          <w:rFonts w:cs="Arial"/>
        </w:rPr>
        <w:t xml:space="preserve"> has continued to be used to cancel the visas of long-term permanent residents.</w:t>
      </w:r>
      <w:r w:rsidR="00E138DD" w:rsidRPr="009648D6">
        <w:rPr>
          <w:rStyle w:val="EndnoteReference"/>
          <w:rFonts w:cs="Arial"/>
        </w:rPr>
        <w:endnoteReference w:id="53"/>
      </w:r>
    </w:p>
    <w:p w:rsidR="00E138DD" w:rsidRPr="00144503" w:rsidRDefault="00E138DD" w:rsidP="00BD4992">
      <w:pPr>
        <w:spacing w:after="120"/>
        <w:rPr>
          <w:rFonts w:cs="Arial"/>
        </w:rPr>
      </w:pPr>
      <w:r>
        <w:rPr>
          <w:noProof/>
        </w:rPr>
        <mc:AlternateContent>
          <mc:Choice Requires="wps">
            <w:drawing>
              <wp:anchor distT="0" distB="0" distL="114300" distR="114300" simplePos="0" relativeHeight="251673600" behindDoc="1" locked="0" layoutInCell="1" allowOverlap="1" wp14:anchorId="66C7ECF7" wp14:editId="1EDABFA3">
                <wp:simplePos x="0" y="0"/>
                <wp:positionH relativeFrom="column">
                  <wp:posOffset>90170</wp:posOffset>
                </wp:positionH>
                <wp:positionV relativeFrom="paragraph">
                  <wp:posOffset>168275</wp:posOffset>
                </wp:positionV>
                <wp:extent cx="5361940" cy="2819400"/>
                <wp:effectExtent l="0" t="0" r="10160" b="19050"/>
                <wp:wrapNone/>
                <wp:docPr id="1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1940" cy="2819400"/>
                        </a:xfrm>
                        <a:custGeom>
                          <a:avLst/>
                          <a:gdLst>
                            <a:gd name="connsiteX0" fmla="*/ 0 w 5982335"/>
                            <a:gd name="connsiteY0" fmla="*/ 410007 h 2459990"/>
                            <a:gd name="connsiteX1" fmla="*/ 410007 w 5982335"/>
                            <a:gd name="connsiteY1" fmla="*/ 0 h 2459990"/>
                            <a:gd name="connsiteX2" fmla="*/ 5572328 w 5982335"/>
                            <a:gd name="connsiteY2" fmla="*/ 0 h 2459990"/>
                            <a:gd name="connsiteX3" fmla="*/ 5982335 w 5982335"/>
                            <a:gd name="connsiteY3" fmla="*/ 410007 h 2459990"/>
                            <a:gd name="connsiteX4" fmla="*/ 5982335 w 5982335"/>
                            <a:gd name="connsiteY4" fmla="*/ 2049983 h 2459990"/>
                            <a:gd name="connsiteX5" fmla="*/ 5572328 w 5982335"/>
                            <a:gd name="connsiteY5" fmla="*/ 2459990 h 2459990"/>
                            <a:gd name="connsiteX6" fmla="*/ 410007 w 5982335"/>
                            <a:gd name="connsiteY6" fmla="*/ 2459990 h 2459990"/>
                            <a:gd name="connsiteX7" fmla="*/ 0 w 5982335"/>
                            <a:gd name="connsiteY7" fmla="*/ 2049983 h 2459990"/>
                            <a:gd name="connsiteX8" fmla="*/ 0 w 5982335"/>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426581 w 5998909"/>
                            <a:gd name="connsiteY6" fmla="*/ 2459990 h 2459990"/>
                            <a:gd name="connsiteX7" fmla="*/ 16574 w 5998909"/>
                            <a:gd name="connsiteY7" fmla="*/ 2049983 h 2459990"/>
                            <a:gd name="connsiteX8" fmla="*/ 16574 w 5998909"/>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200805 w 5998909"/>
                            <a:gd name="connsiteY6" fmla="*/ 2459990 h 2459990"/>
                            <a:gd name="connsiteX7" fmla="*/ 16574 w 5998909"/>
                            <a:gd name="connsiteY7" fmla="*/ 2049983 h 2459990"/>
                            <a:gd name="connsiteX8" fmla="*/ 16574 w 59989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588902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826118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5509" h="2459990">
                              <a:moveTo>
                                <a:pt x="16574" y="410007"/>
                              </a:moveTo>
                              <a:cubicBezTo>
                                <a:pt x="16574" y="183566"/>
                                <a:pt x="-70794" y="0"/>
                                <a:pt x="155647" y="0"/>
                              </a:cubicBezTo>
                              <a:lnTo>
                                <a:pt x="5859899" y="0"/>
                              </a:lnTo>
                              <a:cubicBezTo>
                                <a:pt x="6086340" y="0"/>
                                <a:pt x="5998909" y="183566"/>
                                <a:pt x="5998909" y="410007"/>
                              </a:cubicBezTo>
                              <a:lnTo>
                                <a:pt x="5998909" y="2049983"/>
                              </a:lnTo>
                              <a:cubicBezTo>
                                <a:pt x="5998909" y="2276424"/>
                                <a:pt x="6052559" y="2459990"/>
                                <a:pt x="5826118" y="2459990"/>
                              </a:cubicBezTo>
                              <a:lnTo>
                                <a:pt x="200805" y="2459990"/>
                              </a:lnTo>
                              <a:cubicBezTo>
                                <a:pt x="-25636" y="2459990"/>
                                <a:pt x="16574" y="2276424"/>
                                <a:pt x="16574" y="2049983"/>
                              </a:cubicBezTo>
                              <a:lnTo>
                                <a:pt x="16574" y="410007"/>
                              </a:lnTo>
                              <a:close/>
                            </a:path>
                          </a:pathLst>
                        </a:custGeom>
                        <a:solidFill>
                          <a:srgbClr val="0070C0"/>
                        </a:solidFill>
                        <a:ln w="25400" cap="flat" cmpd="sng" algn="ctr">
                          <a:solidFill>
                            <a:srgbClr val="4F81BD">
                              <a:shade val="50000"/>
                            </a:srgbClr>
                          </a:solidFill>
                          <a:prstDash val="solid"/>
                        </a:ln>
                        <a:effectLst/>
                      </wps:spPr>
                      <wps:txbx>
                        <w:txbxContent>
                          <w:p w:rsidR="00FA4975" w:rsidRPr="000604CD" w:rsidRDefault="00FA4975" w:rsidP="00BD4992">
                            <w:pPr>
                              <w:rPr>
                                <w:rFonts w:cs="Arial"/>
                                <w:color w:val="FFFFFF"/>
                              </w:rPr>
                            </w:pPr>
                            <w:r>
                              <w:rPr>
                                <w:rFonts w:cs="Arial"/>
                                <w:b/>
                                <w:color w:val="FFFFFF"/>
                              </w:rPr>
                              <w:t>CASE STUDY 1</w:t>
                            </w:r>
                            <w:r w:rsidRPr="000604CD">
                              <w:rPr>
                                <w:rFonts w:cs="Arial"/>
                                <w:b/>
                                <w:color w:val="FFFFFF"/>
                              </w:rPr>
                              <w:t>:</w:t>
                            </w:r>
                            <w:r w:rsidRPr="000604CD">
                              <w:rPr>
                                <w:rFonts w:cs="Arial"/>
                                <w:color w:val="FFFFFF"/>
                              </w:rPr>
                              <w:t xml:space="preserve"> </w:t>
                            </w:r>
                            <w:r w:rsidRPr="000604CD">
                              <w:rPr>
                                <w:rFonts w:cs="Arial"/>
                                <w:b/>
                                <w:i/>
                                <w:color w:val="FFFFFF"/>
                              </w:rPr>
                              <w:t>Cunliffe v Minister for Immigration and Citizenship</w:t>
                            </w:r>
                            <w:r w:rsidRPr="000604CD">
                              <w:rPr>
                                <w:rFonts w:cs="Arial"/>
                                <w:b/>
                                <w:color w:val="FFFFFF"/>
                              </w:rPr>
                              <w:t xml:space="preserve"> [2012] FCA 79</w:t>
                            </w:r>
                            <w:r w:rsidRPr="000604CD">
                              <w:rPr>
                                <w:rFonts w:cs="Arial"/>
                                <w:color w:val="FFFFFF"/>
                              </w:rPr>
                              <w:t xml:space="preserve"> </w:t>
                            </w:r>
                          </w:p>
                          <w:p w:rsidR="00FA4975" w:rsidRPr="000604CD" w:rsidRDefault="00FA4975" w:rsidP="00BD4992">
                            <w:pPr>
                              <w:rPr>
                                <w:rFonts w:cs="Arial"/>
                                <w:color w:val="FFFFFF"/>
                              </w:rPr>
                            </w:pPr>
                            <w:r w:rsidRPr="000604CD">
                              <w:rPr>
                                <w:rFonts w:cs="Arial"/>
                                <w:color w:val="FFFFFF"/>
                              </w:rPr>
                              <w:t>Leslie Cunliffe was a citizen of the United Kingdom who migrated to Australia with his parents and siblings in 1967, when he was 19</w:t>
                            </w:r>
                            <w:r>
                              <w:rPr>
                                <w:rFonts w:cs="Arial"/>
                                <w:color w:val="FFFFFF"/>
                              </w:rPr>
                              <w:t xml:space="preserve"> years old. In 1999 he was convicted of eight</w:t>
                            </w:r>
                            <w:r w:rsidRPr="000604CD">
                              <w:rPr>
                                <w:rFonts w:cs="Arial"/>
                                <w:color w:val="FFFFFF"/>
                              </w:rPr>
                              <w:t xml:space="preserve"> offences arising out the one incident, including kidnapping, blackmail and rape. He served 12 years in prison. After he was released on parole in April 2011, he was notified that the Minister intended to consider exercising his personal power under </w:t>
                            </w:r>
                            <w:r>
                              <w:rPr>
                                <w:rFonts w:cs="Arial"/>
                                <w:color w:val="FFFFFF"/>
                              </w:rPr>
                              <w:t>section 501</w:t>
                            </w:r>
                            <w:r w:rsidRPr="000604CD">
                              <w:rPr>
                                <w:rFonts w:cs="Arial"/>
                                <w:color w:val="FFFFFF"/>
                              </w:rPr>
                              <w:t>A of the Migration Act</w:t>
                            </w:r>
                            <w:r>
                              <w:rPr>
                                <w:rFonts w:cs="Arial"/>
                                <w:color w:val="FFFFFF"/>
                              </w:rPr>
                              <w:t xml:space="preserve"> to cancel his visa</w:t>
                            </w:r>
                            <w:r w:rsidRPr="000604CD">
                              <w:rPr>
                                <w:rFonts w:cs="Arial"/>
                                <w:color w:val="FFFFFF"/>
                              </w:rPr>
                              <w:t xml:space="preserve">. On 10 June 2011, the Minister made a decision to cancel the visa of Mr Cunliffe, despite noting that he had been living in Australia for </w:t>
                            </w:r>
                            <w:r>
                              <w:rPr>
                                <w:rFonts w:cs="Arial"/>
                                <w:color w:val="FFFFFF"/>
                              </w:rPr>
                              <w:t xml:space="preserve">over </w:t>
                            </w:r>
                            <w:r w:rsidRPr="000604CD">
                              <w:rPr>
                                <w:rFonts w:cs="Arial"/>
                                <w:color w:val="FFFFFF"/>
                              </w:rPr>
                              <w:t>43 years. The Federal Court upheld the Minister’s decision.</w:t>
                            </w:r>
                            <w:r>
                              <w:rPr>
                                <w:rFonts w:cs="Arial"/>
                                <w:color w:val="FFFFFF"/>
                              </w:rPr>
                              <w:t xml:space="preserve"> Mr Cunliffe was removed from Australia in March 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le 6" o:spid="_x0000_s1028" style="position:absolute;margin-left:7.1pt;margin-top:13.25pt;width:422.2pt;height:2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5509,245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" adj="-11796480,,5400" path="m16574,410007c16574,183566,-70794,,155647,l5859899,v226441,,139010,183566,139010,410007l5998909,2049983v,226441,53650,410007,-172791,410007l200805,2459990v-226441,,-184231,-183566,-184231,-410007l16574,410007xe" fillcolor="#0070c0" strokecolor="#385d8a" strokeweight="2pt">
                <v:stroke joinstyle="miter"/>
                <v:formulas/>
                <v:path arrowok="t" o:connecttype="custom" o:connectlocs="14773,469910;138736,0;5223237,0;5347144,469910;5347144,2349490;5193126,2819400;178988,2819400;14773,2349490;14773,469910" o:connectangles="0,0,0,0,0,0,0,0,0" textboxrect="0,0,6015509,2459990"/>
                <v:textbox>
                  <w:txbxContent>
                    <w:p w:rsidR="00FA4975" w:rsidRPr="000604CD" w:rsidRDefault="00FA4975" w:rsidP="00BD4992">
                      <w:pPr>
                        <w:rPr>
                          <w:rFonts w:cs="Arial"/>
                          <w:color w:val="FFFFFF"/>
                        </w:rPr>
                      </w:pPr>
                      <w:r>
                        <w:rPr>
                          <w:rFonts w:cs="Arial"/>
                          <w:b/>
                          <w:color w:val="FFFFFF"/>
                        </w:rPr>
                        <w:t>CASE STUDY 1</w:t>
                      </w:r>
                      <w:r w:rsidRPr="000604CD">
                        <w:rPr>
                          <w:rFonts w:cs="Arial"/>
                          <w:b/>
                          <w:color w:val="FFFFFF"/>
                        </w:rPr>
                        <w:t>:</w:t>
                      </w:r>
                      <w:r w:rsidRPr="000604CD">
                        <w:rPr>
                          <w:rFonts w:cs="Arial"/>
                          <w:color w:val="FFFFFF"/>
                        </w:rPr>
                        <w:t xml:space="preserve"> </w:t>
                      </w:r>
                      <w:r w:rsidRPr="000604CD">
                        <w:rPr>
                          <w:rFonts w:cs="Arial"/>
                          <w:b/>
                          <w:i/>
                          <w:color w:val="FFFFFF"/>
                        </w:rPr>
                        <w:t>Cunliffe v Minister for Immigration and Citizenship</w:t>
                      </w:r>
                      <w:r w:rsidRPr="000604CD">
                        <w:rPr>
                          <w:rFonts w:cs="Arial"/>
                          <w:b/>
                          <w:color w:val="FFFFFF"/>
                        </w:rPr>
                        <w:t xml:space="preserve"> [2012] FCA 79</w:t>
                      </w:r>
                      <w:r w:rsidRPr="000604CD">
                        <w:rPr>
                          <w:rFonts w:cs="Arial"/>
                          <w:color w:val="FFFFFF"/>
                        </w:rPr>
                        <w:t xml:space="preserve"> </w:t>
                      </w:r>
                    </w:p>
                    <w:p w:rsidR="00FA4975" w:rsidRPr="000604CD" w:rsidRDefault="00FA4975" w:rsidP="00BD4992">
                      <w:pPr>
                        <w:rPr>
                          <w:rFonts w:cs="Arial"/>
                          <w:color w:val="FFFFFF"/>
                        </w:rPr>
                      </w:pPr>
                      <w:r w:rsidRPr="000604CD">
                        <w:rPr>
                          <w:rFonts w:cs="Arial"/>
                          <w:color w:val="FFFFFF"/>
                        </w:rPr>
                        <w:t>Leslie Cunliffe was a citizen of the United Kingdom who migrated to Australia with his parents and siblings in 1967, when he was 19</w:t>
                      </w:r>
                      <w:r>
                        <w:rPr>
                          <w:rFonts w:cs="Arial"/>
                          <w:color w:val="FFFFFF"/>
                        </w:rPr>
                        <w:t xml:space="preserve"> years old. In 1999 he was convicted of eight</w:t>
                      </w:r>
                      <w:r w:rsidRPr="000604CD">
                        <w:rPr>
                          <w:rFonts w:cs="Arial"/>
                          <w:color w:val="FFFFFF"/>
                        </w:rPr>
                        <w:t xml:space="preserve"> offences arising out the one incident, including kidnapping, blackmail and rape. He served 12 years in prison. After he was released on parole in April 2011, he was notified that the Minister intended to consider exercising his personal power under </w:t>
                      </w:r>
                      <w:r>
                        <w:rPr>
                          <w:rFonts w:cs="Arial"/>
                          <w:color w:val="FFFFFF"/>
                        </w:rPr>
                        <w:t>section 501</w:t>
                      </w:r>
                      <w:r w:rsidRPr="000604CD">
                        <w:rPr>
                          <w:rFonts w:cs="Arial"/>
                          <w:color w:val="FFFFFF"/>
                        </w:rPr>
                        <w:t>A of the Migration Act</w:t>
                      </w:r>
                      <w:r>
                        <w:rPr>
                          <w:rFonts w:cs="Arial"/>
                          <w:color w:val="FFFFFF"/>
                        </w:rPr>
                        <w:t xml:space="preserve"> to cancel his visa</w:t>
                      </w:r>
                      <w:r w:rsidRPr="000604CD">
                        <w:rPr>
                          <w:rFonts w:cs="Arial"/>
                          <w:color w:val="FFFFFF"/>
                        </w:rPr>
                        <w:t xml:space="preserve">. On 10 June 2011, the Minister made a decision to cancel the visa of Mr Cunliffe, despite noting that he had been living in Australia for </w:t>
                      </w:r>
                      <w:r>
                        <w:rPr>
                          <w:rFonts w:cs="Arial"/>
                          <w:color w:val="FFFFFF"/>
                        </w:rPr>
                        <w:t xml:space="preserve">over </w:t>
                      </w:r>
                      <w:r w:rsidRPr="000604CD">
                        <w:rPr>
                          <w:rFonts w:cs="Arial"/>
                          <w:color w:val="FFFFFF"/>
                        </w:rPr>
                        <w:t>43 years. The Federal Court upheld the Minister’s decision.</w:t>
                      </w:r>
                      <w:r>
                        <w:rPr>
                          <w:rFonts w:cs="Arial"/>
                          <w:color w:val="FFFFFF"/>
                        </w:rPr>
                        <w:t xml:space="preserve"> Mr Cunliffe was removed from Australia in March 2012.</w:t>
                      </w:r>
                    </w:p>
                  </w:txbxContent>
                </v:textbox>
              </v:shape>
            </w:pict>
          </mc:Fallback>
        </mc:AlternateContent>
      </w:r>
    </w:p>
    <w:p w:rsidR="00BD4992" w:rsidRDefault="00BD4992" w:rsidP="00BD4992">
      <w:pPr>
        <w:spacing w:after="120"/>
        <w:rPr>
          <w:rFonts w:cs="Arial"/>
          <w:highlight w:val="yellow"/>
        </w:rPr>
      </w:pPr>
    </w:p>
    <w:p w:rsidR="00BD4992" w:rsidRDefault="00BD4992" w:rsidP="00BD4992">
      <w:pPr>
        <w:spacing w:after="120"/>
        <w:rPr>
          <w:rFonts w:cs="Arial"/>
          <w:highlight w:val="yellow"/>
        </w:rPr>
      </w:pPr>
    </w:p>
    <w:p w:rsidR="00BD4992" w:rsidRDefault="00BD4992" w:rsidP="00BD4992">
      <w:pPr>
        <w:spacing w:after="120"/>
        <w:rPr>
          <w:rFonts w:cs="Arial"/>
          <w:highlight w:val="yellow"/>
        </w:rPr>
      </w:pPr>
    </w:p>
    <w:p w:rsidR="00BD4992" w:rsidRDefault="00BD4992" w:rsidP="00BD4992">
      <w:pPr>
        <w:spacing w:after="120"/>
        <w:rPr>
          <w:rFonts w:cs="Arial"/>
          <w:highlight w:val="yellow"/>
        </w:rPr>
      </w:pPr>
    </w:p>
    <w:p w:rsidR="00BD4992" w:rsidRDefault="00BD4992" w:rsidP="00BD4992">
      <w:pPr>
        <w:spacing w:after="120"/>
        <w:rPr>
          <w:rFonts w:cs="Arial"/>
          <w:highlight w:val="yellow"/>
        </w:rPr>
      </w:pPr>
    </w:p>
    <w:p w:rsidR="00BD4992" w:rsidRDefault="00BD4992" w:rsidP="00BD4992">
      <w:pPr>
        <w:spacing w:after="120"/>
        <w:rPr>
          <w:rFonts w:cs="Arial"/>
        </w:rPr>
      </w:pPr>
    </w:p>
    <w:p w:rsidR="00BD4992" w:rsidRDefault="00BD4992" w:rsidP="00BD4992">
      <w:pPr>
        <w:spacing w:after="120"/>
        <w:rPr>
          <w:rFonts w:cs="Arial"/>
        </w:rPr>
      </w:pPr>
    </w:p>
    <w:p w:rsidR="00DD1D04" w:rsidRDefault="00DD1D04" w:rsidP="00BD4992">
      <w:pPr>
        <w:spacing w:after="120"/>
        <w:rPr>
          <w:rFonts w:cs="Arial"/>
        </w:rPr>
      </w:pPr>
    </w:p>
    <w:p w:rsidR="00E138DD" w:rsidRDefault="00E138DD" w:rsidP="00BD4992">
      <w:pPr>
        <w:spacing w:after="120"/>
        <w:rPr>
          <w:rFonts w:cs="Arial"/>
        </w:rPr>
      </w:pPr>
    </w:p>
    <w:p w:rsidR="00BD4992" w:rsidRDefault="00BD4992" w:rsidP="00BD4992">
      <w:pPr>
        <w:spacing w:after="120"/>
        <w:rPr>
          <w:rFonts w:cs="Arial"/>
        </w:rPr>
      </w:pPr>
      <w:r>
        <w:rPr>
          <w:rFonts w:cs="Arial"/>
        </w:rPr>
        <w:t xml:space="preserve">Long-term permanent residents who have their visas cancelled may be removed from Australia and sent to a country where they </w:t>
      </w:r>
      <w:r w:rsidR="007E1650">
        <w:rPr>
          <w:rFonts w:cs="Arial"/>
        </w:rPr>
        <w:t xml:space="preserve">have </w:t>
      </w:r>
      <w:r w:rsidR="009E4A8F">
        <w:rPr>
          <w:rFonts w:cs="Arial"/>
        </w:rPr>
        <w:t>spent little time (or never</w:t>
      </w:r>
      <w:r w:rsidRPr="00904DC9">
        <w:rPr>
          <w:rFonts w:cs="Arial"/>
        </w:rPr>
        <w:t xml:space="preserve"> lived</w:t>
      </w:r>
      <w:r w:rsidR="009E4A8F">
        <w:rPr>
          <w:rFonts w:cs="Arial"/>
        </w:rPr>
        <w:t>)</w:t>
      </w:r>
      <w:r>
        <w:rPr>
          <w:rFonts w:cs="Arial"/>
        </w:rPr>
        <w:t xml:space="preserve">; where they do not </w:t>
      </w:r>
      <w:r w:rsidRPr="00904DC9">
        <w:rPr>
          <w:rFonts w:cs="Arial"/>
        </w:rPr>
        <w:t>speak the language</w:t>
      </w:r>
      <w:r>
        <w:rPr>
          <w:rFonts w:cs="Arial"/>
        </w:rPr>
        <w:t>;</w:t>
      </w:r>
      <w:r w:rsidRPr="00904DC9">
        <w:rPr>
          <w:rFonts w:cs="Arial"/>
        </w:rPr>
        <w:t xml:space="preserve"> </w:t>
      </w:r>
      <w:r>
        <w:rPr>
          <w:rFonts w:cs="Arial"/>
        </w:rPr>
        <w:t xml:space="preserve">and where they have </w:t>
      </w:r>
      <w:r w:rsidRPr="00904DC9">
        <w:rPr>
          <w:rFonts w:cs="Arial"/>
        </w:rPr>
        <w:t>few or no social or fam</w:t>
      </w:r>
      <w:r>
        <w:rPr>
          <w:rFonts w:cs="Arial"/>
        </w:rPr>
        <w:t>ily</w:t>
      </w:r>
      <w:r w:rsidRPr="00904DC9">
        <w:rPr>
          <w:rFonts w:cs="Arial"/>
        </w:rPr>
        <w:t xml:space="preserve"> connections</w:t>
      </w:r>
      <w:r>
        <w:rPr>
          <w:rFonts w:cs="Arial"/>
        </w:rPr>
        <w:t xml:space="preserve">. They may also face separation from their </w:t>
      </w:r>
      <w:r w:rsidRPr="00904DC9">
        <w:rPr>
          <w:rFonts w:cs="Arial"/>
        </w:rPr>
        <w:t>children, family and friends in Australia</w:t>
      </w:r>
      <w:r w:rsidR="007179E0">
        <w:rPr>
          <w:rFonts w:cs="Arial"/>
        </w:rPr>
        <w:t xml:space="preserve"> (this is discussed further </w:t>
      </w:r>
      <w:r w:rsidR="007179E0" w:rsidRPr="00EB732E">
        <w:rPr>
          <w:rFonts w:cs="Arial"/>
        </w:rPr>
        <w:t>in secti</w:t>
      </w:r>
      <w:r w:rsidR="00EB732E" w:rsidRPr="00EB732E">
        <w:rPr>
          <w:rFonts w:cs="Arial"/>
        </w:rPr>
        <w:t>on</w:t>
      </w:r>
      <w:r w:rsidR="00EB732E">
        <w:rPr>
          <w:rFonts w:cs="Arial"/>
        </w:rPr>
        <w:t xml:space="preserve"> 4.4</w:t>
      </w:r>
      <w:r w:rsidR="007179E0">
        <w:rPr>
          <w:rFonts w:cs="Arial"/>
        </w:rPr>
        <w:t xml:space="preserve"> below).</w:t>
      </w:r>
    </w:p>
    <w:p w:rsidR="00BD4992" w:rsidRDefault="00BD4992" w:rsidP="00BD4992">
      <w:pPr>
        <w:rPr>
          <w:rFonts w:cs="Arial"/>
        </w:rPr>
      </w:pPr>
    </w:p>
    <w:p w:rsidR="00BD4992" w:rsidRDefault="00E138DD" w:rsidP="00BD4992">
      <w:pPr>
        <w:rPr>
          <w:rFonts w:cs="Arial"/>
        </w:rPr>
      </w:pPr>
      <w:r>
        <w:rPr>
          <w:noProof/>
        </w:rPr>
        <w:lastRenderedPageBreak/>
        <mc:AlternateContent>
          <mc:Choice Requires="wps">
            <w:drawing>
              <wp:anchor distT="0" distB="0" distL="114300" distR="114300" simplePos="0" relativeHeight="251674624" behindDoc="1" locked="0" layoutInCell="1" allowOverlap="1" wp14:anchorId="48F68603" wp14:editId="34800AF7">
                <wp:simplePos x="0" y="0"/>
                <wp:positionH relativeFrom="column">
                  <wp:posOffset>109220</wp:posOffset>
                </wp:positionH>
                <wp:positionV relativeFrom="paragraph">
                  <wp:posOffset>97155</wp:posOffset>
                </wp:positionV>
                <wp:extent cx="5339715" cy="3213100"/>
                <wp:effectExtent l="0" t="0" r="13335" b="25400"/>
                <wp:wrapNone/>
                <wp:docPr id="1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715" cy="3213100"/>
                        </a:xfrm>
                        <a:custGeom>
                          <a:avLst/>
                          <a:gdLst>
                            <a:gd name="connsiteX0" fmla="*/ 0 w 5982335"/>
                            <a:gd name="connsiteY0" fmla="*/ 410007 h 2459990"/>
                            <a:gd name="connsiteX1" fmla="*/ 410007 w 5982335"/>
                            <a:gd name="connsiteY1" fmla="*/ 0 h 2459990"/>
                            <a:gd name="connsiteX2" fmla="*/ 5572328 w 5982335"/>
                            <a:gd name="connsiteY2" fmla="*/ 0 h 2459990"/>
                            <a:gd name="connsiteX3" fmla="*/ 5982335 w 5982335"/>
                            <a:gd name="connsiteY3" fmla="*/ 410007 h 2459990"/>
                            <a:gd name="connsiteX4" fmla="*/ 5982335 w 5982335"/>
                            <a:gd name="connsiteY4" fmla="*/ 2049983 h 2459990"/>
                            <a:gd name="connsiteX5" fmla="*/ 5572328 w 5982335"/>
                            <a:gd name="connsiteY5" fmla="*/ 2459990 h 2459990"/>
                            <a:gd name="connsiteX6" fmla="*/ 410007 w 5982335"/>
                            <a:gd name="connsiteY6" fmla="*/ 2459990 h 2459990"/>
                            <a:gd name="connsiteX7" fmla="*/ 0 w 5982335"/>
                            <a:gd name="connsiteY7" fmla="*/ 2049983 h 2459990"/>
                            <a:gd name="connsiteX8" fmla="*/ 0 w 5982335"/>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426581 w 5998909"/>
                            <a:gd name="connsiteY6" fmla="*/ 2459990 h 2459990"/>
                            <a:gd name="connsiteX7" fmla="*/ 16574 w 5998909"/>
                            <a:gd name="connsiteY7" fmla="*/ 2049983 h 2459990"/>
                            <a:gd name="connsiteX8" fmla="*/ 16574 w 5998909"/>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200805 w 5998909"/>
                            <a:gd name="connsiteY6" fmla="*/ 2459990 h 2459990"/>
                            <a:gd name="connsiteX7" fmla="*/ 16574 w 5998909"/>
                            <a:gd name="connsiteY7" fmla="*/ 2049983 h 2459990"/>
                            <a:gd name="connsiteX8" fmla="*/ 16574 w 59989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588902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826118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5509" h="2459990">
                              <a:moveTo>
                                <a:pt x="16574" y="410007"/>
                              </a:moveTo>
                              <a:cubicBezTo>
                                <a:pt x="16574" y="183566"/>
                                <a:pt x="-70794" y="0"/>
                                <a:pt x="155647" y="0"/>
                              </a:cubicBezTo>
                              <a:lnTo>
                                <a:pt x="5859899" y="0"/>
                              </a:lnTo>
                              <a:cubicBezTo>
                                <a:pt x="6086340" y="0"/>
                                <a:pt x="5998909" y="183566"/>
                                <a:pt x="5998909" y="410007"/>
                              </a:cubicBezTo>
                              <a:lnTo>
                                <a:pt x="5998909" y="2049983"/>
                              </a:lnTo>
                              <a:cubicBezTo>
                                <a:pt x="5998909" y="2276424"/>
                                <a:pt x="6052559" y="2459990"/>
                                <a:pt x="5826118" y="2459990"/>
                              </a:cubicBezTo>
                              <a:lnTo>
                                <a:pt x="200805" y="2459990"/>
                              </a:lnTo>
                              <a:cubicBezTo>
                                <a:pt x="-25636" y="2459990"/>
                                <a:pt x="16574" y="2276424"/>
                                <a:pt x="16574" y="2049983"/>
                              </a:cubicBezTo>
                              <a:lnTo>
                                <a:pt x="16574" y="410007"/>
                              </a:lnTo>
                              <a:close/>
                            </a:path>
                          </a:pathLst>
                        </a:custGeom>
                        <a:solidFill>
                          <a:srgbClr val="0070C0"/>
                        </a:solidFill>
                        <a:ln w="25400" cap="flat" cmpd="sng" algn="ctr">
                          <a:solidFill>
                            <a:srgbClr val="4F81BD">
                              <a:shade val="50000"/>
                            </a:srgbClr>
                          </a:solidFill>
                          <a:prstDash val="solid"/>
                        </a:ln>
                        <a:effectLst/>
                      </wps:spPr>
                      <wps:txbx>
                        <w:txbxContent>
                          <w:p w:rsidR="00FA4975" w:rsidRPr="000604CD" w:rsidRDefault="00FA4975" w:rsidP="00BD4992">
                            <w:pPr>
                              <w:pStyle w:val="Default"/>
                              <w:spacing w:before="240"/>
                              <w:rPr>
                                <w:rFonts w:ascii="Arial" w:eastAsia="MS Mincho" w:hAnsi="Arial" w:cs="Arial"/>
                                <w:b/>
                                <w:i/>
                                <w:color w:val="FFFFFF"/>
                              </w:rPr>
                            </w:pPr>
                            <w:r>
                              <w:rPr>
                                <w:rFonts w:ascii="Arial" w:eastAsia="MS Mincho" w:hAnsi="Arial" w:cs="Arial"/>
                                <w:b/>
                                <w:color w:val="FFFFFF"/>
                              </w:rPr>
                              <w:t>CASE STUDY 2</w:t>
                            </w:r>
                            <w:r w:rsidRPr="000604CD">
                              <w:rPr>
                                <w:rFonts w:cs="Arial"/>
                                <w:b/>
                                <w:color w:val="FFFFFF"/>
                              </w:rPr>
                              <w:t>:</w:t>
                            </w:r>
                            <w:r w:rsidRPr="000604CD">
                              <w:rPr>
                                <w:rFonts w:cs="Arial"/>
                                <w:color w:val="FFFFFF"/>
                              </w:rPr>
                              <w:t xml:space="preserve"> </w:t>
                            </w:r>
                            <w:r w:rsidRPr="000604CD">
                              <w:rPr>
                                <w:rFonts w:ascii="Arial" w:eastAsia="MS Mincho" w:hAnsi="Arial" w:cs="Arial"/>
                                <w:b/>
                                <w:i/>
                                <w:color w:val="FFFFFF"/>
                              </w:rPr>
                              <w:t xml:space="preserve">Nystrom et. al  v Australia </w:t>
                            </w:r>
                          </w:p>
                          <w:p w:rsidR="00FA4975" w:rsidRPr="00DC25BD" w:rsidRDefault="00FA4975" w:rsidP="00BD4992">
                            <w:pPr>
                              <w:pStyle w:val="Default"/>
                            </w:pPr>
                            <w:r w:rsidRPr="000604CD">
                              <w:rPr>
                                <w:rFonts w:ascii="Arial" w:eastAsia="MS Mincho" w:hAnsi="Arial" w:cs="Arial"/>
                                <w:color w:val="FFFFFF"/>
                              </w:rPr>
                              <w:t>(UN Human Rights Committee Communication No. 1557/2007, UN Doc CCPR/C/102/D/1557/2007 (2011))</w:t>
                            </w:r>
                          </w:p>
                          <w:p w:rsidR="00FA4975" w:rsidRPr="000604CD" w:rsidRDefault="00FA4975" w:rsidP="00BD4992">
                            <w:pPr>
                              <w:rPr>
                                <w:rFonts w:cs="Arial"/>
                                <w:color w:val="FFFFFF"/>
                              </w:rPr>
                            </w:pPr>
                            <w:r w:rsidRPr="000604CD">
                              <w:rPr>
                                <w:rFonts w:cs="Arial"/>
                                <w:color w:val="FFFFFF"/>
                              </w:rPr>
                              <w:t>On 12 August 2004 the Minister cancelled the visa of Stefan Nystrom on the basis that, due to his criminal history, he did not pass the character test.</w:t>
                            </w:r>
                            <w:r>
                              <w:rPr>
                                <w:rFonts w:cs="Arial"/>
                                <w:color w:val="FFFFFF"/>
                              </w:rPr>
                              <w:t xml:space="preserve"> A</w:t>
                            </w:r>
                            <w:r w:rsidRPr="000604CD">
                              <w:rPr>
                                <w:rFonts w:cs="Arial"/>
                                <w:color w:val="FFFFFF"/>
                              </w:rPr>
                              <w:t xml:space="preserve">lthough born in Sweden, </w:t>
                            </w:r>
                            <w:r w:rsidRPr="004C61BA">
                              <w:rPr>
                                <w:rFonts w:cs="Arial"/>
                                <w:color w:val="FFFFFF"/>
                              </w:rPr>
                              <w:t xml:space="preserve">Mr Nystrom </w:t>
                            </w:r>
                            <w:r w:rsidRPr="000604CD">
                              <w:rPr>
                                <w:rFonts w:cs="Arial"/>
                                <w:color w:val="FFFFFF"/>
                              </w:rPr>
                              <w:t>had arrived in Australia with his mother w</w:t>
                            </w:r>
                            <w:r>
                              <w:rPr>
                                <w:rFonts w:cs="Arial"/>
                                <w:color w:val="FFFFFF"/>
                              </w:rPr>
                              <w:t>hen he was 27 days old</w:t>
                            </w:r>
                            <w:r w:rsidRPr="000604CD">
                              <w:rPr>
                                <w:rFonts w:cs="Arial"/>
                                <w:color w:val="FFFFFF"/>
                              </w:rPr>
                              <w:t xml:space="preserve"> </w:t>
                            </w:r>
                            <w:r>
                              <w:rPr>
                                <w:rFonts w:cs="Arial"/>
                                <w:color w:val="FFFFFF"/>
                              </w:rPr>
                              <w:t>(</w:t>
                            </w:r>
                            <w:r w:rsidRPr="000604CD">
                              <w:rPr>
                                <w:rFonts w:cs="Arial"/>
                                <w:color w:val="FFFFFF"/>
                              </w:rPr>
                              <w:t>in January 19</w:t>
                            </w:r>
                            <w:r>
                              <w:rPr>
                                <w:rFonts w:cs="Arial"/>
                                <w:color w:val="FFFFFF"/>
                              </w:rPr>
                              <w:t>74)</w:t>
                            </w:r>
                            <w:r w:rsidRPr="000604CD">
                              <w:rPr>
                                <w:rFonts w:cs="Arial"/>
                                <w:color w:val="FFFFFF"/>
                              </w:rPr>
                              <w:t xml:space="preserve">, and had lived in Australia for all </w:t>
                            </w:r>
                            <w:r>
                              <w:rPr>
                                <w:rFonts w:cs="Arial"/>
                                <w:color w:val="FFFFFF"/>
                              </w:rPr>
                              <w:t xml:space="preserve">of </w:t>
                            </w:r>
                            <w:r w:rsidRPr="000604CD">
                              <w:rPr>
                                <w:rFonts w:cs="Arial"/>
                                <w:color w:val="FFFFFF"/>
                              </w:rPr>
                              <w:t xml:space="preserve">his life. His ties to the Australian community were so strong that the Full Court </w:t>
                            </w:r>
                            <w:r>
                              <w:rPr>
                                <w:rFonts w:cs="Arial"/>
                                <w:color w:val="FFFFFF"/>
                              </w:rPr>
                              <w:t xml:space="preserve">of the Federal Court </w:t>
                            </w:r>
                            <w:r w:rsidRPr="000604CD">
                              <w:rPr>
                                <w:rFonts w:cs="Arial"/>
                                <w:color w:val="FFFFFF"/>
                              </w:rPr>
                              <w:t>had described him as an ‘absorbed member of the Australian community’. His nuclear family lived in Australia, he had no ties to Sweden and he did not speak Swedish. Despite this, he was deported back to Sweden in December 2006. The UN Human Rights Committee considered that, in the circumstances,  the deportation of Mr Nystrom from Australia cons</w:t>
                            </w:r>
                            <w:r>
                              <w:rPr>
                                <w:rFonts w:cs="Arial"/>
                                <w:color w:val="FFFFFF"/>
                              </w:rPr>
                              <w:t>tituted a breach of his right under</w:t>
                            </w:r>
                            <w:r w:rsidRPr="000604CD">
                              <w:rPr>
                                <w:rFonts w:cs="Arial"/>
                                <w:color w:val="FFFFFF"/>
                              </w:rPr>
                              <w:t xml:space="preserve"> article 12(4) of the ICCPR not to be arbitrarily deprived of the right to enter his ‘own country’.</w:t>
                            </w:r>
                          </w:p>
                          <w:p w:rsidR="00FA4975" w:rsidRPr="000604CD" w:rsidRDefault="00FA4975" w:rsidP="00BD4992">
                            <w:pPr>
                              <w:rPr>
                                <w:rFonts w:cs="Arial"/>
                                <w:color w:val="FFFFFF"/>
                              </w:rPr>
                            </w:pPr>
                          </w:p>
                          <w:p w:rsidR="00FA4975" w:rsidRPr="000604CD" w:rsidRDefault="00FA4975" w:rsidP="00BD4992">
                            <w:pPr>
                              <w:rPr>
                                <w:rFonts w:cs="Arial"/>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8.6pt;margin-top:7.65pt;width:420.45pt;height:2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5509,245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" adj="-11796480,,5400" path="m16574,410007c16574,183566,-70794,,155647,l5859899,v226441,,139010,183566,139010,410007l5998909,2049983v,226441,53650,410007,-172791,410007l200805,2459990v-226441,,-184231,-183566,-184231,-410007l16574,410007xe" fillcolor="#0070c0" strokecolor="#385d8a" strokeweight="2pt">
                <v:stroke joinstyle="miter"/>
                <v:formulas/>
                <v:path arrowok="t" o:connecttype="custom" o:connectlocs="14712,535528;138161,0;5201587,0;5324980,535528;5324980,2677572;5171601,3213100;178246,3213100;14712,2677572;14712,535528" o:connectangles="0,0,0,0,0,0,0,0,0" textboxrect="0,0,6015509,2459990"/>
                <v:textbox>
                  <w:txbxContent>
                    <w:p w:rsidR="00FA4975" w:rsidRPr="000604CD" w:rsidRDefault="00FA4975" w:rsidP="00BD4992">
                      <w:pPr>
                        <w:pStyle w:val="Default"/>
                        <w:spacing w:before="240"/>
                        <w:rPr>
                          <w:rFonts w:ascii="Arial" w:eastAsia="MS Mincho" w:hAnsi="Arial" w:cs="Arial"/>
                          <w:b/>
                          <w:i/>
                          <w:color w:val="FFFFFF"/>
                        </w:rPr>
                      </w:pPr>
                      <w:r>
                        <w:rPr>
                          <w:rFonts w:ascii="Arial" w:eastAsia="MS Mincho" w:hAnsi="Arial" w:cs="Arial"/>
                          <w:b/>
                          <w:color w:val="FFFFFF"/>
                        </w:rPr>
                        <w:t>CASE STUDY 2</w:t>
                      </w:r>
                      <w:r w:rsidRPr="000604CD">
                        <w:rPr>
                          <w:rFonts w:cs="Arial"/>
                          <w:b/>
                          <w:color w:val="FFFFFF"/>
                        </w:rPr>
                        <w:t>:</w:t>
                      </w:r>
                      <w:r w:rsidRPr="000604CD">
                        <w:rPr>
                          <w:rFonts w:cs="Arial"/>
                          <w:color w:val="FFFFFF"/>
                        </w:rPr>
                        <w:t xml:space="preserve"> </w:t>
                      </w:r>
                      <w:r w:rsidRPr="000604CD">
                        <w:rPr>
                          <w:rFonts w:ascii="Arial" w:eastAsia="MS Mincho" w:hAnsi="Arial" w:cs="Arial"/>
                          <w:b/>
                          <w:i/>
                          <w:color w:val="FFFFFF"/>
                        </w:rPr>
                        <w:t xml:space="preserve">Nystrom et. al  v Australia </w:t>
                      </w:r>
                    </w:p>
                    <w:p w:rsidR="00FA4975" w:rsidRPr="00DC25BD" w:rsidRDefault="00FA4975" w:rsidP="00BD4992">
                      <w:pPr>
                        <w:pStyle w:val="Default"/>
                      </w:pPr>
                      <w:r w:rsidRPr="000604CD">
                        <w:rPr>
                          <w:rFonts w:ascii="Arial" w:eastAsia="MS Mincho" w:hAnsi="Arial" w:cs="Arial"/>
                          <w:color w:val="FFFFFF"/>
                        </w:rPr>
                        <w:t>(UN Human Rights Committee Communication No. 1557/2007, UN Doc CCPR/C/102/D/1557/2007 (2011))</w:t>
                      </w:r>
                    </w:p>
                    <w:p w:rsidR="00FA4975" w:rsidRPr="000604CD" w:rsidRDefault="00FA4975" w:rsidP="00BD4992">
                      <w:pPr>
                        <w:rPr>
                          <w:rFonts w:cs="Arial"/>
                          <w:color w:val="FFFFFF"/>
                        </w:rPr>
                      </w:pPr>
                      <w:r w:rsidRPr="000604CD">
                        <w:rPr>
                          <w:rFonts w:cs="Arial"/>
                          <w:color w:val="FFFFFF"/>
                        </w:rPr>
                        <w:t>On 12 August 2004 the Minister cancelled the visa of Stefan Nystrom on the basis that, due to his criminal history, he did not pass the character test.</w:t>
                      </w:r>
                      <w:r>
                        <w:rPr>
                          <w:rFonts w:cs="Arial"/>
                          <w:color w:val="FFFFFF"/>
                        </w:rPr>
                        <w:t xml:space="preserve"> A</w:t>
                      </w:r>
                      <w:r w:rsidRPr="000604CD">
                        <w:rPr>
                          <w:rFonts w:cs="Arial"/>
                          <w:color w:val="FFFFFF"/>
                        </w:rPr>
                        <w:t xml:space="preserve">lthough born in Sweden, </w:t>
                      </w:r>
                      <w:r w:rsidRPr="004C61BA">
                        <w:rPr>
                          <w:rFonts w:cs="Arial"/>
                          <w:color w:val="FFFFFF"/>
                        </w:rPr>
                        <w:t xml:space="preserve">Mr Nystrom </w:t>
                      </w:r>
                      <w:r w:rsidRPr="000604CD">
                        <w:rPr>
                          <w:rFonts w:cs="Arial"/>
                          <w:color w:val="FFFFFF"/>
                        </w:rPr>
                        <w:t>had arrived in Australia with his mother w</w:t>
                      </w:r>
                      <w:r>
                        <w:rPr>
                          <w:rFonts w:cs="Arial"/>
                          <w:color w:val="FFFFFF"/>
                        </w:rPr>
                        <w:t>hen he was 27 days old</w:t>
                      </w:r>
                      <w:r w:rsidRPr="000604CD">
                        <w:rPr>
                          <w:rFonts w:cs="Arial"/>
                          <w:color w:val="FFFFFF"/>
                        </w:rPr>
                        <w:t xml:space="preserve"> </w:t>
                      </w:r>
                      <w:r>
                        <w:rPr>
                          <w:rFonts w:cs="Arial"/>
                          <w:color w:val="FFFFFF"/>
                        </w:rPr>
                        <w:t>(</w:t>
                      </w:r>
                      <w:r w:rsidRPr="000604CD">
                        <w:rPr>
                          <w:rFonts w:cs="Arial"/>
                          <w:color w:val="FFFFFF"/>
                        </w:rPr>
                        <w:t>in January 19</w:t>
                      </w:r>
                      <w:r>
                        <w:rPr>
                          <w:rFonts w:cs="Arial"/>
                          <w:color w:val="FFFFFF"/>
                        </w:rPr>
                        <w:t>74)</w:t>
                      </w:r>
                      <w:r w:rsidRPr="000604CD">
                        <w:rPr>
                          <w:rFonts w:cs="Arial"/>
                          <w:color w:val="FFFFFF"/>
                        </w:rPr>
                        <w:t xml:space="preserve">, and had lived in Australia for all </w:t>
                      </w:r>
                      <w:r>
                        <w:rPr>
                          <w:rFonts w:cs="Arial"/>
                          <w:color w:val="FFFFFF"/>
                        </w:rPr>
                        <w:t xml:space="preserve">of </w:t>
                      </w:r>
                      <w:r w:rsidRPr="000604CD">
                        <w:rPr>
                          <w:rFonts w:cs="Arial"/>
                          <w:color w:val="FFFFFF"/>
                        </w:rPr>
                        <w:t xml:space="preserve">his life. His ties to the Australian community were so strong that the Full Court </w:t>
                      </w:r>
                      <w:r>
                        <w:rPr>
                          <w:rFonts w:cs="Arial"/>
                          <w:color w:val="FFFFFF"/>
                        </w:rPr>
                        <w:t xml:space="preserve">of the Federal Court </w:t>
                      </w:r>
                      <w:r w:rsidRPr="000604CD">
                        <w:rPr>
                          <w:rFonts w:cs="Arial"/>
                          <w:color w:val="FFFFFF"/>
                        </w:rPr>
                        <w:t>had described him as an ‘absorbed member of the Australian community’. His nuclear family lived in Australia, he had no ties to Sweden and he did not speak Swedish. Despite this, he was deported back to Sweden in December 2006. The UN Human Rights Committee considered that, in the circumstances,  the deportation of Mr Nystrom from Australia cons</w:t>
                      </w:r>
                      <w:r>
                        <w:rPr>
                          <w:rFonts w:cs="Arial"/>
                          <w:color w:val="FFFFFF"/>
                        </w:rPr>
                        <w:t>tituted a breach of his right under</w:t>
                      </w:r>
                      <w:r w:rsidRPr="000604CD">
                        <w:rPr>
                          <w:rFonts w:cs="Arial"/>
                          <w:color w:val="FFFFFF"/>
                        </w:rPr>
                        <w:t xml:space="preserve"> article 12(4) of the ICCPR not to be arbitrarily deprived of the right to enter his ‘own country’.</w:t>
                      </w:r>
                    </w:p>
                    <w:p w:rsidR="00FA4975" w:rsidRPr="000604CD" w:rsidRDefault="00FA4975" w:rsidP="00BD4992">
                      <w:pPr>
                        <w:rPr>
                          <w:rFonts w:cs="Arial"/>
                          <w:color w:val="FFFFFF"/>
                        </w:rPr>
                      </w:pPr>
                    </w:p>
                    <w:p w:rsidR="00FA4975" w:rsidRPr="000604CD" w:rsidRDefault="00FA4975" w:rsidP="00BD4992">
                      <w:pPr>
                        <w:rPr>
                          <w:rFonts w:cs="Arial"/>
                          <w:color w:val="FFFFFF"/>
                        </w:rPr>
                      </w:pPr>
                    </w:p>
                  </w:txbxContent>
                </v:textbox>
              </v:shape>
            </w:pict>
          </mc:Fallback>
        </mc:AlternateContent>
      </w:r>
    </w:p>
    <w:p w:rsidR="00BD4992" w:rsidRDefault="00BD4992" w:rsidP="00BD4992">
      <w:pPr>
        <w:rPr>
          <w:rFonts w:cs="Arial"/>
        </w:rPr>
      </w:pPr>
    </w:p>
    <w:p w:rsidR="00BD4992" w:rsidRDefault="00BD4992" w:rsidP="00BD4992">
      <w:pPr>
        <w:rPr>
          <w:rFonts w:cs="Arial"/>
        </w:rPr>
      </w:pPr>
    </w:p>
    <w:p w:rsidR="00DD1D04" w:rsidRDefault="00DD1D04" w:rsidP="00BD4992">
      <w:pPr>
        <w:rPr>
          <w:rFonts w:cs="Arial"/>
        </w:rPr>
      </w:pPr>
    </w:p>
    <w:p w:rsidR="00BD4992" w:rsidRDefault="00BD4992" w:rsidP="00BD4992">
      <w:pPr>
        <w:rPr>
          <w:rFonts w:cs="Arial"/>
        </w:rPr>
      </w:pPr>
    </w:p>
    <w:p w:rsidR="00BD4992" w:rsidRDefault="00BD4992" w:rsidP="00BD4992">
      <w:pPr>
        <w:rPr>
          <w:rFonts w:cs="Arial"/>
        </w:rPr>
      </w:pPr>
    </w:p>
    <w:p w:rsidR="00BD4992" w:rsidRDefault="00BD4992" w:rsidP="00BD4992">
      <w:pPr>
        <w:rPr>
          <w:rFonts w:cs="Arial"/>
        </w:rPr>
      </w:pPr>
    </w:p>
    <w:p w:rsidR="00BD4992" w:rsidRDefault="00BD4992" w:rsidP="00BD4992">
      <w:pPr>
        <w:rPr>
          <w:rFonts w:cs="Arial"/>
        </w:rPr>
      </w:pPr>
    </w:p>
    <w:p w:rsidR="00BD4992" w:rsidRDefault="00BD4992" w:rsidP="00BD4992">
      <w:pPr>
        <w:rPr>
          <w:rFonts w:cs="Arial"/>
        </w:rPr>
      </w:pPr>
    </w:p>
    <w:p w:rsidR="00E138DD" w:rsidRDefault="00E138DD" w:rsidP="00BD4992">
      <w:pPr>
        <w:rPr>
          <w:rFonts w:cs="Arial"/>
        </w:rPr>
      </w:pPr>
    </w:p>
    <w:p w:rsidR="00E138DD" w:rsidRDefault="00E138DD" w:rsidP="00BD4992">
      <w:pPr>
        <w:rPr>
          <w:rFonts w:cs="Arial"/>
        </w:rPr>
      </w:pPr>
    </w:p>
    <w:p w:rsidR="00215291" w:rsidRDefault="00BD4992" w:rsidP="00BD4992">
      <w:pPr>
        <w:rPr>
          <w:rFonts w:cs="Arial"/>
        </w:rPr>
      </w:pPr>
      <w:r>
        <w:rPr>
          <w:rFonts w:cs="Arial"/>
        </w:rPr>
        <w:t>As mentioned above, under Direction No. 55 the ‘strength, duration and nature of th</w:t>
      </w:r>
      <w:r w:rsidR="008F5E52">
        <w:rPr>
          <w:rFonts w:cs="Arial"/>
        </w:rPr>
        <w:t xml:space="preserve">e person’s ties to Australia’ </w:t>
      </w:r>
      <w:r>
        <w:rPr>
          <w:rFonts w:cs="Arial"/>
        </w:rPr>
        <w:t>a</w:t>
      </w:r>
      <w:r w:rsidR="008F5E52">
        <w:rPr>
          <w:rFonts w:cs="Arial"/>
        </w:rPr>
        <w:t>re</w:t>
      </w:r>
      <w:r>
        <w:rPr>
          <w:rFonts w:cs="Arial"/>
        </w:rPr>
        <w:t xml:space="preserve"> primary consideration</w:t>
      </w:r>
      <w:r w:rsidR="008F5E52">
        <w:rPr>
          <w:rFonts w:cs="Arial"/>
        </w:rPr>
        <w:t>s</w:t>
      </w:r>
      <w:r>
        <w:rPr>
          <w:rFonts w:cs="Arial"/>
        </w:rPr>
        <w:t xml:space="preserve"> for DIAC officers when </w:t>
      </w:r>
      <w:r w:rsidRPr="00904DC9">
        <w:rPr>
          <w:rFonts w:cs="Arial"/>
        </w:rPr>
        <w:t>deciding</w:t>
      </w:r>
      <w:r>
        <w:rPr>
          <w:rFonts w:cs="Arial"/>
        </w:rPr>
        <w:t xml:space="preserve"> whether to cancel a</w:t>
      </w:r>
      <w:r w:rsidRPr="00904DC9">
        <w:rPr>
          <w:rFonts w:cs="Arial"/>
        </w:rPr>
        <w:t xml:space="preserve"> </w:t>
      </w:r>
      <w:r>
        <w:rPr>
          <w:rFonts w:cs="Arial"/>
        </w:rPr>
        <w:t xml:space="preserve">person’s </w:t>
      </w:r>
      <w:r w:rsidRPr="00904DC9">
        <w:rPr>
          <w:rFonts w:cs="Arial"/>
        </w:rPr>
        <w:t>visa</w:t>
      </w:r>
      <w:r>
        <w:rPr>
          <w:rFonts w:cs="Arial"/>
        </w:rPr>
        <w:t xml:space="preserve"> under section 501</w:t>
      </w:r>
      <w:r w:rsidRPr="00904DC9">
        <w:rPr>
          <w:rFonts w:cs="Arial"/>
        </w:rPr>
        <w:t>.</w:t>
      </w:r>
      <w:r w:rsidR="00215291">
        <w:rPr>
          <w:rStyle w:val="EndnoteReference"/>
          <w:rFonts w:cs="Arial"/>
        </w:rPr>
        <w:endnoteReference w:id="54"/>
      </w:r>
      <w:r w:rsidR="00215291">
        <w:rPr>
          <w:rFonts w:cs="Arial"/>
        </w:rPr>
        <w:t xml:space="preserve">  Decision-makers therefore must have regard to the length of time the visa holder has resided in Australia, including whether the person arrived in Australia as a young child.</w:t>
      </w:r>
      <w:r w:rsidR="00215291">
        <w:rPr>
          <w:rStyle w:val="EndnoteReference"/>
          <w:rFonts w:cs="Arial"/>
        </w:rPr>
        <w:endnoteReference w:id="55"/>
      </w:r>
      <w:r w:rsidR="00215291">
        <w:rPr>
          <w:rFonts w:cs="Arial"/>
        </w:rPr>
        <w:t xml:space="preserve"> In addition, the Direction acknowledges that:</w:t>
      </w:r>
    </w:p>
    <w:p w:rsidR="00215291" w:rsidRPr="00182097" w:rsidRDefault="00215291" w:rsidP="00BD4992">
      <w:pPr>
        <w:ind w:left="567"/>
        <w:rPr>
          <w:rFonts w:cs="Arial"/>
          <w:sz w:val="22"/>
          <w:szCs w:val="22"/>
        </w:rPr>
      </w:pPr>
      <w:r w:rsidRPr="00F05473">
        <w:rPr>
          <w:rFonts w:cs="Arial"/>
          <w:sz w:val="22"/>
          <w:szCs w:val="22"/>
        </w:rPr>
        <w:t>Australia may afford a higher level of tolerance of criminal or other serious conduct in in relation to a non-citizen who has lived in the Australian community for most of their life, or from a very young age</w:t>
      </w:r>
      <w:r w:rsidRPr="00A93486">
        <w:rPr>
          <w:rFonts w:cs="Arial"/>
          <w:sz w:val="22"/>
          <w:szCs w:val="22"/>
        </w:rPr>
        <w:t>.</w:t>
      </w:r>
      <w:r w:rsidRPr="00A93486">
        <w:rPr>
          <w:rStyle w:val="EndnoteReference"/>
          <w:rFonts w:cs="Arial"/>
          <w:sz w:val="22"/>
          <w:szCs w:val="22"/>
        </w:rPr>
        <w:endnoteReference w:id="56"/>
      </w:r>
      <w:r w:rsidRPr="00182097">
        <w:rPr>
          <w:rFonts w:cs="Arial"/>
          <w:sz w:val="22"/>
          <w:szCs w:val="22"/>
        </w:rPr>
        <w:t xml:space="preserve"> </w:t>
      </w:r>
    </w:p>
    <w:p w:rsidR="00BD4992" w:rsidRPr="00071DBA" w:rsidRDefault="00215291" w:rsidP="00BD4992">
      <w:pPr>
        <w:spacing w:after="120"/>
        <w:rPr>
          <w:rFonts w:cs="Arial"/>
        </w:rPr>
      </w:pPr>
      <w:r>
        <w:rPr>
          <w:rFonts w:cs="Arial"/>
        </w:rPr>
        <w:t>However, the terms of the Direction do not prevent delegates of the Minister from cancelling the visas of long-term permanent residents under section 501. While the ‘strength, duration and nature of the person’s ties to Australia’ are primary considerations which may support a decision not to cancel a visa, pursuant to the Direction they can be outweighed by ot</w:t>
      </w:r>
      <w:r w:rsidR="0077769F">
        <w:rPr>
          <w:rFonts w:cs="Arial"/>
        </w:rPr>
        <w:t>her primary considerations, particular</w:t>
      </w:r>
      <w:r>
        <w:rPr>
          <w:rFonts w:cs="Arial"/>
        </w:rPr>
        <w:t>ly the protection of the Australian community.</w:t>
      </w:r>
      <w:r>
        <w:rPr>
          <w:rStyle w:val="EndnoteReference"/>
          <w:rFonts w:cs="Arial"/>
        </w:rPr>
        <w:endnoteReference w:id="57"/>
      </w:r>
      <w:r>
        <w:rPr>
          <w:rFonts w:cs="Arial"/>
        </w:rPr>
        <w:t xml:space="preserve"> </w:t>
      </w:r>
      <w:r w:rsidR="00BD4992">
        <w:rPr>
          <w:rFonts w:cs="Arial"/>
        </w:rPr>
        <w:t>Further, as mentioned above, the Minister is not bound to follow the Direction when making visa cancellation decisions personally.</w:t>
      </w:r>
    </w:p>
    <w:p w:rsidR="00FE32F3" w:rsidRDefault="00BD4992" w:rsidP="00B80AAB">
      <w:pPr>
        <w:spacing w:after="120"/>
        <w:rPr>
          <w:rFonts w:cs="Arial"/>
        </w:rPr>
      </w:pPr>
      <w:r w:rsidRPr="00071DBA">
        <w:rPr>
          <w:rFonts w:cs="Arial"/>
        </w:rPr>
        <w:t>The Commission</w:t>
      </w:r>
      <w:r>
        <w:rPr>
          <w:rFonts w:cs="Arial"/>
        </w:rPr>
        <w:t xml:space="preserve"> raised concerns about the visa cancellation and immigration detention of l</w:t>
      </w:r>
      <w:r w:rsidRPr="00071DBA">
        <w:rPr>
          <w:rFonts w:cs="Arial"/>
        </w:rPr>
        <w:t>ong-term permanent residents in</w:t>
      </w:r>
      <w:r>
        <w:rPr>
          <w:rFonts w:cs="Arial"/>
        </w:rPr>
        <w:t xml:space="preserve"> </w:t>
      </w:r>
      <w:r w:rsidRPr="00071DBA">
        <w:rPr>
          <w:rFonts w:cs="Arial"/>
        </w:rPr>
        <w:t>its</w:t>
      </w:r>
      <w:r>
        <w:rPr>
          <w:rFonts w:cs="Arial"/>
        </w:rPr>
        <w:t xml:space="preserve"> 2008 </w:t>
      </w:r>
      <w:r w:rsidRPr="00306AEA">
        <w:t>submission</w:t>
      </w:r>
      <w:r>
        <w:rPr>
          <w:rFonts w:cs="Arial"/>
        </w:rPr>
        <w:t xml:space="preserve"> to the </w:t>
      </w:r>
      <w:r w:rsidRPr="003138F7">
        <w:rPr>
          <w:rFonts w:cs="Arial"/>
        </w:rPr>
        <w:t>Joint Standing Commi</w:t>
      </w:r>
      <w:r>
        <w:rPr>
          <w:rFonts w:cs="Arial"/>
        </w:rPr>
        <w:t>ttee on Migration’s inquiry into i</w:t>
      </w:r>
      <w:r w:rsidRPr="003138F7">
        <w:rPr>
          <w:rFonts w:cs="Arial"/>
        </w:rPr>
        <w:t xml:space="preserve">mmigration </w:t>
      </w:r>
      <w:r>
        <w:rPr>
          <w:rFonts w:cs="Arial"/>
        </w:rPr>
        <w:t>d</w:t>
      </w:r>
      <w:r w:rsidRPr="003138F7">
        <w:rPr>
          <w:rFonts w:cs="Arial"/>
        </w:rPr>
        <w:t>etention</w:t>
      </w:r>
      <w:r>
        <w:rPr>
          <w:rFonts w:cs="Arial"/>
        </w:rPr>
        <w:t xml:space="preserve"> in Australia</w:t>
      </w:r>
      <w:r w:rsidRPr="00071DBA">
        <w:rPr>
          <w:rFonts w:cs="Arial"/>
        </w:rPr>
        <w:t>.</w:t>
      </w:r>
      <w:bookmarkStart w:id="67" w:name="_Ref251318326"/>
      <w:r w:rsidR="008C1BCA">
        <w:rPr>
          <w:rStyle w:val="EndnoteReference"/>
          <w:rFonts w:cs="Arial"/>
        </w:rPr>
        <w:endnoteReference w:id="58"/>
      </w:r>
      <w:bookmarkEnd w:id="67"/>
      <w:r w:rsidR="008C1BCA" w:rsidRPr="00071DBA">
        <w:rPr>
          <w:rFonts w:cs="Arial"/>
        </w:rPr>
        <w:t xml:space="preserve"> </w:t>
      </w:r>
      <w:r w:rsidRPr="00071DBA">
        <w:rPr>
          <w:rFonts w:cs="Arial"/>
        </w:rPr>
        <w:t>In that submission</w:t>
      </w:r>
      <w:r>
        <w:rPr>
          <w:rFonts w:cs="Arial"/>
        </w:rPr>
        <w:t>,</w:t>
      </w:r>
      <w:r w:rsidRPr="00071DBA">
        <w:rPr>
          <w:rFonts w:cs="Arial"/>
        </w:rPr>
        <w:t xml:space="preserve"> the Commission recommended that the </w:t>
      </w:r>
      <w:r>
        <w:rPr>
          <w:rFonts w:cs="Arial"/>
        </w:rPr>
        <w:t>Australian G</w:t>
      </w:r>
      <w:r w:rsidRPr="00071DBA">
        <w:rPr>
          <w:rFonts w:cs="Arial"/>
        </w:rPr>
        <w:t>overnment</w:t>
      </w:r>
      <w:r>
        <w:rPr>
          <w:rFonts w:cs="Arial"/>
        </w:rPr>
        <w:t xml:space="preserve"> should review the operation of section 501</w:t>
      </w:r>
      <w:r w:rsidRPr="00071DBA">
        <w:rPr>
          <w:rFonts w:cs="Arial"/>
        </w:rPr>
        <w:t xml:space="preserve"> as a matter of priority, with the aim of excluding long-term permanent residents from the provision.</w:t>
      </w:r>
      <w:r w:rsidR="008C1BCA" w:rsidRPr="00071DBA">
        <w:rPr>
          <w:rStyle w:val="EndnoteReference"/>
          <w:rFonts w:cs="Arial"/>
        </w:rPr>
        <w:endnoteReference w:id="59"/>
      </w:r>
      <w:r w:rsidR="008C1BCA">
        <w:rPr>
          <w:rFonts w:cs="Arial"/>
        </w:rPr>
        <w:t xml:space="preserve"> </w:t>
      </w:r>
      <w:r>
        <w:rPr>
          <w:rFonts w:cs="Arial"/>
        </w:rPr>
        <w:t xml:space="preserve"> </w:t>
      </w:r>
    </w:p>
    <w:p w:rsidR="000604CD" w:rsidRPr="007F2899" w:rsidRDefault="000604CD" w:rsidP="000604CD">
      <w:pPr>
        <w:pStyle w:val="Heading2"/>
        <w:tabs>
          <w:tab w:val="num" w:pos="1134"/>
        </w:tabs>
        <w:ind w:left="1134"/>
      </w:pPr>
      <w:bookmarkStart w:id="68" w:name="_Toc355952728"/>
      <w:bookmarkStart w:id="69" w:name="_Toc362012114"/>
      <w:r>
        <w:lastRenderedPageBreak/>
        <w:t xml:space="preserve">Risk of </w:t>
      </w:r>
      <w:r w:rsidR="00361099">
        <w:t xml:space="preserve">arbitrary </w:t>
      </w:r>
      <w:r w:rsidRPr="007F2899">
        <w:t>detention</w:t>
      </w:r>
      <w:bookmarkEnd w:id="68"/>
      <w:bookmarkEnd w:id="69"/>
      <w:r>
        <w:t xml:space="preserve"> </w:t>
      </w:r>
    </w:p>
    <w:p w:rsidR="00650999" w:rsidRDefault="00706EAB" w:rsidP="00A91DA6">
      <w:pPr>
        <w:pStyle w:val="Heading3"/>
      </w:pPr>
      <w:r>
        <w:t xml:space="preserve">General risk of </w:t>
      </w:r>
      <w:r w:rsidR="00D60CC7">
        <w:t>arbitrary detention</w:t>
      </w:r>
    </w:p>
    <w:p w:rsidR="00A26F72" w:rsidRDefault="000604CD" w:rsidP="000604CD">
      <w:pPr>
        <w:rPr>
          <w:rFonts w:cs="Arial"/>
        </w:rPr>
      </w:pPr>
      <w:r w:rsidRPr="005B186C">
        <w:rPr>
          <w:rFonts w:cs="Arial"/>
        </w:rPr>
        <w:t xml:space="preserve">As outlined </w:t>
      </w:r>
      <w:r>
        <w:rPr>
          <w:rFonts w:cs="Arial"/>
        </w:rPr>
        <w:t xml:space="preserve">above, </w:t>
      </w:r>
      <w:r w:rsidR="00987EAB">
        <w:rPr>
          <w:rFonts w:cs="Arial"/>
        </w:rPr>
        <w:t>if a person has</w:t>
      </w:r>
      <w:r>
        <w:rPr>
          <w:rFonts w:cs="Arial"/>
        </w:rPr>
        <w:t xml:space="preserve"> their </w:t>
      </w:r>
      <w:r w:rsidR="00987EAB">
        <w:rPr>
          <w:rFonts w:cs="Arial"/>
        </w:rPr>
        <w:t xml:space="preserve">visa </w:t>
      </w:r>
      <w:r>
        <w:rPr>
          <w:rFonts w:cs="Arial"/>
        </w:rPr>
        <w:t xml:space="preserve">application </w:t>
      </w:r>
      <w:r w:rsidR="00987EAB">
        <w:rPr>
          <w:rFonts w:cs="Arial"/>
        </w:rPr>
        <w:t xml:space="preserve">refused or </w:t>
      </w:r>
      <w:r w:rsidR="009D1536">
        <w:rPr>
          <w:rFonts w:cs="Arial"/>
        </w:rPr>
        <w:t xml:space="preserve">their </w:t>
      </w:r>
      <w:r w:rsidR="001A0B25">
        <w:rPr>
          <w:rFonts w:cs="Arial"/>
        </w:rPr>
        <w:t>visa</w:t>
      </w:r>
      <w:r w:rsidR="00EE5A59">
        <w:rPr>
          <w:rFonts w:cs="Arial"/>
        </w:rPr>
        <w:t xml:space="preserve"> cancelled under </w:t>
      </w:r>
      <w:r w:rsidR="00A66906">
        <w:rPr>
          <w:rFonts w:cs="Arial"/>
        </w:rPr>
        <w:t>section 501</w:t>
      </w:r>
      <w:r w:rsidR="00EE5A59">
        <w:rPr>
          <w:rFonts w:cs="Arial"/>
        </w:rPr>
        <w:t>, unless they also hold a protection visa they must be taken into immigration detention and remain</w:t>
      </w:r>
      <w:r w:rsidR="00987EAB">
        <w:rPr>
          <w:rFonts w:cs="Arial"/>
        </w:rPr>
        <w:t xml:space="preserve"> in detention unless and until</w:t>
      </w:r>
      <w:r w:rsidR="009D1536">
        <w:rPr>
          <w:rFonts w:cs="Arial"/>
        </w:rPr>
        <w:t xml:space="preserve"> they are</w:t>
      </w:r>
      <w:r w:rsidR="00987EAB">
        <w:rPr>
          <w:rFonts w:cs="Arial"/>
        </w:rPr>
        <w:t xml:space="preserve"> granted a new visa or removed from Australia.</w:t>
      </w:r>
      <w:r w:rsidR="00A26F72">
        <w:rPr>
          <w:rStyle w:val="EndnoteReference"/>
          <w:rFonts w:cs="Arial"/>
        </w:rPr>
        <w:endnoteReference w:id="60"/>
      </w:r>
      <w:r w:rsidR="00A26F72">
        <w:rPr>
          <w:rFonts w:cs="Arial"/>
        </w:rPr>
        <w:t xml:space="preserve"> </w:t>
      </w:r>
    </w:p>
    <w:p w:rsidR="00A26F72" w:rsidRDefault="00A26F72" w:rsidP="000604CD">
      <w:pPr>
        <w:rPr>
          <w:lang w:val="en"/>
        </w:rPr>
      </w:pPr>
      <w:r w:rsidRPr="005409F4">
        <w:rPr>
          <w:lang w:val="en"/>
        </w:rPr>
        <w:t>Some people who have their applications for visas refused or their visas c</w:t>
      </w:r>
      <w:r w:rsidR="00E60AC4">
        <w:rPr>
          <w:lang w:val="en"/>
        </w:rPr>
        <w:t>ancelled under section 501 can</w:t>
      </w:r>
      <w:r w:rsidRPr="005409F4">
        <w:rPr>
          <w:lang w:val="en"/>
        </w:rPr>
        <w:t xml:space="preserve"> spend months or even years in immigration detention, for example while they seek review of the decision to refuse or cancel their visa, while travel documents are arranged, or while a claim for a protection visa is assessed. </w:t>
      </w:r>
      <w:r w:rsidR="00836BA4">
        <w:rPr>
          <w:lang w:val="en"/>
        </w:rPr>
        <w:t>As at 23 May 2013</w:t>
      </w:r>
      <w:r w:rsidR="00836BA4" w:rsidRPr="008536C0">
        <w:rPr>
          <w:lang w:val="en"/>
        </w:rPr>
        <w:t>,</w:t>
      </w:r>
      <w:r w:rsidR="00AB6348" w:rsidRPr="008536C0">
        <w:rPr>
          <w:lang w:val="en"/>
        </w:rPr>
        <w:t xml:space="preserve"> six of the </w:t>
      </w:r>
      <w:r w:rsidR="007736EB" w:rsidRPr="008536C0">
        <w:rPr>
          <w:lang w:val="en"/>
        </w:rPr>
        <w:t xml:space="preserve">49 </w:t>
      </w:r>
      <w:r w:rsidRPr="008536C0">
        <w:rPr>
          <w:lang w:val="en"/>
        </w:rPr>
        <w:t xml:space="preserve">people </w:t>
      </w:r>
      <w:r w:rsidR="00AB6348" w:rsidRPr="008536C0">
        <w:rPr>
          <w:lang w:val="en"/>
        </w:rPr>
        <w:t>in detention</w:t>
      </w:r>
      <w:r w:rsidRPr="008536C0">
        <w:rPr>
          <w:lang w:val="en"/>
        </w:rPr>
        <w:t xml:space="preserve"> because </w:t>
      </w:r>
      <w:r w:rsidR="00AB6348" w:rsidRPr="008536C0">
        <w:rPr>
          <w:lang w:val="en"/>
        </w:rPr>
        <w:t xml:space="preserve">of visa cancellation </w:t>
      </w:r>
      <w:r w:rsidR="000A2696" w:rsidRPr="008536C0">
        <w:rPr>
          <w:lang w:val="en"/>
        </w:rPr>
        <w:t>under s</w:t>
      </w:r>
      <w:r w:rsidR="00DC6691">
        <w:rPr>
          <w:lang w:val="en"/>
        </w:rPr>
        <w:t>ection</w:t>
      </w:r>
      <w:r w:rsidR="000A2696" w:rsidRPr="008536C0">
        <w:rPr>
          <w:lang w:val="en"/>
        </w:rPr>
        <w:t> 501</w:t>
      </w:r>
      <w:r w:rsidR="00DC6691">
        <w:rPr>
          <w:lang w:val="en"/>
        </w:rPr>
        <w:t xml:space="preserve"> </w:t>
      </w:r>
      <w:r w:rsidRPr="008536C0">
        <w:rPr>
          <w:lang w:val="en"/>
        </w:rPr>
        <w:t xml:space="preserve">had been detained for </w:t>
      </w:r>
      <w:r w:rsidR="004E7727" w:rsidRPr="008536C0">
        <w:rPr>
          <w:lang w:val="en"/>
        </w:rPr>
        <w:t xml:space="preserve">2-3 </w:t>
      </w:r>
      <w:r w:rsidR="000A2696" w:rsidRPr="008536C0">
        <w:rPr>
          <w:lang w:val="en"/>
        </w:rPr>
        <w:t>years</w:t>
      </w:r>
      <w:r w:rsidR="00AB6348" w:rsidRPr="008536C0">
        <w:rPr>
          <w:lang w:val="en"/>
        </w:rPr>
        <w:t>,</w:t>
      </w:r>
      <w:r w:rsidR="006E088A" w:rsidRPr="008536C0">
        <w:rPr>
          <w:lang w:val="en"/>
        </w:rPr>
        <w:t xml:space="preserve"> </w:t>
      </w:r>
      <w:r w:rsidR="00AB6348" w:rsidRPr="008536C0">
        <w:rPr>
          <w:lang w:val="en"/>
        </w:rPr>
        <w:t xml:space="preserve">and three of the </w:t>
      </w:r>
      <w:r w:rsidR="007736EB" w:rsidRPr="008536C0">
        <w:rPr>
          <w:lang w:val="en"/>
        </w:rPr>
        <w:t xml:space="preserve">seven </w:t>
      </w:r>
      <w:r w:rsidR="00AB6348" w:rsidRPr="008536C0">
        <w:rPr>
          <w:lang w:val="en"/>
        </w:rPr>
        <w:t xml:space="preserve">people </w:t>
      </w:r>
      <w:r w:rsidR="006E088A" w:rsidRPr="008536C0">
        <w:rPr>
          <w:lang w:val="en"/>
        </w:rPr>
        <w:t xml:space="preserve">who had been detained following </w:t>
      </w:r>
      <w:r w:rsidR="006E088A" w:rsidRPr="008536C0">
        <w:rPr>
          <w:i/>
          <w:lang w:val="en"/>
        </w:rPr>
        <w:t>refusal</w:t>
      </w:r>
      <w:r w:rsidR="006E088A" w:rsidRPr="008536C0">
        <w:rPr>
          <w:lang w:val="en"/>
        </w:rPr>
        <w:t xml:space="preserve"> of the</w:t>
      </w:r>
      <w:r w:rsidR="00AB6348" w:rsidRPr="008536C0">
        <w:rPr>
          <w:lang w:val="en"/>
        </w:rPr>
        <w:t>ir visa applications under s</w:t>
      </w:r>
      <w:r w:rsidR="00272EA1">
        <w:rPr>
          <w:lang w:val="en"/>
        </w:rPr>
        <w:t>ection</w:t>
      </w:r>
      <w:r w:rsidR="00AB6348" w:rsidRPr="008536C0">
        <w:rPr>
          <w:lang w:val="en"/>
        </w:rPr>
        <w:t> 50</w:t>
      </w:r>
      <w:r w:rsidR="00272EA1">
        <w:rPr>
          <w:lang w:val="en"/>
        </w:rPr>
        <w:t>1</w:t>
      </w:r>
      <w:r w:rsidR="006E088A" w:rsidRPr="008536C0">
        <w:rPr>
          <w:lang w:val="en"/>
        </w:rPr>
        <w:t xml:space="preserve"> had been detained for 1-2 years.</w:t>
      </w:r>
      <w:r w:rsidR="00AB6348" w:rsidRPr="008536C0">
        <w:rPr>
          <w:rStyle w:val="EndnoteReference"/>
          <w:lang w:val="en"/>
        </w:rPr>
        <w:t xml:space="preserve"> </w:t>
      </w:r>
      <w:r w:rsidR="00AB6348" w:rsidRPr="008536C0">
        <w:rPr>
          <w:rStyle w:val="EndnoteReference"/>
          <w:lang w:val="en"/>
        </w:rPr>
        <w:endnoteReference w:id="61"/>
      </w:r>
      <w:r w:rsidR="006E088A" w:rsidRPr="008536C0">
        <w:rPr>
          <w:lang w:val="en"/>
        </w:rPr>
        <w:t xml:space="preserve"> </w:t>
      </w:r>
      <w:r w:rsidRPr="008536C0">
        <w:rPr>
          <w:lang w:val="en"/>
        </w:rPr>
        <w:t xml:space="preserve"> </w:t>
      </w:r>
    </w:p>
    <w:p w:rsidR="00C97481" w:rsidRDefault="00C97481" w:rsidP="000604CD">
      <w:pPr>
        <w:rPr>
          <w:lang w:val="en"/>
        </w:rPr>
      </w:pPr>
      <w:r w:rsidRPr="000F5AB6">
        <w:t xml:space="preserve">Often, a </w:t>
      </w:r>
      <w:r w:rsidR="00AE5E5E">
        <w:t>long-term permanent resident’s</w:t>
      </w:r>
      <w:r w:rsidRPr="000F5AB6">
        <w:t xml:space="preserve"> visa is cancelled under section 501 because they have been convicted of a criminal offence. In such cases, </w:t>
      </w:r>
      <w:r w:rsidRPr="000F5AB6">
        <w:rPr>
          <w:lang w:val="en"/>
        </w:rPr>
        <w:t xml:space="preserve">the person’s visa is </w:t>
      </w:r>
      <w:r w:rsidR="00677CA3">
        <w:rPr>
          <w:lang w:val="en"/>
        </w:rPr>
        <w:t xml:space="preserve">usually </w:t>
      </w:r>
      <w:r w:rsidRPr="000F5AB6">
        <w:rPr>
          <w:lang w:val="en"/>
        </w:rPr>
        <w:t>cancelled when they are near the end of serving their prison sentence</w:t>
      </w:r>
      <w:r w:rsidR="00C42420">
        <w:rPr>
          <w:lang w:val="en"/>
        </w:rPr>
        <w:t xml:space="preserve">. On completion of their </w:t>
      </w:r>
      <w:r w:rsidR="00671BA2">
        <w:rPr>
          <w:lang w:val="en"/>
        </w:rPr>
        <w:t>sentence</w:t>
      </w:r>
      <w:r w:rsidRPr="000F5AB6">
        <w:rPr>
          <w:lang w:val="en"/>
        </w:rPr>
        <w:t xml:space="preserve"> they are placed in immigration detention</w:t>
      </w:r>
      <w:r>
        <w:rPr>
          <w:lang w:val="en"/>
        </w:rPr>
        <w:t>, because they no longer hold a valid visa</w:t>
      </w:r>
      <w:r w:rsidRPr="000F5AB6">
        <w:rPr>
          <w:lang w:val="en"/>
        </w:rPr>
        <w:t>.</w:t>
      </w:r>
      <w:r>
        <w:rPr>
          <w:lang w:val="en"/>
        </w:rPr>
        <w:t xml:space="preserve"> </w:t>
      </w:r>
      <w:r w:rsidRPr="000F5AB6">
        <w:rPr>
          <w:lang w:val="en"/>
        </w:rPr>
        <w:t>In 2008 the Commonwealth Ombudsman observed that it was not uncommon for people who were detained following cancellation of their visa under section 501 to spend more time in immigration detention than they did in prison.</w:t>
      </w:r>
      <w:r w:rsidRPr="00564802">
        <w:rPr>
          <w:rStyle w:val="EndnoteReference"/>
          <w:szCs w:val="20"/>
          <w:lang w:val="en"/>
        </w:rPr>
        <w:endnoteReference w:id="62"/>
      </w:r>
      <w:r w:rsidRPr="0025008A">
        <w:rPr>
          <w:lang w:val="en"/>
        </w:rPr>
        <w:t xml:space="preserve"> </w:t>
      </w:r>
    </w:p>
    <w:p w:rsidR="00ED6318" w:rsidRPr="00F05473" w:rsidRDefault="00ED6318" w:rsidP="00ED6318">
      <w:pPr>
        <w:rPr>
          <w:rFonts w:cs="Arial"/>
        </w:rPr>
      </w:pPr>
      <w:r>
        <w:rPr>
          <w:rFonts w:cs="Arial"/>
        </w:rPr>
        <w:t>Holding people in immigration detention for prolonged and indefinite periods can lead to breaches of Australia’s international obligations. Under article 9(1) of the ICCPR, the Australian Government has an obligation not to subject any person to arbitrary detention, including for immigration control purposes.</w:t>
      </w:r>
      <w:r>
        <w:rPr>
          <w:rStyle w:val="EndnoteReference"/>
          <w:rFonts w:cs="Arial"/>
        </w:rPr>
        <w:endnoteReference w:id="63"/>
      </w:r>
      <w:r>
        <w:rPr>
          <w:rFonts w:cs="Arial"/>
        </w:rPr>
        <w:t xml:space="preserve"> </w:t>
      </w:r>
      <w:r>
        <w:rPr>
          <w:lang w:val="en"/>
        </w:rPr>
        <w:t xml:space="preserve">Detention can be arbitrary even though it is provided for by law; arbitrariness in this context includes </w:t>
      </w:r>
      <w:r w:rsidRPr="0008596A">
        <w:rPr>
          <w:rFonts w:cs="Arial"/>
        </w:rPr>
        <w:t xml:space="preserve">concepts of </w:t>
      </w:r>
      <w:r w:rsidRPr="0008596A">
        <w:rPr>
          <w:rFonts w:cs="Arial"/>
          <w:lang w:val="en"/>
        </w:rPr>
        <w:t>‘inappropriateness, injust</w:t>
      </w:r>
      <w:r>
        <w:rPr>
          <w:rFonts w:cs="Arial"/>
          <w:lang w:val="en"/>
        </w:rPr>
        <w:t>ice and lack of predictability’.</w:t>
      </w:r>
      <w:r w:rsidR="00CE1FE7" w:rsidRPr="00C01B73">
        <w:rPr>
          <w:rStyle w:val="EndnoteReference"/>
          <w:rFonts w:cs="Arial"/>
          <w:szCs w:val="20"/>
          <w:lang w:val="en"/>
        </w:rPr>
        <w:endnoteReference w:id="64"/>
      </w:r>
      <w:r w:rsidR="00CE1FE7">
        <w:rPr>
          <w:rFonts w:cs="Arial"/>
          <w:lang w:val="en"/>
        </w:rPr>
        <w:t xml:space="preserve"> </w:t>
      </w:r>
      <w:r>
        <w:rPr>
          <w:rFonts w:cs="Arial"/>
          <w:lang w:val="en"/>
        </w:rPr>
        <w:t>Detention will also be arbitrary if it is a disproportionate response to a legitimate aim,</w:t>
      </w:r>
      <w:r w:rsidR="003A47DA">
        <w:rPr>
          <w:rStyle w:val="EndnoteReference"/>
          <w:rFonts w:cs="Arial"/>
          <w:lang w:val="en"/>
        </w:rPr>
        <w:endnoteReference w:id="65"/>
      </w:r>
      <w:r w:rsidR="003A47DA">
        <w:rPr>
          <w:rFonts w:cs="Arial"/>
          <w:lang w:val="en"/>
        </w:rPr>
        <w:t xml:space="preserve"> and/or if it continues beyond a period for which the Australian Government </w:t>
      </w:r>
      <w:r w:rsidR="003A47DA" w:rsidRPr="00DC25B8">
        <w:rPr>
          <w:rFonts w:cs="Arial"/>
        </w:rPr>
        <w:t>can pr</w:t>
      </w:r>
      <w:r w:rsidR="005E6331">
        <w:rPr>
          <w:rFonts w:cs="Arial"/>
        </w:rPr>
        <w:t>ovide appropriate justification</w:t>
      </w:r>
      <w:r w:rsidR="003A47DA">
        <w:t>.</w:t>
      </w:r>
      <w:r w:rsidR="003A47DA" w:rsidRPr="00C01B73">
        <w:rPr>
          <w:rStyle w:val="EndnoteReference"/>
          <w:szCs w:val="20"/>
        </w:rPr>
        <w:endnoteReference w:id="66"/>
      </w:r>
      <w:r w:rsidR="003A47DA">
        <w:rPr>
          <w:rFonts w:cs="Arial"/>
        </w:rPr>
        <w:t xml:space="preserve"> </w:t>
      </w:r>
    </w:p>
    <w:p w:rsidR="00314AF5" w:rsidRDefault="00ED6318" w:rsidP="00314AF5">
      <w:pPr>
        <w:rPr>
          <w:rFonts w:cs="Arial"/>
        </w:rPr>
      </w:pPr>
      <w:r>
        <w:rPr>
          <w:rFonts w:cs="Arial"/>
          <w:lang w:val="en"/>
        </w:rPr>
        <w:t>For over a decade t</w:t>
      </w:r>
      <w:r w:rsidRPr="003B01EB">
        <w:rPr>
          <w:rFonts w:cs="Arial"/>
          <w:lang w:val="en"/>
        </w:rPr>
        <w:t>he Commission has consistently called for an end to Australia’s system of mandat</w:t>
      </w:r>
      <w:r>
        <w:rPr>
          <w:rFonts w:cs="Arial"/>
          <w:lang w:val="en"/>
        </w:rPr>
        <w:t>ory</w:t>
      </w:r>
      <w:r w:rsidRPr="003B01EB">
        <w:rPr>
          <w:rFonts w:cs="Arial"/>
          <w:lang w:val="en"/>
        </w:rPr>
        <w:t xml:space="preserve"> detention </w:t>
      </w:r>
      <w:r>
        <w:rPr>
          <w:rFonts w:cs="Arial"/>
          <w:lang w:val="en"/>
        </w:rPr>
        <w:t xml:space="preserve">for ‘unlawful non-citizens’ </w:t>
      </w:r>
      <w:r w:rsidRPr="003B01EB">
        <w:rPr>
          <w:rFonts w:cs="Arial"/>
          <w:lang w:val="en"/>
        </w:rPr>
        <w:t>because it leads to breaches of Austral</w:t>
      </w:r>
      <w:r>
        <w:rPr>
          <w:rFonts w:cs="Arial"/>
          <w:lang w:val="en"/>
        </w:rPr>
        <w:t>ia’s international human rights obligations</w:t>
      </w:r>
      <w:r>
        <w:rPr>
          <w:rFonts w:cs="Arial"/>
        </w:rPr>
        <w:t>.</w:t>
      </w:r>
      <w:r w:rsidR="00001815">
        <w:rPr>
          <w:rStyle w:val="EndnoteReference"/>
          <w:rFonts w:cs="Arial"/>
        </w:rPr>
        <w:endnoteReference w:id="67"/>
      </w:r>
      <w:r w:rsidR="00001815">
        <w:rPr>
          <w:rFonts w:cs="Arial"/>
        </w:rPr>
        <w:t xml:space="preserve"> </w:t>
      </w:r>
      <w:r>
        <w:rPr>
          <w:lang w:val="en"/>
        </w:rPr>
        <w:t>The Commission is concerned that a blanket policy of mandatory detention for all people</w:t>
      </w:r>
      <w:r>
        <w:rPr>
          <w:rFonts w:cs="Arial"/>
        </w:rPr>
        <w:t xml:space="preserve"> who have their visa refused or cancelled under section 501 may result in the detention of some individuals </w:t>
      </w:r>
      <w:r>
        <w:rPr>
          <w:lang w:val="en"/>
        </w:rPr>
        <w:t>who do not, in fact, pose a significant risk to the Australian community.</w:t>
      </w:r>
      <w:r>
        <w:rPr>
          <w:rFonts w:cs="Arial"/>
        </w:rPr>
        <w:t xml:space="preserve"> The failure to impose a set time limit on </w:t>
      </w:r>
      <w:r w:rsidR="00AA540E">
        <w:rPr>
          <w:rFonts w:cs="Arial"/>
        </w:rPr>
        <w:t xml:space="preserve">their </w:t>
      </w:r>
      <w:r>
        <w:rPr>
          <w:rFonts w:cs="Arial"/>
        </w:rPr>
        <w:t>detention increase</w:t>
      </w:r>
      <w:r w:rsidR="00785371">
        <w:rPr>
          <w:rFonts w:cs="Arial"/>
        </w:rPr>
        <w:t>s</w:t>
      </w:r>
      <w:r>
        <w:rPr>
          <w:rFonts w:cs="Arial"/>
        </w:rPr>
        <w:t xml:space="preserve"> the risk that some </w:t>
      </w:r>
      <w:r>
        <w:rPr>
          <w:lang w:val="en"/>
        </w:rPr>
        <w:t>individuals will be held in immigration detention for prolonged or indefinite periods,</w:t>
      </w:r>
      <w:r w:rsidR="00AA540E">
        <w:rPr>
          <w:lang w:val="en"/>
        </w:rPr>
        <w:t xml:space="preserve"> contrary to article 9</w:t>
      </w:r>
      <w:r w:rsidR="001B3D58">
        <w:rPr>
          <w:lang w:val="en"/>
        </w:rPr>
        <w:t>(1)</w:t>
      </w:r>
      <w:r w:rsidR="00AA540E">
        <w:rPr>
          <w:lang w:val="en"/>
        </w:rPr>
        <w:t xml:space="preserve"> of the ICCPR</w:t>
      </w:r>
      <w:r w:rsidR="00314AF5">
        <w:rPr>
          <w:rFonts w:cs="Arial"/>
        </w:rPr>
        <w:t>.</w:t>
      </w:r>
    </w:p>
    <w:p w:rsidR="0041104F" w:rsidRPr="00C2483D" w:rsidRDefault="00061BEB" w:rsidP="0041104F">
      <w:pPr>
        <w:pStyle w:val="Heading3"/>
      </w:pPr>
      <w:r w:rsidRPr="00C2483D">
        <w:lastRenderedPageBreak/>
        <w:t>Relevance of</w:t>
      </w:r>
      <w:r w:rsidR="0041104F" w:rsidRPr="00C2483D">
        <w:t xml:space="preserve"> Australia’s </w:t>
      </w:r>
      <w:r w:rsidR="0041104F" w:rsidRPr="00C2483D">
        <w:rPr>
          <w:i w:val="0"/>
        </w:rPr>
        <w:t>non-refoulement</w:t>
      </w:r>
      <w:r w:rsidR="0041104F" w:rsidRPr="00C2483D">
        <w:t xml:space="preserve"> obligations</w:t>
      </w:r>
      <w:r w:rsidR="00417303">
        <w:t xml:space="preserve"> to risk of arbitrary detention</w:t>
      </w:r>
    </w:p>
    <w:p w:rsidR="00BF0E37" w:rsidRDefault="00061BEB" w:rsidP="00314AF5">
      <w:pPr>
        <w:spacing w:before="0" w:after="120"/>
        <w:rPr>
          <w:rFonts w:cs="Arial"/>
        </w:rPr>
      </w:pPr>
      <w:r w:rsidRPr="00C2483D">
        <w:rPr>
          <w:rFonts w:cs="Arial"/>
        </w:rPr>
        <w:t xml:space="preserve">In some cases, </w:t>
      </w:r>
      <w:r w:rsidR="00A24751" w:rsidRPr="00C2483D">
        <w:rPr>
          <w:rFonts w:cs="Arial"/>
        </w:rPr>
        <w:t>people who have their visa application refused or visa cancelled on character grounds</w:t>
      </w:r>
      <w:r w:rsidRPr="00C2483D">
        <w:rPr>
          <w:rFonts w:cs="Arial"/>
        </w:rPr>
        <w:t xml:space="preserve"> </w:t>
      </w:r>
      <w:r w:rsidR="000604CD" w:rsidRPr="00C2483D">
        <w:rPr>
          <w:rFonts w:cs="Arial"/>
        </w:rPr>
        <w:t>cannot be returned to</w:t>
      </w:r>
      <w:r w:rsidR="00C847F3" w:rsidRPr="00C2483D">
        <w:rPr>
          <w:rFonts w:cs="Arial"/>
        </w:rPr>
        <w:t xml:space="preserve"> their country of origin </w:t>
      </w:r>
      <w:r w:rsidR="007D2A40" w:rsidRPr="00C2483D">
        <w:rPr>
          <w:rFonts w:cs="Arial"/>
        </w:rPr>
        <w:t xml:space="preserve">because </w:t>
      </w:r>
      <w:r w:rsidR="00BA64EA" w:rsidRPr="00C2483D">
        <w:rPr>
          <w:rFonts w:cs="Arial"/>
        </w:rPr>
        <w:t xml:space="preserve">of </w:t>
      </w:r>
      <w:r w:rsidR="00915C24" w:rsidRPr="00C2483D">
        <w:rPr>
          <w:rFonts w:cs="Arial"/>
        </w:rPr>
        <w:t>Australia</w:t>
      </w:r>
      <w:r w:rsidR="00BA64EA" w:rsidRPr="00C2483D">
        <w:rPr>
          <w:rFonts w:cs="Arial"/>
        </w:rPr>
        <w:t xml:space="preserve">’s </w:t>
      </w:r>
      <w:r w:rsidR="00915C24" w:rsidRPr="00C2483D">
        <w:rPr>
          <w:rFonts w:cs="Arial"/>
        </w:rPr>
        <w:t>international obligation</w:t>
      </w:r>
      <w:r w:rsidR="008D3902" w:rsidRPr="00C2483D">
        <w:rPr>
          <w:rFonts w:cs="Arial"/>
        </w:rPr>
        <w:t>s</w:t>
      </w:r>
      <w:r w:rsidR="00C847F3" w:rsidRPr="00C2483D">
        <w:rPr>
          <w:rFonts w:cs="Arial"/>
        </w:rPr>
        <w:t>.</w:t>
      </w:r>
      <w:r w:rsidR="00314AF5" w:rsidRPr="00C2483D">
        <w:rPr>
          <w:rFonts w:cs="Arial"/>
        </w:rPr>
        <w:t xml:space="preserve"> </w:t>
      </w:r>
      <w:r w:rsidR="003717CF" w:rsidRPr="00C2483D">
        <w:rPr>
          <w:rFonts w:cs="Arial"/>
        </w:rPr>
        <w:t>Th</w:t>
      </w:r>
      <w:r w:rsidR="002232C7" w:rsidRPr="00C2483D">
        <w:rPr>
          <w:rFonts w:cs="Arial"/>
        </w:rPr>
        <w:t xml:space="preserve">e will be the situation of </w:t>
      </w:r>
      <w:r w:rsidR="003717CF" w:rsidRPr="00C2483D">
        <w:rPr>
          <w:rFonts w:cs="Arial"/>
        </w:rPr>
        <w:t xml:space="preserve">all </w:t>
      </w:r>
      <w:r w:rsidR="00830342" w:rsidRPr="00C2483D">
        <w:rPr>
          <w:rFonts w:cs="Arial"/>
        </w:rPr>
        <w:t xml:space="preserve">people </w:t>
      </w:r>
      <w:r w:rsidR="003717CF" w:rsidRPr="00C2483D">
        <w:rPr>
          <w:rFonts w:cs="Arial"/>
        </w:rPr>
        <w:t>who are</w:t>
      </w:r>
      <w:r w:rsidR="002232C7" w:rsidRPr="00C2483D">
        <w:rPr>
          <w:rFonts w:cs="Arial"/>
        </w:rPr>
        <w:t xml:space="preserve"> denied a protection visa on character grounds, but are</w:t>
      </w:r>
      <w:r w:rsidR="003717CF" w:rsidRPr="00C2483D">
        <w:rPr>
          <w:rFonts w:cs="Arial"/>
        </w:rPr>
        <w:t xml:space="preserve"> recognised as refugees under the Refugee Convention.</w:t>
      </w:r>
      <w:r w:rsidR="003717CF">
        <w:rPr>
          <w:rFonts w:cs="Arial"/>
        </w:rPr>
        <w:t xml:space="preserve"> As a party to that</w:t>
      </w:r>
      <w:r w:rsidR="00543C70">
        <w:rPr>
          <w:rFonts w:cs="Arial"/>
        </w:rPr>
        <w:t xml:space="preserve"> </w:t>
      </w:r>
      <w:r w:rsidR="00314AF5">
        <w:rPr>
          <w:rFonts w:cs="Arial"/>
        </w:rPr>
        <w:t>Convention, Australia</w:t>
      </w:r>
      <w:r w:rsidR="00543C70">
        <w:rPr>
          <w:rFonts w:cs="Arial"/>
        </w:rPr>
        <w:t xml:space="preserve"> has a legal obligation not to </w:t>
      </w:r>
      <w:r w:rsidR="00543C70" w:rsidRPr="00760802">
        <w:rPr>
          <w:rFonts w:cs="Arial"/>
          <w:i/>
        </w:rPr>
        <w:t>refoule</w:t>
      </w:r>
      <w:r w:rsidR="00543C70">
        <w:rPr>
          <w:rFonts w:cs="Arial"/>
        </w:rPr>
        <w:t xml:space="preserve"> (that is, expel or return) a refugee to a country where their life or freedom would be threatened on account of their race, religion, nationality, membership of a particular social group or political opinion.</w:t>
      </w:r>
      <w:r w:rsidR="00BF0E37">
        <w:rPr>
          <w:rStyle w:val="EndnoteReference"/>
          <w:rFonts w:cs="Arial"/>
        </w:rPr>
        <w:endnoteReference w:id="68"/>
      </w:r>
      <w:r w:rsidR="00BF0E37">
        <w:rPr>
          <w:rFonts w:cs="Arial"/>
        </w:rPr>
        <w:t xml:space="preserve"> However, this </w:t>
      </w:r>
      <w:r w:rsidR="00BF0E37" w:rsidRPr="006C7233">
        <w:rPr>
          <w:rFonts w:cs="Arial"/>
          <w:i/>
        </w:rPr>
        <w:t>non-refoulement</w:t>
      </w:r>
      <w:r w:rsidR="00BF0E37">
        <w:rPr>
          <w:rFonts w:cs="Arial"/>
        </w:rPr>
        <w:t xml:space="preserve"> obligation under the Refugee Convention does not apply to a refugee if there are reasonable grounds for regarding that person as a danger to Australia’s security, or if that person, having been convicted by final judgment of a particularly serious crime, constitutes a danger to the Australian community.</w:t>
      </w:r>
      <w:r w:rsidR="00BF0E37">
        <w:rPr>
          <w:rStyle w:val="EndnoteReference"/>
          <w:rFonts w:cs="Arial"/>
        </w:rPr>
        <w:endnoteReference w:id="69"/>
      </w:r>
    </w:p>
    <w:p w:rsidR="00BF0E37" w:rsidRDefault="00BF0E37" w:rsidP="00543C70">
      <w:pPr>
        <w:spacing w:after="120"/>
        <w:rPr>
          <w:rFonts w:cs="Arial"/>
        </w:rPr>
      </w:pPr>
      <w:r>
        <w:rPr>
          <w:rFonts w:cs="Arial"/>
        </w:rPr>
        <w:t xml:space="preserve">In some cases, the grounds under which a person may be excluded from the </w:t>
      </w:r>
      <w:r w:rsidRPr="007B3E03">
        <w:rPr>
          <w:rFonts w:cs="Arial"/>
          <w:i/>
        </w:rPr>
        <w:t>non-refoulement</w:t>
      </w:r>
      <w:r>
        <w:rPr>
          <w:rFonts w:cs="Arial"/>
        </w:rPr>
        <w:t xml:space="preserve"> obligation under the Refugee Convention may overlap with the grounds upon which a person will fail the section 501 character test under the Migration Act (for example, because they have a ‘substantial criminal record’</w:t>
      </w:r>
      <w:r>
        <w:rPr>
          <w:rStyle w:val="EndnoteReference"/>
          <w:rFonts w:cs="Arial"/>
        </w:rPr>
        <w:endnoteReference w:id="70"/>
      </w:r>
      <w:r>
        <w:rPr>
          <w:rFonts w:cs="Arial"/>
        </w:rPr>
        <w:t xml:space="preserve">). </w:t>
      </w:r>
    </w:p>
    <w:p w:rsidR="00BF0E37" w:rsidRDefault="00BF0E37" w:rsidP="00543C70">
      <w:pPr>
        <w:spacing w:after="120"/>
        <w:rPr>
          <w:rFonts w:cs="Arial"/>
        </w:rPr>
      </w:pPr>
      <w:r>
        <w:rPr>
          <w:rFonts w:cs="Arial"/>
        </w:rPr>
        <w:t xml:space="preserve">However, some of the grounds upon which a person will fail the section 501 character test are much broader than the grounds upon which a person can be excluded from the </w:t>
      </w:r>
      <w:r w:rsidRPr="00196DB8">
        <w:rPr>
          <w:rFonts w:cs="Arial"/>
          <w:i/>
        </w:rPr>
        <w:t>non-refoulement</w:t>
      </w:r>
      <w:r>
        <w:rPr>
          <w:rFonts w:cs="Arial"/>
        </w:rPr>
        <w:t xml:space="preserve"> obligation under the Refugee Convention. The exclusion grounds in the Refugee Convention require that a person be a danger to Australia’s security or to the Australian community – whereas a person can fail the section 501 character test on grounds as general as being ‘not of good character’ having regard to their ‘past or present general conduct’.</w:t>
      </w:r>
      <w:r>
        <w:rPr>
          <w:rStyle w:val="EndnoteReference"/>
          <w:rFonts w:cs="Arial"/>
        </w:rPr>
        <w:endnoteReference w:id="71"/>
      </w:r>
    </w:p>
    <w:p w:rsidR="00543C70" w:rsidRDefault="00BF0E37" w:rsidP="00543C70">
      <w:pPr>
        <w:spacing w:after="120"/>
        <w:rPr>
          <w:rFonts w:cs="Arial"/>
        </w:rPr>
      </w:pPr>
      <w:r>
        <w:rPr>
          <w:rFonts w:cs="Arial"/>
        </w:rPr>
        <w:t xml:space="preserve">Further, Australia may owe </w:t>
      </w:r>
      <w:r w:rsidRPr="0056771B">
        <w:rPr>
          <w:rFonts w:cs="Arial"/>
          <w:i/>
        </w:rPr>
        <w:t>non-refoulement</w:t>
      </w:r>
      <w:r>
        <w:rPr>
          <w:rFonts w:cs="Arial"/>
        </w:rPr>
        <w:t xml:space="preserve"> obligations to a person even if they are not a recognised refugee. In addition to its obligations under the Refugee Convention, </w:t>
      </w:r>
      <w:r w:rsidRPr="00F212DE">
        <w:rPr>
          <w:rFonts w:cs="Arial"/>
        </w:rPr>
        <w:t xml:space="preserve">Australia </w:t>
      </w:r>
      <w:r>
        <w:rPr>
          <w:rFonts w:cs="Arial"/>
        </w:rPr>
        <w:t xml:space="preserve">also </w:t>
      </w:r>
      <w:r w:rsidRPr="00F212DE">
        <w:rPr>
          <w:rFonts w:cs="Arial"/>
        </w:rPr>
        <w:t xml:space="preserve">has </w:t>
      </w:r>
      <w:r w:rsidRPr="00F212DE">
        <w:rPr>
          <w:rFonts w:cs="Arial"/>
          <w:i/>
        </w:rPr>
        <w:t>non-refoulement</w:t>
      </w:r>
      <w:r w:rsidRPr="00F212DE">
        <w:rPr>
          <w:rFonts w:cs="Arial"/>
        </w:rPr>
        <w:t xml:space="preserve"> obligations under the </w:t>
      </w:r>
      <w:r w:rsidRPr="00317BF0">
        <w:rPr>
          <w:rFonts w:cs="Arial"/>
        </w:rPr>
        <w:t>ICCPR,</w:t>
      </w:r>
      <w:r w:rsidRPr="00317BF0">
        <w:rPr>
          <w:rStyle w:val="EndnoteReference"/>
          <w:rFonts w:cs="Arial"/>
        </w:rPr>
        <w:endnoteReference w:id="72"/>
      </w:r>
      <w:r>
        <w:rPr>
          <w:rFonts w:cs="Arial"/>
        </w:rPr>
        <w:t xml:space="preserve"> </w:t>
      </w:r>
      <w:r w:rsidRPr="00317BF0">
        <w:rPr>
          <w:rFonts w:cs="Arial"/>
        </w:rPr>
        <w:t xml:space="preserve">the </w:t>
      </w:r>
      <w:r>
        <w:rPr>
          <w:rFonts w:cs="Arial"/>
        </w:rPr>
        <w:t>CAT,</w:t>
      </w:r>
      <w:r w:rsidRPr="00317BF0">
        <w:rPr>
          <w:rStyle w:val="EndnoteReference"/>
          <w:rFonts w:cs="Arial"/>
        </w:rPr>
        <w:endnoteReference w:id="73"/>
      </w:r>
      <w:r w:rsidRPr="00317BF0">
        <w:rPr>
          <w:rFonts w:cs="Arial"/>
        </w:rPr>
        <w:t xml:space="preserve"> </w:t>
      </w:r>
      <w:r>
        <w:rPr>
          <w:rFonts w:cs="Arial"/>
        </w:rPr>
        <w:t xml:space="preserve">and </w:t>
      </w:r>
      <w:r w:rsidRPr="00317BF0">
        <w:rPr>
          <w:rFonts w:cs="Arial"/>
        </w:rPr>
        <w:t xml:space="preserve">the </w:t>
      </w:r>
      <w:r w:rsidR="009D0B2B" w:rsidRPr="005D22AC">
        <w:rPr>
          <w:i/>
        </w:rPr>
        <w:t xml:space="preserve">Convention on the Rights of the Child </w:t>
      </w:r>
      <w:r w:rsidR="009D0B2B" w:rsidRPr="005D22AC">
        <w:t>(CRC).</w:t>
      </w:r>
      <w:r w:rsidR="009D0B2B" w:rsidRPr="005D22AC">
        <w:rPr>
          <w:rStyle w:val="EndnoteReference"/>
        </w:rPr>
        <w:endnoteReference w:id="74"/>
      </w:r>
      <w:r w:rsidRPr="005D22AC">
        <w:rPr>
          <w:rFonts w:cs="Arial"/>
        </w:rPr>
        <w:t xml:space="preserve"> </w:t>
      </w:r>
      <w:r w:rsidR="00543C70" w:rsidRPr="005D22AC">
        <w:rPr>
          <w:rFonts w:cs="Arial"/>
        </w:rPr>
        <w:t>These</w:t>
      </w:r>
      <w:r w:rsidR="00543C70" w:rsidRPr="00716469">
        <w:rPr>
          <w:rFonts w:cs="Arial"/>
        </w:rPr>
        <w:t xml:space="preserve"> </w:t>
      </w:r>
      <w:r w:rsidR="00543C70" w:rsidRPr="000E4AED">
        <w:rPr>
          <w:rFonts w:cs="Arial"/>
          <w:i/>
        </w:rPr>
        <w:t>non-refoulement</w:t>
      </w:r>
      <w:r w:rsidR="00543C70">
        <w:rPr>
          <w:rFonts w:cs="Arial"/>
        </w:rPr>
        <w:t xml:space="preserve"> </w:t>
      </w:r>
      <w:r w:rsidR="00543C70" w:rsidRPr="00716469">
        <w:rPr>
          <w:rFonts w:cs="Arial"/>
        </w:rPr>
        <w:t xml:space="preserve">obligations mean that Australia </w:t>
      </w:r>
      <w:r w:rsidR="00543C70">
        <w:rPr>
          <w:rFonts w:cs="Arial"/>
        </w:rPr>
        <w:t xml:space="preserve">must not </w:t>
      </w:r>
      <w:r w:rsidR="00543C70" w:rsidRPr="00716469">
        <w:rPr>
          <w:rFonts w:cs="Arial"/>
        </w:rPr>
        <w:t xml:space="preserve">return </w:t>
      </w:r>
      <w:r w:rsidR="00543C70">
        <w:rPr>
          <w:rFonts w:cs="Arial"/>
        </w:rPr>
        <w:t>a</w:t>
      </w:r>
      <w:r w:rsidR="0056771B">
        <w:rPr>
          <w:rFonts w:cs="Arial"/>
        </w:rPr>
        <w:t>ny</w:t>
      </w:r>
      <w:r w:rsidR="00543C70">
        <w:rPr>
          <w:rFonts w:cs="Arial"/>
        </w:rPr>
        <w:t xml:space="preserve"> </w:t>
      </w:r>
      <w:r w:rsidR="00543C70" w:rsidRPr="00716469">
        <w:rPr>
          <w:rFonts w:cs="Arial"/>
        </w:rPr>
        <w:t>pe</w:t>
      </w:r>
      <w:r w:rsidR="00543C70">
        <w:rPr>
          <w:rFonts w:cs="Arial"/>
        </w:rPr>
        <w:t>rson</w:t>
      </w:r>
      <w:r w:rsidR="00543C70" w:rsidRPr="00716469">
        <w:rPr>
          <w:rFonts w:cs="Arial"/>
        </w:rPr>
        <w:t xml:space="preserve"> </w:t>
      </w:r>
      <w:r w:rsidR="0056771B">
        <w:rPr>
          <w:rFonts w:cs="Arial"/>
        </w:rPr>
        <w:t xml:space="preserve">who is in Australia </w:t>
      </w:r>
      <w:r w:rsidR="00543C70" w:rsidRPr="00716469">
        <w:rPr>
          <w:rFonts w:cs="Arial"/>
        </w:rPr>
        <w:t xml:space="preserve">to </w:t>
      </w:r>
      <w:r w:rsidR="00543C70">
        <w:rPr>
          <w:rFonts w:cs="Arial"/>
        </w:rPr>
        <w:t xml:space="preserve">a </w:t>
      </w:r>
      <w:r w:rsidR="00543C70" w:rsidRPr="00716469">
        <w:rPr>
          <w:rFonts w:cs="Arial"/>
        </w:rPr>
        <w:t>countr</w:t>
      </w:r>
      <w:r w:rsidR="00543C70">
        <w:rPr>
          <w:rFonts w:cs="Arial"/>
        </w:rPr>
        <w:t>y</w:t>
      </w:r>
      <w:r w:rsidR="00543C70" w:rsidRPr="00716469">
        <w:rPr>
          <w:rFonts w:cs="Arial"/>
        </w:rPr>
        <w:t xml:space="preserve"> where</w:t>
      </w:r>
      <w:r w:rsidR="00543C70">
        <w:rPr>
          <w:rFonts w:cs="Arial"/>
        </w:rPr>
        <w:t xml:space="preserve"> there are substantial grounds for believing that they face a real risk of death, torture or cruel,</w:t>
      </w:r>
      <w:r w:rsidR="00E82E04">
        <w:rPr>
          <w:rFonts w:cs="Arial"/>
        </w:rPr>
        <w:t xml:space="preserve"> inhuman or degrading treatment</w:t>
      </w:r>
      <w:r w:rsidR="001F7364">
        <w:rPr>
          <w:rFonts w:cs="Arial"/>
        </w:rPr>
        <w:t xml:space="preserve"> or punishment</w:t>
      </w:r>
      <w:r w:rsidR="00543C70">
        <w:rPr>
          <w:rFonts w:cs="Arial"/>
        </w:rPr>
        <w:t xml:space="preserve">. Unlike the </w:t>
      </w:r>
      <w:r w:rsidR="00543C70" w:rsidRPr="009825BA">
        <w:rPr>
          <w:rFonts w:cs="Arial"/>
          <w:i/>
        </w:rPr>
        <w:t>non-refoulement</w:t>
      </w:r>
      <w:r w:rsidR="00543C70">
        <w:rPr>
          <w:rFonts w:cs="Arial"/>
        </w:rPr>
        <w:t xml:space="preserve"> obligation under the Refugee Convention, these </w:t>
      </w:r>
      <w:r w:rsidR="00543C70" w:rsidRPr="009825BA">
        <w:rPr>
          <w:rFonts w:cs="Arial"/>
          <w:i/>
        </w:rPr>
        <w:t>non-refoulement</w:t>
      </w:r>
      <w:r w:rsidR="00543C70">
        <w:rPr>
          <w:rFonts w:cs="Arial"/>
        </w:rPr>
        <w:t xml:space="preserve"> obligations are absolute. That is, there are no situations in which the person’s expulsion or removal can be justified if there are substantial grounds for believing that there is a real risk of these types of harms occurring.</w:t>
      </w:r>
    </w:p>
    <w:p w:rsidR="00543C70" w:rsidRPr="00502119" w:rsidRDefault="00543C70" w:rsidP="00543C70">
      <w:pPr>
        <w:spacing w:after="120"/>
        <w:rPr>
          <w:rFonts w:cs="Arial"/>
        </w:rPr>
      </w:pPr>
      <w:r w:rsidRPr="00502119">
        <w:rPr>
          <w:rFonts w:cs="Arial"/>
        </w:rPr>
        <w:t xml:space="preserve">In practical terms, the narrow exceptions to </w:t>
      </w:r>
      <w:r w:rsidRPr="00011A25">
        <w:rPr>
          <w:rFonts w:cs="Arial"/>
        </w:rPr>
        <w:t xml:space="preserve">the </w:t>
      </w:r>
      <w:r w:rsidRPr="00011A25">
        <w:rPr>
          <w:rFonts w:cs="Arial"/>
          <w:i/>
        </w:rPr>
        <w:t>non-refoulement</w:t>
      </w:r>
      <w:r w:rsidRPr="00011A25">
        <w:rPr>
          <w:rFonts w:cs="Arial"/>
        </w:rPr>
        <w:t xml:space="preserve"> protection under the Refugee Convention, and the absolute nature of the </w:t>
      </w:r>
      <w:r w:rsidRPr="00011A25">
        <w:rPr>
          <w:rFonts w:cs="Arial"/>
          <w:i/>
        </w:rPr>
        <w:t>non-refoulement</w:t>
      </w:r>
      <w:r w:rsidRPr="00502119">
        <w:rPr>
          <w:rFonts w:cs="Arial"/>
        </w:rPr>
        <w:t xml:space="preserve"> obligations u</w:t>
      </w:r>
      <w:r>
        <w:rPr>
          <w:rFonts w:cs="Arial"/>
        </w:rPr>
        <w:t>nder the ICCPR, the CAT</w:t>
      </w:r>
      <w:r w:rsidRPr="00502119">
        <w:rPr>
          <w:rFonts w:cs="Arial"/>
        </w:rPr>
        <w:t xml:space="preserve"> and the CRC, </w:t>
      </w:r>
      <w:r w:rsidR="0033675F">
        <w:rPr>
          <w:rFonts w:cs="Arial"/>
        </w:rPr>
        <w:t>may result in refugees and other</w:t>
      </w:r>
      <w:r w:rsidR="005F318B">
        <w:rPr>
          <w:rFonts w:cs="Arial"/>
        </w:rPr>
        <w:t xml:space="preserve"> people</w:t>
      </w:r>
      <w:r w:rsidRPr="00502119">
        <w:rPr>
          <w:rFonts w:cs="Arial"/>
        </w:rPr>
        <w:t>:</w:t>
      </w:r>
    </w:p>
    <w:p w:rsidR="00543C70" w:rsidRPr="00502119" w:rsidRDefault="005F318B" w:rsidP="005F318B">
      <w:pPr>
        <w:pStyle w:val="ListParagraph"/>
        <w:numPr>
          <w:ilvl w:val="0"/>
          <w:numId w:val="32"/>
        </w:numPr>
        <w:spacing w:before="0" w:after="120"/>
        <w:ind w:left="714" w:hanging="357"/>
        <w:contextualSpacing w:val="0"/>
        <w:rPr>
          <w:rFonts w:cs="Arial"/>
        </w:rPr>
      </w:pPr>
      <w:r>
        <w:rPr>
          <w:rFonts w:cs="Arial"/>
        </w:rPr>
        <w:t>being refused a visa</w:t>
      </w:r>
      <w:r w:rsidR="000E5651">
        <w:rPr>
          <w:rFonts w:cs="Arial"/>
        </w:rPr>
        <w:t xml:space="preserve"> (including a protection visa)</w:t>
      </w:r>
      <w:r>
        <w:rPr>
          <w:rFonts w:cs="Arial"/>
        </w:rPr>
        <w:t xml:space="preserve"> or having their visa cancelled</w:t>
      </w:r>
      <w:r w:rsidR="00A81EE6">
        <w:rPr>
          <w:rFonts w:cs="Arial"/>
        </w:rPr>
        <w:t xml:space="preserve"> under section 501</w:t>
      </w:r>
      <w:r w:rsidR="00543C70" w:rsidRPr="00502119">
        <w:rPr>
          <w:rFonts w:cs="Arial"/>
        </w:rPr>
        <w:t xml:space="preserve"> because they fail the character test, but</w:t>
      </w:r>
    </w:p>
    <w:p w:rsidR="00543C70" w:rsidRPr="00502119" w:rsidRDefault="005F318B" w:rsidP="005F318B">
      <w:pPr>
        <w:pStyle w:val="ListParagraph"/>
        <w:numPr>
          <w:ilvl w:val="0"/>
          <w:numId w:val="32"/>
        </w:numPr>
        <w:spacing w:before="0" w:after="120"/>
        <w:ind w:left="714" w:hanging="357"/>
        <w:contextualSpacing w:val="0"/>
        <w:rPr>
          <w:rFonts w:cs="Arial"/>
        </w:rPr>
      </w:pPr>
      <w:r>
        <w:rPr>
          <w:rFonts w:cs="Arial"/>
        </w:rPr>
        <w:t xml:space="preserve">being </w:t>
      </w:r>
      <w:r w:rsidR="00543C70" w:rsidRPr="00502119">
        <w:rPr>
          <w:rFonts w:cs="Arial"/>
        </w:rPr>
        <w:t xml:space="preserve">found to engage Australia’s </w:t>
      </w:r>
      <w:r w:rsidR="00543C70" w:rsidRPr="00502119">
        <w:rPr>
          <w:rFonts w:cs="Arial"/>
          <w:i/>
        </w:rPr>
        <w:t>non-refoulement</w:t>
      </w:r>
      <w:r w:rsidR="00543C70" w:rsidRPr="00502119">
        <w:rPr>
          <w:rFonts w:cs="Arial"/>
        </w:rPr>
        <w:t xml:space="preserve"> obligations (whether under the Refugee Convention or the other international treaties).</w:t>
      </w:r>
    </w:p>
    <w:p w:rsidR="003316E7" w:rsidRDefault="00543C70" w:rsidP="00AE5899">
      <w:pPr>
        <w:spacing w:after="120"/>
        <w:rPr>
          <w:rFonts w:cs="Arial"/>
        </w:rPr>
      </w:pPr>
      <w:r w:rsidRPr="004F0881">
        <w:rPr>
          <w:rFonts w:cs="Arial"/>
        </w:rPr>
        <w:t xml:space="preserve">The Commission is concerned about the fate of those people who fall into this legal limbo. </w:t>
      </w:r>
      <w:r w:rsidR="00D23C5A" w:rsidRPr="004F0881">
        <w:rPr>
          <w:rFonts w:cs="Arial"/>
        </w:rPr>
        <w:t xml:space="preserve">Under the Migration Act they must remain in immigration detention until they </w:t>
      </w:r>
      <w:r w:rsidR="00D23C5A" w:rsidRPr="004F0881">
        <w:rPr>
          <w:rFonts w:cs="Arial"/>
        </w:rPr>
        <w:lastRenderedPageBreak/>
        <w:t>are either granted a visa or removed from Australia</w:t>
      </w:r>
      <w:r w:rsidR="003D4FAB" w:rsidRPr="004F0881">
        <w:rPr>
          <w:rFonts w:cs="Arial"/>
        </w:rPr>
        <w:t xml:space="preserve">, but under international law they cannot be returned to a country where </w:t>
      </w:r>
      <w:r w:rsidR="00781AD2" w:rsidRPr="004F0881">
        <w:rPr>
          <w:rFonts w:cs="Arial"/>
        </w:rPr>
        <w:t xml:space="preserve">there is </w:t>
      </w:r>
      <w:r w:rsidR="003D4FAB" w:rsidRPr="004F0881">
        <w:rPr>
          <w:rFonts w:cs="Arial"/>
        </w:rPr>
        <w:t xml:space="preserve">a </w:t>
      </w:r>
      <w:r w:rsidR="00B8672B" w:rsidRPr="004F0881">
        <w:rPr>
          <w:rFonts w:cs="Arial"/>
        </w:rPr>
        <w:t xml:space="preserve">real </w:t>
      </w:r>
      <w:r w:rsidR="003D4FAB" w:rsidRPr="004F0881">
        <w:rPr>
          <w:rFonts w:cs="Arial"/>
        </w:rPr>
        <w:t xml:space="preserve">risk </w:t>
      </w:r>
      <w:r w:rsidR="00781AD2" w:rsidRPr="004F0881">
        <w:rPr>
          <w:rFonts w:cs="Arial"/>
        </w:rPr>
        <w:t xml:space="preserve">they would face </w:t>
      </w:r>
      <w:r w:rsidR="003D4FAB" w:rsidRPr="004F0881">
        <w:rPr>
          <w:rFonts w:cs="Arial"/>
        </w:rPr>
        <w:t>persecution or significant harm.</w:t>
      </w:r>
      <w:r w:rsidRPr="004F0881">
        <w:rPr>
          <w:rFonts w:cs="Arial"/>
        </w:rPr>
        <w:t xml:space="preserve"> </w:t>
      </w:r>
      <w:r w:rsidR="00944B12" w:rsidRPr="004F0881">
        <w:rPr>
          <w:rFonts w:cs="Arial"/>
        </w:rPr>
        <w:t xml:space="preserve">Unless they can meet the requirements for grant of a protection visa (which </w:t>
      </w:r>
      <w:r w:rsidR="007135A0" w:rsidRPr="004F0881">
        <w:rPr>
          <w:rFonts w:cs="Arial"/>
        </w:rPr>
        <w:t xml:space="preserve">itself </w:t>
      </w:r>
      <w:r w:rsidR="00DD2ADD">
        <w:rPr>
          <w:rFonts w:cs="Arial"/>
        </w:rPr>
        <w:t>includes satisfying</w:t>
      </w:r>
      <w:r w:rsidR="00944B12" w:rsidRPr="004F0881">
        <w:rPr>
          <w:rFonts w:cs="Arial"/>
        </w:rPr>
        <w:t xml:space="preserve"> the character test),</w:t>
      </w:r>
      <w:r w:rsidR="003316E7" w:rsidRPr="004F0881">
        <w:rPr>
          <w:rStyle w:val="EndnoteReference"/>
          <w:rFonts w:cs="Arial"/>
        </w:rPr>
        <w:endnoteReference w:id="75"/>
      </w:r>
      <w:r w:rsidR="009760BB" w:rsidRPr="004F0881">
        <w:rPr>
          <w:rFonts w:cs="Arial"/>
        </w:rPr>
        <w:t xml:space="preserve"> or there is a third country where they can be resettled in which they do not face a rea</w:t>
      </w:r>
      <w:r w:rsidR="006E7A41">
        <w:rPr>
          <w:rFonts w:cs="Arial"/>
        </w:rPr>
        <w:t>l risk of persecution or significant</w:t>
      </w:r>
      <w:r w:rsidR="009760BB" w:rsidRPr="004F0881">
        <w:rPr>
          <w:rFonts w:cs="Arial"/>
        </w:rPr>
        <w:t xml:space="preserve"> harm,</w:t>
      </w:r>
      <w:r w:rsidR="003316E7" w:rsidRPr="004F0881">
        <w:rPr>
          <w:rFonts w:cs="Arial"/>
        </w:rPr>
        <w:t xml:space="preserve"> they face</w:t>
      </w:r>
      <w:r w:rsidR="005C54F5" w:rsidRPr="004F0881">
        <w:rPr>
          <w:rFonts w:cs="Arial"/>
        </w:rPr>
        <w:t xml:space="preserve"> the prospect of</w:t>
      </w:r>
      <w:r w:rsidR="003316E7" w:rsidRPr="004F0881">
        <w:rPr>
          <w:rFonts w:cs="Arial"/>
        </w:rPr>
        <w:t xml:space="preserve"> indefinite detention.</w:t>
      </w:r>
      <w:r w:rsidR="003316E7">
        <w:rPr>
          <w:rFonts w:cs="Arial"/>
        </w:rPr>
        <w:t xml:space="preserve"> </w:t>
      </w:r>
    </w:p>
    <w:p w:rsidR="003316E7" w:rsidRPr="00266952" w:rsidRDefault="0028208D" w:rsidP="00266952">
      <w:pPr>
        <w:rPr>
          <w:rFonts w:cs="Arial"/>
        </w:rPr>
      </w:pPr>
      <w:r w:rsidRPr="00C370F0">
        <w:rPr>
          <w:noProof/>
        </w:rPr>
        <mc:AlternateContent>
          <mc:Choice Requires="wps">
            <w:drawing>
              <wp:anchor distT="0" distB="0" distL="114300" distR="114300" simplePos="0" relativeHeight="251676672" behindDoc="1" locked="0" layoutInCell="1" allowOverlap="1" wp14:anchorId="2F317275" wp14:editId="1700CC59">
                <wp:simplePos x="0" y="0"/>
                <wp:positionH relativeFrom="column">
                  <wp:posOffset>99695</wp:posOffset>
                </wp:positionH>
                <wp:positionV relativeFrom="paragraph">
                  <wp:posOffset>173990</wp:posOffset>
                </wp:positionV>
                <wp:extent cx="5384800" cy="3695700"/>
                <wp:effectExtent l="0" t="0" r="25400" b="19050"/>
                <wp:wrapNone/>
                <wp:docPr id="20"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0" cy="3695700"/>
                        </a:xfrm>
                        <a:custGeom>
                          <a:avLst/>
                          <a:gdLst>
                            <a:gd name="connsiteX0" fmla="*/ 0 w 5982335"/>
                            <a:gd name="connsiteY0" fmla="*/ 410007 h 2459990"/>
                            <a:gd name="connsiteX1" fmla="*/ 410007 w 5982335"/>
                            <a:gd name="connsiteY1" fmla="*/ 0 h 2459990"/>
                            <a:gd name="connsiteX2" fmla="*/ 5572328 w 5982335"/>
                            <a:gd name="connsiteY2" fmla="*/ 0 h 2459990"/>
                            <a:gd name="connsiteX3" fmla="*/ 5982335 w 5982335"/>
                            <a:gd name="connsiteY3" fmla="*/ 410007 h 2459990"/>
                            <a:gd name="connsiteX4" fmla="*/ 5982335 w 5982335"/>
                            <a:gd name="connsiteY4" fmla="*/ 2049983 h 2459990"/>
                            <a:gd name="connsiteX5" fmla="*/ 5572328 w 5982335"/>
                            <a:gd name="connsiteY5" fmla="*/ 2459990 h 2459990"/>
                            <a:gd name="connsiteX6" fmla="*/ 410007 w 5982335"/>
                            <a:gd name="connsiteY6" fmla="*/ 2459990 h 2459990"/>
                            <a:gd name="connsiteX7" fmla="*/ 0 w 5982335"/>
                            <a:gd name="connsiteY7" fmla="*/ 2049983 h 2459990"/>
                            <a:gd name="connsiteX8" fmla="*/ 0 w 5982335"/>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426581 w 5998909"/>
                            <a:gd name="connsiteY6" fmla="*/ 2459990 h 2459990"/>
                            <a:gd name="connsiteX7" fmla="*/ 16574 w 5998909"/>
                            <a:gd name="connsiteY7" fmla="*/ 2049983 h 2459990"/>
                            <a:gd name="connsiteX8" fmla="*/ 16574 w 5998909"/>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200805 w 5998909"/>
                            <a:gd name="connsiteY6" fmla="*/ 2459990 h 2459990"/>
                            <a:gd name="connsiteX7" fmla="*/ 16574 w 5998909"/>
                            <a:gd name="connsiteY7" fmla="*/ 2049983 h 2459990"/>
                            <a:gd name="connsiteX8" fmla="*/ 16574 w 59989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588902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826118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5509" h="2459990">
                              <a:moveTo>
                                <a:pt x="16574" y="410007"/>
                              </a:moveTo>
                              <a:cubicBezTo>
                                <a:pt x="16574" y="183566"/>
                                <a:pt x="-70794" y="0"/>
                                <a:pt x="155647" y="0"/>
                              </a:cubicBezTo>
                              <a:lnTo>
                                <a:pt x="5859899" y="0"/>
                              </a:lnTo>
                              <a:cubicBezTo>
                                <a:pt x="6086340" y="0"/>
                                <a:pt x="5998909" y="183566"/>
                                <a:pt x="5998909" y="410007"/>
                              </a:cubicBezTo>
                              <a:lnTo>
                                <a:pt x="5998909" y="2049983"/>
                              </a:lnTo>
                              <a:cubicBezTo>
                                <a:pt x="5998909" y="2276424"/>
                                <a:pt x="6052559" y="2459990"/>
                                <a:pt x="5826118" y="2459990"/>
                              </a:cubicBezTo>
                              <a:lnTo>
                                <a:pt x="200805" y="2459990"/>
                              </a:lnTo>
                              <a:cubicBezTo>
                                <a:pt x="-25636" y="2459990"/>
                                <a:pt x="16574" y="2276424"/>
                                <a:pt x="16574" y="2049983"/>
                              </a:cubicBezTo>
                              <a:lnTo>
                                <a:pt x="16574" y="410007"/>
                              </a:lnTo>
                              <a:close/>
                            </a:path>
                          </a:pathLst>
                        </a:custGeom>
                        <a:solidFill>
                          <a:srgbClr val="0070C0"/>
                        </a:solidFill>
                        <a:ln w="25400" cap="flat" cmpd="sng" algn="ctr">
                          <a:solidFill>
                            <a:srgbClr val="0070C0"/>
                          </a:solidFill>
                          <a:prstDash val="solid"/>
                        </a:ln>
                        <a:effectLst/>
                      </wps:spPr>
                      <wps:txbx>
                        <w:txbxContent>
                          <w:p w:rsidR="00FA4975" w:rsidRPr="008E6E0F" w:rsidRDefault="00FA4975" w:rsidP="00A26F72">
                            <w:pPr>
                              <w:spacing w:before="120" w:after="0"/>
                              <w:rPr>
                                <w:rFonts w:cs="Arial"/>
                                <w:i/>
                                <w:color w:val="FFFFFF" w:themeColor="background1"/>
                              </w:rPr>
                            </w:pPr>
                            <w:r>
                              <w:rPr>
                                <w:rFonts w:cs="Arial"/>
                                <w:b/>
                                <w:color w:val="FFFFFF" w:themeColor="background1"/>
                              </w:rPr>
                              <w:t>CASE STUDY 3</w:t>
                            </w:r>
                            <w:r w:rsidRPr="008E6E0F">
                              <w:rPr>
                                <w:rFonts w:cs="Arial"/>
                                <w:b/>
                                <w:color w:val="FFFFFF" w:themeColor="background1"/>
                              </w:rPr>
                              <w:t>:</w:t>
                            </w:r>
                            <w:r>
                              <w:rPr>
                                <w:rFonts w:cs="Arial"/>
                                <w:b/>
                                <w:color w:val="FFFFFF" w:themeColor="background1"/>
                              </w:rPr>
                              <w:t xml:space="preserve"> </w:t>
                            </w:r>
                            <w:r w:rsidRPr="00F00A91">
                              <w:rPr>
                                <w:rFonts w:cs="Arial"/>
                                <w:b/>
                                <w:color w:val="FFFFFF" w:themeColor="background1"/>
                              </w:rPr>
                              <w:t>Mr NK v Commonwealth of Australia (Department of Immigration and Citizenship</w:t>
                            </w:r>
                          </w:p>
                          <w:p w:rsidR="00FA4975" w:rsidRPr="008E6E0F" w:rsidRDefault="00FA4975" w:rsidP="00A26F72">
                            <w:pPr>
                              <w:spacing w:before="120" w:after="0"/>
                              <w:rPr>
                                <w:rFonts w:cs="Arial"/>
                                <w:i/>
                                <w:color w:val="FFFFFF" w:themeColor="background1"/>
                              </w:rPr>
                            </w:pPr>
                            <w:r w:rsidRPr="008E6E0F">
                              <w:rPr>
                                <w:rFonts w:cs="Arial"/>
                                <w:color w:val="FFFFFF" w:themeColor="background1"/>
                              </w:rPr>
                              <w:t>(</w:t>
                            </w:r>
                            <w:r w:rsidRPr="008E6E0F">
                              <w:rPr>
                                <w:i/>
                                <w:color w:val="FFFFFF" w:themeColor="background1"/>
                                <w:lang w:val="en"/>
                              </w:rPr>
                              <w:t>Report into arbitrary detention, the right of people in detention to protection of the family and freedom from arbitrary interference with the family</w:t>
                            </w:r>
                            <w:r w:rsidRPr="008E6E0F">
                              <w:rPr>
                                <w:color w:val="FFFFFF" w:themeColor="background1"/>
                                <w:lang w:val="en"/>
                              </w:rPr>
                              <w:t xml:space="preserve"> [2011] AusHRC 43)</w:t>
                            </w:r>
                          </w:p>
                          <w:p w:rsidR="00FA4975" w:rsidRPr="008E6E0F" w:rsidRDefault="00FA4975" w:rsidP="00A26F72">
                            <w:pPr>
                              <w:spacing w:before="120"/>
                              <w:rPr>
                                <w:rFonts w:cs="Arial"/>
                                <w:b/>
                                <w:color w:val="FFFFFF" w:themeColor="background1"/>
                              </w:rPr>
                            </w:pPr>
                            <w:r w:rsidRPr="008E6E0F">
                              <w:rPr>
                                <w:rFonts w:cs="Arial"/>
                                <w:color w:val="FFFFFF" w:themeColor="background1"/>
                              </w:rPr>
                              <w:t xml:space="preserve">Mr NK, who had left the People’s Republic of China and entered Australia on a student visa in 1989, </w:t>
                            </w:r>
                            <w:r>
                              <w:rPr>
                                <w:rFonts w:cs="Arial"/>
                                <w:color w:val="FFFFFF" w:themeColor="background1"/>
                              </w:rPr>
                              <w:t xml:space="preserve">was convicted in Australia on </w:t>
                            </w:r>
                            <w:r w:rsidRPr="008E6E0F">
                              <w:rPr>
                                <w:rFonts w:cs="Arial"/>
                                <w:color w:val="FFFFFF" w:themeColor="background1"/>
                              </w:rPr>
                              <w:t xml:space="preserve">two counts of murder </w:t>
                            </w:r>
                            <w:r>
                              <w:rPr>
                                <w:rFonts w:cs="Arial"/>
                                <w:color w:val="FFFFFF" w:themeColor="background1"/>
                              </w:rPr>
                              <w:t xml:space="preserve">and </w:t>
                            </w:r>
                            <w:r w:rsidRPr="008E6E0F">
                              <w:rPr>
                                <w:rFonts w:cs="Arial"/>
                                <w:color w:val="FFFFFF" w:themeColor="background1"/>
                              </w:rPr>
                              <w:t xml:space="preserve">spent 15 years in prison. When he was released from prison in October 2006 </w:t>
                            </w:r>
                            <w:r>
                              <w:rPr>
                                <w:rFonts w:cs="Arial"/>
                                <w:color w:val="FFFFFF" w:themeColor="background1"/>
                              </w:rPr>
                              <w:t xml:space="preserve">his bridging visa was cancelled, and </w:t>
                            </w:r>
                            <w:r w:rsidRPr="008E6E0F">
                              <w:rPr>
                                <w:rFonts w:cs="Arial"/>
                                <w:color w:val="FFFFFF" w:themeColor="background1"/>
                              </w:rPr>
                              <w:t xml:space="preserve">he was placed in immigration detention as an unlawful non-citizen. </w:t>
                            </w:r>
                            <w:r>
                              <w:rPr>
                                <w:rFonts w:cs="Arial"/>
                                <w:color w:val="FFFFFF" w:themeColor="background1"/>
                              </w:rPr>
                              <w:t xml:space="preserve">His application for a further bridging visa was refused, on character grounds. His application for a protection visa was also refused. </w:t>
                            </w:r>
                            <w:r w:rsidRPr="008E6E0F">
                              <w:rPr>
                                <w:rFonts w:cs="Arial"/>
                                <w:color w:val="FFFFFF" w:themeColor="background1"/>
                              </w:rPr>
                              <w:t xml:space="preserve">However, Mr NK could not be removed from Australia back to the PRC, because there </w:t>
                            </w:r>
                            <w:r w:rsidRPr="008E6E0F">
                              <w:rPr>
                                <w:color w:val="FFFFFF" w:themeColor="background1"/>
                                <w:lang w:val="en"/>
                              </w:rPr>
                              <w:t xml:space="preserve">was a real risk that he would ‘face the death penalty or torture as a necessary and foreseeable consequence of his removal’, and therefore his removal would place Australia in breach of its </w:t>
                            </w:r>
                            <w:r w:rsidRPr="00201CBC">
                              <w:rPr>
                                <w:i/>
                                <w:color w:val="FFFFFF" w:themeColor="background1"/>
                                <w:lang w:val="en"/>
                              </w:rPr>
                              <w:t>non-refoulement</w:t>
                            </w:r>
                            <w:r w:rsidRPr="008E6E0F">
                              <w:rPr>
                                <w:color w:val="FFFFFF" w:themeColor="background1"/>
                                <w:lang w:val="en"/>
                              </w:rPr>
                              <w:t xml:space="preserve"> obligations. As DIAC refused to grant him a visa to allow him to live in the community due t</w:t>
                            </w:r>
                            <w:r>
                              <w:rPr>
                                <w:color w:val="FFFFFF" w:themeColor="background1"/>
                                <w:lang w:val="en"/>
                              </w:rPr>
                              <w:t>o his criminal record, Mr NK had</w:t>
                            </w:r>
                            <w:r w:rsidRPr="008E6E0F">
                              <w:rPr>
                                <w:color w:val="FFFFFF" w:themeColor="background1"/>
                                <w:lang w:val="en"/>
                              </w:rPr>
                              <w:t>, at the date of the report, been held in immigration detention for over 4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7.85pt;margin-top:13.7pt;width:424pt;height:29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5509,245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" adj="-11796480,,5400" path="m16574,410007c16574,183566,-70794,,155647,l5859899,v226441,,139010,183566,139010,410007l5998909,2049983v,226441,53650,410007,-172791,410007l200805,2459990v-226441,,-184231,-183566,-184231,-410007l16574,410007xe" fillcolor="#0070c0" strokecolor="#0070c0" strokeweight="2pt">
                <v:stroke joinstyle="miter"/>
                <v:formulas/>
                <v:path arrowok="t" o:connecttype="custom" o:connectlocs="14836,615963;139328,0;5245505,0;5369940,615963;5369940,3079737;5215266,3695700;179751,3695700;14836,3079737;14836,615963" o:connectangles="0,0,0,0,0,0,0,0,0" textboxrect="0,0,6015509,2459990"/>
                <v:textbox>
                  <w:txbxContent>
                    <w:p w:rsidR="00FA4975" w:rsidRPr="008E6E0F" w:rsidRDefault="00FA4975" w:rsidP="00A26F72">
                      <w:pPr>
                        <w:spacing w:before="120" w:after="0"/>
                        <w:rPr>
                          <w:rFonts w:cs="Arial"/>
                          <w:i/>
                          <w:color w:val="FFFFFF" w:themeColor="background1"/>
                        </w:rPr>
                      </w:pPr>
                      <w:r>
                        <w:rPr>
                          <w:rFonts w:cs="Arial"/>
                          <w:b/>
                          <w:color w:val="FFFFFF" w:themeColor="background1"/>
                        </w:rPr>
                        <w:t>CASE STUDY 3</w:t>
                      </w:r>
                      <w:r w:rsidRPr="008E6E0F">
                        <w:rPr>
                          <w:rFonts w:cs="Arial"/>
                          <w:b/>
                          <w:color w:val="FFFFFF" w:themeColor="background1"/>
                        </w:rPr>
                        <w:t>:</w:t>
                      </w:r>
                      <w:r>
                        <w:rPr>
                          <w:rFonts w:cs="Arial"/>
                          <w:b/>
                          <w:color w:val="FFFFFF" w:themeColor="background1"/>
                        </w:rPr>
                        <w:t xml:space="preserve"> </w:t>
                      </w:r>
                      <w:r w:rsidRPr="00F00A91">
                        <w:rPr>
                          <w:rFonts w:cs="Arial"/>
                          <w:b/>
                          <w:color w:val="FFFFFF" w:themeColor="background1"/>
                        </w:rPr>
                        <w:t>Mr NK v Commonwealth of Australia (Department of Immigration and Citizenship</w:t>
                      </w:r>
                    </w:p>
                    <w:p w:rsidR="00FA4975" w:rsidRPr="008E6E0F" w:rsidRDefault="00FA4975" w:rsidP="00A26F72">
                      <w:pPr>
                        <w:spacing w:before="120" w:after="0"/>
                        <w:rPr>
                          <w:rFonts w:cs="Arial"/>
                          <w:i/>
                          <w:color w:val="FFFFFF" w:themeColor="background1"/>
                        </w:rPr>
                      </w:pPr>
                      <w:r w:rsidRPr="008E6E0F">
                        <w:rPr>
                          <w:rFonts w:cs="Arial"/>
                          <w:color w:val="FFFFFF" w:themeColor="background1"/>
                        </w:rPr>
                        <w:t>(</w:t>
                      </w:r>
                      <w:r w:rsidRPr="008E6E0F">
                        <w:rPr>
                          <w:i/>
                          <w:color w:val="FFFFFF" w:themeColor="background1"/>
                          <w:lang w:val="en"/>
                        </w:rPr>
                        <w:t>Report into arbitrary detention, the right of people in detention to protection of the family and freedom from arbitrary interference with the family</w:t>
                      </w:r>
                      <w:r w:rsidRPr="008E6E0F">
                        <w:rPr>
                          <w:color w:val="FFFFFF" w:themeColor="background1"/>
                          <w:lang w:val="en"/>
                        </w:rPr>
                        <w:t xml:space="preserve"> [2011] AusHRC 43)</w:t>
                      </w:r>
                    </w:p>
                    <w:p w:rsidR="00FA4975" w:rsidRPr="008E6E0F" w:rsidRDefault="00FA4975" w:rsidP="00A26F72">
                      <w:pPr>
                        <w:spacing w:before="120"/>
                        <w:rPr>
                          <w:rFonts w:cs="Arial"/>
                          <w:b/>
                          <w:color w:val="FFFFFF" w:themeColor="background1"/>
                        </w:rPr>
                      </w:pPr>
                      <w:r w:rsidRPr="008E6E0F">
                        <w:rPr>
                          <w:rFonts w:cs="Arial"/>
                          <w:color w:val="FFFFFF" w:themeColor="background1"/>
                        </w:rPr>
                        <w:t xml:space="preserve">Mr NK, who had left the People’s Republic of China and entered Australia on a student visa in 1989, </w:t>
                      </w:r>
                      <w:r>
                        <w:rPr>
                          <w:rFonts w:cs="Arial"/>
                          <w:color w:val="FFFFFF" w:themeColor="background1"/>
                        </w:rPr>
                        <w:t xml:space="preserve">was convicted in Australia on </w:t>
                      </w:r>
                      <w:r w:rsidRPr="008E6E0F">
                        <w:rPr>
                          <w:rFonts w:cs="Arial"/>
                          <w:color w:val="FFFFFF" w:themeColor="background1"/>
                        </w:rPr>
                        <w:t xml:space="preserve">two counts of murder </w:t>
                      </w:r>
                      <w:r>
                        <w:rPr>
                          <w:rFonts w:cs="Arial"/>
                          <w:color w:val="FFFFFF" w:themeColor="background1"/>
                        </w:rPr>
                        <w:t xml:space="preserve">and </w:t>
                      </w:r>
                      <w:r w:rsidRPr="008E6E0F">
                        <w:rPr>
                          <w:rFonts w:cs="Arial"/>
                          <w:color w:val="FFFFFF" w:themeColor="background1"/>
                        </w:rPr>
                        <w:t xml:space="preserve">spent 15 years in prison. When he was released from prison in October 2006 </w:t>
                      </w:r>
                      <w:r>
                        <w:rPr>
                          <w:rFonts w:cs="Arial"/>
                          <w:color w:val="FFFFFF" w:themeColor="background1"/>
                        </w:rPr>
                        <w:t xml:space="preserve">his bridging visa was cancelled, and </w:t>
                      </w:r>
                      <w:r w:rsidRPr="008E6E0F">
                        <w:rPr>
                          <w:rFonts w:cs="Arial"/>
                          <w:color w:val="FFFFFF" w:themeColor="background1"/>
                        </w:rPr>
                        <w:t xml:space="preserve">he was placed in immigration detention as an unlawful non-citizen. </w:t>
                      </w:r>
                      <w:r>
                        <w:rPr>
                          <w:rFonts w:cs="Arial"/>
                          <w:color w:val="FFFFFF" w:themeColor="background1"/>
                        </w:rPr>
                        <w:t xml:space="preserve">His application for a further bridging visa was refused, on character grounds. His application for a protection visa was also refused. </w:t>
                      </w:r>
                      <w:r w:rsidRPr="008E6E0F">
                        <w:rPr>
                          <w:rFonts w:cs="Arial"/>
                          <w:color w:val="FFFFFF" w:themeColor="background1"/>
                        </w:rPr>
                        <w:t xml:space="preserve">However, Mr NK could not be removed from Australia back to the PRC, because there </w:t>
                      </w:r>
                      <w:r w:rsidRPr="008E6E0F">
                        <w:rPr>
                          <w:color w:val="FFFFFF" w:themeColor="background1"/>
                          <w:lang w:val="en"/>
                        </w:rPr>
                        <w:t xml:space="preserve">was a real risk that he would ‘face the death penalty or torture as a necessary and foreseeable consequence of his removal’, and therefore his removal would place Australia in breach of its </w:t>
                      </w:r>
                      <w:r w:rsidRPr="00201CBC">
                        <w:rPr>
                          <w:i/>
                          <w:color w:val="FFFFFF" w:themeColor="background1"/>
                          <w:lang w:val="en"/>
                        </w:rPr>
                        <w:t>non-refoulement</w:t>
                      </w:r>
                      <w:r w:rsidRPr="008E6E0F">
                        <w:rPr>
                          <w:color w:val="FFFFFF" w:themeColor="background1"/>
                          <w:lang w:val="en"/>
                        </w:rPr>
                        <w:t xml:space="preserve"> obligations. As DIAC refused to grant him a visa to allow him to live in the community due t</w:t>
                      </w:r>
                      <w:r>
                        <w:rPr>
                          <w:color w:val="FFFFFF" w:themeColor="background1"/>
                          <w:lang w:val="en"/>
                        </w:rPr>
                        <w:t>o his criminal record, Mr NK had</w:t>
                      </w:r>
                      <w:r w:rsidRPr="008E6E0F">
                        <w:rPr>
                          <w:color w:val="FFFFFF" w:themeColor="background1"/>
                          <w:lang w:val="en"/>
                        </w:rPr>
                        <w:t>, at the date of the report, been held in immigration detention for over 4 years.</w:t>
                      </w:r>
                    </w:p>
                  </w:txbxContent>
                </v:textbox>
              </v:shape>
            </w:pict>
          </mc:Fallback>
        </mc:AlternateContent>
      </w:r>
    </w:p>
    <w:p w:rsidR="003316E7" w:rsidRDefault="003316E7" w:rsidP="00B06BCF">
      <w:pPr>
        <w:spacing w:after="120"/>
        <w:rPr>
          <w:rFonts w:cs="Arial"/>
        </w:rPr>
      </w:pPr>
    </w:p>
    <w:p w:rsidR="003316E7" w:rsidRDefault="003316E7" w:rsidP="00B06BCF">
      <w:pPr>
        <w:spacing w:after="120"/>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3316E7" w:rsidRDefault="003316E7" w:rsidP="000604CD">
      <w:pPr>
        <w:rPr>
          <w:rFonts w:cs="Arial"/>
        </w:rPr>
      </w:pPr>
    </w:p>
    <w:p w:rsidR="0028208D" w:rsidRDefault="0028208D" w:rsidP="000604CD">
      <w:pPr>
        <w:rPr>
          <w:rFonts w:cs="Arial"/>
        </w:rPr>
      </w:pPr>
    </w:p>
    <w:p w:rsidR="003316E7" w:rsidRPr="00FB7607" w:rsidRDefault="003316E7" w:rsidP="000604CD">
      <w:pPr>
        <w:pStyle w:val="Heading3"/>
      </w:pPr>
      <w:bookmarkStart w:id="70" w:name="_Toc355952731"/>
      <w:r w:rsidRPr="00FB7607">
        <w:rPr>
          <w:rFonts w:cs="Arial"/>
        </w:rPr>
        <w:t xml:space="preserve">Guidance given in the Direction regarding </w:t>
      </w:r>
      <w:r w:rsidRPr="00FB7607">
        <w:rPr>
          <w:rFonts w:cs="Arial"/>
          <w:i w:val="0"/>
        </w:rPr>
        <w:t>non-refoulement</w:t>
      </w:r>
      <w:r w:rsidRPr="00FB7607">
        <w:rPr>
          <w:rFonts w:cs="Arial"/>
        </w:rPr>
        <w:t xml:space="preserve"> </w:t>
      </w:r>
      <w:r w:rsidRPr="00FB7607">
        <w:rPr>
          <w:rFonts w:cs="Arial"/>
          <w:color w:val="FF0000"/>
        </w:rPr>
        <w:t xml:space="preserve"> </w:t>
      </w:r>
      <w:bookmarkEnd w:id="70"/>
    </w:p>
    <w:p w:rsidR="003316E7" w:rsidRPr="00CC29D4" w:rsidRDefault="003316E7" w:rsidP="00E66CCA">
      <w:pPr>
        <w:spacing w:after="120"/>
        <w:rPr>
          <w:rFonts w:cs="Arial"/>
          <w:sz w:val="22"/>
          <w:szCs w:val="22"/>
        </w:rPr>
      </w:pPr>
      <w:r>
        <w:rPr>
          <w:rFonts w:cs="Arial"/>
        </w:rPr>
        <w:t xml:space="preserve">As mentioned above, under Direction No. 55 Australia’s </w:t>
      </w:r>
      <w:r w:rsidRPr="00416D98">
        <w:rPr>
          <w:rFonts w:cs="Arial"/>
          <w:i/>
        </w:rPr>
        <w:t>non-refoulement</w:t>
      </w:r>
      <w:r>
        <w:rPr>
          <w:rFonts w:cs="Arial"/>
        </w:rPr>
        <w:t xml:space="preserve"> obligations under the Refugee Conventi</w:t>
      </w:r>
      <w:r w:rsidR="00CD1744">
        <w:rPr>
          <w:rFonts w:cs="Arial"/>
        </w:rPr>
        <w:t xml:space="preserve">on, the CAT and the ICCPR are </w:t>
      </w:r>
      <w:r>
        <w:rPr>
          <w:rFonts w:cs="Arial"/>
        </w:rPr>
        <w:t>primary consideration</w:t>
      </w:r>
      <w:r w:rsidR="00CD1744">
        <w:rPr>
          <w:rFonts w:cs="Arial"/>
        </w:rPr>
        <w:t>s</w:t>
      </w:r>
      <w:r>
        <w:rPr>
          <w:rFonts w:cs="Arial"/>
        </w:rPr>
        <w:t xml:space="preserve"> for DIAC officers when deciding whether to refuse or cancel a person’s visa under section 501.</w:t>
      </w:r>
      <w:r>
        <w:rPr>
          <w:rStyle w:val="EndnoteReference"/>
          <w:rFonts w:cs="Arial"/>
        </w:rPr>
        <w:endnoteReference w:id="76"/>
      </w:r>
    </w:p>
    <w:p w:rsidR="000604CD" w:rsidRDefault="000960B8" w:rsidP="000604CD">
      <w:pPr>
        <w:spacing w:after="120"/>
        <w:rPr>
          <w:rFonts w:cs="Arial"/>
        </w:rPr>
      </w:pPr>
      <w:r>
        <w:rPr>
          <w:rFonts w:cs="Arial"/>
        </w:rPr>
        <w:t>Direction No. 55 points</w:t>
      </w:r>
      <w:r w:rsidR="000604CD">
        <w:rPr>
          <w:rFonts w:cs="Arial"/>
        </w:rPr>
        <w:t xml:space="preserve"> decision-makers to the interpretation of Australia’s international </w:t>
      </w:r>
      <w:r w:rsidR="000604CD" w:rsidRPr="00545C0F">
        <w:rPr>
          <w:rFonts w:cs="Arial"/>
          <w:i/>
        </w:rPr>
        <w:t>non-refoulement</w:t>
      </w:r>
      <w:r w:rsidR="000604CD">
        <w:rPr>
          <w:rFonts w:cs="Arial"/>
        </w:rPr>
        <w:t xml:space="preserve"> obligations contained in s</w:t>
      </w:r>
      <w:r w:rsidR="006D6E68">
        <w:rPr>
          <w:rFonts w:cs="Arial"/>
        </w:rPr>
        <w:t>ection</w:t>
      </w:r>
      <w:r w:rsidR="000604CD">
        <w:rPr>
          <w:rFonts w:cs="Arial"/>
        </w:rPr>
        <w:t xml:space="preserve"> 36 of</w:t>
      </w:r>
      <w:r w:rsidR="00423376">
        <w:rPr>
          <w:rFonts w:cs="Arial"/>
        </w:rPr>
        <w:t xml:space="preserve"> the Migration Act (which</w:t>
      </w:r>
      <w:r w:rsidR="000604CD">
        <w:rPr>
          <w:rFonts w:cs="Arial"/>
        </w:rPr>
        <w:t xml:space="preserve"> sets out the criteria for </w:t>
      </w:r>
      <w:r w:rsidR="003B78C4">
        <w:rPr>
          <w:rFonts w:cs="Arial"/>
        </w:rPr>
        <w:t xml:space="preserve">the grant of </w:t>
      </w:r>
      <w:r w:rsidR="000604CD">
        <w:rPr>
          <w:rFonts w:cs="Arial"/>
        </w:rPr>
        <w:t>a protection visa). In addition to referring to the protection obligations under the Refugee Convention (including its exclusions), s</w:t>
      </w:r>
      <w:r w:rsidR="006D6E68">
        <w:rPr>
          <w:rFonts w:cs="Arial"/>
        </w:rPr>
        <w:t>ection</w:t>
      </w:r>
      <w:r w:rsidR="000604CD">
        <w:rPr>
          <w:rFonts w:cs="Arial"/>
        </w:rPr>
        <w:t xml:space="preserve"> 36 of the Migration</w:t>
      </w:r>
      <w:r w:rsidR="001C2C08">
        <w:rPr>
          <w:rFonts w:cs="Arial"/>
        </w:rPr>
        <w:t xml:space="preserve"> Act provides that Australia owes</w:t>
      </w:r>
      <w:r w:rsidR="000604CD">
        <w:rPr>
          <w:rFonts w:cs="Arial"/>
        </w:rPr>
        <w:t xml:space="preserve"> protection (</w:t>
      </w:r>
      <w:r w:rsidR="000604CD" w:rsidRPr="00BC27DB">
        <w:rPr>
          <w:rFonts w:cs="Arial"/>
        </w:rPr>
        <w:t>including</w:t>
      </w:r>
      <w:r w:rsidR="000604CD" w:rsidRPr="001C2C08">
        <w:rPr>
          <w:rFonts w:cs="Arial"/>
          <w:i/>
        </w:rPr>
        <w:t xml:space="preserve"> non-refoulement</w:t>
      </w:r>
      <w:r w:rsidR="000604CD">
        <w:rPr>
          <w:rFonts w:cs="Arial"/>
        </w:rPr>
        <w:t xml:space="preserve">) obligations towards a non-citizen where there are: </w:t>
      </w:r>
    </w:p>
    <w:p w:rsidR="000604CD" w:rsidRDefault="000604CD" w:rsidP="000604CD">
      <w:pPr>
        <w:spacing w:after="120"/>
        <w:ind w:left="567"/>
        <w:rPr>
          <w:rFonts w:cs="Arial"/>
          <w:sz w:val="22"/>
          <w:szCs w:val="22"/>
        </w:rPr>
      </w:pPr>
      <w:r w:rsidRPr="00CC29D4">
        <w:rPr>
          <w:rFonts w:cs="Arial"/>
          <w:sz w:val="22"/>
          <w:szCs w:val="22"/>
        </w:rPr>
        <w:t>substantial grounds for believing that, as a necessary and foreseeable consequence of the non-citizen being removed from Australia to a receiving country, there is a real risk that the person will suffer significant harm.</w:t>
      </w:r>
    </w:p>
    <w:p w:rsidR="000604CD" w:rsidRDefault="000604CD" w:rsidP="000604CD">
      <w:pPr>
        <w:spacing w:before="120" w:after="120"/>
        <w:ind w:left="567"/>
        <w:rPr>
          <w:rFonts w:cs="Arial"/>
          <w:sz w:val="22"/>
          <w:szCs w:val="22"/>
        </w:rPr>
      </w:pPr>
      <w:r>
        <w:rPr>
          <w:rFonts w:cs="Arial"/>
          <w:sz w:val="22"/>
          <w:szCs w:val="22"/>
        </w:rPr>
        <w:t xml:space="preserve">A non-citizen will suffer </w:t>
      </w:r>
      <w:r w:rsidRPr="00CC29D4">
        <w:rPr>
          <w:rFonts w:cs="Arial"/>
          <w:i/>
          <w:sz w:val="22"/>
          <w:szCs w:val="22"/>
        </w:rPr>
        <w:t>significant harm</w:t>
      </w:r>
      <w:r>
        <w:rPr>
          <w:rFonts w:cs="Arial"/>
          <w:sz w:val="22"/>
          <w:szCs w:val="22"/>
        </w:rPr>
        <w:t xml:space="preserve"> if:</w:t>
      </w:r>
    </w:p>
    <w:p w:rsidR="000604CD" w:rsidRDefault="000604CD" w:rsidP="008E6E0F">
      <w:pPr>
        <w:numPr>
          <w:ilvl w:val="0"/>
          <w:numId w:val="30"/>
        </w:numPr>
        <w:spacing w:before="120" w:after="120"/>
        <w:ind w:left="993" w:hanging="426"/>
        <w:rPr>
          <w:rFonts w:cs="Arial"/>
          <w:sz w:val="22"/>
          <w:szCs w:val="22"/>
        </w:rPr>
      </w:pPr>
      <w:r w:rsidRPr="00CC29D4">
        <w:rPr>
          <w:rFonts w:cs="Arial"/>
          <w:sz w:val="22"/>
          <w:szCs w:val="22"/>
        </w:rPr>
        <w:t xml:space="preserve">the </w:t>
      </w:r>
      <w:hyperlink r:id="rId13" w:anchor="non-citizen" w:history="1">
        <w:r w:rsidRPr="00CC29D4">
          <w:rPr>
            <w:rFonts w:cs="Arial"/>
            <w:sz w:val="22"/>
            <w:szCs w:val="22"/>
          </w:rPr>
          <w:t>non-citizen</w:t>
        </w:r>
      </w:hyperlink>
      <w:r w:rsidRPr="00CC29D4">
        <w:rPr>
          <w:rFonts w:cs="Arial"/>
          <w:sz w:val="22"/>
          <w:szCs w:val="22"/>
        </w:rPr>
        <w:t xml:space="preserve"> will be arbitrarily deprived of his or her life; or</w:t>
      </w:r>
    </w:p>
    <w:p w:rsidR="000604CD" w:rsidRDefault="000604CD" w:rsidP="008E6E0F">
      <w:pPr>
        <w:numPr>
          <w:ilvl w:val="0"/>
          <w:numId w:val="30"/>
        </w:numPr>
        <w:spacing w:before="120" w:after="120"/>
        <w:ind w:left="993" w:hanging="426"/>
        <w:rPr>
          <w:rFonts w:cs="Arial"/>
          <w:sz w:val="22"/>
          <w:szCs w:val="22"/>
        </w:rPr>
      </w:pPr>
      <w:r w:rsidRPr="00CC29D4">
        <w:rPr>
          <w:rFonts w:cs="Arial"/>
          <w:sz w:val="22"/>
          <w:szCs w:val="22"/>
        </w:rPr>
        <w:t xml:space="preserve">the death penalty will be carried out on the </w:t>
      </w:r>
      <w:hyperlink r:id="rId14" w:anchor="non-citizen" w:history="1">
        <w:r w:rsidRPr="00CC29D4">
          <w:rPr>
            <w:rFonts w:cs="Arial"/>
            <w:sz w:val="22"/>
            <w:szCs w:val="22"/>
          </w:rPr>
          <w:t>non-citizen</w:t>
        </w:r>
      </w:hyperlink>
      <w:r w:rsidRPr="00CC29D4">
        <w:rPr>
          <w:rFonts w:cs="Arial"/>
          <w:sz w:val="22"/>
          <w:szCs w:val="22"/>
        </w:rPr>
        <w:t>; or</w:t>
      </w:r>
    </w:p>
    <w:p w:rsidR="000604CD" w:rsidRDefault="000604CD" w:rsidP="008E6E0F">
      <w:pPr>
        <w:numPr>
          <w:ilvl w:val="0"/>
          <w:numId w:val="30"/>
        </w:numPr>
        <w:spacing w:before="120" w:after="120"/>
        <w:ind w:left="993" w:hanging="426"/>
        <w:rPr>
          <w:rFonts w:cs="Arial"/>
          <w:sz w:val="22"/>
          <w:szCs w:val="22"/>
        </w:rPr>
      </w:pPr>
      <w:r w:rsidRPr="00CC29D4">
        <w:rPr>
          <w:rFonts w:cs="Arial"/>
          <w:sz w:val="22"/>
          <w:szCs w:val="22"/>
        </w:rPr>
        <w:t xml:space="preserve">the </w:t>
      </w:r>
      <w:hyperlink r:id="rId15" w:anchor="non-citizen" w:history="1">
        <w:r w:rsidRPr="00CC29D4">
          <w:rPr>
            <w:rFonts w:cs="Arial"/>
            <w:sz w:val="22"/>
            <w:szCs w:val="22"/>
          </w:rPr>
          <w:t>non-citizen</w:t>
        </w:r>
      </w:hyperlink>
      <w:r w:rsidRPr="00CC29D4">
        <w:rPr>
          <w:rFonts w:cs="Arial"/>
          <w:sz w:val="22"/>
          <w:szCs w:val="22"/>
        </w:rPr>
        <w:t xml:space="preserve"> will be subjected to </w:t>
      </w:r>
      <w:hyperlink r:id="rId16" w:anchor="torture" w:history="1">
        <w:r w:rsidRPr="00CC29D4">
          <w:rPr>
            <w:rFonts w:cs="Arial"/>
            <w:sz w:val="22"/>
            <w:szCs w:val="22"/>
          </w:rPr>
          <w:t>torture</w:t>
        </w:r>
      </w:hyperlink>
      <w:r w:rsidRPr="00CC29D4">
        <w:rPr>
          <w:rFonts w:cs="Arial"/>
          <w:sz w:val="22"/>
          <w:szCs w:val="22"/>
        </w:rPr>
        <w:t>; or</w:t>
      </w:r>
    </w:p>
    <w:p w:rsidR="000604CD" w:rsidRDefault="000604CD" w:rsidP="008E6E0F">
      <w:pPr>
        <w:numPr>
          <w:ilvl w:val="0"/>
          <w:numId w:val="30"/>
        </w:numPr>
        <w:spacing w:before="120" w:after="120"/>
        <w:ind w:left="993" w:hanging="426"/>
        <w:rPr>
          <w:rFonts w:cs="Arial"/>
          <w:sz w:val="22"/>
          <w:szCs w:val="22"/>
        </w:rPr>
      </w:pPr>
      <w:r w:rsidRPr="00CC29D4">
        <w:rPr>
          <w:rFonts w:cs="Arial"/>
          <w:sz w:val="22"/>
          <w:szCs w:val="22"/>
        </w:rPr>
        <w:lastRenderedPageBreak/>
        <w:t xml:space="preserve">the </w:t>
      </w:r>
      <w:hyperlink r:id="rId17" w:anchor="non-citizen" w:history="1">
        <w:r w:rsidRPr="00CC29D4">
          <w:rPr>
            <w:rFonts w:cs="Arial"/>
            <w:sz w:val="22"/>
            <w:szCs w:val="22"/>
          </w:rPr>
          <w:t>non-citizen</w:t>
        </w:r>
      </w:hyperlink>
      <w:r w:rsidRPr="00CC29D4">
        <w:rPr>
          <w:rFonts w:cs="Arial"/>
          <w:sz w:val="22"/>
          <w:szCs w:val="22"/>
        </w:rPr>
        <w:t xml:space="preserve"> will be subjected to </w:t>
      </w:r>
      <w:hyperlink r:id="rId18" w:anchor="cruel_or_inhuman_treatment_or_punishment" w:history="1">
        <w:r w:rsidRPr="00CC29D4">
          <w:rPr>
            <w:rFonts w:cs="Arial"/>
            <w:sz w:val="22"/>
            <w:szCs w:val="22"/>
          </w:rPr>
          <w:t>cruel or inhuman treatment or punishment</w:t>
        </w:r>
      </w:hyperlink>
      <w:r w:rsidRPr="00CC29D4">
        <w:rPr>
          <w:rFonts w:cs="Arial"/>
          <w:sz w:val="22"/>
          <w:szCs w:val="22"/>
        </w:rPr>
        <w:t>; or</w:t>
      </w:r>
    </w:p>
    <w:p w:rsidR="00BC048A" w:rsidRPr="00CC29D4" w:rsidRDefault="000604CD" w:rsidP="008E6E0F">
      <w:pPr>
        <w:numPr>
          <w:ilvl w:val="0"/>
          <w:numId w:val="30"/>
        </w:numPr>
        <w:spacing w:before="120" w:after="120"/>
        <w:ind w:left="993" w:hanging="426"/>
        <w:rPr>
          <w:rFonts w:cs="Arial"/>
          <w:sz w:val="22"/>
          <w:szCs w:val="22"/>
        </w:rPr>
      </w:pPr>
      <w:r w:rsidRPr="00CC29D4">
        <w:rPr>
          <w:rFonts w:cs="Arial"/>
          <w:sz w:val="22"/>
          <w:szCs w:val="22"/>
        </w:rPr>
        <w:t xml:space="preserve">the </w:t>
      </w:r>
      <w:hyperlink r:id="rId19" w:anchor="non-citizen" w:history="1">
        <w:r w:rsidRPr="00CC29D4">
          <w:rPr>
            <w:rFonts w:cs="Arial"/>
            <w:sz w:val="22"/>
            <w:szCs w:val="22"/>
          </w:rPr>
          <w:t>non-citizen</w:t>
        </w:r>
      </w:hyperlink>
      <w:r w:rsidRPr="00CC29D4">
        <w:rPr>
          <w:rFonts w:cs="Arial"/>
          <w:sz w:val="22"/>
          <w:szCs w:val="22"/>
        </w:rPr>
        <w:t xml:space="preserve"> will be subjected to </w:t>
      </w:r>
      <w:hyperlink r:id="rId20" w:anchor="degrading_treatment_or_punishment" w:history="1">
        <w:r w:rsidRPr="00CC29D4">
          <w:rPr>
            <w:rFonts w:cs="Arial"/>
            <w:sz w:val="22"/>
            <w:szCs w:val="22"/>
          </w:rPr>
          <w:t>degrading treatment or punishment</w:t>
        </w:r>
      </w:hyperlink>
      <w:r w:rsidRPr="00CC29D4">
        <w:rPr>
          <w:rFonts w:cs="Arial"/>
          <w:sz w:val="22"/>
          <w:szCs w:val="22"/>
        </w:rPr>
        <w:t>.</w:t>
      </w:r>
      <w:r w:rsidR="00BC048A">
        <w:rPr>
          <w:rStyle w:val="EndnoteReference"/>
          <w:rFonts w:cs="Arial"/>
          <w:szCs w:val="22"/>
        </w:rPr>
        <w:endnoteReference w:id="77"/>
      </w:r>
    </w:p>
    <w:p w:rsidR="00BC048A" w:rsidRPr="00733B67" w:rsidRDefault="00BC048A" w:rsidP="00733B67">
      <w:pPr>
        <w:spacing w:after="120"/>
        <w:rPr>
          <w:rFonts w:cs="Arial"/>
        </w:rPr>
      </w:pPr>
      <w:r>
        <w:rPr>
          <w:rFonts w:cs="Arial"/>
        </w:rPr>
        <w:t xml:space="preserve">However, the Direction expressly states that the fact that Australia may owe a </w:t>
      </w:r>
      <w:r w:rsidRPr="00A17721">
        <w:rPr>
          <w:rFonts w:cs="Arial"/>
          <w:i/>
        </w:rPr>
        <w:t>non-refoulement</w:t>
      </w:r>
      <w:r>
        <w:rPr>
          <w:rFonts w:cs="Arial"/>
        </w:rPr>
        <w:t xml:space="preserve"> obligation to a person does not preclude a decision-maker refusing or cancelling that person’s visa under section 501.</w:t>
      </w:r>
      <w:r>
        <w:rPr>
          <w:rStyle w:val="EndnoteReference"/>
          <w:rFonts w:cs="Arial"/>
        </w:rPr>
        <w:endnoteReference w:id="78"/>
      </w:r>
      <w:r>
        <w:rPr>
          <w:rFonts w:cs="Arial"/>
        </w:rPr>
        <w:t xml:space="preserve"> </w:t>
      </w:r>
      <w:bookmarkStart w:id="71" w:name="_Toc355793327"/>
      <w:bookmarkStart w:id="72" w:name="_Toc355793454"/>
      <w:bookmarkStart w:id="73" w:name="_Toc355952732"/>
      <w:r>
        <w:rPr>
          <w:rFonts w:cs="Arial"/>
        </w:rPr>
        <w:t xml:space="preserve">Rather, </w:t>
      </w:r>
      <w:r w:rsidRPr="00733B67">
        <w:t>the instruction given in the Direction is that:</w:t>
      </w:r>
      <w:bookmarkEnd w:id="71"/>
      <w:bookmarkEnd w:id="72"/>
      <w:bookmarkEnd w:id="73"/>
    </w:p>
    <w:p w:rsidR="00BC048A" w:rsidRDefault="00BC048A" w:rsidP="000604CD">
      <w:pPr>
        <w:pStyle w:val="Heading3"/>
        <w:numPr>
          <w:ilvl w:val="0"/>
          <w:numId w:val="0"/>
        </w:numPr>
        <w:spacing w:before="0" w:after="120"/>
        <w:ind w:left="567"/>
        <w:rPr>
          <w:i w:val="0"/>
          <w:sz w:val="22"/>
          <w:szCs w:val="22"/>
        </w:rPr>
      </w:pPr>
      <w:bookmarkStart w:id="74" w:name="_Toc355793328"/>
      <w:bookmarkStart w:id="75" w:name="_Toc355793455"/>
      <w:bookmarkStart w:id="76" w:name="_Toc355952733"/>
      <w:r w:rsidRPr="00CC29D4">
        <w:rPr>
          <w:i w:val="0"/>
          <w:sz w:val="22"/>
          <w:szCs w:val="22"/>
        </w:rPr>
        <w:t>any non-refoulement obligation should be weighed carefully against the seriousness of the person’s criminal offending or other serious conduct in deciding whether or not the person’s visa application should be refused [or the person should continue to hold a visa].</w:t>
      </w:r>
      <w:bookmarkEnd w:id="74"/>
      <w:bookmarkEnd w:id="75"/>
      <w:bookmarkEnd w:id="76"/>
    </w:p>
    <w:p w:rsidR="00BC048A" w:rsidRDefault="00BC048A" w:rsidP="000604CD">
      <w:r>
        <w:t xml:space="preserve">The question is then what will happen when a person meets the test in section 36 of the Migration Act as someone to whom Australia owes </w:t>
      </w:r>
      <w:r w:rsidRPr="0078540A">
        <w:rPr>
          <w:i/>
        </w:rPr>
        <w:t>non-refoulement</w:t>
      </w:r>
      <w:r>
        <w:t xml:space="preserve"> obligations, but their visa application is refused or their visa cancelled on character grounds. This scenario is increasingly likely given that, as mentioned above in </w:t>
      </w:r>
      <w:r w:rsidRPr="00BA7043">
        <w:t>section</w:t>
      </w:r>
      <w:r w:rsidR="00C117FF">
        <w:t xml:space="preserve"> 2.3(c)</w:t>
      </w:r>
      <w:r>
        <w:t>, the amendments to the character test in 2011 have effectively lowered the ‘criminality’ threshold for failure of the character test for those who are convicted of committing an offence while in immigration detention.</w:t>
      </w:r>
      <w:r w:rsidRPr="005D2F21">
        <w:t xml:space="preserve"> </w:t>
      </w:r>
    </w:p>
    <w:p w:rsidR="00BC048A" w:rsidRPr="00CC29D4" w:rsidRDefault="00BC048A" w:rsidP="000604CD">
      <w:r>
        <w:t xml:space="preserve">In its submission to the </w:t>
      </w:r>
      <w:r w:rsidR="00C02A13" w:rsidRPr="00C02A13">
        <w:t>Senate Legal and Constitutional Affairs Committee</w:t>
      </w:r>
      <w:r w:rsidR="00C02A13">
        <w:t xml:space="preserve"> </w:t>
      </w:r>
      <w:r>
        <w:t>which considered the 2011 amendments to the character test, DIAC confirmed that ‘</w:t>
      </w:r>
      <w:r>
        <w:rPr>
          <w:rFonts w:eastAsia="Times New Roman" w:cs="Arial"/>
        </w:rPr>
        <w:t xml:space="preserve">the Government will not return people to whom it owes </w:t>
      </w:r>
      <w:r>
        <w:rPr>
          <w:rFonts w:eastAsia="Times New Roman" w:cs="Arial"/>
          <w:i/>
          <w:iCs/>
        </w:rPr>
        <w:t>non-refoulement</w:t>
      </w:r>
      <w:r>
        <w:t xml:space="preserve"> </w:t>
      </w:r>
      <w:r>
        <w:rPr>
          <w:rFonts w:eastAsia="Times New Roman" w:cs="Arial"/>
        </w:rPr>
        <w:t>obligations to a place where there is a real risk of these significant types of</w:t>
      </w:r>
      <w:r>
        <w:t xml:space="preserve"> </w:t>
      </w:r>
      <w:r>
        <w:rPr>
          <w:rFonts w:eastAsia="Times New Roman" w:cs="Arial"/>
        </w:rPr>
        <w:t>harm’.</w:t>
      </w:r>
      <w:r>
        <w:rPr>
          <w:rStyle w:val="EndnoteReference"/>
          <w:rFonts w:eastAsia="Times New Roman" w:cs="Arial"/>
        </w:rPr>
        <w:endnoteReference w:id="79"/>
      </w:r>
      <w:r>
        <w:rPr>
          <w:rFonts w:eastAsia="Times New Roman" w:cs="Arial"/>
        </w:rPr>
        <w:t xml:space="preserve"> DIAC stated that: </w:t>
      </w:r>
    </w:p>
    <w:p w:rsidR="00993E1F" w:rsidRPr="00993E1F" w:rsidRDefault="00BC048A" w:rsidP="00993E1F">
      <w:pPr>
        <w:autoSpaceDE w:val="0"/>
        <w:autoSpaceDN w:val="0"/>
        <w:adjustRightInd w:val="0"/>
        <w:spacing w:before="0" w:after="0"/>
        <w:ind w:left="567"/>
        <w:rPr>
          <w:rFonts w:eastAsia="Times New Roman" w:cs="Arial"/>
          <w:sz w:val="22"/>
          <w:szCs w:val="22"/>
        </w:rPr>
      </w:pPr>
      <w:r w:rsidRPr="00CC29D4">
        <w:rPr>
          <w:rFonts w:eastAsia="Times New Roman" w:cs="Arial"/>
          <w:sz w:val="22"/>
          <w:szCs w:val="22"/>
        </w:rPr>
        <w:t>In circumstances where it is not possible to remove refugees, or other</w:t>
      </w:r>
      <w:r>
        <w:rPr>
          <w:rFonts w:eastAsia="Times New Roman" w:cs="Arial"/>
          <w:sz w:val="22"/>
          <w:szCs w:val="22"/>
        </w:rPr>
        <w:t xml:space="preserve"> </w:t>
      </w:r>
      <w:r w:rsidRPr="00CC29D4">
        <w:rPr>
          <w:rFonts w:eastAsia="Times New Roman" w:cs="Arial"/>
          <w:sz w:val="22"/>
          <w:szCs w:val="22"/>
        </w:rPr>
        <w:t>persons who engage these obligations, whose permanent visa has been</w:t>
      </w:r>
      <w:r>
        <w:rPr>
          <w:rFonts w:eastAsia="Times New Roman" w:cs="Arial"/>
          <w:sz w:val="22"/>
          <w:szCs w:val="22"/>
        </w:rPr>
        <w:t xml:space="preserve"> </w:t>
      </w:r>
      <w:r w:rsidRPr="00CC29D4">
        <w:rPr>
          <w:rFonts w:eastAsia="Times New Roman" w:cs="Arial"/>
          <w:sz w:val="22"/>
          <w:szCs w:val="22"/>
        </w:rPr>
        <w:t>refused or cancelled on character grounds</w:t>
      </w:r>
      <w:r>
        <w:rPr>
          <w:rFonts w:eastAsia="Times New Roman" w:cs="Arial"/>
          <w:sz w:val="22"/>
          <w:szCs w:val="22"/>
        </w:rPr>
        <w:t xml:space="preserve"> </w:t>
      </w:r>
      <w:r w:rsidRPr="00CC29D4">
        <w:rPr>
          <w:rFonts w:eastAsia="Times New Roman" w:cs="Arial"/>
          <w:sz w:val="22"/>
          <w:szCs w:val="22"/>
        </w:rPr>
        <w:t>…</w:t>
      </w:r>
      <w:r>
        <w:rPr>
          <w:rFonts w:eastAsia="Times New Roman" w:cs="Arial"/>
          <w:sz w:val="22"/>
          <w:szCs w:val="22"/>
        </w:rPr>
        <w:t xml:space="preserve"> </w:t>
      </w:r>
      <w:r w:rsidRPr="00CC29D4">
        <w:rPr>
          <w:rFonts w:eastAsia="Times New Roman" w:cs="Arial"/>
          <w:sz w:val="22"/>
          <w:szCs w:val="22"/>
        </w:rPr>
        <w:t>such persons will also not be detained indefinitely.</w:t>
      </w:r>
      <w:r w:rsidRPr="00202988">
        <w:rPr>
          <w:rFonts w:eastAsia="Times New Roman" w:cs="Arial"/>
        </w:rPr>
        <w:t xml:space="preserve"> </w:t>
      </w:r>
      <w:r w:rsidRPr="00202988">
        <w:rPr>
          <w:rFonts w:eastAsia="Times New Roman" w:cs="Arial"/>
          <w:sz w:val="22"/>
          <w:szCs w:val="22"/>
        </w:rPr>
        <w:t>The Government</w:t>
      </w:r>
      <w:r>
        <w:rPr>
          <w:rFonts w:eastAsia="Times New Roman" w:cs="Arial"/>
          <w:sz w:val="22"/>
          <w:szCs w:val="22"/>
        </w:rPr>
        <w:t xml:space="preserve"> </w:t>
      </w:r>
      <w:r w:rsidRPr="00202988">
        <w:rPr>
          <w:rFonts w:eastAsia="Times New Roman" w:cs="Arial"/>
          <w:sz w:val="22"/>
          <w:szCs w:val="22"/>
        </w:rPr>
        <w:t>…</w:t>
      </w:r>
      <w:r>
        <w:rPr>
          <w:rFonts w:eastAsia="Times New Roman" w:cs="Arial"/>
          <w:sz w:val="22"/>
          <w:szCs w:val="22"/>
        </w:rPr>
        <w:t xml:space="preserve"> </w:t>
      </w:r>
      <w:r w:rsidRPr="00202988">
        <w:rPr>
          <w:rFonts w:eastAsia="Times New Roman" w:cs="Arial"/>
          <w:sz w:val="22"/>
          <w:szCs w:val="22"/>
        </w:rPr>
        <w:t>will consider the grant of existing</w:t>
      </w:r>
      <w:r>
        <w:rPr>
          <w:rFonts w:eastAsia="Times New Roman" w:cs="Arial"/>
          <w:sz w:val="22"/>
          <w:szCs w:val="22"/>
        </w:rPr>
        <w:t xml:space="preserve"> </w:t>
      </w:r>
      <w:r w:rsidRPr="00202988">
        <w:rPr>
          <w:rFonts w:eastAsia="Times New Roman" w:cs="Arial"/>
          <w:sz w:val="22"/>
          <w:szCs w:val="22"/>
        </w:rPr>
        <w:t xml:space="preserve">temporary visas under the Act to manage persons who are owed </w:t>
      </w:r>
      <w:r w:rsidRPr="00202988">
        <w:rPr>
          <w:rFonts w:eastAsia="Times New Roman" w:cs="Arial"/>
          <w:i/>
          <w:iCs/>
          <w:sz w:val="22"/>
          <w:szCs w:val="22"/>
        </w:rPr>
        <w:t>non</w:t>
      </w:r>
      <w:r>
        <w:rPr>
          <w:rFonts w:eastAsia="Times New Roman" w:cs="Arial"/>
          <w:i/>
          <w:iCs/>
          <w:sz w:val="22"/>
          <w:szCs w:val="22"/>
        </w:rPr>
        <w:t>-</w:t>
      </w:r>
      <w:r w:rsidRPr="00202988">
        <w:rPr>
          <w:rFonts w:eastAsia="Times New Roman" w:cs="Arial"/>
          <w:i/>
          <w:iCs/>
          <w:sz w:val="22"/>
          <w:szCs w:val="22"/>
        </w:rPr>
        <w:t xml:space="preserve">refoulement </w:t>
      </w:r>
      <w:r w:rsidRPr="00202988">
        <w:rPr>
          <w:rFonts w:eastAsia="Times New Roman" w:cs="Arial"/>
          <w:iCs/>
          <w:sz w:val="22"/>
          <w:szCs w:val="22"/>
        </w:rPr>
        <w:t>[obligations]</w:t>
      </w:r>
      <w:r w:rsidRPr="00202988">
        <w:rPr>
          <w:rFonts w:eastAsia="Times New Roman" w:cs="Arial"/>
          <w:sz w:val="22"/>
          <w:szCs w:val="22"/>
        </w:rPr>
        <w:t>, but whose permanent visa has been refused or cancelled on</w:t>
      </w:r>
      <w:r>
        <w:rPr>
          <w:rFonts w:eastAsia="Times New Roman" w:cs="Arial"/>
          <w:sz w:val="22"/>
          <w:szCs w:val="22"/>
        </w:rPr>
        <w:t xml:space="preserve"> </w:t>
      </w:r>
      <w:r w:rsidRPr="00202988">
        <w:rPr>
          <w:rFonts w:eastAsia="Times New Roman" w:cs="Arial"/>
          <w:sz w:val="22"/>
          <w:szCs w:val="22"/>
        </w:rPr>
        <w:t>character grounds. In such cases, the Minister may consider the exercise of</w:t>
      </w:r>
      <w:r>
        <w:rPr>
          <w:rFonts w:eastAsia="Times New Roman" w:cs="Arial"/>
          <w:sz w:val="22"/>
          <w:szCs w:val="22"/>
        </w:rPr>
        <w:t xml:space="preserve"> </w:t>
      </w:r>
      <w:r w:rsidRPr="00202988">
        <w:rPr>
          <w:rFonts w:eastAsia="Times New Roman" w:cs="Arial"/>
          <w:sz w:val="22"/>
          <w:szCs w:val="22"/>
        </w:rPr>
        <w:t>his personal power under section 195A of the Act to grant a visa placing these</w:t>
      </w:r>
      <w:r>
        <w:rPr>
          <w:rFonts w:eastAsia="Times New Roman" w:cs="Arial"/>
          <w:sz w:val="22"/>
          <w:szCs w:val="22"/>
        </w:rPr>
        <w:t xml:space="preserve"> </w:t>
      </w:r>
      <w:r w:rsidRPr="00202988">
        <w:rPr>
          <w:rFonts w:eastAsia="Times New Roman" w:cs="Arial"/>
          <w:sz w:val="22"/>
          <w:szCs w:val="22"/>
        </w:rPr>
        <w:t>persons in the community with appropriate support arrangements until such</w:t>
      </w:r>
      <w:r>
        <w:rPr>
          <w:rFonts w:eastAsia="Times New Roman" w:cs="Arial"/>
          <w:sz w:val="22"/>
          <w:szCs w:val="22"/>
        </w:rPr>
        <w:t xml:space="preserve"> </w:t>
      </w:r>
      <w:r w:rsidRPr="00202988">
        <w:rPr>
          <w:rFonts w:eastAsia="Times New Roman" w:cs="Arial"/>
          <w:sz w:val="22"/>
          <w:szCs w:val="22"/>
        </w:rPr>
        <w:t>time that their removal from Australia is possible. Other obligations relating to</w:t>
      </w:r>
      <w:r>
        <w:rPr>
          <w:rFonts w:eastAsia="Times New Roman" w:cs="Arial"/>
          <w:sz w:val="22"/>
          <w:szCs w:val="22"/>
        </w:rPr>
        <w:t xml:space="preserve"> </w:t>
      </w:r>
      <w:r w:rsidRPr="00202988">
        <w:rPr>
          <w:rFonts w:eastAsia="Times New Roman" w:cs="Arial"/>
          <w:sz w:val="22"/>
          <w:szCs w:val="22"/>
        </w:rPr>
        <w:t>the presence of refugees in Australia will also continue to be met.</w:t>
      </w:r>
      <w:r w:rsidRPr="00202988">
        <w:rPr>
          <w:rStyle w:val="EndnoteReference"/>
          <w:rFonts w:eastAsia="Times New Roman" w:cs="Arial"/>
          <w:sz w:val="22"/>
          <w:szCs w:val="22"/>
        </w:rPr>
        <w:endnoteReference w:id="80"/>
      </w:r>
    </w:p>
    <w:p w:rsidR="00993E1F" w:rsidRDefault="00993E1F" w:rsidP="000604CD">
      <w:pPr>
        <w:autoSpaceDE w:val="0"/>
        <w:autoSpaceDN w:val="0"/>
        <w:adjustRightInd w:val="0"/>
        <w:spacing w:before="0" w:after="0"/>
        <w:rPr>
          <w:rFonts w:eastAsia="Times New Roman" w:cs="Arial"/>
          <w:highlight w:val="green"/>
        </w:rPr>
      </w:pPr>
    </w:p>
    <w:p w:rsidR="000604CD" w:rsidRDefault="000604CD" w:rsidP="00D77018">
      <w:pPr>
        <w:autoSpaceDE w:val="0"/>
        <w:autoSpaceDN w:val="0"/>
        <w:adjustRightInd w:val="0"/>
        <w:spacing w:before="0" w:after="0"/>
        <w:rPr>
          <w:rFonts w:cs="Arial"/>
        </w:rPr>
      </w:pPr>
      <w:r w:rsidRPr="005D7038">
        <w:rPr>
          <w:rFonts w:eastAsia="Times New Roman" w:cs="Arial"/>
        </w:rPr>
        <w:t xml:space="preserve">The Commission is concerned that </w:t>
      </w:r>
      <w:r w:rsidR="00922483" w:rsidRPr="005D7038">
        <w:rPr>
          <w:rFonts w:eastAsia="Times New Roman" w:cs="Arial"/>
        </w:rPr>
        <w:t>t</w:t>
      </w:r>
      <w:r w:rsidRPr="005D7038">
        <w:rPr>
          <w:rFonts w:eastAsia="Times New Roman" w:cs="Arial"/>
        </w:rPr>
        <w:t>he Minister’s personal power under s</w:t>
      </w:r>
      <w:r w:rsidR="00E71BF0" w:rsidRPr="005D7038">
        <w:rPr>
          <w:rFonts w:eastAsia="Times New Roman" w:cs="Arial"/>
        </w:rPr>
        <w:t>ection</w:t>
      </w:r>
      <w:r w:rsidRPr="005D7038">
        <w:rPr>
          <w:rFonts w:eastAsia="Times New Roman" w:cs="Arial"/>
        </w:rPr>
        <w:t xml:space="preserve"> 195A </w:t>
      </w:r>
      <w:r w:rsidR="00B204A1" w:rsidRPr="005D7038">
        <w:rPr>
          <w:rFonts w:eastAsia="Times New Roman" w:cs="Arial"/>
        </w:rPr>
        <w:t xml:space="preserve">may not be </w:t>
      </w:r>
      <w:r w:rsidR="00486161" w:rsidRPr="005D7038">
        <w:rPr>
          <w:rFonts w:eastAsia="Times New Roman" w:cs="Arial"/>
        </w:rPr>
        <w:t xml:space="preserve">a sufficient safeguard against </w:t>
      </w:r>
      <w:r w:rsidR="00922483" w:rsidRPr="005D7038">
        <w:rPr>
          <w:rFonts w:eastAsia="Times New Roman" w:cs="Arial"/>
        </w:rPr>
        <w:t>indefinite detention</w:t>
      </w:r>
      <w:r w:rsidR="00922483" w:rsidRPr="005D7038">
        <w:rPr>
          <w:rFonts w:eastAsia="Times New Roman" w:cs="Arial"/>
          <w:i/>
        </w:rPr>
        <w:t xml:space="preserve">. </w:t>
      </w:r>
      <w:r w:rsidRPr="005D7038">
        <w:rPr>
          <w:rFonts w:eastAsia="Times New Roman" w:cs="Arial"/>
        </w:rPr>
        <w:t>The Minister’s power under s</w:t>
      </w:r>
      <w:r w:rsidR="00E71BF0" w:rsidRPr="005D7038">
        <w:rPr>
          <w:rFonts w:eastAsia="Times New Roman" w:cs="Arial"/>
        </w:rPr>
        <w:t>ection</w:t>
      </w:r>
      <w:r w:rsidRPr="005D7038">
        <w:rPr>
          <w:rFonts w:eastAsia="Times New Roman" w:cs="Arial"/>
        </w:rPr>
        <w:t xml:space="preserve"> 195A is</w:t>
      </w:r>
      <w:r w:rsidR="00B83CCC">
        <w:rPr>
          <w:rFonts w:eastAsia="Times New Roman" w:cs="Arial"/>
        </w:rPr>
        <w:t xml:space="preserve"> discretionary</w:t>
      </w:r>
      <w:r w:rsidRPr="005D7038">
        <w:rPr>
          <w:rFonts w:eastAsia="Times New Roman" w:cs="Arial"/>
        </w:rPr>
        <w:t>. The Minister is not under any duty to consider whether to exercise his power in s</w:t>
      </w:r>
      <w:r w:rsidR="00E71BF0" w:rsidRPr="005D7038">
        <w:rPr>
          <w:rFonts w:eastAsia="Times New Roman" w:cs="Arial"/>
        </w:rPr>
        <w:t>ection</w:t>
      </w:r>
      <w:r w:rsidRPr="005D7038">
        <w:rPr>
          <w:rFonts w:eastAsia="Times New Roman" w:cs="Arial"/>
        </w:rPr>
        <w:t xml:space="preserve"> 195A to grant a visa, even if he or she is requested to do so.</w:t>
      </w:r>
      <w:r w:rsidR="00E35E61" w:rsidRPr="005D7038">
        <w:rPr>
          <w:rStyle w:val="EndnoteReference"/>
          <w:rFonts w:eastAsia="Times New Roman" w:cs="Arial"/>
        </w:rPr>
        <w:endnoteReference w:id="81"/>
      </w:r>
      <w:r w:rsidR="00E35E61" w:rsidRPr="005D7038">
        <w:rPr>
          <w:rFonts w:eastAsia="Times New Roman" w:cs="Arial"/>
        </w:rPr>
        <w:t xml:space="preserve"> </w:t>
      </w:r>
      <w:r w:rsidRPr="005D7038">
        <w:rPr>
          <w:rFonts w:eastAsia="Times New Roman" w:cs="Arial"/>
        </w:rPr>
        <w:t>A person therefore cannot challenge the Minister’s decision not to exercise this power.</w:t>
      </w:r>
      <w:r w:rsidR="000231B5" w:rsidRPr="005D7038">
        <w:rPr>
          <w:rFonts w:eastAsia="Times New Roman" w:cs="Arial"/>
        </w:rPr>
        <w:t xml:space="preserve"> T</w:t>
      </w:r>
      <w:r w:rsidR="00E113B5" w:rsidRPr="005D7038">
        <w:rPr>
          <w:rFonts w:eastAsia="Times New Roman" w:cs="Arial"/>
        </w:rPr>
        <w:t xml:space="preserve">he Commission </w:t>
      </w:r>
      <w:r w:rsidR="00B06839" w:rsidRPr="005D7038">
        <w:rPr>
          <w:rFonts w:eastAsia="Times New Roman" w:cs="Arial"/>
        </w:rPr>
        <w:t xml:space="preserve">is also concerned </w:t>
      </w:r>
      <w:r w:rsidR="00993E1F" w:rsidRPr="005D7038">
        <w:rPr>
          <w:rFonts w:eastAsia="Times New Roman" w:cs="Arial"/>
        </w:rPr>
        <w:t>that</w:t>
      </w:r>
      <w:r w:rsidR="008E5FE3" w:rsidRPr="005D7038">
        <w:rPr>
          <w:rFonts w:eastAsia="Times New Roman" w:cs="Arial"/>
        </w:rPr>
        <w:t xml:space="preserve">, even if the Minister grants a </w:t>
      </w:r>
      <w:r w:rsidR="001F4AAE" w:rsidRPr="005D7038">
        <w:rPr>
          <w:rFonts w:cs="Arial"/>
        </w:rPr>
        <w:t xml:space="preserve">‘removal pending’ bridging visa </w:t>
      </w:r>
      <w:r w:rsidR="008E5FE3" w:rsidRPr="005D7038">
        <w:rPr>
          <w:rFonts w:eastAsia="Times New Roman" w:cs="Arial"/>
        </w:rPr>
        <w:t>under s</w:t>
      </w:r>
      <w:r w:rsidR="00E71BF0" w:rsidRPr="005D7038">
        <w:rPr>
          <w:rFonts w:eastAsia="Times New Roman" w:cs="Arial"/>
        </w:rPr>
        <w:t>ection</w:t>
      </w:r>
      <w:r w:rsidR="008E5FE3" w:rsidRPr="005D7038">
        <w:rPr>
          <w:rFonts w:eastAsia="Times New Roman" w:cs="Arial"/>
        </w:rPr>
        <w:t xml:space="preserve"> 195A,</w:t>
      </w:r>
      <w:r w:rsidR="00993E1F" w:rsidRPr="005D7038">
        <w:rPr>
          <w:rFonts w:eastAsia="Times New Roman" w:cs="Arial"/>
        </w:rPr>
        <w:t xml:space="preserve"> </w:t>
      </w:r>
      <w:r w:rsidR="001F4AAE" w:rsidRPr="005D7038">
        <w:rPr>
          <w:rFonts w:eastAsia="Times New Roman" w:cs="Arial"/>
        </w:rPr>
        <w:t xml:space="preserve">such a visa </w:t>
      </w:r>
      <w:r w:rsidR="00D2532C" w:rsidRPr="005D7038">
        <w:rPr>
          <w:rFonts w:cs="Arial"/>
        </w:rPr>
        <w:t>is</w:t>
      </w:r>
      <w:r w:rsidR="005A7F27" w:rsidRPr="005D7038">
        <w:rPr>
          <w:rFonts w:cs="Arial"/>
        </w:rPr>
        <w:t xml:space="preserve"> a temp</w:t>
      </w:r>
      <w:r w:rsidR="00E57CBD" w:rsidRPr="005D7038">
        <w:rPr>
          <w:rFonts w:cs="Arial"/>
        </w:rPr>
        <w:t>orary solution</w:t>
      </w:r>
      <w:r w:rsidR="005A7F27" w:rsidRPr="005D7038">
        <w:rPr>
          <w:rFonts w:cs="Arial"/>
        </w:rPr>
        <w:t xml:space="preserve"> which </w:t>
      </w:r>
      <w:r w:rsidR="0002241D" w:rsidRPr="005D7038">
        <w:rPr>
          <w:rFonts w:cs="Arial"/>
        </w:rPr>
        <w:t xml:space="preserve">only </w:t>
      </w:r>
      <w:r w:rsidR="005A7F27" w:rsidRPr="005D7038">
        <w:rPr>
          <w:rFonts w:cs="Arial"/>
        </w:rPr>
        <w:t xml:space="preserve">permits the holder to remain in the Australian community </w:t>
      </w:r>
      <w:r w:rsidR="00E57CBD" w:rsidRPr="005D7038">
        <w:rPr>
          <w:rFonts w:cs="Arial"/>
        </w:rPr>
        <w:t xml:space="preserve">until he or she can </w:t>
      </w:r>
      <w:r w:rsidR="0092618C" w:rsidRPr="005D7038">
        <w:rPr>
          <w:rFonts w:cs="Arial"/>
        </w:rPr>
        <w:t>safely be removed</w:t>
      </w:r>
      <w:r w:rsidR="008D2B0F" w:rsidRPr="005D7038">
        <w:rPr>
          <w:rFonts w:cs="Arial"/>
        </w:rPr>
        <w:t xml:space="preserve"> </w:t>
      </w:r>
      <w:r w:rsidR="00D77018" w:rsidRPr="005D7038">
        <w:rPr>
          <w:rFonts w:cs="Arial"/>
        </w:rPr>
        <w:t>- it does not offer the holder any certainty about their future</w:t>
      </w:r>
      <w:r w:rsidR="008D2B0F" w:rsidRPr="005D7038">
        <w:rPr>
          <w:rFonts w:cs="Arial"/>
        </w:rPr>
        <w:t xml:space="preserve"> in cases where removal is not currently practicable</w:t>
      </w:r>
      <w:r w:rsidR="00033024" w:rsidRPr="005D7038">
        <w:rPr>
          <w:rFonts w:cs="Arial"/>
        </w:rPr>
        <w:t>.</w:t>
      </w:r>
      <w:r w:rsidR="00033024" w:rsidRPr="005D7038">
        <w:rPr>
          <w:rStyle w:val="EndnoteReference"/>
          <w:rFonts w:cs="Arial"/>
        </w:rPr>
        <w:t xml:space="preserve"> </w:t>
      </w:r>
      <w:r w:rsidR="00033024" w:rsidRPr="005D7038">
        <w:rPr>
          <w:rStyle w:val="EndnoteReference"/>
          <w:rFonts w:cs="Arial"/>
        </w:rPr>
        <w:endnoteReference w:id="82"/>
      </w:r>
    </w:p>
    <w:p w:rsidR="00130770" w:rsidRDefault="00130770" w:rsidP="00D77018">
      <w:pPr>
        <w:autoSpaceDE w:val="0"/>
        <w:autoSpaceDN w:val="0"/>
        <w:adjustRightInd w:val="0"/>
        <w:spacing w:before="0" w:after="0"/>
        <w:rPr>
          <w:rFonts w:cs="Arial"/>
        </w:rPr>
      </w:pPr>
    </w:p>
    <w:p w:rsidR="00130770" w:rsidRPr="0052780F" w:rsidRDefault="00130770" w:rsidP="00130770">
      <w:pPr>
        <w:pStyle w:val="Heading2"/>
        <w:tabs>
          <w:tab w:val="num" w:pos="1134"/>
        </w:tabs>
        <w:ind w:left="1134"/>
      </w:pPr>
      <w:bookmarkStart w:id="77" w:name="_Toc362012115"/>
      <w:r w:rsidRPr="00130770">
        <w:lastRenderedPageBreak/>
        <w:t>Risk of separation from children and other family members</w:t>
      </w:r>
      <w:bookmarkEnd w:id="77"/>
    </w:p>
    <w:p w:rsidR="000604CD" w:rsidRDefault="000604CD" w:rsidP="000604CD">
      <w:pPr>
        <w:pStyle w:val="Heading3"/>
        <w:rPr>
          <w:lang w:val="en"/>
        </w:rPr>
      </w:pPr>
      <w:bookmarkStart w:id="78" w:name="_Toc355952737"/>
      <w:r>
        <w:rPr>
          <w:lang w:val="en"/>
        </w:rPr>
        <w:t>Obligation</w:t>
      </w:r>
      <w:bookmarkEnd w:id="78"/>
      <w:r w:rsidR="005A1258">
        <w:rPr>
          <w:lang w:val="en"/>
        </w:rPr>
        <w:t xml:space="preserve"> to consider the best interests of the child</w:t>
      </w:r>
    </w:p>
    <w:p w:rsidR="00FB0E12" w:rsidRPr="00B566DE" w:rsidRDefault="00FB0E12" w:rsidP="005A1258">
      <w:pPr>
        <w:rPr>
          <w:rFonts w:cs="Arial"/>
          <w:sz w:val="22"/>
          <w:szCs w:val="22"/>
          <w:lang w:val="en"/>
        </w:rPr>
      </w:pPr>
      <w:r>
        <w:rPr>
          <w:rFonts w:cs="Arial"/>
          <w:lang w:val="en"/>
        </w:rPr>
        <w:t>V</w:t>
      </w:r>
      <w:r w:rsidRPr="00904DC9">
        <w:rPr>
          <w:rFonts w:cs="Arial"/>
          <w:lang w:val="en"/>
        </w:rPr>
        <w:t xml:space="preserve">isa </w:t>
      </w:r>
      <w:r>
        <w:rPr>
          <w:rFonts w:cs="Arial"/>
          <w:lang w:val="en"/>
        </w:rPr>
        <w:t xml:space="preserve">refusal or </w:t>
      </w:r>
      <w:r w:rsidRPr="00904DC9">
        <w:rPr>
          <w:rFonts w:cs="Arial"/>
          <w:lang w:val="en"/>
        </w:rPr>
        <w:t xml:space="preserve">cancellation under </w:t>
      </w:r>
      <w:r>
        <w:rPr>
          <w:rFonts w:cs="Arial"/>
          <w:lang w:val="en"/>
        </w:rPr>
        <w:t>section 501</w:t>
      </w:r>
      <w:r w:rsidRPr="00904DC9">
        <w:rPr>
          <w:rFonts w:cs="Arial"/>
          <w:lang w:val="en"/>
        </w:rPr>
        <w:t xml:space="preserve"> may result in </w:t>
      </w:r>
      <w:r>
        <w:rPr>
          <w:rFonts w:cs="Arial"/>
          <w:lang w:val="en"/>
        </w:rPr>
        <w:t xml:space="preserve">the </w:t>
      </w:r>
      <w:r w:rsidRPr="00904DC9">
        <w:rPr>
          <w:rFonts w:cs="Arial"/>
          <w:lang w:val="en"/>
        </w:rPr>
        <w:t xml:space="preserve">separation </w:t>
      </w:r>
      <w:r>
        <w:rPr>
          <w:rFonts w:cs="Arial"/>
          <w:lang w:val="en"/>
        </w:rPr>
        <w:t xml:space="preserve">of </w:t>
      </w:r>
      <w:r w:rsidRPr="00904DC9">
        <w:rPr>
          <w:rFonts w:cs="Arial"/>
          <w:lang w:val="en"/>
        </w:rPr>
        <w:t xml:space="preserve">a parent and </w:t>
      </w:r>
      <w:r>
        <w:rPr>
          <w:rFonts w:cs="Arial"/>
          <w:lang w:val="en"/>
        </w:rPr>
        <w:t xml:space="preserve">their </w:t>
      </w:r>
      <w:r w:rsidRPr="00904DC9">
        <w:rPr>
          <w:rFonts w:cs="Arial"/>
          <w:lang w:val="en"/>
        </w:rPr>
        <w:t>child</w:t>
      </w:r>
      <w:r>
        <w:rPr>
          <w:rFonts w:cs="Arial"/>
          <w:lang w:val="en"/>
        </w:rPr>
        <w:t xml:space="preserve"> or children. If the parent’s visa is refused or cancelled, they will be taken into immigration detention, and may be removed from Australia.</w:t>
      </w:r>
      <w:r w:rsidR="00B566DE" w:rsidRPr="00B566DE">
        <w:rPr>
          <w:rFonts w:cs="Arial"/>
          <w:lang w:val="en"/>
        </w:rPr>
        <w:t xml:space="preserve"> </w:t>
      </w:r>
      <w:r w:rsidR="00B566DE">
        <w:rPr>
          <w:rFonts w:cs="Arial"/>
          <w:lang w:val="en"/>
        </w:rPr>
        <w:t>The CRC requires that in all actions concerning children, the best interests of the child must be a primary consideration.</w:t>
      </w:r>
      <w:r w:rsidR="00B566DE">
        <w:rPr>
          <w:rStyle w:val="EndnoteReference"/>
          <w:rFonts w:cs="Arial"/>
          <w:lang w:val="en"/>
        </w:rPr>
        <w:endnoteReference w:id="83"/>
      </w:r>
      <w:r w:rsidR="00B566DE">
        <w:rPr>
          <w:rFonts w:cs="Arial"/>
          <w:lang w:val="en"/>
        </w:rPr>
        <w:t xml:space="preserve"> </w:t>
      </w:r>
    </w:p>
    <w:p w:rsidR="00306F8F" w:rsidRDefault="00D97C77" w:rsidP="0013008E">
      <w:pPr>
        <w:rPr>
          <w:rFonts w:cs="Arial"/>
          <w:lang w:val="en"/>
        </w:rPr>
      </w:pPr>
      <w:r w:rsidRPr="002E2750">
        <w:rPr>
          <w:rFonts w:cs="Arial"/>
          <w:lang w:val="en"/>
        </w:rPr>
        <w:t>The Commission welcomes that</w:t>
      </w:r>
      <w:r w:rsidR="00DC4D77" w:rsidRPr="002E2750">
        <w:rPr>
          <w:rFonts w:cs="Arial"/>
          <w:lang w:val="en"/>
        </w:rPr>
        <w:t xml:space="preserve"> under Direction No. 55 ‘the best interests of minor children in Australia’ is one of the primary considerations DIAC officers must take into account when deciding whether to refuse to grant or to cancel a person’s visa under section 501.</w:t>
      </w:r>
      <w:r w:rsidR="00DC4D77" w:rsidRPr="002E2750">
        <w:rPr>
          <w:rStyle w:val="EndnoteReference"/>
          <w:rFonts w:cs="Arial"/>
          <w:lang w:val="en"/>
        </w:rPr>
        <w:endnoteReference w:id="84"/>
      </w:r>
      <w:r w:rsidR="00DC4D77" w:rsidRPr="002E2750">
        <w:rPr>
          <w:rFonts w:cs="Arial"/>
          <w:lang w:val="en"/>
        </w:rPr>
        <w:t xml:space="preserve"> If there are minor children who will be affected by the decision to refuse or cancel a visa, under the Direction the relevant decision-maker </w:t>
      </w:r>
      <w:r w:rsidR="00DC4D77" w:rsidRPr="002E2750">
        <w:rPr>
          <w:rFonts w:cs="Arial"/>
          <w:i/>
          <w:lang w:val="en"/>
        </w:rPr>
        <w:t>must</w:t>
      </w:r>
      <w:r w:rsidR="00DC4D77" w:rsidRPr="002E2750">
        <w:rPr>
          <w:rFonts w:cs="Arial"/>
          <w:lang w:val="en"/>
        </w:rPr>
        <w:t xml:space="preserve"> make a determination about whether refusal or cancellation is or is not in the best interests of the child.</w:t>
      </w:r>
      <w:r w:rsidR="00DC4D77" w:rsidRPr="002E2750">
        <w:rPr>
          <w:rStyle w:val="EndnoteReference"/>
          <w:rFonts w:cs="Arial"/>
          <w:lang w:val="en"/>
        </w:rPr>
        <w:endnoteReference w:id="85"/>
      </w:r>
    </w:p>
    <w:p w:rsidR="00BA46FD" w:rsidRDefault="00BA46FD" w:rsidP="000604CD">
      <w:pPr>
        <w:pStyle w:val="Heading3"/>
        <w:rPr>
          <w:lang w:val="en"/>
        </w:rPr>
      </w:pPr>
      <w:bookmarkStart w:id="79" w:name="_Toc355952738"/>
      <w:r>
        <w:rPr>
          <w:lang w:val="en"/>
        </w:rPr>
        <w:t>Obligations in relation to avoiding arbitrary interference with, and protecting, the family</w:t>
      </w:r>
      <w:bookmarkEnd w:id="79"/>
    </w:p>
    <w:p w:rsidR="00BA46FD" w:rsidRDefault="00BA46FD" w:rsidP="000604CD">
      <w:pPr>
        <w:spacing w:after="120"/>
        <w:rPr>
          <w:rFonts w:cs="Arial"/>
          <w:lang w:val="en"/>
        </w:rPr>
      </w:pPr>
      <w:r>
        <w:rPr>
          <w:rFonts w:cs="Arial"/>
          <w:lang w:val="en"/>
        </w:rPr>
        <w:t>Under article 17 of the ICCPR, all people have the right to be free from ‘arbitrary or unlawful interference’ with their family.</w:t>
      </w:r>
      <w:r>
        <w:rPr>
          <w:rStyle w:val="EndnoteReference"/>
          <w:rFonts w:cs="Arial"/>
          <w:lang w:val="en"/>
        </w:rPr>
        <w:endnoteReference w:id="86"/>
      </w:r>
      <w:r>
        <w:rPr>
          <w:rFonts w:cs="Arial"/>
          <w:lang w:val="en"/>
        </w:rPr>
        <w:t xml:space="preserve"> Also, article 23(1) of the ICCPR provides that ‘[t]he family is the natural and fundamental group unit of society and is entitled to protection by society and the State’. </w:t>
      </w:r>
      <w:r w:rsidRPr="00904DC9">
        <w:rPr>
          <w:rFonts w:cs="Arial"/>
          <w:lang w:val="en"/>
        </w:rPr>
        <w:t>In some circumstances,</w:t>
      </w:r>
      <w:r>
        <w:rPr>
          <w:rFonts w:cs="Arial"/>
          <w:lang w:val="en"/>
        </w:rPr>
        <w:t xml:space="preserve"> the refusal or cancellation of a person’s visa leading to their s</w:t>
      </w:r>
      <w:r w:rsidRPr="00904DC9">
        <w:rPr>
          <w:rFonts w:cs="Arial"/>
          <w:lang w:val="en"/>
        </w:rPr>
        <w:t xml:space="preserve">ubsequent </w:t>
      </w:r>
      <w:r>
        <w:rPr>
          <w:rFonts w:cs="Arial"/>
          <w:lang w:val="en"/>
        </w:rPr>
        <w:t>detention and/or removal from Australia</w:t>
      </w:r>
      <w:r w:rsidRPr="00904DC9">
        <w:rPr>
          <w:rFonts w:cs="Arial"/>
          <w:lang w:val="en"/>
        </w:rPr>
        <w:t xml:space="preserve"> </w:t>
      </w:r>
      <w:r>
        <w:rPr>
          <w:rFonts w:cs="Arial"/>
          <w:lang w:val="en"/>
        </w:rPr>
        <w:t>could result in Australia being in breach of its obligations under those articles.</w:t>
      </w:r>
      <w:r>
        <w:rPr>
          <w:rStyle w:val="EndnoteReference"/>
          <w:rFonts w:cs="Arial"/>
          <w:lang w:val="en"/>
        </w:rPr>
        <w:endnoteReference w:id="87"/>
      </w:r>
      <w:r>
        <w:rPr>
          <w:rFonts w:cs="Arial"/>
          <w:lang w:val="en"/>
        </w:rPr>
        <w:t xml:space="preserve">  </w:t>
      </w:r>
    </w:p>
    <w:p w:rsidR="000604CD" w:rsidRDefault="00BA46FD" w:rsidP="000604CD">
      <w:pPr>
        <w:spacing w:after="120"/>
        <w:rPr>
          <w:rFonts w:cs="Arial"/>
          <w:lang w:val="en"/>
        </w:rPr>
      </w:pPr>
      <w:r>
        <w:rPr>
          <w:rFonts w:cs="Arial"/>
          <w:lang w:val="en"/>
        </w:rPr>
        <w:t>As exp</w:t>
      </w:r>
      <w:r w:rsidR="00877BAC">
        <w:rPr>
          <w:rFonts w:cs="Arial"/>
          <w:lang w:val="en"/>
        </w:rPr>
        <w:t xml:space="preserve">lained above, </w:t>
      </w:r>
      <w:r>
        <w:rPr>
          <w:rFonts w:cs="Arial"/>
          <w:lang w:val="en"/>
        </w:rPr>
        <w:t xml:space="preserve">people whose visas are cancelled under section 501 are </w:t>
      </w:r>
      <w:r w:rsidR="00877BAC">
        <w:rPr>
          <w:rFonts w:cs="Arial"/>
          <w:lang w:val="en"/>
        </w:rPr>
        <w:t xml:space="preserve">often </w:t>
      </w:r>
      <w:r>
        <w:rPr>
          <w:rFonts w:cs="Arial"/>
          <w:lang w:val="en"/>
        </w:rPr>
        <w:t>long-term permanent residents who moved to Australia as a child and have lived here for many years prior to their visa cancellation.</w:t>
      </w:r>
      <w:r>
        <w:rPr>
          <w:rStyle w:val="EndnoteReference"/>
          <w:rFonts w:cs="Arial"/>
          <w:lang w:val="en"/>
        </w:rPr>
        <w:endnoteReference w:id="88"/>
      </w:r>
      <w:r>
        <w:rPr>
          <w:rFonts w:cs="Arial"/>
          <w:lang w:val="en"/>
        </w:rPr>
        <w:t xml:space="preserve"> </w:t>
      </w:r>
      <w:r w:rsidR="000604CD">
        <w:rPr>
          <w:rFonts w:cs="Arial"/>
          <w:lang w:val="en"/>
        </w:rPr>
        <w:t xml:space="preserve">Many of them </w:t>
      </w:r>
      <w:r w:rsidR="000604CD" w:rsidRPr="00904DC9">
        <w:rPr>
          <w:rFonts w:cs="Arial"/>
          <w:lang w:val="en"/>
        </w:rPr>
        <w:t>have family</w:t>
      </w:r>
      <w:r w:rsidR="000604CD">
        <w:rPr>
          <w:rFonts w:cs="Arial"/>
          <w:lang w:val="en"/>
        </w:rPr>
        <w:t xml:space="preserve"> members</w:t>
      </w:r>
      <w:r w:rsidR="000604CD" w:rsidRPr="00904DC9">
        <w:rPr>
          <w:rFonts w:cs="Arial"/>
          <w:lang w:val="en"/>
        </w:rPr>
        <w:t xml:space="preserve"> in Australia</w:t>
      </w:r>
      <w:r w:rsidR="00DD522A">
        <w:rPr>
          <w:rFonts w:cs="Arial"/>
          <w:lang w:val="en"/>
        </w:rPr>
        <w:t xml:space="preserve">, some of whom </w:t>
      </w:r>
      <w:r w:rsidR="000604CD">
        <w:rPr>
          <w:rFonts w:cs="Arial"/>
          <w:lang w:val="en"/>
        </w:rPr>
        <w:t xml:space="preserve">may be long-term permanent residents </w:t>
      </w:r>
      <w:r w:rsidR="00DD522A">
        <w:rPr>
          <w:rFonts w:cs="Arial"/>
          <w:lang w:val="en"/>
        </w:rPr>
        <w:t xml:space="preserve">themselves, </w:t>
      </w:r>
      <w:r w:rsidR="000604CD">
        <w:rPr>
          <w:rFonts w:cs="Arial"/>
          <w:lang w:val="en"/>
        </w:rPr>
        <w:t xml:space="preserve">or </w:t>
      </w:r>
      <w:r w:rsidR="00DD522A">
        <w:rPr>
          <w:rFonts w:cs="Arial"/>
          <w:lang w:val="en"/>
        </w:rPr>
        <w:t xml:space="preserve">even </w:t>
      </w:r>
      <w:r w:rsidR="000604CD">
        <w:rPr>
          <w:rFonts w:cs="Arial"/>
          <w:lang w:val="en"/>
        </w:rPr>
        <w:t xml:space="preserve">Australian citizens. </w:t>
      </w:r>
    </w:p>
    <w:p w:rsidR="008F7C67" w:rsidRDefault="004E6458" w:rsidP="000604CD">
      <w:pPr>
        <w:spacing w:after="120"/>
        <w:rPr>
          <w:rFonts w:cs="Arial"/>
          <w:lang w:val="en"/>
        </w:rPr>
      </w:pPr>
      <w:r>
        <w:rPr>
          <w:rFonts w:cs="Arial"/>
          <w:lang w:val="en"/>
        </w:rPr>
        <w:t xml:space="preserve">The prolonged </w:t>
      </w:r>
      <w:r w:rsidR="002B17CF">
        <w:rPr>
          <w:rFonts w:cs="Arial"/>
          <w:lang w:val="en"/>
        </w:rPr>
        <w:t xml:space="preserve">detention and/or </w:t>
      </w:r>
      <w:r w:rsidR="000604CD">
        <w:rPr>
          <w:rFonts w:cs="Arial"/>
          <w:lang w:val="en"/>
        </w:rPr>
        <w:t xml:space="preserve">removal of a person from Australia after their visa cancellation could result in </w:t>
      </w:r>
      <w:r w:rsidR="00806492">
        <w:rPr>
          <w:rFonts w:cs="Arial"/>
          <w:lang w:val="en"/>
        </w:rPr>
        <w:t>that person</w:t>
      </w:r>
      <w:r w:rsidR="003B16D2">
        <w:rPr>
          <w:rFonts w:cs="Arial"/>
          <w:lang w:val="en"/>
        </w:rPr>
        <w:t xml:space="preserve"> being </w:t>
      </w:r>
      <w:r w:rsidR="00806492">
        <w:rPr>
          <w:rFonts w:cs="Arial"/>
          <w:lang w:val="en"/>
        </w:rPr>
        <w:t>separated</w:t>
      </w:r>
      <w:r w:rsidR="000604CD">
        <w:rPr>
          <w:rFonts w:cs="Arial"/>
          <w:lang w:val="en"/>
        </w:rPr>
        <w:t xml:space="preserve"> from their family members who reside in Australia. </w:t>
      </w:r>
      <w:r w:rsidR="000604CD" w:rsidRPr="00A91727">
        <w:rPr>
          <w:rFonts w:cs="Arial"/>
          <w:lang w:val="en"/>
        </w:rPr>
        <w:t xml:space="preserve">Depending on the reason </w:t>
      </w:r>
      <w:r w:rsidR="008E76E7">
        <w:rPr>
          <w:rFonts w:cs="Arial"/>
          <w:lang w:val="en"/>
        </w:rPr>
        <w:t>they failed</w:t>
      </w:r>
      <w:r w:rsidR="000604CD" w:rsidRPr="00A91727">
        <w:rPr>
          <w:rFonts w:cs="Arial"/>
          <w:lang w:val="en"/>
        </w:rPr>
        <w:t xml:space="preserve"> the character test, a person who is removed may </w:t>
      </w:r>
      <w:r w:rsidR="00E90927">
        <w:rPr>
          <w:rFonts w:cs="Arial"/>
          <w:lang w:val="en"/>
        </w:rPr>
        <w:t xml:space="preserve">then </w:t>
      </w:r>
      <w:r w:rsidR="00A91727" w:rsidRPr="00A91727">
        <w:rPr>
          <w:rFonts w:cs="Arial"/>
          <w:lang w:val="en"/>
        </w:rPr>
        <w:t xml:space="preserve">effectively </w:t>
      </w:r>
      <w:r w:rsidR="00E90927" w:rsidRPr="00A91727">
        <w:rPr>
          <w:rFonts w:cs="Arial"/>
          <w:lang w:val="en"/>
        </w:rPr>
        <w:t xml:space="preserve">be </w:t>
      </w:r>
      <w:r w:rsidR="009B4B80">
        <w:rPr>
          <w:rFonts w:cs="Arial"/>
          <w:lang w:val="en"/>
        </w:rPr>
        <w:t xml:space="preserve">permanently </w:t>
      </w:r>
      <w:r w:rsidR="00E90927" w:rsidRPr="00A91727">
        <w:rPr>
          <w:rFonts w:cs="Arial"/>
          <w:lang w:val="en"/>
        </w:rPr>
        <w:t>excluded</w:t>
      </w:r>
      <w:r w:rsidR="000604CD" w:rsidRPr="00A91727">
        <w:rPr>
          <w:rFonts w:cs="Arial"/>
          <w:lang w:val="en"/>
        </w:rPr>
        <w:t xml:space="preserve"> from Australia,</w:t>
      </w:r>
      <w:r w:rsidR="000604CD">
        <w:rPr>
          <w:rFonts w:cs="Arial"/>
          <w:lang w:val="en"/>
        </w:rPr>
        <w:t xml:space="preserve"> </w:t>
      </w:r>
      <w:r w:rsidR="002E184B">
        <w:rPr>
          <w:rFonts w:cs="Arial"/>
          <w:lang w:val="en"/>
        </w:rPr>
        <w:t xml:space="preserve">and </w:t>
      </w:r>
      <w:r w:rsidR="0049708D">
        <w:rPr>
          <w:rFonts w:cs="Arial"/>
          <w:lang w:val="en"/>
        </w:rPr>
        <w:t xml:space="preserve">consequently </w:t>
      </w:r>
      <w:r w:rsidR="002E184B">
        <w:rPr>
          <w:rFonts w:cs="Arial"/>
          <w:lang w:val="en"/>
        </w:rPr>
        <w:t>prevented</w:t>
      </w:r>
      <w:r w:rsidR="000604CD">
        <w:rPr>
          <w:rFonts w:cs="Arial"/>
          <w:lang w:val="en"/>
        </w:rPr>
        <w:t xml:space="preserve"> from returning to visit family members who remain in the country.</w:t>
      </w:r>
      <w:r w:rsidR="00AB36A7">
        <w:rPr>
          <w:rStyle w:val="EndnoteReference"/>
          <w:rFonts w:cs="Arial"/>
          <w:lang w:val="en"/>
        </w:rPr>
        <w:endnoteReference w:id="89"/>
      </w:r>
      <w:r w:rsidR="00AB36A7">
        <w:rPr>
          <w:rFonts w:cs="Arial"/>
          <w:lang w:val="en"/>
        </w:rPr>
        <w:t xml:space="preserve">  </w:t>
      </w:r>
    </w:p>
    <w:p w:rsidR="000604CD" w:rsidRDefault="00600AF3" w:rsidP="000604CD">
      <w:pPr>
        <w:spacing w:after="120"/>
        <w:rPr>
          <w:rFonts w:cs="Arial"/>
          <w:lang w:val="en"/>
        </w:rPr>
      </w:pPr>
      <w:r>
        <w:rPr>
          <w:rFonts w:cs="Arial"/>
          <w:lang w:val="en"/>
        </w:rPr>
        <w:t xml:space="preserve">Cancelling a person’s visa and holding them in detention for a long period of time and/or removing </w:t>
      </w:r>
      <w:r w:rsidR="000604CD">
        <w:rPr>
          <w:rFonts w:cs="Arial"/>
          <w:lang w:val="en"/>
        </w:rPr>
        <w:t>them from Austral</w:t>
      </w:r>
      <w:r w:rsidR="00024E19">
        <w:rPr>
          <w:rFonts w:cs="Arial"/>
          <w:lang w:val="en"/>
        </w:rPr>
        <w:t>ia can therefore impact that</w:t>
      </w:r>
      <w:r w:rsidR="000604CD">
        <w:rPr>
          <w:rFonts w:cs="Arial"/>
          <w:lang w:val="en"/>
        </w:rPr>
        <w:t xml:space="preserve"> person’s (and their family members’) right to respect for family life. Under article 17 of the ICCPR, such interference with the right to family life is only permissible if it is not arbitrary, which means it must be ‘reasonable in the particular circumstances’.</w:t>
      </w:r>
      <w:r w:rsidR="003315CD">
        <w:rPr>
          <w:rStyle w:val="EndnoteReference"/>
          <w:rFonts w:cs="Arial"/>
          <w:lang w:val="en"/>
        </w:rPr>
        <w:endnoteReference w:id="90"/>
      </w:r>
    </w:p>
    <w:p w:rsidR="008254B4" w:rsidRDefault="008254B4" w:rsidP="000604CD">
      <w:pPr>
        <w:spacing w:after="120"/>
        <w:rPr>
          <w:rFonts w:cs="Arial"/>
          <w:lang w:val="en"/>
        </w:rPr>
      </w:pPr>
    </w:p>
    <w:p w:rsidR="008254B4" w:rsidRDefault="008254B4" w:rsidP="000604CD">
      <w:pPr>
        <w:spacing w:after="120"/>
        <w:rPr>
          <w:rFonts w:cs="Arial"/>
          <w:lang w:val="en"/>
        </w:rPr>
      </w:pPr>
    </w:p>
    <w:p w:rsidR="000604CD" w:rsidRDefault="003315CD" w:rsidP="000604CD">
      <w:pPr>
        <w:spacing w:after="120"/>
        <w:rPr>
          <w:rFonts w:cs="Arial"/>
          <w:lang w:val="en"/>
        </w:rPr>
      </w:pPr>
      <w:r>
        <w:rPr>
          <w:noProof/>
        </w:rPr>
        <w:lastRenderedPageBreak/>
        <mc:AlternateContent>
          <mc:Choice Requires="wps">
            <w:drawing>
              <wp:anchor distT="0" distB="0" distL="114300" distR="114300" simplePos="0" relativeHeight="251666432" behindDoc="1" locked="0" layoutInCell="1" allowOverlap="1" wp14:anchorId="14AC1DA5" wp14:editId="29F9F5F8">
                <wp:simplePos x="0" y="0"/>
                <wp:positionH relativeFrom="column">
                  <wp:posOffset>81915</wp:posOffset>
                </wp:positionH>
                <wp:positionV relativeFrom="paragraph">
                  <wp:posOffset>124735</wp:posOffset>
                </wp:positionV>
                <wp:extent cx="5339080" cy="4299044"/>
                <wp:effectExtent l="0" t="0" r="13970" b="25400"/>
                <wp:wrapNone/>
                <wp:docPr id="1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080" cy="4299044"/>
                        </a:xfrm>
                        <a:custGeom>
                          <a:avLst/>
                          <a:gdLst>
                            <a:gd name="connsiteX0" fmla="*/ 0 w 5982335"/>
                            <a:gd name="connsiteY0" fmla="*/ 410007 h 2459990"/>
                            <a:gd name="connsiteX1" fmla="*/ 410007 w 5982335"/>
                            <a:gd name="connsiteY1" fmla="*/ 0 h 2459990"/>
                            <a:gd name="connsiteX2" fmla="*/ 5572328 w 5982335"/>
                            <a:gd name="connsiteY2" fmla="*/ 0 h 2459990"/>
                            <a:gd name="connsiteX3" fmla="*/ 5982335 w 5982335"/>
                            <a:gd name="connsiteY3" fmla="*/ 410007 h 2459990"/>
                            <a:gd name="connsiteX4" fmla="*/ 5982335 w 5982335"/>
                            <a:gd name="connsiteY4" fmla="*/ 2049983 h 2459990"/>
                            <a:gd name="connsiteX5" fmla="*/ 5572328 w 5982335"/>
                            <a:gd name="connsiteY5" fmla="*/ 2459990 h 2459990"/>
                            <a:gd name="connsiteX6" fmla="*/ 410007 w 5982335"/>
                            <a:gd name="connsiteY6" fmla="*/ 2459990 h 2459990"/>
                            <a:gd name="connsiteX7" fmla="*/ 0 w 5982335"/>
                            <a:gd name="connsiteY7" fmla="*/ 2049983 h 2459990"/>
                            <a:gd name="connsiteX8" fmla="*/ 0 w 5982335"/>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426581 w 5998909"/>
                            <a:gd name="connsiteY6" fmla="*/ 2459990 h 2459990"/>
                            <a:gd name="connsiteX7" fmla="*/ 16574 w 5998909"/>
                            <a:gd name="connsiteY7" fmla="*/ 2049983 h 2459990"/>
                            <a:gd name="connsiteX8" fmla="*/ 16574 w 5998909"/>
                            <a:gd name="connsiteY8" fmla="*/ 410007 h 2459990"/>
                            <a:gd name="connsiteX0" fmla="*/ 16574 w 5998909"/>
                            <a:gd name="connsiteY0" fmla="*/ 410007 h 2459990"/>
                            <a:gd name="connsiteX1" fmla="*/ 155647 w 5998909"/>
                            <a:gd name="connsiteY1" fmla="*/ 0 h 2459990"/>
                            <a:gd name="connsiteX2" fmla="*/ 5588902 w 5998909"/>
                            <a:gd name="connsiteY2" fmla="*/ 0 h 2459990"/>
                            <a:gd name="connsiteX3" fmla="*/ 5998909 w 5998909"/>
                            <a:gd name="connsiteY3" fmla="*/ 410007 h 2459990"/>
                            <a:gd name="connsiteX4" fmla="*/ 5998909 w 5998909"/>
                            <a:gd name="connsiteY4" fmla="*/ 2049983 h 2459990"/>
                            <a:gd name="connsiteX5" fmla="*/ 5588902 w 5998909"/>
                            <a:gd name="connsiteY5" fmla="*/ 2459990 h 2459990"/>
                            <a:gd name="connsiteX6" fmla="*/ 200805 w 5998909"/>
                            <a:gd name="connsiteY6" fmla="*/ 2459990 h 2459990"/>
                            <a:gd name="connsiteX7" fmla="*/ 16574 w 5998909"/>
                            <a:gd name="connsiteY7" fmla="*/ 2049983 h 2459990"/>
                            <a:gd name="connsiteX8" fmla="*/ 16574 w 59989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588902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 name="connsiteX0" fmla="*/ 16574 w 6015509"/>
                            <a:gd name="connsiteY0" fmla="*/ 410007 h 2459990"/>
                            <a:gd name="connsiteX1" fmla="*/ 155647 w 6015509"/>
                            <a:gd name="connsiteY1" fmla="*/ 0 h 2459990"/>
                            <a:gd name="connsiteX2" fmla="*/ 5859899 w 6015509"/>
                            <a:gd name="connsiteY2" fmla="*/ 0 h 2459990"/>
                            <a:gd name="connsiteX3" fmla="*/ 5998909 w 6015509"/>
                            <a:gd name="connsiteY3" fmla="*/ 410007 h 2459990"/>
                            <a:gd name="connsiteX4" fmla="*/ 5998909 w 6015509"/>
                            <a:gd name="connsiteY4" fmla="*/ 2049983 h 2459990"/>
                            <a:gd name="connsiteX5" fmla="*/ 5826118 w 6015509"/>
                            <a:gd name="connsiteY5" fmla="*/ 2459990 h 2459990"/>
                            <a:gd name="connsiteX6" fmla="*/ 200805 w 6015509"/>
                            <a:gd name="connsiteY6" fmla="*/ 2459990 h 2459990"/>
                            <a:gd name="connsiteX7" fmla="*/ 16574 w 6015509"/>
                            <a:gd name="connsiteY7" fmla="*/ 2049983 h 2459990"/>
                            <a:gd name="connsiteX8" fmla="*/ 16574 w 6015509"/>
                            <a:gd name="connsiteY8" fmla="*/ 410007 h 245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015509" h="2459990">
                              <a:moveTo>
                                <a:pt x="16574" y="410007"/>
                              </a:moveTo>
                              <a:cubicBezTo>
                                <a:pt x="16574" y="183566"/>
                                <a:pt x="-70794" y="0"/>
                                <a:pt x="155647" y="0"/>
                              </a:cubicBezTo>
                              <a:lnTo>
                                <a:pt x="5859899" y="0"/>
                              </a:lnTo>
                              <a:cubicBezTo>
                                <a:pt x="6086340" y="0"/>
                                <a:pt x="5998909" y="183566"/>
                                <a:pt x="5998909" y="410007"/>
                              </a:cubicBezTo>
                              <a:lnTo>
                                <a:pt x="5998909" y="2049983"/>
                              </a:lnTo>
                              <a:cubicBezTo>
                                <a:pt x="5998909" y="2276424"/>
                                <a:pt x="6052559" y="2459990"/>
                                <a:pt x="5826118" y="2459990"/>
                              </a:cubicBezTo>
                              <a:lnTo>
                                <a:pt x="200805" y="2459990"/>
                              </a:lnTo>
                              <a:cubicBezTo>
                                <a:pt x="-25636" y="2459990"/>
                                <a:pt x="16574" y="2276424"/>
                                <a:pt x="16574" y="2049983"/>
                              </a:cubicBezTo>
                              <a:lnTo>
                                <a:pt x="16574" y="410007"/>
                              </a:lnTo>
                              <a:close/>
                            </a:path>
                          </a:pathLst>
                        </a:custGeom>
                        <a:solidFill>
                          <a:srgbClr val="0070C0"/>
                        </a:solidFill>
                        <a:ln w="25400" cap="flat" cmpd="sng" algn="ctr">
                          <a:solidFill>
                            <a:srgbClr val="0070C0"/>
                          </a:solidFill>
                          <a:prstDash val="solid"/>
                        </a:ln>
                        <a:effectLst/>
                      </wps:spPr>
                      <wps:txbx>
                        <w:txbxContent>
                          <w:p w:rsidR="00FA4975" w:rsidRPr="00F00A91" w:rsidRDefault="00FA4975" w:rsidP="00F00A91">
                            <w:pPr>
                              <w:pStyle w:val="Default"/>
                              <w:spacing w:before="240" w:after="120"/>
                              <w:rPr>
                                <w:rFonts w:ascii="Arial" w:eastAsia="MS Mincho" w:hAnsi="Arial" w:cs="Arial"/>
                                <w:b/>
                                <w:color w:val="FFFFFF"/>
                              </w:rPr>
                            </w:pPr>
                            <w:r w:rsidRPr="000604CD">
                              <w:rPr>
                                <w:rFonts w:ascii="Arial" w:eastAsia="MS Mincho" w:hAnsi="Arial" w:cs="Arial"/>
                                <w:b/>
                                <w:color w:val="FFFFFF"/>
                              </w:rPr>
                              <w:t>CASE STUDY 4</w:t>
                            </w:r>
                            <w:r w:rsidRPr="000604CD">
                              <w:rPr>
                                <w:rFonts w:cs="Arial"/>
                                <w:b/>
                                <w:color w:val="FFFFFF"/>
                              </w:rPr>
                              <w:t>:</w:t>
                            </w:r>
                            <w:r w:rsidRPr="000604CD">
                              <w:rPr>
                                <w:rFonts w:cs="Arial"/>
                                <w:color w:val="FFFFFF"/>
                              </w:rPr>
                              <w:t xml:space="preserve"> </w:t>
                            </w:r>
                            <w:r w:rsidRPr="000D7A6B">
                              <w:rPr>
                                <w:rFonts w:ascii="Arial" w:eastAsia="MS Mincho" w:hAnsi="Arial" w:cs="Arial"/>
                                <w:b/>
                                <w:color w:val="FFFFFF"/>
                              </w:rPr>
                              <w:t>Brown v Commonwealth of Australia (Department of Immigration &amp; Citizenship)</w:t>
                            </w:r>
                          </w:p>
                          <w:p w:rsidR="00FA4975" w:rsidRPr="000604CD" w:rsidRDefault="00FA4975" w:rsidP="00F00A91">
                            <w:pPr>
                              <w:pStyle w:val="Default"/>
                              <w:spacing w:after="120"/>
                              <w:rPr>
                                <w:rFonts w:ascii="Arial" w:eastAsia="MS Mincho" w:hAnsi="Arial" w:cs="Arial"/>
                                <w:color w:val="FFFFFF"/>
                              </w:rPr>
                            </w:pPr>
                            <w:r w:rsidRPr="000604CD">
                              <w:rPr>
                                <w:rFonts w:ascii="Arial" w:eastAsia="MS Mincho" w:hAnsi="Arial" w:cs="Arial"/>
                                <w:color w:val="FFFFFF"/>
                              </w:rPr>
                              <w:t>(</w:t>
                            </w:r>
                            <w:r w:rsidRPr="000604CD">
                              <w:rPr>
                                <w:rFonts w:ascii="Arial" w:eastAsia="MS Mincho" w:hAnsi="Arial" w:cs="Arial"/>
                                <w:i/>
                                <w:color w:val="FFFFFF"/>
                              </w:rPr>
                              <w:t>Report into arbitrary detention, the right to be treated with humanity and with respect for the inherent dignity of the human person and the right to be free from arbitrary interference with and to protection of the family</w:t>
                            </w:r>
                            <w:r w:rsidRPr="000604CD">
                              <w:rPr>
                                <w:rFonts w:ascii="Arial" w:eastAsia="MS Mincho" w:hAnsi="Arial" w:cs="Arial"/>
                                <w:color w:val="FFFFFF"/>
                              </w:rPr>
                              <w:t xml:space="preserve"> [2012] AusHRC 51)</w:t>
                            </w:r>
                          </w:p>
                          <w:p w:rsidR="00FA4975" w:rsidRPr="000604CD" w:rsidRDefault="00FA4975" w:rsidP="000604CD">
                            <w:pPr>
                              <w:rPr>
                                <w:rFonts w:cs="Arial"/>
                                <w:color w:val="FFFFFF"/>
                              </w:rPr>
                            </w:pPr>
                            <w:r w:rsidRPr="000604CD">
                              <w:rPr>
                                <w:rFonts w:cs="Arial"/>
                                <w:color w:val="FFFFFF"/>
                              </w:rPr>
                              <w:t xml:space="preserve">Mrs Brown, a New Zealand citizen, had her visa cancelled on character grounds pursuant to </w:t>
                            </w:r>
                            <w:r>
                              <w:rPr>
                                <w:rFonts w:cs="Arial"/>
                                <w:color w:val="FFFFFF"/>
                              </w:rPr>
                              <w:t>section 501</w:t>
                            </w:r>
                            <w:r w:rsidRPr="000604CD">
                              <w:rPr>
                                <w:rFonts w:cs="Arial"/>
                                <w:color w:val="FFFFFF"/>
                              </w:rPr>
                              <w:t xml:space="preserve"> on 3 November 2008, and on 14 November 2008 she was placed in immigration detention. Her placement in immigration detention separated her from her fiancé, four children, eight siblings and five grandchildren, all of whom were living in the Australian community. After a series of unsuccessful applications to have the decision to cancel her visa overturned, and her request to be placed in community detention was refused, she ultimately voluntarily returned to New Zealand on 23 May 2011. Accordingly, for the 30 months Mrs Brown was detained she was separated from her family.</w:t>
                            </w:r>
                            <w:r>
                              <w:rPr>
                                <w:rFonts w:cs="Arial"/>
                                <w:color w:val="FFFFFF"/>
                              </w:rPr>
                              <w:t xml:space="preserve"> Former Commission</w:t>
                            </w:r>
                            <w:r w:rsidRPr="000604CD">
                              <w:rPr>
                                <w:rFonts w:cs="Arial"/>
                                <w:color w:val="FFFFFF"/>
                              </w:rPr>
                              <w:t xml:space="preserve"> President</w:t>
                            </w:r>
                            <w:r>
                              <w:rPr>
                                <w:rFonts w:cs="Arial"/>
                                <w:color w:val="FFFFFF"/>
                              </w:rPr>
                              <w:t xml:space="preserve"> Catherine</w:t>
                            </w:r>
                            <w:r w:rsidRPr="000604CD">
                              <w:rPr>
                                <w:rFonts w:cs="Arial"/>
                                <w:color w:val="FFFFFF"/>
                              </w:rPr>
                              <w:t xml:space="preserve"> Branson found that the decision to detain Mrs Brown</w:t>
                            </w:r>
                            <w:r>
                              <w:rPr>
                                <w:rFonts w:cs="Arial"/>
                                <w:color w:val="FFFFFF"/>
                              </w:rPr>
                              <w:t xml:space="preserve"> in closed detention rather than community detention</w:t>
                            </w:r>
                            <w:r w:rsidRPr="000604CD">
                              <w:rPr>
                                <w:rFonts w:cs="Arial"/>
                                <w:color w:val="FFFFFF"/>
                              </w:rPr>
                              <w:t xml:space="preserve"> was not a reasonable </w:t>
                            </w:r>
                            <w:r>
                              <w:rPr>
                                <w:rFonts w:cs="Arial"/>
                                <w:color w:val="FFFFFF"/>
                              </w:rPr>
                              <w:t xml:space="preserve">or proportionate </w:t>
                            </w:r>
                            <w:r w:rsidRPr="000604CD">
                              <w:rPr>
                                <w:rFonts w:cs="Arial"/>
                                <w:color w:val="FFFFFF"/>
                              </w:rPr>
                              <w:t>response to any risk she presented to the community if released</w:t>
                            </w:r>
                            <w:r>
                              <w:rPr>
                                <w:rFonts w:cs="Arial"/>
                                <w:color w:val="FFFFFF"/>
                              </w:rPr>
                              <w:t>. Accordingly,</w:t>
                            </w:r>
                            <w:r w:rsidRPr="000604CD">
                              <w:rPr>
                                <w:rFonts w:cs="Arial"/>
                                <w:color w:val="FFFFFF"/>
                              </w:rPr>
                              <w:t xml:space="preserve"> the interference with her family was </w:t>
                            </w:r>
                            <w:r>
                              <w:rPr>
                                <w:rFonts w:cs="Arial"/>
                                <w:color w:val="FFFFFF"/>
                              </w:rPr>
                              <w:t>arbitrary,</w:t>
                            </w:r>
                            <w:r w:rsidRPr="000604CD">
                              <w:rPr>
                                <w:rFonts w:cs="Arial"/>
                                <w:color w:val="FFFFFF"/>
                              </w:rPr>
                              <w:t xml:space="preserve"> </w:t>
                            </w:r>
                            <w:r>
                              <w:rPr>
                                <w:rFonts w:cs="Arial"/>
                                <w:color w:val="FFFFFF"/>
                              </w:rPr>
                              <w:t>in</w:t>
                            </w:r>
                            <w:r w:rsidRPr="000604CD">
                              <w:rPr>
                                <w:rFonts w:cs="Arial"/>
                                <w:color w:val="FFFFFF"/>
                              </w:rPr>
                              <w:t xml:space="preserve"> breach </w:t>
                            </w:r>
                            <w:r>
                              <w:rPr>
                                <w:rFonts w:cs="Arial"/>
                                <w:color w:val="FFFFFF"/>
                              </w:rPr>
                              <w:t xml:space="preserve">of </w:t>
                            </w:r>
                            <w:r w:rsidRPr="000604CD">
                              <w:rPr>
                                <w:rFonts w:cs="Arial"/>
                                <w:color w:val="FFFFFF"/>
                              </w:rPr>
                              <w:t>articles 17 and 23 of the ICCPR.</w:t>
                            </w:r>
                          </w:p>
                          <w:p w:rsidR="00FA4975" w:rsidRPr="000604CD" w:rsidRDefault="00FA4975" w:rsidP="000604CD">
                            <w:pPr>
                              <w:rPr>
                                <w:rFonts w:cs="Arial"/>
                                <w:color w:val="FFFFFF"/>
                              </w:rPr>
                            </w:pPr>
                          </w:p>
                          <w:p w:rsidR="00FA4975" w:rsidRPr="000604CD" w:rsidRDefault="00FA4975" w:rsidP="000604CD">
                            <w:pPr>
                              <w:rPr>
                                <w:rFonts w:cs="Arial"/>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6.45pt;margin-top:9.8pt;width:420.4pt;height:33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5509,245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" adj="-11796480,,5400" path="m16574,410007c16574,183566,-70794,,155647,l5859899,v226441,,139010,183566,139010,410007l5998909,2049983v,226441,53650,410007,-172791,410007l200805,2459990v-226441,,-184231,-183566,-184231,-410007l16574,410007xe" fillcolor="#0070c0" strokecolor="#0070c0" strokeweight="2pt">
                <v:stroke joinstyle="miter"/>
                <v:formulas/>
                <v:path arrowok="t" o:connecttype="custom" o:connectlocs="14710,716522;138145,0;5200968,0;5324347,716522;5324347,3582522;5170986,4299044;178225,4299044;14710,3582522;14710,716522" o:connectangles="0,0,0,0,0,0,0,0,0" textboxrect="0,0,6015509,2459990"/>
                <v:textbox>
                  <w:txbxContent>
                    <w:p w:rsidR="00FA4975" w:rsidRPr="00F00A91" w:rsidRDefault="00FA4975" w:rsidP="00F00A91">
                      <w:pPr>
                        <w:pStyle w:val="Default"/>
                        <w:spacing w:before="240" w:after="120"/>
                        <w:rPr>
                          <w:rFonts w:ascii="Arial" w:eastAsia="MS Mincho" w:hAnsi="Arial" w:cs="Arial"/>
                          <w:b/>
                          <w:color w:val="FFFFFF"/>
                        </w:rPr>
                      </w:pPr>
                      <w:r w:rsidRPr="000604CD">
                        <w:rPr>
                          <w:rFonts w:ascii="Arial" w:eastAsia="MS Mincho" w:hAnsi="Arial" w:cs="Arial"/>
                          <w:b/>
                          <w:color w:val="FFFFFF"/>
                        </w:rPr>
                        <w:t>CASE STUDY 4</w:t>
                      </w:r>
                      <w:r w:rsidRPr="000604CD">
                        <w:rPr>
                          <w:rFonts w:cs="Arial"/>
                          <w:b/>
                          <w:color w:val="FFFFFF"/>
                        </w:rPr>
                        <w:t>:</w:t>
                      </w:r>
                      <w:r w:rsidRPr="000604CD">
                        <w:rPr>
                          <w:rFonts w:cs="Arial"/>
                          <w:color w:val="FFFFFF"/>
                        </w:rPr>
                        <w:t xml:space="preserve"> </w:t>
                      </w:r>
                      <w:r w:rsidRPr="000D7A6B">
                        <w:rPr>
                          <w:rFonts w:ascii="Arial" w:eastAsia="MS Mincho" w:hAnsi="Arial" w:cs="Arial"/>
                          <w:b/>
                          <w:color w:val="FFFFFF"/>
                        </w:rPr>
                        <w:t>Brown v Commonwealth of Australia (Department of Immigration &amp; Citizenship)</w:t>
                      </w:r>
                    </w:p>
                    <w:p w:rsidR="00FA4975" w:rsidRPr="000604CD" w:rsidRDefault="00FA4975" w:rsidP="00F00A91">
                      <w:pPr>
                        <w:pStyle w:val="Default"/>
                        <w:spacing w:after="120"/>
                        <w:rPr>
                          <w:rFonts w:ascii="Arial" w:eastAsia="MS Mincho" w:hAnsi="Arial" w:cs="Arial"/>
                          <w:color w:val="FFFFFF"/>
                        </w:rPr>
                      </w:pPr>
                      <w:r w:rsidRPr="000604CD">
                        <w:rPr>
                          <w:rFonts w:ascii="Arial" w:eastAsia="MS Mincho" w:hAnsi="Arial" w:cs="Arial"/>
                          <w:color w:val="FFFFFF"/>
                        </w:rPr>
                        <w:t>(</w:t>
                      </w:r>
                      <w:r w:rsidRPr="000604CD">
                        <w:rPr>
                          <w:rFonts w:ascii="Arial" w:eastAsia="MS Mincho" w:hAnsi="Arial" w:cs="Arial"/>
                          <w:i/>
                          <w:color w:val="FFFFFF"/>
                        </w:rPr>
                        <w:t>Report into arbitrary detention, the right to be treated with humanity and with respect for the inherent dignity of the human person and the right to be free from arbitrary interference with and to protection of the family</w:t>
                      </w:r>
                      <w:r w:rsidRPr="000604CD">
                        <w:rPr>
                          <w:rFonts w:ascii="Arial" w:eastAsia="MS Mincho" w:hAnsi="Arial" w:cs="Arial"/>
                          <w:color w:val="FFFFFF"/>
                        </w:rPr>
                        <w:t xml:space="preserve"> [2012] AusHRC 51)</w:t>
                      </w:r>
                    </w:p>
                    <w:p w:rsidR="00FA4975" w:rsidRPr="000604CD" w:rsidRDefault="00FA4975" w:rsidP="000604CD">
                      <w:pPr>
                        <w:rPr>
                          <w:rFonts w:cs="Arial"/>
                          <w:color w:val="FFFFFF"/>
                        </w:rPr>
                      </w:pPr>
                      <w:r w:rsidRPr="000604CD">
                        <w:rPr>
                          <w:rFonts w:cs="Arial"/>
                          <w:color w:val="FFFFFF"/>
                        </w:rPr>
                        <w:t xml:space="preserve">Mrs Brown, a New Zealand citizen, had her visa cancelled on character grounds pursuant to </w:t>
                      </w:r>
                      <w:r>
                        <w:rPr>
                          <w:rFonts w:cs="Arial"/>
                          <w:color w:val="FFFFFF"/>
                        </w:rPr>
                        <w:t>section 501</w:t>
                      </w:r>
                      <w:r w:rsidRPr="000604CD">
                        <w:rPr>
                          <w:rFonts w:cs="Arial"/>
                          <w:color w:val="FFFFFF"/>
                        </w:rPr>
                        <w:t xml:space="preserve"> on 3 November 2008, and on 14 November 2008 she was placed in immigration detention. Her placement in immigration detention separated her from her fiancé, four children, eight siblings and five grandchildren, all of whom were living in the Australian community. After a series of unsuccessful applications to have the decision to cancel her visa overturned, and her request to be placed in community detention was refused, she ultimately voluntarily returned to New Zealand on 23 May 2011. Accordingly, for the 30 months Mrs Brown was detained she was separated from her family.</w:t>
                      </w:r>
                      <w:r>
                        <w:rPr>
                          <w:rFonts w:cs="Arial"/>
                          <w:color w:val="FFFFFF"/>
                        </w:rPr>
                        <w:t xml:space="preserve"> Former Commission</w:t>
                      </w:r>
                      <w:r w:rsidRPr="000604CD">
                        <w:rPr>
                          <w:rFonts w:cs="Arial"/>
                          <w:color w:val="FFFFFF"/>
                        </w:rPr>
                        <w:t xml:space="preserve"> President</w:t>
                      </w:r>
                      <w:r>
                        <w:rPr>
                          <w:rFonts w:cs="Arial"/>
                          <w:color w:val="FFFFFF"/>
                        </w:rPr>
                        <w:t xml:space="preserve"> Catherine</w:t>
                      </w:r>
                      <w:r w:rsidRPr="000604CD">
                        <w:rPr>
                          <w:rFonts w:cs="Arial"/>
                          <w:color w:val="FFFFFF"/>
                        </w:rPr>
                        <w:t xml:space="preserve"> Branson found that the decision to detain Mrs Brown</w:t>
                      </w:r>
                      <w:r>
                        <w:rPr>
                          <w:rFonts w:cs="Arial"/>
                          <w:color w:val="FFFFFF"/>
                        </w:rPr>
                        <w:t xml:space="preserve"> in closed detention rather than community detention</w:t>
                      </w:r>
                      <w:r w:rsidRPr="000604CD">
                        <w:rPr>
                          <w:rFonts w:cs="Arial"/>
                          <w:color w:val="FFFFFF"/>
                        </w:rPr>
                        <w:t xml:space="preserve"> was not a reasonable </w:t>
                      </w:r>
                      <w:r>
                        <w:rPr>
                          <w:rFonts w:cs="Arial"/>
                          <w:color w:val="FFFFFF"/>
                        </w:rPr>
                        <w:t xml:space="preserve">or proportionate </w:t>
                      </w:r>
                      <w:r w:rsidRPr="000604CD">
                        <w:rPr>
                          <w:rFonts w:cs="Arial"/>
                          <w:color w:val="FFFFFF"/>
                        </w:rPr>
                        <w:t>response to any risk she presented to the community if released</w:t>
                      </w:r>
                      <w:r>
                        <w:rPr>
                          <w:rFonts w:cs="Arial"/>
                          <w:color w:val="FFFFFF"/>
                        </w:rPr>
                        <w:t>. Accordingly,</w:t>
                      </w:r>
                      <w:r w:rsidRPr="000604CD">
                        <w:rPr>
                          <w:rFonts w:cs="Arial"/>
                          <w:color w:val="FFFFFF"/>
                        </w:rPr>
                        <w:t xml:space="preserve"> the interference with her family was </w:t>
                      </w:r>
                      <w:r>
                        <w:rPr>
                          <w:rFonts w:cs="Arial"/>
                          <w:color w:val="FFFFFF"/>
                        </w:rPr>
                        <w:t>arbitrary,</w:t>
                      </w:r>
                      <w:r w:rsidRPr="000604CD">
                        <w:rPr>
                          <w:rFonts w:cs="Arial"/>
                          <w:color w:val="FFFFFF"/>
                        </w:rPr>
                        <w:t xml:space="preserve"> </w:t>
                      </w:r>
                      <w:r>
                        <w:rPr>
                          <w:rFonts w:cs="Arial"/>
                          <w:color w:val="FFFFFF"/>
                        </w:rPr>
                        <w:t>in</w:t>
                      </w:r>
                      <w:r w:rsidRPr="000604CD">
                        <w:rPr>
                          <w:rFonts w:cs="Arial"/>
                          <w:color w:val="FFFFFF"/>
                        </w:rPr>
                        <w:t xml:space="preserve"> breach </w:t>
                      </w:r>
                      <w:r>
                        <w:rPr>
                          <w:rFonts w:cs="Arial"/>
                          <w:color w:val="FFFFFF"/>
                        </w:rPr>
                        <w:t xml:space="preserve">of </w:t>
                      </w:r>
                      <w:r w:rsidRPr="000604CD">
                        <w:rPr>
                          <w:rFonts w:cs="Arial"/>
                          <w:color w:val="FFFFFF"/>
                        </w:rPr>
                        <w:t>articles 17 and 23 of the ICCPR.</w:t>
                      </w:r>
                    </w:p>
                    <w:p w:rsidR="00FA4975" w:rsidRPr="000604CD" w:rsidRDefault="00FA4975" w:rsidP="000604CD">
                      <w:pPr>
                        <w:rPr>
                          <w:rFonts w:cs="Arial"/>
                          <w:color w:val="FFFFFF"/>
                        </w:rPr>
                      </w:pPr>
                    </w:p>
                    <w:p w:rsidR="00FA4975" w:rsidRPr="000604CD" w:rsidRDefault="00FA4975" w:rsidP="000604CD">
                      <w:pPr>
                        <w:rPr>
                          <w:rFonts w:cs="Arial"/>
                          <w:color w:val="FFFFFF"/>
                        </w:rPr>
                      </w:pPr>
                    </w:p>
                  </w:txbxContent>
                </v:textbox>
              </v:shape>
            </w:pict>
          </mc:Fallback>
        </mc:AlternateContent>
      </w:r>
    </w:p>
    <w:p w:rsidR="000604CD" w:rsidRDefault="000604CD" w:rsidP="000604CD">
      <w:pPr>
        <w:spacing w:after="120"/>
        <w:rPr>
          <w:rFonts w:cs="Arial"/>
          <w:lang w:val="en"/>
        </w:rPr>
      </w:pPr>
    </w:p>
    <w:p w:rsidR="000604CD" w:rsidRDefault="000604CD" w:rsidP="000604CD">
      <w:pPr>
        <w:spacing w:after="120"/>
        <w:rPr>
          <w:rFonts w:cs="Arial"/>
          <w:lang w:val="en"/>
        </w:rPr>
      </w:pPr>
    </w:p>
    <w:p w:rsidR="00335D05" w:rsidRDefault="00335D05" w:rsidP="000604CD">
      <w:pPr>
        <w:spacing w:after="120"/>
        <w:rPr>
          <w:rFonts w:cs="Arial"/>
          <w:lang w:val="en"/>
        </w:rPr>
      </w:pPr>
    </w:p>
    <w:p w:rsidR="00335D05" w:rsidRDefault="00335D05" w:rsidP="000604CD">
      <w:pPr>
        <w:spacing w:after="120"/>
        <w:rPr>
          <w:rFonts w:cs="Arial"/>
          <w:lang w:val="en"/>
        </w:rPr>
      </w:pPr>
    </w:p>
    <w:p w:rsidR="00335D05" w:rsidRDefault="00335D05" w:rsidP="000604CD">
      <w:pPr>
        <w:spacing w:after="120"/>
        <w:rPr>
          <w:rFonts w:cs="Arial"/>
          <w:lang w:val="en"/>
        </w:rPr>
      </w:pPr>
    </w:p>
    <w:p w:rsidR="009048BD" w:rsidRDefault="009048BD" w:rsidP="000604CD">
      <w:pPr>
        <w:spacing w:after="120"/>
        <w:rPr>
          <w:rFonts w:cs="Arial"/>
          <w:lang w:val="en"/>
        </w:rPr>
      </w:pPr>
    </w:p>
    <w:p w:rsidR="009048BD" w:rsidRDefault="009048BD" w:rsidP="000604CD">
      <w:pPr>
        <w:spacing w:after="120"/>
        <w:rPr>
          <w:rFonts w:cs="Arial"/>
          <w:lang w:val="en"/>
        </w:rPr>
      </w:pPr>
    </w:p>
    <w:p w:rsidR="003315CD" w:rsidRDefault="003315CD" w:rsidP="000604CD">
      <w:pPr>
        <w:spacing w:after="120"/>
        <w:rPr>
          <w:rFonts w:cs="Arial"/>
          <w:lang w:val="en"/>
        </w:rPr>
      </w:pPr>
    </w:p>
    <w:p w:rsidR="003315CD" w:rsidRDefault="003315CD" w:rsidP="000604CD">
      <w:pPr>
        <w:spacing w:after="120"/>
        <w:rPr>
          <w:rFonts w:cs="Arial"/>
          <w:lang w:val="en"/>
        </w:rPr>
      </w:pPr>
    </w:p>
    <w:p w:rsidR="003315CD" w:rsidRDefault="003315CD" w:rsidP="000604CD">
      <w:pPr>
        <w:spacing w:after="120"/>
        <w:rPr>
          <w:rFonts w:cs="Arial"/>
          <w:lang w:val="en"/>
        </w:rPr>
      </w:pPr>
    </w:p>
    <w:p w:rsidR="003315CD" w:rsidRDefault="003315CD" w:rsidP="000604CD">
      <w:pPr>
        <w:spacing w:after="120"/>
        <w:rPr>
          <w:rFonts w:cs="Arial"/>
          <w:lang w:val="en"/>
        </w:rPr>
      </w:pPr>
    </w:p>
    <w:p w:rsidR="003315CD" w:rsidRDefault="003315CD" w:rsidP="000604CD">
      <w:pPr>
        <w:spacing w:after="120"/>
        <w:rPr>
          <w:rFonts w:cs="Arial"/>
          <w:lang w:val="en"/>
        </w:rPr>
      </w:pPr>
    </w:p>
    <w:p w:rsidR="00DA37C8" w:rsidRDefault="00DA37C8" w:rsidP="000604CD">
      <w:pPr>
        <w:spacing w:after="120"/>
        <w:rPr>
          <w:rFonts w:cs="Arial"/>
          <w:lang w:val="en"/>
        </w:rPr>
      </w:pPr>
    </w:p>
    <w:p w:rsidR="000604CD" w:rsidRDefault="000604CD" w:rsidP="000604CD">
      <w:pPr>
        <w:pStyle w:val="Heading3"/>
        <w:rPr>
          <w:lang w:val="en"/>
        </w:rPr>
      </w:pPr>
      <w:bookmarkStart w:id="80" w:name="_Toc355952739"/>
      <w:r>
        <w:rPr>
          <w:lang w:val="en"/>
        </w:rPr>
        <w:t>Consideration of the effect on famil</w:t>
      </w:r>
      <w:r w:rsidR="00373CD5">
        <w:rPr>
          <w:lang w:val="en"/>
        </w:rPr>
        <w:t xml:space="preserve">y members under the </w:t>
      </w:r>
      <w:r>
        <w:rPr>
          <w:lang w:val="en"/>
        </w:rPr>
        <w:t>Direction</w:t>
      </w:r>
      <w:bookmarkEnd w:id="80"/>
    </w:p>
    <w:p w:rsidR="00683401" w:rsidRDefault="00DF58A1" w:rsidP="000604CD">
      <w:pPr>
        <w:spacing w:after="120"/>
        <w:rPr>
          <w:rFonts w:cs="Arial"/>
          <w:lang w:val="en"/>
        </w:rPr>
      </w:pPr>
      <w:r>
        <w:rPr>
          <w:rFonts w:cs="Arial"/>
          <w:lang w:val="en"/>
        </w:rPr>
        <w:t>W</w:t>
      </w:r>
      <w:r w:rsidR="00683401">
        <w:rPr>
          <w:rFonts w:cs="Arial"/>
          <w:lang w:val="en"/>
        </w:rPr>
        <w:t xml:space="preserve">hen deciding whether to </w:t>
      </w:r>
      <w:r w:rsidR="00683401" w:rsidRPr="00DF58A1">
        <w:rPr>
          <w:rFonts w:cs="Arial"/>
          <w:lang w:val="en"/>
        </w:rPr>
        <w:t>cancel</w:t>
      </w:r>
      <w:r w:rsidR="00683401">
        <w:rPr>
          <w:rFonts w:cs="Arial"/>
          <w:lang w:val="en"/>
        </w:rPr>
        <w:t xml:space="preserve"> a person’s visa under section 501, </w:t>
      </w:r>
      <w:r w:rsidR="009D327F">
        <w:rPr>
          <w:rFonts w:cs="Arial"/>
          <w:lang w:val="en"/>
        </w:rPr>
        <w:t xml:space="preserve">Direction No. 55 requires that, </w:t>
      </w:r>
      <w:r w:rsidR="00683401">
        <w:rPr>
          <w:rFonts w:cs="Arial"/>
          <w:lang w:val="en"/>
        </w:rPr>
        <w:t>as part of the primary consideration of a person’s ties to Australia, decision-makers must consider:</w:t>
      </w:r>
    </w:p>
    <w:p w:rsidR="000604CD" w:rsidRPr="00F05473" w:rsidRDefault="00683401" w:rsidP="000604CD">
      <w:pPr>
        <w:spacing w:after="120"/>
        <w:ind w:left="567"/>
        <w:rPr>
          <w:rFonts w:cs="Arial"/>
          <w:sz w:val="22"/>
          <w:szCs w:val="22"/>
          <w:lang w:val="en"/>
        </w:rPr>
      </w:pPr>
      <w:r>
        <w:rPr>
          <w:rFonts w:cs="Arial"/>
          <w:sz w:val="22"/>
          <w:szCs w:val="22"/>
          <w:lang w:val="en"/>
        </w:rPr>
        <w:t xml:space="preserve">the </w:t>
      </w:r>
      <w:r w:rsidRPr="00F05473">
        <w:rPr>
          <w:rFonts w:cs="Arial"/>
          <w:sz w:val="22"/>
          <w:szCs w:val="22"/>
          <w:lang w:val="en"/>
        </w:rPr>
        <w:t>strength, duration and nature of any family, social and/or employment</w:t>
      </w:r>
      <w:r w:rsidRPr="005D7D7F">
        <w:rPr>
          <w:rFonts w:cs="Arial"/>
          <w:sz w:val="22"/>
          <w:szCs w:val="22"/>
          <w:lang w:val="en"/>
        </w:rPr>
        <w:t xml:space="preserve"> links with Australian citizens</w:t>
      </w:r>
      <w:r>
        <w:rPr>
          <w:rFonts w:cs="Arial"/>
          <w:sz w:val="22"/>
          <w:szCs w:val="22"/>
          <w:lang w:val="en"/>
        </w:rPr>
        <w:t>,</w:t>
      </w:r>
      <w:r w:rsidRPr="00F05473">
        <w:rPr>
          <w:rFonts w:cs="Arial"/>
          <w:sz w:val="22"/>
          <w:szCs w:val="22"/>
          <w:lang w:val="en"/>
        </w:rPr>
        <w:t xml:space="preserve"> Australian permanent residents and/or people who have an indefinite right to remain in Australia</w:t>
      </w:r>
      <w:r>
        <w:rPr>
          <w:rFonts w:cs="Arial"/>
          <w:sz w:val="22"/>
          <w:szCs w:val="22"/>
          <w:lang w:val="en"/>
        </w:rPr>
        <w:t>.</w:t>
      </w:r>
      <w:r w:rsidRPr="00F05473">
        <w:rPr>
          <w:rStyle w:val="EndnoteReference"/>
          <w:rFonts w:cs="Arial"/>
          <w:sz w:val="22"/>
          <w:szCs w:val="22"/>
          <w:lang w:val="en"/>
        </w:rPr>
        <w:endnoteReference w:id="91"/>
      </w:r>
      <w:r w:rsidRPr="00F05473">
        <w:rPr>
          <w:rFonts w:cs="Arial"/>
          <w:sz w:val="22"/>
          <w:szCs w:val="22"/>
          <w:lang w:val="en"/>
        </w:rPr>
        <w:t xml:space="preserve"> </w:t>
      </w:r>
    </w:p>
    <w:p w:rsidR="007C0912" w:rsidRDefault="000604CD" w:rsidP="000604CD">
      <w:pPr>
        <w:spacing w:after="120"/>
        <w:rPr>
          <w:rFonts w:cs="Arial"/>
          <w:lang w:val="en"/>
        </w:rPr>
      </w:pPr>
      <w:r>
        <w:rPr>
          <w:rFonts w:cs="Arial"/>
          <w:lang w:val="en"/>
        </w:rPr>
        <w:t>Further, as mentioned above</w:t>
      </w:r>
      <w:r w:rsidR="00CD0555">
        <w:rPr>
          <w:rFonts w:cs="Arial"/>
          <w:lang w:val="en"/>
        </w:rPr>
        <w:t xml:space="preserve"> in section 2.4(c)</w:t>
      </w:r>
      <w:r>
        <w:rPr>
          <w:rFonts w:cs="Arial"/>
          <w:lang w:val="en"/>
        </w:rPr>
        <w:t>,</w:t>
      </w:r>
      <w:r w:rsidR="00A93E16">
        <w:rPr>
          <w:rFonts w:cs="Arial"/>
          <w:lang w:val="en"/>
        </w:rPr>
        <w:t xml:space="preserve"> </w:t>
      </w:r>
      <w:r w:rsidR="00F517D9">
        <w:rPr>
          <w:rFonts w:cs="Arial"/>
          <w:lang w:val="en"/>
        </w:rPr>
        <w:t xml:space="preserve">under Direction No. 55 </w:t>
      </w:r>
      <w:r>
        <w:rPr>
          <w:rFonts w:cs="Arial"/>
          <w:lang w:val="en"/>
        </w:rPr>
        <w:t>the decision-make</w:t>
      </w:r>
      <w:r w:rsidR="003A4B82">
        <w:rPr>
          <w:rFonts w:cs="Arial"/>
          <w:lang w:val="en"/>
        </w:rPr>
        <w:t>r is required to consider</w:t>
      </w:r>
      <w:r>
        <w:rPr>
          <w:rFonts w:cs="Arial"/>
          <w:lang w:val="en"/>
        </w:rPr>
        <w:t xml:space="preserve"> the impact that refusal or cancellation would have on the applicant’s or holder’s immediate family members</w:t>
      </w:r>
      <w:r w:rsidR="00F517D9">
        <w:rPr>
          <w:rFonts w:cs="Arial"/>
          <w:lang w:val="en"/>
        </w:rPr>
        <w:t xml:space="preserve"> before making a decision to refuse an application or cancel a visa</w:t>
      </w:r>
      <w:r>
        <w:rPr>
          <w:rFonts w:cs="Arial"/>
          <w:lang w:val="en"/>
        </w:rPr>
        <w:t>.</w:t>
      </w:r>
      <w:r w:rsidR="007C0912">
        <w:rPr>
          <w:rStyle w:val="EndnoteReference"/>
          <w:rFonts w:cs="Arial"/>
          <w:lang w:val="en"/>
        </w:rPr>
        <w:endnoteReference w:id="92"/>
      </w:r>
    </w:p>
    <w:p w:rsidR="000604CD" w:rsidRPr="0051726F" w:rsidRDefault="009D3139" w:rsidP="004A64E3">
      <w:pPr>
        <w:rPr>
          <w:rFonts w:cs="Arial"/>
          <w:lang w:val="en"/>
        </w:rPr>
      </w:pPr>
      <w:r w:rsidRPr="00B3624D">
        <w:rPr>
          <w:rFonts w:cs="Arial"/>
          <w:lang w:val="en"/>
        </w:rPr>
        <w:t>T</w:t>
      </w:r>
      <w:r w:rsidR="00907120" w:rsidRPr="00B3624D">
        <w:rPr>
          <w:rFonts w:cs="Arial"/>
          <w:lang w:val="en"/>
        </w:rPr>
        <w:t>he Commiss</w:t>
      </w:r>
      <w:r w:rsidRPr="00B3624D">
        <w:rPr>
          <w:rFonts w:cs="Arial"/>
          <w:lang w:val="en"/>
        </w:rPr>
        <w:t>i</w:t>
      </w:r>
      <w:r w:rsidR="00B3624D" w:rsidRPr="00B3624D">
        <w:rPr>
          <w:rFonts w:cs="Arial"/>
          <w:lang w:val="en"/>
        </w:rPr>
        <w:t xml:space="preserve">on welcomes these requirements. </w:t>
      </w:r>
      <w:r w:rsidR="00ED4B49" w:rsidRPr="00B3624D">
        <w:rPr>
          <w:rFonts w:cs="Arial"/>
          <w:lang w:val="en"/>
        </w:rPr>
        <w:t xml:space="preserve">However, </w:t>
      </w:r>
      <w:r w:rsidR="00907120" w:rsidRPr="00B3624D">
        <w:rPr>
          <w:rFonts w:cs="Arial"/>
          <w:lang w:val="en"/>
        </w:rPr>
        <w:t>the</w:t>
      </w:r>
      <w:r w:rsidR="000604CD" w:rsidRPr="00B3624D">
        <w:rPr>
          <w:rFonts w:cs="Arial"/>
          <w:lang w:val="en"/>
        </w:rPr>
        <w:t xml:space="preserve"> Commission is concerned that</w:t>
      </w:r>
      <w:r w:rsidR="00225957" w:rsidRPr="00B3624D">
        <w:rPr>
          <w:rFonts w:cs="Arial"/>
          <w:lang w:val="en"/>
        </w:rPr>
        <w:t>, as the above case study illustrates,</w:t>
      </w:r>
      <w:r w:rsidR="000604CD" w:rsidRPr="00B3624D">
        <w:rPr>
          <w:rFonts w:cs="Arial"/>
          <w:lang w:val="en"/>
        </w:rPr>
        <w:t xml:space="preserve"> the terms of the M</w:t>
      </w:r>
      <w:r w:rsidR="00E715AA" w:rsidRPr="00B3624D">
        <w:rPr>
          <w:rFonts w:cs="Arial"/>
          <w:lang w:val="en"/>
        </w:rPr>
        <w:t xml:space="preserve">igration Act and </w:t>
      </w:r>
      <w:r w:rsidR="000604CD" w:rsidRPr="00B3624D">
        <w:rPr>
          <w:rFonts w:cs="Arial"/>
          <w:lang w:val="en"/>
        </w:rPr>
        <w:t xml:space="preserve">Direction </w:t>
      </w:r>
      <w:r w:rsidR="00B97161" w:rsidRPr="00B3624D">
        <w:rPr>
          <w:rFonts w:cs="Arial"/>
          <w:lang w:val="en"/>
        </w:rPr>
        <w:t xml:space="preserve">No. 55 may </w:t>
      </w:r>
      <w:r w:rsidR="000604CD" w:rsidRPr="00B3624D">
        <w:rPr>
          <w:rFonts w:cs="Arial"/>
          <w:lang w:val="en"/>
        </w:rPr>
        <w:t>not adequately protect against breaches of Austra</w:t>
      </w:r>
      <w:r w:rsidR="00ED4B49" w:rsidRPr="00B3624D">
        <w:rPr>
          <w:rFonts w:cs="Arial"/>
          <w:lang w:val="en"/>
        </w:rPr>
        <w:t xml:space="preserve">lia’s obligations under articles </w:t>
      </w:r>
      <w:r w:rsidR="000604CD" w:rsidRPr="00B3624D">
        <w:rPr>
          <w:rFonts w:cs="Arial"/>
          <w:lang w:val="en"/>
        </w:rPr>
        <w:t>17 and 23</w:t>
      </w:r>
      <w:r w:rsidR="008518ED" w:rsidRPr="00B3624D">
        <w:rPr>
          <w:rFonts w:cs="Arial"/>
          <w:lang w:val="en"/>
        </w:rPr>
        <w:t>(1)</w:t>
      </w:r>
      <w:r w:rsidR="000604CD" w:rsidRPr="00B3624D">
        <w:rPr>
          <w:rFonts w:cs="Arial"/>
          <w:lang w:val="en"/>
        </w:rPr>
        <w:t xml:space="preserve"> of the ICCPR. Even if a decision-maker determines that a decision t</w:t>
      </w:r>
      <w:r w:rsidR="00E90A4F" w:rsidRPr="00B3624D">
        <w:rPr>
          <w:rFonts w:cs="Arial"/>
          <w:lang w:val="en"/>
        </w:rPr>
        <w:t xml:space="preserve">o refuse or cancel a visa </w:t>
      </w:r>
      <w:r w:rsidR="000604CD" w:rsidRPr="00B3624D">
        <w:rPr>
          <w:rFonts w:cs="Arial"/>
          <w:lang w:val="en"/>
        </w:rPr>
        <w:t>wo</w:t>
      </w:r>
      <w:r w:rsidR="00214D6A" w:rsidRPr="00B3624D">
        <w:rPr>
          <w:rFonts w:cs="Arial"/>
          <w:lang w:val="en"/>
        </w:rPr>
        <w:t>uld</w:t>
      </w:r>
      <w:r w:rsidR="000604CD" w:rsidRPr="00B3624D">
        <w:rPr>
          <w:rFonts w:cs="Arial"/>
          <w:lang w:val="en"/>
        </w:rPr>
        <w:t xml:space="preserve"> severely limit the person’s ability to maintain a relationship with family members who reside in Australia, </w:t>
      </w:r>
      <w:r w:rsidR="00E715AA" w:rsidRPr="00B3624D">
        <w:rPr>
          <w:rFonts w:cs="Arial"/>
          <w:lang w:val="en"/>
        </w:rPr>
        <w:t xml:space="preserve">the </w:t>
      </w:r>
      <w:r w:rsidR="00D37972" w:rsidRPr="00B3624D">
        <w:rPr>
          <w:rFonts w:cs="Arial"/>
          <w:lang w:val="en"/>
        </w:rPr>
        <w:t xml:space="preserve">decision-maker </w:t>
      </w:r>
      <w:r w:rsidR="000604CD" w:rsidRPr="00B3624D">
        <w:rPr>
          <w:rFonts w:cs="Arial"/>
          <w:lang w:val="en"/>
        </w:rPr>
        <w:t>is still able to refuse or cancel the visa.</w:t>
      </w:r>
      <w:r w:rsidR="00316BEC" w:rsidRPr="00B3624D">
        <w:rPr>
          <w:rStyle w:val="EndnoteReference"/>
          <w:rFonts w:cs="Arial"/>
          <w:lang w:val="en"/>
        </w:rPr>
        <w:endnoteReference w:id="93"/>
      </w:r>
      <w:r w:rsidR="00316BEC" w:rsidRPr="00B3624D">
        <w:rPr>
          <w:rFonts w:cs="Arial"/>
          <w:lang w:val="en"/>
        </w:rPr>
        <w:t xml:space="preserve"> Under the terms of Direction No. 55, a person with s</w:t>
      </w:r>
      <w:r w:rsidR="00DF58A1" w:rsidRPr="00B3624D">
        <w:rPr>
          <w:rFonts w:cs="Arial"/>
          <w:lang w:val="en"/>
        </w:rPr>
        <w:t>trong family ties in Australia (including dependent children)</w:t>
      </w:r>
      <w:r w:rsidR="00316BEC" w:rsidRPr="00B3624D">
        <w:rPr>
          <w:rFonts w:cs="Arial"/>
          <w:lang w:val="en"/>
        </w:rPr>
        <w:t xml:space="preserve"> could have his or her visa cancelled, be detained, be removed, and even possibly be excluded from Australia, due to conflicting or overriding considerations.</w:t>
      </w:r>
      <w:r w:rsidR="00316BEC" w:rsidRPr="00B3624D">
        <w:rPr>
          <w:rStyle w:val="EndnoteReference"/>
          <w:rFonts w:cs="Arial"/>
          <w:lang w:val="en"/>
        </w:rPr>
        <w:endnoteReference w:id="94"/>
      </w:r>
      <w:r w:rsidR="00316BEC">
        <w:rPr>
          <w:rFonts w:cs="Arial"/>
          <w:lang w:val="en"/>
        </w:rPr>
        <w:t xml:space="preserve"> </w:t>
      </w:r>
    </w:p>
    <w:p w:rsidR="000604CD" w:rsidRDefault="000604CD" w:rsidP="000604CD">
      <w:pPr>
        <w:pStyle w:val="Heading1"/>
      </w:pPr>
      <w:bookmarkStart w:id="81" w:name="_Toc355100897"/>
      <w:bookmarkStart w:id="82" w:name="_Toc355363540"/>
      <w:bookmarkStart w:id="83" w:name="_Toc355952740"/>
      <w:bookmarkStart w:id="84" w:name="_Toc362012116"/>
      <w:r>
        <w:lastRenderedPageBreak/>
        <w:t xml:space="preserve">Can a person seek review of a decision under </w:t>
      </w:r>
      <w:r w:rsidR="00A66906">
        <w:t>section 501</w:t>
      </w:r>
      <w:r>
        <w:t xml:space="preserve"> to refuse or cancel a visa?</w:t>
      </w:r>
      <w:bookmarkEnd w:id="81"/>
      <w:bookmarkEnd w:id="82"/>
      <w:bookmarkEnd w:id="83"/>
      <w:bookmarkEnd w:id="84"/>
    </w:p>
    <w:p w:rsidR="000604CD" w:rsidRDefault="000604CD" w:rsidP="000604CD">
      <w:pPr>
        <w:pStyle w:val="Heading2"/>
        <w:tabs>
          <w:tab w:val="num" w:pos="1134"/>
        </w:tabs>
        <w:ind w:left="1134"/>
      </w:pPr>
      <w:bookmarkStart w:id="85" w:name="_Ref356931305"/>
      <w:bookmarkStart w:id="86" w:name="_Toc355952741"/>
      <w:bookmarkStart w:id="87" w:name="_Toc362012117"/>
      <w:r>
        <w:t>Access to merits review</w:t>
      </w:r>
      <w:bookmarkEnd w:id="85"/>
      <w:bookmarkEnd w:id="87"/>
      <w:r>
        <w:t xml:space="preserve"> </w:t>
      </w:r>
      <w:bookmarkEnd w:id="86"/>
    </w:p>
    <w:p w:rsidR="003F5BD1" w:rsidRDefault="000604CD" w:rsidP="000604CD">
      <w:pPr>
        <w:spacing w:after="120"/>
        <w:rPr>
          <w:rFonts w:cs="Arial"/>
        </w:rPr>
      </w:pPr>
      <w:r>
        <w:rPr>
          <w:rFonts w:cs="Arial"/>
        </w:rPr>
        <w:t>Depending on the circu</w:t>
      </w:r>
      <w:r w:rsidR="00266F1D">
        <w:rPr>
          <w:rFonts w:cs="Arial"/>
        </w:rPr>
        <w:t>mstances, a person who has an</w:t>
      </w:r>
      <w:r>
        <w:rPr>
          <w:rFonts w:cs="Arial"/>
        </w:rPr>
        <w:t xml:space="preserve"> applica</w:t>
      </w:r>
      <w:r w:rsidR="00266F1D">
        <w:rPr>
          <w:rFonts w:cs="Arial"/>
        </w:rPr>
        <w:t>tion for a visa refused or a</w:t>
      </w:r>
      <w:r>
        <w:rPr>
          <w:rFonts w:cs="Arial"/>
        </w:rPr>
        <w:t xml:space="preserve"> visa cancelled under </w:t>
      </w:r>
      <w:r w:rsidR="00A66906">
        <w:rPr>
          <w:rFonts w:cs="Arial"/>
        </w:rPr>
        <w:t>section 501</w:t>
      </w:r>
      <w:r>
        <w:rPr>
          <w:rFonts w:cs="Arial"/>
        </w:rPr>
        <w:t xml:space="preserve"> may be able to apply to the Administrativ</w:t>
      </w:r>
      <w:r w:rsidR="007C0977">
        <w:rPr>
          <w:rFonts w:cs="Arial"/>
        </w:rPr>
        <w:t xml:space="preserve">e Appeals Tribunal (AAT) for </w:t>
      </w:r>
      <w:r>
        <w:rPr>
          <w:rFonts w:cs="Arial"/>
        </w:rPr>
        <w:t>review</w:t>
      </w:r>
      <w:r w:rsidR="007C0977">
        <w:rPr>
          <w:rFonts w:cs="Arial"/>
        </w:rPr>
        <w:t xml:space="preserve"> of the merits of the decision</w:t>
      </w:r>
      <w:r>
        <w:rPr>
          <w:rFonts w:cs="Arial"/>
        </w:rPr>
        <w:t>, or they may only be able to challenge the legality of the decision through the court</w:t>
      </w:r>
      <w:r w:rsidR="00210341">
        <w:rPr>
          <w:rFonts w:cs="Arial"/>
        </w:rPr>
        <w:t>s</w:t>
      </w:r>
      <w:r>
        <w:rPr>
          <w:rFonts w:cs="Arial"/>
        </w:rPr>
        <w:t xml:space="preserve">. Whether the person can apply for merits review </w:t>
      </w:r>
      <w:r w:rsidR="00210341">
        <w:rPr>
          <w:rFonts w:cs="Arial"/>
        </w:rPr>
        <w:t xml:space="preserve">by the AAT </w:t>
      </w:r>
      <w:r>
        <w:rPr>
          <w:rFonts w:cs="Arial"/>
        </w:rPr>
        <w:t xml:space="preserve">depends on whether the decision was made by the Minister </w:t>
      </w:r>
      <w:r w:rsidR="0009755F">
        <w:rPr>
          <w:rFonts w:cs="Arial"/>
        </w:rPr>
        <w:t xml:space="preserve">personally, </w:t>
      </w:r>
      <w:r>
        <w:rPr>
          <w:rFonts w:cs="Arial"/>
        </w:rPr>
        <w:t>or by a delegate of the Minister. A decision made by a</w:t>
      </w:r>
      <w:r w:rsidR="00210341">
        <w:rPr>
          <w:rFonts w:cs="Arial"/>
        </w:rPr>
        <w:t xml:space="preserve"> delegate (e.g. a</w:t>
      </w:r>
      <w:r>
        <w:rPr>
          <w:rFonts w:cs="Arial"/>
        </w:rPr>
        <w:t xml:space="preserve"> DIAC officer</w:t>
      </w:r>
      <w:r w:rsidR="00210341">
        <w:rPr>
          <w:rFonts w:cs="Arial"/>
        </w:rPr>
        <w:t>)</w:t>
      </w:r>
      <w:r>
        <w:rPr>
          <w:rFonts w:cs="Arial"/>
        </w:rPr>
        <w:t xml:space="preserve"> to refuse to grant or to cancel a visa under </w:t>
      </w:r>
      <w:r w:rsidR="00A66906">
        <w:rPr>
          <w:rFonts w:cs="Arial"/>
        </w:rPr>
        <w:t>section 501</w:t>
      </w:r>
      <w:r>
        <w:rPr>
          <w:rFonts w:cs="Arial"/>
        </w:rPr>
        <w:t xml:space="preserve"> is subject to</w:t>
      </w:r>
      <w:r w:rsidR="008430E8">
        <w:rPr>
          <w:rFonts w:cs="Arial"/>
        </w:rPr>
        <w:t xml:space="preserve"> merits review by the AAT, but</w:t>
      </w:r>
      <w:r>
        <w:rPr>
          <w:rFonts w:cs="Arial"/>
        </w:rPr>
        <w:t xml:space="preserve"> a decision made by the Minister is not.</w:t>
      </w:r>
      <w:r w:rsidR="003F5BD1">
        <w:rPr>
          <w:rStyle w:val="EndnoteReference"/>
          <w:rFonts w:cs="Arial"/>
        </w:rPr>
        <w:endnoteReference w:id="95"/>
      </w:r>
    </w:p>
    <w:p w:rsidR="003F5BD1" w:rsidRDefault="003F5BD1" w:rsidP="000604CD">
      <w:pPr>
        <w:spacing w:after="120"/>
        <w:rPr>
          <w:rFonts w:cs="Arial"/>
        </w:rPr>
      </w:pPr>
      <w:r>
        <w:rPr>
          <w:rFonts w:cs="Arial"/>
        </w:rPr>
        <w:t>When conducting a merits review, the AAT reviews the original decision and determines if it is the correct or preferable decision. The AAT can affirm, vary or set aside the original decision.</w:t>
      </w:r>
      <w:r>
        <w:rPr>
          <w:rStyle w:val="EndnoteReference"/>
          <w:rFonts w:cs="Arial"/>
        </w:rPr>
        <w:endnoteReference w:id="96"/>
      </w:r>
      <w:r>
        <w:rPr>
          <w:rFonts w:cs="Arial"/>
        </w:rPr>
        <w:t xml:space="preserve"> If it sets the decision aside, it can make a decision itself or remit the decision to the delegate, along with directions or recommendations, for the delegate to make again. </w:t>
      </w:r>
      <w:r w:rsidRPr="002F30D0">
        <w:rPr>
          <w:rFonts w:cs="Arial"/>
        </w:rPr>
        <w:t>However</w:t>
      </w:r>
      <w:r>
        <w:rPr>
          <w:rFonts w:cs="Arial"/>
        </w:rPr>
        <w:t xml:space="preserve">, if the AAT decides not to exercise the power to refuse to grant or to cancel a person’s visa, in certain circumstances </w:t>
      </w:r>
      <w:r w:rsidRPr="0075778A">
        <w:rPr>
          <w:rFonts w:cs="Arial"/>
        </w:rPr>
        <w:t>the Minister</w:t>
      </w:r>
      <w:r>
        <w:rPr>
          <w:rFonts w:cs="Arial"/>
        </w:rPr>
        <w:t xml:space="preserve"> may set the AAT’s decision aside and refuse or cancel the visa.</w:t>
      </w:r>
      <w:bookmarkStart w:id="88" w:name="_Ref258493627"/>
      <w:r w:rsidRPr="0075778A">
        <w:rPr>
          <w:rStyle w:val="EndnoteReference"/>
          <w:rFonts w:cs="Arial"/>
        </w:rPr>
        <w:endnoteReference w:id="97"/>
      </w:r>
      <w:bookmarkEnd w:id="88"/>
      <w:r w:rsidRPr="0075778A">
        <w:rPr>
          <w:rFonts w:cs="Arial"/>
        </w:rPr>
        <w:t xml:space="preserve"> </w:t>
      </w:r>
    </w:p>
    <w:p w:rsidR="000604CD" w:rsidRDefault="003F5BD1" w:rsidP="000604CD">
      <w:pPr>
        <w:spacing w:after="120"/>
        <w:rPr>
          <w:rFonts w:cs="Arial"/>
        </w:rPr>
      </w:pPr>
      <w:r>
        <w:rPr>
          <w:rFonts w:cs="Arial"/>
        </w:rPr>
        <w:t xml:space="preserve">The Minister also has the power, in certain circumstances, to set aside an original decision made by a DIAC officer </w:t>
      </w:r>
      <w:bookmarkStart w:id="89" w:name="_Ref258493835"/>
      <w:r>
        <w:rPr>
          <w:rFonts w:cs="Arial"/>
        </w:rPr>
        <w:t>under section 501.</w:t>
      </w:r>
      <w:r>
        <w:rPr>
          <w:rStyle w:val="EndnoteReference"/>
          <w:rFonts w:cs="Arial"/>
        </w:rPr>
        <w:endnoteReference w:id="98"/>
      </w:r>
      <w:bookmarkEnd w:id="89"/>
      <w:r>
        <w:rPr>
          <w:rFonts w:cs="Arial"/>
        </w:rPr>
        <w:t xml:space="preserve"> The Minister can then substitute the original decision (whether that decision was favourable or unfavourable to the applicant or visa holder) with his or her own decision to refuse or cancel the visa. The Minister can do this even if the person has applied to the AAT for review of the delegate’s original decision to refuse or cancel their visa.</w:t>
      </w:r>
      <w:r>
        <w:rPr>
          <w:rStyle w:val="EndnoteReference"/>
          <w:rFonts w:cs="Arial"/>
        </w:rPr>
        <w:endnoteReference w:id="99"/>
      </w:r>
      <w:r>
        <w:rPr>
          <w:rFonts w:cs="Arial"/>
        </w:rPr>
        <w:t xml:space="preserve"> </w:t>
      </w:r>
      <w:r w:rsidR="000604CD">
        <w:rPr>
          <w:rFonts w:cs="Arial"/>
        </w:rPr>
        <w:t xml:space="preserve">As noted above, if the Minister personally decides to refuse or cancel a person’s visa, the Minister’s decision is not subject to review by the AAT. </w:t>
      </w:r>
    </w:p>
    <w:p w:rsidR="000604CD" w:rsidRDefault="00D455C6" w:rsidP="000604CD">
      <w:pPr>
        <w:pStyle w:val="Heading2"/>
        <w:tabs>
          <w:tab w:val="num" w:pos="1134"/>
        </w:tabs>
        <w:ind w:left="1134"/>
        <w:rPr>
          <w:rFonts w:cs="Arial"/>
        </w:rPr>
      </w:pPr>
      <w:bookmarkStart w:id="90" w:name="_Toc355952742"/>
      <w:bookmarkStart w:id="91" w:name="_Toc362012118"/>
      <w:r>
        <w:t>Access to j</w:t>
      </w:r>
      <w:r w:rsidR="000604CD">
        <w:t>udicial review</w:t>
      </w:r>
      <w:bookmarkEnd w:id="90"/>
      <w:bookmarkEnd w:id="91"/>
    </w:p>
    <w:p w:rsidR="000604CD" w:rsidRDefault="000604CD" w:rsidP="000604CD">
      <w:pPr>
        <w:spacing w:after="120"/>
        <w:rPr>
          <w:rFonts w:cs="Arial"/>
        </w:rPr>
      </w:pPr>
      <w:r>
        <w:rPr>
          <w:rFonts w:cs="Arial"/>
        </w:rPr>
        <w:t>All decisions to</w:t>
      </w:r>
      <w:r w:rsidR="008A6957">
        <w:rPr>
          <w:rFonts w:cs="Arial"/>
        </w:rPr>
        <w:t xml:space="preserve"> refuse to grant or to</w:t>
      </w:r>
      <w:r>
        <w:rPr>
          <w:rFonts w:cs="Arial"/>
        </w:rPr>
        <w:t xml:space="preserve"> canc</w:t>
      </w:r>
      <w:r w:rsidR="0060374D">
        <w:rPr>
          <w:rFonts w:cs="Arial"/>
        </w:rPr>
        <w:t xml:space="preserve">el a person’s visa under </w:t>
      </w:r>
      <w:r w:rsidR="00A66906">
        <w:rPr>
          <w:rFonts w:cs="Arial"/>
        </w:rPr>
        <w:t>section 501</w:t>
      </w:r>
      <w:r>
        <w:rPr>
          <w:rFonts w:cs="Arial"/>
        </w:rPr>
        <w:t xml:space="preserve">, whether made by a DIAC officer or by the Minister personally, </w:t>
      </w:r>
      <w:r w:rsidR="00DE6BD8">
        <w:rPr>
          <w:rFonts w:cs="Arial"/>
        </w:rPr>
        <w:t xml:space="preserve">are </w:t>
      </w:r>
      <w:r>
        <w:rPr>
          <w:rFonts w:cs="Arial"/>
        </w:rPr>
        <w:t>subject to judicial review by the Federal Court or the High Court of Australia. Under judicial review, courts are restricted to reviewing the lawfulness of an administrative decision, rather than considering whether it was the correct decision</w:t>
      </w:r>
      <w:r w:rsidR="00D03CEE">
        <w:rPr>
          <w:rFonts w:cs="Arial"/>
        </w:rPr>
        <w:t>.</w:t>
      </w:r>
      <w:r>
        <w:rPr>
          <w:rFonts w:cs="Arial"/>
        </w:rPr>
        <w:t xml:space="preserve"> </w:t>
      </w:r>
    </w:p>
    <w:p w:rsidR="004039AB" w:rsidRPr="007600E0" w:rsidRDefault="000604CD" w:rsidP="000604CD">
      <w:pPr>
        <w:spacing w:after="120"/>
        <w:rPr>
          <w:rFonts w:cs="Arial"/>
        </w:rPr>
      </w:pPr>
      <w:r w:rsidRPr="00000198">
        <w:rPr>
          <w:rFonts w:cs="Arial"/>
        </w:rPr>
        <w:t xml:space="preserve">If a court finds that a visa refusal or cancellation decision </w:t>
      </w:r>
      <w:r w:rsidR="00DE6BD8" w:rsidRPr="00000198">
        <w:rPr>
          <w:rFonts w:cs="Arial"/>
        </w:rPr>
        <w:t>was affected</w:t>
      </w:r>
      <w:r w:rsidR="00E47B20" w:rsidRPr="00000198">
        <w:rPr>
          <w:rFonts w:cs="Arial"/>
        </w:rPr>
        <w:t xml:space="preserve"> </w:t>
      </w:r>
      <w:r w:rsidRPr="00000198">
        <w:rPr>
          <w:rFonts w:cs="Arial"/>
        </w:rPr>
        <w:t xml:space="preserve">by jurisdictional error, the court can set aside the original decision and return the case to the </w:t>
      </w:r>
      <w:r w:rsidRPr="00E30184">
        <w:rPr>
          <w:rFonts w:cs="Arial"/>
        </w:rPr>
        <w:t>decision-maker to be reconsidered.</w:t>
      </w:r>
      <w:r w:rsidR="00D850D4" w:rsidRPr="00E30184">
        <w:rPr>
          <w:rFonts w:cs="Arial"/>
        </w:rPr>
        <w:t xml:space="preserve"> For example, this might be the case if the decision-maker </w:t>
      </w:r>
      <w:r w:rsidR="005E6BF1" w:rsidRPr="00E30184">
        <w:rPr>
          <w:rFonts w:cs="Arial"/>
        </w:rPr>
        <w:t>failed to take into account primary or other relevant considerations that it was bound to take into account or</w:t>
      </w:r>
      <w:r w:rsidR="00E73487" w:rsidRPr="00E30184">
        <w:rPr>
          <w:rFonts w:cs="Arial"/>
        </w:rPr>
        <w:t xml:space="preserve"> (to the extent that </w:t>
      </w:r>
      <w:r w:rsidR="00E30184" w:rsidRPr="00E30184">
        <w:rPr>
          <w:rFonts w:cs="Arial"/>
        </w:rPr>
        <w:t xml:space="preserve">rules of </w:t>
      </w:r>
      <w:r w:rsidR="00353DAF" w:rsidRPr="00E30184">
        <w:rPr>
          <w:rFonts w:cs="Arial"/>
        </w:rPr>
        <w:t>natural justice</w:t>
      </w:r>
      <w:r w:rsidR="00E73487" w:rsidRPr="00E30184">
        <w:rPr>
          <w:rFonts w:cs="Arial"/>
        </w:rPr>
        <w:t xml:space="preserve"> appl</w:t>
      </w:r>
      <w:r w:rsidR="00E30184" w:rsidRPr="00E30184">
        <w:rPr>
          <w:rFonts w:cs="Arial"/>
        </w:rPr>
        <w:t>y</w:t>
      </w:r>
      <w:r w:rsidR="00E73487" w:rsidRPr="00E30184">
        <w:rPr>
          <w:rFonts w:cs="Arial"/>
        </w:rPr>
        <w:t>)</w:t>
      </w:r>
      <w:r w:rsidR="00A037C5" w:rsidRPr="00A037C5">
        <w:rPr>
          <w:rStyle w:val="FootnoteReference"/>
          <w:rFonts w:cs="Arial"/>
        </w:rPr>
        <w:t xml:space="preserve"> </w:t>
      </w:r>
      <w:r w:rsidR="004039AB">
        <w:rPr>
          <w:rStyle w:val="EndnoteReference"/>
          <w:rFonts w:cs="Arial"/>
        </w:rPr>
        <w:endnoteReference w:id="100"/>
      </w:r>
      <w:r w:rsidR="004039AB" w:rsidRPr="00E30184">
        <w:rPr>
          <w:rFonts w:cs="Arial"/>
        </w:rPr>
        <w:t xml:space="preserve"> carried out its decision-making functions in a way that was unfair to the relevant person.</w:t>
      </w:r>
    </w:p>
    <w:p w:rsidR="004039AB" w:rsidRPr="000748E9" w:rsidRDefault="004039AB" w:rsidP="000604CD">
      <w:pPr>
        <w:pStyle w:val="Heading2"/>
        <w:tabs>
          <w:tab w:val="num" w:pos="1134"/>
        </w:tabs>
        <w:ind w:left="1134"/>
      </w:pPr>
      <w:bookmarkStart w:id="92" w:name="_Ref356900954"/>
      <w:bookmarkStart w:id="93" w:name="_Toc355952743"/>
      <w:bookmarkStart w:id="94" w:name="_Toc362012119"/>
      <w:r w:rsidRPr="000748E9">
        <w:lastRenderedPageBreak/>
        <w:t>The Minister’s personal powers to refuse or cancel visas</w:t>
      </w:r>
      <w:bookmarkEnd w:id="92"/>
      <w:bookmarkEnd w:id="94"/>
      <w:r w:rsidRPr="000748E9">
        <w:t xml:space="preserve"> </w:t>
      </w:r>
      <w:bookmarkEnd w:id="93"/>
    </w:p>
    <w:p w:rsidR="004039AB" w:rsidRDefault="004039AB" w:rsidP="000604CD">
      <w:pPr>
        <w:spacing w:after="120"/>
        <w:rPr>
          <w:rFonts w:cs="Arial"/>
        </w:rPr>
      </w:pPr>
      <w:r w:rsidRPr="000748E9">
        <w:rPr>
          <w:rFonts w:cs="Arial"/>
        </w:rPr>
        <w:t>Given the potentially serious interference with a person’s human rights which can follow from a decision to refuse to grant or to cancel a visa</w:t>
      </w:r>
      <w:r>
        <w:rPr>
          <w:rFonts w:cs="Arial"/>
        </w:rPr>
        <w:t xml:space="preserve"> on character grounds, it is concerning that the Minister’s personal, discretionary powers to refuse or cancel a visa on the basis of the character test are very broad, and that the Minister’s decisions are subject to limited review. </w:t>
      </w:r>
    </w:p>
    <w:p w:rsidR="004039AB" w:rsidRDefault="004039AB" w:rsidP="000604CD">
      <w:pPr>
        <w:spacing w:after="120"/>
        <w:rPr>
          <w:rFonts w:cs="Arial"/>
        </w:rPr>
      </w:pPr>
      <w:r>
        <w:rPr>
          <w:rFonts w:cs="Arial"/>
        </w:rPr>
        <w:t>As mentioned above, under sections 501, 501A and 501B of the Migration Act the Minister has the power, in certain circumstances to:</w:t>
      </w:r>
    </w:p>
    <w:p w:rsidR="004039AB" w:rsidRDefault="004039AB" w:rsidP="008E6E0F">
      <w:pPr>
        <w:numPr>
          <w:ilvl w:val="0"/>
          <w:numId w:val="27"/>
        </w:numPr>
        <w:spacing w:before="120" w:after="120"/>
        <w:ind w:left="714" w:hanging="357"/>
        <w:rPr>
          <w:rFonts w:cs="Arial"/>
        </w:rPr>
      </w:pPr>
      <w:r>
        <w:rPr>
          <w:rFonts w:cs="Arial"/>
        </w:rPr>
        <w:t>make an initial decision to refuse or cancel a person’s visa</w:t>
      </w:r>
      <w:r>
        <w:rPr>
          <w:rStyle w:val="EndnoteReference"/>
          <w:rFonts w:cs="Arial"/>
        </w:rPr>
        <w:endnoteReference w:id="101"/>
      </w:r>
    </w:p>
    <w:p w:rsidR="004039AB" w:rsidRPr="00B33D79" w:rsidRDefault="004039AB" w:rsidP="008E6E0F">
      <w:pPr>
        <w:numPr>
          <w:ilvl w:val="0"/>
          <w:numId w:val="27"/>
        </w:numPr>
        <w:spacing w:before="120" w:after="120"/>
        <w:ind w:left="714" w:hanging="357"/>
        <w:rPr>
          <w:rFonts w:cs="Arial"/>
        </w:rPr>
      </w:pPr>
      <w:r>
        <w:rPr>
          <w:rFonts w:cs="Arial"/>
        </w:rPr>
        <w:t xml:space="preserve">set aside a decision by a DIAC officer or the AAT </w:t>
      </w:r>
      <w:r w:rsidRPr="00B33D79">
        <w:rPr>
          <w:rFonts w:cs="Arial"/>
          <w:i/>
        </w:rPr>
        <w:t>not</w:t>
      </w:r>
      <w:r>
        <w:rPr>
          <w:rFonts w:cs="Arial"/>
        </w:rPr>
        <w:t xml:space="preserve"> to exercise the power to refuse or cancel a person’s visa</w:t>
      </w:r>
      <w:r w:rsidR="00254B8D">
        <w:rPr>
          <w:rFonts w:cs="Arial"/>
        </w:rPr>
        <w:t>,</w:t>
      </w:r>
      <w:r>
        <w:rPr>
          <w:rFonts w:cs="Arial"/>
        </w:rPr>
        <w:t xml:space="preserve"> and substitute it with his or her own decision to refuse to grant or to cancel the visa</w:t>
      </w:r>
      <w:r>
        <w:rPr>
          <w:rStyle w:val="EndnoteReference"/>
          <w:rFonts w:cs="Arial"/>
        </w:rPr>
        <w:endnoteReference w:id="102"/>
      </w:r>
      <w:r w:rsidRPr="00B33D79">
        <w:rPr>
          <w:rFonts w:cs="Arial"/>
        </w:rPr>
        <w:t xml:space="preserve"> </w:t>
      </w:r>
    </w:p>
    <w:p w:rsidR="004039AB" w:rsidRPr="00CE5E60" w:rsidRDefault="004039AB" w:rsidP="008E6E0F">
      <w:pPr>
        <w:numPr>
          <w:ilvl w:val="0"/>
          <w:numId w:val="27"/>
        </w:numPr>
        <w:spacing w:before="120" w:after="120"/>
        <w:ind w:left="714" w:hanging="357"/>
        <w:rPr>
          <w:rFonts w:cs="Arial"/>
        </w:rPr>
      </w:pPr>
      <w:r>
        <w:rPr>
          <w:rFonts w:cs="Arial"/>
        </w:rPr>
        <w:t xml:space="preserve">set aside a decision by a DIAC officer to refuse or cancel a person’s visa, and substitute it with his or her own </w:t>
      </w:r>
      <w:r w:rsidRPr="00CE5E60">
        <w:rPr>
          <w:rFonts w:cs="Arial"/>
        </w:rPr>
        <w:t>refusal or cancellation</w:t>
      </w:r>
      <w:r>
        <w:rPr>
          <w:rFonts w:cs="Arial"/>
        </w:rPr>
        <w:t>.</w:t>
      </w:r>
      <w:r>
        <w:rPr>
          <w:rStyle w:val="EndnoteReference"/>
          <w:rFonts w:cs="Arial"/>
        </w:rPr>
        <w:endnoteReference w:id="103"/>
      </w:r>
    </w:p>
    <w:p w:rsidR="004039AB" w:rsidRDefault="004039AB" w:rsidP="000604CD">
      <w:pPr>
        <w:spacing w:after="120"/>
        <w:rPr>
          <w:rFonts w:cs="Arial"/>
        </w:rPr>
      </w:pPr>
      <w:r w:rsidRPr="00290F37">
        <w:rPr>
          <w:rFonts w:cs="Arial"/>
        </w:rPr>
        <w:t xml:space="preserve">In making these decisions, the Minister is not bound by Direction No. 55. Further, a person cannot </w:t>
      </w:r>
      <w:r>
        <w:rPr>
          <w:rFonts w:cs="Arial"/>
        </w:rPr>
        <w:t xml:space="preserve">apply to the AAT for </w:t>
      </w:r>
      <w:r w:rsidRPr="00290F37">
        <w:rPr>
          <w:rFonts w:cs="Arial"/>
        </w:rPr>
        <w:t>merits review of any of these Ministerial decisions; they can only challenge the legality of these decisions through judicial review (</w:t>
      </w:r>
      <w:r>
        <w:rPr>
          <w:rFonts w:cs="Arial"/>
        </w:rPr>
        <w:t xml:space="preserve">as </w:t>
      </w:r>
      <w:r w:rsidRPr="00290F37">
        <w:rPr>
          <w:rFonts w:cs="Arial"/>
        </w:rPr>
        <w:t>explained</w:t>
      </w:r>
      <w:r>
        <w:rPr>
          <w:rFonts w:cs="Arial"/>
        </w:rPr>
        <w:t xml:space="preserve"> in the </w:t>
      </w:r>
      <w:r w:rsidRPr="00C42D4C">
        <w:rPr>
          <w:rFonts w:cs="Arial"/>
        </w:rPr>
        <w:t>section above). In some circumstances, the Act provides that the rules of natural justice do not apply to a decision by the Minister, further limiting the potential for review.</w:t>
      </w:r>
      <w:r w:rsidRPr="00C42D4C">
        <w:rPr>
          <w:rStyle w:val="EndnoteReference"/>
          <w:rFonts w:cs="Arial"/>
        </w:rPr>
        <w:endnoteReference w:id="104"/>
      </w:r>
    </w:p>
    <w:p w:rsidR="006A7C57" w:rsidRDefault="000604CD" w:rsidP="000604CD">
      <w:pPr>
        <w:spacing w:after="120"/>
        <w:rPr>
          <w:rFonts w:cs="Arial"/>
        </w:rPr>
      </w:pPr>
      <w:r w:rsidRPr="00904DC9">
        <w:rPr>
          <w:rFonts w:cs="Arial"/>
        </w:rPr>
        <w:t>The Commission</w:t>
      </w:r>
      <w:r>
        <w:rPr>
          <w:rFonts w:cs="Arial"/>
        </w:rPr>
        <w:t xml:space="preserve"> has</w:t>
      </w:r>
      <w:r w:rsidRPr="00904DC9">
        <w:rPr>
          <w:rFonts w:cs="Arial"/>
        </w:rPr>
        <w:t xml:space="preserve"> </w:t>
      </w:r>
      <w:r>
        <w:rPr>
          <w:rFonts w:cs="Arial"/>
        </w:rPr>
        <w:t xml:space="preserve">raised concerns about </w:t>
      </w:r>
      <w:r w:rsidRPr="00904DC9">
        <w:rPr>
          <w:rFonts w:cs="Arial"/>
        </w:rPr>
        <w:t xml:space="preserve">the </w:t>
      </w:r>
      <w:r>
        <w:rPr>
          <w:rFonts w:cs="Arial"/>
        </w:rPr>
        <w:t>extent</w:t>
      </w:r>
      <w:r w:rsidRPr="00904DC9">
        <w:rPr>
          <w:rFonts w:cs="Arial"/>
        </w:rPr>
        <w:t xml:space="preserve"> </w:t>
      </w:r>
      <w:r>
        <w:rPr>
          <w:rFonts w:cs="Arial"/>
        </w:rPr>
        <w:t xml:space="preserve">of </w:t>
      </w:r>
      <w:r w:rsidR="00151DDF">
        <w:rPr>
          <w:rFonts w:cs="Arial"/>
        </w:rPr>
        <w:t xml:space="preserve">the </w:t>
      </w:r>
      <w:r>
        <w:rPr>
          <w:rFonts w:cs="Arial"/>
        </w:rPr>
        <w:t xml:space="preserve">Minister’s </w:t>
      </w:r>
      <w:r w:rsidR="00151DDF">
        <w:rPr>
          <w:rFonts w:cs="Arial"/>
        </w:rPr>
        <w:t xml:space="preserve">discretionary </w:t>
      </w:r>
      <w:r>
        <w:rPr>
          <w:rFonts w:cs="Arial"/>
        </w:rPr>
        <w:t xml:space="preserve">powers under the Migration Act in parliamentary submissions. For example, in its 2008 </w:t>
      </w:r>
      <w:r w:rsidRPr="000A1EE2">
        <w:t>submission</w:t>
      </w:r>
      <w:r>
        <w:rPr>
          <w:rFonts w:cs="Arial"/>
        </w:rPr>
        <w:t xml:space="preserve"> to the Joint Standing Committee on Migration’s inquiry into immigration detention in Australia, the Commission recommended that </w:t>
      </w:r>
      <w:r w:rsidRPr="00904DC9">
        <w:rPr>
          <w:rFonts w:cs="Arial"/>
        </w:rPr>
        <w:t xml:space="preserve">the Minister’s powers under </w:t>
      </w:r>
      <w:r w:rsidR="00A66906">
        <w:rPr>
          <w:rFonts w:cs="Arial"/>
        </w:rPr>
        <w:t>section 501</w:t>
      </w:r>
      <w:r w:rsidRPr="00904DC9">
        <w:rPr>
          <w:rFonts w:cs="Arial"/>
        </w:rPr>
        <w:t xml:space="preserve"> should be reduced</w:t>
      </w:r>
      <w:r>
        <w:rPr>
          <w:rFonts w:cs="Arial"/>
        </w:rPr>
        <w:t>,</w:t>
      </w:r>
      <w:r w:rsidRPr="00904DC9">
        <w:rPr>
          <w:rFonts w:cs="Arial"/>
        </w:rPr>
        <w:t xml:space="preserve"> and measures</w:t>
      </w:r>
      <w:r>
        <w:rPr>
          <w:rFonts w:cs="Arial"/>
        </w:rPr>
        <w:t xml:space="preserve"> should be</w:t>
      </w:r>
      <w:r w:rsidRPr="00904DC9">
        <w:rPr>
          <w:rFonts w:cs="Arial"/>
        </w:rPr>
        <w:t xml:space="preserve"> put in place to provide for transparent</w:t>
      </w:r>
      <w:r>
        <w:rPr>
          <w:rFonts w:cs="Arial"/>
        </w:rPr>
        <w:t xml:space="preserve"> and </w:t>
      </w:r>
      <w:r w:rsidRPr="00904DC9">
        <w:rPr>
          <w:rFonts w:cs="Arial"/>
        </w:rPr>
        <w:t>accountable decision</w:t>
      </w:r>
      <w:r>
        <w:rPr>
          <w:rFonts w:cs="Arial"/>
        </w:rPr>
        <w:t>-making processes</w:t>
      </w:r>
      <w:r w:rsidRPr="00904DC9">
        <w:rPr>
          <w:rFonts w:cs="Arial"/>
        </w:rPr>
        <w:t xml:space="preserve"> which are subject to review.</w:t>
      </w:r>
      <w:r w:rsidR="006A7C57">
        <w:rPr>
          <w:rStyle w:val="EndnoteReference"/>
          <w:rFonts w:cs="Arial"/>
        </w:rPr>
        <w:endnoteReference w:id="105"/>
      </w:r>
    </w:p>
    <w:p w:rsidR="000604CD" w:rsidRDefault="000604CD" w:rsidP="000604CD">
      <w:pPr>
        <w:pStyle w:val="Heading1"/>
      </w:pPr>
      <w:bookmarkStart w:id="95" w:name="_Toc354064301"/>
      <w:bookmarkStart w:id="96" w:name="_Toc354064302"/>
      <w:bookmarkStart w:id="97" w:name="_Toc354064304"/>
      <w:bookmarkStart w:id="98" w:name="_Toc354064305"/>
      <w:bookmarkStart w:id="99" w:name="_Toc354064307"/>
      <w:bookmarkStart w:id="100" w:name="_Toc354064308"/>
      <w:bookmarkStart w:id="101" w:name="_Toc354064309"/>
      <w:bookmarkStart w:id="102" w:name="_Toc354064310"/>
      <w:bookmarkStart w:id="103" w:name="_Toc354064311"/>
      <w:bookmarkStart w:id="104" w:name="_Toc354064312"/>
      <w:bookmarkStart w:id="105" w:name="_Toc257299804"/>
      <w:bookmarkStart w:id="106" w:name="_Toc355100899"/>
      <w:bookmarkStart w:id="107" w:name="_Toc355363541"/>
      <w:bookmarkStart w:id="108" w:name="_Toc355952744"/>
      <w:bookmarkStart w:id="109" w:name="_Toc362012120"/>
      <w:bookmarkEnd w:id="95"/>
      <w:bookmarkEnd w:id="96"/>
      <w:bookmarkEnd w:id="97"/>
      <w:bookmarkEnd w:id="98"/>
      <w:bookmarkEnd w:id="99"/>
      <w:bookmarkEnd w:id="100"/>
      <w:bookmarkEnd w:id="101"/>
      <w:bookmarkEnd w:id="102"/>
      <w:bookmarkEnd w:id="103"/>
      <w:bookmarkEnd w:id="104"/>
      <w:bookmarkEnd w:id="105"/>
      <w:r>
        <w:t>Links to further information</w:t>
      </w:r>
      <w:bookmarkEnd w:id="106"/>
      <w:bookmarkEnd w:id="107"/>
      <w:bookmarkEnd w:id="108"/>
      <w:bookmarkEnd w:id="109"/>
    </w:p>
    <w:p w:rsidR="000604CD" w:rsidRDefault="000604CD" w:rsidP="000604CD">
      <w:pPr>
        <w:pStyle w:val="Heading2"/>
        <w:tabs>
          <w:tab w:val="num" w:pos="1134"/>
        </w:tabs>
        <w:ind w:left="1134"/>
      </w:pPr>
      <w:bookmarkStart w:id="110" w:name="_Toc355952745"/>
      <w:bookmarkStart w:id="111" w:name="_Toc362012121"/>
      <w:r>
        <w:t>Commission projects and publications</w:t>
      </w:r>
      <w:bookmarkEnd w:id="110"/>
      <w:bookmarkEnd w:id="111"/>
    </w:p>
    <w:p w:rsidR="000604CD" w:rsidRPr="00904DC9" w:rsidRDefault="000604CD" w:rsidP="000604CD">
      <w:pPr>
        <w:spacing w:after="120"/>
        <w:rPr>
          <w:rFonts w:cs="Arial"/>
        </w:rPr>
      </w:pPr>
      <w:r w:rsidRPr="00904DC9">
        <w:rPr>
          <w:rFonts w:cs="Arial"/>
        </w:rPr>
        <w:t>The Commission has considered</w:t>
      </w:r>
      <w:r>
        <w:rPr>
          <w:rFonts w:cs="Arial"/>
        </w:rPr>
        <w:t xml:space="preserve"> issues relating to the human righ</w:t>
      </w:r>
      <w:r w:rsidR="00B80A55">
        <w:rPr>
          <w:rFonts w:cs="Arial"/>
        </w:rPr>
        <w:t xml:space="preserve">ts of people impacted by </w:t>
      </w:r>
      <w:r w:rsidR="00A66906">
        <w:rPr>
          <w:rFonts w:cs="Arial"/>
        </w:rPr>
        <w:t>section 501</w:t>
      </w:r>
      <w:r>
        <w:rPr>
          <w:rFonts w:cs="Arial"/>
        </w:rPr>
        <w:t xml:space="preserve"> visa </w:t>
      </w:r>
      <w:r w:rsidR="00B80A55">
        <w:rPr>
          <w:rFonts w:cs="Arial"/>
        </w:rPr>
        <w:t xml:space="preserve">refusals or </w:t>
      </w:r>
      <w:r>
        <w:rPr>
          <w:rFonts w:cs="Arial"/>
        </w:rPr>
        <w:t xml:space="preserve">cancellations </w:t>
      </w:r>
      <w:r w:rsidRPr="00904DC9">
        <w:rPr>
          <w:rFonts w:cs="Arial"/>
        </w:rPr>
        <w:t>in the following</w:t>
      </w:r>
      <w:r>
        <w:rPr>
          <w:rFonts w:cs="Arial"/>
        </w:rPr>
        <w:t xml:space="preserve"> work:</w:t>
      </w:r>
    </w:p>
    <w:p w:rsidR="005271D1" w:rsidRPr="00344358" w:rsidRDefault="000604CD" w:rsidP="008E6E0F">
      <w:pPr>
        <w:numPr>
          <w:ilvl w:val="0"/>
          <w:numId w:val="16"/>
        </w:numPr>
        <w:spacing w:before="120" w:after="120"/>
        <w:ind w:left="714" w:hanging="357"/>
        <w:rPr>
          <w:rFonts w:cs="Arial"/>
        </w:rPr>
      </w:pPr>
      <w:r w:rsidRPr="00904DC9">
        <w:rPr>
          <w:rFonts w:cs="Arial"/>
          <w:lang w:val="en"/>
        </w:rPr>
        <w:t xml:space="preserve">The </w:t>
      </w:r>
      <w:r w:rsidR="00344358">
        <w:rPr>
          <w:rFonts w:cs="Arial"/>
          <w:lang w:val="en"/>
        </w:rPr>
        <w:t>Commission</w:t>
      </w:r>
      <w:r w:rsidRPr="00904DC9">
        <w:rPr>
          <w:rFonts w:cs="Arial"/>
          <w:lang w:val="en"/>
        </w:rPr>
        <w:t>’s</w:t>
      </w:r>
      <w:r w:rsidR="00344358">
        <w:rPr>
          <w:rFonts w:cs="Arial"/>
          <w:lang w:val="en"/>
        </w:rPr>
        <w:t xml:space="preserve"> report: </w:t>
      </w:r>
      <w:hyperlink r:id="rId21" w:anchor="s9http://www.humanrights.gov.au/publications/2011-immigration-detention-villawood" w:history="1">
        <w:r w:rsidR="00344358" w:rsidRPr="00AC18F4">
          <w:rPr>
            <w:rStyle w:val="Hyperlink"/>
            <w:rFonts w:cs="Arial"/>
            <w:i/>
            <w:lang w:val="en"/>
          </w:rPr>
          <w:t>2011 Immigration detention at Villawood: Summary of observations from visit to detention facilities at Villawood</w:t>
        </w:r>
      </w:hyperlink>
      <w:r w:rsidR="005271D1">
        <w:rPr>
          <w:rStyle w:val="EndnoteReference"/>
          <w:rFonts w:cs="Arial"/>
          <w:lang w:val="en"/>
        </w:rPr>
        <w:endnoteReference w:id="106"/>
      </w:r>
      <w:r w:rsidR="005271D1">
        <w:rPr>
          <w:rFonts w:cs="Arial"/>
          <w:lang w:val="en"/>
        </w:rPr>
        <w:t xml:space="preserve"> </w:t>
      </w:r>
    </w:p>
    <w:p w:rsidR="005271D1" w:rsidRDefault="005271D1" w:rsidP="008E6E0F">
      <w:pPr>
        <w:numPr>
          <w:ilvl w:val="0"/>
          <w:numId w:val="16"/>
        </w:numPr>
        <w:spacing w:before="120" w:after="120"/>
        <w:ind w:left="714" w:hanging="357"/>
        <w:rPr>
          <w:rFonts w:cs="Arial"/>
        </w:rPr>
      </w:pPr>
      <w:r>
        <w:rPr>
          <w:rFonts w:cs="Arial"/>
        </w:rPr>
        <w:t xml:space="preserve">The Commission’s 2009 </w:t>
      </w:r>
      <w:hyperlink r:id="rId22" w:history="1">
        <w:r w:rsidRPr="00F3007A">
          <w:rPr>
            <w:rStyle w:val="Hyperlink"/>
            <w:rFonts w:cs="Arial"/>
          </w:rPr>
          <w:t>submission</w:t>
        </w:r>
      </w:hyperlink>
      <w:r>
        <w:rPr>
          <w:rFonts w:cs="Arial"/>
        </w:rPr>
        <w:t xml:space="preserve"> to the Senate Standing Committee on Legal and Constitutional Affairs inquiry into the Migration Amendment (Immigration Detention Reform) Bill 2009</w:t>
      </w:r>
      <w:r>
        <w:rPr>
          <w:rStyle w:val="EndnoteReference"/>
          <w:rFonts w:cs="Arial"/>
        </w:rPr>
        <w:endnoteReference w:id="107"/>
      </w:r>
      <w:r>
        <w:rPr>
          <w:rFonts w:cs="Arial"/>
        </w:rPr>
        <w:t xml:space="preserve"> </w:t>
      </w:r>
    </w:p>
    <w:p w:rsidR="005271D1" w:rsidRPr="00DA05ED" w:rsidRDefault="005271D1" w:rsidP="008E6E0F">
      <w:pPr>
        <w:numPr>
          <w:ilvl w:val="0"/>
          <w:numId w:val="16"/>
        </w:numPr>
        <w:spacing w:before="120" w:after="120"/>
        <w:ind w:left="714" w:hanging="357"/>
        <w:rPr>
          <w:rFonts w:cs="Arial"/>
        </w:rPr>
      </w:pPr>
      <w:r w:rsidRPr="00904DC9">
        <w:rPr>
          <w:rFonts w:cs="Arial"/>
          <w:lang w:val="en"/>
        </w:rPr>
        <w:t>The Commission</w:t>
      </w:r>
      <w:r>
        <w:rPr>
          <w:rFonts w:cs="Arial"/>
          <w:lang w:val="en"/>
        </w:rPr>
        <w:t xml:space="preserve">’s 2008 </w:t>
      </w:r>
      <w:hyperlink r:id="rId23" w:history="1">
        <w:r w:rsidRPr="00DA05ED">
          <w:rPr>
            <w:rStyle w:val="Hyperlink"/>
            <w:rFonts w:cs="Arial"/>
            <w:lang w:val="en"/>
          </w:rPr>
          <w:t>submission</w:t>
        </w:r>
      </w:hyperlink>
      <w:r>
        <w:rPr>
          <w:rFonts w:cs="Arial"/>
          <w:lang w:val="en"/>
        </w:rPr>
        <w:t xml:space="preserve"> to the Joint Standing Committee on Migration’s inquiry into immigration detention in Australia</w:t>
      </w:r>
      <w:r>
        <w:rPr>
          <w:rStyle w:val="EndnoteReference"/>
          <w:rFonts w:cs="Arial"/>
          <w:lang w:val="en"/>
        </w:rPr>
        <w:endnoteReference w:id="108"/>
      </w:r>
    </w:p>
    <w:p w:rsidR="005271D1" w:rsidRPr="00EB7121" w:rsidRDefault="005271D1" w:rsidP="008E6E0F">
      <w:pPr>
        <w:numPr>
          <w:ilvl w:val="0"/>
          <w:numId w:val="16"/>
        </w:numPr>
        <w:spacing w:before="120" w:after="120"/>
        <w:ind w:left="714" w:hanging="357"/>
        <w:rPr>
          <w:rFonts w:cs="Arial"/>
        </w:rPr>
      </w:pPr>
      <w:r w:rsidRPr="00904DC9">
        <w:rPr>
          <w:rFonts w:cs="Arial"/>
          <w:lang w:val="en"/>
        </w:rPr>
        <w:t>The Commission</w:t>
      </w:r>
      <w:r>
        <w:rPr>
          <w:rFonts w:cs="Arial"/>
          <w:lang w:val="en"/>
        </w:rPr>
        <w:t xml:space="preserve">’s 2008 </w:t>
      </w:r>
      <w:hyperlink r:id="rId24" w:history="1">
        <w:r w:rsidRPr="00517BB9">
          <w:rPr>
            <w:rStyle w:val="Hyperlink"/>
            <w:rFonts w:cs="Arial"/>
            <w:lang w:val="en"/>
          </w:rPr>
          <w:t>submission</w:t>
        </w:r>
      </w:hyperlink>
      <w:r>
        <w:rPr>
          <w:rFonts w:cs="Arial"/>
          <w:lang w:val="en"/>
        </w:rPr>
        <w:t xml:space="preserve"> to the Clarke Inquiry on the case of Dr</w:t>
      </w:r>
      <w:r w:rsidR="00D23153">
        <w:rPr>
          <w:rFonts w:cs="Arial"/>
          <w:lang w:val="en"/>
        </w:rPr>
        <w:t>.</w:t>
      </w:r>
      <w:r>
        <w:rPr>
          <w:rFonts w:cs="Arial"/>
          <w:lang w:val="en"/>
        </w:rPr>
        <w:t xml:space="preserve"> Mohamed Haneef.</w:t>
      </w:r>
      <w:r>
        <w:rPr>
          <w:rStyle w:val="EndnoteReference"/>
          <w:rFonts w:cs="Arial"/>
          <w:lang w:val="en"/>
        </w:rPr>
        <w:endnoteReference w:id="109"/>
      </w:r>
    </w:p>
    <w:p w:rsidR="000604CD" w:rsidRPr="00904DC9" w:rsidRDefault="005271D1" w:rsidP="000604CD">
      <w:pPr>
        <w:spacing w:after="120"/>
        <w:rPr>
          <w:rFonts w:cs="Arial"/>
        </w:rPr>
      </w:pPr>
      <w:r>
        <w:rPr>
          <w:rFonts w:cs="Arial"/>
        </w:rPr>
        <w:lastRenderedPageBreak/>
        <w:t xml:space="preserve">For further information, see the Commission’s </w:t>
      </w:r>
      <w:hyperlink r:id="rId25" w:history="1">
        <w:r w:rsidRPr="00320818">
          <w:rPr>
            <w:rStyle w:val="Hyperlink"/>
            <w:rFonts w:cs="Arial"/>
          </w:rPr>
          <w:t>immigration</w:t>
        </w:r>
        <w:r>
          <w:rPr>
            <w:rStyle w:val="Hyperlink"/>
            <w:rFonts w:cs="Arial"/>
          </w:rPr>
          <w:t xml:space="preserve"> detention</w:t>
        </w:r>
        <w:r w:rsidRPr="00320818">
          <w:rPr>
            <w:rStyle w:val="Hyperlink"/>
            <w:rFonts w:cs="Arial"/>
          </w:rPr>
          <w:t>, asylum seekers and refugees</w:t>
        </w:r>
      </w:hyperlink>
      <w:r>
        <w:rPr>
          <w:rFonts w:cs="Arial"/>
        </w:rPr>
        <w:t xml:space="preserve"> webpage.</w:t>
      </w:r>
      <w:r>
        <w:rPr>
          <w:rStyle w:val="EndnoteReference"/>
          <w:rFonts w:cs="Arial"/>
        </w:rPr>
        <w:endnoteReference w:id="110"/>
      </w:r>
      <w:r>
        <w:rPr>
          <w:rFonts w:cs="Arial"/>
        </w:rPr>
        <w:t xml:space="preserve"> </w:t>
      </w:r>
    </w:p>
    <w:p w:rsidR="000604CD" w:rsidRPr="00250C3E" w:rsidRDefault="000604CD" w:rsidP="000604CD">
      <w:pPr>
        <w:pStyle w:val="Heading2"/>
        <w:tabs>
          <w:tab w:val="num" w:pos="1134"/>
        </w:tabs>
        <w:ind w:left="1134"/>
      </w:pPr>
      <w:bookmarkStart w:id="112" w:name="21"/>
      <w:bookmarkStart w:id="113" w:name="_Toc355952746"/>
      <w:bookmarkStart w:id="114" w:name="_Toc362012122"/>
      <w:bookmarkEnd w:id="112"/>
      <w:r>
        <w:t>Other u</w:t>
      </w:r>
      <w:r w:rsidRPr="00250C3E">
        <w:t>seful links</w:t>
      </w:r>
      <w:bookmarkEnd w:id="113"/>
      <w:bookmarkEnd w:id="114"/>
      <w:r w:rsidRPr="00250C3E">
        <w:t xml:space="preserve"> </w:t>
      </w:r>
    </w:p>
    <w:p w:rsidR="000604CD" w:rsidRDefault="000604CD" w:rsidP="001D077F">
      <w:pPr>
        <w:numPr>
          <w:ilvl w:val="0"/>
          <w:numId w:val="21"/>
        </w:numPr>
        <w:spacing w:before="0" w:after="120"/>
        <w:ind w:left="714" w:hanging="357"/>
        <w:rPr>
          <w:rFonts w:cs="Arial"/>
        </w:rPr>
      </w:pPr>
      <w:r>
        <w:rPr>
          <w:rFonts w:cs="Arial"/>
        </w:rPr>
        <w:t xml:space="preserve">Department of Immigration and Citizenship factsheet, </w:t>
      </w:r>
      <w:hyperlink r:id="rId26" w:history="1">
        <w:r w:rsidRPr="0068794D">
          <w:rPr>
            <w:rStyle w:val="Hyperlink"/>
            <w:rFonts w:cs="Arial"/>
            <w:i/>
          </w:rPr>
          <w:t>The Character Requirement</w:t>
        </w:r>
      </w:hyperlink>
    </w:p>
    <w:p w:rsidR="000604CD" w:rsidRPr="00186160" w:rsidRDefault="000604CD" w:rsidP="001D077F">
      <w:pPr>
        <w:numPr>
          <w:ilvl w:val="0"/>
          <w:numId w:val="21"/>
        </w:numPr>
        <w:spacing w:before="0" w:after="120"/>
        <w:ind w:left="714" w:hanging="357"/>
        <w:rPr>
          <w:rFonts w:cs="Arial"/>
        </w:rPr>
      </w:pPr>
      <w:r>
        <w:rPr>
          <w:rFonts w:cs="Arial"/>
        </w:rPr>
        <w:t xml:space="preserve">Commonwealth Ombudsman report no. 1 (2006), </w:t>
      </w:r>
      <w:hyperlink r:id="rId27" w:history="1">
        <w:r w:rsidR="00347D59">
          <w:rPr>
            <w:rStyle w:val="Hyperlink"/>
            <w:rFonts w:cs="Arial"/>
            <w:i/>
          </w:rPr>
          <w:t xml:space="preserve">Administration of s 501 of the Migration Act 1958 as it applies to long-term residents </w:t>
        </w:r>
      </w:hyperlink>
      <w:r>
        <w:rPr>
          <w:rFonts w:cs="Arial"/>
        </w:rPr>
        <w:t xml:space="preserve"> </w:t>
      </w:r>
    </w:p>
    <w:p w:rsidR="000604CD" w:rsidRDefault="000604CD" w:rsidP="001D077F">
      <w:pPr>
        <w:numPr>
          <w:ilvl w:val="0"/>
          <w:numId w:val="21"/>
        </w:numPr>
        <w:spacing w:before="0" w:after="120"/>
        <w:ind w:left="714" w:hanging="357"/>
        <w:rPr>
          <w:rFonts w:cs="Arial"/>
          <w:i/>
        </w:rPr>
      </w:pPr>
      <w:r>
        <w:rPr>
          <w:rFonts w:cs="Arial"/>
        </w:rPr>
        <w:t>Commonwealth Ombudsman report no. 10 (2007)</w:t>
      </w:r>
      <w:r w:rsidRPr="00186160">
        <w:rPr>
          <w:rFonts w:cs="Arial"/>
        </w:rPr>
        <w:t xml:space="preserve">, </w:t>
      </w:r>
      <w:hyperlink r:id="rId28" w:history="1">
        <w:r w:rsidRPr="0068794D">
          <w:rPr>
            <w:rStyle w:val="Hyperlink"/>
            <w:rFonts w:cs="Arial"/>
            <w:i/>
          </w:rPr>
          <w:t>Report into referred immigration cases: other legal issues</w:t>
        </w:r>
      </w:hyperlink>
      <w:r w:rsidRPr="0068794D">
        <w:rPr>
          <w:rFonts w:cs="Arial"/>
          <w:i/>
        </w:rPr>
        <w:t xml:space="preserve"> </w:t>
      </w:r>
    </w:p>
    <w:p w:rsidR="000604CD" w:rsidRPr="00BF675B" w:rsidRDefault="000604CD" w:rsidP="00BF675B">
      <w:pPr>
        <w:numPr>
          <w:ilvl w:val="0"/>
          <w:numId w:val="21"/>
        </w:numPr>
        <w:spacing w:before="0" w:after="120"/>
        <w:ind w:left="714" w:hanging="357"/>
        <w:rPr>
          <w:rFonts w:cs="Arial"/>
          <w:i/>
        </w:rPr>
      </w:pPr>
      <w:r>
        <w:rPr>
          <w:rFonts w:cs="Arial"/>
        </w:rPr>
        <w:t xml:space="preserve">Commonwealth Ombudsman, </w:t>
      </w:r>
      <w:hyperlink r:id="rId29" w:history="1">
        <w:r w:rsidRPr="00390597">
          <w:rPr>
            <w:rStyle w:val="Hyperlink"/>
            <w:rFonts w:cs="Arial"/>
          </w:rPr>
          <w:t>Immigration detention review reports</w:t>
        </w:r>
      </w:hyperlink>
      <w:r>
        <w:rPr>
          <w:rFonts w:cs="Arial"/>
        </w:rPr>
        <w:t xml:space="preserve"> (many of which relate to section 501 detainees) </w:t>
      </w:r>
    </w:p>
    <w:p w:rsidR="000604CD" w:rsidRPr="008119C1" w:rsidRDefault="000604CD" w:rsidP="001D077F">
      <w:pPr>
        <w:numPr>
          <w:ilvl w:val="0"/>
          <w:numId w:val="21"/>
        </w:numPr>
        <w:spacing w:before="0" w:after="120"/>
        <w:ind w:left="714" w:hanging="357"/>
        <w:rPr>
          <w:rFonts w:cs="Arial"/>
          <w:i/>
        </w:rPr>
      </w:pPr>
      <w:r>
        <w:rPr>
          <w:rFonts w:cs="Arial"/>
          <w:bCs/>
        </w:rPr>
        <w:t xml:space="preserve">Susan Harris Rimmer, </w:t>
      </w:r>
      <w:hyperlink r:id="rId30" w:history="1">
        <w:r w:rsidRPr="0002700B">
          <w:rPr>
            <w:rStyle w:val="Hyperlink"/>
            <w:rFonts w:cs="Arial"/>
            <w:bCs/>
            <w:i/>
          </w:rPr>
          <w:t>The Dangers of Character Tests: Dr Haneef and other cautionary tales</w:t>
        </w:r>
      </w:hyperlink>
      <w:r>
        <w:rPr>
          <w:rFonts w:cs="Arial"/>
          <w:bCs/>
        </w:rPr>
        <w:t xml:space="preserve">, The Australia Institute, Discussion Paper Number 101 </w:t>
      </w:r>
    </w:p>
    <w:p w:rsidR="00EB6A76" w:rsidRPr="00A96892" w:rsidRDefault="000604CD" w:rsidP="00915B6F">
      <w:pPr>
        <w:numPr>
          <w:ilvl w:val="0"/>
          <w:numId w:val="21"/>
        </w:numPr>
        <w:spacing w:before="0" w:after="120"/>
        <w:ind w:left="714" w:hanging="357"/>
      </w:pPr>
      <w:r>
        <w:rPr>
          <w:rFonts w:cs="Arial"/>
        </w:rPr>
        <w:t xml:space="preserve">Refugee and Immigration Legal Service &amp; Immigration Advice and Rights Centre, </w:t>
      </w:r>
      <w:hyperlink r:id="rId31" w:history="1">
        <w:r w:rsidRPr="008119C1">
          <w:rPr>
            <w:rStyle w:val="Hyperlink"/>
            <w:rFonts w:cs="Arial"/>
            <w:i/>
          </w:rPr>
          <w:t>Legal Information Kit: Visa Cancellation under s501 of the Migration Act</w:t>
        </w:r>
      </w:hyperlink>
    </w:p>
    <w:sectPr w:rsidR="00EB6A76" w:rsidRPr="00A96892" w:rsidSect="00B63D24">
      <w:headerReference w:type="even" r:id="rId32"/>
      <w:headerReference w:type="default" r:id="rId33"/>
      <w:footerReference w:type="default" r:id="rId34"/>
      <w:headerReference w:type="first" r:id="rId35"/>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75" w:rsidRDefault="00FA4975" w:rsidP="00F14C6D">
      <w:r>
        <w:separator/>
      </w:r>
    </w:p>
  </w:endnote>
  <w:endnote w:type="continuationSeparator" w:id="0">
    <w:p w:rsidR="00FA4975" w:rsidRDefault="00FA4975" w:rsidP="00F14C6D">
      <w:r>
        <w:continuationSeparator/>
      </w:r>
    </w:p>
  </w:endnote>
  <w:endnote w:id="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Under sections 501A and 501B of the </w:t>
      </w:r>
      <w:r w:rsidRPr="00E027F6">
        <w:rPr>
          <w:rFonts w:cs="Arial"/>
          <w:i/>
        </w:rPr>
        <w:t>Migration Act 1958</w:t>
      </w:r>
      <w:r>
        <w:rPr>
          <w:rFonts w:cs="Arial"/>
        </w:rPr>
        <w:t xml:space="preserve"> (Cth)</w:t>
      </w:r>
      <w:r w:rsidRPr="00E027F6">
        <w:rPr>
          <w:rFonts w:cs="Arial"/>
        </w:rPr>
        <w:t xml:space="preserve"> the Minister for Immigration and Citizenship has the power to set aside an initial decision</w:t>
      </w:r>
      <w:r>
        <w:rPr>
          <w:rFonts w:cs="Arial"/>
        </w:rPr>
        <w:t xml:space="preserve"> to</w:t>
      </w:r>
      <w:r w:rsidRPr="00E027F6">
        <w:rPr>
          <w:rFonts w:cs="Arial"/>
        </w:rPr>
        <w:t xml:space="preserve"> refuse to grant or to cancel a visa made under section 501</w:t>
      </w:r>
      <w:r>
        <w:rPr>
          <w:rFonts w:cs="Arial"/>
        </w:rPr>
        <w:t xml:space="preserve">, </w:t>
      </w:r>
      <w:r w:rsidRPr="00E027F6">
        <w:rPr>
          <w:rFonts w:cs="Arial"/>
        </w:rPr>
        <w:t>and substitute it with his or her own decision t</w:t>
      </w:r>
      <w:r>
        <w:rPr>
          <w:rFonts w:cs="Arial"/>
        </w:rPr>
        <w:t>o refuse to grant or to cancel the</w:t>
      </w:r>
      <w:r w:rsidRPr="00E027F6">
        <w:rPr>
          <w:rFonts w:cs="Arial"/>
        </w:rPr>
        <w:t xml:space="preserve"> visa, on a similar basis (i.e. for failure of the character test). Throughout this paper, general references to visa refusal or cancellation under section 501 should be taken as also referring to refusal or cancellation decisions made by the Minister under sections 501A and 501B, unless the context suggests otherwise.</w:t>
      </w:r>
    </w:p>
  </w:endnote>
  <w:endnote w:id="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Department of Immigration and Citizenship, </w:t>
      </w:r>
      <w:r w:rsidRPr="00E027F6">
        <w:rPr>
          <w:rFonts w:cs="Arial"/>
          <w:i/>
        </w:rPr>
        <w:t>Annual Report 2011-12</w:t>
      </w:r>
      <w:r w:rsidRPr="00E027F6">
        <w:rPr>
          <w:rFonts w:cs="Arial"/>
        </w:rPr>
        <w:t xml:space="preserve"> (2012), p 174. At </w:t>
      </w:r>
      <w:hyperlink r:id="rId1" w:history="1">
        <w:r w:rsidRPr="00E027F6">
          <w:rPr>
            <w:rStyle w:val="Hyperlink"/>
            <w:rFonts w:cs="Arial"/>
          </w:rPr>
          <w:t>http://www.immi.gov.au/about/reports/annual/2011-12/</w:t>
        </w:r>
      </w:hyperlink>
      <w:r>
        <w:rPr>
          <w:rFonts w:cs="Arial"/>
        </w:rPr>
        <w:t xml:space="preserve"> (viewed 24 June</w:t>
      </w:r>
      <w:r w:rsidRPr="00E027F6">
        <w:rPr>
          <w:rFonts w:cs="Arial"/>
        </w:rPr>
        <w:t xml:space="preserve"> 2013).</w:t>
      </w:r>
    </w:p>
  </w:endnote>
  <w:endnote w:id="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 for Immigration and Citizenship, </w:t>
      </w:r>
      <w:r w:rsidRPr="00E027F6">
        <w:rPr>
          <w:rFonts w:cs="Arial"/>
          <w:i/>
        </w:rPr>
        <w:t>Direction No. 55 - Visa refusal and cancellation under s 501</w:t>
      </w:r>
      <w:r w:rsidRPr="00E027F6">
        <w:rPr>
          <w:rFonts w:cs="Arial"/>
        </w:rPr>
        <w:t xml:space="preserve">, given under section 499 of the </w:t>
      </w:r>
      <w:r w:rsidRPr="00E027F6">
        <w:rPr>
          <w:rFonts w:cs="Arial"/>
          <w:i/>
        </w:rPr>
        <w:t>Migration Act 1958</w:t>
      </w:r>
      <w:r w:rsidRPr="00E027F6">
        <w:rPr>
          <w:rFonts w:cs="Arial"/>
        </w:rPr>
        <w:t xml:space="preserve"> (Cth) and signed on 25 July 2012 (Ministerial Direction No. 55). At </w:t>
      </w:r>
      <w:hyperlink r:id="rId2" w:history="1">
        <w:r w:rsidRPr="00E027F6">
          <w:rPr>
            <w:rStyle w:val="Hyperlink"/>
            <w:rFonts w:cs="Arial"/>
          </w:rPr>
          <w:t>www.immi.gov.au/media/fact-sheets/79-ministerial-direction-55.pdf</w:t>
        </w:r>
      </w:hyperlink>
      <w:r>
        <w:rPr>
          <w:rFonts w:cs="Arial"/>
        </w:rPr>
        <w:t xml:space="preserve"> (viewed 24 June</w:t>
      </w:r>
      <w:r w:rsidRPr="00E027F6">
        <w:rPr>
          <w:rFonts w:cs="Arial"/>
        </w:rPr>
        <w:t xml:space="preserve"> 2013).</w:t>
      </w:r>
    </w:p>
  </w:endnote>
  <w:endnote w:id="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 xml:space="preserve">Migration Act 1958 </w:t>
      </w:r>
      <w:r w:rsidRPr="00E027F6">
        <w:rPr>
          <w:rFonts w:cs="Arial"/>
        </w:rPr>
        <w:t>(Cth), s 499(2A).</w:t>
      </w:r>
    </w:p>
  </w:endnote>
  <w:endnote w:id="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501(6).</w:t>
      </w:r>
    </w:p>
  </w:endnote>
  <w:endnote w:id="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Ministerial Direction No. 55, note</w:t>
      </w:r>
      <w:r w:rsidRPr="00E027F6">
        <w:rPr>
          <w:rFonts w:cs="Arial"/>
          <w:i/>
        </w:rPr>
        <w:t xml:space="preserv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w:t>
      </w:r>
    </w:p>
  </w:endnote>
  <w:endnote w:id="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501(6)(a).</w:t>
      </w:r>
    </w:p>
  </w:endnote>
  <w:endnote w:id="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501(7).</w:t>
      </w:r>
    </w:p>
  </w:endnote>
  <w:endnote w:id="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See</w:t>
      </w:r>
      <w:r>
        <w:rPr>
          <w:rFonts w:cs="Arial"/>
        </w:rPr>
        <w:t xml:space="preserve"> the</w:t>
      </w:r>
      <w:r w:rsidRPr="00E027F6">
        <w:rPr>
          <w:rFonts w:cs="Arial"/>
        </w:rPr>
        <w:t xml:space="preserve"> </w:t>
      </w:r>
      <w:r w:rsidRPr="00E027F6">
        <w:rPr>
          <w:rFonts w:cs="Arial"/>
          <w:i/>
        </w:rPr>
        <w:t>Migration Amendment (Strengthening the Character Test and Other Provisions) Act 2011</w:t>
      </w:r>
      <w:r w:rsidRPr="00E027F6">
        <w:rPr>
          <w:rFonts w:cs="Arial"/>
        </w:rPr>
        <w:t xml:space="preserve"> (Cth).</w:t>
      </w:r>
    </w:p>
  </w:endnote>
  <w:endnote w:id="1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Commonwealth, </w:t>
      </w:r>
      <w:r w:rsidRPr="00E027F6">
        <w:rPr>
          <w:rFonts w:cs="Arial"/>
          <w:i/>
        </w:rPr>
        <w:t>Parliamentary Debates</w:t>
      </w:r>
      <w:r w:rsidRPr="00E027F6">
        <w:rPr>
          <w:rFonts w:cs="Arial"/>
        </w:rPr>
        <w:t xml:space="preserve">, House of Representatives, 11 May 2011, p 3509 (The Hon Chris Bowen MP, Minister for Immigration and Citizenship). </w:t>
      </w:r>
    </w:p>
  </w:endnote>
  <w:endnote w:id="1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501(6)(aa).</w:t>
      </w:r>
    </w:p>
  </w:endnote>
  <w:endnote w:id="1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501(6)(ab).</w:t>
      </w:r>
    </w:p>
  </w:endnote>
  <w:endnote w:id="1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501(6)(b).</w:t>
      </w:r>
    </w:p>
  </w:endnote>
  <w:endnote w:id="1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3(2).</w:t>
      </w:r>
    </w:p>
  </w:endnote>
  <w:endnote w:id="1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3(3).</w:t>
      </w:r>
    </w:p>
  </w:endnote>
  <w:endnote w:id="1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w:t>
      </w:r>
      <w:r>
        <w:rPr>
          <w:rFonts w:cs="Arial"/>
        </w:rPr>
        <w:t>,</w:t>
      </w:r>
      <w:r w:rsidRPr="00E027F6">
        <w:rPr>
          <w:rFonts w:cs="Arial"/>
        </w:rPr>
        <w:t xml:space="preserve"> para 3(3). </w:t>
      </w:r>
    </w:p>
  </w:endnote>
  <w:endnote w:id="1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paras 4(3) and (4).</w:t>
      </w:r>
    </w:p>
  </w:endnote>
  <w:endnote w:id="1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See further Ministerial Direction No. 55, note 3, Annex A, Section 2, para 4.1(1).</w:t>
      </w:r>
    </w:p>
  </w:endnote>
  <w:endnote w:id="1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4.2(1).</w:t>
      </w:r>
    </w:p>
  </w:endnote>
  <w:endnote w:id="2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4.2(1)(a).</w:t>
      </w:r>
    </w:p>
  </w:endnote>
  <w:endnote w:id="2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xml:space="preserve">, Annex A, Section 2, para 4.2(2). </w:t>
      </w:r>
    </w:p>
  </w:endnote>
  <w:endnote w:id="2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For further detail regarding how these grounds are to be interpreted, see Ministerial Direction No. 55, note 3, Annex A, Section 2, paras 5.1-5.3.</w:t>
      </w:r>
    </w:p>
  </w:endnote>
  <w:endnote w:id="2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5(2).</w:t>
      </w:r>
    </w:p>
  </w:endnote>
  <w:endnote w:id="2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xml:space="preserve">, Annex A, Section 2, para 5(3). </w:t>
      </w:r>
    </w:p>
  </w:endnote>
  <w:endnote w:id="2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Annex A, Section 2, para 5.3(2).</w:t>
      </w:r>
    </w:p>
  </w:endnote>
  <w:endnote w:id="2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Section 2, para 7.</w:t>
      </w:r>
    </w:p>
  </w:endnote>
  <w:endnote w:id="2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Section 2, para 7.</w:t>
      </w:r>
    </w:p>
  </w:endnote>
  <w:endnote w:id="2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 and Part B, para 11.</w:t>
      </w:r>
    </w:p>
  </w:endnote>
  <w:endnote w:id="2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Further guidance on how decision-makers should assess the level of risk of harm to the community is provided in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xml:space="preserve">, Part A, paras 9.1, 9.1.1 and 9.1.2 and Part B, paras 11.1, 11.1.1 and 11.1.2. </w:t>
      </w:r>
      <w:r>
        <w:rPr>
          <w:rFonts w:cs="Arial"/>
        </w:rPr>
        <w:t>Under the Direction t</w:t>
      </w:r>
      <w:r w:rsidRPr="00E027F6">
        <w:rPr>
          <w:rFonts w:cs="Arial"/>
        </w:rPr>
        <w:t xml:space="preserve">his assessment should include consideration of the nature and seriousness of the relevant conduct, and the risk that the conduct may be repeated. </w:t>
      </w:r>
    </w:p>
  </w:endnote>
  <w:endnote w:id="3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For further detail see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9.3 and Part B, para 11.2.</w:t>
      </w:r>
    </w:p>
  </w:endnote>
  <w:endnote w:id="3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For further detail see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xml:space="preserve">, Part A, para 9.4 and Part B, para 11.3. Note that s 36 of the Migration Act contains ‘Australia’s interpretation of these obligations’ and the tests which should be applied by decision-makers in order to comply with these obligations: see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9.4(3) and Part B, para 11.3(3).</w:t>
      </w:r>
    </w:p>
  </w:endnote>
  <w:endnote w:id="3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Opened for signature </w:t>
      </w:r>
      <w:r w:rsidRPr="00E027F6">
        <w:rPr>
          <w:rFonts w:cs="Arial"/>
          <w:color w:val="000000"/>
        </w:rPr>
        <w:t xml:space="preserve">28 July 1951, </w:t>
      </w:r>
      <w:r w:rsidRPr="00E027F6">
        <w:rPr>
          <w:rFonts w:cs="Arial"/>
        </w:rPr>
        <w:t>189 UNTS 137, (</w:t>
      </w:r>
      <w:r w:rsidRPr="00E027F6">
        <w:rPr>
          <w:rStyle w:val="Emphasis"/>
          <w:rFonts w:cs="Arial"/>
          <w:i w:val="0"/>
          <w:iCs w:val="0"/>
        </w:rPr>
        <w:t>entered into force</w:t>
      </w:r>
      <w:r w:rsidRPr="00E027F6">
        <w:rPr>
          <w:rFonts w:cs="Arial"/>
        </w:rPr>
        <w:t xml:space="preserve"> 22 April 1954), as amended by the </w:t>
      </w:r>
      <w:r w:rsidRPr="00E027F6">
        <w:rPr>
          <w:rFonts w:cs="Arial"/>
          <w:i/>
        </w:rPr>
        <w:t>Protocol Relating to the Status of Refugees</w:t>
      </w:r>
      <w:r w:rsidRPr="00E027F6">
        <w:rPr>
          <w:rFonts w:cs="Arial"/>
        </w:rPr>
        <w:t>, opened for signature 31 January 1967, 606 UNTS 267 (</w:t>
      </w:r>
      <w:r w:rsidRPr="00E027F6">
        <w:rPr>
          <w:rStyle w:val="Emphasis"/>
          <w:rFonts w:cs="Arial"/>
          <w:i w:val="0"/>
          <w:iCs w:val="0"/>
        </w:rPr>
        <w:t>entered into force</w:t>
      </w:r>
      <w:r w:rsidRPr="00E027F6">
        <w:rPr>
          <w:rFonts w:cs="Arial"/>
        </w:rPr>
        <w:t xml:space="preserve"> 4 October 1967) (Refugee Convention). At </w:t>
      </w:r>
      <w:hyperlink r:id="rId3" w:history="1">
        <w:r w:rsidRPr="00EC306F">
          <w:rPr>
            <w:rStyle w:val="Hyperlink"/>
            <w:rFonts w:cs="Arial"/>
          </w:rPr>
          <w:t>http://www.austlii.edu.au/au/other/dfat/treaties/1954/5.html</w:t>
        </w:r>
      </w:hyperlink>
      <w:r>
        <w:rPr>
          <w:rFonts w:cs="Arial"/>
        </w:rPr>
        <w:t xml:space="preserve"> (viewed 24 June</w:t>
      </w:r>
      <w:r w:rsidRPr="00E027F6">
        <w:rPr>
          <w:rFonts w:cs="Arial"/>
        </w:rPr>
        <w:t xml:space="preserve"> 2013).</w:t>
      </w:r>
    </w:p>
  </w:endnote>
  <w:endnote w:id="3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Opened for signature 10 December 1984, 1465 UNTS 85 (entered into force 26 June 1987) (CAT). At </w:t>
      </w:r>
      <w:hyperlink r:id="rId4" w:history="1">
        <w:r w:rsidRPr="00EC306F">
          <w:rPr>
            <w:rStyle w:val="Hyperlink"/>
            <w:rFonts w:cs="Arial"/>
          </w:rPr>
          <w:t>http://www.austlii.edu.au/au/other/dfat/treaties/ATS/1989/21.html</w:t>
        </w:r>
      </w:hyperlink>
      <w:r>
        <w:rPr>
          <w:rFonts w:cs="Arial"/>
        </w:rPr>
        <w:t xml:space="preserve"> </w:t>
      </w:r>
      <w:r w:rsidRPr="00E027F6">
        <w:rPr>
          <w:rFonts w:cs="Arial"/>
        </w:rPr>
        <w:t xml:space="preserve">(viewed </w:t>
      </w:r>
      <w:r>
        <w:rPr>
          <w:rFonts w:cs="Arial"/>
        </w:rPr>
        <w:t>24 June</w:t>
      </w:r>
      <w:r w:rsidRPr="00E027F6">
        <w:rPr>
          <w:rFonts w:cs="Arial"/>
        </w:rPr>
        <w:t xml:space="preserve"> 2013).</w:t>
      </w:r>
    </w:p>
  </w:endnote>
  <w:endnote w:id="3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Opened for signature 16 December 1966, 999 UNTS 171 (entered into force 23 March 1976) (ICCPR). At </w:t>
      </w:r>
      <w:hyperlink r:id="rId5" w:history="1">
        <w:r w:rsidRPr="00E027F6">
          <w:rPr>
            <w:rStyle w:val="Hyperlink"/>
            <w:rFonts w:cs="Arial"/>
          </w:rPr>
          <w:t>http://www.austlii.edu.au/au/other/dfat/treaties/1980/23.html</w:t>
        </w:r>
      </w:hyperlink>
      <w:r>
        <w:rPr>
          <w:rFonts w:cs="Arial"/>
        </w:rPr>
        <w:t xml:space="preserve"> (viewed 24 June</w:t>
      </w:r>
      <w:r w:rsidRPr="00E027F6">
        <w:rPr>
          <w:rFonts w:cs="Arial"/>
        </w:rPr>
        <w:t xml:space="preserve"> 2013).</w:t>
      </w:r>
    </w:p>
  </w:endnote>
  <w:endnote w:id="3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Ministerial Direction No</w:t>
      </w:r>
      <w:r>
        <w:rPr>
          <w:rFonts w:cs="Arial"/>
        </w:rPr>
        <w:t>.</w:t>
      </w:r>
      <w:r w:rsidRPr="00E027F6">
        <w:rPr>
          <w:rFonts w:cs="Arial"/>
        </w:rPr>
        <w:t xml:space="preserve">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9.2.</w:t>
      </w:r>
    </w:p>
  </w:endnote>
  <w:endnote w:id="3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Ministerial Direction No.</w:t>
      </w:r>
      <w:r>
        <w:rPr>
          <w:rFonts w:cs="Arial"/>
        </w:rPr>
        <w:t xml:space="preserve"> </w:t>
      </w:r>
      <w:r w:rsidRPr="00E027F6">
        <w:rPr>
          <w:rFonts w:cs="Arial"/>
        </w:rPr>
        <w:t xml:space="preserve">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Section 2, para 8(4).</w:t>
      </w:r>
    </w:p>
  </w:endnote>
  <w:endnote w:id="3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10(1)(a), and Part B, para 12(1)(a).</w:t>
      </w:r>
    </w:p>
  </w:endnote>
  <w:endnote w:id="3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10(1)(b), and Part B, para 12(1)(c).</w:t>
      </w:r>
    </w:p>
  </w:endnote>
  <w:endnote w:id="3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10(1)(c), and Part B, para 12(1)(b).</w:t>
      </w:r>
    </w:p>
  </w:endnote>
  <w:endnote w:id="4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10(1)(d).</w:t>
      </w:r>
    </w:p>
  </w:endnote>
  <w:endnote w:id="4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 xml:space="preserve">(Cth), ss 13, 14, 501F. Under section 501F of the Migration Act, once a person’s application for a visa is refused or his or her visa is cancelled under section 501, all visas issued to that person, except for a protection visa or a type of visa specified in the Migration Regulations, are cancelled, and all applications for visas other than a protection visa are deemed to be refused. There are currently no other visas specified in the Migration Regulations for the purposes of section 501F. </w:t>
      </w:r>
    </w:p>
  </w:endnote>
  <w:endnote w:id="4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ss 189(1), 196(1).</w:t>
      </w:r>
    </w:p>
  </w:endnote>
  <w:endnote w:id="4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Department of Immigration and Citizenship</w:t>
      </w:r>
      <w:r w:rsidRPr="00E027F6">
        <w:rPr>
          <w:rFonts w:cs="Arial"/>
        </w:rPr>
        <w:t>, Response to ‘Request for Information from the Australian Human Rights Commission (AHRC) -  Section 501 Visa Cancellation and Refusal DIAC Ref 1300157’, 29 May 2013.</w:t>
      </w:r>
    </w:p>
  </w:endnote>
  <w:endnote w:id="4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Department of Immigration and Citizenship, above.</w:t>
      </w:r>
    </w:p>
  </w:endnote>
  <w:endnote w:id="4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 xml:space="preserve">(Cth), s 501E. Under section 501E(2), a person may still apply for a protection visa or a visa specified in the Migration Regulations (at the time of writing, the only visa specified in the Regulations was the subclass 070 Bridging (Removal Pending) visa: see </w:t>
      </w:r>
      <w:r>
        <w:rPr>
          <w:rFonts w:cs="Arial"/>
        </w:rPr>
        <w:t xml:space="preserve">the </w:t>
      </w:r>
      <w:r w:rsidRPr="00E027F6">
        <w:rPr>
          <w:rFonts w:cs="Arial"/>
        </w:rPr>
        <w:t>Migration Regulations</w:t>
      </w:r>
      <w:r>
        <w:rPr>
          <w:rFonts w:cs="Arial"/>
        </w:rPr>
        <w:t>,</w:t>
      </w:r>
      <w:r w:rsidRPr="00E027F6">
        <w:rPr>
          <w:rFonts w:cs="Arial"/>
        </w:rPr>
        <w:t xml:space="preserve"> reg 2.12AA). However, see section 48A of the Mi</w:t>
      </w:r>
      <w:r>
        <w:rPr>
          <w:rFonts w:cs="Arial"/>
        </w:rPr>
        <w:t>gration Act, which may prevent</w:t>
      </w:r>
      <w:r w:rsidRPr="00E027F6">
        <w:rPr>
          <w:rFonts w:cs="Arial"/>
        </w:rPr>
        <w:t xml:space="preserve"> a person from making an application for a protection visa while in Australia if they have already had a protection visa application refused, or a protection visa cancelled.</w:t>
      </w:r>
    </w:p>
  </w:endnote>
  <w:endnote w:id="46">
    <w:p w:rsidR="00FA4975" w:rsidRPr="00E027F6" w:rsidRDefault="00FA4975" w:rsidP="00B9570D">
      <w:pPr>
        <w:pStyle w:val="EndnoteText"/>
        <w:spacing w:after="60"/>
        <w:ind w:left="284" w:hanging="284"/>
        <w:rPr>
          <w:rFonts w:cs="Arial"/>
          <w:highlight w:val="cyan"/>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Migration Regulations 1994</w:t>
      </w:r>
      <w:r w:rsidRPr="00E027F6">
        <w:rPr>
          <w:rFonts w:cs="Arial"/>
        </w:rPr>
        <w:t xml:space="preserve"> (Cth), Schedule 5, clause 5001(c). The effect of that clause is that a person who has been removed from Australia following cancellation of their visa because of a substantial criminal record, past or present criminal conduct, or a combination of past or present criminal and general conduct will not be eligible to be granted any visa to which criteria 5001 applies.</w:t>
      </w:r>
    </w:p>
  </w:endnote>
  <w:endnote w:id="4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See the discussion in section 2.3(c) above.</w:t>
      </w:r>
    </w:p>
  </w:endnote>
  <w:endnote w:id="4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Commonwealth, </w:t>
      </w:r>
      <w:r w:rsidRPr="00E027F6">
        <w:rPr>
          <w:rFonts w:cs="Arial"/>
          <w:i/>
        </w:rPr>
        <w:t>Parliamentary Debates</w:t>
      </w:r>
      <w:r w:rsidRPr="00E027F6">
        <w:rPr>
          <w:rFonts w:cs="Arial"/>
        </w:rPr>
        <w:t xml:space="preserve">, House of Representatives, 11 May 2011, p 3509 (The Hon Chris Bowen MP, Minister for Immigration and Citizenship). </w:t>
      </w:r>
    </w:p>
  </w:endnote>
  <w:endnote w:id="4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Migration Act 1958</w:t>
      </w:r>
      <w:r w:rsidRPr="00E027F6">
        <w:rPr>
          <w:rFonts w:cs="Arial"/>
        </w:rPr>
        <w:t xml:space="preserve"> (Cth), s 201.</w:t>
      </w:r>
    </w:p>
  </w:endnote>
  <w:endnote w:id="5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for example, Commonwealth Ombudsman, </w:t>
      </w:r>
      <w:r w:rsidRPr="00E027F6">
        <w:rPr>
          <w:rFonts w:cs="Arial"/>
          <w:i/>
        </w:rPr>
        <w:t>Administration of section 501 of the Migration Act 1958 as it applies to long-term residents</w:t>
      </w:r>
      <w:r w:rsidRPr="00E027F6">
        <w:rPr>
          <w:rFonts w:cs="Arial"/>
        </w:rPr>
        <w:t xml:space="preserve">, Report No. 01/2006 (2006), para 2.10. At </w:t>
      </w:r>
      <w:hyperlink r:id="rId6" w:history="1">
        <w:r w:rsidRPr="00E027F6">
          <w:rPr>
            <w:rStyle w:val="Hyperlink"/>
            <w:rFonts w:cs="Arial"/>
          </w:rPr>
          <w:t>http://www.ombudsman.gov.au/files/investigation_2006_01.pdf</w:t>
        </w:r>
      </w:hyperlink>
      <w:r>
        <w:rPr>
          <w:rFonts w:cs="Arial"/>
        </w:rPr>
        <w:t xml:space="preserve"> (viewed 24 June</w:t>
      </w:r>
      <w:r w:rsidRPr="00E027F6">
        <w:rPr>
          <w:rFonts w:cs="Arial"/>
        </w:rPr>
        <w:t xml:space="preserve"> 2013).</w:t>
      </w:r>
    </w:p>
  </w:endnote>
  <w:endnote w:id="51">
    <w:p w:rsidR="00FA4975" w:rsidRPr="003F2C0C"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lang w:val="en"/>
        </w:rPr>
        <w:t xml:space="preserve">Question 423, Commonwealth Senate Hansard (17 June 2008), pp 2625-2626. At </w:t>
      </w:r>
      <w:hyperlink r:id="rId7" w:history="1">
        <w:r w:rsidRPr="00EC306F">
          <w:rPr>
            <w:rStyle w:val="Hyperlink"/>
            <w:rFonts w:cs="Arial"/>
          </w:rPr>
          <w:t>http://parlinfo.aph.gov.au/parlInfo/genpdf/chamber/hansards/2008-06-17/0159/hansard_frag.pdf;fileType=application%2Fpdf</w:t>
        </w:r>
      </w:hyperlink>
      <w:r>
        <w:rPr>
          <w:rFonts w:cs="Arial"/>
        </w:rPr>
        <w:t xml:space="preserve"> </w:t>
      </w:r>
      <w:r>
        <w:rPr>
          <w:rFonts w:cs="Arial"/>
          <w:lang w:val="en"/>
        </w:rPr>
        <w:t>(viewed 24 June</w:t>
      </w:r>
      <w:r w:rsidRPr="00E027F6">
        <w:rPr>
          <w:rFonts w:cs="Arial"/>
          <w:lang w:val="en"/>
        </w:rPr>
        <w:t xml:space="preserve"> 2013).</w:t>
      </w:r>
    </w:p>
  </w:endnote>
  <w:endnote w:id="5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Commonwealth Ombudsman, note</w:t>
      </w:r>
      <w:r w:rsidR="008A2A8B">
        <w:rPr>
          <w:rFonts w:cs="Arial"/>
        </w:rPr>
        <w:t xml:space="preserve"> 50</w:t>
      </w:r>
      <w:r w:rsidRPr="00E027F6">
        <w:rPr>
          <w:rFonts w:cs="Arial"/>
        </w:rPr>
        <w:t>, para 2.10.</w:t>
      </w:r>
    </w:p>
  </w:endnote>
  <w:endnote w:id="5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M Grewcock, ‘Punishment, deportation and parole: The detention and removal of former prisoners under section 501 Migration Act 1958’ (2011) 44(1) </w:t>
      </w:r>
      <w:r w:rsidRPr="00E027F6">
        <w:rPr>
          <w:rFonts w:cs="Arial"/>
          <w:i/>
        </w:rPr>
        <w:t>Australian and New Zealand Journal of Criminology</w:t>
      </w:r>
      <w:r w:rsidRPr="00E027F6">
        <w:rPr>
          <w:rFonts w:cs="Arial"/>
        </w:rPr>
        <w:t xml:space="preserve"> 56, particularly the cases mentioned on pp 56-61.</w:t>
      </w:r>
    </w:p>
  </w:endnote>
  <w:endnote w:id="5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9(1)(b).</w:t>
      </w:r>
    </w:p>
  </w:endnote>
  <w:endnote w:id="5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9.2(1)(a).</w:t>
      </w:r>
    </w:p>
  </w:endnote>
  <w:endnote w:id="5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Section 1, para 6.3(4).</w:t>
      </w:r>
    </w:p>
  </w:endnote>
  <w:endnote w:id="5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Section 2, paras 8(5) and 9(1)(a).</w:t>
      </w:r>
    </w:p>
  </w:endnote>
  <w:endnote w:id="5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Human Rights and Equal Opportunity Commission, </w:t>
      </w:r>
      <w:r w:rsidRPr="00E027F6">
        <w:rPr>
          <w:rFonts w:cs="Arial"/>
          <w:i/>
        </w:rPr>
        <w:t>Submission to the Joint Standing Committee on Migration Inquiry into immigration detention in Australia</w:t>
      </w:r>
      <w:r w:rsidRPr="00E027F6">
        <w:rPr>
          <w:rFonts w:cs="Arial"/>
        </w:rPr>
        <w:t xml:space="preserve"> (2008), paras 60-68. At </w:t>
      </w:r>
      <w:hyperlink r:id="rId8" w:history="1">
        <w:r w:rsidRPr="00E027F6">
          <w:rPr>
            <w:rStyle w:val="Hyperlink"/>
            <w:rFonts w:cs="Arial"/>
          </w:rPr>
          <w:t>http://humanrights.gov.au/legal/submissions/2008/20080829_immigration_detention.html</w:t>
        </w:r>
      </w:hyperlink>
      <w:r>
        <w:rPr>
          <w:rFonts w:cs="Arial"/>
        </w:rPr>
        <w:t xml:space="preserve"> (viewed 24 June</w:t>
      </w:r>
      <w:r w:rsidRPr="00E027F6">
        <w:rPr>
          <w:rFonts w:cs="Arial"/>
        </w:rPr>
        <w:t xml:space="preserve"> 2013).</w:t>
      </w:r>
    </w:p>
  </w:endnote>
  <w:endnote w:id="5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Human Rights and Equal Opportunity Commission </w:t>
      </w:r>
      <w:r>
        <w:rPr>
          <w:rFonts w:cs="Arial"/>
        </w:rPr>
        <w:t>, a</w:t>
      </w:r>
      <w:r w:rsidRPr="00E027F6">
        <w:rPr>
          <w:rFonts w:cs="Arial"/>
        </w:rPr>
        <w:t>bove, para 68 (recommendation 5).</w:t>
      </w:r>
    </w:p>
  </w:endnote>
  <w:endnote w:id="6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ss 13, 14, 189(1), 196(1), 501F(3).</w:t>
      </w:r>
    </w:p>
  </w:endnote>
  <w:endnote w:id="6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Department of Immigration and Citizenship, n</w:t>
      </w:r>
      <w:r>
        <w:rPr>
          <w:rFonts w:cs="Arial"/>
        </w:rPr>
        <w:t>ote</w:t>
      </w:r>
      <w:r w:rsidRPr="00E027F6">
        <w:rPr>
          <w:rFonts w:cs="Arial"/>
        </w:rPr>
        <w:t xml:space="preserve"> 43.</w:t>
      </w:r>
    </w:p>
  </w:endnote>
  <w:endnote w:id="62">
    <w:p w:rsidR="00FA4975" w:rsidRPr="00E027F6" w:rsidRDefault="00FA4975" w:rsidP="00B9570D">
      <w:pPr>
        <w:pStyle w:val="EndnoteText"/>
        <w:spacing w:after="60"/>
        <w:ind w:left="284" w:hanging="284"/>
        <w:rPr>
          <w:rFonts w:cs="Arial"/>
          <w:lang w:val="en"/>
        </w:rPr>
      </w:pPr>
      <w:r w:rsidRPr="00E027F6">
        <w:rPr>
          <w:rStyle w:val="EndnoteReference"/>
          <w:rFonts w:cs="Arial"/>
        </w:rPr>
        <w:endnoteRef/>
      </w:r>
      <w:r w:rsidRPr="00E027F6">
        <w:rPr>
          <w:rFonts w:cs="Arial"/>
        </w:rPr>
        <w:t xml:space="preserve"> </w:t>
      </w:r>
      <w:r>
        <w:rPr>
          <w:rFonts w:cs="Arial"/>
        </w:rPr>
        <w:tab/>
      </w:r>
      <w:r w:rsidRPr="00E027F6">
        <w:rPr>
          <w:rFonts w:cs="Arial"/>
          <w:lang w:val="en"/>
        </w:rPr>
        <w:t xml:space="preserve">Commonwealth and Immigration Ombudsman, </w:t>
      </w:r>
      <w:r w:rsidRPr="00E027F6">
        <w:rPr>
          <w:rFonts w:cs="Arial"/>
          <w:i/>
          <w:iCs/>
          <w:lang w:val="en"/>
        </w:rPr>
        <w:t>Submission to the Joint Standing Committee on Migration’s Inquiry into Immigration Detention in Australia</w:t>
      </w:r>
      <w:r w:rsidRPr="00E027F6">
        <w:rPr>
          <w:rFonts w:cs="Arial"/>
          <w:lang w:val="en"/>
        </w:rPr>
        <w:t xml:space="preserve"> (2008), p 11. </w:t>
      </w:r>
      <w:r w:rsidRPr="00244B53">
        <w:rPr>
          <w:rFonts w:cs="Arial"/>
          <w:lang w:val="en"/>
        </w:rPr>
        <w:t>At</w:t>
      </w:r>
      <w:r w:rsidRPr="00E027F6">
        <w:rPr>
          <w:rFonts w:cs="Arial"/>
        </w:rPr>
        <w:t xml:space="preserve"> </w:t>
      </w:r>
      <w:hyperlink r:id="rId9" w:history="1">
        <w:r w:rsidRPr="00EC306F">
          <w:rPr>
            <w:rStyle w:val="Hyperlink"/>
            <w:rFonts w:cs="Arial"/>
          </w:rPr>
          <w:t>http://www.ombudsman.gov.au/files/Joint_Standing_Committee_on_Migration_Inquiry_to_immigration_detention_in_Australia.pdf</w:t>
        </w:r>
      </w:hyperlink>
      <w:r>
        <w:rPr>
          <w:rFonts w:cs="Arial"/>
        </w:rPr>
        <w:t xml:space="preserve"> (viewed 24 June 2013).</w:t>
      </w:r>
    </w:p>
  </w:endnote>
  <w:endnote w:id="6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lang w:val="en"/>
        </w:rPr>
        <w:t>Human Rights Committee</w:t>
      </w:r>
      <w:r w:rsidRPr="00E027F6">
        <w:rPr>
          <w:rFonts w:cs="Arial"/>
          <w:i/>
          <w:lang w:val="en"/>
        </w:rPr>
        <w:t xml:space="preserve">, General Comment No 8: </w:t>
      </w:r>
      <w:r w:rsidRPr="00E027F6">
        <w:rPr>
          <w:rFonts w:cs="Arial"/>
          <w:bCs/>
          <w:i/>
          <w:iCs/>
        </w:rPr>
        <w:t>Right to liberty and security of persons (Art. 9)</w:t>
      </w:r>
      <w:r w:rsidRPr="00E027F6">
        <w:rPr>
          <w:rFonts w:cs="Arial"/>
          <w:bCs/>
          <w:iCs/>
        </w:rPr>
        <w:t xml:space="preserve"> UN </w:t>
      </w:r>
      <w:r w:rsidRPr="00E027F6">
        <w:rPr>
          <w:rStyle w:val="st"/>
          <w:rFonts w:cs="Arial"/>
          <w:color w:val="222222"/>
        </w:rPr>
        <w:t>Doc A/37/40</w:t>
      </w:r>
      <w:r w:rsidRPr="00E027F6">
        <w:rPr>
          <w:rStyle w:val="Emphasis"/>
          <w:rFonts w:cs="Arial"/>
          <w:color w:val="222222"/>
        </w:rPr>
        <w:t>,</w:t>
      </w:r>
      <w:r w:rsidRPr="00E027F6">
        <w:rPr>
          <w:rStyle w:val="st"/>
          <w:rFonts w:cs="Arial"/>
          <w:i/>
          <w:color w:val="222222"/>
        </w:rPr>
        <w:t xml:space="preserve"> </w:t>
      </w:r>
      <w:r w:rsidRPr="00E027F6">
        <w:rPr>
          <w:rStyle w:val="Emphasis"/>
          <w:rFonts w:cs="Arial"/>
          <w:i w:val="0"/>
          <w:color w:val="222222"/>
        </w:rPr>
        <w:t>Annex V</w:t>
      </w:r>
      <w:r w:rsidRPr="00E027F6">
        <w:rPr>
          <w:rFonts w:cs="Arial"/>
          <w:bCs/>
          <w:i/>
          <w:iCs/>
        </w:rPr>
        <w:t xml:space="preserve"> </w:t>
      </w:r>
      <w:r w:rsidRPr="00E027F6">
        <w:rPr>
          <w:rFonts w:cs="Arial"/>
          <w:bCs/>
          <w:iCs/>
        </w:rPr>
        <w:t>(1982),</w:t>
      </w:r>
      <w:r w:rsidRPr="00E027F6">
        <w:rPr>
          <w:rFonts w:cs="Arial"/>
          <w:lang w:val="en"/>
        </w:rPr>
        <w:t xml:space="preserve"> para 1. At </w:t>
      </w:r>
      <w:hyperlink r:id="rId10" w:history="1">
        <w:r w:rsidRPr="00E027F6">
          <w:rPr>
            <w:rStyle w:val="Hyperlink"/>
            <w:rFonts w:cs="Arial"/>
            <w:lang w:val="en"/>
          </w:rPr>
          <w:t>http://www.unhchr.ch/tbs/doc.nsf/(Symbol)/f4253f9572cd4700c12563ed00483bec?Opendocument</w:t>
        </w:r>
      </w:hyperlink>
      <w:r>
        <w:rPr>
          <w:rFonts w:cs="Arial"/>
          <w:lang w:val="en"/>
        </w:rPr>
        <w:t xml:space="preserve"> (viewed 24 June</w:t>
      </w:r>
      <w:r w:rsidRPr="00E027F6">
        <w:rPr>
          <w:rFonts w:cs="Arial"/>
          <w:lang w:val="en"/>
        </w:rPr>
        <w:t xml:space="preserve"> 2013).</w:t>
      </w:r>
      <w:r w:rsidRPr="00E027F6">
        <w:rPr>
          <w:rFonts w:cs="Arial"/>
        </w:rPr>
        <w:t xml:space="preserve"> See also Human Rights Committee, </w:t>
      </w:r>
      <w:r w:rsidRPr="00E027F6">
        <w:rPr>
          <w:rFonts w:cs="Arial"/>
          <w:i/>
        </w:rPr>
        <w:t>A v Australia</w:t>
      </w:r>
      <w:r w:rsidRPr="00E027F6">
        <w:rPr>
          <w:rFonts w:cs="Arial"/>
        </w:rPr>
        <w:t xml:space="preserve">, Communication No. 560/1993, UN Doc </w:t>
      </w:r>
      <w:r w:rsidRPr="00E027F6">
        <w:rPr>
          <w:rFonts w:cs="Arial"/>
          <w:color w:val="000000"/>
        </w:rPr>
        <w:t xml:space="preserve">CCPR/C/59/D/560/1993 (1997), at </w:t>
      </w:r>
      <w:hyperlink r:id="rId11" w:history="1">
        <w:r w:rsidRPr="00E027F6">
          <w:rPr>
            <w:rStyle w:val="Hyperlink"/>
            <w:rFonts w:cs="Arial"/>
          </w:rPr>
          <w:t>http://www.unhcr.org/refworld/docid/3ae6b71a0.html</w:t>
        </w:r>
      </w:hyperlink>
      <w:r>
        <w:rPr>
          <w:rFonts w:cs="Arial"/>
          <w:color w:val="000000"/>
        </w:rPr>
        <w:t xml:space="preserve"> (viewed 24 June</w:t>
      </w:r>
      <w:r w:rsidRPr="00E027F6">
        <w:rPr>
          <w:rFonts w:cs="Arial"/>
          <w:color w:val="000000"/>
        </w:rPr>
        <w:t xml:space="preserve"> 2013); Human </w:t>
      </w:r>
      <w:r w:rsidRPr="00E027F6">
        <w:rPr>
          <w:rFonts w:cs="Arial"/>
        </w:rPr>
        <w:t xml:space="preserve">Rights Committee, </w:t>
      </w:r>
      <w:r w:rsidRPr="00E027F6">
        <w:rPr>
          <w:rFonts w:cs="Arial"/>
          <w:i/>
        </w:rPr>
        <w:t>C v Australia</w:t>
      </w:r>
      <w:r w:rsidRPr="00E027F6">
        <w:rPr>
          <w:rFonts w:cs="Arial"/>
        </w:rPr>
        <w:t xml:space="preserve">, Communication No. 900/1999, UN Doc CCPR/C/76/D/900/1999 (2002), at </w:t>
      </w:r>
      <w:hyperlink r:id="rId12" w:history="1">
        <w:r w:rsidRPr="00E027F6">
          <w:rPr>
            <w:rStyle w:val="Hyperlink"/>
            <w:rFonts w:cs="Arial"/>
          </w:rPr>
          <w:t>http://www.unhcr.org/refworld/docid/3f588ef00.html</w:t>
        </w:r>
      </w:hyperlink>
      <w:r>
        <w:rPr>
          <w:rFonts w:cs="Arial"/>
        </w:rPr>
        <w:t xml:space="preserve"> (viewed 24 June</w:t>
      </w:r>
      <w:r w:rsidRPr="00E027F6">
        <w:rPr>
          <w:rFonts w:cs="Arial"/>
        </w:rPr>
        <w:t xml:space="preserve"> 2013); Human Rights Committee, </w:t>
      </w:r>
      <w:r w:rsidRPr="00E027F6">
        <w:rPr>
          <w:rFonts w:cs="Arial"/>
          <w:i/>
        </w:rPr>
        <w:t>Baban v Australia</w:t>
      </w:r>
      <w:r w:rsidRPr="00E027F6">
        <w:rPr>
          <w:rFonts w:cs="Arial"/>
        </w:rPr>
        <w:t xml:space="preserve">, Communication No. 1014/2001, UN Doc CCPR/C/78/D/1014/2001 (2003). At </w:t>
      </w:r>
      <w:hyperlink r:id="rId13" w:history="1">
        <w:r w:rsidRPr="00E027F6">
          <w:rPr>
            <w:rStyle w:val="Hyperlink"/>
            <w:rFonts w:cs="Arial"/>
          </w:rPr>
          <w:t>http://www.unhcr.org/refworld/docid/404887ee3.html</w:t>
        </w:r>
      </w:hyperlink>
      <w:r>
        <w:rPr>
          <w:rFonts w:cs="Arial"/>
        </w:rPr>
        <w:t xml:space="preserve"> (viewed 24 June</w:t>
      </w:r>
      <w:r w:rsidRPr="00E027F6">
        <w:rPr>
          <w:rFonts w:cs="Arial"/>
        </w:rPr>
        <w:t xml:space="preserve"> 2013).</w:t>
      </w:r>
    </w:p>
  </w:endnote>
  <w:endnote w:id="64">
    <w:p w:rsidR="00FA4975" w:rsidRPr="00E027F6" w:rsidRDefault="00FA4975" w:rsidP="00B9570D">
      <w:pPr>
        <w:spacing w:before="0" w:after="60"/>
        <w:ind w:left="284" w:hanging="284"/>
        <w:rPr>
          <w:rFonts w:cs="Arial"/>
          <w:sz w:val="20"/>
          <w:szCs w:val="20"/>
          <w:lang w:val="en"/>
        </w:rPr>
      </w:pPr>
      <w:r w:rsidRPr="00E027F6">
        <w:rPr>
          <w:rStyle w:val="EndnoteReference"/>
          <w:rFonts w:cs="Arial"/>
          <w:szCs w:val="20"/>
        </w:rPr>
        <w:endnoteRef/>
      </w:r>
      <w:r w:rsidRPr="00E027F6">
        <w:rPr>
          <w:rFonts w:cs="Arial"/>
          <w:sz w:val="20"/>
          <w:szCs w:val="20"/>
        </w:rPr>
        <w:t xml:space="preserve"> </w:t>
      </w:r>
      <w:r>
        <w:rPr>
          <w:rFonts w:cs="Arial"/>
          <w:sz w:val="20"/>
          <w:szCs w:val="20"/>
        </w:rPr>
        <w:tab/>
      </w:r>
      <w:r w:rsidRPr="00E027F6">
        <w:rPr>
          <w:rFonts w:cs="Arial"/>
          <w:sz w:val="20"/>
          <w:szCs w:val="20"/>
          <w:lang w:val="en"/>
        </w:rPr>
        <w:t>Human Rights Committee,</w:t>
      </w:r>
      <w:r w:rsidRPr="00E027F6">
        <w:rPr>
          <w:rFonts w:cs="Arial"/>
          <w:i/>
          <w:iCs/>
          <w:sz w:val="20"/>
          <w:szCs w:val="20"/>
          <w:lang w:val="en"/>
        </w:rPr>
        <w:t xml:space="preserve"> Van Alphen v Netherlands, </w:t>
      </w:r>
      <w:r w:rsidRPr="00E027F6">
        <w:rPr>
          <w:rFonts w:cs="Arial"/>
          <w:iCs/>
          <w:sz w:val="20"/>
          <w:szCs w:val="20"/>
          <w:lang w:val="en"/>
        </w:rPr>
        <w:t>Communication No.</w:t>
      </w:r>
      <w:r w:rsidRPr="00E027F6">
        <w:rPr>
          <w:rFonts w:cs="Arial"/>
          <w:sz w:val="20"/>
          <w:szCs w:val="20"/>
          <w:lang w:val="en"/>
        </w:rPr>
        <w:t xml:space="preserve"> 305/1988, UN Doc A/45/40 Vol. II (1990), Annex IX sect. M (1990),</w:t>
      </w:r>
      <w:r w:rsidRPr="00E027F6">
        <w:rPr>
          <w:rFonts w:cs="Arial"/>
          <w:sz w:val="20"/>
          <w:szCs w:val="20"/>
        </w:rPr>
        <w:t xml:space="preserve"> </w:t>
      </w:r>
      <w:r w:rsidRPr="00E027F6">
        <w:rPr>
          <w:rFonts w:cs="Arial"/>
          <w:sz w:val="20"/>
          <w:szCs w:val="20"/>
          <w:lang w:val="en"/>
        </w:rPr>
        <w:t xml:space="preserve">para 5.8. At </w:t>
      </w:r>
      <w:hyperlink r:id="rId14" w:history="1">
        <w:r w:rsidRPr="00E027F6">
          <w:rPr>
            <w:rStyle w:val="Hyperlink"/>
            <w:rFonts w:cs="Arial"/>
            <w:sz w:val="20"/>
            <w:szCs w:val="20"/>
            <w:lang w:val="en"/>
          </w:rPr>
          <w:t>http://www.bayefsky.com/docs.php/area/jurisprudence/node/4/filename/117_netherlands305vws</w:t>
        </w:r>
      </w:hyperlink>
      <w:r>
        <w:rPr>
          <w:rFonts w:cs="Arial"/>
          <w:sz w:val="20"/>
          <w:szCs w:val="20"/>
          <w:lang w:val="en"/>
        </w:rPr>
        <w:t xml:space="preserve"> (viewed 24 June</w:t>
      </w:r>
      <w:r w:rsidRPr="00E027F6">
        <w:rPr>
          <w:rFonts w:cs="Arial"/>
          <w:sz w:val="20"/>
          <w:szCs w:val="20"/>
          <w:lang w:val="en"/>
        </w:rPr>
        <w:t xml:space="preserve"> 2013).</w:t>
      </w:r>
    </w:p>
  </w:endnote>
  <w:endnote w:id="6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iCs/>
          <w:lang w:val="en"/>
        </w:rPr>
        <w:t>Minister for Immigration and Multicultural and Indigenous Affairs v Al Masri</w:t>
      </w:r>
      <w:r w:rsidRPr="00E027F6">
        <w:rPr>
          <w:rFonts w:cs="Arial"/>
          <w:lang w:val="en"/>
        </w:rPr>
        <w:t xml:space="preserve"> (2003) 126 FCR 54, 92 [152]. See also </w:t>
      </w:r>
      <w:r w:rsidRPr="00E027F6">
        <w:rPr>
          <w:rFonts w:cs="Arial"/>
        </w:rPr>
        <w:t xml:space="preserve">Human Rights Committee, </w:t>
      </w:r>
      <w:r w:rsidRPr="00E027F6">
        <w:rPr>
          <w:rFonts w:cs="Arial"/>
          <w:i/>
        </w:rPr>
        <w:t>A v Australia</w:t>
      </w:r>
      <w:r w:rsidRPr="00E027F6">
        <w:rPr>
          <w:rFonts w:cs="Arial"/>
        </w:rPr>
        <w:t>, n</w:t>
      </w:r>
      <w:r>
        <w:rPr>
          <w:rFonts w:cs="Arial"/>
        </w:rPr>
        <w:t>ote</w:t>
      </w:r>
      <w:r w:rsidR="00DF37DA">
        <w:rPr>
          <w:rFonts w:cs="Arial"/>
        </w:rPr>
        <w:t xml:space="preserve"> 63</w:t>
      </w:r>
      <w:r w:rsidRPr="00E027F6">
        <w:rPr>
          <w:rFonts w:cs="Arial"/>
          <w:color w:val="000000"/>
        </w:rPr>
        <w:t xml:space="preserve">, para 9.2; </w:t>
      </w:r>
      <w:r w:rsidRPr="00E027F6">
        <w:rPr>
          <w:rFonts w:cs="Arial"/>
          <w:lang w:val="en"/>
        </w:rPr>
        <w:t xml:space="preserve">M Nowak, </w:t>
      </w:r>
      <w:r w:rsidRPr="00E027F6">
        <w:rPr>
          <w:rStyle w:val="Emphasis"/>
          <w:rFonts w:cs="Arial"/>
          <w:lang w:val="en"/>
        </w:rPr>
        <w:t>UN Covenant on Civil and Political Rights - CCPR Commentary</w:t>
      </w:r>
      <w:r w:rsidRPr="00E027F6">
        <w:rPr>
          <w:rFonts w:cs="Arial"/>
          <w:lang w:val="en"/>
        </w:rPr>
        <w:t xml:space="preserve"> (1993) p 172.</w:t>
      </w:r>
    </w:p>
  </w:endnote>
  <w:endnote w:id="6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Human Rights Committee, </w:t>
      </w:r>
      <w:r w:rsidRPr="00E027F6">
        <w:rPr>
          <w:rFonts w:cs="Arial"/>
          <w:i/>
        </w:rPr>
        <w:t>C v Australia</w:t>
      </w:r>
      <w:r w:rsidRPr="00E027F6">
        <w:rPr>
          <w:rFonts w:cs="Arial"/>
        </w:rPr>
        <w:t>, n</w:t>
      </w:r>
      <w:r>
        <w:rPr>
          <w:rFonts w:cs="Arial"/>
        </w:rPr>
        <w:t>ote</w:t>
      </w:r>
      <w:r w:rsidR="00C41B6F">
        <w:rPr>
          <w:rFonts w:cs="Arial"/>
        </w:rPr>
        <w:t xml:space="preserve"> 63</w:t>
      </w:r>
      <w:r w:rsidRPr="00E027F6">
        <w:rPr>
          <w:rFonts w:cs="Arial"/>
        </w:rPr>
        <w:t>, para 8.2.</w:t>
      </w:r>
    </w:p>
  </w:endnote>
  <w:endnote w:id="67">
    <w:p w:rsidR="00FA4975" w:rsidRPr="00E027F6" w:rsidRDefault="00FA4975" w:rsidP="00B9570D">
      <w:pPr>
        <w:pStyle w:val="EndnoteText"/>
        <w:spacing w:after="60"/>
        <w:ind w:left="284" w:hanging="284"/>
        <w:rPr>
          <w:rFonts w:cs="Arial"/>
          <w:lang w:val="en"/>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for example, </w:t>
      </w:r>
      <w:r w:rsidRPr="00E027F6">
        <w:rPr>
          <w:rFonts w:cs="Arial"/>
          <w:lang w:val="en"/>
        </w:rPr>
        <w:t xml:space="preserve">Human Rights and Equal Opportunity Commission, </w:t>
      </w:r>
      <w:r w:rsidRPr="00E027F6">
        <w:rPr>
          <w:rFonts w:cs="Arial"/>
          <w:i/>
          <w:iCs/>
          <w:lang w:val="en"/>
        </w:rPr>
        <w:t>Those who’ve come across the seas: Detention of unauthorised arrivals</w:t>
      </w:r>
      <w:r w:rsidRPr="00E027F6">
        <w:rPr>
          <w:rFonts w:cs="Arial"/>
          <w:lang w:val="en"/>
        </w:rPr>
        <w:t xml:space="preserve"> (1998), at </w:t>
      </w:r>
      <w:hyperlink r:id="rId15" w:history="1">
        <w:r w:rsidRPr="00E027F6">
          <w:rPr>
            <w:rStyle w:val="Hyperlink"/>
            <w:rFonts w:cs="Arial"/>
            <w:lang w:val="en"/>
          </w:rPr>
          <w:t>http://humanrights.gov.au/human_rights/immigration/seas.html</w:t>
        </w:r>
      </w:hyperlink>
      <w:r>
        <w:rPr>
          <w:rFonts w:cs="Arial"/>
          <w:lang w:val="en"/>
        </w:rPr>
        <w:t xml:space="preserve"> (viewed 24 June</w:t>
      </w:r>
      <w:r w:rsidRPr="00E027F6">
        <w:rPr>
          <w:rFonts w:cs="Arial"/>
          <w:lang w:val="en"/>
        </w:rPr>
        <w:t xml:space="preserve"> 2013);</w:t>
      </w:r>
      <w:r w:rsidRPr="00E027F6">
        <w:rPr>
          <w:rFonts w:cs="Arial"/>
        </w:rPr>
        <w:t xml:space="preserve"> </w:t>
      </w:r>
      <w:r w:rsidRPr="00E027F6">
        <w:rPr>
          <w:rFonts w:cs="Arial"/>
          <w:lang w:val="en"/>
        </w:rPr>
        <w:t xml:space="preserve">Human Rights and Equal Opportunity Commission, </w:t>
      </w:r>
      <w:r w:rsidRPr="00E027F6">
        <w:rPr>
          <w:rFonts w:cs="Arial"/>
          <w:i/>
          <w:iCs/>
          <w:lang w:val="en"/>
        </w:rPr>
        <w:t xml:space="preserve">A last resort? National Inquiry into Children in Immigration Detention </w:t>
      </w:r>
      <w:r w:rsidRPr="00E027F6">
        <w:rPr>
          <w:rFonts w:cs="Arial"/>
          <w:lang w:val="en"/>
        </w:rPr>
        <w:t xml:space="preserve">(2004), at </w:t>
      </w:r>
      <w:hyperlink r:id="rId16" w:history="1">
        <w:r w:rsidRPr="00E027F6">
          <w:rPr>
            <w:rStyle w:val="Hyperlink"/>
            <w:rFonts w:cs="Arial"/>
            <w:lang w:val="en"/>
          </w:rPr>
          <w:t>http://humanrights.gov.au/human_rights/children_detention_report/index.html</w:t>
        </w:r>
      </w:hyperlink>
      <w:r>
        <w:rPr>
          <w:rFonts w:cs="Arial"/>
          <w:lang w:val="en"/>
        </w:rPr>
        <w:t xml:space="preserve"> (viewed 24 June</w:t>
      </w:r>
      <w:r w:rsidRPr="00E027F6">
        <w:rPr>
          <w:rFonts w:cs="Arial"/>
          <w:lang w:val="en"/>
        </w:rPr>
        <w:t xml:space="preserve"> 2013). For more recent submissions and reports by the Commission which recommend an end to mandatory detention, see the Commission’s ‘Immigration detention, asylum seekers and refugees’ page at </w:t>
      </w:r>
      <w:hyperlink r:id="rId17" w:history="1">
        <w:r w:rsidRPr="00E027F6">
          <w:rPr>
            <w:rStyle w:val="Hyperlink"/>
            <w:rFonts w:cs="Arial"/>
            <w:lang w:val="en"/>
          </w:rPr>
          <w:t>http://www.humanrights.gov.au/immigration-detention-asylum-seekers-and-refugees</w:t>
        </w:r>
      </w:hyperlink>
      <w:r w:rsidRPr="00E027F6">
        <w:rPr>
          <w:rFonts w:cs="Arial"/>
          <w:lang w:val="en"/>
        </w:rPr>
        <w:t xml:space="preserve">. </w:t>
      </w:r>
    </w:p>
  </w:endnote>
  <w:endnote w:id="6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980F58">
        <w:rPr>
          <w:rFonts w:cs="Arial"/>
          <w:iCs/>
        </w:rPr>
        <w:t>Refugee Convention</w:t>
      </w:r>
      <w:r w:rsidRPr="00E027F6">
        <w:rPr>
          <w:rFonts w:cs="Arial"/>
          <w:iCs/>
        </w:rPr>
        <w:t xml:space="preserve">, note </w:t>
      </w:r>
      <w:r w:rsidRPr="00E027F6">
        <w:rPr>
          <w:rFonts w:cs="Arial"/>
          <w:iCs/>
        </w:rPr>
        <w:fldChar w:fldCharType="begin"/>
      </w:r>
      <w:r w:rsidRPr="00E027F6">
        <w:rPr>
          <w:rFonts w:cs="Arial"/>
          <w:iCs/>
        </w:rPr>
        <w:instrText xml:space="preserve"> NOTEREF _Ref356919761 \h  \* MERGEFORMAT </w:instrText>
      </w:r>
      <w:r w:rsidRPr="00E027F6">
        <w:rPr>
          <w:rFonts w:cs="Arial"/>
          <w:iCs/>
        </w:rPr>
      </w:r>
      <w:r w:rsidRPr="00E027F6">
        <w:rPr>
          <w:rFonts w:cs="Arial"/>
          <w:iCs/>
        </w:rPr>
        <w:fldChar w:fldCharType="separate"/>
      </w:r>
      <w:r w:rsidRPr="00E027F6">
        <w:rPr>
          <w:rFonts w:cs="Arial"/>
          <w:iCs/>
        </w:rPr>
        <w:t>32</w:t>
      </w:r>
      <w:r w:rsidRPr="00E027F6">
        <w:rPr>
          <w:rFonts w:cs="Arial"/>
          <w:iCs/>
        </w:rPr>
        <w:fldChar w:fldCharType="end"/>
      </w:r>
      <w:r w:rsidRPr="00E027F6">
        <w:rPr>
          <w:rFonts w:cs="Arial"/>
          <w:iCs/>
        </w:rPr>
        <w:t>, art 33(1).</w:t>
      </w:r>
    </w:p>
  </w:endnote>
  <w:endnote w:id="6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980F58">
        <w:rPr>
          <w:rFonts w:cs="Arial"/>
          <w:iCs/>
        </w:rPr>
        <w:t>Refugee Convention</w:t>
      </w:r>
      <w:r w:rsidRPr="00E027F6">
        <w:rPr>
          <w:rFonts w:cs="Arial"/>
          <w:iCs/>
        </w:rPr>
        <w:t xml:space="preserve">, note </w:t>
      </w:r>
      <w:r w:rsidRPr="00E027F6">
        <w:rPr>
          <w:rFonts w:cs="Arial"/>
          <w:iCs/>
        </w:rPr>
        <w:fldChar w:fldCharType="begin"/>
      </w:r>
      <w:r w:rsidRPr="00E027F6">
        <w:rPr>
          <w:rFonts w:cs="Arial"/>
          <w:iCs/>
        </w:rPr>
        <w:instrText xml:space="preserve"> NOTEREF _Ref356919761 \h  \* MERGEFORMAT </w:instrText>
      </w:r>
      <w:r w:rsidRPr="00E027F6">
        <w:rPr>
          <w:rFonts w:cs="Arial"/>
          <w:iCs/>
        </w:rPr>
      </w:r>
      <w:r w:rsidRPr="00E027F6">
        <w:rPr>
          <w:rFonts w:cs="Arial"/>
          <w:iCs/>
        </w:rPr>
        <w:fldChar w:fldCharType="separate"/>
      </w:r>
      <w:r w:rsidRPr="00E027F6">
        <w:rPr>
          <w:rFonts w:cs="Arial"/>
          <w:iCs/>
        </w:rPr>
        <w:t>32</w:t>
      </w:r>
      <w:r w:rsidRPr="00E027F6">
        <w:rPr>
          <w:rFonts w:cs="Arial"/>
          <w:iCs/>
        </w:rPr>
        <w:fldChar w:fldCharType="end"/>
      </w:r>
      <w:r w:rsidRPr="00E027F6">
        <w:rPr>
          <w:rFonts w:cs="Arial"/>
          <w:iCs/>
        </w:rPr>
        <w:t>, art 33(2).</w:t>
      </w:r>
    </w:p>
  </w:endnote>
  <w:endnote w:id="7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501(6)(a).</w:t>
      </w:r>
    </w:p>
  </w:endnote>
  <w:endnote w:id="7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 501(6)(c).</w:t>
      </w:r>
    </w:p>
  </w:endnote>
  <w:endnote w:id="7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ICCPR, note </w:t>
      </w:r>
      <w:r w:rsidRPr="00E027F6">
        <w:rPr>
          <w:rFonts w:cs="Arial"/>
        </w:rPr>
        <w:fldChar w:fldCharType="begin"/>
      </w:r>
      <w:r w:rsidRPr="00E027F6">
        <w:rPr>
          <w:rFonts w:cs="Arial"/>
        </w:rPr>
        <w:instrText xml:space="preserve"> NOTEREF _Ref356920088 \h  \* MERGEFORMAT </w:instrText>
      </w:r>
      <w:r w:rsidRPr="00E027F6">
        <w:rPr>
          <w:rFonts w:cs="Arial"/>
        </w:rPr>
      </w:r>
      <w:r w:rsidRPr="00E027F6">
        <w:rPr>
          <w:rFonts w:cs="Arial"/>
        </w:rPr>
        <w:fldChar w:fldCharType="separate"/>
      </w:r>
      <w:r w:rsidRPr="00E027F6">
        <w:rPr>
          <w:rFonts w:cs="Arial"/>
        </w:rPr>
        <w:t>34</w:t>
      </w:r>
      <w:r w:rsidRPr="00E027F6">
        <w:rPr>
          <w:rFonts w:cs="Arial"/>
        </w:rPr>
        <w:fldChar w:fldCharType="end"/>
      </w:r>
      <w:r w:rsidRPr="00E027F6">
        <w:rPr>
          <w:rFonts w:cs="Arial"/>
        </w:rPr>
        <w:t xml:space="preserve">, arts 6(1), 7; </w:t>
      </w:r>
      <w:r w:rsidRPr="00E027F6">
        <w:rPr>
          <w:rFonts w:cs="Arial"/>
          <w:i/>
        </w:rPr>
        <w:t>Second Optional Protocol to the International Covenant on Civil and Political Rights aiming at the abolition of the death penalty</w:t>
      </w:r>
      <w:r w:rsidRPr="00E027F6">
        <w:rPr>
          <w:rFonts w:cs="Arial"/>
        </w:rPr>
        <w:t xml:space="preserve"> (1989), at </w:t>
      </w:r>
      <w:hyperlink r:id="rId18" w:history="1">
        <w:r w:rsidRPr="00EC306F">
          <w:rPr>
            <w:rStyle w:val="Hyperlink"/>
            <w:rFonts w:cs="Arial"/>
          </w:rPr>
          <w:t>http://www.austlii.edu.au/au/other/dfat/treaties/ATS/1991/19.html</w:t>
        </w:r>
      </w:hyperlink>
      <w:r>
        <w:rPr>
          <w:rFonts w:cs="Arial"/>
        </w:rPr>
        <w:t xml:space="preserve"> (viewed 24 June</w:t>
      </w:r>
      <w:r w:rsidRPr="00E027F6">
        <w:rPr>
          <w:rFonts w:cs="Arial"/>
        </w:rPr>
        <w:t xml:space="preserve"> 2013).</w:t>
      </w:r>
    </w:p>
  </w:endnote>
  <w:endnote w:id="7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CAT, note </w:t>
      </w:r>
      <w:r w:rsidRPr="00E027F6">
        <w:rPr>
          <w:rFonts w:cs="Arial"/>
        </w:rPr>
        <w:fldChar w:fldCharType="begin"/>
      </w:r>
      <w:r w:rsidRPr="00E027F6">
        <w:rPr>
          <w:rFonts w:cs="Arial"/>
        </w:rPr>
        <w:instrText xml:space="preserve"> NOTEREF _Ref356920105 \h  \* MERGEFORMAT </w:instrText>
      </w:r>
      <w:r w:rsidRPr="00E027F6">
        <w:rPr>
          <w:rFonts w:cs="Arial"/>
        </w:rPr>
      </w:r>
      <w:r w:rsidRPr="00E027F6">
        <w:rPr>
          <w:rFonts w:cs="Arial"/>
        </w:rPr>
        <w:fldChar w:fldCharType="separate"/>
      </w:r>
      <w:r w:rsidRPr="00E027F6">
        <w:rPr>
          <w:rFonts w:cs="Arial"/>
        </w:rPr>
        <w:t>33</w:t>
      </w:r>
      <w:r w:rsidRPr="00E027F6">
        <w:rPr>
          <w:rFonts w:cs="Arial"/>
        </w:rPr>
        <w:fldChar w:fldCharType="end"/>
      </w:r>
      <w:r w:rsidRPr="00E027F6">
        <w:rPr>
          <w:rFonts w:cs="Arial"/>
        </w:rPr>
        <w:t>, art 3(1).</w:t>
      </w:r>
    </w:p>
  </w:endnote>
  <w:endnote w:id="74">
    <w:p w:rsidR="00FA4975" w:rsidRPr="00E027F6" w:rsidRDefault="00FA4975" w:rsidP="009D0B2B">
      <w:pPr>
        <w:pStyle w:val="EndnoteText"/>
        <w:spacing w:after="60"/>
        <w:ind w:left="284" w:hanging="284"/>
        <w:rPr>
          <w:rFonts w:cs="Arial"/>
          <w:color w:val="000000"/>
        </w:rPr>
      </w:pPr>
      <w:r w:rsidRPr="00E027F6">
        <w:rPr>
          <w:rStyle w:val="EndnoteReference"/>
          <w:rFonts w:cs="Arial"/>
        </w:rPr>
        <w:endnoteRef/>
      </w:r>
      <w:r w:rsidRPr="00E027F6">
        <w:rPr>
          <w:rFonts w:cs="Arial"/>
        </w:rPr>
        <w:t xml:space="preserve"> </w:t>
      </w:r>
      <w:r>
        <w:rPr>
          <w:rFonts w:cs="Arial"/>
        </w:rPr>
        <w:tab/>
        <w:t>O</w:t>
      </w:r>
      <w:r w:rsidRPr="00E027F6">
        <w:rPr>
          <w:rFonts w:cs="Arial"/>
        </w:rPr>
        <w:t xml:space="preserve">pened for signature </w:t>
      </w:r>
      <w:r w:rsidRPr="00E027F6">
        <w:rPr>
          <w:rFonts w:cs="Arial"/>
          <w:color w:val="000000"/>
        </w:rPr>
        <w:t xml:space="preserve">20 November 1989, 1577 </w:t>
      </w:r>
      <w:r w:rsidRPr="00E027F6">
        <w:rPr>
          <w:rFonts w:cs="Arial"/>
          <w:bCs/>
          <w:color w:val="000000"/>
        </w:rPr>
        <w:t>UNTS</w:t>
      </w:r>
      <w:r w:rsidRPr="00E027F6">
        <w:rPr>
          <w:rFonts w:cs="Arial"/>
          <w:color w:val="000000"/>
        </w:rPr>
        <w:t xml:space="preserve"> 3 (entered int</w:t>
      </w:r>
      <w:r>
        <w:rPr>
          <w:rFonts w:cs="Arial"/>
          <w:color w:val="000000"/>
        </w:rPr>
        <w:t xml:space="preserve">o force 2 September 1990) (CRC), </w:t>
      </w:r>
      <w:r w:rsidRPr="00E027F6">
        <w:rPr>
          <w:rFonts w:cs="Arial"/>
        </w:rPr>
        <w:t>arts 6(1), 37</w:t>
      </w:r>
      <w:r>
        <w:rPr>
          <w:rFonts w:cs="Arial"/>
        </w:rPr>
        <w:t>.</w:t>
      </w:r>
      <w:r w:rsidRPr="00E027F6">
        <w:rPr>
          <w:rFonts w:cs="Arial"/>
          <w:color w:val="000000"/>
        </w:rPr>
        <w:t xml:space="preserve"> At </w:t>
      </w:r>
      <w:hyperlink r:id="rId19" w:history="1">
        <w:r w:rsidRPr="00E027F6">
          <w:rPr>
            <w:rStyle w:val="Hyperlink"/>
            <w:rFonts w:cs="Arial"/>
          </w:rPr>
          <w:t>http://www.austlii.edu.au/au/other/dfat/treaties/1991/4.html</w:t>
        </w:r>
      </w:hyperlink>
      <w:r>
        <w:rPr>
          <w:rFonts w:cs="Arial"/>
          <w:color w:val="000000"/>
        </w:rPr>
        <w:t xml:space="preserve"> (viewed 24 June</w:t>
      </w:r>
      <w:r w:rsidRPr="00E027F6">
        <w:rPr>
          <w:rFonts w:cs="Arial"/>
          <w:color w:val="000000"/>
        </w:rPr>
        <w:t xml:space="preserve"> 2013)</w:t>
      </w:r>
      <w:r w:rsidRPr="00E027F6">
        <w:rPr>
          <w:rFonts w:cs="Arial"/>
        </w:rPr>
        <w:t>.</w:t>
      </w:r>
    </w:p>
  </w:endnote>
  <w:endnote w:id="7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Regulations 1994</w:t>
      </w:r>
      <w:r w:rsidRPr="00E027F6">
        <w:rPr>
          <w:rFonts w:cs="Arial"/>
        </w:rPr>
        <w:t xml:space="preserve"> (Cth), Schedule 2, clause 866.225, and Schedule 4, reg 1.03, Part 1.</w:t>
      </w:r>
    </w:p>
  </w:endnote>
  <w:endnote w:id="7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9.4 and Part B, para 11.3.</w:t>
      </w:r>
    </w:p>
  </w:endnote>
  <w:endnote w:id="7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Migration Act 1958</w:t>
      </w:r>
      <w:r w:rsidRPr="00E027F6">
        <w:rPr>
          <w:rFonts w:cs="Arial"/>
        </w:rPr>
        <w:t xml:space="preserve"> (Cth), sub-ss 36(2)(aa) and (2A) and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9.4(3) and Part B, para 11.3(3). Note that s 36(2B) of the Act sets out circumstances in which there will be taken not to be a</w:t>
      </w:r>
      <w:r>
        <w:rPr>
          <w:rFonts w:cs="Arial"/>
        </w:rPr>
        <w:t xml:space="preserve"> real risk of significant harm.</w:t>
      </w:r>
    </w:p>
  </w:endnote>
  <w:endnote w:id="7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9.4(2) and Part B, para 11.3(2).</w:t>
      </w:r>
    </w:p>
  </w:endnote>
  <w:endnote w:id="7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Department of Immigration and Citizenship, </w:t>
      </w:r>
      <w:r w:rsidRPr="00E027F6">
        <w:rPr>
          <w:rFonts w:cs="Arial"/>
          <w:i/>
        </w:rPr>
        <w:t>Submission to the Senate Legal and Constitutional Affairs Committee Inquiry into the Migration Amendment (Strengthening the Character Test and other Provisions) Bill 2011)</w:t>
      </w:r>
      <w:r w:rsidRPr="00E027F6">
        <w:rPr>
          <w:rFonts w:cs="Arial"/>
        </w:rPr>
        <w:t xml:space="preserve"> (May 2011), p 8. At </w:t>
      </w:r>
      <w:hyperlink r:id="rId20" w:history="1">
        <w:r w:rsidRPr="00EC306F">
          <w:rPr>
            <w:rStyle w:val="Hyperlink"/>
            <w:rFonts w:cs="Arial"/>
          </w:rPr>
          <w:t>https://senate.aph.gov.au/submissions/comittees/viewdocument.aspx?id=9b894535-53fa-42c7-a9b0-1e909ea76160</w:t>
        </w:r>
      </w:hyperlink>
      <w:r>
        <w:rPr>
          <w:rFonts w:cs="Arial"/>
        </w:rPr>
        <w:t xml:space="preserve">  (viewed 24 June</w:t>
      </w:r>
      <w:r w:rsidRPr="00E027F6">
        <w:rPr>
          <w:rFonts w:cs="Arial"/>
        </w:rPr>
        <w:t xml:space="preserve"> 2013).</w:t>
      </w:r>
    </w:p>
  </w:endnote>
  <w:endnote w:id="8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Department of Immigration and Citizenship, above, p 8.</w:t>
      </w:r>
    </w:p>
  </w:endnote>
  <w:endnote w:id="8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195A(4).</w:t>
      </w:r>
    </w:p>
  </w:endnote>
  <w:endnote w:id="8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Migration Regulations 1994</w:t>
      </w:r>
      <w:r w:rsidRPr="00E027F6">
        <w:rPr>
          <w:rFonts w:cs="Arial"/>
        </w:rPr>
        <w:t xml:space="preserve"> (Cth), Schedule 2, clause 070.511.</w:t>
      </w:r>
    </w:p>
  </w:endnote>
  <w:endnote w:id="83">
    <w:p w:rsidR="00FA4975" w:rsidRPr="00E027F6" w:rsidRDefault="00FA4975" w:rsidP="00B566DE">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Article 3(1) of the CRC states that ‘[i]n all actions concerning children, whether undertaken by public or private social welfare institutions, courts of law, administrative authorities or legislative bodies, the best interests of the child shall be a primary consideration’.</w:t>
      </w:r>
    </w:p>
  </w:endnote>
  <w:endnote w:id="84">
    <w:p w:rsidR="00FA4975" w:rsidRPr="00E027F6" w:rsidRDefault="00FA4975" w:rsidP="00DC4D77">
      <w:pPr>
        <w:pStyle w:val="EndnoteText"/>
        <w:spacing w:after="60"/>
        <w:ind w:left="284" w:hanging="284"/>
        <w:rPr>
          <w:rFonts w:cs="Arial"/>
        </w:rPr>
      </w:pPr>
      <w:r w:rsidRPr="00E027F6">
        <w:rPr>
          <w:rStyle w:val="EndnoteReference"/>
          <w:rFonts w:cs="Arial"/>
        </w:rPr>
        <w:endnoteRef/>
      </w:r>
      <w:r w:rsidRPr="00E027F6">
        <w:rPr>
          <w:rStyle w:val="EndnoteReference"/>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Pr>
          <w:rFonts w:cs="Arial"/>
        </w:rPr>
        <w:t xml:space="preserve">, </w:t>
      </w:r>
      <w:r w:rsidRPr="00E027F6">
        <w:rPr>
          <w:rFonts w:cs="Arial"/>
        </w:rPr>
        <w:t xml:space="preserve">Part A, para 9(1)(c), Part B, para 11(1)(b). Note that this only applies to </w:t>
      </w:r>
      <w:r w:rsidRPr="00E027F6">
        <w:rPr>
          <w:rFonts w:cs="Arial"/>
          <w:lang w:val="en"/>
        </w:rPr>
        <w:t>a child who is under 18 years of age at the time of the decision to refuse or cancel a person’s visa. The best interests of a child who is 18 years or older is not a primary consideration, but is one of the ‘other considerations’ to be taken into account.</w:t>
      </w:r>
    </w:p>
  </w:endnote>
  <w:endnote w:id="85">
    <w:p w:rsidR="00FA4975" w:rsidRPr="00E027F6" w:rsidRDefault="00FA4975" w:rsidP="00DC4D77">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9.3(1), Part B, para 11.2(1).</w:t>
      </w:r>
    </w:p>
  </w:endnote>
  <w:endnote w:id="8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ICCPR, note </w:t>
      </w:r>
      <w:r w:rsidRPr="00E027F6">
        <w:rPr>
          <w:rFonts w:cs="Arial"/>
        </w:rPr>
        <w:fldChar w:fldCharType="begin"/>
      </w:r>
      <w:r w:rsidRPr="00E027F6">
        <w:rPr>
          <w:rFonts w:cs="Arial"/>
        </w:rPr>
        <w:instrText xml:space="preserve"> NOTEREF _Ref356920088 \h  \* MERGEFORMAT </w:instrText>
      </w:r>
      <w:r w:rsidRPr="00E027F6">
        <w:rPr>
          <w:rFonts w:cs="Arial"/>
        </w:rPr>
      </w:r>
      <w:r w:rsidRPr="00E027F6">
        <w:rPr>
          <w:rFonts w:cs="Arial"/>
        </w:rPr>
        <w:fldChar w:fldCharType="separate"/>
      </w:r>
      <w:r w:rsidRPr="00E027F6">
        <w:rPr>
          <w:rFonts w:cs="Arial"/>
        </w:rPr>
        <w:t>34</w:t>
      </w:r>
      <w:r w:rsidRPr="00E027F6">
        <w:rPr>
          <w:rFonts w:cs="Arial"/>
        </w:rPr>
        <w:fldChar w:fldCharType="end"/>
      </w:r>
      <w:r w:rsidRPr="00E027F6">
        <w:rPr>
          <w:rFonts w:cs="Arial"/>
        </w:rPr>
        <w:t>, art 17(1).</w:t>
      </w:r>
    </w:p>
  </w:endnote>
  <w:endnote w:id="8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Human Rights Committee, </w:t>
      </w:r>
      <w:r w:rsidRPr="00E027F6">
        <w:rPr>
          <w:rFonts w:cs="Arial"/>
          <w:i/>
        </w:rPr>
        <w:t>Nystrom et. al v Australia</w:t>
      </w:r>
      <w:r w:rsidRPr="00E027F6">
        <w:rPr>
          <w:rFonts w:cs="Arial"/>
        </w:rPr>
        <w:t xml:space="preserve">, Communication No. 1557/2007, UN Doc CCPR/C/102/D/1557/2007 (2011), paras 7.7 to 7.11. At </w:t>
      </w:r>
      <w:hyperlink r:id="rId21" w:history="1">
        <w:r w:rsidRPr="00E027F6">
          <w:rPr>
            <w:rStyle w:val="Hyperlink"/>
            <w:rFonts w:cs="Arial"/>
          </w:rPr>
          <w:t>http://www.bayefsky.com/docs.php/area/jurisprudence/node/4/filename/australia_t5_ccpr_1557_2007</w:t>
        </w:r>
      </w:hyperlink>
      <w:r>
        <w:rPr>
          <w:rFonts w:cs="Arial"/>
        </w:rPr>
        <w:t xml:space="preserve"> (viewed 24 June</w:t>
      </w:r>
      <w:r w:rsidRPr="00E027F6">
        <w:rPr>
          <w:rFonts w:cs="Arial"/>
        </w:rPr>
        <w:t xml:space="preserve"> 2013). For a relevant international example, see also the judgment of the Grand Chamber of the European Court of Human Rights in </w:t>
      </w:r>
      <w:r w:rsidRPr="00E027F6">
        <w:rPr>
          <w:rFonts w:cs="Arial"/>
          <w:i/>
        </w:rPr>
        <w:t>Maslov v Austria</w:t>
      </w:r>
      <w:r w:rsidRPr="00E027F6">
        <w:rPr>
          <w:rFonts w:cs="Arial"/>
        </w:rPr>
        <w:t xml:space="preserve"> [2008] ECHR 1638/03 (23 June 2008). There, the Court held that the deportation of a youth who had spent the majority of his childhood in Austria constituted a violation of his right to respect for his private and family life.</w:t>
      </w:r>
    </w:p>
  </w:endnote>
  <w:endnote w:id="8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lang w:val="en"/>
        </w:rPr>
        <w:t xml:space="preserve"> </w:t>
      </w:r>
      <w:r>
        <w:rPr>
          <w:rFonts w:cs="Arial"/>
          <w:lang w:val="en"/>
        </w:rPr>
        <w:tab/>
      </w:r>
      <w:r w:rsidRPr="00E027F6">
        <w:rPr>
          <w:rFonts w:cs="Arial"/>
          <w:lang w:val="en"/>
        </w:rPr>
        <w:t>See section</w:t>
      </w:r>
      <w:r>
        <w:rPr>
          <w:rFonts w:cs="Arial"/>
          <w:lang w:val="en"/>
        </w:rPr>
        <w:t xml:space="preserve"> 4.2 of this paper</w:t>
      </w:r>
      <w:r w:rsidRPr="00E027F6">
        <w:rPr>
          <w:rFonts w:cs="Arial"/>
          <w:lang w:val="en"/>
        </w:rPr>
        <w:t>.</w:t>
      </w:r>
    </w:p>
  </w:endnote>
  <w:endnote w:id="89">
    <w:p w:rsidR="00FA4975" w:rsidRPr="00E027F6" w:rsidRDefault="00FA4975" w:rsidP="00B9570D">
      <w:pPr>
        <w:pStyle w:val="EndnoteText"/>
        <w:spacing w:after="60"/>
        <w:ind w:left="284" w:hanging="284"/>
        <w:rPr>
          <w:rFonts w:cs="Arial"/>
          <w:highlight w:val="cyan"/>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the explanation of </w:t>
      </w:r>
      <w:r w:rsidRPr="00E027F6">
        <w:rPr>
          <w:rFonts w:cs="Arial"/>
          <w:i/>
        </w:rPr>
        <w:t>Migration Regulations 1994</w:t>
      </w:r>
      <w:r w:rsidRPr="00E027F6">
        <w:rPr>
          <w:rFonts w:cs="Arial"/>
        </w:rPr>
        <w:t xml:space="preserve"> (Cth), Schedule 5, clause 5001(c) in n</w:t>
      </w:r>
      <w:r>
        <w:rPr>
          <w:rFonts w:cs="Arial"/>
        </w:rPr>
        <w:t>ote</w:t>
      </w:r>
      <w:r w:rsidRPr="00E027F6">
        <w:rPr>
          <w:rFonts w:cs="Arial"/>
        </w:rPr>
        <w:t xml:space="preserve"> </w:t>
      </w:r>
      <w:r w:rsidRPr="00A1346D">
        <w:rPr>
          <w:rFonts w:cs="Arial"/>
        </w:rPr>
        <w:t>46.</w:t>
      </w:r>
    </w:p>
  </w:endnote>
  <w:endnote w:id="9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Human Rights Committee, </w:t>
      </w:r>
      <w:r w:rsidRPr="00E027F6">
        <w:rPr>
          <w:rFonts w:cs="Arial"/>
          <w:i/>
        </w:rPr>
        <w:t>General Comment No.16:  The right to respect of privacy, family, home and correspondence, and protection of honour and reputation (Art. 17)</w:t>
      </w:r>
      <w:r w:rsidRPr="00E027F6">
        <w:rPr>
          <w:rFonts w:cs="Arial"/>
        </w:rPr>
        <w:t xml:space="preserve">, UN Doc CCPR/C/21/Rev.1, 19 (1988), para 4. At </w:t>
      </w:r>
      <w:hyperlink r:id="rId22" w:history="1">
        <w:r w:rsidRPr="00E027F6">
          <w:rPr>
            <w:rStyle w:val="Hyperlink"/>
            <w:rFonts w:cs="Arial"/>
          </w:rPr>
          <w:t>http://www.unhcr.org/cgi-bin/texis/vtx/refworld/rwmain?docid=453883f922</w:t>
        </w:r>
      </w:hyperlink>
      <w:r>
        <w:rPr>
          <w:rFonts w:cs="Arial"/>
        </w:rPr>
        <w:t xml:space="preserve"> (viewed 24 June</w:t>
      </w:r>
      <w:r w:rsidRPr="00E027F6">
        <w:rPr>
          <w:rFonts w:cs="Arial"/>
        </w:rPr>
        <w:t xml:space="preserve"> 2013).</w:t>
      </w:r>
    </w:p>
  </w:endnote>
  <w:endnote w:id="9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xml:space="preserve">, Part A, para 9.2(1)(b). </w:t>
      </w:r>
    </w:p>
  </w:endnote>
  <w:endnote w:id="9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sidRPr="00E027F6">
        <w:rPr>
          <w:rFonts w:cs="Arial"/>
        </w:rPr>
        <w:t>, Part A, para 10(1)(a), and Part B, para 12(1)(a).</w:t>
      </w:r>
    </w:p>
  </w:endnote>
  <w:endnote w:id="9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for example, the recent case of </w:t>
      </w:r>
      <w:r w:rsidRPr="00E027F6">
        <w:rPr>
          <w:rFonts w:cs="Arial"/>
          <w:i/>
        </w:rPr>
        <w:t>Durani v Minister for Immigration and Citizenship</w:t>
      </w:r>
      <w:r w:rsidRPr="00E027F6">
        <w:rPr>
          <w:rFonts w:cs="Arial"/>
        </w:rPr>
        <w:t xml:space="preserve"> [2013] AATA 273 (6 May 2013), in which a delegate of the Minister had made a decision to cancel the applicant’s visa under </w:t>
      </w:r>
      <w:r>
        <w:rPr>
          <w:rFonts w:cs="Arial"/>
        </w:rPr>
        <w:t>sub</w:t>
      </w:r>
      <w:r w:rsidRPr="00E027F6">
        <w:rPr>
          <w:rFonts w:cs="Arial"/>
        </w:rPr>
        <w:t>section 501(2), but upon review this decision was overturned because the Administrative Appeals Tribunal determined that cancellation was not in the best interests of the applicant’s four-year-old child.</w:t>
      </w:r>
    </w:p>
  </w:endnote>
  <w:endnote w:id="9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Ministerial Direction No. 55, note </w:t>
      </w:r>
      <w:r w:rsidRPr="00E027F6">
        <w:rPr>
          <w:rFonts w:cs="Arial"/>
        </w:rPr>
        <w:fldChar w:fldCharType="begin"/>
      </w:r>
      <w:r w:rsidRPr="00E027F6">
        <w:rPr>
          <w:rFonts w:cs="Arial"/>
        </w:rPr>
        <w:instrText xml:space="preserve"> NOTEREF _Ref356908615 \h  \* MERGEFORMAT </w:instrText>
      </w:r>
      <w:r w:rsidRPr="00E027F6">
        <w:rPr>
          <w:rFonts w:cs="Arial"/>
        </w:rPr>
      </w:r>
      <w:r w:rsidRPr="00E027F6">
        <w:rPr>
          <w:rFonts w:cs="Arial"/>
        </w:rPr>
        <w:fldChar w:fldCharType="separate"/>
      </w:r>
      <w:r w:rsidRPr="00E027F6">
        <w:rPr>
          <w:rFonts w:cs="Arial"/>
        </w:rPr>
        <w:t>3</w:t>
      </w:r>
      <w:r w:rsidRPr="00E027F6">
        <w:rPr>
          <w:rFonts w:cs="Arial"/>
        </w:rPr>
        <w:fldChar w:fldCharType="end"/>
      </w:r>
      <w:r>
        <w:rPr>
          <w:rFonts w:cs="Arial"/>
        </w:rPr>
        <w:t>, Section 2, para 8</w:t>
      </w:r>
      <w:r w:rsidRPr="00E027F6">
        <w:rPr>
          <w:rFonts w:cs="Arial"/>
        </w:rPr>
        <w:t xml:space="preserve"> for detail as to how decision-ma</w:t>
      </w:r>
      <w:r>
        <w:rPr>
          <w:rFonts w:cs="Arial"/>
        </w:rPr>
        <w:t>kers should weigh up the primar</w:t>
      </w:r>
      <w:r w:rsidRPr="00E027F6">
        <w:rPr>
          <w:rFonts w:cs="Arial"/>
        </w:rPr>
        <w:t>y and other considerations.</w:t>
      </w:r>
    </w:p>
  </w:endnote>
  <w:endnote w:id="9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500(1)(b).</w:t>
      </w:r>
    </w:p>
  </w:endnote>
  <w:endnote w:id="96">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Administrative Appeals Tribunal Act 1975</w:t>
      </w:r>
      <w:r w:rsidRPr="00E027F6">
        <w:rPr>
          <w:rFonts w:cs="Arial"/>
        </w:rPr>
        <w:t xml:space="preserve"> (Cth), s 43(1).</w:t>
      </w:r>
    </w:p>
  </w:endnote>
  <w:endnote w:id="9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 xml:space="preserve">(Cth), s 501A. The criteria for the exercise of this power essentially mirror those for the Minister’s power to make an initial refusal or cancellation decision under subsections 501(1), (2) and (3), except that under section 501A the Minister must in every case be satisfied that the refusal or cancellation is in the national interest. </w:t>
      </w:r>
    </w:p>
  </w:endnote>
  <w:endnote w:id="9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 xml:space="preserve">(Cth), ss 501A, 501B. For section 501A, see </w:t>
      </w:r>
      <w:r>
        <w:rPr>
          <w:rFonts w:cs="Arial"/>
        </w:rPr>
        <w:t xml:space="preserve">the note </w:t>
      </w:r>
      <w:r w:rsidRPr="00E027F6">
        <w:rPr>
          <w:rFonts w:cs="Arial"/>
        </w:rPr>
        <w:t>above. Under section 501B the Minister may set aside a DIAC decision to refuse or cancel a person’s visa under subsection 501(1) or (2) and substitute it with his or her own decision to refuse or cancel the person’s visa if: the Minister reasonably suspects that the person does not pass the section 501 character test; the person does not satisfy the Minister that they pass the character test; and the Minister is satisfied that the refusal or cancellation is in the national interest.</w:t>
      </w:r>
    </w:p>
  </w:endnote>
  <w:endnote w:id="9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 sub-s 501B(5).</w:t>
      </w:r>
    </w:p>
  </w:endnote>
  <w:endnote w:id="100">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rPr>
        <w:t xml:space="preserve">See </w:t>
      </w:r>
      <w:r w:rsidRPr="00E027F6">
        <w:rPr>
          <w:rFonts w:cs="Arial"/>
          <w:i/>
        </w:rPr>
        <w:t xml:space="preserve">Migration Act 1958 </w:t>
      </w:r>
      <w:r w:rsidRPr="00E027F6">
        <w:rPr>
          <w:rFonts w:cs="Arial"/>
        </w:rPr>
        <w:t>(Cth), sub-ss 501(5) and 501A(4).</w:t>
      </w:r>
    </w:p>
  </w:endnote>
  <w:endnote w:id="101">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 xml:space="preserve">Migration Act 1958 </w:t>
      </w:r>
      <w:r w:rsidRPr="00E027F6">
        <w:rPr>
          <w:rFonts w:cs="Arial"/>
        </w:rPr>
        <w:t>(Cth)</w:t>
      </w:r>
      <w:r w:rsidRPr="00E027F6">
        <w:rPr>
          <w:rFonts w:cs="Arial"/>
          <w:i/>
        </w:rPr>
        <w:t>,</w:t>
      </w:r>
      <w:r w:rsidRPr="00E027F6">
        <w:rPr>
          <w:rFonts w:cs="Arial"/>
        </w:rPr>
        <w:t xml:space="preserve"> s 501. See the discussion in section 2.2.</w:t>
      </w:r>
    </w:p>
  </w:endnote>
  <w:endnote w:id="102">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501A. See the discussion in section </w:t>
      </w:r>
      <w:r w:rsidRPr="00E027F6">
        <w:rPr>
          <w:rFonts w:cs="Arial"/>
        </w:rPr>
        <w:fldChar w:fldCharType="begin"/>
      </w:r>
      <w:r w:rsidRPr="00E027F6">
        <w:rPr>
          <w:rFonts w:cs="Arial"/>
        </w:rPr>
        <w:instrText xml:space="preserve"> REF _Ref356931305 \r \h  \* MERGEFORMAT </w:instrText>
      </w:r>
      <w:r w:rsidRPr="00E027F6">
        <w:rPr>
          <w:rFonts w:cs="Arial"/>
        </w:rPr>
      </w:r>
      <w:r w:rsidRPr="00E027F6">
        <w:rPr>
          <w:rFonts w:cs="Arial"/>
        </w:rPr>
        <w:fldChar w:fldCharType="separate"/>
      </w:r>
      <w:r w:rsidRPr="00E027F6">
        <w:rPr>
          <w:rFonts w:cs="Arial"/>
        </w:rPr>
        <w:t>5.1</w:t>
      </w:r>
      <w:r w:rsidRPr="00E027F6">
        <w:rPr>
          <w:rFonts w:cs="Arial"/>
        </w:rPr>
        <w:fldChar w:fldCharType="end"/>
      </w:r>
      <w:r w:rsidRPr="00E027F6">
        <w:rPr>
          <w:rFonts w:cs="Arial"/>
        </w:rPr>
        <w:t>.</w:t>
      </w:r>
    </w:p>
  </w:endnote>
  <w:endnote w:id="103">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 s 501B. See the discussion in section </w:t>
      </w:r>
      <w:r w:rsidRPr="00E027F6">
        <w:rPr>
          <w:rFonts w:cs="Arial"/>
        </w:rPr>
        <w:fldChar w:fldCharType="begin"/>
      </w:r>
      <w:r w:rsidRPr="00E027F6">
        <w:rPr>
          <w:rFonts w:cs="Arial"/>
        </w:rPr>
        <w:instrText xml:space="preserve"> REF _Ref356931305 \r \h  \* MERGEFORMAT </w:instrText>
      </w:r>
      <w:r w:rsidRPr="00E027F6">
        <w:rPr>
          <w:rFonts w:cs="Arial"/>
        </w:rPr>
      </w:r>
      <w:r w:rsidRPr="00E027F6">
        <w:rPr>
          <w:rFonts w:cs="Arial"/>
        </w:rPr>
        <w:fldChar w:fldCharType="separate"/>
      </w:r>
      <w:r w:rsidRPr="00E027F6">
        <w:rPr>
          <w:rFonts w:cs="Arial"/>
        </w:rPr>
        <w:t>5.1</w:t>
      </w:r>
      <w:r w:rsidRPr="00E027F6">
        <w:rPr>
          <w:rFonts w:cs="Arial"/>
        </w:rPr>
        <w:fldChar w:fldCharType="end"/>
      </w:r>
      <w:r w:rsidRPr="00E027F6">
        <w:rPr>
          <w:rFonts w:cs="Arial"/>
        </w:rPr>
        <w:t>.</w:t>
      </w:r>
    </w:p>
  </w:endnote>
  <w:endnote w:id="104">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w:t>
      </w:r>
      <w:r>
        <w:rPr>
          <w:rFonts w:cs="Arial"/>
        </w:rPr>
        <w:tab/>
      </w:r>
      <w:r w:rsidRPr="00E027F6">
        <w:rPr>
          <w:rFonts w:cs="Arial"/>
          <w:i/>
        </w:rPr>
        <w:t>Migration Act 1958</w:t>
      </w:r>
      <w:r w:rsidRPr="00E027F6">
        <w:rPr>
          <w:rFonts w:cs="Arial"/>
        </w:rPr>
        <w:t xml:space="preserve"> (Cth</w:t>
      </w:r>
      <w:r>
        <w:rPr>
          <w:rFonts w:cs="Arial"/>
        </w:rPr>
        <w:t xml:space="preserve">) ,sub-ss </w:t>
      </w:r>
      <w:r w:rsidRPr="00E027F6">
        <w:rPr>
          <w:rFonts w:cs="Arial"/>
        </w:rPr>
        <w:t>501(5) and 501A(4).</w:t>
      </w:r>
    </w:p>
  </w:endnote>
  <w:endnote w:id="105">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Human Rights and Equal Opportunity Commission, note</w:t>
      </w:r>
      <w:r w:rsidR="006C0BD2">
        <w:rPr>
          <w:rFonts w:cs="Arial"/>
        </w:rPr>
        <w:t xml:space="preserve"> 58</w:t>
      </w:r>
      <w:r w:rsidRPr="00E027F6">
        <w:rPr>
          <w:rFonts w:cs="Arial"/>
        </w:rPr>
        <w:t>, paras 104-107.</w:t>
      </w:r>
    </w:p>
  </w:endnote>
  <w:endnote w:id="106">
    <w:p w:rsidR="00FA4975" w:rsidRPr="00E027F6" w:rsidRDefault="00FA4975" w:rsidP="00B9570D">
      <w:pPr>
        <w:pStyle w:val="EndnoteText"/>
        <w:spacing w:after="60"/>
        <w:ind w:left="284" w:hanging="284"/>
        <w:rPr>
          <w:rFonts w:cs="Arial"/>
          <w:lang w:val="en"/>
        </w:rPr>
      </w:pPr>
      <w:r w:rsidRPr="00E027F6">
        <w:rPr>
          <w:rStyle w:val="EndnoteReference"/>
          <w:rFonts w:cs="Arial"/>
        </w:rPr>
        <w:endnoteRef/>
      </w:r>
      <w:r w:rsidRPr="00E027F6">
        <w:rPr>
          <w:rFonts w:cs="Arial"/>
        </w:rPr>
        <w:t xml:space="preserve"> </w:t>
      </w:r>
      <w:r w:rsidRPr="00E027F6">
        <w:rPr>
          <w:rFonts w:cs="Arial"/>
          <w:lang w:val="en"/>
        </w:rPr>
        <w:t xml:space="preserve">At </w:t>
      </w:r>
      <w:hyperlink r:id="rId23" w:anchor="s9" w:history="1">
        <w:r w:rsidRPr="00E027F6">
          <w:rPr>
            <w:rStyle w:val="Hyperlink"/>
            <w:rFonts w:cs="Arial"/>
            <w:lang w:val="en"/>
          </w:rPr>
          <w:t>http://www.humanrights.gov.au/publications/2011-immigration-detention-villawood#s9</w:t>
        </w:r>
      </w:hyperlink>
      <w:r>
        <w:rPr>
          <w:rFonts w:cs="Arial"/>
          <w:lang w:val="en"/>
        </w:rPr>
        <w:t xml:space="preserve"> (viewed 24 June</w:t>
      </w:r>
      <w:r w:rsidRPr="00E027F6">
        <w:rPr>
          <w:rFonts w:cs="Arial"/>
          <w:lang w:val="en"/>
        </w:rPr>
        <w:t xml:space="preserve"> 2013).</w:t>
      </w:r>
    </w:p>
  </w:endnote>
  <w:endnote w:id="107">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At </w:t>
      </w:r>
      <w:hyperlink r:id="rId24" w:history="1">
        <w:r w:rsidRPr="00E027F6">
          <w:rPr>
            <w:rStyle w:val="Hyperlink"/>
            <w:rFonts w:cs="Arial"/>
          </w:rPr>
          <w:t>http://www.humanrights.gov.au/legal-research-and-resources-0</w:t>
        </w:r>
      </w:hyperlink>
      <w:r>
        <w:rPr>
          <w:rFonts w:cs="Arial"/>
        </w:rPr>
        <w:t xml:space="preserve"> (viewed 24 June</w:t>
      </w:r>
      <w:r w:rsidRPr="00E027F6">
        <w:rPr>
          <w:rFonts w:cs="Arial"/>
        </w:rPr>
        <w:t xml:space="preserve"> 2013).</w:t>
      </w:r>
      <w:r w:rsidRPr="00E027F6">
        <w:rPr>
          <w:rFonts w:cs="Arial"/>
          <w:i/>
        </w:rPr>
        <w:t xml:space="preserve"> </w:t>
      </w:r>
    </w:p>
  </w:endnote>
  <w:endnote w:id="108">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At </w:t>
      </w:r>
      <w:hyperlink r:id="rId25" w:history="1">
        <w:r w:rsidRPr="00E027F6">
          <w:rPr>
            <w:rStyle w:val="Hyperlink"/>
            <w:rFonts w:cs="Arial"/>
          </w:rPr>
          <w:t>http://humanrights.gov.au/legal/submissions/2008/20080829_immigration_detention.html</w:t>
        </w:r>
      </w:hyperlink>
      <w:r>
        <w:rPr>
          <w:rFonts w:cs="Arial"/>
        </w:rPr>
        <w:t xml:space="preserve"> (viewed 24 June 2013).</w:t>
      </w:r>
    </w:p>
  </w:endnote>
  <w:endnote w:id="109">
    <w:p w:rsidR="00FA4975" w:rsidRPr="00E027F6" w:rsidRDefault="00FA4975" w:rsidP="00B9570D">
      <w:pPr>
        <w:pStyle w:val="EndnoteText"/>
        <w:spacing w:after="60"/>
        <w:ind w:left="284" w:hanging="284"/>
        <w:rPr>
          <w:rFonts w:cs="Arial"/>
        </w:rPr>
      </w:pPr>
      <w:r w:rsidRPr="00E027F6">
        <w:rPr>
          <w:rStyle w:val="EndnoteReference"/>
          <w:rFonts w:cs="Arial"/>
        </w:rPr>
        <w:endnoteRef/>
      </w:r>
      <w:r w:rsidRPr="00E027F6">
        <w:rPr>
          <w:rFonts w:cs="Arial"/>
        </w:rPr>
        <w:t xml:space="preserve"> At </w:t>
      </w:r>
      <w:hyperlink r:id="rId26" w:history="1">
        <w:r w:rsidRPr="00E027F6">
          <w:rPr>
            <w:rStyle w:val="Hyperlink"/>
            <w:rFonts w:cs="Arial"/>
          </w:rPr>
          <w:t>http://www.humanrights.gov.au/legal/submissions/2008/200805_haneef.html</w:t>
        </w:r>
      </w:hyperlink>
      <w:r>
        <w:rPr>
          <w:rFonts w:cs="Arial"/>
        </w:rPr>
        <w:t xml:space="preserve"> (viewed 24 June</w:t>
      </w:r>
      <w:r w:rsidRPr="00E027F6">
        <w:rPr>
          <w:rFonts w:cs="Arial"/>
        </w:rPr>
        <w:t xml:space="preserve"> 2013).</w:t>
      </w:r>
    </w:p>
  </w:endnote>
  <w:endnote w:id="110">
    <w:p w:rsidR="00FA4975" w:rsidRPr="005B6FCC" w:rsidRDefault="00FA4975" w:rsidP="00B9570D">
      <w:pPr>
        <w:pStyle w:val="EndnoteText"/>
        <w:spacing w:after="60"/>
        <w:ind w:left="284" w:hanging="284"/>
      </w:pPr>
      <w:r w:rsidRPr="00E027F6">
        <w:rPr>
          <w:rStyle w:val="EndnoteReference"/>
          <w:rFonts w:cs="Arial"/>
        </w:rPr>
        <w:endnoteRef/>
      </w:r>
      <w:r w:rsidRPr="00E027F6">
        <w:rPr>
          <w:rFonts w:cs="Arial"/>
        </w:rPr>
        <w:t xml:space="preserve"> At </w:t>
      </w:r>
      <w:hyperlink r:id="rId27" w:history="1">
        <w:r w:rsidRPr="00E027F6">
          <w:rPr>
            <w:rStyle w:val="Hyperlink"/>
            <w:rFonts w:cs="Arial"/>
          </w:rPr>
          <w:t>http://www.humanrights.gov.au/human_rights/immigration/index.html</w:t>
        </w:r>
      </w:hyperlink>
      <w:r>
        <w:t xml:space="preserve"> (viewed 24 June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Pr="0090165F" w:rsidRDefault="00FA4975"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Pr="0090165F" w:rsidRDefault="00FA4975"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0C3E7F">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75" w:rsidRDefault="00FA4975" w:rsidP="00F14C6D">
      <w:r>
        <w:separator/>
      </w:r>
    </w:p>
  </w:footnote>
  <w:footnote w:type="continuationSeparator" w:id="0">
    <w:p w:rsidR="00FA4975" w:rsidRDefault="00FA4975"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Default="000C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Pr="00D27262" w:rsidRDefault="000C3E7F"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FA4975" w:rsidRPr="00D27262">
      <w:rPr>
        <w:sz w:val="22"/>
        <w:szCs w:val="22"/>
      </w:rPr>
      <w:t>Au</w:t>
    </w:r>
    <w:r w:rsidR="00FA4975">
      <w:rPr>
        <w:sz w:val="22"/>
        <w:szCs w:val="22"/>
      </w:rPr>
      <w:t>stralian Human Rights Commission</w:t>
    </w:r>
  </w:p>
  <w:p w:rsidR="00FA4975" w:rsidRDefault="00FA4975"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FA4975" w:rsidRPr="00B85DD4" w:rsidTr="00165E3C">
      <w:trPr>
        <w:trHeight w:val="1276"/>
      </w:trPr>
      <w:tc>
        <w:tcPr>
          <w:tcW w:w="1508" w:type="dxa"/>
        </w:tcPr>
        <w:p w:rsidR="00FA4975" w:rsidRPr="00B85DD4" w:rsidRDefault="000C3E7F"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FA4975" w:rsidRPr="00B85DD4" w:rsidRDefault="00FA4975" w:rsidP="002B1B65">
          <w:pPr>
            <w:spacing w:before="0" w:after="0"/>
            <w:rPr>
              <w:rFonts w:cs="ArialMT"/>
              <w:i/>
              <w:color w:val="808080"/>
              <w:sz w:val="17"/>
            </w:rPr>
          </w:pPr>
        </w:p>
      </w:tc>
      <w:tc>
        <w:tcPr>
          <w:tcW w:w="2302" w:type="dxa"/>
        </w:tcPr>
        <w:p w:rsidR="00FA4975" w:rsidRPr="00B85DD4" w:rsidRDefault="00FA4975" w:rsidP="00B520BC">
          <w:pPr>
            <w:pStyle w:val="HeaderFooter"/>
            <w:rPr>
              <w:b/>
              <w:spacing w:val="-20"/>
              <w:sz w:val="40"/>
            </w:rPr>
          </w:pPr>
        </w:p>
      </w:tc>
      <w:tc>
        <w:tcPr>
          <w:tcW w:w="2130" w:type="dxa"/>
        </w:tcPr>
        <w:p w:rsidR="00FA4975" w:rsidRPr="00B85DD4" w:rsidRDefault="00FA4975" w:rsidP="00B520BC">
          <w:pPr>
            <w:pStyle w:val="HeaderFooter"/>
            <w:rPr>
              <w:b/>
              <w:spacing w:val="-20"/>
              <w:sz w:val="40"/>
            </w:rPr>
          </w:pPr>
        </w:p>
      </w:tc>
      <w:tc>
        <w:tcPr>
          <w:tcW w:w="1721" w:type="dxa"/>
        </w:tcPr>
        <w:p w:rsidR="00FA4975" w:rsidRPr="00B85DD4" w:rsidRDefault="00FA4975" w:rsidP="00B520BC">
          <w:pPr>
            <w:pStyle w:val="HeaderFooter"/>
            <w:spacing w:before="227" w:after="340"/>
            <w:rPr>
              <w:b/>
              <w:spacing w:val="-20"/>
              <w:sz w:val="40"/>
            </w:rPr>
          </w:pPr>
        </w:p>
      </w:tc>
    </w:tr>
  </w:tbl>
  <w:p w:rsidR="00FA4975" w:rsidRDefault="00FA4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Default="000C3E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75" w:rsidRPr="00D27262" w:rsidRDefault="00FA4975" w:rsidP="00B34946">
    <w:pPr>
      <w:spacing w:before="0" w:after="60"/>
      <w:jc w:val="right"/>
      <w:rPr>
        <w:sz w:val="22"/>
        <w:szCs w:val="22"/>
      </w:rPr>
    </w:pPr>
    <w:r w:rsidRPr="00D27262">
      <w:rPr>
        <w:sz w:val="22"/>
        <w:szCs w:val="22"/>
      </w:rPr>
      <w:t>Au</w:t>
    </w:r>
    <w:r>
      <w:rPr>
        <w:sz w:val="22"/>
        <w:szCs w:val="22"/>
      </w:rPr>
      <w:t>stralian Human Rights Commission</w:t>
    </w:r>
  </w:p>
  <w:p w:rsidR="00FA4975" w:rsidRPr="001E5676" w:rsidRDefault="00FA4975" w:rsidP="002F4CE1">
    <w:pPr>
      <w:pStyle w:val="Footer"/>
      <w:spacing w:after="240"/>
      <w:jc w:val="right"/>
      <w:rPr>
        <w:i/>
        <w:sz w:val="18"/>
        <w:szCs w:val="18"/>
      </w:rPr>
    </w:pPr>
    <w:r>
      <w:rPr>
        <w:b/>
        <w:i/>
        <w:sz w:val="18"/>
        <w:szCs w:val="18"/>
      </w:rPr>
      <w:t>June 2013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FA4975" w:rsidRPr="00B85DD4" w:rsidTr="002B1B65">
      <w:trPr>
        <w:trHeight w:val="1603"/>
      </w:trPr>
      <w:tc>
        <w:tcPr>
          <w:tcW w:w="1508" w:type="dxa"/>
        </w:tcPr>
        <w:p w:rsidR="00FA4975" w:rsidRPr="00B85DD4" w:rsidRDefault="000C3E7F"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FA4975">
            <w:rPr>
              <w:rFonts w:cs="ArialMT"/>
              <w:b/>
              <w:noProof/>
              <w:spacing w:val="-20"/>
            </w:rPr>
            <w:drawing>
              <wp:inline distT="0" distB="0" distL="0" distR="0">
                <wp:extent cx="819150" cy="819150"/>
                <wp:effectExtent l="0" t="0" r="0" b="0"/>
                <wp:docPr id="1" name="Picture 1"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rsidR="00FA4975" w:rsidRPr="00D36BB2" w:rsidRDefault="00FA4975" w:rsidP="002B1B65">
          <w:pPr>
            <w:pStyle w:val="LogoType"/>
            <w:pBdr>
              <w:bottom w:val="single" w:sz="4" w:space="1" w:color="808080"/>
            </w:pBdr>
            <w:spacing w:line="240" w:lineRule="auto"/>
          </w:pPr>
          <w:r w:rsidRPr="00D36BB2">
            <w:t>Australian</w:t>
          </w:r>
        </w:p>
        <w:p w:rsidR="00FA4975" w:rsidRPr="00D36BB2" w:rsidRDefault="00FA4975" w:rsidP="002B1B65">
          <w:pPr>
            <w:pStyle w:val="LogoType"/>
            <w:pBdr>
              <w:bottom w:val="single" w:sz="4" w:space="1" w:color="808080"/>
            </w:pBdr>
            <w:spacing w:line="240" w:lineRule="auto"/>
          </w:pPr>
          <w:r w:rsidRPr="00D36BB2">
            <w:t>Human Rights</w:t>
          </w:r>
        </w:p>
        <w:p w:rsidR="00FA4975" w:rsidRPr="00D36BB2" w:rsidRDefault="00FA4975" w:rsidP="002B1B65">
          <w:pPr>
            <w:pStyle w:val="LogoType"/>
            <w:pBdr>
              <w:bottom w:val="single" w:sz="4" w:space="1" w:color="808080"/>
            </w:pBdr>
            <w:spacing w:line="240" w:lineRule="auto"/>
          </w:pPr>
          <w:r w:rsidRPr="00D36BB2">
            <w:t>Commission</w:t>
          </w:r>
        </w:p>
        <w:p w:rsidR="00FA4975" w:rsidRPr="00B85DD4" w:rsidRDefault="00FA4975"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FA4975" w:rsidRPr="00B85DD4" w:rsidRDefault="00FA4975" w:rsidP="00B520BC">
          <w:pPr>
            <w:pStyle w:val="HeaderFooter"/>
            <w:rPr>
              <w:b/>
              <w:spacing w:val="-20"/>
              <w:sz w:val="40"/>
            </w:rPr>
          </w:pPr>
        </w:p>
      </w:tc>
      <w:tc>
        <w:tcPr>
          <w:tcW w:w="2130" w:type="dxa"/>
        </w:tcPr>
        <w:p w:rsidR="00FA4975" w:rsidRPr="00B85DD4" w:rsidRDefault="00FA4975" w:rsidP="00B520BC">
          <w:pPr>
            <w:pStyle w:val="HeaderFooter"/>
            <w:rPr>
              <w:b/>
              <w:spacing w:val="-20"/>
              <w:sz w:val="40"/>
            </w:rPr>
          </w:pPr>
        </w:p>
      </w:tc>
      <w:tc>
        <w:tcPr>
          <w:tcW w:w="1721" w:type="dxa"/>
        </w:tcPr>
        <w:p w:rsidR="00FA4975" w:rsidRPr="00B85DD4" w:rsidRDefault="00FA4975" w:rsidP="00B520BC">
          <w:pPr>
            <w:pStyle w:val="HeaderFooter"/>
            <w:spacing w:before="227" w:after="340"/>
            <w:rPr>
              <w:b/>
              <w:spacing w:val="-20"/>
              <w:sz w:val="40"/>
            </w:rPr>
          </w:pPr>
        </w:p>
      </w:tc>
    </w:tr>
  </w:tbl>
  <w:p w:rsidR="00FA4975" w:rsidRDefault="00FA49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AF38E6"/>
    <w:multiLevelType w:val="hybridMultilevel"/>
    <w:tmpl w:val="0FC8D0E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612BC8"/>
    <w:multiLevelType w:val="hybridMultilevel"/>
    <w:tmpl w:val="8DB4D44A"/>
    <w:lvl w:ilvl="0" w:tplc="5504D7B0">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03A5B8A"/>
    <w:multiLevelType w:val="hybridMultilevel"/>
    <w:tmpl w:val="0E0E9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4A2274"/>
    <w:multiLevelType w:val="hybridMultilevel"/>
    <w:tmpl w:val="D01443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D2A4211"/>
    <w:multiLevelType w:val="hybridMultilevel"/>
    <w:tmpl w:val="7A34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A33993"/>
    <w:multiLevelType w:val="hybridMultilevel"/>
    <w:tmpl w:val="E3ACB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277"/>
        </w:tabs>
        <w:ind w:left="1277"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4E5E21DB"/>
    <w:multiLevelType w:val="hybridMultilevel"/>
    <w:tmpl w:val="EC2272C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800"/>
        </w:tabs>
        <w:ind w:left="1800" w:hanging="72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EC40A03"/>
    <w:multiLevelType w:val="hybridMultilevel"/>
    <w:tmpl w:val="AB1E461E"/>
    <w:lvl w:ilvl="0" w:tplc="08B20028">
      <w:start w:val="1"/>
      <w:numFmt w:val="bullet"/>
      <w:lvlText w:val=""/>
      <w:lvlJc w:val="left"/>
      <w:pPr>
        <w:tabs>
          <w:tab w:val="num" w:pos="783"/>
        </w:tabs>
        <w:ind w:left="783" w:hanging="363"/>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nsid w:val="51591086"/>
    <w:multiLevelType w:val="hybridMultilevel"/>
    <w:tmpl w:val="1D128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7AB1375"/>
    <w:multiLevelType w:val="hybridMultilevel"/>
    <w:tmpl w:val="ADD0A1D4"/>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BF214A2"/>
    <w:multiLevelType w:val="hybridMultilevel"/>
    <w:tmpl w:val="93EC6362"/>
    <w:lvl w:ilvl="0" w:tplc="08B20028">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00E4473"/>
    <w:multiLevelType w:val="multilevel"/>
    <w:tmpl w:val="9BEA04B0"/>
    <w:lvl w:ilvl="0">
      <w:start w:val="1"/>
      <w:numFmt w:val="decimal"/>
      <w:pStyle w:val="LAQCourtNo1"/>
      <w:lvlText w:val="%1."/>
      <w:lvlJc w:val="left"/>
      <w:pPr>
        <w:tabs>
          <w:tab w:val="num" w:pos="567"/>
        </w:tabs>
        <w:ind w:left="567" w:hanging="567"/>
      </w:pPr>
      <w:rPr>
        <w:rFonts w:hint="default"/>
      </w:rPr>
    </w:lvl>
    <w:lvl w:ilvl="1">
      <w:start w:val="1"/>
      <w:numFmt w:val="lowerLetter"/>
      <w:pStyle w:val="LAQCourtNo2"/>
      <w:lvlText w:val="(%2)"/>
      <w:lvlJc w:val="left"/>
      <w:pPr>
        <w:tabs>
          <w:tab w:val="num" w:pos="1134"/>
        </w:tabs>
        <w:ind w:left="1134" w:hanging="567"/>
      </w:pPr>
      <w:rPr>
        <w:rFonts w:hint="default"/>
        <w:b w:val="0"/>
        <w:i w:val="0"/>
        <w:sz w:val="24"/>
      </w:rPr>
    </w:lvl>
    <w:lvl w:ilvl="2">
      <w:start w:val="1"/>
      <w:numFmt w:val="lowerRoman"/>
      <w:pStyle w:val="LAQCourtNo3"/>
      <w:lvlText w:val="(%3)"/>
      <w:lvlJc w:val="left"/>
      <w:pPr>
        <w:tabs>
          <w:tab w:val="num" w:pos="1673"/>
        </w:tabs>
        <w:ind w:left="1673" w:hanging="539"/>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7">
    <w:nsid w:val="631F65AC"/>
    <w:multiLevelType w:val="hybridMultilevel"/>
    <w:tmpl w:val="14C059FC"/>
    <w:lvl w:ilvl="0" w:tplc="0C090001">
      <w:start w:val="1"/>
      <w:numFmt w:val="bullet"/>
      <w:lvlText w:val=""/>
      <w:lvlJc w:val="left"/>
      <w:pPr>
        <w:tabs>
          <w:tab w:val="num" w:pos="720"/>
        </w:tabs>
        <w:ind w:left="720" w:hanging="360"/>
      </w:pPr>
      <w:rPr>
        <w:rFonts w:ascii="Symbol" w:hAnsi="Symbol" w:hint="default"/>
      </w:rPr>
    </w:lvl>
    <w:lvl w:ilvl="1" w:tplc="7772E8D8">
      <w:start w:val="1"/>
      <w:numFmt w:val="lowerRoman"/>
      <w:lvlText w:val="(%2)"/>
      <w:lvlJc w:val="left"/>
      <w:pPr>
        <w:tabs>
          <w:tab w:val="num" w:pos="1800"/>
        </w:tabs>
        <w:ind w:left="1800" w:hanging="72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6F52047"/>
    <w:multiLevelType w:val="hybridMultilevel"/>
    <w:tmpl w:val="DF8202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9466370"/>
    <w:multiLevelType w:val="hybridMultilevel"/>
    <w:tmpl w:val="F7727A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B9633CE"/>
    <w:multiLevelType w:val="hybridMultilevel"/>
    <w:tmpl w:val="28A802A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F433977"/>
    <w:multiLevelType w:val="hybridMultilevel"/>
    <w:tmpl w:val="96F0215A"/>
    <w:lvl w:ilvl="0" w:tplc="D7A8F88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nsid w:val="72AF027E"/>
    <w:multiLevelType w:val="hybridMultilevel"/>
    <w:tmpl w:val="8A2A05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3915F92"/>
    <w:multiLevelType w:val="hybridMultilevel"/>
    <w:tmpl w:val="535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9A6390D"/>
    <w:multiLevelType w:val="hybridMultilevel"/>
    <w:tmpl w:val="D01AF1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DDB200B"/>
    <w:multiLevelType w:val="hybridMultilevel"/>
    <w:tmpl w:val="E5CA05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ED865F4"/>
    <w:multiLevelType w:val="hybridMultilevel"/>
    <w:tmpl w:val="03E48110"/>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800"/>
        </w:tabs>
        <w:ind w:left="1800" w:hanging="72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0"/>
  </w:num>
  <w:num w:numId="13">
    <w:abstractNumId w:val="17"/>
  </w:num>
  <w:num w:numId="14">
    <w:abstractNumId w:val="13"/>
  </w:num>
  <w:num w:numId="15">
    <w:abstractNumId w:val="12"/>
  </w:num>
  <w:num w:numId="16">
    <w:abstractNumId w:val="11"/>
  </w:num>
  <w:num w:numId="17">
    <w:abstractNumId w:val="27"/>
  </w:num>
  <w:num w:numId="18">
    <w:abstractNumId w:val="10"/>
  </w:num>
  <w:num w:numId="19">
    <w:abstractNumId w:val="35"/>
  </w:num>
  <w:num w:numId="20">
    <w:abstractNumId w:val="24"/>
  </w:num>
  <w:num w:numId="21">
    <w:abstractNumId w:val="15"/>
  </w:num>
  <w:num w:numId="22">
    <w:abstractNumId w:val="30"/>
  </w:num>
  <w:num w:numId="23">
    <w:abstractNumId w:val="29"/>
  </w:num>
  <w:num w:numId="24">
    <w:abstractNumId w:val="32"/>
  </w:num>
  <w:num w:numId="25">
    <w:abstractNumId w:val="26"/>
  </w:num>
  <w:num w:numId="26">
    <w:abstractNumId w:val="34"/>
  </w:num>
  <w:num w:numId="27">
    <w:abstractNumId w:val="28"/>
  </w:num>
  <w:num w:numId="28">
    <w:abstractNumId w:val="36"/>
  </w:num>
  <w:num w:numId="29">
    <w:abstractNumId w:val="23"/>
  </w:num>
  <w:num w:numId="30">
    <w:abstractNumId w:val="31"/>
  </w:num>
  <w:num w:numId="31">
    <w:abstractNumId w:val="14"/>
  </w:num>
  <w:num w:numId="32">
    <w:abstractNumId w:val="18"/>
  </w:num>
  <w:num w:numId="33">
    <w:abstractNumId w:val="21"/>
  </w:num>
  <w:num w:numId="34">
    <w:abstractNumId w:val="16"/>
  </w:num>
  <w:num w:numId="35">
    <w:abstractNumId w:val="2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9"/>
  </w:num>
  <w:num w:numId="39">
    <w:abstractNumId w:val="33"/>
  </w:num>
  <w:num w:numId="40">
    <w:abstractNumId w:val="19"/>
  </w:num>
  <w:num w:numId="41">
    <w:abstractNumId w:val="19"/>
  </w:num>
  <w:num w:numId="42">
    <w:abstractNumId w:val="19"/>
  </w:num>
  <w:num w:numId="43">
    <w:abstractNumId w:val="19"/>
  </w:num>
  <w:num w:numId="44">
    <w:abstractNumId w:val="19"/>
  </w:num>
  <w:num w:numId="4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33"/>
    <w:rsid w:val="00000198"/>
    <w:rsid w:val="00000D83"/>
    <w:rsid w:val="00001815"/>
    <w:rsid w:val="000025AD"/>
    <w:rsid w:val="000033BE"/>
    <w:rsid w:val="000040BE"/>
    <w:rsid w:val="00004FDA"/>
    <w:rsid w:val="0000564C"/>
    <w:rsid w:val="00005C0D"/>
    <w:rsid w:val="0000636D"/>
    <w:rsid w:val="00006477"/>
    <w:rsid w:val="000103BA"/>
    <w:rsid w:val="00011A25"/>
    <w:rsid w:val="00011A35"/>
    <w:rsid w:val="00011A36"/>
    <w:rsid w:val="000129CB"/>
    <w:rsid w:val="0001325A"/>
    <w:rsid w:val="000135C6"/>
    <w:rsid w:val="00013ED6"/>
    <w:rsid w:val="00014768"/>
    <w:rsid w:val="00014DC1"/>
    <w:rsid w:val="000150B1"/>
    <w:rsid w:val="00015AD9"/>
    <w:rsid w:val="000162D7"/>
    <w:rsid w:val="000164F9"/>
    <w:rsid w:val="00016BD8"/>
    <w:rsid w:val="00017376"/>
    <w:rsid w:val="00017FF6"/>
    <w:rsid w:val="00020579"/>
    <w:rsid w:val="00020A05"/>
    <w:rsid w:val="00020BDD"/>
    <w:rsid w:val="0002106F"/>
    <w:rsid w:val="0002241D"/>
    <w:rsid w:val="000231B5"/>
    <w:rsid w:val="00023485"/>
    <w:rsid w:val="00023708"/>
    <w:rsid w:val="00023841"/>
    <w:rsid w:val="00023DF9"/>
    <w:rsid w:val="000242DC"/>
    <w:rsid w:val="00024E19"/>
    <w:rsid w:val="00025FCB"/>
    <w:rsid w:val="000265E0"/>
    <w:rsid w:val="00026CAF"/>
    <w:rsid w:val="000304A4"/>
    <w:rsid w:val="0003135B"/>
    <w:rsid w:val="00031D79"/>
    <w:rsid w:val="000320A6"/>
    <w:rsid w:val="00033024"/>
    <w:rsid w:val="00034258"/>
    <w:rsid w:val="000343B0"/>
    <w:rsid w:val="00034F40"/>
    <w:rsid w:val="00035108"/>
    <w:rsid w:val="00035A45"/>
    <w:rsid w:val="00036396"/>
    <w:rsid w:val="00036CC5"/>
    <w:rsid w:val="00036E63"/>
    <w:rsid w:val="00037901"/>
    <w:rsid w:val="000379D2"/>
    <w:rsid w:val="0004023B"/>
    <w:rsid w:val="00041571"/>
    <w:rsid w:val="00042462"/>
    <w:rsid w:val="000424A3"/>
    <w:rsid w:val="00043089"/>
    <w:rsid w:val="00043149"/>
    <w:rsid w:val="00043EC7"/>
    <w:rsid w:val="00044BB0"/>
    <w:rsid w:val="000453B3"/>
    <w:rsid w:val="00045975"/>
    <w:rsid w:val="00047C47"/>
    <w:rsid w:val="0005105F"/>
    <w:rsid w:val="00053504"/>
    <w:rsid w:val="000536E9"/>
    <w:rsid w:val="00056639"/>
    <w:rsid w:val="00056DC7"/>
    <w:rsid w:val="0005726F"/>
    <w:rsid w:val="00057578"/>
    <w:rsid w:val="000579B1"/>
    <w:rsid w:val="000604CD"/>
    <w:rsid w:val="000605A1"/>
    <w:rsid w:val="00060602"/>
    <w:rsid w:val="0006100F"/>
    <w:rsid w:val="00061BEB"/>
    <w:rsid w:val="00061C03"/>
    <w:rsid w:val="00063877"/>
    <w:rsid w:val="00064DE8"/>
    <w:rsid w:val="00065DC5"/>
    <w:rsid w:val="00067B0A"/>
    <w:rsid w:val="00067DF4"/>
    <w:rsid w:val="0007030A"/>
    <w:rsid w:val="00073097"/>
    <w:rsid w:val="000748E9"/>
    <w:rsid w:val="00074911"/>
    <w:rsid w:val="00074D38"/>
    <w:rsid w:val="000750FB"/>
    <w:rsid w:val="00075E15"/>
    <w:rsid w:val="0007673D"/>
    <w:rsid w:val="00076ABF"/>
    <w:rsid w:val="000770C5"/>
    <w:rsid w:val="00077D6C"/>
    <w:rsid w:val="000800B0"/>
    <w:rsid w:val="00080E38"/>
    <w:rsid w:val="0008146E"/>
    <w:rsid w:val="00081AA3"/>
    <w:rsid w:val="0008355E"/>
    <w:rsid w:val="000844C0"/>
    <w:rsid w:val="000878E0"/>
    <w:rsid w:val="00090057"/>
    <w:rsid w:val="00092F97"/>
    <w:rsid w:val="000958AB"/>
    <w:rsid w:val="000960B8"/>
    <w:rsid w:val="00097096"/>
    <w:rsid w:val="0009755F"/>
    <w:rsid w:val="00097FE9"/>
    <w:rsid w:val="000A1661"/>
    <w:rsid w:val="000A1DB8"/>
    <w:rsid w:val="000A1EE2"/>
    <w:rsid w:val="000A2696"/>
    <w:rsid w:val="000A48AC"/>
    <w:rsid w:val="000A5FCA"/>
    <w:rsid w:val="000A6167"/>
    <w:rsid w:val="000A6248"/>
    <w:rsid w:val="000A6948"/>
    <w:rsid w:val="000A6DCA"/>
    <w:rsid w:val="000B0A5D"/>
    <w:rsid w:val="000B1E6D"/>
    <w:rsid w:val="000B3E54"/>
    <w:rsid w:val="000B46DB"/>
    <w:rsid w:val="000B4AEB"/>
    <w:rsid w:val="000B6E00"/>
    <w:rsid w:val="000C0345"/>
    <w:rsid w:val="000C08FB"/>
    <w:rsid w:val="000C1630"/>
    <w:rsid w:val="000C1AA8"/>
    <w:rsid w:val="000C3975"/>
    <w:rsid w:val="000C3E7F"/>
    <w:rsid w:val="000C5A7F"/>
    <w:rsid w:val="000C6170"/>
    <w:rsid w:val="000C6341"/>
    <w:rsid w:val="000C68D6"/>
    <w:rsid w:val="000C7AAB"/>
    <w:rsid w:val="000C7C64"/>
    <w:rsid w:val="000C7EF5"/>
    <w:rsid w:val="000D122B"/>
    <w:rsid w:val="000D1A0E"/>
    <w:rsid w:val="000D1D78"/>
    <w:rsid w:val="000D2558"/>
    <w:rsid w:val="000D2D6C"/>
    <w:rsid w:val="000D3104"/>
    <w:rsid w:val="000D5641"/>
    <w:rsid w:val="000D620F"/>
    <w:rsid w:val="000D6464"/>
    <w:rsid w:val="000D6BCA"/>
    <w:rsid w:val="000D6C8E"/>
    <w:rsid w:val="000D788E"/>
    <w:rsid w:val="000D7A6B"/>
    <w:rsid w:val="000E0274"/>
    <w:rsid w:val="000E130A"/>
    <w:rsid w:val="000E1DC3"/>
    <w:rsid w:val="000E2BDE"/>
    <w:rsid w:val="000E3819"/>
    <w:rsid w:val="000E4AC6"/>
    <w:rsid w:val="000E4E98"/>
    <w:rsid w:val="000E5167"/>
    <w:rsid w:val="000E5651"/>
    <w:rsid w:val="000E5800"/>
    <w:rsid w:val="000E59EE"/>
    <w:rsid w:val="000E6067"/>
    <w:rsid w:val="000E6925"/>
    <w:rsid w:val="000E6D82"/>
    <w:rsid w:val="000E75C9"/>
    <w:rsid w:val="000F0138"/>
    <w:rsid w:val="000F0233"/>
    <w:rsid w:val="000F0B1D"/>
    <w:rsid w:val="000F0D26"/>
    <w:rsid w:val="000F3930"/>
    <w:rsid w:val="000F52D6"/>
    <w:rsid w:val="000F5490"/>
    <w:rsid w:val="000F5D20"/>
    <w:rsid w:val="000F6735"/>
    <w:rsid w:val="000F686B"/>
    <w:rsid w:val="000F6B77"/>
    <w:rsid w:val="000F71C1"/>
    <w:rsid w:val="001011DB"/>
    <w:rsid w:val="0010169C"/>
    <w:rsid w:val="001041DC"/>
    <w:rsid w:val="00105E29"/>
    <w:rsid w:val="00107ABD"/>
    <w:rsid w:val="001111D6"/>
    <w:rsid w:val="00112F68"/>
    <w:rsid w:val="00113084"/>
    <w:rsid w:val="0011395F"/>
    <w:rsid w:val="00113BD6"/>
    <w:rsid w:val="00113F58"/>
    <w:rsid w:val="00115B26"/>
    <w:rsid w:val="00120267"/>
    <w:rsid w:val="00120EC4"/>
    <w:rsid w:val="001212E8"/>
    <w:rsid w:val="00122791"/>
    <w:rsid w:val="001229C5"/>
    <w:rsid w:val="00123DC4"/>
    <w:rsid w:val="001250C5"/>
    <w:rsid w:val="00125C2E"/>
    <w:rsid w:val="00126483"/>
    <w:rsid w:val="00127594"/>
    <w:rsid w:val="0013008E"/>
    <w:rsid w:val="001302D8"/>
    <w:rsid w:val="00130770"/>
    <w:rsid w:val="00130A16"/>
    <w:rsid w:val="0013220A"/>
    <w:rsid w:val="00133ADC"/>
    <w:rsid w:val="00134774"/>
    <w:rsid w:val="00134AC5"/>
    <w:rsid w:val="00134D80"/>
    <w:rsid w:val="001356D5"/>
    <w:rsid w:val="00135BFB"/>
    <w:rsid w:val="00136062"/>
    <w:rsid w:val="00137F57"/>
    <w:rsid w:val="00140274"/>
    <w:rsid w:val="001423C4"/>
    <w:rsid w:val="00142653"/>
    <w:rsid w:val="00144503"/>
    <w:rsid w:val="001445EA"/>
    <w:rsid w:val="00144B98"/>
    <w:rsid w:val="00145FEC"/>
    <w:rsid w:val="00147293"/>
    <w:rsid w:val="00147861"/>
    <w:rsid w:val="00147F56"/>
    <w:rsid w:val="00147F6E"/>
    <w:rsid w:val="00150519"/>
    <w:rsid w:val="00151263"/>
    <w:rsid w:val="00151DDF"/>
    <w:rsid w:val="00152CA9"/>
    <w:rsid w:val="00152D68"/>
    <w:rsid w:val="001540A5"/>
    <w:rsid w:val="00155880"/>
    <w:rsid w:val="00155D7D"/>
    <w:rsid w:val="00157E08"/>
    <w:rsid w:val="00160D1F"/>
    <w:rsid w:val="00161101"/>
    <w:rsid w:val="00162A8D"/>
    <w:rsid w:val="00165E3C"/>
    <w:rsid w:val="00165FF3"/>
    <w:rsid w:val="00166291"/>
    <w:rsid w:val="001664D6"/>
    <w:rsid w:val="00170AEA"/>
    <w:rsid w:val="00170FA0"/>
    <w:rsid w:val="001712FF"/>
    <w:rsid w:val="00171E57"/>
    <w:rsid w:val="0017225D"/>
    <w:rsid w:val="00172760"/>
    <w:rsid w:val="00172AF7"/>
    <w:rsid w:val="00172EF0"/>
    <w:rsid w:val="0017378A"/>
    <w:rsid w:val="00173FB5"/>
    <w:rsid w:val="00174288"/>
    <w:rsid w:val="00174931"/>
    <w:rsid w:val="001776E3"/>
    <w:rsid w:val="001825DE"/>
    <w:rsid w:val="001834CE"/>
    <w:rsid w:val="00183CAA"/>
    <w:rsid w:val="00184BB3"/>
    <w:rsid w:val="00186910"/>
    <w:rsid w:val="0018723A"/>
    <w:rsid w:val="00187654"/>
    <w:rsid w:val="00187EA3"/>
    <w:rsid w:val="00191335"/>
    <w:rsid w:val="00191F6B"/>
    <w:rsid w:val="001924DB"/>
    <w:rsid w:val="00192ED1"/>
    <w:rsid w:val="0019393A"/>
    <w:rsid w:val="00194579"/>
    <w:rsid w:val="00194ED5"/>
    <w:rsid w:val="00195562"/>
    <w:rsid w:val="001A0B25"/>
    <w:rsid w:val="001A1197"/>
    <w:rsid w:val="001A126A"/>
    <w:rsid w:val="001A1524"/>
    <w:rsid w:val="001A1B37"/>
    <w:rsid w:val="001A233F"/>
    <w:rsid w:val="001A2FBF"/>
    <w:rsid w:val="001A3172"/>
    <w:rsid w:val="001A34E7"/>
    <w:rsid w:val="001A356E"/>
    <w:rsid w:val="001A4ECE"/>
    <w:rsid w:val="001A559D"/>
    <w:rsid w:val="001A578F"/>
    <w:rsid w:val="001A5867"/>
    <w:rsid w:val="001A6C7F"/>
    <w:rsid w:val="001A6E02"/>
    <w:rsid w:val="001A6E0B"/>
    <w:rsid w:val="001A74D4"/>
    <w:rsid w:val="001A7557"/>
    <w:rsid w:val="001A7D39"/>
    <w:rsid w:val="001B0353"/>
    <w:rsid w:val="001B227F"/>
    <w:rsid w:val="001B23D0"/>
    <w:rsid w:val="001B3986"/>
    <w:rsid w:val="001B3CDD"/>
    <w:rsid w:val="001B3D58"/>
    <w:rsid w:val="001B4D9E"/>
    <w:rsid w:val="001B50D2"/>
    <w:rsid w:val="001B5598"/>
    <w:rsid w:val="001B6B06"/>
    <w:rsid w:val="001B76FF"/>
    <w:rsid w:val="001C003B"/>
    <w:rsid w:val="001C0740"/>
    <w:rsid w:val="001C0FD7"/>
    <w:rsid w:val="001C1251"/>
    <w:rsid w:val="001C1F8B"/>
    <w:rsid w:val="001C2C08"/>
    <w:rsid w:val="001C3F72"/>
    <w:rsid w:val="001C5DD2"/>
    <w:rsid w:val="001C71D1"/>
    <w:rsid w:val="001C7A17"/>
    <w:rsid w:val="001D077F"/>
    <w:rsid w:val="001D0E42"/>
    <w:rsid w:val="001D1232"/>
    <w:rsid w:val="001D3B8A"/>
    <w:rsid w:val="001D44E4"/>
    <w:rsid w:val="001D4C9E"/>
    <w:rsid w:val="001D567D"/>
    <w:rsid w:val="001D5EB4"/>
    <w:rsid w:val="001D65F4"/>
    <w:rsid w:val="001D7F5C"/>
    <w:rsid w:val="001E25E7"/>
    <w:rsid w:val="001E2FE8"/>
    <w:rsid w:val="001E378E"/>
    <w:rsid w:val="001E3972"/>
    <w:rsid w:val="001E3B32"/>
    <w:rsid w:val="001E5676"/>
    <w:rsid w:val="001E56EF"/>
    <w:rsid w:val="001E6815"/>
    <w:rsid w:val="001E6C1F"/>
    <w:rsid w:val="001F05D9"/>
    <w:rsid w:val="001F1628"/>
    <w:rsid w:val="001F1B92"/>
    <w:rsid w:val="001F205B"/>
    <w:rsid w:val="001F2A5A"/>
    <w:rsid w:val="001F2BBB"/>
    <w:rsid w:val="001F2F34"/>
    <w:rsid w:val="001F3C35"/>
    <w:rsid w:val="001F437A"/>
    <w:rsid w:val="001F44B7"/>
    <w:rsid w:val="001F45D7"/>
    <w:rsid w:val="001F4AAE"/>
    <w:rsid w:val="001F5163"/>
    <w:rsid w:val="001F5F00"/>
    <w:rsid w:val="001F61E2"/>
    <w:rsid w:val="001F6549"/>
    <w:rsid w:val="001F6710"/>
    <w:rsid w:val="001F7364"/>
    <w:rsid w:val="0020038B"/>
    <w:rsid w:val="00200677"/>
    <w:rsid w:val="002009F7"/>
    <w:rsid w:val="00201340"/>
    <w:rsid w:val="00201CBC"/>
    <w:rsid w:val="00202988"/>
    <w:rsid w:val="0020337B"/>
    <w:rsid w:val="00203E3D"/>
    <w:rsid w:val="002055B8"/>
    <w:rsid w:val="00206015"/>
    <w:rsid w:val="00206604"/>
    <w:rsid w:val="00210341"/>
    <w:rsid w:val="00211246"/>
    <w:rsid w:val="00211A66"/>
    <w:rsid w:val="00213EAE"/>
    <w:rsid w:val="00214D6A"/>
    <w:rsid w:val="00215291"/>
    <w:rsid w:val="002159FE"/>
    <w:rsid w:val="00215ED6"/>
    <w:rsid w:val="00216CA9"/>
    <w:rsid w:val="00217D7E"/>
    <w:rsid w:val="0022099D"/>
    <w:rsid w:val="00220E40"/>
    <w:rsid w:val="00221D82"/>
    <w:rsid w:val="002232C7"/>
    <w:rsid w:val="00224727"/>
    <w:rsid w:val="00225957"/>
    <w:rsid w:val="002269E0"/>
    <w:rsid w:val="00226F54"/>
    <w:rsid w:val="002277C8"/>
    <w:rsid w:val="00227C5B"/>
    <w:rsid w:val="002304E3"/>
    <w:rsid w:val="002313C3"/>
    <w:rsid w:val="002318BA"/>
    <w:rsid w:val="00231ED1"/>
    <w:rsid w:val="00231F82"/>
    <w:rsid w:val="002335B4"/>
    <w:rsid w:val="0023413A"/>
    <w:rsid w:val="00242047"/>
    <w:rsid w:val="002424C0"/>
    <w:rsid w:val="00242624"/>
    <w:rsid w:val="00242B81"/>
    <w:rsid w:val="00243165"/>
    <w:rsid w:val="002446D8"/>
    <w:rsid w:val="00244B53"/>
    <w:rsid w:val="002453C3"/>
    <w:rsid w:val="0024557E"/>
    <w:rsid w:val="0024763A"/>
    <w:rsid w:val="00250BA6"/>
    <w:rsid w:val="002515D5"/>
    <w:rsid w:val="00252C8E"/>
    <w:rsid w:val="002532E6"/>
    <w:rsid w:val="00253C01"/>
    <w:rsid w:val="0025435E"/>
    <w:rsid w:val="00254B8D"/>
    <w:rsid w:val="002555DD"/>
    <w:rsid w:val="0025572F"/>
    <w:rsid w:val="002558B4"/>
    <w:rsid w:val="00256C93"/>
    <w:rsid w:val="00256E5A"/>
    <w:rsid w:val="002571B7"/>
    <w:rsid w:val="00260A0A"/>
    <w:rsid w:val="00260A79"/>
    <w:rsid w:val="00261E39"/>
    <w:rsid w:val="0026581D"/>
    <w:rsid w:val="00265E45"/>
    <w:rsid w:val="00265F16"/>
    <w:rsid w:val="00266952"/>
    <w:rsid w:val="00266F1D"/>
    <w:rsid w:val="00267338"/>
    <w:rsid w:val="002677CC"/>
    <w:rsid w:val="00267C38"/>
    <w:rsid w:val="0027018D"/>
    <w:rsid w:val="00270D3E"/>
    <w:rsid w:val="00272EA1"/>
    <w:rsid w:val="00272F28"/>
    <w:rsid w:val="002737E0"/>
    <w:rsid w:val="002746C4"/>
    <w:rsid w:val="002750E9"/>
    <w:rsid w:val="00275AD1"/>
    <w:rsid w:val="002779C8"/>
    <w:rsid w:val="0028115C"/>
    <w:rsid w:val="00281C42"/>
    <w:rsid w:val="0028208D"/>
    <w:rsid w:val="002820E1"/>
    <w:rsid w:val="0028639C"/>
    <w:rsid w:val="002863D7"/>
    <w:rsid w:val="002873B4"/>
    <w:rsid w:val="00287CD2"/>
    <w:rsid w:val="00287EA1"/>
    <w:rsid w:val="0029018A"/>
    <w:rsid w:val="00290F37"/>
    <w:rsid w:val="002916D5"/>
    <w:rsid w:val="00291CF1"/>
    <w:rsid w:val="002923DE"/>
    <w:rsid w:val="0029243F"/>
    <w:rsid w:val="00293040"/>
    <w:rsid w:val="00294106"/>
    <w:rsid w:val="00296A53"/>
    <w:rsid w:val="00296B11"/>
    <w:rsid w:val="00296D58"/>
    <w:rsid w:val="00296E41"/>
    <w:rsid w:val="002A1E17"/>
    <w:rsid w:val="002A211E"/>
    <w:rsid w:val="002A4297"/>
    <w:rsid w:val="002A4762"/>
    <w:rsid w:val="002A4A44"/>
    <w:rsid w:val="002A6039"/>
    <w:rsid w:val="002A7381"/>
    <w:rsid w:val="002A7508"/>
    <w:rsid w:val="002B0361"/>
    <w:rsid w:val="002B0616"/>
    <w:rsid w:val="002B17CF"/>
    <w:rsid w:val="002B1B65"/>
    <w:rsid w:val="002B242E"/>
    <w:rsid w:val="002B2970"/>
    <w:rsid w:val="002B38E4"/>
    <w:rsid w:val="002B4827"/>
    <w:rsid w:val="002B4F16"/>
    <w:rsid w:val="002B50EC"/>
    <w:rsid w:val="002B5698"/>
    <w:rsid w:val="002B6BE7"/>
    <w:rsid w:val="002B6DBF"/>
    <w:rsid w:val="002B7388"/>
    <w:rsid w:val="002C0519"/>
    <w:rsid w:val="002C0799"/>
    <w:rsid w:val="002C07AC"/>
    <w:rsid w:val="002C15DB"/>
    <w:rsid w:val="002C1866"/>
    <w:rsid w:val="002C3185"/>
    <w:rsid w:val="002C4D46"/>
    <w:rsid w:val="002C5BED"/>
    <w:rsid w:val="002C5D8F"/>
    <w:rsid w:val="002C5DBA"/>
    <w:rsid w:val="002C679A"/>
    <w:rsid w:val="002C7F2E"/>
    <w:rsid w:val="002D0CAB"/>
    <w:rsid w:val="002D1015"/>
    <w:rsid w:val="002D1631"/>
    <w:rsid w:val="002D1794"/>
    <w:rsid w:val="002D2DBD"/>
    <w:rsid w:val="002D3FD0"/>
    <w:rsid w:val="002D4678"/>
    <w:rsid w:val="002D53ED"/>
    <w:rsid w:val="002D5414"/>
    <w:rsid w:val="002D58DE"/>
    <w:rsid w:val="002D58F8"/>
    <w:rsid w:val="002D5DD0"/>
    <w:rsid w:val="002D7BD9"/>
    <w:rsid w:val="002D7E95"/>
    <w:rsid w:val="002E184B"/>
    <w:rsid w:val="002E2750"/>
    <w:rsid w:val="002E276D"/>
    <w:rsid w:val="002E2B41"/>
    <w:rsid w:val="002E314F"/>
    <w:rsid w:val="002E4877"/>
    <w:rsid w:val="002E6244"/>
    <w:rsid w:val="002E6EC7"/>
    <w:rsid w:val="002E7E01"/>
    <w:rsid w:val="002F158C"/>
    <w:rsid w:val="002F1F5D"/>
    <w:rsid w:val="002F2788"/>
    <w:rsid w:val="002F380B"/>
    <w:rsid w:val="002F3E1F"/>
    <w:rsid w:val="002F3E34"/>
    <w:rsid w:val="002F42C8"/>
    <w:rsid w:val="002F4CE1"/>
    <w:rsid w:val="002F5226"/>
    <w:rsid w:val="002F56DE"/>
    <w:rsid w:val="002F6482"/>
    <w:rsid w:val="00300F22"/>
    <w:rsid w:val="003013AB"/>
    <w:rsid w:val="00302AF9"/>
    <w:rsid w:val="00303824"/>
    <w:rsid w:val="00304A37"/>
    <w:rsid w:val="00304CAC"/>
    <w:rsid w:val="00305486"/>
    <w:rsid w:val="003054C6"/>
    <w:rsid w:val="00305B8A"/>
    <w:rsid w:val="00305F57"/>
    <w:rsid w:val="003063FC"/>
    <w:rsid w:val="00306AEA"/>
    <w:rsid w:val="00306F8F"/>
    <w:rsid w:val="003077A5"/>
    <w:rsid w:val="00310AC5"/>
    <w:rsid w:val="00310ED4"/>
    <w:rsid w:val="00312301"/>
    <w:rsid w:val="00312F1D"/>
    <w:rsid w:val="00313195"/>
    <w:rsid w:val="00313605"/>
    <w:rsid w:val="0031492A"/>
    <w:rsid w:val="00314AF5"/>
    <w:rsid w:val="00316AF2"/>
    <w:rsid w:val="00316BEC"/>
    <w:rsid w:val="00316C1A"/>
    <w:rsid w:val="00316FB4"/>
    <w:rsid w:val="00317541"/>
    <w:rsid w:val="00317FB2"/>
    <w:rsid w:val="00321385"/>
    <w:rsid w:val="003235CB"/>
    <w:rsid w:val="00323C73"/>
    <w:rsid w:val="00323F32"/>
    <w:rsid w:val="003244AF"/>
    <w:rsid w:val="00324B96"/>
    <w:rsid w:val="003252D6"/>
    <w:rsid w:val="00326CAE"/>
    <w:rsid w:val="00326E46"/>
    <w:rsid w:val="00327C43"/>
    <w:rsid w:val="00327C9E"/>
    <w:rsid w:val="00331141"/>
    <w:rsid w:val="003315CD"/>
    <w:rsid w:val="003316E7"/>
    <w:rsid w:val="00331EE5"/>
    <w:rsid w:val="003324DF"/>
    <w:rsid w:val="00333ABE"/>
    <w:rsid w:val="00333D45"/>
    <w:rsid w:val="00334F29"/>
    <w:rsid w:val="003355A0"/>
    <w:rsid w:val="00335D05"/>
    <w:rsid w:val="0033675F"/>
    <w:rsid w:val="00337801"/>
    <w:rsid w:val="00337E95"/>
    <w:rsid w:val="0034035F"/>
    <w:rsid w:val="00341100"/>
    <w:rsid w:val="00341547"/>
    <w:rsid w:val="00341B7D"/>
    <w:rsid w:val="00343355"/>
    <w:rsid w:val="003433E0"/>
    <w:rsid w:val="00343618"/>
    <w:rsid w:val="00343D4E"/>
    <w:rsid w:val="00344358"/>
    <w:rsid w:val="00344758"/>
    <w:rsid w:val="00345440"/>
    <w:rsid w:val="00345D86"/>
    <w:rsid w:val="00346672"/>
    <w:rsid w:val="00346A46"/>
    <w:rsid w:val="00347142"/>
    <w:rsid w:val="00347D59"/>
    <w:rsid w:val="003503CC"/>
    <w:rsid w:val="00350454"/>
    <w:rsid w:val="003509FC"/>
    <w:rsid w:val="00350B4C"/>
    <w:rsid w:val="00351349"/>
    <w:rsid w:val="00352890"/>
    <w:rsid w:val="00353DAF"/>
    <w:rsid w:val="00354755"/>
    <w:rsid w:val="003555C9"/>
    <w:rsid w:val="00356501"/>
    <w:rsid w:val="003565A8"/>
    <w:rsid w:val="003566EA"/>
    <w:rsid w:val="00356A6B"/>
    <w:rsid w:val="0035711A"/>
    <w:rsid w:val="003577B4"/>
    <w:rsid w:val="00357DC2"/>
    <w:rsid w:val="003600FC"/>
    <w:rsid w:val="0036066E"/>
    <w:rsid w:val="00361099"/>
    <w:rsid w:val="00361A61"/>
    <w:rsid w:val="00362063"/>
    <w:rsid w:val="003624A4"/>
    <w:rsid w:val="00362ECD"/>
    <w:rsid w:val="00363B44"/>
    <w:rsid w:val="003642DF"/>
    <w:rsid w:val="00364368"/>
    <w:rsid w:val="00364721"/>
    <w:rsid w:val="0036600E"/>
    <w:rsid w:val="003704A9"/>
    <w:rsid w:val="00370548"/>
    <w:rsid w:val="003707B7"/>
    <w:rsid w:val="00370DB0"/>
    <w:rsid w:val="003717CF"/>
    <w:rsid w:val="003726B4"/>
    <w:rsid w:val="0037271D"/>
    <w:rsid w:val="00372BA7"/>
    <w:rsid w:val="00372C79"/>
    <w:rsid w:val="00373CD5"/>
    <w:rsid w:val="00373E56"/>
    <w:rsid w:val="003753B0"/>
    <w:rsid w:val="0037596A"/>
    <w:rsid w:val="0037660E"/>
    <w:rsid w:val="00376E81"/>
    <w:rsid w:val="00380798"/>
    <w:rsid w:val="00382568"/>
    <w:rsid w:val="00383028"/>
    <w:rsid w:val="003830BD"/>
    <w:rsid w:val="00383137"/>
    <w:rsid w:val="00384693"/>
    <w:rsid w:val="00385E85"/>
    <w:rsid w:val="0038794A"/>
    <w:rsid w:val="00387A53"/>
    <w:rsid w:val="00387F53"/>
    <w:rsid w:val="00390185"/>
    <w:rsid w:val="00390304"/>
    <w:rsid w:val="00390ADF"/>
    <w:rsid w:val="00390F56"/>
    <w:rsid w:val="003910E5"/>
    <w:rsid w:val="00392042"/>
    <w:rsid w:val="0039230A"/>
    <w:rsid w:val="00392F7D"/>
    <w:rsid w:val="003932B7"/>
    <w:rsid w:val="003946E9"/>
    <w:rsid w:val="003964BC"/>
    <w:rsid w:val="00396DFB"/>
    <w:rsid w:val="0039781D"/>
    <w:rsid w:val="00397A07"/>
    <w:rsid w:val="00397EE7"/>
    <w:rsid w:val="003A1754"/>
    <w:rsid w:val="003A1F1B"/>
    <w:rsid w:val="003A2276"/>
    <w:rsid w:val="003A2D5B"/>
    <w:rsid w:val="003A3127"/>
    <w:rsid w:val="003A3EF8"/>
    <w:rsid w:val="003A47DA"/>
    <w:rsid w:val="003A4B82"/>
    <w:rsid w:val="003A51CF"/>
    <w:rsid w:val="003A5872"/>
    <w:rsid w:val="003A7662"/>
    <w:rsid w:val="003A7AF7"/>
    <w:rsid w:val="003B0FA3"/>
    <w:rsid w:val="003B10A2"/>
    <w:rsid w:val="003B16D2"/>
    <w:rsid w:val="003B2843"/>
    <w:rsid w:val="003B5635"/>
    <w:rsid w:val="003B5AB9"/>
    <w:rsid w:val="003B62F4"/>
    <w:rsid w:val="003B73D2"/>
    <w:rsid w:val="003B78C4"/>
    <w:rsid w:val="003C15CA"/>
    <w:rsid w:val="003C176D"/>
    <w:rsid w:val="003C2177"/>
    <w:rsid w:val="003C2282"/>
    <w:rsid w:val="003C412E"/>
    <w:rsid w:val="003C51A4"/>
    <w:rsid w:val="003C5249"/>
    <w:rsid w:val="003C5B50"/>
    <w:rsid w:val="003C5D72"/>
    <w:rsid w:val="003C62E4"/>
    <w:rsid w:val="003C7EAA"/>
    <w:rsid w:val="003D033B"/>
    <w:rsid w:val="003D4FAB"/>
    <w:rsid w:val="003D50B5"/>
    <w:rsid w:val="003D5987"/>
    <w:rsid w:val="003D6E39"/>
    <w:rsid w:val="003D7F08"/>
    <w:rsid w:val="003D7F40"/>
    <w:rsid w:val="003E2B6E"/>
    <w:rsid w:val="003E3294"/>
    <w:rsid w:val="003E36ED"/>
    <w:rsid w:val="003E3E04"/>
    <w:rsid w:val="003E53F7"/>
    <w:rsid w:val="003E6573"/>
    <w:rsid w:val="003E7292"/>
    <w:rsid w:val="003E7A6B"/>
    <w:rsid w:val="003F036C"/>
    <w:rsid w:val="003F2C0C"/>
    <w:rsid w:val="003F340E"/>
    <w:rsid w:val="003F35EA"/>
    <w:rsid w:val="003F3C9D"/>
    <w:rsid w:val="003F434F"/>
    <w:rsid w:val="003F46A3"/>
    <w:rsid w:val="003F5A34"/>
    <w:rsid w:val="003F5BD1"/>
    <w:rsid w:val="003F7B5D"/>
    <w:rsid w:val="00402FDC"/>
    <w:rsid w:val="004039AB"/>
    <w:rsid w:val="00403A02"/>
    <w:rsid w:val="00404097"/>
    <w:rsid w:val="00404BCA"/>
    <w:rsid w:val="00406B1D"/>
    <w:rsid w:val="004101D4"/>
    <w:rsid w:val="0041075E"/>
    <w:rsid w:val="00410793"/>
    <w:rsid w:val="00410DF6"/>
    <w:rsid w:val="0041104F"/>
    <w:rsid w:val="00411446"/>
    <w:rsid w:val="0041148F"/>
    <w:rsid w:val="004117F4"/>
    <w:rsid w:val="00411B1F"/>
    <w:rsid w:val="0041287E"/>
    <w:rsid w:val="004167D7"/>
    <w:rsid w:val="00417303"/>
    <w:rsid w:val="004173F1"/>
    <w:rsid w:val="00421134"/>
    <w:rsid w:val="004214AB"/>
    <w:rsid w:val="004217E7"/>
    <w:rsid w:val="00422417"/>
    <w:rsid w:val="00423376"/>
    <w:rsid w:val="004239EF"/>
    <w:rsid w:val="00424233"/>
    <w:rsid w:val="00424F82"/>
    <w:rsid w:val="00425E77"/>
    <w:rsid w:val="00426922"/>
    <w:rsid w:val="00427668"/>
    <w:rsid w:val="00430C8D"/>
    <w:rsid w:val="004324ED"/>
    <w:rsid w:val="00432BB3"/>
    <w:rsid w:val="00433301"/>
    <w:rsid w:val="0043402C"/>
    <w:rsid w:val="00434B28"/>
    <w:rsid w:val="0043626D"/>
    <w:rsid w:val="00436B6B"/>
    <w:rsid w:val="004372AC"/>
    <w:rsid w:val="00440521"/>
    <w:rsid w:val="00441AF0"/>
    <w:rsid w:val="0044444F"/>
    <w:rsid w:val="0044590A"/>
    <w:rsid w:val="004462FD"/>
    <w:rsid w:val="004509DC"/>
    <w:rsid w:val="00451B00"/>
    <w:rsid w:val="004522BD"/>
    <w:rsid w:val="00452933"/>
    <w:rsid w:val="00452B71"/>
    <w:rsid w:val="00452F62"/>
    <w:rsid w:val="004536E1"/>
    <w:rsid w:val="0045564B"/>
    <w:rsid w:val="00455E96"/>
    <w:rsid w:val="00457B2A"/>
    <w:rsid w:val="0046068A"/>
    <w:rsid w:val="00460D3A"/>
    <w:rsid w:val="00461268"/>
    <w:rsid w:val="0046213C"/>
    <w:rsid w:val="0046231F"/>
    <w:rsid w:val="004635C7"/>
    <w:rsid w:val="004639CB"/>
    <w:rsid w:val="00463B75"/>
    <w:rsid w:val="004646B5"/>
    <w:rsid w:val="00464FE2"/>
    <w:rsid w:val="00466B3C"/>
    <w:rsid w:val="00467CF0"/>
    <w:rsid w:val="00470A08"/>
    <w:rsid w:val="0047106A"/>
    <w:rsid w:val="004712FB"/>
    <w:rsid w:val="00471747"/>
    <w:rsid w:val="00471952"/>
    <w:rsid w:val="004723FE"/>
    <w:rsid w:val="00472974"/>
    <w:rsid w:val="00472EFF"/>
    <w:rsid w:val="00474063"/>
    <w:rsid w:val="00474F49"/>
    <w:rsid w:val="00476159"/>
    <w:rsid w:val="00476793"/>
    <w:rsid w:val="00477B94"/>
    <w:rsid w:val="00481A92"/>
    <w:rsid w:val="00484411"/>
    <w:rsid w:val="004849F1"/>
    <w:rsid w:val="00486161"/>
    <w:rsid w:val="004869C5"/>
    <w:rsid w:val="00486D7C"/>
    <w:rsid w:val="00490343"/>
    <w:rsid w:val="00490430"/>
    <w:rsid w:val="00490FBB"/>
    <w:rsid w:val="00491B83"/>
    <w:rsid w:val="00491C0D"/>
    <w:rsid w:val="00491EB3"/>
    <w:rsid w:val="00491EFB"/>
    <w:rsid w:val="00492696"/>
    <w:rsid w:val="00492801"/>
    <w:rsid w:val="004929BC"/>
    <w:rsid w:val="00493285"/>
    <w:rsid w:val="00494083"/>
    <w:rsid w:val="00494951"/>
    <w:rsid w:val="00494D37"/>
    <w:rsid w:val="00495D3C"/>
    <w:rsid w:val="0049708D"/>
    <w:rsid w:val="00497C67"/>
    <w:rsid w:val="00497CBE"/>
    <w:rsid w:val="004A0539"/>
    <w:rsid w:val="004A0F7E"/>
    <w:rsid w:val="004A0FC2"/>
    <w:rsid w:val="004A14A0"/>
    <w:rsid w:val="004A187B"/>
    <w:rsid w:val="004A2B44"/>
    <w:rsid w:val="004A2D3C"/>
    <w:rsid w:val="004A5006"/>
    <w:rsid w:val="004A64E3"/>
    <w:rsid w:val="004A788B"/>
    <w:rsid w:val="004B21AF"/>
    <w:rsid w:val="004B2B2C"/>
    <w:rsid w:val="004B2C90"/>
    <w:rsid w:val="004B2F06"/>
    <w:rsid w:val="004B3276"/>
    <w:rsid w:val="004B3EE0"/>
    <w:rsid w:val="004B409A"/>
    <w:rsid w:val="004B4E0B"/>
    <w:rsid w:val="004B50B5"/>
    <w:rsid w:val="004B5C69"/>
    <w:rsid w:val="004B5F11"/>
    <w:rsid w:val="004C0377"/>
    <w:rsid w:val="004C099E"/>
    <w:rsid w:val="004C0DCA"/>
    <w:rsid w:val="004C0E52"/>
    <w:rsid w:val="004C178C"/>
    <w:rsid w:val="004C2A02"/>
    <w:rsid w:val="004C3351"/>
    <w:rsid w:val="004C3AA6"/>
    <w:rsid w:val="004C61BA"/>
    <w:rsid w:val="004C6D41"/>
    <w:rsid w:val="004C6E37"/>
    <w:rsid w:val="004C71D8"/>
    <w:rsid w:val="004C7221"/>
    <w:rsid w:val="004C7412"/>
    <w:rsid w:val="004C75B6"/>
    <w:rsid w:val="004C7A30"/>
    <w:rsid w:val="004C7BB3"/>
    <w:rsid w:val="004C7DD3"/>
    <w:rsid w:val="004D04BF"/>
    <w:rsid w:val="004D0785"/>
    <w:rsid w:val="004D0F38"/>
    <w:rsid w:val="004D339F"/>
    <w:rsid w:val="004D3E5C"/>
    <w:rsid w:val="004D5048"/>
    <w:rsid w:val="004D57B0"/>
    <w:rsid w:val="004D68FC"/>
    <w:rsid w:val="004E05FB"/>
    <w:rsid w:val="004E071F"/>
    <w:rsid w:val="004E0DFF"/>
    <w:rsid w:val="004E110F"/>
    <w:rsid w:val="004E3686"/>
    <w:rsid w:val="004E3C11"/>
    <w:rsid w:val="004E3EBC"/>
    <w:rsid w:val="004E3FB0"/>
    <w:rsid w:val="004E4455"/>
    <w:rsid w:val="004E572D"/>
    <w:rsid w:val="004E63ED"/>
    <w:rsid w:val="004E6458"/>
    <w:rsid w:val="004E6820"/>
    <w:rsid w:val="004E7727"/>
    <w:rsid w:val="004E7C4F"/>
    <w:rsid w:val="004F0881"/>
    <w:rsid w:val="004F104B"/>
    <w:rsid w:val="004F1AD0"/>
    <w:rsid w:val="004F1C7C"/>
    <w:rsid w:val="004F258D"/>
    <w:rsid w:val="004F30B0"/>
    <w:rsid w:val="004F32C3"/>
    <w:rsid w:val="004F3C76"/>
    <w:rsid w:val="004F50D8"/>
    <w:rsid w:val="004F67D7"/>
    <w:rsid w:val="004F681A"/>
    <w:rsid w:val="00500712"/>
    <w:rsid w:val="00500887"/>
    <w:rsid w:val="005008D6"/>
    <w:rsid w:val="00502119"/>
    <w:rsid w:val="005036E7"/>
    <w:rsid w:val="005038CB"/>
    <w:rsid w:val="00506D98"/>
    <w:rsid w:val="00507028"/>
    <w:rsid w:val="005070C8"/>
    <w:rsid w:val="005100A6"/>
    <w:rsid w:val="00510979"/>
    <w:rsid w:val="00511445"/>
    <w:rsid w:val="005123F0"/>
    <w:rsid w:val="00513540"/>
    <w:rsid w:val="00513706"/>
    <w:rsid w:val="00513941"/>
    <w:rsid w:val="00514265"/>
    <w:rsid w:val="00515202"/>
    <w:rsid w:val="00516207"/>
    <w:rsid w:val="00516645"/>
    <w:rsid w:val="0051680E"/>
    <w:rsid w:val="005169B1"/>
    <w:rsid w:val="005172F8"/>
    <w:rsid w:val="005179AC"/>
    <w:rsid w:val="00517D9D"/>
    <w:rsid w:val="00520B47"/>
    <w:rsid w:val="00520C63"/>
    <w:rsid w:val="0052188A"/>
    <w:rsid w:val="00523940"/>
    <w:rsid w:val="00523A1B"/>
    <w:rsid w:val="00523BAB"/>
    <w:rsid w:val="00523E39"/>
    <w:rsid w:val="00524E40"/>
    <w:rsid w:val="0052576C"/>
    <w:rsid w:val="005271D1"/>
    <w:rsid w:val="0053051D"/>
    <w:rsid w:val="005362B9"/>
    <w:rsid w:val="0053636B"/>
    <w:rsid w:val="005409F4"/>
    <w:rsid w:val="005429E4"/>
    <w:rsid w:val="00543AB3"/>
    <w:rsid w:val="00543C70"/>
    <w:rsid w:val="005442DF"/>
    <w:rsid w:val="00544D95"/>
    <w:rsid w:val="00545097"/>
    <w:rsid w:val="00545C0F"/>
    <w:rsid w:val="00546349"/>
    <w:rsid w:val="00546DDB"/>
    <w:rsid w:val="0055136B"/>
    <w:rsid w:val="005520D3"/>
    <w:rsid w:val="00556831"/>
    <w:rsid w:val="00556D12"/>
    <w:rsid w:val="005571EA"/>
    <w:rsid w:val="00561A48"/>
    <w:rsid w:val="00564208"/>
    <w:rsid w:val="00564802"/>
    <w:rsid w:val="00564AE3"/>
    <w:rsid w:val="00564C98"/>
    <w:rsid w:val="00564F5A"/>
    <w:rsid w:val="00566F57"/>
    <w:rsid w:val="0056771B"/>
    <w:rsid w:val="00570468"/>
    <w:rsid w:val="005711AF"/>
    <w:rsid w:val="005715A6"/>
    <w:rsid w:val="00571CEB"/>
    <w:rsid w:val="0057367D"/>
    <w:rsid w:val="00575AEF"/>
    <w:rsid w:val="00576A2E"/>
    <w:rsid w:val="00577844"/>
    <w:rsid w:val="00577D4F"/>
    <w:rsid w:val="005810C8"/>
    <w:rsid w:val="005821C1"/>
    <w:rsid w:val="00582391"/>
    <w:rsid w:val="005824EE"/>
    <w:rsid w:val="00582664"/>
    <w:rsid w:val="00582818"/>
    <w:rsid w:val="0058283B"/>
    <w:rsid w:val="00582BF6"/>
    <w:rsid w:val="00585AF1"/>
    <w:rsid w:val="00586E03"/>
    <w:rsid w:val="005872C5"/>
    <w:rsid w:val="00587642"/>
    <w:rsid w:val="00587B35"/>
    <w:rsid w:val="00590AA6"/>
    <w:rsid w:val="00591951"/>
    <w:rsid w:val="00593F4C"/>
    <w:rsid w:val="0059490A"/>
    <w:rsid w:val="0059494E"/>
    <w:rsid w:val="00594C52"/>
    <w:rsid w:val="00595A7A"/>
    <w:rsid w:val="00596402"/>
    <w:rsid w:val="00596608"/>
    <w:rsid w:val="00596BD8"/>
    <w:rsid w:val="00596CE6"/>
    <w:rsid w:val="00596E34"/>
    <w:rsid w:val="00597C7D"/>
    <w:rsid w:val="005A02D4"/>
    <w:rsid w:val="005A11F5"/>
    <w:rsid w:val="005A1258"/>
    <w:rsid w:val="005A1368"/>
    <w:rsid w:val="005A13F9"/>
    <w:rsid w:val="005A2B35"/>
    <w:rsid w:val="005A3018"/>
    <w:rsid w:val="005A3C55"/>
    <w:rsid w:val="005A4A6B"/>
    <w:rsid w:val="005A4CBA"/>
    <w:rsid w:val="005A4EF6"/>
    <w:rsid w:val="005A5F26"/>
    <w:rsid w:val="005A6AFA"/>
    <w:rsid w:val="005A7F27"/>
    <w:rsid w:val="005B1EDA"/>
    <w:rsid w:val="005B249C"/>
    <w:rsid w:val="005B3507"/>
    <w:rsid w:val="005B48CB"/>
    <w:rsid w:val="005B58FB"/>
    <w:rsid w:val="005B5EE1"/>
    <w:rsid w:val="005B7051"/>
    <w:rsid w:val="005B7350"/>
    <w:rsid w:val="005B7740"/>
    <w:rsid w:val="005C042D"/>
    <w:rsid w:val="005C0B82"/>
    <w:rsid w:val="005C1510"/>
    <w:rsid w:val="005C15D5"/>
    <w:rsid w:val="005C1CDE"/>
    <w:rsid w:val="005C228D"/>
    <w:rsid w:val="005C29E9"/>
    <w:rsid w:val="005C3322"/>
    <w:rsid w:val="005C4EC6"/>
    <w:rsid w:val="005C54F5"/>
    <w:rsid w:val="005C5846"/>
    <w:rsid w:val="005C5A3C"/>
    <w:rsid w:val="005C5D41"/>
    <w:rsid w:val="005C6727"/>
    <w:rsid w:val="005C67C0"/>
    <w:rsid w:val="005C67F6"/>
    <w:rsid w:val="005C6EE7"/>
    <w:rsid w:val="005C78FC"/>
    <w:rsid w:val="005C7A9A"/>
    <w:rsid w:val="005C7ABC"/>
    <w:rsid w:val="005D0272"/>
    <w:rsid w:val="005D09F6"/>
    <w:rsid w:val="005D11E9"/>
    <w:rsid w:val="005D14F1"/>
    <w:rsid w:val="005D1F34"/>
    <w:rsid w:val="005D2149"/>
    <w:rsid w:val="005D2215"/>
    <w:rsid w:val="005D22AC"/>
    <w:rsid w:val="005D2420"/>
    <w:rsid w:val="005D2751"/>
    <w:rsid w:val="005D2F21"/>
    <w:rsid w:val="005D383D"/>
    <w:rsid w:val="005D3A6C"/>
    <w:rsid w:val="005D4C1C"/>
    <w:rsid w:val="005D4EF7"/>
    <w:rsid w:val="005D5644"/>
    <w:rsid w:val="005D592C"/>
    <w:rsid w:val="005D6D42"/>
    <w:rsid w:val="005D7038"/>
    <w:rsid w:val="005D7D94"/>
    <w:rsid w:val="005E1431"/>
    <w:rsid w:val="005E16A0"/>
    <w:rsid w:val="005E2069"/>
    <w:rsid w:val="005E3EAC"/>
    <w:rsid w:val="005E6331"/>
    <w:rsid w:val="005E6B7D"/>
    <w:rsid w:val="005E6BF1"/>
    <w:rsid w:val="005F318B"/>
    <w:rsid w:val="005F35E4"/>
    <w:rsid w:val="005F4544"/>
    <w:rsid w:val="005F4B30"/>
    <w:rsid w:val="005F6E9E"/>
    <w:rsid w:val="00600583"/>
    <w:rsid w:val="00600AF3"/>
    <w:rsid w:val="00601B38"/>
    <w:rsid w:val="00602A0D"/>
    <w:rsid w:val="00602A8C"/>
    <w:rsid w:val="0060374D"/>
    <w:rsid w:val="00604BA9"/>
    <w:rsid w:val="00604F32"/>
    <w:rsid w:val="0060581F"/>
    <w:rsid w:val="006066C1"/>
    <w:rsid w:val="006110A0"/>
    <w:rsid w:val="0061171E"/>
    <w:rsid w:val="00612444"/>
    <w:rsid w:val="0061384A"/>
    <w:rsid w:val="006150BE"/>
    <w:rsid w:val="00616509"/>
    <w:rsid w:val="006171ED"/>
    <w:rsid w:val="00620CB8"/>
    <w:rsid w:val="00622596"/>
    <w:rsid w:val="006228C5"/>
    <w:rsid w:val="00622CD3"/>
    <w:rsid w:val="00622E95"/>
    <w:rsid w:val="006246B4"/>
    <w:rsid w:val="006269C3"/>
    <w:rsid w:val="00627E04"/>
    <w:rsid w:val="00630789"/>
    <w:rsid w:val="00630D63"/>
    <w:rsid w:val="00631136"/>
    <w:rsid w:val="00631F0D"/>
    <w:rsid w:val="00632374"/>
    <w:rsid w:val="00632CEA"/>
    <w:rsid w:val="00632F00"/>
    <w:rsid w:val="00633514"/>
    <w:rsid w:val="00633D95"/>
    <w:rsid w:val="00633E96"/>
    <w:rsid w:val="006357D1"/>
    <w:rsid w:val="00636F94"/>
    <w:rsid w:val="006379E0"/>
    <w:rsid w:val="00637F6C"/>
    <w:rsid w:val="00640645"/>
    <w:rsid w:val="00640D8D"/>
    <w:rsid w:val="00640FF1"/>
    <w:rsid w:val="00642559"/>
    <w:rsid w:val="00644424"/>
    <w:rsid w:val="00644530"/>
    <w:rsid w:val="00644E1D"/>
    <w:rsid w:val="00647287"/>
    <w:rsid w:val="006478E3"/>
    <w:rsid w:val="006507D7"/>
    <w:rsid w:val="00650999"/>
    <w:rsid w:val="00651006"/>
    <w:rsid w:val="00651752"/>
    <w:rsid w:val="00652A5B"/>
    <w:rsid w:val="0065305C"/>
    <w:rsid w:val="00653243"/>
    <w:rsid w:val="00654793"/>
    <w:rsid w:val="00654CE1"/>
    <w:rsid w:val="0065602C"/>
    <w:rsid w:val="00657F20"/>
    <w:rsid w:val="00660BD3"/>
    <w:rsid w:val="0066292D"/>
    <w:rsid w:val="00662D77"/>
    <w:rsid w:val="00662FDD"/>
    <w:rsid w:val="006644A6"/>
    <w:rsid w:val="00664A98"/>
    <w:rsid w:val="00664D16"/>
    <w:rsid w:val="0066512A"/>
    <w:rsid w:val="00665F5C"/>
    <w:rsid w:val="00670992"/>
    <w:rsid w:val="00671BA2"/>
    <w:rsid w:val="006726F6"/>
    <w:rsid w:val="00672AA1"/>
    <w:rsid w:val="0067322F"/>
    <w:rsid w:val="00673283"/>
    <w:rsid w:val="00673BE8"/>
    <w:rsid w:val="00674659"/>
    <w:rsid w:val="00674821"/>
    <w:rsid w:val="00675A00"/>
    <w:rsid w:val="00676098"/>
    <w:rsid w:val="0067611B"/>
    <w:rsid w:val="006766FA"/>
    <w:rsid w:val="00677B11"/>
    <w:rsid w:val="00677CA3"/>
    <w:rsid w:val="0068026C"/>
    <w:rsid w:val="006804E9"/>
    <w:rsid w:val="00681690"/>
    <w:rsid w:val="00682CDB"/>
    <w:rsid w:val="00683401"/>
    <w:rsid w:val="006837C1"/>
    <w:rsid w:val="006849E6"/>
    <w:rsid w:val="00684A95"/>
    <w:rsid w:val="006855FE"/>
    <w:rsid w:val="00686730"/>
    <w:rsid w:val="00686AA5"/>
    <w:rsid w:val="006874D2"/>
    <w:rsid w:val="00687C22"/>
    <w:rsid w:val="0069149D"/>
    <w:rsid w:val="006918F5"/>
    <w:rsid w:val="00691CC5"/>
    <w:rsid w:val="00692F75"/>
    <w:rsid w:val="00693B39"/>
    <w:rsid w:val="00693CDC"/>
    <w:rsid w:val="00694428"/>
    <w:rsid w:val="00695056"/>
    <w:rsid w:val="00696CCB"/>
    <w:rsid w:val="00696FB0"/>
    <w:rsid w:val="0069716B"/>
    <w:rsid w:val="0069745A"/>
    <w:rsid w:val="006A3511"/>
    <w:rsid w:val="006A3A58"/>
    <w:rsid w:val="006A5035"/>
    <w:rsid w:val="006A5CDE"/>
    <w:rsid w:val="006A5E2B"/>
    <w:rsid w:val="006A5F5D"/>
    <w:rsid w:val="006A6BB3"/>
    <w:rsid w:val="006A731B"/>
    <w:rsid w:val="006A7C57"/>
    <w:rsid w:val="006A7FB9"/>
    <w:rsid w:val="006B071A"/>
    <w:rsid w:val="006B20B9"/>
    <w:rsid w:val="006B43CF"/>
    <w:rsid w:val="006B55EE"/>
    <w:rsid w:val="006B5A28"/>
    <w:rsid w:val="006B60C6"/>
    <w:rsid w:val="006B67E3"/>
    <w:rsid w:val="006B7E7D"/>
    <w:rsid w:val="006C0BD2"/>
    <w:rsid w:val="006C127C"/>
    <w:rsid w:val="006C1499"/>
    <w:rsid w:val="006C2A58"/>
    <w:rsid w:val="006C3188"/>
    <w:rsid w:val="006C40AF"/>
    <w:rsid w:val="006C4FFE"/>
    <w:rsid w:val="006C5828"/>
    <w:rsid w:val="006C6890"/>
    <w:rsid w:val="006C6A24"/>
    <w:rsid w:val="006C7ECA"/>
    <w:rsid w:val="006D0023"/>
    <w:rsid w:val="006D336F"/>
    <w:rsid w:val="006D3588"/>
    <w:rsid w:val="006D4844"/>
    <w:rsid w:val="006D5EE5"/>
    <w:rsid w:val="006D621D"/>
    <w:rsid w:val="006D6AC7"/>
    <w:rsid w:val="006D6E68"/>
    <w:rsid w:val="006D766F"/>
    <w:rsid w:val="006E077D"/>
    <w:rsid w:val="006E088A"/>
    <w:rsid w:val="006E088D"/>
    <w:rsid w:val="006E2BB1"/>
    <w:rsid w:val="006E314C"/>
    <w:rsid w:val="006E31F7"/>
    <w:rsid w:val="006E3E3A"/>
    <w:rsid w:val="006E5E46"/>
    <w:rsid w:val="006E6D3B"/>
    <w:rsid w:val="006E7193"/>
    <w:rsid w:val="006E7595"/>
    <w:rsid w:val="006E7A41"/>
    <w:rsid w:val="006E7EB4"/>
    <w:rsid w:val="006F03A2"/>
    <w:rsid w:val="006F0957"/>
    <w:rsid w:val="006F1DCE"/>
    <w:rsid w:val="006F27A8"/>
    <w:rsid w:val="006F2827"/>
    <w:rsid w:val="006F2B9A"/>
    <w:rsid w:val="006F33F9"/>
    <w:rsid w:val="006F3782"/>
    <w:rsid w:val="006F4149"/>
    <w:rsid w:val="006F6AE4"/>
    <w:rsid w:val="007009EC"/>
    <w:rsid w:val="00700DD5"/>
    <w:rsid w:val="00700F41"/>
    <w:rsid w:val="0070126C"/>
    <w:rsid w:val="0070198C"/>
    <w:rsid w:val="00702115"/>
    <w:rsid w:val="00702C69"/>
    <w:rsid w:val="00704382"/>
    <w:rsid w:val="007045FA"/>
    <w:rsid w:val="007048B1"/>
    <w:rsid w:val="0070520E"/>
    <w:rsid w:val="007065A5"/>
    <w:rsid w:val="00706988"/>
    <w:rsid w:val="00706EAB"/>
    <w:rsid w:val="0071036A"/>
    <w:rsid w:val="007135A0"/>
    <w:rsid w:val="00714E8A"/>
    <w:rsid w:val="00716885"/>
    <w:rsid w:val="00716C4B"/>
    <w:rsid w:val="007179E0"/>
    <w:rsid w:val="00717C45"/>
    <w:rsid w:val="0072205C"/>
    <w:rsid w:val="007228E5"/>
    <w:rsid w:val="007236AC"/>
    <w:rsid w:val="00723A50"/>
    <w:rsid w:val="0072422B"/>
    <w:rsid w:val="00724F59"/>
    <w:rsid w:val="0072666D"/>
    <w:rsid w:val="00726B03"/>
    <w:rsid w:val="00730AAD"/>
    <w:rsid w:val="00730BD2"/>
    <w:rsid w:val="00730E47"/>
    <w:rsid w:val="00731408"/>
    <w:rsid w:val="0073271A"/>
    <w:rsid w:val="0073307A"/>
    <w:rsid w:val="00733B67"/>
    <w:rsid w:val="00734650"/>
    <w:rsid w:val="0073545F"/>
    <w:rsid w:val="007354EF"/>
    <w:rsid w:val="0073596C"/>
    <w:rsid w:val="00736579"/>
    <w:rsid w:val="0073718F"/>
    <w:rsid w:val="007379FF"/>
    <w:rsid w:val="00740165"/>
    <w:rsid w:val="007402CA"/>
    <w:rsid w:val="007407B9"/>
    <w:rsid w:val="00741894"/>
    <w:rsid w:val="00741A4B"/>
    <w:rsid w:val="00742068"/>
    <w:rsid w:val="00744502"/>
    <w:rsid w:val="0074651B"/>
    <w:rsid w:val="0074663B"/>
    <w:rsid w:val="00746783"/>
    <w:rsid w:val="00751050"/>
    <w:rsid w:val="00751BDC"/>
    <w:rsid w:val="007522C4"/>
    <w:rsid w:val="00753685"/>
    <w:rsid w:val="007540BF"/>
    <w:rsid w:val="0075494D"/>
    <w:rsid w:val="007565F0"/>
    <w:rsid w:val="007579FA"/>
    <w:rsid w:val="007604AB"/>
    <w:rsid w:val="00761CE9"/>
    <w:rsid w:val="0076467A"/>
    <w:rsid w:val="00764A7F"/>
    <w:rsid w:val="00765B9A"/>
    <w:rsid w:val="00765D17"/>
    <w:rsid w:val="00766167"/>
    <w:rsid w:val="00767E63"/>
    <w:rsid w:val="007703B7"/>
    <w:rsid w:val="007707AB"/>
    <w:rsid w:val="00770DCB"/>
    <w:rsid w:val="00771000"/>
    <w:rsid w:val="0077154B"/>
    <w:rsid w:val="0077225E"/>
    <w:rsid w:val="007736EB"/>
    <w:rsid w:val="00775485"/>
    <w:rsid w:val="00775C3C"/>
    <w:rsid w:val="00775CCF"/>
    <w:rsid w:val="00775F86"/>
    <w:rsid w:val="0077769F"/>
    <w:rsid w:val="00780E40"/>
    <w:rsid w:val="00781AD2"/>
    <w:rsid w:val="007821BE"/>
    <w:rsid w:val="00782FB0"/>
    <w:rsid w:val="00785371"/>
    <w:rsid w:val="0078540A"/>
    <w:rsid w:val="00785618"/>
    <w:rsid w:val="0078656D"/>
    <w:rsid w:val="00786ABC"/>
    <w:rsid w:val="007905D4"/>
    <w:rsid w:val="00791411"/>
    <w:rsid w:val="00792DB9"/>
    <w:rsid w:val="00792E83"/>
    <w:rsid w:val="007932E9"/>
    <w:rsid w:val="00794CE2"/>
    <w:rsid w:val="007A1855"/>
    <w:rsid w:val="007A186D"/>
    <w:rsid w:val="007A1A2A"/>
    <w:rsid w:val="007A1F86"/>
    <w:rsid w:val="007A2233"/>
    <w:rsid w:val="007A2320"/>
    <w:rsid w:val="007A33D2"/>
    <w:rsid w:val="007A35EE"/>
    <w:rsid w:val="007A3D0E"/>
    <w:rsid w:val="007A551D"/>
    <w:rsid w:val="007A6E54"/>
    <w:rsid w:val="007B024D"/>
    <w:rsid w:val="007B11A0"/>
    <w:rsid w:val="007B1C19"/>
    <w:rsid w:val="007B1DE0"/>
    <w:rsid w:val="007B33A6"/>
    <w:rsid w:val="007B33C9"/>
    <w:rsid w:val="007B4AE4"/>
    <w:rsid w:val="007B4E19"/>
    <w:rsid w:val="007B6336"/>
    <w:rsid w:val="007C0912"/>
    <w:rsid w:val="007C0977"/>
    <w:rsid w:val="007C39AB"/>
    <w:rsid w:val="007C4B3F"/>
    <w:rsid w:val="007C6F56"/>
    <w:rsid w:val="007C757B"/>
    <w:rsid w:val="007D0696"/>
    <w:rsid w:val="007D1FC5"/>
    <w:rsid w:val="007D2A40"/>
    <w:rsid w:val="007D2A49"/>
    <w:rsid w:val="007D3586"/>
    <w:rsid w:val="007D387A"/>
    <w:rsid w:val="007D3EAB"/>
    <w:rsid w:val="007D5C0F"/>
    <w:rsid w:val="007E12F9"/>
    <w:rsid w:val="007E1650"/>
    <w:rsid w:val="007E1AFD"/>
    <w:rsid w:val="007E28CA"/>
    <w:rsid w:val="007E2F78"/>
    <w:rsid w:val="007E4569"/>
    <w:rsid w:val="007E5B1E"/>
    <w:rsid w:val="007E5B88"/>
    <w:rsid w:val="007E5FBE"/>
    <w:rsid w:val="007E73C2"/>
    <w:rsid w:val="007E7970"/>
    <w:rsid w:val="007F015F"/>
    <w:rsid w:val="007F0D0B"/>
    <w:rsid w:val="007F1AC8"/>
    <w:rsid w:val="007F2D25"/>
    <w:rsid w:val="007F2DC3"/>
    <w:rsid w:val="007F44EB"/>
    <w:rsid w:val="007F5835"/>
    <w:rsid w:val="007F5DF6"/>
    <w:rsid w:val="007F7408"/>
    <w:rsid w:val="008007A8"/>
    <w:rsid w:val="0080093A"/>
    <w:rsid w:val="008015E6"/>
    <w:rsid w:val="00801738"/>
    <w:rsid w:val="00802A39"/>
    <w:rsid w:val="00803742"/>
    <w:rsid w:val="008042D9"/>
    <w:rsid w:val="00804BC6"/>
    <w:rsid w:val="00806492"/>
    <w:rsid w:val="008070AF"/>
    <w:rsid w:val="00807E02"/>
    <w:rsid w:val="008102DF"/>
    <w:rsid w:val="00810D27"/>
    <w:rsid w:val="008116F0"/>
    <w:rsid w:val="00811ABB"/>
    <w:rsid w:val="00811DB6"/>
    <w:rsid w:val="0081274F"/>
    <w:rsid w:val="008135C3"/>
    <w:rsid w:val="00814007"/>
    <w:rsid w:val="00814F56"/>
    <w:rsid w:val="00814FC0"/>
    <w:rsid w:val="00815514"/>
    <w:rsid w:val="00815FB2"/>
    <w:rsid w:val="00816449"/>
    <w:rsid w:val="00820B53"/>
    <w:rsid w:val="008213F4"/>
    <w:rsid w:val="008215E8"/>
    <w:rsid w:val="00821EC8"/>
    <w:rsid w:val="008237D0"/>
    <w:rsid w:val="00824C53"/>
    <w:rsid w:val="008254B4"/>
    <w:rsid w:val="00825F01"/>
    <w:rsid w:val="008265A2"/>
    <w:rsid w:val="00826B7E"/>
    <w:rsid w:val="008274BB"/>
    <w:rsid w:val="00830342"/>
    <w:rsid w:val="00830942"/>
    <w:rsid w:val="00830DBB"/>
    <w:rsid w:val="00830FA2"/>
    <w:rsid w:val="0083218D"/>
    <w:rsid w:val="00832949"/>
    <w:rsid w:val="00834647"/>
    <w:rsid w:val="00834A78"/>
    <w:rsid w:val="0083502A"/>
    <w:rsid w:val="008366DE"/>
    <w:rsid w:val="00836BA4"/>
    <w:rsid w:val="00836BB0"/>
    <w:rsid w:val="00837180"/>
    <w:rsid w:val="00837BD4"/>
    <w:rsid w:val="008401D1"/>
    <w:rsid w:val="00841C10"/>
    <w:rsid w:val="0084205E"/>
    <w:rsid w:val="0084207C"/>
    <w:rsid w:val="008426BC"/>
    <w:rsid w:val="00842CFD"/>
    <w:rsid w:val="008430E8"/>
    <w:rsid w:val="008435C7"/>
    <w:rsid w:val="00843663"/>
    <w:rsid w:val="0084413D"/>
    <w:rsid w:val="008446FA"/>
    <w:rsid w:val="008448DC"/>
    <w:rsid w:val="008468DF"/>
    <w:rsid w:val="00846D3E"/>
    <w:rsid w:val="00846DF4"/>
    <w:rsid w:val="00846E27"/>
    <w:rsid w:val="008471BB"/>
    <w:rsid w:val="00847A4B"/>
    <w:rsid w:val="008518ED"/>
    <w:rsid w:val="00852279"/>
    <w:rsid w:val="00852459"/>
    <w:rsid w:val="008536C0"/>
    <w:rsid w:val="00854629"/>
    <w:rsid w:val="0086181A"/>
    <w:rsid w:val="00862991"/>
    <w:rsid w:val="00862C93"/>
    <w:rsid w:val="00864111"/>
    <w:rsid w:val="008648D2"/>
    <w:rsid w:val="00866254"/>
    <w:rsid w:val="00866792"/>
    <w:rsid w:val="0087074A"/>
    <w:rsid w:val="00870949"/>
    <w:rsid w:val="0087119E"/>
    <w:rsid w:val="00871C78"/>
    <w:rsid w:val="00872136"/>
    <w:rsid w:val="008724B5"/>
    <w:rsid w:val="008724DE"/>
    <w:rsid w:val="00873BD0"/>
    <w:rsid w:val="008747E4"/>
    <w:rsid w:val="00874920"/>
    <w:rsid w:val="00875FD1"/>
    <w:rsid w:val="00876AAA"/>
    <w:rsid w:val="00876B3A"/>
    <w:rsid w:val="00877333"/>
    <w:rsid w:val="008778CD"/>
    <w:rsid w:val="00877BAC"/>
    <w:rsid w:val="00880AB6"/>
    <w:rsid w:val="00881D2B"/>
    <w:rsid w:val="008861AA"/>
    <w:rsid w:val="00886477"/>
    <w:rsid w:val="0088758A"/>
    <w:rsid w:val="00890B2A"/>
    <w:rsid w:val="00891F83"/>
    <w:rsid w:val="0089474A"/>
    <w:rsid w:val="008956E8"/>
    <w:rsid w:val="00895FBF"/>
    <w:rsid w:val="00896FE7"/>
    <w:rsid w:val="00897716"/>
    <w:rsid w:val="008A0C08"/>
    <w:rsid w:val="008A1649"/>
    <w:rsid w:val="008A1F5A"/>
    <w:rsid w:val="008A207F"/>
    <w:rsid w:val="008A2A8B"/>
    <w:rsid w:val="008A31FB"/>
    <w:rsid w:val="008A3D57"/>
    <w:rsid w:val="008A3F56"/>
    <w:rsid w:val="008A44E2"/>
    <w:rsid w:val="008A51F3"/>
    <w:rsid w:val="008A6763"/>
    <w:rsid w:val="008A6957"/>
    <w:rsid w:val="008B0563"/>
    <w:rsid w:val="008B1015"/>
    <w:rsid w:val="008B1963"/>
    <w:rsid w:val="008B1EFC"/>
    <w:rsid w:val="008B23BC"/>
    <w:rsid w:val="008B28FF"/>
    <w:rsid w:val="008B2D37"/>
    <w:rsid w:val="008B6536"/>
    <w:rsid w:val="008B671C"/>
    <w:rsid w:val="008B6A9C"/>
    <w:rsid w:val="008B7D71"/>
    <w:rsid w:val="008B7FCB"/>
    <w:rsid w:val="008C018C"/>
    <w:rsid w:val="008C0F4F"/>
    <w:rsid w:val="008C1961"/>
    <w:rsid w:val="008C1B70"/>
    <w:rsid w:val="008C1BCA"/>
    <w:rsid w:val="008C39D2"/>
    <w:rsid w:val="008C5E9E"/>
    <w:rsid w:val="008C643B"/>
    <w:rsid w:val="008C6E6A"/>
    <w:rsid w:val="008D0330"/>
    <w:rsid w:val="008D20C9"/>
    <w:rsid w:val="008D2996"/>
    <w:rsid w:val="008D2A08"/>
    <w:rsid w:val="008D2B0F"/>
    <w:rsid w:val="008D2BF6"/>
    <w:rsid w:val="008D366B"/>
    <w:rsid w:val="008D3902"/>
    <w:rsid w:val="008D3D10"/>
    <w:rsid w:val="008D4DAA"/>
    <w:rsid w:val="008D5169"/>
    <w:rsid w:val="008D5CEE"/>
    <w:rsid w:val="008D5DC8"/>
    <w:rsid w:val="008D5EFE"/>
    <w:rsid w:val="008D6042"/>
    <w:rsid w:val="008E1A00"/>
    <w:rsid w:val="008E26A3"/>
    <w:rsid w:val="008E285B"/>
    <w:rsid w:val="008E3A0D"/>
    <w:rsid w:val="008E3D60"/>
    <w:rsid w:val="008E3F4C"/>
    <w:rsid w:val="008E5FE3"/>
    <w:rsid w:val="008E677B"/>
    <w:rsid w:val="008E6A52"/>
    <w:rsid w:val="008E6E0F"/>
    <w:rsid w:val="008E76E7"/>
    <w:rsid w:val="008F443D"/>
    <w:rsid w:val="008F5B61"/>
    <w:rsid w:val="008F5E52"/>
    <w:rsid w:val="008F605B"/>
    <w:rsid w:val="008F6F6E"/>
    <w:rsid w:val="008F752F"/>
    <w:rsid w:val="008F7C67"/>
    <w:rsid w:val="009003B8"/>
    <w:rsid w:val="00900EAC"/>
    <w:rsid w:val="009012CF"/>
    <w:rsid w:val="0090145B"/>
    <w:rsid w:val="0090165F"/>
    <w:rsid w:val="00901B82"/>
    <w:rsid w:val="00901E94"/>
    <w:rsid w:val="00902F0D"/>
    <w:rsid w:val="00903827"/>
    <w:rsid w:val="00904890"/>
    <w:rsid w:val="009048BD"/>
    <w:rsid w:val="00904AC0"/>
    <w:rsid w:val="00906EE5"/>
    <w:rsid w:val="00907120"/>
    <w:rsid w:val="009075F4"/>
    <w:rsid w:val="00907A44"/>
    <w:rsid w:val="00907DE0"/>
    <w:rsid w:val="00910343"/>
    <w:rsid w:val="00910EE3"/>
    <w:rsid w:val="00912B09"/>
    <w:rsid w:val="00913B18"/>
    <w:rsid w:val="00914443"/>
    <w:rsid w:val="00914CD9"/>
    <w:rsid w:val="00915B6F"/>
    <w:rsid w:val="00915C24"/>
    <w:rsid w:val="009166CA"/>
    <w:rsid w:val="0091683A"/>
    <w:rsid w:val="00916D3B"/>
    <w:rsid w:val="00920FC9"/>
    <w:rsid w:val="00922483"/>
    <w:rsid w:val="00923B28"/>
    <w:rsid w:val="00925DFB"/>
    <w:rsid w:val="0092618C"/>
    <w:rsid w:val="009267D9"/>
    <w:rsid w:val="00927474"/>
    <w:rsid w:val="009275D2"/>
    <w:rsid w:val="00932704"/>
    <w:rsid w:val="00932CCD"/>
    <w:rsid w:val="00933236"/>
    <w:rsid w:val="009333C1"/>
    <w:rsid w:val="00934B5C"/>
    <w:rsid w:val="00934DF3"/>
    <w:rsid w:val="009353B0"/>
    <w:rsid w:val="00940F14"/>
    <w:rsid w:val="00943F52"/>
    <w:rsid w:val="00944B12"/>
    <w:rsid w:val="00944D31"/>
    <w:rsid w:val="00945BD7"/>
    <w:rsid w:val="00946656"/>
    <w:rsid w:val="009468B6"/>
    <w:rsid w:val="00947054"/>
    <w:rsid w:val="00947328"/>
    <w:rsid w:val="009475D8"/>
    <w:rsid w:val="00950C53"/>
    <w:rsid w:val="00951FFC"/>
    <w:rsid w:val="009553D5"/>
    <w:rsid w:val="00955549"/>
    <w:rsid w:val="009558A6"/>
    <w:rsid w:val="009565D0"/>
    <w:rsid w:val="00956C55"/>
    <w:rsid w:val="009570A2"/>
    <w:rsid w:val="00957655"/>
    <w:rsid w:val="00957C22"/>
    <w:rsid w:val="0096053E"/>
    <w:rsid w:val="00960818"/>
    <w:rsid w:val="009608EC"/>
    <w:rsid w:val="009634DE"/>
    <w:rsid w:val="00964EC0"/>
    <w:rsid w:val="00965C9F"/>
    <w:rsid w:val="00966C2F"/>
    <w:rsid w:val="009671D3"/>
    <w:rsid w:val="009718CF"/>
    <w:rsid w:val="00971CCE"/>
    <w:rsid w:val="00973105"/>
    <w:rsid w:val="00974E33"/>
    <w:rsid w:val="009750A5"/>
    <w:rsid w:val="0097512B"/>
    <w:rsid w:val="009760BB"/>
    <w:rsid w:val="009800D4"/>
    <w:rsid w:val="009803F6"/>
    <w:rsid w:val="00980F58"/>
    <w:rsid w:val="00983F32"/>
    <w:rsid w:val="0098494C"/>
    <w:rsid w:val="00985E5D"/>
    <w:rsid w:val="0098638A"/>
    <w:rsid w:val="009867D4"/>
    <w:rsid w:val="00986A3C"/>
    <w:rsid w:val="00987EAB"/>
    <w:rsid w:val="00990FC7"/>
    <w:rsid w:val="009922CE"/>
    <w:rsid w:val="00992660"/>
    <w:rsid w:val="00992CDA"/>
    <w:rsid w:val="00993ABA"/>
    <w:rsid w:val="00993E1F"/>
    <w:rsid w:val="009A23BB"/>
    <w:rsid w:val="009A35A2"/>
    <w:rsid w:val="009A4444"/>
    <w:rsid w:val="009A5E03"/>
    <w:rsid w:val="009A6A4D"/>
    <w:rsid w:val="009B1785"/>
    <w:rsid w:val="009B1CDA"/>
    <w:rsid w:val="009B20E7"/>
    <w:rsid w:val="009B2FF7"/>
    <w:rsid w:val="009B4233"/>
    <w:rsid w:val="009B4B80"/>
    <w:rsid w:val="009B53B1"/>
    <w:rsid w:val="009B5493"/>
    <w:rsid w:val="009B571A"/>
    <w:rsid w:val="009B7ABA"/>
    <w:rsid w:val="009C04C5"/>
    <w:rsid w:val="009C0DF7"/>
    <w:rsid w:val="009C1A20"/>
    <w:rsid w:val="009C2C30"/>
    <w:rsid w:val="009C375E"/>
    <w:rsid w:val="009C38B0"/>
    <w:rsid w:val="009C3BCD"/>
    <w:rsid w:val="009C41C9"/>
    <w:rsid w:val="009C42CA"/>
    <w:rsid w:val="009C46A7"/>
    <w:rsid w:val="009C4FB2"/>
    <w:rsid w:val="009C5726"/>
    <w:rsid w:val="009D0B2B"/>
    <w:rsid w:val="009D0C1D"/>
    <w:rsid w:val="009D1536"/>
    <w:rsid w:val="009D1D02"/>
    <w:rsid w:val="009D2A84"/>
    <w:rsid w:val="009D2B8B"/>
    <w:rsid w:val="009D3139"/>
    <w:rsid w:val="009D327F"/>
    <w:rsid w:val="009D36F6"/>
    <w:rsid w:val="009D39FD"/>
    <w:rsid w:val="009D4D59"/>
    <w:rsid w:val="009D5292"/>
    <w:rsid w:val="009D6130"/>
    <w:rsid w:val="009D67F6"/>
    <w:rsid w:val="009D6C12"/>
    <w:rsid w:val="009D6C51"/>
    <w:rsid w:val="009D6EC1"/>
    <w:rsid w:val="009E00D6"/>
    <w:rsid w:val="009E0FE1"/>
    <w:rsid w:val="009E1B3D"/>
    <w:rsid w:val="009E2540"/>
    <w:rsid w:val="009E3D52"/>
    <w:rsid w:val="009E4A8F"/>
    <w:rsid w:val="009E5116"/>
    <w:rsid w:val="009E546B"/>
    <w:rsid w:val="009E6891"/>
    <w:rsid w:val="009F0D82"/>
    <w:rsid w:val="009F1026"/>
    <w:rsid w:val="009F21D5"/>
    <w:rsid w:val="009F271E"/>
    <w:rsid w:val="009F2764"/>
    <w:rsid w:val="009F481A"/>
    <w:rsid w:val="00A00386"/>
    <w:rsid w:val="00A016F8"/>
    <w:rsid w:val="00A01F3B"/>
    <w:rsid w:val="00A035E0"/>
    <w:rsid w:val="00A0367E"/>
    <w:rsid w:val="00A037C5"/>
    <w:rsid w:val="00A0406E"/>
    <w:rsid w:val="00A046C2"/>
    <w:rsid w:val="00A05678"/>
    <w:rsid w:val="00A07427"/>
    <w:rsid w:val="00A076B5"/>
    <w:rsid w:val="00A07EDD"/>
    <w:rsid w:val="00A10753"/>
    <w:rsid w:val="00A1110C"/>
    <w:rsid w:val="00A11307"/>
    <w:rsid w:val="00A11692"/>
    <w:rsid w:val="00A117D1"/>
    <w:rsid w:val="00A1300E"/>
    <w:rsid w:val="00A1346D"/>
    <w:rsid w:val="00A13482"/>
    <w:rsid w:val="00A13A29"/>
    <w:rsid w:val="00A13AF3"/>
    <w:rsid w:val="00A14301"/>
    <w:rsid w:val="00A14333"/>
    <w:rsid w:val="00A15123"/>
    <w:rsid w:val="00A15B40"/>
    <w:rsid w:val="00A17721"/>
    <w:rsid w:val="00A20103"/>
    <w:rsid w:val="00A21388"/>
    <w:rsid w:val="00A21B08"/>
    <w:rsid w:val="00A236BB"/>
    <w:rsid w:val="00A23C5E"/>
    <w:rsid w:val="00A2414B"/>
    <w:rsid w:val="00A24751"/>
    <w:rsid w:val="00A25C87"/>
    <w:rsid w:val="00A26F72"/>
    <w:rsid w:val="00A27791"/>
    <w:rsid w:val="00A27A37"/>
    <w:rsid w:val="00A321D9"/>
    <w:rsid w:val="00A32265"/>
    <w:rsid w:val="00A32C68"/>
    <w:rsid w:val="00A32CB2"/>
    <w:rsid w:val="00A33120"/>
    <w:rsid w:val="00A34956"/>
    <w:rsid w:val="00A34A5A"/>
    <w:rsid w:val="00A3540B"/>
    <w:rsid w:val="00A358D3"/>
    <w:rsid w:val="00A35C85"/>
    <w:rsid w:val="00A35D03"/>
    <w:rsid w:val="00A40C4B"/>
    <w:rsid w:val="00A41355"/>
    <w:rsid w:val="00A414A7"/>
    <w:rsid w:val="00A41758"/>
    <w:rsid w:val="00A41BD5"/>
    <w:rsid w:val="00A42C01"/>
    <w:rsid w:val="00A438AA"/>
    <w:rsid w:val="00A43B92"/>
    <w:rsid w:val="00A45201"/>
    <w:rsid w:val="00A45E3A"/>
    <w:rsid w:val="00A507E5"/>
    <w:rsid w:val="00A521BF"/>
    <w:rsid w:val="00A52806"/>
    <w:rsid w:val="00A52E93"/>
    <w:rsid w:val="00A530F9"/>
    <w:rsid w:val="00A54251"/>
    <w:rsid w:val="00A56385"/>
    <w:rsid w:val="00A56A7C"/>
    <w:rsid w:val="00A56AF7"/>
    <w:rsid w:val="00A57E83"/>
    <w:rsid w:val="00A6010A"/>
    <w:rsid w:val="00A60D30"/>
    <w:rsid w:val="00A6179E"/>
    <w:rsid w:val="00A6206A"/>
    <w:rsid w:val="00A6244F"/>
    <w:rsid w:val="00A63058"/>
    <w:rsid w:val="00A64316"/>
    <w:rsid w:val="00A65685"/>
    <w:rsid w:val="00A65A40"/>
    <w:rsid w:val="00A668ED"/>
    <w:rsid w:val="00A66906"/>
    <w:rsid w:val="00A728EA"/>
    <w:rsid w:val="00A734BB"/>
    <w:rsid w:val="00A734FE"/>
    <w:rsid w:val="00A74057"/>
    <w:rsid w:val="00A764FE"/>
    <w:rsid w:val="00A77653"/>
    <w:rsid w:val="00A804D9"/>
    <w:rsid w:val="00A80699"/>
    <w:rsid w:val="00A80750"/>
    <w:rsid w:val="00A809FE"/>
    <w:rsid w:val="00A81933"/>
    <w:rsid w:val="00A81CF2"/>
    <w:rsid w:val="00A81EE6"/>
    <w:rsid w:val="00A8297D"/>
    <w:rsid w:val="00A83527"/>
    <w:rsid w:val="00A83D71"/>
    <w:rsid w:val="00A85594"/>
    <w:rsid w:val="00A901A1"/>
    <w:rsid w:val="00A90408"/>
    <w:rsid w:val="00A90735"/>
    <w:rsid w:val="00A91198"/>
    <w:rsid w:val="00A9132E"/>
    <w:rsid w:val="00A91561"/>
    <w:rsid w:val="00A91727"/>
    <w:rsid w:val="00A91DA6"/>
    <w:rsid w:val="00A920CD"/>
    <w:rsid w:val="00A925F9"/>
    <w:rsid w:val="00A92827"/>
    <w:rsid w:val="00A92915"/>
    <w:rsid w:val="00A92F92"/>
    <w:rsid w:val="00A93146"/>
    <w:rsid w:val="00A93E16"/>
    <w:rsid w:val="00A93E85"/>
    <w:rsid w:val="00A94CC6"/>
    <w:rsid w:val="00A96892"/>
    <w:rsid w:val="00A96ABD"/>
    <w:rsid w:val="00A96BE1"/>
    <w:rsid w:val="00A974AA"/>
    <w:rsid w:val="00A9789F"/>
    <w:rsid w:val="00A97D93"/>
    <w:rsid w:val="00AA089B"/>
    <w:rsid w:val="00AA13BE"/>
    <w:rsid w:val="00AA2051"/>
    <w:rsid w:val="00AA2507"/>
    <w:rsid w:val="00AA2B97"/>
    <w:rsid w:val="00AA3392"/>
    <w:rsid w:val="00AA3866"/>
    <w:rsid w:val="00AA51A9"/>
    <w:rsid w:val="00AA540E"/>
    <w:rsid w:val="00AA5810"/>
    <w:rsid w:val="00AA5A3D"/>
    <w:rsid w:val="00AA5E15"/>
    <w:rsid w:val="00AA65DC"/>
    <w:rsid w:val="00AA7501"/>
    <w:rsid w:val="00AB0CBC"/>
    <w:rsid w:val="00AB1C58"/>
    <w:rsid w:val="00AB25E0"/>
    <w:rsid w:val="00AB2C51"/>
    <w:rsid w:val="00AB36A7"/>
    <w:rsid w:val="00AB501B"/>
    <w:rsid w:val="00AB6348"/>
    <w:rsid w:val="00AB69E7"/>
    <w:rsid w:val="00AC0EEC"/>
    <w:rsid w:val="00AC15CD"/>
    <w:rsid w:val="00AC18F4"/>
    <w:rsid w:val="00AC20ED"/>
    <w:rsid w:val="00AC317D"/>
    <w:rsid w:val="00AC32B6"/>
    <w:rsid w:val="00AC3CFF"/>
    <w:rsid w:val="00AC4416"/>
    <w:rsid w:val="00AC5245"/>
    <w:rsid w:val="00AC5866"/>
    <w:rsid w:val="00AC6EC5"/>
    <w:rsid w:val="00AC6F12"/>
    <w:rsid w:val="00AC715A"/>
    <w:rsid w:val="00AC75FD"/>
    <w:rsid w:val="00AC7CF1"/>
    <w:rsid w:val="00AD00A6"/>
    <w:rsid w:val="00AD0BA7"/>
    <w:rsid w:val="00AD1FE6"/>
    <w:rsid w:val="00AD2097"/>
    <w:rsid w:val="00AD769D"/>
    <w:rsid w:val="00AE00F1"/>
    <w:rsid w:val="00AE128F"/>
    <w:rsid w:val="00AE1F5B"/>
    <w:rsid w:val="00AE3227"/>
    <w:rsid w:val="00AE4CA0"/>
    <w:rsid w:val="00AE51B5"/>
    <w:rsid w:val="00AE5899"/>
    <w:rsid w:val="00AE5E5E"/>
    <w:rsid w:val="00AE62AF"/>
    <w:rsid w:val="00AE6ECC"/>
    <w:rsid w:val="00AE7931"/>
    <w:rsid w:val="00AF0141"/>
    <w:rsid w:val="00AF0392"/>
    <w:rsid w:val="00AF1E0A"/>
    <w:rsid w:val="00AF1E55"/>
    <w:rsid w:val="00AF281C"/>
    <w:rsid w:val="00AF2E96"/>
    <w:rsid w:val="00AF326B"/>
    <w:rsid w:val="00AF379C"/>
    <w:rsid w:val="00AF402D"/>
    <w:rsid w:val="00AF4769"/>
    <w:rsid w:val="00AF4E56"/>
    <w:rsid w:val="00AF5982"/>
    <w:rsid w:val="00AF60F4"/>
    <w:rsid w:val="00AF7F46"/>
    <w:rsid w:val="00B01441"/>
    <w:rsid w:val="00B01B74"/>
    <w:rsid w:val="00B03731"/>
    <w:rsid w:val="00B041E3"/>
    <w:rsid w:val="00B045D2"/>
    <w:rsid w:val="00B04B10"/>
    <w:rsid w:val="00B05E1F"/>
    <w:rsid w:val="00B06839"/>
    <w:rsid w:val="00B068F6"/>
    <w:rsid w:val="00B06BCF"/>
    <w:rsid w:val="00B10C5F"/>
    <w:rsid w:val="00B10EBD"/>
    <w:rsid w:val="00B11778"/>
    <w:rsid w:val="00B12A7E"/>
    <w:rsid w:val="00B12D2A"/>
    <w:rsid w:val="00B1492C"/>
    <w:rsid w:val="00B14CD7"/>
    <w:rsid w:val="00B1561E"/>
    <w:rsid w:val="00B160AB"/>
    <w:rsid w:val="00B1663C"/>
    <w:rsid w:val="00B16C3A"/>
    <w:rsid w:val="00B20105"/>
    <w:rsid w:val="00B204A1"/>
    <w:rsid w:val="00B214A3"/>
    <w:rsid w:val="00B222C2"/>
    <w:rsid w:val="00B223F6"/>
    <w:rsid w:val="00B22BDF"/>
    <w:rsid w:val="00B2411A"/>
    <w:rsid w:val="00B242EA"/>
    <w:rsid w:val="00B24B1D"/>
    <w:rsid w:val="00B24EEB"/>
    <w:rsid w:val="00B2570E"/>
    <w:rsid w:val="00B25D01"/>
    <w:rsid w:val="00B277E0"/>
    <w:rsid w:val="00B300D1"/>
    <w:rsid w:val="00B30B14"/>
    <w:rsid w:val="00B329CD"/>
    <w:rsid w:val="00B32F38"/>
    <w:rsid w:val="00B335C0"/>
    <w:rsid w:val="00B34946"/>
    <w:rsid w:val="00B3558F"/>
    <w:rsid w:val="00B3624D"/>
    <w:rsid w:val="00B3648C"/>
    <w:rsid w:val="00B375ED"/>
    <w:rsid w:val="00B415E5"/>
    <w:rsid w:val="00B416F2"/>
    <w:rsid w:val="00B42CA0"/>
    <w:rsid w:val="00B42FDB"/>
    <w:rsid w:val="00B43001"/>
    <w:rsid w:val="00B43866"/>
    <w:rsid w:val="00B451C5"/>
    <w:rsid w:val="00B458FB"/>
    <w:rsid w:val="00B45CF2"/>
    <w:rsid w:val="00B47C0E"/>
    <w:rsid w:val="00B517B4"/>
    <w:rsid w:val="00B519FD"/>
    <w:rsid w:val="00B520BC"/>
    <w:rsid w:val="00B52B11"/>
    <w:rsid w:val="00B52E72"/>
    <w:rsid w:val="00B54F09"/>
    <w:rsid w:val="00B5545E"/>
    <w:rsid w:val="00B556F6"/>
    <w:rsid w:val="00B55A67"/>
    <w:rsid w:val="00B566C9"/>
    <w:rsid w:val="00B566DE"/>
    <w:rsid w:val="00B5717D"/>
    <w:rsid w:val="00B579B3"/>
    <w:rsid w:val="00B57C63"/>
    <w:rsid w:val="00B60FD4"/>
    <w:rsid w:val="00B6123D"/>
    <w:rsid w:val="00B6184F"/>
    <w:rsid w:val="00B62221"/>
    <w:rsid w:val="00B635BE"/>
    <w:rsid w:val="00B63D24"/>
    <w:rsid w:val="00B63DFD"/>
    <w:rsid w:val="00B64178"/>
    <w:rsid w:val="00B64664"/>
    <w:rsid w:val="00B65D5A"/>
    <w:rsid w:val="00B66408"/>
    <w:rsid w:val="00B665C6"/>
    <w:rsid w:val="00B6761D"/>
    <w:rsid w:val="00B70776"/>
    <w:rsid w:val="00B70B97"/>
    <w:rsid w:val="00B719F6"/>
    <w:rsid w:val="00B75360"/>
    <w:rsid w:val="00B76265"/>
    <w:rsid w:val="00B7648B"/>
    <w:rsid w:val="00B766ED"/>
    <w:rsid w:val="00B772B0"/>
    <w:rsid w:val="00B778E2"/>
    <w:rsid w:val="00B77911"/>
    <w:rsid w:val="00B77D7F"/>
    <w:rsid w:val="00B80210"/>
    <w:rsid w:val="00B805F6"/>
    <w:rsid w:val="00B80A55"/>
    <w:rsid w:val="00B80AAB"/>
    <w:rsid w:val="00B80DBA"/>
    <w:rsid w:val="00B8156D"/>
    <w:rsid w:val="00B82D38"/>
    <w:rsid w:val="00B83023"/>
    <w:rsid w:val="00B83788"/>
    <w:rsid w:val="00B83CCC"/>
    <w:rsid w:val="00B844ED"/>
    <w:rsid w:val="00B84BE2"/>
    <w:rsid w:val="00B85F94"/>
    <w:rsid w:val="00B86184"/>
    <w:rsid w:val="00B86547"/>
    <w:rsid w:val="00B8672B"/>
    <w:rsid w:val="00B86E67"/>
    <w:rsid w:val="00B86EAD"/>
    <w:rsid w:val="00B87366"/>
    <w:rsid w:val="00B90663"/>
    <w:rsid w:val="00B924E6"/>
    <w:rsid w:val="00B927F4"/>
    <w:rsid w:val="00B92A9E"/>
    <w:rsid w:val="00B92F17"/>
    <w:rsid w:val="00B94FCD"/>
    <w:rsid w:val="00B9570D"/>
    <w:rsid w:val="00B95ADD"/>
    <w:rsid w:val="00B96BAC"/>
    <w:rsid w:val="00B97054"/>
    <w:rsid w:val="00B97161"/>
    <w:rsid w:val="00B978E1"/>
    <w:rsid w:val="00BA07F7"/>
    <w:rsid w:val="00BA0E24"/>
    <w:rsid w:val="00BA19C7"/>
    <w:rsid w:val="00BA240C"/>
    <w:rsid w:val="00BA262D"/>
    <w:rsid w:val="00BA46FD"/>
    <w:rsid w:val="00BA5698"/>
    <w:rsid w:val="00BA5942"/>
    <w:rsid w:val="00BA64EA"/>
    <w:rsid w:val="00BA654C"/>
    <w:rsid w:val="00BA7043"/>
    <w:rsid w:val="00BA7DB7"/>
    <w:rsid w:val="00BB042C"/>
    <w:rsid w:val="00BB0B02"/>
    <w:rsid w:val="00BB0D5A"/>
    <w:rsid w:val="00BB0E5B"/>
    <w:rsid w:val="00BB1730"/>
    <w:rsid w:val="00BB19C9"/>
    <w:rsid w:val="00BB1C05"/>
    <w:rsid w:val="00BB1E4C"/>
    <w:rsid w:val="00BB295F"/>
    <w:rsid w:val="00BB3A84"/>
    <w:rsid w:val="00BB426D"/>
    <w:rsid w:val="00BB48D6"/>
    <w:rsid w:val="00BB54EB"/>
    <w:rsid w:val="00BB6150"/>
    <w:rsid w:val="00BB7A95"/>
    <w:rsid w:val="00BC0000"/>
    <w:rsid w:val="00BC0004"/>
    <w:rsid w:val="00BC048A"/>
    <w:rsid w:val="00BC0758"/>
    <w:rsid w:val="00BC1382"/>
    <w:rsid w:val="00BC1AF9"/>
    <w:rsid w:val="00BC27DB"/>
    <w:rsid w:val="00BC3A03"/>
    <w:rsid w:val="00BC4123"/>
    <w:rsid w:val="00BC6956"/>
    <w:rsid w:val="00BC79EB"/>
    <w:rsid w:val="00BD0064"/>
    <w:rsid w:val="00BD05E6"/>
    <w:rsid w:val="00BD229B"/>
    <w:rsid w:val="00BD2C23"/>
    <w:rsid w:val="00BD4992"/>
    <w:rsid w:val="00BD4B4B"/>
    <w:rsid w:val="00BD529C"/>
    <w:rsid w:val="00BD5682"/>
    <w:rsid w:val="00BD595A"/>
    <w:rsid w:val="00BD5F0B"/>
    <w:rsid w:val="00BD66B1"/>
    <w:rsid w:val="00BD7A13"/>
    <w:rsid w:val="00BD7C95"/>
    <w:rsid w:val="00BD7FCF"/>
    <w:rsid w:val="00BE0373"/>
    <w:rsid w:val="00BE067C"/>
    <w:rsid w:val="00BE0AA2"/>
    <w:rsid w:val="00BE24A3"/>
    <w:rsid w:val="00BE3AF7"/>
    <w:rsid w:val="00BE3E96"/>
    <w:rsid w:val="00BE4221"/>
    <w:rsid w:val="00BE571C"/>
    <w:rsid w:val="00BE6561"/>
    <w:rsid w:val="00BE677E"/>
    <w:rsid w:val="00BE79C3"/>
    <w:rsid w:val="00BF0352"/>
    <w:rsid w:val="00BF0726"/>
    <w:rsid w:val="00BF0E37"/>
    <w:rsid w:val="00BF1AAE"/>
    <w:rsid w:val="00BF1F52"/>
    <w:rsid w:val="00BF22D3"/>
    <w:rsid w:val="00BF328F"/>
    <w:rsid w:val="00BF4425"/>
    <w:rsid w:val="00BF4F35"/>
    <w:rsid w:val="00BF59DA"/>
    <w:rsid w:val="00BF6194"/>
    <w:rsid w:val="00BF675B"/>
    <w:rsid w:val="00BF67EF"/>
    <w:rsid w:val="00C00204"/>
    <w:rsid w:val="00C00EE2"/>
    <w:rsid w:val="00C01B73"/>
    <w:rsid w:val="00C02A13"/>
    <w:rsid w:val="00C04880"/>
    <w:rsid w:val="00C048D8"/>
    <w:rsid w:val="00C05041"/>
    <w:rsid w:val="00C051B8"/>
    <w:rsid w:val="00C057DC"/>
    <w:rsid w:val="00C064DC"/>
    <w:rsid w:val="00C06694"/>
    <w:rsid w:val="00C066A7"/>
    <w:rsid w:val="00C06EE8"/>
    <w:rsid w:val="00C075C6"/>
    <w:rsid w:val="00C078C9"/>
    <w:rsid w:val="00C07B8F"/>
    <w:rsid w:val="00C07DEA"/>
    <w:rsid w:val="00C10D05"/>
    <w:rsid w:val="00C117FF"/>
    <w:rsid w:val="00C11C4D"/>
    <w:rsid w:val="00C138A6"/>
    <w:rsid w:val="00C1395F"/>
    <w:rsid w:val="00C13BE1"/>
    <w:rsid w:val="00C15BEA"/>
    <w:rsid w:val="00C16A21"/>
    <w:rsid w:val="00C20AF8"/>
    <w:rsid w:val="00C22E51"/>
    <w:rsid w:val="00C236C0"/>
    <w:rsid w:val="00C24389"/>
    <w:rsid w:val="00C2483D"/>
    <w:rsid w:val="00C25BDA"/>
    <w:rsid w:val="00C2693C"/>
    <w:rsid w:val="00C32389"/>
    <w:rsid w:val="00C33104"/>
    <w:rsid w:val="00C332D4"/>
    <w:rsid w:val="00C354EB"/>
    <w:rsid w:val="00C35CF0"/>
    <w:rsid w:val="00C365EB"/>
    <w:rsid w:val="00C36A1A"/>
    <w:rsid w:val="00C370F0"/>
    <w:rsid w:val="00C41424"/>
    <w:rsid w:val="00C41B6F"/>
    <w:rsid w:val="00C42235"/>
    <w:rsid w:val="00C42420"/>
    <w:rsid w:val="00C42D4C"/>
    <w:rsid w:val="00C42F45"/>
    <w:rsid w:val="00C43ACF"/>
    <w:rsid w:val="00C43E50"/>
    <w:rsid w:val="00C44B20"/>
    <w:rsid w:val="00C4574C"/>
    <w:rsid w:val="00C45F9D"/>
    <w:rsid w:val="00C46F1B"/>
    <w:rsid w:val="00C4785A"/>
    <w:rsid w:val="00C47F23"/>
    <w:rsid w:val="00C511A9"/>
    <w:rsid w:val="00C521D4"/>
    <w:rsid w:val="00C52476"/>
    <w:rsid w:val="00C526A0"/>
    <w:rsid w:val="00C52C55"/>
    <w:rsid w:val="00C53C47"/>
    <w:rsid w:val="00C53D37"/>
    <w:rsid w:val="00C55CF2"/>
    <w:rsid w:val="00C56320"/>
    <w:rsid w:val="00C566A1"/>
    <w:rsid w:val="00C615AC"/>
    <w:rsid w:val="00C61699"/>
    <w:rsid w:val="00C618F7"/>
    <w:rsid w:val="00C623E6"/>
    <w:rsid w:val="00C64187"/>
    <w:rsid w:val="00C6528F"/>
    <w:rsid w:val="00C6529F"/>
    <w:rsid w:val="00C65498"/>
    <w:rsid w:val="00C6560B"/>
    <w:rsid w:val="00C66384"/>
    <w:rsid w:val="00C67022"/>
    <w:rsid w:val="00C70068"/>
    <w:rsid w:val="00C70322"/>
    <w:rsid w:val="00C714AC"/>
    <w:rsid w:val="00C73B7B"/>
    <w:rsid w:val="00C779FE"/>
    <w:rsid w:val="00C80ECF"/>
    <w:rsid w:val="00C819AE"/>
    <w:rsid w:val="00C83E3B"/>
    <w:rsid w:val="00C8460C"/>
    <w:rsid w:val="00C84795"/>
    <w:rsid w:val="00C847F3"/>
    <w:rsid w:val="00C854D4"/>
    <w:rsid w:val="00C85A24"/>
    <w:rsid w:val="00C87637"/>
    <w:rsid w:val="00C90556"/>
    <w:rsid w:val="00C90C38"/>
    <w:rsid w:val="00C90EBF"/>
    <w:rsid w:val="00C91261"/>
    <w:rsid w:val="00C9135C"/>
    <w:rsid w:val="00C91E1C"/>
    <w:rsid w:val="00C92864"/>
    <w:rsid w:val="00C953BD"/>
    <w:rsid w:val="00C96E79"/>
    <w:rsid w:val="00C97481"/>
    <w:rsid w:val="00CA0028"/>
    <w:rsid w:val="00CA0C62"/>
    <w:rsid w:val="00CA0D78"/>
    <w:rsid w:val="00CA108A"/>
    <w:rsid w:val="00CA12C3"/>
    <w:rsid w:val="00CA30E8"/>
    <w:rsid w:val="00CA3B91"/>
    <w:rsid w:val="00CA40F6"/>
    <w:rsid w:val="00CA42F9"/>
    <w:rsid w:val="00CA4855"/>
    <w:rsid w:val="00CA4C89"/>
    <w:rsid w:val="00CA5618"/>
    <w:rsid w:val="00CA59B8"/>
    <w:rsid w:val="00CA7BB4"/>
    <w:rsid w:val="00CB0C50"/>
    <w:rsid w:val="00CB1D81"/>
    <w:rsid w:val="00CB1DC4"/>
    <w:rsid w:val="00CB222E"/>
    <w:rsid w:val="00CB24FE"/>
    <w:rsid w:val="00CB3800"/>
    <w:rsid w:val="00CB6FF0"/>
    <w:rsid w:val="00CC1977"/>
    <w:rsid w:val="00CC25E8"/>
    <w:rsid w:val="00CC32C3"/>
    <w:rsid w:val="00CC3443"/>
    <w:rsid w:val="00CC353C"/>
    <w:rsid w:val="00CC3649"/>
    <w:rsid w:val="00CC453F"/>
    <w:rsid w:val="00CC4E8F"/>
    <w:rsid w:val="00CC5492"/>
    <w:rsid w:val="00CC7D6D"/>
    <w:rsid w:val="00CD0555"/>
    <w:rsid w:val="00CD07EE"/>
    <w:rsid w:val="00CD0D8A"/>
    <w:rsid w:val="00CD1744"/>
    <w:rsid w:val="00CD192A"/>
    <w:rsid w:val="00CD37B4"/>
    <w:rsid w:val="00CD4257"/>
    <w:rsid w:val="00CD57AF"/>
    <w:rsid w:val="00CD58FD"/>
    <w:rsid w:val="00CD5DDC"/>
    <w:rsid w:val="00CD6A13"/>
    <w:rsid w:val="00CD6AC3"/>
    <w:rsid w:val="00CD706B"/>
    <w:rsid w:val="00CE05A5"/>
    <w:rsid w:val="00CE11DE"/>
    <w:rsid w:val="00CE1A6B"/>
    <w:rsid w:val="00CE1C6C"/>
    <w:rsid w:val="00CE1F27"/>
    <w:rsid w:val="00CE1FE7"/>
    <w:rsid w:val="00CE2080"/>
    <w:rsid w:val="00CE29C7"/>
    <w:rsid w:val="00CE2A89"/>
    <w:rsid w:val="00CE2BA8"/>
    <w:rsid w:val="00CE33BE"/>
    <w:rsid w:val="00CE36BD"/>
    <w:rsid w:val="00CE3CAF"/>
    <w:rsid w:val="00CE4025"/>
    <w:rsid w:val="00CE4B31"/>
    <w:rsid w:val="00CE5842"/>
    <w:rsid w:val="00CE5CAB"/>
    <w:rsid w:val="00CE6322"/>
    <w:rsid w:val="00CE78E7"/>
    <w:rsid w:val="00CF06BF"/>
    <w:rsid w:val="00CF0D44"/>
    <w:rsid w:val="00CF0DFD"/>
    <w:rsid w:val="00CF11FB"/>
    <w:rsid w:val="00CF1B4F"/>
    <w:rsid w:val="00CF39C1"/>
    <w:rsid w:val="00CF3EB0"/>
    <w:rsid w:val="00CF412C"/>
    <w:rsid w:val="00CF50FB"/>
    <w:rsid w:val="00CF7965"/>
    <w:rsid w:val="00D017FD"/>
    <w:rsid w:val="00D01B2B"/>
    <w:rsid w:val="00D03B4C"/>
    <w:rsid w:val="00D03CEE"/>
    <w:rsid w:val="00D0456E"/>
    <w:rsid w:val="00D05645"/>
    <w:rsid w:val="00D05D5B"/>
    <w:rsid w:val="00D0677B"/>
    <w:rsid w:val="00D06C9C"/>
    <w:rsid w:val="00D06D92"/>
    <w:rsid w:val="00D06DF3"/>
    <w:rsid w:val="00D102A7"/>
    <w:rsid w:val="00D11B06"/>
    <w:rsid w:val="00D11D4A"/>
    <w:rsid w:val="00D1386E"/>
    <w:rsid w:val="00D14A23"/>
    <w:rsid w:val="00D14BB5"/>
    <w:rsid w:val="00D1639E"/>
    <w:rsid w:val="00D2098E"/>
    <w:rsid w:val="00D21DDC"/>
    <w:rsid w:val="00D22CF2"/>
    <w:rsid w:val="00D23153"/>
    <w:rsid w:val="00D23C5A"/>
    <w:rsid w:val="00D2532C"/>
    <w:rsid w:val="00D27E2E"/>
    <w:rsid w:val="00D30320"/>
    <w:rsid w:val="00D30BEF"/>
    <w:rsid w:val="00D312F1"/>
    <w:rsid w:val="00D343FA"/>
    <w:rsid w:val="00D35956"/>
    <w:rsid w:val="00D36C80"/>
    <w:rsid w:val="00D37846"/>
    <w:rsid w:val="00D37972"/>
    <w:rsid w:val="00D418FF"/>
    <w:rsid w:val="00D41B67"/>
    <w:rsid w:val="00D41F3B"/>
    <w:rsid w:val="00D42654"/>
    <w:rsid w:val="00D429FA"/>
    <w:rsid w:val="00D455C6"/>
    <w:rsid w:val="00D45830"/>
    <w:rsid w:val="00D47F12"/>
    <w:rsid w:val="00D50131"/>
    <w:rsid w:val="00D501B6"/>
    <w:rsid w:val="00D50C89"/>
    <w:rsid w:val="00D51543"/>
    <w:rsid w:val="00D529AB"/>
    <w:rsid w:val="00D52B7A"/>
    <w:rsid w:val="00D52F10"/>
    <w:rsid w:val="00D52F59"/>
    <w:rsid w:val="00D54A46"/>
    <w:rsid w:val="00D55DA3"/>
    <w:rsid w:val="00D574FD"/>
    <w:rsid w:val="00D57DDA"/>
    <w:rsid w:val="00D57EFD"/>
    <w:rsid w:val="00D57F62"/>
    <w:rsid w:val="00D60912"/>
    <w:rsid w:val="00D60CC7"/>
    <w:rsid w:val="00D612D7"/>
    <w:rsid w:val="00D61B50"/>
    <w:rsid w:val="00D62141"/>
    <w:rsid w:val="00D63B44"/>
    <w:rsid w:val="00D655BD"/>
    <w:rsid w:val="00D65C76"/>
    <w:rsid w:val="00D662D9"/>
    <w:rsid w:val="00D66CCD"/>
    <w:rsid w:val="00D670DD"/>
    <w:rsid w:val="00D679E4"/>
    <w:rsid w:val="00D71B37"/>
    <w:rsid w:val="00D734C7"/>
    <w:rsid w:val="00D7483A"/>
    <w:rsid w:val="00D74DAA"/>
    <w:rsid w:val="00D7553C"/>
    <w:rsid w:val="00D76705"/>
    <w:rsid w:val="00D76E54"/>
    <w:rsid w:val="00D77018"/>
    <w:rsid w:val="00D80BCE"/>
    <w:rsid w:val="00D81AF4"/>
    <w:rsid w:val="00D82F4E"/>
    <w:rsid w:val="00D831B5"/>
    <w:rsid w:val="00D83B7A"/>
    <w:rsid w:val="00D84407"/>
    <w:rsid w:val="00D84443"/>
    <w:rsid w:val="00D846DA"/>
    <w:rsid w:val="00D850D4"/>
    <w:rsid w:val="00D8517C"/>
    <w:rsid w:val="00D86800"/>
    <w:rsid w:val="00D86E31"/>
    <w:rsid w:val="00D874FE"/>
    <w:rsid w:val="00D912D4"/>
    <w:rsid w:val="00D91BA0"/>
    <w:rsid w:val="00D93807"/>
    <w:rsid w:val="00D93992"/>
    <w:rsid w:val="00D94019"/>
    <w:rsid w:val="00D94B95"/>
    <w:rsid w:val="00D968A1"/>
    <w:rsid w:val="00D96B4B"/>
    <w:rsid w:val="00D976DB"/>
    <w:rsid w:val="00D97C77"/>
    <w:rsid w:val="00DA027E"/>
    <w:rsid w:val="00DA0403"/>
    <w:rsid w:val="00DA13DB"/>
    <w:rsid w:val="00DA2943"/>
    <w:rsid w:val="00DA2A0E"/>
    <w:rsid w:val="00DA2F73"/>
    <w:rsid w:val="00DA37C8"/>
    <w:rsid w:val="00DA4D9F"/>
    <w:rsid w:val="00DA590C"/>
    <w:rsid w:val="00DA5CBE"/>
    <w:rsid w:val="00DA760A"/>
    <w:rsid w:val="00DA791C"/>
    <w:rsid w:val="00DA7C01"/>
    <w:rsid w:val="00DB03D1"/>
    <w:rsid w:val="00DB06DB"/>
    <w:rsid w:val="00DB137B"/>
    <w:rsid w:val="00DB14D6"/>
    <w:rsid w:val="00DB1B8F"/>
    <w:rsid w:val="00DB2420"/>
    <w:rsid w:val="00DB24AA"/>
    <w:rsid w:val="00DB29AE"/>
    <w:rsid w:val="00DB2A01"/>
    <w:rsid w:val="00DB2CCD"/>
    <w:rsid w:val="00DB2F9B"/>
    <w:rsid w:val="00DB4BDF"/>
    <w:rsid w:val="00DB58B6"/>
    <w:rsid w:val="00DB7A2D"/>
    <w:rsid w:val="00DC0408"/>
    <w:rsid w:val="00DC2A0A"/>
    <w:rsid w:val="00DC30BD"/>
    <w:rsid w:val="00DC462F"/>
    <w:rsid w:val="00DC484F"/>
    <w:rsid w:val="00DC4D77"/>
    <w:rsid w:val="00DC6691"/>
    <w:rsid w:val="00DD105D"/>
    <w:rsid w:val="00DD1D04"/>
    <w:rsid w:val="00DD2ADD"/>
    <w:rsid w:val="00DD3BF3"/>
    <w:rsid w:val="00DD522A"/>
    <w:rsid w:val="00DD5A53"/>
    <w:rsid w:val="00DD64B5"/>
    <w:rsid w:val="00DD6A21"/>
    <w:rsid w:val="00DD6CA5"/>
    <w:rsid w:val="00DD703F"/>
    <w:rsid w:val="00DD76D7"/>
    <w:rsid w:val="00DE0906"/>
    <w:rsid w:val="00DE109A"/>
    <w:rsid w:val="00DE1AE2"/>
    <w:rsid w:val="00DE1C53"/>
    <w:rsid w:val="00DE2B37"/>
    <w:rsid w:val="00DE2E81"/>
    <w:rsid w:val="00DE3998"/>
    <w:rsid w:val="00DE4134"/>
    <w:rsid w:val="00DE4E30"/>
    <w:rsid w:val="00DE5380"/>
    <w:rsid w:val="00DE60CA"/>
    <w:rsid w:val="00DE6BD8"/>
    <w:rsid w:val="00DE6C1B"/>
    <w:rsid w:val="00DF0677"/>
    <w:rsid w:val="00DF0F9F"/>
    <w:rsid w:val="00DF1157"/>
    <w:rsid w:val="00DF15CA"/>
    <w:rsid w:val="00DF1E39"/>
    <w:rsid w:val="00DF2EF4"/>
    <w:rsid w:val="00DF3045"/>
    <w:rsid w:val="00DF37DA"/>
    <w:rsid w:val="00DF551C"/>
    <w:rsid w:val="00DF58A1"/>
    <w:rsid w:val="00DF6BE8"/>
    <w:rsid w:val="00DF72EA"/>
    <w:rsid w:val="00DF7D08"/>
    <w:rsid w:val="00DF7DF5"/>
    <w:rsid w:val="00E00216"/>
    <w:rsid w:val="00E02055"/>
    <w:rsid w:val="00E027F6"/>
    <w:rsid w:val="00E02C70"/>
    <w:rsid w:val="00E03FD5"/>
    <w:rsid w:val="00E046C9"/>
    <w:rsid w:val="00E04994"/>
    <w:rsid w:val="00E04FC4"/>
    <w:rsid w:val="00E062CE"/>
    <w:rsid w:val="00E073A4"/>
    <w:rsid w:val="00E075DC"/>
    <w:rsid w:val="00E105F0"/>
    <w:rsid w:val="00E113B5"/>
    <w:rsid w:val="00E11CC6"/>
    <w:rsid w:val="00E128D5"/>
    <w:rsid w:val="00E13070"/>
    <w:rsid w:val="00E1328B"/>
    <w:rsid w:val="00E138DD"/>
    <w:rsid w:val="00E14A5D"/>
    <w:rsid w:val="00E157D9"/>
    <w:rsid w:val="00E16028"/>
    <w:rsid w:val="00E16F8A"/>
    <w:rsid w:val="00E171C4"/>
    <w:rsid w:val="00E172C6"/>
    <w:rsid w:val="00E17EC0"/>
    <w:rsid w:val="00E212F7"/>
    <w:rsid w:val="00E215B7"/>
    <w:rsid w:val="00E22ABF"/>
    <w:rsid w:val="00E2327A"/>
    <w:rsid w:val="00E23EA4"/>
    <w:rsid w:val="00E24FA3"/>
    <w:rsid w:val="00E25589"/>
    <w:rsid w:val="00E255FF"/>
    <w:rsid w:val="00E25BE7"/>
    <w:rsid w:val="00E25D9B"/>
    <w:rsid w:val="00E269D0"/>
    <w:rsid w:val="00E26B28"/>
    <w:rsid w:val="00E27BED"/>
    <w:rsid w:val="00E30184"/>
    <w:rsid w:val="00E31465"/>
    <w:rsid w:val="00E31D2E"/>
    <w:rsid w:val="00E31F3B"/>
    <w:rsid w:val="00E32498"/>
    <w:rsid w:val="00E328CD"/>
    <w:rsid w:val="00E32912"/>
    <w:rsid w:val="00E32D2F"/>
    <w:rsid w:val="00E32E55"/>
    <w:rsid w:val="00E3400D"/>
    <w:rsid w:val="00E349F8"/>
    <w:rsid w:val="00E3556E"/>
    <w:rsid w:val="00E35E61"/>
    <w:rsid w:val="00E36B95"/>
    <w:rsid w:val="00E36C4A"/>
    <w:rsid w:val="00E37164"/>
    <w:rsid w:val="00E37677"/>
    <w:rsid w:val="00E378CC"/>
    <w:rsid w:val="00E4003F"/>
    <w:rsid w:val="00E4019B"/>
    <w:rsid w:val="00E4053F"/>
    <w:rsid w:val="00E41566"/>
    <w:rsid w:val="00E41836"/>
    <w:rsid w:val="00E41CC7"/>
    <w:rsid w:val="00E42264"/>
    <w:rsid w:val="00E424C6"/>
    <w:rsid w:val="00E42AE0"/>
    <w:rsid w:val="00E43C36"/>
    <w:rsid w:val="00E43FA0"/>
    <w:rsid w:val="00E458F6"/>
    <w:rsid w:val="00E45954"/>
    <w:rsid w:val="00E45E50"/>
    <w:rsid w:val="00E47B20"/>
    <w:rsid w:val="00E518B4"/>
    <w:rsid w:val="00E520EB"/>
    <w:rsid w:val="00E52382"/>
    <w:rsid w:val="00E56BCD"/>
    <w:rsid w:val="00E57CBD"/>
    <w:rsid w:val="00E57F5C"/>
    <w:rsid w:val="00E60AC4"/>
    <w:rsid w:val="00E612E4"/>
    <w:rsid w:val="00E62EA3"/>
    <w:rsid w:val="00E64059"/>
    <w:rsid w:val="00E64801"/>
    <w:rsid w:val="00E65122"/>
    <w:rsid w:val="00E6667E"/>
    <w:rsid w:val="00E66CCA"/>
    <w:rsid w:val="00E67D09"/>
    <w:rsid w:val="00E702CF"/>
    <w:rsid w:val="00E70C12"/>
    <w:rsid w:val="00E70D3F"/>
    <w:rsid w:val="00E71282"/>
    <w:rsid w:val="00E715AA"/>
    <w:rsid w:val="00E71AD6"/>
    <w:rsid w:val="00E71BF0"/>
    <w:rsid w:val="00E72481"/>
    <w:rsid w:val="00E73487"/>
    <w:rsid w:val="00E755D2"/>
    <w:rsid w:val="00E76473"/>
    <w:rsid w:val="00E77EBE"/>
    <w:rsid w:val="00E82DEB"/>
    <w:rsid w:val="00E82E04"/>
    <w:rsid w:val="00E831DC"/>
    <w:rsid w:val="00E84594"/>
    <w:rsid w:val="00E84A1F"/>
    <w:rsid w:val="00E84DBF"/>
    <w:rsid w:val="00E85130"/>
    <w:rsid w:val="00E85577"/>
    <w:rsid w:val="00E85CD0"/>
    <w:rsid w:val="00E872EE"/>
    <w:rsid w:val="00E906D1"/>
    <w:rsid w:val="00E90927"/>
    <w:rsid w:val="00E90A4F"/>
    <w:rsid w:val="00E916BE"/>
    <w:rsid w:val="00E91982"/>
    <w:rsid w:val="00E93C1F"/>
    <w:rsid w:val="00E941FC"/>
    <w:rsid w:val="00E970CD"/>
    <w:rsid w:val="00E97C61"/>
    <w:rsid w:val="00EA0081"/>
    <w:rsid w:val="00EA2F1D"/>
    <w:rsid w:val="00EA351C"/>
    <w:rsid w:val="00EA40A0"/>
    <w:rsid w:val="00EA44D9"/>
    <w:rsid w:val="00EA4AEE"/>
    <w:rsid w:val="00EA5855"/>
    <w:rsid w:val="00EA7D02"/>
    <w:rsid w:val="00EB1ED9"/>
    <w:rsid w:val="00EB2D7A"/>
    <w:rsid w:val="00EB30BE"/>
    <w:rsid w:val="00EB4836"/>
    <w:rsid w:val="00EB4C85"/>
    <w:rsid w:val="00EB5128"/>
    <w:rsid w:val="00EB6A76"/>
    <w:rsid w:val="00EB6E5B"/>
    <w:rsid w:val="00EB732E"/>
    <w:rsid w:val="00EC1FF9"/>
    <w:rsid w:val="00EC2449"/>
    <w:rsid w:val="00EC3A24"/>
    <w:rsid w:val="00EC779D"/>
    <w:rsid w:val="00EC7C8E"/>
    <w:rsid w:val="00ED165B"/>
    <w:rsid w:val="00ED3090"/>
    <w:rsid w:val="00ED36BB"/>
    <w:rsid w:val="00ED48E9"/>
    <w:rsid w:val="00ED499A"/>
    <w:rsid w:val="00ED4B26"/>
    <w:rsid w:val="00ED4B49"/>
    <w:rsid w:val="00ED5372"/>
    <w:rsid w:val="00ED5AD3"/>
    <w:rsid w:val="00ED5BA4"/>
    <w:rsid w:val="00ED6318"/>
    <w:rsid w:val="00ED6599"/>
    <w:rsid w:val="00ED7429"/>
    <w:rsid w:val="00ED7466"/>
    <w:rsid w:val="00EE0E58"/>
    <w:rsid w:val="00EE1C3E"/>
    <w:rsid w:val="00EE1DC7"/>
    <w:rsid w:val="00EE3347"/>
    <w:rsid w:val="00EE381A"/>
    <w:rsid w:val="00EE4094"/>
    <w:rsid w:val="00EE4DE8"/>
    <w:rsid w:val="00EE5A59"/>
    <w:rsid w:val="00EE66A3"/>
    <w:rsid w:val="00EE6B4B"/>
    <w:rsid w:val="00EF197B"/>
    <w:rsid w:val="00EF2958"/>
    <w:rsid w:val="00EF3740"/>
    <w:rsid w:val="00EF38A0"/>
    <w:rsid w:val="00EF3A50"/>
    <w:rsid w:val="00EF41F3"/>
    <w:rsid w:val="00EF4283"/>
    <w:rsid w:val="00F0007E"/>
    <w:rsid w:val="00F00771"/>
    <w:rsid w:val="00F00A91"/>
    <w:rsid w:val="00F00D25"/>
    <w:rsid w:val="00F00E56"/>
    <w:rsid w:val="00F02B8C"/>
    <w:rsid w:val="00F0325B"/>
    <w:rsid w:val="00F036D5"/>
    <w:rsid w:val="00F05C67"/>
    <w:rsid w:val="00F065AE"/>
    <w:rsid w:val="00F0660C"/>
    <w:rsid w:val="00F105D6"/>
    <w:rsid w:val="00F1137E"/>
    <w:rsid w:val="00F1176D"/>
    <w:rsid w:val="00F120A6"/>
    <w:rsid w:val="00F12EBC"/>
    <w:rsid w:val="00F14371"/>
    <w:rsid w:val="00F14C6D"/>
    <w:rsid w:val="00F155FE"/>
    <w:rsid w:val="00F15CDB"/>
    <w:rsid w:val="00F17E4D"/>
    <w:rsid w:val="00F20B5A"/>
    <w:rsid w:val="00F20F27"/>
    <w:rsid w:val="00F21B53"/>
    <w:rsid w:val="00F2498D"/>
    <w:rsid w:val="00F26C65"/>
    <w:rsid w:val="00F279EB"/>
    <w:rsid w:val="00F27D6C"/>
    <w:rsid w:val="00F27EE7"/>
    <w:rsid w:val="00F31AC5"/>
    <w:rsid w:val="00F3219A"/>
    <w:rsid w:val="00F335A5"/>
    <w:rsid w:val="00F3365D"/>
    <w:rsid w:val="00F33F55"/>
    <w:rsid w:val="00F34BC9"/>
    <w:rsid w:val="00F41A6F"/>
    <w:rsid w:val="00F4223D"/>
    <w:rsid w:val="00F422F9"/>
    <w:rsid w:val="00F42AF8"/>
    <w:rsid w:val="00F43933"/>
    <w:rsid w:val="00F44ABB"/>
    <w:rsid w:val="00F459C3"/>
    <w:rsid w:val="00F45B55"/>
    <w:rsid w:val="00F467CA"/>
    <w:rsid w:val="00F47492"/>
    <w:rsid w:val="00F50556"/>
    <w:rsid w:val="00F50CB7"/>
    <w:rsid w:val="00F50FF7"/>
    <w:rsid w:val="00F514DC"/>
    <w:rsid w:val="00F517D9"/>
    <w:rsid w:val="00F51A01"/>
    <w:rsid w:val="00F51CBF"/>
    <w:rsid w:val="00F51E28"/>
    <w:rsid w:val="00F5228A"/>
    <w:rsid w:val="00F52A59"/>
    <w:rsid w:val="00F53117"/>
    <w:rsid w:val="00F5330E"/>
    <w:rsid w:val="00F547F3"/>
    <w:rsid w:val="00F54E36"/>
    <w:rsid w:val="00F55A60"/>
    <w:rsid w:val="00F56D05"/>
    <w:rsid w:val="00F56FDD"/>
    <w:rsid w:val="00F574A6"/>
    <w:rsid w:val="00F57644"/>
    <w:rsid w:val="00F57D48"/>
    <w:rsid w:val="00F603BD"/>
    <w:rsid w:val="00F60F98"/>
    <w:rsid w:val="00F60FC7"/>
    <w:rsid w:val="00F61683"/>
    <w:rsid w:val="00F618D4"/>
    <w:rsid w:val="00F62C14"/>
    <w:rsid w:val="00F636FB"/>
    <w:rsid w:val="00F63BB8"/>
    <w:rsid w:val="00F6433B"/>
    <w:rsid w:val="00F65F6F"/>
    <w:rsid w:val="00F6667A"/>
    <w:rsid w:val="00F66C17"/>
    <w:rsid w:val="00F66E27"/>
    <w:rsid w:val="00F679B6"/>
    <w:rsid w:val="00F70786"/>
    <w:rsid w:val="00F70B25"/>
    <w:rsid w:val="00F71207"/>
    <w:rsid w:val="00F71E31"/>
    <w:rsid w:val="00F72207"/>
    <w:rsid w:val="00F72DB5"/>
    <w:rsid w:val="00F73629"/>
    <w:rsid w:val="00F74580"/>
    <w:rsid w:val="00F74920"/>
    <w:rsid w:val="00F74BAC"/>
    <w:rsid w:val="00F76843"/>
    <w:rsid w:val="00F81053"/>
    <w:rsid w:val="00F82251"/>
    <w:rsid w:val="00F82776"/>
    <w:rsid w:val="00F828DE"/>
    <w:rsid w:val="00F8302E"/>
    <w:rsid w:val="00F86F4B"/>
    <w:rsid w:val="00F8767C"/>
    <w:rsid w:val="00F87DD6"/>
    <w:rsid w:val="00F91105"/>
    <w:rsid w:val="00F921A4"/>
    <w:rsid w:val="00F9300C"/>
    <w:rsid w:val="00F94B2B"/>
    <w:rsid w:val="00F94D07"/>
    <w:rsid w:val="00F9563B"/>
    <w:rsid w:val="00F95A32"/>
    <w:rsid w:val="00F95DBC"/>
    <w:rsid w:val="00F96B4B"/>
    <w:rsid w:val="00FA07F7"/>
    <w:rsid w:val="00FA10E4"/>
    <w:rsid w:val="00FA266E"/>
    <w:rsid w:val="00FA2905"/>
    <w:rsid w:val="00FA3CB2"/>
    <w:rsid w:val="00FA4916"/>
    <w:rsid w:val="00FA4975"/>
    <w:rsid w:val="00FA58BF"/>
    <w:rsid w:val="00FA5919"/>
    <w:rsid w:val="00FA5FD5"/>
    <w:rsid w:val="00FA602D"/>
    <w:rsid w:val="00FA6C64"/>
    <w:rsid w:val="00FA73E0"/>
    <w:rsid w:val="00FB0781"/>
    <w:rsid w:val="00FB0E12"/>
    <w:rsid w:val="00FB15E8"/>
    <w:rsid w:val="00FB1FAD"/>
    <w:rsid w:val="00FB201A"/>
    <w:rsid w:val="00FB3EE0"/>
    <w:rsid w:val="00FB5D58"/>
    <w:rsid w:val="00FB6810"/>
    <w:rsid w:val="00FB6AF6"/>
    <w:rsid w:val="00FB72A2"/>
    <w:rsid w:val="00FB7607"/>
    <w:rsid w:val="00FB7AA1"/>
    <w:rsid w:val="00FB7F44"/>
    <w:rsid w:val="00FC037E"/>
    <w:rsid w:val="00FC095C"/>
    <w:rsid w:val="00FC1038"/>
    <w:rsid w:val="00FC1567"/>
    <w:rsid w:val="00FC49C4"/>
    <w:rsid w:val="00FC5026"/>
    <w:rsid w:val="00FC5864"/>
    <w:rsid w:val="00FC6014"/>
    <w:rsid w:val="00FC71F0"/>
    <w:rsid w:val="00FC7470"/>
    <w:rsid w:val="00FC768A"/>
    <w:rsid w:val="00FD01B5"/>
    <w:rsid w:val="00FD0490"/>
    <w:rsid w:val="00FD19EE"/>
    <w:rsid w:val="00FD28AE"/>
    <w:rsid w:val="00FD2E80"/>
    <w:rsid w:val="00FD2F4B"/>
    <w:rsid w:val="00FD329A"/>
    <w:rsid w:val="00FD36A4"/>
    <w:rsid w:val="00FD45F9"/>
    <w:rsid w:val="00FD473F"/>
    <w:rsid w:val="00FD47D9"/>
    <w:rsid w:val="00FD4A9B"/>
    <w:rsid w:val="00FD6494"/>
    <w:rsid w:val="00FD67AE"/>
    <w:rsid w:val="00FD78F7"/>
    <w:rsid w:val="00FD7FE6"/>
    <w:rsid w:val="00FE0224"/>
    <w:rsid w:val="00FE052C"/>
    <w:rsid w:val="00FE0C00"/>
    <w:rsid w:val="00FE0F86"/>
    <w:rsid w:val="00FE292C"/>
    <w:rsid w:val="00FE2F72"/>
    <w:rsid w:val="00FE32F3"/>
    <w:rsid w:val="00FE7806"/>
    <w:rsid w:val="00FF0DE7"/>
    <w:rsid w:val="00FF1432"/>
    <w:rsid w:val="00FF16CB"/>
    <w:rsid w:val="00FF20D6"/>
    <w:rsid w:val="00FF3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B766ED"/>
    <w:pPr>
      <w:tabs>
        <w:tab w:val="right" w:leader="dot" w:pos="9060"/>
      </w:tabs>
      <w:spacing w:before="0" w:after="120"/>
      <w:ind w:leftChars="1" w:left="616" w:hangingChars="255" w:hanging="614"/>
    </w:pPr>
    <w:rPr>
      <w:b/>
      <w:noProof/>
    </w:rPr>
  </w:style>
  <w:style w:type="paragraph" w:styleId="TOC2">
    <w:name w:val="toc 2"/>
    <w:basedOn w:val="Normal"/>
    <w:next w:val="Normal"/>
    <w:autoRedefine/>
    <w:uiPriority w:val="39"/>
    <w:qFormat/>
    <w:locked/>
    <w:rsid w:val="00346A46"/>
    <w:pPr>
      <w:tabs>
        <w:tab w:val="left" w:pos="851"/>
        <w:tab w:val="right" w:leader="dot" w:pos="9060"/>
      </w:tabs>
      <w:spacing w:before="0" w:after="0"/>
      <w:ind w:leftChars="119" w:left="1132" w:hangingChars="351" w:hanging="846"/>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1,No Spacing11"/>
    <w:basedOn w:val="Normal"/>
    <w:link w:val="SubmissionNormalChar"/>
    <w:qFormat/>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 Char,No Spacing1 Char,No Spacing11 Char,No Spacing2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E71282"/>
    <w:rPr>
      <w:sz w:val="16"/>
      <w:szCs w:val="16"/>
    </w:rPr>
  </w:style>
  <w:style w:type="paragraph" w:styleId="CommentText">
    <w:name w:val="annotation text"/>
    <w:basedOn w:val="Normal"/>
    <w:link w:val="CommentTextChar"/>
    <w:locked/>
    <w:rsid w:val="00E71282"/>
    <w:rPr>
      <w:rFonts w:eastAsia="Times New Roman"/>
      <w:sz w:val="20"/>
      <w:szCs w:val="20"/>
    </w:rPr>
  </w:style>
  <w:style w:type="character" w:customStyle="1" w:styleId="CommentTextChar">
    <w:name w:val="Comment Text Char"/>
    <w:link w:val="CommentText"/>
    <w:rsid w:val="00E71282"/>
    <w:rPr>
      <w:rFonts w:ascii="Arial" w:hAnsi="Arial"/>
    </w:rPr>
  </w:style>
  <w:style w:type="paragraph" w:styleId="CommentSubject">
    <w:name w:val="annotation subject"/>
    <w:basedOn w:val="CommentText"/>
    <w:next w:val="CommentText"/>
    <w:link w:val="CommentSubjectChar"/>
    <w:locked/>
    <w:rsid w:val="00491EB3"/>
    <w:rPr>
      <w:rFonts w:eastAsia="MS Mincho"/>
      <w:b/>
      <w:bCs/>
    </w:rPr>
  </w:style>
  <w:style w:type="character" w:customStyle="1" w:styleId="CommentSubjectChar">
    <w:name w:val="Comment Subject Char"/>
    <w:link w:val="CommentSubject"/>
    <w:rsid w:val="00491EB3"/>
    <w:rPr>
      <w:rFonts w:ascii="Arial" w:eastAsia="MS Mincho" w:hAnsi="Arial"/>
      <w:b/>
      <w:bCs/>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subsectionhead">
    <w:name w:val="subsectionhead"/>
    <w:basedOn w:val="Normal"/>
    <w:rsid w:val="000604CD"/>
    <w:pPr>
      <w:spacing w:before="100" w:beforeAutospacing="1" w:after="100" w:afterAutospacing="1"/>
    </w:pPr>
    <w:rPr>
      <w:rFonts w:ascii="Times New Roman" w:eastAsia="Times New Roman" w:hAnsi="Times New Roman"/>
    </w:rPr>
  </w:style>
  <w:style w:type="paragraph" w:customStyle="1" w:styleId="subsection">
    <w:name w:val="subsection"/>
    <w:basedOn w:val="Normal"/>
    <w:rsid w:val="000604CD"/>
    <w:pPr>
      <w:spacing w:before="100" w:beforeAutospacing="1" w:after="100" w:afterAutospacing="1"/>
    </w:pPr>
    <w:rPr>
      <w:rFonts w:ascii="Times New Roman" w:eastAsia="Times New Roman" w:hAnsi="Times New Roman"/>
    </w:rPr>
  </w:style>
  <w:style w:type="paragraph" w:customStyle="1" w:styleId="notetext">
    <w:name w:val="notetext"/>
    <w:basedOn w:val="Normal"/>
    <w:rsid w:val="000604CD"/>
    <w:pPr>
      <w:spacing w:before="100" w:beforeAutospacing="1" w:after="100" w:afterAutospacing="1"/>
    </w:pPr>
    <w:rPr>
      <w:rFonts w:ascii="Times New Roman" w:eastAsia="Times New Roman" w:hAnsi="Times New Roman"/>
    </w:rPr>
  </w:style>
  <w:style w:type="paragraph" w:customStyle="1" w:styleId="paragraph">
    <w:name w:val="paragraph"/>
    <w:basedOn w:val="Normal"/>
    <w:rsid w:val="000604CD"/>
    <w:pPr>
      <w:spacing w:before="100" w:beforeAutospacing="1" w:after="100" w:afterAutospacing="1"/>
    </w:pPr>
    <w:rPr>
      <w:rFonts w:ascii="Times New Roman" w:eastAsia="Times New Roman" w:hAnsi="Times New Roman"/>
    </w:rPr>
  </w:style>
  <w:style w:type="paragraph" w:customStyle="1" w:styleId="subsection2">
    <w:name w:val="subsection2"/>
    <w:basedOn w:val="Normal"/>
    <w:rsid w:val="000604CD"/>
    <w:pPr>
      <w:spacing w:before="100" w:beforeAutospacing="1" w:after="100" w:afterAutospacing="1"/>
    </w:pPr>
    <w:rPr>
      <w:rFonts w:ascii="Times New Roman" w:eastAsia="Times New Roman" w:hAnsi="Times New Roman"/>
    </w:rPr>
  </w:style>
  <w:style w:type="character" w:customStyle="1" w:styleId="StyleEndnoteReference12pt">
    <w:name w:val="Style Endnote Reference + 12 pt"/>
    <w:rsid w:val="000604CD"/>
  </w:style>
  <w:style w:type="character" w:customStyle="1" w:styleId="EndnoteTextChar2">
    <w:name w:val="Endnote Text Char2"/>
    <w:locked/>
    <w:rsid w:val="000604CD"/>
    <w:rPr>
      <w:rFonts w:ascii="Arial" w:hAnsi="Arial"/>
      <w:lang w:val="en-AU" w:eastAsia="en-AU" w:bidi="ar-SA"/>
    </w:rPr>
  </w:style>
  <w:style w:type="paragraph" w:customStyle="1" w:styleId="Default">
    <w:name w:val="Default"/>
    <w:rsid w:val="000604CD"/>
    <w:pPr>
      <w:autoSpaceDE w:val="0"/>
      <w:autoSpaceDN w:val="0"/>
      <w:adjustRightInd w:val="0"/>
    </w:pPr>
    <w:rPr>
      <w:color w:val="000000"/>
      <w:sz w:val="24"/>
      <w:szCs w:val="24"/>
    </w:rPr>
  </w:style>
  <w:style w:type="paragraph" w:customStyle="1" w:styleId="author3">
    <w:name w:val="author3"/>
    <w:basedOn w:val="Normal"/>
    <w:rsid w:val="000604CD"/>
    <w:pPr>
      <w:pBdr>
        <w:top w:val="single" w:sz="2" w:space="6" w:color="666666"/>
        <w:bottom w:val="single" w:sz="2" w:space="6" w:color="999999"/>
      </w:pBdr>
      <w:spacing w:before="120" w:after="0" w:line="336" w:lineRule="atLeast"/>
    </w:pPr>
    <w:rPr>
      <w:rFonts w:eastAsia="Times New Roman" w:cs="Arial"/>
    </w:rPr>
  </w:style>
  <w:style w:type="paragraph" w:customStyle="1" w:styleId="LAQCourtNo1">
    <w:name w:val="LAQ_CourtNo1"/>
    <w:basedOn w:val="Normal"/>
    <w:rsid w:val="000604CD"/>
    <w:pPr>
      <w:numPr>
        <w:numId w:val="25"/>
      </w:numPr>
      <w:spacing w:before="0" w:after="120" w:line="360" w:lineRule="auto"/>
    </w:pPr>
    <w:rPr>
      <w:rFonts w:eastAsia="Times New Roman"/>
      <w:szCs w:val="20"/>
      <w:lang w:eastAsia="en-US"/>
    </w:rPr>
  </w:style>
  <w:style w:type="paragraph" w:customStyle="1" w:styleId="LAQCourtNo2">
    <w:name w:val="LAQ_CourtNo2"/>
    <w:basedOn w:val="Normal"/>
    <w:rsid w:val="000604CD"/>
    <w:pPr>
      <w:numPr>
        <w:ilvl w:val="1"/>
        <w:numId w:val="25"/>
      </w:numPr>
      <w:spacing w:before="0" w:line="360" w:lineRule="auto"/>
    </w:pPr>
    <w:rPr>
      <w:rFonts w:eastAsia="Times New Roman"/>
      <w:szCs w:val="20"/>
      <w:lang w:eastAsia="en-US"/>
    </w:rPr>
  </w:style>
  <w:style w:type="paragraph" w:customStyle="1" w:styleId="LAQCourtNo3">
    <w:name w:val="LAQ_CourtNo3"/>
    <w:basedOn w:val="Normal"/>
    <w:rsid w:val="000604CD"/>
    <w:pPr>
      <w:numPr>
        <w:ilvl w:val="2"/>
        <w:numId w:val="25"/>
      </w:numPr>
      <w:spacing w:before="0" w:line="360" w:lineRule="auto"/>
    </w:pPr>
    <w:rPr>
      <w:rFonts w:eastAsia="Times New Roman"/>
      <w:szCs w:val="20"/>
      <w:lang w:eastAsia="en-US"/>
    </w:rPr>
  </w:style>
  <w:style w:type="paragraph" w:customStyle="1" w:styleId="acthead5">
    <w:name w:val="acthead5"/>
    <w:basedOn w:val="Normal"/>
    <w:rsid w:val="000604CD"/>
    <w:pPr>
      <w:spacing w:before="100" w:beforeAutospacing="1" w:after="100" w:afterAutospacing="1"/>
    </w:pPr>
    <w:rPr>
      <w:rFonts w:ascii="Times New Roman" w:eastAsia="Times New Roman" w:hAnsi="Times New Roman"/>
    </w:rPr>
  </w:style>
  <w:style w:type="paragraph" w:customStyle="1" w:styleId="paragraphsub">
    <w:name w:val="paragraphsub"/>
    <w:basedOn w:val="Normal"/>
    <w:rsid w:val="000604CD"/>
    <w:pPr>
      <w:spacing w:before="100" w:beforeAutospacing="1" w:after="100" w:afterAutospacing="1"/>
    </w:pPr>
    <w:rPr>
      <w:rFonts w:ascii="Times New Roman" w:eastAsia="Times New Roman" w:hAnsi="Times New Roman"/>
    </w:rPr>
  </w:style>
  <w:style w:type="paragraph" w:customStyle="1" w:styleId="r2">
    <w:name w:val="r2"/>
    <w:basedOn w:val="Normal"/>
    <w:rsid w:val="000604CD"/>
    <w:pPr>
      <w:spacing w:before="100" w:beforeAutospacing="1" w:after="100" w:afterAutospacing="1"/>
    </w:pPr>
    <w:rPr>
      <w:rFonts w:ascii="Times New Roman" w:eastAsia="Times New Roman" w:hAnsi="Times New Roman"/>
    </w:rPr>
  </w:style>
  <w:style w:type="character" w:customStyle="1" w:styleId="hps-normal1">
    <w:name w:val="hps-normal1"/>
    <w:rsid w:val="000604CD"/>
  </w:style>
  <w:style w:type="character" w:customStyle="1" w:styleId="st">
    <w:name w:val="st"/>
    <w:rsid w:val="000604CD"/>
  </w:style>
  <w:style w:type="paragraph" w:styleId="ListParagraph">
    <w:name w:val="List Paragraph"/>
    <w:basedOn w:val="Normal"/>
    <w:uiPriority w:val="34"/>
    <w:qFormat/>
    <w:rsid w:val="00060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B766ED"/>
    <w:pPr>
      <w:tabs>
        <w:tab w:val="right" w:leader="dot" w:pos="9060"/>
      </w:tabs>
      <w:spacing w:before="0" w:after="120"/>
      <w:ind w:leftChars="1" w:left="616" w:hangingChars="255" w:hanging="614"/>
    </w:pPr>
    <w:rPr>
      <w:b/>
      <w:noProof/>
    </w:rPr>
  </w:style>
  <w:style w:type="paragraph" w:styleId="TOC2">
    <w:name w:val="toc 2"/>
    <w:basedOn w:val="Normal"/>
    <w:next w:val="Normal"/>
    <w:autoRedefine/>
    <w:uiPriority w:val="39"/>
    <w:qFormat/>
    <w:locked/>
    <w:rsid w:val="00346A46"/>
    <w:pPr>
      <w:tabs>
        <w:tab w:val="left" w:pos="851"/>
        <w:tab w:val="right" w:leader="dot" w:pos="9060"/>
      </w:tabs>
      <w:spacing w:before="0" w:after="0"/>
      <w:ind w:leftChars="119" w:left="1132" w:hangingChars="351" w:hanging="846"/>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1,No Spacing11"/>
    <w:basedOn w:val="Normal"/>
    <w:link w:val="SubmissionNormalChar"/>
    <w:qFormat/>
    <w:rsid w:val="00B34946"/>
    <w:pPr>
      <w:numPr>
        <w:numId w:val="15"/>
      </w:numPr>
      <w:tabs>
        <w:tab w:val="clear" w:pos="720"/>
      </w:tabs>
      <w:ind w:hanging="720"/>
    </w:pPr>
    <w:rPr>
      <w:rFonts w:eastAsia="Times New Roman"/>
    </w:rPr>
  </w:style>
  <w:style w:type="character" w:customStyle="1" w:styleId="SubmissionNormalChar">
    <w:name w:val="Submission Normal Char"/>
    <w:aliases w:val="No Spacing Char,No Spacing1 Char,No Spacing11 Char,No Spacing2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E71282"/>
    <w:rPr>
      <w:sz w:val="16"/>
      <w:szCs w:val="16"/>
    </w:rPr>
  </w:style>
  <w:style w:type="paragraph" w:styleId="CommentText">
    <w:name w:val="annotation text"/>
    <w:basedOn w:val="Normal"/>
    <w:link w:val="CommentTextChar"/>
    <w:locked/>
    <w:rsid w:val="00E71282"/>
    <w:rPr>
      <w:rFonts w:eastAsia="Times New Roman"/>
      <w:sz w:val="20"/>
      <w:szCs w:val="20"/>
    </w:rPr>
  </w:style>
  <w:style w:type="character" w:customStyle="1" w:styleId="CommentTextChar">
    <w:name w:val="Comment Text Char"/>
    <w:link w:val="CommentText"/>
    <w:rsid w:val="00E71282"/>
    <w:rPr>
      <w:rFonts w:ascii="Arial" w:hAnsi="Arial"/>
    </w:rPr>
  </w:style>
  <w:style w:type="paragraph" w:styleId="CommentSubject">
    <w:name w:val="annotation subject"/>
    <w:basedOn w:val="CommentText"/>
    <w:next w:val="CommentText"/>
    <w:link w:val="CommentSubjectChar"/>
    <w:locked/>
    <w:rsid w:val="00491EB3"/>
    <w:rPr>
      <w:rFonts w:eastAsia="MS Mincho"/>
      <w:b/>
      <w:bCs/>
    </w:rPr>
  </w:style>
  <w:style w:type="character" w:customStyle="1" w:styleId="CommentSubjectChar">
    <w:name w:val="Comment Subject Char"/>
    <w:link w:val="CommentSubject"/>
    <w:rsid w:val="00491EB3"/>
    <w:rPr>
      <w:rFonts w:ascii="Arial" w:eastAsia="MS Mincho" w:hAnsi="Arial"/>
      <w:b/>
      <w:bCs/>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subsectionhead">
    <w:name w:val="subsectionhead"/>
    <w:basedOn w:val="Normal"/>
    <w:rsid w:val="000604CD"/>
    <w:pPr>
      <w:spacing w:before="100" w:beforeAutospacing="1" w:after="100" w:afterAutospacing="1"/>
    </w:pPr>
    <w:rPr>
      <w:rFonts w:ascii="Times New Roman" w:eastAsia="Times New Roman" w:hAnsi="Times New Roman"/>
    </w:rPr>
  </w:style>
  <w:style w:type="paragraph" w:customStyle="1" w:styleId="subsection">
    <w:name w:val="subsection"/>
    <w:basedOn w:val="Normal"/>
    <w:rsid w:val="000604CD"/>
    <w:pPr>
      <w:spacing w:before="100" w:beforeAutospacing="1" w:after="100" w:afterAutospacing="1"/>
    </w:pPr>
    <w:rPr>
      <w:rFonts w:ascii="Times New Roman" w:eastAsia="Times New Roman" w:hAnsi="Times New Roman"/>
    </w:rPr>
  </w:style>
  <w:style w:type="paragraph" w:customStyle="1" w:styleId="notetext">
    <w:name w:val="notetext"/>
    <w:basedOn w:val="Normal"/>
    <w:rsid w:val="000604CD"/>
    <w:pPr>
      <w:spacing w:before="100" w:beforeAutospacing="1" w:after="100" w:afterAutospacing="1"/>
    </w:pPr>
    <w:rPr>
      <w:rFonts w:ascii="Times New Roman" w:eastAsia="Times New Roman" w:hAnsi="Times New Roman"/>
    </w:rPr>
  </w:style>
  <w:style w:type="paragraph" w:customStyle="1" w:styleId="paragraph">
    <w:name w:val="paragraph"/>
    <w:basedOn w:val="Normal"/>
    <w:rsid w:val="000604CD"/>
    <w:pPr>
      <w:spacing w:before="100" w:beforeAutospacing="1" w:after="100" w:afterAutospacing="1"/>
    </w:pPr>
    <w:rPr>
      <w:rFonts w:ascii="Times New Roman" w:eastAsia="Times New Roman" w:hAnsi="Times New Roman"/>
    </w:rPr>
  </w:style>
  <w:style w:type="paragraph" w:customStyle="1" w:styleId="subsection2">
    <w:name w:val="subsection2"/>
    <w:basedOn w:val="Normal"/>
    <w:rsid w:val="000604CD"/>
    <w:pPr>
      <w:spacing w:before="100" w:beforeAutospacing="1" w:after="100" w:afterAutospacing="1"/>
    </w:pPr>
    <w:rPr>
      <w:rFonts w:ascii="Times New Roman" w:eastAsia="Times New Roman" w:hAnsi="Times New Roman"/>
    </w:rPr>
  </w:style>
  <w:style w:type="character" w:customStyle="1" w:styleId="StyleEndnoteReference12pt">
    <w:name w:val="Style Endnote Reference + 12 pt"/>
    <w:rsid w:val="000604CD"/>
  </w:style>
  <w:style w:type="character" w:customStyle="1" w:styleId="EndnoteTextChar2">
    <w:name w:val="Endnote Text Char2"/>
    <w:locked/>
    <w:rsid w:val="000604CD"/>
    <w:rPr>
      <w:rFonts w:ascii="Arial" w:hAnsi="Arial"/>
      <w:lang w:val="en-AU" w:eastAsia="en-AU" w:bidi="ar-SA"/>
    </w:rPr>
  </w:style>
  <w:style w:type="paragraph" w:customStyle="1" w:styleId="Default">
    <w:name w:val="Default"/>
    <w:rsid w:val="000604CD"/>
    <w:pPr>
      <w:autoSpaceDE w:val="0"/>
      <w:autoSpaceDN w:val="0"/>
      <w:adjustRightInd w:val="0"/>
    </w:pPr>
    <w:rPr>
      <w:color w:val="000000"/>
      <w:sz w:val="24"/>
      <w:szCs w:val="24"/>
    </w:rPr>
  </w:style>
  <w:style w:type="paragraph" w:customStyle="1" w:styleId="author3">
    <w:name w:val="author3"/>
    <w:basedOn w:val="Normal"/>
    <w:rsid w:val="000604CD"/>
    <w:pPr>
      <w:pBdr>
        <w:top w:val="single" w:sz="2" w:space="6" w:color="666666"/>
        <w:bottom w:val="single" w:sz="2" w:space="6" w:color="999999"/>
      </w:pBdr>
      <w:spacing w:before="120" w:after="0" w:line="336" w:lineRule="atLeast"/>
    </w:pPr>
    <w:rPr>
      <w:rFonts w:eastAsia="Times New Roman" w:cs="Arial"/>
    </w:rPr>
  </w:style>
  <w:style w:type="paragraph" w:customStyle="1" w:styleId="LAQCourtNo1">
    <w:name w:val="LAQ_CourtNo1"/>
    <w:basedOn w:val="Normal"/>
    <w:rsid w:val="000604CD"/>
    <w:pPr>
      <w:numPr>
        <w:numId w:val="25"/>
      </w:numPr>
      <w:spacing w:before="0" w:after="120" w:line="360" w:lineRule="auto"/>
    </w:pPr>
    <w:rPr>
      <w:rFonts w:eastAsia="Times New Roman"/>
      <w:szCs w:val="20"/>
      <w:lang w:eastAsia="en-US"/>
    </w:rPr>
  </w:style>
  <w:style w:type="paragraph" w:customStyle="1" w:styleId="LAQCourtNo2">
    <w:name w:val="LAQ_CourtNo2"/>
    <w:basedOn w:val="Normal"/>
    <w:rsid w:val="000604CD"/>
    <w:pPr>
      <w:numPr>
        <w:ilvl w:val="1"/>
        <w:numId w:val="25"/>
      </w:numPr>
      <w:spacing w:before="0" w:line="360" w:lineRule="auto"/>
    </w:pPr>
    <w:rPr>
      <w:rFonts w:eastAsia="Times New Roman"/>
      <w:szCs w:val="20"/>
      <w:lang w:eastAsia="en-US"/>
    </w:rPr>
  </w:style>
  <w:style w:type="paragraph" w:customStyle="1" w:styleId="LAQCourtNo3">
    <w:name w:val="LAQ_CourtNo3"/>
    <w:basedOn w:val="Normal"/>
    <w:rsid w:val="000604CD"/>
    <w:pPr>
      <w:numPr>
        <w:ilvl w:val="2"/>
        <w:numId w:val="25"/>
      </w:numPr>
      <w:spacing w:before="0" w:line="360" w:lineRule="auto"/>
    </w:pPr>
    <w:rPr>
      <w:rFonts w:eastAsia="Times New Roman"/>
      <w:szCs w:val="20"/>
      <w:lang w:eastAsia="en-US"/>
    </w:rPr>
  </w:style>
  <w:style w:type="paragraph" w:customStyle="1" w:styleId="acthead5">
    <w:name w:val="acthead5"/>
    <w:basedOn w:val="Normal"/>
    <w:rsid w:val="000604CD"/>
    <w:pPr>
      <w:spacing w:before="100" w:beforeAutospacing="1" w:after="100" w:afterAutospacing="1"/>
    </w:pPr>
    <w:rPr>
      <w:rFonts w:ascii="Times New Roman" w:eastAsia="Times New Roman" w:hAnsi="Times New Roman"/>
    </w:rPr>
  </w:style>
  <w:style w:type="paragraph" w:customStyle="1" w:styleId="paragraphsub">
    <w:name w:val="paragraphsub"/>
    <w:basedOn w:val="Normal"/>
    <w:rsid w:val="000604CD"/>
    <w:pPr>
      <w:spacing w:before="100" w:beforeAutospacing="1" w:after="100" w:afterAutospacing="1"/>
    </w:pPr>
    <w:rPr>
      <w:rFonts w:ascii="Times New Roman" w:eastAsia="Times New Roman" w:hAnsi="Times New Roman"/>
    </w:rPr>
  </w:style>
  <w:style w:type="paragraph" w:customStyle="1" w:styleId="r2">
    <w:name w:val="r2"/>
    <w:basedOn w:val="Normal"/>
    <w:rsid w:val="000604CD"/>
    <w:pPr>
      <w:spacing w:before="100" w:beforeAutospacing="1" w:after="100" w:afterAutospacing="1"/>
    </w:pPr>
    <w:rPr>
      <w:rFonts w:ascii="Times New Roman" w:eastAsia="Times New Roman" w:hAnsi="Times New Roman"/>
    </w:rPr>
  </w:style>
  <w:style w:type="character" w:customStyle="1" w:styleId="hps-normal1">
    <w:name w:val="hps-normal1"/>
    <w:rsid w:val="000604CD"/>
  </w:style>
  <w:style w:type="character" w:customStyle="1" w:styleId="st">
    <w:name w:val="st"/>
    <w:rsid w:val="000604CD"/>
  </w:style>
  <w:style w:type="paragraph" w:styleId="ListParagraph">
    <w:name w:val="List Paragraph"/>
    <w:basedOn w:val="Normal"/>
    <w:uiPriority w:val="34"/>
    <w:qFormat/>
    <w:rsid w:val="00060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stlii.edu.au/au/legis/cth/consol_act/ma1958118/s5.html" TargetMode="External"/><Relationship Id="rId18" Type="http://schemas.openxmlformats.org/officeDocument/2006/relationships/hyperlink" Target="http://www.austlii.edu.au/au/legis/cth/consol_act/ma1958118/s5.html" TargetMode="External"/><Relationship Id="rId26" Type="http://schemas.openxmlformats.org/officeDocument/2006/relationships/hyperlink" Target="http://www.immi.gov.au/media/fact-sheets/79character.htm" TargetMode="External"/><Relationship Id="rId3" Type="http://schemas.openxmlformats.org/officeDocument/2006/relationships/styles" Target="styles.xml"/><Relationship Id="rId21" Type="http://schemas.openxmlformats.org/officeDocument/2006/relationships/hyperlink" Target="http://www.humanrights.gov.au/publications/2011-immigration-detention-villawood"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austlii.edu.au/au/legis/cth/consol_act/ma1958118/s5.html" TargetMode="External"/><Relationship Id="rId25" Type="http://schemas.openxmlformats.org/officeDocument/2006/relationships/hyperlink" Target="http://humanrights.gov.au/human_rights/immigration/index.html"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austlii.edu.au/au/legis/cth/consol_act/ma1958118/s5.html" TargetMode="External"/><Relationship Id="rId20" Type="http://schemas.openxmlformats.org/officeDocument/2006/relationships/hyperlink" Target="http://www.austlii.edu.au/au/legis/cth/consol_act/ma1958118/s5.html" TargetMode="External"/><Relationship Id="rId29" Type="http://schemas.openxmlformats.org/officeDocument/2006/relationships/hyperlink" Target="http://www.ombudsman.gov.au/reports/immigration-detention-re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umanrights.gov.au/legal/submissions/2008/200805_haneef.html"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ustlii.edu.au/au/legis/cth/consol_act/ma1958118/s5.html" TargetMode="External"/><Relationship Id="rId23" Type="http://schemas.openxmlformats.org/officeDocument/2006/relationships/hyperlink" Target="http://www.humanrights.gov.au/legal/submissions/2008/20080829_immigration_detention.html" TargetMode="External"/><Relationship Id="rId28" Type="http://schemas.openxmlformats.org/officeDocument/2006/relationships/hyperlink" Target="http://www.ombudsman.gov.au/files/investigation_2007_10.pd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ustlii.edu.au/au/legis/cth/consol_act/ma1958118/s5.html" TargetMode="External"/><Relationship Id="rId31" Type="http://schemas.openxmlformats.org/officeDocument/2006/relationships/hyperlink" Target="http://www.iarc.asn.au/LiteratureRetrieve.aspx?ID=3957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ustlii.edu.au/au/legis/cth/consol_act/ma1958118/s5.html" TargetMode="External"/><Relationship Id="rId22" Type="http://schemas.openxmlformats.org/officeDocument/2006/relationships/hyperlink" Target="http://www.humanrights.gov.au/legal/submissions/2009/20090731_migration.html" TargetMode="External"/><Relationship Id="rId27" Type="http://schemas.openxmlformats.org/officeDocument/2006/relationships/hyperlink" Target="http://www.ombudsman.gov.au/files/investigation_2006_01.pdf" TargetMode="External"/><Relationship Id="rId30" Type="http://schemas.openxmlformats.org/officeDocument/2006/relationships/hyperlink" Target="http://works.bepress.com/cgi/viewcontent.cgi?article=1036&amp;context=susan_harris_rimmer" TargetMode="External"/><Relationship Id="rId35"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humanrights.gov.au/legal/submissions/2008/20080829_immigration_detention.html" TargetMode="External"/><Relationship Id="rId13" Type="http://schemas.openxmlformats.org/officeDocument/2006/relationships/hyperlink" Target="http://www.unhcr.org/refworld/docid/404887ee3.html" TargetMode="External"/><Relationship Id="rId18" Type="http://schemas.openxmlformats.org/officeDocument/2006/relationships/hyperlink" Target="http://www.austlii.edu.au/au/other/dfat/treaties/ATS/1991/19.html" TargetMode="External"/><Relationship Id="rId26" Type="http://schemas.openxmlformats.org/officeDocument/2006/relationships/hyperlink" Target="http://www.humanrights.gov.au/legal/submissions/2008/200805_haneef.html" TargetMode="External"/><Relationship Id="rId3" Type="http://schemas.openxmlformats.org/officeDocument/2006/relationships/hyperlink" Target="http://www.austlii.edu.au/au/other/dfat/treaties/1954/5.html" TargetMode="External"/><Relationship Id="rId21" Type="http://schemas.openxmlformats.org/officeDocument/2006/relationships/hyperlink" Target="http://www.bayefsky.com/docs.php/area/jurisprudence/node/4/filename/australia_t5_ccpr_1557_2007" TargetMode="External"/><Relationship Id="rId7" Type="http://schemas.openxmlformats.org/officeDocument/2006/relationships/hyperlink" Target="http://parlinfo.aph.gov.au/parlInfo/genpdf/chamber/hansards/2008-06-17/0159/hansard_frag.pdf;fileType=application%2Fpdf" TargetMode="External"/><Relationship Id="rId12" Type="http://schemas.openxmlformats.org/officeDocument/2006/relationships/hyperlink" Target="http://www.unhcr.org/refworld/docid/3f588ef00.html" TargetMode="External"/><Relationship Id="rId17" Type="http://schemas.openxmlformats.org/officeDocument/2006/relationships/hyperlink" Target="http://www.humanrights.gov.au/immigration-detention-asylum-seekers-and-refugees" TargetMode="External"/><Relationship Id="rId25" Type="http://schemas.openxmlformats.org/officeDocument/2006/relationships/hyperlink" Target="http://humanrights.gov.au/legal/submissions/2008/20080829_immigration_detention.html" TargetMode="External"/><Relationship Id="rId2" Type="http://schemas.openxmlformats.org/officeDocument/2006/relationships/hyperlink" Target="http://www.immi.gov.au/media/fact-sheets/79-ministerial-direction-55.pdf" TargetMode="External"/><Relationship Id="rId16" Type="http://schemas.openxmlformats.org/officeDocument/2006/relationships/hyperlink" Target="http://humanrights.gov.au/human_rights/children_detention_report/index.html" TargetMode="External"/><Relationship Id="rId20" Type="http://schemas.openxmlformats.org/officeDocument/2006/relationships/hyperlink" Target="https://senate.aph.gov.au/submissions/comittees/viewdocument.aspx?id=9b894535-53fa-42c7-a9b0-1e909ea76160" TargetMode="External"/><Relationship Id="rId1" Type="http://schemas.openxmlformats.org/officeDocument/2006/relationships/hyperlink" Target="http://www.immi.gov.au/about/reports/annual/2011-12/" TargetMode="External"/><Relationship Id="rId6" Type="http://schemas.openxmlformats.org/officeDocument/2006/relationships/hyperlink" Target="http://www.ombudsman.gov.au/files/investigation_2006_01.pdf" TargetMode="External"/><Relationship Id="rId11" Type="http://schemas.openxmlformats.org/officeDocument/2006/relationships/hyperlink" Target="http://www.unhcr.org/refworld/docid/3ae6b71a0.html" TargetMode="External"/><Relationship Id="rId24" Type="http://schemas.openxmlformats.org/officeDocument/2006/relationships/hyperlink" Target="http://www.humanrights.gov.au/legal-research-and-resources-0" TargetMode="External"/><Relationship Id="rId5" Type="http://schemas.openxmlformats.org/officeDocument/2006/relationships/hyperlink" Target="http://www.austlii.edu.au/au/other/dfat/treaties/1980/23.html" TargetMode="External"/><Relationship Id="rId15" Type="http://schemas.openxmlformats.org/officeDocument/2006/relationships/hyperlink" Target="http://humanrights.gov.au/human_rights/immigration/seas.html" TargetMode="External"/><Relationship Id="rId23" Type="http://schemas.openxmlformats.org/officeDocument/2006/relationships/hyperlink" Target="http://www.humanrights.gov.au/publications/2011-immigration-detention-villawood" TargetMode="External"/><Relationship Id="rId10" Type="http://schemas.openxmlformats.org/officeDocument/2006/relationships/hyperlink" Target="http://www.unhchr.ch/tbs/doc.nsf/(Symbol)/f4253f9572cd4700c12563ed00483bec?Opendocument" TargetMode="External"/><Relationship Id="rId19" Type="http://schemas.openxmlformats.org/officeDocument/2006/relationships/hyperlink" Target="http://www.austlii.edu.au/au/other/dfat/treaties/1991/4.html" TargetMode="External"/><Relationship Id="rId4" Type="http://schemas.openxmlformats.org/officeDocument/2006/relationships/hyperlink" Target="http://www.austlii.edu.au/au/other/dfat/treaties/ATS/1989/21.html" TargetMode="External"/><Relationship Id="rId9" Type="http://schemas.openxmlformats.org/officeDocument/2006/relationships/hyperlink" Target="http://www.ombudsman.gov.au/files/Joint_Standing_Committee_on_Migration_Inquiry_to_immigration_detention_in_Australia.pdf" TargetMode="External"/><Relationship Id="rId14" Type="http://schemas.openxmlformats.org/officeDocument/2006/relationships/hyperlink" Target="http://www.bayefsky.com/docs.php/area/jurisprudence/node/4/filename/117_netherlands305vws" TargetMode="External"/><Relationship Id="rId22" Type="http://schemas.openxmlformats.org/officeDocument/2006/relationships/hyperlink" Target="http://www.unhcr.org/cgi-bin/texis/vtx/refworld/rwmain?docid=453883f922" TargetMode="External"/><Relationship Id="rId27" Type="http://schemas.openxmlformats.org/officeDocument/2006/relationships/hyperlink" Target="http://www.humanrights.gov.au/human_rights/immigratio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7C21-EFBC-4610-B7EB-B096DF79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497</TotalTime>
  <Pages>25</Pages>
  <Words>7695</Words>
  <Characters>43656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51249</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Sarah Dillon</dc:creator>
  <cp:lastModifiedBy>Sarah Dillon</cp:lastModifiedBy>
  <cp:revision>511</cp:revision>
  <cp:lastPrinted>2013-06-24T00:05:00Z</cp:lastPrinted>
  <dcterms:created xsi:type="dcterms:W3CDTF">2013-06-24T00:05:00Z</dcterms:created>
  <dcterms:modified xsi:type="dcterms:W3CDTF">2013-07-19T05:51:00Z</dcterms:modified>
</cp:coreProperties>
</file>