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66CD5" w:rsidRPr="00654793" w:rsidRDefault="009028F0" w:rsidP="00866CD5">
      <w:pPr>
        <w:tabs>
          <w:tab w:val="left" w:pos="3014"/>
        </w:tabs>
        <w:spacing w:after="3000"/>
        <w:rPr>
          <w:rStyle w:val="FootnoteReference"/>
        </w:rPr>
      </w:pPr>
      <w:r>
        <w:rPr>
          <w:noProof/>
        </w:rPr>
        <mc:AlternateContent>
          <mc:Choice Requires="wps">
            <w:drawing>
              <wp:anchor distT="0" distB="0" distL="114300" distR="114300" simplePos="0" relativeHeight="251661312" behindDoc="0" locked="0" layoutInCell="1" allowOverlap="1" wp14:anchorId="3404AE2E" wp14:editId="329ADA2D">
                <wp:simplePos x="0" y="0"/>
                <wp:positionH relativeFrom="column">
                  <wp:posOffset>917484</wp:posOffset>
                </wp:positionH>
                <wp:positionV relativeFrom="paragraph">
                  <wp:posOffset>1520190</wp:posOffset>
                </wp:positionV>
                <wp:extent cx="4818562"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8562" cy="609600"/>
                        </a:xfrm>
                        <a:prstGeom prst="rect">
                          <a:avLst/>
                        </a:prstGeom>
                        <a:noFill/>
                        <a:ln w="6350">
                          <a:noFill/>
                        </a:ln>
                        <a:effectLst/>
                      </wps:spPr>
                      <wps:txbx>
                        <w:txbxContent>
                          <w:p w:rsidR="009028F0" w:rsidRPr="0080407C" w:rsidRDefault="009028F0" w:rsidP="009028F0">
                            <w:pPr>
                              <w:jc w:val="right"/>
                              <w:rPr>
                                <w:b/>
                                <w:caps/>
                                <w:sz w:val="28"/>
                                <w:szCs w:val="28"/>
                              </w:rPr>
                            </w:pPr>
                            <w:bookmarkStart w:id="1" w:name="_Toc389744561"/>
                            <w:bookmarkStart w:id="2" w:name="_Toc410116559"/>
                            <w:r w:rsidRPr="0080407C">
                              <w:rPr>
                                <w:b/>
                                <w:caps/>
                                <w:sz w:val="28"/>
                                <w:szCs w:val="28"/>
                              </w:rPr>
                              <w:t>Promoting diversity at the commission</w:t>
                            </w:r>
                            <w:bookmarkEnd w:id="1"/>
                            <w:bookmarkEnd w:id="2"/>
                          </w:p>
                          <w:p w:rsidR="00866CD5" w:rsidRPr="00B74219" w:rsidRDefault="00866CD5" w:rsidP="00866CD5">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2.25pt;margin-top:119.7pt;width:379.4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Q5PQIAAH8EAAAOAAAAZHJzL2Uyb0RvYy54bWysVN9v2jAQfp+0/8Hy+0igwGhEqFgrpkmo&#10;rQRTn43jkGi2z7MNSffX7+wkFHV7mvbinH3f/fzusrxrlSRnYV0NOqfjUUqJ0ByKWh9z+n2/+bSg&#10;xHmmCyZBi5y+CkfvVh8/LBuTiQlUIAthCTrRLmtMTivvTZYkjldCMTcCIzQqS7CKebzaY1JY1qB3&#10;JZNJms6TBmxhLHDhHL4+dEq6iv7LUnD/VJZOeCJzirn5eNp4HsKZrJYsO1pmqpr3abB/yEKxWmPQ&#10;i6sH5hk52foPV6rmFhyUfsRBJVCWNRexBqxmnL6rZlcxI2It2BxnLm1y/88tfzw/W1IXyB0lmimk&#10;aC9aT75AS8ahO41xGYJ2BmG+xeeADJU6swX+wyEkucJ0Bg7RAdOWVoUv1knQEAl4vTQ9ROH4OF2M&#10;F7P5hBKOunl6O08jK8mbtbHOfxWgSBByapHUmAE7b50P8Vk2QEIwDZtaykis1KRBpzezNBpcNGgh&#10;dcCKOCK9m1BGl3mQfHtoY2NuhjYcoHjFLljopsgZvqkxoy1z/plZHBusD1fBP+FRSsDI0EuUVGB/&#10;/e094JFN1FLS4Bjm1P08MSsokd808nw7nk7D3MbLdPZ5ghd7rTlca/RJ3QNOOnKJ2UUx4L0cxNKC&#10;esGNWYeoqGKaY+yc+kG8991y4MZxsV5HEE6qYX6rd4YP5Id+79sXZk1Pikc6H2EYWJa946bDduys&#10;Tx7KOhIX+tx1tZ8inPLIZ7+RYY2u7xH19t9Y/QYAAP//AwBQSwMEFAAGAAgAAAAhAEZBOEPhAAAA&#10;CwEAAA8AAABkcnMvZG93bnJldi54bWxMj8FOwzAQRO9I/IO1SNyoQ51CG+JUFYILEkKUSlVvbmzi&#10;gL0OttuGv2c5wXG0TzNv6+XoHTuamPqAEq4nBTCDbdA9dhI2b49Xc2ApK9TKBTQSvk2CZXN+VqtK&#10;hxO+muM6d4xKMFVKgs15qDhPrTVepUkYDNLtPUSvMsXYcR3Vicq949OiuOFe9UgLVg3m3pr2c33w&#10;Em7nO20/4tO42T6vvuzLwN2D4lJeXoyrO2DZjPkPhl99UoeGnPbhgDoxR7ksZ4RKmIpFCYyIRSEE&#10;sL0EIWYl8Kbm/39ofgAAAP//AwBQSwECLQAUAAYACAAAACEAtoM4kv4AAADhAQAAEwAAAAAAAAAA&#10;AAAAAAAAAAAAW0NvbnRlbnRfVHlwZXNdLnhtbFBLAQItABQABgAIAAAAIQA4/SH/1gAAAJQBAAAL&#10;AAAAAAAAAAAAAAAAAC8BAABfcmVscy8ucmVsc1BLAQItABQABgAIAAAAIQA6gUQ5PQIAAH8EAAAO&#10;AAAAAAAAAAAAAAAAAC4CAABkcnMvZTJvRG9jLnhtbFBLAQItABQABgAIAAAAIQBGQThD4QAAAAsB&#10;AAAPAAAAAAAAAAAAAAAAAJcEAABkcnMvZG93bnJldi54bWxQSwUGAAAAAAQABADzAAAApQUAAAAA&#10;" filled="f" stroked="f" strokeweight=".5pt">
                <v:path arrowok="t"/>
                <v:textbox>
                  <w:txbxContent>
                    <w:p w:rsidR="009028F0" w:rsidRPr="0080407C" w:rsidRDefault="009028F0" w:rsidP="009028F0">
                      <w:pPr>
                        <w:jc w:val="right"/>
                        <w:rPr>
                          <w:b/>
                          <w:caps/>
                          <w:sz w:val="28"/>
                          <w:szCs w:val="28"/>
                        </w:rPr>
                      </w:pPr>
                      <w:bookmarkStart w:id="2" w:name="_Toc389744561"/>
                      <w:bookmarkStart w:id="3" w:name="_Toc410116559"/>
                      <w:r w:rsidRPr="0080407C">
                        <w:rPr>
                          <w:b/>
                          <w:caps/>
                          <w:sz w:val="28"/>
                          <w:szCs w:val="28"/>
                        </w:rPr>
                        <w:t>P</w:t>
                      </w:r>
                      <w:r w:rsidRPr="0080407C">
                        <w:rPr>
                          <w:b/>
                          <w:caps/>
                          <w:sz w:val="28"/>
                          <w:szCs w:val="28"/>
                        </w:rPr>
                        <w:t>romoting diversity at the commission</w:t>
                      </w:r>
                      <w:bookmarkEnd w:id="2"/>
                      <w:bookmarkEnd w:id="3"/>
                    </w:p>
                    <w:p w:rsidR="00866CD5" w:rsidRPr="00B74219" w:rsidRDefault="00866CD5" w:rsidP="00866CD5">
                      <w:pPr>
                        <w:pStyle w:val="Subtitle"/>
                      </w:pPr>
                    </w:p>
                  </w:txbxContent>
                </v:textbox>
              </v:shape>
            </w:pict>
          </mc:Fallback>
        </mc:AlternateContent>
      </w:r>
      <w:r w:rsidR="00866CD5">
        <w:rPr>
          <w:noProof/>
        </w:rPr>
        <mc:AlternateContent>
          <mc:Choice Requires="wps">
            <w:drawing>
              <wp:anchor distT="0" distB="0" distL="114300" distR="114300" simplePos="0" relativeHeight="251660288" behindDoc="0" locked="0" layoutInCell="1" allowOverlap="1" wp14:anchorId="22C3C9E2" wp14:editId="4C249F6B">
                <wp:simplePos x="0" y="0"/>
                <wp:positionH relativeFrom="column">
                  <wp:posOffset>2490470</wp:posOffset>
                </wp:positionH>
                <wp:positionV relativeFrom="paragraph">
                  <wp:posOffset>-45085</wp:posOffset>
                </wp:positionV>
                <wp:extent cx="3244215" cy="1485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215" cy="1485900"/>
                        </a:xfrm>
                        <a:prstGeom prst="rect">
                          <a:avLst/>
                        </a:prstGeom>
                        <a:noFill/>
                        <a:ln w="6350">
                          <a:noFill/>
                        </a:ln>
                        <a:effectLst/>
                      </wps:spPr>
                      <wps:txbx>
                        <w:txbxContent>
                          <w:p w:rsidR="00866CD5" w:rsidRPr="009028F0" w:rsidRDefault="009028F0" w:rsidP="00866CD5">
                            <w:pPr>
                              <w:pStyle w:val="MainTitle"/>
                              <w:rPr>
                                <w:b/>
                              </w:rPr>
                            </w:pPr>
                            <w:r w:rsidRPr="009028F0">
                              <w:rPr>
                                <w:b/>
                              </w:rPr>
                              <w:t xml:space="preserve">2014 </w:t>
                            </w:r>
                          </w:p>
                          <w:p w:rsidR="009028F0" w:rsidRDefault="009028F0" w:rsidP="00866CD5">
                            <w:pPr>
                              <w:pStyle w:val="MainTitle"/>
                            </w:pPr>
                            <w:r>
                              <w:t xml:space="preserve">Diversity </w:t>
                            </w:r>
                          </w:p>
                          <w:p w:rsidR="009028F0" w:rsidRDefault="009028F0" w:rsidP="00866CD5">
                            <w:pPr>
                              <w:pStyle w:val="MainTitle"/>
                            </w:pPr>
                            <w:r>
                              <w:t>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96.1pt;margin-top:-3.55pt;width:255.4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9YQQIAAIAEAAAOAAAAZHJzL2Uyb0RvYy54bWysVEtv2zAMvg/YfxB0X/yo07VGnCJrkWFA&#10;0BZIhp4VWY6NWaImKbG7Xz9KttOg22nYRabEj8+P9OKuly05CWMbUAVNZjElQnEoG3Uo6Pfd+tMN&#10;JdYxVbIWlCjoq7D0bvnxw6LTuUihhrYUhqATZfNOF7R2TudRZHktJLMz0EKhsgIjmcOrOUSlYR16&#10;l22UxvF11IEptQEurMXXh0FJl8F/VQnunqrKCkfagmJuLpwmnHt/RssFyw+G6brhYxrsH7KQrFEY&#10;9OzqgTlGjqb5w5VsuAELlZtxkBFUVcNFqAGrSeJ31WxrpkWoBZtj9blN9v+55Y+nZ0OasqAZJYpJ&#10;pGgneke+QE8y351O2xxBW40w1+MzshwqtXoD/IdFSHSBGQwson03+spI/8U6CRoiAa/npvsoHB+v&#10;0ixLkzklHHVJdjO/jQMt0Zu5NtZ9FSCJFwpqkNWQAjttrPMJsHyC+GgK1k3bBmZbRbqCXl/N42Bw&#10;1qBFqzxWhBkZ3fg6htS95Pp9HzqTTn3YQ/mKbTAwjJHVfN1gRhtm3TMzODdYIO6Ce8KjagEjwyhR&#10;UoP59bd3j0c6UUtJh3NYUPvzyIygpP2mkOjbJMv84IZLNv+c4sVcavaXGnWU94CjnuDWaR5Ej3ft&#10;JFYG5AuuzMpHRRVTHGMX1E3ivRu2A1eOi9UqgHBUNXMbtdV8Yt/3e9e/MKNHUhzy+QjTxLL8HTcD&#10;dmBndXRQNYE43+ehq+MY4ZgHPseV9Ht0eQ+otx/H8jcAAAD//wMAUEsDBBQABgAIAAAAIQD57LJA&#10;4QAAAAoBAAAPAAAAZHJzL2Rvd25yZXYueG1sTI9NSwMxEIbvgv8hjOCtzTaFtrvd2VJEL4KItSC9&#10;pZu4Wc3HmqTt+u8dT3qbYR7eed56MzrLzjqmPniE2bQApn0bVO87hP3rw2QFLGXplbTBa4RvnWDT&#10;XF/VslLh4l/0eZc7RiE+VRLB5DxUnKfWaCfTNAza0+09RCczrbHjKsoLhTvLRVEsuJO9pw9GDvrO&#10;6PZzd3IIy9VBmY/4OO7fnrZf5nng9l5yxNubcbsGlvWY/2D41Sd1aMjpGE5eJWYR5qUQhCJMljNg&#10;BJTFnIYjghCLEnhT8/8Vmh8AAAD//wMAUEsBAi0AFAAGAAgAAAAhALaDOJL+AAAA4QEAABMAAAAA&#10;AAAAAAAAAAAAAAAAAFtDb250ZW50X1R5cGVzXS54bWxQSwECLQAUAAYACAAAACEAOP0h/9YAAACU&#10;AQAACwAAAAAAAAAAAAAAAAAvAQAAX3JlbHMvLnJlbHNQSwECLQAUAAYACAAAACEAUqgvWEECAACA&#10;BAAADgAAAAAAAAAAAAAAAAAuAgAAZHJzL2Uyb0RvYy54bWxQSwECLQAUAAYACAAAACEA+eyyQOEA&#10;AAAKAQAADwAAAAAAAAAAAAAAAACbBAAAZHJzL2Rvd25yZXYueG1sUEsFBgAAAAAEAAQA8wAAAKkF&#10;AAAAAA==&#10;" filled="f" stroked="f" strokeweight=".5pt">
                <v:path arrowok="t"/>
                <v:textbox>
                  <w:txbxContent>
                    <w:p w:rsidR="00866CD5" w:rsidRPr="009028F0" w:rsidRDefault="009028F0" w:rsidP="00866CD5">
                      <w:pPr>
                        <w:pStyle w:val="MainTitle"/>
                        <w:rPr>
                          <w:b/>
                        </w:rPr>
                      </w:pPr>
                      <w:r w:rsidRPr="009028F0">
                        <w:rPr>
                          <w:b/>
                        </w:rPr>
                        <w:t xml:space="preserve">2014 </w:t>
                      </w:r>
                    </w:p>
                    <w:p w:rsidR="009028F0" w:rsidRDefault="009028F0" w:rsidP="00866CD5">
                      <w:pPr>
                        <w:pStyle w:val="MainTitle"/>
                      </w:pPr>
                      <w:r>
                        <w:t xml:space="preserve">Diversity </w:t>
                      </w:r>
                    </w:p>
                    <w:p w:rsidR="009028F0" w:rsidRDefault="009028F0" w:rsidP="00866CD5">
                      <w:pPr>
                        <w:pStyle w:val="MainTitle"/>
                      </w:pPr>
                      <w:r>
                        <w:t>Strategy</w:t>
                      </w:r>
                    </w:p>
                  </w:txbxContent>
                </v:textbox>
              </v:shape>
            </w:pict>
          </mc:Fallback>
        </mc:AlternateContent>
      </w:r>
    </w:p>
    <w:p w:rsidR="00866CD5" w:rsidRPr="00827DE2" w:rsidRDefault="00866CD5" w:rsidP="00866CD5">
      <w:pPr>
        <w:pStyle w:val="MainTitle"/>
        <w:rPr>
          <w:sz w:val="44"/>
          <w:szCs w:val="44"/>
        </w:rPr>
      </w:pPr>
    </w:p>
    <w:p w:rsidR="00866CD5" w:rsidRDefault="00866CD5" w:rsidP="00866CD5">
      <w:pPr>
        <w:sectPr w:rsidR="00866CD5" w:rsidSect="00866CD5">
          <w:headerReference w:type="even" r:id="rId9"/>
          <w:headerReference w:type="default" r:id="rId10"/>
          <w:footerReference w:type="default" r:id="rId11"/>
          <w:headerReference w:type="first" r:id="rId12"/>
          <w:footerReference w:type="first" r:id="rId13"/>
          <w:pgSz w:w="11906" w:h="16838" w:code="9"/>
          <w:pgMar w:top="228" w:right="1700" w:bottom="1134" w:left="1418" w:header="277" w:footer="415" w:gutter="0"/>
          <w:cols w:space="708"/>
          <w:titlePg/>
          <w:docGrid w:linePitch="360"/>
        </w:sectPr>
      </w:pPr>
    </w:p>
    <w:p w:rsidR="00866CD5" w:rsidRPr="0080407C" w:rsidRDefault="00866CD5" w:rsidP="00866CD5">
      <w:pPr>
        <w:rPr>
          <w:b/>
          <w:sz w:val="36"/>
          <w:szCs w:val="36"/>
        </w:rPr>
      </w:pPr>
      <w:bookmarkStart w:id="3" w:name="_Toc207761829"/>
      <w:r w:rsidRPr="0080407C">
        <w:rPr>
          <w:b/>
          <w:sz w:val="36"/>
          <w:szCs w:val="36"/>
        </w:rPr>
        <w:lastRenderedPageBreak/>
        <w:t>Table of Contents</w:t>
      </w:r>
      <w:bookmarkEnd w:id="3"/>
    </w:p>
    <w:p w:rsidR="0080407C" w:rsidRPr="0080407C" w:rsidRDefault="00866CD5">
      <w:pPr>
        <w:pStyle w:val="TOC1"/>
        <w:rPr>
          <w:rFonts w:asciiTheme="minorHAnsi" w:eastAsiaTheme="minorEastAsia" w:hAnsiTheme="minorHAnsi" w:cstheme="minorBidi"/>
          <w:b w:val="0"/>
          <w:sz w:val="24"/>
        </w:rPr>
      </w:pPr>
      <w:r w:rsidRPr="0080407C">
        <w:rPr>
          <w:b w:val="0"/>
          <w:sz w:val="24"/>
        </w:rPr>
        <w:fldChar w:fldCharType="begin"/>
      </w:r>
      <w:r w:rsidRPr="0080407C">
        <w:rPr>
          <w:b w:val="0"/>
          <w:sz w:val="24"/>
        </w:rPr>
        <w:instrText xml:space="preserve"> TOC \o "1-4" \h \z \u </w:instrText>
      </w:r>
      <w:r w:rsidRPr="0080407C">
        <w:rPr>
          <w:b w:val="0"/>
          <w:sz w:val="24"/>
        </w:rPr>
        <w:fldChar w:fldCharType="separate"/>
      </w:r>
      <w:hyperlink w:anchor="_Toc410116644" w:history="1">
        <w:r w:rsidR="0080407C" w:rsidRPr="0080407C">
          <w:rPr>
            <w:rStyle w:val="Hyperlink"/>
            <w:b w:val="0"/>
            <w:sz w:val="24"/>
          </w:rPr>
          <w:t>1</w:t>
        </w:r>
        <w:r w:rsidR="0080407C" w:rsidRPr="0080407C">
          <w:rPr>
            <w:rFonts w:asciiTheme="minorHAnsi" w:eastAsiaTheme="minorEastAsia" w:hAnsiTheme="minorHAnsi" w:cstheme="minorBidi"/>
            <w:b w:val="0"/>
            <w:sz w:val="24"/>
          </w:rPr>
          <w:tab/>
        </w:r>
        <w:r w:rsidR="0080407C" w:rsidRPr="0080407C">
          <w:rPr>
            <w:rStyle w:val="Hyperlink"/>
            <w:b w:val="0"/>
            <w:sz w:val="24"/>
          </w:rPr>
          <w:t>Statement of Commitment from the President</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_Toc410116644 \h </w:instrText>
        </w:r>
        <w:r w:rsidR="0080407C" w:rsidRPr="0080407C">
          <w:rPr>
            <w:b w:val="0"/>
            <w:webHidden/>
            <w:sz w:val="24"/>
          </w:rPr>
        </w:r>
        <w:r w:rsidR="0080407C" w:rsidRPr="0080407C">
          <w:rPr>
            <w:b w:val="0"/>
            <w:webHidden/>
            <w:sz w:val="24"/>
          </w:rPr>
          <w:fldChar w:fldCharType="separate"/>
        </w:r>
        <w:r w:rsidR="00004966">
          <w:rPr>
            <w:b w:val="0"/>
            <w:webHidden/>
            <w:sz w:val="24"/>
          </w:rPr>
          <w:t>3</w:t>
        </w:r>
        <w:r w:rsidR="0080407C" w:rsidRPr="0080407C">
          <w:rPr>
            <w:b w:val="0"/>
            <w:webHidden/>
            <w:sz w:val="24"/>
          </w:rPr>
          <w:fldChar w:fldCharType="end"/>
        </w:r>
      </w:hyperlink>
    </w:p>
    <w:p w:rsidR="0080407C" w:rsidRPr="0080407C" w:rsidRDefault="00004966">
      <w:pPr>
        <w:pStyle w:val="TOC1"/>
        <w:rPr>
          <w:rFonts w:asciiTheme="minorHAnsi" w:eastAsiaTheme="minorEastAsia" w:hAnsiTheme="minorHAnsi" w:cstheme="minorBidi"/>
          <w:b w:val="0"/>
          <w:sz w:val="24"/>
        </w:rPr>
      </w:pPr>
      <w:hyperlink w:anchor="_Toc410116645" w:history="1">
        <w:r w:rsidR="0080407C" w:rsidRPr="0080407C">
          <w:rPr>
            <w:rStyle w:val="Hyperlink"/>
            <w:b w:val="0"/>
            <w:sz w:val="24"/>
          </w:rPr>
          <w:t>2</w:t>
        </w:r>
        <w:r w:rsidR="0080407C" w:rsidRPr="0080407C">
          <w:rPr>
            <w:rFonts w:asciiTheme="minorHAnsi" w:eastAsiaTheme="minorEastAsia" w:hAnsiTheme="minorHAnsi" w:cstheme="minorBidi"/>
            <w:b w:val="0"/>
            <w:sz w:val="24"/>
          </w:rPr>
          <w:tab/>
        </w:r>
        <w:r w:rsidR="0080407C" w:rsidRPr="0080407C">
          <w:rPr>
            <w:rStyle w:val="Hyperlink"/>
            <w:b w:val="0"/>
            <w:sz w:val="24"/>
          </w:rPr>
          <w:t>Introduction</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_Toc410116645 \h </w:instrText>
        </w:r>
        <w:r w:rsidR="0080407C" w:rsidRPr="0080407C">
          <w:rPr>
            <w:b w:val="0"/>
            <w:webHidden/>
            <w:sz w:val="24"/>
          </w:rPr>
        </w:r>
        <w:r w:rsidR="0080407C" w:rsidRPr="0080407C">
          <w:rPr>
            <w:b w:val="0"/>
            <w:webHidden/>
            <w:sz w:val="24"/>
          </w:rPr>
          <w:fldChar w:fldCharType="separate"/>
        </w:r>
        <w:r>
          <w:rPr>
            <w:b w:val="0"/>
            <w:webHidden/>
            <w:sz w:val="24"/>
          </w:rPr>
          <w:t>4</w:t>
        </w:r>
        <w:r w:rsidR="0080407C" w:rsidRPr="0080407C">
          <w:rPr>
            <w:b w:val="0"/>
            <w:webHidden/>
            <w:sz w:val="24"/>
          </w:rPr>
          <w:fldChar w:fldCharType="end"/>
        </w:r>
      </w:hyperlink>
    </w:p>
    <w:p w:rsidR="0080407C" w:rsidRPr="0080407C" w:rsidRDefault="00004966">
      <w:pPr>
        <w:pStyle w:val="TOC2"/>
        <w:rPr>
          <w:rFonts w:asciiTheme="minorHAnsi" w:eastAsiaTheme="minorEastAsia" w:hAnsiTheme="minorHAnsi" w:cstheme="minorBidi"/>
          <w:b w:val="0"/>
          <w:i w:val="0"/>
        </w:rPr>
      </w:pPr>
      <w:hyperlink w:anchor="_Toc410116646" w:history="1">
        <w:r w:rsidR="0080407C" w:rsidRPr="0080407C">
          <w:rPr>
            <w:rStyle w:val="Hyperlink"/>
            <w:b w:val="0"/>
          </w:rPr>
          <w:t>2.1</w:t>
        </w:r>
        <w:r w:rsidR="0080407C" w:rsidRPr="0080407C">
          <w:rPr>
            <w:rFonts w:asciiTheme="minorHAnsi" w:eastAsiaTheme="minorEastAsia" w:hAnsiTheme="minorHAnsi" w:cstheme="minorBidi"/>
            <w:b w:val="0"/>
            <w:i w:val="0"/>
          </w:rPr>
          <w:tab/>
        </w:r>
        <w:r w:rsidR="0080407C" w:rsidRPr="0080407C">
          <w:rPr>
            <w:rStyle w:val="Hyperlink"/>
            <w:b w:val="0"/>
          </w:rPr>
          <w:t>What is Workplace Diversity?</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_Toc410116646 \h </w:instrText>
        </w:r>
        <w:r w:rsidR="0080407C" w:rsidRPr="0080407C">
          <w:rPr>
            <w:b w:val="0"/>
            <w:webHidden/>
          </w:rPr>
        </w:r>
        <w:r w:rsidR="0080407C" w:rsidRPr="0080407C">
          <w:rPr>
            <w:b w:val="0"/>
            <w:webHidden/>
          </w:rPr>
          <w:fldChar w:fldCharType="separate"/>
        </w:r>
        <w:r>
          <w:rPr>
            <w:b w:val="0"/>
            <w:webHidden/>
          </w:rPr>
          <w:t>4</w:t>
        </w:r>
        <w:r w:rsidR="0080407C" w:rsidRPr="0080407C">
          <w:rPr>
            <w:b w:val="0"/>
            <w:webHidden/>
          </w:rPr>
          <w:fldChar w:fldCharType="end"/>
        </w:r>
      </w:hyperlink>
    </w:p>
    <w:p w:rsidR="0080407C" w:rsidRPr="0080407C" w:rsidRDefault="00004966">
      <w:pPr>
        <w:pStyle w:val="TOC2"/>
        <w:rPr>
          <w:rFonts w:asciiTheme="minorHAnsi" w:eastAsiaTheme="minorEastAsia" w:hAnsiTheme="minorHAnsi" w:cstheme="minorBidi"/>
          <w:b w:val="0"/>
          <w:i w:val="0"/>
        </w:rPr>
      </w:pPr>
      <w:hyperlink w:anchor="_Toc410116647" w:history="1">
        <w:r w:rsidR="0080407C" w:rsidRPr="0080407C">
          <w:rPr>
            <w:rStyle w:val="Hyperlink"/>
            <w:b w:val="0"/>
          </w:rPr>
          <w:t>2.2</w:t>
        </w:r>
        <w:r w:rsidR="0080407C" w:rsidRPr="0080407C">
          <w:rPr>
            <w:rFonts w:asciiTheme="minorHAnsi" w:eastAsiaTheme="minorEastAsia" w:hAnsiTheme="minorHAnsi" w:cstheme="minorBidi"/>
            <w:b w:val="0"/>
            <w:i w:val="0"/>
          </w:rPr>
          <w:tab/>
        </w:r>
        <w:r w:rsidR="0080407C" w:rsidRPr="0080407C">
          <w:rPr>
            <w:rStyle w:val="Hyperlink"/>
            <w:b w:val="0"/>
          </w:rPr>
          <w:t>Legal Framework</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_Toc410116647 \h </w:instrText>
        </w:r>
        <w:r w:rsidR="0080407C" w:rsidRPr="0080407C">
          <w:rPr>
            <w:b w:val="0"/>
            <w:webHidden/>
          </w:rPr>
        </w:r>
        <w:r w:rsidR="0080407C" w:rsidRPr="0080407C">
          <w:rPr>
            <w:b w:val="0"/>
            <w:webHidden/>
          </w:rPr>
          <w:fldChar w:fldCharType="separate"/>
        </w:r>
        <w:r>
          <w:rPr>
            <w:b w:val="0"/>
            <w:webHidden/>
          </w:rPr>
          <w:t>4</w:t>
        </w:r>
        <w:r w:rsidR="0080407C" w:rsidRPr="0080407C">
          <w:rPr>
            <w:b w:val="0"/>
            <w:webHidden/>
          </w:rPr>
          <w:fldChar w:fldCharType="end"/>
        </w:r>
      </w:hyperlink>
    </w:p>
    <w:p w:rsidR="0080407C" w:rsidRPr="0080407C" w:rsidRDefault="00004966">
      <w:pPr>
        <w:pStyle w:val="TOC1"/>
        <w:rPr>
          <w:rFonts w:asciiTheme="minorHAnsi" w:eastAsiaTheme="minorEastAsia" w:hAnsiTheme="minorHAnsi" w:cstheme="minorBidi"/>
          <w:b w:val="0"/>
          <w:sz w:val="24"/>
        </w:rPr>
      </w:pPr>
      <w:hyperlink w:anchor="_Toc410116648" w:history="1">
        <w:r w:rsidR="0080407C" w:rsidRPr="0080407C">
          <w:rPr>
            <w:rStyle w:val="Hyperlink"/>
            <w:b w:val="0"/>
            <w:sz w:val="24"/>
          </w:rPr>
          <w:t>3</w:t>
        </w:r>
        <w:r w:rsidR="0080407C" w:rsidRPr="0080407C">
          <w:rPr>
            <w:rFonts w:asciiTheme="minorHAnsi" w:eastAsiaTheme="minorEastAsia" w:hAnsiTheme="minorHAnsi" w:cstheme="minorBidi"/>
            <w:b w:val="0"/>
            <w:sz w:val="24"/>
          </w:rPr>
          <w:tab/>
        </w:r>
        <w:r w:rsidR="0080407C" w:rsidRPr="0080407C">
          <w:rPr>
            <w:rStyle w:val="Hyperlink"/>
            <w:b w:val="0"/>
            <w:sz w:val="24"/>
          </w:rPr>
          <w:t>Priorities of the Diversity Strategy</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_Toc410116648 \h </w:instrText>
        </w:r>
        <w:r w:rsidR="0080407C" w:rsidRPr="0080407C">
          <w:rPr>
            <w:b w:val="0"/>
            <w:webHidden/>
            <w:sz w:val="24"/>
          </w:rPr>
        </w:r>
        <w:r w:rsidR="0080407C" w:rsidRPr="0080407C">
          <w:rPr>
            <w:b w:val="0"/>
            <w:webHidden/>
            <w:sz w:val="24"/>
          </w:rPr>
          <w:fldChar w:fldCharType="separate"/>
        </w:r>
        <w:r>
          <w:rPr>
            <w:b w:val="0"/>
            <w:webHidden/>
            <w:sz w:val="24"/>
          </w:rPr>
          <w:t>5</w:t>
        </w:r>
        <w:r w:rsidR="0080407C" w:rsidRPr="0080407C">
          <w:rPr>
            <w:b w:val="0"/>
            <w:webHidden/>
            <w:sz w:val="24"/>
          </w:rPr>
          <w:fldChar w:fldCharType="end"/>
        </w:r>
      </w:hyperlink>
    </w:p>
    <w:p w:rsidR="0080407C" w:rsidRPr="0080407C" w:rsidRDefault="00004966">
      <w:pPr>
        <w:pStyle w:val="TOC2"/>
        <w:rPr>
          <w:rFonts w:asciiTheme="minorHAnsi" w:eastAsiaTheme="minorEastAsia" w:hAnsiTheme="minorHAnsi" w:cstheme="minorBidi"/>
          <w:b w:val="0"/>
          <w:i w:val="0"/>
        </w:rPr>
      </w:pPr>
      <w:hyperlink w:anchor="_Toc410116649" w:history="1">
        <w:r w:rsidR="0080407C" w:rsidRPr="0080407C">
          <w:rPr>
            <w:rStyle w:val="Hyperlink"/>
            <w:b w:val="0"/>
          </w:rPr>
          <w:t>3.1</w:t>
        </w:r>
        <w:r w:rsidR="0080407C" w:rsidRPr="0080407C">
          <w:rPr>
            <w:rFonts w:asciiTheme="minorHAnsi" w:eastAsiaTheme="minorEastAsia" w:hAnsiTheme="minorHAnsi" w:cstheme="minorBidi"/>
            <w:b w:val="0"/>
            <w:i w:val="0"/>
          </w:rPr>
          <w:tab/>
        </w:r>
        <w:r w:rsidR="0080407C" w:rsidRPr="0080407C">
          <w:rPr>
            <w:rStyle w:val="Hyperlink"/>
            <w:b w:val="0"/>
          </w:rPr>
          <w:t>Agency Multicultural Plan</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_Toc410116649 \h </w:instrText>
        </w:r>
        <w:r w:rsidR="0080407C" w:rsidRPr="0080407C">
          <w:rPr>
            <w:b w:val="0"/>
            <w:webHidden/>
          </w:rPr>
        </w:r>
        <w:r w:rsidR="0080407C" w:rsidRPr="0080407C">
          <w:rPr>
            <w:b w:val="0"/>
            <w:webHidden/>
          </w:rPr>
          <w:fldChar w:fldCharType="separate"/>
        </w:r>
        <w:r>
          <w:rPr>
            <w:b w:val="0"/>
            <w:webHidden/>
          </w:rPr>
          <w:t>5</w:t>
        </w:r>
        <w:r w:rsidR="0080407C" w:rsidRPr="0080407C">
          <w:rPr>
            <w:b w:val="0"/>
            <w:webHidden/>
          </w:rPr>
          <w:fldChar w:fldCharType="end"/>
        </w:r>
      </w:hyperlink>
    </w:p>
    <w:p w:rsidR="0080407C" w:rsidRPr="0080407C" w:rsidRDefault="00004966">
      <w:pPr>
        <w:pStyle w:val="TOC2"/>
        <w:rPr>
          <w:rFonts w:asciiTheme="minorHAnsi" w:eastAsiaTheme="minorEastAsia" w:hAnsiTheme="minorHAnsi" w:cstheme="minorBidi"/>
          <w:b w:val="0"/>
          <w:i w:val="0"/>
        </w:rPr>
      </w:pPr>
      <w:hyperlink w:anchor="_Toc410116650" w:history="1">
        <w:r w:rsidR="0080407C" w:rsidRPr="0080407C">
          <w:rPr>
            <w:rStyle w:val="Hyperlink"/>
            <w:b w:val="0"/>
          </w:rPr>
          <w:t>3.2</w:t>
        </w:r>
        <w:r w:rsidR="0080407C" w:rsidRPr="0080407C">
          <w:rPr>
            <w:rFonts w:asciiTheme="minorHAnsi" w:eastAsiaTheme="minorEastAsia" w:hAnsiTheme="minorHAnsi" w:cstheme="minorBidi"/>
            <w:b w:val="0"/>
            <w:i w:val="0"/>
          </w:rPr>
          <w:tab/>
        </w:r>
        <w:r w:rsidR="0080407C" w:rsidRPr="0080407C">
          <w:rPr>
            <w:rStyle w:val="Hyperlink"/>
            <w:b w:val="0"/>
          </w:rPr>
          <w:t>Disability Action Plan</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_Toc410116650 \h </w:instrText>
        </w:r>
        <w:r w:rsidR="0080407C" w:rsidRPr="0080407C">
          <w:rPr>
            <w:b w:val="0"/>
            <w:webHidden/>
          </w:rPr>
        </w:r>
        <w:r w:rsidR="0080407C" w:rsidRPr="0080407C">
          <w:rPr>
            <w:b w:val="0"/>
            <w:webHidden/>
          </w:rPr>
          <w:fldChar w:fldCharType="separate"/>
        </w:r>
        <w:r>
          <w:rPr>
            <w:b w:val="0"/>
            <w:webHidden/>
          </w:rPr>
          <w:t>5</w:t>
        </w:r>
        <w:r w:rsidR="0080407C" w:rsidRPr="0080407C">
          <w:rPr>
            <w:b w:val="0"/>
            <w:webHidden/>
          </w:rPr>
          <w:fldChar w:fldCharType="end"/>
        </w:r>
      </w:hyperlink>
    </w:p>
    <w:p w:rsidR="0080407C" w:rsidRPr="0080407C" w:rsidRDefault="00004966">
      <w:pPr>
        <w:pStyle w:val="TOC2"/>
        <w:rPr>
          <w:rFonts w:asciiTheme="minorHAnsi" w:eastAsiaTheme="minorEastAsia" w:hAnsiTheme="minorHAnsi" w:cstheme="minorBidi"/>
          <w:b w:val="0"/>
          <w:i w:val="0"/>
        </w:rPr>
      </w:pPr>
      <w:hyperlink w:anchor="_Toc410116651" w:history="1">
        <w:r w:rsidR="0080407C" w:rsidRPr="0080407C">
          <w:rPr>
            <w:rStyle w:val="Hyperlink"/>
            <w:b w:val="0"/>
          </w:rPr>
          <w:t>3.3</w:t>
        </w:r>
        <w:r w:rsidR="0080407C" w:rsidRPr="0080407C">
          <w:rPr>
            <w:rFonts w:asciiTheme="minorHAnsi" w:eastAsiaTheme="minorEastAsia" w:hAnsiTheme="minorHAnsi" w:cstheme="minorBidi"/>
            <w:b w:val="0"/>
            <w:i w:val="0"/>
          </w:rPr>
          <w:tab/>
        </w:r>
        <w:r w:rsidR="0080407C" w:rsidRPr="0080407C">
          <w:rPr>
            <w:rStyle w:val="Hyperlink"/>
            <w:b w:val="0"/>
          </w:rPr>
          <w:t>Reconciliation Action Plan</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_Toc410116651 \h </w:instrText>
        </w:r>
        <w:r w:rsidR="0080407C" w:rsidRPr="0080407C">
          <w:rPr>
            <w:b w:val="0"/>
            <w:webHidden/>
          </w:rPr>
        </w:r>
        <w:r w:rsidR="0080407C" w:rsidRPr="0080407C">
          <w:rPr>
            <w:b w:val="0"/>
            <w:webHidden/>
          </w:rPr>
          <w:fldChar w:fldCharType="separate"/>
        </w:r>
        <w:r>
          <w:rPr>
            <w:b w:val="0"/>
            <w:webHidden/>
          </w:rPr>
          <w:t>6</w:t>
        </w:r>
        <w:r w:rsidR="0080407C" w:rsidRPr="0080407C">
          <w:rPr>
            <w:b w:val="0"/>
            <w:webHidden/>
          </w:rPr>
          <w:fldChar w:fldCharType="end"/>
        </w:r>
      </w:hyperlink>
    </w:p>
    <w:p w:rsidR="0080407C" w:rsidRPr="0080407C" w:rsidRDefault="00004966">
      <w:pPr>
        <w:pStyle w:val="TOC2"/>
        <w:rPr>
          <w:rFonts w:asciiTheme="minorHAnsi" w:eastAsiaTheme="minorEastAsia" w:hAnsiTheme="minorHAnsi" w:cstheme="minorBidi"/>
          <w:b w:val="0"/>
          <w:i w:val="0"/>
        </w:rPr>
      </w:pPr>
      <w:hyperlink w:anchor="_Toc410116652" w:history="1">
        <w:r w:rsidR="0080407C" w:rsidRPr="0080407C">
          <w:rPr>
            <w:rStyle w:val="Hyperlink"/>
            <w:b w:val="0"/>
          </w:rPr>
          <w:t>3.4</w:t>
        </w:r>
        <w:r w:rsidR="0080407C" w:rsidRPr="0080407C">
          <w:rPr>
            <w:rFonts w:asciiTheme="minorHAnsi" w:eastAsiaTheme="minorEastAsia" w:hAnsiTheme="minorHAnsi" w:cstheme="minorBidi"/>
            <w:b w:val="0"/>
            <w:i w:val="0"/>
          </w:rPr>
          <w:tab/>
        </w:r>
        <w:r w:rsidR="0080407C" w:rsidRPr="0080407C">
          <w:rPr>
            <w:rStyle w:val="Hyperlink"/>
            <w:b w:val="0"/>
          </w:rPr>
          <w:t>Workplace Diversity Program</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_Toc410116652 \h </w:instrText>
        </w:r>
        <w:r w:rsidR="0080407C" w:rsidRPr="0080407C">
          <w:rPr>
            <w:b w:val="0"/>
            <w:webHidden/>
          </w:rPr>
        </w:r>
        <w:r w:rsidR="0080407C" w:rsidRPr="0080407C">
          <w:rPr>
            <w:b w:val="0"/>
            <w:webHidden/>
          </w:rPr>
          <w:fldChar w:fldCharType="separate"/>
        </w:r>
        <w:r>
          <w:rPr>
            <w:b w:val="0"/>
            <w:webHidden/>
          </w:rPr>
          <w:t>6</w:t>
        </w:r>
        <w:r w:rsidR="0080407C" w:rsidRPr="0080407C">
          <w:rPr>
            <w:b w:val="0"/>
            <w:webHidden/>
          </w:rPr>
          <w:fldChar w:fldCharType="end"/>
        </w:r>
      </w:hyperlink>
    </w:p>
    <w:p w:rsidR="0080407C" w:rsidRPr="0080407C" w:rsidRDefault="00004966">
      <w:pPr>
        <w:pStyle w:val="TOC1"/>
        <w:rPr>
          <w:rFonts w:asciiTheme="minorHAnsi" w:eastAsiaTheme="minorEastAsia" w:hAnsiTheme="minorHAnsi" w:cstheme="minorBidi"/>
          <w:b w:val="0"/>
          <w:sz w:val="24"/>
        </w:rPr>
      </w:pPr>
      <w:hyperlink w:anchor="_Toc410116653" w:history="1">
        <w:r w:rsidR="0080407C" w:rsidRPr="0080407C">
          <w:rPr>
            <w:rStyle w:val="Hyperlink"/>
            <w:b w:val="0"/>
            <w:sz w:val="24"/>
          </w:rPr>
          <w:t>4</w:t>
        </w:r>
        <w:r w:rsidR="0080407C" w:rsidRPr="0080407C">
          <w:rPr>
            <w:rFonts w:asciiTheme="minorHAnsi" w:eastAsiaTheme="minorEastAsia" w:hAnsiTheme="minorHAnsi" w:cstheme="minorBidi"/>
            <w:b w:val="0"/>
            <w:sz w:val="24"/>
          </w:rPr>
          <w:tab/>
        </w:r>
        <w:r w:rsidR="0080407C" w:rsidRPr="0080407C">
          <w:rPr>
            <w:rStyle w:val="Hyperlink"/>
            <w:b w:val="0"/>
            <w:sz w:val="24"/>
          </w:rPr>
          <w:t>Accountability</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_Toc410116653 \h </w:instrText>
        </w:r>
        <w:r w:rsidR="0080407C" w:rsidRPr="0080407C">
          <w:rPr>
            <w:b w:val="0"/>
            <w:webHidden/>
            <w:sz w:val="24"/>
          </w:rPr>
        </w:r>
        <w:r w:rsidR="0080407C" w:rsidRPr="0080407C">
          <w:rPr>
            <w:b w:val="0"/>
            <w:webHidden/>
            <w:sz w:val="24"/>
          </w:rPr>
          <w:fldChar w:fldCharType="separate"/>
        </w:r>
        <w:r>
          <w:rPr>
            <w:b w:val="0"/>
            <w:webHidden/>
            <w:sz w:val="24"/>
          </w:rPr>
          <w:t>7</w:t>
        </w:r>
        <w:r w:rsidR="0080407C" w:rsidRPr="0080407C">
          <w:rPr>
            <w:b w:val="0"/>
            <w:webHidden/>
            <w:sz w:val="24"/>
          </w:rPr>
          <w:fldChar w:fldCharType="end"/>
        </w:r>
      </w:hyperlink>
    </w:p>
    <w:p w:rsidR="0080407C" w:rsidRPr="0080407C" w:rsidRDefault="00004966">
      <w:pPr>
        <w:pStyle w:val="TOC1"/>
        <w:rPr>
          <w:rFonts w:asciiTheme="minorHAnsi" w:eastAsiaTheme="minorEastAsia" w:hAnsiTheme="minorHAnsi" w:cstheme="minorBidi"/>
          <w:b w:val="0"/>
          <w:sz w:val="24"/>
        </w:rPr>
      </w:pPr>
      <w:hyperlink w:anchor="_Toc410116654" w:history="1">
        <w:r w:rsidR="0080407C" w:rsidRPr="0080407C">
          <w:rPr>
            <w:rStyle w:val="Hyperlink"/>
            <w:b w:val="0"/>
            <w:sz w:val="24"/>
          </w:rPr>
          <w:t>5</w:t>
        </w:r>
        <w:r w:rsidR="0080407C" w:rsidRPr="0080407C">
          <w:rPr>
            <w:rFonts w:asciiTheme="minorHAnsi" w:eastAsiaTheme="minorEastAsia" w:hAnsiTheme="minorHAnsi" w:cstheme="minorBidi"/>
            <w:b w:val="0"/>
            <w:sz w:val="24"/>
          </w:rPr>
          <w:tab/>
        </w:r>
        <w:r w:rsidR="0080407C" w:rsidRPr="0080407C">
          <w:rPr>
            <w:rStyle w:val="Hyperlink"/>
            <w:b w:val="0"/>
            <w:sz w:val="24"/>
          </w:rPr>
          <w:t>The Diversity Committee</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_Toc410116654 \h </w:instrText>
        </w:r>
        <w:r w:rsidR="0080407C" w:rsidRPr="0080407C">
          <w:rPr>
            <w:b w:val="0"/>
            <w:webHidden/>
            <w:sz w:val="24"/>
          </w:rPr>
        </w:r>
        <w:r w:rsidR="0080407C" w:rsidRPr="0080407C">
          <w:rPr>
            <w:b w:val="0"/>
            <w:webHidden/>
            <w:sz w:val="24"/>
          </w:rPr>
          <w:fldChar w:fldCharType="separate"/>
        </w:r>
        <w:r>
          <w:rPr>
            <w:b w:val="0"/>
            <w:webHidden/>
            <w:sz w:val="24"/>
          </w:rPr>
          <w:t>7</w:t>
        </w:r>
        <w:r w:rsidR="0080407C" w:rsidRPr="0080407C">
          <w:rPr>
            <w:b w:val="0"/>
            <w:webHidden/>
            <w:sz w:val="24"/>
          </w:rPr>
          <w:fldChar w:fldCharType="end"/>
        </w:r>
      </w:hyperlink>
    </w:p>
    <w:p w:rsidR="0080407C" w:rsidRPr="0080407C" w:rsidRDefault="00004966">
      <w:pPr>
        <w:pStyle w:val="TOC1"/>
        <w:rPr>
          <w:rFonts w:asciiTheme="minorHAnsi" w:eastAsiaTheme="minorEastAsia" w:hAnsiTheme="minorHAnsi" w:cstheme="minorBidi"/>
          <w:b w:val="0"/>
          <w:sz w:val="24"/>
        </w:rPr>
      </w:pPr>
      <w:hyperlink w:anchor="_Toc410116655" w:history="1">
        <w:r w:rsidR="0080407C" w:rsidRPr="0080407C">
          <w:rPr>
            <w:rStyle w:val="Hyperlink"/>
            <w:b w:val="0"/>
            <w:sz w:val="24"/>
          </w:rPr>
          <w:t>6</w:t>
        </w:r>
        <w:r w:rsidR="0080407C" w:rsidRPr="0080407C">
          <w:rPr>
            <w:rFonts w:asciiTheme="minorHAnsi" w:eastAsiaTheme="minorEastAsia" w:hAnsiTheme="minorHAnsi" w:cstheme="minorBidi"/>
            <w:b w:val="0"/>
            <w:sz w:val="24"/>
          </w:rPr>
          <w:tab/>
        </w:r>
        <w:r w:rsidR="0080407C" w:rsidRPr="0080407C">
          <w:rPr>
            <w:rStyle w:val="Hyperlink"/>
            <w:b w:val="0"/>
            <w:sz w:val="24"/>
          </w:rPr>
          <w:t>The Diversity Strategy’s Objectives</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_Toc410116655 \h </w:instrText>
        </w:r>
        <w:r w:rsidR="0080407C" w:rsidRPr="0080407C">
          <w:rPr>
            <w:b w:val="0"/>
            <w:webHidden/>
            <w:sz w:val="24"/>
          </w:rPr>
        </w:r>
        <w:r w:rsidR="0080407C" w:rsidRPr="0080407C">
          <w:rPr>
            <w:b w:val="0"/>
            <w:webHidden/>
            <w:sz w:val="24"/>
          </w:rPr>
          <w:fldChar w:fldCharType="separate"/>
        </w:r>
        <w:r>
          <w:rPr>
            <w:b w:val="0"/>
            <w:webHidden/>
            <w:sz w:val="24"/>
          </w:rPr>
          <w:t>8</w:t>
        </w:r>
        <w:r w:rsidR="0080407C" w:rsidRPr="0080407C">
          <w:rPr>
            <w:b w:val="0"/>
            <w:webHidden/>
            <w:sz w:val="24"/>
          </w:rPr>
          <w:fldChar w:fldCharType="end"/>
        </w:r>
      </w:hyperlink>
    </w:p>
    <w:p w:rsidR="0080407C" w:rsidRPr="0080407C" w:rsidRDefault="00004966">
      <w:pPr>
        <w:pStyle w:val="TOC1"/>
        <w:rPr>
          <w:rFonts w:asciiTheme="minorHAnsi" w:eastAsiaTheme="minorEastAsia" w:hAnsiTheme="minorHAnsi" w:cstheme="minorBidi"/>
          <w:b w:val="0"/>
          <w:sz w:val="24"/>
        </w:rPr>
      </w:pPr>
      <w:hyperlink w:anchor="_Toc410116656" w:history="1">
        <w:r w:rsidR="0080407C" w:rsidRPr="0080407C">
          <w:rPr>
            <w:rStyle w:val="Hyperlink"/>
            <w:b w:val="0"/>
            <w:sz w:val="24"/>
          </w:rPr>
          <w:t>7</w:t>
        </w:r>
        <w:r w:rsidR="0080407C" w:rsidRPr="0080407C">
          <w:rPr>
            <w:rFonts w:asciiTheme="minorHAnsi" w:eastAsiaTheme="minorEastAsia" w:hAnsiTheme="minorHAnsi" w:cstheme="minorBidi"/>
            <w:b w:val="0"/>
            <w:sz w:val="24"/>
          </w:rPr>
          <w:tab/>
        </w:r>
        <w:r w:rsidR="0080407C" w:rsidRPr="0080407C">
          <w:rPr>
            <w:rStyle w:val="Hyperlink"/>
            <w:b w:val="0"/>
            <w:sz w:val="24"/>
          </w:rPr>
          <w:t>Monitoring and Evaluation</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_Toc410116656 \h </w:instrText>
        </w:r>
        <w:r w:rsidR="0080407C" w:rsidRPr="0080407C">
          <w:rPr>
            <w:b w:val="0"/>
            <w:webHidden/>
            <w:sz w:val="24"/>
          </w:rPr>
        </w:r>
        <w:r w:rsidR="0080407C" w:rsidRPr="0080407C">
          <w:rPr>
            <w:b w:val="0"/>
            <w:webHidden/>
            <w:sz w:val="24"/>
          </w:rPr>
          <w:fldChar w:fldCharType="separate"/>
        </w:r>
        <w:r>
          <w:rPr>
            <w:b w:val="0"/>
            <w:webHidden/>
            <w:sz w:val="24"/>
          </w:rPr>
          <w:t>8</w:t>
        </w:r>
        <w:r w:rsidR="0080407C" w:rsidRPr="0080407C">
          <w:rPr>
            <w:b w:val="0"/>
            <w:webHidden/>
            <w:sz w:val="24"/>
          </w:rPr>
          <w:fldChar w:fldCharType="end"/>
        </w:r>
      </w:hyperlink>
    </w:p>
    <w:p w:rsidR="0080407C" w:rsidRPr="0080407C" w:rsidRDefault="00004966">
      <w:pPr>
        <w:pStyle w:val="TOC1"/>
        <w:rPr>
          <w:rFonts w:asciiTheme="minorHAnsi" w:eastAsiaTheme="minorEastAsia" w:hAnsiTheme="minorHAnsi" w:cstheme="minorBidi"/>
          <w:b w:val="0"/>
          <w:sz w:val="24"/>
        </w:rPr>
      </w:pPr>
      <w:hyperlink w:anchor="_Toc410116657" w:history="1">
        <w:r w:rsidR="0080407C" w:rsidRPr="0080407C">
          <w:rPr>
            <w:rStyle w:val="Hyperlink"/>
            <w:b w:val="0"/>
            <w:sz w:val="24"/>
          </w:rPr>
          <w:t>8</w:t>
        </w:r>
        <w:r w:rsidR="0080407C" w:rsidRPr="0080407C">
          <w:rPr>
            <w:rFonts w:asciiTheme="minorHAnsi" w:eastAsiaTheme="minorEastAsia" w:hAnsiTheme="minorHAnsi" w:cstheme="minorBidi"/>
            <w:b w:val="0"/>
            <w:sz w:val="24"/>
          </w:rPr>
          <w:tab/>
        </w:r>
        <w:r w:rsidR="0080407C" w:rsidRPr="0080407C">
          <w:rPr>
            <w:rStyle w:val="Hyperlink"/>
            <w:b w:val="0"/>
            <w:sz w:val="24"/>
          </w:rPr>
          <w:t>The Program</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_Toc410116657 \h </w:instrText>
        </w:r>
        <w:r w:rsidR="0080407C" w:rsidRPr="0080407C">
          <w:rPr>
            <w:b w:val="0"/>
            <w:webHidden/>
            <w:sz w:val="24"/>
          </w:rPr>
        </w:r>
        <w:r w:rsidR="0080407C" w:rsidRPr="0080407C">
          <w:rPr>
            <w:b w:val="0"/>
            <w:webHidden/>
            <w:sz w:val="24"/>
          </w:rPr>
          <w:fldChar w:fldCharType="separate"/>
        </w:r>
        <w:r>
          <w:rPr>
            <w:b w:val="0"/>
            <w:webHidden/>
            <w:sz w:val="24"/>
          </w:rPr>
          <w:t>9</w:t>
        </w:r>
        <w:r w:rsidR="0080407C" w:rsidRPr="0080407C">
          <w:rPr>
            <w:b w:val="0"/>
            <w:webHidden/>
            <w:sz w:val="24"/>
          </w:rPr>
          <w:fldChar w:fldCharType="end"/>
        </w:r>
      </w:hyperlink>
    </w:p>
    <w:p w:rsidR="00866CD5" w:rsidRPr="00E82817" w:rsidDel="00866CD5" w:rsidRDefault="00866CD5" w:rsidP="00866CD5">
      <w:pPr>
        <w:rPr>
          <w:sz w:val="44"/>
          <w:szCs w:val="44"/>
        </w:rPr>
      </w:pPr>
      <w:r w:rsidRPr="0080407C">
        <w:fldChar w:fldCharType="end"/>
      </w:r>
      <w:r w:rsidRPr="00E82817" w:rsidDel="00866CD5">
        <w:rPr>
          <w:sz w:val="44"/>
          <w:szCs w:val="44"/>
        </w:rPr>
        <w:t xml:space="preserve"> </w:t>
      </w:r>
    </w:p>
    <w:p w:rsidR="001E46AA" w:rsidRPr="00FE35B6" w:rsidRDefault="001E46AA" w:rsidP="009028F0"/>
    <w:p w:rsidR="001E46AA" w:rsidRPr="00B72073" w:rsidRDefault="001E46AA" w:rsidP="009028F0"/>
    <w:p w:rsidR="001E46AA" w:rsidRPr="00B72073" w:rsidRDefault="001E46AA" w:rsidP="001E46AA"/>
    <w:p w:rsidR="001E46AA" w:rsidRPr="00B72073" w:rsidRDefault="001E46AA" w:rsidP="001E46AA"/>
    <w:p w:rsidR="001E46AA" w:rsidRPr="00B72073" w:rsidRDefault="001E46AA" w:rsidP="001E46AA"/>
    <w:p w:rsidR="001E46AA" w:rsidRPr="00B72073" w:rsidRDefault="001E46AA" w:rsidP="001E46AA">
      <w:pPr>
        <w:pStyle w:val="Heading1"/>
        <w:tabs>
          <w:tab w:val="clear" w:pos="851"/>
        </w:tabs>
        <w:spacing w:before="240" w:after="120"/>
        <w:ind w:left="432" w:hanging="432"/>
      </w:pPr>
      <w:r w:rsidRPr="00B72073">
        <w:br w:type="page"/>
      </w:r>
      <w:bookmarkStart w:id="4" w:name="_Toc389744562"/>
      <w:bookmarkStart w:id="5" w:name="_Toc410116644"/>
      <w:r w:rsidRPr="00B72073">
        <w:lastRenderedPageBreak/>
        <w:t>Statement of Commitment from the President</w:t>
      </w:r>
      <w:bookmarkEnd w:id="4"/>
      <w:bookmarkEnd w:id="5"/>
    </w:p>
    <w:p w:rsidR="001E46AA" w:rsidRPr="00B72073" w:rsidRDefault="001E46AA" w:rsidP="001E46AA">
      <w:pPr>
        <w:spacing w:after="120"/>
        <w:rPr>
          <w:rFonts w:cs="Arial"/>
        </w:rPr>
      </w:pPr>
      <w:r w:rsidRPr="00B72073">
        <w:rPr>
          <w:rFonts w:cs="Arial"/>
        </w:rPr>
        <w:t>As the body with a statutory responsibility to ensure the observance of human rights in Australia</w:t>
      </w:r>
      <w:r>
        <w:rPr>
          <w:rFonts w:cs="Arial"/>
        </w:rPr>
        <w:t>,</w:t>
      </w:r>
      <w:r w:rsidRPr="00B72073">
        <w:rPr>
          <w:rFonts w:cs="Arial"/>
        </w:rPr>
        <w:t xml:space="preserve"> it is important that respect and acceptance of diversity is an integral part of our own workplace. Diversity in our staff is one of our greatest assets and assists us to meet our organisational objectives. </w:t>
      </w:r>
    </w:p>
    <w:p w:rsidR="001E46AA" w:rsidRPr="00B72073" w:rsidRDefault="001E46AA" w:rsidP="001E46AA">
      <w:pPr>
        <w:spacing w:after="120"/>
        <w:rPr>
          <w:rFonts w:cs="Arial"/>
          <w:color w:val="000000"/>
        </w:rPr>
      </w:pPr>
      <w:r w:rsidRPr="00B72073">
        <w:rPr>
          <w:rFonts w:cs="Arial"/>
          <w:color w:val="000000"/>
        </w:rPr>
        <w:t xml:space="preserve">A diverse workforce with a range of different backgrounds and perspectives </w:t>
      </w:r>
      <w:r>
        <w:rPr>
          <w:rFonts w:cs="Arial"/>
          <w:color w:val="000000"/>
        </w:rPr>
        <w:t>provides</w:t>
      </w:r>
      <w:r w:rsidRPr="00B72073">
        <w:rPr>
          <w:rFonts w:cs="Arial"/>
          <w:color w:val="000000"/>
        </w:rPr>
        <w:t xml:space="preserve"> </w:t>
      </w:r>
      <w:r>
        <w:rPr>
          <w:rFonts w:cs="Arial"/>
          <w:color w:val="000000"/>
        </w:rPr>
        <w:t>us</w:t>
      </w:r>
      <w:r w:rsidRPr="00B72073">
        <w:rPr>
          <w:rFonts w:cs="Arial"/>
          <w:color w:val="000000"/>
        </w:rPr>
        <w:t xml:space="preserve"> </w:t>
      </w:r>
      <w:r>
        <w:rPr>
          <w:rFonts w:cs="Arial"/>
          <w:color w:val="000000"/>
        </w:rPr>
        <w:t xml:space="preserve">with </w:t>
      </w:r>
      <w:r w:rsidRPr="00B72073">
        <w:rPr>
          <w:rFonts w:cs="Arial"/>
          <w:color w:val="000000"/>
        </w:rPr>
        <w:t>a broader range of ideas and insights to draw on in decision</w:t>
      </w:r>
      <w:r>
        <w:rPr>
          <w:rFonts w:cs="Arial"/>
          <w:color w:val="000000"/>
        </w:rPr>
        <w:t>-</w:t>
      </w:r>
      <w:r w:rsidRPr="00B72073">
        <w:rPr>
          <w:rFonts w:cs="Arial"/>
          <w:color w:val="000000"/>
        </w:rPr>
        <w:t xml:space="preserve">making and policy development. Diversity makes good business sense. A workplace that reflects the Australian community will understand its clients better, which will lead to improved service and a more inclusive community for all. </w:t>
      </w:r>
    </w:p>
    <w:p w:rsidR="001E46AA" w:rsidRPr="00794571" w:rsidRDefault="001E46AA" w:rsidP="001E46AA">
      <w:pPr>
        <w:pStyle w:val="NormalWeb"/>
        <w:shd w:val="clear" w:color="auto" w:fill="FFFFFF"/>
        <w:spacing w:before="0" w:after="120"/>
        <w:rPr>
          <w:rFonts w:ascii="Arial" w:hAnsi="Arial" w:cs="Arial"/>
          <w:color w:val="000000"/>
          <w:lang w:eastAsia="en-US"/>
        </w:rPr>
      </w:pPr>
      <w:r w:rsidRPr="00794571">
        <w:rPr>
          <w:rFonts w:ascii="Arial" w:hAnsi="Arial" w:cs="Arial"/>
          <w:color w:val="000000"/>
          <w:lang w:eastAsia="en-US"/>
        </w:rPr>
        <w:t xml:space="preserve">Diversity principles are promoted across the Commission and awareness of diversity issues raised through staff training and through the celebration of significant events such as NAIDOC week, International Day of People with a Disability and International Women’s Day.  Our </w:t>
      </w:r>
      <w:r w:rsidR="00794571">
        <w:rPr>
          <w:rFonts w:ascii="Arial" w:hAnsi="Arial" w:cs="Arial"/>
          <w:color w:val="000000"/>
          <w:lang w:eastAsia="en-US"/>
        </w:rPr>
        <w:t>integrated workforce strategies</w:t>
      </w:r>
      <w:r w:rsidRPr="00794571">
        <w:rPr>
          <w:rFonts w:ascii="Arial" w:hAnsi="Arial" w:cs="Arial"/>
          <w:color w:val="000000"/>
          <w:lang w:eastAsia="en-US"/>
        </w:rPr>
        <w:t xml:space="preserve"> reinforce our commitment to diversity and </w:t>
      </w:r>
      <w:r w:rsidR="00794571">
        <w:rPr>
          <w:rFonts w:ascii="Arial" w:hAnsi="Arial" w:cs="Arial"/>
          <w:color w:val="000000"/>
          <w:lang w:eastAsia="en-US"/>
        </w:rPr>
        <w:t>we encourage</w:t>
      </w:r>
      <w:r w:rsidRPr="00794571">
        <w:rPr>
          <w:rFonts w:ascii="Arial" w:hAnsi="Arial" w:cs="Arial"/>
          <w:color w:val="000000"/>
          <w:lang w:eastAsia="en-US"/>
        </w:rPr>
        <w:t xml:space="preserve"> flexible working conditions to </w:t>
      </w:r>
      <w:r w:rsidR="00794571">
        <w:rPr>
          <w:rFonts w:ascii="Arial" w:hAnsi="Arial" w:cs="Arial"/>
          <w:color w:val="000000"/>
          <w:lang w:eastAsia="en-US"/>
        </w:rPr>
        <w:t>enable</w:t>
      </w:r>
      <w:r w:rsidRPr="00794571">
        <w:rPr>
          <w:rFonts w:ascii="Arial" w:hAnsi="Arial" w:cs="Arial"/>
          <w:color w:val="000000"/>
          <w:lang w:eastAsia="en-US"/>
        </w:rPr>
        <w:t xml:space="preserve"> our employees to balance their work and other responsibilities. We make a clear </w:t>
      </w:r>
      <w:r w:rsidR="00370265">
        <w:rPr>
          <w:rFonts w:ascii="Arial" w:hAnsi="Arial" w:cs="Arial"/>
          <w:color w:val="000000"/>
          <w:lang w:eastAsia="en-US"/>
        </w:rPr>
        <w:t>statement</w:t>
      </w:r>
      <w:r w:rsidRPr="00794571">
        <w:rPr>
          <w:rFonts w:ascii="Arial" w:hAnsi="Arial" w:cs="Arial"/>
          <w:color w:val="000000"/>
          <w:lang w:eastAsia="en-US"/>
        </w:rPr>
        <w:t xml:space="preserve"> about diversity</w:t>
      </w:r>
      <w:r w:rsidR="009844FE">
        <w:rPr>
          <w:rFonts w:ascii="Arial" w:hAnsi="Arial" w:cs="Arial"/>
          <w:color w:val="000000"/>
          <w:lang w:eastAsia="en-US"/>
        </w:rPr>
        <w:t>,</w:t>
      </w:r>
      <w:r w:rsidRPr="00794571">
        <w:rPr>
          <w:rFonts w:ascii="Arial" w:hAnsi="Arial" w:cs="Arial"/>
          <w:color w:val="000000"/>
          <w:lang w:eastAsia="en-US"/>
        </w:rPr>
        <w:t xml:space="preserve"> flexibility </w:t>
      </w:r>
      <w:r w:rsidR="009844FE">
        <w:rPr>
          <w:rFonts w:ascii="Arial" w:hAnsi="Arial" w:cs="Arial"/>
          <w:color w:val="000000"/>
          <w:lang w:eastAsia="en-US"/>
        </w:rPr>
        <w:t xml:space="preserve">and accessibility </w:t>
      </w:r>
      <w:r w:rsidRPr="00794571">
        <w:rPr>
          <w:rFonts w:ascii="Arial" w:hAnsi="Arial" w:cs="Arial"/>
          <w:color w:val="000000"/>
          <w:lang w:eastAsia="en-US"/>
        </w:rPr>
        <w:t>in the careers information on our website to ensure that from the first encounter with our organisation, potential candidates know that we see workplace diversity as a positive and important part of how we work together.</w:t>
      </w:r>
    </w:p>
    <w:p w:rsidR="001E46AA" w:rsidRDefault="001E46AA" w:rsidP="001E46AA">
      <w:pPr>
        <w:pStyle w:val="NormalWeb"/>
        <w:shd w:val="clear" w:color="auto" w:fill="FFFFFF"/>
        <w:spacing w:before="0" w:after="120"/>
        <w:rPr>
          <w:rFonts w:ascii="Arial" w:hAnsi="Arial" w:cs="Arial"/>
          <w:color w:val="000000"/>
          <w:lang w:eastAsia="en-US"/>
        </w:rPr>
      </w:pPr>
      <w:r w:rsidRPr="00794571">
        <w:rPr>
          <w:rFonts w:ascii="Arial" w:hAnsi="Arial" w:cs="Arial"/>
          <w:color w:val="000000"/>
          <w:lang w:eastAsia="en-US"/>
        </w:rPr>
        <w:t>We have also given high priority to the inclusion of people with a disability and Aboriginal and Torres Strait Islander peoples in our internship program to improve employment prospects for these particularly disadvantaged groups.</w:t>
      </w:r>
    </w:p>
    <w:p w:rsidR="0074724C" w:rsidRPr="00794571" w:rsidRDefault="0074724C" w:rsidP="001E46AA">
      <w:pPr>
        <w:pStyle w:val="NormalWeb"/>
        <w:shd w:val="clear" w:color="auto" w:fill="FFFFFF"/>
        <w:spacing w:before="0" w:after="120"/>
        <w:rPr>
          <w:rFonts w:ascii="Arial" w:hAnsi="Arial" w:cs="Arial"/>
          <w:color w:val="000000"/>
          <w:lang w:eastAsia="en-US"/>
        </w:rPr>
      </w:pPr>
      <w:r>
        <w:rPr>
          <w:rFonts w:ascii="Arial" w:hAnsi="Arial" w:cs="Arial"/>
          <w:color w:val="000000"/>
          <w:lang w:eastAsia="en-US"/>
        </w:rPr>
        <w:t xml:space="preserve">We work </w:t>
      </w:r>
      <w:r w:rsidR="009844FE">
        <w:rPr>
          <w:rFonts w:ascii="Arial" w:hAnsi="Arial" w:cs="Arial"/>
          <w:color w:val="000000"/>
          <w:lang w:eastAsia="en-US"/>
        </w:rPr>
        <w:t>proactively</w:t>
      </w:r>
      <w:r>
        <w:rPr>
          <w:rFonts w:ascii="Arial" w:hAnsi="Arial" w:cs="Arial"/>
          <w:color w:val="000000"/>
          <w:lang w:eastAsia="en-US"/>
        </w:rPr>
        <w:t xml:space="preserve"> with others to ensure recognition for Australia’s first peoples.</w:t>
      </w:r>
    </w:p>
    <w:p w:rsidR="001E46AA" w:rsidRPr="00B72073" w:rsidRDefault="001E46AA" w:rsidP="001E46AA">
      <w:pPr>
        <w:spacing w:after="120"/>
        <w:rPr>
          <w:rFonts w:cs="Arial"/>
          <w:color w:val="000000"/>
        </w:rPr>
      </w:pPr>
      <w:r w:rsidRPr="00B72073">
        <w:rPr>
          <w:rFonts w:cs="Arial"/>
          <w:color w:val="000000"/>
        </w:rPr>
        <w:t>We ensure that our advertised employment opportunities</w:t>
      </w:r>
      <w:r>
        <w:rPr>
          <w:rFonts w:cs="Arial"/>
          <w:color w:val="000000"/>
        </w:rPr>
        <w:t xml:space="preserve"> are open and accessible to all and are committed to providing reasonable adjustment to enable candidates to participate in our selection processes and where successful, to support them to work with us.</w:t>
      </w:r>
    </w:p>
    <w:p w:rsidR="001E46AA" w:rsidRDefault="001E46AA" w:rsidP="001E46AA">
      <w:pPr>
        <w:spacing w:after="120"/>
        <w:rPr>
          <w:rFonts w:cs="Arial"/>
          <w:color w:val="000000"/>
        </w:rPr>
      </w:pPr>
      <w:r>
        <w:rPr>
          <w:rFonts w:cs="Arial"/>
          <w:color w:val="000000"/>
        </w:rPr>
        <w:t>We monitor our workforce diversity and benchmark ourselves against the Australian Public Service State of the Service Report each year and consistently outperform the broader APS in this area. We seek new and innovative ways to improve our diversity performance and turn our commitment into practical outcomes.</w:t>
      </w:r>
    </w:p>
    <w:p w:rsidR="001E46AA" w:rsidRDefault="001E46AA" w:rsidP="001E46AA">
      <w:pPr>
        <w:spacing w:after="120"/>
        <w:rPr>
          <w:rFonts w:cs="Arial"/>
          <w:color w:val="000000"/>
        </w:rPr>
      </w:pPr>
      <w:r>
        <w:rPr>
          <w:rFonts w:cs="Arial"/>
          <w:color w:val="000000"/>
        </w:rPr>
        <w:t>We demonstrate respectful workplace behaviours and ensure that all staff have the opportunity to develop cultural competence as they gain experience and exposure to the myriad of community groups through their work and engagement activities.</w:t>
      </w:r>
    </w:p>
    <w:p w:rsidR="00370265" w:rsidRDefault="00370265" w:rsidP="001E46AA">
      <w:pPr>
        <w:spacing w:after="120"/>
        <w:rPr>
          <w:rFonts w:cs="Arial"/>
          <w:color w:val="000000"/>
        </w:rPr>
      </w:pPr>
      <w:r>
        <w:rPr>
          <w:rFonts w:cs="Arial"/>
          <w:color w:val="000000"/>
        </w:rPr>
        <w:t xml:space="preserve">This diversity strategy, for the first time incorporates all of our commitments and activities across 4 separate reporting areas and includes our Reconciliation </w:t>
      </w:r>
      <w:r w:rsidR="000534F1">
        <w:rPr>
          <w:rFonts w:cs="Arial"/>
          <w:color w:val="000000"/>
        </w:rPr>
        <w:t xml:space="preserve">Action </w:t>
      </w:r>
      <w:r>
        <w:rPr>
          <w:rFonts w:cs="Arial"/>
          <w:color w:val="000000"/>
        </w:rPr>
        <w:t>Plan, our Disability Action Plan, our Agency Multicultural Plan as well as Workplace Diversity Program</w:t>
      </w:r>
      <w:r w:rsidR="00CC6379">
        <w:rPr>
          <w:rFonts w:cs="Arial"/>
          <w:color w:val="000000"/>
        </w:rPr>
        <w:t xml:space="preserve"> and has streamlined our processes and intensified our efforts</w:t>
      </w:r>
      <w:r>
        <w:rPr>
          <w:rFonts w:cs="Arial"/>
          <w:color w:val="000000"/>
        </w:rPr>
        <w:t>.</w:t>
      </w:r>
    </w:p>
    <w:p w:rsidR="001E46AA" w:rsidRDefault="009844FE" w:rsidP="001E46AA">
      <w:pPr>
        <w:spacing w:after="120"/>
        <w:rPr>
          <w:rFonts w:cs="Arial"/>
          <w:b/>
          <w:color w:val="000000"/>
        </w:rPr>
      </w:pPr>
      <w:r w:rsidRPr="0090608B">
        <w:rPr>
          <w:rFonts w:cs="Arial"/>
          <w:b/>
          <w:color w:val="000000"/>
        </w:rPr>
        <w:t xml:space="preserve">Professor </w:t>
      </w:r>
      <w:r w:rsidR="001E46AA">
        <w:rPr>
          <w:rFonts w:cs="Arial"/>
          <w:b/>
          <w:color w:val="000000"/>
        </w:rPr>
        <w:t>Gillian Triggs</w:t>
      </w:r>
      <w:r>
        <w:rPr>
          <w:rFonts w:cs="Arial"/>
          <w:b/>
          <w:color w:val="000000"/>
        </w:rPr>
        <w:t xml:space="preserve">, </w:t>
      </w:r>
      <w:r w:rsidR="001E46AA" w:rsidRPr="00B72073">
        <w:rPr>
          <w:rFonts w:cs="Arial"/>
          <w:b/>
          <w:color w:val="000000"/>
        </w:rPr>
        <w:t>President</w:t>
      </w:r>
    </w:p>
    <w:p w:rsidR="001E46AA" w:rsidRPr="00B72073" w:rsidRDefault="001E46AA" w:rsidP="001E46AA">
      <w:pPr>
        <w:spacing w:after="120"/>
        <w:rPr>
          <w:rFonts w:cs="Arial"/>
          <w:b/>
          <w:color w:val="000000"/>
        </w:rPr>
      </w:pPr>
    </w:p>
    <w:p w:rsidR="001E46AA" w:rsidRPr="008B507A" w:rsidRDefault="001E46AA" w:rsidP="001E46AA">
      <w:pPr>
        <w:pStyle w:val="Heading1"/>
        <w:tabs>
          <w:tab w:val="clear" w:pos="851"/>
        </w:tabs>
        <w:spacing w:before="240" w:after="120"/>
        <w:ind w:left="432" w:hanging="432"/>
      </w:pPr>
      <w:bookmarkStart w:id="6" w:name="_Toc389744563"/>
      <w:bookmarkStart w:id="7" w:name="_Toc410116645"/>
      <w:r w:rsidRPr="008B507A">
        <w:t>Introduction</w:t>
      </w:r>
      <w:bookmarkEnd w:id="6"/>
      <w:bookmarkEnd w:id="7"/>
    </w:p>
    <w:p w:rsidR="001E46AA" w:rsidRPr="008B507A" w:rsidRDefault="001E46AA" w:rsidP="001E46AA">
      <w:pPr>
        <w:pStyle w:val="Heading2"/>
        <w:tabs>
          <w:tab w:val="clear" w:pos="851"/>
        </w:tabs>
        <w:spacing w:before="240" w:after="120"/>
        <w:ind w:left="576" w:hanging="576"/>
      </w:pPr>
      <w:bookmarkStart w:id="8" w:name="_Toc389744564"/>
      <w:bookmarkStart w:id="9" w:name="_Toc410116646"/>
      <w:r w:rsidRPr="008B507A">
        <w:t>What is Workplace Diversity?</w:t>
      </w:r>
      <w:bookmarkEnd w:id="8"/>
      <w:bookmarkEnd w:id="9"/>
      <w:r w:rsidRPr="008B507A">
        <w:t xml:space="preserve"> </w:t>
      </w:r>
    </w:p>
    <w:p w:rsidR="001E46AA" w:rsidRPr="00B72073" w:rsidRDefault="001E46AA" w:rsidP="001E46AA">
      <w:pPr>
        <w:spacing w:after="120"/>
        <w:rPr>
          <w:rFonts w:cs="Arial"/>
        </w:rPr>
      </w:pPr>
      <w:r w:rsidRPr="00B72073">
        <w:rPr>
          <w:rFonts w:cs="Arial"/>
        </w:rPr>
        <w:t xml:space="preserve">The term diversity refers to what makes us different.  It covers gender, age, language, disability, ethnicity, cultural background, sexual orientation and religious belief.  Diversity also refers to our many other differences in education, work experience, occupation, socio-economic background, marital status and whether or not we have family and carer responsibilities. </w:t>
      </w:r>
    </w:p>
    <w:p w:rsidR="001E46AA" w:rsidRPr="00B72073" w:rsidRDefault="001E46AA" w:rsidP="001E46AA">
      <w:pPr>
        <w:spacing w:after="120"/>
        <w:rPr>
          <w:rFonts w:cs="Arial"/>
        </w:rPr>
      </w:pPr>
      <w:r w:rsidRPr="00B72073">
        <w:rPr>
          <w:rFonts w:cs="Arial"/>
        </w:rPr>
        <w:t xml:space="preserve">Workplace diversity encompasses, but goes beyond, the traditional concept of Equal Employment Opportunity (EEO).  The object is to ensure that we are representative of the community we serve and that we value and make the fullest possible use of the diverse backgrounds, skills, talents and perspectives of </w:t>
      </w:r>
      <w:r w:rsidRPr="00B72073">
        <w:rPr>
          <w:rFonts w:cs="Arial"/>
          <w:i/>
        </w:rPr>
        <w:t xml:space="preserve">all </w:t>
      </w:r>
      <w:r w:rsidRPr="00B72073">
        <w:rPr>
          <w:rFonts w:cs="Arial"/>
        </w:rPr>
        <w:t>our people.</w:t>
      </w:r>
      <w:r w:rsidR="00F82102">
        <w:rPr>
          <w:rFonts w:cs="Arial"/>
        </w:rPr>
        <w:t xml:space="preserve"> We seek to ensure full participation</w:t>
      </w:r>
      <w:r w:rsidRPr="00B72073">
        <w:rPr>
          <w:rFonts w:cs="Arial"/>
        </w:rPr>
        <w:t xml:space="preserve"> </w:t>
      </w:r>
      <w:r w:rsidR="00F82102">
        <w:rPr>
          <w:rFonts w:cs="Arial"/>
        </w:rPr>
        <w:t>of staff, community members and service recipients.</w:t>
      </w:r>
    </w:p>
    <w:p w:rsidR="001E46AA" w:rsidRPr="00B72073" w:rsidRDefault="001E46AA" w:rsidP="001E46AA">
      <w:pPr>
        <w:spacing w:after="120"/>
        <w:rPr>
          <w:rFonts w:cs="Arial"/>
          <w:color w:val="000000"/>
        </w:rPr>
      </w:pPr>
      <w:r w:rsidRPr="00B72073">
        <w:rPr>
          <w:rFonts w:cs="Arial"/>
          <w:color w:val="000000"/>
        </w:rPr>
        <w:t xml:space="preserve">EEO policies address continued disadvantage experienced by particular groups of people in the workplace, including women, Indigenous Australians, people with disabilities and those who suffer disadvantage on the basis of race or ethnicity. These policies remain an important foundation for our diversity </w:t>
      </w:r>
      <w:r w:rsidR="00900193">
        <w:rPr>
          <w:rFonts w:cs="Arial"/>
          <w:color w:val="000000"/>
        </w:rPr>
        <w:t>strategy</w:t>
      </w:r>
      <w:r w:rsidRPr="00B72073">
        <w:rPr>
          <w:rFonts w:cs="Arial"/>
          <w:color w:val="000000"/>
        </w:rPr>
        <w:t xml:space="preserve">. </w:t>
      </w:r>
    </w:p>
    <w:p w:rsidR="001E46AA" w:rsidRPr="00B72073" w:rsidRDefault="001E46AA" w:rsidP="001E46AA">
      <w:pPr>
        <w:spacing w:after="120"/>
        <w:rPr>
          <w:rFonts w:cs="Arial"/>
        </w:rPr>
      </w:pPr>
      <w:r w:rsidRPr="00B72073">
        <w:rPr>
          <w:rFonts w:cs="Arial"/>
        </w:rPr>
        <w:t>Workplace diversity programs are built on the principle that a diverse workforce is creative, innovative, and improves public service responsiveness and performance.</w:t>
      </w:r>
    </w:p>
    <w:p w:rsidR="001E46AA" w:rsidRPr="008B507A" w:rsidRDefault="001E46AA" w:rsidP="001E46AA">
      <w:pPr>
        <w:pStyle w:val="Heading2"/>
        <w:tabs>
          <w:tab w:val="clear" w:pos="851"/>
        </w:tabs>
        <w:spacing w:before="240" w:after="120"/>
        <w:ind w:left="576" w:hanging="576"/>
      </w:pPr>
      <w:bookmarkStart w:id="10" w:name="_Toc389744565"/>
      <w:bookmarkStart w:id="11" w:name="_Toc410116647"/>
      <w:r w:rsidRPr="008B507A">
        <w:t>Legal Framework</w:t>
      </w:r>
      <w:bookmarkEnd w:id="10"/>
      <w:bookmarkEnd w:id="11"/>
    </w:p>
    <w:p w:rsidR="001E46AA" w:rsidRPr="0090608B" w:rsidRDefault="001E46AA" w:rsidP="001E46AA">
      <w:pPr>
        <w:pStyle w:val="NormalWeb"/>
        <w:shd w:val="clear" w:color="auto" w:fill="FFFFFF"/>
        <w:spacing w:before="0" w:after="120"/>
        <w:rPr>
          <w:rFonts w:ascii="Arial" w:hAnsi="Arial" w:cs="Arial"/>
          <w:color w:val="000000"/>
        </w:rPr>
      </w:pPr>
      <w:r w:rsidRPr="0090608B">
        <w:rPr>
          <w:rFonts w:ascii="Arial" w:hAnsi="Arial" w:cs="Arial"/>
          <w:color w:val="000000"/>
        </w:rPr>
        <w:t xml:space="preserve">The </w:t>
      </w:r>
      <w:r w:rsidRPr="0090608B">
        <w:rPr>
          <w:rFonts w:ascii="Arial" w:hAnsi="Arial" w:cs="Arial"/>
          <w:i/>
          <w:color w:val="000000"/>
        </w:rPr>
        <w:t>Public Service Act 1999</w:t>
      </w:r>
      <w:r w:rsidRPr="0090608B">
        <w:rPr>
          <w:rFonts w:ascii="Arial" w:hAnsi="Arial" w:cs="Arial"/>
          <w:color w:val="000000"/>
        </w:rPr>
        <w:t xml:space="preserve"> and Public Service Commissioner’s Directions require all agencies to establish workplace diversity programs to assist in giving effect to the APS Values.</w:t>
      </w:r>
    </w:p>
    <w:p w:rsidR="001E46AA" w:rsidRPr="0090608B" w:rsidRDefault="001E46AA" w:rsidP="001E46AA">
      <w:pPr>
        <w:pStyle w:val="NormalWeb"/>
        <w:shd w:val="clear" w:color="auto" w:fill="FFFFFF"/>
        <w:spacing w:before="0" w:after="120"/>
        <w:rPr>
          <w:rFonts w:ascii="Arial" w:hAnsi="Arial" w:cs="Arial"/>
          <w:color w:val="000000"/>
        </w:rPr>
      </w:pPr>
      <w:r w:rsidRPr="0090608B">
        <w:rPr>
          <w:rFonts w:ascii="Arial" w:hAnsi="Arial" w:cs="Arial"/>
          <w:color w:val="000000"/>
        </w:rPr>
        <w:t xml:space="preserve">The APS Values are central to management in the APS. The following APS Values are especially relevant to diversity policies: </w:t>
      </w:r>
    </w:p>
    <w:p w:rsidR="001E46AA" w:rsidRPr="00B72073" w:rsidRDefault="001E46AA" w:rsidP="001E46AA">
      <w:pPr>
        <w:numPr>
          <w:ilvl w:val="0"/>
          <w:numId w:val="38"/>
        </w:numPr>
        <w:shd w:val="clear" w:color="auto" w:fill="FFFFFF"/>
        <w:spacing w:before="0" w:after="120"/>
        <w:rPr>
          <w:rFonts w:cs="Arial"/>
          <w:color w:val="000000"/>
        </w:rPr>
      </w:pPr>
      <w:r w:rsidRPr="00B72073">
        <w:rPr>
          <w:rFonts w:cs="Arial"/>
          <w:color w:val="000000"/>
        </w:rPr>
        <w:t xml:space="preserve">merit-based employment (section 10(b) of the PS Act); </w:t>
      </w:r>
    </w:p>
    <w:p w:rsidR="001E46AA" w:rsidRPr="00B72073" w:rsidRDefault="001E46AA" w:rsidP="001E46AA">
      <w:pPr>
        <w:numPr>
          <w:ilvl w:val="0"/>
          <w:numId w:val="38"/>
        </w:numPr>
        <w:shd w:val="clear" w:color="auto" w:fill="FFFFFF"/>
        <w:spacing w:before="0" w:after="120"/>
        <w:rPr>
          <w:rFonts w:cs="Arial"/>
          <w:color w:val="000000"/>
        </w:rPr>
      </w:pPr>
      <w:r w:rsidRPr="00B72073">
        <w:rPr>
          <w:rFonts w:cs="Arial"/>
          <w:color w:val="000000"/>
        </w:rPr>
        <w:t xml:space="preserve">non-discrimination and diversity (section 10(c)); </w:t>
      </w:r>
    </w:p>
    <w:p w:rsidR="001E46AA" w:rsidRPr="00B72073" w:rsidRDefault="001E46AA" w:rsidP="001E46AA">
      <w:pPr>
        <w:numPr>
          <w:ilvl w:val="0"/>
          <w:numId w:val="38"/>
        </w:numPr>
        <w:shd w:val="clear" w:color="auto" w:fill="FFFFFF"/>
        <w:spacing w:before="0" w:after="120"/>
        <w:rPr>
          <w:rFonts w:cs="Arial"/>
          <w:color w:val="000000"/>
        </w:rPr>
      </w:pPr>
      <w:r w:rsidRPr="00B72073">
        <w:rPr>
          <w:rFonts w:cs="Arial"/>
          <w:color w:val="000000"/>
        </w:rPr>
        <w:t xml:space="preserve">fair, flexible, safe and rewarding workplace (section 10(j)); and </w:t>
      </w:r>
    </w:p>
    <w:p w:rsidR="001E46AA" w:rsidRPr="00B72073" w:rsidRDefault="001E46AA" w:rsidP="001E46AA">
      <w:pPr>
        <w:numPr>
          <w:ilvl w:val="0"/>
          <w:numId w:val="38"/>
        </w:numPr>
        <w:shd w:val="clear" w:color="auto" w:fill="FFFFFF"/>
        <w:spacing w:before="0" w:after="120"/>
        <w:rPr>
          <w:rFonts w:cs="Arial"/>
          <w:color w:val="000000"/>
        </w:rPr>
      </w:pPr>
      <w:r w:rsidRPr="00B72073">
        <w:rPr>
          <w:rFonts w:cs="Arial"/>
          <w:color w:val="000000"/>
        </w:rPr>
        <w:t xml:space="preserve">equity in employment (section 10(l)). </w:t>
      </w:r>
    </w:p>
    <w:p w:rsidR="001E46AA" w:rsidRPr="0090608B" w:rsidRDefault="001E46AA" w:rsidP="001E46AA">
      <w:pPr>
        <w:pStyle w:val="NormalWeb"/>
        <w:shd w:val="clear" w:color="auto" w:fill="FFFFFF"/>
        <w:spacing w:before="0" w:after="120"/>
        <w:rPr>
          <w:rFonts w:ascii="Arial" w:hAnsi="Arial" w:cs="Arial"/>
          <w:color w:val="000000"/>
        </w:rPr>
      </w:pPr>
      <w:r w:rsidRPr="0090608B">
        <w:rPr>
          <w:rFonts w:ascii="Arial" w:hAnsi="Arial" w:cs="Arial"/>
          <w:color w:val="000000"/>
        </w:rPr>
        <w:t xml:space="preserve">Section 10(g), which requires sensitivity to the diversity of the Australian public when delivering services, is relevant to the management of an agency. </w:t>
      </w:r>
    </w:p>
    <w:p w:rsidR="001E46AA" w:rsidRPr="0090608B" w:rsidRDefault="001E46AA" w:rsidP="001E46AA">
      <w:pPr>
        <w:pStyle w:val="NormalWeb"/>
        <w:shd w:val="clear" w:color="auto" w:fill="FFFFFF"/>
        <w:spacing w:before="0" w:after="120"/>
        <w:rPr>
          <w:rFonts w:ascii="Arial" w:hAnsi="Arial" w:cs="Arial"/>
          <w:color w:val="000000"/>
        </w:rPr>
      </w:pPr>
      <w:r w:rsidRPr="0090608B">
        <w:rPr>
          <w:rFonts w:ascii="Arial" w:hAnsi="Arial" w:cs="Arial"/>
          <w:color w:val="000000"/>
        </w:rPr>
        <w:t xml:space="preserve">APS employees also have responsibilities which relate to diversity under the APS Code of Conduct: </w:t>
      </w:r>
    </w:p>
    <w:p w:rsidR="001E46AA" w:rsidRPr="00B72073" w:rsidRDefault="001E46AA" w:rsidP="001E46AA">
      <w:pPr>
        <w:numPr>
          <w:ilvl w:val="0"/>
          <w:numId w:val="39"/>
        </w:numPr>
        <w:shd w:val="clear" w:color="auto" w:fill="FFFFFF"/>
        <w:spacing w:before="0" w:after="120"/>
        <w:rPr>
          <w:rFonts w:cs="Arial"/>
          <w:color w:val="000000"/>
        </w:rPr>
      </w:pPr>
      <w:r w:rsidRPr="00B72073">
        <w:rPr>
          <w:rFonts w:cs="Arial"/>
          <w:color w:val="000000"/>
        </w:rPr>
        <w:t xml:space="preserve">an APS employee, when acting in </w:t>
      </w:r>
      <w:r>
        <w:rPr>
          <w:rFonts w:cs="Arial"/>
          <w:color w:val="000000"/>
        </w:rPr>
        <w:t>connection with</w:t>
      </w:r>
      <w:r w:rsidRPr="00B72073">
        <w:rPr>
          <w:rFonts w:cs="Arial"/>
          <w:color w:val="000000"/>
        </w:rPr>
        <w:t xml:space="preserve"> APS employment, must treat everyone with respect and courtesy, and without harassment (section 13(3) of the PS Act); and </w:t>
      </w:r>
    </w:p>
    <w:p w:rsidR="001E46AA" w:rsidRPr="00B72073" w:rsidRDefault="001E46AA" w:rsidP="001E46AA">
      <w:pPr>
        <w:numPr>
          <w:ilvl w:val="0"/>
          <w:numId w:val="39"/>
        </w:numPr>
        <w:shd w:val="clear" w:color="auto" w:fill="FFFFFF"/>
        <w:spacing w:before="0" w:after="120"/>
        <w:rPr>
          <w:rFonts w:cs="Arial"/>
          <w:color w:val="000000"/>
        </w:rPr>
      </w:pPr>
      <w:r w:rsidRPr="00B72073">
        <w:rPr>
          <w:rFonts w:cs="Arial"/>
          <w:color w:val="000000"/>
        </w:rPr>
        <w:lastRenderedPageBreak/>
        <w:t xml:space="preserve">an APS employee must at all times behave in a way that upholds the APS Values and </w:t>
      </w:r>
      <w:r>
        <w:rPr>
          <w:rFonts w:cs="Arial"/>
          <w:color w:val="000000"/>
        </w:rPr>
        <w:t xml:space="preserve">Employment Principles, and </w:t>
      </w:r>
      <w:r w:rsidRPr="00B72073">
        <w:rPr>
          <w:rFonts w:cs="Arial"/>
          <w:color w:val="000000"/>
        </w:rPr>
        <w:t xml:space="preserve">the integrity and good reputation of the </w:t>
      </w:r>
      <w:r>
        <w:rPr>
          <w:rFonts w:cs="Arial"/>
          <w:color w:val="000000"/>
        </w:rPr>
        <w:t xml:space="preserve">Commission and the </w:t>
      </w:r>
      <w:r w:rsidRPr="00B72073">
        <w:rPr>
          <w:rFonts w:cs="Arial"/>
          <w:color w:val="000000"/>
        </w:rPr>
        <w:t xml:space="preserve">APS (section 13(11)). </w:t>
      </w:r>
    </w:p>
    <w:p w:rsidR="001E46AA" w:rsidRDefault="001E46AA" w:rsidP="001E46AA">
      <w:pPr>
        <w:spacing w:after="120"/>
        <w:rPr>
          <w:rFonts w:cs="Arial"/>
          <w:color w:val="000000"/>
        </w:rPr>
      </w:pPr>
      <w:r w:rsidRPr="00B72073">
        <w:rPr>
          <w:rFonts w:cs="Arial"/>
          <w:color w:val="000000"/>
        </w:rPr>
        <w:t xml:space="preserve">The </w:t>
      </w:r>
      <w:r>
        <w:rPr>
          <w:rFonts w:cs="Arial"/>
          <w:color w:val="000000"/>
        </w:rPr>
        <w:t>Enterprise</w:t>
      </w:r>
      <w:r w:rsidRPr="00B72073">
        <w:rPr>
          <w:rFonts w:cs="Arial"/>
          <w:color w:val="000000"/>
        </w:rPr>
        <w:t xml:space="preserve"> Agreement of the </w:t>
      </w:r>
      <w:r>
        <w:rPr>
          <w:rFonts w:cs="Arial"/>
          <w:color w:val="000000"/>
        </w:rPr>
        <w:t xml:space="preserve">Australian </w:t>
      </w:r>
      <w:r w:rsidRPr="00B72073">
        <w:rPr>
          <w:rFonts w:cs="Arial"/>
          <w:color w:val="000000"/>
        </w:rPr>
        <w:t>Human Rights Commission include</w:t>
      </w:r>
      <w:r>
        <w:rPr>
          <w:rFonts w:cs="Arial"/>
          <w:color w:val="000000"/>
        </w:rPr>
        <w:t>s</w:t>
      </w:r>
      <w:r w:rsidRPr="00B72073">
        <w:rPr>
          <w:rFonts w:cs="Arial"/>
          <w:color w:val="000000"/>
        </w:rPr>
        <w:t xml:space="preserve"> a commitment to Workp</w:t>
      </w:r>
      <w:r w:rsidRPr="00D831A4">
        <w:rPr>
          <w:rFonts w:cs="Arial"/>
          <w:color w:val="000000"/>
        </w:rPr>
        <w:t>lace Diversity.</w:t>
      </w:r>
    </w:p>
    <w:p w:rsidR="001E46AA" w:rsidRPr="00D831A4" w:rsidRDefault="001E46AA" w:rsidP="001E46AA">
      <w:pPr>
        <w:pStyle w:val="Heading1"/>
        <w:tabs>
          <w:tab w:val="clear" w:pos="851"/>
        </w:tabs>
        <w:spacing w:before="240" w:after="120"/>
        <w:ind w:left="432" w:hanging="432"/>
        <w:rPr>
          <w:u w:val="single"/>
        </w:rPr>
      </w:pPr>
      <w:bookmarkStart w:id="12" w:name="_Toc389744566"/>
      <w:bookmarkStart w:id="13" w:name="_Toc410116648"/>
      <w:r>
        <w:t xml:space="preserve">Priorities </w:t>
      </w:r>
      <w:r w:rsidRPr="00D831A4">
        <w:t>of the Diversity</w:t>
      </w:r>
      <w:r w:rsidRPr="00B72073">
        <w:t xml:space="preserve"> </w:t>
      </w:r>
      <w:r w:rsidR="00900193">
        <w:t>Strategy</w:t>
      </w:r>
      <w:bookmarkEnd w:id="12"/>
      <w:bookmarkEnd w:id="13"/>
    </w:p>
    <w:p w:rsidR="00361C87" w:rsidRDefault="00361C87" w:rsidP="00361C87">
      <w:pPr>
        <w:pStyle w:val="BodyText"/>
        <w:rPr>
          <w:rFonts w:cs="Arial"/>
        </w:rPr>
      </w:pPr>
      <w:r>
        <w:rPr>
          <w:rFonts w:cs="Arial"/>
        </w:rPr>
        <w:t xml:space="preserve">In this Diversity Strategy, we have brought together our commitments under 4 separate reporting areas which all have a diversity focus. Our commitments under the Reconciliation Action Plan, the Disability Action Plan, the Agency Multicultural Plan and our Workplace Diversity Program intersected and overlapped and streamlining </w:t>
      </w:r>
      <w:r w:rsidR="00186E4A">
        <w:rPr>
          <w:rFonts w:cs="Arial"/>
        </w:rPr>
        <w:t>was designed to</w:t>
      </w:r>
      <w:r>
        <w:rPr>
          <w:rFonts w:cs="Arial"/>
        </w:rPr>
        <w:t xml:space="preserve"> reduce our reporting time, duplication of activity and ultimately reduce red tape in keeping with </w:t>
      </w:r>
      <w:r w:rsidR="00186E4A">
        <w:rPr>
          <w:rFonts w:cs="Arial"/>
        </w:rPr>
        <w:t xml:space="preserve">current </w:t>
      </w:r>
      <w:r>
        <w:rPr>
          <w:rFonts w:cs="Arial"/>
        </w:rPr>
        <w:t xml:space="preserve">government </w:t>
      </w:r>
      <w:r w:rsidR="00186E4A">
        <w:rPr>
          <w:rFonts w:cs="Arial"/>
        </w:rPr>
        <w:t>policy</w:t>
      </w:r>
      <w:r>
        <w:rPr>
          <w:rFonts w:cs="Arial"/>
        </w:rPr>
        <w:t xml:space="preserve">. </w:t>
      </w:r>
    </w:p>
    <w:p w:rsidR="00AD4D6D" w:rsidRPr="0090608B" w:rsidRDefault="00AD4D6D" w:rsidP="0090608B">
      <w:pPr>
        <w:pStyle w:val="Heading2"/>
      </w:pPr>
      <w:bookmarkStart w:id="14" w:name="_Toc389744567"/>
      <w:bookmarkStart w:id="15" w:name="_Toc389744568"/>
      <w:bookmarkStart w:id="16" w:name="_Toc389744569"/>
      <w:bookmarkStart w:id="17" w:name="_Toc389744570"/>
      <w:bookmarkStart w:id="18" w:name="_Toc389744571"/>
      <w:bookmarkStart w:id="19" w:name="_Toc410116649"/>
      <w:bookmarkEnd w:id="14"/>
      <w:bookmarkEnd w:id="15"/>
      <w:bookmarkEnd w:id="16"/>
      <w:bookmarkEnd w:id="17"/>
      <w:r w:rsidRPr="0090608B">
        <w:t>Agency Multicultural Plan</w:t>
      </w:r>
      <w:bookmarkEnd w:id="18"/>
      <w:bookmarkEnd w:id="19"/>
    </w:p>
    <w:p w:rsidR="00DF3BA6" w:rsidRDefault="00DF3BA6" w:rsidP="00DF3BA6">
      <w:r>
        <w:t xml:space="preserve">The Commission advocates a human rights-based approach to multiculturalism, access and equity and reconciliation and provides an action framework that facilitates the practical application of a Human Rights Based Approach (HRBA) to multicultural access and equity issues. We want to model and </w:t>
      </w:r>
      <w:r w:rsidR="00581EA1">
        <w:t>address</w:t>
      </w:r>
      <w:r>
        <w:t xml:space="preserve"> our access and equity practice in our programs, services and operations with and for CALD communities and stakeholders.</w:t>
      </w:r>
    </w:p>
    <w:p w:rsidR="00DF3BA6" w:rsidRDefault="00DF3BA6" w:rsidP="00DF3BA6">
      <w:pPr>
        <w:pStyle w:val="SubmissionNormal"/>
        <w:numPr>
          <w:ilvl w:val="0"/>
          <w:numId w:val="0"/>
        </w:numPr>
        <w:tabs>
          <w:tab w:val="left" w:pos="720"/>
        </w:tabs>
      </w:pPr>
      <w:r>
        <w:t>Our aim is to improve the access and equity of our services and programs by:</w:t>
      </w:r>
    </w:p>
    <w:p w:rsidR="00DF3BA6" w:rsidRDefault="00DF3BA6" w:rsidP="00DF3BA6">
      <w:pPr>
        <w:pStyle w:val="ListParagraph"/>
        <w:numPr>
          <w:ilvl w:val="0"/>
          <w:numId w:val="47"/>
        </w:numPr>
      </w:pPr>
      <w:r>
        <w:t>Modelling an agency HRBA to access and equity.</w:t>
      </w:r>
    </w:p>
    <w:p w:rsidR="00DF3BA6" w:rsidRDefault="00DF3BA6" w:rsidP="00DF3BA6">
      <w:pPr>
        <w:pStyle w:val="ListParagraph"/>
        <w:numPr>
          <w:ilvl w:val="0"/>
          <w:numId w:val="47"/>
        </w:numPr>
      </w:pPr>
      <w:r>
        <w:t>Systematising the coordination and reporting of our access and equity activities.</w:t>
      </w:r>
    </w:p>
    <w:p w:rsidR="00DF3BA6" w:rsidRDefault="00DF3BA6" w:rsidP="00DF3BA6">
      <w:pPr>
        <w:pStyle w:val="ListParagraph"/>
        <w:numPr>
          <w:ilvl w:val="0"/>
          <w:numId w:val="47"/>
        </w:numPr>
      </w:pPr>
      <w:r>
        <w:t>Providing a framework to oversight the access and equity processes across our Reconciliation, Disability and CALD access and equity initiatives.</w:t>
      </w:r>
    </w:p>
    <w:p w:rsidR="00DF3BA6" w:rsidRDefault="00DF3BA6" w:rsidP="00DF3BA6">
      <w:pPr>
        <w:spacing w:before="120" w:after="120"/>
      </w:pPr>
    </w:p>
    <w:p w:rsidR="00AD4D6D" w:rsidRPr="008147F6" w:rsidRDefault="00475837" w:rsidP="0090608B">
      <w:pPr>
        <w:pStyle w:val="Heading2"/>
      </w:pPr>
      <w:bookmarkStart w:id="20" w:name="_Toc389744572"/>
      <w:bookmarkStart w:id="21" w:name="_Toc410116650"/>
      <w:r w:rsidRPr="009844FE">
        <w:t>Disability Action Plan</w:t>
      </w:r>
      <w:bookmarkEnd w:id="20"/>
      <w:bookmarkEnd w:id="21"/>
    </w:p>
    <w:p w:rsidR="00475837" w:rsidRPr="0090608B" w:rsidRDefault="00475837" w:rsidP="00475837">
      <w:pPr>
        <w:pStyle w:val="Default"/>
      </w:pPr>
      <w:r w:rsidRPr="0090608B">
        <w:t xml:space="preserve">It is important to the Commission that every experience for a visitor, client, community member, employee or web explorer is a successful one, where information is available, accessible and helpful. We endeavour to deliver exceptional service by being proactive, considerate and responsive to the needs of our staff and visitors both on-site and online. </w:t>
      </w:r>
    </w:p>
    <w:p w:rsidR="00475837" w:rsidRPr="0090608B" w:rsidRDefault="00475837" w:rsidP="00475837">
      <w:pPr>
        <w:pStyle w:val="Default"/>
      </w:pPr>
    </w:p>
    <w:p w:rsidR="00475837" w:rsidRPr="0090608B" w:rsidRDefault="00475837" w:rsidP="00475837">
      <w:pPr>
        <w:pStyle w:val="Default"/>
      </w:pPr>
      <w:r w:rsidRPr="0090608B">
        <w:t xml:space="preserve">We have sought to identify and provide the best accessible premises and solutions with our recent relocation, but appreciate that this requires ongoing attention to ensure that continuing needs for both our staff and the public are met. </w:t>
      </w:r>
    </w:p>
    <w:p w:rsidR="00475837" w:rsidRPr="0090608B" w:rsidRDefault="00475837" w:rsidP="00475837">
      <w:pPr>
        <w:pStyle w:val="Default"/>
      </w:pPr>
    </w:p>
    <w:p w:rsidR="00475837" w:rsidRPr="0090608B" w:rsidRDefault="00475837" w:rsidP="00475837">
      <w:pPr>
        <w:pStyle w:val="Default"/>
      </w:pPr>
      <w:r w:rsidRPr="0090608B">
        <w:t xml:space="preserve">The focus for our current disability action plan has been on 4 key areas: </w:t>
      </w:r>
    </w:p>
    <w:p w:rsidR="00475837" w:rsidRPr="0090608B" w:rsidRDefault="00475837" w:rsidP="00475837">
      <w:pPr>
        <w:pStyle w:val="Default"/>
        <w:spacing w:after="14"/>
      </w:pPr>
      <w:r w:rsidRPr="0090608B">
        <w:lastRenderedPageBreak/>
        <w:t xml:space="preserve">1. Developing and promoting a disability lens approach to our work </w:t>
      </w:r>
    </w:p>
    <w:p w:rsidR="00475837" w:rsidRPr="0090608B" w:rsidRDefault="00475837" w:rsidP="00475837">
      <w:pPr>
        <w:pStyle w:val="Default"/>
        <w:spacing w:after="14"/>
      </w:pPr>
      <w:r w:rsidRPr="0090608B">
        <w:t xml:space="preserve">2. Technology and accessibility </w:t>
      </w:r>
    </w:p>
    <w:p w:rsidR="00475837" w:rsidRPr="0090608B" w:rsidRDefault="00475837" w:rsidP="00475837">
      <w:pPr>
        <w:pStyle w:val="Default"/>
        <w:spacing w:after="14"/>
      </w:pPr>
      <w:r w:rsidRPr="0090608B">
        <w:t xml:space="preserve">3. Our workplace and employment </w:t>
      </w:r>
    </w:p>
    <w:p w:rsidR="00475837" w:rsidRPr="0090608B" w:rsidRDefault="00475837" w:rsidP="00475837">
      <w:pPr>
        <w:pStyle w:val="Default"/>
      </w:pPr>
      <w:r w:rsidRPr="0090608B">
        <w:t xml:space="preserve">4. Community Connections </w:t>
      </w:r>
    </w:p>
    <w:p w:rsidR="00475837" w:rsidRPr="00475837" w:rsidRDefault="00475837" w:rsidP="00475837">
      <w:pPr>
        <w:pStyle w:val="BodyText"/>
        <w:rPr>
          <w:rFonts w:cs="Arial"/>
        </w:rPr>
      </w:pPr>
      <w:r w:rsidRPr="0090608B">
        <w:t>With these leading themes, we will endeavour to address any issues of service, technology, premises, education and employment.</w:t>
      </w:r>
    </w:p>
    <w:p w:rsidR="00AD4D6D" w:rsidRPr="008147F6" w:rsidRDefault="00475837" w:rsidP="0090608B">
      <w:pPr>
        <w:pStyle w:val="Heading2"/>
      </w:pPr>
      <w:bookmarkStart w:id="22" w:name="_Toc389744573"/>
      <w:bookmarkStart w:id="23" w:name="_Toc410116651"/>
      <w:r w:rsidRPr="009844FE">
        <w:t>Reconciliation Action Plan</w:t>
      </w:r>
      <w:bookmarkEnd w:id="22"/>
      <w:bookmarkEnd w:id="23"/>
    </w:p>
    <w:p w:rsidR="00475837" w:rsidRPr="0090608B" w:rsidRDefault="00475837" w:rsidP="00475837">
      <w:pPr>
        <w:autoSpaceDE w:val="0"/>
        <w:autoSpaceDN w:val="0"/>
        <w:adjustRightInd w:val="0"/>
        <w:spacing w:before="0" w:after="0"/>
        <w:rPr>
          <w:rFonts w:eastAsia="Times New Roman" w:cs="Arial"/>
        </w:rPr>
      </w:pPr>
      <w:r w:rsidRPr="0090608B">
        <w:rPr>
          <w:rFonts w:eastAsia="Times New Roman" w:cs="Arial"/>
        </w:rPr>
        <w:t>Reconciliation is important to the Australian Human Rights Commission (the Commission):</w:t>
      </w:r>
    </w:p>
    <w:p w:rsidR="00475837" w:rsidRPr="0090608B" w:rsidRDefault="00475837" w:rsidP="0090608B">
      <w:pPr>
        <w:pStyle w:val="ListParagraph"/>
        <w:numPr>
          <w:ilvl w:val="0"/>
          <w:numId w:val="44"/>
        </w:numPr>
        <w:autoSpaceDE w:val="0"/>
        <w:autoSpaceDN w:val="0"/>
        <w:adjustRightInd w:val="0"/>
        <w:spacing w:before="0" w:after="0"/>
        <w:ind w:hanging="294"/>
        <w:rPr>
          <w:rFonts w:cs="Arial"/>
        </w:rPr>
      </w:pPr>
      <w:r w:rsidRPr="0090608B">
        <w:rPr>
          <w:rFonts w:cs="Arial"/>
        </w:rPr>
        <w:t>it enables us to build the cultural diversity of our organisation so we are better placed to empower Aboriginal and Torres Strait</w:t>
      </w:r>
      <w:r w:rsidR="006B39DF" w:rsidRPr="009844FE">
        <w:rPr>
          <w:rFonts w:cs="Arial"/>
        </w:rPr>
        <w:t xml:space="preserve"> </w:t>
      </w:r>
      <w:r w:rsidRPr="0090608B">
        <w:rPr>
          <w:rFonts w:cs="Arial"/>
        </w:rPr>
        <w:t>Islander peoples to understand and exercise their human rights;</w:t>
      </w:r>
    </w:p>
    <w:p w:rsidR="00475837" w:rsidRDefault="00475837" w:rsidP="00475837">
      <w:pPr>
        <w:autoSpaceDE w:val="0"/>
        <w:autoSpaceDN w:val="0"/>
        <w:adjustRightInd w:val="0"/>
        <w:spacing w:before="0" w:after="0"/>
        <w:rPr>
          <w:rFonts w:eastAsia="Times New Roman" w:cs="Arial"/>
        </w:rPr>
      </w:pPr>
    </w:p>
    <w:p w:rsidR="00475837" w:rsidRDefault="00475837" w:rsidP="0090608B">
      <w:pPr>
        <w:pStyle w:val="ListParagraph"/>
        <w:numPr>
          <w:ilvl w:val="0"/>
          <w:numId w:val="44"/>
        </w:numPr>
        <w:autoSpaceDE w:val="0"/>
        <w:autoSpaceDN w:val="0"/>
        <w:adjustRightInd w:val="0"/>
        <w:spacing w:before="0" w:after="0"/>
        <w:rPr>
          <w:rFonts w:cs="Arial"/>
        </w:rPr>
      </w:pPr>
      <w:r w:rsidRPr="0090608B">
        <w:rPr>
          <w:rFonts w:cs="Arial"/>
        </w:rPr>
        <w:t>it is appropriate for us to model the importance of understanding and respect for the rights of Aboriginal and Torres</w:t>
      </w:r>
      <w:r w:rsidR="006B39DF" w:rsidRPr="009844FE">
        <w:rPr>
          <w:rFonts w:cs="Arial"/>
        </w:rPr>
        <w:t xml:space="preserve"> </w:t>
      </w:r>
      <w:r w:rsidRPr="0090608B">
        <w:rPr>
          <w:rFonts w:cs="Arial"/>
        </w:rPr>
        <w:t>Strait Islander peoples.</w:t>
      </w:r>
    </w:p>
    <w:p w:rsidR="006B39DF" w:rsidRPr="006B39DF" w:rsidRDefault="006B39DF" w:rsidP="0090608B">
      <w:pPr>
        <w:autoSpaceDE w:val="0"/>
        <w:autoSpaceDN w:val="0"/>
        <w:adjustRightInd w:val="0"/>
        <w:spacing w:before="0" w:after="0"/>
        <w:rPr>
          <w:rFonts w:cs="Arial"/>
        </w:rPr>
      </w:pPr>
    </w:p>
    <w:p w:rsidR="006B39DF" w:rsidRPr="00946D9F" w:rsidRDefault="006B39DF" w:rsidP="0090608B">
      <w:pPr>
        <w:autoSpaceDE w:val="0"/>
        <w:autoSpaceDN w:val="0"/>
        <w:adjustRightInd w:val="0"/>
        <w:spacing w:before="0" w:after="0"/>
        <w:rPr>
          <w:rFonts w:cs="Arial"/>
        </w:rPr>
      </w:pPr>
      <w:r w:rsidRPr="009844FE">
        <w:rPr>
          <w:rFonts w:cs="Arial"/>
        </w:rPr>
        <w:t xml:space="preserve">The Commission’s activities to promote the </w:t>
      </w:r>
      <w:r w:rsidRPr="008147F6">
        <w:rPr>
          <w:rFonts w:cs="Arial"/>
        </w:rPr>
        <w:t xml:space="preserve">human rights of Aboriginal and Torres Strait </w:t>
      </w:r>
      <w:r w:rsidRPr="00946D9F">
        <w:rPr>
          <w:rFonts w:cs="Arial"/>
        </w:rPr>
        <w:t>Islander peoples include:</w:t>
      </w:r>
    </w:p>
    <w:p w:rsidR="006B39DF" w:rsidRPr="0090608B" w:rsidRDefault="006B39DF" w:rsidP="006B39DF">
      <w:pPr>
        <w:pStyle w:val="ListParagraph"/>
        <w:numPr>
          <w:ilvl w:val="0"/>
          <w:numId w:val="44"/>
        </w:numPr>
        <w:autoSpaceDE w:val="0"/>
        <w:autoSpaceDN w:val="0"/>
        <w:adjustRightInd w:val="0"/>
        <w:spacing w:before="0" w:after="0"/>
        <w:rPr>
          <w:rFonts w:cs="Arial"/>
        </w:rPr>
      </w:pPr>
      <w:r w:rsidRPr="0090608B">
        <w:rPr>
          <w:rFonts w:cs="Arial"/>
        </w:rPr>
        <w:t>Advocating for the recognition of Aboriginal and Torres Strait Islander peoples in the Australian Constitution;</w:t>
      </w:r>
    </w:p>
    <w:p w:rsidR="006B39DF" w:rsidRPr="0090608B" w:rsidRDefault="006B39DF" w:rsidP="006B39DF">
      <w:pPr>
        <w:pStyle w:val="ListParagraph"/>
        <w:numPr>
          <w:ilvl w:val="0"/>
          <w:numId w:val="44"/>
        </w:numPr>
        <w:autoSpaceDE w:val="0"/>
        <w:autoSpaceDN w:val="0"/>
        <w:adjustRightInd w:val="0"/>
        <w:spacing w:before="0" w:after="0"/>
        <w:rPr>
          <w:rFonts w:cs="Arial"/>
        </w:rPr>
      </w:pPr>
      <w:r w:rsidRPr="0090608B">
        <w:rPr>
          <w:rFonts w:cs="Arial"/>
        </w:rPr>
        <w:t>Partnering with the National Congress of Australia’s First Peoples and Reconciliation Australia to promote improved relationships and</w:t>
      </w:r>
    </w:p>
    <w:p w:rsidR="006B39DF" w:rsidRPr="0090608B" w:rsidRDefault="006B39DF" w:rsidP="006B39DF">
      <w:pPr>
        <w:pStyle w:val="ListParagraph"/>
        <w:numPr>
          <w:ilvl w:val="0"/>
          <w:numId w:val="44"/>
        </w:numPr>
        <w:autoSpaceDE w:val="0"/>
        <w:autoSpaceDN w:val="0"/>
        <w:adjustRightInd w:val="0"/>
        <w:spacing w:before="0" w:after="0"/>
        <w:rPr>
          <w:rFonts w:cs="Arial"/>
        </w:rPr>
      </w:pPr>
      <w:r w:rsidRPr="0090608B">
        <w:rPr>
          <w:rFonts w:cs="Arial"/>
        </w:rPr>
        <w:t>reconciliation between Aboriginal and Torres Strait Islander peoples and the wider Australian community;</w:t>
      </w:r>
    </w:p>
    <w:p w:rsidR="006B39DF" w:rsidRPr="0090608B" w:rsidRDefault="006B39DF" w:rsidP="0090608B">
      <w:pPr>
        <w:pStyle w:val="BodyText"/>
        <w:numPr>
          <w:ilvl w:val="0"/>
          <w:numId w:val="44"/>
        </w:numPr>
        <w:autoSpaceDE w:val="0"/>
        <w:autoSpaceDN w:val="0"/>
        <w:adjustRightInd w:val="0"/>
        <w:spacing w:before="0" w:after="0"/>
        <w:rPr>
          <w:rFonts w:cs="Arial"/>
        </w:rPr>
      </w:pPr>
      <w:r w:rsidRPr="0090608B">
        <w:rPr>
          <w:rFonts w:eastAsia="Times New Roman" w:cs="Arial"/>
        </w:rPr>
        <w:t>Partnering with Australia’s leading Aboriginal and Torres Strait Islander and non-Indigenous health and human rights organisations as part of the Close the Gap Steering Committee for Indigenous Health Equality;</w:t>
      </w:r>
    </w:p>
    <w:p w:rsidR="006B39DF" w:rsidRPr="00C77CC6" w:rsidRDefault="006B39DF" w:rsidP="00A8538A">
      <w:pPr>
        <w:pStyle w:val="ListParagraph"/>
        <w:numPr>
          <w:ilvl w:val="0"/>
          <w:numId w:val="44"/>
        </w:numPr>
        <w:autoSpaceDE w:val="0"/>
        <w:autoSpaceDN w:val="0"/>
        <w:adjustRightInd w:val="0"/>
        <w:spacing w:before="0" w:after="0"/>
        <w:rPr>
          <w:rFonts w:cs="Arial"/>
        </w:rPr>
      </w:pPr>
      <w:r w:rsidRPr="00A8538A">
        <w:rPr>
          <w:rFonts w:eastAsia="SymbolMT" w:cs="Arial"/>
        </w:rPr>
        <w:t xml:space="preserve"> </w:t>
      </w:r>
      <w:r w:rsidRPr="00A8538A">
        <w:rPr>
          <w:rFonts w:cs="Arial"/>
        </w:rPr>
        <w:t>Supporting the engagement of Aboriginal and Torres Strait Islander peoples and organisations at international fora with a specific</w:t>
      </w:r>
      <w:r w:rsidR="00A8538A" w:rsidRPr="00A8538A">
        <w:rPr>
          <w:rFonts w:cs="Arial"/>
        </w:rPr>
        <w:t xml:space="preserve"> </w:t>
      </w:r>
      <w:r w:rsidRPr="00A8538A">
        <w:rPr>
          <w:rFonts w:cs="Arial"/>
        </w:rPr>
        <w:t>focus on the rights of indigenous peoples through the Indigenous Peoples’</w:t>
      </w:r>
      <w:r w:rsidRPr="00C77CC6">
        <w:rPr>
          <w:rFonts w:cs="Arial"/>
        </w:rPr>
        <w:t xml:space="preserve"> Organisations Network.</w:t>
      </w:r>
    </w:p>
    <w:p w:rsidR="006B39DF" w:rsidRPr="009844FE" w:rsidRDefault="006B39DF" w:rsidP="0090608B">
      <w:pPr>
        <w:pStyle w:val="ListParagraph"/>
        <w:numPr>
          <w:ilvl w:val="0"/>
          <w:numId w:val="44"/>
        </w:numPr>
        <w:autoSpaceDE w:val="0"/>
        <w:autoSpaceDN w:val="0"/>
        <w:adjustRightInd w:val="0"/>
        <w:spacing w:before="0" w:after="0"/>
        <w:rPr>
          <w:rFonts w:cs="Arial"/>
        </w:rPr>
      </w:pPr>
      <w:r w:rsidRPr="0090608B">
        <w:rPr>
          <w:rFonts w:cs="Arial"/>
        </w:rPr>
        <w:t xml:space="preserve">Advocating for the full implementation of both the spirit and intent of the </w:t>
      </w:r>
      <w:r w:rsidRPr="0090608B">
        <w:rPr>
          <w:rFonts w:cs="Arial"/>
          <w:i/>
          <w:iCs/>
        </w:rPr>
        <w:t xml:space="preserve">United Nations Declaration on the Rights of Indigenous Peoples </w:t>
      </w:r>
      <w:r w:rsidRPr="0090608B">
        <w:rPr>
          <w:rFonts w:cs="Arial"/>
        </w:rPr>
        <w:t>in Australia</w:t>
      </w:r>
      <w:r w:rsidRPr="0090608B">
        <w:rPr>
          <w:rFonts w:cs="Arial"/>
          <w:i/>
          <w:iCs/>
        </w:rPr>
        <w:t>.</w:t>
      </w:r>
    </w:p>
    <w:p w:rsidR="00361C87" w:rsidRPr="0090608B" w:rsidRDefault="00361C87" w:rsidP="0090608B">
      <w:pPr>
        <w:pStyle w:val="Heading2"/>
        <w:rPr>
          <w:i w:val="0"/>
        </w:rPr>
      </w:pPr>
      <w:bookmarkStart w:id="24" w:name="_Toc389744574"/>
      <w:bookmarkStart w:id="25" w:name="_Toc410116652"/>
      <w:r w:rsidRPr="008147F6">
        <w:t>Workplace Diversity</w:t>
      </w:r>
      <w:r w:rsidR="00A44CCE">
        <w:t xml:space="preserve"> Program</w:t>
      </w:r>
      <w:bookmarkEnd w:id="24"/>
      <w:bookmarkEnd w:id="25"/>
    </w:p>
    <w:p w:rsidR="00361C87" w:rsidRDefault="00361C87" w:rsidP="0090608B">
      <w:pPr>
        <w:pStyle w:val="BodyText"/>
        <w:rPr>
          <w:rFonts w:cs="Arial"/>
        </w:rPr>
      </w:pPr>
      <w:r>
        <w:rPr>
          <w:rFonts w:cs="Arial"/>
        </w:rPr>
        <w:t>The Commission has had a Workplace Diversity Program in place since 1999. Over time our programs have developed and responded to the changing workforce and its needs</w:t>
      </w:r>
      <w:r w:rsidRPr="00B72073">
        <w:rPr>
          <w:rFonts w:cs="Arial"/>
        </w:rPr>
        <w:t>.</w:t>
      </w:r>
      <w:r>
        <w:rPr>
          <w:rFonts w:cs="Arial"/>
        </w:rPr>
        <w:t xml:space="preserve"> We review our Diversity Strategy every four years to ensure currency and relevance to organisational best practice. Our Commission approves the Diversity Strategy.</w:t>
      </w:r>
    </w:p>
    <w:p w:rsidR="00361C87" w:rsidRDefault="00361C87" w:rsidP="0090608B">
      <w:pPr>
        <w:pStyle w:val="BodyText"/>
        <w:rPr>
          <w:rFonts w:cs="Arial"/>
        </w:rPr>
      </w:pPr>
      <w:r>
        <w:rPr>
          <w:rFonts w:cs="Arial"/>
        </w:rPr>
        <w:t xml:space="preserve">The Diversity Strategy aims to provide practical and proven approaches to support staff as they try to achieve work-life balance. It provides for flexible employment </w:t>
      </w:r>
      <w:r>
        <w:rPr>
          <w:rFonts w:cs="Arial"/>
        </w:rPr>
        <w:lastRenderedPageBreak/>
        <w:t>policies and practices and the recognition of diversity events to educate and celebrate.</w:t>
      </w:r>
    </w:p>
    <w:p w:rsidR="00361C87" w:rsidRDefault="00361C87" w:rsidP="0090608B">
      <w:pPr>
        <w:pStyle w:val="BodyText"/>
        <w:rPr>
          <w:rFonts w:cs="Arial"/>
        </w:rPr>
      </w:pPr>
      <w:r>
        <w:rPr>
          <w:rFonts w:cs="Arial"/>
        </w:rPr>
        <w:t>We highlight the particular employment disadvantage experienced by Indigenous Australians and people with a disability and challenge ourselves to improve our performance in these areas.</w:t>
      </w:r>
    </w:p>
    <w:p w:rsidR="001E46AA" w:rsidRPr="00B72073" w:rsidRDefault="001E46AA" w:rsidP="001E46AA">
      <w:pPr>
        <w:pStyle w:val="BodyText"/>
        <w:rPr>
          <w:rFonts w:cs="Arial"/>
        </w:rPr>
      </w:pPr>
      <w:r>
        <w:rPr>
          <w:rFonts w:cs="Arial"/>
        </w:rPr>
        <w:t xml:space="preserve">We have </w:t>
      </w:r>
      <w:r w:rsidR="00452312">
        <w:rPr>
          <w:rFonts w:cs="Arial"/>
        </w:rPr>
        <w:t>concentrated our efforts in this single Diversity Strategy to ensure our limited resources are used wisely and to achieve the best outcomes for both the Commission and the community</w:t>
      </w:r>
      <w:r>
        <w:rPr>
          <w:rFonts w:cs="Arial"/>
        </w:rPr>
        <w:t>.</w:t>
      </w:r>
    </w:p>
    <w:p w:rsidR="001E46AA" w:rsidRPr="00B72073" w:rsidRDefault="001E46AA" w:rsidP="001E46AA">
      <w:pPr>
        <w:pStyle w:val="Heading1"/>
        <w:tabs>
          <w:tab w:val="clear" w:pos="851"/>
        </w:tabs>
        <w:spacing w:before="240" w:after="120"/>
        <w:ind w:left="432" w:hanging="432"/>
      </w:pPr>
      <w:bookmarkStart w:id="26" w:name="hreoca"/>
      <w:bookmarkStart w:id="27" w:name="rda"/>
      <w:bookmarkStart w:id="28" w:name="sda"/>
      <w:bookmarkStart w:id="29" w:name="dda"/>
      <w:bookmarkStart w:id="30" w:name="_Toc389744575"/>
      <w:bookmarkStart w:id="31" w:name="_Toc410116653"/>
      <w:bookmarkEnd w:id="26"/>
      <w:bookmarkEnd w:id="27"/>
      <w:bookmarkEnd w:id="28"/>
      <w:bookmarkEnd w:id="29"/>
      <w:r w:rsidRPr="00D831A4">
        <w:t>Accountability</w:t>
      </w:r>
      <w:bookmarkEnd w:id="30"/>
      <w:bookmarkEnd w:id="31"/>
    </w:p>
    <w:p w:rsidR="000B12AF" w:rsidRDefault="001E46AA" w:rsidP="001E46AA">
      <w:pPr>
        <w:spacing w:after="120"/>
        <w:rPr>
          <w:rFonts w:cs="Arial"/>
        </w:rPr>
      </w:pPr>
      <w:r w:rsidRPr="00B72073">
        <w:rPr>
          <w:rFonts w:cs="Arial"/>
        </w:rPr>
        <w:t xml:space="preserve">The President and Commissioners are ultimately responsible for </w:t>
      </w:r>
      <w:r w:rsidR="000B12AF">
        <w:rPr>
          <w:rFonts w:cs="Arial"/>
        </w:rPr>
        <w:t xml:space="preserve">our </w:t>
      </w:r>
      <w:r w:rsidRPr="00B72073">
        <w:rPr>
          <w:rFonts w:cs="Arial"/>
        </w:rPr>
        <w:t xml:space="preserve">Diversity </w:t>
      </w:r>
      <w:r w:rsidR="000B12AF">
        <w:rPr>
          <w:rFonts w:cs="Arial"/>
        </w:rPr>
        <w:t xml:space="preserve">Strategy and how it is implemented in the </w:t>
      </w:r>
      <w:r w:rsidRPr="00B72073">
        <w:rPr>
          <w:rFonts w:cs="Arial"/>
        </w:rPr>
        <w:t xml:space="preserve">Commission. In practice, on a day to day basis, the Executive Director has responsibility for </w:t>
      </w:r>
      <w:r w:rsidR="000B12AF">
        <w:rPr>
          <w:rFonts w:cs="Arial"/>
        </w:rPr>
        <w:t>ensuring the most effective d</w:t>
      </w:r>
      <w:r w:rsidRPr="00B72073">
        <w:rPr>
          <w:rFonts w:cs="Arial"/>
        </w:rPr>
        <w:t>iversity</w:t>
      </w:r>
      <w:r w:rsidR="000B12AF">
        <w:rPr>
          <w:rFonts w:cs="Arial"/>
        </w:rPr>
        <w:t xml:space="preserve"> related outcomes are delivered</w:t>
      </w:r>
      <w:r w:rsidRPr="00B72073">
        <w:rPr>
          <w:rFonts w:cs="Arial"/>
        </w:rPr>
        <w:t xml:space="preserve">. </w:t>
      </w:r>
    </w:p>
    <w:p w:rsidR="001E46AA" w:rsidRDefault="001E46AA" w:rsidP="001E46AA">
      <w:pPr>
        <w:spacing w:after="120"/>
        <w:rPr>
          <w:rFonts w:cs="Arial"/>
        </w:rPr>
      </w:pPr>
      <w:r w:rsidRPr="00B72073">
        <w:rPr>
          <w:rFonts w:cs="Arial"/>
        </w:rPr>
        <w:t>The Commission has established a Diversity Committee to assist in developing, implementing and monitoring th</w:t>
      </w:r>
      <w:r>
        <w:rPr>
          <w:rFonts w:cs="Arial"/>
        </w:rPr>
        <w:t>is and other diversity related</w:t>
      </w:r>
      <w:r w:rsidRPr="00B72073">
        <w:rPr>
          <w:rFonts w:cs="Arial"/>
        </w:rPr>
        <w:t xml:space="preserve"> </w:t>
      </w:r>
      <w:r w:rsidR="000B12AF">
        <w:rPr>
          <w:rFonts w:cs="Arial"/>
        </w:rPr>
        <w:t>activities</w:t>
      </w:r>
      <w:r>
        <w:rPr>
          <w:rFonts w:cs="Arial"/>
        </w:rPr>
        <w:t xml:space="preserve"> across the Commission</w:t>
      </w:r>
      <w:r w:rsidRPr="00B72073">
        <w:rPr>
          <w:rFonts w:cs="Arial"/>
        </w:rPr>
        <w:t xml:space="preserve">. </w:t>
      </w:r>
      <w:r>
        <w:rPr>
          <w:rFonts w:cs="Arial"/>
        </w:rPr>
        <w:t xml:space="preserve"> This Committee has terms of reference which incorporate responsibilities for monitoring commitments under our Reconciliation Action Plan, Disability Action Plan and Agency Multicultural Plan. </w:t>
      </w:r>
      <w:r w:rsidRPr="00B72073">
        <w:rPr>
          <w:rFonts w:cs="Arial"/>
        </w:rPr>
        <w:t>The Commission as part of the accountability framework for Workplace Diversity is required to report in its Annual Report to Parliament and to the A</w:t>
      </w:r>
      <w:r w:rsidR="000B12AF">
        <w:rPr>
          <w:rFonts w:cs="Arial"/>
        </w:rPr>
        <w:t xml:space="preserve">ustralian </w:t>
      </w:r>
      <w:r w:rsidRPr="00B72073">
        <w:rPr>
          <w:rFonts w:cs="Arial"/>
        </w:rPr>
        <w:t>P</w:t>
      </w:r>
      <w:r w:rsidR="000B12AF">
        <w:rPr>
          <w:rFonts w:cs="Arial"/>
        </w:rPr>
        <w:t xml:space="preserve">ublic </w:t>
      </w:r>
      <w:r w:rsidRPr="00B72073">
        <w:rPr>
          <w:rFonts w:cs="Arial"/>
        </w:rPr>
        <w:t>S</w:t>
      </w:r>
      <w:r w:rsidR="000B12AF">
        <w:rPr>
          <w:rFonts w:cs="Arial"/>
        </w:rPr>
        <w:t>ervice</w:t>
      </w:r>
      <w:r w:rsidRPr="00B72073">
        <w:rPr>
          <w:rFonts w:cs="Arial"/>
        </w:rPr>
        <w:t xml:space="preserve"> Commission’s “</w:t>
      </w:r>
      <w:r w:rsidRPr="00B72073">
        <w:rPr>
          <w:rFonts w:cs="Arial"/>
          <w:i/>
        </w:rPr>
        <w:t>State of the Service Report</w:t>
      </w:r>
      <w:r w:rsidRPr="00B72073">
        <w:rPr>
          <w:rFonts w:cs="Arial"/>
        </w:rPr>
        <w:t xml:space="preserve">”. </w:t>
      </w:r>
    </w:p>
    <w:p w:rsidR="000166B2" w:rsidRDefault="008A26BE" w:rsidP="001E46AA">
      <w:pPr>
        <w:spacing w:after="120"/>
        <w:rPr>
          <w:rFonts w:cs="Arial"/>
        </w:rPr>
      </w:pPr>
      <w:r>
        <w:rPr>
          <w:rFonts w:cs="Arial"/>
        </w:rPr>
        <w:t>Our commitment to diversity</w:t>
      </w:r>
      <w:r w:rsidR="00B54139">
        <w:rPr>
          <w:rFonts w:cs="Arial"/>
        </w:rPr>
        <w:t xml:space="preserve"> is captured in goal 4 of our strategic plan</w:t>
      </w:r>
      <w:r w:rsidR="000166B2">
        <w:rPr>
          <w:rFonts w:cs="Arial"/>
        </w:rPr>
        <w:t>:</w:t>
      </w:r>
    </w:p>
    <w:p w:rsidR="000166B2" w:rsidRPr="0090608B" w:rsidRDefault="000166B2" w:rsidP="000166B2">
      <w:pPr>
        <w:pStyle w:val="ListParagraph"/>
        <w:numPr>
          <w:ilvl w:val="0"/>
          <w:numId w:val="43"/>
        </w:numPr>
        <w:spacing w:before="0" w:after="0"/>
      </w:pPr>
      <w:r w:rsidRPr="0090608B">
        <w:t>having a diverse and respectful workplace that reflects the diversity of the Australian community</w:t>
      </w:r>
    </w:p>
    <w:p w:rsidR="008A26BE" w:rsidRPr="00B72073" w:rsidRDefault="00B54139" w:rsidP="001E46AA">
      <w:pPr>
        <w:spacing w:after="120"/>
        <w:rPr>
          <w:rFonts w:cs="Arial"/>
        </w:rPr>
      </w:pPr>
      <w:r>
        <w:rPr>
          <w:rFonts w:cs="Arial"/>
        </w:rPr>
        <w:t xml:space="preserve"> to ensure its importance is never far from our vision.</w:t>
      </w:r>
    </w:p>
    <w:p w:rsidR="001E46AA" w:rsidRPr="00B72073" w:rsidRDefault="001E46AA" w:rsidP="001E46AA">
      <w:pPr>
        <w:pStyle w:val="Heading1"/>
        <w:tabs>
          <w:tab w:val="clear" w:pos="851"/>
        </w:tabs>
        <w:spacing w:before="240" w:after="120"/>
        <w:ind w:left="432" w:hanging="432"/>
      </w:pPr>
      <w:bookmarkStart w:id="32" w:name="_Toc389744576"/>
      <w:bookmarkStart w:id="33" w:name="_Toc410116654"/>
      <w:r w:rsidRPr="00B72073">
        <w:t>The Diversity Committee</w:t>
      </w:r>
      <w:bookmarkEnd w:id="32"/>
      <w:bookmarkEnd w:id="33"/>
    </w:p>
    <w:p w:rsidR="00B54139" w:rsidRDefault="001E46AA" w:rsidP="001E46AA">
      <w:pPr>
        <w:pStyle w:val="BodyText"/>
        <w:rPr>
          <w:rFonts w:cs="Arial"/>
        </w:rPr>
      </w:pPr>
      <w:r w:rsidRPr="00B72073">
        <w:rPr>
          <w:rFonts w:cs="Arial"/>
        </w:rPr>
        <w:t xml:space="preserve">The Diversity </w:t>
      </w:r>
      <w:r>
        <w:rPr>
          <w:rFonts w:cs="Arial"/>
        </w:rPr>
        <w:t>c</w:t>
      </w:r>
      <w:r w:rsidRPr="00B72073">
        <w:rPr>
          <w:rFonts w:cs="Arial"/>
        </w:rPr>
        <w:t xml:space="preserve">ommittee is responsible for </w:t>
      </w:r>
      <w:r w:rsidR="00996C82">
        <w:rPr>
          <w:rFonts w:cs="Arial"/>
        </w:rPr>
        <w:t>ensuring that commitments within the Diversity Strategy are monitored, reported and achieved.</w:t>
      </w:r>
      <w:r w:rsidRPr="00B72073">
        <w:rPr>
          <w:rFonts w:cs="Arial"/>
        </w:rPr>
        <w:t xml:space="preserve"> The </w:t>
      </w:r>
      <w:r>
        <w:rPr>
          <w:rFonts w:cs="Arial"/>
        </w:rPr>
        <w:t>c</w:t>
      </w:r>
      <w:r w:rsidRPr="00B72073">
        <w:rPr>
          <w:rFonts w:cs="Arial"/>
        </w:rPr>
        <w:t>ommittee meets quarterly</w:t>
      </w:r>
      <w:r w:rsidR="00186E4A">
        <w:rPr>
          <w:rFonts w:cs="Arial"/>
        </w:rPr>
        <w:t xml:space="preserve"> and works to agreed terms of reference</w:t>
      </w:r>
      <w:r w:rsidRPr="00B72073">
        <w:rPr>
          <w:rFonts w:cs="Arial"/>
        </w:rPr>
        <w:t>.</w:t>
      </w:r>
      <w:r>
        <w:rPr>
          <w:rFonts w:cs="Arial"/>
        </w:rPr>
        <w:t xml:space="preserve"> The membership of the committee </w:t>
      </w:r>
      <w:r w:rsidR="00996C82">
        <w:rPr>
          <w:rFonts w:cs="Arial"/>
        </w:rPr>
        <w:t>is</w:t>
      </w:r>
      <w:r>
        <w:rPr>
          <w:rFonts w:cs="Arial"/>
        </w:rPr>
        <w:t xml:space="preserve"> representative of the various business functions across the Commission</w:t>
      </w:r>
      <w:r w:rsidR="00186E4A">
        <w:rPr>
          <w:rFonts w:cs="Arial"/>
        </w:rPr>
        <w:t xml:space="preserve"> and to emphasise the importance of diversity as an issue to the Commission, the committee is chaired by the Executive Director</w:t>
      </w:r>
      <w:r>
        <w:rPr>
          <w:rFonts w:cs="Arial"/>
        </w:rPr>
        <w:t xml:space="preserve">. </w:t>
      </w:r>
      <w:r w:rsidR="00CC6379">
        <w:rPr>
          <w:rFonts w:cs="Arial"/>
        </w:rPr>
        <w:t>All committee members are volunteers</w:t>
      </w:r>
      <w:r w:rsidR="00B54139">
        <w:rPr>
          <w:rFonts w:cs="Arial"/>
        </w:rPr>
        <w:t xml:space="preserve"> and contribute to our diversity activities and discussions in addition to their already busy workloads and schedules. </w:t>
      </w:r>
    </w:p>
    <w:p w:rsidR="001E46AA" w:rsidRDefault="00B54139" w:rsidP="001E46AA">
      <w:pPr>
        <w:pStyle w:val="BodyText"/>
        <w:rPr>
          <w:rFonts w:cs="Arial"/>
        </w:rPr>
      </w:pPr>
      <w:r>
        <w:rPr>
          <w:rFonts w:cs="Arial"/>
        </w:rPr>
        <w:t>All</w:t>
      </w:r>
      <w:r w:rsidR="001E46AA">
        <w:rPr>
          <w:rFonts w:cs="Arial"/>
        </w:rPr>
        <w:t xml:space="preserve"> staff can contribute to our diversity objectives directly through the Committee membership, through human resources, through supervisors or by email through a diversity@humanrights email address.</w:t>
      </w:r>
    </w:p>
    <w:p w:rsidR="001E46AA" w:rsidRPr="00B72073" w:rsidRDefault="001E46AA" w:rsidP="001E46AA">
      <w:pPr>
        <w:pStyle w:val="Heading1"/>
        <w:tabs>
          <w:tab w:val="clear" w:pos="851"/>
        </w:tabs>
        <w:spacing w:before="240" w:after="120"/>
        <w:ind w:left="432" w:hanging="432"/>
      </w:pPr>
      <w:bookmarkStart w:id="34" w:name="_Toc389744577"/>
      <w:bookmarkStart w:id="35" w:name="_Toc389744578"/>
      <w:bookmarkStart w:id="36" w:name="_Toc410116655"/>
      <w:bookmarkEnd w:id="34"/>
      <w:r w:rsidRPr="00B72073">
        <w:lastRenderedPageBreak/>
        <w:t xml:space="preserve">The Diversity </w:t>
      </w:r>
      <w:r w:rsidR="00996C82">
        <w:t xml:space="preserve">Strategy’s </w:t>
      </w:r>
      <w:r w:rsidRPr="00B72073">
        <w:t>Objectives</w:t>
      </w:r>
      <w:bookmarkEnd w:id="35"/>
      <w:bookmarkEnd w:id="36"/>
    </w:p>
    <w:p w:rsidR="001E46AA" w:rsidRDefault="001E46AA" w:rsidP="001E46AA">
      <w:pPr>
        <w:spacing w:after="120"/>
        <w:rPr>
          <w:rFonts w:cs="Arial"/>
        </w:rPr>
      </w:pPr>
      <w:r w:rsidRPr="00B72073">
        <w:rPr>
          <w:rFonts w:cs="Arial"/>
        </w:rPr>
        <w:t xml:space="preserve">The </w:t>
      </w:r>
      <w:r w:rsidR="00F92C96">
        <w:rPr>
          <w:rFonts w:cs="Arial"/>
        </w:rPr>
        <w:t xml:space="preserve">internal </w:t>
      </w:r>
      <w:r w:rsidRPr="00B72073">
        <w:rPr>
          <w:rFonts w:cs="Arial"/>
        </w:rPr>
        <w:t xml:space="preserve">objectives of the Diversity </w:t>
      </w:r>
      <w:r w:rsidR="00F92C96">
        <w:rPr>
          <w:rFonts w:cs="Arial"/>
        </w:rPr>
        <w:t>Strategy</w:t>
      </w:r>
      <w:r w:rsidRPr="00B72073">
        <w:rPr>
          <w:rFonts w:cs="Arial"/>
        </w:rPr>
        <w:t xml:space="preserve"> have been </w:t>
      </w:r>
      <w:r>
        <w:rPr>
          <w:rFonts w:cs="Arial"/>
        </w:rPr>
        <w:t xml:space="preserve">distilled to employment related activities under the headings Planning, Sharing, Learning, Monitoring and Creating. The Commission’s other </w:t>
      </w:r>
      <w:r w:rsidR="00F92C96">
        <w:rPr>
          <w:rFonts w:cs="Arial"/>
        </w:rPr>
        <w:t xml:space="preserve">external </w:t>
      </w:r>
      <w:r>
        <w:rPr>
          <w:rFonts w:cs="Arial"/>
        </w:rPr>
        <w:t>diversity activities relating to engagement and service delivery are well covered under our RAP, DAP and AMP</w:t>
      </w:r>
      <w:r w:rsidR="00F92C96">
        <w:rPr>
          <w:rFonts w:cs="Arial"/>
        </w:rPr>
        <w:t xml:space="preserve"> commitments</w:t>
      </w:r>
      <w:r w:rsidR="00796981">
        <w:rPr>
          <w:rFonts w:cs="Arial"/>
        </w:rPr>
        <w:t xml:space="preserve"> and cross referenced in Annexure A</w:t>
      </w:r>
      <w:r>
        <w:rPr>
          <w:rFonts w:cs="Arial"/>
        </w:rPr>
        <w:t>.</w:t>
      </w:r>
    </w:p>
    <w:p w:rsidR="00581EA1" w:rsidRDefault="00581EA1" w:rsidP="001E46AA">
      <w:pPr>
        <w:spacing w:after="120"/>
        <w:rPr>
          <w:rFonts w:cs="Arial"/>
        </w:rPr>
      </w:pPr>
      <w:r>
        <w:rPr>
          <w:rFonts w:cs="Arial"/>
        </w:rPr>
        <w:t>Our Diversity Strategy enables us to meet our commitments under Goal 4.4 of the Commission’s Strategic goals for 2014-2018.</w:t>
      </w:r>
    </w:p>
    <w:p w:rsidR="003B5560" w:rsidRPr="00B72073" w:rsidRDefault="003B5560" w:rsidP="001E46AA">
      <w:pPr>
        <w:spacing w:after="120"/>
        <w:rPr>
          <w:rFonts w:cs="Arial"/>
        </w:rPr>
      </w:pPr>
      <w:r>
        <w:rPr>
          <w:rFonts w:cs="Arial"/>
        </w:rPr>
        <w:t xml:space="preserve">We will celebrate and recognise priority events over a biennial calendar to </w:t>
      </w:r>
      <w:r w:rsidR="000166B2">
        <w:rPr>
          <w:rFonts w:cs="Arial"/>
        </w:rPr>
        <w:t>ensure equitable attention to each priority area.</w:t>
      </w:r>
    </w:p>
    <w:p w:rsidR="001E46AA" w:rsidRPr="00B72073" w:rsidRDefault="001E46AA" w:rsidP="001E46AA">
      <w:pPr>
        <w:pStyle w:val="Heading1"/>
        <w:tabs>
          <w:tab w:val="clear" w:pos="851"/>
        </w:tabs>
        <w:spacing w:before="240" w:after="120"/>
        <w:ind w:left="432" w:hanging="432"/>
      </w:pPr>
      <w:bookmarkStart w:id="37" w:name="_Toc389744579"/>
      <w:bookmarkStart w:id="38" w:name="_Toc389744580"/>
      <w:bookmarkStart w:id="39" w:name="_Toc410116656"/>
      <w:bookmarkEnd w:id="37"/>
      <w:r w:rsidRPr="00B72073">
        <w:t>Monitoring and Evaluation</w:t>
      </w:r>
      <w:bookmarkEnd w:id="38"/>
      <w:bookmarkEnd w:id="39"/>
    </w:p>
    <w:p w:rsidR="001E46AA" w:rsidRPr="00B72073" w:rsidRDefault="001E46AA" w:rsidP="001E46AA">
      <w:pPr>
        <w:spacing w:after="120"/>
        <w:rPr>
          <w:rFonts w:cs="Arial"/>
        </w:rPr>
      </w:pPr>
      <w:r w:rsidRPr="00B72073">
        <w:rPr>
          <w:rFonts w:cs="Arial"/>
        </w:rPr>
        <w:t xml:space="preserve">It is important that the </w:t>
      </w:r>
      <w:r w:rsidR="00D9008C">
        <w:rPr>
          <w:rFonts w:cs="Arial"/>
        </w:rPr>
        <w:t>Diversity Strategy</w:t>
      </w:r>
      <w:r w:rsidRPr="00B72073">
        <w:rPr>
          <w:rFonts w:cs="Arial"/>
        </w:rPr>
        <w:t xml:space="preserve"> is monitored and evaluated.  This will assist in identifying successes and strengths as well identifying any barriers and problems. </w:t>
      </w:r>
      <w:r w:rsidR="00D9008C">
        <w:rPr>
          <w:rFonts w:cs="Arial"/>
        </w:rPr>
        <w:t xml:space="preserve">The </w:t>
      </w:r>
      <w:r w:rsidRPr="00B72073">
        <w:rPr>
          <w:rFonts w:cs="Arial"/>
        </w:rPr>
        <w:t>Strateg</w:t>
      </w:r>
      <w:r w:rsidR="00D9008C">
        <w:rPr>
          <w:rFonts w:cs="Arial"/>
        </w:rPr>
        <w:t>y</w:t>
      </w:r>
      <w:r w:rsidRPr="00B72073">
        <w:rPr>
          <w:rFonts w:cs="Arial"/>
        </w:rPr>
        <w:t xml:space="preserve"> will be reviewed annually to determine if the</w:t>
      </w:r>
      <w:r w:rsidR="00D9008C">
        <w:rPr>
          <w:rFonts w:cs="Arial"/>
        </w:rPr>
        <w:t xml:space="preserve"> identified activities </w:t>
      </w:r>
      <w:r w:rsidR="00D9008C" w:rsidRPr="00B72073">
        <w:rPr>
          <w:rFonts w:cs="Arial"/>
        </w:rPr>
        <w:t xml:space="preserve">have been </w:t>
      </w:r>
      <w:r w:rsidR="00D9008C">
        <w:rPr>
          <w:rFonts w:cs="Arial"/>
        </w:rPr>
        <w:t xml:space="preserve">delivered and were </w:t>
      </w:r>
      <w:r w:rsidR="00D9008C" w:rsidRPr="00B72073">
        <w:rPr>
          <w:rFonts w:cs="Arial"/>
        </w:rPr>
        <w:t xml:space="preserve">effective </w:t>
      </w:r>
      <w:r w:rsidR="00D9008C">
        <w:rPr>
          <w:rFonts w:cs="Arial"/>
        </w:rPr>
        <w:t xml:space="preserve">and </w:t>
      </w:r>
      <w:r w:rsidRPr="00B72073">
        <w:rPr>
          <w:rFonts w:cs="Arial"/>
        </w:rPr>
        <w:t>progress reported.</w:t>
      </w:r>
    </w:p>
    <w:p w:rsidR="001E46AA" w:rsidRDefault="001E46AA" w:rsidP="001E46AA">
      <w:pPr>
        <w:spacing w:after="120"/>
        <w:rPr>
          <w:rFonts w:cs="Arial"/>
          <w:i/>
        </w:rPr>
      </w:pPr>
      <w:r w:rsidRPr="00B72073">
        <w:rPr>
          <w:rFonts w:cs="Arial"/>
        </w:rPr>
        <w:t>The Diversity Co</w:t>
      </w:r>
      <w:r>
        <w:rPr>
          <w:rFonts w:cs="Arial"/>
        </w:rPr>
        <w:t xml:space="preserve">mmittee </w:t>
      </w:r>
      <w:r w:rsidRPr="00B72073">
        <w:rPr>
          <w:rFonts w:cs="Arial"/>
        </w:rPr>
        <w:t xml:space="preserve">will discuss progress </w:t>
      </w:r>
      <w:r>
        <w:rPr>
          <w:rFonts w:cs="Arial"/>
        </w:rPr>
        <w:t xml:space="preserve">against the </w:t>
      </w:r>
      <w:r w:rsidR="00D9008C">
        <w:rPr>
          <w:rFonts w:cs="Arial"/>
        </w:rPr>
        <w:t>strategy’s</w:t>
      </w:r>
      <w:r>
        <w:rPr>
          <w:rFonts w:cs="Arial"/>
        </w:rPr>
        <w:t xml:space="preserve"> objectives</w:t>
      </w:r>
      <w:r w:rsidRPr="00B72073">
        <w:rPr>
          <w:rFonts w:cs="Arial"/>
        </w:rPr>
        <w:t xml:space="preserve"> on a regular basis.  </w:t>
      </w:r>
      <w:r>
        <w:rPr>
          <w:rFonts w:cs="Arial"/>
        </w:rPr>
        <w:t>The Committee will provide progress reports to the President and the Commissioners</w:t>
      </w:r>
      <w:r w:rsidR="00D9008C">
        <w:rPr>
          <w:rFonts w:cs="Arial"/>
        </w:rPr>
        <w:t xml:space="preserve"> twice per year</w:t>
      </w:r>
      <w:r>
        <w:rPr>
          <w:rFonts w:cs="Arial"/>
        </w:rPr>
        <w:t xml:space="preserve">. </w:t>
      </w:r>
      <w:r w:rsidR="00D9008C">
        <w:rPr>
          <w:rFonts w:cs="Arial"/>
        </w:rPr>
        <w:t>Comparative analysis will be monitored through annual reporting statistics</w:t>
      </w:r>
      <w:r w:rsidR="0076127E">
        <w:rPr>
          <w:rFonts w:cs="Arial"/>
        </w:rPr>
        <w:t xml:space="preserve"> and benchmarked as is the case with </w:t>
      </w:r>
      <w:r w:rsidRPr="00B72073">
        <w:rPr>
          <w:rFonts w:cs="Arial"/>
        </w:rPr>
        <w:t xml:space="preserve">the APS Commission’s </w:t>
      </w:r>
      <w:r w:rsidRPr="00B72073">
        <w:rPr>
          <w:rFonts w:cs="Arial"/>
          <w:i/>
        </w:rPr>
        <w:t>“State</w:t>
      </w:r>
      <w:r w:rsidRPr="005E1F42">
        <w:rPr>
          <w:rFonts w:cs="Arial"/>
          <w:i/>
        </w:rPr>
        <w:t xml:space="preserve"> </w:t>
      </w:r>
      <w:r w:rsidRPr="00B72073">
        <w:rPr>
          <w:rFonts w:cs="Arial"/>
          <w:i/>
        </w:rPr>
        <w:t>of the Service Report’.</w:t>
      </w:r>
    </w:p>
    <w:p w:rsidR="001E46AA" w:rsidRDefault="001E46AA" w:rsidP="001E46AA">
      <w:pPr>
        <w:spacing w:after="120"/>
        <w:rPr>
          <w:rFonts w:cs="Arial"/>
          <w:i/>
        </w:rPr>
        <w:sectPr w:rsidR="001E46AA" w:rsidSect="00794571">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09" w:footer="301" w:gutter="0"/>
          <w:cols w:space="708"/>
          <w:titlePg/>
          <w:docGrid w:linePitch="360"/>
        </w:sectPr>
      </w:pPr>
    </w:p>
    <w:p w:rsidR="001E46AA" w:rsidRDefault="001E46AA" w:rsidP="001E46AA">
      <w:pPr>
        <w:spacing w:after="120"/>
        <w:rPr>
          <w:rFonts w:cs="Arial"/>
          <w:i/>
        </w:rPr>
      </w:pPr>
    </w:p>
    <w:p w:rsidR="001E46AA" w:rsidRDefault="001E46AA" w:rsidP="001E46AA">
      <w:pPr>
        <w:pStyle w:val="Heading1"/>
        <w:tabs>
          <w:tab w:val="clear" w:pos="851"/>
        </w:tabs>
        <w:spacing w:before="240" w:after="120"/>
        <w:ind w:left="432" w:hanging="432"/>
      </w:pPr>
      <w:bookmarkStart w:id="40" w:name="_Toc389744581"/>
      <w:bookmarkStart w:id="41" w:name="_Toc410116657"/>
      <w:r>
        <w:t>The Program</w:t>
      </w:r>
      <w:bookmarkEnd w:id="40"/>
      <w:bookmarkEnd w:id="41"/>
    </w:p>
    <w:p w:rsidR="001E46AA" w:rsidRDefault="001E46AA" w:rsidP="001E46AA">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3871"/>
        <w:gridCol w:w="2250"/>
        <w:gridCol w:w="1995"/>
        <w:gridCol w:w="2428"/>
        <w:gridCol w:w="2173"/>
      </w:tblGrid>
      <w:tr w:rsidR="001E46AA" w:rsidRPr="00543380" w:rsidTr="00794571">
        <w:tc>
          <w:tcPr>
            <w:tcW w:w="2069" w:type="dxa"/>
            <w:shd w:val="clear" w:color="auto" w:fill="auto"/>
          </w:tcPr>
          <w:p w:rsidR="001E46AA" w:rsidRPr="00543380" w:rsidRDefault="001E46AA" w:rsidP="00794571">
            <w:pPr>
              <w:rPr>
                <w:b/>
                <w:sz w:val="28"/>
                <w:szCs w:val="28"/>
              </w:rPr>
            </w:pPr>
            <w:r w:rsidRPr="00543380">
              <w:rPr>
                <w:b/>
                <w:sz w:val="28"/>
                <w:szCs w:val="28"/>
              </w:rPr>
              <w:t>Strategy</w:t>
            </w:r>
          </w:p>
        </w:tc>
        <w:tc>
          <w:tcPr>
            <w:tcW w:w="3871" w:type="dxa"/>
            <w:shd w:val="clear" w:color="auto" w:fill="auto"/>
          </w:tcPr>
          <w:p w:rsidR="001E46AA" w:rsidRPr="00543380" w:rsidRDefault="001E46AA" w:rsidP="00794571">
            <w:pPr>
              <w:rPr>
                <w:b/>
                <w:sz w:val="28"/>
                <w:szCs w:val="28"/>
              </w:rPr>
            </w:pPr>
            <w:r w:rsidRPr="00543380">
              <w:rPr>
                <w:b/>
                <w:sz w:val="28"/>
                <w:szCs w:val="28"/>
              </w:rPr>
              <w:t>Action</w:t>
            </w:r>
          </w:p>
        </w:tc>
        <w:tc>
          <w:tcPr>
            <w:tcW w:w="2250" w:type="dxa"/>
            <w:shd w:val="clear" w:color="auto" w:fill="auto"/>
          </w:tcPr>
          <w:p w:rsidR="001E46AA" w:rsidRPr="00543380" w:rsidRDefault="001E46AA" w:rsidP="00794571">
            <w:pPr>
              <w:rPr>
                <w:b/>
                <w:sz w:val="28"/>
                <w:szCs w:val="28"/>
              </w:rPr>
            </w:pPr>
            <w:r w:rsidRPr="00543380">
              <w:rPr>
                <w:b/>
                <w:sz w:val="28"/>
                <w:szCs w:val="28"/>
              </w:rPr>
              <w:t>Responsibility</w:t>
            </w:r>
          </w:p>
        </w:tc>
        <w:tc>
          <w:tcPr>
            <w:tcW w:w="1995" w:type="dxa"/>
            <w:shd w:val="clear" w:color="auto" w:fill="auto"/>
          </w:tcPr>
          <w:p w:rsidR="001E46AA" w:rsidRPr="00543380" w:rsidRDefault="001E46AA" w:rsidP="00794571">
            <w:pPr>
              <w:rPr>
                <w:b/>
                <w:sz w:val="28"/>
                <w:szCs w:val="28"/>
              </w:rPr>
            </w:pPr>
            <w:r w:rsidRPr="00543380">
              <w:rPr>
                <w:b/>
                <w:sz w:val="28"/>
                <w:szCs w:val="28"/>
              </w:rPr>
              <w:t>Timeframe</w:t>
            </w:r>
          </w:p>
        </w:tc>
        <w:tc>
          <w:tcPr>
            <w:tcW w:w="2428" w:type="dxa"/>
            <w:shd w:val="clear" w:color="auto" w:fill="auto"/>
          </w:tcPr>
          <w:p w:rsidR="001E46AA" w:rsidRPr="00543380" w:rsidRDefault="001E46AA" w:rsidP="00794571">
            <w:pPr>
              <w:rPr>
                <w:b/>
                <w:sz w:val="28"/>
                <w:szCs w:val="28"/>
              </w:rPr>
            </w:pPr>
            <w:r w:rsidRPr="00543380">
              <w:rPr>
                <w:b/>
                <w:sz w:val="28"/>
                <w:szCs w:val="28"/>
              </w:rPr>
              <w:t>Performance Indicators</w:t>
            </w:r>
          </w:p>
        </w:tc>
        <w:tc>
          <w:tcPr>
            <w:tcW w:w="2173" w:type="dxa"/>
            <w:shd w:val="clear" w:color="auto" w:fill="auto"/>
          </w:tcPr>
          <w:p w:rsidR="001E46AA" w:rsidRPr="00543380" w:rsidRDefault="001E46AA" w:rsidP="00794571">
            <w:pPr>
              <w:rPr>
                <w:b/>
                <w:sz w:val="28"/>
                <w:szCs w:val="28"/>
              </w:rPr>
            </w:pPr>
            <w:r w:rsidRPr="00543380">
              <w:rPr>
                <w:b/>
                <w:sz w:val="28"/>
                <w:szCs w:val="28"/>
              </w:rPr>
              <w:t>Progress</w:t>
            </w:r>
          </w:p>
        </w:tc>
      </w:tr>
      <w:tr w:rsidR="001E46AA" w:rsidRPr="00543380" w:rsidTr="00794571">
        <w:tc>
          <w:tcPr>
            <w:tcW w:w="2069" w:type="dxa"/>
            <w:shd w:val="clear" w:color="auto" w:fill="auto"/>
          </w:tcPr>
          <w:p w:rsidR="001E46AA" w:rsidRPr="00543380" w:rsidRDefault="001E46AA" w:rsidP="00794571">
            <w:pPr>
              <w:rPr>
                <w:b/>
                <w:sz w:val="28"/>
                <w:szCs w:val="28"/>
              </w:rPr>
            </w:pPr>
            <w:r>
              <w:rPr>
                <w:b/>
                <w:sz w:val="28"/>
                <w:szCs w:val="28"/>
              </w:rPr>
              <w:t>Planning</w:t>
            </w:r>
          </w:p>
        </w:tc>
        <w:tc>
          <w:tcPr>
            <w:tcW w:w="3871" w:type="dxa"/>
            <w:shd w:val="clear" w:color="auto" w:fill="auto"/>
          </w:tcPr>
          <w:p w:rsidR="001E46AA" w:rsidRDefault="001E46AA" w:rsidP="001E46AA">
            <w:pPr>
              <w:numPr>
                <w:ilvl w:val="0"/>
                <w:numId w:val="40"/>
              </w:numPr>
              <w:spacing w:before="0" w:after="0"/>
            </w:pPr>
            <w:r>
              <w:t>Strategic Plan incorporates diversity principles</w:t>
            </w:r>
          </w:p>
          <w:p w:rsidR="001E46AA" w:rsidRDefault="001E46AA" w:rsidP="00794571"/>
          <w:p w:rsidR="001E46AA" w:rsidRDefault="001E46AA" w:rsidP="001E46AA">
            <w:pPr>
              <w:numPr>
                <w:ilvl w:val="0"/>
                <w:numId w:val="40"/>
              </w:numPr>
              <w:spacing w:before="0" w:after="0"/>
            </w:pPr>
            <w:r>
              <w:t>Workforce planning includes objectives and strategies for increasing the diversity of the workforce</w:t>
            </w:r>
          </w:p>
          <w:p w:rsidR="001E46AA" w:rsidRDefault="001E46AA" w:rsidP="00794571"/>
          <w:p w:rsidR="001E46AA" w:rsidRDefault="001E46AA" w:rsidP="001E46AA">
            <w:pPr>
              <w:numPr>
                <w:ilvl w:val="0"/>
                <w:numId w:val="40"/>
              </w:numPr>
              <w:spacing w:before="0" w:after="0"/>
            </w:pPr>
            <w:r>
              <w:t>Priority status is considered for recruitment and/or work placement opportunities wherever possible</w:t>
            </w:r>
          </w:p>
          <w:p w:rsidR="001E46AA" w:rsidRPr="005E1F42" w:rsidRDefault="001E46AA" w:rsidP="00794571"/>
        </w:tc>
        <w:tc>
          <w:tcPr>
            <w:tcW w:w="2250" w:type="dxa"/>
            <w:shd w:val="clear" w:color="auto" w:fill="auto"/>
          </w:tcPr>
          <w:p w:rsidR="001E46AA" w:rsidRDefault="001E46AA" w:rsidP="00794571">
            <w:r>
              <w:t>Executive Director</w:t>
            </w:r>
          </w:p>
          <w:p w:rsidR="001E46AA" w:rsidRDefault="001E46AA" w:rsidP="00794571"/>
          <w:p w:rsidR="001E46AA" w:rsidRDefault="001E46AA" w:rsidP="00794571">
            <w:r>
              <w:t>HR Manager</w:t>
            </w:r>
          </w:p>
          <w:p w:rsidR="001E46AA" w:rsidRDefault="001E46AA" w:rsidP="00794571"/>
          <w:p w:rsidR="001E46AA" w:rsidRDefault="001E46AA" w:rsidP="00794571"/>
          <w:p w:rsidR="001E46AA" w:rsidRDefault="001E46AA" w:rsidP="00794571"/>
          <w:p w:rsidR="001E46AA" w:rsidRDefault="001E46AA" w:rsidP="00794571"/>
          <w:p w:rsidR="001E46AA" w:rsidRDefault="001E46AA" w:rsidP="00794571">
            <w:r>
              <w:t>HR Manager</w:t>
            </w:r>
          </w:p>
          <w:p w:rsidR="001E46AA" w:rsidRDefault="001E46AA" w:rsidP="00794571"/>
          <w:p w:rsidR="001E46AA" w:rsidRPr="005E1F42" w:rsidRDefault="001E46AA" w:rsidP="00794571"/>
        </w:tc>
        <w:tc>
          <w:tcPr>
            <w:tcW w:w="1995" w:type="dxa"/>
            <w:shd w:val="clear" w:color="auto" w:fill="auto"/>
          </w:tcPr>
          <w:p w:rsidR="001E46AA" w:rsidRDefault="001E46AA" w:rsidP="00794571">
            <w:r>
              <w:lastRenderedPageBreak/>
              <w:t>July 2014</w:t>
            </w:r>
          </w:p>
          <w:p w:rsidR="001E46AA" w:rsidRDefault="001E46AA" w:rsidP="00794571"/>
          <w:p w:rsidR="001E46AA" w:rsidRDefault="001E46AA" w:rsidP="00794571"/>
          <w:p w:rsidR="001E46AA" w:rsidRDefault="001E46AA" w:rsidP="00794571">
            <w:r>
              <w:t>July 2014</w:t>
            </w:r>
          </w:p>
          <w:p w:rsidR="001E46AA" w:rsidRDefault="001E46AA" w:rsidP="00794571"/>
          <w:p w:rsidR="001E46AA" w:rsidRDefault="001E46AA" w:rsidP="00794571"/>
          <w:p w:rsidR="001E46AA" w:rsidRDefault="001E46AA" w:rsidP="00794571"/>
          <w:p w:rsidR="001E46AA" w:rsidRDefault="00C5250F" w:rsidP="00794571">
            <w:r>
              <w:t>Ongoing</w:t>
            </w:r>
          </w:p>
          <w:p w:rsidR="001E46AA" w:rsidRPr="005E1F42" w:rsidRDefault="001E46AA" w:rsidP="00794571"/>
        </w:tc>
        <w:tc>
          <w:tcPr>
            <w:tcW w:w="2428" w:type="dxa"/>
            <w:shd w:val="clear" w:color="auto" w:fill="auto"/>
          </w:tcPr>
          <w:p w:rsidR="001E46AA" w:rsidRDefault="001E46AA" w:rsidP="00794571">
            <w:r>
              <w:t>Strategic Plan implemented</w:t>
            </w:r>
          </w:p>
          <w:p w:rsidR="001E46AA" w:rsidRDefault="001E46AA" w:rsidP="00794571"/>
          <w:p w:rsidR="001E46AA" w:rsidRDefault="001E46AA" w:rsidP="00794571">
            <w:r>
              <w:t>Diversity considered through change management processes and any proposed structural change</w:t>
            </w:r>
          </w:p>
          <w:p w:rsidR="001E46AA" w:rsidRPr="005E1F42" w:rsidRDefault="001E46AA">
            <w:r>
              <w:t>Internship intake prioritises target groups and statistics reflect accessible process</w:t>
            </w:r>
          </w:p>
        </w:tc>
        <w:tc>
          <w:tcPr>
            <w:tcW w:w="2173" w:type="dxa"/>
            <w:shd w:val="clear" w:color="auto" w:fill="auto"/>
          </w:tcPr>
          <w:p w:rsidR="001E46AA" w:rsidRPr="005E1F42" w:rsidRDefault="001E46AA" w:rsidP="00794571"/>
        </w:tc>
      </w:tr>
      <w:tr w:rsidR="001E46AA" w:rsidRPr="00543380" w:rsidTr="00794571">
        <w:tc>
          <w:tcPr>
            <w:tcW w:w="2069" w:type="dxa"/>
            <w:shd w:val="clear" w:color="auto" w:fill="auto"/>
          </w:tcPr>
          <w:p w:rsidR="001E46AA" w:rsidRPr="00543380" w:rsidRDefault="001E46AA" w:rsidP="00794571">
            <w:pPr>
              <w:rPr>
                <w:b/>
                <w:sz w:val="28"/>
                <w:szCs w:val="28"/>
              </w:rPr>
            </w:pPr>
            <w:r>
              <w:rPr>
                <w:b/>
                <w:sz w:val="28"/>
                <w:szCs w:val="28"/>
              </w:rPr>
              <w:lastRenderedPageBreak/>
              <w:t>Connecting</w:t>
            </w:r>
          </w:p>
        </w:tc>
        <w:tc>
          <w:tcPr>
            <w:tcW w:w="3871" w:type="dxa"/>
            <w:shd w:val="clear" w:color="auto" w:fill="auto"/>
          </w:tcPr>
          <w:p w:rsidR="001E46AA" w:rsidRDefault="001E46AA" w:rsidP="001E46AA">
            <w:pPr>
              <w:numPr>
                <w:ilvl w:val="0"/>
                <w:numId w:val="40"/>
              </w:numPr>
              <w:spacing w:before="0" w:after="0"/>
            </w:pPr>
            <w:r>
              <w:t>Membership of and participation in the Australian Employers Network on Disability</w:t>
            </w:r>
          </w:p>
          <w:p w:rsidR="001E46AA" w:rsidRDefault="001E46AA" w:rsidP="001E46AA">
            <w:pPr>
              <w:numPr>
                <w:ilvl w:val="0"/>
                <w:numId w:val="40"/>
              </w:numPr>
              <w:spacing w:before="0" w:after="0"/>
            </w:pPr>
            <w:r>
              <w:t>Membership and participation in NEEOPA</w:t>
            </w:r>
          </w:p>
          <w:p w:rsidR="001E46AA" w:rsidRDefault="001E46AA" w:rsidP="001E46AA">
            <w:pPr>
              <w:numPr>
                <w:ilvl w:val="0"/>
                <w:numId w:val="40"/>
              </w:numPr>
              <w:spacing w:before="0" w:after="0"/>
            </w:pPr>
            <w:r>
              <w:t>Partnerships/exchanges considered between NHRI’s and/or domestic organisations such as other agencies, NGO’s, indigenous organisations or CLC’s.</w:t>
            </w:r>
          </w:p>
          <w:p w:rsidR="001E46AA" w:rsidRDefault="001E46AA" w:rsidP="001E46AA">
            <w:pPr>
              <w:numPr>
                <w:ilvl w:val="0"/>
                <w:numId w:val="40"/>
              </w:numPr>
              <w:spacing w:before="0" w:after="0"/>
            </w:pPr>
            <w:r>
              <w:t xml:space="preserve">Recruitment advertising encourages applicants with diverse backgrounds </w:t>
            </w:r>
          </w:p>
          <w:p w:rsidR="001E46AA" w:rsidRDefault="001E46AA" w:rsidP="00794571"/>
          <w:p w:rsidR="001E46AA" w:rsidRDefault="001E46AA" w:rsidP="001E46AA">
            <w:pPr>
              <w:numPr>
                <w:ilvl w:val="0"/>
                <w:numId w:val="40"/>
              </w:numPr>
              <w:spacing w:before="0" w:after="0"/>
            </w:pPr>
            <w:r>
              <w:t>Support attendance at cultural events eg GARMA</w:t>
            </w:r>
          </w:p>
          <w:p w:rsidR="008147F6" w:rsidRDefault="008147F6" w:rsidP="0090608B">
            <w:pPr>
              <w:spacing w:before="0" w:after="0"/>
            </w:pPr>
          </w:p>
          <w:p w:rsidR="008147F6" w:rsidRDefault="008147F6" w:rsidP="0090608B">
            <w:pPr>
              <w:pStyle w:val="ListParagraph"/>
              <w:numPr>
                <w:ilvl w:val="0"/>
                <w:numId w:val="40"/>
              </w:numPr>
              <w:spacing w:before="0" w:after="0"/>
            </w:pPr>
            <w:r>
              <w:t>Encourage staff attendance at Rights Talks with diversity related themes</w:t>
            </w:r>
          </w:p>
          <w:p w:rsidR="001E46AA" w:rsidRDefault="001E46AA" w:rsidP="00794571"/>
        </w:tc>
        <w:tc>
          <w:tcPr>
            <w:tcW w:w="2250" w:type="dxa"/>
            <w:shd w:val="clear" w:color="auto" w:fill="auto"/>
          </w:tcPr>
          <w:p w:rsidR="001E46AA" w:rsidRDefault="001E46AA" w:rsidP="00794571">
            <w:r>
              <w:lastRenderedPageBreak/>
              <w:t>HR</w:t>
            </w:r>
          </w:p>
          <w:p w:rsidR="001E46AA" w:rsidRDefault="001E46AA" w:rsidP="00794571"/>
          <w:p w:rsidR="001E46AA" w:rsidRDefault="001E46AA" w:rsidP="00794571">
            <w:r>
              <w:t>HR</w:t>
            </w:r>
          </w:p>
          <w:p w:rsidR="001E46AA" w:rsidRDefault="001E46AA" w:rsidP="00794571">
            <w:r>
              <w:t>Policy, ICS, Legal</w:t>
            </w:r>
          </w:p>
          <w:p w:rsidR="001E46AA" w:rsidRDefault="001E46AA" w:rsidP="00794571"/>
          <w:p w:rsidR="001E46AA" w:rsidRDefault="001E46AA" w:rsidP="00794571"/>
          <w:p w:rsidR="00946D9F" w:rsidRDefault="00946D9F" w:rsidP="00794571"/>
          <w:p w:rsidR="008147F6" w:rsidRDefault="001E46AA" w:rsidP="00794571">
            <w:r>
              <w:t>All Managers</w:t>
            </w:r>
          </w:p>
          <w:p w:rsidR="008147F6" w:rsidRDefault="008147F6" w:rsidP="00794571"/>
          <w:p w:rsidR="008147F6" w:rsidRDefault="008147F6" w:rsidP="00794571"/>
          <w:p w:rsidR="001E46AA" w:rsidRDefault="00946D9F" w:rsidP="00794571">
            <w:r>
              <w:t>ED</w:t>
            </w:r>
          </w:p>
          <w:p w:rsidR="00946D9F" w:rsidRDefault="00946D9F" w:rsidP="00794571"/>
          <w:p w:rsidR="001E46AA" w:rsidRDefault="008147F6" w:rsidP="00794571">
            <w:r>
              <w:t>All Managers</w:t>
            </w:r>
          </w:p>
        </w:tc>
        <w:tc>
          <w:tcPr>
            <w:tcW w:w="1995" w:type="dxa"/>
            <w:shd w:val="clear" w:color="auto" w:fill="auto"/>
          </w:tcPr>
          <w:p w:rsidR="001E46AA" w:rsidRDefault="001E46AA" w:rsidP="00794571">
            <w:r>
              <w:t>Ongoing</w:t>
            </w:r>
          </w:p>
          <w:p w:rsidR="001E46AA" w:rsidRDefault="001E46AA" w:rsidP="00794571"/>
          <w:p w:rsidR="001E46AA" w:rsidRDefault="001E46AA" w:rsidP="00794571">
            <w:r>
              <w:t>Ongoing</w:t>
            </w:r>
          </w:p>
          <w:p w:rsidR="001E46AA" w:rsidRDefault="001E46AA" w:rsidP="00794571">
            <w:r>
              <w:t>As opportunities arise</w:t>
            </w:r>
          </w:p>
          <w:p w:rsidR="001E46AA" w:rsidRDefault="001E46AA" w:rsidP="00794571"/>
          <w:p w:rsidR="00946D9F" w:rsidRDefault="00946D9F" w:rsidP="00794571"/>
          <w:p w:rsidR="008147F6" w:rsidRDefault="00946D9F" w:rsidP="00794571">
            <w:r>
              <w:t>Ongoing</w:t>
            </w:r>
          </w:p>
          <w:p w:rsidR="008147F6" w:rsidRDefault="008147F6" w:rsidP="00794571"/>
          <w:p w:rsidR="008147F6" w:rsidRDefault="008147F6" w:rsidP="00794571"/>
          <w:p w:rsidR="008147F6" w:rsidRDefault="008147F6" w:rsidP="00794571">
            <w:r>
              <w:t>Annually</w:t>
            </w:r>
          </w:p>
          <w:p w:rsidR="008147F6" w:rsidRDefault="008147F6" w:rsidP="00794571"/>
          <w:p w:rsidR="008147F6" w:rsidRDefault="008147F6" w:rsidP="00794571">
            <w:r>
              <w:t>As opportunities arise</w:t>
            </w:r>
          </w:p>
        </w:tc>
        <w:tc>
          <w:tcPr>
            <w:tcW w:w="2428" w:type="dxa"/>
            <w:shd w:val="clear" w:color="auto" w:fill="auto"/>
          </w:tcPr>
          <w:p w:rsidR="001E46AA" w:rsidRDefault="001E46AA" w:rsidP="00794571">
            <w:r>
              <w:t>Attendance at meetings</w:t>
            </w:r>
          </w:p>
          <w:p w:rsidR="001E46AA" w:rsidRDefault="001E46AA" w:rsidP="00794571">
            <w:r>
              <w:t>Attendance at meetings</w:t>
            </w:r>
          </w:p>
          <w:p w:rsidR="001E46AA" w:rsidRDefault="001E46AA" w:rsidP="00794571">
            <w:r>
              <w:t>Number of arrangements facilitated</w:t>
            </w:r>
          </w:p>
          <w:p w:rsidR="001E46AA" w:rsidRDefault="001E46AA" w:rsidP="00794571"/>
          <w:p w:rsidR="001E46AA" w:rsidRDefault="001E46AA" w:rsidP="00794571">
            <w:r>
              <w:t>Diversity monitored where disclosed.</w:t>
            </w:r>
          </w:p>
          <w:p w:rsidR="00946D9F" w:rsidRDefault="00946D9F" w:rsidP="00794571"/>
          <w:p w:rsidR="001E46AA" w:rsidRDefault="001E46AA" w:rsidP="00794571"/>
          <w:p w:rsidR="001E46AA" w:rsidRDefault="00946D9F" w:rsidP="00794571">
            <w:r>
              <w:t>Attendance monitored</w:t>
            </w:r>
          </w:p>
          <w:p w:rsidR="00946D9F" w:rsidRDefault="00946D9F" w:rsidP="00794571"/>
          <w:p w:rsidR="008147F6" w:rsidRDefault="008147F6" w:rsidP="00794571">
            <w:r>
              <w:t>Attendance at events</w:t>
            </w:r>
          </w:p>
        </w:tc>
        <w:tc>
          <w:tcPr>
            <w:tcW w:w="2173" w:type="dxa"/>
            <w:shd w:val="clear" w:color="auto" w:fill="auto"/>
          </w:tcPr>
          <w:p w:rsidR="001E46AA" w:rsidRPr="005E1F42" w:rsidRDefault="001E46AA" w:rsidP="00794571"/>
        </w:tc>
      </w:tr>
      <w:tr w:rsidR="001E46AA" w:rsidRPr="00543380" w:rsidTr="00794571">
        <w:tc>
          <w:tcPr>
            <w:tcW w:w="2069" w:type="dxa"/>
            <w:shd w:val="clear" w:color="auto" w:fill="auto"/>
          </w:tcPr>
          <w:p w:rsidR="001E46AA" w:rsidRPr="00543380" w:rsidRDefault="001E46AA" w:rsidP="00794571">
            <w:pPr>
              <w:rPr>
                <w:b/>
                <w:sz w:val="28"/>
                <w:szCs w:val="28"/>
              </w:rPr>
            </w:pPr>
            <w:r>
              <w:rPr>
                <w:b/>
                <w:sz w:val="28"/>
                <w:szCs w:val="28"/>
              </w:rPr>
              <w:lastRenderedPageBreak/>
              <w:t>Sharing</w:t>
            </w:r>
          </w:p>
        </w:tc>
        <w:tc>
          <w:tcPr>
            <w:tcW w:w="3871" w:type="dxa"/>
            <w:shd w:val="clear" w:color="auto" w:fill="auto"/>
          </w:tcPr>
          <w:p w:rsidR="001E46AA" w:rsidRDefault="001E46AA" w:rsidP="001E46AA">
            <w:pPr>
              <w:numPr>
                <w:ilvl w:val="0"/>
                <w:numId w:val="40"/>
              </w:numPr>
              <w:spacing w:before="0" w:after="0"/>
            </w:pPr>
            <w:r>
              <w:t>Accessible and current  intranet</w:t>
            </w:r>
          </w:p>
          <w:p w:rsidR="001E46AA" w:rsidRDefault="001E46AA" w:rsidP="00794571"/>
          <w:p w:rsidR="001E46AA" w:rsidRDefault="001E46AA" w:rsidP="001E46AA">
            <w:pPr>
              <w:numPr>
                <w:ilvl w:val="0"/>
                <w:numId w:val="40"/>
              </w:numPr>
              <w:spacing w:before="0" w:after="0"/>
            </w:pPr>
            <w:r>
              <w:t>Encourage disclosure of EEO status</w:t>
            </w:r>
          </w:p>
          <w:p w:rsidR="001E46AA" w:rsidRDefault="001E46AA" w:rsidP="00794571"/>
          <w:p w:rsidR="001E46AA" w:rsidRDefault="001E46AA" w:rsidP="001E46AA">
            <w:pPr>
              <w:numPr>
                <w:ilvl w:val="0"/>
                <w:numId w:val="41"/>
              </w:numPr>
              <w:spacing w:before="0" w:after="0"/>
            </w:pPr>
            <w:r>
              <w:t>Encourage responses to State of the Service survey</w:t>
            </w:r>
          </w:p>
          <w:p w:rsidR="001E46AA" w:rsidRDefault="001E46AA" w:rsidP="00794571"/>
          <w:p w:rsidR="001E46AA" w:rsidRDefault="001E46AA" w:rsidP="001E46AA">
            <w:pPr>
              <w:numPr>
                <w:ilvl w:val="0"/>
                <w:numId w:val="41"/>
              </w:numPr>
              <w:spacing w:before="0" w:after="0"/>
            </w:pPr>
            <w:r>
              <w:t>Regular ‘At Home with HR’ sessions on workplace diversity and flexibility</w:t>
            </w:r>
          </w:p>
          <w:p w:rsidR="001E46AA" w:rsidRDefault="001E46AA" w:rsidP="00794571"/>
          <w:p w:rsidR="001E46AA" w:rsidRDefault="001E46AA" w:rsidP="001E46AA">
            <w:pPr>
              <w:numPr>
                <w:ilvl w:val="0"/>
                <w:numId w:val="41"/>
              </w:numPr>
              <w:spacing w:before="0" w:after="0"/>
            </w:pPr>
            <w:r>
              <w:t xml:space="preserve">Workplace Reasonable Adjustment Policy promulgated </w:t>
            </w:r>
          </w:p>
          <w:p w:rsidR="001E46AA" w:rsidRPr="005E1F42" w:rsidRDefault="001E46AA" w:rsidP="00794571"/>
        </w:tc>
        <w:tc>
          <w:tcPr>
            <w:tcW w:w="2250" w:type="dxa"/>
            <w:shd w:val="clear" w:color="auto" w:fill="auto"/>
          </w:tcPr>
          <w:p w:rsidR="001E46AA" w:rsidRDefault="001E46AA" w:rsidP="00794571">
            <w:r>
              <w:t>Internal Communications Team</w:t>
            </w:r>
          </w:p>
          <w:p w:rsidR="001E46AA" w:rsidRDefault="001E46AA" w:rsidP="00794571">
            <w:r>
              <w:t xml:space="preserve">HR </w:t>
            </w:r>
          </w:p>
          <w:p w:rsidR="001E46AA" w:rsidRDefault="001E46AA" w:rsidP="00794571"/>
          <w:p w:rsidR="001E46AA" w:rsidRDefault="001E46AA" w:rsidP="00794571"/>
          <w:p w:rsidR="001E46AA" w:rsidRDefault="001E46AA" w:rsidP="00794571">
            <w:r>
              <w:t>HR</w:t>
            </w:r>
          </w:p>
          <w:p w:rsidR="001E46AA" w:rsidRDefault="001E46AA" w:rsidP="00794571"/>
          <w:p w:rsidR="001E46AA" w:rsidRDefault="001E46AA" w:rsidP="00794571"/>
          <w:p w:rsidR="001E46AA" w:rsidRDefault="001E46AA" w:rsidP="00794571">
            <w:r>
              <w:t>HR</w:t>
            </w:r>
          </w:p>
          <w:p w:rsidR="001E46AA" w:rsidRDefault="001E46AA" w:rsidP="00794571"/>
          <w:p w:rsidR="001E46AA" w:rsidRPr="005E1F42" w:rsidRDefault="001E46AA" w:rsidP="00794571">
            <w:r>
              <w:t>HR</w:t>
            </w:r>
          </w:p>
        </w:tc>
        <w:tc>
          <w:tcPr>
            <w:tcW w:w="1995" w:type="dxa"/>
            <w:shd w:val="clear" w:color="auto" w:fill="auto"/>
          </w:tcPr>
          <w:p w:rsidR="001E46AA" w:rsidRDefault="001E46AA" w:rsidP="00794571">
            <w:r>
              <w:t>June 2014</w:t>
            </w:r>
          </w:p>
          <w:p w:rsidR="001E46AA" w:rsidRDefault="001E46AA" w:rsidP="00794571"/>
          <w:p w:rsidR="001E46AA" w:rsidRDefault="001E46AA" w:rsidP="00794571">
            <w:r>
              <w:t>January 2015</w:t>
            </w:r>
          </w:p>
          <w:p w:rsidR="001E46AA" w:rsidRDefault="001E46AA" w:rsidP="00794571"/>
          <w:p w:rsidR="001E46AA" w:rsidRDefault="001E46AA" w:rsidP="00794571"/>
          <w:p w:rsidR="001E46AA" w:rsidRDefault="001E46AA" w:rsidP="00794571">
            <w:r>
              <w:t>May 2014</w:t>
            </w:r>
          </w:p>
          <w:p w:rsidR="001E46AA" w:rsidRDefault="001E46AA" w:rsidP="00794571"/>
          <w:p w:rsidR="001E46AA" w:rsidRDefault="001E46AA" w:rsidP="00794571"/>
          <w:p w:rsidR="001E46AA" w:rsidRDefault="001E46AA" w:rsidP="00794571">
            <w:r>
              <w:t>As issues arise</w:t>
            </w:r>
          </w:p>
          <w:p w:rsidR="001E46AA" w:rsidRDefault="001E46AA" w:rsidP="00794571"/>
          <w:p w:rsidR="001E46AA" w:rsidRDefault="001E46AA" w:rsidP="00794571"/>
          <w:p w:rsidR="001E46AA" w:rsidRDefault="001E46AA" w:rsidP="00794571">
            <w:r>
              <w:t>September 2014</w:t>
            </w:r>
          </w:p>
          <w:p w:rsidR="001E46AA" w:rsidRPr="005E1F42" w:rsidRDefault="001E46AA" w:rsidP="00794571"/>
        </w:tc>
        <w:tc>
          <w:tcPr>
            <w:tcW w:w="2428" w:type="dxa"/>
            <w:shd w:val="clear" w:color="auto" w:fill="auto"/>
          </w:tcPr>
          <w:p w:rsidR="001E46AA" w:rsidRDefault="001E46AA" w:rsidP="00794571">
            <w:r>
              <w:t>Intranet  revised and evaluated by staff</w:t>
            </w:r>
          </w:p>
          <w:p w:rsidR="001E46AA" w:rsidRDefault="001E46AA" w:rsidP="00794571">
            <w:r>
              <w:t>Percentage of staff completing  EEO data forms</w:t>
            </w:r>
          </w:p>
          <w:p w:rsidR="001E46AA" w:rsidRDefault="001E46AA" w:rsidP="00794571"/>
          <w:p w:rsidR="001E46AA" w:rsidRDefault="001E46AA" w:rsidP="00794571">
            <w:r>
              <w:t>Percentage of staff completing SoS</w:t>
            </w:r>
          </w:p>
          <w:p w:rsidR="001E46AA" w:rsidRDefault="001E46AA" w:rsidP="00794571"/>
          <w:p w:rsidR="001E46AA" w:rsidRDefault="001E46AA" w:rsidP="00794571">
            <w:r>
              <w:t>Attendance levels and/or requests for topic  information</w:t>
            </w:r>
          </w:p>
          <w:p w:rsidR="001E46AA" w:rsidRDefault="001E46AA" w:rsidP="00794571"/>
          <w:p w:rsidR="001E46AA" w:rsidRDefault="001E46AA" w:rsidP="00794571">
            <w:r>
              <w:t>Policy implemented and At Home with HR session conducted</w:t>
            </w:r>
          </w:p>
          <w:p w:rsidR="001E46AA" w:rsidRPr="005E1F42" w:rsidRDefault="001E46AA" w:rsidP="00794571"/>
        </w:tc>
        <w:tc>
          <w:tcPr>
            <w:tcW w:w="2173" w:type="dxa"/>
            <w:shd w:val="clear" w:color="auto" w:fill="auto"/>
          </w:tcPr>
          <w:p w:rsidR="001E46AA" w:rsidRPr="005E1F42" w:rsidRDefault="001E46AA" w:rsidP="00794571"/>
        </w:tc>
      </w:tr>
      <w:tr w:rsidR="001E46AA" w:rsidRPr="00543380" w:rsidTr="00794571">
        <w:tc>
          <w:tcPr>
            <w:tcW w:w="2069" w:type="dxa"/>
            <w:shd w:val="clear" w:color="auto" w:fill="auto"/>
          </w:tcPr>
          <w:p w:rsidR="001E46AA" w:rsidRPr="00543380" w:rsidRDefault="001E46AA" w:rsidP="00794571">
            <w:pPr>
              <w:rPr>
                <w:b/>
                <w:sz w:val="28"/>
                <w:szCs w:val="28"/>
              </w:rPr>
            </w:pPr>
            <w:r>
              <w:rPr>
                <w:b/>
                <w:sz w:val="28"/>
                <w:szCs w:val="28"/>
              </w:rPr>
              <w:lastRenderedPageBreak/>
              <w:t>Learning</w:t>
            </w:r>
          </w:p>
        </w:tc>
        <w:tc>
          <w:tcPr>
            <w:tcW w:w="3871" w:type="dxa"/>
            <w:shd w:val="clear" w:color="auto" w:fill="auto"/>
          </w:tcPr>
          <w:p w:rsidR="001E46AA" w:rsidRDefault="001E46AA" w:rsidP="001E46AA">
            <w:pPr>
              <w:numPr>
                <w:ilvl w:val="0"/>
                <w:numId w:val="41"/>
              </w:numPr>
              <w:spacing w:before="0" w:after="0"/>
            </w:pPr>
            <w:r>
              <w:t xml:space="preserve">Cultural Competence training </w:t>
            </w:r>
          </w:p>
          <w:p w:rsidR="001E46AA" w:rsidRDefault="001E46AA" w:rsidP="001E46AA">
            <w:pPr>
              <w:numPr>
                <w:ilvl w:val="0"/>
                <w:numId w:val="41"/>
              </w:numPr>
              <w:spacing w:before="0" w:after="0"/>
            </w:pPr>
            <w:r>
              <w:t>Induction includes e-learning cultural awareness modules</w:t>
            </w:r>
          </w:p>
          <w:p w:rsidR="001E46AA" w:rsidRDefault="001E46AA" w:rsidP="00794571"/>
          <w:p w:rsidR="001E46AA" w:rsidRDefault="001E46AA" w:rsidP="001E46AA">
            <w:pPr>
              <w:numPr>
                <w:ilvl w:val="0"/>
                <w:numId w:val="41"/>
              </w:numPr>
              <w:spacing w:before="0" w:after="0"/>
            </w:pPr>
            <w:r>
              <w:t>Induction training incorporates diversity</w:t>
            </w:r>
          </w:p>
          <w:p w:rsidR="001E46AA" w:rsidRDefault="001E46AA" w:rsidP="00794571"/>
          <w:p w:rsidR="001E46AA" w:rsidRDefault="001E46AA" w:rsidP="001E46AA">
            <w:pPr>
              <w:numPr>
                <w:ilvl w:val="0"/>
                <w:numId w:val="41"/>
              </w:numPr>
              <w:spacing w:before="0" w:after="0"/>
            </w:pPr>
            <w:r>
              <w:t>Create awareness and understanding around intergenerational issues</w:t>
            </w:r>
          </w:p>
          <w:p w:rsidR="001E46AA" w:rsidRPr="005E1F42" w:rsidRDefault="001E46AA" w:rsidP="00794571"/>
        </w:tc>
        <w:tc>
          <w:tcPr>
            <w:tcW w:w="2250" w:type="dxa"/>
            <w:shd w:val="clear" w:color="auto" w:fill="auto"/>
          </w:tcPr>
          <w:p w:rsidR="001E46AA" w:rsidRDefault="001E46AA" w:rsidP="00794571">
            <w:r>
              <w:t>External</w:t>
            </w:r>
          </w:p>
          <w:p w:rsidR="001E46AA" w:rsidRDefault="001E46AA" w:rsidP="00794571">
            <w:r>
              <w:t xml:space="preserve">HR </w:t>
            </w:r>
          </w:p>
          <w:p w:rsidR="001E46AA" w:rsidRDefault="001E46AA" w:rsidP="00794571"/>
          <w:p w:rsidR="001E46AA" w:rsidRDefault="001E46AA" w:rsidP="00794571"/>
          <w:p w:rsidR="001E46AA" w:rsidRDefault="001E46AA" w:rsidP="00794571">
            <w:r>
              <w:t xml:space="preserve">HR </w:t>
            </w:r>
          </w:p>
          <w:p w:rsidR="001E46AA" w:rsidRDefault="001E46AA" w:rsidP="00794571"/>
          <w:p w:rsidR="001E46AA" w:rsidRDefault="001E46AA" w:rsidP="00794571"/>
          <w:p w:rsidR="001E46AA" w:rsidRDefault="001E46AA" w:rsidP="00794571">
            <w:r>
              <w:t>HR Manager</w:t>
            </w:r>
          </w:p>
          <w:p w:rsidR="001E46AA" w:rsidRPr="005E1F42" w:rsidRDefault="001E46AA" w:rsidP="00794571"/>
        </w:tc>
        <w:tc>
          <w:tcPr>
            <w:tcW w:w="1995" w:type="dxa"/>
            <w:shd w:val="clear" w:color="auto" w:fill="auto"/>
          </w:tcPr>
          <w:p w:rsidR="001E46AA" w:rsidRDefault="001E46AA" w:rsidP="00794571">
            <w:r>
              <w:t>September 2014</w:t>
            </w:r>
          </w:p>
          <w:p w:rsidR="001E46AA" w:rsidRDefault="001E46AA" w:rsidP="00794571">
            <w:r>
              <w:t>June 2014</w:t>
            </w:r>
          </w:p>
          <w:p w:rsidR="001E46AA" w:rsidRDefault="001E46AA" w:rsidP="00794571"/>
          <w:p w:rsidR="001E46AA" w:rsidRDefault="001E46AA" w:rsidP="00794571"/>
          <w:p w:rsidR="001E46AA" w:rsidRDefault="001E46AA" w:rsidP="00794571">
            <w:r>
              <w:t>September 2014</w:t>
            </w:r>
          </w:p>
          <w:p w:rsidR="001E46AA" w:rsidRDefault="001E46AA" w:rsidP="00794571"/>
          <w:p w:rsidR="001E46AA" w:rsidRDefault="001E46AA" w:rsidP="00794571"/>
          <w:p w:rsidR="001E46AA" w:rsidRDefault="001E46AA" w:rsidP="00794571">
            <w:r>
              <w:t>Ongoing</w:t>
            </w:r>
          </w:p>
          <w:p w:rsidR="001E46AA" w:rsidRPr="005E1F42" w:rsidRDefault="001E46AA" w:rsidP="00794571"/>
        </w:tc>
        <w:tc>
          <w:tcPr>
            <w:tcW w:w="2428" w:type="dxa"/>
            <w:shd w:val="clear" w:color="auto" w:fill="auto"/>
          </w:tcPr>
          <w:p w:rsidR="001E46AA" w:rsidRDefault="001E46AA" w:rsidP="00794571">
            <w:r>
              <w:t>Training delivered</w:t>
            </w:r>
          </w:p>
          <w:p w:rsidR="001E46AA" w:rsidRDefault="001E46AA" w:rsidP="00794571">
            <w:r>
              <w:t>Modules identified and staff completion within probation period</w:t>
            </w:r>
          </w:p>
          <w:p w:rsidR="001E46AA" w:rsidRDefault="001E46AA" w:rsidP="00794571">
            <w:r>
              <w:t>Inductions delivered</w:t>
            </w:r>
          </w:p>
          <w:p w:rsidR="001E46AA" w:rsidRDefault="001E46AA" w:rsidP="00794571"/>
          <w:p w:rsidR="001E46AA" w:rsidRDefault="001E46AA" w:rsidP="00794571"/>
          <w:p w:rsidR="001E46AA" w:rsidRDefault="001E46AA" w:rsidP="00794571">
            <w:r>
              <w:t>Statistics monitored in target groups</w:t>
            </w:r>
          </w:p>
          <w:p w:rsidR="001E46AA" w:rsidRPr="005E1F42" w:rsidRDefault="001E46AA" w:rsidP="00794571"/>
        </w:tc>
        <w:tc>
          <w:tcPr>
            <w:tcW w:w="2173" w:type="dxa"/>
            <w:shd w:val="clear" w:color="auto" w:fill="auto"/>
          </w:tcPr>
          <w:p w:rsidR="001E46AA" w:rsidRPr="005E1F42" w:rsidRDefault="001E46AA" w:rsidP="00794571"/>
        </w:tc>
      </w:tr>
      <w:tr w:rsidR="001E46AA" w:rsidRPr="00543380" w:rsidTr="00794571">
        <w:tc>
          <w:tcPr>
            <w:tcW w:w="2069" w:type="dxa"/>
            <w:shd w:val="clear" w:color="auto" w:fill="auto"/>
          </w:tcPr>
          <w:p w:rsidR="001E46AA" w:rsidRPr="00543380" w:rsidRDefault="001E46AA" w:rsidP="00794571">
            <w:pPr>
              <w:rPr>
                <w:b/>
                <w:sz w:val="28"/>
                <w:szCs w:val="28"/>
              </w:rPr>
            </w:pPr>
            <w:r>
              <w:rPr>
                <w:b/>
                <w:sz w:val="28"/>
                <w:szCs w:val="28"/>
              </w:rPr>
              <w:t>Creating</w:t>
            </w:r>
          </w:p>
        </w:tc>
        <w:tc>
          <w:tcPr>
            <w:tcW w:w="3871" w:type="dxa"/>
            <w:shd w:val="clear" w:color="auto" w:fill="auto"/>
          </w:tcPr>
          <w:p w:rsidR="001E46AA" w:rsidRDefault="00946D9F" w:rsidP="0090608B">
            <w:pPr>
              <w:pStyle w:val="ListParagraph"/>
              <w:numPr>
                <w:ilvl w:val="0"/>
                <w:numId w:val="45"/>
              </w:numPr>
              <w:ind w:left="766" w:hanging="425"/>
            </w:pPr>
            <w:r>
              <w:t xml:space="preserve">Active use of disability networks for temporary employment opportunities, work experience </w:t>
            </w:r>
            <w:r w:rsidR="004A0CEB">
              <w:t>and mentoring</w:t>
            </w:r>
          </w:p>
          <w:p w:rsidR="001E46AA" w:rsidRDefault="001E46AA" w:rsidP="001E46AA">
            <w:pPr>
              <w:numPr>
                <w:ilvl w:val="0"/>
                <w:numId w:val="40"/>
              </w:numPr>
              <w:spacing w:before="0" w:after="0"/>
            </w:pPr>
            <w:r>
              <w:t xml:space="preserve">Internal and external professional development opportunities supported </w:t>
            </w:r>
          </w:p>
          <w:p w:rsidR="001E46AA" w:rsidRDefault="001E46AA" w:rsidP="00794571"/>
          <w:p w:rsidR="001E46AA" w:rsidRDefault="001E46AA" w:rsidP="001E46AA">
            <w:pPr>
              <w:numPr>
                <w:ilvl w:val="0"/>
                <w:numId w:val="40"/>
              </w:numPr>
              <w:spacing w:before="0" w:after="0"/>
            </w:pPr>
            <w:r>
              <w:t>Enterprise Agreement showcases creativity around workplace flexibility, professional development and leave types to set benchmarks for other APS agencies</w:t>
            </w:r>
          </w:p>
          <w:p w:rsidR="001E46AA" w:rsidRDefault="001E46AA" w:rsidP="001E46AA">
            <w:pPr>
              <w:numPr>
                <w:ilvl w:val="0"/>
                <w:numId w:val="40"/>
              </w:numPr>
              <w:spacing w:before="0" w:after="0"/>
            </w:pPr>
            <w:r>
              <w:t>Support for carer’s under the Carer Recognition act 2010</w:t>
            </w:r>
          </w:p>
          <w:p w:rsidR="001E46AA" w:rsidRDefault="001E46AA" w:rsidP="00794571"/>
          <w:p w:rsidR="001E46AA" w:rsidRDefault="001E46AA" w:rsidP="001E46AA">
            <w:pPr>
              <w:numPr>
                <w:ilvl w:val="0"/>
                <w:numId w:val="41"/>
              </w:numPr>
              <w:spacing w:before="0" w:after="0"/>
            </w:pPr>
            <w:r>
              <w:t>Interview priority for candidates with a disability where selection criteria is met</w:t>
            </w:r>
          </w:p>
          <w:p w:rsidR="001E46AA" w:rsidRDefault="001E46AA" w:rsidP="00794571"/>
          <w:p w:rsidR="001E46AA" w:rsidRDefault="001E46AA" w:rsidP="001E46AA">
            <w:pPr>
              <w:numPr>
                <w:ilvl w:val="0"/>
                <w:numId w:val="41"/>
              </w:numPr>
              <w:spacing w:before="0" w:after="0"/>
            </w:pPr>
            <w:r>
              <w:t>Develop and implement a respectful workplace policy</w:t>
            </w:r>
          </w:p>
          <w:p w:rsidR="001E46AA" w:rsidRDefault="001E46AA" w:rsidP="00794571"/>
          <w:p w:rsidR="001E46AA" w:rsidRDefault="001E46AA" w:rsidP="001E46AA">
            <w:pPr>
              <w:numPr>
                <w:ilvl w:val="0"/>
                <w:numId w:val="41"/>
              </w:numPr>
              <w:spacing w:before="0" w:after="0"/>
            </w:pPr>
            <w:r>
              <w:t xml:space="preserve">Develop and implement a health and wellbeing </w:t>
            </w:r>
            <w:r>
              <w:lastRenderedPageBreak/>
              <w:t>strategy</w:t>
            </w:r>
          </w:p>
          <w:p w:rsidR="001E46AA" w:rsidRDefault="001E46AA" w:rsidP="00794571"/>
          <w:p w:rsidR="001E46AA" w:rsidRPr="005E1F42" w:rsidRDefault="001E46AA" w:rsidP="001E46AA">
            <w:pPr>
              <w:numPr>
                <w:ilvl w:val="0"/>
                <w:numId w:val="41"/>
              </w:numPr>
              <w:spacing w:before="0" w:after="0"/>
            </w:pPr>
            <w:r>
              <w:t>Investigate Graduate Rotation options through portfolio agencies</w:t>
            </w:r>
          </w:p>
        </w:tc>
        <w:tc>
          <w:tcPr>
            <w:tcW w:w="2250" w:type="dxa"/>
            <w:shd w:val="clear" w:color="auto" w:fill="auto"/>
          </w:tcPr>
          <w:p w:rsidR="001E46AA" w:rsidRDefault="001E46AA" w:rsidP="00794571">
            <w:r>
              <w:lastRenderedPageBreak/>
              <w:t>All Managers</w:t>
            </w:r>
          </w:p>
          <w:p w:rsidR="001E46AA" w:rsidRDefault="001E46AA" w:rsidP="00794571"/>
          <w:p w:rsidR="001E46AA" w:rsidRDefault="001E46AA" w:rsidP="00794571"/>
          <w:p w:rsidR="001E46AA" w:rsidRDefault="004604ED" w:rsidP="00794571">
            <w:r>
              <w:t>ED</w:t>
            </w:r>
          </w:p>
          <w:p w:rsidR="001E46AA" w:rsidRDefault="001E46AA" w:rsidP="00794571"/>
          <w:p w:rsidR="001E46AA" w:rsidRDefault="001E46AA" w:rsidP="00794571"/>
          <w:p w:rsidR="00AE393E" w:rsidRDefault="00AE393E" w:rsidP="00794571"/>
          <w:p w:rsidR="00AE393E" w:rsidRDefault="00AE393E" w:rsidP="00794571"/>
          <w:p w:rsidR="00AE393E" w:rsidRDefault="00AE393E" w:rsidP="00794571"/>
          <w:p w:rsidR="001E46AA" w:rsidRDefault="001E46AA" w:rsidP="00794571">
            <w:r>
              <w:t xml:space="preserve">Diversity Committee </w:t>
            </w:r>
          </w:p>
          <w:p w:rsidR="001E46AA" w:rsidRDefault="001E46AA" w:rsidP="00794571"/>
          <w:p w:rsidR="001E46AA" w:rsidRDefault="001E46AA" w:rsidP="00794571"/>
          <w:p w:rsidR="001E46AA" w:rsidRDefault="001E46AA" w:rsidP="00794571">
            <w:r>
              <w:t>SES</w:t>
            </w:r>
          </w:p>
          <w:p w:rsidR="001E46AA" w:rsidRDefault="001E46AA" w:rsidP="00794571"/>
          <w:p w:rsidR="001E46AA" w:rsidRDefault="001E46AA" w:rsidP="00794571"/>
          <w:p w:rsidR="001E46AA" w:rsidRDefault="001E46AA" w:rsidP="00794571">
            <w:r>
              <w:t>HR Manager</w:t>
            </w:r>
          </w:p>
          <w:p w:rsidR="001E46AA" w:rsidRDefault="001E46AA" w:rsidP="00794571"/>
          <w:p w:rsidR="001E46AA" w:rsidRDefault="001E46AA" w:rsidP="00794571"/>
          <w:p w:rsidR="002F429C" w:rsidRDefault="002F429C" w:rsidP="002F429C">
            <w:r>
              <w:t>HR Manager</w:t>
            </w:r>
          </w:p>
          <w:p w:rsidR="001E46AA" w:rsidRDefault="001E46AA" w:rsidP="00794571"/>
          <w:p w:rsidR="001E46AA" w:rsidRDefault="001E46AA" w:rsidP="00794571"/>
          <w:p w:rsidR="001E46AA" w:rsidRDefault="001E46AA" w:rsidP="00794571"/>
          <w:p w:rsidR="001E46AA" w:rsidRDefault="001E46AA" w:rsidP="00794571">
            <w:r>
              <w:t>HR Manager</w:t>
            </w:r>
          </w:p>
          <w:p w:rsidR="001E46AA" w:rsidRPr="005E1F42" w:rsidRDefault="001E46AA" w:rsidP="00794571"/>
        </w:tc>
        <w:tc>
          <w:tcPr>
            <w:tcW w:w="1995" w:type="dxa"/>
            <w:shd w:val="clear" w:color="auto" w:fill="auto"/>
          </w:tcPr>
          <w:p w:rsidR="001E46AA" w:rsidRDefault="001E46AA" w:rsidP="00794571">
            <w:r>
              <w:lastRenderedPageBreak/>
              <w:t>March 2015</w:t>
            </w:r>
          </w:p>
          <w:p w:rsidR="001E46AA" w:rsidRDefault="001E46AA" w:rsidP="00794571"/>
          <w:p w:rsidR="001E46AA" w:rsidRDefault="001E46AA" w:rsidP="00794571"/>
          <w:p w:rsidR="001E46AA" w:rsidRDefault="00AE393E" w:rsidP="00794571">
            <w:r>
              <w:t>Annually</w:t>
            </w:r>
          </w:p>
          <w:p w:rsidR="001E46AA" w:rsidRDefault="001E46AA" w:rsidP="00794571"/>
          <w:p w:rsidR="001E46AA" w:rsidRDefault="001E46AA" w:rsidP="00794571"/>
          <w:p w:rsidR="001E46AA" w:rsidRDefault="001E46AA" w:rsidP="00794571">
            <w:r>
              <w:t>June 2014</w:t>
            </w:r>
          </w:p>
          <w:p w:rsidR="001E46AA" w:rsidRDefault="001E46AA" w:rsidP="00794571"/>
          <w:p w:rsidR="001E46AA" w:rsidRDefault="001E46AA" w:rsidP="00794571"/>
          <w:p w:rsidR="001E46AA" w:rsidRDefault="001E46AA" w:rsidP="00794571">
            <w:r>
              <w:t>June 2015</w:t>
            </w:r>
          </w:p>
          <w:p w:rsidR="001E46AA" w:rsidRDefault="001E46AA" w:rsidP="00794571"/>
          <w:p w:rsidR="001E46AA" w:rsidRDefault="001E46AA" w:rsidP="00794571"/>
          <w:p w:rsidR="001E46AA" w:rsidRDefault="001E46AA" w:rsidP="00794571"/>
          <w:p w:rsidR="001E46AA" w:rsidRDefault="00114A01" w:rsidP="00794571">
            <w:r>
              <w:t xml:space="preserve">Sept </w:t>
            </w:r>
            <w:r w:rsidR="001E46AA">
              <w:t>2014</w:t>
            </w:r>
          </w:p>
          <w:p w:rsidR="001E46AA" w:rsidRDefault="001E46AA" w:rsidP="00794571"/>
          <w:p w:rsidR="001E46AA" w:rsidRDefault="001E46AA" w:rsidP="00794571"/>
          <w:p w:rsidR="00114A01" w:rsidRDefault="00114A01" w:rsidP="00114A01">
            <w:r>
              <w:t>June 2015</w:t>
            </w:r>
          </w:p>
          <w:p w:rsidR="001E46AA" w:rsidRDefault="001E46AA" w:rsidP="00794571"/>
          <w:p w:rsidR="001E46AA" w:rsidRDefault="001E46AA" w:rsidP="00794571"/>
          <w:p w:rsidR="001E46AA" w:rsidRDefault="001E46AA" w:rsidP="00794571">
            <w:r>
              <w:t>September 2015</w:t>
            </w:r>
          </w:p>
          <w:p w:rsidR="001E46AA" w:rsidRDefault="001E46AA" w:rsidP="00794571"/>
          <w:p w:rsidR="00D80F84" w:rsidRDefault="00D80F84" w:rsidP="00794571"/>
          <w:p w:rsidR="00D80F84" w:rsidRDefault="00D80F84" w:rsidP="00794571">
            <w:r>
              <w:t>Ongoing</w:t>
            </w:r>
          </w:p>
          <w:p w:rsidR="001E46AA" w:rsidRPr="005E1F42" w:rsidRDefault="001E46AA"/>
        </w:tc>
        <w:tc>
          <w:tcPr>
            <w:tcW w:w="2428" w:type="dxa"/>
            <w:shd w:val="clear" w:color="auto" w:fill="auto"/>
          </w:tcPr>
          <w:p w:rsidR="001E46AA" w:rsidRDefault="001E46AA" w:rsidP="00794571">
            <w:r>
              <w:lastRenderedPageBreak/>
              <w:t>Increased numbers of candidates sourced and placed</w:t>
            </w:r>
          </w:p>
          <w:p w:rsidR="001E46AA" w:rsidRDefault="001E46AA" w:rsidP="00794571"/>
          <w:p w:rsidR="00AE393E" w:rsidRDefault="00AE393E" w:rsidP="00794571">
            <w:r>
              <w:t>Monitor number of staff supported</w:t>
            </w:r>
          </w:p>
          <w:p w:rsidR="00AE393E" w:rsidRDefault="00AE393E" w:rsidP="00794571"/>
          <w:p w:rsidR="004604ED" w:rsidRDefault="004604ED" w:rsidP="004604ED">
            <w:r>
              <w:lastRenderedPageBreak/>
              <w:t>Enterprise Agreement approved and implemented</w:t>
            </w:r>
          </w:p>
          <w:p w:rsidR="00AE393E" w:rsidRDefault="00AE393E" w:rsidP="004604ED"/>
          <w:p w:rsidR="004604ED" w:rsidRDefault="004604ED" w:rsidP="004604ED">
            <w:r>
              <w:t xml:space="preserve">Number of staff supported </w:t>
            </w:r>
            <w:r w:rsidR="00114A01">
              <w:t>leave monitored</w:t>
            </w:r>
          </w:p>
          <w:p w:rsidR="004604ED" w:rsidRDefault="004604ED" w:rsidP="00794571"/>
          <w:p w:rsidR="00114A01" w:rsidRDefault="00114A01" w:rsidP="00794571"/>
          <w:p w:rsidR="00114A01" w:rsidRDefault="00114A01" w:rsidP="00114A01">
            <w:r>
              <w:t>Increased numbers of candidates sourced and placed</w:t>
            </w:r>
          </w:p>
          <w:p w:rsidR="001E46AA" w:rsidRDefault="001E46AA" w:rsidP="00794571"/>
          <w:p w:rsidR="001E46AA" w:rsidRDefault="001E46AA" w:rsidP="00794571">
            <w:r>
              <w:t>Policies developed and implemented</w:t>
            </w:r>
          </w:p>
          <w:p w:rsidR="001E46AA" w:rsidRDefault="001E46AA" w:rsidP="00794571"/>
          <w:p w:rsidR="00114A01" w:rsidRDefault="00114A01" w:rsidP="00794571"/>
          <w:p w:rsidR="00114A01" w:rsidRDefault="00114A01" w:rsidP="00794571"/>
          <w:p w:rsidR="00D80F84" w:rsidRDefault="00D80F84" w:rsidP="00794571"/>
          <w:p w:rsidR="001E46AA" w:rsidRPr="005E1F42" w:rsidRDefault="001E46AA" w:rsidP="00794571">
            <w:r>
              <w:t>Agreement between agencies</w:t>
            </w:r>
          </w:p>
        </w:tc>
        <w:tc>
          <w:tcPr>
            <w:tcW w:w="2173" w:type="dxa"/>
            <w:shd w:val="clear" w:color="auto" w:fill="auto"/>
          </w:tcPr>
          <w:p w:rsidR="001E46AA" w:rsidRPr="005E1F42" w:rsidRDefault="001E46AA" w:rsidP="00794571"/>
        </w:tc>
      </w:tr>
      <w:tr w:rsidR="001E46AA" w:rsidRPr="005E1F42" w:rsidTr="00794571">
        <w:tc>
          <w:tcPr>
            <w:tcW w:w="2069" w:type="dxa"/>
            <w:tcBorders>
              <w:top w:val="single" w:sz="4" w:space="0" w:color="auto"/>
              <w:left w:val="single" w:sz="4" w:space="0" w:color="auto"/>
              <w:bottom w:val="single" w:sz="4" w:space="0" w:color="auto"/>
              <w:right w:val="single" w:sz="4" w:space="0" w:color="auto"/>
            </w:tcBorders>
            <w:shd w:val="clear" w:color="auto" w:fill="auto"/>
          </w:tcPr>
          <w:p w:rsidR="001E46AA" w:rsidRPr="00543380" w:rsidRDefault="001E46AA" w:rsidP="00794571">
            <w:pPr>
              <w:rPr>
                <w:b/>
                <w:sz w:val="28"/>
                <w:szCs w:val="28"/>
              </w:rPr>
            </w:pPr>
            <w:r w:rsidRPr="00543380">
              <w:rPr>
                <w:b/>
                <w:sz w:val="28"/>
                <w:szCs w:val="28"/>
              </w:rPr>
              <w:lastRenderedPageBreak/>
              <w:t>Monitoring</w:t>
            </w:r>
          </w:p>
        </w:tc>
        <w:tc>
          <w:tcPr>
            <w:tcW w:w="3871" w:type="dxa"/>
            <w:tcBorders>
              <w:top w:val="single" w:sz="4" w:space="0" w:color="auto"/>
              <w:left w:val="single" w:sz="4" w:space="0" w:color="auto"/>
              <w:bottom w:val="single" w:sz="4" w:space="0" w:color="auto"/>
              <w:right w:val="single" w:sz="4" w:space="0" w:color="auto"/>
            </w:tcBorders>
            <w:shd w:val="clear" w:color="auto" w:fill="auto"/>
          </w:tcPr>
          <w:p w:rsidR="001E46AA" w:rsidRDefault="001E46AA" w:rsidP="001E46AA">
            <w:pPr>
              <w:numPr>
                <w:ilvl w:val="0"/>
                <w:numId w:val="41"/>
              </w:numPr>
              <w:spacing w:before="0" w:after="0"/>
            </w:pPr>
            <w:r>
              <w:t>Activity reports provided twice yearly to Commission meetings</w:t>
            </w:r>
          </w:p>
          <w:p w:rsidR="001E46AA" w:rsidRDefault="001E46AA" w:rsidP="001E46AA">
            <w:pPr>
              <w:numPr>
                <w:ilvl w:val="0"/>
                <w:numId w:val="41"/>
              </w:numPr>
              <w:spacing w:before="0" w:after="0"/>
            </w:pPr>
            <w:r>
              <w:t>Data collection on employment of diversity trends including:</w:t>
            </w:r>
          </w:p>
          <w:p w:rsidR="001E46AA" w:rsidRDefault="001E46AA" w:rsidP="001E46AA">
            <w:pPr>
              <w:numPr>
                <w:ilvl w:val="0"/>
                <w:numId w:val="42"/>
              </w:numPr>
              <w:spacing w:before="0" w:after="0"/>
            </w:pPr>
            <w:r>
              <w:t>Flexible working arrangements</w:t>
            </w:r>
          </w:p>
          <w:p w:rsidR="001E46AA" w:rsidRDefault="001E46AA" w:rsidP="001E46AA">
            <w:pPr>
              <w:numPr>
                <w:ilvl w:val="0"/>
                <w:numId w:val="42"/>
              </w:numPr>
              <w:spacing w:before="0" w:after="0"/>
            </w:pPr>
            <w:r>
              <w:t>Employment of target groups</w:t>
            </w:r>
          </w:p>
          <w:p w:rsidR="001E46AA" w:rsidRDefault="001E46AA" w:rsidP="001E46AA">
            <w:pPr>
              <w:numPr>
                <w:ilvl w:val="0"/>
                <w:numId w:val="42"/>
              </w:numPr>
              <w:spacing w:before="0" w:after="0"/>
            </w:pPr>
            <w:r>
              <w:t>Workforce profile</w:t>
            </w:r>
          </w:p>
          <w:p w:rsidR="001E46AA" w:rsidRDefault="001E46AA" w:rsidP="001E46AA">
            <w:pPr>
              <w:numPr>
                <w:ilvl w:val="0"/>
                <w:numId w:val="42"/>
              </w:numPr>
              <w:spacing w:before="0" w:after="0"/>
            </w:pPr>
            <w:r>
              <w:t>Exit information</w:t>
            </w:r>
          </w:p>
          <w:p w:rsidR="001E46AA" w:rsidRDefault="001E46AA" w:rsidP="001E46AA">
            <w:pPr>
              <w:numPr>
                <w:ilvl w:val="0"/>
                <w:numId w:val="42"/>
              </w:numPr>
              <w:spacing w:before="0" w:after="0"/>
            </w:pPr>
            <w:r>
              <w:t>Monitor HCO contacts quarterly</w:t>
            </w:r>
          </w:p>
          <w:p w:rsidR="001E46AA" w:rsidRDefault="001E46AA" w:rsidP="001E46AA">
            <w:pPr>
              <w:numPr>
                <w:ilvl w:val="0"/>
                <w:numId w:val="41"/>
              </w:numPr>
              <w:spacing w:before="0" w:after="0"/>
            </w:pPr>
            <w:r>
              <w:t xml:space="preserve">Monitor implementation of RAP, DAP, AMP </w:t>
            </w:r>
          </w:p>
          <w:p w:rsidR="001E46AA" w:rsidRPr="005E1F42" w:rsidRDefault="001E46AA" w:rsidP="00794571">
            <w:pPr>
              <w:tabs>
                <w:tab w:val="num" w:pos="720"/>
              </w:tabs>
              <w:ind w:left="720" w:hanging="360"/>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1E46AA" w:rsidRDefault="001E46AA" w:rsidP="00794571">
            <w:r>
              <w:t>ED</w:t>
            </w:r>
          </w:p>
          <w:p w:rsidR="001E46AA" w:rsidRDefault="001E46AA" w:rsidP="00794571"/>
          <w:p w:rsidR="001E46AA" w:rsidRDefault="001E46AA" w:rsidP="00794571"/>
          <w:p w:rsidR="001E46AA" w:rsidRDefault="001E46AA" w:rsidP="00794571"/>
          <w:p w:rsidR="001E46AA" w:rsidRDefault="001E46AA" w:rsidP="00794571">
            <w:r>
              <w:t xml:space="preserve">HR Manager </w:t>
            </w:r>
          </w:p>
          <w:p w:rsidR="001E46AA" w:rsidRDefault="001E46AA" w:rsidP="00794571"/>
          <w:p w:rsidR="001E46AA" w:rsidRDefault="001E46AA" w:rsidP="00794571"/>
          <w:p w:rsidR="001E46AA" w:rsidRPr="005E1F42" w:rsidRDefault="001E46AA" w:rsidP="00794571">
            <w:r>
              <w:t>Diversity Committee</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1E46AA" w:rsidRDefault="001E46AA" w:rsidP="00794571">
            <w:r>
              <w:t>Ongoing</w:t>
            </w:r>
          </w:p>
          <w:p w:rsidR="001E46AA" w:rsidRDefault="001E46AA" w:rsidP="00794571"/>
          <w:p w:rsidR="001E46AA" w:rsidRDefault="001E46AA" w:rsidP="00794571"/>
          <w:p w:rsidR="001E46AA" w:rsidRDefault="001E46AA" w:rsidP="00794571"/>
          <w:p w:rsidR="001E46AA" w:rsidRDefault="001E46AA" w:rsidP="00794571">
            <w:r>
              <w:t xml:space="preserve">Ongoing </w:t>
            </w:r>
          </w:p>
          <w:p w:rsidR="001E46AA" w:rsidRDefault="001E46AA" w:rsidP="00794571"/>
          <w:p w:rsidR="001E46AA" w:rsidRDefault="001E46AA" w:rsidP="00794571"/>
          <w:p w:rsidR="001E46AA" w:rsidRPr="005E1F42" w:rsidRDefault="001E46AA" w:rsidP="00794571">
            <w:r>
              <w:t>Quarterly</w:t>
            </w: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1E46AA" w:rsidRDefault="001E46AA" w:rsidP="00794571">
            <w:r>
              <w:t>Evaluated to determine success of new and existing strategies</w:t>
            </w:r>
          </w:p>
          <w:p w:rsidR="001E46AA" w:rsidRDefault="001E46AA" w:rsidP="00794571"/>
          <w:p w:rsidR="001E46AA" w:rsidRDefault="001E46AA" w:rsidP="00794571">
            <w:r>
              <w:t>Data analysed and reported annually</w:t>
            </w:r>
          </w:p>
          <w:p w:rsidR="001E46AA" w:rsidRDefault="001E46AA" w:rsidP="00794571"/>
          <w:p w:rsidR="001E46AA" w:rsidRPr="005E1F42" w:rsidRDefault="001E46AA" w:rsidP="00794571">
            <w:r>
              <w:t>Ensure commitments are on target</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1E46AA" w:rsidRPr="005E1F42" w:rsidRDefault="001E46AA" w:rsidP="00794571"/>
        </w:tc>
      </w:tr>
    </w:tbl>
    <w:p w:rsidR="00EB6A76" w:rsidRPr="00A96892" w:rsidRDefault="00EB6A76" w:rsidP="004459F3"/>
    <w:sectPr w:rsidR="00EB6A76" w:rsidRPr="00A96892" w:rsidSect="00794571">
      <w:pgSz w:w="16838" w:h="11906" w:orient="landscape"/>
      <w:pgMar w:top="1418" w:right="1134" w:bottom="1418" w:left="1134" w:header="709"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CD5" w:rsidRDefault="00866CD5" w:rsidP="00F14C6D">
      <w:r>
        <w:separator/>
      </w:r>
    </w:p>
  </w:endnote>
  <w:endnote w:type="continuationSeparator" w:id="0">
    <w:p w:rsidR="00866CD5" w:rsidRDefault="00866CD5"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D5" w:rsidRPr="0090165F" w:rsidRDefault="00866CD5"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D5" w:rsidRPr="004A187B" w:rsidRDefault="00866CD5" w:rsidP="008B23BC">
    <w:pPr>
      <w:pStyle w:val="Footer"/>
    </w:pPr>
    <w:r>
      <w:rPr>
        <w:noProof/>
      </w:rPr>
      <mc:AlternateContent>
        <mc:Choice Requires="wps">
          <w:drawing>
            <wp:anchor distT="0" distB="0" distL="114300" distR="114300" simplePos="0" relativeHeight="251662336" behindDoc="0" locked="0" layoutInCell="1" allowOverlap="1" wp14:anchorId="08E9B52A" wp14:editId="08D7BFF6">
              <wp:simplePos x="0" y="0"/>
              <wp:positionH relativeFrom="column">
                <wp:posOffset>-548005</wp:posOffset>
              </wp:positionH>
              <wp:positionV relativeFrom="paragraph">
                <wp:posOffset>-1339215</wp:posOffset>
              </wp:positionV>
              <wp:extent cx="6071235" cy="906780"/>
              <wp:effectExtent l="0" t="0" r="571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906780"/>
                      </a:xfrm>
                      <a:prstGeom prst="rect">
                        <a:avLst/>
                      </a:prstGeom>
                      <a:noFill/>
                      <a:ln w="6350">
                        <a:noFill/>
                      </a:ln>
                      <a:effectLst/>
                    </wps:spPr>
                    <wps:txbx>
                      <w:txbxContent>
                        <w:p w:rsidR="00866CD5" w:rsidRPr="0003606D" w:rsidRDefault="00866CD5" w:rsidP="00866CD5">
                          <w:pPr>
                            <w:pStyle w:val="coveraddress"/>
                          </w:pPr>
                          <w:r w:rsidRPr="0003606D">
                            <w:t>ABN 47 996 232 602</w:t>
                          </w:r>
                        </w:p>
                        <w:p w:rsidR="00866CD5" w:rsidRPr="0003606D" w:rsidRDefault="00866CD5" w:rsidP="00866CD5">
                          <w:pPr>
                            <w:pStyle w:val="coveraddress"/>
                          </w:pPr>
                          <w:r w:rsidRPr="0003606D">
                            <w:t>Level 3, 175 Pitt Street, Sydney NSW 2000</w:t>
                          </w:r>
                        </w:p>
                        <w:p w:rsidR="00866CD5" w:rsidRPr="0003606D" w:rsidRDefault="00866CD5" w:rsidP="00866CD5">
                          <w:pPr>
                            <w:pStyle w:val="coveraddress"/>
                          </w:pPr>
                          <w:r w:rsidRPr="0003606D">
                            <w:t>GPO Box 5218, Sydney NSW 2001</w:t>
                          </w:r>
                        </w:p>
                        <w:p w:rsidR="00866CD5" w:rsidRPr="0003606D" w:rsidRDefault="00866CD5" w:rsidP="00866CD5">
                          <w:pPr>
                            <w:pStyle w:val="coveraddress"/>
                          </w:pPr>
                          <w:r w:rsidRPr="0003606D">
                            <w:t>General enquiries 1300 369 711</w:t>
                          </w:r>
                        </w:p>
                        <w:p w:rsidR="00866CD5" w:rsidRPr="0003606D" w:rsidRDefault="00866CD5" w:rsidP="00866CD5">
                          <w:pPr>
                            <w:pStyle w:val="coveraddress"/>
                          </w:pPr>
                          <w:r w:rsidRPr="0003606D">
                            <w:t>Complaints info line 1300 656 419</w:t>
                          </w:r>
                        </w:p>
                        <w:p w:rsidR="00866CD5" w:rsidRPr="0003606D" w:rsidRDefault="00866CD5" w:rsidP="00866CD5">
                          <w:pPr>
                            <w:pStyle w:val="coveraddress"/>
                          </w:pPr>
                          <w:r w:rsidRPr="0003606D">
                            <w:t>TTY 1800 620 241</w:t>
                          </w:r>
                        </w:p>
                        <w:p w:rsidR="00866CD5" w:rsidRPr="00B63D24" w:rsidRDefault="00866CD5" w:rsidP="00866CD5">
                          <w:pPr>
                            <w:pStyle w:val="Footer"/>
                          </w:pPr>
                          <w:r w:rsidRPr="00B63D24">
                            <w:tab/>
                          </w:r>
                        </w:p>
                        <w:p w:rsidR="00866CD5" w:rsidRPr="00B63D24" w:rsidRDefault="00866CD5" w:rsidP="00B63D24">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43.15pt;margin-top:-105.45pt;width:478.05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BnMwIAAGgEAAAOAAAAZHJzL2Uyb0RvYy54bWysVN9v2jAQfp+0/8Hy+0igKi0RoWKtmCah&#10;thJUfTaODdFsn2cbEvbX7+wktOr2NO3FOfu++/ndZX7XakVOwvkaTEnHo5wSYThUtdmX9GW7+nJL&#10;iQ/MVEyBESU9C0/vFp8/zRtbiAkcQFXCEXRifNHYkh5CsEWWeX4QmvkRWGFQKcFpFvDq9lnlWIPe&#10;tcomeT7NGnCVdcCF9/j60CnpIvmXUvDwJKUXgaiSYm4hnS6du3hmizkr9o7ZQ837NNg/ZKFZbTDo&#10;xdUDC4wcXf2HK11zBx5kGHHQGUhZc5FqwGrG+YdqNgdmRaoFm+PtpU3+/7nlj6dnR+qqpDNKDNNI&#10;0Va0gXyFlsxidxrrCwRtLMJCi8/IcqrU2zXwHx4h2TtMZ+ARHbvRSqfjF+skaIgEnC9Nj1E4Pk7z&#10;m/Hk6poSjrpZPr25Taxkb9bW+fBNgCZRKKlDUlMG7LT2IcZnxQCJwQysaqUSscqQBiNcXefJ4KJB&#10;C2UiVqQR6d3EMrrMoxTaXdvXv4PqjOU76MbHW76qMZU18+GZOZwXLAx3IDzhIRVgSOglSg7gfv3t&#10;PeKRRtRS0uD8ldT/PDInKFHfDRIch3UQ3CDsBsEc9T3gSI9xuyxPIhq4oAZROtCvuBrLGAVVzHCM&#10;VdIwiPeh2wJcLS6WywTCkbQsrM3G8oHl2Nht+8qc7bsfkLdHGCaTFR9I6LAdDctjAFknhmJDuy72&#10;44LjnIjrVy/uy/t7Qr39IBa/AQAA//8DAFBLAwQUAAYACAAAACEAOcnz0OEAAAAMAQAADwAAAGRy&#10;cy9kb3ducmV2LnhtbEyPQU/DMAyF70j8h8hI3LakQ6u60nRCSIgTQmyAOGaNabs1Tmmytvx7zAlu&#10;tt/T8/eK7ew6MeIQWk8akqUCgVR521Kt4XX/sMhAhGjIms4TavjGANvy8qIwufUTveC4i7XgEAq5&#10;0dDE2OdShqpBZ8LS90isffrBmcjrUEs7mInDXSdXSqXSmZb4Q2N6vG+wOu3OTsPePx6P07sav57X&#10;9PaB66dTHaPW11fz3S2IiHP8M8MvPqNDyUwHfyYbRKdhkaU3bOVhlagNCLZk6YbbHPiUZgnIspD/&#10;S5Q/AAAA//8DAFBLAQItABQABgAIAAAAIQC2gziS/gAAAOEBAAATAAAAAAAAAAAAAAAAAAAAAABb&#10;Q29udGVudF9UeXBlc10ueG1sUEsBAi0AFAAGAAgAAAAhADj9If/WAAAAlAEAAAsAAAAAAAAAAAAA&#10;AAAALwEAAF9yZWxzLy5yZWxzUEsBAi0AFAAGAAgAAAAhAIaVEGczAgAAaAQAAA4AAAAAAAAAAAAA&#10;AAAALgIAAGRycy9lMm9Eb2MueG1sUEsBAi0AFAAGAAgAAAAhADnJ89DhAAAADAEAAA8AAAAAAAAA&#10;AAAAAAAAjQQAAGRycy9kb3ducmV2LnhtbFBLBQYAAAAABAAEAPMAAACbBQAAAAA=&#10;" filled="f" stroked="f" strokeweight=".5pt">
              <v:path arrowok="t"/>
              <v:textbox inset="0,0,0,0">
                <w:txbxContent>
                  <w:p w:rsidR="00866CD5" w:rsidRPr="0003606D" w:rsidRDefault="00866CD5" w:rsidP="00866CD5">
                    <w:pPr>
                      <w:pStyle w:val="coveraddress"/>
                    </w:pPr>
                    <w:r w:rsidRPr="0003606D">
                      <w:t>ABN 47 996 232 602</w:t>
                    </w:r>
                  </w:p>
                  <w:p w:rsidR="00866CD5" w:rsidRPr="0003606D" w:rsidRDefault="00866CD5" w:rsidP="00866CD5">
                    <w:pPr>
                      <w:pStyle w:val="coveraddress"/>
                    </w:pPr>
                    <w:r w:rsidRPr="0003606D">
                      <w:t>Level 3, 175 Pitt Street, Sydney NSW 2000</w:t>
                    </w:r>
                  </w:p>
                  <w:p w:rsidR="00866CD5" w:rsidRPr="0003606D" w:rsidRDefault="00866CD5" w:rsidP="00866CD5">
                    <w:pPr>
                      <w:pStyle w:val="coveraddress"/>
                    </w:pPr>
                    <w:r w:rsidRPr="0003606D">
                      <w:t>GPO Box 5218, Sydney NSW 2001</w:t>
                    </w:r>
                  </w:p>
                  <w:p w:rsidR="00866CD5" w:rsidRPr="0003606D" w:rsidRDefault="00866CD5" w:rsidP="00866CD5">
                    <w:pPr>
                      <w:pStyle w:val="coveraddress"/>
                    </w:pPr>
                    <w:r w:rsidRPr="0003606D">
                      <w:t>General enquiries 1300 369 711</w:t>
                    </w:r>
                  </w:p>
                  <w:p w:rsidR="00866CD5" w:rsidRPr="0003606D" w:rsidRDefault="00866CD5" w:rsidP="00866CD5">
                    <w:pPr>
                      <w:pStyle w:val="coveraddress"/>
                    </w:pPr>
                    <w:r w:rsidRPr="0003606D">
                      <w:t>Complaints info line 1300 656 419</w:t>
                    </w:r>
                  </w:p>
                  <w:p w:rsidR="00866CD5" w:rsidRPr="0003606D" w:rsidRDefault="00866CD5" w:rsidP="00866CD5">
                    <w:pPr>
                      <w:pStyle w:val="coveraddress"/>
                    </w:pPr>
                    <w:r w:rsidRPr="0003606D">
                      <w:t>TTY 1800 620 241</w:t>
                    </w:r>
                  </w:p>
                  <w:p w:rsidR="00866CD5" w:rsidRPr="00B63D24" w:rsidRDefault="00866CD5" w:rsidP="00866CD5">
                    <w:pPr>
                      <w:pStyle w:val="Footer"/>
                    </w:pPr>
                    <w:r w:rsidRPr="00B63D24">
                      <w:tab/>
                    </w:r>
                  </w:p>
                  <w:p w:rsidR="00866CD5" w:rsidRPr="00B63D24" w:rsidRDefault="00866CD5" w:rsidP="00B63D24">
                    <w:pPr>
                      <w:pStyle w:val="Foo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D5" w:rsidRDefault="00866C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D5" w:rsidRPr="00BA262D" w:rsidRDefault="00866CD5">
    <w:pPr>
      <w:pStyle w:val="Footer"/>
      <w:jc w:val="right"/>
      <w:rPr>
        <w:sz w:val="22"/>
      </w:rPr>
    </w:pPr>
    <w:r w:rsidRPr="00BA262D">
      <w:rPr>
        <w:sz w:val="22"/>
      </w:rPr>
      <w:fldChar w:fldCharType="begin"/>
    </w:r>
    <w:r w:rsidRPr="00BA262D">
      <w:rPr>
        <w:sz w:val="22"/>
      </w:rPr>
      <w:instrText xml:space="preserve"> PAGE   \* MERGEFORMAT </w:instrText>
    </w:r>
    <w:r w:rsidRPr="00BA262D">
      <w:rPr>
        <w:sz w:val="22"/>
      </w:rPr>
      <w:fldChar w:fldCharType="separate"/>
    </w:r>
    <w:r w:rsidR="00004966">
      <w:rPr>
        <w:noProof/>
        <w:sz w:val="22"/>
      </w:rPr>
      <w:t>4</w:t>
    </w:r>
    <w:r w:rsidRPr="00BA262D">
      <w:rPr>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D5" w:rsidRDefault="00866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CD5" w:rsidRDefault="00866CD5" w:rsidP="00F14C6D">
      <w:r>
        <w:separator/>
      </w:r>
    </w:p>
  </w:footnote>
  <w:footnote w:type="continuationSeparator" w:id="0">
    <w:p w:rsidR="00866CD5" w:rsidRDefault="00866CD5"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D5" w:rsidRDefault="000049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4098" type="#_x0000_t75" style="position:absolute;margin-left:0;margin-top:0;width:595.65pt;height:870.15pt;z-index:-251656192;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D5" w:rsidRPr="00D27262" w:rsidRDefault="00004966"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4099" type="#_x0000_t75" style="position:absolute;left:0;text-align:left;margin-left:0;margin-top:0;width:595.65pt;height:870.15pt;z-index:-251655168;mso-position-horizontal:center;mso-position-horizontal-relative:margin;mso-position-vertical:center;mso-position-vertical-relative:margin" o:allowincell="f">
          <v:imagedata r:id="rId1" o:title="MS word cover1"/>
          <w10:wrap anchorx="margin" anchory="margin"/>
        </v:shape>
      </w:pict>
    </w:r>
    <w:r w:rsidR="00866CD5" w:rsidRPr="00D27262">
      <w:rPr>
        <w:sz w:val="22"/>
        <w:szCs w:val="22"/>
      </w:rPr>
      <w:t>Au</w:t>
    </w:r>
    <w:r w:rsidR="00866CD5">
      <w:rPr>
        <w:sz w:val="22"/>
        <w:szCs w:val="22"/>
      </w:rPr>
      <w:t>stralian Human Rights Commission</w:t>
    </w:r>
  </w:p>
  <w:p w:rsidR="00866CD5" w:rsidRDefault="00866CD5"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866CD5" w:rsidRPr="00B85DD4" w:rsidTr="00165E3C">
      <w:trPr>
        <w:trHeight w:val="1276"/>
      </w:trPr>
      <w:tc>
        <w:tcPr>
          <w:tcW w:w="1508" w:type="dxa"/>
        </w:tcPr>
        <w:p w:rsidR="00866CD5" w:rsidRPr="00B85DD4" w:rsidRDefault="00004966"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4097" type="#_x0000_t75" style="position:absolute;left:0;text-align:left;margin-left:-71.05pt;margin-top:-116pt;width:595.65pt;height:870.15pt;z-index:-251657216;mso-position-horizontal-relative:margin;mso-position-vertical-relative:margin" o:allowincell="f">
                <v:imagedata r:id="rId1" o:title="MS word cover1"/>
                <w10:wrap anchorx="margin" anchory="margin"/>
              </v:shape>
            </w:pict>
          </w:r>
        </w:p>
      </w:tc>
      <w:tc>
        <w:tcPr>
          <w:tcW w:w="2688" w:type="dxa"/>
          <w:vAlign w:val="center"/>
        </w:tcPr>
        <w:p w:rsidR="00866CD5" w:rsidRPr="00B85DD4" w:rsidRDefault="00866CD5" w:rsidP="002B1B65">
          <w:pPr>
            <w:spacing w:before="0" w:after="0"/>
            <w:rPr>
              <w:rFonts w:cs="ArialMT"/>
              <w:i/>
              <w:color w:val="808080"/>
              <w:sz w:val="17"/>
            </w:rPr>
          </w:pPr>
        </w:p>
      </w:tc>
      <w:tc>
        <w:tcPr>
          <w:tcW w:w="2302" w:type="dxa"/>
        </w:tcPr>
        <w:p w:rsidR="00866CD5" w:rsidRPr="00B85DD4" w:rsidRDefault="00866CD5" w:rsidP="00B520BC">
          <w:pPr>
            <w:pStyle w:val="HeaderFooter"/>
            <w:rPr>
              <w:b/>
              <w:spacing w:val="-20"/>
              <w:sz w:val="40"/>
            </w:rPr>
          </w:pPr>
        </w:p>
      </w:tc>
      <w:tc>
        <w:tcPr>
          <w:tcW w:w="2130" w:type="dxa"/>
        </w:tcPr>
        <w:p w:rsidR="00866CD5" w:rsidRPr="00B85DD4" w:rsidRDefault="00866CD5" w:rsidP="00B520BC">
          <w:pPr>
            <w:pStyle w:val="HeaderFooter"/>
            <w:rPr>
              <w:b/>
              <w:spacing w:val="-20"/>
              <w:sz w:val="40"/>
            </w:rPr>
          </w:pPr>
        </w:p>
      </w:tc>
      <w:tc>
        <w:tcPr>
          <w:tcW w:w="1721" w:type="dxa"/>
        </w:tcPr>
        <w:p w:rsidR="00866CD5" w:rsidRPr="00B85DD4" w:rsidRDefault="00866CD5" w:rsidP="00B520BC">
          <w:pPr>
            <w:pStyle w:val="HeaderFooter"/>
            <w:spacing w:before="227" w:after="340"/>
            <w:rPr>
              <w:b/>
              <w:spacing w:val="-20"/>
              <w:sz w:val="40"/>
            </w:rPr>
          </w:pPr>
        </w:p>
      </w:tc>
    </w:tr>
  </w:tbl>
  <w:p w:rsidR="00866CD5" w:rsidRDefault="00866C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D5" w:rsidRDefault="00866C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D5" w:rsidRDefault="00866CD5">
    <w:pPr>
      <w:pStyle w:val="Header"/>
    </w:pPr>
  </w:p>
  <w:p w:rsidR="00866CD5" w:rsidRDefault="00866CD5">
    <w:pPr>
      <w:pStyle w:val="Header"/>
    </w:pPr>
  </w:p>
  <w:p w:rsidR="00866CD5" w:rsidRDefault="00866C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D5" w:rsidRDefault="00866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nsid w:val="03C37917"/>
    <w:multiLevelType w:val="hybridMultilevel"/>
    <w:tmpl w:val="8408B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F4B57ED"/>
    <w:multiLevelType w:val="hybridMultilevel"/>
    <w:tmpl w:val="BFA0EB7A"/>
    <w:lvl w:ilvl="0" w:tplc="0C090001">
      <w:start w:val="1"/>
      <w:numFmt w:val="bullet"/>
      <w:lvlText w:val=""/>
      <w:lvlJc w:val="left"/>
      <w:pPr>
        <w:ind w:left="1486" w:hanging="360"/>
      </w:pPr>
      <w:rPr>
        <w:rFonts w:ascii="Symbol" w:hAnsi="Symbol" w:hint="default"/>
      </w:rPr>
    </w:lvl>
    <w:lvl w:ilvl="1" w:tplc="0C090003" w:tentative="1">
      <w:start w:val="1"/>
      <w:numFmt w:val="bullet"/>
      <w:lvlText w:val="o"/>
      <w:lvlJc w:val="left"/>
      <w:pPr>
        <w:ind w:left="2206" w:hanging="360"/>
      </w:pPr>
      <w:rPr>
        <w:rFonts w:ascii="Courier New" w:hAnsi="Courier New" w:cs="Courier New" w:hint="default"/>
      </w:rPr>
    </w:lvl>
    <w:lvl w:ilvl="2" w:tplc="0C090005" w:tentative="1">
      <w:start w:val="1"/>
      <w:numFmt w:val="bullet"/>
      <w:lvlText w:val=""/>
      <w:lvlJc w:val="left"/>
      <w:pPr>
        <w:ind w:left="2926" w:hanging="360"/>
      </w:pPr>
      <w:rPr>
        <w:rFonts w:ascii="Wingdings" w:hAnsi="Wingdings" w:hint="default"/>
      </w:rPr>
    </w:lvl>
    <w:lvl w:ilvl="3" w:tplc="0C090001" w:tentative="1">
      <w:start w:val="1"/>
      <w:numFmt w:val="bullet"/>
      <w:lvlText w:val=""/>
      <w:lvlJc w:val="left"/>
      <w:pPr>
        <w:ind w:left="3646" w:hanging="360"/>
      </w:pPr>
      <w:rPr>
        <w:rFonts w:ascii="Symbol" w:hAnsi="Symbol" w:hint="default"/>
      </w:rPr>
    </w:lvl>
    <w:lvl w:ilvl="4" w:tplc="0C090003" w:tentative="1">
      <w:start w:val="1"/>
      <w:numFmt w:val="bullet"/>
      <w:lvlText w:val="o"/>
      <w:lvlJc w:val="left"/>
      <w:pPr>
        <w:ind w:left="4366" w:hanging="360"/>
      </w:pPr>
      <w:rPr>
        <w:rFonts w:ascii="Courier New" w:hAnsi="Courier New" w:cs="Courier New" w:hint="default"/>
      </w:rPr>
    </w:lvl>
    <w:lvl w:ilvl="5" w:tplc="0C090005" w:tentative="1">
      <w:start w:val="1"/>
      <w:numFmt w:val="bullet"/>
      <w:lvlText w:val=""/>
      <w:lvlJc w:val="left"/>
      <w:pPr>
        <w:ind w:left="5086" w:hanging="360"/>
      </w:pPr>
      <w:rPr>
        <w:rFonts w:ascii="Wingdings" w:hAnsi="Wingdings" w:hint="default"/>
      </w:rPr>
    </w:lvl>
    <w:lvl w:ilvl="6" w:tplc="0C090001" w:tentative="1">
      <w:start w:val="1"/>
      <w:numFmt w:val="bullet"/>
      <w:lvlText w:val=""/>
      <w:lvlJc w:val="left"/>
      <w:pPr>
        <w:ind w:left="5806" w:hanging="360"/>
      </w:pPr>
      <w:rPr>
        <w:rFonts w:ascii="Symbol" w:hAnsi="Symbol" w:hint="default"/>
      </w:rPr>
    </w:lvl>
    <w:lvl w:ilvl="7" w:tplc="0C090003" w:tentative="1">
      <w:start w:val="1"/>
      <w:numFmt w:val="bullet"/>
      <w:lvlText w:val="o"/>
      <w:lvlJc w:val="left"/>
      <w:pPr>
        <w:ind w:left="6526" w:hanging="360"/>
      </w:pPr>
      <w:rPr>
        <w:rFonts w:ascii="Courier New" w:hAnsi="Courier New" w:cs="Courier New" w:hint="default"/>
      </w:rPr>
    </w:lvl>
    <w:lvl w:ilvl="8" w:tplc="0C090005" w:tentative="1">
      <w:start w:val="1"/>
      <w:numFmt w:val="bullet"/>
      <w:lvlText w:val=""/>
      <w:lvlJc w:val="left"/>
      <w:pPr>
        <w:ind w:left="7246" w:hanging="360"/>
      </w:pPr>
      <w:rPr>
        <w:rFonts w:ascii="Wingdings" w:hAnsi="Wingdings" w:hint="default"/>
      </w:rPr>
    </w:lvl>
  </w:abstractNum>
  <w:abstractNum w:abstractNumId="13">
    <w:nsid w:val="113A06A7"/>
    <w:multiLevelType w:val="hybridMultilevel"/>
    <w:tmpl w:val="ED0214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2061655"/>
    <w:multiLevelType w:val="hybridMultilevel"/>
    <w:tmpl w:val="CC6493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C77353F"/>
    <w:multiLevelType w:val="multilevel"/>
    <w:tmpl w:val="F39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2FA0C10"/>
    <w:multiLevelType w:val="multilevel"/>
    <w:tmpl w:val="F3FA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2F9368D"/>
    <w:multiLevelType w:val="hybridMultilevel"/>
    <w:tmpl w:val="906E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2">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6">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82E2896"/>
    <w:multiLevelType w:val="hybridMultilevel"/>
    <w:tmpl w:val="76D086EA"/>
    <w:lvl w:ilvl="0" w:tplc="7EFAA636">
      <w:start w:val="5"/>
      <w:numFmt w:val="bullet"/>
      <w:lvlText w:val="-"/>
      <w:lvlJc w:val="left"/>
      <w:pPr>
        <w:tabs>
          <w:tab w:val="num" w:pos="720"/>
        </w:tabs>
        <w:ind w:left="720" w:hanging="360"/>
      </w:pPr>
      <w:rPr>
        <w:rFonts w:ascii="Arial" w:eastAsia="MS Mincho"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9">
    <w:nsid w:val="63BF631D"/>
    <w:multiLevelType w:val="multilevel"/>
    <w:tmpl w:val="6316CA0E"/>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31"/>
  </w:num>
  <w:num w:numId="3">
    <w:abstractNumId w:val="36"/>
  </w:num>
  <w:num w:numId="4">
    <w:abstractNumId w:val="22"/>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1"/>
  </w:num>
  <w:num w:numId="14">
    <w:abstractNumId w:val="0"/>
  </w:num>
  <w:num w:numId="15">
    <w:abstractNumId w:val="3"/>
  </w:num>
  <w:num w:numId="16">
    <w:abstractNumId w:val="2"/>
  </w:num>
  <w:num w:numId="17">
    <w:abstractNumId w:val="34"/>
  </w:num>
  <w:num w:numId="18">
    <w:abstractNumId w:val="27"/>
  </w:num>
  <w:num w:numId="19">
    <w:abstractNumId w:val="19"/>
  </w:num>
  <w:num w:numId="20">
    <w:abstractNumId w:val="40"/>
  </w:num>
  <w:num w:numId="21">
    <w:abstractNumId w:val="29"/>
  </w:num>
  <w:num w:numId="22">
    <w:abstractNumId w:val="28"/>
  </w:num>
  <w:num w:numId="23">
    <w:abstractNumId w:val="42"/>
  </w:num>
  <w:num w:numId="24">
    <w:abstractNumId w:val="14"/>
  </w:num>
  <w:num w:numId="25">
    <w:abstractNumId w:val="41"/>
  </w:num>
  <w:num w:numId="26">
    <w:abstractNumId w:val="30"/>
  </w:num>
  <w:num w:numId="27">
    <w:abstractNumId w:val="16"/>
  </w:num>
  <w:num w:numId="28">
    <w:abstractNumId w:val="21"/>
  </w:num>
  <w:num w:numId="29">
    <w:abstractNumId w:val="33"/>
  </w:num>
  <w:num w:numId="30">
    <w:abstractNumId w:val="32"/>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8"/>
  </w:num>
  <w:num w:numId="36">
    <w:abstractNumId w:val="18"/>
  </w:num>
  <w:num w:numId="37">
    <w:abstractNumId w:val="10"/>
  </w:num>
  <w:num w:numId="38">
    <w:abstractNumId w:val="20"/>
  </w:num>
  <w:num w:numId="39">
    <w:abstractNumId w:val="17"/>
  </w:num>
  <w:num w:numId="40">
    <w:abstractNumId w:val="13"/>
  </w:num>
  <w:num w:numId="41">
    <w:abstractNumId w:val="15"/>
  </w:num>
  <w:num w:numId="42">
    <w:abstractNumId w:val="37"/>
  </w:num>
  <w:num w:numId="43">
    <w:abstractNumId w:val="11"/>
  </w:num>
  <w:num w:numId="44">
    <w:abstractNumId w:val="25"/>
  </w:num>
  <w:num w:numId="45">
    <w:abstractNumId w:val="12"/>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2F"/>
    <w:rsid w:val="00004966"/>
    <w:rsid w:val="000166B2"/>
    <w:rsid w:val="000458DE"/>
    <w:rsid w:val="000534F1"/>
    <w:rsid w:val="000579B1"/>
    <w:rsid w:val="000A1DB8"/>
    <w:rsid w:val="000A48AC"/>
    <w:rsid w:val="000B0A5D"/>
    <w:rsid w:val="000B12AF"/>
    <w:rsid w:val="000E130A"/>
    <w:rsid w:val="000F10FE"/>
    <w:rsid w:val="00114A01"/>
    <w:rsid w:val="0013280C"/>
    <w:rsid w:val="00134774"/>
    <w:rsid w:val="00140274"/>
    <w:rsid w:val="00151263"/>
    <w:rsid w:val="00162A8D"/>
    <w:rsid w:val="00165E3C"/>
    <w:rsid w:val="00173FB5"/>
    <w:rsid w:val="00186E4A"/>
    <w:rsid w:val="001B0353"/>
    <w:rsid w:val="001C1F8B"/>
    <w:rsid w:val="001E46AA"/>
    <w:rsid w:val="001F16A5"/>
    <w:rsid w:val="001F2BBB"/>
    <w:rsid w:val="00200677"/>
    <w:rsid w:val="00231ED1"/>
    <w:rsid w:val="00242624"/>
    <w:rsid w:val="0024557E"/>
    <w:rsid w:val="00252E66"/>
    <w:rsid w:val="002863D7"/>
    <w:rsid w:val="002908B7"/>
    <w:rsid w:val="002A4124"/>
    <w:rsid w:val="002B1B65"/>
    <w:rsid w:val="002C1866"/>
    <w:rsid w:val="002D6F45"/>
    <w:rsid w:val="002F429C"/>
    <w:rsid w:val="002F4CE1"/>
    <w:rsid w:val="00300F22"/>
    <w:rsid w:val="00304A37"/>
    <w:rsid w:val="00310ED4"/>
    <w:rsid w:val="00312301"/>
    <w:rsid w:val="0031492A"/>
    <w:rsid w:val="00316C1A"/>
    <w:rsid w:val="00331141"/>
    <w:rsid w:val="00344758"/>
    <w:rsid w:val="00347142"/>
    <w:rsid w:val="003565A8"/>
    <w:rsid w:val="003566EA"/>
    <w:rsid w:val="00361C87"/>
    <w:rsid w:val="00367BBD"/>
    <w:rsid w:val="00370265"/>
    <w:rsid w:val="00372C79"/>
    <w:rsid w:val="003B5560"/>
    <w:rsid w:val="00422417"/>
    <w:rsid w:val="00424233"/>
    <w:rsid w:val="004459F3"/>
    <w:rsid w:val="00452312"/>
    <w:rsid w:val="004604ED"/>
    <w:rsid w:val="00472EFF"/>
    <w:rsid w:val="00474063"/>
    <w:rsid w:val="00475837"/>
    <w:rsid w:val="00476793"/>
    <w:rsid w:val="004A0CEB"/>
    <w:rsid w:val="004A187B"/>
    <w:rsid w:val="004A2D3C"/>
    <w:rsid w:val="004C7412"/>
    <w:rsid w:val="004D04BF"/>
    <w:rsid w:val="004E0DFF"/>
    <w:rsid w:val="004F1C7C"/>
    <w:rsid w:val="005123F0"/>
    <w:rsid w:val="00513540"/>
    <w:rsid w:val="00513941"/>
    <w:rsid w:val="0053051D"/>
    <w:rsid w:val="00552BC5"/>
    <w:rsid w:val="00564208"/>
    <w:rsid w:val="00571CEB"/>
    <w:rsid w:val="00581EA1"/>
    <w:rsid w:val="00591951"/>
    <w:rsid w:val="005C5D41"/>
    <w:rsid w:val="005D1F34"/>
    <w:rsid w:val="005D383D"/>
    <w:rsid w:val="00654793"/>
    <w:rsid w:val="006A6BB3"/>
    <w:rsid w:val="006B39DF"/>
    <w:rsid w:val="006D5EE5"/>
    <w:rsid w:val="006F16C7"/>
    <w:rsid w:val="006F29C6"/>
    <w:rsid w:val="0074724C"/>
    <w:rsid w:val="007540BF"/>
    <w:rsid w:val="0076127E"/>
    <w:rsid w:val="00770DCB"/>
    <w:rsid w:val="00775193"/>
    <w:rsid w:val="00775485"/>
    <w:rsid w:val="00794571"/>
    <w:rsid w:val="00796981"/>
    <w:rsid w:val="007A5A57"/>
    <w:rsid w:val="007E5B88"/>
    <w:rsid w:val="007F0D0B"/>
    <w:rsid w:val="008007A8"/>
    <w:rsid w:val="0080407C"/>
    <w:rsid w:val="008042D9"/>
    <w:rsid w:val="008147F6"/>
    <w:rsid w:val="00814FC0"/>
    <w:rsid w:val="00866CD5"/>
    <w:rsid w:val="008724DE"/>
    <w:rsid w:val="008A26BE"/>
    <w:rsid w:val="008A3D57"/>
    <w:rsid w:val="008B23BC"/>
    <w:rsid w:val="008E3D60"/>
    <w:rsid w:val="008E3F4C"/>
    <w:rsid w:val="00900193"/>
    <w:rsid w:val="0090165F"/>
    <w:rsid w:val="00901B82"/>
    <w:rsid w:val="009028F0"/>
    <w:rsid w:val="0090608B"/>
    <w:rsid w:val="00912B09"/>
    <w:rsid w:val="00946D9F"/>
    <w:rsid w:val="00966C2F"/>
    <w:rsid w:val="0097512B"/>
    <w:rsid w:val="009844FE"/>
    <w:rsid w:val="00996C82"/>
    <w:rsid w:val="009D67F6"/>
    <w:rsid w:val="009E0FE1"/>
    <w:rsid w:val="00A0406E"/>
    <w:rsid w:val="00A11307"/>
    <w:rsid w:val="00A13AF3"/>
    <w:rsid w:val="00A27791"/>
    <w:rsid w:val="00A41355"/>
    <w:rsid w:val="00A43B92"/>
    <w:rsid w:val="00A44CCE"/>
    <w:rsid w:val="00A54251"/>
    <w:rsid w:val="00A6179E"/>
    <w:rsid w:val="00A64316"/>
    <w:rsid w:val="00A804D9"/>
    <w:rsid w:val="00A8523A"/>
    <w:rsid w:val="00A8538A"/>
    <w:rsid w:val="00A92F92"/>
    <w:rsid w:val="00A96892"/>
    <w:rsid w:val="00AA2051"/>
    <w:rsid w:val="00AB2E8D"/>
    <w:rsid w:val="00AD4D6D"/>
    <w:rsid w:val="00AE393E"/>
    <w:rsid w:val="00B24B1D"/>
    <w:rsid w:val="00B277E0"/>
    <w:rsid w:val="00B34946"/>
    <w:rsid w:val="00B519FD"/>
    <w:rsid w:val="00B520BC"/>
    <w:rsid w:val="00B54139"/>
    <w:rsid w:val="00B63D24"/>
    <w:rsid w:val="00B652A8"/>
    <w:rsid w:val="00B819FF"/>
    <w:rsid w:val="00B924E6"/>
    <w:rsid w:val="00BA262D"/>
    <w:rsid w:val="00BA5698"/>
    <w:rsid w:val="00BC79EB"/>
    <w:rsid w:val="00BD7FCF"/>
    <w:rsid w:val="00C25BDA"/>
    <w:rsid w:val="00C33104"/>
    <w:rsid w:val="00C4082F"/>
    <w:rsid w:val="00C5250F"/>
    <w:rsid w:val="00C77CC6"/>
    <w:rsid w:val="00C854D4"/>
    <w:rsid w:val="00C90556"/>
    <w:rsid w:val="00CA0D78"/>
    <w:rsid w:val="00CA4855"/>
    <w:rsid w:val="00CB24FE"/>
    <w:rsid w:val="00CC6379"/>
    <w:rsid w:val="00CD58FD"/>
    <w:rsid w:val="00CE4CA3"/>
    <w:rsid w:val="00D343FA"/>
    <w:rsid w:val="00D418FF"/>
    <w:rsid w:val="00D65C76"/>
    <w:rsid w:val="00D734C7"/>
    <w:rsid w:val="00D80F84"/>
    <w:rsid w:val="00D9008C"/>
    <w:rsid w:val="00DA2F73"/>
    <w:rsid w:val="00DC462F"/>
    <w:rsid w:val="00DD6A21"/>
    <w:rsid w:val="00DE5B67"/>
    <w:rsid w:val="00DE60CA"/>
    <w:rsid w:val="00DF3BA6"/>
    <w:rsid w:val="00E24FA3"/>
    <w:rsid w:val="00E26B28"/>
    <w:rsid w:val="00E31465"/>
    <w:rsid w:val="00E328CD"/>
    <w:rsid w:val="00E36B95"/>
    <w:rsid w:val="00E4003F"/>
    <w:rsid w:val="00E458F6"/>
    <w:rsid w:val="00E45954"/>
    <w:rsid w:val="00E701A7"/>
    <w:rsid w:val="00EA44D9"/>
    <w:rsid w:val="00EA6D58"/>
    <w:rsid w:val="00EB6A76"/>
    <w:rsid w:val="00F14C6D"/>
    <w:rsid w:val="00F2532F"/>
    <w:rsid w:val="00F82102"/>
    <w:rsid w:val="00F92C96"/>
    <w:rsid w:val="00FA4916"/>
    <w:rsid w:val="00FC4E88"/>
    <w:rsid w:val="00FD0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lang w:val="en-AU" w:eastAsia="en-AU" w:bidi="ar-SA"/>
    </w:rPr>
  </w:style>
  <w:style w:type="character" w:customStyle="1" w:styleId="Heading2Char">
    <w:name w:val="Heading 2 Char"/>
    <w:link w:val="Heading2"/>
    <w:rsid w:val="008007A8"/>
    <w:rPr>
      <w:rFonts w:ascii="Arial" w:eastAsia="MS Mincho" w:hAnsi="Arial"/>
      <w:b/>
      <w:i/>
      <w:color w:val="000000"/>
      <w:sz w:val="28"/>
      <w:szCs w:val="26"/>
      <w:lang w:val="en-AU" w:eastAsia="en-AU" w:bidi="ar-SA"/>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8007A8"/>
    <w:rPr>
      <w:rFonts w:ascii="Cambria" w:eastAsia="MS Mincho" w:hAnsi="Cambria"/>
      <w:color w:val="243F60"/>
      <w:sz w:val="24"/>
      <w:szCs w:val="24"/>
      <w:lang w:val="en-AU" w:eastAsia="en-AU" w:bidi="ar-SA"/>
    </w:rPr>
  </w:style>
  <w:style w:type="character" w:customStyle="1" w:styleId="Heading6Char">
    <w:name w:val="Heading 6 Char"/>
    <w:link w:val="Heading6"/>
    <w:semiHidden/>
    <w:rsid w:val="008007A8"/>
    <w:rPr>
      <w:rFonts w:ascii="Cambria" w:eastAsia="MS Mincho" w:hAnsi="Cambria"/>
      <w:i/>
      <w:iCs/>
      <w:color w:val="243F60"/>
      <w:sz w:val="24"/>
      <w:szCs w:val="24"/>
      <w:lang w:val="en-AU" w:eastAsia="en-AU" w:bidi="ar-SA"/>
    </w:rPr>
  </w:style>
  <w:style w:type="character" w:customStyle="1" w:styleId="Heading7Char">
    <w:name w:val="Heading 7 Char"/>
    <w:link w:val="Heading7"/>
    <w:semiHidden/>
    <w:rsid w:val="008007A8"/>
    <w:rPr>
      <w:rFonts w:ascii="Cambria" w:eastAsia="MS Mincho" w:hAnsi="Cambria"/>
      <w:i/>
      <w:iCs/>
      <w:color w:val="404040"/>
      <w:sz w:val="24"/>
      <w:szCs w:val="24"/>
      <w:lang w:val="en-AU" w:eastAsia="en-AU" w:bidi="ar-SA"/>
    </w:rPr>
  </w:style>
  <w:style w:type="character" w:customStyle="1" w:styleId="Heading8Char">
    <w:name w:val="Heading 8 Char"/>
    <w:link w:val="Heading8"/>
    <w:semiHidden/>
    <w:rsid w:val="008007A8"/>
    <w:rPr>
      <w:rFonts w:ascii="Cambria" w:eastAsia="MS Mincho" w:hAnsi="Cambria"/>
      <w:color w:val="404040"/>
      <w:lang w:val="en-AU" w:eastAsia="en-AU" w:bidi="ar-SA"/>
    </w:rPr>
  </w:style>
  <w:style w:type="character" w:customStyle="1" w:styleId="Heading9Char">
    <w:name w:val="Heading 9 Char"/>
    <w:link w:val="Heading9"/>
    <w:semiHidden/>
    <w:rsid w:val="008007A8"/>
    <w:rPr>
      <w:rFonts w:ascii="Cambria" w:eastAsia="MS Mincho" w:hAnsi="Cambria"/>
      <w:i/>
      <w:iCs/>
      <w:color w:val="404040"/>
      <w:lang w:val="en-AU" w:eastAsia="en-AU" w:bidi="ar-SA"/>
    </w:rPr>
  </w:style>
  <w:style w:type="paragraph" w:styleId="Header">
    <w:name w:val="header"/>
    <w:basedOn w:val="Normal"/>
    <w:link w:val="HeaderChar"/>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rsid w:val="00E701A7"/>
    <w:pPr>
      <w:tabs>
        <w:tab w:val="right" w:pos="2835"/>
        <w:tab w:val="right" w:pos="5670"/>
      </w:tabs>
      <w:spacing w:before="0" w:after="60"/>
    </w:pPr>
    <w:rPr>
      <w:color w:val="404040"/>
      <w:sz w:val="18"/>
    </w:rPr>
  </w:style>
  <w:style w:type="character" w:customStyle="1" w:styleId="FooterChar">
    <w:name w:val="Footer Char"/>
    <w:link w:val="Footer"/>
    <w:uiPriority w:val="99"/>
    <w:rsid w:val="00E701A7"/>
    <w:rPr>
      <w:rFonts w:ascii="Arial" w:eastAsia="MS Mincho" w:hAnsi="Arial"/>
      <w:color w:val="404040"/>
      <w:sz w:val="18"/>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0458DE"/>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0458DE"/>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bolderyeartitle">
    <w:name w:val="bolder year title"/>
    <w:basedOn w:val="MainTitle"/>
    <w:qFormat/>
    <w:rsid w:val="004459F3"/>
    <w:rPr>
      <w:rFonts w:ascii="Arial Black" w:hAnsi="Arial Black"/>
      <w:sz w:val="64"/>
    </w:rPr>
  </w:style>
  <w:style w:type="paragraph" w:styleId="ListParagraph">
    <w:name w:val="List Paragraph"/>
    <w:basedOn w:val="Normal"/>
    <w:link w:val="ListParagraphChar"/>
    <w:uiPriority w:val="34"/>
    <w:qFormat/>
    <w:rsid w:val="000166B2"/>
    <w:pPr>
      <w:ind w:left="720"/>
      <w:contextualSpacing/>
    </w:pPr>
    <w:rPr>
      <w:rFonts w:eastAsia="Times New Roman"/>
    </w:rPr>
  </w:style>
  <w:style w:type="character" w:customStyle="1" w:styleId="ListParagraphChar">
    <w:name w:val="List Paragraph Char"/>
    <w:link w:val="ListParagraph"/>
    <w:uiPriority w:val="34"/>
    <w:rsid w:val="000166B2"/>
    <w:rPr>
      <w:rFonts w:ascii="Arial" w:hAnsi="Arial"/>
      <w:sz w:val="24"/>
      <w:szCs w:val="24"/>
    </w:rPr>
  </w:style>
  <w:style w:type="paragraph" w:customStyle="1" w:styleId="Default">
    <w:name w:val="Default"/>
    <w:rsid w:val="00475837"/>
    <w:pPr>
      <w:autoSpaceDE w:val="0"/>
      <w:autoSpaceDN w:val="0"/>
      <w:adjustRightInd w:val="0"/>
    </w:pPr>
    <w:rPr>
      <w:rFonts w:ascii="Arial" w:hAnsi="Arial" w:cs="Arial"/>
      <w:color w:val="000000"/>
      <w:sz w:val="24"/>
      <w:szCs w:val="24"/>
    </w:rPr>
  </w:style>
  <w:style w:type="paragraph" w:customStyle="1" w:styleId="coveraddress">
    <w:name w:val="cover address"/>
    <w:basedOn w:val="Normal"/>
    <w:qFormat/>
    <w:rsid w:val="00866CD5"/>
    <w:pPr>
      <w:tabs>
        <w:tab w:val="right" w:pos="2835"/>
        <w:tab w:val="right" w:pos="5670"/>
      </w:tabs>
      <w:spacing w:before="0" w:after="40"/>
    </w:pPr>
    <w:rPr>
      <w:color w:val="40404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lang w:val="en-AU" w:eastAsia="en-AU" w:bidi="ar-SA"/>
    </w:rPr>
  </w:style>
  <w:style w:type="character" w:customStyle="1" w:styleId="Heading2Char">
    <w:name w:val="Heading 2 Char"/>
    <w:link w:val="Heading2"/>
    <w:rsid w:val="008007A8"/>
    <w:rPr>
      <w:rFonts w:ascii="Arial" w:eastAsia="MS Mincho" w:hAnsi="Arial"/>
      <w:b/>
      <w:i/>
      <w:color w:val="000000"/>
      <w:sz w:val="28"/>
      <w:szCs w:val="26"/>
      <w:lang w:val="en-AU" w:eastAsia="en-AU" w:bidi="ar-SA"/>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8007A8"/>
    <w:rPr>
      <w:rFonts w:ascii="Cambria" w:eastAsia="MS Mincho" w:hAnsi="Cambria"/>
      <w:color w:val="243F60"/>
      <w:sz w:val="24"/>
      <w:szCs w:val="24"/>
      <w:lang w:val="en-AU" w:eastAsia="en-AU" w:bidi="ar-SA"/>
    </w:rPr>
  </w:style>
  <w:style w:type="character" w:customStyle="1" w:styleId="Heading6Char">
    <w:name w:val="Heading 6 Char"/>
    <w:link w:val="Heading6"/>
    <w:semiHidden/>
    <w:rsid w:val="008007A8"/>
    <w:rPr>
      <w:rFonts w:ascii="Cambria" w:eastAsia="MS Mincho" w:hAnsi="Cambria"/>
      <w:i/>
      <w:iCs/>
      <w:color w:val="243F60"/>
      <w:sz w:val="24"/>
      <w:szCs w:val="24"/>
      <w:lang w:val="en-AU" w:eastAsia="en-AU" w:bidi="ar-SA"/>
    </w:rPr>
  </w:style>
  <w:style w:type="character" w:customStyle="1" w:styleId="Heading7Char">
    <w:name w:val="Heading 7 Char"/>
    <w:link w:val="Heading7"/>
    <w:semiHidden/>
    <w:rsid w:val="008007A8"/>
    <w:rPr>
      <w:rFonts w:ascii="Cambria" w:eastAsia="MS Mincho" w:hAnsi="Cambria"/>
      <w:i/>
      <w:iCs/>
      <w:color w:val="404040"/>
      <w:sz w:val="24"/>
      <w:szCs w:val="24"/>
      <w:lang w:val="en-AU" w:eastAsia="en-AU" w:bidi="ar-SA"/>
    </w:rPr>
  </w:style>
  <w:style w:type="character" w:customStyle="1" w:styleId="Heading8Char">
    <w:name w:val="Heading 8 Char"/>
    <w:link w:val="Heading8"/>
    <w:semiHidden/>
    <w:rsid w:val="008007A8"/>
    <w:rPr>
      <w:rFonts w:ascii="Cambria" w:eastAsia="MS Mincho" w:hAnsi="Cambria"/>
      <w:color w:val="404040"/>
      <w:lang w:val="en-AU" w:eastAsia="en-AU" w:bidi="ar-SA"/>
    </w:rPr>
  </w:style>
  <w:style w:type="character" w:customStyle="1" w:styleId="Heading9Char">
    <w:name w:val="Heading 9 Char"/>
    <w:link w:val="Heading9"/>
    <w:semiHidden/>
    <w:rsid w:val="008007A8"/>
    <w:rPr>
      <w:rFonts w:ascii="Cambria" w:eastAsia="MS Mincho" w:hAnsi="Cambria"/>
      <w:i/>
      <w:iCs/>
      <w:color w:val="404040"/>
      <w:lang w:val="en-AU" w:eastAsia="en-AU" w:bidi="ar-SA"/>
    </w:rPr>
  </w:style>
  <w:style w:type="paragraph" w:styleId="Header">
    <w:name w:val="header"/>
    <w:basedOn w:val="Normal"/>
    <w:link w:val="HeaderChar"/>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rsid w:val="00E701A7"/>
    <w:pPr>
      <w:tabs>
        <w:tab w:val="right" w:pos="2835"/>
        <w:tab w:val="right" w:pos="5670"/>
      </w:tabs>
      <w:spacing w:before="0" w:after="60"/>
    </w:pPr>
    <w:rPr>
      <w:color w:val="404040"/>
      <w:sz w:val="18"/>
    </w:rPr>
  </w:style>
  <w:style w:type="character" w:customStyle="1" w:styleId="FooterChar">
    <w:name w:val="Footer Char"/>
    <w:link w:val="Footer"/>
    <w:uiPriority w:val="99"/>
    <w:rsid w:val="00E701A7"/>
    <w:rPr>
      <w:rFonts w:ascii="Arial" w:eastAsia="MS Mincho" w:hAnsi="Arial"/>
      <w:color w:val="404040"/>
      <w:sz w:val="18"/>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0458DE"/>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0458DE"/>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bolderyeartitle">
    <w:name w:val="bolder year title"/>
    <w:basedOn w:val="MainTitle"/>
    <w:qFormat/>
    <w:rsid w:val="004459F3"/>
    <w:rPr>
      <w:rFonts w:ascii="Arial Black" w:hAnsi="Arial Black"/>
      <w:sz w:val="64"/>
    </w:rPr>
  </w:style>
  <w:style w:type="paragraph" w:styleId="ListParagraph">
    <w:name w:val="List Paragraph"/>
    <w:basedOn w:val="Normal"/>
    <w:link w:val="ListParagraphChar"/>
    <w:uiPriority w:val="34"/>
    <w:qFormat/>
    <w:rsid w:val="000166B2"/>
    <w:pPr>
      <w:ind w:left="720"/>
      <w:contextualSpacing/>
    </w:pPr>
    <w:rPr>
      <w:rFonts w:eastAsia="Times New Roman"/>
    </w:rPr>
  </w:style>
  <w:style w:type="character" w:customStyle="1" w:styleId="ListParagraphChar">
    <w:name w:val="List Paragraph Char"/>
    <w:link w:val="ListParagraph"/>
    <w:uiPriority w:val="34"/>
    <w:rsid w:val="000166B2"/>
    <w:rPr>
      <w:rFonts w:ascii="Arial" w:hAnsi="Arial"/>
      <w:sz w:val="24"/>
      <w:szCs w:val="24"/>
    </w:rPr>
  </w:style>
  <w:style w:type="paragraph" w:customStyle="1" w:styleId="Default">
    <w:name w:val="Default"/>
    <w:rsid w:val="00475837"/>
    <w:pPr>
      <w:autoSpaceDE w:val="0"/>
      <w:autoSpaceDN w:val="0"/>
      <w:adjustRightInd w:val="0"/>
    </w:pPr>
    <w:rPr>
      <w:rFonts w:ascii="Arial" w:hAnsi="Arial" w:cs="Arial"/>
      <w:color w:val="000000"/>
      <w:sz w:val="24"/>
      <w:szCs w:val="24"/>
    </w:rPr>
  </w:style>
  <w:style w:type="paragraph" w:customStyle="1" w:styleId="coveraddress">
    <w:name w:val="cover address"/>
    <w:basedOn w:val="Normal"/>
    <w:qFormat/>
    <w:rsid w:val="00866CD5"/>
    <w:pPr>
      <w:tabs>
        <w:tab w:val="right" w:pos="2835"/>
        <w:tab w:val="right" w:pos="5670"/>
      </w:tabs>
      <w:spacing w:before="0" w:after="40"/>
    </w:pPr>
    <w:rPr>
      <w:color w:val="40404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86545">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Coversheet%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ED39-4A2B-4AFE-8BC4-BA6CADE5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Coversheet Document.dot</Template>
  <TotalTime>1</TotalTime>
  <Pages>14</Pages>
  <Words>2603</Words>
  <Characters>16536</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Tracey Lambert</dc:creator>
  <cp:lastModifiedBy>Matthew Bretag</cp:lastModifiedBy>
  <cp:revision>2</cp:revision>
  <cp:lastPrinted>2015-01-27T00:34:00Z</cp:lastPrinted>
  <dcterms:created xsi:type="dcterms:W3CDTF">2015-01-27T00:36:00Z</dcterms:created>
  <dcterms:modified xsi:type="dcterms:W3CDTF">2015-01-27T00:36:00Z</dcterms:modified>
</cp:coreProperties>
</file>